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94"/>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vAlign w:val="center"/>
          </w:tcPr>
          <w:p>
            <w:pPr>
              <w:spacing w:line="1600" w:lineRule="exact"/>
              <w:rPr>
                <w:rFonts w:eastAsia="黑体"/>
                <w:color w:val="000000" w:themeColor="text1"/>
                <w:spacing w:val="40"/>
                <w:sz w:val="44"/>
              </w:rPr>
            </w:pPr>
            <w:r>
              <w:rPr>
                <w:rFonts w:hint="eastAsia" w:eastAsia="黑体"/>
                <w:spacing w:val="40"/>
                <w:sz w:val="44"/>
              </w:rPr>
              <w:t xml:space="preserve">    房地产估价报告</w:t>
            </w:r>
          </w:p>
        </w:tc>
        <w:tc>
          <w:tcPr>
            <w:tcW w:w="2374" w:type="dxa"/>
            <w:vAlign w:val="center"/>
          </w:tcPr>
          <w:p>
            <w:pPr>
              <w:jc w:val="center"/>
              <w:rPr>
                <w:rFonts w:eastAsia="黑体"/>
                <w:color w:val="000000" w:themeColor="text1"/>
                <w:spacing w:val="40"/>
                <w:sz w:val="44"/>
              </w:rPr>
            </w:pPr>
            <w:r>
              <w:rPr>
                <w:rFonts w:hint="eastAsia" w:eastAsia="黑体"/>
                <w:spacing w:val="40"/>
                <w:sz w:val="44"/>
                <w:lang w:eastAsia="zh-CN"/>
              </w:rPr>
              <w:drawing>
                <wp:inline distT="0" distB="0" distL="114300" distR="114300">
                  <wp:extent cx="1369060" cy="1369060"/>
                  <wp:effectExtent l="0" t="0" r="2540" b="2540"/>
                  <wp:docPr id="1" name="图片 1" descr="2021第7-071盘锦房产个贷结果封面_0"/>
                  <wp:cNvGraphicFramePr/>
                  <a:graphic xmlns:a="http://schemas.openxmlformats.org/drawingml/2006/main">
                    <a:graphicData uri="http://schemas.openxmlformats.org/drawingml/2006/picture">
                      <pic:pic xmlns:pic="http://schemas.openxmlformats.org/drawingml/2006/picture">
                        <pic:nvPicPr>
                          <pic:cNvPr id="1" name="图片 1" descr="2021第7-071盘锦房产个贷结果封面_0"/>
                          <pic:cNvPicPr/>
                        </pic:nvPicPr>
                        <pic:blipFill>
                          <a:blip r:embed="rId8"/>
                          <a:stretch>
                            <a:fillRect/>
                          </a:stretch>
                        </pic:blipFill>
                        <pic:spPr>
                          <a:xfrm>
                            <a:off x="0" y="0"/>
                            <a:ext cx="1369060" cy="1369060"/>
                          </a:xfrm>
                          <a:prstGeom prst="rect">
                            <a:avLst/>
                          </a:prstGeom>
                        </pic:spPr>
                      </pic:pic>
                    </a:graphicData>
                  </a:graphic>
                </wp:inline>
              </w:drawing>
            </w:r>
          </w:p>
        </w:tc>
      </w:tr>
    </w:tbl>
    <w:p>
      <w:pPr>
        <w:spacing w:line="1600" w:lineRule="exact"/>
        <w:ind w:firstLine="161" w:firstLineChars="50"/>
        <w:rPr>
          <w:rFonts w:ascii="楷体_GB2312" w:eastAsia="楷体_GB2312"/>
          <w:color w:val="000000" w:themeColor="text1"/>
          <w:spacing w:val="-10"/>
          <w:sz w:val="32"/>
        </w:rPr>
      </w:pPr>
      <w:r>
        <w:rPr>
          <w:rFonts w:hint="eastAsia" w:ascii="楷体_GB2312" w:eastAsia="楷体_GB2312"/>
          <w:b/>
          <w:bCs/>
          <w:sz w:val="32"/>
        </w:rPr>
        <w:t>估价报告</w:t>
      </w:r>
      <w:r>
        <w:rPr>
          <w:rFonts w:hint="eastAsia" w:ascii="楷体_GB2312" w:eastAsia="楷体_GB2312"/>
          <w:b/>
          <w:bCs/>
          <w:color w:val="000000" w:themeColor="text1"/>
          <w:sz w:val="32"/>
        </w:rPr>
        <w:t xml:space="preserve">编号 ： </w:t>
      </w:r>
      <w:r>
        <w:rPr>
          <w:rFonts w:hint="eastAsia" w:ascii="楷体_GB2312" w:eastAsia="楷体_GB2312"/>
          <w:color w:val="000000" w:themeColor="text1"/>
          <w:spacing w:val="-10"/>
          <w:sz w:val="32"/>
        </w:rPr>
        <w:t>荣泰评房</w:t>
      </w:r>
      <w:r>
        <w:rPr>
          <w:rFonts w:hint="eastAsia" w:ascii="楷体_GB2312" w:eastAsia="楷体_GB2312"/>
          <w:color w:val="000000" w:themeColor="text1"/>
          <w:spacing w:val="-10"/>
          <w:sz w:val="32"/>
          <w:lang w:eastAsia="zh-CN"/>
        </w:rPr>
        <w:t>估</w:t>
      </w:r>
      <w:r>
        <w:rPr>
          <w:rFonts w:hint="eastAsia" w:ascii="宋体" w:hAnsi="宋体" w:eastAsia="宋体" w:cs="宋体"/>
          <w:sz w:val="32"/>
        </w:rPr>
        <w:t>﹝</w:t>
      </w:r>
      <w:r>
        <w:rPr>
          <w:rFonts w:hint="eastAsia" w:ascii="楷体_GB2312" w:eastAsia="楷体_GB2312"/>
          <w:sz w:val="32"/>
        </w:rPr>
        <w:t>2021</w:t>
      </w:r>
      <w:r>
        <w:rPr>
          <w:rFonts w:hint="eastAsia" w:ascii="宋体" w:hAnsi="宋体" w:eastAsia="宋体" w:cs="宋体"/>
          <w:sz w:val="32"/>
        </w:rPr>
        <w:t>﹞</w:t>
      </w:r>
      <w:r>
        <w:rPr>
          <w:rFonts w:hint="eastAsia" w:ascii="楷体_GB2312" w:hAnsi="楷体_GB2312" w:eastAsia="楷体_GB2312" w:cs="楷体_GB2312"/>
          <w:sz w:val="32"/>
        </w:rPr>
        <w:t>第</w:t>
      </w:r>
      <w:r>
        <w:rPr>
          <w:rFonts w:hint="eastAsia" w:ascii="楷体_GB2312" w:eastAsia="楷体_GB2312"/>
          <w:sz w:val="32"/>
        </w:rPr>
        <w:t>7-0</w:t>
      </w:r>
      <w:r>
        <w:rPr>
          <w:rFonts w:hint="eastAsia" w:ascii="楷体_GB2312" w:eastAsia="楷体_GB2312"/>
          <w:sz w:val="32"/>
          <w:lang w:val="en-US" w:eastAsia="zh-CN"/>
        </w:rPr>
        <w:t>71</w:t>
      </w:r>
      <w:r>
        <w:rPr>
          <w:rFonts w:hint="eastAsia" w:ascii="楷体_GB2312" w:eastAsia="楷体_GB2312"/>
          <w:color w:val="000000" w:themeColor="text1"/>
          <w:spacing w:val="-10"/>
          <w:sz w:val="32"/>
        </w:rPr>
        <w:t>号</w:t>
      </w:r>
    </w:p>
    <w:p>
      <w:pPr>
        <w:tabs>
          <w:tab w:val="left" w:pos="2880"/>
        </w:tabs>
        <w:spacing w:line="600" w:lineRule="exact"/>
        <w:ind w:left="3100" w:leftChars="100" w:hanging="2890" w:hangingChars="800"/>
        <w:rPr>
          <w:rFonts w:ascii="楷体_GB2312" w:eastAsia="楷体_GB2312"/>
          <w:color w:val="000000" w:themeColor="text1"/>
          <w:spacing w:val="-10"/>
          <w:sz w:val="32"/>
        </w:rPr>
      </w:pPr>
      <w:r>
        <w:rPr>
          <w:rFonts w:hint="eastAsia" w:ascii="楷体_GB2312" w:eastAsia="楷体_GB2312"/>
          <w:b/>
          <w:bCs/>
          <w:color w:val="000000" w:themeColor="text1"/>
          <w:spacing w:val="20"/>
          <w:sz w:val="32"/>
        </w:rPr>
        <w:t>估价项目名称 ：</w:t>
      </w:r>
      <w:r>
        <w:rPr>
          <w:rFonts w:hint="eastAsia" w:ascii="楷体_GB2312" w:eastAsia="楷体_GB2312"/>
          <w:color w:val="000000" w:themeColor="text1"/>
          <w:spacing w:val="-10"/>
          <w:sz w:val="32"/>
        </w:rPr>
        <w:t>辽宁省盘锦市中级人民法院因执行</w:t>
      </w:r>
      <w:r>
        <w:rPr>
          <w:rFonts w:hint="eastAsia" w:ascii="楷体_GB2312" w:eastAsia="楷体_GB2312"/>
          <w:color w:val="000000" w:themeColor="text1"/>
          <w:spacing w:val="-10"/>
          <w:sz w:val="32"/>
          <w:lang w:eastAsia="zh-CN"/>
        </w:rPr>
        <w:t>中国邮政储蓄银行股份有限公司盘锦市分行</w:t>
      </w:r>
      <w:r>
        <w:rPr>
          <w:rFonts w:hint="eastAsia" w:ascii="楷体_GB2312" w:eastAsia="楷体_GB2312"/>
          <w:color w:val="000000" w:themeColor="text1"/>
          <w:spacing w:val="-10"/>
          <w:sz w:val="32"/>
        </w:rPr>
        <w:t>申请执行</w:t>
      </w:r>
      <w:r>
        <w:rPr>
          <w:rFonts w:hint="eastAsia" w:ascii="楷体_GB2312" w:eastAsia="楷体_GB2312"/>
          <w:color w:val="000000" w:themeColor="text1"/>
          <w:spacing w:val="-10"/>
          <w:sz w:val="32"/>
          <w:lang w:eastAsia="zh-CN"/>
        </w:rPr>
        <w:t>王帅</w:t>
      </w:r>
      <w:r>
        <w:rPr>
          <w:rFonts w:hint="eastAsia" w:ascii="楷体_GB2312" w:eastAsia="楷体_GB2312"/>
          <w:color w:val="000000" w:themeColor="text1"/>
          <w:spacing w:val="-10"/>
          <w:sz w:val="32"/>
        </w:rPr>
        <w:t>一案所涉及的位于</w:t>
      </w:r>
      <w:r>
        <w:rPr>
          <w:rFonts w:hint="eastAsia" w:ascii="楷体_GB2312" w:eastAsia="楷体_GB2312"/>
          <w:color w:val="000000" w:themeColor="text1"/>
          <w:spacing w:val="-10"/>
          <w:sz w:val="32"/>
          <w:lang w:eastAsia="zh-CN"/>
        </w:rPr>
        <w:t>盘锦市大洼区田家街道富田花园小区C-8#楼5单元701室</w:t>
      </w:r>
      <w:r>
        <w:rPr>
          <w:rFonts w:hint="eastAsia" w:ascii="楷体_GB2312" w:eastAsia="楷体_GB2312"/>
          <w:color w:val="000000" w:themeColor="text1"/>
          <w:spacing w:val="-10"/>
          <w:sz w:val="32"/>
        </w:rPr>
        <w:t>的住宅房地产市场价值评估</w:t>
      </w:r>
    </w:p>
    <w:p>
      <w:pPr>
        <w:spacing w:line="1400" w:lineRule="exact"/>
        <w:ind w:firstLine="161" w:firstLineChars="50"/>
        <w:rPr>
          <w:rFonts w:ascii="楷体_GB2312" w:eastAsia="楷体_GB2312"/>
          <w:color w:val="000000" w:themeColor="text1"/>
          <w:spacing w:val="-10"/>
          <w:sz w:val="32"/>
        </w:rPr>
      </w:pPr>
      <w:r>
        <w:rPr>
          <w:rFonts w:hint="eastAsia" w:ascii="楷体_GB2312" w:eastAsia="楷体_GB2312"/>
          <w:b/>
          <w:bCs/>
          <w:color w:val="000000" w:themeColor="text1"/>
          <w:sz w:val="32"/>
        </w:rPr>
        <w:t>估 价 委 托 人 ：</w:t>
      </w:r>
      <w:r>
        <w:rPr>
          <w:rFonts w:hint="eastAsia" w:ascii="楷体_GB2312" w:eastAsia="楷体_GB2312"/>
          <w:spacing w:val="-10"/>
          <w:sz w:val="32"/>
        </w:rPr>
        <w:t>辽宁省盘锦市中级人民法院</w:t>
      </w:r>
    </w:p>
    <w:p>
      <w:pPr>
        <w:spacing w:line="1400" w:lineRule="exact"/>
        <w:ind w:firstLine="161" w:firstLineChars="50"/>
        <w:rPr>
          <w:rFonts w:ascii="楷体_GB2312" w:eastAsia="楷体_GB2312"/>
          <w:color w:val="000000" w:themeColor="text1"/>
          <w:spacing w:val="-10"/>
          <w:sz w:val="32"/>
        </w:rPr>
      </w:pPr>
      <w:r>
        <w:rPr>
          <w:rFonts w:hint="eastAsia" w:ascii="楷体_GB2312" w:eastAsia="楷体_GB2312"/>
          <w:b/>
          <w:bCs/>
          <w:color w:val="000000" w:themeColor="text1"/>
          <w:sz w:val="32"/>
        </w:rPr>
        <w:t>房地产估价机构 ：</w:t>
      </w:r>
      <w:r>
        <w:rPr>
          <w:rFonts w:hint="eastAsia" w:ascii="楷体_GB2312" w:eastAsia="楷体_GB2312"/>
          <w:color w:val="000000" w:themeColor="text1"/>
          <w:spacing w:val="-10"/>
          <w:sz w:val="32"/>
        </w:rPr>
        <w:t>盘锦荣泰房地产土地评估有限责任公司</w:t>
      </w:r>
    </w:p>
    <w:p>
      <w:pPr>
        <w:spacing w:line="1400" w:lineRule="exact"/>
        <w:ind w:firstLine="161" w:firstLineChars="50"/>
        <w:rPr>
          <w:rFonts w:ascii="楷体_GB2312" w:eastAsia="楷体_GB2312"/>
          <w:sz w:val="32"/>
        </w:rPr>
      </w:pPr>
      <w:r>
        <w:rPr>
          <w:rFonts w:hint="eastAsia" w:ascii="楷体_GB2312" w:eastAsia="楷体_GB2312"/>
          <w:b/>
          <w:bCs/>
          <w:color w:val="000000" w:themeColor="text1"/>
          <w:sz w:val="32"/>
        </w:rPr>
        <w:t>注册房地产估价师 ：</w:t>
      </w:r>
      <w:r>
        <w:rPr>
          <w:rFonts w:hint="eastAsia" w:ascii="楷体_GB2312" w:eastAsia="楷体_GB2312"/>
          <w:spacing w:val="-10"/>
          <w:sz w:val="32"/>
          <w:lang w:eastAsia="zh-CN"/>
        </w:rPr>
        <w:t>张  锐</w:t>
      </w:r>
      <w:r>
        <w:rPr>
          <w:rFonts w:hint="eastAsia" w:ascii="楷体_GB2312" w:eastAsia="楷体_GB2312"/>
          <w:spacing w:val="-10"/>
          <w:sz w:val="32"/>
        </w:rPr>
        <w:t>（注册号：</w:t>
      </w:r>
      <w:r>
        <w:rPr>
          <w:rFonts w:hint="eastAsia" w:ascii="楷体_GB2312" w:eastAsia="楷体_GB2312"/>
          <w:spacing w:val="-10"/>
          <w:sz w:val="32"/>
          <w:lang w:eastAsia="zh-CN"/>
        </w:rPr>
        <w:t>2120130038</w:t>
      </w:r>
      <w:r>
        <w:rPr>
          <w:rFonts w:hint="eastAsia" w:ascii="楷体_GB2312" w:eastAsia="楷体_GB2312"/>
          <w:spacing w:val="-10"/>
          <w:sz w:val="32"/>
        </w:rPr>
        <w:t>）</w:t>
      </w:r>
      <w:r>
        <w:rPr>
          <w:rFonts w:hint="eastAsia" w:ascii="楷体_GB2312" w:eastAsia="楷体_GB2312"/>
          <w:sz w:val="32"/>
        </w:rPr>
        <w:t xml:space="preserve"> </w:t>
      </w:r>
    </w:p>
    <w:p>
      <w:pPr>
        <w:tabs>
          <w:tab w:val="left" w:pos="3261"/>
        </w:tabs>
        <w:spacing w:line="1200" w:lineRule="exact"/>
        <w:ind w:firstLine="160" w:firstLineChars="50"/>
        <w:rPr>
          <w:rFonts w:ascii="楷体_GB2312" w:eastAsia="楷体_GB2312"/>
          <w:spacing w:val="-10"/>
          <w:sz w:val="32"/>
        </w:rPr>
      </w:pPr>
      <w:r>
        <w:rPr>
          <w:rFonts w:hint="eastAsia" w:ascii="楷体_GB2312" w:eastAsia="楷体_GB2312"/>
          <w:sz w:val="32"/>
        </w:rPr>
        <w:t xml:space="preserve">   </w:t>
      </w:r>
      <w:r>
        <w:rPr>
          <w:rFonts w:hint="eastAsia" w:ascii="楷体_GB2312" w:eastAsia="楷体_GB2312"/>
          <w:spacing w:val="-10"/>
          <w:sz w:val="32"/>
        </w:rPr>
        <w:t xml:space="preserve">                  </w:t>
      </w:r>
      <w:r>
        <w:rPr>
          <w:rFonts w:hint="eastAsia" w:ascii="楷体_GB2312" w:eastAsia="楷体_GB2312"/>
          <w:spacing w:val="-10"/>
          <w:sz w:val="32"/>
          <w:lang w:eastAsia="zh-CN"/>
        </w:rPr>
        <w:t>杨应明</w:t>
      </w:r>
      <w:r>
        <w:rPr>
          <w:rFonts w:hint="eastAsia" w:ascii="楷体_GB2312" w:eastAsia="楷体_GB2312"/>
          <w:spacing w:val="-10"/>
          <w:sz w:val="32"/>
        </w:rPr>
        <w:t>（注册号：</w:t>
      </w:r>
      <w:r>
        <w:rPr>
          <w:rFonts w:hint="eastAsia" w:ascii="楷体_GB2312" w:eastAsia="楷体_GB2312"/>
          <w:spacing w:val="-10"/>
          <w:sz w:val="32"/>
          <w:lang w:eastAsia="zh-CN"/>
        </w:rPr>
        <w:t>2120180037</w:t>
      </w:r>
      <w:r>
        <w:rPr>
          <w:rFonts w:hint="eastAsia" w:ascii="楷体_GB2312" w:eastAsia="楷体_GB2312"/>
          <w:spacing w:val="-10"/>
          <w:sz w:val="32"/>
        </w:rPr>
        <w:t>）</w:t>
      </w:r>
    </w:p>
    <w:p>
      <w:pPr>
        <w:spacing w:line="1400" w:lineRule="exact"/>
        <w:ind w:firstLine="161" w:firstLineChars="50"/>
        <w:rPr>
          <w:rFonts w:ascii="黑体" w:eastAsia="黑体"/>
          <w:b/>
          <w:bCs/>
          <w:color w:val="000000" w:themeColor="text1"/>
          <w:spacing w:val="40"/>
          <w:sz w:val="32"/>
        </w:rPr>
        <w:sectPr>
          <w:headerReference r:id="rId4" w:type="first"/>
          <w:headerReference r:id="rId3" w:type="default"/>
          <w:footerReference r:id="rId5" w:type="default"/>
          <w:pgSz w:w="11906" w:h="16838"/>
          <w:pgMar w:top="1418" w:right="1021" w:bottom="1418" w:left="1531" w:header="851" w:footer="1077" w:gutter="0"/>
          <w:pgNumType w:start="1"/>
          <w:cols w:space="425" w:num="1"/>
          <w:titlePg/>
          <w:docGrid w:type="lines" w:linePitch="312" w:charSpace="0"/>
        </w:sectPr>
      </w:pPr>
      <w:r>
        <w:rPr>
          <w:rFonts w:hint="eastAsia" w:ascii="楷体_GB2312" w:eastAsia="楷体_GB2312"/>
          <w:b/>
          <w:bCs/>
          <w:color w:val="000000" w:themeColor="text1"/>
          <w:sz w:val="32"/>
        </w:rPr>
        <w:t>估价报告出具日期：</w:t>
      </w:r>
      <w:r>
        <w:rPr>
          <w:rFonts w:hint="eastAsia" w:ascii="楷体_GB2312" w:eastAsia="楷体_GB2312"/>
          <w:spacing w:val="-10"/>
          <w:sz w:val="32"/>
          <w:lang w:eastAsia="zh-CN"/>
        </w:rPr>
        <w:t>二〇二一年十二月十七日</w:t>
      </w:r>
      <w:r>
        <w:rPr>
          <w:rFonts w:ascii="黑体" w:eastAsia="黑体"/>
          <w:b/>
          <w:bCs/>
          <w:color w:val="000000" w:themeColor="text1"/>
          <w:spacing w:val="40"/>
          <w:sz w:val="32"/>
        </w:rPr>
        <w:br w:type="page"/>
      </w:r>
    </w:p>
    <w:p>
      <w:pPr>
        <w:widowControl/>
        <w:ind w:firstLine="3009" w:firstLineChars="750"/>
        <w:jc w:val="left"/>
        <w:rPr>
          <w:rFonts w:ascii="楷体_GB2312" w:eastAsia="楷体_GB2312"/>
          <w:b/>
          <w:bCs/>
          <w:spacing w:val="40"/>
          <w:sz w:val="44"/>
        </w:rPr>
      </w:pPr>
      <w:r>
        <w:rPr>
          <w:rFonts w:hint="eastAsia" w:ascii="黑体" w:eastAsia="黑体"/>
          <w:b/>
          <w:bCs/>
          <w:spacing w:val="40"/>
          <w:sz w:val="32"/>
        </w:rPr>
        <w:t>致估价委托人函</w:t>
      </w:r>
    </w:p>
    <w:p>
      <w:pPr>
        <w:tabs>
          <w:tab w:val="left" w:pos="1260"/>
        </w:tabs>
        <w:spacing w:line="520" w:lineRule="exact"/>
        <w:rPr>
          <w:rFonts w:ascii="楷体_GB2312" w:eastAsia="楷体_GB2312"/>
          <w:b/>
          <w:bCs/>
          <w:sz w:val="32"/>
        </w:rPr>
      </w:pPr>
    </w:p>
    <w:p>
      <w:pPr>
        <w:tabs>
          <w:tab w:val="left" w:pos="1260"/>
        </w:tabs>
        <w:spacing w:line="600" w:lineRule="exact"/>
        <w:rPr>
          <w:rFonts w:ascii="仿宋_GB2312" w:eastAsia="仿宋_GB2312"/>
          <w:b/>
          <w:bCs/>
          <w:color w:val="000000" w:themeColor="text1"/>
          <w:sz w:val="32"/>
        </w:rPr>
      </w:pPr>
      <w:r>
        <w:rPr>
          <w:rFonts w:hint="eastAsia" w:ascii="楷体_GB2312" w:eastAsia="楷体_GB2312"/>
          <w:b/>
          <w:bCs/>
          <w:sz w:val="32"/>
        </w:rPr>
        <w:t>辽宁省盘锦市中级人民法院</w:t>
      </w:r>
      <w:r>
        <w:rPr>
          <w:rFonts w:hint="eastAsia" w:ascii="仿宋_GB2312" w:eastAsia="仿宋_GB2312"/>
          <w:b/>
          <w:bCs/>
          <w:color w:val="000000" w:themeColor="text1"/>
          <w:sz w:val="32"/>
        </w:rPr>
        <w:t>：</w:t>
      </w:r>
    </w:p>
    <w:p>
      <w:pPr>
        <w:spacing w:line="600" w:lineRule="exact"/>
        <w:ind w:firstLine="560" w:firstLineChars="200"/>
        <w:rPr>
          <w:rFonts w:hint="eastAsia" w:ascii="仿宋_GB2312" w:eastAsia="仿宋_GB2312"/>
          <w:sz w:val="28"/>
        </w:rPr>
      </w:pPr>
      <w:r>
        <w:rPr>
          <w:rFonts w:hint="eastAsia" w:ascii="仿宋_GB2312" w:eastAsia="仿宋_GB2312"/>
          <w:sz w:val="28"/>
        </w:rPr>
        <w:t>我公司受贵院的委托，秉承独立客观公正原则，安排公司注册房地产估价师组成专门小组，按照国家规定的技术标准和程序，认真进行了位于</w:t>
      </w:r>
      <w:r>
        <w:rPr>
          <w:rFonts w:hint="eastAsia" w:ascii="仿宋_GB2312" w:eastAsia="仿宋_GB2312"/>
          <w:sz w:val="28"/>
          <w:lang w:eastAsia="zh-CN"/>
        </w:rPr>
        <w:t>盘锦市大洼区田家街道富田花园小区C-8#楼5单元701室</w:t>
      </w:r>
      <w:r>
        <w:rPr>
          <w:rFonts w:hint="eastAsia" w:ascii="仿宋_GB2312" w:eastAsia="仿宋_GB2312"/>
          <w:sz w:val="28"/>
        </w:rPr>
        <w:t>的住宅房地产的</w:t>
      </w:r>
      <w:r>
        <w:rPr>
          <w:rFonts w:hint="eastAsia" w:ascii="仿宋_GB2312" w:eastAsia="仿宋_GB2312"/>
          <w:sz w:val="28"/>
          <w:lang w:eastAsia="zh-CN"/>
        </w:rPr>
        <w:t>实地</w:t>
      </w:r>
      <w:r>
        <w:rPr>
          <w:rFonts w:hint="eastAsia" w:ascii="仿宋_GB2312" w:eastAsia="仿宋_GB2312"/>
          <w:sz w:val="28"/>
        </w:rPr>
        <w:t>查勘与深入市场调查，经全面研究、分析、测算后，已形成房地产估价报告、估价结论与估价结果，现将估价基本情况与估价结果报告如下。</w:t>
      </w:r>
    </w:p>
    <w:p>
      <w:pPr>
        <w:keepNext w:val="0"/>
        <w:keepLines w:val="0"/>
        <w:pageBreakBefore w:val="0"/>
        <w:widowControl w:val="0"/>
        <w:numPr>
          <w:ilvl w:val="0"/>
          <w:numId w:val="1"/>
        </w:numPr>
        <w:kinsoku/>
        <w:wordWrap/>
        <w:overflowPunct/>
        <w:topLinePunct w:val="0"/>
        <w:bidi w:val="0"/>
        <w:adjustRightInd/>
        <w:snapToGrid/>
        <w:spacing w:line="440" w:lineRule="exact"/>
        <w:textAlignment w:val="auto"/>
        <w:rPr>
          <w:rFonts w:ascii="仿宋_GB2312" w:eastAsia="仿宋_GB2312"/>
          <w:b/>
          <w:bCs/>
          <w:color w:val="000000" w:themeColor="text1"/>
          <w:spacing w:val="-4"/>
          <w:sz w:val="28"/>
        </w:rPr>
      </w:pPr>
      <w:r>
        <w:rPr>
          <w:rFonts w:hint="eastAsia" w:ascii="仿宋_GB2312" w:eastAsia="仿宋_GB2312"/>
          <w:b/>
          <w:bCs/>
          <w:color w:val="000000" w:themeColor="text1"/>
          <w:spacing w:val="-4"/>
          <w:sz w:val="28"/>
        </w:rPr>
        <w:t>估价目的</w:t>
      </w:r>
    </w:p>
    <w:p>
      <w:pPr>
        <w:keepNext w:val="0"/>
        <w:keepLines w:val="0"/>
        <w:pageBreakBefore w:val="0"/>
        <w:widowControl w:val="0"/>
        <w:kinsoku/>
        <w:wordWrap/>
        <w:overflowPunct/>
        <w:topLinePunct w:val="0"/>
        <w:autoSpaceDE w:val="0"/>
        <w:autoSpaceDN w:val="0"/>
        <w:bidi w:val="0"/>
        <w:adjustRightInd/>
        <w:snapToGrid/>
        <w:spacing w:line="440" w:lineRule="exact"/>
        <w:ind w:left="1" w:firstLine="562" w:firstLineChars="201"/>
        <w:jc w:val="left"/>
        <w:textAlignment w:val="auto"/>
        <w:rPr>
          <w:rFonts w:ascii="仿宋" w:hAnsi="仿宋" w:eastAsia="仿宋" w:cs="仿宋_GB2312"/>
          <w:sz w:val="28"/>
          <w:szCs w:val="28"/>
        </w:rPr>
      </w:pPr>
      <w:r>
        <w:rPr>
          <w:rFonts w:hint="eastAsia" w:ascii="仿宋" w:hAnsi="仿宋" w:eastAsia="仿宋" w:cs="仿宋_GB2312"/>
          <w:color w:val="000000"/>
          <w:sz w:val="28"/>
          <w:szCs w:val="28"/>
        </w:rPr>
        <w:t>为人民法院确定财产处置参考价提供参考依据</w:t>
      </w:r>
      <w:r>
        <w:rPr>
          <w:rFonts w:hint="eastAsia" w:ascii="仿宋" w:hAnsi="仿宋" w:eastAsia="仿宋" w:cs="仿宋_GB2312"/>
          <w:sz w:val="28"/>
          <w:szCs w:val="28"/>
        </w:rPr>
        <w:t>。</w:t>
      </w:r>
    </w:p>
    <w:p>
      <w:pPr>
        <w:numPr>
          <w:ilvl w:val="0"/>
          <w:numId w:val="1"/>
        </w:numPr>
        <w:spacing w:line="600" w:lineRule="exact"/>
        <w:rPr>
          <w:rFonts w:ascii="仿宋_GB2312" w:eastAsia="仿宋_GB2312"/>
          <w:b/>
          <w:bCs/>
          <w:color w:val="000000" w:themeColor="text1"/>
          <w:sz w:val="28"/>
        </w:rPr>
      </w:pPr>
      <w:r>
        <w:rPr>
          <w:rFonts w:hint="eastAsia" w:ascii="仿宋_GB2312" w:eastAsia="仿宋_GB2312"/>
          <w:b/>
          <w:bCs/>
          <w:color w:val="000000" w:themeColor="text1"/>
          <w:sz w:val="28"/>
        </w:rPr>
        <w:t>估价对象</w:t>
      </w:r>
    </w:p>
    <w:tbl>
      <w:tblPr>
        <w:tblStyle w:val="15"/>
        <w:tblW w:w="0" w:type="auto"/>
        <w:tblInd w:w="5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72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spacing w:line="560" w:lineRule="exact"/>
              <w:jc w:val="center"/>
              <w:rPr>
                <w:rFonts w:ascii="仿宋_GB2312" w:eastAsia="仿宋_GB2312"/>
                <w:color w:val="000000" w:themeColor="text1"/>
                <w:spacing w:val="4"/>
                <w:sz w:val="28"/>
              </w:rPr>
            </w:pPr>
            <w:r>
              <w:rPr>
                <w:rFonts w:hint="eastAsia" w:ascii="仿宋_GB2312" w:eastAsia="仿宋_GB2312"/>
                <w:color w:val="000000" w:themeColor="text1"/>
                <w:spacing w:val="4"/>
                <w:sz w:val="28"/>
              </w:rPr>
              <w:t>财产范围</w:t>
            </w:r>
          </w:p>
        </w:tc>
        <w:tc>
          <w:tcPr>
            <w:tcW w:w="7229" w:type="dxa"/>
          </w:tcPr>
          <w:p>
            <w:pPr>
              <w:spacing w:line="560" w:lineRule="exact"/>
              <w:rPr>
                <w:rFonts w:ascii="仿宋_GB2312" w:eastAsia="仿宋_GB2312"/>
                <w:color w:val="000000" w:themeColor="text1"/>
                <w:spacing w:val="4"/>
                <w:sz w:val="28"/>
              </w:rPr>
            </w:pPr>
            <w:r>
              <w:rPr>
                <w:rFonts w:hint="eastAsia" w:ascii="仿宋_GB2312" w:eastAsia="仿宋_GB2312"/>
                <w:color w:val="000000" w:themeColor="text1"/>
                <w:sz w:val="28"/>
              </w:rPr>
              <w:t>房屋所有权及应合理分摊的国有建设用地使用权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spacing w:line="560" w:lineRule="exact"/>
              <w:jc w:val="center"/>
              <w:rPr>
                <w:rFonts w:ascii="仿宋_GB2312" w:eastAsia="仿宋_GB2312"/>
                <w:color w:val="000000" w:themeColor="text1"/>
                <w:spacing w:val="4"/>
                <w:sz w:val="28"/>
              </w:rPr>
            </w:pPr>
            <w:r>
              <w:rPr>
                <w:rFonts w:hint="eastAsia" w:ascii="仿宋_GB2312" w:eastAsia="仿宋_GB2312"/>
                <w:color w:val="000000" w:themeColor="text1"/>
                <w:spacing w:val="4"/>
                <w:sz w:val="28"/>
              </w:rPr>
              <w:t>坐落及名称</w:t>
            </w:r>
          </w:p>
        </w:tc>
        <w:tc>
          <w:tcPr>
            <w:tcW w:w="7229" w:type="dxa"/>
          </w:tcPr>
          <w:p>
            <w:pPr>
              <w:spacing w:line="560" w:lineRule="exact"/>
              <w:rPr>
                <w:rFonts w:hint="eastAsia" w:ascii="仿宋_GB2312" w:eastAsia="仿宋_GB2312"/>
                <w:color w:val="000000" w:themeColor="text1"/>
                <w:spacing w:val="-4"/>
                <w:sz w:val="28"/>
                <w:lang w:eastAsia="zh-CN"/>
              </w:rPr>
            </w:pPr>
            <w:r>
              <w:rPr>
                <w:rFonts w:hint="eastAsia" w:ascii="仿宋_GB2312" w:eastAsia="仿宋_GB2312"/>
                <w:spacing w:val="-4"/>
                <w:sz w:val="28"/>
                <w:lang w:eastAsia="zh-CN"/>
              </w:rPr>
              <w:t>盘锦市大洼区田家街道富田花园小区C-8#楼5单元701室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spacing w:line="560" w:lineRule="exact"/>
              <w:jc w:val="center"/>
              <w:rPr>
                <w:rFonts w:ascii="仿宋_GB2312" w:eastAsia="仿宋_GB2312"/>
                <w:color w:val="000000" w:themeColor="text1"/>
                <w:spacing w:val="4"/>
                <w:sz w:val="28"/>
              </w:rPr>
            </w:pPr>
            <w:r>
              <w:rPr>
                <w:rFonts w:hint="eastAsia" w:ascii="仿宋_GB2312" w:eastAsia="仿宋_GB2312"/>
                <w:color w:val="000000" w:themeColor="text1"/>
                <w:spacing w:val="4"/>
                <w:sz w:val="28"/>
              </w:rPr>
              <w:t>规模</w:t>
            </w:r>
          </w:p>
        </w:tc>
        <w:tc>
          <w:tcPr>
            <w:tcW w:w="7229" w:type="dxa"/>
          </w:tcPr>
          <w:p>
            <w:pPr>
              <w:spacing w:line="560" w:lineRule="exact"/>
              <w:rPr>
                <w:rFonts w:ascii="仿宋_GB2312" w:eastAsia="仿宋_GB2312"/>
                <w:color w:val="000000" w:themeColor="text1"/>
                <w:spacing w:val="4"/>
                <w:sz w:val="28"/>
              </w:rPr>
            </w:pPr>
            <w:r>
              <w:rPr>
                <w:rFonts w:hint="eastAsia" w:ascii="仿宋_GB2312" w:eastAsia="仿宋_GB2312"/>
                <w:color w:val="000000" w:themeColor="text1"/>
                <w:spacing w:val="4"/>
                <w:sz w:val="28"/>
              </w:rPr>
              <w:t>房屋建筑面积</w:t>
            </w:r>
            <w:r>
              <w:rPr>
                <w:rFonts w:hint="eastAsia" w:ascii="仿宋_GB2312" w:eastAsia="仿宋_GB2312"/>
                <w:spacing w:val="4"/>
                <w:sz w:val="28"/>
                <w:lang w:eastAsia="zh-CN"/>
              </w:rPr>
              <w:t>79.50</w:t>
            </w:r>
            <w:r>
              <w:rPr>
                <w:rFonts w:hint="eastAsia" w:ascii="仿宋_GB2312" w:eastAsia="仿宋_GB2312"/>
                <w:color w:val="000000" w:themeColor="text1"/>
                <w:spacing w:val="4"/>
                <w:sz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spacing w:line="560" w:lineRule="exact"/>
              <w:jc w:val="center"/>
              <w:rPr>
                <w:rFonts w:ascii="仿宋_GB2312" w:eastAsia="仿宋_GB2312"/>
                <w:color w:val="000000" w:themeColor="text1"/>
                <w:spacing w:val="4"/>
                <w:sz w:val="28"/>
              </w:rPr>
            </w:pPr>
            <w:r>
              <w:rPr>
                <w:rFonts w:hint="eastAsia" w:ascii="仿宋_GB2312" w:eastAsia="仿宋_GB2312"/>
                <w:color w:val="000000" w:themeColor="text1"/>
                <w:spacing w:val="4"/>
                <w:sz w:val="28"/>
              </w:rPr>
              <w:t>用途</w:t>
            </w:r>
          </w:p>
        </w:tc>
        <w:tc>
          <w:tcPr>
            <w:tcW w:w="7229" w:type="dxa"/>
          </w:tcPr>
          <w:p>
            <w:pPr>
              <w:spacing w:line="560" w:lineRule="exact"/>
              <w:rPr>
                <w:rFonts w:ascii="仿宋_GB2312" w:eastAsia="仿宋_GB2312"/>
                <w:color w:val="000000" w:themeColor="text1"/>
                <w:spacing w:val="4"/>
                <w:sz w:val="28"/>
              </w:rPr>
            </w:pPr>
            <w:r>
              <w:rPr>
                <w:rFonts w:hint="eastAsia" w:ascii="仿宋_GB2312" w:eastAsia="仿宋_GB2312"/>
                <w:spacing w:val="4"/>
                <w:sz w:val="28"/>
              </w:rPr>
              <w:t>用途为住宅</w:t>
            </w:r>
          </w:p>
        </w:tc>
      </w:tr>
    </w:tbl>
    <w:p>
      <w:pPr>
        <w:numPr>
          <w:ilvl w:val="0"/>
          <w:numId w:val="1"/>
        </w:numPr>
        <w:spacing w:line="600" w:lineRule="exact"/>
        <w:rPr>
          <w:rFonts w:ascii="仿宋_GB2312" w:eastAsia="仿宋_GB2312"/>
          <w:b/>
          <w:bCs/>
          <w:color w:val="000000" w:themeColor="text1"/>
          <w:sz w:val="28"/>
        </w:rPr>
      </w:pPr>
      <w:r>
        <w:rPr>
          <w:rFonts w:hint="eastAsia" w:ascii="仿宋_GB2312" w:eastAsia="仿宋_GB2312"/>
          <w:b/>
          <w:bCs/>
          <w:color w:val="000000" w:themeColor="text1"/>
          <w:sz w:val="28"/>
        </w:rPr>
        <w:t>价值时点</w:t>
      </w:r>
    </w:p>
    <w:p>
      <w:pPr>
        <w:spacing w:line="600" w:lineRule="exact"/>
        <w:ind w:left="544"/>
        <w:rPr>
          <w:rFonts w:hint="eastAsia" w:ascii="仿宋_GB2312" w:eastAsia="仿宋_GB2312"/>
          <w:b/>
          <w:bCs/>
          <w:color w:val="FF0000"/>
          <w:sz w:val="28"/>
          <w:lang w:eastAsia="zh-CN"/>
        </w:rPr>
      </w:pPr>
      <w:r>
        <w:rPr>
          <w:rFonts w:hint="eastAsia" w:ascii="仿宋_GB2312" w:eastAsia="仿宋_GB2312"/>
          <w:sz w:val="28"/>
          <w:lang w:eastAsia="zh-CN"/>
        </w:rPr>
        <w:t>二〇二一年十二月十四日</w:t>
      </w:r>
    </w:p>
    <w:p>
      <w:pPr>
        <w:numPr>
          <w:ilvl w:val="0"/>
          <w:numId w:val="1"/>
        </w:numPr>
        <w:spacing w:line="600" w:lineRule="exact"/>
        <w:rPr>
          <w:rFonts w:ascii="仿宋_GB2312" w:eastAsia="仿宋_GB2312"/>
          <w:b/>
          <w:bCs/>
          <w:sz w:val="28"/>
        </w:rPr>
      </w:pPr>
      <w:r>
        <w:rPr>
          <w:rFonts w:hint="eastAsia" w:ascii="仿宋_GB2312" w:eastAsia="仿宋_GB2312"/>
          <w:b/>
          <w:bCs/>
          <w:sz w:val="28"/>
        </w:rPr>
        <w:t>价值类型</w:t>
      </w:r>
    </w:p>
    <w:p>
      <w:pPr>
        <w:spacing w:line="600" w:lineRule="exact"/>
        <w:ind w:left="544"/>
        <w:rPr>
          <w:rFonts w:eastAsia="仿宋_GB2312"/>
          <w:sz w:val="28"/>
        </w:rPr>
      </w:pPr>
      <w:r>
        <w:rPr>
          <w:rFonts w:hint="eastAsia" w:eastAsia="仿宋_GB2312"/>
          <w:sz w:val="28"/>
        </w:rPr>
        <w:t>市场价值</w:t>
      </w:r>
    </w:p>
    <w:p>
      <w:pPr>
        <w:numPr>
          <w:ilvl w:val="0"/>
          <w:numId w:val="1"/>
        </w:numPr>
        <w:spacing w:line="600" w:lineRule="exact"/>
        <w:rPr>
          <w:rFonts w:ascii="仿宋_GB2312" w:eastAsia="仿宋_GB2312"/>
          <w:b/>
          <w:bCs/>
          <w:sz w:val="28"/>
        </w:rPr>
      </w:pPr>
      <w:r>
        <w:rPr>
          <w:rFonts w:hint="eastAsia" w:ascii="仿宋_GB2312" w:eastAsia="仿宋_GB2312"/>
          <w:b/>
          <w:bCs/>
          <w:spacing w:val="-4"/>
          <w:sz w:val="28"/>
        </w:rPr>
        <w:t>估价方法</w:t>
      </w:r>
    </w:p>
    <w:p>
      <w:pPr>
        <w:spacing w:line="600" w:lineRule="exact"/>
        <w:ind w:left="544"/>
        <w:rPr>
          <w:rFonts w:ascii="仿宋_GB2312" w:eastAsia="仿宋_GB2312"/>
          <w:b/>
          <w:bCs/>
          <w:sz w:val="28"/>
        </w:rPr>
      </w:pPr>
      <w:r>
        <w:rPr>
          <w:rFonts w:hint="eastAsia" w:ascii="仿宋_GB2312" w:eastAsia="仿宋_GB2312"/>
          <w:sz w:val="28"/>
        </w:rPr>
        <w:t>比较法和成本法</w:t>
      </w:r>
    </w:p>
    <w:p>
      <w:pPr>
        <w:numPr>
          <w:ilvl w:val="0"/>
          <w:numId w:val="1"/>
        </w:numPr>
        <w:spacing w:line="580" w:lineRule="exact"/>
        <w:rPr>
          <w:rFonts w:ascii="仿宋_GB2312" w:eastAsia="仿宋_GB2312"/>
          <w:color w:val="000000" w:themeColor="text1"/>
          <w:spacing w:val="-4"/>
          <w:sz w:val="28"/>
        </w:rPr>
      </w:pPr>
      <w:r>
        <w:rPr>
          <w:rFonts w:hint="eastAsia" w:ascii="仿宋_GB2312" w:eastAsia="仿宋_GB2312"/>
          <w:b/>
          <w:bCs/>
          <w:sz w:val="28"/>
        </w:rPr>
        <w:t>估价结果</w:t>
      </w:r>
    </w:p>
    <w:p>
      <w:pPr>
        <w:spacing w:line="580" w:lineRule="exact"/>
        <w:ind w:left="544"/>
        <w:rPr>
          <w:rFonts w:ascii="仿宋_GB2312" w:eastAsia="仿宋_GB2312"/>
          <w:color w:val="000000" w:themeColor="text1"/>
          <w:spacing w:val="-4"/>
          <w:sz w:val="28"/>
        </w:rPr>
      </w:pPr>
      <w:r>
        <w:rPr>
          <w:rFonts w:hint="eastAsia" w:ascii="仿宋_GB2312" w:eastAsia="仿宋_GB2312"/>
          <w:color w:val="000000" w:themeColor="text1"/>
          <w:spacing w:val="-4"/>
          <w:sz w:val="28"/>
        </w:rPr>
        <w:t>面   积：</w:t>
      </w:r>
      <w:r>
        <w:rPr>
          <w:rFonts w:hint="eastAsia" w:ascii="仿宋_GB2312" w:eastAsia="仿宋_GB2312"/>
          <w:color w:val="000000" w:themeColor="text1"/>
          <w:spacing w:val="-4"/>
          <w:sz w:val="28"/>
          <w:lang w:eastAsia="zh-CN"/>
        </w:rPr>
        <w:t>79.50</w:t>
      </w:r>
      <w:r>
        <w:rPr>
          <w:rFonts w:hint="eastAsia" w:ascii="仿宋_GB2312" w:eastAsia="仿宋_GB2312"/>
          <w:color w:val="000000" w:themeColor="text1"/>
          <w:spacing w:val="-4"/>
          <w:sz w:val="28"/>
        </w:rPr>
        <w:t>平方米</w:t>
      </w:r>
    </w:p>
    <w:p>
      <w:pPr>
        <w:spacing w:line="580" w:lineRule="exact"/>
        <w:ind w:left="544"/>
        <w:rPr>
          <w:rFonts w:ascii="仿宋_GB2312" w:eastAsia="仿宋_GB2312"/>
          <w:color w:val="000000" w:themeColor="text1"/>
          <w:spacing w:val="-4"/>
          <w:sz w:val="28"/>
        </w:rPr>
      </w:pPr>
      <w:r>
        <w:rPr>
          <w:rFonts w:hint="eastAsia" w:ascii="仿宋_GB2312" w:eastAsia="仿宋_GB2312"/>
          <w:color w:val="000000" w:themeColor="text1"/>
          <w:spacing w:val="-4"/>
          <w:sz w:val="28"/>
        </w:rPr>
        <w:t>单   价：</w:t>
      </w:r>
      <w:r>
        <w:rPr>
          <w:rFonts w:hint="eastAsia" w:ascii="仿宋_GB2312" w:eastAsia="仿宋_GB2312"/>
          <w:color w:val="000000" w:themeColor="text1"/>
          <w:spacing w:val="-4"/>
          <w:sz w:val="28"/>
          <w:lang w:eastAsia="zh-CN"/>
        </w:rPr>
        <w:t>2297</w:t>
      </w:r>
      <w:r>
        <w:rPr>
          <w:rFonts w:hint="eastAsia" w:ascii="仿宋_GB2312" w:eastAsia="仿宋_GB2312"/>
          <w:color w:val="000000" w:themeColor="text1"/>
          <w:spacing w:val="-4"/>
          <w:sz w:val="28"/>
        </w:rPr>
        <w:t>元/平方米</w:t>
      </w:r>
    </w:p>
    <w:p>
      <w:pPr>
        <w:spacing w:line="580" w:lineRule="exact"/>
        <w:ind w:left="544"/>
        <w:rPr>
          <w:rFonts w:ascii="仿宋_GB2312" w:eastAsia="仿宋_GB2312"/>
          <w:color w:val="000000" w:themeColor="text1"/>
          <w:spacing w:val="-4"/>
          <w:sz w:val="28"/>
        </w:rPr>
      </w:pPr>
      <w:r>
        <w:rPr>
          <w:rFonts w:hint="eastAsia" w:ascii="仿宋_GB2312" w:eastAsia="仿宋_GB2312"/>
          <w:color w:val="000000" w:themeColor="text1"/>
          <w:spacing w:val="-4"/>
          <w:sz w:val="28"/>
        </w:rPr>
        <w:t>总   价：</w:t>
      </w:r>
      <w:r>
        <w:rPr>
          <w:rFonts w:hint="eastAsia" w:ascii="仿宋_GB2312" w:eastAsia="仿宋_GB2312"/>
          <w:color w:val="000000" w:themeColor="text1"/>
          <w:sz w:val="28"/>
          <w:lang w:eastAsia="zh-CN"/>
        </w:rPr>
        <w:t>182,612.00</w:t>
      </w:r>
      <w:r>
        <w:rPr>
          <w:rFonts w:hint="eastAsia" w:ascii="仿宋_GB2312" w:eastAsia="仿宋_GB2312"/>
          <w:color w:val="000000" w:themeColor="text1"/>
          <w:spacing w:val="-4"/>
          <w:sz w:val="28"/>
        </w:rPr>
        <w:t>元</w:t>
      </w:r>
    </w:p>
    <w:p>
      <w:pPr>
        <w:spacing w:line="480" w:lineRule="exact"/>
        <w:ind w:left="544"/>
        <w:rPr>
          <w:rFonts w:ascii="仿宋_GB2312" w:eastAsia="仿宋_GB2312"/>
          <w:color w:val="000000" w:themeColor="text1"/>
          <w:spacing w:val="-4"/>
          <w:sz w:val="28"/>
        </w:rPr>
      </w:pPr>
      <w:r>
        <w:rPr>
          <w:rFonts w:hint="eastAsia" w:ascii="仿宋_GB2312" w:eastAsia="仿宋_GB2312"/>
          <w:color w:val="000000" w:themeColor="text1"/>
          <w:spacing w:val="-4"/>
          <w:sz w:val="28"/>
        </w:rPr>
        <w:t>大   写：</w:t>
      </w:r>
      <w:r>
        <w:rPr>
          <w:rFonts w:hint="eastAsia" w:ascii="仿宋_GB2312" w:eastAsia="仿宋_GB2312"/>
          <w:color w:val="000000" w:themeColor="text1"/>
          <w:spacing w:val="-4"/>
          <w:sz w:val="28"/>
          <w:lang w:eastAsia="zh-CN"/>
        </w:rPr>
        <w:t>壹拾捌万贰仟陆佰壹拾贰</w:t>
      </w:r>
      <w:r>
        <w:rPr>
          <w:rFonts w:hint="eastAsia" w:ascii="仿宋_GB2312" w:eastAsia="仿宋_GB2312"/>
          <w:color w:val="000000" w:themeColor="text1"/>
          <w:spacing w:val="-4"/>
          <w:sz w:val="28"/>
        </w:rPr>
        <w:t>元整</w:t>
      </w:r>
    </w:p>
    <w:p>
      <w:pPr>
        <w:tabs>
          <w:tab w:val="left" w:pos="4880"/>
        </w:tabs>
        <w:spacing w:line="560" w:lineRule="exact"/>
        <w:ind w:firstLine="544" w:firstLineChars="200"/>
        <w:rPr>
          <w:rFonts w:ascii="黑体" w:hAnsi="黑体" w:eastAsia="黑体"/>
          <w:color w:val="000000" w:themeColor="text1"/>
          <w:sz w:val="32"/>
          <w:szCs w:val="32"/>
        </w:rPr>
      </w:pPr>
      <w:r>
        <w:rPr>
          <w:rFonts w:hint="eastAsia" w:ascii="仿宋_GB2312" w:eastAsia="仿宋_GB2312"/>
          <w:color w:val="000000" w:themeColor="text1"/>
          <w:spacing w:val="-4"/>
          <w:sz w:val="28"/>
        </w:rPr>
        <w:t>币   种：人民币</w:t>
      </w:r>
    </w:p>
    <w:p>
      <w:pPr>
        <w:spacing w:line="480" w:lineRule="exact"/>
        <w:ind w:left="544"/>
        <w:rPr>
          <w:rFonts w:ascii="仿宋_GB2312" w:eastAsia="仿宋_GB2312"/>
          <w:b/>
          <w:bCs/>
          <w:sz w:val="28"/>
        </w:rPr>
      </w:pPr>
      <w:r>
        <w:rPr>
          <w:rFonts w:hint="eastAsia" w:ascii="仿宋_GB2312" w:eastAsia="仿宋_GB2312"/>
          <w:b/>
          <w:bCs/>
          <w:sz w:val="28"/>
        </w:rPr>
        <w:t>七、特别提示</w:t>
      </w:r>
    </w:p>
    <w:p>
      <w:pPr>
        <w:spacing w:line="600" w:lineRule="exact"/>
        <w:ind w:firstLine="560" w:firstLineChars="200"/>
        <w:rPr>
          <w:rFonts w:ascii="仿宋_GB2312" w:eastAsia="仿宋_GB2312"/>
          <w:sz w:val="28"/>
        </w:rPr>
      </w:pPr>
      <w:r>
        <w:rPr>
          <w:rFonts w:hint="eastAsia" w:ascii="仿宋_GB2312" w:eastAsia="仿宋_GB2312"/>
          <w:sz w:val="28"/>
        </w:rPr>
        <w:t>估价的具体情况及相关专业意见，请见附后的估价报告。估价报告自提交之日壹年内有效，报告使用人在使用本报告之前须对报告全文，特别是“估价假设和限制条件”认真阅读，以免使用不当造成损失。</w:t>
      </w:r>
    </w:p>
    <w:p>
      <w:pPr>
        <w:spacing w:line="600" w:lineRule="exact"/>
        <w:ind w:firstLine="560" w:firstLineChars="200"/>
        <w:rPr>
          <w:rFonts w:ascii="仿宋_GB2312" w:eastAsia="仿宋_GB2312"/>
          <w:sz w:val="28"/>
        </w:rPr>
      </w:pPr>
      <w:r>
        <w:rPr>
          <w:rFonts w:hint="eastAsia" w:ascii="仿宋_GB2312" w:eastAsia="仿宋_GB2312"/>
          <w:sz w:val="28"/>
        </w:rPr>
        <w:t>机构负责人（签章）：</w:t>
      </w:r>
    </w:p>
    <w:p>
      <w:pPr>
        <w:tabs>
          <w:tab w:val="center" w:pos="4957"/>
        </w:tabs>
        <w:adjustRightInd w:val="0"/>
        <w:snapToGrid w:val="0"/>
        <w:spacing w:line="2100" w:lineRule="exact"/>
        <w:ind w:firstLine="560" w:firstLineChars="200"/>
        <w:rPr>
          <w:rFonts w:eastAsia="仿宋_GB2312"/>
          <w:sz w:val="28"/>
        </w:rPr>
      </w:pPr>
      <w:r>
        <w:rPr>
          <w:rFonts w:eastAsia="仿宋_GB2312"/>
          <w:sz w:val="28"/>
        </w:rPr>
        <w:drawing>
          <wp:inline distT="0" distB="0" distL="0" distR="0">
            <wp:extent cx="628650" cy="838835"/>
            <wp:effectExtent l="0" t="0" r="0" b="18415"/>
            <wp:docPr id="5" name="图片 3" descr="\\Rong9\完全共享文件夹\签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Rong9\完全共享文件夹\签字2.jpg"/>
                    <pic:cNvPicPr>
                      <a:picLocks noChangeAspect="1" noChangeArrowheads="1"/>
                    </pic:cNvPicPr>
                  </pic:nvPicPr>
                  <pic:blipFill>
                    <a:blip r:embed="rId9" cstate="print"/>
                    <a:srcRect/>
                    <a:stretch>
                      <a:fillRect/>
                    </a:stretch>
                  </pic:blipFill>
                  <pic:spPr>
                    <a:xfrm>
                      <a:off x="0" y="0"/>
                      <a:ext cx="631507" cy="842184"/>
                    </a:xfrm>
                    <a:prstGeom prst="rect">
                      <a:avLst/>
                    </a:prstGeom>
                    <a:noFill/>
                    <a:ln w="9525">
                      <a:noFill/>
                      <a:miter lim="800000"/>
                      <a:headEnd/>
                      <a:tailEnd/>
                    </a:ln>
                  </pic:spPr>
                </pic:pic>
              </a:graphicData>
            </a:graphic>
          </wp:inline>
        </w:drawing>
      </w:r>
      <w:r>
        <w:rPr>
          <w:rFonts w:eastAsia="仿宋_GB2312"/>
          <w:sz w:val="28"/>
        </w:rPr>
        <w:tab/>
      </w:r>
    </w:p>
    <w:p>
      <w:pPr>
        <w:adjustRightInd w:val="0"/>
        <w:snapToGrid w:val="0"/>
        <w:spacing w:line="540" w:lineRule="exact"/>
        <w:ind w:firstLine="560" w:firstLineChars="200"/>
        <w:jc w:val="right"/>
        <w:rPr>
          <w:rFonts w:eastAsia="仿宋_GB2312"/>
          <w:sz w:val="28"/>
        </w:rPr>
      </w:pPr>
    </w:p>
    <w:p>
      <w:pPr>
        <w:adjustRightInd w:val="0"/>
        <w:snapToGrid w:val="0"/>
        <w:spacing w:line="540" w:lineRule="exact"/>
        <w:ind w:firstLine="560" w:firstLineChars="200"/>
        <w:jc w:val="right"/>
        <w:rPr>
          <w:rFonts w:eastAsia="仿宋_GB2312"/>
          <w:sz w:val="28"/>
        </w:rPr>
      </w:pPr>
    </w:p>
    <w:p>
      <w:pPr>
        <w:adjustRightInd w:val="0"/>
        <w:snapToGrid w:val="0"/>
        <w:spacing w:line="540" w:lineRule="exact"/>
        <w:ind w:firstLine="560" w:firstLineChars="200"/>
        <w:jc w:val="right"/>
        <w:rPr>
          <w:rFonts w:eastAsia="仿宋_GB2312"/>
          <w:sz w:val="28"/>
        </w:rPr>
      </w:pPr>
    </w:p>
    <w:p>
      <w:pPr>
        <w:adjustRightInd w:val="0"/>
        <w:snapToGrid w:val="0"/>
        <w:spacing w:line="540" w:lineRule="exact"/>
        <w:ind w:firstLine="560" w:firstLineChars="200"/>
        <w:jc w:val="right"/>
        <w:rPr>
          <w:rFonts w:eastAsia="仿宋_GB2312"/>
          <w:sz w:val="28"/>
        </w:rPr>
      </w:pPr>
      <w:r>
        <w:rPr>
          <w:rFonts w:hint="eastAsia" w:eastAsia="仿宋_GB2312"/>
          <w:sz w:val="28"/>
        </w:rPr>
        <w:t>盘锦荣泰房地产土地评估有限责任公司</w:t>
      </w:r>
    </w:p>
    <w:p>
      <w:pPr>
        <w:ind w:firstLine="5600" w:firstLineChars="2000"/>
        <w:rPr>
          <w:rFonts w:hint="eastAsia" w:eastAsia="仿宋_GB2312"/>
          <w:color w:val="000000" w:themeColor="text1"/>
          <w:sz w:val="28"/>
          <w:lang w:eastAsia="zh-CN"/>
        </w:rPr>
        <w:sectPr>
          <w:pgSz w:w="11906" w:h="16838"/>
          <w:pgMar w:top="1418" w:right="1021" w:bottom="1418" w:left="1531" w:header="851" w:footer="1077" w:gutter="0"/>
          <w:pgNumType w:start="1"/>
          <w:cols w:space="425" w:num="1"/>
          <w:docGrid w:type="lines" w:linePitch="312" w:charSpace="0"/>
        </w:sectPr>
      </w:pPr>
      <w:r>
        <w:rPr>
          <w:rFonts w:hint="eastAsia" w:eastAsia="仿宋_GB2312"/>
          <w:sz w:val="28"/>
          <w:lang w:eastAsia="zh-CN"/>
        </w:rPr>
        <w:t>二〇二一年十二月十七日</w:t>
      </w:r>
    </w:p>
    <w:p>
      <w:pPr>
        <w:pStyle w:val="11"/>
        <w:tabs>
          <w:tab w:val="right" w:leader="dot" w:pos="9344"/>
        </w:tabs>
        <w:spacing w:line="760" w:lineRule="exact"/>
        <w:ind w:firstLine="4390" w:firstLineChars="995"/>
        <w:rPr>
          <w:rFonts w:ascii="黑体" w:eastAsia="黑体"/>
          <w:b/>
          <w:bCs/>
          <w:color w:val="000000" w:themeColor="text1"/>
          <w:spacing w:val="60"/>
          <w:sz w:val="32"/>
        </w:rPr>
      </w:pPr>
      <w:r>
        <w:rPr>
          <w:rFonts w:hint="eastAsia" w:ascii="黑体" w:eastAsia="黑体"/>
          <w:b/>
          <w:bCs/>
          <w:color w:val="000000" w:themeColor="text1"/>
          <w:spacing w:val="60"/>
          <w:sz w:val="32"/>
        </w:rPr>
        <w:t>目 录</w:t>
      </w:r>
    </w:p>
    <w:p>
      <w:pPr>
        <w:pStyle w:val="11"/>
        <w:tabs>
          <w:tab w:val="right" w:leader="dot" w:pos="9354"/>
        </w:tabs>
        <w:rPr>
          <w:rFonts w:hint="eastAsia" w:ascii="仿宋_GB2312" w:hAnsi="仿宋_GB2312" w:eastAsia="仿宋_GB2312" w:cs="仿宋_GB2312"/>
          <w:sz w:val="28"/>
          <w:szCs w:val="28"/>
        </w:rPr>
      </w:pPr>
      <w:r>
        <w:rPr>
          <w:rStyle w:val="19"/>
          <w:rFonts w:hint="eastAsia" w:ascii="仿宋_GB2312" w:eastAsia="仿宋_GB2312"/>
          <w:color w:val="000000" w:themeColor="text1"/>
          <w:sz w:val="28"/>
          <w:szCs w:val="28"/>
        </w:rPr>
        <w:fldChar w:fldCharType="begin"/>
      </w:r>
      <w:r>
        <w:rPr>
          <w:rStyle w:val="19"/>
          <w:rFonts w:hint="eastAsia" w:ascii="仿宋_GB2312" w:eastAsia="仿宋_GB2312"/>
          <w:color w:val="000000" w:themeColor="text1"/>
          <w:sz w:val="28"/>
          <w:szCs w:val="28"/>
        </w:rPr>
        <w:instrText xml:space="preserve"> TOC \o "1-3" \h \z \u </w:instrText>
      </w:r>
      <w:r>
        <w:rPr>
          <w:rStyle w:val="19"/>
          <w:rFonts w:hint="eastAsia" w:ascii="仿宋_GB2312" w:eastAsia="仿宋_GB2312"/>
          <w:color w:val="000000" w:themeColor="text1"/>
          <w:sz w:val="28"/>
          <w:szCs w:val="28"/>
        </w:rPr>
        <w:fldChar w:fldCharType="separate"/>
      </w: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_Toc18420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pacing w:val="20"/>
          <w:sz w:val="28"/>
          <w:szCs w:val="28"/>
        </w:rPr>
        <w:t>估价师声明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_Toc18420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1"/>
        <w:tabs>
          <w:tab w:val="right" w:leader="dot" w:pos="935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_Toc23037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估价假设和限制条件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_Toc23037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1"/>
        <w:tabs>
          <w:tab w:val="right" w:leader="dot" w:pos="935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_Toc1957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估价结果报告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_Toc3349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一、估价委托人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_Toc3349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_Toc25726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二、房地产估价机构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_Toc25726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_Toc11850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三、估价目的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_Toc11850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_Toc2878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四、估价对象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_Toc1544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五、价值时点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_Toc24231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六、价值类型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_Toc24231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_Toc16390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七、估价原则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_Toc16390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_Toc18338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八、估价依据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_Toc18338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_Toc9552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九、估价方法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_Toc9552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_Toc1970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 估价结果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_Toc9082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十一、注册房地产估价师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_Toc9082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_Toc10186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十二、实地查勘期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_Toc10186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2"/>
        <w:tabs>
          <w:tab w:val="right" w:leader="dot" w:pos="9354"/>
          <w:tab w:val="clear" w:pos="9344"/>
        </w:tabs>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_Toc29331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十三、估价作业期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pStyle w:val="11"/>
        <w:tabs>
          <w:tab w:val="right" w:leader="dot" w:pos="9354"/>
        </w:tabs>
      </w:pP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sz w:val="28"/>
          <w:szCs w:val="28"/>
        </w:rPr>
        <w:instrText xml:space="preserve"> HYPERLINK \l _Toc12031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附   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themeColor="text1"/>
          <w:sz w:val="28"/>
          <w:szCs w:val="28"/>
        </w:rPr>
        <w:fldChar w:fldCharType="end"/>
      </w:r>
    </w:p>
    <w:p>
      <w:pPr>
        <w:spacing w:line="600" w:lineRule="exact"/>
        <w:ind w:left="703" w:firstLine="560"/>
        <w:rPr>
          <w:rFonts w:ascii="仿宋_GB2312" w:eastAsia="仿宋_GB2312"/>
          <w:sz w:val="28"/>
        </w:rPr>
      </w:pPr>
      <w:r>
        <w:rPr>
          <w:rFonts w:hint="eastAsia" w:ascii="仿宋_GB2312" w:eastAsia="仿宋_GB2312"/>
          <w:color w:val="000000" w:themeColor="text1"/>
          <w:szCs w:val="28"/>
        </w:rPr>
        <w:fldChar w:fldCharType="end"/>
      </w:r>
      <w:r>
        <w:rPr>
          <w:rFonts w:hint="eastAsia" w:ascii="仿宋_GB2312" w:eastAsia="仿宋_GB2312"/>
          <w:sz w:val="28"/>
        </w:rPr>
        <w:t>一、《司法鉴定评估委托书》（（2021）辽11委字第</w:t>
      </w:r>
      <w:r>
        <w:rPr>
          <w:rFonts w:hint="eastAsia" w:ascii="仿宋_GB2312" w:eastAsia="仿宋_GB2312"/>
          <w:sz w:val="28"/>
          <w:lang w:eastAsia="zh-CN"/>
        </w:rPr>
        <w:t>01143</w:t>
      </w:r>
      <w:r>
        <w:rPr>
          <w:rFonts w:hint="eastAsia" w:ascii="仿宋_GB2312" w:eastAsia="仿宋_GB2312"/>
          <w:sz w:val="28"/>
        </w:rPr>
        <w:t>号）复印件</w:t>
      </w:r>
    </w:p>
    <w:p>
      <w:pPr>
        <w:spacing w:line="600" w:lineRule="exact"/>
        <w:ind w:left="703" w:firstLine="560"/>
        <w:rPr>
          <w:rFonts w:ascii="仿宋_GB2312" w:eastAsia="仿宋_GB2312"/>
          <w:sz w:val="28"/>
        </w:rPr>
      </w:pPr>
      <w:r>
        <w:rPr>
          <w:rFonts w:hint="eastAsia" w:ascii="仿宋_GB2312" w:eastAsia="仿宋_GB2312"/>
          <w:sz w:val="28"/>
        </w:rPr>
        <w:t>二、《</w:t>
      </w:r>
      <w:r>
        <w:rPr>
          <w:rFonts w:hint="eastAsia" w:ascii="仿宋_GB2312" w:eastAsia="仿宋_GB2312"/>
          <w:sz w:val="28"/>
          <w:lang w:eastAsia="zh-CN"/>
        </w:rPr>
        <w:t>不动产权证书</w:t>
      </w:r>
      <w:r>
        <w:rPr>
          <w:rFonts w:hint="eastAsia" w:ascii="仿宋_GB2312" w:eastAsia="仿宋_GB2312"/>
          <w:sz w:val="28"/>
        </w:rPr>
        <w:t>》复印件</w:t>
      </w:r>
    </w:p>
    <w:p>
      <w:pPr>
        <w:spacing w:line="600" w:lineRule="exact"/>
        <w:ind w:left="703" w:firstLine="560"/>
        <w:rPr>
          <w:rFonts w:ascii="仿宋_GB2312" w:eastAsia="仿宋_GB2312"/>
          <w:sz w:val="28"/>
        </w:rPr>
      </w:pPr>
      <w:r>
        <w:rPr>
          <w:rFonts w:hint="eastAsia" w:ascii="仿宋_GB2312" w:eastAsia="仿宋_GB2312"/>
          <w:sz w:val="28"/>
        </w:rPr>
        <w:t>三、估价对象位置图</w:t>
      </w:r>
    </w:p>
    <w:p>
      <w:pPr>
        <w:spacing w:line="600" w:lineRule="exact"/>
        <w:ind w:firstLine="1260" w:firstLineChars="450"/>
        <w:rPr>
          <w:rFonts w:ascii="仿宋_GB2312" w:eastAsia="仿宋_GB2312"/>
          <w:sz w:val="28"/>
        </w:rPr>
      </w:pPr>
      <w:r>
        <w:rPr>
          <w:rFonts w:hint="eastAsia" w:ascii="仿宋_GB2312" w:eastAsia="仿宋_GB2312"/>
          <w:sz w:val="28"/>
        </w:rPr>
        <w:t>四、估价对象内、外部照片和周围环境照片</w:t>
      </w:r>
    </w:p>
    <w:p>
      <w:pPr>
        <w:spacing w:line="600" w:lineRule="exact"/>
        <w:ind w:left="703" w:firstLine="560"/>
        <w:rPr>
          <w:rFonts w:ascii="仿宋_GB2312" w:eastAsia="仿宋_GB2312"/>
          <w:sz w:val="28"/>
        </w:rPr>
      </w:pPr>
      <w:r>
        <w:rPr>
          <w:rFonts w:hint="eastAsia" w:ascii="仿宋_GB2312" w:eastAsia="仿宋_GB2312"/>
          <w:sz w:val="28"/>
        </w:rPr>
        <w:t>五、注册房地产估价师资格证书复印件</w:t>
      </w:r>
    </w:p>
    <w:p>
      <w:pPr>
        <w:spacing w:line="600" w:lineRule="exact"/>
        <w:ind w:left="703" w:firstLine="560"/>
        <w:rPr>
          <w:rFonts w:ascii="仿宋_GB2312" w:eastAsia="仿宋_GB2312"/>
          <w:sz w:val="28"/>
        </w:rPr>
      </w:pPr>
      <w:r>
        <w:rPr>
          <w:rFonts w:hint="eastAsia" w:ascii="仿宋_GB2312" w:eastAsia="仿宋_GB2312"/>
          <w:sz w:val="28"/>
        </w:rPr>
        <w:t>六、估价机构《营业执照》复印件</w:t>
      </w:r>
    </w:p>
    <w:p>
      <w:pPr>
        <w:spacing w:line="600" w:lineRule="exact"/>
        <w:ind w:left="703" w:firstLine="560"/>
        <w:rPr>
          <w:rFonts w:ascii="仿宋_GB2312" w:eastAsia="仿宋_GB2312"/>
          <w:sz w:val="28"/>
        </w:rPr>
      </w:pPr>
      <w:r>
        <w:rPr>
          <w:rFonts w:hint="eastAsia" w:ascii="仿宋_GB2312" w:eastAsia="仿宋_GB2312"/>
          <w:sz w:val="28"/>
        </w:rPr>
        <w:t>七、房地产估价机构备案证书复印件</w:t>
      </w:r>
      <w:r>
        <w:rPr>
          <w:rFonts w:ascii="仿宋_GB2312" w:eastAsia="仿宋_GB2312"/>
          <w:sz w:val="28"/>
        </w:rPr>
        <w:tab/>
      </w:r>
    </w:p>
    <w:p>
      <w:pPr>
        <w:spacing w:line="600" w:lineRule="exact"/>
        <w:ind w:left="703" w:firstLine="1"/>
        <w:rPr>
          <w:rFonts w:ascii="仿宋_GB2312" w:hAnsi="仿宋_GB2312" w:eastAsia="仿宋_GB2312" w:cs="仿宋_GB2312"/>
          <w:color w:val="000000" w:themeColor="text1"/>
          <w:sz w:val="28"/>
        </w:rPr>
        <w:sectPr>
          <w:pgSz w:w="11906" w:h="16838"/>
          <w:pgMar w:top="1418" w:right="1021" w:bottom="1418" w:left="1531" w:header="851" w:footer="1077" w:gutter="0"/>
          <w:pgNumType w:start="1"/>
          <w:cols w:space="425" w:num="1"/>
          <w:docGrid w:type="lines" w:linePitch="312" w:charSpace="0"/>
        </w:sectPr>
      </w:pPr>
    </w:p>
    <w:p>
      <w:pPr>
        <w:pStyle w:val="2"/>
        <w:spacing w:before="0" w:after="0" w:line="540" w:lineRule="exact"/>
        <w:jc w:val="center"/>
        <w:rPr>
          <w:rFonts w:ascii="黑体" w:hAnsi="黑体" w:eastAsia="黑体"/>
          <w:color w:val="000000" w:themeColor="text1"/>
          <w:spacing w:val="20"/>
          <w:sz w:val="32"/>
          <w:szCs w:val="32"/>
        </w:rPr>
      </w:pPr>
      <w:bookmarkStart w:id="0" w:name="_Toc18420"/>
      <w:r>
        <w:rPr>
          <w:rFonts w:hint="eastAsia" w:ascii="黑体" w:hAnsi="黑体" w:eastAsia="黑体"/>
          <w:color w:val="000000" w:themeColor="text1"/>
          <w:spacing w:val="20"/>
          <w:sz w:val="32"/>
          <w:szCs w:val="32"/>
        </w:rPr>
        <w:t>估价师声明</w:t>
      </w:r>
      <w:bookmarkEnd w:id="0"/>
    </w:p>
    <w:p>
      <w:pPr>
        <w:spacing w:line="560" w:lineRule="exact"/>
        <w:ind w:firstLine="480" w:firstLineChars="150"/>
        <w:rPr>
          <w:rFonts w:ascii="楷体_GB2312" w:eastAsia="楷体_GB2312"/>
          <w:color w:val="000000" w:themeColor="text1"/>
          <w:sz w:val="32"/>
        </w:rPr>
      </w:pPr>
    </w:p>
    <w:p>
      <w:pPr>
        <w:spacing w:line="520" w:lineRule="exact"/>
        <w:ind w:firstLine="560" w:firstLineChars="200"/>
        <w:rPr>
          <w:rFonts w:ascii="仿宋_GB2312" w:eastAsia="仿宋_GB2312"/>
          <w:sz w:val="28"/>
        </w:rPr>
      </w:pPr>
      <w:r>
        <w:rPr>
          <w:rFonts w:hint="eastAsia" w:ascii="仿宋_GB2312" w:eastAsia="仿宋_GB2312"/>
          <w:sz w:val="28"/>
        </w:rPr>
        <w:t>1 注册房地产估价师在估价报告中对事实的说明是真实和准确的，没有虚假记载、误导性陈述和重大遗漏。</w:t>
      </w:r>
    </w:p>
    <w:p>
      <w:pPr>
        <w:spacing w:line="520" w:lineRule="exact"/>
        <w:ind w:firstLine="560" w:firstLineChars="200"/>
        <w:rPr>
          <w:rFonts w:ascii="仿宋_GB2312" w:eastAsia="仿宋_GB2312"/>
          <w:sz w:val="28"/>
        </w:rPr>
      </w:pPr>
      <w:r>
        <w:rPr>
          <w:rFonts w:hint="eastAsia" w:ascii="仿宋_GB2312" w:eastAsia="仿宋_GB2312"/>
          <w:sz w:val="28"/>
        </w:rPr>
        <w:t>2 估价报告中的分析、意见和结论是注册房地产估价师独立、客观、公正的专业分析、意见和结论，但受到估价报告中已说明的估价假设和限制条件的限制。</w:t>
      </w:r>
    </w:p>
    <w:p>
      <w:pPr>
        <w:spacing w:line="520" w:lineRule="exact"/>
        <w:ind w:firstLine="560" w:firstLineChars="200"/>
        <w:rPr>
          <w:rFonts w:ascii="仿宋_GB2312" w:eastAsia="仿宋_GB2312"/>
          <w:sz w:val="28"/>
        </w:rPr>
      </w:pPr>
      <w:r>
        <w:rPr>
          <w:rFonts w:hint="eastAsia" w:ascii="仿宋_GB2312" w:eastAsia="仿宋_GB2312"/>
          <w:sz w:val="28"/>
        </w:rPr>
        <w:t>3注册房地产估价师与估价报告中的估价对象没有现实或潜在的利益，与估价委托人及估价利害关系人没有利害关系，也对估价对象、估价委托人及估价利害关系人没有偏见。</w:t>
      </w:r>
    </w:p>
    <w:p>
      <w:pPr>
        <w:spacing w:line="580" w:lineRule="exact"/>
        <w:ind w:firstLine="560" w:firstLineChars="200"/>
        <w:rPr>
          <w:rFonts w:ascii="仿宋_GB2312" w:eastAsia="仿宋_GB2312"/>
          <w:color w:val="000000" w:themeColor="text1"/>
          <w:sz w:val="28"/>
        </w:rPr>
      </w:pPr>
      <w:r>
        <w:rPr>
          <w:rFonts w:hint="eastAsia" w:ascii="仿宋_GB2312" w:eastAsia="仿宋_GB2312"/>
          <w:sz w:val="28"/>
        </w:rPr>
        <w:t>4 注册房地产估价师是按照有关房地产估价标准的规定进行估价工作，撰写估价报告。</w:t>
      </w:r>
    </w:p>
    <w:p>
      <w:pPr>
        <w:widowControl/>
        <w:jc w:val="left"/>
        <w:rPr>
          <w:rFonts w:ascii="仿宋_GB2312" w:eastAsia="仿宋_GB2312"/>
          <w:color w:val="000000" w:themeColor="text1"/>
          <w:sz w:val="28"/>
        </w:rPr>
      </w:pPr>
      <w:r>
        <w:rPr>
          <w:rFonts w:ascii="仿宋_GB2312" w:eastAsia="仿宋_GB2312"/>
          <w:color w:val="000000" w:themeColor="text1"/>
          <w:sz w:val="28"/>
        </w:rPr>
        <w:br w:type="page"/>
      </w:r>
    </w:p>
    <w:p>
      <w:pPr>
        <w:pStyle w:val="2"/>
        <w:spacing w:before="0" w:after="0" w:line="540" w:lineRule="exact"/>
        <w:jc w:val="center"/>
        <w:rPr>
          <w:rFonts w:ascii="黑体" w:hAnsi="黑体" w:eastAsia="黑体"/>
          <w:color w:val="000000" w:themeColor="text1"/>
          <w:sz w:val="32"/>
          <w:szCs w:val="32"/>
        </w:rPr>
      </w:pPr>
      <w:bookmarkStart w:id="1" w:name="_Toc23037"/>
      <w:r>
        <w:rPr>
          <w:rFonts w:hint="eastAsia" w:ascii="黑体" w:hAnsi="黑体" w:eastAsia="黑体"/>
          <w:color w:val="000000" w:themeColor="text1"/>
          <w:sz w:val="32"/>
          <w:szCs w:val="32"/>
        </w:rPr>
        <w:t>估价假设和限制条件</w:t>
      </w:r>
      <w:bookmarkEnd w:id="1"/>
    </w:p>
    <w:p/>
    <w:p>
      <w:pPr>
        <w:adjustRightInd w:val="0"/>
        <w:snapToGrid w:val="0"/>
        <w:spacing w:line="500" w:lineRule="exact"/>
        <w:ind w:firstLine="562" w:firstLineChars="200"/>
        <w:rPr>
          <w:rFonts w:ascii="仿宋_GB2312" w:eastAsia="仿宋_GB2312"/>
          <w:b/>
          <w:sz w:val="28"/>
          <w:szCs w:val="28"/>
        </w:rPr>
      </w:pPr>
      <w:r>
        <w:rPr>
          <w:rFonts w:hint="eastAsia" w:ascii="仿宋_GB2312" w:eastAsia="仿宋_GB2312"/>
          <w:b/>
          <w:sz w:val="28"/>
        </w:rPr>
        <w:t>一、本次估价的假设条件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（一）一般假设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1、估价委托人提供了估价对象的</w:t>
      </w:r>
      <w:r>
        <w:rPr>
          <w:rFonts w:hint="eastAsia" w:ascii="仿宋_GB2312" w:hAnsi="Calibri" w:eastAsia="仿宋_GB2312" w:cs="Times New Roman"/>
          <w:sz w:val="28"/>
        </w:rPr>
        <w:t>《</w:t>
      </w:r>
      <w:r>
        <w:rPr>
          <w:rFonts w:hint="eastAsia" w:ascii="仿宋_GB2312" w:hAnsi="Calibri" w:eastAsia="仿宋_GB2312" w:cs="Times New Roman"/>
          <w:sz w:val="28"/>
          <w:lang w:eastAsia="zh-CN"/>
        </w:rPr>
        <w:t>不动产权证书</w:t>
      </w:r>
      <w:r>
        <w:rPr>
          <w:rFonts w:hint="eastAsia" w:ascii="仿宋_GB2312" w:hAnsi="Calibri" w:eastAsia="仿宋_GB2312" w:cs="Times New Roman"/>
          <w:sz w:val="28"/>
        </w:rPr>
        <w:t>》</w:t>
      </w:r>
      <w:r>
        <w:rPr>
          <w:rFonts w:hint="eastAsia" w:ascii="仿宋_GB2312" w:eastAsia="仿宋_GB2312"/>
          <w:sz w:val="28"/>
        </w:rPr>
        <w:t>，注册房地产估价师对委托书上记载的面积等资料进行了审慎检查，在无理由怀疑其合法性、真实性、准确性和完整性的情况下，假定估价委托人提供的资料合法、真实、准确、完整。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2、注册房地产估价师已对房屋安全、环境污染等影响估价对象价值的重大因素给予了关注，在无理由怀疑估价对象存在隐患且无相应的专业机构鉴定、检测的情况下，假定估价对象能正常安全使用。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3、</w:t>
      </w:r>
      <w:r>
        <w:rPr>
          <w:rFonts w:hint="eastAsia" w:ascii="仿宋_GB2312" w:eastAsia="仿宋_GB2312"/>
          <w:color w:val="000000" w:themeColor="text1"/>
          <w:sz w:val="28"/>
        </w:rPr>
        <w:t>本估价结果是估价对象于价值时点具有合法产权且在完整权利状态下的市场价值</w:t>
      </w:r>
      <w:r>
        <w:rPr>
          <w:rFonts w:hint="eastAsia" w:ascii="仿宋_GB2312" w:eastAsia="仿宋_GB2312"/>
          <w:sz w:val="28"/>
        </w:rPr>
        <w:t>，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得附加出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4、市场供应关系，市场结构保持稳定，未发生重大变化或实质性改变。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5、人民法院拍卖（或者变卖）财产之日的估价对象状况和房地产市场状况与实地查勘完成之日状况相同。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6、假定估价对象不存在欠缴税费（含税收、物业费、供暖费、水电费等）。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（二）未定事项假设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（三）背离事实假设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1、估价结果是</w:t>
      </w:r>
      <w:r>
        <w:rPr>
          <w:rFonts w:ascii="仿宋_GB2312" w:eastAsia="仿宋_GB2312"/>
          <w:sz w:val="28"/>
        </w:rPr>
        <w:t>为委托方</w:t>
      </w:r>
      <w:r>
        <w:rPr>
          <w:rFonts w:hint="eastAsia" w:ascii="仿宋_GB2312" w:eastAsia="仿宋_GB2312"/>
          <w:sz w:val="28"/>
        </w:rPr>
        <w:t>执行申请人</w:t>
      </w:r>
      <w:r>
        <w:rPr>
          <w:rFonts w:hint="eastAsia" w:ascii="仿宋_GB2312" w:eastAsia="仿宋_GB2312"/>
          <w:sz w:val="28"/>
          <w:lang w:eastAsia="zh-CN"/>
        </w:rPr>
        <w:t>中国邮政储蓄银行股份有限公司盘锦市分行</w:t>
      </w:r>
      <w:r>
        <w:rPr>
          <w:rFonts w:hint="eastAsia" w:ascii="仿宋_GB2312" w:eastAsia="仿宋_GB2312"/>
          <w:sz w:val="28"/>
        </w:rPr>
        <w:t>申请执行</w:t>
      </w:r>
      <w:r>
        <w:rPr>
          <w:rFonts w:hint="eastAsia" w:ascii="仿宋_GB2312" w:eastAsia="仿宋_GB2312"/>
          <w:sz w:val="28"/>
          <w:lang w:eastAsia="zh-CN"/>
        </w:rPr>
        <w:t>王帅</w:t>
      </w:r>
      <w:r>
        <w:rPr>
          <w:rFonts w:hint="eastAsia" w:ascii="仿宋_GB2312" w:eastAsia="仿宋_GB2312"/>
          <w:sz w:val="28"/>
        </w:rPr>
        <w:t>一案</w:t>
      </w:r>
      <w:r>
        <w:rPr>
          <w:rFonts w:ascii="仿宋_GB2312" w:eastAsia="仿宋_GB2312"/>
          <w:sz w:val="28"/>
        </w:rPr>
        <w:t>提供参考依据</w:t>
      </w:r>
      <w:r>
        <w:rPr>
          <w:rFonts w:hint="eastAsia" w:ascii="仿宋_GB2312" w:eastAsia="仿宋_GB2312"/>
          <w:sz w:val="28"/>
        </w:rPr>
        <w:t>而评估房地产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2、估价结果未考虑估价对象及其所有人已承担的债务、或有债务及经营决策失误或市场运作失灵对其价值的影响。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3、估价结果未考虑评估对象被查封以及原有的担保物权、租赁权、</w:t>
      </w:r>
      <w:r>
        <w:rPr>
          <w:rFonts w:hint="eastAsia" w:ascii="仿宋_GB2312" w:eastAsia="仿宋_GB2312"/>
          <w:sz w:val="28"/>
          <w:lang w:eastAsia="zh-CN"/>
        </w:rPr>
        <w:t>居住权、</w:t>
      </w:r>
      <w:r>
        <w:rPr>
          <w:rFonts w:hint="eastAsia" w:ascii="仿宋_GB2312" w:eastAsia="仿宋_GB2312"/>
          <w:sz w:val="28"/>
        </w:rPr>
        <w:t>其他法定优先受偿款的情况，视为没有查封、未设立担保物权、租赁权、</w:t>
      </w:r>
      <w:r>
        <w:rPr>
          <w:rFonts w:hint="eastAsia" w:ascii="仿宋_GB2312" w:eastAsia="仿宋_GB2312"/>
          <w:sz w:val="28"/>
          <w:lang w:eastAsia="zh-CN"/>
        </w:rPr>
        <w:t>居住权、</w:t>
      </w:r>
      <w:r>
        <w:rPr>
          <w:rFonts w:hint="eastAsia" w:ascii="仿宋_GB2312" w:eastAsia="仿宋_GB2312"/>
          <w:sz w:val="28"/>
        </w:rPr>
        <w:t>其他法定优先受偿款的财产进行评估。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（四）不相一致假设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（五）依据不足假设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eastAsia="仿宋_GB2312"/>
          <w:sz w:val="28"/>
        </w:rPr>
      </w:pPr>
      <w:r>
        <w:rPr>
          <w:rFonts w:hint="eastAsia" w:ascii="仿宋_GB2312" w:eastAsia="仿宋_GB2312"/>
          <w:sz w:val="28"/>
        </w:rPr>
        <w:t>无。</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b/>
          <w:sz w:val="28"/>
        </w:rPr>
      </w:pPr>
      <w:r>
        <w:rPr>
          <w:rFonts w:hint="eastAsia" w:ascii="仿宋_GB2312" w:eastAsia="仿宋_GB2312"/>
          <w:b/>
          <w:sz w:val="28"/>
        </w:rPr>
        <w:t>二、本报告使用的限制条件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1、本报告仅</w:t>
      </w:r>
      <w:r>
        <w:rPr>
          <w:rFonts w:ascii="仿宋_GB2312" w:eastAsia="仿宋_GB2312"/>
          <w:sz w:val="28"/>
        </w:rPr>
        <w:t>为委托方</w:t>
      </w:r>
      <w:r>
        <w:rPr>
          <w:rFonts w:hint="eastAsia" w:ascii="仿宋_GB2312" w:eastAsia="仿宋_GB2312"/>
          <w:sz w:val="28"/>
        </w:rPr>
        <w:t>执行申请人</w:t>
      </w:r>
      <w:r>
        <w:rPr>
          <w:rFonts w:hint="eastAsia" w:ascii="仿宋_GB2312" w:eastAsia="仿宋_GB2312"/>
          <w:sz w:val="28"/>
          <w:lang w:eastAsia="zh-CN"/>
        </w:rPr>
        <w:t>中国邮政储蓄银行股份有限公司盘锦市分行</w:t>
      </w:r>
      <w:r>
        <w:rPr>
          <w:rFonts w:hint="eastAsia" w:ascii="仿宋_GB2312" w:eastAsia="仿宋_GB2312"/>
          <w:sz w:val="28"/>
        </w:rPr>
        <w:t>申请执行</w:t>
      </w:r>
      <w:r>
        <w:rPr>
          <w:rFonts w:hint="eastAsia" w:ascii="仿宋_GB2312" w:eastAsia="仿宋_GB2312"/>
          <w:sz w:val="28"/>
          <w:lang w:eastAsia="zh-CN"/>
        </w:rPr>
        <w:t>王帅</w:t>
      </w:r>
      <w:r>
        <w:rPr>
          <w:rFonts w:hint="eastAsia" w:ascii="仿宋_GB2312" w:eastAsia="仿宋_GB2312"/>
          <w:sz w:val="28"/>
        </w:rPr>
        <w:t>一案</w:t>
      </w:r>
      <w:r>
        <w:rPr>
          <w:rFonts w:ascii="仿宋_GB2312" w:eastAsia="仿宋_GB2312"/>
          <w:sz w:val="28"/>
        </w:rPr>
        <w:t>提供参考依据</w:t>
      </w:r>
      <w:r>
        <w:rPr>
          <w:rFonts w:hint="eastAsia" w:ascii="仿宋_GB2312" w:eastAsia="仿宋_GB2312"/>
          <w:sz w:val="28"/>
        </w:rPr>
        <w:t>而评估房地产市场价值，不得用于其他用途。</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3、本估价报告自出具之日起壹年内有效。但价值时点后，在报告有效期内估价对象的质量及价格标准发生变化，并对估价对象价值产生明显影响时，不能直接使用本估价结果；超过壹年，需重新进行估价。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4、本报告必须经过估价机构加盖公章、注册房地产估价师签字后方可使用，估价机构仅对本报告的原件承担责任，对任何形式的复印件概不认可且不承担责任。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rPr>
      </w:pPr>
      <w:r>
        <w:rPr>
          <w:rFonts w:hint="eastAsia" w:ascii="仿宋_GB2312" w:eastAsia="仿宋_GB2312"/>
          <w:sz w:val="28"/>
        </w:rPr>
        <w:t>5、本估价结果是指假定在充分发达的公开市场条件下，交易双方在交易地位平等、充分了解估价对象相关市场信息及交易双方独立和理智进行判断的前提下形成的市场价值。该价值并不代表具体资产在涉及产权变动或资产形态转变时的实际交易价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olor w:val="000000" w:themeColor="text1"/>
          <w:spacing w:val="-6"/>
          <w:sz w:val="28"/>
        </w:rPr>
      </w:pPr>
      <w:r>
        <w:rPr>
          <w:rFonts w:hint="eastAsia" w:ascii="仿宋_GB2312" w:eastAsia="仿宋_GB2312"/>
          <w:sz w:val="28"/>
        </w:rPr>
        <w:t>6、本报告由盘锦荣泰房地产土地评估有限责任公司负责解释</w:t>
      </w:r>
      <w:r>
        <w:rPr>
          <w:rFonts w:hint="eastAsia" w:ascii="仿宋_GB2312" w:eastAsia="仿宋_GB2312"/>
          <w:spacing w:val="-6"/>
          <w:sz w:val="28"/>
        </w:rPr>
        <w:t>。</w:t>
      </w:r>
    </w:p>
    <w:p>
      <w:pPr>
        <w:pStyle w:val="14"/>
        <w:spacing w:line="540" w:lineRule="exact"/>
        <w:rPr>
          <w:rFonts w:ascii="黑体" w:hAnsi="黑体" w:eastAsia="黑体"/>
          <w:color w:val="000000" w:themeColor="text1"/>
        </w:rPr>
      </w:pPr>
      <w:r>
        <w:rPr>
          <w:rFonts w:ascii="华文中宋" w:eastAsia="华文中宋"/>
          <w:color w:val="000000" w:themeColor="text1"/>
        </w:rPr>
        <w:br w:type="page"/>
      </w:r>
      <w:bookmarkStart w:id="2" w:name="_Toc1957"/>
      <w:r>
        <w:rPr>
          <w:rFonts w:hint="eastAsia" w:ascii="黑体" w:hAnsi="黑体" w:eastAsia="黑体"/>
          <w:color w:val="000000" w:themeColor="text1"/>
        </w:rPr>
        <w:t>估价结果报告</w:t>
      </w:r>
      <w:bookmarkEnd w:id="2"/>
    </w:p>
    <w:p>
      <w:pPr>
        <w:pStyle w:val="3"/>
      </w:pPr>
      <w:bookmarkStart w:id="3" w:name="_Toc3349"/>
      <w:r>
        <w:rPr>
          <w:rFonts w:hint="eastAsia"/>
        </w:rPr>
        <w:t>一、估价委托人</w:t>
      </w:r>
      <w:bookmarkEnd w:id="3"/>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委 托 人: 辽宁省盘锦市中级人民法院</w:t>
      </w:r>
    </w:p>
    <w:p>
      <w:pPr>
        <w:pageBreakBefore w:val="0"/>
        <w:widowControl w:val="0"/>
        <w:kinsoku/>
        <w:wordWrap/>
        <w:overflowPunct/>
        <w:topLinePunct w:val="0"/>
        <w:bidi w:val="0"/>
        <w:spacing w:line="520" w:lineRule="exact"/>
        <w:ind w:firstLine="560" w:firstLineChars="200"/>
        <w:textAlignment w:val="auto"/>
        <w:rPr>
          <w:rFonts w:ascii="宋体" w:hAnsi="宋体" w:eastAsia="宋体" w:cs="宋体"/>
          <w:sz w:val="28"/>
        </w:rPr>
      </w:pPr>
      <w:r>
        <w:rPr>
          <w:rFonts w:hint="eastAsia" w:ascii="仿宋_GB2312" w:eastAsia="仿宋_GB2312"/>
          <w:sz w:val="28"/>
        </w:rPr>
        <w:t>联系人：冮殿雄</w:t>
      </w:r>
    </w:p>
    <w:p>
      <w:pPr>
        <w:pageBreakBefore w:val="0"/>
        <w:widowControl w:val="0"/>
        <w:kinsoku/>
        <w:wordWrap/>
        <w:overflowPunct/>
        <w:topLinePunct w:val="0"/>
        <w:bidi w:val="0"/>
        <w:adjustRightInd w:val="0"/>
        <w:snapToGrid w:val="0"/>
        <w:spacing w:line="520" w:lineRule="exact"/>
        <w:ind w:left="559" w:leftChars="266"/>
        <w:textAlignment w:val="auto"/>
        <w:rPr>
          <w:rFonts w:ascii="仿宋_GB2312" w:eastAsia="仿宋_GB2312"/>
          <w:color w:val="000000" w:themeColor="text1"/>
          <w:sz w:val="28"/>
        </w:rPr>
      </w:pPr>
      <w:r>
        <w:rPr>
          <w:rFonts w:hint="eastAsia" w:ascii="仿宋_GB2312" w:eastAsia="仿宋_GB2312"/>
          <w:sz w:val="28"/>
        </w:rPr>
        <w:t>联系电话：15842771311</w:t>
      </w:r>
    </w:p>
    <w:p>
      <w:pPr>
        <w:pStyle w:val="3"/>
        <w:pageBreakBefore w:val="0"/>
        <w:widowControl w:val="0"/>
        <w:kinsoku/>
        <w:wordWrap/>
        <w:overflowPunct/>
        <w:topLinePunct w:val="0"/>
        <w:bidi w:val="0"/>
        <w:spacing w:line="520" w:lineRule="exact"/>
        <w:textAlignment w:val="auto"/>
      </w:pPr>
      <w:bookmarkStart w:id="4" w:name="_Toc507679998"/>
      <w:bookmarkStart w:id="5" w:name="_Toc25726"/>
      <w:r>
        <w:rPr>
          <w:rFonts w:hint="eastAsia"/>
        </w:rPr>
        <w:t>二、房地产估价机构</w:t>
      </w:r>
      <w:bookmarkEnd w:id="4"/>
      <w:bookmarkEnd w:id="5"/>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估价机构：盘锦荣泰房地产土地评估有限责任公司</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住    所：盘锦市兴隆台区泰山路西油田党校北侧炫特区B座5#商网</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机构负责人：王军</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备案等级：贰级</w:t>
      </w:r>
      <w:r>
        <w:rPr>
          <w:rFonts w:hint="eastAsia" w:ascii="仿宋_GB2312" w:eastAsia="仿宋_GB2312"/>
          <w:sz w:val="28"/>
        </w:rPr>
        <w:tab/>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证书编号：第000010304号</w:t>
      </w:r>
    </w:p>
    <w:p>
      <w:pPr>
        <w:pageBreakBefore w:val="0"/>
        <w:widowControl w:val="0"/>
        <w:kinsoku/>
        <w:wordWrap/>
        <w:overflowPunct/>
        <w:topLinePunct w:val="0"/>
        <w:bidi w:val="0"/>
        <w:adjustRightInd w:val="0"/>
        <w:snapToGrid w:val="0"/>
        <w:spacing w:line="520" w:lineRule="exact"/>
        <w:ind w:firstLine="560" w:firstLineChars="200"/>
        <w:textAlignment w:val="auto"/>
        <w:rPr>
          <w:rFonts w:ascii="仿宋_GB2312" w:eastAsia="仿宋_GB2312"/>
          <w:color w:val="000000" w:themeColor="text1"/>
          <w:sz w:val="28"/>
        </w:rPr>
      </w:pPr>
      <w:r>
        <w:rPr>
          <w:rFonts w:hint="eastAsia" w:ascii="仿宋_GB2312" w:eastAsia="仿宋_GB2312"/>
          <w:sz w:val="28"/>
        </w:rPr>
        <w:t>联系电话：（0427）2836225</w:t>
      </w:r>
    </w:p>
    <w:p>
      <w:pPr>
        <w:pStyle w:val="3"/>
        <w:pageBreakBefore w:val="0"/>
        <w:widowControl w:val="0"/>
        <w:kinsoku/>
        <w:wordWrap/>
        <w:overflowPunct/>
        <w:topLinePunct w:val="0"/>
        <w:bidi w:val="0"/>
        <w:spacing w:line="520" w:lineRule="exact"/>
        <w:textAlignment w:val="auto"/>
      </w:pPr>
      <w:bookmarkStart w:id="6" w:name="_Toc507679999"/>
      <w:bookmarkStart w:id="7" w:name="_Toc11850"/>
      <w:r>
        <w:rPr>
          <w:rFonts w:hint="eastAsia"/>
        </w:rPr>
        <w:t>三、估价目的</w:t>
      </w:r>
      <w:bookmarkEnd w:id="6"/>
      <w:bookmarkEnd w:id="7"/>
    </w:p>
    <w:p>
      <w:pPr>
        <w:pageBreakBefore w:val="0"/>
        <w:widowControl w:val="0"/>
        <w:kinsoku/>
        <w:wordWrap/>
        <w:overflowPunct/>
        <w:topLinePunct w:val="0"/>
        <w:autoSpaceDE w:val="0"/>
        <w:autoSpaceDN w:val="0"/>
        <w:bidi w:val="0"/>
        <w:spacing w:line="520" w:lineRule="exact"/>
        <w:ind w:left="1" w:firstLine="562" w:firstLineChars="201"/>
        <w:jc w:val="left"/>
        <w:textAlignment w:val="auto"/>
        <w:rPr>
          <w:rFonts w:ascii="仿宋" w:hAnsi="仿宋" w:eastAsia="仿宋" w:cs="仿宋_GB2312"/>
          <w:sz w:val="28"/>
          <w:szCs w:val="28"/>
        </w:rPr>
      </w:pPr>
      <w:bookmarkStart w:id="8" w:name="_Toc507680000"/>
      <w:r>
        <w:rPr>
          <w:rFonts w:hint="eastAsia" w:ascii="仿宋" w:hAnsi="仿宋" w:eastAsia="仿宋" w:cs="仿宋_GB2312"/>
          <w:color w:val="000000"/>
          <w:sz w:val="28"/>
          <w:szCs w:val="28"/>
        </w:rPr>
        <w:t>为人民法院确定财产处置参考价提供参考依据</w:t>
      </w:r>
      <w:r>
        <w:rPr>
          <w:rFonts w:hint="eastAsia" w:ascii="仿宋" w:hAnsi="仿宋" w:eastAsia="仿宋" w:cs="仿宋_GB2312"/>
          <w:sz w:val="28"/>
          <w:szCs w:val="28"/>
        </w:rPr>
        <w:t>。</w:t>
      </w:r>
    </w:p>
    <w:p>
      <w:pPr>
        <w:pStyle w:val="3"/>
        <w:pageBreakBefore w:val="0"/>
        <w:widowControl w:val="0"/>
        <w:kinsoku/>
        <w:wordWrap/>
        <w:overflowPunct/>
        <w:topLinePunct w:val="0"/>
        <w:bidi w:val="0"/>
        <w:spacing w:line="520" w:lineRule="exact"/>
        <w:textAlignment w:val="auto"/>
      </w:pPr>
      <w:bookmarkStart w:id="9" w:name="_Toc2878"/>
      <w:r>
        <w:rPr>
          <w:rFonts w:hint="eastAsia"/>
        </w:rPr>
        <w:t>四、估价对象</w:t>
      </w:r>
      <w:bookmarkEnd w:id="8"/>
      <w:bookmarkEnd w:id="9"/>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1 估价对象基本状况</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由《</w:t>
      </w:r>
      <w:r>
        <w:rPr>
          <w:rFonts w:hint="eastAsia" w:ascii="仿宋_GB2312" w:eastAsia="仿宋_GB2312"/>
          <w:sz w:val="28"/>
          <w:lang w:eastAsia="zh-CN"/>
        </w:rPr>
        <w:t>不动产权证书</w:t>
      </w:r>
      <w:r>
        <w:rPr>
          <w:rFonts w:hint="eastAsia" w:ascii="仿宋_GB2312" w:eastAsia="仿宋_GB2312"/>
          <w:sz w:val="28"/>
        </w:rPr>
        <w:t>》得知，估价对象坐落于</w:t>
      </w:r>
      <w:r>
        <w:rPr>
          <w:rFonts w:hint="eastAsia" w:ascii="仿宋_GB2312" w:eastAsia="仿宋_GB2312"/>
          <w:spacing w:val="-4"/>
          <w:sz w:val="28"/>
          <w:lang w:eastAsia="zh-CN"/>
        </w:rPr>
        <w:t>盘锦市大洼区田家街道富田花园小区C-8#楼5单元701室</w:t>
      </w:r>
      <w:r>
        <w:rPr>
          <w:rFonts w:hint="eastAsia" w:ascii="仿宋_GB2312" w:eastAsia="仿宋_GB2312"/>
          <w:sz w:val="28"/>
        </w:rPr>
        <w:t>。本次评估包括房屋所有权及应合理分摊的国有建设用地使用权的价值，</w:t>
      </w:r>
      <w:r>
        <w:rPr>
          <w:rFonts w:hint="eastAsia" w:ascii="仿宋_GB2312" w:eastAsia="仿宋_GB2312"/>
          <w:sz w:val="28"/>
          <w:lang w:eastAsia="zh-CN"/>
        </w:rPr>
        <w:t>不动产权证书</w:t>
      </w:r>
      <w:r>
        <w:rPr>
          <w:rFonts w:hint="eastAsia" w:ascii="仿宋_GB2312" w:eastAsia="仿宋_GB2312"/>
          <w:sz w:val="28"/>
        </w:rPr>
        <w:t>号为</w:t>
      </w:r>
      <w:r>
        <w:rPr>
          <w:rFonts w:hint="eastAsia" w:ascii="仿宋_GB2312" w:eastAsia="仿宋_GB2312"/>
          <w:sz w:val="28"/>
          <w:lang w:eastAsia="zh-CN"/>
        </w:rPr>
        <w:t>辽</w:t>
      </w:r>
      <w:r>
        <w:rPr>
          <w:rFonts w:hint="eastAsia" w:ascii="仿宋_GB2312" w:eastAsia="仿宋_GB2312"/>
          <w:sz w:val="28"/>
          <w:lang w:val="en-US" w:eastAsia="zh-CN"/>
        </w:rPr>
        <w:t>(2018)大洼区不动产权第0010267</w:t>
      </w:r>
      <w:r>
        <w:rPr>
          <w:rFonts w:hint="eastAsia" w:ascii="仿宋_GB2312" w:eastAsia="仿宋_GB2312"/>
          <w:sz w:val="28"/>
        </w:rPr>
        <w:t>号</w:t>
      </w:r>
      <w:r>
        <w:rPr>
          <w:rFonts w:hint="eastAsia" w:ascii="仿宋_GB2312" w:eastAsia="仿宋_GB2312"/>
          <w:sz w:val="28"/>
          <w:lang w:eastAsia="zh-CN"/>
        </w:rPr>
        <w:t>，权利人</w:t>
      </w:r>
      <w:r>
        <w:rPr>
          <w:rFonts w:hint="eastAsia" w:ascii="仿宋_GB2312" w:eastAsia="仿宋_GB2312"/>
          <w:sz w:val="28"/>
        </w:rPr>
        <w:t>为</w:t>
      </w:r>
      <w:r>
        <w:rPr>
          <w:rFonts w:hint="eastAsia" w:ascii="仿宋_GB2312" w:eastAsia="仿宋_GB2312"/>
          <w:sz w:val="28"/>
          <w:lang w:eastAsia="zh-CN"/>
        </w:rPr>
        <w:t>王帅</w:t>
      </w:r>
      <w:r>
        <w:rPr>
          <w:rFonts w:hint="eastAsia" w:ascii="仿宋_GB2312" w:eastAsia="仿宋_GB2312"/>
          <w:sz w:val="28"/>
        </w:rPr>
        <w:t>，共有情况为</w:t>
      </w:r>
      <w:r>
        <w:rPr>
          <w:rFonts w:hint="eastAsia" w:ascii="仿宋_GB2312" w:eastAsia="仿宋_GB2312"/>
          <w:sz w:val="28"/>
          <w:lang w:eastAsia="zh-CN"/>
        </w:rPr>
        <w:t>单独所有</w:t>
      </w:r>
      <w:r>
        <w:rPr>
          <w:rFonts w:hint="eastAsia" w:ascii="仿宋_GB2312" w:eastAsia="仿宋_GB2312"/>
          <w:sz w:val="28"/>
        </w:rPr>
        <w:t>，用途为住宅，</w:t>
      </w:r>
      <w:r>
        <w:rPr>
          <w:rFonts w:hint="eastAsia" w:ascii="仿宋_GB2312" w:eastAsia="仿宋_GB2312"/>
          <w:sz w:val="28"/>
          <w:lang w:eastAsia="zh-CN"/>
        </w:rPr>
        <w:t>结构钢混，不动产单元号</w:t>
      </w:r>
      <w:r>
        <w:rPr>
          <w:rFonts w:hint="eastAsia" w:ascii="仿宋_GB2312" w:eastAsia="仿宋_GB2312"/>
          <w:sz w:val="28"/>
          <w:lang w:val="en-US" w:eastAsia="zh-CN"/>
        </w:rPr>
        <w:t>211121102233GB00003F00020064</w:t>
      </w:r>
      <w:r>
        <w:rPr>
          <w:rFonts w:hint="eastAsia" w:ascii="仿宋_GB2312" w:eastAsia="仿宋_GB2312"/>
          <w:sz w:val="28"/>
        </w:rPr>
        <w:t>，房屋建筑面积为</w:t>
      </w:r>
      <w:r>
        <w:rPr>
          <w:rFonts w:hint="eastAsia" w:ascii="仿宋_GB2312" w:eastAsia="仿宋_GB2312"/>
          <w:sz w:val="28"/>
          <w:lang w:eastAsia="zh-CN"/>
        </w:rPr>
        <w:t>79.50</w:t>
      </w:r>
      <w:r>
        <w:rPr>
          <w:rFonts w:hint="eastAsia" w:ascii="仿宋_GB2312" w:eastAsia="仿宋_GB2312"/>
          <w:sz w:val="28"/>
        </w:rPr>
        <w:t>平方米，总层数</w:t>
      </w:r>
      <w:r>
        <w:rPr>
          <w:rFonts w:hint="eastAsia" w:ascii="仿宋_GB2312" w:eastAsia="仿宋_GB2312"/>
          <w:sz w:val="28"/>
          <w:lang w:val="en-US" w:eastAsia="zh-CN"/>
        </w:rPr>
        <w:t>7层</w:t>
      </w:r>
      <w:r>
        <w:rPr>
          <w:rFonts w:hint="eastAsia" w:ascii="仿宋_GB2312" w:eastAsia="仿宋_GB2312"/>
          <w:sz w:val="28"/>
        </w:rPr>
        <w:t>，所在层数为</w:t>
      </w:r>
      <w:r>
        <w:rPr>
          <w:rFonts w:hint="eastAsia" w:ascii="仿宋_GB2312" w:eastAsia="仿宋_GB2312"/>
          <w:sz w:val="28"/>
          <w:lang w:val="en-US" w:eastAsia="zh-CN"/>
        </w:rPr>
        <w:t>7层</w:t>
      </w:r>
      <w:r>
        <w:rPr>
          <w:rFonts w:hint="eastAsia" w:ascii="仿宋_GB2312" w:eastAsia="仿宋_GB2312"/>
          <w:sz w:val="28"/>
        </w:rPr>
        <w:t>。</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2 土地基本状况</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color w:val="000000" w:themeColor="text1"/>
          <w:sz w:val="28"/>
        </w:rPr>
        <w:t>估价对象所在地块形状较规则，地势平坦，东至富田小区，南至富田大街，西至锦江路，北至格林花园。根据委托方提供的《不动产权证书》得知：土地权利人为富田花园小区全体业主，宗地面积为62546.7平方米，用途为城镇住宅用地，权利性质为出让，使用期限2006年12月20日起至2076年12月19日止,宗地代码为211121102233GB00003，图幅号为50.25--20.75。于价值时点，估价对象所在区域内、外部基础设施配备齐全，已达到宗地内、外“七通”（即通供水、通排水、通</w:t>
      </w:r>
      <w:bookmarkStart w:id="33" w:name="_GoBack"/>
      <w:bookmarkEnd w:id="33"/>
      <w:r>
        <w:rPr>
          <w:rFonts w:hint="eastAsia" w:ascii="仿宋_GB2312" w:eastAsia="仿宋_GB2312"/>
          <w:color w:val="000000" w:themeColor="text1"/>
          <w:sz w:val="28"/>
        </w:rPr>
        <w:t>路、通讯、通电、通热、通气）。</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3建筑物基本状况</w:t>
      </w:r>
    </w:p>
    <w:p>
      <w:pPr>
        <w:pageBreakBefore w:val="0"/>
        <w:widowControl w:val="0"/>
        <w:kinsoku/>
        <w:wordWrap/>
        <w:overflowPunct/>
        <w:topLinePunct w:val="0"/>
        <w:bidi w:val="0"/>
        <w:spacing w:before="100" w:line="520" w:lineRule="exact"/>
        <w:ind w:firstLine="576" w:firstLineChars="200"/>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建筑结构：钢混结构</w:t>
      </w:r>
    </w:p>
    <w:p>
      <w:pPr>
        <w:pageBreakBefore w:val="0"/>
        <w:widowControl w:val="0"/>
        <w:kinsoku/>
        <w:wordWrap/>
        <w:overflowPunct/>
        <w:topLinePunct w:val="0"/>
        <w:bidi w:val="0"/>
        <w:spacing w:before="100" w:line="520" w:lineRule="exact"/>
        <w:ind w:firstLine="576" w:firstLineChars="200"/>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空间布置及设施设备：估价对象</w:t>
      </w:r>
      <w:r>
        <w:rPr>
          <w:rFonts w:hint="eastAsia" w:ascii="仿宋_GB2312" w:eastAsia="仿宋_GB2312"/>
          <w:color w:val="000000" w:themeColor="text1"/>
          <w:spacing w:val="4"/>
          <w:sz w:val="28"/>
          <w:lang w:eastAsia="zh-CN"/>
        </w:rPr>
        <w:t>为坡屋顶，</w:t>
      </w:r>
      <w:r>
        <w:rPr>
          <w:rFonts w:hint="eastAsia" w:ascii="仿宋_GB2312" w:eastAsia="仿宋_GB2312"/>
          <w:color w:val="000000" w:themeColor="text1"/>
          <w:spacing w:val="4"/>
          <w:sz w:val="28"/>
        </w:rPr>
        <w:t>室内带有客厅、卧室、厨房、卫生间等。水、电、暖、气等设施设备齐全。</w:t>
      </w:r>
    </w:p>
    <w:p>
      <w:pPr>
        <w:pageBreakBefore w:val="0"/>
        <w:widowControl w:val="0"/>
        <w:kinsoku/>
        <w:wordWrap/>
        <w:overflowPunct/>
        <w:topLinePunct w:val="0"/>
        <w:bidi w:val="0"/>
        <w:spacing w:before="100" w:line="520" w:lineRule="exact"/>
        <w:ind w:firstLine="576" w:firstLineChars="200"/>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装饰装修：于价值时点，估价对象室内地面铺设地砖，厨房、卫生间墙面贴墙砖、PVC吊顶，其余室内内墙面</w:t>
      </w:r>
      <w:r>
        <w:rPr>
          <w:rFonts w:hint="eastAsia" w:ascii="仿宋_GB2312" w:eastAsia="仿宋_GB2312"/>
          <w:color w:val="000000" w:themeColor="text1"/>
          <w:spacing w:val="4"/>
          <w:sz w:val="28"/>
          <w:lang w:eastAsia="zh-CN"/>
        </w:rPr>
        <w:t>贴壁纸</w:t>
      </w:r>
      <w:r>
        <w:rPr>
          <w:rFonts w:hint="eastAsia" w:ascii="仿宋_GB2312" w:eastAsia="仿宋_GB2312"/>
          <w:color w:val="000000" w:themeColor="text1"/>
          <w:spacing w:val="4"/>
          <w:sz w:val="28"/>
        </w:rPr>
        <w:t>，塑钢窗，防盗门，室外外立面做保温层，粉刷防水涂料。</w:t>
      </w:r>
    </w:p>
    <w:p>
      <w:pPr>
        <w:pageBreakBefore w:val="0"/>
        <w:widowControl w:val="0"/>
        <w:kinsoku/>
        <w:wordWrap/>
        <w:overflowPunct/>
        <w:topLinePunct w:val="0"/>
        <w:bidi w:val="0"/>
        <w:spacing w:before="100" w:line="520" w:lineRule="exact"/>
        <w:ind w:firstLine="576" w:firstLineChars="200"/>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维护及使用情况：于价值时点，估价对象处于使用状态，修缮及保养</w:t>
      </w:r>
      <w:r>
        <w:rPr>
          <w:rFonts w:hint="eastAsia" w:ascii="仿宋_GB2312" w:eastAsia="仿宋_GB2312"/>
          <w:color w:val="000000" w:themeColor="text1"/>
          <w:spacing w:val="4"/>
          <w:sz w:val="28"/>
          <w:lang w:eastAsia="zh-CN"/>
        </w:rPr>
        <w:t>较</w:t>
      </w:r>
      <w:r>
        <w:rPr>
          <w:rFonts w:hint="eastAsia" w:ascii="仿宋_GB2312" w:eastAsia="仿宋_GB2312"/>
          <w:color w:val="000000" w:themeColor="text1"/>
          <w:spacing w:val="4"/>
          <w:sz w:val="28"/>
        </w:rPr>
        <w:t xml:space="preserve">好，估价对象整体成新度为八成新。 </w:t>
      </w:r>
    </w:p>
    <w:p>
      <w:pPr>
        <w:pageBreakBefore w:val="0"/>
        <w:widowControl w:val="0"/>
        <w:kinsoku/>
        <w:wordWrap/>
        <w:overflowPunct/>
        <w:topLinePunct w:val="0"/>
        <w:bidi w:val="0"/>
        <w:spacing w:before="100" w:line="520" w:lineRule="exact"/>
        <w:ind w:firstLine="576" w:firstLineChars="200"/>
        <w:textAlignment w:val="auto"/>
        <w:rPr>
          <w:rFonts w:hint="eastAsia" w:ascii="仿宋_GB2312" w:eastAsia="仿宋_GB2312"/>
          <w:color w:val="000000" w:themeColor="text1"/>
          <w:spacing w:val="4"/>
          <w:sz w:val="28"/>
        </w:rPr>
      </w:pPr>
      <w:r>
        <w:rPr>
          <w:rFonts w:hint="eastAsia" w:ascii="仿宋_GB2312" w:eastAsia="仿宋_GB2312"/>
          <w:color w:val="000000" w:themeColor="text1"/>
          <w:spacing w:val="4"/>
          <w:sz w:val="28"/>
        </w:rPr>
        <w:t>公共配套设施：估价对象区域内有田家学校、恒丰村镇银行、昆仑大酒店等，各项基础设施及公共配套服务设施</w:t>
      </w:r>
      <w:r>
        <w:rPr>
          <w:rFonts w:hint="eastAsia" w:ascii="仿宋_GB2312" w:eastAsia="仿宋_GB2312"/>
          <w:color w:val="000000" w:themeColor="text1"/>
          <w:spacing w:val="4"/>
          <w:sz w:val="28"/>
          <w:lang w:eastAsia="zh-CN"/>
        </w:rPr>
        <w:t>较</w:t>
      </w:r>
      <w:r>
        <w:rPr>
          <w:rFonts w:hint="eastAsia" w:ascii="仿宋_GB2312" w:eastAsia="仿宋_GB2312"/>
          <w:color w:val="000000" w:themeColor="text1"/>
          <w:spacing w:val="4"/>
          <w:sz w:val="28"/>
        </w:rPr>
        <w:t>完备。区域内道路路网密度大、等级高，泰山路、富田大街等主次干道纵横交错，有4路、大洼小客</w:t>
      </w:r>
      <w:r>
        <w:rPr>
          <w:rFonts w:hint="eastAsia" w:ascii="仿宋_GB2312" w:eastAsia="仿宋_GB2312"/>
          <w:color w:val="000000" w:themeColor="text1"/>
          <w:spacing w:val="4"/>
          <w:sz w:val="28"/>
          <w:lang w:eastAsia="zh-CN"/>
        </w:rPr>
        <w:t>、田家环路</w:t>
      </w:r>
      <w:r>
        <w:rPr>
          <w:rFonts w:hint="eastAsia" w:ascii="仿宋_GB2312" w:eastAsia="仿宋_GB2312"/>
          <w:color w:val="000000" w:themeColor="text1"/>
          <w:spacing w:val="4"/>
          <w:sz w:val="28"/>
        </w:rPr>
        <w:t>等多条市内公交线路在此通过，满足了居民出行需要，交通</w:t>
      </w:r>
      <w:r>
        <w:rPr>
          <w:rFonts w:hint="eastAsia" w:ascii="仿宋_GB2312" w:eastAsia="仿宋_GB2312"/>
          <w:color w:val="000000" w:themeColor="text1"/>
          <w:spacing w:val="4"/>
          <w:sz w:val="28"/>
          <w:lang w:eastAsia="zh-CN"/>
        </w:rPr>
        <w:t>较</w:t>
      </w:r>
      <w:r>
        <w:rPr>
          <w:rFonts w:hint="eastAsia" w:ascii="仿宋_GB2312" w:eastAsia="仿宋_GB2312"/>
          <w:color w:val="000000" w:themeColor="text1"/>
          <w:spacing w:val="4"/>
          <w:sz w:val="28"/>
        </w:rPr>
        <w:t>便捷。</w:t>
      </w:r>
    </w:p>
    <w:p>
      <w:pPr>
        <w:pStyle w:val="3"/>
        <w:pageBreakBefore w:val="0"/>
        <w:widowControl w:val="0"/>
        <w:kinsoku/>
        <w:wordWrap/>
        <w:overflowPunct/>
        <w:topLinePunct w:val="0"/>
        <w:bidi w:val="0"/>
        <w:spacing w:line="520" w:lineRule="exact"/>
        <w:textAlignment w:val="auto"/>
      </w:pPr>
      <w:bookmarkStart w:id="10" w:name="_Toc507680001"/>
      <w:bookmarkStart w:id="11" w:name="_Toc1544"/>
      <w:r>
        <w:rPr>
          <w:rFonts w:hint="eastAsia"/>
        </w:rPr>
        <w:t>五、价值时点</w:t>
      </w:r>
      <w:bookmarkEnd w:id="10"/>
      <w:bookmarkEnd w:id="11"/>
    </w:p>
    <w:p>
      <w:pPr>
        <w:pageBreakBefore w:val="0"/>
        <w:widowControl w:val="0"/>
        <w:kinsoku/>
        <w:wordWrap/>
        <w:overflowPunct/>
        <w:topLinePunct w:val="0"/>
        <w:bidi w:val="0"/>
        <w:spacing w:line="520" w:lineRule="exact"/>
        <w:ind w:firstLine="573"/>
        <w:textAlignment w:val="auto"/>
        <w:rPr>
          <w:rFonts w:ascii="仿宋_GB2312" w:eastAsia="仿宋_GB2312"/>
          <w:color w:val="000000" w:themeColor="text1"/>
          <w:sz w:val="28"/>
        </w:rPr>
      </w:pPr>
      <w:r>
        <w:rPr>
          <w:rFonts w:hint="eastAsia" w:ascii="仿宋_GB2312" w:eastAsia="仿宋_GB2312"/>
          <w:sz w:val="28"/>
        </w:rPr>
        <w:t>本报告以估价师</w:t>
      </w:r>
      <w:r>
        <w:rPr>
          <w:rFonts w:hint="eastAsia" w:ascii="仿宋_GB2312" w:eastAsia="仿宋_GB2312"/>
          <w:sz w:val="28"/>
          <w:lang w:eastAsia="zh-CN"/>
        </w:rPr>
        <w:t>实地</w:t>
      </w:r>
      <w:r>
        <w:rPr>
          <w:rFonts w:hint="eastAsia" w:ascii="仿宋_GB2312" w:eastAsia="仿宋_GB2312"/>
          <w:sz w:val="28"/>
        </w:rPr>
        <w:t>查勘日期为价值时点,即</w:t>
      </w:r>
      <w:r>
        <w:rPr>
          <w:rFonts w:hint="eastAsia" w:ascii="仿宋_GB2312" w:eastAsia="仿宋_GB2312"/>
          <w:sz w:val="28"/>
          <w:lang w:eastAsia="zh-CN"/>
        </w:rPr>
        <w:t>二〇二一年十二月十四日</w:t>
      </w:r>
      <w:r>
        <w:rPr>
          <w:rFonts w:hint="eastAsia" w:ascii="仿宋_GB2312" w:eastAsia="仿宋_GB2312"/>
          <w:sz w:val="28"/>
        </w:rPr>
        <w:t>。</w:t>
      </w:r>
    </w:p>
    <w:p>
      <w:pPr>
        <w:pStyle w:val="3"/>
        <w:pageBreakBefore w:val="0"/>
        <w:widowControl w:val="0"/>
        <w:kinsoku/>
        <w:wordWrap/>
        <w:overflowPunct/>
        <w:topLinePunct w:val="0"/>
        <w:bidi w:val="0"/>
        <w:spacing w:line="520" w:lineRule="exact"/>
        <w:textAlignment w:val="auto"/>
      </w:pPr>
      <w:bookmarkStart w:id="12" w:name="_Toc507680002"/>
      <w:bookmarkStart w:id="13" w:name="_Toc24231"/>
      <w:r>
        <w:rPr>
          <w:rFonts w:hint="eastAsia"/>
        </w:rPr>
        <w:t>六、价值类型</w:t>
      </w:r>
      <w:bookmarkEnd w:id="12"/>
      <w:bookmarkEnd w:id="13"/>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本报告所确定的价值为估价对象房地产在价值时点完整权利状态及满足各项假设限制条件下的房地产市场价值。</w:t>
      </w:r>
    </w:p>
    <w:p>
      <w:pPr>
        <w:pageBreakBefore w:val="0"/>
        <w:widowControl w:val="0"/>
        <w:kinsoku/>
        <w:wordWrap/>
        <w:overflowPunct/>
        <w:topLinePunct w:val="0"/>
        <w:bidi w:val="0"/>
        <w:spacing w:line="520" w:lineRule="exact"/>
        <w:ind w:firstLine="560" w:firstLineChars="200"/>
        <w:textAlignment w:val="auto"/>
        <w:rPr>
          <w:rFonts w:eastAsia="仿宋_GB2312"/>
          <w:color w:val="000000" w:themeColor="text1"/>
          <w:sz w:val="28"/>
        </w:rPr>
      </w:pPr>
      <w:r>
        <w:rPr>
          <w:rFonts w:hint="eastAsia" w:ascii="仿宋_GB2312" w:eastAsia="仿宋_GB2312"/>
          <w:sz w:val="28"/>
        </w:rPr>
        <w:t>市场价值是指估价对象经适当营销后，由熟悉情况、谨慎行事且不受强迫的交易双方，以公平交易方式在价值时点自愿进行交易的金额。</w:t>
      </w:r>
    </w:p>
    <w:p>
      <w:pPr>
        <w:pStyle w:val="3"/>
        <w:pageBreakBefore w:val="0"/>
        <w:widowControl w:val="0"/>
        <w:kinsoku/>
        <w:wordWrap/>
        <w:overflowPunct/>
        <w:topLinePunct w:val="0"/>
        <w:bidi w:val="0"/>
        <w:spacing w:line="520" w:lineRule="exact"/>
        <w:textAlignment w:val="auto"/>
      </w:pPr>
      <w:bookmarkStart w:id="14" w:name="_Toc507680003"/>
      <w:bookmarkStart w:id="15" w:name="_Toc16390"/>
      <w:r>
        <w:rPr>
          <w:rFonts w:hint="eastAsia"/>
        </w:rPr>
        <w:t>七、估价原则</w:t>
      </w:r>
      <w:bookmarkEnd w:id="14"/>
      <w:bookmarkEnd w:id="15"/>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在估价过程中，遵循的主要原则有：</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1 独立、客观、公正原则：要求站在中立的立场上，实事求是、公平正直地评估出对各方估价利害关系人均是公平合理的价值或价格的原则。</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2 合法原则：要求估价结果是依法判定的估价对象状况下的价值或价格的原则。</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3 最高最佳利用原则：要求估价结果是估价对象最高最佳利用状况下的价值或价格的原则。</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4 替代原则：要求估价结果是与估价对象的类似房地产在同等条件下的价值或价格偏差在合理范围内的原则。</w:t>
      </w:r>
    </w:p>
    <w:p>
      <w:pPr>
        <w:pageBreakBefore w:val="0"/>
        <w:widowControl w:val="0"/>
        <w:kinsoku/>
        <w:wordWrap/>
        <w:overflowPunct/>
        <w:topLinePunct w:val="0"/>
        <w:bidi w:val="0"/>
        <w:spacing w:line="520" w:lineRule="exact"/>
        <w:ind w:firstLine="560" w:firstLineChars="200"/>
        <w:textAlignment w:val="auto"/>
        <w:rPr>
          <w:rFonts w:ascii="仿宋_GB2312" w:eastAsia="仿宋_GB2312"/>
          <w:color w:val="000000" w:themeColor="text1"/>
          <w:sz w:val="28"/>
        </w:rPr>
      </w:pPr>
      <w:r>
        <w:rPr>
          <w:rFonts w:hint="eastAsia" w:ascii="仿宋_GB2312" w:eastAsia="仿宋_GB2312"/>
          <w:sz w:val="28"/>
        </w:rPr>
        <w:t>5 价值时点原则：要求估价结果是在根据估价目的确定的某一特定时间的价值或价格的原则。</w:t>
      </w:r>
    </w:p>
    <w:p>
      <w:pPr>
        <w:pStyle w:val="3"/>
        <w:pageBreakBefore w:val="0"/>
        <w:widowControl w:val="0"/>
        <w:kinsoku/>
        <w:wordWrap/>
        <w:overflowPunct/>
        <w:topLinePunct w:val="0"/>
        <w:bidi w:val="0"/>
        <w:spacing w:line="520" w:lineRule="exact"/>
        <w:textAlignment w:val="auto"/>
      </w:pPr>
      <w:bookmarkStart w:id="16" w:name="_Toc507680004"/>
      <w:bookmarkStart w:id="17" w:name="_Toc18338"/>
      <w:r>
        <w:rPr>
          <w:rFonts w:hint="eastAsia"/>
        </w:rPr>
        <w:t>八、估价依据</w:t>
      </w:r>
      <w:bookmarkEnd w:id="16"/>
      <w:bookmarkEnd w:id="17"/>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1有关法律、法规和政策</w:t>
      </w:r>
    </w:p>
    <w:p>
      <w:pPr>
        <w:pageBreakBefore w:val="0"/>
        <w:widowControl w:val="0"/>
        <w:kinsoku/>
        <w:wordWrap/>
        <w:overflowPunct/>
        <w:topLinePunct w:val="0"/>
        <w:bidi w:val="0"/>
        <w:adjustRightInd w:val="0"/>
        <w:snapToGrid w:val="0"/>
        <w:spacing w:line="520" w:lineRule="exact"/>
        <w:ind w:firstLine="560" w:firstLineChars="200"/>
        <w:textAlignment w:val="auto"/>
        <w:rPr>
          <w:rFonts w:ascii="仿宋_GB2312" w:eastAsia="仿宋_GB2312"/>
          <w:color w:val="000000" w:themeColor="text1"/>
          <w:sz w:val="28"/>
        </w:rPr>
      </w:pPr>
      <w:r>
        <w:rPr>
          <w:rFonts w:hint="eastAsia" w:ascii="仿宋_GB2312" w:eastAsia="仿宋_GB2312"/>
          <w:sz w:val="28"/>
        </w:rPr>
        <w:t xml:space="preserve">1.1 </w:t>
      </w:r>
      <w:r>
        <w:rPr>
          <w:rFonts w:hint="eastAsia" w:ascii="仿宋_GB2312" w:hAnsi="Calibri" w:eastAsia="仿宋_GB2312" w:cs="Times New Roman"/>
          <w:color w:val="000000" w:themeColor="text1"/>
          <w:sz w:val="28"/>
        </w:rPr>
        <w:t>《中华人民共和国资产评估法》（中华人民共和国主席令第46号）</w:t>
      </w:r>
    </w:p>
    <w:p>
      <w:pPr>
        <w:pageBreakBefore w:val="0"/>
        <w:widowControl w:val="0"/>
        <w:kinsoku/>
        <w:wordWrap/>
        <w:overflowPunct/>
        <w:topLinePunct w:val="0"/>
        <w:bidi w:val="0"/>
        <w:adjustRightInd w:val="0"/>
        <w:snapToGrid w:val="0"/>
        <w:spacing w:line="520" w:lineRule="exact"/>
        <w:ind w:firstLine="560" w:firstLineChars="200"/>
        <w:textAlignment w:val="auto"/>
        <w:rPr>
          <w:rFonts w:ascii="仿宋_GB2312" w:eastAsia="仿宋_GB2312"/>
          <w:color w:val="000000" w:themeColor="text1"/>
          <w:sz w:val="28"/>
        </w:rPr>
      </w:pPr>
      <w:r>
        <w:rPr>
          <w:rFonts w:hint="eastAsia" w:ascii="仿宋_GB2312" w:eastAsia="仿宋_GB2312"/>
          <w:color w:val="000000" w:themeColor="text1"/>
          <w:sz w:val="28"/>
        </w:rPr>
        <w:t>1.2《中华人民共和国城市房地产管理</w:t>
      </w:r>
      <w:r>
        <w:rPr>
          <w:rFonts w:hint="eastAsia" w:ascii="仿宋_GB2312" w:hAnsi="Calibri" w:eastAsia="仿宋_GB2312" w:cs="Times New Roman"/>
          <w:color w:val="000000" w:themeColor="text1"/>
          <w:sz w:val="28"/>
        </w:rPr>
        <w:t>法》（中华人民共和国主席令第32号)</w:t>
      </w:r>
    </w:p>
    <w:p>
      <w:pPr>
        <w:pageBreakBefore w:val="0"/>
        <w:widowControl w:val="0"/>
        <w:kinsoku/>
        <w:wordWrap/>
        <w:overflowPunct/>
        <w:topLinePunct w:val="0"/>
        <w:bidi w:val="0"/>
        <w:adjustRightInd w:val="0"/>
        <w:snapToGrid w:val="0"/>
        <w:spacing w:line="520" w:lineRule="exact"/>
        <w:ind w:firstLine="560" w:firstLineChars="200"/>
        <w:textAlignment w:val="auto"/>
        <w:rPr>
          <w:rFonts w:ascii="仿宋_GB2312" w:eastAsia="仿宋_GB2312"/>
          <w:color w:val="000000" w:themeColor="text1"/>
          <w:sz w:val="28"/>
        </w:rPr>
      </w:pPr>
      <w:r>
        <w:rPr>
          <w:rFonts w:hint="eastAsia" w:ascii="仿宋_GB2312" w:eastAsia="仿宋_GB2312"/>
          <w:color w:val="000000" w:themeColor="text1"/>
          <w:sz w:val="28"/>
        </w:rPr>
        <w:t>1.3 《中华人民共和国土地管理法》(中华人民共和国主席令第32号）</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1.4</w:t>
      </w:r>
      <w:r>
        <w:rPr>
          <w:rFonts w:hint="eastAsia" w:ascii="仿宋_GB2312" w:eastAsia="仿宋_GB2312"/>
          <w:color w:val="000000" w:themeColor="text1"/>
          <w:sz w:val="28"/>
        </w:rPr>
        <w:t>《中华人民共和国民法典》（中华人民共和国主席令第45号</w:t>
      </w:r>
      <w:r>
        <w:rPr>
          <w:rFonts w:hint="eastAsia" w:ascii="仿宋_GB2312" w:eastAsia="仿宋_GB2312"/>
          <w:sz w:val="28"/>
        </w:rPr>
        <w:t>）</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2 估价标准</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2.1 中华人民共和国国家标准《房地产估价规范》（GB/T 50291—2015）；</w:t>
      </w:r>
    </w:p>
    <w:p>
      <w:pPr>
        <w:pageBreakBefore w:val="0"/>
        <w:widowControl w:val="0"/>
        <w:kinsoku/>
        <w:wordWrap/>
        <w:overflowPunct/>
        <w:topLinePunct w:val="0"/>
        <w:bidi w:val="0"/>
        <w:adjustRightInd w:val="0"/>
        <w:snapToGrid w:val="0"/>
        <w:spacing w:line="520" w:lineRule="exact"/>
        <w:ind w:firstLine="560" w:firstLineChars="200"/>
        <w:textAlignment w:val="auto"/>
        <w:rPr>
          <w:rFonts w:ascii="仿宋_GB2312" w:eastAsia="仿宋_GB2312"/>
          <w:sz w:val="28"/>
        </w:rPr>
      </w:pPr>
      <w:r>
        <w:rPr>
          <w:rFonts w:hint="eastAsia" w:ascii="仿宋_GB2312" w:eastAsia="仿宋_GB2312"/>
          <w:sz w:val="28"/>
        </w:rPr>
        <w:t>2.2 中华人民共和国国家标准《房地产估价基本术语标准》（GB/T 50899-2013）</w:t>
      </w:r>
    </w:p>
    <w:p>
      <w:pPr>
        <w:pageBreakBefore w:val="0"/>
        <w:widowControl w:val="0"/>
        <w:kinsoku/>
        <w:wordWrap/>
        <w:overflowPunct/>
        <w:topLinePunct w:val="0"/>
        <w:bidi w:val="0"/>
        <w:spacing w:line="520" w:lineRule="exact"/>
        <w:ind w:firstLine="560" w:firstLineChars="200"/>
        <w:textAlignment w:val="auto"/>
        <w:rPr>
          <w:rFonts w:ascii="仿宋_GB2312" w:hAnsi="Calibri" w:eastAsia="仿宋_GB2312" w:cs="Times New Roman"/>
          <w:sz w:val="28"/>
        </w:rPr>
      </w:pPr>
      <w:r>
        <w:rPr>
          <w:rFonts w:hint="eastAsia" w:ascii="仿宋_GB2312" w:hAnsi="Calibri" w:eastAsia="仿宋_GB2312" w:cs="Times New Roman"/>
          <w:sz w:val="28"/>
        </w:rPr>
        <w:t>2.3</w:t>
      </w:r>
      <w:r>
        <w:rPr>
          <w:rFonts w:hint="eastAsia" w:ascii="仿宋_GB2312" w:hAnsi="Calibri" w:eastAsia="仿宋_GB2312" w:cs="Times New Roman"/>
          <w:kern w:val="0"/>
          <w:sz w:val="28"/>
        </w:rPr>
        <w:t>《建筑工程工程量清单计价规范》（GB50500-2013）</w:t>
      </w:r>
    </w:p>
    <w:p>
      <w:pPr>
        <w:pageBreakBefore w:val="0"/>
        <w:widowControl w:val="0"/>
        <w:kinsoku/>
        <w:wordWrap/>
        <w:overflowPunct/>
        <w:topLinePunct w:val="0"/>
        <w:bidi w:val="0"/>
        <w:spacing w:line="520" w:lineRule="exact"/>
        <w:ind w:firstLine="560" w:firstLineChars="200"/>
        <w:textAlignment w:val="auto"/>
        <w:rPr>
          <w:rFonts w:ascii="仿宋_GB2312" w:hAnsi="Calibri" w:eastAsia="仿宋_GB2312" w:cs="Times New Roman"/>
          <w:sz w:val="28"/>
        </w:rPr>
      </w:pPr>
      <w:r>
        <w:rPr>
          <w:rFonts w:hint="eastAsia" w:ascii="仿宋_GB2312" w:hAnsi="Calibri" w:eastAsia="仿宋_GB2312" w:cs="Times New Roman"/>
          <w:sz w:val="28"/>
        </w:rPr>
        <w:t>2.4《辽宁省房屋建筑与装饰工程定额》（2017）</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hAnsi="Calibri" w:eastAsia="仿宋_GB2312" w:cs="Times New Roman"/>
          <w:sz w:val="28"/>
        </w:rPr>
        <w:t>2.5</w:t>
      </w:r>
      <w:r>
        <w:rPr>
          <w:rFonts w:hint="eastAsia" w:ascii="仿宋_GB2312" w:eastAsia="仿宋_GB2312"/>
          <w:color w:val="000000" w:themeColor="text1"/>
          <w:kern w:val="0"/>
          <w:sz w:val="28"/>
        </w:rPr>
        <w:t>《房屋完损等级评定标准（试行）》（城住字</w:t>
      </w:r>
      <w:r>
        <w:rPr>
          <w:rFonts w:hint="eastAsia" w:ascii="宋体" w:hAnsi="宋体" w:eastAsia="宋体" w:cs="宋体"/>
          <w:color w:val="000000" w:themeColor="text1"/>
          <w:kern w:val="0"/>
          <w:sz w:val="28"/>
        </w:rPr>
        <w:t>﹝</w:t>
      </w:r>
      <w:r>
        <w:rPr>
          <w:rFonts w:hint="eastAsia" w:ascii="仿宋_GB2312" w:eastAsia="仿宋_GB2312"/>
          <w:color w:val="000000" w:themeColor="text1"/>
          <w:kern w:val="0"/>
          <w:sz w:val="28"/>
        </w:rPr>
        <w:t>1984</w:t>
      </w:r>
      <w:r>
        <w:rPr>
          <w:rFonts w:hint="eastAsia" w:ascii="宋体" w:hAnsi="宋体" w:eastAsia="宋体" w:cs="宋体"/>
          <w:color w:val="000000" w:themeColor="text1"/>
          <w:kern w:val="0"/>
          <w:sz w:val="28"/>
        </w:rPr>
        <w:t>﹞</w:t>
      </w:r>
      <w:r>
        <w:rPr>
          <w:rFonts w:hint="eastAsia" w:ascii="仿宋_GB2312" w:eastAsia="仿宋_GB2312"/>
          <w:color w:val="000000" w:themeColor="text1"/>
          <w:kern w:val="0"/>
          <w:sz w:val="28"/>
        </w:rPr>
        <w:t>第678号）</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3估价委托人提供的资料</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3.1《司法鉴定评估委托书》（（2021）辽11委字第</w:t>
      </w:r>
      <w:r>
        <w:rPr>
          <w:rFonts w:hint="eastAsia" w:ascii="仿宋_GB2312" w:eastAsia="仿宋_GB2312"/>
          <w:sz w:val="28"/>
          <w:lang w:eastAsia="zh-CN"/>
        </w:rPr>
        <w:t>01143</w:t>
      </w:r>
      <w:r>
        <w:rPr>
          <w:rFonts w:hint="eastAsia" w:ascii="仿宋_GB2312" w:eastAsia="仿宋_GB2312"/>
          <w:sz w:val="28"/>
        </w:rPr>
        <w:t>号）</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3.2《</w:t>
      </w:r>
      <w:r>
        <w:rPr>
          <w:rFonts w:hint="eastAsia" w:ascii="仿宋_GB2312" w:eastAsia="仿宋_GB2312"/>
          <w:sz w:val="28"/>
          <w:lang w:eastAsia="zh-CN"/>
        </w:rPr>
        <w:t>不动产权证书</w:t>
      </w:r>
      <w:r>
        <w:rPr>
          <w:rFonts w:hint="eastAsia" w:ascii="仿宋_GB2312" w:eastAsia="仿宋_GB2312"/>
          <w:sz w:val="28"/>
        </w:rPr>
        <w:t>》</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3.3 委托人提供的其他相关资料</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4估价机构及注册房地产估价师掌握和搜集的资料</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4.1估价对象周边现状照片及位置图</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4.2注册房地产估价师现场查勘和市场调查搜集的资料</w:t>
      </w:r>
    </w:p>
    <w:p>
      <w:pPr>
        <w:pageBreakBefore w:val="0"/>
        <w:widowControl w:val="0"/>
        <w:kinsoku/>
        <w:wordWrap/>
        <w:overflowPunct/>
        <w:topLinePunct w:val="0"/>
        <w:bidi w:val="0"/>
        <w:adjustRightInd w:val="0"/>
        <w:snapToGrid w:val="0"/>
        <w:spacing w:line="520" w:lineRule="exact"/>
        <w:ind w:left="562"/>
        <w:textAlignment w:val="auto"/>
        <w:rPr>
          <w:rFonts w:eastAsia="仿宋_GB2312"/>
          <w:b/>
          <w:bCs/>
          <w:color w:val="000000" w:themeColor="text1"/>
          <w:sz w:val="28"/>
        </w:rPr>
      </w:pPr>
      <w:r>
        <w:rPr>
          <w:rFonts w:hint="eastAsia" w:ascii="仿宋_GB2312" w:eastAsia="仿宋_GB2312"/>
          <w:sz w:val="28"/>
        </w:rPr>
        <w:t>4.3本公司掌握和搜集的同类房地产信息资料</w:t>
      </w:r>
    </w:p>
    <w:p>
      <w:pPr>
        <w:pStyle w:val="3"/>
        <w:pageBreakBefore w:val="0"/>
        <w:widowControl w:val="0"/>
        <w:kinsoku/>
        <w:wordWrap/>
        <w:overflowPunct/>
        <w:topLinePunct w:val="0"/>
        <w:bidi w:val="0"/>
        <w:spacing w:line="520" w:lineRule="exact"/>
        <w:textAlignment w:val="auto"/>
      </w:pPr>
      <w:bookmarkStart w:id="18" w:name="_Toc507680005"/>
      <w:bookmarkStart w:id="19" w:name="_Toc9552"/>
      <w:r>
        <w:rPr>
          <w:rFonts w:hint="eastAsia"/>
        </w:rPr>
        <w:t>九、估价方法</w:t>
      </w:r>
      <w:bookmarkEnd w:id="18"/>
      <w:bookmarkEnd w:id="19"/>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通行的估价方法有比较法、收益法、成本法、假设开发法等，估价方法的选择应按照《房地产估价规范》和估价对象的坐落位置、使用性质等实际情况，结合估价目的，结合估价师收集的有关资料，考虑到当前房地产市场发育程度，本次估价采用比较法和成本法。</w:t>
      </w:r>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比较法是将估价对象与在价值时点近期交易的类似房地产进行比较，对这些类似房地产的成交价格做适当的修正和调整，以此求取估价对象的客观合理价格或价值的方法。</w:t>
      </w:r>
    </w:p>
    <w:p>
      <w:pPr>
        <w:pStyle w:val="7"/>
        <w:pageBreakBefore w:val="0"/>
        <w:widowControl w:val="0"/>
        <w:kinsoku/>
        <w:wordWrap/>
        <w:overflowPunct/>
        <w:topLinePunct w:val="0"/>
        <w:bidi w:val="0"/>
        <w:adjustRightInd w:val="0"/>
        <w:snapToGrid w:val="0"/>
        <w:spacing w:line="520" w:lineRule="exact"/>
        <w:textAlignment w:val="auto"/>
        <w:rPr>
          <w:color w:val="000000" w:themeColor="text1"/>
        </w:rPr>
      </w:pPr>
      <w:r>
        <w:rPr>
          <w:rFonts w:hint="eastAsia" w:ascii="仿宋_GB2312"/>
        </w:rPr>
        <w:t>成本法是求取估价对象在估价时点的重新购建价格，然后扣除折旧，以此求取估价对象的客观合理价格或价值的方法。成本法的本质是以房地产的开发建设成本为导向求取估价对象的价值。</w:t>
      </w:r>
    </w:p>
    <w:p>
      <w:pPr>
        <w:pStyle w:val="3"/>
        <w:pageBreakBefore w:val="0"/>
        <w:widowControl w:val="0"/>
        <w:kinsoku/>
        <w:wordWrap/>
        <w:overflowPunct/>
        <w:topLinePunct w:val="0"/>
        <w:bidi w:val="0"/>
        <w:spacing w:line="520" w:lineRule="exact"/>
        <w:textAlignment w:val="auto"/>
      </w:pPr>
      <w:bookmarkStart w:id="20" w:name="_Toc507680006"/>
      <w:bookmarkStart w:id="21" w:name="_Toc1970"/>
      <w:r>
        <w:rPr>
          <w:rFonts w:hint="eastAsia"/>
        </w:rPr>
        <w:t>十、 估价结果</w:t>
      </w:r>
      <w:bookmarkEnd w:id="20"/>
      <w:bookmarkEnd w:id="21"/>
    </w:p>
    <w:p>
      <w:pPr>
        <w:pageBreakBefore w:val="0"/>
        <w:widowControl w:val="0"/>
        <w:kinsoku/>
        <w:wordWrap/>
        <w:overflowPunct/>
        <w:topLinePunct w:val="0"/>
        <w:bidi w:val="0"/>
        <w:spacing w:line="520" w:lineRule="exact"/>
        <w:ind w:firstLine="560" w:firstLineChars="200"/>
        <w:textAlignment w:val="auto"/>
        <w:rPr>
          <w:rFonts w:ascii="仿宋_GB2312" w:eastAsia="仿宋_GB2312"/>
          <w:sz w:val="28"/>
        </w:rPr>
      </w:pPr>
      <w:r>
        <w:rPr>
          <w:rFonts w:hint="eastAsia" w:ascii="仿宋_GB2312" w:eastAsia="仿宋_GB2312"/>
          <w:sz w:val="28"/>
        </w:rPr>
        <w:t>本公司估价人员根据估价目的，遵循估价原则，按照估价程序，采用科学合理的估价方法，在认真分析现有资料的基础上，对影响房地产市场价值因素进行了分析，经过测算，结合估价经验，确定估价对象在价值时点</w:t>
      </w:r>
      <w:r>
        <w:rPr>
          <w:rFonts w:hint="eastAsia" w:ascii="仿宋_GB2312" w:eastAsia="仿宋_GB2312"/>
          <w:sz w:val="28"/>
          <w:lang w:eastAsia="zh-CN"/>
        </w:rPr>
        <w:t>2021年12月1</w:t>
      </w:r>
      <w:r>
        <w:rPr>
          <w:rFonts w:hint="eastAsia" w:ascii="仿宋_GB2312" w:eastAsia="仿宋_GB2312"/>
          <w:sz w:val="28"/>
          <w:lang w:val="en-US" w:eastAsia="zh-CN"/>
        </w:rPr>
        <w:t>4</w:t>
      </w:r>
      <w:r>
        <w:rPr>
          <w:rFonts w:hint="eastAsia" w:ascii="仿宋_GB2312" w:eastAsia="仿宋_GB2312"/>
          <w:sz w:val="28"/>
        </w:rPr>
        <w:t>日的市场价值如下：</w:t>
      </w:r>
    </w:p>
    <w:p>
      <w:pPr>
        <w:pageBreakBefore w:val="0"/>
        <w:widowControl w:val="0"/>
        <w:kinsoku/>
        <w:wordWrap/>
        <w:overflowPunct/>
        <w:topLinePunct w:val="0"/>
        <w:bidi w:val="0"/>
        <w:spacing w:line="520" w:lineRule="exact"/>
        <w:ind w:left="544"/>
        <w:textAlignment w:val="auto"/>
        <w:rPr>
          <w:rFonts w:ascii="仿宋_GB2312" w:eastAsia="仿宋_GB2312"/>
          <w:color w:val="000000" w:themeColor="text1"/>
          <w:spacing w:val="-4"/>
          <w:sz w:val="28"/>
        </w:rPr>
      </w:pPr>
      <w:bookmarkStart w:id="22" w:name="_Toc507680007"/>
      <w:r>
        <w:rPr>
          <w:rFonts w:hint="eastAsia" w:ascii="仿宋_GB2312" w:eastAsia="仿宋_GB2312"/>
          <w:color w:val="000000" w:themeColor="text1"/>
          <w:spacing w:val="-4"/>
          <w:sz w:val="28"/>
        </w:rPr>
        <w:t>面   积：</w:t>
      </w:r>
      <w:r>
        <w:rPr>
          <w:rFonts w:hint="eastAsia" w:ascii="仿宋_GB2312" w:eastAsia="仿宋_GB2312"/>
          <w:color w:val="000000" w:themeColor="text1"/>
          <w:spacing w:val="-4"/>
          <w:sz w:val="28"/>
          <w:lang w:eastAsia="zh-CN"/>
        </w:rPr>
        <w:t>79.50</w:t>
      </w:r>
      <w:r>
        <w:rPr>
          <w:rFonts w:hint="eastAsia" w:ascii="仿宋_GB2312" w:eastAsia="仿宋_GB2312"/>
          <w:color w:val="000000" w:themeColor="text1"/>
          <w:spacing w:val="-4"/>
          <w:sz w:val="28"/>
        </w:rPr>
        <w:t>平方米</w:t>
      </w:r>
    </w:p>
    <w:p>
      <w:pPr>
        <w:pageBreakBefore w:val="0"/>
        <w:widowControl w:val="0"/>
        <w:kinsoku/>
        <w:wordWrap/>
        <w:overflowPunct/>
        <w:topLinePunct w:val="0"/>
        <w:bidi w:val="0"/>
        <w:spacing w:line="520" w:lineRule="exact"/>
        <w:ind w:left="544"/>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单   价：</w:t>
      </w:r>
      <w:r>
        <w:rPr>
          <w:rFonts w:hint="eastAsia" w:ascii="仿宋_GB2312" w:eastAsia="仿宋_GB2312"/>
          <w:color w:val="000000" w:themeColor="text1"/>
          <w:spacing w:val="-4"/>
          <w:sz w:val="28"/>
          <w:lang w:eastAsia="zh-CN"/>
        </w:rPr>
        <w:t>2297</w:t>
      </w:r>
      <w:r>
        <w:rPr>
          <w:rFonts w:hint="eastAsia" w:ascii="仿宋_GB2312" w:eastAsia="仿宋_GB2312"/>
          <w:color w:val="000000" w:themeColor="text1"/>
          <w:spacing w:val="-4"/>
          <w:sz w:val="28"/>
        </w:rPr>
        <w:t>元/平方米</w:t>
      </w:r>
    </w:p>
    <w:p>
      <w:pPr>
        <w:pageBreakBefore w:val="0"/>
        <w:widowControl w:val="0"/>
        <w:kinsoku/>
        <w:wordWrap/>
        <w:overflowPunct/>
        <w:topLinePunct w:val="0"/>
        <w:bidi w:val="0"/>
        <w:spacing w:line="520" w:lineRule="exact"/>
        <w:ind w:left="544"/>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总   价：</w:t>
      </w:r>
      <w:r>
        <w:rPr>
          <w:rFonts w:hint="eastAsia" w:ascii="仿宋_GB2312" w:eastAsia="仿宋_GB2312"/>
          <w:color w:val="000000" w:themeColor="text1"/>
          <w:sz w:val="28"/>
          <w:lang w:eastAsia="zh-CN"/>
        </w:rPr>
        <w:t>182,612.00</w:t>
      </w:r>
      <w:r>
        <w:rPr>
          <w:rFonts w:hint="eastAsia" w:ascii="仿宋_GB2312" w:eastAsia="仿宋_GB2312"/>
          <w:color w:val="000000" w:themeColor="text1"/>
          <w:spacing w:val="-4"/>
          <w:sz w:val="28"/>
        </w:rPr>
        <w:t>元</w:t>
      </w:r>
    </w:p>
    <w:p>
      <w:pPr>
        <w:pageBreakBefore w:val="0"/>
        <w:widowControl w:val="0"/>
        <w:kinsoku/>
        <w:wordWrap/>
        <w:overflowPunct/>
        <w:topLinePunct w:val="0"/>
        <w:bidi w:val="0"/>
        <w:spacing w:line="520" w:lineRule="exact"/>
        <w:ind w:left="544"/>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大   写：</w:t>
      </w:r>
      <w:r>
        <w:rPr>
          <w:rFonts w:hint="eastAsia" w:ascii="仿宋_GB2312" w:eastAsia="仿宋_GB2312"/>
          <w:color w:val="000000" w:themeColor="text1"/>
          <w:spacing w:val="-4"/>
          <w:sz w:val="28"/>
          <w:lang w:eastAsia="zh-CN"/>
        </w:rPr>
        <w:t>壹拾捌万贰仟陆佰壹拾贰</w:t>
      </w:r>
      <w:r>
        <w:rPr>
          <w:rFonts w:hint="eastAsia" w:ascii="仿宋_GB2312" w:eastAsia="仿宋_GB2312"/>
          <w:color w:val="000000" w:themeColor="text1"/>
          <w:spacing w:val="-4"/>
          <w:sz w:val="28"/>
        </w:rPr>
        <w:t>元整</w:t>
      </w:r>
    </w:p>
    <w:p>
      <w:pPr>
        <w:pageBreakBefore w:val="0"/>
        <w:widowControl w:val="0"/>
        <w:tabs>
          <w:tab w:val="left" w:pos="4880"/>
        </w:tabs>
        <w:kinsoku/>
        <w:wordWrap/>
        <w:overflowPunct/>
        <w:topLinePunct w:val="0"/>
        <w:bidi w:val="0"/>
        <w:spacing w:line="520" w:lineRule="exact"/>
        <w:ind w:firstLine="544" w:firstLineChars="200"/>
        <w:textAlignment w:val="auto"/>
        <w:rPr>
          <w:rFonts w:ascii="黑体" w:hAnsi="黑体" w:eastAsia="黑体"/>
          <w:color w:val="000000" w:themeColor="text1"/>
          <w:sz w:val="32"/>
          <w:szCs w:val="32"/>
        </w:rPr>
      </w:pPr>
      <w:r>
        <w:rPr>
          <w:rFonts w:hint="eastAsia" w:ascii="仿宋_GB2312" w:eastAsia="仿宋_GB2312"/>
          <w:color w:val="000000" w:themeColor="text1"/>
          <w:spacing w:val="-4"/>
          <w:sz w:val="28"/>
        </w:rPr>
        <w:t>币   种：人民币</w:t>
      </w:r>
    </w:p>
    <w:p>
      <w:pPr>
        <w:pStyle w:val="3"/>
      </w:pPr>
      <w:bookmarkStart w:id="23" w:name="_Toc9082"/>
      <w:r>
        <w:rPr>
          <w:rFonts w:hint="eastAsia"/>
        </w:rPr>
        <w:t>十一、注册房地产估价师</w:t>
      </w:r>
      <w:bookmarkEnd w:id="22"/>
      <w:bookmarkEnd w:id="23"/>
    </w:p>
    <w:tbl>
      <w:tblPr>
        <w:tblStyle w:val="15"/>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835"/>
        <w:gridCol w:w="2410"/>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ascii="仿宋_GB2312" w:eastAsia="仿宋_GB2312"/>
                <w:b/>
                <w:bCs/>
                <w:sz w:val="28"/>
              </w:rPr>
            </w:pPr>
            <w:bookmarkStart w:id="24" w:name="_Toc507680008"/>
            <w:r>
              <w:rPr>
                <w:rFonts w:hint="eastAsia" w:eastAsia="仿宋_GB2312"/>
                <w:sz w:val="28"/>
              </w:rPr>
              <w:t>姓</w:t>
            </w:r>
            <w:r>
              <w:rPr>
                <w:rFonts w:eastAsia="仿宋_GB2312"/>
                <w:sz w:val="28"/>
              </w:rPr>
              <w:t xml:space="preserve">  </w:t>
            </w:r>
            <w:r>
              <w:rPr>
                <w:rFonts w:hint="eastAsia" w:eastAsia="仿宋_GB2312"/>
                <w:sz w:val="28"/>
              </w:rPr>
              <w:t>名</w:t>
            </w:r>
          </w:p>
        </w:tc>
        <w:tc>
          <w:tcPr>
            <w:tcW w:w="2835" w:type="dxa"/>
            <w:vAlign w:val="center"/>
          </w:tcPr>
          <w:p>
            <w:pPr>
              <w:adjustRightInd w:val="0"/>
              <w:snapToGrid w:val="0"/>
              <w:spacing w:line="700" w:lineRule="exact"/>
              <w:jc w:val="center"/>
              <w:rPr>
                <w:rFonts w:ascii="仿宋_GB2312" w:eastAsia="仿宋_GB2312"/>
                <w:b/>
                <w:bCs/>
                <w:sz w:val="28"/>
              </w:rPr>
            </w:pPr>
            <w:r>
              <w:rPr>
                <w:rFonts w:hint="eastAsia" w:eastAsia="仿宋_GB2312"/>
                <w:sz w:val="28"/>
              </w:rPr>
              <w:t>注册号</w:t>
            </w:r>
          </w:p>
        </w:tc>
        <w:tc>
          <w:tcPr>
            <w:tcW w:w="2410" w:type="dxa"/>
            <w:tcBorders>
              <w:bottom w:val="single" w:color="auto" w:sz="4" w:space="0"/>
            </w:tcBorders>
            <w:vAlign w:val="center"/>
          </w:tcPr>
          <w:p>
            <w:pPr>
              <w:adjustRightInd w:val="0"/>
              <w:snapToGrid w:val="0"/>
              <w:spacing w:line="700" w:lineRule="exact"/>
              <w:jc w:val="center"/>
              <w:rPr>
                <w:rFonts w:ascii="仿宋_GB2312" w:eastAsia="仿宋_GB2312"/>
                <w:b/>
                <w:bCs/>
                <w:sz w:val="28"/>
              </w:rPr>
            </w:pPr>
            <w:r>
              <w:rPr>
                <w:rFonts w:hint="eastAsia" w:eastAsia="仿宋_GB2312"/>
                <w:sz w:val="28"/>
              </w:rPr>
              <w:t>签</w:t>
            </w:r>
            <w:r>
              <w:rPr>
                <w:rFonts w:eastAsia="仿宋_GB2312"/>
                <w:sz w:val="28"/>
              </w:rPr>
              <w:t xml:space="preserve">  </w:t>
            </w:r>
            <w:r>
              <w:rPr>
                <w:rFonts w:hint="eastAsia" w:eastAsia="仿宋_GB2312"/>
                <w:sz w:val="28"/>
              </w:rPr>
              <w:t>名</w:t>
            </w:r>
          </w:p>
        </w:tc>
        <w:tc>
          <w:tcPr>
            <w:tcW w:w="2027" w:type="dxa"/>
            <w:tcBorders>
              <w:bottom w:val="single" w:color="auto" w:sz="4" w:space="0"/>
            </w:tcBorders>
            <w:vAlign w:val="center"/>
          </w:tcPr>
          <w:p>
            <w:pPr>
              <w:adjustRightInd w:val="0"/>
              <w:snapToGrid w:val="0"/>
              <w:spacing w:line="700" w:lineRule="exact"/>
              <w:jc w:val="center"/>
              <w:rPr>
                <w:rFonts w:eastAsia="仿宋_GB2312"/>
                <w:sz w:val="28"/>
              </w:rPr>
            </w:pPr>
            <w:r>
              <w:rPr>
                <w:rFonts w:hint="eastAsia" w:eastAsia="仿宋_GB2312"/>
                <w:sz w:val="28"/>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djustRightInd w:val="0"/>
              <w:snapToGrid w:val="0"/>
              <w:spacing w:line="700" w:lineRule="exact"/>
              <w:ind w:left="-288" w:leftChars="-137" w:firstLine="285" w:firstLineChars="102"/>
              <w:jc w:val="center"/>
              <w:rPr>
                <w:rFonts w:hint="eastAsia" w:ascii="仿宋_GB2312" w:eastAsia="仿宋_GB2312"/>
                <w:b/>
                <w:bCs/>
                <w:sz w:val="28"/>
                <w:lang w:eastAsia="zh-CN"/>
              </w:rPr>
            </w:pPr>
            <w:r>
              <w:rPr>
                <w:rFonts w:hint="eastAsia" w:eastAsia="仿宋_GB2312"/>
                <w:sz w:val="28"/>
                <w:lang w:eastAsia="zh-CN"/>
              </w:rPr>
              <w:t>张  锐</w:t>
            </w:r>
          </w:p>
        </w:tc>
        <w:tc>
          <w:tcPr>
            <w:tcW w:w="2835" w:type="dxa"/>
            <w:vAlign w:val="center"/>
          </w:tcPr>
          <w:p>
            <w:pPr>
              <w:adjustRightInd w:val="0"/>
              <w:snapToGrid w:val="0"/>
              <w:spacing w:line="700" w:lineRule="exact"/>
              <w:jc w:val="center"/>
              <w:rPr>
                <w:rFonts w:hint="eastAsia" w:ascii="仿宋_GB2312" w:eastAsia="仿宋_GB2312"/>
                <w:b/>
                <w:bCs/>
                <w:sz w:val="28"/>
                <w:lang w:eastAsia="zh-CN"/>
              </w:rPr>
            </w:pPr>
            <w:r>
              <w:rPr>
                <w:rFonts w:hint="eastAsia" w:eastAsia="仿宋_GB2312"/>
                <w:sz w:val="28"/>
                <w:lang w:eastAsia="zh-CN"/>
              </w:rPr>
              <w:t>2120130038</w:t>
            </w:r>
          </w:p>
        </w:tc>
        <w:tc>
          <w:tcPr>
            <w:tcW w:w="2410" w:type="dxa"/>
            <w:tcBorders>
              <w:top w:val="single" w:color="auto" w:sz="4" w:space="0"/>
            </w:tcBorders>
            <w:vAlign w:val="center"/>
          </w:tcPr>
          <w:p>
            <w:pPr>
              <w:adjustRightInd w:val="0"/>
              <w:snapToGrid w:val="0"/>
              <w:spacing w:line="700" w:lineRule="exact"/>
              <w:jc w:val="center"/>
              <w:rPr>
                <w:rFonts w:ascii="仿宋_GB2312" w:eastAsia="仿宋_GB2312"/>
                <w:b/>
                <w:bCs/>
                <w:sz w:val="28"/>
              </w:rPr>
            </w:pPr>
          </w:p>
        </w:tc>
        <w:tc>
          <w:tcPr>
            <w:tcW w:w="2027" w:type="dxa"/>
            <w:tcBorders>
              <w:top w:val="single" w:color="auto" w:sz="4" w:space="0"/>
            </w:tcBorders>
            <w:vAlign w:val="center"/>
          </w:tcPr>
          <w:p>
            <w:pPr>
              <w:adjustRightInd w:val="0"/>
              <w:snapToGrid w:val="0"/>
              <w:spacing w:line="700" w:lineRule="exact"/>
              <w:jc w:val="center"/>
              <w:rPr>
                <w:rFonts w:ascii="仿宋_GB2312" w:eastAsia="仿宋_GB2312"/>
                <w:b/>
                <w:bCs/>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hint="eastAsia" w:ascii="仿宋_GB2312" w:eastAsia="仿宋_GB2312"/>
                <w:b/>
                <w:bCs/>
                <w:sz w:val="28"/>
                <w:lang w:val="en-US" w:eastAsia="zh-CN"/>
              </w:rPr>
            </w:pPr>
            <w:r>
              <w:rPr>
                <w:rFonts w:hint="eastAsia" w:eastAsia="仿宋_GB2312"/>
                <w:sz w:val="28"/>
                <w:lang w:val="en-US" w:eastAsia="zh-CN"/>
              </w:rPr>
              <w:t>杨应明</w:t>
            </w:r>
          </w:p>
        </w:tc>
        <w:tc>
          <w:tcPr>
            <w:tcW w:w="2835" w:type="dxa"/>
            <w:vAlign w:val="center"/>
          </w:tcPr>
          <w:p>
            <w:pPr>
              <w:adjustRightInd w:val="0"/>
              <w:snapToGrid w:val="0"/>
              <w:spacing w:line="700" w:lineRule="exact"/>
              <w:jc w:val="center"/>
              <w:rPr>
                <w:rFonts w:hint="eastAsia" w:ascii="仿宋_GB2312" w:eastAsia="仿宋_GB2312"/>
                <w:b/>
                <w:bCs/>
                <w:sz w:val="28"/>
                <w:lang w:eastAsia="zh-CN"/>
              </w:rPr>
            </w:pPr>
            <w:r>
              <w:rPr>
                <w:rFonts w:hint="eastAsia" w:eastAsia="仿宋_GB2312"/>
                <w:sz w:val="28"/>
                <w:lang w:eastAsia="zh-CN"/>
              </w:rPr>
              <w:t>2120180037</w:t>
            </w:r>
          </w:p>
        </w:tc>
        <w:tc>
          <w:tcPr>
            <w:tcW w:w="2410" w:type="dxa"/>
            <w:vAlign w:val="center"/>
          </w:tcPr>
          <w:p>
            <w:pPr>
              <w:adjustRightInd w:val="0"/>
              <w:snapToGrid w:val="0"/>
              <w:spacing w:line="700" w:lineRule="exact"/>
              <w:jc w:val="center"/>
              <w:rPr>
                <w:rFonts w:ascii="仿宋_GB2312" w:eastAsia="仿宋_GB2312"/>
                <w:b/>
                <w:bCs/>
                <w:sz w:val="28"/>
              </w:rPr>
            </w:pPr>
          </w:p>
        </w:tc>
        <w:tc>
          <w:tcPr>
            <w:tcW w:w="2027" w:type="dxa"/>
            <w:vAlign w:val="center"/>
          </w:tcPr>
          <w:p>
            <w:pPr>
              <w:adjustRightInd w:val="0"/>
              <w:snapToGrid w:val="0"/>
              <w:spacing w:line="700" w:lineRule="exact"/>
              <w:jc w:val="center"/>
              <w:rPr>
                <w:rFonts w:ascii="仿宋_GB2312" w:eastAsia="仿宋_GB2312"/>
                <w:b/>
                <w:bCs/>
                <w:sz w:val="28"/>
              </w:rPr>
            </w:pPr>
          </w:p>
        </w:tc>
      </w:tr>
    </w:tbl>
    <w:p>
      <w:pPr>
        <w:pStyle w:val="3"/>
      </w:pPr>
      <w:bookmarkStart w:id="25" w:name="_Toc10186"/>
      <w:r>
        <w:rPr>
          <w:rFonts w:hint="eastAsia"/>
        </w:rPr>
        <w:t>十二、实地查勘期</w:t>
      </w:r>
      <w:bookmarkEnd w:id="24"/>
      <w:bookmarkEnd w:id="25"/>
    </w:p>
    <w:p>
      <w:pPr>
        <w:adjustRightInd w:val="0"/>
        <w:snapToGrid w:val="0"/>
        <w:spacing w:line="540" w:lineRule="exact"/>
        <w:ind w:firstLine="560" w:firstLineChars="200"/>
        <w:rPr>
          <w:rFonts w:hint="eastAsia" w:ascii="仿宋_GB2312" w:eastAsia="仿宋_GB2312"/>
          <w:color w:val="000000" w:themeColor="text1"/>
          <w:sz w:val="28"/>
          <w:lang w:eastAsia="zh-CN"/>
        </w:rPr>
      </w:pPr>
      <w:r>
        <w:rPr>
          <w:rFonts w:hint="eastAsia" w:ascii="仿宋_GB2312" w:eastAsia="仿宋_GB2312"/>
          <w:sz w:val="28"/>
          <w:lang w:eastAsia="zh-CN"/>
        </w:rPr>
        <w:t>二〇二一年十二月十四日</w:t>
      </w:r>
      <w:r>
        <w:rPr>
          <w:rFonts w:hint="eastAsia" w:ascii="仿宋_GB2312" w:eastAsia="仿宋_GB2312"/>
          <w:sz w:val="28"/>
        </w:rPr>
        <w:t>至</w:t>
      </w:r>
      <w:r>
        <w:rPr>
          <w:rFonts w:hint="eastAsia" w:ascii="仿宋_GB2312" w:eastAsia="仿宋_GB2312"/>
          <w:sz w:val="28"/>
          <w:lang w:eastAsia="zh-CN"/>
        </w:rPr>
        <w:t>二〇二一年十二月十四日</w:t>
      </w:r>
    </w:p>
    <w:p>
      <w:pPr>
        <w:pStyle w:val="3"/>
      </w:pPr>
      <w:bookmarkStart w:id="26" w:name="_Toc507680009"/>
      <w:bookmarkStart w:id="27" w:name="_Toc29331"/>
      <w:r>
        <w:rPr>
          <w:rFonts w:hint="eastAsia"/>
        </w:rPr>
        <w:t>十三、估价作业期</w:t>
      </w:r>
      <w:bookmarkEnd w:id="26"/>
      <w:bookmarkEnd w:id="27"/>
    </w:p>
    <w:p>
      <w:pPr>
        <w:ind w:firstLine="560" w:firstLineChars="200"/>
        <w:rPr>
          <w:rFonts w:hint="eastAsia" w:ascii="仿宋_GB2312" w:eastAsia="仿宋_GB2312"/>
          <w:sz w:val="28"/>
          <w:lang w:eastAsia="zh-CN"/>
        </w:rPr>
      </w:pPr>
      <w:r>
        <w:rPr>
          <w:rFonts w:hint="eastAsia" w:ascii="仿宋_GB2312" w:eastAsia="仿宋_GB2312"/>
          <w:sz w:val="28"/>
          <w:lang w:eastAsia="zh-CN"/>
        </w:rPr>
        <w:t>二〇二一年十二月十四日</w:t>
      </w:r>
      <w:r>
        <w:rPr>
          <w:rFonts w:hint="eastAsia" w:ascii="仿宋_GB2312" w:eastAsia="仿宋_GB2312"/>
          <w:sz w:val="28"/>
        </w:rPr>
        <w:t>至</w:t>
      </w:r>
      <w:r>
        <w:rPr>
          <w:rFonts w:hint="eastAsia" w:ascii="仿宋_GB2312" w:eastAsia="仿宋_GB2312"/>
          <w:sz w:val="28"/>
          <w:lang w:eastAsia="zh-CN"/>
        </w:rPr>
        <w:t>二〇二一年十二月十七日</w:t>
      </w:r>
    </w:p>
    <w:p>
      <w:pPr>
        <w:adjustRightInd w:val="0"/>
        <w:snapToGrid w:val="0"/>
        <w:spacing w:line="540" w:lineRule="exact"/>
        <w:ind w:firstLine="560" w:firstLineChars="200"/>
        <w:rPr>
          <w:rFonts w:hint="eastAsia" w:ascii="仿宋_GB2312" w:eastAsia="仿宋_GB2312"/>
          <w:color w:val="000000" w:themeColor="text1"/>
          <w:sz w:val="28"/>
          <w:lang w:eastAsia="zh-CN"/>
        </w:rPr>
      </w:pPr>
    </w:p>
    <w:p>
      <w:pPr>
        <w:widowControl/>
        <w:jc w:val="left"/>
      </w:pPr>
      <w:r>
        <w:br w:type="page"/>
      </w:r>
    </w:p>
    <w:p>
      <w:pPr>
        <w:pStyle w:val="2"/>
        <w:spacing w:before="0" w:after="0" w:line="540" w:lineRule="exact"/>
        <w:jc w:val="center"/>
        <w:rPr>
          <w:rFonts w:ascii="黑体" w:hAnsi="黑体" w:eastAsia="黑体"/>
          <w:color w:val="000000" w:themeColor="text1"/>
          <w:sz w:val="32"/>
          <w:szCs w:val="32"/>
        </w:rPr>
      </w:pPr>
      <w:bookmarkStart w:id="28" w:name="_Toc73968671"/>
      <w:bookmarkStart w:id="29" w:name="_Toc59799473"/>
      <w:bookmarkStart w:id="30" w:name="_Toc17358717"/>
      <w:bookmarkStart w:id="31" w:name="_Toc56068814"/>
      <w:bookmarkStart w:id="32" w:name="_Toc12031"/>
      <w:r>
        <w:rPr>
          <w:rFonts w:hint="eastAsia" w:ascii="黑体" w:hAnsi="黑体" w:eastAsia="黑体"/>
          <w:color w:val="000000" w:themeColor="text1"/>
          <w:sz w:val="32"/>
          <w:szCs w:val="32"/>
        </w:rPr>
        <w:t>附   件</w:t>
      </w:r>
      <w:bookmarkEnd w:id="28"/>
      <w:bookmarkEnd w:id="29"/>
      <w:bookmarkEnd w:id="30"/>
      <w:bookmarkEnd w:id="31"/>
      <w:bookmarkEnd w:id="32"/>
    </w:p>
    <w:p>
      <w:pPr>
        <w:spacing w:line="600" w:lineRule="exact"/>
        <w:rPr>
          <w:rFonts w:ascii="仿宋_GB2312" w:eastAsia="仿宋_GB2312"/>
          <w:color w:val="000000" w:themeColor="text1"/>
          <w:sz w:val="28"/>
        </w:rPr>
      </w:pPr>
    </w:p>
    <w:p>
      <w:pPr>
        <w:spacing w:line="600" w:lineRule="exact"/>
        <w:ind w:left="703" w:firstLine="560"/>
        <w:rPr>
          <w:rFonts w:ascii="仿宋_GB2312" w:eastAsia="仿宋_GB2312"/>
          <w:sz w:val="28"/>
        </w:rPr>
      </w:pPr>
      <w:r>
        <w:rPr>
          <w:rFonts w:hint="eastAsia" w:ascii="仿宋_GB2312" w:eastAsia="仿宋_GB2312"/>
          <w:sz w:val="28"/>
        </w:rPr>
        <w:t>一、《司法鉴定评估委托书》（（2021）辽11委字第</w:t>
      </w:r>
      <w:r>
        <w:rPr>
          <w:rFonts w:hint="eastAsia" w:ascii="仿宋_GB2312" w:eastAsia="仿宋_GB2312"/>
          <w:sz w:val="28"/>
          <w:lang w:eastAsia="zh-CN"/>
        </w:rPr>
        <w:t>01143</w:t>
      </w:r>
      <w:r>
        <w:rPr>
          <w:rFonts w:hint="eastAsia" w:ascii="仿宋_GB2312" w:eastAsia="仿宋_GB2312"/>
          <w:sz w:val="28"/>
        </w:rPr>
        <w:t>号）复印件</w:t>
      </w:r>
    </w:p>
    <w:p>
      <w:pPr>
        <w:spacing w:line="600" w:lineRule="exact"/>
        <w:ind w:left="703" w:firstLine="560"/>
        <w:rPr>
          <w:rFonts w:ascii="仿宋_GB2312" w:eastAsia="仿宋_GB2312"/>
          <w:sz w:val="28"/>
        </w:rPr>
      </w:pPr>
      <w:r>
        <w:rPr>
          <w:rFonts w:hint="eastAsia" w:ascii="仿宋_GB2312" w:eastAsia="仿宋_GB2312"/>
          <w:sz w:val="28"/>
        </w:rPr>
        <w:t>二、《</w:t>
      </w:r>
      <w:r>
        <w:rPr>
          <w:rFonts w:hint="eastAsia" w:ascii="仿宋_GB2312" w:eastAsia="仿宋_GB2312"/>
          <w:sz w:val="28"/>
          <w:lang w:eastAsia="zh-CN"/>
        </w:rPr>
        <w:t>不动产权证书</w:t>
      </w:r>
      <w:r>
        <w:rPr>
          <w:rFonts w:hint="eastAsia" w:ascii="仿宋_GB2312" w:eastAsia="仿宋_GB2312"/>
          <w:sz w:val="28"/>
        </w:rPr>
        <w:t>》复印件</w:t>
      </w:r>
    </w:p>
    <w:p>
      <w:pPr>
        <w:spacing w:line="600" w:lineRule="exact"/>
        <w:ind w:left="703" w:firstLine="560"/>
        <w:rPr>
          <w:rFonts w:ascii="仿宋_GB2312" w:eastAsia="仿宋_GB2312"/>
          <w:sz w:val="28"/>
        </w:rPr>
      </w:pPr>
      <w:r>
        <w:rPr>
          <w:rFonts w:hint="eastAsia" w:ascii="仿宋_GB2312" w:eastAsia="仿宋_GB2312"/>
          <w:sz w:val="28"/>
        </w:rPr>
        <w:t>三、估价对象位置图</w:t>
      </w:r>
    </w:p>
    <w:p>
      <w:pPr>
        <w:spacing w:line="600" w:lineRule="exact"/>
        <w:ind w:firstLine="1260" w:firstLineChars="450"/>
        <w:rPr>
          <w:rFonts w:ascii="仿宋_GB2312" w:eastAsia="仿宋_GB2312"/>
          <w:sz w:val="28"/>
        </w:rPr>
      </w:pPr>
      <w:r>
        <w:rPr>
          <w:rFonts w:hint="eastAsia" w:ascii="仿宋_GB2312" w:eastAsia="仿宋_GB2312"/>
          <w:sz w:val="28"/>
        </w:rPr>
        <w:t>四、估价对象内、外部照片和周围环境照片</w:t>
      </w:r>
    </w:p>
    <w:p>
      <w:pPr>
        <w:spacing w:line="600" w:lineRule="exact"/>
        <w:ind w:left="703" w:firstLine="560"/>
        <w:rPr>
          <w:rFonts w:ascii="仿宋_GB2312" w:eastAsia="仿宋_GB2312"/>
          <w:sz w:val="28"/>
        </w:rPr>
      </w:pPr>
      <w:r>
        <w:rPr>
          <w:rFonts w:hint="eastAsia" w:ascii="仿宋_GB2312" w:eastAsia="仿宋_GB2312"/>
          <w:sz w:val="28"/>
        </w:rPr>
        <w:t>五、注册房地产估价师资格证书复印件</w:t>
      </w:r>
    </w:p>
    <w:p>
      <w:pPr>
        <w:spacing w:line="600" w:lineRule="exact"/>
        <w:ind w:left="703" w:firstLine="560"/>
        <w:rPr>
          <w:rFonts w:ascii="仿宋_GB2312" w:eastAsia="仿宋_GB2312"/>
          <w:sz w:val="28"/>
        </w:rPr>
      </w:pPr>
      <w:r>
        <w:rPr>
          <w:rFonts w:hint="eastAsia" w:ascii="仿宋_GB2312" w:eastAsia="仿宋_GB2312"/>
          <w:sz w:val="28"/>
        </w:rPr>
        <w:t>六、估价机构《营业执照》复印件</w:t>
      </w:r>
    </w:p>
    <w:p>
      <w:pPr>
        <w:spacing w:line="600" w:lineRule="exact"/>
        <w:ind w:firstLine="1260" w:firstLineChars="450"/>
        <w:rPr>
          <w:rFonts w:ascii="仿宋_GB2312" w:eastAsia="仿宋_GB2312"/>
          <w:color w:val="000000" w:themeColor="text1"/>
          <w:spacing w:val="30"/>
          <w:sz w:val="28"/>
        </w:rPr>
      </w:pPr>
      <w:r>
        <w:rPr>
          <w:rFonts w:hint="eastAsia" w:ascii="仿宋_GB2312" w:eastAsia="仿宋_GB2312"/>
          <w:sz w:val="28"/>
        </w:rPr>
        <w:t>七、房地产估价机构备案证书复印件</w:t>
      </w:r>
    </w:p>
    <w:p>
      <w:pPr>
        <w:spacing w:line="580" w:lineRule="exact"/>
        <w:ind w:left="562" w:firstLine="170" w:firstLineChars="50"/>
        <w:rPr>
          <w:rFonts w:ascii="仿宋_GB2312" w:eastAsia="仿宋_GB2312"/>
          <w:color w:val="000000" w:themeColor="text1"/>
          <w:spacing w:val="30"/>
          <w:sz w:val="28"/>
        </w:rPr>
      </w:pPr>
    </w:p>
    <w:sectPr>
      <w:footerReference r:id="rId6" w:type="default"/>
      <w:pgSz w:w="11906" w:h="16838"/>
      <w:pgMar w:top="1418" w:right="1021" w:bottom="1418" w:left="1531" w:header="851"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line id="_x0000_s4097" o:spid="_x0000_s4097" o:spt="20" style="position:absolute;left:0pt;margin-left:0pt;margin-top:7.6pt;height:0pt;width:468pt;z-index:251659264;mso-width-relative:page;mso-height-relative:page;" coordsize="21600,21600">
          <v:path arrowok="t"/>
          <v:fill focussize="0,0"/>
          <v:stroke/>
          <v:imagedata o:title=""/>
          <o:lock v:ext="edit"/>
        </v:line>
      </w:pict>
    </w:r>
  </w:p>
  <w:p>
    <w:pPr>
      <w:pStyle w:val="9"/>
      <w:jc w:val="center"/>
    </w:pPr>
    <w:r>
      <w:rPr>
        <w:rFonts w:hint="eastAsia"/>
      </w:rPr>
      <w:t>第</w:t>
    </w:r>
    <w:r>
      <w:fldChar w:fldCharType="begin"/>
    </w:r>
    <w:r>
      <w:instrText xml:space="preserve"> PAGE   \* MERGEFORMAT </w:instrText>
    </w:r>
    <w:r>
      <w:fldChar w:fldCharType="separate"/>
    </w:r>
    <w:r>
      <w:rPr>
        <w:lang w:val="zh-CN"/>
      </w:rPr>
      <w:t>10</w:t>
    </w:r>
    <w:r>
      <w:rPr>
        <w:lang w:val="zh-CN"/>
      </w:rPr>
      <w:fldChar w:fldCharType="end"/>
    </w:r>
    <w:r>
      <w:rPr>
        <w:rFonts w:hint="eastAsia"/>
      </w:rPr>
      <w:t>页共</w:t>
    </w:r>
    <w:r>
      <w:rPr>
        <w:rFonts w:hint="eastAsia"/>
        <w:lang w:val="en-US" w:eastAsia="zh-CN"/>
      </w:rPr>
      <w:t>9</w:t>
    </w:r>
    <w:r>
      <w:rPr>
        <w:rFonts w:hint="eastAsia"/>
      </w:rPr>
      <w:t>页</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w:t>
    </w:r>
    <w:r>
      <w:rPr>
        <w:rFonts w:hint="eastAsia"/>
        <w:b/>
        <w:bCs/>
        <w:i/>
        <w:iCs/>
        <w:u w:val="single"/>
        <w:lang w:eastAsia="zh-CN"/>
      </w:rPr>
      <w:t>估价</w:t>
    </w:r>
    <w:r>
      <w:rPr>
        <w:rFonts w:hint="eastAsia"/>
        <w:b/>
        <w:bCs/>
        <w:i/>
        <w:iCs/>
        <w:u w:val="single"/>
      </w:rPr>
      <w:t>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tabs>
        <w:tab w:val="left" w:pos="3804"/>
      </w:tabs>
      <w:ind w:right="95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C3CA5"/>
    <w:multiLevelType w:val="multilevel"/>
    <w:tmpl w:val="54DC3CA5"/>
    <w:lvl w:ilvl="0" w:tentative="0">
      <w:start w:val="1"/>
      <w:numFmt w:val="japaneseCounting"/>
      <w:lvlText w:val="%1、"/>
      <w:lvlJc w:val="left"/>
      <w:pPr>
        <w:tabs>
          <w:tab w:val="left" w:pos="1264"/>
        </w:tabs>
        <w:ind w:left="1264" w:hanging="720"/>
      </w:pPr>
      <w:rPr>
        <w:rFonts w:hint="eastAsia"/>
      </w:rPr>
    </w:lvl>
    <w:lvl w:ilvl="1" w:tentative="0">
      <w:start w:val="1"/>
      <w:numFmt w:val="lowerLetter"/>
      <w:lvlText w:val="%2)"/>
      <w:lvlJc w:val="left"/>
      <w:pPr>
        <w:tabs>
          <w:tab w:val="left" w:pos="1384"/>
        </w:tabs>
        <w:ind w:left="1384" w:hanging="420"/>
      </w:pPr>
    </w:lvl>
    <w:lvl w:ilvl="2" w:tentative="0">
      <w:start w:val="1"/>
      <w:numFmt w:val="lowerRoman"/>
      <w:lvlText w:val="%3."/>
      <w:lvlJc w:val="right"/>
      <w:pPr>
        <w:tabs>
          <w:tab w:val="left" w:pos="1804"/>
        </w:tabs>
        <w:ind w:left="1804" w:hanging="420"/>
      </w:pPr>
    </w:lvl>
    <w:lvl w:ilvl="3" w:tentative="0">
      <w:start w:val="1"/>
      <w:numFmt w:val="decimal"/>
      <w:lvlText w:val="%4."/>
      <w:lvlJc w:val="left"/>
      <w:pPr>
        <w:tabs>
          <w:tab w:val="left" w:pos="2224"/>
        </w:tabs>
        <w:ind w:left="2224" w:hanging="420"/>
      </w:pPr>
    </w:lvl>
    <w:lvl w:ilvl="4" w:tentative="0">
      <w:start w:val="1"/>
      <w:numFmt w:val="lowerLetter"/>
      <w:lvlText w:val="%5)"/>
      <w:lvlJc w:val="left"/>
      <w:pPr>
        <w:tabs>
          <w:tab w:val="left" w:pos="2644"/>
        </w:tabs>
        <w:ind w:left="2644" w:hanging="420"/>
      </w:pPr>
    </w:lvl>
    <w:lvl w:ilvl="5" w:tentative="0">
      <w:start w:val="1"/>
      <w:numFmt w:val="lowerRoman"/>
      <w:lvlText w:val="%6."/>
      <w:lvlJc w:val="right"/>
      <w:pPr>
        <w:tabs>
          <w:tab w:val="left" w:pos="3064"/>
        </w:tabs>
        <w:ind w:left="3064" w:hanging="420"/>
      </w:pPr>
    </w:lvl>
    <w:lvl w:ilvl="6" w:tentative="0">
      <w:start w:val="1"/>
      <w:numFmt w:val="decimal"/>
      <w:lvlText w:val="%7."/>
      <w:lvlJc w:val="left"/>
      <w:pPr>
        <w:tabs>
          <w:tab w:val="left" w:pos="3484"/>
        </w:tabs>
        <w:ind w:left="3484" w:hanging="420"/>
      </w:pPr>
    </w:lvl>
    <w:lvl w:ilvl="7" w:tentative="0">
      <w:start w:val="1"/>
      <w:numFmt w:val="lowerLetter"/>
      <w:lvlText w:val="%8)"/>
      <w:lvlJc w:val="left"/>
      <w:pPr>
        <w:tabs>
          <w:tab w:val="left" w:pos="3904"/>
        </w:tabs>
        <w:ind w:left="3904" w:hanging="420"/>
      </w:pPr>
    </w:lvl>
    <w:lvl w:ilvl="8" w:tentative="0">
      <w:start w:val="1"/>
      <w:numFmt w:val="lowerRoman"/>
      <w:lvlText w:val="%9."/>
      <w:lvlJc w:val="right"/>
      <w:pPr>
        <w:tabs>
          <w:tab w:val="left" w:pos="4324"/>
        </w:tabs>
        <w:ind w:left="43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55FDF"/>
    <w:rsid w:val="0000019B"/>
    <w:rsid w:val="00000556"/>
    <w:rsid w:val="00000597"/>
    <w:rsid w:val="000006DA"/>
    <w:rsid w:val="00001F50"/>
    <w:rsid w:val="00002EFE"/>
    <w:rsid w:val="00003A22"/>
    <w:rsid w:val="00004FBA"/>
    <w:rsid w:val="00006AD0"/>
    <w:rsid w:val="000101F2"/>
    <w:rsid w:val="00010D6F"/>
    <w:rsid w:val="000115C7"/>
    <w:rsid w:val="0001196B"/>
    <w:rsid w:val="00011C72"/>
    <w:rsid w:val="00011D69"/>
    <w:rsid w:val="00013380"/>
    <w:rsid w:val="00013FE7"/>
    <w:rsid w:val="000156D0"/>
    <w:rsid w:val="00016A09"/>
    <w:rsid w:val="00017401"/>
    <w:rsid w:val="00020060"/>
    <w:rsid w:val="000225F7"/>
    <w:rsid w:val="00025633"/>
    <w:rsid w:val="00025A54"/>
    <w:rsid w:val="00026987"/>
    <w:rsid w:val="000274EA"/>
    <w:rsid w:val="000300C4"/>
    <w:rsid w:val="00030BAB"/>
    <w:rsid w:val="00030DB4"/>
    <w:rsid w:val="00031AF7"/>
    <w:rsid w:val="00032E1B"/>
    <w:rsid w:val="00033D89"/>
    <w:rsid w:val="00035FE1"/>
    <w:rsid w:val="00035FEE"/>
    <w:rsid w:val="0003685D"/>
    <w:rsid w:val="000368E7"/>
    <w:rsid w:val="00037E1B"/>
    <w:rsid w:val="0004010E"/>
    <w:rsid w:val="00043B6F"/>
    <w:rsid w:val="0004536D"/>
    <w:rsid w:val="00047CCE"/>
    <w:rsid w:val="00050A48"/>
    <w:rsid w:val="000523BB"/>
    <w:rsid w:val="000533F4"/>
    <w:rsid w:val="00053720"/>
    <w:rsid w:val="0005390E"/>
    <w:rsid w:val="00053CB3"/>
    <w:rsid w:val="000546FC"/>
    <w:rsid w:val="000547D8"/>
    <w:rsid w:val="00054A24"/>
    <w:rsid w:val="00054F91"/>
    <w:rsid w:val="000561F5"/>
    <w:rsid w:val="00060736"/>
    <w:rsid w:val="000616E1"/>
    <w:rsid w:val="00062501"/>
    <w:rsid w:val="00062E94"/>
    <w:rsid w:val="00063F10"/>
    <w:rsid w:val="00064B38"/>
    <w:rsid w:val="00065FF0"/>
    <w:rsid w:val="00066307"/>
    <w:rsid w:val="0006681A"/>
    <w:rsid w:val="000669C1"/>
    <w:rsid w:val="00067611"/>
    <w:rsid w:val="00070A32"/>
    <w:rsid w:val="00071D19"/>
    <w:rsid w:val="00071FB5"/>
    <w:rsid w:val="000724A4"/>
    <w:rsid w:val="00073A20"/>
    <w:rsid w:val="0007453E"/>
    <w:rsid w:val="00074935"/>
    <w:rsid w:val="00074B5D"/>
    <w:rsid w:val="00075E19"/>
    <w:rsid w:val="000767DE"/>
    <w:rsid w:val="00077E0B"/>
    <w:rsid w:val="00081770"/>
    <w:rsid w:val="00081E67"/>
    <w:rsid w:val="00082731"/>
    <w:rsid w:val="000830CE"/>
    <w:rsid w:val="00083598"/>
    <w:rsid w:val="00083A49"/>
    <w:rsid w:val="000857FB"/>
    <w:rsid w:val="0009042F"/>
    <w:rsid w:val="00090742"/>
    <w:rsid w:val="00090C9C"/>
    <w:rsid w:val="00090EF5"/>
    <w:rsid w:val="00091191"/>
    <w:rsid w:val="00092000"/>
    <w:rsid w:val="00092B18"/>
    <w:rsid w:val="00092DF5"/>
    <w:rsid w:val="00094209"/>
    <w:rsid w:val="000944BC"/>
    <w:rsid w:val="00095D3C"/>
    <w:rsid w:val="0009646B"/>
    <w:rsid w:val="00096834"/>
    <w:rsid w:val="00097B31"/>
    <w:rsid w:val="000A0C2F"/>
    <w:rsid w:val="000A3D07"/>
    <w:rsid w:val="000A3D12"/>
    <w:rsid w:val="000A3E82"/>
    <w:rsid w:val="000A3EB5"/>
    <w:rsid w:val="000A4E19"/>
    <w:rsid w:val="000A5B7E"/>
    <w:rsid w:val="000A7D6B"/>
    <w:rsid w:val="000B0F5F"/>
    <w:rsid w:val="000B131B"/>
    <w:rsid w:val="000B19B8"/>
    <w:rsid w:val="000B46EF"/>
    <w:rsid w:val="000B5352"/>
    <w:rsid w:val="000B5CF6"/>
    <w:rsid w:val="000B6264"/>
    <w:rsid w:val="000B6956"/>
    <w:rsid w:val="000C0099"/>
    <w:rsid w:val="000C13BF"/>
    <w:rsid w:val="000C1846"/>
    <w:rsid w:val="000C1D66"/>
    <w:rsid w:val="000C2F57"/>
    <w:rsid w:val="000C37A7"/>
    <w:rsid w:val="000C3BC2"/>
    <w:rsid w:val="000C435C"/>
    <w:rsid w:val="000D0212"/>
    <w:rsid w:val="000D13D6"/>
    <w:rsid w:val="000D1872"/>
    <w:rsid w:val="000D2FAD"/>
    <w:rsid w:val="000D4648"/>
    <w:rsid w:val="000D486D"/>
    <w:rsid w:val="000D6144"/>
    <w:rsid w:val="000D6405"/>
    <w:rsid w:val="000D68AD"/>
    <w:rsid w:val="000D7E9D"/>
    <w:rsid w:val="000E0FEF"/>
    <w:rsid w:val="000E274D"/>
    <w:rsid w:val="000E30BA"/>
    <w:rsid w:val="000E3607"/>
    <w:rsid w:val="000E56A1"/>
    <w:rsid w:val="000E57B4"/>
    <w:rsid w:val="000E59EB"/>
    <w:rsid w:val="000E6529"/>
    <w:rsid w:val="000E7EF6"/>
    <w:rsid w:val="000F0A16"/>
    <w:rsid w:val="000F1174"/>
    <w:rsid w:val="000F1633"/>
    <w:rsid w:val="000F187B"/>
    <w:rsid w:val="000F5238"/>
    <w:rsid w:val="000F688D"/>
    <w:rsid w:val="000F7A6A"/>
    <w:rsid w:val="00100096"/>
    <w:rsid w:val="001003B7"/>
    <w:rsid w:val="001013F3"/>
    <w:rsid w:val="00101C9C"/>
    <w:rsid w:val="00102F84"/>
    <w:rsid w:val="001040A1"/>
    <w:rsid w:val="00104E2E"/>
    <w:rsid w:val="00105954"/>
    <w:rsid w:val="001063EA"/>
    <w:rsid w:val="001067AB"/>
    <w:rsid w:val="001070BC"/>
    <w:rsid w:val="0010726B"/>
    <w:rsid w:val="00111C42"/>
    <w:rsid w:val="00112F7E"/>
    <w:rsid w:val="00113498"/>
    <w:rsid w:val="00115742"/>
    <w:rsid w:val="00115D66"/>
    <w:rsid w:val="0011616E"/>
    <w:rsid w:val="001206FF"/>
    <w:rsid w:val="00120D81"/>
    <w:rsid w:val="0012135A"/>
    <w:rsid w:val="0012265E"/>
    <w:rsid w:val="001226F9"/>
    <w:rsid w:val="001229D0"/>
    <w:rsid w:val="001235FE"/>
    <w:rsid w:val="00123F91"/>
    <w:rsid w:val="00124225"/>
    <w:rsid w:val="00124815"/>
    <w:rsid w:val="00124919"/>
    <w:rsid w:val="00125A0D"/>
    <w:rsid w:val="001265AC"/>
    <w:rsid w:val="00126D13"/>
    <w:rsid w:val="001270A8"/>
    <w:rsid w:val="00127A4D"/>
    <w:rsid w:val="0013026D"/>
    <w:rsid w:val="001307C0"/>
    <w:rsid w:val="00130A9F"/>
    <w:rsid w:val="0013140A"/>
    <w:rsid w:val="001317E5"/>
    <w:rsid w:val="001322C4"/>
    <w:rsid w:val="0013303E"/>
    <w:rsid w:val="00133048"/>
    <w:rsid w:val="001333DD"/>
    <w:rsid w:val="0013520B"/>
    <w:rsid w:val="00136316"/>
    <w:rsid w:val="00137033"/>
    <w:rsid w:val="00137C33"/>
    <w:rsid w:val="001438C4"/>
    <w:rsid w:val="00143A27"/>
    <w:rsid w:val="00144369"/>
    <w:rsid w:val="0014585B"/>
    <w:rsid w:val="00146838"/>
    <w:rsid w:val="001474E3"/>
    <w:rsid w:val="00147614"/>
    <w:rsid w:val="0015039D"/>
    <w:rsid w:val="00150527"/>
    <w:rsid w:val="00150C68"/>
    <w:rsid w:val="0015132E"/>
    <w:rsid w:val="00151973"/>
    <w:rsid w:val="00151B5F"/>
    <w:rsid w:val="00151F14"/>
    <w:rsid w:val="00152024"/>
    <w:rsid w:val="001528C7"/>
    <w:rsid w:val="00152D27"/>
    <w:rsid w:val="0015359F"/>
    <w:rsid w:val="001536F2"/>
    <w:rsid w:val="00153743"/>
    <w:rsid w:val="00154DD6"/>
    <w:rsid w:val="00154E83"/>
    <w:rsid w:val="00155181"/>
    <w:rsid w:val="001552D6"/>
    <w:rsid w:val="0015541F"/>
    <w:rsid w:val="001554A9"/>
    <w:rsid w:val="001555C0"/>
    <w:rsid w:val="00155EBE"/>
    <w:rsid w:val="001560F6"/>
    <w:rsid w:val="001577C4"/>
    <w:rsid w:val="001611D8"/>
    <w:rsid w:val="00163283"/>
    <w:rsid w:val="001638D8"/>
    <w:rsid w:val="00163A90"/>
    <w:rsid w:val="00164AB2"/>
    <w:rsid w:val="00164C87"/>
    <w:rsid w:val="00164EA0"/>
    <w:rsid w:val="001654E2"/>
    <w:rsid w:val="0016565F"/>
    <w:rsid w:val="0016654F"/>
    <w:rsid w:val="001677DB"/>
    <w:rsid w:val="00170758"/>
    <w:rsid w:val="00170F15"/>
    <w:rsid w:val="00171120"/>
    <w:rsid w:val="0017229F"/>
    <w:rsid w:val="00174212"/>
    <w:rsid w:val="00174FAB"/>
    <w:rsid w:val="00175596"/>
    <w:rsid w:val="0017613B"/>
    <w:rsid w:val="00176232"/>
    <w:rsid w:val="00176F4A"/>
    <w:rsid w:val="001836E3"/>
    <w:rsid w:val="00183772"/>
    <w:rsid w:val="00183F18"/>
    <w:rsid w:val="00184319"/>
    <w:rsid w:val="001850CF"/>
    <w:rsid w:val="00185633"/>
    <w:rsid w:val="001856E1"/>
    <w:rsid w:val="00185D1A"/>
    <w:rsid w:val="00186B44"/>
    <w:rsid w:val="00187544"/>
    <w:rsid w:val="0019034E"/>
    <w:rsid w:val="0019138D"/>
    <w:rsid w:val="0019227E"/>
    <w:rsid w:val="001923C9"/>
    <w:rsid w:val="0019250F"/>
    <w:rsid w:val="00193908"/>
    <w:rsid w:val="00193A90"/>
    <w:rsid w:val="00195ACA"/>
    <w:rsid w:val="00196122"/>
    <w:rsid w:val="0019612A"/>
    <w:rsid w:val="00196FB8"/>
    <w:rsid w:val="00197918"/>
    <w:rsid w:val="001A22F3"/>
    <w:rsid w:val="001A67C1"/>
    <w:rsid w:val="001A6DEE"/>
    <w:rsid w:val="001A7067"/>
    <w:rsid w:val="001B2F70"/>
    <w:rsid w:val="001B3036"/>
    <w:rsid w:val="001B4729"/>
    <w:rsid w:val="001B5313"/>
    <w:rsid w:val="001B6726"/>
    <w:rsid w:val="001B7BE1"/>
    <w:rsid w:val="001C07F4"/>
    <w:rsid w:val="001C17E2"/>
    <w:rsid w:val="001C32B1"/>
    <w:rsid w:val="001C3E44"/>
    <w:rsid w:val="001C42F5"/>
    <w:rsid w:val="001C48E3"/>
    <w:rsid w:val="001C585C"/>
    <w:rsid w:val="001C784F"/>
    <w:rsid w:val="001C799A"/>
    <w:rsid w:val="001D0F37"/>
    <w:rsid w:val="001D11DC"/>
    <w:rsid w:val="001D2706"/>
    <w:rsid w:val="001D381E"/>
    <w:rsid w:val="001D4C16"/>
    <w:rsid w:val="001D5AAF"/>
    <w:rsid w:val="001D5C40"/>
    <w:rsid w:val="001D715B"/>
    <w:rsid w:val="001D7582"/>
    <w:rsid w:val="001E064A"/>
    <w:rsid w:val="001E125F"/>
    <w:rsid w:val="001E12AD"/>
    <w:rsid w:val="001E2D1D"/>
    <w:rsid w:val="001E512C"/>
    <w:rsid w:val="001E59C3"/>
    <w:rsid w:val="001E5E50"/>
    <w:rsid w:val="001E659C"/>
    <w:rsid w:val="001E775E"/>
    <w:rsid w:val="001F1C2E"/>
    <w:rsid w:val="001F4DC4"/>
    <w:rsid w:val="001F6102"/>
    <w:rsid w:val="001F6A91"/>
    <w:rsid w:val="001F766F"/>
    <w:rsid w:val="001F7A5E"/>
    <w:rsid w:val="002005C8"/>
    <w:rsid w:val="00201A8E"/>
    <w:rsid w:val="00201F7E"/>
    <w:rsid w:val="00202655"/>
    <w:rsid w:val="00202B10"/>
    <w:rsid w:val="00202D29"/>
    <w:rsid w:val="002033E6"/>
    <w:rsid w:val="0020370A"/>
    <w:rsid w:val="00206C13"/>
    <w:rsid w:val="0020742E"/>
    <w:rsid w:val="002079E8"/>
    <w:rsid w:val="00212646"/>
    <w:rsid w:val="00212680"/>
    <w:rsid w:val="00212A16"/>
    <w:rsid w:val="00213F7F"/>
    <w:rsid w:val="00214831"/>
    <w:rsid w:val="0021489C"/>
    <w:rsid w:val="002150D9"/>
    <w:rsid w:val="00215968"/>
    <w:rsid w:val="00215CA7"/>
    <w:rsid w:val="00215D66"/>
    <w:rsid w:val="00217ABF"/>
    <w:rsid w:val="0022003B"/>
    <w:rsid w:val="0022044A"/>
    <w:rsid w:val="00220872"/>
    <w:rsid w:val="002223EB"/>
    <w:rsid w:val="00222817"/>
    <w:rsid w:val="00225083"/>
    <w:rsid w:val="002302ED"/>
    <w:rsid w:val="00230663"/>
    <w:rsid w:val="00230AED"/>
    <w:rsid w:val="0023113D"/>
    <w:rsid w:val="0023126C"/>
    <w:rsid w:val="0023196A"/>
    <w:rsid w:val="002336A5"/>
    <w:rsid w:val="002339D1"/>
    <w:rsid w:val="00234E0B"/>
    <w:rsid w:val="00235E81"/>
    <w:rsid w:val="002364C2"/>
    <w:rsid w:val="00237BE9"/>
    <w:rsid w:val="0024049F"/>
    <w:rsid w:val="00240F88"/>
    <w:rsid w:val="002419F6"/>
    <w:rsid w:val="00243C50"/>
    <w:rsid w:val="00244544"/>
    <w:rsid w:val="00245106"/>
    <w:rsid w:val="002459C1"/>
    <w:rsid w:val="002467E9"/>
    <w:rsid w:val="00247A1F"/>
    <w:rsid w:val="0025052D"/>
    <w:rsid w:val="00250CFF"/>
    <w:rsid w:val="00250FCA"/>
    <w:rsid w:val="00253104"/>
    <w:rsid w:val="00253D93"/>
    <w:rsid w:val="00254291"/>
    <w:rsid w:val="0025429D"/>
    <w:rsid w:val="0025545B"/>
    <w:rsid w:val="00261E67"/>
    <w:rsid w:val="0026380B"/>
    <w:rsid w:val="002654B8"/>
    <w:rsid w:val="002679C3"/>
    <w:rsid w:val="00267D0A"/>
    <w:rsid w:val="002713A5"/>
    <w:rsid w:val="002718C4"/>
    <w:rsid w:val="00272467"/>
    <w:rsid w:val="002728BB"/>
    <w:rsid w:val="002731E0"/>
    <w:rsid w:val="00273DEC"/>
    <w:rsid w:val="00274B7C"/>
    <w:rsid w:val="002775AD"/>
    <w:rsid w:val="00277D79"/>
    <w:rsid w:val="00277F65"/>
    <w:rsid w:val="002801C3"/>
    <w:rsid w:val="002804FD"/>
    <w:rsid w:val="00280D74"/>
    <w:rsid w:val="00281225"/>
    <w:rsid w:val="0028208B"/>
    <w:rsid w:val="00282BC4"/>
    <w:rsid w:val="002835F0"/>
    <w:rsid w:val="0028464C"/>
    <w:rsid w:val="00284A5A"/>
    <w:rsid w:val="00284E64"/>
    <w:rsid w:val="00284F41"/>
    <w:rsid w:val="00285100"/>
    <w:rsid w:val="002865B2"/>
    <w:rsid w:val="00287B98"/>
    <w:rsid w:val="00291A44"/>
    <w:rsid w:val="00291CEB"/>
    <w:rsid w:val="002944A5"/>
    <w:rsid w:val="00295D5E"/>
    <w:rsid w:val="00295DD8"/>
    <w:rsid w:val="00297521"/>
    <w:rsid w:val="00297886"/>
    <w:rsid w:val="00297AB2"/>
    <w:rsid w:val="002A068F"/>
    <w:rsid w:val="002A2560"/>
    <w:rsid w:val="002A2A81"/>
    <w:rsid w:val="002A2F34"/>
    <w:rsid w:val="002A3C29"/>
    <w:rsid w:val="002A3DE5"/>
    <w:rsid w:val="002A5DB8"/>
    <w:rsid w:val="002A6CBF"/>
    <w:rsid w:val="002B1A70"/>
    <w:rsid w:val="002B1BE7"/>
    <w:rsid w:val="002B2FCE"/>
    <w:rsid w:val="002B457C"/>
    <w:rsid w:val="002B54D0"/>
    <w:rsid w:val="002B590E"/>
    <w:rsid w:val="002B62B9"/>
    <w:rsid w:val="002B62EB"/>
    <w:rsid w:val="002B6CBF"/>
    <w:rsid w:val="002C05AD"/>
    <w:rsid w:val="002C1120"/>
    <w:rsid w:val="002C1575"/>
    <w:rsid w:val="002C1C58"/>
    <w:rsid w:val="002C200B"/>
    <w:rsid w:val="002C334C"/>
    <w:rsid w:val="002C38D9"/>
    <w:rsid w:val="002C3B00"/>
    <w:rsid w:val="002C442D"/>
    <w:rsid w:val="002C495F"/>
    <w:rsid w:val="002C6ED3"/>
    <w:rsid w:val="002C757D"/>
    <w:rsid w:val="002D0103"/>
    <w:rsid w:val="002D1981"/>
    <w:rsid w:val="002D2D85"/>
    <w:rsid w:val="002D3118"/>
    <w:rsid w:val="002D3169"/>
    <w:rsid w:val="002D35E7"/>
    <w:rsid w:val="002D4039"/>
    <w:rsid w:val="002D46EE"/>
    <w:rsid w:val="002D561D"/>
    <w:rsid w:val="002E0B2E"/>
    <w:rsid w:val="002E1C0E"/>
    <w:rsid w:val="002E2A38"/>
    <w:rsid w:val="002E32C7"/>
    <w:rsid w:val="002E68E8"/>
    <w:rsid w:val="002E6C55"/>
    <w:rsid w:val="002F0654"/>
    <w:rsid w:val="002F0A7E"/>
    <w:rsid w:val="002F0D75"/>
    <w:rsid w:val="002F0E5E"/>
    <w:rsid w:val="002F0FB1"/>
    <w:rsid w:val="002F150B"/>
    <w:rsid w:val="002F1610"/>
    <w:rsid w:val="002F17D7"/>
    <w:rsid w:val="002F260A"/>
    <w:rsid w:val="002F27AC"/>
    <w:rsid w:val="002F3858"/>
    <w:rsid w:val="002F3909"/>
    <w:rsid w:val="002F3B64"/>
    <w:rsid w:val="002F3E5C"/>
    <w:rsid w:val="002F481A"/>
    <w:rsid w:val="002F4C47"/>
    <w:rsid w:val="002F5943"/>
    <w:rsid w:val="002F72A6"/>
    <w:rsid w:val="00301419"/>
    <w:rsid w:val="0030230B"/>
    <w:rsid w:val="00302B36"/>
    <w:rsid w:val="00302F95"/>
    <w:rsid w:val="00304CC6"/>
    <w:rsid w:val="003059BA"/>
    <w:rsid w:val="003100F9"/>
    <w:rsid w:val="00310C3B"/>
    <w:rsid w:val="00310DFF"/>
    <w:rsid w:val="00313D88"/>
    <w:rsid w:val="0031441D"/>
    <w:rsid w:val="003145EB"/>
    <w:rsid w:val="00314DB3"/>
    <w:rsid w:val="00320124"/>
    <w:rsid w:val="00321D91"/>
    <w:rsid w:val="00321EFD"/>
    <w:rsid w:val="00322DA3"/>
    <w:rsid w:val="0032437F"/>
    <w:rsid w:val="00324879"/>
    <w:rsid w:val="00325629"/>
    <w:rsid w:val="003269AE"/>
    <w:rsid w:val="003270F1"/>
    <w:rsid w:val="00327842"/>
    <w:rsid w:val="00327C57"/>
    <w:rsid w:val="003312D7"/>
    <w:rsid w:val="00331922"/>
    <w:rsid w:val="003321E2"/>
    <w:rsid w:val="003330A5"/>
    <w:rsid w:val="00335872"/>
    <w:rsid w:val="00335911"/>
    <w:rsid w:val="00335C30"/>
    <w:rsid w:val="0034128C"/>
    <w:rsid w:val="00341DF8"/>
    <w:rsid w:val="0034408F"/>
    <w:rsid w:val="00344D55"/>
    <w:rsid w:val="0034566C"/>
    <w:rsid w:val="00345946"/>
    <w:rsid w:val="00345B10"/>
    <w:rsid w:val="003463B9"/>
    <w:rsid w:val="0034653C"/>
    <w:rsid w:val="00346964"/>
    <w:rsid w:val="00347568"/>
    <w:rsid w:val="00347DF8"/>
    <w:rsid w:val="003502E1"/>
    <w:rsid w:val="003523E2"/>
    <w:rsid w:val="0035324A"/>
    <w:rsid w:val="003540A7"/>
    <w:rsid w:val="00355BBE"/>
    <w:rsid w:val="00355F7D"/>
    <w:rsid w:val="0035692E"/>
    <w:rsid w:val="00356A44"/>
    <w:rsid w:val="00356CB2"/>
    <w:rsid w:val="00356E5F"/>
    <w:rsid w:val="003601C3"/>
    <w:rsid w:val="003606E9"/>
    <w:rsid w:val="0036074B"/>
    <w:rsid w:val="00360B26"/>
    <w:rsid w:val="00360F36"/>
    <w:rsid w:val="00361098"/>
    <w:rsid w:val="00361914"/>
    <w:rsid w:val="00361958"/>
    <w:rsid w:val="00361D07"/>
    <w:rsid w:val="0036298C"/>
    <w:rsid w:val="00363B4D"/>
    <w:rsid w:val="003643F4"/>
    <w:rsid w:val="00364F6C"/>
    <w:rsid w:val="003658EA"/>
    <w:rsid w:val="003659E0"/>
    <w:rsid w:val="00366EE7"/>
    <w:rsid w:val="003675AD"/>
    <w:rsid w:val="003676CD"/>
    <w:rsid w:val="003714F7"/>
    <w:rsid w:val="00371741"/>
    <w:rsid w:val="00372728"/>
    <w:rsid w:val="003728D0"/>
    <w:rsid w:val="003733B9"/>
    <w:rsid w:val="003737AB"/>
    <w:rsid w:val="00374605"/>
    <w:rsid w:val="00374C9F"/>
    <w:rsid w:val="0037769F"/>
    <w:rsid w:val="0038035D"/>
    <w:rsid w:val="00380396"/>
    <w:rsid w:val="003803D4"/>
    <w:rsid w:val="00381806"/>
    <w:rsid w:val="003819C4"/>
    <w:rsid w:val="00381D9C"/>
    <w:rsid w:val="0038277B"/>
    <w:rsid w:val="0038298F"/>
    <w:rsid w:val="00383C7E"/>
    <w:rsid w:val="00385A8B"/>
    <w:rsid w:val="003876C1"/>
    <w:rsid w:val="00387BCB"/>
    <w:rsid w:val="00390337"/>
    <w:rsid w:val="00390B5F"/>
    <w:rsid w:val="0039193C"/>
    <w:rsid w:val="00391DEA"/>
    <w:rsid w:val="003922F5"/>
    <w:rsid w:val="003923E7"/>
    <w:rsid w:val="00392BB4"/>
    <w:rsid w:val="0039383F"/>
    <w:rsid w:val="00395490"/>
    <w:rsid w:val="003959C1"/>
    <w:rsid w:val="003969ED"/>
    <w:rsid w:val="00397867"/>
    <w:rsid w:val="003A0A87"/>
    <w:rsid w:val="003A2BF6"/>
    <w:rsid w:val="003A2DBF"/>
    <w:rsid w:val="003A3468"/>
    <w:rsid w:val="003A607F"/>
    <w:rsid w:val="003A6715"/>
    <w:rsid w:val="003A69A2"/>
    <w:rsid w:val="003A7D7C"/>
    <w:rsid w:val="003B461D"/>
    <w:rsid w:val="003B4B4C"/>
    <w:rsid w:val="003B50F3"/>
    <w:rsid w:val="003B53A1"/>
    <w:rsid w:val="003B577F"/>
    <w:rsid w:val="003B6643"/>
    <w:rsid w:val="003B6BFE"/>
    <w:rsid w:val="003B7AAC"/>
    <w:rsid w:val="003C1207"/>
    <w:rsid w:val="003C280F"/>
    <w:rsid w:val="003C31BA"/>
    <w:rsid w:val="003C3511"/>
    <w:rsid w:val="003C3AC0"/>
    <w:rsid w:val="003C5F16"/>
    <w:rsid w:val="003C6835"/>
    <w:rsid w:val="003C7618"/>
    <w:rsid w:val="003D0164"/>
    <w:rsid w:val="003D02AD"/>
    <w:rsid w:val="003D11B3"/>
    <w:rsid w:val="003D11D4"/>
    <w:rsid w:val="003D1FFC"/>
    <w:rsid w:val="003D23D3"/>
    <w:rsid w:val="003D3524"/>
    <w:rsid w:val="003D3E59"/>
    <w:rsid w:val="003D5ACA"/>
    <w:rsid w:val="003D6880"/>
    <w:rsid w:val="003D7711"/>
    <w:rsid w:val="003E012B"/>
    <w:rsid w:val="003E0362"/>
    <w:rsid w:val="003E0391"/>
    <w:rsid w:val="003E111D"/>
    <w:rsid w:val="003E2531"/>
    <w:rsid w:val="003E32A4"/>
    <w:rsid w:val="003E3CDA"/>
    <w:rsid w:val="003E4534"/>
    <w:rsid w:val="003E54BE"/>
    <w:rsid w:val="003E60B9"/>
    <w:rsid w:val="003E66AD"/>
    <w:rsid w:val="003E74E6"/>
    <w:rsid w:val="003E7A5B"/>
    <w:rsid w:val="003E7BCB"/>
    <w:rsid w:val="003E7F85"/>
    <w:rsid w:val="003F2ED5"/>
    <w:rsid w:val="003F3694"/>
    <w:rsid w:val="003F3A75"/>
    <w:rsid w:val="003F4ABA"/>
    <w:rsid w:val="003F4C82"/>
    <w:rsid w:val="003F4DB4"/>
    <w:rsid w:val="003F5F91"/>
    <w:rsid w:val="003F7ABF"/>
    <w:rsid w:val="00401407"/>
    <w:rsid w:val="0040146A"/>
    <w:rsid w:val="004018FD"/>
    <w:rsid w:val="0040206C"/>
    <w:rsid w:val="00402EE4"/>
    <w:rsid w:val="00403194"/>
    <w:rsid w:val="00404C28"/>
    <w:rsid w:val="004069A0"/>
    <w:rsid w:val="00406FF0"/>
    <w:rsid w:val="00407027"/>
    <w:rsid w:val="0040765E"/>
    <w:rsid w:val="00407D02"/>
    <w:rsid w:val="00411EF2"/>
    <w:rsid w:val="004121F3"/>
    <w:rsid w:val="00412DCC"/>
    <w:rsid w:val="004160B8"/>
    <w:rsid w:val="00416E50"/>
    <w:rsid w:val="00417796"/>
    <w:rsid w:val="00421189"/>
    <w:rsid w:val="00422C56"/>
    <w:rsid w:val="0042462B"/>
    <w:rsid w:val="00425397"/>
    <w:rsid w:val="00425545"/>
    <w:rsid w:val="00425B73"/>
    <w:rsid w:val="00426F0A"/>
    <w:rsid w:val="00430443"/>
    <w:rsid w:val="00430E97"/>
    <w:rsid w:val="00433658"/>
    <w:rsid w:val="00435B2D"/>
    <w:rsid w:val="00436475"/>
    <w:rsid w:val="004368C7"/>
    <w:rsid w:val="00436CFA"/>
    <w:rsid w:val="0043707B"/>
    <w:rsid w:val="00437678"/>
    <w:rsid w:val="00437D02"/>
    <w:rsid w:val="00440478"/>
    <w:rsid w:val="004407A1"/>
    <w:rsid w:val="00441FCE"/>
    <w:rsid w:val="00442F1E"/>
    <w:rsid w:val="004440DE"/>
    <w:rsid w:val="00445849"/>
    <w:rsid w:val="00445E32"/>
    <w:rsid w:val="004462AC"/>
    <w:rsid w:val="004477EA"/>
    <w:rsid w:val="0045118C"/>
    <w:rsid w:val="00452199"/>
    <w:rsid w:val="00453228"/>
    <w:rsid w:val="004532F4"/>
    <w:rsid w:val="004543D4"/>
    <w:rsid w:val="0045465F"/>
    <w:rsid w:val="00455BAE"/>
    <w:rsid w:val="004568A5"/>
    <w:rsid w:val="0045737C"/>
    <w:rsid w:val="00457AE1"/>
    <w:rsid w:val="0046043F"/>
    <w:rsid w:val="00461137"/>
    <w:rsid w:val="004629AF"/>
    <w:rsid w:val="00463152"/>
    <w:rsid w:val="00464444"/>
    <w:rsid w:val="0046460E"/>
    <w:rsid w:val="0046700E"/>
    <w:rsid w:val="0046710A"/>
    <w:rsid w:val="004676D7"/>
    <w:rsid w:val="00470B28"/>
    <w:rsid w:val="00471A97"/>
    <w:rsid w:val="0047279F"/>
    <w:rsid w:val="0047302E"/>
    <w:rsid w:val="00473E57"/>
    <w:rsid w:val="00474368"/>
    <w:rsid w:val="004744FE"/>
    <w:rsid w:val="00475280"/>
    <w:rsid w:val="0047530D"/>
    <w:rsid w:val="00475B99"/>
    <w:rsid w:val="0047753D"/>
    <w:rsid w:val="00477A3D"/>
    <w:rsid w:val="004823C6"/>
    <w:rsid w:val="004832F7"/>
    <w:rsid w:val="00483872"/>
    <w:rsid w:val="00483A27"/>
    <w:rsid w:val="00483C1C"/>
    <w:rsid w:val="00484EF6"/>
    <w:rsid w:val="00486766"/>
    <w:rsid w:val="00487114"/>
    <w:rsid w:val="00487814"/>
    <w:rsid w:val="00487F41"/>
    <w:rsid w:val="00490B2D"/>
    <w:rsid w:val="00493A61"/>
    <w:rsid w:val="004944CA"/>
    <w:rsid w:val="0049507A"/>
    <w:rsid w:val="00496B7A"/>
    <w:rsid w:val="00497E07"/>
    <w:rsid w:val="004A25A9"/>
    <w:rsid w:val="004A2D9E"/>
    <w:rsid w:val="004A76AB"/>
    <w:rsid w:val="004B203F"/>
    <w:rsid w:val="004B3B55"/>
    <w:rsid w:val="004B5385"/>
    <w:rsid w:val="004B609D"/>
    <w:rsid w:val="004B668B"/>
    <w:rsid w:val="004C2A9A"/>
    <w:rsid w:val="004C30BA"/>
    <w:rsid w:val="004C49F9"/>
    <w:rsid w:val="004C4B49"/>
    <w:rsid w:val="004C517E"/>
    <w:rsid w:val="004C55DB"/>
    <w:rsid w:val="004C587C"/>
    <w:rsid w:val="004D0181"/>
    <w:rsid w:val="004D0938"/>
    <w:rsid w:val="004D0AFB"/>
    <w:rsid w:val="004D2420"/>
    <w:rsid w:val="004D24B4"/>
    <w:rsid w:val="004D2D23"/>
    <w:rsid w:val="004D4898"/>
    <w:rsid w:val="004D55FA"/>
    <w:rsid w:val="004D5E43"/>
    <w:rsid w:val="004D6779"/>
    <w:rsid w:val="004D68C9"/>
    <w:rsid w:val="004D7085"/>
    <w:rsid w:val="004D7D6E"/>
    <w:rsid w:val="004E0206"/>
    <w:rsid w:val="004E0682"/>
    <w:rsid w:val="004E16B1"/>
    <w:rsid w:val="004E1F72"/>
    <w:rsid w:val="004E21AA"/>
    <w:rsid w:val="004E3715"/>
    <w:rsid w:val="004E4D86"/>
    <w:rsid w:val="004E4EFE"/>
    <w:rsid w:val="004E5FBD"/>
    <w:rsid w:val="004F134F"/>
    <w:rsid w:val="004F14A7"/>
    <w:rsid w:val="004F157A"/>
    <w:rsid w:val="004F18C1"/>
    <w:rsid w:val="004F278F"/>
    <w:rsid w:val="004F36F7"/>
    <w:rsid w:val="004F4E99"/>
    <w:rsid w:val="004F6B65"/>
    <w:rsid w:val="004F6EED"/>
    <w:rsid w:val="004F7524"/>
    <w:rsid w:val="00500AF1"/>
    <w:rsid w:val="00500E33"/>
    <w:rsid w:val="00501511"/>
    <w:rsid w:val="00503C65"/>
    <w:rsid w:val="005059C8"/>
    <w:rsid w:val="005077B7"/>
    <w:rsid w:val="00507E0C"/>
    <w:rsid w:val="00510B09"/>
    <w:rsid w:val="0051117C"/>
    <w:rsid w:val="00512AD5"/>
    <w:rsid w:val="00513A3E"/>
    <w:rsid w:val="005141EE"/>
    <w:rsid w:val="00514617"/>
    <w:rsid w:val="00514A65"/>
    <w:rsid w:val="00514E8E"/>
    <w:rsid w:val="005153F8"/>
    <w:rsid w:val="00516C68"/>
    <w:rsid w:val="005206D6"/>
    <w:rsid w:val="00520DDF"/>
    <w:rsid w:val="00523151"/>
    <w:rsid w:val="0052450A"/>
    <w:rsid w:val="0052485E"/>
    <w:rsid w:val="00526160"/>
    <w:rsid w:val="0052680C"/>
    <w:rsid w:val="00527A2B"/>
    <w:rsid w:val="00531057"/>
    <w:rsid w:val="00531A99"/>
    <w:rsid w:val="0053205F"/>
    <w:rsid w:val="0053331C"/>
    <w:rsid w:val="00533B5F"/>
    <w:rsid w:val="00534DA1"/>
    <w:rsid w:val="00535006"/>
    <w:rsid w:val="005361C6"/>
    <w:rsid w:val="0054025A"/>
    <w:rsid w:val="00541651"/>
    <w:rsid w:val="00543490"/>
    <w:rsid w:val="00544FA7"/>
    <w:rsid w:val="00546638"/>
    <w:rsid w:val="00546D93"/>
    <w:rsid w:val="005475FD"/>
    <w:rsid w:val="005516C2"/>
    <w:rsid w:val="00552638"/>
    <w:rsid w:val="00553C90"/>
    <w:rsid w:val="00553F09"/>
    <w:rsid w:val="0055469A"/>
    <w:rsid w:val="00554E17"/>
    <w:rsid w:val="00554E36"/>
    <w:rsid w:val="0055571A"/>
    <w:rsid w:val="005559E2"/>
    <w:rsid w:val="00555D73"/>
    <w:rsid w:val="0056004B"/>
    <w:rsid w:val="005618DC"/>
    <w:rsid w:val="005629C3"/>
    <w:rsid w:val="00562F6D"/>
    <w:rsid w:val="005630ED"/>
    <w:rsid w:val="00563B13"/>
    <w:rsid w:val="00563E6D"/>
    <w:rsid w:val="005643EB"/>
    <w:rsid w:val="00564BC7"/>
    <w:rsid w:val="005653CE"/>
    <w:rsid w:val="00565AC7"/>
    <w:rsid w:val="0056700A"/>
    <w:rsid w:val="00567B3B"/>
    <w:rsid w:val="00570173"/>
    <w:rsid w:val="00570487"/>
    <w:rsid w:val="00570A7C"/>
    <w:rsid w:val="0057113B"/>
    <w:rsid w:val="00572F4F"/>
    <w:rsid w:val="005754A7"/>
    <w:rsid w:val="00576D47"/>
    <w:rsid w:val="00577075"/>
    <w:rsid w:val="005827B6"/>
    <w:rsid w:val="005829D6"/>
    <w:rsid w:val="00582E06"/>
    <w:rsid w:val="00583B66"/>
    <w:rsid w:val="00584C1A"/>
    <w:rsid w:val="00584E77"/>
    <w:rsid w:val="005850BE"/>
    <w:rsid w:val="00585FD6"/>
    <w:rsid w:val="005877CB"/>
    <w:rsid w:val="005902FC"/>
    <w:rsid w:val="0059294D"/>
    <w:rsid w:val="00594820"/>
    <w:rsid w:val="00594BAC"/>
    <w:rsid w:val="00595A60"/>
    <w:rsid w:val="00596C7D"/>
    <w:rsid w:val="005A14A3"/>
    <w:rsid w:val="005A24FC"/>
    <w:rsid w:val="005A2D2E"/>
    <w:rsid w:val="005A320C"/>
    <w:rsid w:val="005A500C"/>
    <w:rsid w:val="005A7053"/>
    <w:rsid w:val="005A7C31"/>
    <w:rsid w:val="005B00DD"/>
    <w:rsid w:val="005B0E87"/>
    <w:rsid w:val="005B12A9"/>
    <w:rsid w:val="005B1ACD"/>
    <w:rsid w:val="005B22F8"/>
    <w:rsid w:val="005B4AE2"/>
    <w:rsid w:val="005B4E39"/>
    <w:rsid w:val="005B546A"/>
    <w:rsid w:val="005B5F28"/>
    <w:rsid w:val="005B61C1"/>
    <w:rsid w:val="005B6FC4"/>
    <w:rsid w:val="005B78B0"/>
    <w:rsid w:val="005C0D54"/>
    <w:rsid w:val="005C0EE6"/>
    <w:rsid w:val="005C3177"/>
    <w:rsid w:val="005C53F8"/>
    <w:rsid w:val="005C551A"/>
    <w:rsid w:val="005C588A"/>
    <w:rsid w:val="005C5C34"/>
    <w:rsid w:val="005C65BF"/>
    <w:rsid w:val="005C7B38"/>
    <w:rsid w:val="005D09C2"/>
    <w:rsid w:val="005D101B"/>
    <w:rsid w:val="005D10CF"/>
    <w:rsid w:val="005D17AF"/>
    <w:rsid w:val="005D2227"/>
    <w:rsid w:val="005D2790"/>
    <w:rsid w:val="005D3B80"/>
    <w:rsid w:val="005E0485"/>
    <w:rsid w:val="005E3DAE"/>
    <w:rsid w:val="005E550E"/>
    <w:rsid w:val="005E5A6D"/>
    <w:rsid w:val="005E5CB5"/>
    <w:rsid w:val="005E5DCD"/>
    <w:rsid w:val="005E635C"/>
    <w:rsid w:val="005E6993"/>
    <w:rsid w:val="005E6B34"/>
    <w:rsid w:val="005E6F97"/>
    <w:rsid w:val="005E7558"/>
    <w:rsid w:val="005E7DE6"/>
    <w:rsid w:val="005E7E67"/>
    <w:rsid w:val="005F129E"/>
    <w:rsid w:val="005F292D"/>
    <w:rsid w:val="005F3598"/>
    <w:rsid w:val="005F3DE6"/>
    <w:rsid w:val="005F6D44"/>
    <w:rsid w:val="005F70DC"/>
    <w:rsid w:val="005F7A07"/>
    <w:rsid w:val="006003BF"/>
    <w:rsid w:val="00602023"/>
    <w:rsid w:val="00604964"/>
    <w:rsid w:val="006055DB"/>
    <w:rsid w:val="0060581D"/>
    <w:rsid w:val="0060677B"/>
    <w:rsid w:val="00606DDB"/>
    <w:rsid w:val="00607ADB"/>
    <w:rsid w:val="006103B9"/>
    <w:rsid w:val="00610865"/>
    <w:rsid w:val="00610893"/>
    <w:rsid w:val="00610BCA"/>
    <w:rsid w:val="00612089"/>
    <w:rsid w:val="006129C8"/>
    <w:rsid w:val="00614A3F"/>
    <w:rsid w:val="00617C52"/>
    <w:rsid w:val="00621C22"/>
    <w:rsid w:val="00622CDA"/>
    <w:rsid w:val="006239DF"/>
    <w:rsid w:val="00624458"/>
    <w:rsid w:val="0062481E"/>
    <w:rsid w:val="00625766"/>
    <w:rsid w:val="0062737F"/>
    <w:rsid w:val="00631C50"/>
    <w:rsid w:val="00632725"/>
    <w:rsid w:val="0063365F"/>
    <w:rsid w:val="006341E7"/>
    <w:rsid w:val="00634EF0"/>
    <w:rsid w:val="00635513"/>
    <w:rsid w:val="006357F2"/>
    <w:rsid w:val="00635A96"/>
    <w:rsid w:val="00636512"/>
    <w:rsid w:val="00636DB2"/>
    <w:rsid w:val="00637D3D"/>
    <w:rsid w:val="006403AF"/>
    <w:rsid w:val="006403B3"/>
    <w:rsid w:val="006409BA"/>
    <w:rsid w:val="00640C22"/>
    <w:rsid w:val="006410BE"/>
    <w:rsid w:val="006419E2"/>
    <w:rsid w:val="00642A81"/>
    <w:rsid w:val="00643053"/>
    <w:rsid w:val="006433D7"/>
    <w:rsid w:val="0064388E"/>
    <w:rsid w:val="00644317"/>
    <w:rsid w:val="00644681"/>
    <w:rsid w:val="00644D26"/>
    <w:rsid w:val="0064545F"/>
    <w:rsid w:val="0064618D"/>
    <w:rsid w:val="00646E89"/>
    <w:rsid w:val="00647234"/>
    <w:rsid w:val="00647E74"/>
    <w:rsid w:val="006513D9"/>
    <w:rsid w:val="00651B63"/>
    <w:rsid w:val="0065200F"/>
    <w:rsid w:val="0065341C"/>
    <w:rsid w:val="00653694"/>
    <w:rsid w:val="00653914"/>
    <w:rsid w:val="00653FD6"/>
    <w:rsid w:val="00655052"/>
    <w:rsid w:val="00656563"/>
    <w:rsid w:val="0065694B"/>
    <w:rsid w:val="0065730F"/>
    <w:rsid w:val="006578E3"/>
    <w:rsid w:val="00657CF2"/>
    <w:rsid w:val="006602EA"/>
    <w:rsid w:val="00661C0D"/>
    <w:rsid w:val="0066507C"/>
    <w:rsid w:val="00665150"/>
    <w:rsid w:val="00665BF4"/>
    <w:rsid w:val="00666167"/>
    <w:rsid w:val="00666351"/>
    <w:rsid w:val="00666690"/>
    <w:rsid w:val="00671324"/>
    <w:rsid w:val="0067261A"/>
    <w:rsid w:val="006746A9"/>
    <w:rsid w:val="00675DE8"/>
    <w:rsid w:val="00676064"/>
    <w:rsid w:val="0068279C"/>
    <w:rsid w:val="0068474B"/>
    <w:rsid w:val="00685083"/>
    <w:rsid w:val="00685CAC"/>
    <w:rsid w:val="00686032"/>
    <w:rsid w:val="00687550"/>
    <w:rsid w:val="006906BA"/>
    <w:rsid w:val="00691A2F"/>
    <w:rsid w:val="0069204D"/>
    <w:rsid w:val="00692566"/>
    <w:rsid w:val="00693CF1"/>
    <w:rsid w:val="00694B59"/>
    <w:rsid w:val="00695887"/>
    <w:rsid w:val="0069689B"/>
    <w:rsid w:val="00697BEA"/>
    <w:rsid w:val="00697F93"/>
    <w:rsid w:val="006A2C1D"/>
    <w:rsid w:val="006A2D9B"/>
    <w:rsid w:val="006A3699"/>
    <w:rsid w:val="006A40AE"/>
    <w:rsid w:val="006A4A24"/>
    <w:rsid w:val="006A771D"/>
    <w:rsid w:val="006A7ED0"/>
    <w:rsid w:val="006B0312"/>
    <w:rsid w:val="006B08FA"/>
    <w:rsid w:val="006B0B9A"/>
    <w:rsid w:val="006B17B6"/>
    <w:rsid w:val="006B257D"/>
    <w:rsid w:val="006B26B5"/>
    <w:rsid w:val="006B3F0D"/>
    <w:rsid w:val="006B66EB"/>
    <w:rsid w:val="006B6840"/>
    <w:rsid w:val="006C1A20"/>
    <w:rsid w:val="006C2826"/>
    <w:rsid w:val="006C40B0"/>
    <w:rsid w:val="006C4EB8"/>
    <w:rsid w:val="006C55D6"/>
    <w:rsid w:val="006C5A41"/>
    <w:rsid w:val="006C5FEB"/>
    <w:rsid w:val="006C6A39"/>
    <w:rsid w:val="006C7702"/>
    <w:rsid w:val="006C7A1D"/>
    <w:rsid w:val="006C7C99"/>
    <w:rsid w:val="006D2E38"/>
    <w:rsid w:val="006D4D0E"/>
    <w:rsid w:val="006D4DBD"/>
    <w:rsid w:val="006D4F46"/>
    <w:rsid w:val="006D506F"/>
    <w:rsid w:val="006D56B4"/>
    <w:rsid w:val="006D58C6"/>
    <w:rsid w:val="006D7687"/>
    <w:rsid w:val="006D7A1B"/>
    <w:rsid w:val="006D7B29"/>
    <w:rsid w:val="006E1699"/>
    <w:rsid w:val="006E262A"/>
    <w:rsid w:val="006E320E"/>
    <w:rsid w:val="006E3F6F"/>
    <w:rsid w:val="006E4841"/>
    <w:rsid w:val="006E48EF"/>
    <w:rsid w:val="006E5B6A"/>
    <w:rsid w:val="006E6BB7"/>
    <w:rsid w:val="006E7052"/>
    <w:rsid w:val="006F09F9"/>
    <w:rsid w:val="006F1466"/>
    <w:rsid w:val="006F15DD"/>
    <w:rsid w:val="006F1F91"/>
    <w:rsid w:val="006F1FF7"/>
    <w:rsid w:val="006F40D8"/>
    <w:rsid w:val="006F437E"/>
    <w:rsid w:val="006F4AFB"/>
    <w:rsid w:val="006F4FB4"/>
    <w:rsid w:val="006F75D6"/>
    <w:rsid w:val="00701E54"/>
    <w:rsid w:val="00702340"/>
    <w:rsid w:val="007030B7"/>
    <w:rsid w:val="00704296"/>
    <w:rsid w:val="00705890"/>
    <w:rsid w:val="00707746"/>
    <w:rsid w:val="00713524"/>
    <w:rsid w:val="00713DD6"/>
    <w:rsid w:val="00715BEC"/>
    <w:rsid w:val="00717C53"/>
    <w:rsid w:val="0072066E"/>
    <w:rsid w:val="00720745"/>
    <w:rsid w:val="007208F4"/>
    <w:rsid w:val="0072174D"/>
    <w:rsid w:val="00721E06"/>
    <w:rsid w:val="00722112"/>
    <w:rsid w:val="00722300"/>
    <w:rsid w:val="007237EE"/>
    <w:rsid w:val="00725633"/>
    <w:rsid w:val="007273B0"/>
    <w:rsid w:val="00731A5E"/>
    <w:rsid w:val="00731EFD"/>
    <w:rsid w:val="00732EDF"/>
    <w:rsid w:val="0073378C"/>
    <w:rsid w:val="0073391D"/>
    <w:rsid w:val="00734E2D"/>
    <w:rsid w:val="00734EFB"/>
    <w:rsid w:val="0073504B"/>
    <w:rsid w:val="00735ABE"/>
    <w:rsid w:val="0074074D"/>
    <w:rsid w:val="00741BE5"/>
    <w:rsid w:val="00743A46"/>
    <w:rsid w:val="00745D91"/>
    <w:rsid w:val="00746314"/>
    <w:rsid w:val="00746BF6"/>
    <w:rsid w:val="00746F3C"/>
    <w:rsid w:val="00751099"/>
    <w:rsid w:val="00751B2A"/>
    <w:rsid w:val="007524C9"/>
    <w:rsid w:val="007527E9"/>
    <w:rsid w:val="00752994"/>
    <w:rsid w:val="0075398D"/>
    <w:rsid w:val="00755A10"/>
    <w:rsid w:val="007567E3"/>
    <w:rsid w:val="00756B3F"/>
    <w:rsid w:val="0076008D"/>
    <w:rsid w:val="00760799"/>
    <w:rsid w:val="00760A39"/>
    <w:rsid w:val="007615A7"/>
    <w:rsid w:val="0076163E"/>
    <w:rsid w:val="00763690"/>
    <w:rsid w:val="007637CB"/>
    <w:rsid w:val="00764516"/>
    <w:rsid w:val="00764AA4"/>
    <w:rsid w:val="00764C8B"/>
    <w:rsid w:val="00770AEE"/>
    <w:rsid w:val="00770B98"/>
    <w:rsid w:val="00771A48"/>
    <w:rsid w:val="007727AB"/>
    <w:rsid w:val="00774541"/>
    <w:rsid w:val="00774731"/>
    <w:rsid w:val="00775221"/>
    <w:rsid w:val="00775C8E"/>
    <w:rsid w:val="00776340"/>
    <w:rsid w:val="0077727D"/>
    <w:rsid w:val="0077793F"/>
    <w:rsid w:val="00780481"/>
    <w:rsid w:val="007807F9"/>
    <w:rsid w:val="00781B69"/>
    <w:rsid w:val="00783234"/>
    <w:rsid w:val="007832F7"/>
    <w:rsid w:val="007839D7"/>
    <w:rsid w:val="00784995"/>
    <w:rsid w:val="007855F8"/>
    <w:rsid w:val="00786631"/>
    <w:rsid w:val="007866BE"/>
    <w:rsid w:val="0078694D"/>
    <w:rsid w:val="007869B7"/>
    <w:rsid w:val="00786C5C"/>
    <w:rsid w:val="007877AC"/>
    <w:rsid w:val="00787D93"/>
    <w:rsid w:val="00787E21"/>
    <w:rsid w:val="0079108A"/>
    <w:rsid w:val="0079136A"/>
    <w:rsid w:val="0079178D"/>
    <w:rsid w:val="0079201D"/>
    <w:rsid w:val="0079387A"/>
    <w:rsid w:val="00793F7F"/>
    <w:rsid w:val="00795075"/>
    <w:rsid w:val="007956C0"/>
    <w:rsid w:val="007968BC"/>
    <w:rsid w:val="00797122"/>
    <w:rsid w:val="00797374"/>
    <w:rsid w:val="007A038D"/>
    <w:rsid w:val="007A0D82"/>
    <w:rsid w:val="007A160C"/>
    <w:rsid w:val="007A1E0D"/>
    <w:rsid w:val="007A1F4F"/>
    <w:rsid w:val="007A2ACE"/>
    <w:rsid w:val="007A3CA9"/>
    <w:rsid w:val="007A3EB1"/>
    <w:rsid w:val="007A4917"/>
    <w:rsid w:val="007A5277"/>
    <w:rsid w:val="007A59EE"/>
    <w:rsid w:val="007A603B"/>
    <w:rsid w:val="007A6B3E"/>
    <w:rsid w:val="007A6ED9"/>
    <w:rsid w:val="007A7B6E"/>
    <w:rsid w:val="007B01F4"/>
    <w:rsid w:val="007B11A1"/>
    <w:rsid w:val="007B226F"/>
    <w:rsid w:val="007B39FC"/>
    <w:rsid w:val="007B4551"/>
    <w:rsid w:val="007B4E1A"/>
    <w:rsid w:val="007B72FB"/>
    <w:rsid w:val="007C0591"/>
    <w:rsid w:val="007C0B93"/>
    <w:rsid w:val="007C5439"/>
    <w:rsid w:val="007C7CE5"/>
    <w:rsid w:val="007C7D78"/>
    <w:rsid w:val="007D1EBB"/>
    <w:rsid w:val="007D2C74"/>
    <w:rsid w:val="007D3A5C"/>
    <w:rsid w:val="007D5548"/>
    <w:rsid w:val="007D6629"/>
    <w:rsid w:val="007D681A"/>
    <w:rsid w:val="007D7299"/>
    <w:rsid w:val="007D7BAF"/>
    <w:rsid w:val="007D7CDA"/>
    <w:rsid w:val="007E2853"/>
    <w:rsid w:val="007E2EED"/>
    <w:rsid w:val="007E2F02"/>
    <w:rsid w:val="007E3004"/>
    <w:rsid w:val="007E3D7E"/>
    <w:rsid w:val="007E49E2"/>
    <w:rsid w:val="007E4A5E"/>
    <w:rsid w:val="007E4DE3"/>
    <w:rsid w:val="007E5691"/>
    <w:rsid w:val="007E56B0"/>
    <w:rsid w:val="007E6B18"/>
    <w:rsid w:val="007E7775"/>
    <w:rsid w:val="007E7A85"/>
    <w:rsid w:val="007F08B0"/>
    <w:rsid w:val="007F19B4"/>
    <w:rsid w:val="007F29B5"/>
    <w:rsid w:val="007F3444"/>
    <w:rsid w:val="007F4995"/>
    <w:rsid w:val="007F5379"/>
    <w:rsid w:val="007F5EDA"/>
    <w:rsid w:val="00800769"/>
    <w:rsid w:val="0080230C"/>
    <w:rsid w:val="008023BA"/>
    <w:rsid w:val="008023D3"/>
    <w:rsid w:val="008033CC"/>
    <w:rsid w:val="008036EB"/>
    <w:rsid w:val="00803967"/>
    <w:rsid w:val="00803AF9"/>
    <w:rsid w:val="00804CC6"/>
    <w:rsid w:val="00804CEF"/>
    <w:rsid w:val="00805D8F"/>
    <w:rsid w:val="0080693C"/>
    <w:rsid w:val="00806B83"/>
    <w:rsid w:val="00807160"/>
    <w:rsid w:val="00807FE4"/>
    <w:rsid w:val="00811748"/>
    <w:rsid w:val="008123E4"/>
    <w:rsid w:val="00812441"/>
    <w:rsid w:val="00816CF7"/>
    <w:rsid w:val="00821510"/>
    <w:rsid w:val="00821B89"/>
    <w:rsid w:val="00822025"/>
    <w:rsid w:val="008227C5"/>
    <w:rsid w:val="008229F6"/>
    <w:rsid w:val="00822EA8"/>
    <w:rsid w:val="00823078"/>
    <w:rsid w:val="00825C2C"/>
    <w:rsid w:val="00826903"/>
    <w:rsid w:val="00826B88"/>
    <w:rsid w:val="008272F1"/>
    <w:rsid w:val="00830CF4"/>
    <w:rsid w:val="00831094"/>
    <w:rsid w:val="00831F2F"/>
    <w:rsid w:val="00832715"/>
    <w:rsid w:val="00832873"/>
    <w:rsid w:val="00832BB1"/>
    <w:rsid w:val="0083304F"/>
    <w:rsid w:val="00833069"/>
    <w:rsid w:val="008334E7"/>
    <w:rsid w:val="00833B02"/>
    <w:rsid w:val="00833C32"/>
    <w:rsid w:val="00834539"/>
    <w:rsid w:val="0083462B"/>
    <w:rsid w:val="00835B30"/>
    <w:rsid w:val="00835F37"/>
    <w:rsid w:val="00836BA2"/>
    <w:rsid w:val="00836C98"/>
    <w:rsid w:val="00836F9A"/>
    <w:rsid w:val="0083760B"/>
    <w:rsid w:val="0084077E"/>
    <w:rsid w:val="0084137B"/>
    <w:rsid w:val="008440D1"/>
    <w:rsid w:val="00844CA0"/>
    <w:rsid w:val="008463F3"/>
    <w:rsid w:val="00847B5B"/>
    <w:rsid w:val="008508AD"/>
    <w:rsid w:val="008543AD"/>
    <w:rsid w:val="00854EF9"/>
    <w:rsid w:val="0085592B"/>
    <w:rsid w:val="00855D76"/>
    <w:rsid w:val="00856907"/>
    <w:rsid w:val="00856F77"/>
    <w:rsid w:val="00861731"/>
    <w:rsid w:val="00861865"/>
    <w:rsid w:val="008626A5"/>
    <w:rsid w:val="00862F74"/>
    <w:rsid w:val="00864415"/>
    <w:rsid w:val="00866023"/>
    <w:rsid w:val="00866843"/>
    <w:rsid w:val="00866F26"/>
    <w:rsid w:val="00867D4D"/>
    <w:rsid w:val="00867DDF"/>
    <w:rsid w:val="0087028F"/>
    <w:rsid w:val="00872A38"/>
    <w:rsid w:val="00873699"/>
    <w:rsid w:val="00874A8C"/>
    <w:rsid w:val="00874FB5"/>
    <w:rsid w:val="008754C7"/>
    <w:rsid w:val="00875BAA"/>
    <w:rsid w:val="00876D93"/>
    <w:rsid w:val="00877692"/>
    <w:rsid w:val="008800D8"/>
    <w:rsid w:val="00880254"/>
    <w:rsid w:val="00881100"/>
    <w:rsid w:val="008813B2"/>
    <w:rsid w:val="008824B9"/>
    <w:rsid w:val="00882F05"/>
    <w:rsid w:val="00884BF0"/>
    <w:rsid w:val="00886723"/>
    <w:rsid w:val="00890354"/>
    <w:rsid w:val="0089067A"/>
    <w:rsid w:val="00890D68"/>
    <w:rsid w:val="00890D6D"/>
    <w:rsid w:val="008910CE"/>
    <w:rsid w:val="00892183"/>
    <w:rsid w:val="0089326F"/>
    <w:rsid w:val="008932E5"/>
    <w:rsid w:val="008937BB"/>
    <w:rsid w:val="008973C7"/>
    <w:rsid w:val="00897AEF"/>
    <w:rsid w:val="008A1744"/>
    <w:rsid w:val="008A49DB"/>
    <w:rsid w:val="008A595D"/>
    <w:rsid w:val="008A5F64"/>
    <w:rsid w:val="008A628E"/>
    <w:rsid w:val="008A6E35"/>
    <w:rsid w:val="008A6E3F"/>
    <w:rsid w:val="008A7874"/>
    <w:rsid w:val="008B067D"/>
    <w:rsid w:val="008B07EE"/>
    <w:rsid w:val="008B4712"/>
    <w:rsid w:val="008B50AB"/>
    <w:rsid w:val="008B5D0B"/>
    <w:rsid w:val="008B714C"/>
    <w:rsid w:val="008C111E"/>
    <w:rsid w:val="008C19B2"/>
    <w:rsid w:val="008C271D"/>
    <w:rsid w:val="008C27EA"/>
    <w:rsid w:val="008C2D50"/>
    <w:rsid w:val="008C305E"/>
    <w:rsid w:val="008C30DF"/>
    <w:rsid w:val="008C33DF"/>
    <w:rsid w:val="008C3B19"/>
    <w:rsid w:val="008C581A"/>
    <w:rsid w:val="008C58D9"/>
    <w:rsid w:val="008C5B6F"/>
    <w:rsid w:val="008C6F84"/>
    <w:rsid w:val="008C79EB"/>
    <w:rsid w:val="008C7BD1"/>
    <w:rsid w:val="008D06E6"/>
    <w:rsid w:val="008D1F6C"/>
    <w:rsid w:val="008D1F6D"/>
    <w:rsid w:val="008D22A8"/>
    <w:rsid w:val="008D399C"/>
    <w:rsid w:val="008D4D34"/>
    <w:rsid w:val="008D7D9E"/>
    <w:rsid w:val="008E01C9"/>
    <w:rsid w:val="008E0521"/>
    <w:rsid w:val="008E059A"/>
    <w:rsid w:val="008E09B9"/>
    <w:rsid w:val="008E0BD2"/>
    <w:rsid w:val="008E0E41"/>
    <w:rsid w:val="008E1E66"/>
    <w:rsid w:val="008E1F7B"/>
    <w:rsid w:val="008E53BB"/>
    <w:rsid w:val="008E5E24"/>
    <w:rsid w:val="008E72F3"/>
    <w:rsid w:val="008F1960"/>
    <w:rsid w:val="008F223C"/>
    <w:rsid w:val="008F2360"/>
    <w:rsid w:val="008F254C"/>
    <w:rsid w:val="008F25B9"/>
    <w:rsid w:val="008F25D4"/>
    <w:rsid w:val="008F4A10"/>
    <w:rsid w:val="008F55A3"/>
    <w:rsid w:val="008F5962"/>
    <w:rsid w:val="008F5A8A"/>
    <w:rsid w:val="008F6868"/>
    <w:rsid w:val="008F7CB7"/>
    <w:rsid w:val="009004B7"/>
    <w:rsid w:val="00900779"/>
    <w:rsid w:val="00900C87"/>
    <w:rsid w:val="009014F6"/>
    <w:rsid w:val="00901941"/>
    <w:rsid w:val="00901952"/>
    <w:rsid w:val="00902022"/>
    <w:rsid w:val="00902F93"/>
    <w:rsid w:val="00904470"/>
    <w:rsid w:val="00904588"/>
    <w:rsid w:val="0090488B"/>
    <w:rsid w:val="00904D91"/>
    <w:rsid w:val="009056EB"/>
    <w:rsid w:val="0090580C"/>
    <w:rsid w:val="00906D51"/>
    <w:rsid w:val="009079CF"/>
    <w:rsid w:val="009121C0"/>
    <w:rsid w:val="0091296F"/>
    <w:rsid w:val="00913A3E"/>
    <w:rsid w:val="00913B7B"/>
    <w:rsid w:val="00914041"/>
    <w:rsid w:val="0091431C"/>
    <w:rsid w:val="00914562"/>
    <w:rsid w:val="00915A64"/>
    <w:rsid w:val="00916E6F"/>
    <w:rsid w:val="00917B8A"/>
    <w:rsid w:val="00920DE8"/>
    <w:rsid w:val="00920EAA"/>
    <w:rsid w:val="009214FD"/>
    <w:rsid w:val="009217FE"/>
    <w:rsid w:val="00921CF8"/>
    <w:rsid w:val="0092282E"/>
    <w:rsid w:val="00922AB3"/>
    <w:rsid w:val="00922D86"/>
    <w:rsid w:val="00922DB5"/>
    <w:rsid w:val="00923CCC"/>
    <w:rsid w:val="009261BF"/>
    <w:rsid w:val="009267BE"/>
    <w:rsid w:val="0093188A"/>
    <w:rsid w:val="0093199A"/>
    <w:rsid w:val="00932BDF"/>
    <w:rsid w:val="00933ACF"/>
    <w:rsid w:val="00933DF5"/>
    <w:rsid w:val="009365A1"/>
    <w:rsid w:val="009370BE"/>
    <w:rsid w:val="00937AFF"/>
    <w:rsid w:val="00937E28"/>
    <w:rsid w:val="00940A49"/>
    <w:rsid w:val="00941A8F"/>
    <w:rsid w:val="00941FF7"/>
    <w:rsid w:val="00942F86"/>
    <w:rsid w:val="009430BA"/>
    <w:rsid w:val="00944A6F"/>
    <w:rsid w:val="00944FBF"/>
    <w:rsid w:val="0094607A"/>
    <w:rsid w:val="00946AEE"/>
    <w:rsid w:val="00947598"/>
    <w:rsid w:val="009500E7"/>
    <w:rsid w:val="00950B93"/>
    <w:rsid w:val="00950B97"/>
    <w:rsid w:val="009526E7"/>
    <w:rsid w:val="00952940"/>
    <w:rsid w:val="0095516D"/>
    <w:rsid w:val="00955936"/>
    <w:rsid w:val="00955C19"/>
    <w:rsid w:val="00955D52"/>
    <w:rsid w:val="00955FC8"/>
    <w:rsid w:val="009645B0"/>
    <w:rsid w:val="00965440"/>
    <w:rsid w:val="009679DA"/>
    <w:rsid w:val="00970199"/>
    <w:rsid w:val="009708FA"/>
    <w:rsid w:val="00971193"/>
    <w:rsid w:val="009729AA"/>
    <w:rsid w:val="00973314"/>
    <w:rsid w:val="00973FAF"/>
    <w:rsid w:val="00974E13"/>
    <w:rsid w:val="00975DC3"/>
    <w:rsid w:val="00977263"/>
    <w:rsid w:val="009805A3"/>
    <w:rsid w:val="00980688"/>
    <w:rsid w:val="00981A62"/>
    <w:rsid w:val="00981F3C"/>
    <w:rsid w:val="00981F94"/>
    <w:rsid w:val="00982291"/>
    <w:rsid w:val="009823BB"/>
    <w:rsid w:val="00982C09"/>
    <w:rsid w:val="009830E4"/>
    <w:rsid w:val="00983216"/>
    <w:rsid w:val="00985859"/>
    <w:rsid w:val="00985E20"/>
    <w:rsid w:val="009865E1"/>
    <w:rsid w:val="00986BE2"/>
    <w:rsid w:val="00986DB9"/>
    <w:rsid w:val="009877A0"/>
    <w:rsid w:val="009910E0"/>
    <w:rsid w:val="009916C3"/>
    <w:rsid w:val="009935AB"/>
    <w:rsid w:val="009935EF"/>
    <w:rsid w:val="00994FF9"/>
    <w:rsid w:val="009950C7"/>
    <w:rsid w:val="009952E4"/>
    <w:rsid w:val="009957DE"/>
    <w:rsid w:val="00995D94"/>
    <w:rsid w:val="0099710B"/>
    <w:rsid w:val="009A010D"/>
    <w:rsid w:val="009A04D8"/>
    <w:rsid w:val="009A07FC"/>
    <w:rsid w:val="009A0B33"/>
    <w:rsid w:val="009A149B"/>
    <w:rsid w:val="009A188A"/>
    <w:rsid w:val="009A3211"/>
    <w:rsid w:val="009A3D22"/>
    <w:rsid w:val="009A40DF"/>
    <w:rsid w:val="009A6E6E"/>
    <w:rsid w:val="009A7410"/>
    <w:rsid w:val="009A7A86"/>
    <w:rsid w:val="009B0380"/>
    <w:rsid w:val="009B0A86"/>
    <w:rsid w:val="009B10E4"/>
    <w:rsid w:val="009B16BD"/>
    <w:rsid w:val="009B27EA"/>
    <w:rsid w:val="009B2DC0"/>
    <w:rsid w:val="009B2F45"/>
    <w:rsid w:val="009B3AB2"/>
    <w:rsid w:val="009B4B60"/>
    <w:rsid w:val="009B5E30"/>
    <w:rsid w:val="009B6EB6"/>
    <w:rsid w:val="009B71EF"/>
    <w:rsid w:val="009B782E"/>
    <w:rsid w:val="009B7D23"/>
    <w:rsid w:val="009B7D6E"/>
    <w:rsid w:val="009C07FB"/>
    <w:rsid w:val="009C0D69"/>
    <w:rsid w:val="009C0FA5"/>
    <w:rsid w:val="009C1384"/>
    <w:rsid w:val="009C1E7B"/>
    <w:rsid w:val="009C2C4B"/>
    <w:rsid w:val="009C40BF"/>
    <w:rsid w:val="009C562F"/>
    <w:rsid w:val="009C5B14"/>
    <w:rsid w:val="009C65B9"/>
    <w:rsid w:val="009C7288"/>
    <w:rsid w:val="009C7D32"/>
    <w:rsid w:val="009D1415"/>
    <w:rsid w:val="009D1525"/>
    <w:rsid w:val="009D1784"/>
    <w:rsid w:val="009D279C"/>
    <w:rsid w:val="009D2C57"/>
    <w:rsid w:val="009D401A"/>
    <w:rsid w:val="009D4175"/>
    <w:rsid w:val="009D44BA"/>
    <w:rsid w:val="009E0B75"/>
    <w:rsid w:val="009E1AA7"/>
    <w:rsid w:val="009E1B8E"/>
    <w:rsid w:val="009E1F40"/>
    <w:rsid w:val="009E2857"/>
    <w:rsid w:val="009E304B"/>
    <w:rsid w:val="009E422A"/>
    <w:rsid w:val="009E5D2D"/>
    <w:rsid w:val="009E5E19"/>
    <w:rsid w:val="009E5FC5"/>
    <w:rsid w:val="009E6A6E"/>
    <w:rsid w:val="009F10BD"/>
    <w:rsid w:val="009F19C5"/>
    <w:rsid w:val="009F20EA"/>
    <w:rsid w:val="009F2A32"/>
    <w:rsid w:val="009F2A65"/>
    <w:rsid w:val="009F2ED4"/>
    <w:rsid w:val="009F2EDA"/>
    <w:rsid w:val="009F3F16"/>
    <w:rsid w:val="009F410D"/>
    <w:rsid w:val="009F464C"/>
    <w:rsid w:val="009F6A8A"/>
    <w:rsid w:val="009F7C4A"/>
    <w:rsid w:val="00A0075C"/>
    <w:rsid w:val="00A0237F"/>
    <w:rsid w:val="00A05634"/>
    <w:rsid w:val="00A06953"/>
    <w:rsid w:val="00A077F6"/>
    <w:rsid w:val="00A11D2D"/>
    <w:rsid w:val="00A14109"/>
    <w:rsid w:val="00A17C07"/>
    <w:rsid w:val="00A17F86"/>
    <w:rsid w:val="00A209B5"/>
    <w:rsid w:val="00A20C6D"/>
    <w:rsid w:val="00A21015"/>
    <w:rsid w:val="00A21195"/>
    <w:rsid w:val="00A21CEF"/>
    <w:rsid w:val="00A22D1B"/>
    <w:rsid w:val="00A2491B"/>
    <w:rsid w:val="00A250F0"/>
    <w:rsid w:val="00A26363"/>
    <w:rsid w:val="00A27CD2"/>
    <w:rsid w:val="00A3016D"/>
    <w:rsid w:val="00A32713"/>
    <w:rsid w:val="00A33874"/>
    <w:rsid w:val="00A33B65"/>
    <w:rsid w:val="00A347D5"/>
    <w:rsid w:val="00A363E2"/>
    <w:rsid w:val="00A364D5"/>
    <w:rsid w:val="00A36D7E"/>
    <w:rsid w:val="00A36D90"/>
    <w:rsid w:val="00A40206"/>
    <w:rsid w:val="00A4036B"/>
    <w:rsid w:val="00A410D7"/>
    <w:rsid w:val="00A41B37"/>
    <w:rsid w:val="00A42AC6"/>
    <w:rsid w:val="00A44CD5"/>
    <w:rsid w:val="00A44F71"/>
    <w:rsid w:val="00A45258"/>
    <w:rsid w:val="00A452C2"/>
    <w:rsid w:val="00A45F00"/>
    <w:rsid w:val="00A46F40"/>
    <w:rsid w:val="00A47C9D"/>
    <w:rsid w:val="00A51849"/>
    <w:rsid w:val="00A51DD3"/>
    <w:rsid w:val="00A51E6D"/>
    <w:rsid w:val="00A524B8"/>
    <w:rsid w:val="00A52FD5"/>
    <w:rsid w:val="00A53067"/>
    <w:rsid w:val="00A54543"/>
    <w:rsid w:val="00A549F6"/>
    <w:rsid w:val="00A55FDF"/>
    <w:rsid w:val="00A5604C"/>
    <w:rsid w:val="00A56BD6"/>
    <w:rsid w:val="00A56DE2"/>
    <w:rsid w:val="00A57EE9"/>
    <w:rsid w:val="00A61AEB"/>
    <w:rsid w:val="00A62889"/>
    <w:rsid w:val="00A6400D"/>
    <w:rsid w:val="00A65F84"/>
    <w:rsid w:val="00A66484"/>
    <w:rsid w:val="00A667FF"/>
    <w:rsid w:val="00A67A9B"/>
    <w:rsid w:val="00A70D57"/>
    <w:rsid w:val="00A7161C"/>
    <w:rsid w:val="00A72169"/>
    <w:rsid w:val="00A73622"/>
    <w:rsid w:val="00A738FF"/>
    <w:rsid w:val="00A73CC9"/>
    <w:rsid w:val="00A7454F"/>
    <w:rsid w:val="00A74ED6"/>
    <w:rsid w:val="00A75026"/>
    <w:rsid w:val="00A76150"/>
    <w:rsid w:val="00A816F0"/>
    <w:rsid w:val="00A824CF"/>
    <w:rsid w:val="00A8275C"/>
    <w:rsid w:val="00A83000"/>
    <w:rsid w:val="00A84E50"/>
    <w:rsid w:val="00A856DE"/>
    <w:rsid w:val="00A85ABF"/>
    <w:rsid w:val="00A86EE2"/>
    <w:rsid w:val="00A87292"/>
    <w:rsid w:val="00A9095E"/>
    <w:rsid w:val="00A90F28"/>
    <w:rsid w:val="00A91663"/>
    <w:rsid w:val="00A91AE1"/>
    <w:rsid w:val="00A91DC9"/>
    <w:rsid w:val="00A93D71"/>
    <w:rsid w:val="00A96A18"/>
    <w:rsid w:val="00AA061F"/>
    <w:rsid w:val="00AA0EB1"/>
    <w:rsid w:val="00AA153E"/>
    <w:rsid w:val="00AA2267"/>
    <w:rsid w:val="00AA244F"/>
    <w:rsid w:val="00AA4432"/>
    <w:rsid w:val="00AA4F5F"/>
    <w:rsid w:val="00AA5DE6"/>
    <w:rsid w:val="00AA652A"/>
    <w:rsid w:val="00AA66A7"/>
    <w:rsid w:val="00AA6EC2"/>
    <w:rsid w:val="00AB1549"/>
    <w:rsid w:val="00AB18F2"/>
    <w:rsid w:val="00AB1A83"/>
    <w:rsid w:val="00AB22A4"/>
    <w:rsid w:val="00AB318A"/>
    <w:rsid w:val="00AB4161"/>
    <w:rsid w:val="00AB5829"/>
    <w:rsid w:val="00AB582C"/>
    <w:rsid w:val="00AB7B7F"/>
    <w:rsid w:val="00AC0908"/>
    <w:rsid w:val="00AC1583"/>
    <w:rsid w:val="00AC1677"/>
    <w:rsid w:val="00AC201E"/>
    <w:rsid w:val="00AC4CF6"/>
    <w:rsid w:val="00AC5754"/>
    <w:rsid w:val="00AC604C"/>
    <w:rsid w:val="00AC68DD"/>
    <w:rsid w:val="00AC6A1A"/>
    <w:rsid w:val="00AC7B17"/>
    <w:rsid w:val="00AC7C65"/>
    <w:rsid w:val="00AD2B41"/>
    <w:rsid w:val="00AD2BE4"/>
    <w:rsid w:val="00AD378E"/>
    <w:rsid w:val="00AD396E"/>
    <w:rsid w:val="00AD60B9"/>
    <w:rsid w:val="00AD72FC"/>
    <w:rsid w:val="00AE05A2"/>
    <w:rsid w:val="00AE12EE"/>
    <w:rsid w:val="00AE1347"/>
    <w:rsid w:val="00AE1D2D"/>
    <w:rsid w:val="00AE2EA2"/>
    <w:rsid w:val="00AE3198"/>
    <w:rsid w:val="00AE31B3"/>
    <w:rsid w:val="00AE3F7B"/>
    <w:rsid w:val="00AE6A8E"/>
    <w:rsid w:val="00AF067E"/>
    <w:rsid w:val="00AF0B87"/>
    <w:rsid w:val="00AF0DA6"/>
    <w:rsid w:val="00AF23D5"/>
    <w:rsid w:val="00AF2B8A"/>
    <w:rsid w:val="00AF3582"/>
    <w:rsid w:val="00AF40B7"/>
    <w:rsid w:val="00AF587C"/>
    <w:rsid w:val="00AF5D82"/>
    <w:rsid w:val="00AF60D5"/>
    <w:rsid w:val="00AF6776"/>
    <w:rsid w:val="00AF7AF1"/>
    <w:rsid w:val="00AF7DA4"/>
    <w:rsid w:val="00B00DCC"/>
    <w:rsid w:val="00B0192C"/>
    <w:rsid w:val="00B02711"/>
    <w:rsid w:val="00B02BFA"/>
    <w:rsid w:val="00B02FF0"/>
    <w:rsid w:val="00B06181"/>
    <w:rsid w:val="00B1097A"/>
    <w:rsid w:val="00B10A8C"/>
    <w:rsid w:val="00B11638"/>
    <w:rsid w:val="00B12936"/>
    <w:rsid w:val="00B12F28"/>
    <w:rsid w:val="00B13018"/>
    <w:rsid w:val="00B146FE"/>
    <w:rsid w:val="00B14B14"/>
    <w:rsid w:val="00B15CE1"/>
    <w:rsid w:val="00B172AA"/>
    <w:rsid w:val="00B17AF9"/>
    <w:rsid w:val="00B216E3"/>
    <w:rsid w:val="00B224ED"/>
    <w:rsid w:val="00B23B37"/>
    <w:rsid w:val="00B25175"/>
    <w:rsid w:val="00B268B5"/>
    <w:rsid w:val="00B27602"/>
    <w:rsid w:val="00B27E4C"/>
    <w:rsid w:val="00B30513"/>
    <w:rsid w:val="00B305BA"/>
    <w:rsid w:val="00B322E2"/>
    <w:rsid w:val="00B3368A"/>
    <w:rsid w:val="00B34242"/>
    <w:rsid w:val="00B343E5"/>
    <w:rsid w:val="00B3457A"/>
    <w:rsid w:val="00B40DD0"/>
    <w:rsid w:val="00B425A0"/>
    <w:rsid w:val="00B4285F"/>
    <w:rsid w:val="00B42F9C"/>
    <w:rsid w:val="00B439D3"/>
    <w:rsid w:val="00B440F3"/>
    <w:rsid w:val="00B444BE"/>
    <w:rsid w:val="00B46B73"/>
    <w:rsid w:val="00B46E5B"/>
    <w:rsid w:val="00B47099"/>
    <w:rsid w:val="00B47689"/>
    <w:rsid w:val="00B502F4"/>
    <w:rsid w:val="00B50A6B"/>
    <w:rsid w:val="00B51E7C"/>
    <w:rsid w:val="00B52152"/>
    <w:rsid w:val="00B5260C"/>
    <w:rsid w:val="00B52D63"/>
    <w:rsid w:val="00B53B31"/>
    <w:rsid w:val="00B53C88"/>
    <w:rsid w:val="00B542CC"/>
    <w:rsid w:val="00B54870"/>
    <w:rsid w:val="00B54C84"/>
    <w:rsid w:val="00B55A13"/>
    <w:rsid w:val="00B57FF7"/>
    <w:rsid w:val="00B601B6"/>
    <w:rsid w:val="00B60984"/>
    <w:rsid w:val="00B62691"/>
    <w:rsid w:val="00B62799"/>
    <w:rsid w:val="00B63D32"/>
    <w:rsid w:val="00B63D78"/>
    <w:rsid w:val="00B63EE9"/>
    <w:rsid w:val="00B65094"/>
    <w:rsid w:val="00B655B6"/>
    <w:rsid w:val="00B655EF"/>
    <w:rsid w:val="00B65ACF"/>
    <w:rsid w:val="00B67B64"/>
    <w:rsid w:val="00B67DAF"/>
    <w:rsid w:val="00B706D2"/>
    <w:rsid w:val="00B74527"/>
    <w:rsid w:val="00B81C92"/>
    <w:rsid w:val="00B837B7"/>
    <w:rsid w:val="00B83DA9"/>
    <w:rsid w:val="00B84266"/>
    <w:rsid w:val="00B859F4"/>
    <w:rsid w:val="00B86534"/>
    <w:rsid w:val="00B865E3"/>
    <w:rsid w:val="00B866B8"/>
    <w:rsid w:val="00B8746A"/>
    <w:rsid w:val="00B90B7F"/>
    <w:rsid w:val="00B91552"/>
    <w:rsid w:val="00B918DB"/>
    <w:rsid w:val="00B937B6"/>
    <w:rsid w:val="00B9382B"/>
    <w:rsid w:val="00B94372"/>
    <w:rsid w:val="00B951B4"/>
    <w:rsid w:val="00B95495"/>
    <w:rsid w:val="00B961A0"/>
    <w:rsid w:val="00B9724D"/>
    <w:rsid w:val="00B9794C"/>
    <w:rsid w:val="00BA2C2B"/>
    <w:rsid w:val="00BA361B"/>
    <w:rsid w:val="00BA4DFD"/>
    <w:rsid w:val="00BA5F8E"/>
    <w:rsid w:val="00BA6C0B"/>
    <w:rsid w:val="00BA754C"/>
    <w:rsid w:val="00BA7FD7"/>
    <w:rsid w:val="00BB049F"/>
    <w:rsid w:val="00BB087E"/>
    <w:rsid w:val="00BB1149"/>
    <w:rsid w:val="00BB1A03"/>
    <w:rsid w:val="00BB2BE0"/>
    <w:rsid w:val="00BB3C10"/>
    <w:rsid w:val="00BB3D0D"/>
    <w:rsid w:val="00BB4FDA"/>
    <w:rsid w:val="00BB5166"/>
    <w:rsid w:val="00BB5373"/>
    <w:rsid w:val="00BB6A82"/>
    <w:rsid w:val="00BB711E"/>
    <w:rsid w:val="00BB7693"/>
    <w:rsid w:val="00BB7CB7"/>
    <w:rsid w:val="00BC1D6F"/>
    <w:rsid w:val="00BC1E7E"/>
    <w:rsid w:val="00BC22B6"/>
    <w:rsid w:val="00BC2B81"/>
    <w:rsid w:val="00BC4361"/>
    <w:rsid w:val="00BC4852"/>
    <w:rsid w:val="00BC5968"/>
    <w:rsid w:val="00BC5CF2"/>
    <w:rsid w:val="00BC78B6"/>
    <w:rsid w:val="00BD324B"/>
    <w:rsid w:val="00BD367C"/>
    <w:rsid w:val="00BD3E26"/>
    <w:rsid w:val="00BD42A7"/>
    <w:rsid w:val="00BD434E"/>
    <w:rsid w:val="00BD70FD"/>
    <w:rsid w:val="00BD7F75"/>
    <w:rsid w:val="00BE06F2"/>
    <w:rsid w:val="00BE07EC"/>
    <w:rsid w:val="00BE1F47"/>
    <w:rsid w:val="00BE231C"/>
    <w:rsid w:val="00BE4B31"/>
    <w:rsid w:val="00BE56FF"/>
    <w:rsid w:val="00BE5AB1"/>
    <w:rsid w:val="00BE5B7E"/>
    <w:rsid w:val="00BE778E"/>
    <w:rsid w:val="00BF05EE"/>
    <w:rsid w:val="00BF0DE2"/>
    <w:rsid w:val="00BF221D"/>
    <w:rsid w:val="00BF25BD"/>
    <w:rsid w:val="00BF304A"/>
    <w:rsid w:val="00BF3783"/>
    <w:rsid w:val="00BF3ED7"/>
    <w:rsid w:val="00BF75A8"/>
    <w:rsid w:val="00BF7AFC"/>
    <w:rsid w:val="00BF7C42"/>
    <w:rsid w:val="00C008AE"/>
    <w:rsid w:val="00C023EE"/>
    <w:rsid w:val="00C0278C"/>
    <w:rsid w:val="00C02CA2"/>
    <w:rsid w:val="00C055DF"/>
    <w:rsid w:val="00C06328"/>
    <w:rsid w:val="00C07D0C"/>
    <w:rsid w:val="00C11445"/>
    <w:rsid w:val="00C13D00"/>
    <w:rsid w:val="00C2009F"/>
    <w:rsid w:val="00C20228"/>
    <w:rsid w:val="00C22A80"/>
    <w:rsid w:val="00C2452D"/>
    <w:rsid w:val="00C25730"/>
    <w:rsid w:val="00C25A39"/>
    <w:rsid w:val="00C25F0B"/>
    <w:rsid w:val="00C261D0"/>
    <w:rsid w:val="00C263D7"/>
    <w:rsid w:val="00C264D6"/>
    <w:rsid w:val="00C27084"/>
    <w:rsid w:val="00C273A1"/>
    <w:rsid w:val="00C31D02"/>
    <w:rsid w:val="00C34B9E"/>
    <w:rsid w:val="00C353B3"/>
    <w:rsid w:val="00C35774"/>
    <w:rsid w:val="00C3772F"/>
    <w:rsid w:val="00C438B7"/>
    <w:rsid w:val="00C438F8"/>
    <w:rsid w:val="00C445C8"/>
    <w:rsid w:val="00C4490B"/>
    <w:rsid w:val="00C4544A"/>
    <w:rsid w:val="00C4691A"/>
    <w:rsid w:val="00C472A9"/>
    <w:rsid w:val="00C47809"/>
    <w:rsid w:val="00C525EF"/>
    <w:rsid w:val="00C5342E"/>
    <w:rsid w:val="00C5513A"/>
    <w:rsid w:val="00C55748"/>
    <w:rsid w:val="00C55D93"/>
    <w:rsid w:val="00C562C7"/>
    <w:rsid w:val="00C56D65"/>
    <w:rsid w:val="00C5794F"/>
    <w:rsid w:val="00C57A90"/>
    <w:rsid w:val="00C57F83"/>
    <w:rsid w:val="00C61F46"/>
    <w:rsid w:val="00C62389"/>
    <w:rsid w:val="00C6330E"/>
    <w:rsid w:val="00C63673"/>
    <w:rsid w:val="00C63CAE"/>
    <w:rsid w:val="00C653BE"/>
    <w:rsid w:val="00C66458"/>
    <w:rsid w:val="00C664ED"/>
    <w:rsid w:val="00C673A2"/>
    <w:rsid w:val="00C67FBB"/>
    <w:rsid w:val="00C71796"/>
    <w:rsid w:val="00C71BE0"/>
    <w:rsid w:val="00C737C7"/>
    <w:rsid w:val="00C74665"/>
    <w:rsid w:val="00C75133"/>
    <w:rsid w:val="00C752C6"/>
    <w:rsid w:val="00C76AD2"/>
    <w:rsid w:val="00C77480"/>
    <w:rsid w:val="00C7765D"/>
    <w:rsid w:val="00C77804"/>
    <w:rsid w:val="00C80ACE"/>
    <w:rsid w:val="00C8141F"/>
    <w:rsid w:val="00C8373E"/>
    <w:rsid w:val="00C866CD"/>
    <w:rsid w:val="00C86AF2"/>
    <w:rsid w:val="00C8784F"/>
    <w:rsid w:val="00C87A4A"/>
    <w:rsid w:val="00C90799"/>
    <w:rsid w:val="00C910F6"/>
    <w:rsid w:val="00C914A9"/>
    <w:rsid w:val="00C917CA"/>
    <w:rsid w:val="00C924A2"/>
    <w:rsid w:val="00C92AFF"/>
    <w:rsid w:val="00C92B4F"/>
    <w:rsid w:val="00C92F46"/>
    <w:rsid w:val="00C935E2"/>
    <w:rsid w:val="00C946F7"/>
    <w:rsid w:val="00C9514E"/>
    <w:rsid w:val="00CA0332"/>
    <w:rsid w:val="00CA0F4C"/>
    <w:rsid w:val="00CA111D"/>
    <w:rsid w:val="00CA2C96"/>
    <w:rsid w:val="00CA2CF8"/>
    <w:rsid w:val="00CA3174"/>
    <w:rsid w:val="00CA4D42"/>
    <w:rsid w:val="00CA7311"/>
    <w:rsid w:val="00CB29BC"/>
    <w:rsid w:val="00CB3D5C"/>
    <w:rsid w:val="00CB46D5"/>
    <w:rsid w:val="00CB5BF6"/>
    <w:rsid w:val="00CB7F34"/>
    <w:rsid w:val="00CC0C5D"/>
    <w:rsid w:val="00CC1CCF"/>
    <w:rsid w:val="00CC2544"/>
    <w:rsid w:val="00CC25AD"/>
    <w:rsid w:val="00CC3215"/>
    <w:rsid w:val="00CC3EB7"/>
    <w:rsid w:val="00CC437B"/>
    <w:rsid w:val="00CC46EF"/>
    <w:rsid w:val="00CC79C8"/>
    <w:rsid w:val="00CD0955"/>
    <w:rsid w:val="00CD2028"/>
    <w:rsid w:val="00CD218E"/>
    <w:rsid w:val="00CD32F8"/>
    <w:rsid w:val="00CD3B13"/>
    <w:rsid w:val="00CD5BE8"/>
    <w:rsid w:val="00CD5DFA"/>
    <w:rsid w:val="00CE1590"/>
    <w:rsid w:val="00CE3860"/>
    <w:rsid w:val="00CE45A7"/>
    <w:rsid w:val="00CE5913"/>
    <w:rsid w:val="00CE6690"/>
    <w:rsid w:val="00CF0EB9"/>
    <w:rsid w:val="00CF1305"/>
    <w:rsid w:val="00CF248B"/>
    <w:rsid w:val="00CF2AED"/>
    <w:rsid w:val="00CF39FE"/>
    <w:rsid w:val="00CF553C"/>
    <w:rsid w:val="00CF688B"/>
    <w:rsid w:val="00D005ED"/>
    <w:rsid w:val="00D0112B"/>
    <w:rsid w:val="00D017E3"/>
    <w:rsid w:val="00D01E97"/>
    <w:rsid w:val="00D03250"/>
    <w:rsid w:val="00D04C7D"/>
    <w:rsid w:val="00D0533B"/>
    <w:rsid w:val="00D06070"/>
    <w:rsid w:val="00D0700F"/>
    <w:rsid w:val="00D079EE"/>
    <w:rsid w:val="00D07CF8"/>
    <w:rsid w:val="00D10479"/>
    <w:rsid w:val="00D1325B"/>
    <w:rsid w:val="00D1444A"/>
    <w:rsid w:val="00D14E7B"/>
    <w:rsid w:val="00D15ED0"/>
    <w:rsid w:val="00D15F38"/>
    <w:rsid w:val="00D176CC"/>
    <w:rsid w:val="00D17B74"/>
    <w:rsid w:val="00D17E43"/>
    <w:rsid w:val="00D212C4"/>
    <w:rsid w:val="00D231F5"/>
    <w:rsid w:val="00D23304"/>
    <w:rsid w:val="00D23EF8"/>
    <w:rsid w:val="00D26C68"/>
    <w:rsid w:val="00D27183"/>
    <w:rsid w:val="00D27FF6"/>
    <w:rsid w:val="00D305D2"/>
    <w:rsid w:val="00D30EF3"/>
    <w:rsid w:val="00D31B4E"/>
    <w:rsid w:val="00D32E6E"/>
    <w:rsid w:val="00D32F3B"/>
    <w:rsid w:val="00D32F56"/>
    <w:rsid w:val="00D330A0"/>
    <w:rsid w:val="00D34350"/>
    <w:rsid w:val="00D34444"/>
    <w:rsid w:val="00D34E23"/>
    <w:rsid w:val="00D36E41"/>
    <w:rsid w:val="00D400AF"/>
    <w:rsid w:val="00D408E1"/>
    <w:rsid w:val="00D40E1C"/>
    <w:rsid w:val="00D43973"/>
    <w:rsid w:val="00D44F64"/>
    <w:rsid w:val="00D4535E"/>
    <w:rsid w:val="00D45FA0"/>
    <w:rsid w:val="00D501EE"/>
    <w:rsid w:val="00D51C56"/>
    <w:rsid w:val="00D51C9A"/>
    <w:rsid w:val="00D526C9"/>
    <w:rsid w:val="00D52F42"/>
    <w:rsid w:val="00D547C2"/>
    <w:rsid w:val="00D570BA"/>
    <w:rsid w:val="00D574A5"/>
    <w:rsid w:val="00D61F34"/>
    <w:rsid w:val="00D626D5"/>
    <w:rsid w:val="00D646D9"/>
    <w:rsid w:val="00D647DC"/>
    <w:rsid w:val="00D652CC"/>
    <w:rsid w:val="00D65D9E"/>
    <w:rsid w:val="00D662AA"/>
    <w:rsid w:val="00D70161"/>
    <w:rsid w:val="00D70FBC"/>
    <w:rsid w:val="00D70FD3"/>
    <w:rsid w:val="00D710F6"/>
    <w:rsid w:val="00D71B65"/>
    <w:rsid w:val="00D7233D"/>
    <w:rsid w:val="00D72E66"/>
    <w:rsid w:val="00D75D7C"/>
    <w:rsid w:val="00D7631F"/>
    <w:rsid w:val="00D765A1"/>
    <w:rsid w:val="00D76F4B"/>
    <w:rsid w:val="00D77AF5"/>
    <w:rsid w:val="00D80F9F"/>
    <w:rsid w:val="00D81AC9"/>
    <w:rsid w:val="00D82DBC"/>
    <w:rsid w:val="00D875E1"/>
    <w:rsid w:val="00D8789B"/>
    <w:rsid w:val="00D9009B"/>
    <w:rsid w:val="00D92DEE"/>
    <w:rsid w:val="00D93026"/>
    <w:rsid w:val="00D933D1"/>
    <w:rsid w:val="00D93AAC"/>
    <w:rsid w:val="00D95A26"/>
    <w:rsid w:val="00D95D0E"/>
    <w:rsid w:val="00D96C94"/>
    <w:rsid w:val="00DA136F"/>
    <w:rsid w:val="00DA2965"/>
    <w:rsid w:val="00DA2BB2"/>
    <w:rsid w:val="00DA491F"/>
    <w:rsid w:val="00DA60B5"/>
    <w:rsid w:val="00DA6CF1"/>
    <w:rsid w:val="00DA7462"/>
    <w:rsid w:val="00DA7636"/>
    <w:rsid w:val="00DA7C29"/>
    <w:rsid w:val="00DB1317"/>
    <w:rsid w:val="00DB238B"/>
    <w:rsid w:val="00DB2CC0"/>
    <w:rsid w:val="00DB2F17"/>
    <w:rsid w:val="00DB391D"/>
    <w:rsid w:val="00DB3DFE"/>
    <w:rsid w:val="00DB3F0F"/>
    <w:rsid w:val="00DB649A"/>
    <w:rsid w:val="00DB66C2"/>
    <w:rsid w:val="00DB6926"/>
    <w:rsid w:val="00DB79C6"/>
    <w:rsid w:val="00DC27A6"/>
    <w:rsid w:val="00DC295B"/>
    <w:rsid w:val="00DC4412"/>
    <w:rsid w:val="00DC50B0"/>
    <w:rsid w:val="00DC5158"/>
    <w:rsid w:val="00DC5E1E"/>
    <w:rsid w:val="00DC701D"/>
    <w:rsid w:val="00DD0F56"/>
    <w:rsid w:val="00DD11B1"/>
    <w:rsid w:val="00DD2D36"/>
    <w:rsid w:val="00DD2F29"/>
    <w:rsid w:val="00DE0E1E"/>
    <w:rsid w:val="00DE11BB"/>
    <w:rsid w:val="00DE1B95"/>
    <w:rsid w:val="00DE1D28"/>
    <w:rsid w:val="00DE1D92"/>
    <w:rsid w:val="00DE4DFA"/>
    <w:rsid w:val="00DE59B9"/>
    <w:rsid w:val="00DE7F7F"/>
    <w:rsid w:val="00DF15B2"/>
    <w:rsid w:val="00DF225D"/>
    <w:rsid w:val="00DF499E"/>
    <w:rsid w:val="00DF5666"/>
    <w:rsid w:val="00DF635A"/>
    <w:rsid w:val="00DF63D3"/>
    <w:rsid w:val="00E01CC0"/>
    <w:rsid w:val="00E01D88"/>
    <w:rsid w:val="00E02302"/>
    <w:rsid w:val="00E02884"/>
    <w:rsid w:val="00E037A7"/>
    <w:rsid w:val="00E0415A"/>
    <w:rsid w:val="00E05385"/>
    <w:rsid w:val="00E0553D"/>
    <w:rsid w:val="00E05F82"/>
    <w:rsid w:val="00E069C8"/>
    <w:rsid w:val="00E07771"/>
    <w:rsid w:val="00E077B7"/>
    <w:rsid w:val="00E077CA"/>
    <w:rsid w:val="00E07A1E"/>
    <w:rsid w:val="00E1174E"/>
    <w:rsid w:val="00E119B2"/>
    <w:rsid w:val="00E129DD"/>
    <w:rsid w:val="00E130DF"/>
    <w:rsid w:val="00E1379E"/>
    <w:rsid w:val="00E13B6B"/>
    <w:rsid w:val="00E15495"/>
    <w:rsid w:val="00E16D64"/>
    <w:rsid w:val="00E16DC7"/>
    <w:rsid w:val="00E16DDA"/>
    <w:rsid w:val="00E1752A"/>
    <w:rsid w:val="00E20FB3"/>
    <w:rsid w:val="00E215B8"/>
    <w:rsid w:val="00E21DD3"/>
    <w:rsid w:val="00E225B7"/>
    <w:rsid w:val="00E22744"/>
    <w:rsid w:val="00E2298D"/>
    <w:rsid w:val="00E22B2F"/>
    <w:rsid w:val="00E23580"/>
    <w:rsid w:val="00E23EEC"/>
    <w:rsid w:val="00E2409E"/>
    <w:rsid w:val="00E24921"/>
    <w:rsid w:val="00E25680"/>
    <w:rsid w:val="00E2622B"/>
    <w:rsid w:val="00E27B7D"/>
    <w:rsid w:val="00E308B6"/>
    <w:rsid w:val="00E30F91"/>
    <w:rsid w:val="00E31CB1"/>
    <w:rsid w:val="00E32164"/>
    <w:rsid w:val="00E321E5"/>
    <w:rsid w:val="00E3334E"/>
    <w:rsid w:val="00E346DD"/>
    <w:rsid w:val="00E3511F"/>
    <w:rsid w:val="00E35AD4"/>
    <w:rsid w:val="00E35E4D"/>
    <w:rsid w:val="00E36ED3"/>
    <w:rsid w:val="00E36F7D"/>
    <w:rsid w:val="00E40208"/>
    <w:rsid w:val="00E41533"/>
    <w:rsid w:val="00E41F80"/>
    <w:rsid w:val="00E422D8"/>
    <w:rsid w:val="00E426DF"/>
    <w:rsid w:val="00E42B1F"/>
    <w:rsid w:val="00E438DD"/>
    <w:rsid w:val="00E43DAB"/>
    <w:rsid w:val="00E44569"/>
    <w:rsid w:val="00E45DBB"/>
    <w:rsid w:val="00E45E42"/>
    <w:rsid w:val="00E476D7"/>
    <w:rsid w:val="00E477F0"/>
    <w:rsid w:val="00E47C04"/>
    <w:rsid w:val="00E50B4B"/>
    <w:rsid w:val="00E5594D"/>
    <w:rsid w:val="00E55F3E"/>
    <w:rsid w:val="00E57541"/>
    <w:rsid w:val="00E5754E"/>
    <w:rsid w:val="00E57596"/>
    <w:rsid w:val="00E606D6"/>
    <w:rsid w:val="00E60F6F"/>
    <w:rsid w:val="00E6153C"/>
    <w:rsid w:val="00E61EB6"/>
    <w:rsid w:val="00E62A99"/>
    <w:rsid w:val="00E64458"/>
    <w:rsid w:val="00E64CB8"/>
    <w:rsid w:val="00E6591F"/>
    <w:rsid w:val="00E66B05"/>
    <w:rsid w:val="00E67CFE"/>
    <w:rsid w:val="00E70446"/>
    <w:rsid w:val="00E71BD9"/>
    <w:rsid w:val="00E7398F"/>
    <w:rsid w:val="00E7418C"/>
    <w:rsid w:val="00E76031"/>
    <w:rsid w:val="00E76050"/>
    <w:rsid w:val="00E76F2B"/>
    <w:rsid w:val="00E772ED"/>
    <w:rsid w:val="00E7787B"/>
    <w:rsid w:val="00E80056"/>
    <w:rsid w:val="00E84B4B"/>
    <w:rsid w:val="00E8618B"/>
    <w:rsid w:val="00E86B99"/>
    <w:rsid w:val="00E90E33"/>
    <w:rsid w:val="00E91FF9"/>
    <w:rsid w:val="00E926CC"/>
    <w:rsid w:val="00E92BA9"/>
    <w:rsid w:val="00E9478D"/>
    <w:rsid w:val="00E94A25"/>
    <w:rsid w:val="00E9556F"/>
    <w:rsid w:val="00E959DF"/>
    <w:rsid w:val="00E96258"/>
    <w:rsid w:val="00E9674F"/>
    <w:rsid w:val="00E96DBB"/>
    <w:rsid w:val="00E96F08"/>
    <w:rsid w:val="00E97DF9"/>
    <w:rsid w:val="00EA00D7"/>
    <w:rsid w:val="00EA110F"/>
    <w:rsid w:val="00EA3D6D"/>
    <w:rsid w:val="00EA479D"/>
    <w:rsid w:val="00EA786B"/>
    <w:rsid w:val="00EB1C7A"/>
    <w:rsid w:val="00EB1ECF"/>
    <w:rsid w:val="00EB23CD"/>
    <w:rsid w:val="00EB36E0"/>
    <w:rsid w:val="00EB38EA"/>
    <w:rsid w:val="00EB3F01"/>
    <w:rsid w:val="00EB48AD"/>
    <w:rsid w:val="00EB4DF8"/>
    <w:rsid w:val="00EB57E0"/>
    <w:rsid w:val="00EB6342"/>
    <w:rsid w:val="00EB751F"/>
    <w:rsid w:val="00EB7F3A"/>
    <w:rsid w:val="00EC04F7"/>
    <w:rsid w:val="00EC050E"/>
    <w:rsid w:val="00EC080D"/>
    <w:rsid w:val="00EC0F3A"/>
    <w:rsid w:val="00EC1905"/>
    <w:rsid w:val="00EC2D40"/>
    <w:rsid w:val="00EC4019"/>
    <w:rsid w:val="00EC459B"/>
    <w:rsid w:val="00EC532A"/>
    <w:rsid w:val="00EC5472"/>
    <w:rsid w:val="00EC5775"/>
    <w:rsid w:val="00EC5FBC"/>
    <w:rsid w:val="00EC6007"/>
    <w:rsid w:val="00EC661F"/>
    <w:rsid w:val="00EC7A47"/>
    <w:rsid w:val="00ED0837"/>
    <w:rsid w:val="00ED0ADC"/>
    <w:rsid w:val="00ED0DD8"/>
    <w:rsid w:val="00ED1B24"/>
    <w:rsid w:val="00ED1D31"/>
    <w:rsid w:val="00ED33E2"/>
    <w:rsid w:val="00ED4ADB"/>
    <w:rsid w:val="00ED5DD6"/>
    <w:rsid w:val="00ED6378"/>
    <w:rsid w:val="00ED6662"/>
    <w:rsid w:val="00ED7A10"/>
    <w:rsid w:val="00EE0837"/>
    <w:rsid w:val="00EE0D61"/>
    <w:rsid w:val="00EE13CD"/>
    <w:rsid w:val="00EE460A"/>
    <w:rsid w:val="00EE5A08"/>
    <w:rsid w:val="00EE5E2C"/>
    <w:rsid w:val="00EE770F"/>
    <w:rsid w:val="00EF10BE"/>
    <w:rsid w:val="00EF394C"/>
    <w:rsid w:val="00EF6111"/>
    <w:rsid w:val="00EF649E"/>
    <w:rsid w:val="00EF719D"/>
    <w:rsid w:val="00EF7AEB"/>
    <w:rsid w:val="00F0084E"/>
    <w:rsid w:val="00F00E48"/>
    <w:rsid w:val="00F00EAC"/>
    <w:rsid w:val="00F0251F"/>
    <w:rsid w:val="00F0294A"/>
    <w:rsid w:val="00F0336E"/>
    <w:rsid w:val="00F04C73"/>
    <w:rsid w:val="00F04E78"/>
    <w:rsid w:val="00F053FA"/>
    <w:rsid w:val="00F07972"/>
    <w:rsid w:val="00F11284"/>
    <w:rsid w:val="00F11AE3"/>
    <w:rsid w:val="00F11D7A"/>
    <w:rsid w:val="00F13BAD"/>
    <w:rsid w:val="00F1435F"/>
    <w:rsid w:val="00F14A5C"/>
    <w:rsid w:val="00F16153"/>
    <w:rsid w:val="00F16C4B"/>
    <w:rsid w:val="00F21A86"/>
    <w:rsid w:val="00F2277B"/>
    <w:rsid w:val="00F22DB0"/>
    <w:rsid w:val="00F23D67"/>
    <w:rsid w:val="00F24B48"/>
    <w:rsid w:val="00F262D5"/>
    <w:rsid w:val="00F2637A"/>
    <w:rsid w:val="00F2698E"/>
    <w:rsid w:val="00F26BB0"/>
    <w:rsid w:val="00F26CD4"/>
    <w:rsid w:val="00F2751E"/>
    <w:rsid w:val="00F308DE"/>
    <w:rsid w:val="00F30AD9"/>
    <w:rsid w:val="00F315D5"/>
    <w:rsid w:val="00F32D3A"/>
    <w:rsid w:val="00F32E46"/>
    <w:rsid w:val="00F33788"/>
    <w:rsid w:val="00F3734C"/>
    <w:rsid w:val="00F404B1"/>
    <w:rsid w:val="00F40E0E"/>
    <w:rsid w:val="00F42A98"/>
    <w:rsid w:val="00F42D29"/>
    <w:rsid w:val="00F42EA4"/>
    <w:rsid w:val="00F42F77"/>
    <w:rsid w:val="00F430D4"/>
    <w:rsid w:val="00F44348"/>
    <w:rsid w:val="00F44370"/>
    <w:rsid w:val="00F4473E"/>
    <w:rsid w:val="00F452CF"/>
    <w:rsid w:val="00F45324"/>
    <w:rsid w:val="00F46A33"/>
    <w:rsid w:val="00F46F51"/>
    <w:rsid w:val="00F47B84"/>
    <w:rsid w:val="00F47E83"/>
    <w:rsid w:val="00F5128C"/>
    <w:rsid w:val="00F51642"/>
    <w:rsid w:val="00F51FC5"/>
    <w:rsid w:val="00F521F1"/>
    <w:rsid w:val="00F539B1"/>
    <w:rsid w:val="00F53ACA"/>
    <w:rsid w:val="00F55087"/>
    <w:rsid w:val="00F552DE"/>
    <w:rsid w:val="00F55450"/>
    <w:rsid w:val="00F559D4"/>
    <w:rsid w:val="00F55BB5"/>
    <w:rsid w:val="00F56674"/>
    <w:rsid w:val="00F56B88"/>
    <w:rsid w:val="00F56C06"/>
    <w:rsid w:val="00F603F1"/>
    <w:rsid w:val="00F60600"/>
    <w:rsid w:val="00F607E9"/>
    <w:rsid w:val="00F6083C"/>
    <w:rsid w:val="00F60A4E"/>
    <w:rsid w:val="00F60B73"/>
    <w:rsid w:val="00F620EA"/>
    <w:rsid w:val="00F621D0"/>
    <w:rsid w:val="00F63277"/>
    <w:rsid w:val="00F6348C"/>
    <w:rsid w:val="00F64D73"/>
    <w:rsid w:val="00F657F8"/>
    <w:rsid w:val="00F65E68"/>
    <w:rsid w:val="00F66154"/>
    <w:rsid w:val="00F67683"/>
    <w:rsid w:val="00F679C1"/>
    <w:rsid w:val="00F70393"/>
    <w:rsid w:val="00F70AFC"/>
    <w:rsid w:val="00F7155A"/>
    <w:rsid w:val="00F71AF5"/>
    <w:rsid w:val="00F7200D"/>
    <w:rsid w:val="00F727E6"/>
    <w:rsid w:val="00F728BC"/>
    <w:rsid w:val="00F75414"/>
    <w:rsid w:val="00F7669B"/>
    <w:rsid w:val="00F809E8"/>
    <w:rsid w:val="00F82675"/>
    <w:rsid w:val="00F8279B"/>
    <w:rsid w:val="00F8396C"/>
    <w:rsid w:val="00F85232"/>
    <w:rsid w:val="00F85717"/>
    <w:rsid w:val="00F85928"/>
    <w:rsid w:val="00F90F8B"/>
    <w:rsid w:val="00F9125C"/>
    <w:rsid w:val="00F9168B"/>
    <w:rsid w:val="00F91A00"/>
    <w:rsid w:val="00F92D44"/>
    <w:rsid w:val="00F94ACD"/>
    <w:rsid w:val="00F95BD4"/>
    <w:rsid w:val="00F9697E"/>
    <w:rsid w:val="00F96EDD"/>
    <w:rsid w:val="00F977EE"/>
    <w:rsid w:val="00F97F6B"/>
    <w:rsid w:val="00FA11B9"/>
    <w:rsid w:val="00FA3815"/>
    <w:rsid w:val="00FA5431"/>
    <w:rsid w:val="00FA5710"/>
    <w:rsid w:val="00FA7E95"/>
    <w:rsid w:val="00FB0BA1"/>
    <w:rsid w:val="00FB0CAB"/>
    <w:rsid w:val="00FB0E4C"/>
    <w:rsid w:val="00FB16CF"/>
    <w:rsid w:val="00FB2DA4"/>
    <w:rsid w:val="00FB388E"/>
    <w:rsid w:val="00FB39B7"/>
    <w:rsid w:val="00FB4334"/>
    <w:rsid w:val="00FB4BC9"/>
    <w:rsid w:val="00FB4F89"/>
    <w:rsid w:val="00FB5393"/>
    <w:rsid w:val="00FB5876"/>
    <w:rsid w:val="00FB5A17"/>
    <w:rsid w:val="00FB63E6"/>
    <w:rsid w:val="00FB66FB"/>
    <w:rsid w:val="00FB6A5C"/>
    <w:rsid w:val="00FB7044"/>
    <w:rsid w:val="00FB75CE"/>
    <w:rsid w:val="00FB76FE"/>
    <w:rsid w:val="00FB77BB"/>
    <w:rsid w:val="00FC0163"/>
    <w:rsid w:val="00FC10DF"/>
    <w:rsid w:val="00FC142F"/>
    <w:rsid w:val="00FC1C27"/>
    <w:rsid w:val="00FC25D3"/>
    <w:rsid w:val="00FC2FF5"/>
    <w:rsid w:val="00FC373F"/>
    <w:rsid w:val="00FC4F3F"/>
    <w:rsid w:val="00FC55D6"/>
    <w:rsid w:val="00FC7108"/>
    <w:rsid w:val="00FC78C7"/>
    <w:rsid w:val="00FD20DC"/>
    <w:rsid w:val="00FD21D3"/>
    <w:rsid w:val="00FD2805"/>
    <w:rsid w:val="00FD36BB"/>
    <w:rsid w:val="00FD3D8D"/>
    <w:rsid w:val="00FD6A9C"/>
    <w:rsid w:val="00FD7CCB"/>
    <w:rsid w:val="00FE0D0A"/>
    <w:rsid w:val="00FE128E"/>
    <w:rsid w:val="00FE225F"/>
    <w:rsid w:val="00FE2C58"/>
    <w:rsid w:val="00FE355E"/>
    <w:rsid w:val="00FE3EF6"/>
    <w:rsid w:val="00FE43B8"/>
    <w:rsid w:val="00FE460E"/>
    <w:rsid w:val="00FE5269"/>
    <w:rsid w:val="00FE5686"/>
    <w:rsid w:val="00FE6567"/>
    <w:rsid w:val="00FE6B27"/>
    <w:rsid w:val="00FE76A5"/>
    <w:rsid w:val="00FF0971"/>
    <w:rsid w:val="00FF0D95"/>
    <w:rsid w:val="00FF0F30"/>
    <w:rsid w:val="00FF1C37"/>
    <w:rsid w:val="00FF326E"/>
    <w:rsid w:val="00FF4A35"/>
    <w:rsid w:val="00FF5E35"/>
    <w:rsid w:val="040D1DC6"/>
    <w:rsid w:val="05004208"/>
    <w:rsid w:val="07F71E6A"/>
    <w:rsid w:val="08B30618"/>
    <w:rsid w:val="096B4B0C"/>
    <w:rsid w:val="09CF32A7"/>
    <w:rsid w:val="0AE87987"/>
    <w:rsid w:val="0BEC14F8"/>
    <w:rsid w:val="0CE51E5D"/>
    <w:rsid w:val="1208177B"/>
    <w:rsid w:val="12196D33"/>
    <w:rsid w:val="12CC4BA4"/>
    <w:rsid w:val="15A21167"/>
    <w:rsid w:val="170C4F43"/>
    <w:rsid w:val="185C1EDF"/>
    <w:rsid w:val="196D4CC1"/>
    <w:rsid w:val="199B6C30"/>
    <w:rsid w:val="1DD1577B"/>
    <w:rsid w:val="1FD172EA"/>
    <w:rsid w:val="1FDB7DAE"/>
    <w:rsid w:val="250C1FD0"/>
    <w:rsid w:val="267C3533"/>
    <w:rsid w:val="28BA56C4"/>
    <w:rsid w:val="2BAE77C2"/>
    <w:rsid w:val="3353526D"/>
    <w:rsid w:val="392F1C77"/>
    <w:rsid w:val="39714909"/>
    <w:rsid w:val="397D4DF2"/>
    <w:rsid w:val="3BF5780A"/>
    <w:rsid w:val="3C4560F8"/>
    <w:rsid w:val="41523008"/>
    <w:rsid w:val="48117C10"/>
    <w:rsid w:val="48B30F89"/>
    <w:rsid w:val="4BB02E05"/>
    <w:rsid w:val="4CDE13AD"/>
    <w:rsid w:val="50167776"/>
    <w:rsid w:val="510E2C7A"/>
    <w:rsid w:val="5223725B"/>
    <w:rsid w:val="56DF28A7"/>
    <w:rsid w:val="56ED684A"/>
    <w:rsid w:val="5971364B"/>
    <w:rsid w:val="5F9F05FA"/>
    <w:rsid w:val="62DC0CCF"/>
    <w:rsid w:val="63064E78"/>
    <w:rsid w:val="64204D0D"/>
    <w:rsid w:val="652F482C"/>
    <w:rsid w:val="65B76739"/>
    <w:rsid w:val="67D94CE6"/>
    <w:rsid w:val="73505D5E"/>
    <w:rsid w:val="7FE63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line="540" w:lineRule="exact"/>
      <w:ind w:left="630" w:leftChars="300"/>
      <w:outlineLvl w:val="1"/>
    </w:pPr>
    <w:rPr>
      <w:rFonts w:ascii="仿宋_GB2312" w:eastAsia="仿宋_GB2312" w:hAnsiTheme="majorHAnsi" w:cstheme="majorBidi"/>
      <w:b/>
      <w:bCs/>
      <w:color w:val="000000" w:themeColor="text1"/>
      <w:sz w:val="28"/>
      <w:szCs w:val="28"/>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semiHidden/>
    <w:unhideWhenUsed/>
    <w:qFormat/>
    <w:uiPriority w:val="99"/>
    <w:rPr>
      <w:rFonts w:ascii="宋体" w:eastAsia="宋体"/>
      <w:sz w:val="18"/>
      <w:szCs w:val="18"/>
    </w:rPr>
  </w:style>
  <w:style w:type="paragraph" w:styleId="6">
    <w:name w:val="Date"/>
    <w:basedOn w:val="1"/>
    <w:next w:val="1"/>
    <w:link w:val="27"/>
    <w:qFormat/>
    <w:uiPriority w:val="0"/>
    <w:pPr>
      <w:ind w:left="100" w:leftChars="2500"/>
    </w:pPr>
    <w:rPr>
      <w:rFonts w:ascii="仿宋_GB2312" w:hAnsi="Times New Roman" w:eastAsia="仿宋_GB2312" w:cs="Times New Roman"/>
      <w:sz w:val="28"/>
      <w:szCs w:val="24"/>
    </w:rPr>
  </w:style>
  <w:style w:type="paragraph" w:styleId="7">
    <w:name w:val="Body Text Indent 2"/>
    <w:basedOn w:val="1"/>
    <w:link w:val="23"/>
    <w:qFormat/>
    <w:uiPriority w:val="0"/>
    <w:pPr>
      <w:spacing w:line="600" w:lineRule="exact"/>
      <w:ind w:firstLine="560" w:firstLineChars="200"/>
    </w:pPr>
    <w:rPr>
      <w:rFonts w:ascii="Times New Roman" w:hAnsi="Times New Roman" w:eastAsia="仿宋_GB2312" w:cs="Times New Roman"/>
      <w:sz w:val="28"/>
      <w:szCs w:val="24"/>
    </w:rPr>
  </w:style>
  <w:style w:type="paragraph" w:styleId="8">
    <w:name w:val="Balloon Text"/>
    <w:basedOn w:val="1"/>
    <w:link w:val="22"/>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tabs>
        <w:tab w:val="right" w:leader="dot" w:pos="9344"/>
      </w:tabs>
      <w:spacing w:line="700" w:lineRule="exact"/>
      <w:ind w:left="420" w:leftChars="200"/>
    </w:pPr>
    <w:rPr>
      <w:rFonts w:ascii="仿宋_GB2312" w:eastAsia="仿宋_GB2312"/>
      <w:sz w:val="28"/>
      <w:szCs w:val="2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000FF" w:themeColor="hyperlink"/>
      <w:u w:val="single"/>
    </w:rPr>
  </w:style>
  <w:style w:type="character" w:customStyle="1" w:styleId="20">
    <w:name w:val="页眉 Char"/>
    <w:basedOn w:val="17"/>
    <w:link w:val="10"/>
    <w:qFormat/>
    <w:uiPriority w:val="99"/>
    <w:rPr>
      <w:sz w:val="18"/>
      <w:szCs w:val="18"/>
    </w:rPr>
  </w:style>
  <w:style w:type="character" w:customStyle="1" w:styleId="21">
    <w:name w:val="页脚 Char"/>
    <w:basedOn w:val="17"/>
    <w:link w:val="9"/>
    <w:qFormat/>
    <w:uiPriority w:val="99"/>
    <w:rPr>
      <w:sz w:val="18"/>
      <w:szCs w:val="18"/>
    </w:rPr>
  </w:style>
  <w:style w:type="character" w:customStyle="1" w:styleId="22">
    <w:name w:val="批注框文本 Char"/>
    <w:basedOn w:val="17"/>
    <w:link w:val="8"/>
    <w:semiHidden/>
    <w:qFormat/>
    <w:uiPriority w:val="99"/>
    <w:rPr>
      <w:sz w:val="18"/>
      <w:szCs w:val="18"/>
    </w:rPr>
  </w:style>
  <w:style w:type="character" w:customStyle="1" w:styleId="23">
    <w:name w:val="正文文本缩进 2 Char"/>
    <w:basedOn w:val="17"/>
    <w:link w:val="7"/>
    <w:qFormat/>
    <w:uiPriority w:val="0"/>
    <w:rPr>
      <w:rFonts w:ascii="Times New Roman" w:hAnsi="Times New Roman" w:eastAsia="仿宋_GB2312" w:cs="Times New Roman"/>
      <w:sz w:val="28"/>
      <w:szCs w:val="24"/>
    </w:rPr>
  </w:style>
  <w:style w:type="paragraph" w:styleId="24">
    <w:name w:val="List Paragraph"/>
    <w:basedOn w:val="1"/>
    <w:qFormat/>
    <w:uiPriority w:val="34"/>
    <w:pPr>
      <w:ind w:firstLine="420" w:firstLineChars="200"/>
    </w:pPr>
  </w:style>
  <w:style w:type="character" w:customStyle="1" w:styleId="25">
    <w:name w:val="标题 1 Char"/>
    <w:basedOn w:val="17"/>
    <w:link w:val="2"/>
    <w:qFormat/>
    <w:uiPriority w:val="9"/>
    <w:rPr>
      <w:b/>
      <w:bCs/>
      <w:kern w:val="44"/>
      <w:sz w:val="44"/>
      <w:szCs w:val="44"/>
    </w:rPr>
  </w:style>
  <w:style w:type="character" w:customStyle="1" w:styleId="26">
    <w:name w:val="标题 2 Char"/>
    <w:basedOn w:val="17"/>
    <w:link w:val="3"/>
    <w:qFormat/>
    <w:uiPriority w:val="9"/>
    <w:rPr>
      <w:rFonts w:ascii="仿宋_GB2312" w:eastAsia="仿宋_GB2312" w:hAnsiTheme="majorHAnsi" w:cstheme="majorBidi"/>
      <w:b/>
      <w:bCs/>
      <w:color w:val="000000" w:themeColor="text1"/>
      <w:sz w:val="28"/>
      <w:szCs w:val="28"/>
    </w:rPr>
  </w:style>
  <w:style w:type="character" w:customStyle="1" w:styleId="27">
    <w:name w:val="日期 Char"/>
    <w:basedOn w:val="17"/>
    <w:link w:val="6"/>
    <w:qFormat/>
    <w:uiPriority w:val="0"/>
    <w:rPr>
      <w:rFonts w:ascii="仿宋_GB2312" w:hAnsi="Times New Roman" w:eastAsia="仿宋_GB2312" w:cs="Times New Roman"/>
      <w:sz w:val="28"/>
      <w:szCs w:val="24"/>
    </w:rPr>
  </w:style>
  <w:style w:type="character" w:styleId="28">
    <w:name w:val="Placeholder Text"/>
    <w:basedOn w:val="17"/>
    <w:semiHidden/>
    <w:qFormat/>
    <w:uiPriority w:val="99"/>
    <w:rPr>
      <w:color w:val="808080"/>
    </w:rPr>
  </w:style>
  <w:style w:type="character" w:customStyle="1" w:styleId="29">
    <w:name w:val="标题 Char"/>
    <w:basedOn w:val="17"/>
    <w:link w:val="14"/>
    <w:qFormat/>
    <w:uiPriority w:val="10"/>
    <w:rPr>
      <w:rFonts w:eastAsia="宋体" w:asciiTheme="majorHAnsi" w:hAnsiTheme="majorHAnsi" w:cstheme="majorBidi"/>
      <w:b/>
      <w:bCs/>
      <w:sz w:val="32"/>
      <w:szCs w:val="32"/>
    </w:rPr>
  </w:style>
  <w:style w:type="character" w:customStyle="1" w:styleId="30">
    <w:name w:val="文档结构图 Char"/>
    <w:basedOn w:val="17"/>
    <w:link w:val="5"/>
    <w:semiHidden/>
    <w:qFormat/>
    <w:uiPriority w:val="99"/>
    <w:rPr>
      <w:rFonts w:ascii="宋体" w:eastAsia="宋体"/>
      <w:sz w:val="18"/>
      <w:szCs w:val="18"/>
    </w:rPr>
  </w:style>
  <w:style w:type="character" w:customStyle="1" w:styleId="31">
    <w:name w:val="标题 3 Char"/>
    <w:basedOn w:val="17"/>
    <w:link w:val="4"/>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AD395-F0BF-48B2-8EF3-742A5E7F4E5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996</Words>
  <Characters>5683</Characters>
  <Lines>47</Lines>
  <Paragraphs>13</Paragraphs>
  <TotalTime>1</TotalTime>
  <ScaleCrop>false</ScaleCrop>
  <LinksUpToDate>false</LinksUpToDate>
  <CharactersWithSpaces>6666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2016-11-10T08:28:00Z</dcterms:created>
  <dc:creator>微软用户</dc:creator>
  <cp:lastModifiedBy>Administrator</cp:lastModifiedBy>
  <cp:lastPrinted>2021-12-20T06:49:59Z</cp:lastPrinted>
  <dcterms:modified xsi:type="dcterms:W3CDTF">2021-12-20T06:56:02Z</dcterms:modified>
  <cp:revision>1241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FF099CAFFFA54BA79111AFEFFB6529C3</vt:lpwstr>
  </property>
</Properties>
</file>