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default"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.........................13-20</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（六）估价结果确定..................................20</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于2021年09月28日派员对委托方列明的郑文宝、王会敏共有的、位于荆门市军马场一路2号（怡景新城小区）12号楼幢1单元3层302室，建筑面积为138.93平方米的住宅房屋（含相关权益）进行了现场实地查勘，并对估价对象房地产于估价时点2021年09月28日的市场价值进行了估价，为委托方处理案件确定房地产处置参考价提供价格咨询参考依据。</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市场价值为￥754251元(大写人民币柒拾伍万肆仟贰佰伍拾壹元整</w:t>
      </w:r>
      <w:r>
        <w:rPr>
          <w:rFonts w:hint="eastAsia" w:ascii="仿宋_GB2312" w:hAnsi="宋体" w:eastAsia="仿宋_GB2312" w:cs="Times New Roman"/>
          <w:kern w:val="2"/>
          <w:sz w:val="28"/>
          <w:szCs w:val="28"/>
          <w:highlight w:val="none"/>
          <w:lang w:val="en-US" w:eastAsia="zh-CN" w:bidi="ar-SA"/>
        </w:rPr>
        <w:t>)。</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二○二一年十月二十日</w:t>
      </w:r>
    </w:p>
    <w:p>
      <w:pPr>
        <w:jc w:val="both"/>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1"/>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1"/>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5、评估过程中未考虑该房屋产权抵押、查封后对估价结果的影响。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二○二一年十月二十日</w:t>
      </w: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lang w:val="en-US" w:eastAsia="zh-CN"/>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1312;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71151</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荆门市军马场一路2号（怡景新城小区）12号楼幢</w:t>
      </w:r>
    </w:p>
    <w:p>
      <w:pPr>
        <w:jc w:val="center"/>
        <w:rPr>
          <w:rFonts w:ascii="仿宋" w:hAnsi="仿宋" w:eastAsia="仿宋"/>
          <w:b/>
          <w:bCs/>
          <w:sz w:val="32"/>
          <w:szCs w:val="32"/>
        </w:rPr>
      </w:pPr>
      <w:r>
        <w:rPr>
          <w:rFonts w:hint="eastAsia" w:ascii="仿宋" w:hAnsi="仿宋" w:eastAsia="仿宋"/>
          <w:b/>
          <w:bCs/>
          <w:sz w:val="32"/>
          <w:szCs w:val="32"/>
          <w:lang w:val="en-US" w:eastAsia="zh-CN"/>
        </w:rPr>
        <w:t>1单元3层302室</w:t>
      </w: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w:t>
      </w: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numPr>
          <w:ilvl w:val="0"/>
          <w:numId w:val="1"/>
        </w:numPr>
        <w:ind w:left="0" w:leftChars="0"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住所：</w:t>
      </w:r>
      <w:r>
        <w:rPr>
          <w:rFonts w:hint="eastAsia" w:ascii="仿宋_GB2312" w:hAnsi="宋体" w:eastAsia="仿宋_GB2312" w:cs="Times New Roman"/>
          <w:kern w:val="2"/>
          <w:sz w:val="28"/>
          <w:szCs w:val="28"/>
          <w:highlight w:val="none"/>
          <w:lang w:val="en-US" w:eastAsia="zh-CN" w:bidi="ar-SA"/>
        </w:rPr>
        <w:t>湖北省孝感市孝南区黄花路38号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本次估价对象范围为郑文宝、王会敏共有的、位于荆门市军马场一路2号（怡景新城小区）12号楼幢1单元3层302室，建筑面积为138.93平方米的住宅房地产。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经本机构人员的实地勘查和委托方提供的委托书和房地产相关信息等资料，可知估价对象实体状况如下：</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座落荆门市军马场一路2号（怡景新城小区）12号楼幢1单元3层302室，房屋权利人为王会敏、郑文宝，共同共有；所在层数/总层数为3层/6层，建筑面积为138.93平方米，不动产权证号为：荆门市房权证掇刀区字第00078846-1/2号、第00078846-2/2号，登记时间为2013年10月30日。</w:t>
      </w:r>
    </w:p>
    <w:p>
      <w:pPr>
        <w:ind w:firstLine="560" w:firstLineChars="200"/>
        <w:rPr>
          <w:rFonts w:hint="default" w:ascii="仿宋_GB2312" w:hAnsi="宋体" w:eastAsia="仿宋_GB2312" w:cs="Times New Roman"/>
          <w:kern w:val="2"/>
          <w:sz w:val="28"/>
          <w:szCs w:val="28"/>
          <w:highlight w:val="yellow"/>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经现场勘验和调查，估价对象房屋位于</w:t>
      </w:r>
      <w:r>
        <w:rPr>
          <w:rFonts w:hint="eastAsia" w:ascii="仿宋_GB2312" w:hAnsi="宋体" w:eastAsia="仿宋_GB2312" w:cs="Times New Roman"/>
          <w:kern w:val="2"/>
          <w:sz w:val="28"/>
          <w:szCs w:val="28"/>
          <w:lang w:val="en-US" w:eastAsia="zh-CN" w:bidi="ar-SA"/>
        </w:rPr>
        <w:t>荆门市军马场一路怡景新城小区12号楼一单元302室</w:t>
      </w:r>
      <w:r>
        <w:rPr>
          <w:rFonts w:hint="eastAsia" w:ascii="仿宋_GB2312" w:hAnsi="宋体" w:eastAsia="仿宋_GB2312" w:cs="Times New Roman"/>
          <w:kern w:val="2"/>
          <w:sz w:val="28"/>
          <w:szCs w:val="28"/>
          <w:highlight w:val="none"/>
          <w:lang w:val="en-US" w:eastAsia="zh-CN" w:bidi="ar-SA"/>
        </w:rPr>
        <w:t>，现状用途为成套住宅；楼栋总层数为6层，为多层步梯楼房，标的房屋位于第三层，户型为三室两厅一厨两卫，南北朝向。房屋进户门为防盗门，卧室、书房为套装木门；客、餐厅地面铺设瓷砖，墙面、顶棚刷乳胶漆，客厅装有电视背景墙，顶棚做有简易造型吊顶；房间铺设木地板，墙面贴墙纸，顶棚乳胶漆刷白，三卧室均有到顶衣柜。根据现场勘验，标的房屋为精装修，房屋通风采光较好，维护保养尚好。</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为委托方处理案件提供价格咨询参考依据而评估该房产市场价格，供委托方及相关当事方咨询参考</w:t>
      </w:r>
      <w:r>
        <w:rPr>
          <w:rFonts w:hint="eastAsia" w:ascii="仿宋_GB2312" w:hAnsi="宋体" w:eastAsia="仿宋_GB2312" w:cs="Times New Roman"/>
          <w:kern w:val="2"/>
          <w:sz w:val="28"/>
          <w:szCs w:val="28"/>
          <w:highlight w:val="none"/>
          <w:lang w:val="en-US" w:eastAsia="zh-CN" w:bidi="ar-SA"/>
        </w:rPr>
        <w:t>。</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二0二一年九月二十八日。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5</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w:t>
      </w:r>
      <w:r>
        <w:rPr>
          <w:rFonts w:hint="eastAsia" w:ascii="仿宋_GB2312" w:hAnsi="宋体" w:eastAsia="仿宋_GB2312" w:cs="Times New Roman"/>
          <w:kern w:val="2"/>
          <w:sz w:val="28"/>
          <w:szCs w:val="28"/>
          <w:highlight w:val="none"/>
          <w:lang w:val="en-US" w:eastAsia="zh-CN" w:bidi="ar-SA"/>
        </w:rPr>
        <w:t>为￥75</w:t>
      </w:r>
      <w:r>
        <w:rPr>
          <w:rFonts w:hint="eastAsia" w:ascii="仿宋_GB2312" w:hAnsi="宋体" w:eastAsia="仿宋_GB2312" w:cs="Times New Roman"/>
          <w:kern w:val="2"/>
          <w:sz w:val="28"/>
          <w:szCs w:val="28"/>
          <w:lang w:val="en-US" w:eastAsia="zh-CN" w:bidi="ar-SA"/>
        </w:rPr>
        <w:t>4251元(大写人民币柒拾伍万肆仟贰佰伍拾壹元整</w:t>
      </w:r>
      <w:r>
        <w:rPr>
          <w:rFonts w:hint="eastAsia" w:ascii="仿宋_GB2312" w:hAnsi="宋体" w:eastAsia="仿宋_GB2312" w:cs="Times New Roman"/>
          <w:kern w:val="2"/>
          <w:sz w:val="28"/>
          <w:szCs w:val="28"/>
          <w:highlight w:val="none"/>
          <w:lang w:val="en-US" w:eastAsia="zh-CN" w:bidi="ar-SA"/>
        </w:rPr>
        <w:t>)。</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5"/>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5"/>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9"/>
        <w:tblpPr w:leftFromText="180" w:rightFromText="180" w:vertAnchor="text" w:horzAnchor="page" w:tblpXSpec="center" w:tblpY="81"/>
        <w:tblOverlap w:val="never"/>
        <w:tblW w:w="7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2"/>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0003035</w:t>
            </w:r>
          </w:p>
        </w:tc>
        <w:tc>
          <w:tcPr>
            <w:tcW w:w="2765" w:type="dxa"/>
            <w:vAlign w:val="center"/>
          </w:tcPr>
          <w:p>
            <w:pPr>
              <w:pStyle w:val="5"/>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705344" behindDoc="1" locked="0" layoutInCell="1" allowOverlap="1">
                  <wp:simplePos x="0" y="0"/>
                  <wp:positionH relativeFrom="column">
                    <wp:posOffset>171450</wp:posOffset>
                  </wp:positionH>
                  <wp:positionV relativeFrom="paragraph">
                    <wp:posOffset>149860</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0017039</w:t>
            </w:r>
          </w:p>
        </w:tc>
        <w:tc>
          <w:tcPr>
            <w:tcW w:w="2765" w:type="dxa"/>
            <w:vAlign w:val="center"/>
          </w:tcPr>
          <w:p>
            <w:pPr>
              <w:pStyle w:val="5"/>
              <w:rPr>
                <w:rFonts w:hint="eastAsia" w:ascii="仿宋" w:hAnsi="仿宋" w:eastAsia="仿宋"/>
                <w:color w:val="000000"/>
                <w:sz w:val="32"/>
                <w:szCs w:val="32"/>
              </w:rPr>
            </w:pPr>
            <w:r>
              <w:rPr>
                <w:lang w:val="zh-CN" w:eastAsia="zh-CN"/>
              </w:rPr>
              <w:drawing>
                <wp:anchor distT="0" distB="0" distL="114300" distR="114300" simplePos="0" relativeHeight="251707392" behindDoc="0" locked="0" layoutInCell="1" allowOverlap="1">
                  <wp:simplePos x="0" y="0"/>
                  <wp:positionH relativeFrom="column">
                    <wp:posOffset>48895</wp:posOffset>
                  </wp:positionH>
                  <wp:positionV relativeFrom="paragraph">
                    <wp:posOffset>3175</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708416"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5"/>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ind w:firstLine="301" w:firstLineChars="100"/>
        <w:rPr>
          <w:rStyle w:val="12"/>
          <w:rFonts w:hint="eastAsia" w:ascii="仿宋_GB2312" w:hAnsi="仿宋" w:eastAsia="仿宋_GB2312" w:cs="宋体"/>
          <w:b/>
          <w:sz w:val="28"/>
          <w:szCs w:val="28"/>
          <w:highlight w:val="none"/>
        </w:rPr>
      </w:pP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2"/>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2"/>
          <w:rFonts w:hint="eastAsia" w:ascii="仿宋_GB2312" w:hAnsi="仿宋" w:eastAsia="仿宋_GB2312" w:cs="宋体"/>
          <w:sz w:val="28"/>
          <w:szCs w:val="28"/>
          <w:highlight w:val="none"/>
        </w:rPr>
        <w:t>本次出具评估报告日期为20</w:t>
      </w:r>
      <w:r>
        <w:rPr>
          <w:rStyle w:val="12"/>
          <w:rFonts w:hint="eastAsia" w:ascii="仿宋_GB2312" w:hAnsi="仿宋" w:eastAsia="仿宋_GB2312" w:cs="宋体"/>
          <w:sz w:val="28"/>
          <w:szCs w:val="28"/>
          <w:highlight w:val="none"/>
          <w:lang w:val="en-US" w:eastAsia="zh-CN"/>
        </w:rPr>
        <w:t>21</w:t>
      </w:r>
      <w:r>
        <w:rPr>
          <w:rStyle w:val="12"/>
          <w:rFonts w:hint="eastAsia" w:ascii="仿宋_GB2312" w:hAnsi="仿宋" w:eastAsia="仿宋_GB2312" w:cs="宋体"/>
          <w:sz w:val="28"/>
          <w:szCs w:val="28"/>
          <w:highlight w:val="none"/>
        </w:rPr>
        <w:t>年</w:t>
      </w:r>
      <w:r>
        <w:rPr>
          <w:rStyle w:val="12"/>
          <w:rFonts w:hint="eastAsia" w:ascii="仿宋_GB2312" w:hAnsi="仿宋" w:eastAsia="仿宋_GB2312" w:cs="宋体"/>
          <w:sz w:val="28"/>
          <w:szCs w:val="28"/>
          <w:highlight w:val="none"/>
          <w:lang w:val="en-US" w:eastAsia="zh-CN"/>
        </w:rPr>
        <w:t>10</w:t>
      </w:r>
      <w:r>
        <w:rPr>
          <w:rStyle w:val="12"/>
          <w:rFonts w:hint="eastAsia" w:ascii="仿宋_GB2312" w:hAnsi="仿宋" w:eastAsia="仿宋_GB2312" w:cs="宋体"/>
          <w:sz w:val="28"/>
          <w:szCs w:val="28"/>
          <w:highlight w:val="none"/>
        </w:rPr>
        <w:t>月</w:t>
      </w:r>
      <w:r>
        <w:rPr>
          <w:rStyle w:val="12"/>
          <w:rFonts w:hint="eastAsia" w:ascii="仿宋_GB2312" w:hAnsi="仿宋" w:eastAsia="仿宋_GB2312" w:cs="宋体"/>
          <w:sz w:val="28"/>
          <w:szCs w:val="28"/>
          <w:highlight w:val="none"/>
          <w:lang w:val="en-US" w:eastAsia="zh-CN"/>
        </w:rPr>
        <w:t>20</w:t>
      </w:r>
      <w:r>
        <w:rPr>
          <w:rStyle w:val="12"/>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2"/>
          <w:szCs w:val="32"/>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二0二一年十月二十日</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荆门市军马场一路2号（怡景新城小区）12号楼幢</w:t>
      </w:r>
    </w:p>
    <w:p>
      <w:pPr>
        <w:jc w:val="center"/>
        <w:rPr>
          <w:rFonts w:hint="eastAsia" w:ascii="仿宋" w:hAnsi="仿宋" w:eastAsia="仿宋"/>
          <w:b/>
          <w:bCs/>
          <w:sz w:val="36"/>
          <w:szCs w:val="36"/>
        </w:rPr>
      </w:pPr>
      <w:r>
        <w:rPr>
          <w:rFonts w:hint="eastAsia" w:ascii="仿宋" w:hAnsi="仿宋" w:eastAsia="仿宋"/>
          <w:b/>
          <w:bCs/>
          <w:sz w:val="36"/>
          <w:szCs w:val="36"/>
          <w:lang w:val="en-US" w:eastAsia="zh-CN"/>
        </w:rPr>
        <w:t>1单元3层302室</w:t>
      </w: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座落荆门市军马场一路2号（怡景新城小区）12号楼幢1单元3层302室，房屋权利人为王会敏、郑文宝，共同共有；所在层数/总层数为3层/6层，建筑面积为138.93平方米，不动产权证号为：荆门市房权证掇刀区字第00078846-1/2号、第00078846-2/2号，登记时间为2013年10月30日。</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经现场勘验和调查，估价对象房屋位于</w:t>
      </w:r>
      <w:r>
        <w:rPr>
          <w:rFonts w:hint="eastAsia" w:ascii="仿宋_GB2312" w:hAnsi="宋体" w:eastAsia="仿宋_GB2312" w:cs="Times New Roman"/>
          <w:kern w:val="2"/>
          <w:sz w:val="28"/>
          <w:szCs w:val="28"/>
          <w:lang w:val="en-US" w:eastAsia="zh-CN" w:bidi="ar-SA"/>
        </w:rPr>
        <w:t>荆门市军马场一路怡景新城小区12号楼一单元302室</w:t>
      </w:r>
      <w:r>
        <w:rPr>
          <w:rFonts w:hint="eastAsia" w:ascii="仿宋_GB2312" w:hAnsi="宋体" w:eastAsia="仿宋_GB2312" w:cs="Times New Roman"/>
          <w:kern w:val="2"/>
          <w:sz w:val="28"/>
          <w:szCs w:val="28"/>
          <w:highlight w:val="none"/>
          <w:lang w:val="en-US" w:eastAsia="zh-CN" w:bidi="ar-SA"/>
        </w:rPr>
        <w:t>，现状用途为成套住宅；楼栋总层数为6层，为多层步梯楼房，标的房屋位于第三层，户型为三室两厅一厨两卫，南北朝向。房屋进户门为防盗门，卧室、书房为套装木门；客、餐厅地面铺设瓷砖，墙面、顶棚刷乳胶漆，客厅装有电视背景墙，顶棚做有简易造型吊顶；房间铺设木地板，墙面贴墙纸，顶棚乳胶漆刷白，三卧室均有到顶衣柜。根据现场勘验，标的房屋为精装修，房屋通风采光较好，维护保养尚好。</w:t>
      </w:r>
    </w:p>
    <w:p>
      <w:pPr>
        <w:numPr>
          <w:ilvl w:val="0"/>
          <w:numId w:val="2"/>
        </w:numPr>
        <w:ind w:left="562" w:leftChars="0" w:firstLine="0" w:firstLineChars="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估价对象区域因素分析</w:t>
      </w:r>
    </w:p>
    <w:p>
      <w:pPr>
        <w:keepNext w:val="0"/>
        <w:keepLines w:val="0"/>
        <w:widowControl/>
        <w:suppressLineNumbers w:val="0"/>
        <w:wordWrap w:val="0"/>
        <w:ind w:firstLine="560" w:firstLineChars="200"/>
        <w:jc w:val="both"/>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估价对象位于荆门市掇刀区军马场 1 路 2 号怡景新城小区。所在区域内路网密集，主干道、次干道、支路纵横交错，供水、供电、供气、排水、通讯、光纤电视等基础设施管网齐全。估价对象区域内有一医南院、红星时代广场、丹桂广场、各类餐饮副食批发、便利超市、早点铺等公共服务配套设施，区域内各类基本生活设施较完备，公共配套设施较齐全，市政基础设施较完善。附近有 2 路、4 路、9 路、 15 路等公交车在此途径，交通便捷。小区规模较大，环境较好，居住、购物、交通、学校、医疗等各方面条件都成熟完备。</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接受委托后，我们认真研究分析了</w:t>
      </w:r>
      <w:r>
        <w:rPr>
          <w:rFonts w:hint="eastAsia" w:ascii="仿宋" w:hAnsi="仿宋" w:eastAsia="仿宋" w:cs="Arial"/>
          <w:color w:val="000000"/>
          <w:sz w:val="30"/>
          <w:szCs w:val="30"/>
          <w:lang w:eastAsia="zh-CN"/>
        </w:rPr>
        <w:t>委托方提供的不动产相关信息等有关资料和现场勘验标的房屋后，</w:t>
      </w:r>
      <w:r>
        <w:rPr>
          <w:rFonts w:hint="eastAsia" w:ascii="仿宋_GB2312" w:hAnsi="宋体" w:eastAsia="仿宋_GB2312" w:cs="Times New Roman"/>
          <w:kern w:val="2"/>
          <w:sz w:val="28"/>
          <w:szCs w:val="28"/>
          <w:lang w:val="en-US" w:eastAsia="zh-CN" w:bidi="ar-SA"/>
        </w:rPr>
        <w:t>开展了广泛的市场调查，并采用市场法进行了估价测算。</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实例A：怡景新城小区住宅</w:t>
      </w:r>
      <w:r>
        <w:rPr>
          <w:rFonts w:hint="eastAsia" w:ascii="仿宋_GB2312" w:hAnsi="宋体" w:eastAsia="仿宋_GB2312" w:cs="Times New Roman"/>
          <w:kern w:val="2"/>
          <w:sz w:val="28"/>
          <w:szCs w:val="28"/>
          <w:highlight w:val="none"/>
          <w:lang w:val="en-US" w:eastAsia="zh-CN" w:bidi="ar-SA"/>
        </w:rPr>
        <w:t>，总层数6层，所在层4层，南北朝向，精装修，建筑面积120平米，三室二厅一卫，拟交易总价65万，折合单价约5417元/㎡，拟交易日期2021年08月份。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实例B：</w:t>
      </w:r>
      <w:r>
        <w:rPr>
          <w:rFonts w:hint="eastAsia" w:ascii="仿宋_GB2312" w:hAnsi="宋体" w:eastAsia="仿宋_GB2312" w:cs="Times New Roman"/>
          <w:kern w:val="2"/>
          <w:sz w:val="28"/>
          <w:szCs w:val="28"/>
          <w:lang w:val="en-US" w:eastAsia="zh-CN" w:bidi="ar-SA"/>
        </w:rPr>
        <w:t>怡景新城小区住宅</w:t>
      </w:r>
      <w:r>
        <w:rPr>
          <w:rFonts w:hint="eastAsia" w:ascii="仿宋_GB2312" w:hAnsi="宋体" w:eastAsia="仿宋_GB2312" w:cs="Times New Roman"/>
          <w:kern w:val="2"/>
          <w:sz w:val="28"/>
          <w:szCs w:val="28"/>
          <w:highlight w:val="none"/>
          <w:lang w:val="en-US" w:eastAsia="zh-CN" w:bidi="ar-SA"/>
        </w:rPr>
        <w:t>，总层数6层，所在层3层，南北朝向，精装修，建筑面积110平米，三室二厅一卫，拟交易总价60万，折合单价约5455元/㎡，拟交易日期2021年09月份。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实例C：</w:t>
      </w:r>
      <w:r>
        <w:rPr>
          <w:rFonts w:hint="eastAsia" w:ascii="仿宋_GB2312" w:hAnsi="宋体" w:eastAsia="仿宋_GB2312" w:cs="Times New Roman"/>
          <w:kern w:val="2"/>
          <w:sz w:val="28"/>
          <w:szCs w:val="28"/>
          <w:lang w:val="en-US" w:eastAsia="zh-CN" w:bidi="ar-SA"/>
        </w:rPr>
        <w:t>怡景新城小区住宅</w:t>
      </w:r>
      <w:r>
        <w:rPr>
          <w:rFonts w:hint="eastAsia" w:ascii="仿宋_GB2312" w:hAnsi="宋体" w:eastAsia="仿宋_GB2312" w:cs="Times New Roman"/>
          <w:kern w:val="2"/>
          <w:sz w:val="28"/>
          <w:szCs w:val="28"/>
          <w:highlight w:val="none"/>
          <w:lang w:val="en-US" w:eastAsia="zh-CN" w:bidi="ar-SA"/>
        </w:rPr>
        <w:t>，总层数6层，所在层5层，南北朝向，精装修，建筑面积118平米，三室二厅一卫，拟交易总价62万，折合单价约5254元/㎡，拟交易日期2021年09月份。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10"/>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321" w:type="dxa"/>
            <w:gridSpan w:val="2"/>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567"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3" w:hRule="atLeast"/>
        </w:trPr>
        <w:tc>
          <w:tcPr>
            <w:tcW w:w="3321" w:type="dxa"/>
            <w:gridSpan w:val="2"/>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座 落位 置</w:t>
            </w:r>
          </w:p>
        </w:tc>
        <w:tc>
          <w:tcPr>
            <w:tcW w:w="1446" w:type="dxa"/>
            <w:vAlign w:val="center"/>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怡景新城12号楼幢1单元302室</w:t>
            </w:r>
          </w:p>
        </w:tc>
        <w:tc>
          <w:tcPr>
            <w:tcW w:w="1567" w:type="dxa"/>
            <w:vAlign w:val="center"/>
          </w:tcPr>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怡景新城</w:t>
            </w:r>
          </w:p>
        </w:tc>
        <w:tc>
          <w:tcPr>
            <w:tcW w:w="1550" w:type="dxa"/>
            <w:vAlign w:val="center"/>
          </w:tcPr>
          <w:p>
            <w:pPr>
              <w:numPr>
                <w:ilvl w:val="0"/>
                <w:numId w:val="0"/>
              </w:numPr>
              <w:ind w:left="0" w:leftChars="0" w:firstLine="0" w:firstLineChars="0"/>
              <w:jc w:val="center"/>
              <w:rPr>
                <w:rFonts w:hint="default" w:ascii="仿宋" w:hAnsi="仿宋" w:eastAsia="仿宋" w:cs="仿宋"/>
                <w:color w:val="auto"/>
                <w:sz w:val="30"/>
                <w:szCs w:val="30"/>
                <w:lang w:val="en-US" w:eastAsia="zh-CN"/>
              </w:rPr>
            </w:pPr>
            <w:r>
              <w:rPr>
                <w:rFonts w:hint="eastAsia" w:ascii="仿宋" w:hAnsi="仿宋" w:eastAsia="仿宋" w:cs="仿宋"/>
                <w:sz w:val="30"/>
                <w:szCs w:val="30"/>
                <w:vertAlign w:val="baseline"/>
                <w:lang w:val="en-US" w:eastAsia="zh-CN"/>
              </w:rPr>
              <w:t>怡景新城</w:t>
            </w:r>
          </w:p>
        </w:tc>
        <w:tc>
          <w:tcPr>
            <w:tcW w:w="1633" w:type="dxa"/>
            <w:vAlign w:val="center"/>
          </w:tcPr>
          <w:p>
            <w:pPr>
              <w:numPr>
                <w:ilvl w:val="0"/>
                <w:numId w:val="0"/>
              </w:numPr>
              <w:ind w:left="0" w:leftChars="0" w:firstLine="0" w:firstLineChars="0"/>
              <w:jc w:val="center"/>
              <w:rPr>
                <w:rFonts w:hint="default" w:ascii="仿宋" w:hAnsi="仿宋" w:eastAsia="仿宋" w:cs="仿宋"/>
                <w:color w:val="auto"/>
                <w:sz w:val="30"/>
                <w:szCs w:val="30"/>
                <w:lang w:val="en-US" w:eastAsia="zh-CN"/>
              </w:rPr>
            </w:pPr>
            <w:r>
              <w:rPr>
                <w:rFonts w:hint="eastAsia" w:ascii="仿宋" w:hAnsi="仿宋" w:eastAsia="仿宋" w:cs="仿宋"/>
                <w:sz w:val="30"/>
                <w:szCs w:val="30"/>
                <w:vertAlign w:val="baseline"/>
                <w:lang w:val="en-US" w:eastAsia="zh-CN"/>
              </w:rPr>
              <w:t>怡景新城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bookmarkStart w:id="0" w:name="_GoBack" w:colFirst="2" w:colLast="5"/>
            <w:r>
              <w:rPr>
                <w:rFonts w:hint="eastAsia" w:ascii="仿宋" w:hAnsi="仿宋" w:eastAsia="仿宋" w:cs="仿宋"/>
                <w:sz w:val="30"/>
                <w:szCs w:val="30"/>
                <w:vertAlign w:val="baseline"/>
                <w:lang w:val="en-US" w:eastAsia="zh-CN"/>
              </w:rPr>
              <w:t>楼盘名称</w:t>
            </w:r>
          </w:p>
        </w:tc>
        <w:tc>
          <w:tcPr>
            <w:tcW w:w="1446" w:type="dxa"/>
            <w:vAlign w:val="center"/>
          </w:tcPr>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30"/>
                <w:szCs w:val="30"/>
                <w:vertAlign w:val="baseline"/>
                <w:lang w:val="en-US" w:eastAsia="zh-CN"/>
              </w:rPr>
              <w:t>怡景新城</w:t>
            </w:r>
          </w:p>
        </w:tc>
        <w:tc>
          <w:tcPr>
            <w:tcW w:w="1567"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30"/>
                <w:szCs w:val="30"/>
                <w:vertAlign w:val="baseline"/>
                <w:lang w:val="en-US" w:eastAsia="zh-CN"/>
              </w:rPr>
              <w:t>怡景新城</w:t>
            </w:r>
          </w:p>
        </w:tc>
        <w:tc>
          <w:tcPr>
            <w:tcW w:w="1550"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30"/>
                <w:szCs w:val="30"/>
                <w:vertAlign w:val="baseline"/>
                <w:lang w:val="en-US" w:eastAsia="zh-CN"/>
              </w:rPr>
              <w:t>怡景新城</w:t>
            </w:r>
          </w:p>
        </w:tc>
        <w:tc>
          <w:tcPr>
            <w:tcW w:w="1633"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30"/>
                <w:szCs w:val="30"/>
                <w:vertAlign w:val="baseline"/>
                <w:lang w:val="en-US" w:eastAsia="zh-CN"/>
              </w:rPr>
              <w:t>怡景新城</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5417</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5455</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5254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2021.09</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2021.08</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2021.09</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优美</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优美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优美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优美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优</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优</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优</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3/6</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4/6</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3/6</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装修情况</w:t>
            </w:r>
          </w:p>
        </w:tc>
        <w:tc>
          <w:tcPr>
            <w:tcW w:w="1446" w:type="dxa"/>
            <w:vAlign w:val="top"/>
          </w:tcPr>
          <w:p>
            <w:pPr>
              <w:jc w:val="center"/>
              <w:rPr>
                <w:rFonts w:hint="default" w:ascii="仿宋" w:hAnsi="仿宋" w:eastAsia="仿宋" w:cs="仿宋"/>
                <w:color w:val="000000" w:themeColor="text1"/>
                <w:sz w:val="30"/>
                <w:szCs w:val="30"/>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精装修</w:t>
            </w:r>
          </w:p>
        </w:tc>
        <w:tc>
          <w:tcPr>
            <w:tcW w:w="1567" w:type="dxa"/>
            <w:vAlign w:val="top"/>
          </w:tcPr>
          <w:p>
            <w:pPr>
              <w:jc w:val="cente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精装修</w:t>
            </w:r>
          </w:p>
        </w:tc>
        <w:tc>
          <w:tcPr>
            <w:tcW w:w="1550"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精装修</w:t>
            </w:r>
          </w:p>
        </w:tc>
        <w:tc>
          <w:tcPr>
            <w:tcW w:w="1633"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精装修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w:t>
            </w:r>
          </w:p>
        </w:tc>
        <w:tc>
          <w:tcPr>
            <w:tcW w:w="15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highlight w:val="none"/>
                <w:vertAlign w:val="baseline"/>
                <w:lang w:val="en-US" w:eastAsia="zh-CN"/>
              </w:rPr>
              <w:t>--</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highlight w:val="none"/>
          <w:lang w:val="en-US" w:eastAsia="zh-CN"/>
        </w:rPr>
      </w:pPr>
      <w:r>
        <w:rPr>
          <w:rFonts w:hint="eastAsia" w:ascii="仿宋" w:hAnsi="仿宋" w:eastAsia="仿宋" w:cs="仿宋"/>
          <w:sz w:val="30"/>
          <w:szCs w:val="30"/>
          <w:highlight w:val="none"/>
          <w:lang w:eastAsia="zh-CN"/>
        </w:rPr>
        <w:t>比较因素条件指数表</w:t>
      </w:r>
      <w:r>
        <w:rPr>
          <w:rFonts w:hint="eastAsia" w:ascii="仿宋" w:hAnsi="仿宋" w:eastAsia="仿宋" w:cs="仿宋"/>
          <w:sz w:val="30"/>
          <w:szCs w:val="30"/>
          <w:highlight w:val="none"/>
          <w:lang w:val="en-US" w:eastAsia="zh-CN"/>
        </w:rPr>
        <w:t>2</w:t>
      </w:r>
    </w:p>
    <w:tbl>
      <w:tblPr>
        <w:tblStyle w:val="10"/>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321" w:type="dxa"/>
            <w:gridSpan w:val="2"/>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textDirection w:val="lrTb"/>
            <w:vAlign w:val="top"/>
          </w:tcPr>
          <w:p>
            <w:pPr>
              <w:jc w:val="center"/>
              <w:rPr>
                <w:rFonts w:hint="default"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5417</w:t>
            </w:r>
          </w:p>
        </w:tc>
        <w:tc>
          <w:tcPr>
            <w:tcW w:w="1550" w:type="dxa"/>
            <w:textDirection w:val="lrTb"/>
            <w:vAlign w:val="top"/>
          </w:tcPr>
          <w:p>
            <w:pPr>
              <w:jc w:val="center"/>
              <w:rPr>
                <w:rFonts w:hint="eastAsia"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5455</w:t>
            </w:r>
          </w:p>
        </w:tc>
        <w:tc>
          <w:tcPr>
            <w:tcW w:w="1633" w:type="dxa"/>
            <w:textDirection w:val="lrTb"/>
            <w:vAlign w:val="top"/>
          </w:tcPr>
          <w:p>
            <w:pPr>
              <w:jc w:val="center"/>
              <w:rPr>
                <w:rFonts w:hint="eastAsia"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5254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99</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99</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98</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10"/>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5" w:hRule="atLeast"/>
        </w:trPr>
        <w:tc>
          <w:tcPr>
            <w:tcW w:w="3321" w:type="dxa"/>
            <w:gridSpan w:val="2"/>
            <w:vAlign w:val="center"/>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center"/>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center"/>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textDirection w:val="lrTb"/>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5417</w:t>
            </w:r>
          </w:p>
        </w:tc>
        <w:tc>
          <w:tcPr>
            <w:tcW w:w="1550" w:type="dxa"/>
            <w:textDirection w:val="lrTb"/>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5455</w:t>
            </w:r>
          </w:p>
        </w:tc>
        <w:tc>
          <w:tcPr>
            <w:tcW w:w="1833" w:type="dxa"/>
            <w:textDirection w:val="lrTb"/>
            <w:vAlign w:val="top"/>
          </w:tcPr>
          <w:p>
            <w:pPr>
              <w:jc w:val="center"/>
              <w:rPr>
                <w:rFonts w:hint="eastAsia" w:ascii="仿宋" w:hAnsi="仿宋" w:eastAsia="仿宋" w:cs="仿宋"/>
                <w:color w:val="auto"/>
                <w:sz w:val="28"/>
                <w:szCs w:val="28"/>
                <w:vertAlign w:val="baseline"/>
                <w:lang w:val="en-US" w:eastAsia="zh-CN"/>
              </w:rPr>
            </w:pPr>
            <w:r>
              <w:rPr>
                <w:rFonts w:hint="eastAsia" w:ascii="仿宋_GB2312" w:hAnsi="宋体" w:eastAsia="仿宋_GB2312" w:cs="Times New Roman"/>
                <w:kern w:val="2"/>
                <w:sz w:val="28"/>
                <w:szCs w:val="28"/>
                <w:highlight w:val="none"/>
                <w:lang w:val="en-US" w:eastAsia="zh-CN" w:bidi="ar-SA"/>
              </w:rPr>
              <w:t>5254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textDirection w:val="lrTb"/>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99</w:t>
            </w:r>
          </w:p>
        </w:tc>
        <w:tc>
          <w:tcPr>
            <w:tcW w:w="1550" w:type="dxa"/>
            <w:textDirection w:val="lrTb"/>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textDirection w:val="lrTb"/>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5472</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5455</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5361</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numPr>
          <w:ilvl w:val="0"/>
          <w:numId w:val="0"/>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由于可比实例A、B、C与估价对象条件因素相当类似，且比准价格相差不远，因此采取算数平均值的求取方法，估算估价对象的价格。</w:t>
      </w:r>
    </w:p>
    <w:p>
      <w:pPr>
        <w:numPr>
          <w:ilvl w:val="0"/>
          <w:numId w:val="0"/>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评估单价=（5472+5455+5361）</w:t>
      </w:r>
      <w:r>
        <w:rPr>
          <w:rFonts w:hint="default"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lang w:val="en-US" w:eastAsia="zh-CN" w:bidi="ar-SA"/>
        </w:rPr>
        <w:t>3≈5429(元/平米)</w:t>
      </w:r>
    </w:p>
    <w:p>
      <w:pPr>
        <w:numPr>
          <w:ilvl w:val="0"/>
          <w:numId w:val="0"/>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评估总值=5429×138.93≈754251(元)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估价人员根据估价目的，遵循估价原则，按照规定的估价程序和估价方法，经过具体测算，确定估价对象在估价时点可能形成的市场价值为￥754251元(大写人民币柒拾伍万肆仟贰佰伍拾壹元整)。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pPr>
      <w:r>
        <w:rPr>
          <w:rFonts w:hint="eastAsia" w:ascii="仿宋_GB2312" w:hAnsi="宋体" w:eastAsia="仿宋_GB2312" w:cs="Times New Roman"/>
          <w:kern w:val="2"/>
          <w:sz w:val="28"/>
          <w:szCs w:val="28"/>
          <w:highlight w:val="none"/>
          <w:lang w:val="en-US" w:eastAsia="zh-CN" w:bidi="ar-SA"/>
        </w:rPr>
        <w:t xml:space="preserve">                                   二0二一年十月二十日</w:t>
      </w: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_GB2312">
    <w:altName w:val="仿宋"/>
    <w:panose1 w:val="02010609030001010101"/>
    <w:charset w:val="86"/>
    <w:family w:val="decorative"/>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创艺简仿宋">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8"/>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8"/>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7"/>
        <w:sz w:val="18"/>
        <w:szCs w:val="18"/>
      </w:rPr>
      <w:instrText xml:space="preserve"> PAGE </w:instrText>
    </w:r>
    <w:r>
      <w:rPr>
        <w:sz w:val="18"/>
        <w:szCs w:val="18"/>
      </w:rPr>
      <w:fldChar w:fldCharType="separate"/>
    </w:r>
    <w:r>
      <w:rPr>
        <w:rStyle w:val="7"/>
        <w:sz w:val="18"/>
        <w:szCs w:val="18"/>
      </w:rPr>
      <w:t>1</w:t>
    </w:r>
    <w:r>
      <w:rPr>
        <w:sz w:val="18"/>
        <w:szCs w:val="18"/>
      </w:rPr>
      <w:fldChar w:fldCharType="end"/>
    </w:r>
    <w:r>
      <w:rPr>
        <w:rStyle w:val="7"/>
        <w:rFonts w:hint="eastAsia"/>
        <w:sz w:val="18"/>
        <w:szCs w:val="18"/>
      </w:rPr>
      <w:t>页  共</w:t>
    </w:r>
    <w:r>
      <w:rPr>
        <w:rStyle w:val="7"/>
        <w:rFonts w:hint="eastAsia"/>
        <w:sz w:val="18"/>
        <w:szCs w:val="18"/>
        <w:lang w:val="en-US" w:eastAsia="zh-CN"/>
      </w:rPr>
      <w:t>20</w:t>
    </w:r>
    <w:r>
      <w:rPr>
        <w:rStyle w:val="7"/>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framePr w:wrap="around" w:vAnchor="text" w:hAnchor="margin" w:xAlign="center" w:y="1"/>
      <w:rPr>
        <w:rStyle w:val="7"/>
      </w:rPr>
    </w:pPr>
    <w:r>
      <w:fldChar w:fldCharType="begin"/>
    </w:r>
    <w:r>
      <w:rPr>
        <w:rStyle w:val="7"/>
      </w:rPr>
      <w:instrText xml:space="preserve">PAGE  </w:instrText>
    </w:r>
    <w:r>
      <w:fldChar w:fldCharType="separate"/>
    </w:r>
    <w:r>
      <w:rPr>
        <w:rStyle w:val="7"/>
      </w:rPr>
      <w:t>5</w:t>
    </w:r>
    <w: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abstractNum w:abstractNumId="928329504">
    <w:nsid w:val="37552F20"/>
    <w:multiLevelType w:val="singleLevel"/>
    <w:tmpl w:val="37552F20"/>
    <w:lvl w:ilvl="0" w:tentative="1">
      <w:start w:val="2"/>
      <w:numFmt w:val="chineseCounting"/>
      <w:suff w:val="nothing"/>
      <w:lvlText w:val="%1、"/>
      <w:lvlJc w:val="left"/>
      <w:pPr>
        <w:ind w:left="562" w:leftChars="0" w:firstLine="0" w:firstLineChars="0"/>
      </w:pPr>
      <w:rPr>
        <w:rFonts w:hint="eastAsia"/>
      </w:rPr>
    </w:lvl>
  </w:abstractNum>
  <w:num w:numId="1">
    <w:abstractNumId w:val="1578213565"/>
  </w:num>
  <w:num w:numId="2">
    <w:abstractNumId w:val="9283295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4C089C"/>
    <w:rsid w:val="02186CDB"/>
    <w:rsid w:val="03816D4F"/>
    <w:rsid w:val="0652398D"/>
    <w:rsid w:val="06FD4A01"/>
    <w:rsid w:val="088B2F95"/>
    <w:rsid w:val="0A46326B"/>
    <w:rsid w:val="0F32467D"/>
    <w:rsid w:val="129935BC"/>
    <w:rsid w:val="12CE4E68"/>
    <w:rsid w:val="187E164D"/>
    <w:rsid w:val="19AA0FA9"/>
    <w:rsid w:val="1E3B5415"/>
    <w:rsid w:val="201B5A3A"/>
    <w:rsid w:val="22A0387D"/>
    <w:rsid w:val="248B6828"/>
    <w:rsid w:val="251E4873"/>
    <w:rsid w:val="264C089C"/>
    <w:rsid w:val="3073530A"/>
    <w:rsid w:val="32082E13"/>
    <w:rsid w:val="32812E6C"/>
    <w:rsid w:val="34623382"/>
    <w:rsid w:val="36025B3C"/>
    <w:rsid w:val="38661B78"/>
    <w:rsid w:val="3A8B6935"/>
    <w:rsid w:val="3B927B19"/>
    <w:rsid w:val="3DE5348C"/>
    <w:rsid w:val="40877969"/>
    <w:rsid w:val="4A5D5D91"/>
    <w:rsid w:val="54082F69"/>
    <w:rsid w:val="5631733A"/>
    <w:rsid w:val="57A208F4"/>
    <w:rsid w:val="598C1076"/>
    <w:rsid w:val="5B753402"/>
    <w:rsid w:val="5B885FF0"/>
    <w:rsid w:val="5F463DDB"/>
    <w:rsid w:val="656A3FF0"/>
    <w:rsid w:val="67485FC4"/>
    <w:rsid w:val="6BCD61FE"/>
    <w:rsid w:val="6C296204"/>
    <w:rsid w:val="706045BC"/>
    <w:rsid w:val="73D16B60"/>
    <w:rsid w:val="7566482B"/>
    <w:rsid w:val="77F50E06"/>
    <w:rsid w:val="7C4A5D78"/>
    <w:rsid w:val="7D93379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7">
    <w:name w:val="page number"/>
    <w:basedOn w:val="6"/>
    <w:qFormat/>
    <w:uiPriority w:val="0"/>
    <w:rPr>
      <w:rFonts w:ascii="Times New Roman" w:hAnsi="Times New Roman" w:eastAsia="宋体" w:cs="Times New Roman"/>
    </w:rPr>
  </w:style>
  <w:style w:type="character" w:styleId="8">
    <w:name w:val="Hyperlink"/>
    <w:basedOn w:val="6"/>
    <w:qFormat/>
    <w:uiPriority w:val="0"/>
    <w:rPr>
      <w:rFonts w:ascii="Times New Roman" w:hAnsi="Times New Roman" w:eastAsia="宋体" w:cs="Times New Roman"/>
      <w:color w:val="0000FF"/>
      <w:u w:val="single"/>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List Paragraph"/>
    <w:basedOn w:val="1"/>
    <w:qFormat/>
    <w:uiPriority w:val="34"/>
    <w:pPr>
      <w:ind w:firstLine="420" w:firstLineChars="200"/>
    </w:pPr>
  </w:style>
  <w:style w:type="character" w:customStyle="1" w:styleId="12">
    <w:name w:val="apple-converted-space"/>
    <w:basedOn w:val="6"/>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2021-10-19T00:14:00Z</dcterms:created>
  <dc:creator>Administrator</dc:creator>
  <cp:lastModifiedBy>Administrator</cp:lastModifiedBy>
  <dcterms:modified xsi:type="dcterms:W3CDTF">2021-10-21T08:31:48Z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A4BEE64B80574DCF871D31BE2AC2BB81</vt:lpwstr>
  </property>
</Properties>
</file>