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D185" w14:textId="77777777" w:rsidR="00F76B5E" w:rsidRDefault="0027102A">
      <w:pPr>
        <w:adjustRightInd w:val="0"/>
        <w:snapToGrid w:val="0"/>
        <w:spacing w:line="360" w:lineRule="auto"/>
        <w:rPr>
          <w:rFonts w:ascii="宋体" w:hAnsi="宋体"/>
          <w:color w:val="000000"/>
          <w:kern w:val="0"/>
          <w:sz w:val="24"/>
          <w:szCs w:val="24"/>
          <w:lang w:bidi="en-US"/>
        </w:rPr>
      </w:pPr>
      <w:proofErr w:type="gramStart"/>
      <w:r>
        <w:rPr>
          <w:rFonts w:ascii="宋体" w:hAnsi="宋体" w:hint="eastAsia"/>
          <w:color w:val="000000"/>
          <w:kern w:val="0"/>
          <w:sz w:val="24"/>
          <w:szCs w:val="24"/>
          <w:lang w:bidi="en-US"/>
        </w:rPr>
        <w:t>本资产</w:t>
      </w:r>
      <w:proofErr w:type="gramEnd"/>
      <w:r>
        <w:rPr>
          <w:rFonts w:ascii="宋体" w:hAnsi="宋体" w:hint="eastAsia"/>
          <w:color w:val="000000"/>
          <w:kern w:val="0"/>
          <w:sz w:val="24"/>
          <w:szCs w:val="24"/>
          <w:lang w:bidi="en-US"/>
        </w:rPr>
        <w:t>评估报告依据财政部发布的中国资产评估基本准则和中国资产评估协会发布的资产评估执业准则和职业道德准则编制</w:t>
      </w:r>
    </w:p>
    <w:p w14:paraId="7B41BFA4" w14:textId="77777777" w:rsidR="00F76B5E" w:rsidRDefault="0027102A">
      <w:pPr>
        <w:snapToGrid w:val="0"/>
        <w:spacing w:line="360" w:lineRule="auto"/>
        <w:ind w:firstLine="482"/>
        <w:jc w:val="center"/>
        <w:rPr>
          <w:rFonts w:ascii="宋体" w:hAnsi="宋体"/>
          <w:b/>
          <w:bCs/>
          <w:color w:val="000000"/>
          <w:sz w:val="44"/>
          <w:szCs w:val="44"/>
        </w:rPr>
      </w:pPr>
      <w:r>
        <w:rPr>
          <w:rFonts w:ascii="宋体" w:hAnsi="宋体" w:hint="eastAsia"/>
          <w:b/>
          <w:bCs/>
          <w:color w:val="000000"/>
          <w:sz w:val="44"/>
          <w:szCs w:val="44"/>
        </w:rPr>
        <w:t>广东省东莞市第一人民法院拟拍卖</w:t>
      </w:r>
    </w:p>
    <w:p w14:paraId="2461FF19" w14:textId="77777777" w:rsidR="00F76B5E" w:rsidRDefault="0027102A">
      <w:pPr>
        <w:snapToGrid w:val="0"/>
        <w:spacing w:line="360" w:lineRule="auto"/>
        <w:ind w:firstLine="482"/>
        <w:jc w:val="center"/>
        <w:rPr>
          <w:rFonts w:ascii="宋体" w:hAnsi="宋体"/>
          <w:b/>
          <w:bCs/>
          <w:color w:val="000000"/>
          <w:sz w:val="44"/>
          <w:szCs w:val="44"/>
        </w:rPr>
      </w:pPr>
      <w:r>
        <w:rPr>
          <w:rFonts w:ascii="宋体" w:hAnsi="宋体" w:hint="eastAsia"/>
          <w:b/>
          <w:bCs/>
          <w:color w:val="000000"/>
          <w:sz w:val="44"/>
          <w:szCs w:val="44"/>
        </w:rPr>
        <w:t>所涉及的查封（扣押）资产市场价值</w:t>
      </w:r>
    </w:p>
    <w:p w14:paraId="5E843A1F" w14:textId="77777777" w:rsidR="00F76B5E" w:rsidRDefault="00F76B5E">
      <w:pPr>
        <w:pStyle w:val="ac"/>
        <w:snapToGrid w:val="0"/>
        <w:spacing w:before="0" w:after="0" w:line="360" w:lineRule="auto"/>
        <w:rPr>
          <w:kern w:val="0"/>
          <w:sz w:val="44"/>
          <w:szCs w:val="44"/>
        </w:rPr>
      </w:pPr>
    </w:p>
    <w:p w14:paraId="11B6A183" w14:textId="77777777" w:rsidR="00F76B5E" w:rsidRDefault="00F76B5E"/>
    <w:p w14:paraId="265EE7CC" w14:textId="77777777" w:rsidR="00F76B5E" w:rsidRDefault="00F76B5E"/>
    <w:p w14:paraId="21EF4258" w14:textId="77777777" w:rsidR="00F76B5E" w:rsidRDefault="0027102A">
      <w:pPr>
        <w:widowControl/>
        <w:snapToGrid w:val="0"/>
        <w:spacing w:line="360" w:lineRule="auto"/>
        <w:jc w:val="center"/>
        <w:rPr>
          <w:rFonts w:ascii="宋体" w:hAnsi="宋体"/>
          <w:color w:val="000000"/>
          <w:kern w:val="0"/>
          <w:sz w:val="20"/>
        </w:rPr>
      </w:pPr>
      <w:r>
        <w:rPr>
          <w:rFonts w:ascii="宋体" w:hAnsi="宋体" w:hint="eastAsia"/>
          <w:b/>
          <w:bCs/>
          <w:color w:val="000000"/>
          <w:kern w:val="0"/>
          <w:sz w:val="84"/>
          <w:szCs w:val="84"/>
        </w:rPr>
        <w:t>评估报告</w:t>
      </w:r>
    </w:p>
    <w:p w14:paraId="72D0FD83" w14:textId="77777777" w:rsidR="00F76B5E" w:rsidRDefault="0027102A">
      <w:pPr>
        <w:widowControl/>
        <w:snapToGrid w:val="0"/>
        <w:spacing w:line="360" w:lineRule="auto"/>
        <w:jc w:val="left"/>
        <w:rPr>
          <w:rFonts w:ascii="宋体" w:hAnsi="宋体"/>
          <w:color w:val="000000"/>
          <w:kern w:val="0"/>
          <w:sz w:val="20"/>
        </w:rPr>
      </w:pPr>
      <w:r>
        <w:rPr>
          <w:rFonts w:ascii="宋体" w:hAnsi="宋体"/>
          <w:color w:val="000000"/>
          <w:kern w:val="0"/>
          <w:sz w:val="20"/>
        </w:rPr>
        <w:t> </w:t>
      </w:r>
    </w:p>
    <w:p w14:paraId="569A78BC" w14:textId="77777777" w:rsidR="00F76B5E" w:rsidRDefault="0027102A">
      <w:pPr>
        <w:snapToGrid w:val="0"/>
        <w:spacing w:line="360" w:lineRule="auto"/>
        <w:jc w:val="center"/>
        <w:rPr>
          <w:rFonts w:ascii="宋体" w:hAnsi="宋体"/>
          <w:b/>
          <w:color w:val="000000"/>
          <w:kern w:val="0"/>
          <w:sz w:val="24"/>
          <w:szCs w:val="24"/>
        </w:rPr>
      </w:pPr>
      <w:r>
        <w:rPr>
          <w:rFonts w:ascii="宋体" w:hAnsi="宋体" w:hint="eastAsia"/>
          <w:b/>
          <w:color w:val="000000"/>
          <w:sz w:val="24"/>
          <w:szCs w:val="24"/>
        </w:rPr>
        <w:t>信成</w:t>
      </w:r>
      <w:proofErr w:type="gramStart"/>
      <w:r>
        <w:rPr>
          <w:rFonts w:ascii="宋体" w:hAnsi="宋体" w:hint="eastAsia"/>
          <w:b/>
          <w:color w:val="000000"/>
          <w:sz w:val="24"/>
          <w:szCs w:val="24"/>
        </w:rPr>
        <w:t>评报资字</w:t>
      </w:r>
      <w:proofErr w:type="gramEnd"/>
      <w:r>
        <w:rPr>
          <w:rFonts w:ascii="宋体" w:hAnsi="宋体" w:hint="eastAsia"/>
          <w:b/>
          <w:color w:val="000000"/>
          <w:sz w:val="24"/>
          <w:szCs w:val="24"/>
        </w:rPr>
        <w:t>(2022)01025</w:t>
      </w:r>
      <w:r>
        <w:rPr>
          <w:rFonts w:ascii="宋体" w:hAnsi="宋体" w:hint="eastAsia"/>
          <w:b/>
          <w:color w:val="000000"/>
          <w:sz w:val="24"/>
          <w:szCs w:val="24"/>
        </w:rPr>
        <w:t>号</w:t>
      </w:r>
    </w:p>
    <w:p w14:paraId="7F169EBB" w14:textId="77777777" w:rsidR="00F76B5E" w:rsidRDefault="0027102A">
      <w:pPr>
        <w:widowControl/>
        <w:snapToGrid w:val="0"/>
        <w:spacing w:line="360" w:lineRule="auto"/>
        <w:jc w:val="center"/>
        <w:rPr>
          <w:rFonts w:ascii="宋体" w:hAnsi="宋体"/>
          <w:color w:val="000000"/>
          <w:kern w:val="0"/>
          <w:sz w:val="24"/>
          <w:szCs w:val="24"/>
        </w:rPr>
      </w:pPr>
      <w:r>
        <w:rPr>
          <w:rFonts w:ascii="宋体" w:hAnsi="宋体" w:hint="eastAsia"/>
          <w:b/>
          <w:bCs/>
          <w:color w:val="000000"/>
          <w:kern w:val="0"/>
          <w:sz w:val="24"/>
          <w:szCs w:val="24"/>
        </w:rPr>
        <w:t>（共</w:t>
      </w:r>
      <w:r>
        <w:rPr>
          <w:rFonts w:ascii="宋体" w:hAnsi="宋体" w:hint="eastAsia"/>
          <w:b/>
          <w:bCs/>
          <w:color w:val="000000"/>
          <w:kern w:val="0"/>
          <w:sz w:val="24"/>
          <w:szCs w:val="24"/>
        </w:rPr>
        <w:t>1</w:t>
      </w:r>
      <w:r>
        <w:rPr>
          <w:rFonts w:ascii="宋体" w:hAnsi="宋体" w:hint="eastAsia"/>
          <w:b/>
          <w:bCs/>
          <w:color w:val="000000"/>
          <w:kern w:val="0"/>
          <w:sz w:val="24"/>
          <w:szCs w:val="24"/>
        </w:rPr>
        <w:t>册，第</w:t>
      </w:r>
      <w:r>
        <w:rPr>
          <w:rFonts w:ascii="宋体" w:hAnsi="宋体" w:hint="eastAsia"/>
          <w:b/>
          <w:bCs/>
          <w:color w:val="000000"/>
          <w:kern w:val="0"/>
          <w:sz w:val="24"/>
          <w:szCs w:val="24"/>
        </w:rPr>
        <w:t>1</w:t>
      </w:r>
      <w:r>
        <w:rPr>
          <w:rFonts w:ascii="宋体" w:hAnsi="宋体" w:hint="eastAsia"/>
          <w:b/>
          <w:bCs/>
          <w:color w:val="000000"/>
          <w:kern w:val="0"/>
          <w:sz w:val="24"/>
          <w:szCs w:val="24"/>
        </w:rPr>
        <w:t>册）</w:t>
      </w:r>
    </w:p>
    <w:p w14:paraId="21D4755B" w14:textId="77777777" w:rsidR="00F76B5E" w:rsidRDefault="0027102A">
      <w:pPr>
        <w:widowControl/>
        <w:snapToGrid w:val="0"/>
        <w:spacing w:line="360" w:lineRule="auto"/>
        <w:jc w:val="center"/>
        <w:rPr>
          <w:rFonts w:ascii="宋体" w:hAnsi="宋体"/>
          <w:color w:val="000000"/>
          <w:kern w:val="0"/>
          <w:sz w:val="24"/>
          <w:szCs w:val="24"/>
        </w:rPr>
      </w:pPr>
      <w:r>
        <w:rPr>
          <w:rFonts w:ascii="宋体" w:hAnsi="宋体" w:hint="eastAsia"/>
          <w:b/>
          <w:bCs/>
          <w:color w:val="000000"/>
          <w:kern w:val="0"/>
          <w:sz w:val="24"/>
          <w:szCs w:val="24"/>
        </w:rPr>
        <w:t>评估基准日：</w:t>
      </w:r>
      <w:r>
        <w:rPr>
          <w:rFonts w:ascii="宋体" w:hAnsi="宋体" w:hint="eastAsia"/>
          <w:b/>
          <w:bCs/>
          <w:color w:val="000000"/>
          <w:kern w:val="0"/>
          <w:sz w:val="24"/>
          <w:szCs w:val="24"/>
        </w:rPr>
        <w:t>2022</w:t>
      </w:r>
      <w:r>
        <w:rPr>
          <w:rFonts w:ascii="宋体" w:hAnsi="宋体" w:hint="eastAsia"/>
          <w:b/>
          <w:bCs/>
          <w:color w:val="000000"/>
          <w:kern w:val="0"/>
          <w:sz w:val="24"/>
          <w:szCs w:val="24"/>
        </w:rPr>
        <w:t>年</w:t>
      </w:r>
      <w:r>
        <w:rPr>
          <w:rFonts w:ascii="宋体" w:hAnsi="宋体" w:hint="eastAsia"/>
          <w:b/>
          <w:bCs/>
          <w:color w:val="000000"/>
          <w:kern w:val="0"/>
          <w:sz w:val="24"/>
          <w:szCs w:val="24"/>
        </w:rPr>
        <w:t>1</w:t>
      </w:r>
      <w:r>
        <w:rPr>
          <w:rFonts w:ascii="宋体" w:hAnsi="宋体" w:hint="eastAsia"/>
          <w:b/>
          <w:bCs/>
          <w:color w:val="000000"/>
          <w:kern w:val="0"/>
          <w:sz w:val="24"/>
          <w:szCs w:val="24"/>
        </w:rPr>
        <w:t>月</w:t>
      </w:r>
      <w:r>
        <w:rPr>
          <w:rFonts w:ascii="宋体" w:hAnsi="宋体" w:hint="eastAsia"/>
          <w:b/>
          <w:bCs/>
          <w:color w:val="000000"/>
          <w:kern w:val="0"/>
          <w:sz w:val="24"/>
          <w:szCs w:val="24"/>
        </w:rPr>
        <w:t>11</w:t>
      </w:r>
      <w:r>
        <w:rPr>
          <w:rFonts w:ascii="宋体" w:hAnsi="宋体" w:hint="eastAsia"/>
          <w:b/>
          <w:bCs/>
          <w:color w:val="000000"/>
          <w:kern w:val="0"/>
          <w:sz w:val="24"/>
          <w:szCs w:val="24"/>
        </w:rPr>
        <w:t>日</w:t>
      </w:r>
    </w:p>
    <w:p w14:paraId="6EA6DCA0" w14:textId="77777777" w:rsidR="00F76B5E" w:rsidRDefault="0027102A">
      <w:pPr>
        <w:widowControl/>
        <w:snapToGrid w:val="0"/>
        <w:spacing w:line="360" w:lineRule="auto"/>
        <w:jc w:val="center"/>
        <w:rPr>
          <w:rFonts w:ascii="宋体" w:hAnsi="宋体"/>
          <w:color w:val="000000"/>
          <w:kern w:val="0"/>
          <w:sz w:val="24"/>
          <w:szCs w:val="24"/>
        </w:rPr>
      </w:pPr>
      <w:r>
        <w:rPr>
          <w:rFonts w:ascii="宋体" w:hAnsi="宋体" w:hint="eastAsia"/>
          <w:b/>
          <w:bCs/>
          <w:color w:val="000000"/>
          <w:kern w:val="0"/>
          <w:sz w:val="24"/>
          <w:szCs w:val="24"/>
        </w:rPr>
        <w:t>资产评估报告日：</w:t>
      </w:r>
      <w:r>
        <w:rPr>
          <w:rFonts w:ascii="宋体" w:hAnsi="宋体" w:hint="eastAsia"/>
          <w:b/>
          <w:bCs/>
          <w:color w:val="000000"/>
          <w:kern w:val="0"/>
          <w:sz w:val="24"/>
          <w:szCs w:val="24"/>
        </w:rPr>
        <w:t>2022</w:t>
      </w:r>
      <w:r>
        <w:rPr>
          <w:rFonts w:ascii="宋体" w:hAnsi="宋体" w:hint="eastAsia"/>
          <w:b/>
          <w:bCs/>
          <w:color w:val="000000"/>
          <w:kern w:val="0"/>
          <w:sz w:val="24"/>
          <w:szCs w:val="24"/>
        </w:rPr>
        <w:t>年</w:t>
      </w:r>
      <w:r>
        <w:rPr>
          <w:rFonts w:ascii="宋体" w:hAnsi="宋体" w:hint="eastAsia"/>
          <w:b/>
          <w:bCs/>
          <w:color w:val="000000"/>
          <w:kern w:val="0"/>
          <w:sz w:val="24"/>
          <w:szCs w:val="24"/>
        </w:rPr>
        <w:t>1</w:t>
      </w:r>
      <w:r>
        <w:rPr>
          <w:rFonts w:ascii="宋体" w:hAnsi="宋体" w:hint="eastAsia"/>
          <w:b/>
          <w:bCs/>
          <w:color w:val="000000"/>
          <w:kern w:val="0"/>
          <w:sz w:val="24"/>
          <w:szCs w:val="24"/>
        </w:rPr>
        <w:t>月</w:t>
      </w:r>
      <w:r>
        <w:rPr>
          <w:rFonts w:ascii="宋体" w:hAnsi="宋体" w:hint="eastAsia"/>
          <w:b/>
          <w:bCs/>
          <w:color w:val="000000"/>
          <w:kern w:val="0"/>
          <w:sz w:val="24"/>
          <w:szCs w:val="24"/>
        </w:rPr>
        <w:t>25</w:t>
      </w:r>
      <w:r>
        <w:rPr>
          <w:rFonts w:ascii="宋体" w:hAnsi="宋体" w:hint="eastAsia"/>
          <w:b/>
          <w:bCs/>
          <w:color w:val="000000"/>
          <w:kern w:val="0"/>
          <w:sz w:val="24"/>
          <w:szCs w:val="24"/>
        </w:rPr>
        <w:t>日</w:t>
      </w:r>
    </w:p>
    <w:p w14:paraId="126AEBA6" w14:textId="77777777" w:rsidR="00F76B5E" w:rsidRDefault="0027102A">
      <w:pPr>
        <w:widowControl/>
        <w:snapToGrid w:val="0"/>
        <w:spacing w:line="360" w:lineRule="auto"/>
        <w:jc w:val="left"/>
        <w:rPr>
          <w:rFonts w:ascii="宋体" w:hAnsi="宋体"/>
          <w:color w:val="000000"/>
          <w:kern w:val="0"/>
          <w:sz w:val="24"/>
          <w:szCs w:val="24"/>
        </w:rPr>
      </w:pPr>
      <w:r>
        <w:rPr>
          <w:rFonts w:ascii="宋体" w:hAnsi="宋体" w:hint="eastAsia"/>
          <w:color w:val="000000"/>
          <w:kern w:val="0"/>
          <w:sz w:val="24"/>
          <w:szCs w:val="24"/>
        </w:rPr>
        <w:t> </w:t>
      </w:r>
    </w:p>
    <w:p w14:paraId="2ADF0D28" w14:textId="77777777" w:rsidR="00F76B5E" w:rsidRDefault="00F76B5E">
      <w:pPr>
        <w:pStyle w:val="a6"/>
        <w:snapToGrid w:val="0"/>
        <w:spacing w:before="0"/>
        <w:rPr>
          <w:rFonts w:ascii="宋体" w:hAnsi="宋体"/>
          <w:color w:val="000000"/>
          <w:sz w:val="32"/>
        </w:rPr>
      </w:pPr>
    </w:p>
    <w:p w14:paraId="4A0886CE" w14:textId="77777777" w:rsidR="00F76B5E" w:rsidRDefault="00F76B5E">
      <w:pPr>
        <w:pStyle w:val="a6"/>
        <w:snapToGrid w:val="0"/>
        <w:spacing w:before="0"/>
        <w:rPr>
          <w:rFonts w:ascii="宋体" w:hAnsi="宋体"/>
          <w:color w:val="000000"/>
          <w:sz w:val="32"/>
        </w:rPr>
      </w:pPr>
    </w:p>
    <w:p w14:paraId="44286D6B" w14:textId="77777777" w:rsidR="00F76B5E" w:rsidRDefault="00F76B5E">
      <w:pPr>
        <w:pStyle w:val="a6"/>
        <w:snapToGrid w:val="0"/>
        <w:spacing w:before="0"/>
        <w:rPr>
          <w:rFonts w:ascii="宋体" w:hAnsi="宋体"/>
          <w:color w:val="000000"/>
          <w:sz w:val="32"/>
        </w:rPr>
      </w:pPr>
    </w:p>
    <w:p w14:paraId="5DFA80E1" w14:textId="77777777" w:rsidR="00F76B5E" w:rsidRDefault="00F76B5E">
      <w:pPr>
        <w:pStyle w:val="a6"/>
        <w:snapToGrid w:val="0"/>
        <w:spacing w:before="0"/>
        <w:rPr>
          <w:rFonts w:ascii="宋体" w:hAnsi="宋体"/>
          <w:color w:val="000000"/>
          <w:sz w:val="32"/>
        </w:rPr>
      </w:pPr>
    </w:p>
    <w:p w14:paraId="6E2F1DDD" w14:textId="77777777" w:rsidR="00F76B5E" w:rsidRDefault="0027102A">
      <w:pPr>
        <w:pStyle w:val="a6"/>
        <w:snapToGrid w:val="0"/>
        <w:spacing w:before="0"/>
        <w:rPr>
          <w:rFonts w:ascii="宋体" w:hAnsi="宋体"/>
          <w:color w:val="000000"/>
          <w:sz w:val="32"/>
        </w:rPr>
      </w:pPr>
      <w:r>
        <w:rPr>
          <w:rFonts w:ascii="宋体" w:hAnsi="宋体" w:hint="eastAsia"/>
          <w:b/>
          <w:color w:val="000000"/>
          <w:sz w:val="32"/>
          <w:szCs w:val="32"/>
          <w:u w:val="single"/>
        </w:rPr>
        <w:t>广</w:t>
      </w:r>
      <w:r>
        <w:rPr>
          <w:rFonts w:ascii="宋体" w:hAnsi="宋体" w:hint="eastAsia"/>
          <w:b/>
          <w:color w:val="000000"/>
          <w:sz w:val="32"/>
          <w:szCs w:val="32"/>
          <w:u w:val="single"/>
        </w:rPr>
        <w:t xml:space="preserve"> </w:t>
      </w:r>
      <w:r>
        <w:rPr>
          <w:rFonts w:ascii="宋体" w:hAnsi="宋体" w:hint="eastAsia"/>
          <w:b/>
          <w:color w:val="000000"/>
          <w:sz w:val="32"/>
          <w:szCs w:val="32"/>
          <w:u w:val="single"/>
        </w:rPr>
        <w:t>东</w:t>
      </w:r>
      <w:r>
        <w:rPr>
          <w:rFonts w:ascii="宋体" w:hAnsi="宋体" w:hint="eastAsia"/>
          <w:b/>
          <w:color w:val="000000"/>
          <w:sz w:val="32"/>
          <w:szCs w:val="32"/>
          <w:u w:val="single"/>
        </w:rPr>
        <w:t xml:space="preserve"> </w:t>
      </w:r>
      <w:r>
        <w:rPr>
          <w:rFonts w:ascii="宋体" w:hAnsi="宋体" w:hint="eastAsia"/>
          <w:b/>
          <w:color w:val="000000"/>
          <w:sz w:val="32"/>
          <w:szCs w:val="32"/>
          <w:u w:val="single"/>
        </w:rPr>
        <w:t>信</w:t>
      </w:r>
      <w:r>
        <w:rPr>
          <w:rFonts w:ascii="宋体" w:hAnsi="宋体" w:hint="eastAsia"/>
          <w:b/>
          <w:color w:val="000000"/>
          <w:sz w:val="32"/>
          <w:szCs w:val="32"/>
          <w:u w:val="single"/>
        </w:rPr>
        <w:t xml:space="preserve"> </w:t>
      </w:r>
      <w:r>
        <w:rPr>
          <w:rFonts w:ascii="宋体" w:hAnsi="宋体" w:hint="eastAsia"/>
          <w:b/>
          <w:color w:val="000000"/>
          <w:sz w:val="32"/>
          <w:szCs w:val="32"/>
          <w:u w:val="single"/>
        </w:rPr>
        <w:t>成</w:t>
      </w:r>
      <w:r>
        <w:rPr>
          <w:rFonts w:ascii="宋体" w:hAnsi="宋体" w:hint="eastAsia"/>
          <w:b/>
          <w:color w:val="000000"/>
          <w:sz w:val="32"/>
          <w:szCs w:val="32"/>
          <w:u w:val="single"/>
        </w:rPr>
        <w:t xml:space="preserve"> </w:t>
      </w:r>
      <w:r>
        <w:rPr>
          <w:rFonts w:ascii="宋体" w:hAnsi="宋体" w:hint="eastAsia"/>
          <w:b/>
          <w:color w:val="000000"/>
          <w:sz w:val="32"/>
          <w:szCs w:val="32"/>
          <w:u w:val="single"/>
        </w:rPr>
        <w:t>土</w:t>
      </w:r>
      <w:r>
        <w:rPr>
          <w:rFonts w:ascii="宋体" w:hAnsi="宋体" w:hint="eastAsia"/>
          <w:b/>
          <w:color w:val="000000"/>
          <w:sz w:val="32"/>
          <w:szCs w:val="32"/>
          <w:u w:val="single"/>
        </w:rPr>
        <w:t xml:space="preserve"> </w:t>
      </w:r>
      <w:r>
        <w:rPr>
          <w:rFonts w:ascii="宋体" w:hAnsi="宋体" w:hint="eastAsia"/>
          <w:b/>
          <w:color w:val="000000"/>
          <w:sz w:val="32"/>
          <w:szCs w:val="32"/>
          <w:u w:val="single"/>
        </w:rPr>
        <w:t>地</w:t>
      </w:r>
      <w:r>
        <w:rPr>
          <w:rFonts w:ascii="宋体" w:hAnsi="宋体" w:hint="eastAsia"/>
          <w:b/>
          <w:color w:val="000000"/>
          <w:sz w:val="32"/>
          <w:szCs w:val="32"/>
          <w:u w:val="single"/>
        </w:rPr>
        <w:t xml:space="preserve"> </w:t>
      </w:r>
      <w:r>
        <w:rPr>
          <w:rFonts w:ascii="宋体" w:hAnsi="宋体" w:hint="eastAsia"/>
          <w:b/>
          <w:color w:val="000000"/>
          <w:sz w:val="32"/>
          <w:szCs w:val="32"/>
          <w:u w:val="single"/>
        </w:rPr>
        <w:t>房</w:t>
      </w:r>
      <w:r>
        <w:rPr>
          <w:rFonts w:ascii="宋体" w:hAnsi="宋体" w:hint="eastAsia"/>
          <w:b/>
          <w:color w:val="000000"/>
          <w:sz w:val="32"/>
          <w:szCs w:val="32"/>
          <w:u w:val="single"/>
        </w:rPr>
        <w:t xml:space="preserve"> </w:t>
      </w:r>
      <w:r>
        <w:rPr>
          <w:rFonts w:ascii="宋体" w:hAnsi="宋体" w:hint="eastAsia"/>
          <w:b/>
          <w:color w:val="000000"/>
          <w:sz w:val="32"/>
          <w:szCs w:val="32"/>
          <w:u w:val="single"/>
        </w:rPr>
        <w:t>地</w:t>
      </w:r>
      <w:r>
        <w:rPr>
          <w:rFonts w:ascii="宋体" w:hAnsi="宋体" w:hint="eastAsia"/>
          <w:b/>
          <w:color w:val="000000"/>
          <w:sz w:val="32"/>
          <w:szCs w:val="32"/>
          <w:u w:val="single"/>
        </w:rPr>
        <w:t xml:space="preserve"> </w:t>
      </w:r>
      <w:r>
        <w:rPr>
          <w:rFonts w:ascii="宋体" w:hAnsi="宋体" w:hint="eastAsia"/>
          <w:b/>
          <w:color w:val="000000"/>
          <w:sz w:val="32"/>
          <w:szCs w:val="32"/>
          <w:u w:val="single"/>
        </w:rPr>
        <w:t>产</w:t>
      </w:r>
      <w:r>
        <w:rPr>
          <w:rFonts w:ascii="宋体" w:hAnsi="宋体" w:hint="eastAsia"/>
          <w:b/>
          <w:color w:val="000000"/>
          <w:sz w:val="32"/>
          <w:szCs w:val="32"/>
          <w:u w:val="single"/>
        </w:rPr>
        <w:t xml:space="preserve"> </w:t>
      </w:r>
      <w:r>
        <w:rPr>
          <w:rFonts w:ascii="宋体" w:hAnsi="宋体" w:hint="eastAsia"/>
          <w:b/>
          <w:color w:val="000000"/>
          <w:sz w:val="32"/>
          <w:szCs w:val="32"/>
          <w:u w:val="single"/>
        </w:rPr>
        <w:t>资</w:t>
      </w:r>
      <w:r>
        <w:rPr>
          <w:rFonts w:ascii="宋体" w:hAnsi="宋体" w:hint="eastAsia"/>
          <w:b/>
          <w:color w:val="000000"/>
          <w:sz w:val="32"/>
          <w:szCs w:val="32"/>
          <w:u w:val="single"/>
        </w:rPr>
        <w:t xml:space="preserve"> </w:t>
      </w:r>
      <w:r>
        <w:rPr>
          <w:rFonts w:ascii="宋体" w:hAnsi="宋体" w:hint="eastAsia"/>
          <w:b/>
          <w:color w:val="000000"/>
          <w:sz w:val="32"/>
          <w:szCs w:val="32"/>
          <w:u w:val="single"/>
        </w:rPr>
        <w:t>产</w:t>
      </w:r>
      <w:r>
        <w:rPr>
          <w:rFonts w:ascii="宋体" w:hAnsi="宋体" w:hint="eastAsia"/>
          <w:b/>
          <w:color w:val="000000"/>
          <w:sz w:val="32"/>
          <w:szCs w:val="32"/>
          <w:u w:val="single"/>
        </w:rPr>
        <w:t xml:space="preserve"> </w:t>
      </w:r>
      <w:r>
        <w:rPr>
          <w:rFonts w:ascii="宋体" w:hAnsi="宋体" w:hint="eastAsia"/>
          <w:b/>
          <w:color w:val="000000"/>
          <w:sz w:val="32"/>
          <w:szCs w:val="32"/>
          <w:u w:val="single"/>
        </w:rPr>
        <w:t>评</w:t>
      </w:r>
      <w:r>
        <w:rPr>
          <w:rFonts w:ascii="宋体" w:hAnsi="宋体" w:hint="eastAsia"/>
          <w:b/>
          <w:color w:val="000000"/>
          <w:sz w:val="32"/>
          <w:szCs w:val="32"/>
          <w:u w:val="single"/>
        </w:rPr>
        <w:t xml:space="preserve"> </w:t>
      </w:r>
      <w:r>
        <w:rPr>
          <w:rFonts w:ascii="宋体" w:hAnsi="宋体" w:hint="eastAsia"/>
          <w:b/>
          <w:color w:val="000000"/>
          <w:sz w:val="32"/>
          <w:szCs w:val="32"/>
          <w:u w:val="single"/>
        </w:rPr>
        <w:t>估</w:t>
      </w:r>
      <w:r>
        <w:rPr>
          <w:rFonts w:ascii="宋体" w:hAnsi="宋体" w:hint="eastAsia"/>
          <w:b/>
          <w:color w:val="000000"/>
          <w:sz w:val="32"/>
          <w:szCs w:val="32"/>
          <w:u w:val="single"/>
        </w:rPr>
        <w:t xml:space="preserve"> </w:t>
      </w:r>
      <w:r>
        <w:rPr>
          <w:rFonts w:ascii="宋体" w:hAnsi="宋体" w:hint="eastAsia"/>
          <w:b/>
          <w:color w:val="000000"/>
          <w:sz w:val="32"/>
          <w:szCs w:val="32"/>
          <w:u w:val="single"/>
        </w:rPr>
        <w:t>有</w:t>
      </w:r>
      <w:r>
        <w:rPr>
          <w:rFonts w:ascii="宋体" w:hAnsi="宋体" w:hint="eastAsia"/>
          <w:b/>
          <w:color w:val="000000"/>
          <w:sz w:val="32"/>
          <w:szCs w:val="32"/>
          <w:u w:val="single"/>
        </w:rPr>
        <w:t xml:space="preserve"> </w:t>
      </w:r>
      <w:r>
        <w:rPr>
          <w:rFonts w:ascii="宋体" w:hAnsi="宋体" w:hint="eastAsia"/>
          <w:b/>
          <w:color w:val="000000"/>
          <w:sz w:val="32"/>
          <w:szCs w:val="32"/>
          <w:u w:val="single"/>
        </w:rPr>
        <w:t>限</w:t>
      </w:r>
      <w:r>
        <w:rPr>
          <w:rFonts w:ascii="宋体" w:hAnsi="宋体" w:hint="eastAsia"/>
          <w:b/>
          <w:color w:val="000000"/>
          <w:sz w:val="32"/>
          <w:szCs w:val="32"/>
          <w:u w:val="single"/>
        </w:rPr>
        <w:t xml:space="preserve"> </w:t>
      </w:r>
      <w:r>
        <w:rPr>
          <w:rFonts w:ascii="宋体" w:hAnsi="宋体" w:hint="eastAsia"/>
          <w:b/>
          <w:color w:val="000000"/>
          <w:sz w:val="32"/>
          <w:szCs w:val="32"/>
          <w:u w:val="single"/>
        </w:rPr>
        <w:t>公</w:t>
      </w:r>
      <w:r>
        <w:rPr>
          <w:rFonts w:ascii="宋体" w:hAnsi="宋体" w:hint="eastAsia"/>
          <w:b/>
          <w:color w:val="000000"/>
          <w:sz w:val="32"/>
          <w:szCs w:val="32"/>
          <w:u w:val="single"/>
        </w:rPr>
        <w:t xml:space="preserve"> </w:t>
      </w:r>
      <w:r>
        <w:rPr>
          <w:rFonts w:ascii="宋体" w:hAnsi="宋体" w:hint="eastAsia"/>
          <w:b/>
          <w:color w:val="000000"/>
          <w:sz w:val="32"/>
          <w:szCs w:val="32"/>
          <w:u w:val="single"/>
        </w:rPr>
        <w:t>司</w:t>
      </w:r>
    </w:p>
    <w:p w14:paraId="2099973B" w14:textId="77777777" w:rsidR="00F76B5E" w:rsidRDefault="0027102A">
      <w:pPr>
        <w:pStyle w:val="a6"/>
        <w:snapToGrid w:val="0"/>
        <w:spacing w:before="0"/>
        <w:rPr>
          <w:rFonts w:ascii="宋体" w:hAnsi="宋体"/>
          <w:color w:val="000000"/>
          <w:sz w:val="30"/>
          <w:szCs w:val="30"/>
        </w:rPr>
      </w:pPr>
      <w:r>
        <w:rPr>
          <w:rFonts w:ascii="宋体" w:hAnsi="宋体" w:hint="eastAsia"/>
          <w:color w:val="000000"/>
          <w:sz w:val="30"/>
          <w:szCs w:val="30"/>
        </w:rPr>
        <w:t>公司地址：东莞市南城</w:t>
      </w:r>
      <w:proofErr w:type="gramStart"/>
      <w:r>
        <w:rPr>
          <w:rFonts w:ascii="宋体" w:hAnsi="宋体" w:hint="eastAsia"/>
          <w:color w:val="000000"/>
          <w:sz w:val="30"/>
          <w:szCs w:val="30"/>
        </w:rPr>
        <w:t>街道胜</w:t>
      </w:r>
      <w:proofErr w:type="gramEnd"/>
      <w:r>
        <w:rPr>
          <w:rFonts w:ascii="宋体" w:hAnsi="宋体" w:hint="eastAsia"/>
          <w:color w:val="000000"/>
          <w:sz w:val="30"/>
          <w:szCs w:val="30"/>
        </w:rPr>
        <w:t>和银丰路</w:t>
      </w:r>
      <w:r>
        <w:rPr>
          <w:rFonts w:ascii="宋体" w:hAnsi="宋体" w:hint="eastAsia"/>
          <w:color w:val="000000"/>
          <w:sz w:val="30"/>
          <w:szCs w:val="30"/>
        </w:rPr>
        <w:t>21</w:t>
      </w:r>
      <w:r>
        <w:rPr>
          <w:rFonts w:ascii="宋体" w:hAnsi="宋体" w:hint="eastAsia"/>
          <w:color w:val="000000"/>
          <w:sz w:val="30"/>
          <w:szCs w:val="30"/>
        </w:rPr>
        <w:t>号三楼</w:t>
      </w:r>
      <w:r>
        <w:rPr>
          <w:rFonts w:ascii="宋体" w:hAnsi="宋体" w:hint="eastAsia"/>
          <w:color w:val="000000"/>
          <w:sz w:val="30"/>
          <w:szCs w:val="30"/>
        </w:rPr>
        <w:t>313</w:t>
      </w:r>
      <w:r>
        <w:rPr>
          <w:rFonts w:ascii="宋体" w:hAnsi="宋体" w:hint="eastAsia"/>
          <w:color w:val="000000"/>
          <w:sz w:val="30"/>
          <w:szCs w:val="30"/>
        </w:rPr>
        <w:t>室</w:t>
      </w:r>
    </w:p>
    <w:p w14:paraId="3F4B744C" w14:textId="77777777" w:rsidR="00F76B5E" w:rsidRDefault="0027102A">
      <w:pPr>
        <w:pStyle w:val="a6"/>
        <w:snapToGrid w:val="0"/>
        <w:spacing w:before="0"/>
        <w:rPr>
          <w:rFonts w:ascii="宋体" w:hAnsi="宋体"/>
          <w:color w:val="000000"/>
          <w:sz w:val="30"/>
          <w:szCs w:val="30"/>
        </w:rPr>
      </w:pPr>
      <w:r>
        <w:rPr>
          <w:rFonts w:ascii="宋体" w:hAnsi="宋体" w:hint="eastAsia"/>
          <w:color w:val="000000"/>
          <w:sz w:val="30"/>
          <w:szCs w:val="30"/>
        </w:rPr>
        <w:t>电</w:t>
      </w:r>
      <w:r>
        <w:rPr>
          <w:rFonts w:ascii="宋体" w:hAnsi="宋体" w:hint="eastAsia"/>
          <w:color w:val="000000"/>
          <w:sz w:val="30"/>
          <w:szCs w:val="30"/>
        </w:rPr>
        <w:t xml:space="preserve">    </w:t>
      </w:r>
      <w:r>
        <w:rPr>
          <w:rFonts w:ascii="宋体" w:hAnsi="宋体" w:hint="eastAsia"/>
          <w:color w:val="000000"/>
          <w:sz w:val="30"/>
          <w:szCs w:val="30"/>
        </w:rPr>
        <w:t>话：</w:t>
      </w:r>
      <w:r>
        <w:rPr>
          <w:rFonts w:ascii="宋体" w:hAnsi="宋体" w:hint="eastAsia"/>
          <w:color w:val="000000"/>
          <w:sz w:val="30"/>
          <w:szCs w:val="30"/>
        </w:rPr>
        <w:t>0769-22880733</w:t>
      </w:r>
    </w:p>
    <w:p w14:paraId="4CB9547C" w14:textId="77777777" w:rsidR="00F76B5E" w:rsidRDefault="0027102A">
      <w:pPr>
        <w:pStyle w:val="a6"/>
        <w:snapToGrid w:val="0"/>
        <w:spacing w:before="0"/>
        <w:rPr>
          <w:rFonts w:ascii="宋体" w:hAnsi="宋体"/>
          <w:color w:val="000000"/>
          <w:sz w:val="30"/>
          <w:szCs w:val="30"/>
        </w:rPr>
      </w:pPr>
      <w:r>
        <w:rPr>
          <w:rFonts w:ascii="宋体" w:hAnsi="宋体" w:hint="eastAsia"/>
          <w:color w:val="000000"/>
          <w:sz w:val="30"/>
          <w:szCs w:val="30"/>
        </w:rPr>
        <w:t>传</w:t>
      </w:r>
      <w:r>
        <w:rPr>
          <w:rFonts w:ascii="宋体" w:hAnsi="宋体" w:hint="eastAsia"/>
          <w:color w:val="000000"/>
          <w:sz w:val="30"/>
          <w:szCs w:val="30"/>
        </w:rPr>
        <w:t xml:space="preserve">    </w:t>
      </w:r>
      <w:r>
        <w:rPr>
          <w:rFonts w:ascii="宋体" w:hAnsi="宋体" w:hint="eastAsia"/>
          <w:color w:val="000000"/>
          <w:sz w:val="30"/>
          <w:szCs w:val="30"/>
        </w:rPr>
        <w:t>真：</w:t>
      </w:r>
      <w:r>
        <w:rPr>
          <w:rFonts w:ascii="宋体" w:hAnsi="宋体" w:hint="eastAsia"/>
          <w:color w:val="000000"/>
          <w:sz w:val="30"/>
          <w:szCs w:val="30"/>
        </w:rPr>
        <w:t>0769-22886869</w:t>
      </w:r>
    </w:p>
    <w:p w14:paraId="7CEB00D2" w14:textId="77777777" w:rsidR="00F76B5E" w:rsidRDefault="0027102A">
      <w:pPr>
        <w:jc w:val="center"/>
        <w:rPr>
          <w:b/>
          <w:bCs/>
          <w:sz w:val="44"/>
          <w:szCs w:val="44"/>
          <w:lang w:val="zh-CN"/>
        </w:rPr>
      </w:pPr>
      <w:bookmarkStart w:id="0" w:name="_Toc259009944"/>
      <w:bookmarkStart w:id="1" w:name="_Ref259014361"/>
      <w:r>
        <w:rPr>
          <w:rFonts w:ascii="宋体" w:hAnsi="宋体"/>
        </w:rPr>
        <w:br w:type="page"/>
      </w:r>
      <w:r>
        <w:rPr>
          <w:b/>
          <w:bCs/>
          <w:sz w:val="44"/>
          <w:szCs w:val="44"/>
          <w:lang w:val="zh-CN"/>
        </w:rPr>
        <w:lastRenderedPageBreak/>
        <w:t>目</w:t>
      </w:r>
      <w:r>
        <w:rPr>
          <w:rFonts w:hint="eastAsia"/>
          <w:b/>
          <w:bCs/>
          <w:sz w:val="44"/>
          <w:szCs w:val="44"/>
          <w:lang w:val="zh-CN"/>
        </w:rPr>
        <w:t xml:space="preserve"> </w:t>
      </w:r>
      <w:r>
        <w:rPr>
          <w:b/>
          <w:bCs/>
          <w:sz w:val="44"/>
          <w:szCs w:val="44"/>
          <w:lang w:val="zh-CN"/>
        </w:rPr>
        <w:t>录</w:t>
      </w:r>
    </w:p>
    <w:p w14:paraId="5E8B6815" w14:textId="77777777" w:rsidR="00F76B5E" w:rsidRDefault="00F76B5E">
      <w:pPr>
        <w:snapToGrid w:val="0"/>
        <w:spacing w:line="360" w:lineRule="auto"/>
        <w:jc w:val="center"/>
        <w:rPr>
          <w:color w:val="000000"/>
          <w:sz w:val="36"/>
          <w:szCs w:val="36"/>
        </w:rPr>
      </w:pPr>
    </w:p>
    <w:p w14:paraId="2524C7C5" w14:textId="77777777" w:rsidR="00F76B5E" w:rsidRDefault="0027102A">
      <w:pPr>
        <w:pStyle w:val="TOC1"/>
        <w:rPr>
          <w:rFonts w:asciiTheme="minorHAnsi" w:eastAsiaTheme="minorEastAsia" w:hAnsiTheme="minorHAnsi" w:cstheme="minorBidi"/>
          <w:noProof/>
          <w:szCs w:val="22"/>
        </w:rPr>
      </w:pPr>
      <w:r>
        <w:rPr>
          <w:rFonts w:ascii="宋体" w:hAnsi="宋体"/>
          <w:b/>
          <w:bCs/>
          <w:caps/>
          <w:color w:val="000000"/>
          <w:sz w:val="20"/>
        </w:rPr>
        <w:fldChar w:fldCharType="begin"/>
      </w:r>
      <w:r>
        <w:rPr>
          <w:rFonts w:ascii="宋体" w:hAnsi="宋体"/>
          <w:color w:val="000000"/>
        </w:rPr>
        <w:instrText xml:space="preserve"> TOC \o "1-3" \h \z \u </w:instrText>
      </w:r>
      <w:r>
        <w:rPr>
          <w:rFonts w:ascii="宋体" w:hAnsi="宋体"/>
          <w:b/>
          <w:bCs/>
          <w:caps/>
          <w:color w:val="000000"/>
          <w:sz w:val="20"/>
        </w:rPr>
        <w:fldChar w:fldCharType="separate"/>
      </w:r>
      <w:hyperlink w:anchor="_Toc93936749" w:history="1">
        <w:r>
          <w:rPr>
            <w:rStyle w:val="ab"/>
            <w:noProof/>
          </w:rPr>
          <w:t>资产评估报告声明</w:t>
        </w:r>
        <w:r>
          <w:rPr>
            <w:noProof/>
            <w:webHidden/>
          </w:rPr>
          <w:tab/>
        </w:r>
        <w:r>
          <w:rPr>
            <w:noProof/>
            <w:webHidden/>
          </w:rPr>
          <w:fldChar w:fldCharType="begin"/>
        </w:r>
        <w:r>
          <w:rPr>
            <w:noProof/>
            <w:webHidden/>
          </w:rPr>
          <w:instrText xml:space="preserve"> PAGEREF _Toc93936749 \h </w:instrText>
        </w:r>
        <w:r>
          <w:rPr>
            <w:noProof/>
            <w:webHidden/>
          </w:rPr>
        </w:r>
        <w:r>
          <w:rPr>
            <w:noProof/>
            <w:webHidden/>
          </w:rPr>
          <w:fldChar w:fldCharType="separate"/>
        </w:r>
        <w:r>
          <w:rPr>
            <w:noProof/>
            <w:webHidden/>
          </w:rPr>
          <w:t>3</w:t>
        </w:r>
        <w:r>
          <w:rPr>
            <w:noProof/>
            <w:webHidden/>
          </w:rPr>
          <w:fldChar w:fldCharType="end"/>
        </w:r>
      </w:hyperlink>
    </w:p>
    <w:p w14:paraId="0F1097C0" w14:textId="77777777" w:rsidR="00F76B5E" w:rsidRDefault="0027102A">
      <w:pPr>
        <w:pStyle w:val="TOC1"/>
        <w:rPr>
          <w:rFonts w:asciiTheme="minorHAnsi" w:eastAsiaTheme="minorEastAsia" w:hAnsiTheme="minorHAnsi" w:cstheme="minorBidi"/>
          <w:noProof/>
          <w:szCs w:val="22"/>
        </w:rPr>
      </w:pPr>
      <w:hyperlink w:anchor="_Toc93936750" w:history="1">
        <w:r>
          <w:rPr>
            <w:rStyle w:val="ab"/>
            <w:noProof/>
          </w:rPr>
          <w:t>评估报告正文</w:t>
        </w:r>
        <w:r>
          <w:rPr>
            <w:noProof/>
            <w:webHidden/>
          </w:rPr>
          <w:tab/>
        </w:r>
        <w:r>
          <w:rPr>
            <w:noProof/>
            <w:webHidden/>
          </w:rPr>
          <w:fldChar w:fldCharType="begin"/>
        </w:r>
        <w:r>
          <w:rPr>
            <w:noProof/>
            <w:webHidden/>
          </w:rPr>
          <w:instrText xml:space="preserve"> PAGEREF _Toc93936750 \h </w:instrText>
        </w:r>
        <w:r>
          <w:rPr>
            <w:noProof/>
            <w:webHidden/>
          </w:rPr>
        </w:r>
        <w:r>
          <w:rPr>
            <w:noProof/>
            <w:webHidden/>
          </w:rPr>
          <w:fldChar w:fldCharType="separate"/>
        </w:r>
        <w:r>
          <w:rPr>
            <w:noProof/>
            <w:webHidden/>
          </w:rPr>
          <w:t>7</w:t>
        </w:r>
        <w:r>
          <w:rPr>
            <w:noProof/>
            <w:webHidden/>
          </w:rPr>
          <w:fldChar w:fldCharType="end"/>
        </w:r>
      </w:hyperlink>
    </w:p>
    <w:p w14:paraId="0A9A69A9" w14:textId="77777777" w:rsidR="00F76B5E" w:rsidRDefault="0027102A">
      <w:pPr>
        <w:pStyle w:val="TOC1"/>
        <w:rPr>
          <w:rFonts w:asciiTheme="minorHAnsi" w:eastAsiaTheme="minorEastAsia" w:hAnsiTheme="minorHAnsi" w:cstheme="minorBidi"/>
          <w:noProof/>
          <w:szCs w:val="22"/>
        </w:rPr>
      </w:pPr>
      <w:hyperlink w:anchor="_Toc93936751" w:history="1">
        <w:r>
          <w:rPr>
            <w:rStyle w:val="ab"/>
            <w:noProof/>
          </w:rPr>
          <w:t>一、委托方和《资产评估委托合同》中约定的其他报告使用者</w:t>
        </w:r>
        <w:r>
          <w:rPr>
            <w:noProof/>
            <w:webHidden/>
          </w:rPr>
          <w:tab/>
        </w:r>
        <w:r>
          <w:rPr>
            <w:noProof/>
            <w:webHidden/>
          </w:rPr>
          <w:fldChar w:fldCharType="begin"/>
        </w:r>
        <w:r>
          <w:rPr>
            <w:noProof/>
            <w:webHidden/>
          </w:rPr>
          <w:instrText xml:space="preserve"> PAGEREF _Toc93936751 \h </w:instrText>
        </w:r>
        <w:r>
          <w:rPr>
            <w:noProof/>
            <w:webHidden/>
          </w:rPr>
        </w:r>
        <w:r>
          <w:rPr>
            <w:noProof/>
            <w:webHidden/>
          </w:rPr>
          <w:fldChar w:fldCharType="separate"/>
        </w:r>
        <w:r>
          <w:rPr>
            <w:noProof/>
            <w:webHidden/>
          </w:rPr>
          <w:t>7</w:t>
        </w:r>
        <w:r>
          <w:rPr>
            <w:noProof/>
            <w:webHidden/>
          </w:rPr>
          <w:fldChar w:fldCharType="end"/>
        </w:r>
      </w:hyperlink>
    </w:p>
    <w:p w14:paraId="60D421C1" w14:textId="77777777" w:rsidR="00F76B5E" w:rsidRDefault="0027102A">
      <w:pPr>
        <w:pStyle w:val="TOC1"/>
        <w:rPr>
          <w:rFonts w:asciiTheme="minorHAnsi" w:eastAsiaTheme="minorEastAsia" w:hAnsiTheme="minorHAnsi" w:cstheme="minorBidi"/>
          <w:noProof/>
          <w:szCs w:val="22"/>
        </w:rPr>
      </w:pPr>
      <w:hyperlink w:anchor="_Toc93936752" w:history="1">
        <w:r>
          <w:rPr>
            <w:rStyle w:val="ab"/>
            <w:noProof/>
          </w:rPr>
          <w:t>二、评估目的</w:t>
        </w:r>
        <w:r>
          <w:rPr>
            <w:noProof/>
            <w:webHidden/>
          </w:rPr>
          <w:tab/>
        </w:r>
        <w:r>
          <w:rPr>
            <w:noProof/>
            <w:webHidden/>
          </w:rPr>
          <w:fldChar w:fldCharType="begin"/>
        </w:r>
        <w:r>
          <w:rPr>
            <w:noProof/>
            <w:webHidden/>
          </w:rPr>
          <w:instrText xml:space="preserve"> PAGEREF _Toc93936752 \h </w:instrText>
        </w:r>
        <w:r>
          <w:rPr>
            <w:noProof/>
            <w:webHidden/>
          </w:rPr>
        </w:r>
        <w:r>
          <w:rPr>
            <w:noProof/>
            <w:webHidden/>
          </w:rPr>
          <w:fldChar w:fldCharType="separate"/>
        </w:r>
        <w:r>
          <w:rPr>
            <w:noProof/>
            <w:webHidden/>
          </w:rPr>
          <w:t>7</w:t>
        </w:r>
        <w:r>
          <w:rPr>
            <w:noProof/>
            <w:webHidden/>
          </w:rPr>
          <w:fldChar w:fldCharType="end"/>
        </w:r>
      </w:hyperlink>
    </w:p>
    <w:p w14:paraId="451FCD24" w14:textId="77777777" w:rsidR="00F76B5E" w:rsidRDefault="0027102A">
      <w:pPr>
        <w:pStyle w:val="TOC1"/>
        <w:rPr>
          <w:rFonts w:asciiTheme="minorHAnsi" w:eastAsiaTheme="minorEastAsia" w:hAnsiTheme="minorHAnsi" w:cstheme="minorBidi"/>
          <w:noProof/>
          <w:szCs w:val="22"/>
        </w:rPr>
      </w:pPr>
      <w:hyperlink w:anchor="_Toc93936753" w:history="1">
        <w:r>
          <w:rPr>
            <w:rStyle w:val="ab"/>
            <w:noProof/>
          </w:rPr>
          <w:t>三、评估对象和评估范围</w:t>
        </w:r>
        <w:r>
          <w:rPr>
            <w:noProof/>
            <w:webHidden/>
          </w:rPr>
          <w:tab/>
        </w:r>
        <w:r>
          <w:rPr>
            <w:noProof/>
            <w:webHidden/>
          </w:rPr>
          <w:fldChar w:fldCharType="begin"/>
        </w:r>
        <w:r>
          <w:rPr>
            <w:noProof/>
            <w:webHidden/>
          </w:rPr>
          <w:instrText xml:space="preserve"> PAGEREF _Toc93936753 \h </w:instrText>
        </w:r>
        <w:r>
          <w:rPr>
            <w:noProof/>
            <w:webHidden/>
          </w:rPr>
        </w:r>
        <w:r>
          <w:rPr>
            <w:noProof/>
            <w:webHidden/>
          </w:rPr>
          <w:fldChar w:fldCharType="separate"/>
        </w:r>
        <w:r>
          <w:rPr>
            <w:noProof/>
            <w:webHidden/>
          </w:rPr>
          <w:t>7</w:t>
        </w:r>
        <w:r>
          <w:rPr>
            <w:noProof/>
            <w:webHidden/>
          </w:rPr>
          <w:fldChar w:fldCharType="end"/>
        </w:r>
      </w:hyperlink>
    </w:p>
    <w:p w14:paraId="700DCAB9" w14:textId="77777777" w:rsidR="00F76B5E" w:rsidRDefault="0027102A">
      <w:pPr>
        <w:pStyle w:val="TOC1"/>
        <w:rPr>
          <w:rFonts w:asciiTheme="minorHAnsi" w:eastAsiaTheme="minorEastAsia" w:hAnsiTheme="minorHAnsi" w:cstheme="minorBidi"/>
          <w:noProof/>
          <w:szCs w:val="22"/>
        </w:rPr>
      </w:pPr>
      <w:hyperlink w:anchor="_Toc93936754" w:history="1">
        <w:r>
          <w:rPr>
            <w:rStyle w:val="ab"/>
            <w:noProof/>
          </w:rPr>
          <w:t>四、价值类型及其定义</w:t>
        </w:r>
        <w:r>
          <w:rPr>
            <w:noProof/>
            <w:webHidden/>
          </w:rPr>
          <w:tab/>
        </w:r>
        <w:r>
          <w:rPr>
            <w:noProof/>
            <w:webHidden/>
          </w:rPr>
          <w:fldChar w:fldCharType="begin"/>
        </w:r>
        <w:r>
          <w:rPr>
            <w:noProof/>
            <w:webHidden/>
          </w:rPr>
          <w:instrText xml:space="preserve"> PAGEREF _Toc93936754 \h </w:instrText>
        </w:r>
        <w:r>
          <w:rPr>
            <w:noProof/>
            <w:webHidden/>
          </w:rPr>
        </w:r>
        <w:r>
          <w:rPr>
            <w:noProof/>
            <w:webHidden/>
          </w:rPr>
          <w:fldChar w:fldCharType="separate"/>
        </w:r>
        <w:r>
          <w:rPr>
            <w:noProof/>
            <w:webHidden/>
          </w:rPr>
          <w:t>8</w:t>
        </w:r>
        <w:r>
          <w:rPr>
            <w:noProof/>
            <w:webHidden/>
          </w:rPr>
          <w:fldChar w:fldCharType="end"/>
        </w:r>
      </w:hyperlink>
    </w:p>
    <w:p w14:paraId="5C270395" w14:textId="77777777" w:rsidR="00F76B5E" w:rsidRDefault="0027102A">
      <w:pPr>
        <w:pStyle w:val="TOC1"/>
        <w:rPr>
          <w:rFonts w:asciiTheme="minorHAnsi" w:eastAsiaTheme="minorEastAsia" w:hAnsiTheme="minorHAnsi" w:cstheme="minorBidi"/>
          <w:noProof/>
          <w:szCs w:val="22"/>
        </w:rPr>
      </w:pPr>
      <w:hyperlink w:anchor="_Toc93936755" w:history="1">
        <w:r>
          <w:rPr>
            <w:rStyle w:val="ab"/>
            <w:noProof/>
          </w:rPr>
          <w:t>五、评估基准日</w:t>
        </w:r>
        <w:r>
          <w:rPr>
            <w:noProof/>
            <w:webHidden/>
          </w:rPr>
          <w:tab/>
        </w:r>
        <w:r>
          <w:rPr>
            <w:noProof/>
            <w:webHidden/>
          </w:rPr>
          <w:fldChar w:fldCharType="begin"/>
        </w:r>
        <w:r>
          <w:rPr>
            <w:noProof/>
            <w:webHidden/>
          </w:rPr>
          <w:instrText xml:space="preserve"> PAGEREF _Toc93936755 \h </w:instrText>
        </w:r>
        <w:r>
          <w:rPr>
            <w:noProof/>
            <w:webHidden/>
          </w:rPr>
        </w:r>
        <w:r>
          <w:rPr>
            <w:noProof/>
            <w:webHidden/>
          </w:rPr>
          <w:fldChar w:fldCharType="separate"/>
        </w:r>
        <w:r>
          <w:rPr>
            <w:noProof/>
            <w:webHidden/>
          </w:rPr>
          <w:t>8</w:t>
        </w:r>
        <w:r>
          <w:rPr>
            <w:noProof/>
            <w:webHidden/>
          </w:rPr>
          <w:fldChar w:fldCharType="end"/>
        </w:r>
      </w:hyperlink>
    </w:p>
    <w:p w14:paraId="5FC14604" w14:textId="77777777" w:rsidR="00F76B5E" w:rsidRDefault="0027102A">
      <w:pPr>
        <w:pStyle w:val="TOC1"/>
        <w:rPr>
          <w:rFonts w:asciiTheme="minorHAnsi" w:eastAsiaTheme="minorEastAsia" w:hAnsiTheme="minorHAnsi" w:cstheme="minorBidi"/>
          <w:noProof/>
          <w:szCs w:val="22"/>
        </w:rPr>
      </w:pPr>
      <w:hyperlink w:anchor="_Toc93936756" w:history="1">
        <w:r>
          <w:rPr>
            <w:rStyle w:val="ab"/>
            <w:noProof/>
          </w:rPr>
          <w:t>六、评估依据</w:t>
        </w:r>
        <w:r>
          <w:rPr>
            <w:noProof/>
            <w:webHidden/>
          </w:rPr>
          <w:tab/>
        </w:r>
        <w:r>
          <w:rPr>
            <w:noProof/>
            <w:webHidden/>
          </w:rPr>
          <w:fldChar w:fldCharType="begin"/>
        </w:r>
        <w:r>
          <w:rPr>
            <w:noProof/>
            <w:webHidden/>
          </w:rPr>
          <w:instrText xml:space="preserve"> PAGEREF _Toc93936756 \h </w:instrText>
        </w:r>
        <w:r>
          <w:rPr>
            <w:noProof/>
            <w:webHidden/>
          </w:rPr>
        </w:r>
        <w:r>
          <w:rPr>
            <w:noProof/>
            <w:webHidden/>
          </w:rPr>
          <w:fldChar w:fldCharType="separate"/>
        </w:r>
        <w:r>
          <w:rPr>
            <w:noProof/>
            <w:webHidden/>
          </w:rPr>
          <w:t>9</w:t>
        </w:r>
        <w:r>
          <w:rPr>
            <w:noProof/>
            <w:webHidden/>
          </w:rPr>
          <w:fldChar w:fldCharType="end"/>
        </w:r>
      </w:hyperlink>
    </w:p>
    <w:p w14:paraId="14A7EDF5" w14:textId="77777777" w:rsidR="00F76B5E" w:rsidRDefault="0027102A">
      <w:pPr>
        <w:pStyle w:val="TOC1"/>
        <w:rPr>
          <w:rFonts w:asciiTheme="minorHAnsi" w:eastAsiaTheme="minorEastAsia" w:hAnsiTheme="minorHAnsi" w:cstheme="minorBidi"/>
          <w:noProof/>
          <w:szCs w:val="22"/>
        </w:rPr>
      </w:pPr>
      <w:hyperlink w:anchor="_Toc93936757" w:history="1">
        <w:r>
          <w:rPr>
            <w:rStyle w:val="ab"/>
            <w:noProof/>
          </w:rPr>
          <w:t>七、评估方法</w:t>
        </w:r>
        <w:r>
          <w:rPr>
            <w:noProof/>
            <w:webHidden/>
          </w:rPr>
          <w:tab/>
        </w:r>
        <w:r>
          <w:rPr>
            <w:noProof/>
            <w:webHidden/>
          </w:rPr>
          <w:fldChar w:fldCharType="begin"/>
        </w:r>
        <w:r>
          <w:rPr>
            <w:noProof/>
            <w:webHidden/>
          </w:rPr>
          <w:instrText xml:space="preserve"> PAGEREF _Toc93936757 \h </w:instrText>
        </w:r>
        <w:r>
          <w:rPr>
            <w:noProof/>
            <w:webHidden/>
          </w:rPr>
        </w:r>
        <w:r>
          <w:rPr>
            <w:noProof/>
            <w:webHidden/>
          </w:rPr>
          <w:fldChar w:fldCharType="separate"/>
        </w:r>
        <w:r>
          <w:rPr>
            <w:noProof/>
            <w:webHidden/>
          </w:rPr>
          <w:t>10</w:t>
        </w:r>
        <w:r>
          <w:rPr>
            <w:noProof/>
            <w:webHidden/>
          </w:rPr>
          <w:fldChar w:fldCharType="end"/>
        </w:r>
      </w:hyperlink>
    </w:p>
    <w:p w14:paraId="09609611" w14:textId="77777777" w:rsidR="00F76B5E" w:rsidRDefault="0027102A">
      <w:pPr>
        <w:pStyle w:val="TOC1"/>
        <w:rPr>
          <w:rFonts w:asciiTheme="minorHAnsi" w:eastAsiaTheme="minorEastAsia" w:hAnsiTheme="minorHAnsi" w:cstheme="minorBidi"/>
          <w:noProof/>
          <w:szCs w:val="22"/>
        </w:rPr>
      </w:pPr>
      <w:hyperlink w:anchor="_Toc93936758" w:history="1">
        <w:r>
          <w:rPr>
            <w:rStyle w:val="ab"/>
            <w:noProof/>
          </w:rPr>
          <w:t>八、评估程序实施过程和情况</w:t>
        </w:r>
        <w:r>
          <w:rPr>
            <w:noProof/>
            <w:webHidden/>
          </w:rPr>
          <w:tab/>
        </w:r>
        <w:r>
          <w:rPr>
            <w:noProof/>
            <w:webHidden/>
          </w:rPr>
          <w:fldChar w:fldCharType="begin"/>
        </w:r>
        <w:r>
          <w:rPr>
            <w:noProof/>
            <w:webHidden/>
          </w:rPr>
          <w:instrText xml:space="preserve"> PAGEREF _Toc93936758 \h </w:instrText>
        </w:r>
        <w:r>
          <w:rPr>
            <w:noProof/>
            <w:webHidden/>
          </w:rPr>
        </w:r>
        <w:r>
          <w:rPr>
            <w:noProof/>
            <w:webHidden/>
          </w:rPr>
          <w:fldChar w:fldCharType="separate"/>
        </w:r>
        <w:r>
          <w:rPr>
            <w:noProof/>
            <w:webHidden/>
          </w:rPr>
          <w:t>11</w:t>
        </w:r>
        <w:r>
          <w:rPr>
            <w:noProof/>
            <w:webHidden/>
          </w:rPr>
          <w:fldChar w:fldCharType="end"/>
        </w:r>
      </w:hyperlink>
    </w:p>
    <w:p w14:paraId="5969B748" w14:textId="77777777" w:rsidR="00F76B5E" w:rsidRDefault="0027102A">
      <w:pPr>
        <w:pStyle w:val="TOC1"/>
        <w:rPr>
          <w:rFonts w:asciiTheme="minorHAnsi" w:eastAsiaTheme="minorEastAsia" w:hAnsiTheme="minorHAnsi" w:cstheme="minorBidi"/>
          <w:noProof/>
          <w:szCs w:val="22"/>
        </w:rPr>
      </w:pPr>
      <w:hyperlink w:anchor="_Toc93936759" w:history="1">
        <w:r>
          <w:rPr>
            <w:rStyle w:val="ab"/>
            <w:noProof/>
          </w:rPr>
          <w:t>九、评估假设</w:t>
        </w:r>
        <w:r>
          <w:rPr>
            <w:noProof/>
            <w:webHidden/>
          </w:rPr>
          <w:tab/>
        </w:r>
        <w:r>
          <w:rPr>
            <w:noProof/>
            <w:webHidden/>
          </w:rPr>
          <w:fldChar w:fldCharType="begin"/>
        </w:r>
        <w:r>
          <w:rPr>
            <w:noProof/>
            <w:webHidden/>
          </w:rPr>
          <w:instrText xml:space="preserve"> PAGEREF _Toc93936759 \h </w:instrText>
        </w:r>
        <w:r>
          <w:rPr>
            <w:noProof/>
            <w:webHidden/>
          </w:rPr>
        </w:r>
        <w:r>
          <w:rPr>
            <w:noProof/>
            <w:webHidden/>
          </w:rPr>
          <w:fldChar w:fldCharType="separate"/>
        </w:r>
        <w:r>
          <w:rPr>
            <w:noProof/>
            <w:webHidden/>
          </w:rPr>
          <w:t>12</w:t>
        </w:r>
        <w:r>
          <w:rPr>
            <w:noProof/>
            <w:webHidden/>
          </w:rPr>
          <w:fldChar w:fldCharType="end"/>
        </w:r>
      </w:hyperlink>
    </w:p>
    <w:p w14:paraId="47A92C55" w14:textId="77777777" w:rsidR="00F76B5E" w:rsidRDefault="0027102A">
      <w:pPr>
        <w:pStyle w:val="TOC1"/>
        <w:rPr>
          <w:rFonts w:asciiTheme="minorHAnsi" w:eastAsiaTheme="minorEastAsia" w:hAnsiTheme="minorHAnsi" w:cstheme="minorBidi"/>
          <w:noProof/>
          <w:szCs w:val="22"/>
        </w:rPr>
      </w:pPr>
      <w:hyperlink w:anchor="_Toc93936760" w:history="1">
        <w:r>
          <w:rPr>
            <w:rStyle w:val="ab"/>
            <w:noProof/>
          </w:rPr>
          <w:t>十、评估结论</w:t>
        </w:r>
        <w:r>
          <w:rPr>
            <w:noProof/>
            <w:webHidden/>
          </w:rPr>
          <w:tab/>
        </w:r>
        <w:r>
          <w:rPr>
            <w:noProof/>
            <w:webHidden/>
          </w:rPr>
          <w:fldChar w:fldCharType="begin"/>
        </w:r>
        <w:r>
          <w:rPr>
            <w:noProof/>
            <w:webHidden/>
          </w:rPr>
          <w:instrText xml:space="preserve"> PAGEREF _Toc93936760 \h </w:instrText>
        </w:r>
        <w:r>
          <w:rPr>
            <w:noProof/>
            <w:webHidden/>
          </w:rPr>
        </w:r>
        <w:r>
          <w:rPr>
            <w:noProof/>
            <w:webHidden/>
          </w:rPr>
          <w:fldChar w:fldCharType="separate"/>
        </w:r>
        <w:r>
          <w:rPr>
            <w:noProof/>
            <w:webHidden/>
          </w:rPr>
          <w:t>13</w:t>
        </w:r>
        <w:r>
          <w:rPr>
            <w:noProof/>
            <w:webHidden/>
          </w:rPr>
          <w:fldChar w:fldCharType="end"/>
        </w:r>
      </w:hyperlink>
    </w:p>
    <w:p w14:paraId="4016974A" w14:textId="77777777" w:rsidR="00F76B5E" w:rsidRDefault="0027102A">
      <w:pPr>
        <w:pStyle w:val="TOC1"/>
        <w:rPr>
          <w:rFonts w:asciiTheme="minorHAnsi" w:eastAsiaTheme="minorEastAsia" w:hAnsiTheme="minorHAnsi" w:cstheme="minorBidi"/>
          <w:noProof/>
          <w:szCs w:val="22"/>
        </w:rPr>
      </w:pPr>
      <w:hyperlink w:anchor="_Toc93936761" w:history="1">
        <w:r>
          <w:rPr>
            <w:rStyle w:val="ab"/>
            <w:noProof/>
          </w:rPr>
          <w:t>十一、特别事项说明</w:t>
        </w:r>
        <w:r>
          <w:rPr>
            <w:noProof/>
            <w:webHidden/>
          </w:rPr>
          <w:tab/>
        </w:r>
        <w:r>
          <w:rPr>
            <w:noProof/>
            <w:webHidden/>
          </w:rPr>
          <w:fldChar w:fldCharType="begin"/>
        </w:r>
        <w:r>
          <w:rPr>
            <w:noProof/>
            <w:webHidden/>
          </w:rPr>
          <w:instrText xml:space="preserve"> PAGEREF _Toc93936761 \h </w:instrText>
        </w:r>
        <w:r>
          <w:rPr>
            <w:noProof/>
            <w:webHidden/>
          </w:rPr>
        </w:r>
        <w:r>
          <w:rPr>
            <w:noProof/>
            <w:webHidden/>
          </w:rPr>
          <w:fldChar w:fldCharType="separate"/>
        </w:r>
        <w:r>
          <w:rPr>
            <w:noProof/>
            <w:webHidden/>
          </w:rPr>
          <w:t>13</w:t>
        </w:r>
        <w:r>
          <w:rPr>
            <w:noProof/>
            <w:webHidden/>
          </w:rPr>
          <w:fldChar w:fldCharType="end"/>
        </w:r>
      </w:hyperlink>
    </w:p>
    <w:p w14:paraId="3DB6C6A1" w14:textId="77777777" w:rsidR="00F76B5E" w:rsidRDefault="0027102A">
      <w:pPr>
        <w:pStyle w:val="TOC1"/>
        <w:rPr>
          <w:rFonts w:asciiTheme="minorHAnsi" w:eastAsiaTheme="minorEastAsia" w:hAnsiTheme="minorHAnsi" w:cstheme="minorBidi"/>
          <w:noProof/>
          <w:szCs w:val="22"/>
        </w:rPr>
      </w:pPr>
      <w:hyperlink w:anchor="_Toc93936762" w:history="1">
        <w:r>
          <w:rPr>
            <w:rStyle w:val="ab"/>
            <w:noProof/>
          </w:rPr>
          <w:t>十二、评估报告使用限制说明</w:t>
        </w:r>
        <w:r>
          <w:rPr>
            <w:noProof/>
            <w:webHidden/>
          </w:rPr>
          <w:tab/>
        </w:r>
        <w:r>
          <w:rPr>
            <w:noProof/>
            <w:webHidden/>
          </w:rPr>
          <w:fldChar w:fldCharType="begin"/>
        </w:r>
        <w:r>
          <w:rPr>
            <w:noProof/>
            <w:webHidden/>
          </w:rPr>
          <w:instrText xml:space="preserve"> PAGEREF _Toc93936762 \h </w:instrText>
        </w:r>
        <w:r>
          <w:rPr>
            <w:noProof/>
            <w:webHidden/>
          </w:rPr>
        </w:r>
        <w:r>
          <w:rPr>
            <w:noProof/>
            <w:webHidden/>
          </w:rPr>
          <w:fldChar w:fldCharType="separate"/>
        </w:r>
        <w:r>
          <w:rPr>
            <w:noProof/>
            <w:webHidden/>
          </w:rPr>
          <w:t>14</w:t>
        </w:r>
        <w:r>
          <w:rPr>
            <w:noProof/>
            <w:webHidden/>
          </w:rPr>
          <w:fldChar w:fldCharType="end"/>
        </w:r>
      </w:hyperlink>
    </w:p>
    <w:p w14:paraId="27EED2AD" w14:textId="77777777" w:rsidR="00F76B5E" w:rsidRDefault="0027102A">
      <w:pPr>
        <w:pStyle w:val="TOC1"/>
        <w:rPr>
          <w:rFonts w:asciiTheme="minorHAnsi" w:eastAsiaTheme="minorEastAsia" w:hAnsiTheme="minorHAnsi" w:cstheme="minorBidi"/>
          <w:noProof/>
          <w:szCs w:val="22"/>
        </w:rPr>
      </w:pPr>
      <w:hyperlink w:anchor="_Toc93936763" w:history="1">
        <w:r>
          <w:rPr>
            <w:rStyle w:val="ab"/>
            <w:noProof/>
          </w:rPr>
          <w:t>十三、评估报告日</w:t>
        </w:r>
        <w:r>
          <w:rPr>
            <w:noProof/>
            <w:webHidden/>
          </w:rPr>
          <w:tab/>
        </w:r>
        <w:r>
          <w:rPr>
            <w:noProof/>
            <w:webHidden/>
          </w:rPr>
          <w:fldChar w:fldCharType="begin"/>
        </w:r>
        <w:r>
          <w:rPr>
            <w:noProof/>
            <w:webHidden/>
          </w:rPr>
          <w:instrText xml:space="preserve"> PAGEREF _T</w:instrText>
        </w:r>
        <w:r>
          <w:rPr>
            <w:noProof/>
            <w:webHidden/>
          </w:rPr>
          <w:instrText xml:space="preserve">oc93936763 \h </w:instrText>
        </w:r>
        <w:r>
          <w:rPr>
            <w:noProof/>
            <w:webHidden/>
          </w:rPr>
        </w:r>
        <w:r>
          <w:rPr>
            <w:noProof/>
            <w:webHidden/>
          </w:rPr>
          <w:fldChar w:fldCharType="separate"/>
        </w:r>
        <w:r>
          <w:rPr>
            <w:noProof/>
            <w:webHidden/>
          </w:rPr>
          <w:t>15</w:t>
        </w:r>
        <w:r>
          <w:rPr>
            <w:noProof/>
            <w:webHidden/>
          </w:rPr>
          <w:fldChar w:fldCharType="end"/>
        </w:r>
      </w:hyperlink>
    </w:p>
    <w:p w14:paraId="1014F591" w14:textId="77777777" w:rsidR="00F76B5E" w:rsidRDefault="0027102A">
      <w:pPr>
        <w:pStyle w:val="TOC1"/>
        <w:rPr>
          <w:rFonts w:asciiTheme="minorHAnsi" w:eastAsiaTheme="minorEastAsia" w:hAnsiTheme="minorHAnsi" w:cstheme="minorBidi"/>
          <w:noProof/>
          <w:szCs w:val="22"/>
        </w:rPr>
      </w:pPr>
      <w:hyperlink w:anchor="_Toc93936764" w:history="1">
        <w:r>
          <w:rPr>
            <w:rStyle w:val="ab"/>
            <w:noProof/>
          </w:rPr>
          <w:t>评估报告附件</w:t>
        </w:r>
        <w:r>
          <w:rPr>
            <w:noProof/>
            <w:webHidden/>
          </w:rPr>
          <w:tab/>
        </w:r>
        <w:r>
          <w:rPr>
            <w:noProof/>
            <w:webHidden/>
          </w:rPr>
          <w:fldChar w:fldCharType="begin"/>
        </w:r>
        <w:r>
          <w:rPr>
            <w:noProof/>
            <w:webHidden/>
          </w:rPr>
          <w:instrText xml:space="preserve"> PAGEREF _Toc93936764 \h </w:instrText>
        </w:r>
        <w:r>
          <w:rPr>
            <w:noProof/>
            <w:webHidden/>
          </w:rPr>
        </w:r>
        <w:r>
          <w:rPr>
            <w:noProof/>
            <w:webHidden/>
          </w:rPr>
          <w:fldChar w:fldCharType="separate"/>
        </w:r>
        <w:r>
          <w:rPr>
            <w:noProof/>
            <w:webHidden/>
          </w:rPr>
          <w:t>16</w:t>
        </w:r>
        <w:r>
          <w:rPr>
            <w:noProof/>
            <w:webHidden/>
          </w:rPr>
          <w:fldChar w:fldCharType="end"/>
        </w:r>
      </w:hyperlink>
    </w:p>
    <w:p w14:paraId="0F1D706E" w14:textId="77777777" w:rsidR="00F76B5E" w:rsidRDefault="0027102A">
      <w:pPr>
        <w:adjustRightInd w:val="0"/>
        <w:snapToGrid w:val="0"/>
        <w:spacing w:line="360" w:lineRule="auto"/>
        <w:rPr>
          <w:color w:val="000000"/>
        </w:rPr>
      </w:pPr>
      <w:r>
        <w:rPr>
          <w:rFonts w:ascii="宋体" w:hAnsi="宋体"/>
          <w:color w:val="000000"/>
        </w:rPr>
        <w:fldChar w:fldCharType="end"/>
      </w:r>
    </w:p>
    <w:p w14:paraId="776EDAA3" w14:textId="77777777" w:rsidR="00F76B5E" w:rsidRDefault="0027102A">
      <w:pPr>
        <w:pStyle w:val="ac"/>
        <w:snapToGrid w:val="0"/>
        <w:spacing w:before="0" w:after="0" w:line="360" w:lineRule="auto"/>
        <w:rPr>
          <w:sz w:val="44"/>
          <w:szCs w:val="44"/>
        </w:rPr>
      </w:pPr>
      <w:r>
        <w:rPr>
          <w:rFonts w:ascii="宋体" w:hAnsi="宋体"/>
        </w:rPr>
        <w:br w:type="page"/>
      </w:r>
      <w:bookmarkStart w:id="2" w:name="_Toc205618349"/>
      <w:bookmarkStart w:id="3" w:name="_Toc447125207"/>
      <w:bookmarkStart w:id="4" w:name="_Toc501636005"/>
      <w:bookmarkStart w:id="5" w:name="_Toc93936749"/>
      <w:r>
        <w:rPr>
          <w:rFonts w:hint="eastAsia"/>
          <w:sz w:val="44"/>
          <w:szCs w:val="44"/>
        </w:rPr>
        <w:lastRenderedPageBreak/>
        <w:t>资产评估报告</w:t>
      </w:r>
      <w:r>
        <w:rPr>
          <w:sz w:val="44"/>
          <w:szCs w:val="44"/>
        </w:rPr>
        <w:t>声明</w:t>
      </w:r>
      <w:bookmarkEnd w:id="2"/>
      <w:bookmarkEnd w:id="3"/>
      <w:bookmarkEnd w:id="4"/>
      <w:bookmarkEnd w:id="5"/>
    </w:p>
    <w:p w14:paraId="72C6A5A2" w14:textId="77777777" w:rsidR="00F76B5E" w:rsidRDefault="00F76B5E">
      <w:pPr>
        <w:snapToGrid w:val="0"/>
        <w:spacing w:line="360" w:lineRule="auto"/>
        <w:jc w:val="center"/>
        <w:rPr>
          <w:color w:val="000000"/>
          <w:sz w:val="36"/>
          <w:szCs w:val="36"/>
        </w:rPr>
      </w:pPr>
    </w:p>
    <w:p w14:paraId="49CD32F5" w14:textId="77777777" w:rsidR="00F76B5E" w:rsidRDefault="0027102A">
      <w:pPr>
        <w:snapToGrid w:val="0"/>
        <w:spacing w:beforeLines="50" w:before="156" w:line="360" w:lineRule="auto"/>
        <w:ind w:firstLineChars="200" w:firstLine="480"/>
        <w:rPr>
          <w:rFonts w:ascii="宋体" w:hAnsi="宋体"/>
          <w:color w:val="000000"/>
          <w:sz w:val="24"/>
          <w:szCs w:val="24"/>
        </w:rPr>
      </w:pPr>
      <w:r>
        <w:rPr>
          <w:rFonts w:ascii="宋体" w:hAnsi="宋体" w:hint="eastAsia"/>
          <w:color w:val="000000"/>
          <w:sz w:val="24"/>
          <w:szCs w:val="24"/>
        </w:rPr>
        <w:t>一、</w:t>
      </w:r>
      <w:proofErr w:type="gramStart"/>
      <w:r>
        <w:rPr>
          <w:rFonts w:ascii="宋体" w:hAnsi="宋体" w:hint="eastAsia"/>
          <w:color w:val="000000"/>
          <w:sz w:val="24"/>
          <w:szCs w:val="24"/>
        </w:rPr>
        <w:t>本资产</w:t>
      </w:r>
      <w:proofErr w:type="gramEnd"/>
      <w:r>
        <w:rPr>
          <w:rFonts w:ascii="宋体" w:hAnsi="宋体" w:hint="eastAsia"/>
          <w:color w:val="000000"/>
          <w:sz w:val="24"/>
          <w:szCs w:val="24"/>
        </w:rPr>
        <w:t>评估报告依据财政部发布的资产评估基本准则和中国资产评估协会发布的资产评估执业准则和职业道德准则编制。</w:t>
      </w:r>
    </w:p>
    <w:p w14:paraId="6028CBA0" w14:textId="77777777" w:rsidR="00F76B5E" w:rsidRDefault="0027102A">
      <w:pPr>
        <w:snapToGrid w:val="0"/>
        <w:spacing w:beforeLines="50" w:before="156" w:line="360" w:lineRule="auto"/>
        <w:ind w:firstLineChars="200" w:firstLine="480"/>
        <w:rPr>
          <w:rFonts w:ascii="宋体" w:hAnsi="宋体"/>
          <w:color w:val="000000"/>
          <w:sz w:val="24"/>
          <w:szCs w:val="24"/>
        </w:rPr>
      </w:pPr>
      <w:r>
        <w:rPr>
          <w:rFonts w:ascii="宋体" w:hAnsi="宋体" w:hint="eastAsia"/>
          <w:color w:val="000000"/>
          <w:sz w:val="24"/>
          <w:szCs w:val="24"/>
        </w:rPr>
        <w:t>二、</w:t>
      </w:r>
      <w:proofErr w:type="gramStart"/>
      <w:r>
        <w:rPr>
          <w:rFonts w:ascii="宋体" w:hAnsi="宋体" w:hint="eastAsia"/>
          <w:color w:val="000000"/>
          <w:sz w:val="24"/>
          <w:szCs w:val="24"/>
        </w:rPr>
        <w:t>本资产</w:t>
      </w:r>
      <w:proofErr w:type="gramEnd"/>
      <w:r>
        <w:rPr>
          <w:rFonts w:ascii="宋体" w:hAnsi="宋体" w:hint="eastAsia"/>
          <w:color w:val="000000"/>
          <w:sz w:val="24"/>
          <w:szCs w:val="24"/>
        </w:rPr>
        <w:t>评估机构及资产评估师遵守法律、行政法规和资产评估准则与委托人签订的《资产评估委托合同》的相关约定，恪守独立、客观和公正的原则；根据我们在执业过程中收集的资料，评估报告陈述的内容是客观的，并对评估结论合理性承担相应的法律责任。</w:t>
      </w:r>
    </w:p>
    <w:p w14:paraId="1818A52D" w14:textId="77777777" w:rsidR="00F76B5E" w:rsidRDefault="0027102A">
      <w:pPr>
        <w:snapToGrid w:val="0"/>
        <w:spacing w:beforeLines="50" w:before="156" w:line="360" w:lineRule="auto"/>
        <w:ind w:firstLineChars="200" w:firstLine="480"/>
        <w:rPr>
          <w:rFonts w:ascii="宋体" w:hAnsi="宋体"/>
          <w:color w:val="000000"/>
          <w:sz w:val="24"/>
          <w:szCs w:val="24"/>
        </w:rPr>
      </w:pPr>
      <w:r>
        <w:rPr>
          <w:rFonts w:ascii="宋体" w:hAnsi="宋体" w:hint="eastAsia"/>
          <w:color w:val="000000"/>
          <w:sz w:val="24"/>
          <w:szCs w:val="24"/>
        </w:rPr>
        <w:t>三、评估对象和评估范围所涉及的有关经济主体的资产法律权属资料等均由委托人、被评估企业及其有关经济主体（以下统称“资料提供者”）申报或提供并经其签名、盖章或其他法律允许的其他方</w:t>
      </w:r>
      <w:r>
        <w:rPr>
          <w:rFonts w:ascii="宋体" w:hAnsi="宋体" w:hint="eastAsia"/>
          <w:color w:val="000000"/>
          <w:sz w:val="24"/>
          <w:szCs w:val="24"/>
        </w:rPr>
        <w:t>式确认；</w:t>
      </w:r>
      <w:proofErr w:type="gramStart"/>
      <w:r>
        <w:rPr>
          <w:rFonts w:ascii="宋体" w:hAnsi="宋体" w:hint="eastAsia"/>
          <w:color w:val="000000"/>
          <w:sz w:val="24"/>
          <w:szCs w:val="24"/>
        </w:rPr>
        <w:t>本资产</w:t>
      </w:r>
      <w:proofErr w:type="gramEnd"/>
      <w:r>
        <w:rPr>
          <w:rFonts w:ascii="宋体" w:hAnsi="宋体" w:hint="eastAsia"/>
          <w:color w:val="000000"/>
          <w:sz w:val="24"/>
          <w:szCs w:val="24"/>
        </w:rPr>
        <w:t>评估机构及资产评估</w:t>
      </w:r>
      <w:proofErr w:type="gramStart"/>
      <w:r>
        <w:rPr>
          <w:rFonts w:ascii="宋体" w:hAnsi="宋体" w:hint="eastAsia"/>
          <w:color w:val="000000"/>
          <w:sz w:val="24"/>
          <w:szCs w:val="24"/>
        </w:rPr>
        <w:t>师形成</w:t>
      </w:r>
      <w:proofErr w:type="gramEnd"/>
      <w:r>
        <w:rPr>
          <w:rFonts w:ascii="宋体" w:hAnsi="宋体" w:hint="eastAsia"/>
          <w:color w:val="000000"/>
          <w:sz w:val="24"/>
          <w:szCs w:val="24"/>
        </w:rPr>
        <w:t>的专业意见和评估报告在很大程度上依赖资料提供者所提供的资料，该等资料之真实性、合法性、完整性和有效性是资料提供者的责任，恰当使用评估报告是委托人和相关当事方的责任。</w:t>
      </w:r>
    </w:p>
    <w:p w14:paraId="04855FFB" w14:textId="77777777" w:rsidR="00F76B5E" w:rsidRDefault="0027102A">
      <w:pPr>
        <w:snapToGrid w:val="0"/>
        <w:spacing w:beforeLines="50" w:before="156" w:line="360" w:lineRule="auto"/>
        <w:ind w:firstLineChars="200" w:firstLine="480"/>
        <w:rPr>
          <w:rFonts w:ascii="宋体" w:hAnsi="宋体"/>
          <w:color w:val="000000"/>
          <w:sz w:val="24"/>
          <w:szCs w:val="24"/>
        </w:rPr>
      </w:pPr>
      <w:r>
        <w:rPr>
          <w:rFonts w:ascii="宋体" w:hAnsi="宋体" w:hint="eastAsia"/>
          <w:color w:val="000000"/>
          <w:sz w:val="24"/>
          <w:szCs w:val="24"/>
        </w:rPr>
        <w:t>四、除按照资产评估机构与委托人签订的《资产评估委托合同》收取约定的评估服务费用外，我们与评估报告中的评估对象没有现存或者预期的利益关系；与相关当事方没有现存或者预期的利益关系，对相关当事方不存在偏见。</w:t>
      </w:r>
    </w:p>
    <w:p w14:paraId="0BBFCF3E" w14:textId="77777777" w:rsidR="00F76B5E" w:rsidRDefault="0027102A">
      <w:pPr>
        <w:snapToGrid w:val="0"/>
        <w:spacing w:beforeLines="50" w:before="156" w:line="360" w:lineRule="auto"/>
        <w:ind w:firstLineChars="200" w:firstLine="480"/>
        <w:rPr>
          <w:rFonts w:ascii="宋体" w:hAnsi="宋体"/>
          <w:color w:val="000000"/>
          <w:sz w:val="24"/>
          <w:szCs w:val="24"/>
        </w:rPr>
      </w:pPr>
      <w:r>
        <w:rPr>
          <w:rFonts w:ascii="宋体" w:hAnsi="宋体" w:hint="eastAsia"/>
          <w:color w:val="000000"/>
          <w:sz w:val="24"/>
          <w:szCs w:val="24"/>
        </w:rPr>
        <w:t>五、资产评估师已经对资产评估报告中的评估对象及其所涉及资产进行现场调查；已经对评估对象及其所涉及资产的法律</w:t>
      </w:r>
      <w:r>
        <w:rPr>
          <w:rFonts w:ascii="宋体" w:hAnsi="宋体" w:hint="eastAsia"/>
          <w:color w:val="000000"/>
          <w:sz w:val="24"/>
          <w:szCs w:val="24"/>
        </w:rPr>
        <w:t>权属状况给予必要的关注，对评估对象及其所涉及资产的法律权属资料进行了查验，对已经发现的问题进行了如实披露，并且已提请委托人及其他相关当事人完善产权以满足出具资产评估报告的要求；对评估对象及其所涉及的相关资产之法律权属确认或发表意见超出资产评估师执业范围和能力，因此，我们不对评估对象及其所涉及的相关资产的法律权属提供任何保证。</w:t>
      </w:r>
    </w:p>
    <w:p w14:paraId="587E33B2" w14:textId="77777777" w:rsidR="00F76B5E" w:rsidRDefault="0027102A">
      <w:pPr>
        <w:snapToGrid w:val="0"/>
        <w:spacing w:beforeLines="50" w:before="156" w:line="360" w:lineRule="auto"/>
        <w:ind w:firstLineChars="200" w:firstLine="480"/>
        <w:rPr>
          <w:rFonts w:ascii="宋体" w:hAnsi="宋体"/>
          <w:color w:val="000000"/>
          <w:sz w:val="24"/>
          <w:szCs w:val="24"/>
        </w:rPr>
      </w:pPr>
      <w:r>
        <w:rPr>
          <w:rFonts w:ascii="宋体" w:hAnsi="宋体" w:hint="eastAsia"/>
          <w:color w:val="000000"/>
          <w:sz w:val="24"/>
          <w:szCs w:val="24"/>
        </w:rPr>
        <w:t>六、</w:t>
      </w:r>
      <w:proofErr w:type="gramStart"/>
      <w:r>
        <w:rPr>
          <w:rFonts w:ascii="宋体" w:hAnsi="宋体" w:hint="eastAsia"/>
          <w:color w:val="000000"/>
          <w:sz w:val="24"/>
          <w:szCs w:val="24"/>
        </w:rPr>
        <w:t>本资产</w:t>
      </w:r>
      <w:proofErr w:type="gramEnd"/>
      <w:r>
        <w:rPr>
          <w:rFonts w:ascii="宋体" w:hAnsi="宋体" w:hint="eastAsia"/>
          <w:color w:val="000000"/>
          <w:sz w:val="24"/>
          <w:szCs w:val="24"/>
        </w:rPr>
        <w:t>评估机构出具的资产评估报告中的分析、判断和结果受资产评估报告中假设和限制条件的限制，资产评估报告使用人应当充分考虑资产评估报告中载明的假设、限制条件、特别事项说明及其对评估结</w:t>
      </w:r>
      <w:r>
        <w:rPr>
          <w:rFonts w:ascii="宋体" w:hAnsi="宋体" w:hint="eastAsia"/>
          <w:color w:val="000000"/>
          <w:sz w:val="24"/>
          <w:szCs w:val="24"/>
        </w:rPr>
        <w:t>论的影响。</w:t>
      </w:r>
    </w:p>
    <w:p w14:paraId="7C921A03" w14:textId="77777777" w:rsidR="00F76B5E" w:rsidRDefault="0027102A">
      <w:pPr>
        <w:snapToGrid w:val="0"/>
        <w:spacing w:beforeLines="50" w:before="156" w:line="360" w:lineRule="auto"/>
        <w:ind w:firstLineChars="200" w:firstLine="480"/>
        <w:rPr>
          <w:rFonts w:ascii="宋体" w:hAnsi="宋体"/>
          <w:color w:val="000000"/>
          <w:sz w:val="24"/>
          <w:szCs w:val="24"/>
        </w:rPr>
      </w:pPr>
      <w:r>
        <w:rPr>
          <w:rFonts w:ascii="宋体" w:hAnsi="宋体" w:hint="eastAsia"/>
          <w:color w:val="000000"/>
          <w:sz w:val="24"/>
          <w:szCs w:val="24"/>
        </w:rPr>
        <w:lastRenderedPageBreak/>
        <w:t>七、委托人或者其他资产评估报告使用人应当按照法律、行政法规规定及</w:t>
      </w:r>
      <w:proofErr w:type="gramStart"/>
      <w:r>
        <w:rPr>
          <w:rFonts w:ascii="宋体" w:hAnsi="宋体" w:hint="eastAsia"/>
          <w:color w:val="000000"/>
          <w:sz w:val="24"/>
          <w:szCs w:val="24"/>
        </w:rPr>
        <w:t>本资产</w:t>
      </w:r>
      <w:proofErr w:type="gramEnd"/>
      <w:r>
        <w:rPr>
          <w:rFonts w:ascii="宋体" w:hAnsi="宋体" w:hint="eastAsia"/>
          <w:color w:val="000000"/>
          <w:sz w:val="24"/>
          <w:szCs w:val="24"/>
        </w:rPr>
        <w:t>评估报告载明的使用范围使用资产评估报告；委托人或者其他资产评估报告使用人违反前述规定使用资产评估报告的，</w:t>
      </w:r>
      <w:proofErr w:type="gramStart"/>
      <w:r>
        <w:rPr>
          <w:rFonts w:ascii="宋体" w:hAnsi="宋体" w:hint="eastAsia"/>
          <w:color w:val="000000"/>
          <w:sz w:val="24"/>
          <w:szCs w:val="24"/>
        </w:rPr>
        <w:t>本资产</w:t>
      </w:r>
      <w:proofErr w:type="gramEnd"/>
      <w:r>
        <w:rPr>
          <w:rFonts w:ascii="宋体" w:hAnsi="宋体" w:hint="eastAsia"/>
          <w:color w:val="000000"/>
          <w:sz w:val="24"/>
          <w:szCs w:val="24"/>
        </w:rPr>
        <w:t>评估机构及资产评估师不承担责任。</w:t>
      </w:r>
      <w:r>
        <w:rPr>
          <w:rFonts w:ascii="宋体" w:hAnsi="宋体" w:hint="eastAsia"/>
          <w:color w:val="000000"/>
          <w:sz w:val="24"/>
          <w:szCs w:val="24"/>
        </w:rPr>
        <w:t xml:space="preserve"> </w:t>
      </w:r>
      <w:proofErr w:type="gramStart"/>
      <w:r>
        <w:rPr>
          <w:rFonts w:ascii="宋体" w:hAnsi="宋体" w:hint="eastAsia"/>
          <w:color w:val="000000"/>
          <w:sz w:val="24"/>
          <w:szCs w:val="24"/>
        </w:rPr>
        <w:t>本资产</w:t>
      </w:r>
      <w:proofErr w:type="gramEnd"/>
      <w:r>
        <w:rPr>
          <w:rFonts w:ascii="宋体" w:hAnsi="宋体" w:hint="eastAsia"/>
          <w:color w:val="000000"/>
          <w:sz w:val="24"/>
          <w:szCs w:val="24"/>
        </w:rPr>
        <w:t>评估报告仅供委托人、资产评估委托合同中约定的其他资产评估报告使用人和法律、行政法规规定的资产评估报告使用人使用；除此之外，其他任何机构和个人不能成为资产评估报告的使用人。</w:t>
      </w:r>
    </w:p>
    <w:p w14:paraId="0BFCE9F1" w14:textId="77777777" w:rsidR="00F76B5E" w:rsidRDefault="0027102A">
      <w:pPr>
        <w:snapToGrid w:val="0"/>
        <w:spacing w:beforeLines="50" w:before="156" w:line="360" w:lineRule="auto"/>
        <w:ind w:firstLineChars="200" w:firstLine="480"/>
        <w:rPr>
          <w:rFonts w:ascii="宋体" w:hAnsi="宋体"/>
          <w:color w:val="000000"/>
          <w:sz w:val="24"/>
          <w:szCs w:val="24"/>
        </w:rPr>
      </w:pPr>
      <w:r>
        <w:rPr>
          <w:rFonts w:ascii="宋体" w:hAnsi="宋体" w:hint="eastAsia"/>
          <w:color w:val="000000"/>
          <w:sz w:val="24"/>
          <w:szCs w:val="24"/>
        </w:rPr>
        <w:t>八、</w:t>
      </w:r>
      <w:proofErr w:type="gramStart"/>
      <w:r>
        <w:rPr>
          <w:rFonts w:ascii="宋体" w:hAnsi="宋体" w:hint="eastAsia"/>
          <w:color w:val="000000"/>
          <w:sz w:val="24"/>
          <w:szCs w:val="24"/>
        </w:rPr>
        <w:t>本资产</w:t>
      </w:r>
      <w:proofErr w:type="gramEnd"/>
      <w:r>
        <w:rPr>
          <w:rFonts w:ascii="宋体" w:hAnsi="宋体" w:hint="eastAsia"/>
          <w:color w:val="000000"/>
          <w:sz w:val="24"/>
          <w:szCs w:val="24"/>
        </w:rPr>
        <w:t>评估机构及资产评估师提示资产评估报告使用人应当正确理解评估结论，评估结论不等同于评估对象可实现价格</w:t>
      </w:r>
      <w:r>
        <w:rPr>
          <w:rFonts w:ascii="宋体" w:hAnsi="宋体" w:hint="eastAsia"/>
          <w:color w:val="000000"/>
          <w:sz w:val="24"/>
          <w:szCs w:val="24"/>
        </w:rPr>
        <w:t>，评估结论不应当被认为是对评估对象可实现价格的保证；</w:t>
      </w:r>
      <w:r>
        <w:rPr>
          <w:rFonts w:ascii="宋体" w:hAnsi="宋体" w:hint="eastAsia"/>
          <w:color w:val="000000"/>
          <w:sz w:val="24"/>
          <w:szCs w:val="24"/>
        </w:rPr>
        <w:t xml:space="preserve"> </w:t>
      </w:r>
      <w:r>
        <w:rPr>
          <w:rFonts w:ascii="宋体" w:hAnsi="宋体" w:hint="eastAsia"/>
          <w:color w:val="000000"/>
          <w:sz w:val="24"/>
          <w:szCs w:val="24"/>
        </w:rPr>
        <w:t>资产评估</w:t>
      </w:r>
      <w:proofErr w:type="gramStart"/>
      <w:r>
        <w:rPr>
          <w:rFonts w:ascii="宋体" w:hAnsi="宋体" w:hint="eastAsia"/>
          <w:color w:val="000000"/>
          <w:sz w:val="24"/>
          <w:szCs w:val="24"/>
        </w:rPr>
        <w:t>师执行</w:t>
      </w:r>
      <w:proofErr w:type="gramEnd"/>
      <w:r>
        <w:rPr>
          <w:rFonts w:ascii="宋体" w:hAnsi="宋体" w:hint="eastAsia"/>
          <w:color w:val="000000"/>
          <w:sz w:val="24"/>
          <w:szCs w:val="24"/>
        </w:rPr>
        <w:t>资产评估业务的目的是对评估对象价值进行估算并发表专业意见，并不承担相关当事人决策的责任。</w:t>
      </w:r>
    </w:p>
    <w:p w14:paraId="00A777FB" w14:textId="77777777" w:rsidR="00F76B5E" w:rsidRDefault="0027102A">
      <w:pPr>
        <w:snapToGrid w:val="0"/>
        <w:spacing w:beforeLines="50" w:before="156" w:line="360" w:lineRule="auto"/>
        <w:ind w:firstLineChars="200" w:firstLine="480"/>
        <w:rPr>
          <w:rFonts w:ascii="宋体" w:hAnsi="宋体"/>
          <w:color w:val="000000"/>
          <w:sz w:val="24"/>
          <w:szCs w:val="24"/>
        </w:rPr>
      </w:pPr>
      <w:r>
        <w:rPr>
          <w:rFonts w:ascii="宋体" w:hAnsi="宋体" w:hint="eastAsia"/>
          <w:color w:val="000000"/>
          <w:sz w:val="24"/>
          <w:szCs w:val="24"/>
        </w:rPr>
        <w:t>九、评估结论仅在评估报告载明的评估基准日有效。评估报告使用者应当根据评估基准日后的资产状况和市场变化情况合理确定评估报告使用期限。</w:t>
      </w:r>
    </w:p>
    <w:p w14:paraId="33B278DA" w14:textId="77777777" w:rsidR="00F76B5E" w:rsidRDefault="0027102A">
      <w:pPr>
        <w:snapToGrid w:val="0"/>
        <w:spacing w:beforeLines="50" w:before="156" w:line="360" w:lineRule="auto"/>
        <w:ind w:firstLineChars="200" w:firstLine="480"/>
        <w:rPr>
          <w:rFonts w:ascii="宋体" w:hAnsi="宋体"/>
          <w:color w:val="000000"/>
          <w:sz w:val="24"/>
          <w:szCs w:val="24"/>
        </w:rPr>
      </w:pPr>
      <w:r>
        <w:rPr>
          <w:rFonts w:ascii="宋体" w:hAnsi="宋体" w:hint="eastAsia"/>
          <w:color w:val="000000"/>
          <w:sz w:val="24"/>
          <w:szCs w:val="24"/>
        </w:rPr>
        <w:t>十、资产评估师及其所在评估机构具备本评估业务所需的执业资质及相关专业评估经验。除已在评估报告中披露的运用评估机构或专家的工作外，评估过程中没有运用其他评估机构或专家的工作成果。</w:t>
      </w:r>
    </w:p>
    <w:p w14:paraId="60D32487" w14:textId="77777777" w:rsidR="00F76B5E" w:rsidRDefault="0027102A">
      <w:pPr>
        <w:snapToGrid w:val="0"/>
        <w:spacing w:beforeLines="50" w:before="156" w:line="360" w:lineRule="auto"/>
        <w:ind w:firstLineChars="200" w:firstLine="480"/>
        <w:rPr>
          <w:rFonts w:ascii="宋体" w:hAnsi="宋体"/>
          <w:color w:val="000000"/>
          <w:sz w:val="24"/>
          <w:szCs w:val="24"/>
        </w:rPr>
      </w:pPr>
      <w:r>
        <w:rPr>
          <w:rFonts w:ascii="宋体" w:hAnsi="宋体" w:hint="eastAsia"/>
          <w:color w:val="000000"/>
          <w:sz w:val="24"/>
          <w:szCs w:val="24"/>
        </w:rPr>
        <w:t>十一、评估报告的使用仅限于评估报告中载明的评</w:t>
      </w:r>
      <w:r>
        <w:rPr>
          <w:rFonts w:ascii="宋体" w:hAnsi="宋体" w:hint="eastAsia"/>
          <w:color w:val="000000"/>
          <w:sz w:val="24"/>
          <w:szCs w:val="24"/>
        </w:rPr>
        <w:t>估目的，因使用不当造成的后果与签字资产评估师及其所在评估机构无关。</w:t>
      </w:r>
    </w:p>
    <w:p w14:paraId="1F2D3283" w14:textId="77777777" w:rsidR="00F76B5E" w:rsidRDefault="0027102A">
      <w:pPr>
        <w:snapToGrid w:val="0"/>
        <w:spacing w:line="360" w:lineRule="auto"/>
        <w:ind w:firstLine="482"/>
        <w:jc w:val="center"/>
        <w:rPr>
          <w:rFonts w:ascii="宋体" w:hAnsi="宋体"/>
          <w:b/>
          <w:bCs/>
          <w:color w:val="000000"/>
          <w:sz w:val="44"/>
          <w:szCs w:val="44"/>
        </w:rPr>
      </w:pPr>
      <w:r>
        <w:rPr>
          <w:sz w:val="24"/>
          <w:szCs w:val="24"/>
        </w:rPr>
        <w:br w:type="page"/>
      </w:r>
      <w:bookmarkStart w:id="6" w:name="_Toc447125208"/>
      <w:bookmarkStart w:id="7" w:name="_Toc502866367"/>
      <w:bookmarkEnd w:id="6"/>
      <w:bookmarkEnd w:id="7"/>
      <w:r>
        <w:rPr>
          <w:rFonts w:ascii="宋体" w:hAnsi="宋体" w:hint="eastAsia"/>
          <w:b/>
          <w:bCs/>
          <w:color w:val="000000"/>
          <w:sz w:val="44"/>
          <w:szCs w:val="44"/>
        </w:rPr>
        <w:lastRenderedPageBreak/>
        <w:t>广东省东莞市第一人民法院拟拍卖</w:t>
      </w:r>
    </w:p>
    <w:p w14:paraId="23F7971F" w14:textId="77777777" w:rsidR="00F76B5E" w:rsidRDefault="0027102A">
      <w:pPr>
        <w:snapToGrid w:val="0"/>
        <w:spacing w:line="360" w:lineRule="auto"/>
        <w:ind w:firstLine="482"/>
        <w:jc w:val="center"/>
        <w:rPr>
          <w:rFonts w:ascii="宋体" w:hAnsi="宋体"/>
          <w:b/>
          <w:bCs/>
          <w:color w:val="000000"/>
          <w:sz w:val="44"/>
          <w:szCs w:val="44"/>
        </w:rPr>
      </w:pPr>
      <w:r>
        <w:rPr>
          <w:rFonts w:ascii="宋体" w:hAnsi="宋体" w:hint="eastAsia"/>
          <w:b/>
          <w:bCs/>
          <w:color w:val="000000"/>
          <w:sz w:val="44"/>
          <w:szCs w:val="44"/>
        </w:rPr>
        <w:t>所涉及的查封（扣押）资产市场价值</w:t>
      </w:r>
    </w:p>
    <w:p w14:paraId="6C6D3755" w14:textId="77777777" w:rsidR="00F76B5E" w:rsidRDefault="0027102A">
      <w:pPr>
        <w:snapToGrid w:val="0"/>
        <w:spacing w:line="360" w:lineRule="auto"/>
        <w:ind w:firstLine="482"/>
        <w:jc w:val="center"/>
        <w:rPr>
          <w:sz w:val="36"/>
          <w:szCs w:val="36"/>
        </w:rPr>
      </w:pPr>
      <w:r>
        <w:rPr>
          <w:sz w:val="36"/>
          <w:szCs w:val="36"/>
        </w:rPr>
        <w:t>资产评估报告摘要</w:t>
      </w:r>
    </w:p>
    <w:p w14:paraId="34F0A520" w14:textId="77777777" w:rsidR="00F76B5E" w:rsidRDefault="0027102A">
      <w:pPr>
        <w:snapToGrid w:val="0"/>
        <w:spacing w:line="360" w:lineRule="auto"/>
        <w:jc w:val="center"/>
        <w:rPr>
          <w:rFonts w:ascii="宋体" w:hAnsi="宋体"/>
          <w:b/>
          <w:color w:val="000000"/>
          <w:spacing w:val="30"/>
          <w:szCs w:val="21"/>
        </w:rPr>
      </w:pPr>
      <w:r>
        <w:rPr>
          <w:rFonts w:ascii="宋体" w:hAnsi="宋体"/>
          <w:b/>
          <w:color w:val="000000"/>
          <w:spacing w:val="30"/>
          <w:szCs w:val="21"/>
        </w:rPr>
        <w:t>信成</w:t>
      </w:r>
      <w:proofErr w:type="gramStart"/>
      <w:r>
        <w:rPr>
          <w:rFonts w:ascii="宋体" w:hAnsi="宋体"/>
          <w:b/>
          <w:color w:val="000000"/>
          <w:spacing w:val="30"/>
          <w:szCs w:val="21"/>
        </w:rPr>
        <w:t>评报资字</w:t>
      </w:r>
      <w:proofErr w:type="gramEnd"/>
      <w:r>
        <w:rPr>
          <w:rFonts w:ascii="宋体" w:hAnsi="宋体"/>
          <w:b/>
          <w:color w:val="000000"/>
          <w:spacing w:val="30"/>
          <w:szCs w:val="21"/>
        </w:rPr>
        <w:t>(2022)01025</w:t>
      </w:r>
      <w:r>
        <w:rPr>
          <w:rFonts w:ascii="宋体" w:hAnsi="宋体"/>
          <w:b/>
          <w:color w:val="000000"/>
          <w:spacing w:val="30"/>
          <w:szCs w:val="21"/>
        </w:rPr>
        <w:t>号</w:t>
      </w:r>
    </w:p>
    <w:p w14:paraId="0EFB902C" w14:textId="77777777" w:rsidR="00F76B5E" w:rsidRDefault="00F76B5E">
      <w:pPr>
        <w:snapToGrid w:val="0"/>
        <w:spacing w:line="360" w:lineRule="auto"/>
        <w:jc w:val="center"/>
        <w:rPr>
          <w:rFonts w:ascii="宋体" w:hAnsi="宋体"/>
          <w:color w:val="00000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53"/>
      </w:tblGrid>
      <w:tr w:rsidR="00F76B5E" w14:paraId="3E21CC7E" w14:textId="77777777">
        <w:trPr>
          <w:trHeight w:val="908"/>
          <w:tblCellSpacing w:w="0" w:type="dxa"/>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0" w:type="dxa"/>
              <w:bottom w:w="110" w:type="dxa"/>
              <w:right w:w="0" w:type="dxa"/>
            </w:tcMar>
            <w:hideMark/>
          </w:tcPr>
          <w:p w14:paraId="63D6AFC4" w14:textId="77777777" w:rsidR="00F76B5E" w:rsidRDefault="0027102A">
            <w:pPr>
              <w:snapToGrid w:val="0"/>
              <w:spacing w:line="360" w:lineRule="auto"/>
              <w:rPr>
                <w:rFonts w:ascii="宋体" w:hAnsi="宋体"/>
                <w:color w:val="000000"/>
                <w:sz w:val="24"/>
                <w:szCs w:val="24"/>
              </w:rPr>
            </w:pPr>
            <w:r>
              <w:rPr>
                <w:rFonts w:ascii="宋体" w:hAnsi="宋体"/>
                <w:b/>
                <w:bCs/>
                <w:color w:val="000000"/>
                <w:sz w:val="24"/>
                <w:szCs w:val="24"/>
              </w:rPr>
              <w:t>谨提请</w:t>
            </w:r>
            <w:proofErr w:type="gramStart"/>
            <w:r>
              <w:rPr>
                <w:rFonts w:ascii="宋体" w:hAnsi="宋体"/>
                <w:b/>
                <w:bCs/>
                <w:color w:val="000000"/>
                <w:sz w:val="24"/>
                <w:szCs w:val="24"/>
              </w:rPr>
              <w:t>本资产</w:t>
            </w:r>
            <w:proofErr w:type="gramEnd"/>
            <w:r>
              <w:rPr>
                <w:rFonts w:ascii="宋体" w:hAnsi="宋体"/>
                <w:b/>
                <w:bCs/>
                <w:color w:val="000000"/>
                <w:sz w:val="24"/>
                <w:szCs w:val="24"/>
              </w:rPr>
              <w:t>评估报告摘要之使用者和阅读者注意</w:t>
            </w:r>
            <w:r>
              <w:rPr>
                <w:rFonts w:ascii="宋体" w:hAnsi="宋体"/>
                <w:color w:val="000000"/>
                <w:sz w:val="24"/>
                <w:szCs w:val="24"/>
              </w:rPr>
              <w:t>：</w:t>
            </w:r>
            <w:proofErr w:type="gramStart"/>
            <w:r>
              <w:rPr>
                <w:rFonts w:ascii="宋体" w:hAnsi="宋体"/>
                <w:color w:val="000000"/>
                <w:sz w:val="24"/>
                <w:szCs w:val="24"/>
              </w:rPr>
              <w:t>本资产</w:t>
            </w:r>
            <w:proofErr w:type="gramEnd"/>
            <w:r>
              <w:rPr>
                <w:rFonts w:ascii="宋体" w:hAnsi="宋体"/>
                <w:color w:val="000000"/>
                <w:sz w:val="24"/>
                <w:szCs w:val="24"/>
              </w:rPr>
              <w:t>评估报告摘要之内容摘自资产评估报告正文，欲了解本评估项目的详细情况和</w:t>
            </w:r>
            <w:proofErr w:type="gramStart"/>
            <w:r>
              <w:rPr>
                <w:rFonts w:ascii="宋体" w:hAnsi="宋体"/>
                <w:color w:val="000000"/>
                <w:sz w:val="24"/>
                <w:szCs w:val="24"/>
              </w:rPr>
              <w:t>合理理解</w:t>
            </w:r>
            <w:proofErr w:type="gramEnd"/>
            <w:r>
              <w:rPr>
                <w:rFonts w:ascii="宋体" w:hAnsi="宋体"/>
                <w:color w:val="000000"/>
                <w:sz w:val="24"/>
                <w:szCs w:val="24"/>
              </w:rPr>
              <w:t>评估结论，应当详细阅读资产评估报告全文。</w:t>
            </w:r>
          </w:p>
        </w:tc>
      </w:tr>
    </w:tbl>
    <w:p w14:paraId="31AED2E5"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广东</w:t>
      </w:r>
      <w:r>
        <w:rPr>
          <w:rFonts w:ascii="宋体" w:hAnsi="宋体"/>
          <w:color w:val="000000"/>
          <w:sz w:val="24"/>
          <w:szCs w:val="24"/>
        </w:rPr>
        <w:t>信</w:t>
      </w:r>
      <w:r>
        <w:rPr>
          <w:rFonts w:ascii="宋体" w:hAnsi="宋体" w:hint="eastAsia"/>
          <w:color w:val="000000"/>
          <w:sz w:val="24"/>
          <w:szCs w:val="24"/>
        </w:rPr>
        <w:t>成土地房地产</w:t>
      </w:r>
      <w:r>
        <w:rPr>
          <w:rFonts w:ascii="宋体" w:hAnsi="宋体"/>
          <w:color w:val="000000"/>
          <w:sz w:val="24"/>
          <w:szCs w:val="24"/>
        </w:rPr>
        <w:t>资产评估有限公司接受广东省东莞市第一人民法院的委托，</w:t>
      </w:r>
      <w:r>
        <w:rPr>
          <w:rFonts w:ascii="宋体" w:hAnsi="宋体" w:hint="eastAsia"/>
          <w:color w:val="000000"/>
          <w:sz w:val="24"/>
          <w:szCs w:val="24"/>
        </w:rPr>
        <w:t>以</w:t>
      </w:r>
      <w:r>
        <w:rPr>
          <w:rFonts w:ascii="宋体" w:hAnsi="宋体"/>
          <w:color w:val="000000"/>
          <w:sz w:val="24"/>
          <w:szCs w:val="24"/>
        </w:rPr>
        <w:t>东莞市第一人民法院石碣人民法庭</w:t>
      </w:r>
      <w:r>
        <w:rPr>
          <w:rFonts w:ascii="宋体" w:hAnsi="宋体" w:hint="eastAsia"/>
          <w:color w:val="000000"/>
          <w:sz w:val="24"/>
          <w:szCs w:val="24"/>
        </w:rPr>
        <w:t>拟拍卖被执行人张晓帆的财产</w:t>
      </w:r>
      <w:r>
        <w:rPr>
          <w:rFonts w:ascii="宋体" w:hAnsi="宋体"/>
          <w:color w:val="000000"/>
          <w:sz w:val="24"/>
          <w:szCs w:val="24"/>
        </w:rPr>
        <w:t>，</w:t>
      </w:r>
      <w:r>
        <w:rPr>
          <w:rFonts w:ascii="宋体" w:hAnsi="宋体" w:hint="eastAsia"/>
          <w:color w:val="000000"/>
          <w:sz w:val="24"/>
          <w:szCs w:val="24"/>
        </w:rPr>
        <w:t>需确定财产处置参考价为目的</w:t>
      </w:r>
      <w:r>
        <w:rPr>
          <w:rFonts w:ascii="宋体" w:hAnsi="宋体"/>
          <w:color w:val="000000"/>
          <w:sz w:val="24"/>
          <w:szCs w:val="24"/>
        </w:rPr>
        <w:t>，</w:t>
      </w:r>
      <w:r>
        <w:rPr>
          <w:rFonts w:ascii="宋体" w:hAnsi="宋体" w:hint="eastAsia"/>
          <w:color w:val="000000"/>
          <w:sz w:val="24"/>
          <w:szCs w:val="24"/>
        </w:rPr>
        <w:t>而对《广东省东莞市第一人民法院查封（扣押）财产清单》（</w:t>
      </w:r>
      <w:r>
        <w:rPr>
          <w:rFonts w:ascii="宋体" w:hAnsi="宋体" w:hint="eastAsia"/>
          <w:color w:val="000000"/>
          <w:sz w:val="24"/>
          <w:szCs w:val="24"/>
        </w:rPr>
        <w:t>2021</w:t>
      </w:r>
      <w:r>
        <w:rPr>
          <w:rFonts w:ascii="宋体" w:hAnsi="宋体" w:hint="eastAsia"/>
          <w:color w:val="000000"/>
          <w:sz w:val="24"/>
          <w:szCs w:val="24"/>
        </w:rPr>
        <w:t>）粤</w:t>
      </w:r>
      <w:r>
        <w:rPr>
          <w:rFonts w:ascii="宋体" w:hAnsi="宋体" w:hint="eastAsia"/>
          <w:color w:val="000000"/>
          <w:sz w:val="24"/>
          <w:szCs w:val="24"/>
        </w:rPr>
        <w:t>1971</w:t>
      </w:r>
      <w:r>
        <w:rPr>
          <w:rFonts w:ascii="宋体" w:hAnsi="宋体" w:hint="eastAsia"/>
          <w:color w:val="000000"/>
          <w:sz w:val="24"/>
          <w:szCs w:val="24"/>
        </w:rPr>
        <w:t>执</w:t>
      </w:r>
      <w:r>
        <w:rPr>
          <w:rFonts w:ascii="宋体" w:hAnsi="宋体" w:hint="eastAsia"/>
          <w:color w:val="000000"/>
          <w:sz w:val="24"/>
          <w:szCs w:val="24"/>
        </w:rPr>
        <w:t>29972</w:t>
      </w:r>
      <w:r>
        <w:rPr>
          <w:rFonts w:ascii="宋体" w:hAnsi="宋体" w:hint="eastAsia"/>
          <w:color w:val="000000"/>
          <w:sz w:val="24"/>
          <w:szCs w:val="24"/>
        </w:rPr>
        <w:t>号所列财物</w:t>
      </w:r>
      <w:r>
        <w:rPr>
          <w:rFonts w:ascii="宋体" w:hAnsi="宋体"/>
          <w:color w:val="000000"/>
          <w:sz w:val="24"/>
          <w:szCs w:val="24"/>
        </w:rPr>
        <w:t>在评估基准日的价值进行了评估，现将资产评估报告正文的相关内容摘要如下：</w:t>
      </w:r>
    </w:p>
    <w:p w14:paraId="1ADD5BDB" w14:textId="77777777" w:rsidR="00F76B5E" w:rsidRDefault="0027102A">
      <w:pPr>
        <w:snapToGrid w:val="0"/>
        <w:spacing w:line="360" w:lineRule="auto"/>
        <w:ind w:firstLine="482"/>
        <w:rPr>
          <w:b/>
          <w:bCs/>
          <w:color w:val="000000"/>
          <w:kern w:val="44"/>
          <w:sz w:val="24"/>
          <w:szCs w:val="24"/>
        </w:rPr>
      </w:pPr>
      <w:r>
        <w:rPr>
          <w:rFonts w:hint="eastAsia"/>
          <w:b/>
          <w:bCs/>
          <w:color w:val="000000"/>
          <w:kern w:val="44"/>
          <w:sz w:val="24"/>
          <w:szCs w:val="24"/>
        </w:rPr>
        <w:t>一、评估目的：</w:t>
      </w:r>
    </w:p>
    <w:p w14:paraId="3919B108" w14:textId="77777777" w:rsidR="00F76B5E" w:rsidRDefault="0027102A">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确定</w:t>
      </w:r>
      <w:r>
        <w:rPr>
          <w:rFonts w:ascii="宋体" w:hAnsi="宋体"/>
          <w:color w:val="000000"/>
          <w:sz w:val="24"/>
          <w:szCs w:val="24"/>
        </w:rPr>
        <w:t>查封</w:t>
      </w:r>
      <w:r>
        <w:rPr>
          <w:rFonts w:ascii="宋体" w:hAnsi="宋体" w:hint="eastAsia"/>
          <w:color w:val="000000"/>
          <w:sz w:val="24"/>
          <w:szCs w:val="24"/>
        </w:rPr>
        <w:t>（扣押）</w:t>
      </w:r>
      <w:r>
        <w:rPr>
          <w:rFonts w:ascii="宋体" w:hAnsi="宋体"/>
          <w:color w:val="000000"/>
          <w:sz w:val="24"/>
          <w:szCs w:val="24"/>
        </w:rPr>
        <w:t>资产</w:t>
      </w:r>
      <w:r>
        <w:rPr>
          <w:rFonts w:ascii="宋体" w:hAnsi="宋体" w:hint="eastAsia"/>
          <w:color w:val="000000"/>
          <w:sz w:val="24"/>
          <w:szCs w:val="24"/>
        </w:rPr>
        <w:t>拍卖参考价。</w:t>
      </w:r>
    </w:p>
    <w:p w14:paraId="29A95CE5" w14:textId="77777777" w:rsidR="00F76B5E" w:rsidRDefault="0027102A">
      <w:pPr>
        <w:snapToGrid w:val="0"/>
        <w:spacing w:line="360" w:lineRule="auto"/>
        <w:ind w:firstLine="482"/>
        <w:rPr>
          <w:b/>
          <w:bCs/>
          <w:color w:val="000000"/>
          <w:kern w:val="44"/>
          <w:sz w:val="24"/>
          <w:szCs w:val="24"/>
        </w:rPr>
      </w:pPr>
      <w:r>
        <w:rPr>
          <w:b/>
          <w:bCs/>
          <w:color w:val="000000"/>
          <w:kern w:val="44"/>
          <w:sz w:val="24"/>
          <w:szCs w:val="24"/>
        </w:rPr>
        <w:t>二、评估对象：</w:t>
      </w:r>
    </w:p>
    <w:p w14:paraId="615D80A0"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家私十六项</w:t>
      </w:r>
      <w:r>
        <w:rPr>
          <w:rFonts w:ascii="宋体" w:hAnsi="宋体" w:hint="eastAsia"/>
          <w:color w:val="000000"/>
          <w:sz w:val="24"/>
          <w:szCs w:val="24"/>
        </w:rPr>
        <w:t>18</w:t>
      </w:r>
      <w:r>
        <w:rPr>
          <w:rFonts w:ascii="宋体" w:hAnsi="宋体" w:hint="eastAsia"/>
          <w:color w:val="000000"/>
          <w:sz w:val="24"/>
          <w:szCs w:val="24"/>
        </w:rPr>
        <w:t>台（套）。</w:t>
      </w:r>
    </w:p>
    <w:p w14:paraId="5B1C663F" w14:textId="77777777" w:rsidR="00F76B5E" w:rsidRDefault="0027102A">
      <w:pPr>
        <w:snapToGrid w:val="0"/>
        <w:spacing w:line="360" w:lineRule="auto"/>
        <w:ind w:firstLine="482"/>
        <w:rPr>
          <w:b/>
          <w:bCs/>
          <w:color w:val="000000"/>
          <w:kern w:val="44"/>
          <w:sz w:val="24"/>
          <w:szCs w:val="24"/>
        </w:rPr>
      </w:pPr>
      <w:r>
        <w:rPr>
          <w:b/>
          <w:bCs/>
          <w:color w:val="000000"/>
          <w:kern w:val="44"/>
          <w:sz w:val="24"/>
          <w:szCs w:val="24"/>
        </w:rPr>
        <w:t>三、评估基准日：</w:t>
      </w:r>
    </w:p>
    <w:p w14:paraId="6B8B5CD8" w14:textId="77777777" w:rsidR="00F76B5E" w:rsidRDefault="0027102A">
      <w:pPr>
        <w:snapToGrid w:val="0"/>
        <w:spacing w:line="360" w:lineRule="auto"/>
        <w:ind w:firstLine="482"/>
        <w:rPr>
          <w:rFonts w:ascii="宋体" w:hAnsi="宋体"/>
          <w:color w:val="000000"/>
          <w:sz w:val="24"/>
          <w:szCs w:val="24"/>
        </w:rPr>
      </w:pPr>
      <w:r>
        <w:rPr>
          <w:rFonts w:ascii="宋体" w:hAnsi="宋体"/>
          <w:color w:val="000000"/>
          <w:sz w:val="24"/>
          <w:szCs w:val="24"/>
        </w:rPr>
        <w:t>2022</w:t>
      </w:r>
      <w:r>
        <w:rPr>
          <w:rFonts w:ascii="宋体" w:hAnsi="宋体"/>
          <w:color w:val="000000"/>
          <w:sz w:val="24"/>
          <w:szCs w:val="24"/>
        </w:rPr>
        <w:t>年</w:t>
      </w:r>
      <w:r>
        <w:rPr>
          <w:rFonts w:ascii="宋体" w:hAnsi="宋体"/>
          <w:color w:val="000000"/>
          <w:sz w:val="24"/>
          <w:szCs w:val="24"/>
        </w:rPr>
        <w:t>1</w:t>
      </w:r>
      <w:r>
        <w:rPr>
          <w:rFonts w:ascii="宋体" w:hAnsi="宋体"/>
          <w:color w:val="000000"/>
          <w:sz w:val="24"/>
          <w:szCs w:val="24"/>
        </w:rPr>
        <w:t>月</w:t>
      </w:r>
      <w:r>
        <w:rPr>
          <w:rFonts w:ascii="宋体" w:hAnsi="宋体"/>
          <w:color w:val="000000"/>
          <w:sz w:val="24"/>
          <w:szCs w:val="24"/>
        </w:rPr>
        <w:t>11</w:t>
      </w:r>
      <w:r>
        <w:rPr>
          <w:rFonts w:ascii="宋体" w:hAnsi="宋体"/>
          <w:color w:val="000000"/>
          <w:sz w:val="24"/>
          <w:szCs w:val="24"/>
        </w:rPr>
        <w:t>日</w:t>
      </w:r>
    </w:p>
    <w:p w14:paraId="5C75C221" w14:textId="77777777" w:rsidR="00F76B5E" w:rsidRDefault="0027102A">
      <w:pPr>
        <w:snapToGrid w:val="0"/>
        <w:spacing w:line="360" w:lineRule="auto"/>
        <w:ind w:firstLine="482"/>
        <w:rPr>
          <w:b/>
          <w:bCs/>
          <w:color w:val="000000"/>
          <w:kern w:val="44"/>
          <w:sz w:val="24"/>
          <w:szCs w:val="24"/>
        </w:rPr>
      </w:pPr>
      <w:r>
        <w:rPr>
          <w:b/>
          <w:bCs/>
          <w:color w:val="000000"/>
          <w:kern w:val="44"/>
          <w:sz w:val="24"/>
          <w:szCs w:val="24"/>
        </w:rPr>
        <w:t>四、价值类型：</w:t>
      </w:r>
    </w:p>
    <w:p w14:paraId="2CA548FA"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（一）市场价值的定义：资产评估价值类型包括市场价值和市场价值以外的价值（投资价值、在用价值、清算价值、残余价值等）两种类型。市场价值是指自愿</w:t>
      </w:r>
      <w:r>
        <w:rPr>
          <w:rFonts w:ascii="宋体" w:hAnsi="宋体" w:hint="eastAsia"/>
          <w:color w:val="000000"/>
          <w:sz w:val="24"/>
          <w:szCs w:val="24"/>
        </w:rPr>
        <w:t>买方和自愿卖方在各自理性行事且未受任何强迫的情况下，评估对象在评估基准日进行正常公平交易的价值估计数额</w:t>
      </w:r>
    </w:p>
    <w:p w14:paraId="5BED6241"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（二）价值类型及其选取：经评估人员与委托方充分沟通后，根据本次评估目的、市场条件及评估对象自身条件等因素，最终选定市场价值作为本评估报告的评估结论的价值类型</w:t>
      </w:r>
    </w:p>
    <w:p w14:paraId="3CDF43BC" w14:textId="77777777" w:rsidR="00F76B5E" w:rsidRDefault="0027102A">
      <w:pPr>
        <w:snapToGrid w:val="0"/>
        <w:spacing w:line="360" w:lineRule="auto"/>
        <w:ind w:firstLine="482"/>
        <w:rPr>
          <w:b/>
          <w:bCs/>
          <w:color w:val="000000"/>
          <w:kern w:val="44"/>
          <w:sz w:val="24"/>
          <w:szCs w:val="24"/>
        </w:rPr>
      </w:pPr>
      <w:r>
        <w:rPr>
          <w:b/>
          <w:bCs/>
          <w:color w:val="000000"/>
          <w:kern w:val="44"/>
          <w:sz w:val="24"/>
          <w:szCs w:val="24"/>
        </w:rPr>
        <w:lastRenderedPageBreak/>
        <w:t>五、评估方法：</w:t>
      </w:r>
    </w:p>
    <w:p w14:paraId="5C366141"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根据评估对象、价值类型、资料收集情况等相关条件，本次采用重置成本法进行评估</w:t>
      </w:r>
      <w:r>
        <w:rPr>
          <w:rFonts w:ascii="宋体" w:hAnsi="宋体"/>
          <w:color w:val="000000"/>
          <w:sz w:val="24"/>
          <w:szCs w:val="24"/>
        </w:rPr>
        <w:t>。</w:t>
      </w:r>
    </w:p>
    <w:p w14:paraId="2D3DF246" w14:textId="77777777" w:rsidR="00F76B5E" w:rsidRDefault="0027102A">
      <w:pPr>
        <w:snapToGrid w:val="0"/>
        <w:spacing w:line="360" w:lineRule="auto"/>
        <w:ind w:firstLine="482"/>
        <w:rPr>
          <w:rFonts w:ascii="宋体" w:hAnsi="宋体"/>
          <w:color w:val="000000"/>
          <w:sz w:val="24"/>
          <w:szCs w:val="24"/>
        </w:rPr>
      </w:pPr>
      <w:r>
        <w:rPr>
          <w:b/>
          <w:bCs/>
          <w:color w:val="000000"/>
          <w:kern w:val="44"/>
          <w:sz w:val="24"/>
          <w:szCs w:val="24"/>
        </w:rPr>
        <w:t>六、评估结论：</w:t>
      </w:r>
      <w:r>
        <w:rPr>
          <w:rFonts w:ascii="宋体" w:hAnsi="宋体"/>
          <w:color w:val="000000"/>
          <w:sz w:val="24"/>
          <w:szCs w:val="24"/>
        </w:rPr>
        <w:t xml:space="preserve"> </w:t>
      </w:r>
    </w:p>
    <w:p w14:paraId="3C844457" w14:textId="77777777" w:rsidR="00F76B5E" w:rsidRDefault="0027102A">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我们认为在评估假设及限制条件下，载于下表的评估结论可恰当地</w:t>
      </w:r>
      <w:proofErr w:type="gramStart"/>
      <w:r>
        <w:rPr>
          <w:rFonts w:ascii="宋体" w:hAnsi="宋体" w:hint="eastAsia"/>
          <w:color w:val="000000"/>
          <w:sz w:val="24"/>
          <w:szCs w:val="24"/>
        </w:rPr>
        <w:t>反映委估资产</w:t>
      </w:r>
      <w:proofErr w:type="gramEnd"/>
      <w:r>
        <w:rPr>
          <w:rFonts w:ascii="宋体" w:hAnsi="宋体" w:hint="eastAsia"/>
          <w:color w:val="000000"/>
          <w:sz w:val="24"/>
          <w:szCs w:val="24"/>
        </w:rPr>
        <w:t>于评估基准日的资产价值：</w:t>
      </w:r>
    </w:p>
    <w:tbl>
      <w:tblPr>
        <w:tblW w:w="5000" w:type="pct"/>
        <w:tblLook w:val="04A0" w:firstRow="1" w:lastRow="0" w:firstColumn="1" w:lastColumn="0" w:noHBand="0" w:noVBand="1"/>
      </w:tblPr>
      <w:tblGrid>
        <w:gridCol w:w="3394"/>
        <w:gridCol w:w="3280"/>
        <w:gridCol w:w="2289"/>
      </w:tblGrid>
      <w:tr w:rsidR="00F76B5E" w14:paraId="1172D929" w14:textId="77777777">
        <w:trPr>
          <w:trHeight w:val="645"/>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EA070" w14:textId="77777777" w:rsidR="00F76B5E" w:rsidRDefault="0027102A">
            <w:pPr>
              <w:widowControl/>
              <w:snapToGrid w:val="0"/>
              <w:spacing w:line="360" w:lineRule="auto"/>
              <w:jc w:val="center"/>
              <w:rPr>
                <w:rFonts w:ascii="宋体" w:hAnsi="宋体" w:cs="宋体"/>
                <w:color w:val="000000"/>
                <w:kern w:val="0"/>
                <w:szCs w:val="21"/>
              </w:rPr>
            </w:pPr>
            <w:bookmarkStart w:id="8" w:name="_Toc447125209"/>
            <w:bookmarkStart w:id="9" w:name="_Toc502866368"/>
            <w:bookmarkEnd w:id="8"/>
            <w:bookmarkEnd w:id="9"/>
            <w:r>
              <w:rPr>
                <w:rFonts w:ascii="宋体" w:hAnsi="宋体" w:cs="宋体" w:hint="eastAsia"/>
                <w:color w:val="000000"/>
                <w:kern w:val="0"/>
                <w:szCs w:val="21"/>
              </w:rPr>
              <w:t>资产评估委托方</w:t>
            </w:r>
          </w:p>
        </w:tc>
        <w:tc>
          <w:tcPr>
            <w:tcW w:w="1830" w:type="pct"/>
            <w:tcBorders>
              <w:top w:val="single" w:sz="4" w:space="0" w:color="auto"/>
              <w:left w:val="nil"/>
              <w:bottom w:val="single" w:sz="4" w:space="0" w:color="auto"/>
              <w:right w:val="single" w:sz="4" w:space="0" w:color="auto"/>
            </w:tcBorders>
            <w:shd w:val="clear" w:color="auto" w:fill="auto"/>
            <w:vAlign w:val="center"/>
            <w:hideMark/>
          </w:tcPr>
          <w:p w14:paraId="329DB291" w14:textId="77777777" w:rsidR="00F76B5E" w:rsidRDefault="0027102A">
            <w:pPr>
              <w:widowControl/>
              <w:snapToGrid w:val="0"/>
              <w:spacing w:line="360" w:lineRule="auto"/>
              <w:jc w:val="center"/>
              <w:rPr>
                <w:rFonts w:ascii="宋体" w:hAnsi="宋体" w:cs="宋体"/>
                <w:color w:val="000000"/>
                <w:kern w:val="0"/>
                <w:szCs w:val="21"/>
              </w:rPr>
            </w:pPr>
            <w:r>
              <w:rPr>
                <w:rFonts w:ascii="宋体" w:hAnsi="宋体" w:cs="宋体" w:hint="eastAsia"/>
                <w:color w:val="000000"/>
                <w:kern w:val="0"/>
                <w:szCs w:val="21"/>
              </w:rPr>
              <w:t>评估项目</w:t>
            </w:r>
          </w:p>
        </w:tc>
        <w:tc>
          <w:tcPr>
            <w:tcW w:w="1277" w:type="pct"/>
            <w:tcBorders>
              <w:top w:val="single" w:sz="4" w:space="0" w:color="auto"/>
              <w:left w:val="nil"/>
              <w:bottom w:val="single" w:sz="4" w:space="0" w:color="auto"/>
              <w:right w:val="single" w:sz="4" w:space="0" w:color="auto"/>
            </w:tcBorders>
            <w:shd w:val="clear" w:color="auto" w:fill="auto"/>
            <w:vAlign w:val="center"/>
            <w:hideMark/>
          </w:tcPr>
          <w:p w14:paraId="66D84242" w14:textId="77777777" w:rsidR="00F76B5E" w:rsidRDefault="0027102A">
            <w:pPr>
              <w:widowControl/>
              <w:snapToGrid w:val="0"/>
              <w:spacing w:line="360" w:lineRule="auto"/>
              <w:jc w:val="center"/>
              <w:rPr>
                <w:rFonts w:ascii="宋体" w:hAnsi="宋体" w:cs="宋体"/>
                <w:color w:val="000000"/>
                <w:kern w:val="0"/>
                <w:szCs w:val="21"/>
              </w:rPr>
            </w:pPr>
            <w:r>
              <w:rPr>
                <w:rFonts w:ascii="宋体" w:hAnsi="宋体" w:cs="宋体" w:hint="eastAsia"/>
                <w:color w:val="000000"/>
                <w:kern w:val="0"/>
                <w:szCs w:val="21"/>
              </w:rPr>
              <w:t>评估价值（元）</w:t>
            </w:r>
          </w:p>
        </w:tc>
      </w:tr>
      <w:tr w:rsidR="00F76B5E" w14:paraId="072D9646" w14:textId="77777777">
        <w:trPr>
          <w:trHeight w:val="688"/>
        </w:trPr>
        <w:tc>
          <w:tcPr>
            <w:tcW w:w="1893" w:type="pct"/>
            <w:tcBorders>
              <w:top w:val="nil"/>
              <w:left w:val="single" w:sz="4" w:space="0" w:color="auto"/>
              <w:bottom w:val="single" w:sz="4" w:space="0" w:color="auto"/>
              <w:right w:val="single" w:sz="4" w:space="0" w:color="auto"/>
            </w:tcBorders>
            <w:shd w:val="clear" w:color="auto" w:fill="auto"/>
            <w:vAlign w:val="center"/>
            <w:hideMark/>
          </w:tcPr>
          <w:p w14:paraId="7E01C50B" w14:textId="77777777" w:rsidR="00F76B5E" w:rsidRDefault="0027102A">
            <w:pPr>
              <w:widowControl/>
              <w:snapToGrid w:val="0"/>
              <w:spacing w:line="360" w:lineRule="auto"/>
              <w:jc w:val="center"/>
              <w:rPr>
                <w:rFonts w:ascii="宋体" w:hAnsi="宋体" w:cs="宋体"/>
                <w:color w:val="000000"/>
                <w:kern w:val="0"/>
                <w:szCs w:val="21"/>
              </w:rPr>
            </w:pPr>
            <w:r>
              <w:rPr>
                <w:rFonts w:ascii="宋体" w:hAnsi="宋体" w:cs="宋体" w:hint="eastAsia"/>
                <w:color w:val="000000"/>
                <w:kern w:val="0"/>
                <w:szCs w:val="21"/>
              </w:rPr>
              <w:t>广东省东莞市第一人民法院</w:t>
            </w:r>
          </w:p>
        </w:tc>
        <w:tc>
          <w:tcPr>
            <w:tcW w:w="1830" w:type="pct"/>
            <w:tcBorders>
              <w:top w:val="nil"/>
              <w:left w:val="nil"/>
              <w:bottom w:val="single" w:sz="4" w:space="0" w:color="auto"/>
              <w:right w:val="single" w:sz="4" w:space="0" w:color="auto"/>
            </w:tcBorders>
            <w:shd w:val="clear" w:color="auto" w:fill="auto"/>
            <w:vAlign w:val="center"/>
            <w:hideMark/>
          </w:tcPr>
          <w:p w14:paraId="24F13E52" w14:textId="77777777" w:rsidR="00F76B5E" w:rsidRDefault="0027102A">
            <w:pPr>
              <w:widowControl/>
              <w:snapToGrid w:val="0"/>
              <w:spacing w:line="360" w:lineRule="auto"/>
              <w:jc w:val="center"/>
              <w:rPr>
                <w:rFonts w:ascii="宋体" w:hAnsi="宋体" w:cs="宋体"/>
                <w:color w:val="000000"/>
                <w:kern w:val="0"/>
                <w:szCs w:val="21"/>
              </w:rPr>
            </w:pPr>
            <w:r>
              <w:rPr>
                <w:rFonts w:ascii="宋体" w:hAnsi="宋体" w:cs="宋体" w:hint="eastAsia"/>
                <w:color w:val="000000"/>
                <w:kern w:val="0"/>
                <w:szCs w:val="21"/>
              </w:rPr>
              <w:t>家私十六项</w:t>
            </w:r>
            <w:r>
              <w:rPr>
                <w:rFonts w:ascii="宋体" w:hAnsi="宋体" w:cs="宋体" w:hint="eastAsia"/>
                <w:color w:val="000000"/>
                <w:kern w:val="0"/>
                <w:szCs w:val="21"/>
              </w:rPr>
              <w:t>18</w:t>
            </w:r>
            <w:r>
              <w:rPr>
                <w:rFonts w:ascii="宋体" w:hAnsi="宋体" w:cs="宋体" w:hint="eastAsia"/>
                <w:color w:val="000000"/>
                <w:kern w:val="0"/>
                <w:szCs w:val="21"/>
              </w:rPr>
              <w:t>台套</w:t>
            </w:r>
          </w:p>
        </w:tc>
        <w:tc>
          <w:tcPr>
            <w:tcW w:w="1277" w:type="pct"/>
            <w:tcBorders>
              <w:top w:val="nil"/>
              <w:left w:val="nil"/>
              <w:bottom w:val="single" w:sz="4" w:space="0" w:color="auto"/>
              <w:right w:val="single" w:sz="4" w:space="0" w:color="auto"/>
            </w:tcBorders>
            <w:shd w:val="clear" w:color="auto" w:fill="auto"/>
            <w:vAlign w:val="center"/>
            <w:hideMark/>
          </w:tcPr>
          <w:p w14:paraId="55F08510" w14:textId="77777777" w:rsidR="00F76B5E" w:rsidRDefault="0027102A">
            <w:pPr>
              <w:widowControl/>
              <w:snapToGrid w:val="0"/>
              <w:spacing w:line="360" w:lineRule="auto"/>
              <w:jc w:val="center"/>
              <w:rPr>
                <w:rFonts w:ascii="宋体" w:hAnsi="宋体" w:cs="宋体"/>
                <w:color w:val="000000"/>
                <w:kern w:val="0"/>
                <w:szCs w:val="21"/>
              </w:rPr>
            </w:pPr>
            <w:r>
              <w:rPr>
                <w:rFonts w:ascii="宋体" w:hAnsi="宋体" w:cs="宋体" w:hint="eastAsia"/>
                <w:color w:val="000000"/>
                <w:kern w:val="0"/>
                <w:szCs w:val="21"/>
              </w:rPr>
              <w:t>3,800.00</w:t>
            </w:r>
          </w:p>
        </w:tc>
      </w:tr>
      <w:tr w:rsidR="00F76B5E" w14:paraId="18140612" w14:textId="77777777">
        <w:trPr>
          <w:trHeight w:val="600"/>
        </w:trPr>
        <w:tc>
          <w:tcPr>
            <w:tcW w:w="37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EABEA3" w14:textId="77777777" w:rsidR="00F76B5E" w:rsidRDefault="0027102A">
            <w:pPr>
              <w:widowControl/>
              <w:snapToGrid w:val="0"/>
              <w:spacing w:line="360" w:lineRule="auto"/>
              <w:jc w:val="center"/>
              <w:rPr>
                <w:rFonts w:ascii="宋体" w:hAnsi="宋体" w:cs="宋体"/>
                <w:color w:val="000000"/>
                <w:kern w:val="0"/>
                <w:szCs w:val="21"/>
              </w:rPr>
            </w:pPr>
            <w:r>
              <w:rPr>
                <w:rFonts w:ascii="宋体" w:hAnsi="宋体" w:cs="宋体" w:hint="eastAsia"/>
                <w:color w:val="000000"/>
                <w:kern w:val="0"/>
                <w:szCs w:val="21"/>
              </w:rPr>
              <w:t>合</w:t>
            </w:r>
            <w:r>
              <w:rPr>
                <w:rFonts w:ascii="宋体" w:hAnsi="宋体" w:cs="宋体" w:hint="eastAsia"/>
                <w:color w:val="000000"/>
                <w:kern w:val="0"/>
                <w:szCs w:val="21"/>
              </w:rPr>
              <w:t xml:space="preserve">    </w:t>
            </w:r>
            <w:r>
              <w:rPr>
                <w:rFonts w:ascii="宋体" w:hAnsi="宋体" w:cs="宋体" w:hint="eastAsia"/>
                <w:color w:val="000000"/>
                <w:kern w:val="0"/>
                <w:szCs w:val="21"/>
              </w:rPr>
              <w:t>计</w:t>
            </w:r>
          </w:p>
        </w:tc>
        <w:tc>
          <w:tcPr>
            <w:tcW w:w="1277" w:type="pct"/>
            <w:tcBorders>
              <w:top w:val="nil"/>
              <w:left w:val="nil"/>
              <w:bottom w:val="single" w:sz="4" w:space="0" w:color="auto"/>
              <w:right w:val="single" w:sz="4" w:space="0" w:color="auto"/>
            </w:tcBorders>
            <w:shd w:val="clear" w:color="auto" w:fill="auto"/>
            <w:vAlign w:val="center"/>
            <w:hideMark/>
          </w:tcPr>
          <w:p w14:paraId="1AA070CC" w14:textId="77777777" w:rsidR="00F76B5E" w:rsidRDefault="0027102A">
            <w:pPr>
              <w:widowControl/>
              <w:snapToGrid w:val="0"/>
              <w:spacing w:line="360" w:lineRule="auto"/>
              <w:jc w:val="center"/>
              <w:rPr>
                <w:rFonts w:ascii="宋体" w:hAnsi="宋体" w:cs="宋体"/>
                <w:color w:val="000000"/>
                <w:kern w:val="0"/>
                <w:szCs w:val="21"/>
              </w:rPr>
            </w:pPr>
            <w:r>
              <w:rPr>
                <w:rFonts w:ascii="宋体" w:hAnsi="宋体" w:cs="宋体" w:hint="eastAsia"/>
                <w:color w:val="000000"/>
                <w:kern w:val="0"/>
                <w:szCs w:val="21"/>
              </w:rPr>
              <w:t>3,800.00</w:t>
            </w:r>
          </w:p>
        </w:tc>
      </w:tr>
    </w:tbl>
    <w:p w14:paraId="5339B0B6" w14:textId="77777777" w:rsidR="00F76B5E" w:rsidRDefault="0027102A">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大写：人民币叁仟捌佰元整。</w:t>
      </w:r>
    </w:p>
    <w:p w14:paraId="673D1D97" w14:textId="77777777" w:rsidR="00F76B5E" w:rsidRDefault="0027102A">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评估结论详细情况详见资产评估明细表。</w:t>
      </w:r>
    </w:p>
    <w:p w14:paraId="2EA52424" w14:textId="77777777" w:rsidR="00F76B5E" w:rsidRDefault="0027102A">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评估报告使用者应当充分考虑评估报告中载明的假设和限定条件、特别事项说明及其对评估结论的影响。</w:t>
      </w:r>
    </w:p>
    <w:p w14:paraId="10683D57" w14:textId="77777777" w:rsidR="00F76B5E" w:rsidRDefault="0027102A">
      <w:pPr>
        <w:snapToGrid w:val="0"/>
        <w:spacing w:line="360" w:lineRule="auto"/>
        <w:ind w:firstLine="482"/>
        <w:rPr>
          <w:rFonts w:ascii="宋体" w:hAnsi="宋体"/>
          <w:b/>
          <w:color w:val="000000"/>
          <w:sz w:val="24"/>
          <w:szCs w:val="24"/>
        </w:rPr>
      </w:pPr>
      <w:r>
        <w:rPr>
          <w:rFonts w:ascii="宋体" w:hAnsi="宋体" w:hint="eastAsia"/>
          <w:b/>
          <w:color w:val="000000"/>
          <w:sz w:val="24"/>
          <w:szCs w:val="24"/>
        </w:rPr>
        <w:t>上述评估结论是为</w:t>
      </w:r>
      <w:r>
        <w:rPr>
          <w:rFonts w:ascii="宋体" w:hAnsi="宋体"/>
          <w:b/>
          <w:color w:val="000000"/>
          <w:sz w:val="24"/>
          <w:szCs w:val="24"/>
        </w:rPr>
        <w:t>广东省东莞市第一人民法院</w:t>
      </w:r>
      <w:r>
        <w:rPr>
          <w:rFonts w:ascii="宋体" w:hAnsi="宋体" w:hint="eastAsia"/>
          <w:b/>
          <w:color w:val="000000"/>
          <w:sz w:val="24"/>
          <w:szCs w:val="24"/>
        </w:rPr>
        <w:t>因拍卖查封（扣押）资产，提供司法处置作参考使用，最终结果以实际公开拍卖成交价为准。</w:t>
      </w:r>
    </w:p>
    <w:p w14:paraId="0A05F84B" w14:textId="77777777" w:rsidR="00F76B5E" w:rsidRDefault="0027102A">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评估结论仅在评估报告载明的评估基准日成立。资产评估结果使用有效期自评估基准日起一年内（即</w:t>
      </w:r>
      <w:r>
        <w:rPr>
          <w:rFonts w:ascii="宋体" w:hAnsi="宋体" w:hint="eastAsia"/>
          <w:color w:val="000000"/>
          <w:sz w:val="24"/>
          <w:szCs w:val="24"/>
        </w:rPr>
        <w:t>2022</w:t>
      </w:r>
      <w:r>
        <w:rPr>
          <w:rFonts w:ascii="宋体" w:hAnsi="宋体" w:hint="eastAsia"/>
          <w:color w:val="000000"/>
          <w:sz w:val="24"/>
          <w:szCs w:val="24"/>
        </w:rPr>
        <w:t>年</w:t>
      </w:r>
      <w:r>
        <w:rPr>
          <w:rFonts w:ascii="宋体" w:hAnsi="宋体" w:hint="eastAsia"/>
          <w:color w:val="000000"/>
          <w:sz w:val="24"/>
          <w:szCs w:val="24"/>
        </w:rPr>
        <w:t>1</w:t>
      </w:r>
      <w:r>
        <w:rPr>
          <w:rFonts w:ascii="宋体" w:hAnsi="宋体" w:hint="eastAsia"/>
          <w:color w:val="000000"/>
          <w:sz w:val="24"/>
          <w:szCs w:val="24"/>
        </w:rPr>
        <w:t>月</w:t>
      </w:r>
      <w:r>
        <w:rPr>
          <w:rFonts w:ascii="宋体" w:hAnsi="宋体" w:hint="eastAsia"/>
          <w:color w:val="000000"/>
          <w:sz w:val="24"/>
          <w:szCs w:val="24"/>
        </w:rPr>
        <w:t>11</w:t>
      </w:r>
      <w:r>
        <w:rPr>
          <w:rFonts w:ascii="宋体" w:hAnsi="宋体" w:hint="eastAsia"/>
          <w:color w:val="000000"/>
          <w:sz w:val="24"/>
          <w:szCs w:val="24"/>
        </w:rPr>
        <w:t>日至</w:t>
      </w:r>
      <w:r>
        <w:rPr>
          <w:rFonts w:ascii="宋体" w:hAnsi="宋体" w:hint="eastAsia"/>
          <w:color w:val="000000"/>
          <w:sz w:val="24"/>
          <w:szCs w:val="24"/>
        </w:rPr>
        <w:t>2023</w:t>
      </w:r>
      <w:r>
        <w:rPr>
          <w:rFonts w:ascii="宋体" w:hAnsi="宋体" w:hint="eastAsia"/>
          <w:color w:val="000000"/>
          <w:sz w:val="24"/>
          <w:szCs w:val="24"/>
        </w:rPr>
        <w:t>年</w:t>
      </w:r>
      <w:r>
        <w:rPr>
          <w:rFonts w:ascii="宋体" w:hAnsi="宋体" w:hint="eastAsia"/>
          <w:color w:val="000000"/>
          <w:sz w:val="24"/>
          <w:szCs w:val="24"/>
        </w:rPr>
        <w:t>1</w:t>
      </w:r>
      <w:r>
        <w:rPr>
          <w:rFonts w:ascii="宋体" w:hAnsi="宋体" w:hint="eastAsia"/>
          <w:color w:val="000000"/>
          <w:sz w:val="24"/>
          <w:szCs w:val="24"/>
        </w:rPr>
        <w:t>月</w:t>
      </w:r>
      <w:r>
        <w:rPr>
          <w:rFonts w:ascii="宋体" w:hAnsi="宋体" w:hint="eastAsia"/>
          <w:color w:val="000000"/>
          <w:sz w:val="24"/>
          <w:szCs w:val="24"/>
        </w:rPr>
        <w:t>10</w:t>
      </w:r>
      <w:r>
        <w:rPr>
          <w:rFonts w:ascii="宋体" w:hAnsi="宋体" w:hint="eastAsia"/>
          <w:color w:val="000000"/>
          <w:sz w:val="24"/>
          <w:szCs w:val="24"/>
        </w:rPr>
        <w:t>日有效）。</w:t>
      </w:r>
    </w:p>
    <w:p w14:paraId="221305E0" w14:textId="77777777" w:rsidR="00F76B5E" w:rsidRDefault="00F76B5E">
      <w:pPr>
        <w:snapToGrid w:val="0"/>
        <w:spacing w:line="360" w:lineRule="auto"/>
        <w:ind w:firstLine="482"/>
        <w:rPr>
          <w:rFonts w:ascii="宋体" w:hAnsi="宋体"/>
          <w:color w:val="000000"/>
          <w:sz w:val="24"/>
          <w:szCs w:val="24"/>
        </w:rPr>
        <w:sectPr w:rsidR="00F76B5E">
          <w:headerReference w:type="default" r:id="rId8"/>
          <w:footerReference w:type="default" r:id="rId9"/>
          <w:pgSz w:w="11906" w:h="16838"/>
          <w:pgMar w:top="1560" w:right="1133" w:bottom="1276" w:left="1800" w:header="426" w:footer="340" w:gutter="0"/>
          <w:pgNumType w:start="1"/>
          <w:cols w:space="720"/>
          <w:docGrid w:type="lines" w:linePitch="312"/>
        </w:sectPr>
      </w:pPr>
    </w:p>
    <w:p w14:paraId="4ED537CB" w14:textId="77777777" w:rsidR="00F76B5E" w:rsidRDefault="0027102A">
      <w:pPr>
        <w:jc w:val="center"/>
        <w:rPr>
          <w:rFonts w:ascii="宋体" w:hAnsi="宋体"/>
          <w:b/>
          <w:bCs/>
          <w:color w:val="000000"/>
          <w:sz w:val="44"/>
          <w:szCs w:val="44"/>
        </w:rPr>
      </w:pPr>
      <w:r>
        <w:rPr>
          <w:rFonts w:ascii="宋体" w:hAnsi="宋体" w:hint="eastAsia"/>
          <w:b/>
          <w:bCs/>
          <w:color w:val="000000"/>
          <w:sz w:val="44"/>
          <w:szCs w:val="44"/>
        </w:rPr>
        <w:lastRenderedPageBreak/>
        <w:t>广东省东莞市第一人民法院因拍卖所涉及的查封（扣押）资产市场价值</w:t>
      </w:r>
    </w:p>
    <w:p w14:paraId="64CA4348" w14:textId="77777777" w:rsidR="00F76B5E" w:rsidRDefault="0027102A">
      <w:pPr>
        <w:pStyle w:val="ac"/>
        <w:snapToGrid w:val="0"/>
        <w:spacing w:before="0" w:after="0" w:line="360" w:lineRule="auto"/>
        <w:rPr>
          <w:sz w:val="36"/>
          <w:szCs w:val="36"/>
        </w:rPr>
      </w:pPr>
      <w:bookmarkStart w:id="10" w:name="_Toc93936750"/>
      <w:r>
        <w:rPr>
          <w:rFonts w:hint="eastAsia"/>
          <w:sz w:val="36"/>
          <w:szCs w:val="36"/>
        </w:rPr>
        <w:t>评估报告正文</w:t>
      </w:r>
      <w:bookmarkEnd w:id="10"/>
    </w:p>
    <w:p w14:paraId="3E840782" w14:textId="77777777" w:rsidR="00F76B5E" w:rsidRDefault="0027102A">
      <w:pPr>
        <w:snapToGrid w:val="0"/>
        <w:spacing w:line="360" w:lineRule="auto"/>
        <w:jc w:val="center"/>
        <w:rPr>
          <w:rFonts w:ascii="宋体" w:hAnsi="宋体"/>
          <w:b/>
          <w:color w:val="000000"/>
          <w:szCs w:val="21"/>
        </w:rPr>
      </w:pPr>
      <w:r>
        <w:rPr>
          <w:rFonts w:ascii="宋体" w:hAnsi="宋体" w:hint="eastAsia"/>
          <w:b/>
          <w:color w:val="000000"/>
          <w:szCs w:val="21"/>
        </w:rPr>
        <w:t>信成</w:t>
      </w:r>
      <w:proofErr w:type="gramStart"/>
      <w:r>
        <w:rPr>
          <w:rFonts w:ascii="宋体" w:hAnsi="宋体" w:hint="eastAsia"/>
          <w:b/>
          <w:color w:val="000000"/>
          <w:szCs w:val="21"/>
        </w:rPr>
        <w:t>评报资字</w:t>
      </w:r>
      <w:proofErr w:type="gramEnd"/>
      <w:r>
        <w:rPr>
          <w:rFonts w:ascii="宋体" w:hAnsi="宋体" w:hint="eastAsia"/>
          <w:b/>
          <w:color w:val="000000"/>
          <w:szCs w:val="21"/>
        </w:rPr>
        <w:t>(2022)01025</w:t>
      </w:r>
      <w:r>
        <w:rPr>
          <w:rFonts w:ascii="宋体" w:hAnsi="宋体" w:hint="eastAsia"/>
          <w:b/>
          <w:color w:val="000000"/>
          <w:szCs w:val="21"/>
        </w:rPr>
        <w:t>号</w:t>
      </w:r>
      <w:bookmarkStart w:id="11" w:name="_Toc48442636"/>
      <w:bookmarkStart w:id="12" w:name="_Toc49339794"/>
      <w:bookmarkEnd w:id="11"/>
      <w:bookmarkEnd w:id="12"/>
    </w:p>
    <w:p w14:paraId="6A20E4B5" w14:textId="77777777" w:rsidR="00F76B5E" w:rsidRDefault="0027102A">
      <w:pPr>
        <w:adjustRightInd w:val="0"/>
        <w:snapToGrid w:val="0"/>
        <w:spacing w:line="360" w:lineRule="auto"/>
        <w:rPr>
          <w:rFonts w:ascii="宋体" w:hAnsi="宋体"/>
          <w:b/>
          <w:color w:val="000000"/>
          <w:sz w:val="24"/>
          <w:szCs w:val="24"/>
        </w:rPr>
      </w:pPr>
      <w:r>
        <w:rPr>
          <w:rFonts w:ascii="宋体" w:hAnsi="宋体" w:hint="eastAsia"/>
          <w:b/>
          <w:color w:val="000000"/>
          <w:sz w:val="24"/>
          <w:szCs w:val="24"/>
        </w:rPr>
        <w:t>广东省东莞市第一人民法院：</w:t>
      </w:r>
    </w:p>
    <w:p w14:paraId="0AF2F5D5" w14:textId="77777777" w:rsidR="00F76B5E" w:rsidRDefault="0027102A">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本公司接受贵院的委托</w:t>
      </w:r>
      <w:r>
        <w:rPr>
          <w:rFonts w:ascii="宋体" w:hAnsi="宋体"/>
          <w:color w:val="000000"/>
          <w:sz w:val="24"/>
          <w:szCs w:val="24"/>
        </w:rPr>
        <w:t>,</w:t>
      </w:r>
      <w:r>
        <w:rPr>
          <w:rFonts w:ascii="宋体" w:hAnsi="宋体" w:hint="eastAsia"/>
          <w:color w:val="000000"/>
          <w:sz w:val="24"/>
          <w:szCs w:val="24"/>
        </w:rPr>
        <w:t>根据有关法律法规和资产评估准则</w:t>
      </w:r>
      <w:r>
        <w:rPr>
          <w:rFonts w:ascii="宋体" w:hAnsi="宋体"/>
          <w:color w:val="000000"/>
          <w:sz w:val="24"/>
          <w:szCs w:val="24"/>
        </w:rPr>
        <w:t>,</w:t>
      </w:r>
      <w:r>
        <w:rPr>
          <w:rFonts w:ascii="宋体" w:hAnsi="宋体" w:hint="eastAsia"/>
          <w:color w:val="000000"/>
          <w:sz w:val="24"/>
          <w:szCs w:val="24"/>
        </w:rPr>
        <w:t>采用重置成本法</w:t>
      </w:r>
      <w:r>
        <w:rPr>
          <w:rFonts w:ascii="宋体" w:hAnsi="宋体"/>
          <w:color w:val="000000"/>
          <w:sz w:val="24"/>
          <w:szCs w:val="24"/>
        </w:rPr>
        <w:t>,</w:t>
      </w:r>
      <w:r>
        <w:rPr>
          <w:rFonts w:ascii="宋体" w:hAnsi="宋体" w:hint="eastAsia"/>
          <w:color w:val="000000"/>
          <w:sz w:val="24"/>
          <w:szCs w:val="24"/>
        </w:rPr>
        <w:t>按照必要的评估程序</w:t>
      </w:r>
      <w:r>
        <w:rPr>
          <w:rFonts w:ascii="宋体" w:hAnsi="宋体"/>
          <w:color w:val="000000"/>
          <w:sz w:val="24"/>
          <w:szCs w:val="24"/>
        </w:rPr>
        <w:t>,</w:t>
      </w:r>
      <w:r>
        <w:rPr>
          <w:rFonts w:ascii="宋体" w:hAnsi="宋体" w:hint="eastAsia"/>
          <w:color w:val="000000"/>
          <w:sz w:val="24"/>
          <w:szCs w:val="24"/>
        </w:rPr>
        <w:t>以</w:t>
      </w:r>
      <w:r>
        <w:rPr>
          <w:rFonts w:ascii="宋体" w:hAnsi="宋体"/>
          <w:color w:val="000000"/>
          <w:sz w:val="24"/>
          <w:szCs w:val="24"/>
        </w:rPr>
        <w:t>东莞市第一人民法院石碣人民法庭</w:t>
      </w:r>
      <w:r>
        <w:rPr>
          <w:rFonts w:ascii="宋体" w:hAnsi="宋体" w:hint="eastAsia"/>
          <w:color w:val="000000"/>
          <w:sz w:val="24"/>
          <w:szCs w:val="24"/>
        </w:rPr>
        <w:t>拟拍卖被执行人张晓帆的财产</w:t>
      </w:r>
      <w:r>
        <w:rPr>
          <w:rFonts w:ascii="宋体" w:hAnsi="宋体"/>
          <w:color w:val="000000"/>
          <w:sz w:val="24"/>
          <w:szCs w:val="24"/>
        </w:rPr>
        <w:t>，</w:t>
      </w:r>
      <w:r>
        <w:rPr>
          <w:rFonts w:ascii="宋体" w:hAnsi="宋体" w:hint="eastAsia"/>
          <w:color w:val="000000"/>
          <w:sz w:val="24"/>
          <w:szCs w:val="24"/>
        </w:rPr>
        <w:t>需确定财产处置参考价为目的</w:t>
      </w:r>
      <w:r>
        <w:rPr>
          <w:rFonts w:ascii="宋体" w:hAnsi="宋体"/>
          <w:color w:val="000000"/>
          <w:sz w:val="24"/>
          <w:szCs w:val="24"/>
        </w:rPr>
        <w:t>，</w:t>
      </w:r>
      <w:r>
        <w:rPr>
          <w:rFonts w:ascii="宋体" w:hAnsi="宋体" w:hint="eastAsia"/>
          <w:color w:val="000000"/>
          <w:sz w:val="24"/>
          <w:szCs w:val="24"/>
        </w:rPr>
        <w:t>对《广东省东莞市第一人民法院查封（扣押）财产清单》（</w:t>
      </w:r>
      <w:r>
        <w:rPr>
          <w:rFonts w:ascii="宋体" w:hAnsi="宋体" w:hint="eastAsia"/>
          <w:color w:val="000000"/>
          <w:sz w:val="24"/>
          <w:szCs w:val="24"/>
        </w:rPr>
        <w:t>2021</w:t>
      </w:r>
      <w:r>
        <w:rPr>
          <w:rFonts w:ascii="宋体" w:hAnsi="宋体" w:hint="eastAsia"/>
          <w:color w:val="000000"/>
          <w:sz w:val="24"/>
          <w:szCs w:val="24"/>
        </w:rPr>
        <w:t>）粤</w:t>
      </w:r>
      <w:r>
        <w:rPr>
          <w:rFonts w:ascii="宋体" w:hAnsi="宋体" w:hint="eastAsia"/>
          <w:color w:val="000000"/>
          <w:sz w:val="24"/>
          <w:szCs w:val="24"/>
        </w:rPr>
        <w:t>1971</w:t>
      </w:r>
      <w:r>
        <w:rPr>
          <w:rFonts w:ascii="宋体" w:hAnsi="宋体" w:hint="eastAsia"/>
          <w:color w:val="000000"/>
          <w:sz w:val="24"/>
          <w:szCs w:val="24"/>
        </w:rPr>
        <w:t>执</w:t>
      </w:r>
      <w:r>
        <w:rPr>
          <w:rFonts w:ascii="宋体" w:hAnsi="宋体" w:hint="eastAsia"/>
          <w:color w:val="000000"/>
          <w:sz w:val="24"/>
          <w:szCs w:val="24"/>
        </w:rPr>
        <w:t>29972</w:t>
      </w:r>
      <w:r>
        <w:rPr>
          <w:rFonts w:ascii="宋体" w:hAnsi="宋体" w:hint="eastAsia"/>
          <w:color w:val="000000"/>
          <w:sz w:val="24"/>
          <w:szCs w:val="24"/>
        </w:rPr>
        <w:t>号所列财物</w:t>
      </w:r>
      <w:r>
        <w:rPr>
          <w:rFonts w:ascii="宋体" w:hAnsi="宋体"/>
          <w:color w:val="000000"/>
          <w:sz w:val="24"/>
          <w:szCs w:val="24"/>
        </w:rPr>
        <w:t>在评估基准日的价值进行了评估</w:t>
      </w:r>
      <w:r>
        <w:rPr>
          <w:rFonts w:ascii="宋体" w:hAnsi="宋体" w:hint="eastAsia"/>
          <w:color w:val="000000"/>
          <w:sz w:val="24"/>
          <w:szCs w:val="24"/>
        </w:rPr>
        <w:t>。现将资产评估情况报告如下：</w:t>
      </w:r>
    </w:p>
    <w:p w14:paraId="25CDAC72" w14:textId="77777777" w:rsidR="00F76B5E" w:rsidRDefault="0027102A">
      <w:pPr>
        <w:pStyle w:val="1"/>
        <w:adjustRightInd w:val="0"/>
        <w:snapToGrid w:val="0"/>
        <w:spacing w:before="0" w:after="0" w:line="360" w:lineRule="auto"/>
        <w:ind w:firstLineChars="200" w:firstLine="482"/>
        <w:rPr>
          <w:color w:val="000000"/>
          <w:sz w:val="24"/>
          <w:szCs w:val="24"/>
        </w:rPr>
      </w:pPr>
      <w:bookmarkStart w:id="13" w:name="_Toc93936751"/>
      <w:r>
        <w:rPr>
          <w:rFonts w:hint="eastAsia"/>
          <w:color w:val="000000"/>
          <w:sz w:val="24"/>
          <w:szCs w:val="24"/>
        </w:rPr>
        <w:t>一、</w:t>
      </w:r>
      <w:bookmarkStart w:id="14" w:name="_Toc447125210"/>
      <w:bookmarkStart w:id="15" w:name="_Toc501636008"/>
      <w:r>
        <w:rPr>
          <w:rFonts w:hint="eastAsia"/>
          <w:color w:val="000000"/>
          <w:sz w:val="24"/>
          <w:szCs w:val="24"/>
        </w:rPr>
        <w:t>委托方和《资产</w:t>
      </w:r>
      <w:r>
        <w:rPr>
          <w:color w:val="000000"/>
          <w:sz w:val="24"/>
          <w:szCs w:val="24"/>
        </w:rPr>
        <w:t>评估委托合同</w:t>
      </w:r>
      <w:r>
        <w:rPr>
          <w:rFonts w:hint="eastAsia"/>
          <w:color w:val="000000"/>
          <w:sz w:val="24"/>
          <w:szCs w:val="24"/>
        </w:rPr>
        <w:t>》中约定的其他报告使用者</w:t>
      </w:r>
      <w:bookmarkEnd w:id="13"/>
      <w:bookmarkEnd w:id="14"/>
      <w:bookmarkEnd w:id="15"/>
    </w:p>
    <w:p w14:paraId="5E5D5081" w14:textId="77777777" w:rsidR="00F76B5E" w:rsidRDefault="0027102A">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w:t>
      </w:r>
      <w:proofErr w:type="gramStart"/>
      <w:r>
        <w:rPr>
          <w:rFonts w:ascii="宋体" w:hAnsi="宋体" w:hint="eastAsia"/>
          <w:color w:val="000000"/>
          <w:sz w:val="24"/>
          <w:szCs w:val="24"/>
        </w:rPr>
        <w:t>一</w:t>
      </w:r>
      <w:proofErr w:type="gramEnd"/>
      <w:r>
        <w:rPr>
          <w:rFonts w:ascii="宋体" w:hAnsi="宋体" w:hint="eastAsia"/>
          <w:color w:val="000000"/>
          <w:sz w:val="24"/>
          <w:szCs w:val="24"/>
        </w:rPr>
        <w:t>)</w:t>
      </w:r>
      <w:r>
        <w:rPr>
          <w:rFonts w:ascii="宋体" w:hAnsi="宋体" w:hint="eastAsia"/>
          <w:color w:val="000000"/>
          <w:sz w:val="24"/>
          <w:szCs w:val="24"/>
        </w:rPr>
        <w:t>委托方</w:t>
      </w:r>
    </w:p>
    <w:p w14:paraId="3CE63C74" w14:textId="77777777" w:rsidR="00F76B5E" w:rsidRDefault="0027102A">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委托方：广东省东莞市第一人民法院</w:t>
      </w:r>
    </w:p>
    <w:p w14:paraId="67AA14F1" w14:textId="77777777" w:rsidR="00F76B5E" w:rsidRDefault="0027102A">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二</w:t>
      </w:r>
      <w:r>
        <w:rPr>
          <w:rFonts w:ascii="宋体" w:hAnsi="宋体" w:hint="eastAsia"/>
          <w:color w:val="000000"/>
          <w:sz w:val="24"/>
          <w:szCs w:val="24"/>
        </w:rPr>
        <w:t>)</w:t>
      </w:r>
      <w:r>
        <w:rPr>
          <w:rFonts w:ascii="宋体" w:hAnsi="宋体" w:hint="eastAsia"/>
          <w:color w:val="000000"/>
          <w:sz w:val="24"/>
          <w:szCs w:val="24"/>
        </w:rPr>
        <w:t>《资产</w:t>
      </w:r>
      <w:r>
        <w:rPr>
          <w:rFonts w:ascii="宋体" w:hAnsi="宋体"/>
          <w:color w:val="000000"/>
          <w:sz w:val="24"/>
          <w:szCs w:val="24"/>
        </w:rPr>
        <w:t>评估委托合同</w:t>
      </w:r>
      <w:r>
        <w:rPr>
          <w:rFonts w:ascii="宋体" w:hAnsi="宋体" w:hint="eastAsia"/>
          <w:color w:val="000000"/>
          <w:sz w:val="24"/>
          <w:szCs w:val="24"/>
        </w:rPr>
        <w:t>》约定的其他评估报告使用者</w:t>
      </w:r>
    </w:p>
    <w:p w14:paraId="02F2437C" w14:textId="77777777" w:rsidR="00F76B5E" w:rsidRDefault="0027102A">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本评估报告的《资产</w:t>
      </w:r>
      <w:r>
        <w:rPr>
          <w:rFonts w:ascii="宋体" w:hAnsi="宋体"/>
          <w:color w:val="000000"/>
          <w:sz w:val="24"/>
          <w:szCs w:val="24"/>
        </w:rPr>
        <w:t>评估委托合同</w:t>
      </w:r>
      <w:r>
        <w:rPr>
          <w:rFonts w:ascii="宋体" w:hAnsi="宋体" w:hint="eastAsia"/>
          <w:color w:val="000000"/>
          <w:sz w:val="24"/>
          <w:szCs w:val="24"/>
        </w:rPr>
        <w:t>》中约定的其他评估报告使用者是经济行为相关的当事方以及国家法律、法规规定的评估报告使用者。</w:t>
      </w:r>
    </w:p>
    <w:p w14:paraId="2313AF09" w14:textId="77777777" w:rsidR="00F76B5E" w:rsidRDefault="0027102A">
      <w:pPr>
        <w:pStyle w:val="1"/>
        <w:adjustRightInd w:val="0"/>
        <w:snapToGrid w:val="0"/>
        <w:spacing w:before="0" w:after="0" w:line="360" w:lineRule="auto"/>
        <w:ind w:firstLineChars="200" w:firstLine="482"/>
        <w:rPr>
          <w:color w:val="000000"/>
          <w:sz w:val="24"/>
          <w:szCs w:val="24"/>
        </w:rPr>
      </w:pPr>
      <w:bookmarkStart w:id="16" w:name="_Toc93936752"/>
      <w:r>
        <w:rPr>
          <w:rFonts w:hint="eastAsia"/>
          <w:color w:val="000000"/>
          <w:sz w:val="24"/>
          <w:szCs w:val="24"/>
        </w:rPr>
        <w:t>二、评估目的</w:t>
      </w:r>
      <w:bookmarkEnd w:id="16"/>
    </w:p>
    <w:p w14:paraId="452EAE95" w14:textId="77777777" w:rsidR="00F76B5E" w:rsidRDefault="0027102A">
      <w:pPr>
        <w:adjustRightInd w:val="0"/>
        <w:snapToGrid w:val="0"/>
        <w:spacing w:line="360" w:lineRule="auto"/>
        <w:ind w:firstLine="482"/>
        <w:rPr>
          <w:rFonts w:ascii="宋体" w:hAnsi="宋体"/>
          <w:color w:val="000000"/>
          <w:sz w:val="24"/>
          <w:szCs w:val="24"/>
        </w:rPr>
      </w:pPr>
      <w:r>
        <w:rPr>
          <w:rFonts w:ascii="宋体" w:hAnsi="宋体" w:hint="eastAsia"/>
          <w:color w:val="000000"/>
          <w:sz w:val="24"/>
          <w:szCs w:val="24"/>
        </w:rPr>
        <w:t>以</w:t>
      </w:r>
      <w:r>
        <w:rPr>
          <w:rFonts w:ascii="宋体" w:hAnsi="宋体"/>
          <w:color w:val="000000"/>
          <w:sz w:val="24"/>
          <w:szCs w:val="24"/>
        </w:rPr>
        <w:t>东莞市第一人民法院石碣人民法庭</w:t>
      </w:r>
      <w:r>
        <w:rPr>
          <w:rFonts w:ascii="宋体" w:hAnsi="宋体" w:hint="eastAsia"/>
          <w:color w:val="000000"/>
          <w:sz w:val="24"/>
          <w:szCs w:val="24"/>
        </w:rPr>
        <w:t>拟拍卖被执行人张晓帆的财产</w:t>
      </w:r>
      <w:r>
        <w:rPr>
          <w:rFonts w:ascii="宋体" w:hAnsi="宋体"/>
          <w:color w:val="000000"/>
          <w:sz w:val="24"/>
          <w:szCs w:val="24"/>
        </w:rPr>
        <w:t>，</w:t>
      </w:r>
      <w:r>
        <w:rPr>
          <w:rFonts w:ascii="宋体" w:hAnsi="宋体" w:hint="eastAsia"/>
          <w:color w:val="000000"/>
          <w:sz w:val="24"/>
          <w:szCs w:val="24"/>
        </w:rPr>
        <w:t>需确定财</w:t>
      </w:r>
      <w:r>
        <w:rPr>
          <w:rFonts w:ascii="宋体" w:hAnsi="宋体" w:hint="eastAsia"/>
          <w:color w:val="000000"/>
          <w:sz w:val="24"/>
          <w:szCs w:val="24"/>
        </w:rPr>
        <w:t>产处置参考价为目的。</w:t>
      </w:r>
      <w:bookmarkStart w:id="17" w:name="_Toc447125212"/>
      <w:bookmarkStart w:id="18" w:name="_Toc502866371"/>
      <w:bookmarkEnd w:id="17"/>
      <w:bookmarkEnd w:id="18"/>
    </w:p>
    <w:p w14:paraId="2AEC7175" w14:textId="77777777" w:rsidR="00F76B5E" w:rsidRDefault="0027102A">
      <w:pPr>
        <w:pStyle w:val="1"/>
        <w:adjustRightInd w:val="0"/>
        <w:snapToGrid w:val="0"/>
        <w:spacing w:before="0" w:after="0" w:line="360" w:lineRule="auto"/>
        <w:ind w:firstLineChars="200" w:firstLine="482"/>
        <w:rPr>
          <w:color w:val="000000"/>
          <w:sz w:val="24"/>
          <w:szCs w:val="24"/>
        </w:rPr>
      </w:pPr>
      <w:bookmarkStart w:id="19" w:name="_Toc93936753"/>
      <w:r>
        <w:rPr>
          <w:rFonts w:hint="eastAsia"/>
          <w:color w:val="000000"/>
          <w:sz w:val="24"/>
          <w:szCs w:val="24"/>
        </w:rPr>
        <w:t>三、评估对象和评估范围</w:t>
      </w:r>
      <w:bookmarkEnd w:id="19"/>
    </w:p>
    <w:bookmarkEnd w:id="0"/>
    <w:bookmarkEnd w:id="1"/>
    <w:p w14:paraId="4BC95B7D" w14:textId="77777777" w:rsidR="00F76B5E" w:rsidRDefault="0027102A">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w:t>
      </w:r>
      <w:proofErr w:type="gramStart"/>
      <w:r>
        <w:rPr>
          <w:rFonts w:ascii="宋体" w:hAnsi="宋体" w:hint="eastAsia"/>
          <w:color w:val="000000"/>
          <w:sz w:val="24"/>
          <w:szCs w:val="24"/>
        </w:rPr>
        <w:t>一</w:t>
      </w:r>
      <w:proofErr w:type="gramEnd"/>
      <w:r>
        <w:rPr>
          <w:rFonts w:ascii="宋体" w:hAnsi="宋体" w:hint="eastAsia"/>
          <w:color w:val="000000"/>
          <w:sz w:val="24"/>
          <w:szCs w:val="24"/>
        </w:rPr>
        <w:t>)</w:t>
      </w:r>
      <w:r>
        <w:rPr>
          <w:rFonts w:ascii="宋体" w:hAnsi="宋体" w:hint="eastAsia"/>
          <w:color w:val="000000"/>
          <w:sz w:val="24"/>
          <w:szCs w:val="24"/>
        </w:rPr>
        <w:t>评估对象</w:t>
      </w:r>
    </w:p>
    <w:p w14:paraId="06C796EA" w14:textId="77777777" w:rsidR="00F76B5E" w:rsidRDefault="0027102A">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家私十六项</w:t>
      </w:r>
      <w:r>
        <w:rPr>
          <w:rFonts w:ascii="宋体" w:hAnsi="宋体" w:hint="eastAsia"/>
          <w:color w:val="000000"/>
          <w:sz w:val="24"/>
          <w:szCs w:val="24"/>
        </w:rPr>
        <w:t>18</w:t>
      </w:r>
      <w:r>
        <w:rPr>
          <w:rFonts w:ascii="宋体" w:hAnsi="宋体" w:hint="eastAsia"/>
          <w:color w:val="000000"/>
          <w:sz w:val="24"/>
          <w:szCs w:val="24"/>
        </w:rPr>
        <w:t>台（套）。</w:t>
      </w:r>
    </w:p>
    <w:p w14:paraId="31F553F1" w14:textId="77777777" w:rsidR="00F76B5E" w:rsidRDefault="0027102A">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二</w:t>
      </w:r>
      <w:r>
        <w:rPr>
          <w:rFonts w:ascii="宋体" w:hAnsi="宋体" w:hint="eastAsia"/>
          <w:color w:val="000000"/>
          <w:sz w:val="24"/>
          <w:szCs w:val="24"/>
        </w:rPr>
        <w:t>)</w:t>
      </w:r>
      <w:r>
        <w:rPr>
          <w:rFonts w:ascii="宋体" w:hAnsi="宋体" w:hint="eastAsia"/>
          <w:color w:val="000000"/>
          <w:sz w:val="24"/>
          <w:szCs w:val="24"/>
        </w:rPr>
        <w:t>评估范围</w:t>
      </w:r>
    </w:p>
    <w:p w14:paraId="2BA22296" w14:textId="77777777" w:rsidR="00F76B5E" w:rsidRDefault="0027102A">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根据委托方提供的《广东省东莞市第一人民法院查封（扣押）财产清单》（</w:t>
      </w:r>
      <w:r>
        <w:rPr>
          <w:rFonts w:ascii="宋体" w:hAnsi="宋体" w:hint="eastAsia"/>
          <w:color w:val="000000"/>
          <w:sz w:val="24"/>
          <w:szCs w:val="24"/>
        </w:rPr>
        <w:t>2021</w:t>
      </w:r>
      <w:r>
        <w:rPr>
          <w:rFonts w:ascii="宋体" w:hAnsi="宋体" w:hint="eastAsia"/>
          <w:color w:val="000000"/>
          <w:sz w:val="24"/>
          <w:szCs w:val="24"/>
        </w:rPr>
        <w:t>）粤</w:t>
      </w:r>
      <w:r>
        <w:rPr>
          <w:rFonts w:ascii="宋体" w:hAnsi="宋体" w:hint="eastAsia"/>
          <w:color w:val="000000"/>
          <w:sz w:val="24"/>
          <w:szCs w:val="24"/>
        </w:rPr>
        <w:t>1971</w:t>
      </w:r>
      <w:r>
        <w:rPr>
          <w:rFonts w:ascii="宋体" w:hAnsi="宋体" w:hint="eastAsia"/>
          <w:color w:val="000000"/>
          <w:sz w:val="24"/>
          <w:szCs w:val="24"/>
        </w:rPr>
        <w:t>执</w:t>
      </w:r>
      <w:r>
        <w:rPr>
          <w:rFonts w:ascii="宋体" w:hAnsi="宋体" w:hint="eastAsia"/>
          <w:color w:val="000000"/>
          <w:sz w:val="24"/>
          <w:szCs w:val="24"/>
        </w:rPr>
        <w:t>29972</w:t>
      </w:r>
      <w:r>
        <w:rPr>
          <w:rFonts w:ascii="宋体" w:hAnsi="宋体" w:hint="eastAsia"/>
          <w:color w:val="000000"/>
          <w:sz w:val="24"/>
          <w:szCs w:val="24"/>
        </w:rPr>
        <w:t>号确定，此次的评估范围为家私十六项</w:t>
      </w:r>
      <w:r>
        <w:rPr>
          <w:rFonts w:ascii="宋体" w:hAnsi="宋体" w:hint="eastAsia"/>
          <w:color w:val="000000"/>
          <w:sz w:val="24"/>
          <w:szCs w:val="24"/>
        </w:rPr>
        <w:t>18</w:t>
      </w:r>
      <w:r>
        <w:rPr>
          <w:rFonts w:ascii="宋体" w:hAnsi="宋体" w:hint="eastAsia"/>
          <w:color w:val="000000"/>
          <w:sz w:val="24"/>
          <w:szCs w:val="24"/>
        </w:rPr>
        <w:t>台套。</w:t>
      </w:r>
    </w:p>
    <w:p w14:paraId="0615ACC3" w14:textId="77777777" w:rsidR="00F76B5E" w:rsidRDefault="0027102A">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（三）评估对象基本状况。</w:t>
      </w:r>
    </w:p>
    <w:p w14:paraId="08916745" w14:textId="77777777" w:rsidR="00F76B5E" w:rsidRDefault="0027102A">
      <w:pPr>
        <w:snapToGrid w:val="0"/>
        <w:spacing w:line="360" w:lineRule="auto"/>
        <w:ind w:firstLine="482"/>
        <w:rPr>
          <w:rFonts w:ascii="宋体" w:hAnsi="宋体"/>
          <w:color w:val="000000"/>
          <w:sz w:val="24"/>
          <w:szCs w:val="24"/>
        </w:rPr>
      </w:pPr>
      <w:proofErr w:type="gramStart"/>
      <w:r>
        <w:rPr>
          <w:rFonts w:ascii="宋体" w:hAnsi="宋体" w:hint="eastAsia"/>
          <w:color w:val="000000"/>
          <w:sz w:val="24"/>
          <w:szCs w:val="24"/>
        </w:rPr>
        <w:t>委估资产</w:t>
      </w:r>
      <w:proofErr w:type="gramEnd"/>
      <w:r>
        <w:rPr>
          <w:rFonts w:ascii="宋体" w:hAnsi="宋体" w:hint="eastAsia"/>
          <w:color w:val="000000"/>
          <w:sz w:val="24"/>
          <w:szCs w:val="24"/>
        </w:rPr>
        <w:t>的基本情况如下：</w:t>
      </w:r>
    </w:p>
    <w:tbl>
      <w:tblPr>
        <w:tblW w:w="8139" w:type="dxa"/>
        <w:tblLook w:val="04A0" w:firstRow="1" w:lastRow="0" w:firstColumn="1" w:lastColumn="0" w:noHBand="0" w:noVBand="1"/>
      </w:tblPr>
      <w:tblGrid>
        <w:gridCol w:w="846"/>
        <w:gridCol w:w="1482"/>
        <w:gridCol w:w="1134"/>
        <w:gridCol w:w="2126"/>
        <w:gridCol w:w="709"/>
        <w:gridCol w:w="1842"/>
      </w:tblGrid>
      <w:tr w:rsidR="00F76B5E" w14:paraId="73B34620" w14:textId="77777777">
        <w:trPr>
          <w:trHeight w:val="422"/>
        </w:trPr>
        <w:tc>
          <w:tcPr>
            <w:tcW w:w="846" w:type="dxa"/>
            <w:tcBorders>
              <w:top w:val="single" w:sz="4" w:space="0" w:color="auto"/>
              <w:left w:val="single" w:sz="4" w:space="0" w:color="auto"/>
              <w:bottom w:val="nil"/>
              <w:right w:val="single" w:sz="4" w:space="0" w:color="auto"/>
            </w:tcBorders>
            <w:shd w:val="clear" w:color="auto" w:fill="auto"/>
            <w:vAlign w:val="center"/>
            <w:hideMark/>
          </w:tcPr>
          <w:p w14:paraId="4D337EE8"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序号</w:t>
            </w:r>
          </w:p>
        </w:tc>
        <w:tc>
          <w:tcPr>
            <w:tcW w:w="1482" w:type="dxa"/>
            <w:tcBorders>
              <w:top w:val="single" w:sz="4" w:space="0" w:color="auto"/>
              <w:left w:val="nil"/>
              <w:bottom w:val="nil"/>
              <w:right w:val="single" w:sz="4" w:space="0" w:color="auto"/>
            </w:tcBorders>
            <w:shd w:val="clear" w:color="auto" w:fill="auto"/>
            <w:vAlign w:val="center"/>
            <w:hideMark/>
          </w:tcPr>
          <w:p w14:paraId="4B987700"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设备名称</w:t>
            </w:r>
          </w:p>
        </w:tc>
        <w:tc>
          <w:tcPr>
            <w:tcW w:w="1134" w:type="dxa"/>
            <w:tcBorders>
              <w:top w:val="single" w:sz="4" w:space="0" w:color="auto"/>
              <w:left w:val="nil"/>
              <w:bottom w:val="nil"/>
              <w:right w:val="single" w:sz="4" w:space="0" w:color="auto"/>
            </w:tcBorders>
            <w:shd w:val="clear" w:color="auto" w:fill="auto"/>
            <w:vAlign w:val="center"/>
            <w:hideMark/>
          </w:tcPr>
          <w:p w14:paraId="331A2A58"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规格型号</w:t>
            </w:r>
          </w:p>
        </w:tc>
        <w:tc>
          <w:tcPr>
            <w:tcW w:w="2126" w:type="dxa"/>
            <w:tcBorders>
              <w:top w:val="single" w:sz="4" w:space="0" w:color="auto"/>
              <w:left w:val="nil"/>
              <w:bottom w:val="nil"/>
              <w:right w:val="single" w:sz="4" w:space="0" w:color="auto"/>
            </w:tcBorders>
            <w:shd w:val="clear" w:color="auto" w:fill="auto"/>
            <w:vAlign w:val="center"/>
            <w:hideMark/>
          </w:tcPr>
          <w:p w14:paraId="0DD748AA"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生产厂家</w:t>
            </w:r>
          </w:p>
        </w:tc>
        <w:tc>
          <w:tcPr>
            <w:tcW w:w="709" w:type="dxa"/>
            <w:tcBorders>
              <w:top w:val="single" w:sz="4" w:space="0" w:color="auto"/>
              <w:left w:val="nil"/>
              <w:bottom w:val="nil"/>
              <w:right w:val="single" w:sz="4" w:space="0" w:color="auto"/>
            </w:tcBorders>
            <w:shd w:val="clear" w:color="auto" w:fill="auto"/>
            <w:vAlign w:val="center"/>
            <w:hideMark/>
          </w:tcPr>
          <w:p w14:paraId="170B5B4E"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单位</w:t>
            </w:r>
          </w:p>
        </w:tc>
        <w:tc>
          <w:tcPr>
            <w:tcW w:w="1842" w:type="dxa"/>
            <w:tcBorders>
              <w:top w:val="single" w:sz="4" w:space="0" w:color="auto"/>
              <w:left w:val="nil"/>
              <w:bottom w:val="nil"/>
              <w:right w:val="single" w:sz="4" w:space="0" w:color="auto"/>
            </w:tcBorders>
            <w:shd w:val="clear" w:color="auto" w:fill="auto"/>
            <w:vAlign w:val="center"/>
            <w:hideMark/>
          </w:tcPr>
          <w:p w14:paraId="29BA85FF"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数量</w:t>
            </w:r>
          </w:p>
        </w:tc>
      </w:tr>
      <w:tr w:rsidR="00F76B5E" w14:paraId="3CC88863" w14:textId="77777777">
        <w:trPr>
          <w:trHeight w:val="23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62632" w14:textId="77777777" w:rsidR="00F76B5E" w:rsidRDefault="0027102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14:paraId="7E442DA4"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床</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97F8D9"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r>
              <w:rPr>
                <w:rFonts w:ascii="宋体" w:hAnsi="宋体" w:cs="宋体" w:hint="eastAsia"/>
                <w:color w:val="000000"/>
                <w:kern w:val="0"/>
                <w:sz w:val="22"/>
                <w:szCs w:val="22"/>
              </w:rPr>
              <w:t>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9325182"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A6DB64D"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张</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DF78C27"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F76B5E" w14:paraId="1CE356F3" w14:textId="77777777">
        <w:trPr>
          <w:trHeight w:val="33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4251E18" w14:textId="77777777" w:rsidR="00F76B5E" w:rsidRDefault="0027102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w:t>
            </w:r>
          </w:p>
        </w:tc>
        <w:tc>
          <w:tcPr>
            <w:tcW w:w="1482" w:type="dxa"/>
            <w:tcBorders>
              <w:top w:val="nil"/>
              <w:left w:val="nil"/>
              <w:bottom w:val="single" w:sz="4" w:space="0" w:color="auto"/>
              <w:right w:val="single" w:sz="4" w:space="0" w:color="auto"/>
            </w:tcBorders>
            <w:shd w:val="clear" w:color="auto" w:fill="auto"/>
            <w:vAlign w:val="center"/>
            <w:hideMark/>
          </w:tcPr>
          <w:p w14:paraId="4F0080A5"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床</w:t>
            </w:r>
          </w:p>
        </w:tc>
        <w:tc>
          <w:tcPr>
            <w:tcW w:w="1134" w:type="dxa"/>
            <w:tcBorders>
              <w:top w:val="nil"/>
              <w:left w:val="nil"/>
              <w:bottom w:val="single" w:sz="4" w:space="0" w:color="auto"/>
              <w:right w:val="single" w:sz="4" w:space="0" w:color="auto"/>
            </w:tcBorders>
            <w:shd w:val="clear" w:color="auto" w:fill="auto"/>
            <w:vAlign w:val="center"/>
            <w:hideMark/>
          </w:tcPr>
          <w:p w14:paraId="61541294"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r>
              <w:rPr>
                <w:rFonts w:ascii="宋体" w:hAnsi="宋体" w:cs="宋体" w:hint="eastAsia"/>
                <w:color w:val="000000"/>
                <w:kern w:val="0"/>
                <w:sz w:val="22"/>
                <w:szCs w:val="22"/>
              </w:rPr>
              <w:t>米</w:t>
            </w:r>
          </w:p>
        </w:tc>
        <w:tc>
          <w:tcPr>
            <w:tcW w:w="2126" w:type="dxa"/>
            <w:tcBorders>
              <w:top w:val="nil"/>
              <w:left w:val="nil"/>
              <w:bottom w:val="single" w:sz="4" w:space="0" w:color="auto"/>
              <w:right w:val="single" w:sz="4" w:space="0" w:color="auto"/>
            </w:tcBorders>
            <w:shd w:val="clear" w:color="auto" w:fill="auto"/>
            <w:vAlign w:val="center"/>
            <w:hideMark/>
          </w:tcPr>
          <w:p w14:paraId="7159B365"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9441EA8"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张</w:t>
            </w:r>
          </w:p>
        </w:tc>
        <w:tc>
          <w:tcPr>
            <w:tcW w:w="1842" w:type="dxa"/>
            <w:tcBorders>
              <w:top w:val="nil"/>
              <w:left w:val="nil"/>
              <w:bottom w:val="single" w:sz="4" w:space="0" w:color="auto"/>
              <w:right w:val="single" w:sz="4" w:space="0" w:color="auto"/>
            </w:tcBorders>
            <w:shd w:val="clear" w:color="auto" w:fill="auto"/>
            <w:vAlign w:val="center"/>
            <w:hideMark/>
          </w:tcPr>
          <w:p w14:paraId="6558DB56"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F76B5E" w14:paraId="4BBD282E" w14:textId="77777777">
        <w:trPr>
          <w:trHeight w:val="14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88B608C" w14:textId="77777777" w:rsidR="00F76B5E" w:rsidRDefault="0027102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3</w:t>
            </w:r>
          </w:p>
        </w:tc>
        <w:tc>
          <w:tcPr>
            <w:tcW w:w="1482" w:type="dxa"/>
            <w:tcBorders>
              <w:top w:val="nil"/>
              <w:left w:val="nil"/>
              <w:bottom w:val="single" w:sz="4" w:space="0" w:color="auto"/>
              <w:right w:val="single" w:sz="4" w:space="0" w:color="auto"/>
            </w:tcBorders>
            <w:shd w:val="clear" w:color="auto" w:fill="auto"/>
            <w:vAlign w:val="center"/>
            <w:hideMark/>
          </w:tcPr>
          <w:p w14:paraId="7603C481"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床垫</w:t>
            </w:r>
          </w:p>
        </w:tc>
        <w:tc>
          <w:tcPr>
            <w:tcW w:w="1134" w:type="dxa"/>
            <w:tcBorders>
              <w:top w:val="nil"/>
              <w:left w:val="nil"/>
              <w:bottom w:val="single" w:sz="4" w:space="0" w:color="auto"/>
              <w:right w:val="single" w:sz="4" w:space="0" w:color="auto"/>
            </w:tcBorders>
            <w:shd w:val="clear" w:color="auto" w:fill="auto"/>
            <w:vAlign w:val="center"/>
            <w:hideMark/>
          </w:tcPr>
          <w:p w14:paraId="09968D6A"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r>
              <w:rPr>
                <w:rFonts w:ascii="宋体" w:hAnsi="宋体" w:cs="宋体" w:hint="eastAsia"/>
                <w:color w:val="000000"/>
                <w:kern w:val="0"/>
                <w:sz w:val="22"/>
                <w:szCs w:val="22"/>
              </w:rPr>
              <w:t>米</w:t>
            </w:r>
          </w:p>
        </w:tc>
        <w:tc>
          <w:tcPr>
            <w:tcW w:w="2126" w:type="dxa"/>
            <w:tcBorders>
              <w:top w:val="nil"/>
              <w:left w:val="nil"/>
              <w:bottom w:val="single" w:sz="4" w:space="0" w:color="auto"/>
              <w:right w:val="single" w:sz="4" w:space="0" w:color="auto"/>
            </w:tcBorders>
            <w:shd w:val="clear" w:color="auto" w:fill="auto"/>
            <w:vAlign w:val="center"/>
            <w:hideMark/>
          </w:tcPr>
          <w:p w14:paraId="6FBBDB6B"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4DD95C1"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张</w:t>
            </w:r>
          </w:p>
        </w:tc>
        <w:tc>
          <w:tcPr>
            <w:tcW w:w="1842" w:type="dxa"/>
            <w:tcBorders>
              <w:top w:val="nil"/>
              <w:left w:val="nil"/>
              <w:bottom w:val="single" w:sz="4" w:space="0" w:color="auto"/>
              <w:right w:val="single" w:sz="4" w:space="0" w:color="auto"/>
            </w:tcBorders>
            <w:shd w:val="clear" w:color="auto" w:fill="auto"/>
            <w:vAlign w:val="center"/>
            <w:hideMark/>
          </w:tcPr>
          <w:p w14:paraId="13C6C696"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F76B5E" w14:paraId="6B12FB29" w14:textId="77777777">
        <w:trPr>
          <w:trHeight w:val="89"/>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2BB55B0" w14:textId="77777777" w:rsidR="00F76B5E" w:rsidRDefault="0027102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4</w:t>
            </w:r>
          </w:p>
        </w:tc>
        <w:tc>
          <w:tcPr>
            <w:tcW w:w="1482" w:type="dxa"/>
            <w:tcBorders>
              <w:top w:val="nil"/>
              <w:left w:val="nil"/>
              <w:bottom w:val="single" w:sz="4" w:space="0" w:color="auto"/>
              <w:right w:val="single" w:sz="4" w:space="0" w:color="auto"/>
            </w:tcBorders>
            <w:shd w:val="clear" w:color="auto" w:fill="auto"/>
            <w:vAlign w:val="center"/>
            <w:hideMark/>
          </w:tcPr>
          <w:p w14:paraId="57D306C5"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床垫</w:t>
            </w:r>
          </w:p>
        </w:tc>
        <w:tc>
          <w:tcPr>
            <w:tcW w:w="1134" w:type="dxa"/>
            <w:tcBorders>
              <w:top w:val="nil"/>
              <w:left w:val="nil"/>
              <w:bottom w:val="single" w:sz="4" w:space="0" w:color="auto"/>
              <w:right w:val="single" w:sz="4" w:space="0" w:color="auto"/>
            </w:tcBorders>
            <w:shd w:val="clear" w:color="auto" w:fill="auto"/>
            <w:vAlign w:val="center"/>
            <w:hideMark/>
          </w:tcPr>
          <w:p w14:paraId="55B7987E"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r>
              <w:rPr>
                <w:rFonts w:ascii="宋体" w:hAnsi="宋体" w:cs="宋体" w:hint="eastAsia"/>
                <w:color w:val="000000"/>
                <w:kern w:val="0"/>
                <w:sz w:val="22"/>
                <w:szCs w:val="22"/>
              </w:rPr>
              <w:t>米</w:t>
            </w:r>
          </w:p>
        </w:tc>
        <w:tc>
          <w:tcPr>
            <w:tcW w:w="2126" w:type="dxa"/>
            <w:tcBorders>
              <w:top w:val="nil"/>
              <w:left w:val="nil"/>
              <w:bottom w:val="single" w:sz="4" w:space="0" w:color="auto"/>
              <w:right w:val="single" w:sz="4" w:space="0" w:color="auto"/>
            </w:tcBorders>
            <w:shd w:val="clear" w:color="auto" w:fill="auto"/>
            <w:vAlign w:val="center"/>
            <w:hideMark/>
          </w:tcPr>
          <w:p w14:paraId="7F620D4F"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FA59358"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张</w:t>
            </w:r>
          </w:p>
        </w:tc>
        <w:tc>
          <w:tcPr>
            <w:tcW w:w="1842" w:type="dxa"/>
            <w:tcBorders>
              <w:top w:val="nil"/>
              <w:left w:val="nil"/>
              <w:bottom w:val="single" w:sz="4" w:space="0" w:color="auto"/>
              <w:right w:val="single" w:sz="4" w:space="0" w:color="auto"/>
            </w:tcBorders>
            <w:shd w:val="clear" w:color="auto" w:fill="auto"/>
            <w:vAlign w:val="center"/>
            <w:hideMark/>
          </w:tcPr>
          <w:p w14:paraId="3E129CB7"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F76B5E" w14:paraId="5F7F110F" w14:textId="77777777">
        <w:trPr>
          <w:trHeight w:val="193"/>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23A3633" w14:textId="77777777" w:rsidR="00F76B5E" w:rsidRDefault="0027102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5</w:t>
            </w:r>
          </w:p>
        </w:tc>
        <w:tc>
          <w:tcPr>
            <w:tcW w:w="1482" w:type="dxa"/>
            <w:tcBorders>
              <w:top w:val="nil"/>
              <w:left w:val="nil"/>
              <w:bottom w:val="single" w:sz="4" w:space="0" w:color="auto"/>
              <w:right w:val="single" w:sz="4" w:space="0" w:color="auto"/>
            </w:tcBorders>
            <w:shd w:val="clear" w:color="auto" w:fill="auto"/>
            <w:vAlign w:val="center"/>
            <w:hideMark/>
          </w:tcPr>
          <w:p w14:paraId="1E3E285B"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沙发</w:t>
            </w:r>
          </w:p>
        </w:tc>
        <w:tc>
          <w:tcPr>
            <w:tcW w:w="1134" w:type="dxa"/>
            <w:tcBorders>
              <w:top w:val="nil"/>
              <w:left w:val="nil"/>
              <w:bottom w:val="single" w:sz="4" w:space="0" w:color="auto"/>
              <w:right w:val="single" w:sz="4" w:space="0" w:color="auto"/>
            </w:tcBorders>
            <w:shd w:val="clear" w:color="auto" w:fill="auto"/>
            <w:vAlign w:val="center"/>
            <w:hideMark/>
          </w:tcPr>
          <w:p w14:paraId="519EFF21"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双人</w:t>
            </w:r>
          </w:p>
        </w:tc>
        <w:tc>
          <w:tcPr>
            <w:tcW w:w="2126" w:type="dxa"/>
            <w:tcBorders>
              <w:top w:val="nil"/>
              <w:left w:val="nil"/>
              <w:bottom w:val="single" w:sz="4" w:space="0" w:color="auto"/>
              <w:right w:val="single" w:sz="4" w:space="0" w:color="auto"/>
            </w:tcBorders>
            <w:shd w:val="clear" w:color="auto" w:fill="auto"/>
            <w:vAlign w:val="center"/>
            <w:hideMark/>
          </w:tcPr>
          <w:p w14:paraId="5BAE672F"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CB959E1"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套</w:t>
            </w:r>
          </w:p>
        </w:tc>
        <w:tc>
          <w:tcPr>
            <w:tcW w:w="1842" w:type="dxa"/>
            <w:tcBorders>
              <w:top w:val="nil"/>
              <w:left w:val="nil"/>
              <w:bottom w:val="single" w:sz="4" w:space="0" w:color="auto"/>
              <w:right w:val="single" w:sz="4" w:space="0" w:color="auto"/>
            </w:tcBorders>
            <w:shd w:val="clear" w:color="auto" w:fill="auto"/>
            <w:vAlign w:val="center"/>
            <w:hideMark/>
          </w:tcPr>
          <w:p w14:paraId="7DB9E47A"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F76B5E" w14:paraId="3BF60579" w14:textId="77777777">
        <w:trPr>
          <w:trHeight w:val="297"/>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8BE464A" w14:textId="77777777" w:rsidR="00F76B5E" w:rsidRDefault="0027102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6</w:t>
            </w:r>
          </w:p>
        </w:tc>
        <w:tc>
          <w:tcPr>
            <w:tcW w:w="1482" w:type="dxa"/>
            <w:tcBorders>
              <w:top w:val="nil"/>
              <w:left w:val="nil"/>
              <w:bottom w:val="single" w:sz="4" w:space="0" w:color="auto"/>
              <w:right w:val="single" w:sz="4" w:space="0" w:color="auto"/>
            </w:tcBorders>
            <w:shd w:val="clear" w:color="auto" w:fill="auto"/>
            <w:vAlign w:val="center"/>
            <w:hideMark/>
          </w:tcPr>
          <w:p w14:paraId="269B568E"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餐桌</w:t>
            </w:r>
          </w:p>
        </w:tc>
        <w:tc>
          <w:tcPr>
            <w:tcW w:w="1134" w:type="dxa"/>
            <w:tcBorders>
              <w:top w:val="nil"/>
              <w:left w:val="nil"/>
              <w:bottom w:val="single" w:sz="4" w:space="0" w:color="auto"/>
              <w:right w:val="single" w:sz="4" w:space="0" w:color="auto"/>
            </w:tcBorders>
            <w:shd w:val="clear" w:color="auto" w:fill="auto"/>
            <w:vAlign w:val="center"/>
            <w:hideMark/>
          </w:tcPr>
          <w:p w14:paraId="30545EFA"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四人</w:t>
            </w:r>
          </w:p>
        </w:tc>
        <w:tc>
          <w:tcPr>
            <w:tcW w:w="2126" w:type="dxa"/>
            <w:tcBorders>
              <w:top w:val="nil"/>
              <w:left w:val="nil"/>
              <w:bottom w:val="single" w:sz="4" w:space="0" w:color="auto"/>
              <w:right w:val="single" w:sz="4" w:space="0" w:color="auto"/>
            </w:tcBorders>
            <w:shd w:val="clear" w:color="auto" w:fill="auto"/>
            <w:vAlign w:val="center"/>
            <w:hideMark/>
          </w:tcPr>
          <w:p w14:paraId="2FCC6B0C"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033771C"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套</w:t>
            </w:r>
          </w:p>
        </w:tc>
        <w:tc>
          <w:tcPr>
            <w:tcW w:w="1842" w:type="dxa"/>
            <w:tcBorders>
              <w:top w:val="nil"/>
              <w:left w:val="nil"/>
              <w:bottom w:val="single" w:sz="4" w:space="0" w:color="auto"/>
              <w:right w:val="single" w:sz="4" w:space="0" w:color="auto"/>
            </w:tcBorders>
            <w:shd w:val="clear" w:color="auto" w:fill="auto"/>
            <w:vAlign w:val="center"/>
            <w:hideMark/>
          </w:tcPr>
          <w:p w14:paraId="616D5F83"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F76B5E" w14:paraId="19FC1DAF" w14:textId="77777777">
        <w:trPr>
          <w:trHeight w:val="259"/>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83CC779" w14:textId="77777777" w:rsidR="00F76B5E" w:rsidRDefault="0027102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7</w:t>
            </w:r>
          </w:p>
        </w:tc>
        <w:tc>
          <w:tcPr>
            <w:tcW w:w="1482" w:type="dxa"/>
            <w:tcBorders>
              <w:top w:val="nil"/>
              <w:left w:val="nil"/>
              <w:bottom w:val="single" w:sz="4" w:space="0" w:color="auto"/>
              <w:right w:val="single" w:sz="4" w:space="0" w:color="auto"/>
            </w:tcBorders>
            <w:shd w:val="clear" w:color="auto" w:fill="auto"/>
            <w:vAlign w:val="center"/>
            <w:hideMark/>
          </w:tcPr>
          <w:p w14:paraId="7EBD68F6"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茶几</w:t>
            </w:r>
          </w:p>
        </w:tc>
        <w:tc>
          <w:tcPr>
            <w:tcW w:w="1134" w:type="dxa"/>
            <w:tcBorders>
              <w:top w:val="nil"/>
              <w:left w:val="nil"/>
              <w:bottom w:val="single" w:sz="4" w:space="0" w:color="auto"/>
              <w:right w:val="single" w:sz="4" w:space="0" w:color="auto"/>
            </w:tcBorders>
            <w:shd w:val="clear" w:color="auto" w:fill="auto"/>
            <w:vAlign w:val="center"/>
            <w:hideMark/>
          </w:tcPr>
          <w:p w14:paraId="437096CF"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2126" w:type="dxa"/>
            <w:tcBorders>
              <w:top w:val="nil"/>
              <w:left w:val="nil"/>
              <w:bottom w:val="single" w:sz="4" w:space="0" w:color="auto"/>
              <w:right w:val="single" w:sz="4" w:space="0" w:color="auto"/>
            </w:tcBorders>
            <w:shd w:val="clear" w:color="auto" w:fill="auto"/>
            <w:vAlign w:val="center"/>
            <w:hideMark/>
          </w:tcPr>
          <w:p w14:paraId="51565D56"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94799C9"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张</w:t>
            </w:r>
          </w:p>
        </w:tc>
        <w:tc>
          <w:tcPr>
            <w:tcW w:w="1842" w:type="dxa"/>
            <w:tcBorders>
              <w:top w:val="nil"/>
              <w:left w:val="nil"/>
              <w:bottom w:val="single" w:sz="4" w:space="0" w:color="auto"/>
              <w:right w:val="single" w:sz="4" w:space="0" w:color="auto"/>
            </w:tcBorders>
            <w:shd w:val="clear" w:color="auto" w:fill="auto"/>
            <w:vAlign w:val="center"/>
            <w:hideMark/>
          </w:tcPr>
          <w:p w14:paraId="4AE3A34A"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F76B5E" w14:paraId="091FEA34" w14:textId="77777777">
        <w:trPr>
          <w:trHeight w:val="221"/>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80B8735" w14:textId="77777777" w:rsidR="00F76B5E" w:rsidRDefault="0027102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8</w:t>
            </w:r>
          </w:p>
        </w:tc>
        <w:tc>
          <w:tcPr>
            <w:tcW w:w="1482" w:type="dxa"/>
            <w:tcBorders>
              <w:top w:val="nil"/>
              <w:left w:val="nil"/>
              <w:bottom w:val="single" w:sz="4" w:space="0" w:color="auto"/>
              <w:right w:val="single" w:sz="4" w:space="0" w:color="auto"/>
            </w:tcBorders>
            <w:shd w:val="clear" w:color="auto" w:fill="auto"/>
            <w:vAlign w:val="center"/>
            <w:hideMark/>
          </w:tcPr>
          <w:p w14:paraId="6D4EE4C7"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电视柜</w:t>
            </w:r>
          </w:p>
        </w:tc>
        <w:tc>
          <w:tcPr>
            <w:tcW w:w="1134" w:type="dxa"/>
            <w:tcBorders>
              <w:top w:val="nil"/>
              <w:left w:val="nil"/>
              <w:bottom w:val="single" w:sz="4" w:space="0" w:color="auto"/>
              <w:right w:val="single" w:sz="4" w:space="0" w:color="auto"/>
            </w:tcBorders>
            <w:shd w:val="clear" w:color="auto" w:fill="auto"/>
            <w:vAlign w:val="center"/>
            <w:hideMark/>
          </w:tcPr>
          <w:p w14:paraId="06AB8F1F"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14:paraId="7E9E503B"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A78DB93"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张</w:t>
            </w:r>
          </w:p>
        </w:tc>
        <w:tc>
          <w:tcPr>
            <w:tcW w:w="1842" w:type="dxa"/>
            <w:tcBorders>
              <w:top w:val="nil"/>
              <w:left w:val="nil"/>
              <w:bottom w:val="single" w:sz="4" w:space="0" w:color="auto"/>
              <w:right w:val="single" w:sz="4" w:space="0" w:color="auto"/>
            </w:tcBorders>
            <w:shd w:val="clear" w:color="auto" w:fill="auto"/>
            <w:vAlign w:val="center"/>
            <w:hideMark/>
          </w:tcPr>
          <w:p w14:paraId="298C5EDC"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F76B5E" w14:paraId="04E1E2A0" w14:textId="77777777">
        <w:trPr>
          <w:trHeight w:val="183"/>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8687CEC" w14:textId="77777777" w:rsidR="00F76B5E" w:rsidRDefault="0027102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9</w:t>
            </w:r>
          </w:p>
        </w:tc>
        <w:tc>
          <w:tcPr>
            <w:tcW w:w="1482" w:type="dxa"/>
            <w:tcBorders>
              <w:top w:val="nil"/>
              <w:left w:val="nil"/>
              <w:bottom w:val="single" w:sz="4" w:space="0" w:color="auto"/>
              <w:right w:val="single" w:sz="4" w:space="0" w:color="auto"/>
            </w:tcBorders>
            <w:shd w:val="clear" w:color="auto" w:fill="auto"/>
            <w:vAlign w:val="center"/>
            <w:hideMark/>
          </w:tcPr>
          <w:p w14:paraId="4B8D2DC5"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衣柜</w:t>
            </w:r>
          </w:p>
        </w:tc>
        <w:tc>
          <w:tcPr>
            <w:tcW w:w="1134" w:type="dxa"/>
            <w:tcBorders>
              <w:top w:val="nil"/>
              <w:left w:val="nil"/>
              <w:bottom w:val="single" w:sz="4" w:space="0" w:color="auto"/>
              <w:right w:val="single" w:sz="4" w:space="0" w:color="auto"/>
            </w:tcBorders>
            <w:shd w:val="clear" w:color="auto" w:fill="auto"/>
            <w:vAlign w:val="center"/>
            <w:hideMark/>
          </w:tcPr>
          <w:p w14:paraId="0221B5B6"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w:t>
            </w:r>
          </w:p>
        </w:tc>
        <w:tc>
          <w:tcPr>
            <w:tcW w:w="2126" w:type="dxa"/>
            <w:tcBorders>
              <w:top w:val="nil"/>
              <w:left w:val="nil"/>
              <w:bottom w:val="single" w:sz="4" w:space="0" w:color="auto"/>
              <w:right w:val="single" w:sz="4" w:space="0" w:color="auto"/>
            </w:tcBorders>
            <w:shd w:val="clear" w:color="auto" w:fill="auto"/>
            <w:vAlign w:val="center"/>
            <w:hideMark/>
          </w:tcPr>
          <w:p w14:paraId="6244C41B"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w:t>
            </w:r>
          </w:p>
        </w:tc>
        <w:tc>
          <w:tcPr>
            <w:tcW w:w="709" w:type="dxa"/>
            <w:tcBorders>
              <w:top w:val="nil"/>
              <w:left w:val="nil"/>
              <w:bottom w:val="single" w:sz="4" w:space="0" w:color="auto"/>
              <w:right w:val="single" w:sz="4" w:space="0" w:color="auto"/>
            </w:tcBorders>
            <w:shd w:val="clear" w:color="auto" w:fill="auto"/>
            <w:vAlign w:val="center"/>
            <w:hideMark/>
          </w:tcPr>
          <w:p w14:paraId="03243A79" w14:textId="77777777" w:rsidR="00F76B5E" w:rsidRDefault="0027102A">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c>
          <w:tcPr>
            <w:tcW w:w="1842" w:type="dxa"/>
            <w:tcBorders>
              <w:top w:val="nil"/>
              <w:left w:val="nil"/>
              <w:bottom w:val="single" w:sz="4" w:space="0" w:color="auto"/>
              <w:right w:val="single" w:sz="4" w:space="0" w:color="auto"/>
            </w:tcBorders>
            <w:shd w:val="clear" w:color="auto" w:fill="auto"/>
            <w:vAlign w:val="center"/>
            <w:hideMark/>
          </w:tcPr>
          <w:p w14:paraId="1FE3E556"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F76B5E" w14:paraId="0C3BB035" w14:textId="77777777">
        <w:trPr>
          <w:trHeight w:val="287"/>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8BFB817" w14:textId="77777777" w:rsidR="00F76B5E" w:rsidRDefault="0027102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10</w:t>
            </w:r>
          </w:p>
        </w:tc>
        <w:tc>
          <w:tcPr>
            <w:tcW w:w="1482" w:type="dxa"/>
            <w:tcBorders>
              <w:top w:val="nil"/>
              <w:left w:val="nil"/>
              <w:bottom w:val="single" w:sz="4" w:space="0" w:color="auto"/>
              <w:right w:val="single" w:sz="4" w:space="0" w:color="auto"/>
            </w:tcBorders>
            <w:shd w:val="clear" w:color="auto" w:fill="auto"/>
            <w:vAlign w:val="center"/>
            <w:hideMark/>
          </w:tcPr>
          <w:p w14:paraId="1E062B64"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空调</w:t>
            </w:r>
          </w:p>
        </w:tc>
        <w:tc>
          <w:tcPr>
            <w:tcW w:w="1134" w:type="dxa"/>
            <w:tcBorders>
              <w:top w:val="nil"/>
              <w:left w:val="nil"/>
              <w:bottom w:val="single" w:sz="4" w:space="0" w:color="auto"/>
              <w:right w:val="single" w:sz="4" w:space="0" w:color="auto"/>
            </w:tcBorders>
            <w:shd w:val="clear" w:color="auto" w:fill="auto"/>
            <w:vAlign w:val="center"/>
            <w:hideMark/>
          </w:tcPr>
          <w:p w14:paraId="6DBB576B"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1P</w:t>
            </w:r>
          </w:p>
        </w:tc>
        <w:tc>
          <w:tcPr>
            <w:tcW w:w="2126" w:type="dxa"/>
            <w:tcBorders>
              <w:top w:val="nil"/>
              <w:left w:val="nil"/>
              <w:bottom w:val="single" w:sz="4" w:space="0" w:color="auto"/>
              <w:right w:val="single" w:sz="4" w:space="0" w:color="auto"/>
            </w:tcBorders>
            <w:shd w:val="clear" w:color="auto" w:fill="auto"/>
            <w:vAlign w:val="center"/>
            <w:hideMark/>
          </w:tcPr>
          <w:p w14:paraId="471597A3"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松下</w:t>
            </w:r>
          </w:p>
        </w:tc>
        <w:tc>
          <w:tcPr>
            <w:tcW w:w="709" w:type="dxa"/>
            <w:tcBorders>
              <w:top w:val="nil"/>
              <w:left w:val="nil"/>
              <w:bottom w:val="single" w:sz="4" w:space="0" w:color="auto"/>
              <w:right w:val="single" w:sz="4" w:space="0" w:color="auto"/>
            </w:tcBorders>
            <w:shd w:val="clear" w:color="auto" w:fill="auto"/>
            <w:vAlign w:val="center"/>
            <w:hideMark/>
          </w:tcPr>
          <w:p w14:paraId="2267141F"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842" w:type="dxa"/>
            <w:tcBorders>
              <w:top w:val="nil"/>
              <w:left w:val="nil"/>
              <w:bottom w:val="single" w:sz="4" w:space="0" w:color="auto"/>
              <w:right w:val="single" w:sz="4" w:space="0" w:color="auto"/>
            </w:tcBorders>
            <w:shd w:val="clear" w:color="auto" w:fill="auto"/>
            <w:vAlign w:val="center"/>
            <w:hideMark/>
          </w:tcPr>
          <w:p w14:paraId="677B9CCF"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F76B5E" w14:paraId="4819B516" w14:textId="77777777">
        <w:trPr>
          <w:trHeight w:val="24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8E39028" w14:textId="77777777" w:rsidR="00F76B5E" w:rsidRDefault="0027102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11</w:t>
            </w:r>
          </w:p>
        </w:tc>
        <w:tc>
          <w:tcPr>
            <w:tcW w:w="1482" w:type="dxa"/>
            <w:tcBorders>
              <w:top w:val="nil"/>
              <w:left w:val="nil"/>
              <w:bottom w:val="single" w:sz="4" w:space="0" w:color="auto"/>
              <w:right w:val="single" w:sz="4" w:space="0" w:color="auto"/>
            </w:tcBorders>
            <w:shd w:val="clear" w:color="auto" w:fill="auto"/>
            <w:vAlign w:val="center"/>
            <w:hideMark/>
          </w:tcPr>
          <w:p w14:paraId="7D1E437E"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空调</w:t>
            </w:r>
          </w:p>
        </w:tc>
        <w:tc>
          <w:tcPr>
            <w:tcW w:w="1134" w:type="dxa"/>
            <w:tcBorders>
              <w:top w:val="nil"/>
              <w:left w:val="nil"/>
              <w:bottom w:val="single" w:sz="4" w:space="0" w:color="auto"/>
              <w:right w:val="single" w:sz="4" w:space="0" w:color="auto"/>
            </w:tcBorders>
            <w:shd w:val="clear" w:color="auto" w:fill="auto"/>
            <w:vAlign w:val="center"/>
            <w:hideMark/>
          </w:tcPr>
          <w:p w14:paraId="0D10275F"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1P</w:t>
            </w:r>
          </w:p>
        </w:tc>
        <w:tc>
          <w:tcPr>
            <w:tcW w:w="2126" w:type="dxa"/>
            <w:tcBorders>
              <w:top w:val="nil"/>
              <w:left w:val="nil"/>
              <w:bottom w:val="single" w:sz="4" w:space="0" w:color="auto"/>
              <w:right w:val="single" w:sz="4" w:space="0" w:color="auto"/>
            </w:tcBorders>
            <w:shd w:val="clear" w:color="auto" w:fill="auto"/>
            <w:vAlign w:val="center"/>
            <w:hideMark/>
          </w:tcPr>
          <w:p w14:paraId="3FC31EE2"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格兰仕</w:t>
            </w:r>
          </w:p>
        </w:tc>
        <w:tc>
          <w:tcPr>
            <w:tcW w:w="709" w:type="dxa"/>
            <w:tcBorders>
              <w:top w:val="nil"/>
              <w:left w:val="nil"/>
              <w:bottom w:val="single" w:sz="4" w:space="0" w:color="auto"/>
              <w:right w:val="single" w:sz="4" w:space="0" w:color="auto"/>
            </w:tcBorders>
            <w:shd w:val="clear" w:color="auto" w:fill="auto"/>
            <w:vAlign w:val="center"/>
            <w:hideMark/>
          </w:tcPr>
          <w:p w14:paraId="3B84A6DC"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842" w:type="dxa"/>
            <w:tcBorders>
              <w:top w:val="nil"/>
              <w:left w:val="nil"/>
              <w:bottom w:val="single" w:sz="4" w:space="0" w:color="auto"/>
              <w:right w:val="single" w:sz="4" w:space="0" w:color="auto"/>
            </w:tcBorders>
            <w:shd w:val="clear" w:color="auto" w:fill="auto"/>
            <w:vAlign w:val="center"/>
            <w:hideMark/>
          </w:tcPr>
          <w:p w14:paraId="6B0208D5"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F76B5E" w14:paraId="1139E822" w14:textId="77777777">
        <w:trPr>
          <w:trHeight w:val="211"/>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D44E170" w14:textId="77777777" w:rsidR="00F76B5E" w:rsidRDefault="0027102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12</w:t>
            </w:r>
          </w:p>
        </w:tc>
        <w:tc>
          <w:tcPr>
            <w:tcW w:w="1482" w:type="dxa"/>
            <w:tcBorders>
              <w:top w:val="nil"/>
              <w:left w:val="nil"/>
              <w:bottom w:val="single" w:sz="4" w:space="0" w:color="auto"/>
              <w:right w:val="single" w:sz="4" w:space="0" w:color="auto"/>
            </w:tcBorders>
            <w:shd w:val="clear" w:color="auto" w:fill="auto"/>
            <w:vAlign w:val="center"/>
            <w:hideMark/>
          </w:tcPr>
          <w:p w14:paraId="7689545C"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空调</w:t>
            </w:r>
          </w:p>
        </w:tc>
        <w:tc>
          <w:tcPr>
            <w:tcW w:w="1134" w:type="dxa"/>
            <w:tcBorders>
              <w:top w:val="nil"/>
              <w:left w:val="nil"/>
              <w:bottom w:val="single" w:sz="4" w:space="0" w:color="auto"/>
              <w:right w:val="single" w:sz="4" w:space="0" w:color="auto"/>
            </w:tcBorders>
            <w:shd w:val="clear" w:color="auto" w:fill="auto"/>
            <w:vAlign w:val="center"/>
            <w:hideMark/>
          </w:tcPr>
          <w:p w14:paraId="0D7642FD"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1P</w:t>
            </w:r>
          </w:p>
        </w:tc>
        <w:tc>
          <w:tcPr>
            <w:tcW w:w="2126" w:type="dxa"/>
            <w:tcBorders>
              <w:top w:val="nil"/>
              <w:left w:val="nil"/>
              <w:bottom w:val="single" w:sz="4" w:space="0" w:color="auto"/>
              <w:right w:val="single" w:sz="4" w:space="0" w:color="auto"/>
            </w:tcBorders>
            <w:shd w:val="clear" w:color="auto" w:fill="auto"/>
            <w:vAlign w:val="center"/>
            <w:hideMark/>
          </w:tcPr>
          <w:p w14:paraId="0CF4973D"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海尔</w:t>
            </w:r>
          </w:p>
        </w:tc>
        <w:tc>
          <w:tcPr>
            <w:tcW w:w="709" w:type="dxa"/>
            <w:tcBorders>
              <w:top w:val="nil"/>
              <w:left w:val="nil"/>
              <w:bottom w:val="single" w:sz="4" w:space="0" w:color="auto"/>
              <w:right w:val="single" w:sz="4" w:space="0" w:color="auto"/>
            </w:tcBorders>
            <w:shd w:val="clear" w:color="auto" w:fill="auto"/>
            <w:vAlign w:val="center"/>
            <w:hideMark/>
          </w:tcPr>
          <w:p w14:paraId="1E5AC2E6"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842" w:type="dxa"/>
            <w:tcBorders>
              <w:top w:val="nil"/>
              <w:left w:val="nil"/>
              <w:bottom w:val="single" w:sz="4" w:space="0" w:color="auto"/>
              <w:right w:val="single" w:sz="4" w:space="0" w:color="auto"/>
            </w:tcBorders>
            <w:shd w:val="clear" w:color="auto" w:fill="auto"/>
            <w:vAlign w:val="center"/>
            <w:hideMark/>
          </w:tcPr>
          <w:p w14:paraId="1AF3ACD3"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F76B5E" w14:paraId="3555F9A2" w14:textId="77777777">
        <w:trPr>
          <w:trHeight w:val="173"/>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58B0CC8" w14:textId="77777777" w:rsidR="00F76B5E" w:rsidRDefault="0027102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13</w:t>
            </w:r>
          </w:p>
        </w:tc>
        <w:tc>
          <w:tcPr>
            <w:tcW w:w="1482" w:type="dxa"/>
            <w:tcBorders>
              <w:top w:val="nil"/>
              <w:left w:val="nil"/>
              <w:bottom w:val="single" w:sz="4" w:space="0" w:color="auto"/>
              <w:right w:val="single" w:sz="4" w:space="0" w:color="auto"/>
            </w:tcBorders>
            <w:shd w:val="clear" w:color="auto" w:fill="auto"/>
            <w:vAlign w:val="center"/>
            <w:hideMark/>
          </w:tcPr>
          <w:p w14:paraId="727649D7"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音箱</w:t>
            </w:r>
          </w:p>
        </w:tc>
        <w:tc>
          <w:tcPr>
            <w:tcW w:w="1134" w:type="dxa"/>
            <w:tcBorders>
              <w:top w:val="nil"/>
              <w:left w:val="nil"/>
              <w:bottom w:val="single" w:sz="4" w:space="0" w:color="auto"/>
              <w:right w:val="single" w:sz="4" w:space="0" w:color="auto"/>
            </w:tcBorders>
            <w:shd w:val="clear" w:color="auto" w:fill="auto"/>
            <w:vAlign w:val="center"/>
            <w:hideMark/>
          </w:tcPr>
          <w:p w14:paraId="3EFBC09B"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126" w:type="dxa"/>
            <w:tcBorders>
              <w:top w:val="nil"/>
              <w:left w:val="nil"/>
              <w:bottom w:val="single" w:sz="4" w:space="0" w:color="auto"/>
              <w:right w:val="single" w:sz="4" w:space="0" w:color="auto"/>
            </w:tcBorders>
            <w:shd w:val="clear" w:color="auto" w:fill="auto"/>
            <w:vAlign w:val="center"/>
            <w:hideMark/>
          </w:tcPr>
          <w:p w14:paraId="5B18CBC1"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14D95F6" w14:textId="77777777" w:rsidR="00F76B5E" w:rsidRDefault="0027102A">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c>
          <w:tcPr>
            <w:tcW w:w="1842" w:type="dxa"/>
            <w:tcBorders>
              <w:top w:val="nil"/>
              <w:left w:val="nil"/>
              <w:bottom w:val="single" w:sz="4" w:space="0" w:color="auto"/>
              <w:right w:val="single" w:sz="4" w:space="0" w:color="auto"/>
            </w:tcBorders>
            <w:shd w:val="clear" w:color="auto" w:fill="auto"/>
            <w:vAlign w:val="center"/>
            <w:hideMark/>
          </w:tcPr>
          <w:p w14:paraId="787ED8F4"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F76B5E" w14:paraId="454B6FBC" w14:textId="77777777">
        <w:trPr>
          <w:trHeight w:val="276"/>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E569265" w14:textId="77777777" w:rsidR="00F76B5E" w:rsidRDefault="0027102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14</w:t>
            </w:r>
          </w:p>
        </w:tc>
        <w:tc>
          <w:tcPr>
            <w:tcW w:w="1482" w:type="dxa"/>
            <w:tcBorders>
              <w:top w:val="nil"/>
              <w:left w:val="nil"/>
              <w:bottom w:val="single" w:sz="4" w:space="0" w:color="auto"/>
              <w:right w:val="single" w:sz="4" w:space="0" w:color="auto"/>
            </w:tcBorders>
            <w:shd w:val="clear" w:color="auto" w:fill="auto"/>
            <w:vAlign w:val="center"/>
            <w:hideMark/>
          </w:tcPr>
          <w:p w14:paraId="1A3AFEAA"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热水器</w:t>
            </w:r>
          </w:p>
        </w:tc>
        <w:tc>
          <w:tcPr>
            <w:tcW w:w="1134" w:type="dxa"/>
            <w:tcBorders>
              <w:top w:val="nil"/>
              <w:left w:val="nil"/>
              <w:bottom w:val="single" w:sz="4" w:space="0" w:color="auto"/>
              <w:right w:val="single" w:sz="4" w:space="0" w:color="auto"/>
            </w:tcBorders>
            <w:shd w:val="clear" w:color="auto" w:fill="auto"/>
            <w:vAlign w:val="center"/>
            <w:hideMark/>
          </w:tcPr>
          <w:p w14:paraId="64488EA8"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126" w:type="dxa"/>
            <w:tcBorders>
              <w:top w:val="nil"/>
              <w:left w:val="nil"/>
              <w:bottom w:val="single" w:sz="4" w:space="0" w:color="auto"/>
              <w:right w:val="single" w:sz="4" w:space="0" w:color="auto"/>
            </w:tcBorders>
            <w:shd w:val="clear" w:color="auto" w:fill="auto"/>
            <w:vAlign w:val="center"/>
            <w:hideMark/>
          </w:tcPr>
          <w:p w14:paraId="4E95A723"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海尔</w:t>
            </w:r>
          </w:p>
        </w:tc>
        <w:tc>
          <w:tcPr>
            <w:tcW w:w="709" w:type="dxa"/>
            <w:tcBorders>
              <w:top w:val="nil"/>
              <w:left w:val="nil"/>
              <w:bottom w:val="single" w:sz="4" w:space="0" w:color="auto"/>
              <w:right w:val="single" w:sz="4" w:space="0" w:color="auto"/>
            </w:tcBorders>
            <w:shd w:val="clear" w:color="auto" w:fill="auto"/>
            <w:vAlign w:val="center"/>
            <w:hideMark/>
          </w:tcPr>
          <w:p w14:paraId="5E39B6F7"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842" w:type="dxa"/>
            <w:tcBorders>
              <w:top w:val="nil"/>
              <w:left w:val="nil"/>
              <w:bottom w:val="single" w:sz="4" w:space="0" w:color="auto"/>
              <w:right w:val="single" w:sz="4" w:space="0" w:color="auto"/>
            </w:tcBorders>
            <w:shd w:val="clear" w:color="auto" w:fill="auto"/>
            <w:vAlign w:val="center"/>
            <w:hideMark/>
          </w:tcPr>
          <w:p w14:paraId="672D05FC"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F76B5E" w14:paraId="1BFE829C" w14:textId="77777777">
        <w:trPr>
          <w:trHeight w:val="239"/>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A0A5B4E" w14:textId="77777777" w:rsidR="00F76B5E" w:rsidRDefault="0027102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15</w:t>
            </w:r>
          </w:p>
        </w:tc>
        <w:tc>
          <w:tcPr>
            <w:tcW w:w="1482" w:type="dxa"/>
            <w:tcBorders>
              <w:top w:val="nil"/>
              <w:left w:val="nil"/>
              <w:bottom w:val="single" w:sz="4" w:space="0" w:color="auto"/>
              <w:right w:val="single" w:sz="4" w:space="0" w:color="auto"/>
            </w:tcBorders>
            <w:shd w:val="clear" w:color="auto" w:fill="auto"/>
            <w:vAlign w:val="center"/>
            <w:hideMark/>
          </w:tcPr>
          <w:p w14:paraId="7A5DC1A2"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洗衣机</w:t>
            </w:r>
          </w:p>
        </w:tc>
        <w:tc>
          <w:tcPr>
            <w:tcW w:w="1134" w:type="dxa"/>
            <w:tcBorders>
              <w:top w:val="nil"/>
              <w:left w:val="nil"/>
              <w:bottom w:val="single" w:sz="4" w:space="0" w:color="auto"/>
              <w:right w:val="single" w:sz="4" w:space="0" w:color="auto"/>
            </w:tcBorders>
            <w:shd w:val="clear" w:color="auto" w:fill="auto"/>
            <w:vAlign w:val="center"/>
            <w:hideMark/>
          </w:tcPr>
          <w:p w14:paraId="79DA5F41"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滚筒</w:t>
            </w:r>
          </w:p>
        </w:tc>
        <w:tc>
          <w:tcPr>
            <w:tcW w:w="2126" w:type="dxa"/>
            <w:tcBorders>
              <w:top w:val="nil"/>
              <w:left w:val="nil"/>
              <w:bottom w:val="single" w:sz="4" w:space="0" w:color="auto"/>
              <w:right w:val="single" w:sz="4" w:space="0" w:color="auto"/>
            </w:tcBorders>
            <w:shd w:val="clear" w:color="auto" w:fill="auto"/>
            <w:vAlign w:val="center"/>
            <w:hideMark/>
          </w:tcPr>
          <w:p w14:paraId="4985471C"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海尔</w:t>
            </w:r>
          </w:p>
        </w:tc>
        <w:tc>
          <w:tcPr>
            <w:tcW w:w="709" w:type="dxa"/>
            <w:tcBorders>
              <w:top w:val="nil"/>
              <w:left w:val="nil"/>
              <w:bottom w:val="single" w:sz="4" w:space="0" w:color="auto"/>
              <w:right w:val="single" w:sz="4" w:space="0" w:color="auto"/>
            </w:tcBorders>
            <w:shd w:val="clear" w:color="auto" w:fill="auto"/>
            <w:vAlign w:val="center"/>
            <w:hideMark/>
          </w:tcPr>
          <w:p w14:paraId="1905D8D0"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842" w:type="dxa"/>
            <w:tcBorders>
              <w:top w:val="nil"/>
              <w:left w:val="nil"/>
              <w:bottom w:val="single" w:sz="4" w:space="0" w:color="auto"/>
              <w:right w:val="single" w:sz="4" w:space="0" w:color="auto"/>
            </w:tcBorders>
            <w:shd w:val="clear" w:color="auto" w:fill="auto"/>
            <w:vAlign w:val="center"/>
            <w:hideMark/>
          </w:tcPr>
          <w:p w14:paraId="105B5CA9"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F76B5E" w14:paraId="68139CB7" w14:textId="77777777">
        <w:trPr>
          <w:trHeight w:val="34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DE54B87" w14:textId="77777777" w:rsidR="00F76B5E" w:rsidRDefault="0027102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16</w:t>
            </w:r>
          </w:p>
        </w:tc>
        <w:tc>
          <w:tcPr>
            <w:tcW w:w="1482" w:type="dxa"/>
            <w:tcBorders>
              <w:top w:val="nil"/>
              <w:left w:val="nil"/>
              <w:bottom w:val="single" w:sz="4" w:space="0" w:color="auto"/>
              <w:right w:val="single" w:sz="4" w:space="0" w:color="auto"/>
            </w:tcBorders>
            <w:shd w:val="clear" w:color="auto" w:fill="auto"/>
            <w:vAlign w:val="center"/>
            <w:hideMark/>
          </w:tcPr>
          <w:p w14:paraId="308F3E01"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冰箱</w:t>
            </w:r>
          </w:p>
        </w:tc>
        <w:tc>
          <w:tcPr>
            <w:tcW w:w="1134" w:type="dxa"/>
            <w:tcBorders>
              <w:top w:val="nil"/>
              <w:left w:val="nil"/>
              <w:bottom w:val="single" w:sz="4" w:space="0" w:color="auto"/>
              <w:right w:val="single" w:sz="4" w:space="0" w:color="auto"/>
            </w:tcBorders>
            <w:shd w:val="clear" w:color="auto" w:fill="auto"/>
            <w:vAlign w:val="center"/>
            <w:hideMark/>
          </w:tcPr>
          <w:p w14:paraId="024A7C8A"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单开门</w:t>
            </w:r>
          </w:p>
        </w:tc>
        <w:tc>
          <w:tcPr>
            <w:tcW w:w="2126" w:type="dxa"/>
            <w:tcBorders>
              <w:top w:val="nil"/>
              <w:left w:val="nil"/>
              <w:bottom w:val="single" w:sz="4" w:space="0" w:color="auto"/>
              <w:right w:val="single" w:sz="4" w:space="0" w:color="auto"/>
            </w:tcBorders>
            <w:shd w:val="clear" w:color="auto" w:fill="auto"/>
            <w:vAlign w:val="center"/>
            <w:hideMark/>
          </w:tcPr>
          <w:p w14:paraId="7E987B3E"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海尔</w:t>
            </w:r>
          </w:p>
        </w:tc>
        <w:tc>
          <w:tcPr>
            <w:tcW w:w="709" w:type="dxa"/>
            <w:tcBorders>
              <w:top w:val="nil"/>
              <w:left w:val="nil"/>
              <w:bottom w:val="single" w:sz="4" w:space="0" w:color="auto"/>
              <w:right w:val="single" w:sz="4" w:space="0" w:color="auto"/>
            </w:tcBorders>
            <w:shd w:val="clear" w:color="auto" w:fill="auto"/>
            <w:vAlign w:val="center"/>
            <w:hideMark/>
          </w:tcPr>
          <w:p w14:paraId="3ABCF3CF"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842" w:type="dxa"/>
            <w:tcBorders>
              <w:top w:val="nil"/>
              <w:left w:val="nil"/>
              <w:bottom w:val="single" w:sz="4" w:space="0" w:color="auto"/>
              <w:right w:val="single" w:sz="4" w:space="0" w:color="auto"/>
            </w:tcBorders>
            <w:shd w:val="clear" w:color="auto" w:fill="auto"/>
            <w:vAlign w:val="center"/>
            <w:hideMark/>
          </w:tcPr>
          <w:p w14:paraId="7DE22789" w14:textId="77777777" w:rsidR="00F76B5E" w:rsidRDefault="0027102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bl>
    <w:p w14:paraId="537012B0" w14:textId="77777777" w:rsidR="00F76B5E" w:rsidRDefault="0027102A">
      <w:pPr>
        <w:snapToGrid w:val="0"/>
        <w:spacing w:line="360" w:lineRule="auto"/>
        <w:ind w:firstLine="482"/>
        <w:rPr>
          <w:rFonts w:ascii="宋体" w:hAnsi="宋体"/>
          <w:color w:val="000000"/>
          <w:sz w:val="24"/>
          <w:szCs w:val="24"/>
        </w:rPr>
      </w:pPr>
      <w:proofErr w:type="gramStart"/>
      <w:r>
        <w:rPr>
          <w:rFonts w:ascii="宋体" w:hAnsi="宋体" w:hint="eastAsia"/>
          <w:color w:val="000000"/>
          <w:sz w:val="24"/>
          <w:szCs w:val="24"/>
        </w:rPr>
        <w:t>上述委估资产</w:t>
      </w:r>
      <w:proofErr w:type="gramEnd"/>
      <w:r>
        <w:rPr>
          <w:rFonts w:ascii="宋体" w:hAnsi="宋体" w:hint="eastAsia"/>
          <w:color w:val="000000"/>
          <w:sz w:val="24"/>
          <w:szCs w:val="24"/>
        </w:rPr>
        <w:t>目前存放于东莞市樟木头镇御景花园加州豪园二期二十九座四层</w:t>
      </w:r>
      <w:r>
        <w:rPr>
          <w:rFonts w:ascii="宋体" w:hAnsi="宋体" w:hint="eastAsia"/>
          <w:color w:val="000000"/>
          <w:sz w:val="24"/>
          <w:szCs w:val="24"/>
        </w:rPr>
        <w:t>C</w:t>
      </w:r>
      <w:r>
        <w:rPr>
          <w:rFonts w:ascii="宋体" w:hAnsi="宋体" w:hint="eastAsia"/>
          <w:color w:val="000000"/>
          <w:sz w:val="24"/>
          <w:szCs w:val="24"/>
        </w:rPr>
        <w:t>号房，经现场勘察：冰箱、洗衣机虽可使用，但因缺乏清洁保养维护，已有霉点，其他尚可正常使用。评估对象现状详见现场勘察照片。</w:t>
      </w:r>
    </w:p>
    <w:p w14:paraId="0D89CD98"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（四）产权情况</w:t>
      </w:r>
    </w:p>
    <w:p w14:paraId="7AA10A05"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委托方未提供相关产权证明（发票、合同、付款单、验收单）等权属证，因此未对产权进行界定。</w:t>
      </w:r>
    </w:p>
    <w:p w14:paraId="0F0A5ECD" w14:textId="77777777" w:rsidR="00F76B5E" w:rsidRDefault="0027102A">
      <w:pPr>
        <w:pStyle w:val="1"/>
        <w:snapToGrid w:val="0"/>
        <w:spacing w:before="0" w:after="0" w:line="360" w:lineRule="auto"/>
        <w:ind w:firstLine="482"/>
        <w:rPr>
          <w:color w:val="000000"/>
          <w:sz w:val="24"/>
          <w:szCs w:val="24"/>
        </w:rPr>
      </w:pPr>
      <w:bookmarkStart w:id="20" w:name="_Toc447125213"/>
      <w:bookmarkStart w:id="21" w:name="_Toc501636011"/>
      <w:bookmarkStart w:id="22" w:name="_Toc93936754"/>
      <w:r>
        <w:rPr>
          <w:rFonts w:hint="eastAsia"/>
          <w:color w:val="000000"/>
          <w:sz w:val="24"/>
          <w:szCs w:val="24"/>
        </w:rPr>
        <w:t>四、价值类型及其定义</w:t>
      </w:r>
      <w:bookmarkEnd w:id="20"/>
      <w:bookmarkEnd w:id="21"/>
      <w:bookmarkEnd w:id="22"/>
    </w:p>
    <w:p w14:paraId="1BE3910D"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一）价值类型及其选取：资产评估价值类型包括市场价值和市场价值以外的价值（投资价值、在用价值、清算价值、残余价值等）两种类型。经评估人员与委托方充分沟通后，根据本次评估目的、市场条件及评估对象自身条件等因素</w:t>
      </w:r>
      <w:r>
        <w:rPr>
          <w:rFonts w:ascii="宋体" w:hAnsi="宋体" w:hint="eastAsia"/>
          <w:color w:val="000000"/>
          <w:sz w:val="24"/>
          <w:szCs w:val="24"/>
        </w:rPr>
        <w:t>，最终选定市场价值作为本评估报告的评估结论的价值类型。</w:t>
      </w:r>
    </w:p>
    <w:p w14:paraId="04406A81"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一）价值类型及其选取：资产评估价值类型包括市场价值和市场价值以外的价值（投资价值、在用价值、清算价值、残余价值等）两种类型。经评估人员与委托方充分沟通后，根据本次评估目的、市场条件及评估对象自身条件等因素，最终选定市场价值作为本评估报告的评估结论的价值类型定义。</w:t>
      </w:r>
    </w:p>
    <w:p w14:paraId="364294FB" w14:textId="77777777" w:rsidR="00F76B5E" w:rsidRDefault="0027102A">
      <w:pPr>
        <w:pStyle w:val="1"/>
        <w:snapToGrid w:val="0"/>
        <w:spacing w:before="0" w:after="0" w:line="360" w:lineRule="auto"/>
        <w:ind w:firstLine="482"/>
        <w:rPr>
          <w:color w:val="000000"/>
          <w:sz w:val="24"/>
          <w:szCs w:val="24"/>
        </w:rPr>
      </w:pPr>
      <w:bookmarkStart w:id="23" w:name="_Toc93936755"/>
      <w:r>
        <w:rPr>
          <w:rFonts w:hint="eastAsia"/>
          <w:color w:val="000000"/>
          <w:sz w:val="24"/>
          <w:szCs w:val="24"/>
        </w:rPr>
        <w:t>五、评估基准日</w:t>
      </w:r>
      <w:bookmarkEnd w:id="23"/>
    </w:p>
    <w:p w14:paraId="335A2AEA" w14:textId="77777777" w:rsidR="00F76B5E" w:rsidRDefault="0027102A">
      <w:pPr>
        <w:snapToGrid w:val="0"/>
        <w:spacing w:line="360" w:lineRule="auto"/>
        <w:ind w:firstLine="482"/>
        <w:rPr>
          <w:rFonts w:ascii="宋体" w:hAnsi="宋体"/>
          <w:color w:val="000000"/>
          <w:sz w:val="24"/>
          <w:szCs w:val="24"/>
        </w:rPr>
      </w:pPr>
      <w:r>
        <w:rPr>
          <w:rFonts w:ascii="宋体" w:hAnsi="宋体"/>
          <w:color w:val="000000"/>
          <w:sz w:val="24"/>
          <w:szCs w:val="24"/>
        </w:rPr>
        <w:t>本</w:t>
      </w:r>
      <w:r>
        <w:rPr>
          <w:rFonts w:ascii="宋体" w:hAnsi="宋体" w:hint="eastAsia"/>
          <w:color w:val="000000"/>
          <w:sz w:val="24"/>
          <w:szCs w:val="24"/>
        </w:rPr>
        <w:t>次</w:t>
      </w:r>
      <w:r>
        <w:rPr>
          <w:rFonts w:ascii="宋体" w:hAnsi="宋体"/>
          <w:color w:val="000000"/>
          <w:sz w:val="24"/>
          <w:szCs w:val="24"/>
        </w:rPr>
        <w:t>评估基准日是</w:t>
      </w:r>
      <w:r>
        <w:rPr>
          <w:rFonts w:ascii="宋体" w:hAnsi="宋体" w:hint="eastAsia"/>
          <w:color w:val="000000"/>
          <w:sz w:val="24"/>
          <w:szCs w:val="24"/>
        </w:rPr>
        <w:t>2022</w:t>
      </w:r>
      <w:r>
        <w:rPr>
          <w:rFonts w:ascii="宋体" w:hAnsi="宋体" w:hint="eastAsia"/>
          <w:color w:val="000000"/>
          <w:sz w:val="24"/>
          <w:szCs w:val="24"/>
        </w:rPr>
        <w:t>年</w:t>
      </w:r>
      <w:r>
        <w:rPr>
          <w:rFonts w:ascii="宋体" w:hAnsi="宋体" w:hint="eastAsia"/>
          <w:color w:val="000000"/>
          <w:sz w:val="24"/>
          <w:szCs w:val="24"/>
        </w:rPr>
        <w:t>1</w:t>
      </w:r>
      <w:r>
        <w:rPr>
          <w:rFonts w:ascii="宋体" w:hAnsi="宋体" w:hint="eastAsia"/>
          <w:color w:val="000000"/>
          <w:sz w:val="24"/>
          <w:szCs w:val="24"/>
        </w:rPr>
        <w:t>月</w:t>
      </w:r>
      <w:r>
        <w:rPr>
          <w:rFonts w:ascii="宋体" w:hAnsi="宋体" w:hint="eastAsia"/>
          <w:color w:val="000000"/>
          <w:sz w:val="24"/>
          <w:szCs w:val="24"/>
        </w:rPr>
        <w:t>11</w:t>
      </w:r>
      <w:r>
        <w:rPr>
          <w:rFonts w:ascii="宋体" w:hAnsi="宋体" w:hint="eastAsia"/>
          <w:color w:val="000000"/>
          <w:sz w:val="24"/>
          <w:szCs w:val="24"/>
        </w:rPr>
        <w:t>日</w:t>
      </w:r>
      <w:r>
        <w:rPr>
          <w:rFonts w:ascii="宋体" w:hAnsi="宋体"/>
          <w:color w:val="000000"/>
          <w:sz w:val="24"/>
          <w:szCs w:val="24"/>
        </w:rPr>
        <w:t>。</w:t>
      </w:r>
      <w:r>
        <w:rPr>
          <w:rFonts w:ascii="宋体" w:hAnsi="宋体" w:hint="eastAsia"/>
          <w:color w:val="000000"/>
          <w:sz w:val="24"/>
          <w:szCs w:val="24"/>
        </w:rPr>
        <w:t>基准日是由委托方结合此次的经济行为</w:t>
      </w:r>
      <w:r>
        <w:rPr>
          <w:rFonts w:ascii="宋体" w:hAnsi="宋体" w:hint="eastAsia"/>
          <w:color w:val="000000"/>
          <w:sz w:val="24"/>
          <w:szCs w:val="24"/>
        </w:rPr>
        <w:lastRenderedPageBreak/>
        <w:t>确定的。此基准日有利于评估目的的实现。</w:t>
      </w:r>
    </w:p>
    <w:p w14:paraId="252D22A9"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此次评估现场</w:t>
      </w:r>
      <w:proofErr w:type="gramStart"/>
      <w:r>
        <w:rPr>
          <w:rFonts w:ascii="宋体" w:hAnsi="宋体" w:hint="eastAsia"/>
          <w:color w:val="000000"/>
          <w:sz w:val="24"/>
          <w:szCs w:val="24"/>
        </w:rPr>
        <w:t>勘察日</w:t>
      </w:r>
      <w:proofErr w:type="gramEnd"/>
      <w:r>
        <w:rPr>
          <w:rFonts w:ascii="宋体" w:hAnsi="宋体" w:hint="eastAsia"/>
          <w:color w:val="000000"/>
          <w:sz w:val="24"/>
          <w:szCs w:val="24"/>
        </w:rPr>
        <w:t>是</w:t>
      </w:r>
      <w:r>
        <w:rPr>
          <w:rFonts w:ascii="宋体" w:hAnsi="宋体" w:hint="eastAsia"/>
          <w:color w:val="000000"/>
          <w:sz w:val="24"/>
          <w:szCs w:val="24"/>
        </w:rPr>
        <w:t>2022</w:t>
      </w:r>
      <w:r>
        <w:rPr>
          <w:rFonts w:ascii="宋体" w:hAnsi="宋体" w:hint="eastAsia"/>
          <w:color w:val="000000"/>
          <w:sz w:val="24"/>
          <w:szCs w:val="24"/>
        </w:rPr>
        <w:t>年</w:t>
      </w:r>
      <w:r>
        <w:rPr>
          <w:rFonts w:ascii="宋体" w:hAnsi="宋体" w:hint="eastAsia"/>
          <w:color w:val="000000"/>
          <w:sz w:val="24"/>
          <w:szCs w:val="24"/>
        </w:rPr>
        <w:t>1</w:t>
      </w:r>
      <w:r>
        <w:rPr>
          <w:rFonts w:ascii="宋体" w:hAnsi="宋体" w:hint="eastAsia"/>
          <w:color w:val="000000"/>
          <w:sz w:val="24"/>
          <w:szCs w:val="24"/>
        </w:rPr>
        <w:t>月</w:t>
      </w:r>
      <w:r>
        <w:rPr>
          <w:rFonts w:ascii="宋体" w:hAnsi="宋体" w:hint="eastAsia"/>
          <w:color w:val="000000"/>
          <w:sz w:val="24"/>
          <w:szCs w:val="24"/>
        </w:rPr>
        <w:t>11</w:t>
      </w:r>
      <w:r>
        <w:rPr>
          <w:rFonts w:ascii="宋体" w:hAnsi="宋体" w:hint="eastAsia"/>
          <w:color w:val="000000"/>
          <w:sz w:val="24"/>
          <w:szCs w:val="24"/>
        </w:rPr>
        <w:t>日，本次评估现场</w:t>
      </w:r>
      <w:proofErr w:type="gramStart"/>
      <w:r>
        <w:rPr>
          <w:rFonts w:ascii="宋体" w:hAnsi="宋体" w:hint="eastAsia"/>
          <w:color w:val="000000"/>
          <w:sz w:val="24"/>
          <w:szCs w:val="24"/>
        </w:rPr>
        <w:t>勘察日</w:t>
      </w:r>
      <w:proofErr w:type="gramEnd"/>
      <w:r>
        <w:rPr>
          <w:rFonts w:ascii="宋体" w:hAnsi="宋体" w:hint="eastAsia"/>
          <w:color w:val="000000"/>
          <w:sz w:val="24"/>
          <w:szCs w:val="24"/>
        </w:rPr>
        <w:t>与评估基准日相同。</w:t>
      </w:r>
      <w:r>
        <w:rPr>
          <w:rFonts w:ascii="宋体" w:hAnsi="宋体"/>
          <w:color w:val="000000"/>
          <w:sz w:val="24"/>
          <w:szCs w:val="24"/>
        </w:rPr>
        <w:t xml:space="preserve"> </w:t>
      </w:r>
    </w:p>
    <w:p w14:paraId="4F976417"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本次评估中所采用的取价标准（包括但不限于：价格、税率、费率、汇率、存贷款利率）均为评估基准日或与评估基准日较近的有效价格标准。</w:t>
      </w:r>
    </w:p>
    <w:p w14:paraId="7DE7B71E" w14:textId="77777777" w:rsidR="00F76B5E" w:rsidRDefault="0027102A">
      <w:pPr>
        <w:pStyle w:val="1"/>
        <w:snapToGrid w:val="0"/>
        <w:spacing w:before="0" w:after="0" w:line="360" w:lineRule="auto"/>
        <w:ind w:firstLineChars="200" w:firstLine="482"/>
        <w:rPr>
          <w:color w:val="000000"/>
          <w:sz w:val="24"/>
          <w:szCs w:val="24"/>
        </w:rPr>
      </w:pPr>
      <w:bookmarkStart w:id="24" w:name="_Toc93936756"/>
      <w:r>
        <w:rPr>
          <w:rFonts w:hint="eastAsia"/>
          <w:color w:val="000000"/>
          <w:sz w:val="24"/>
          <w:szCs w:val="24"/>
        </w:rPr>
        <w:t>六、评估依据</w:t>
      </w:r>
      <w:bookmarkEnd w:id="24"/>
    </w:p>
    <w:p w14:paraId="3D690843" w14:textId="77777777" w:rsidR="00F76B5E" w:rsidRDefault="0027102A">
      <w:pPr>
        <w:snapToGrid w:val="0"/>
        <w:spacing w:line="360" w:lineRule="auto"/>
        <w:ind w:firstLine="480"/>
        <w:rPr>
          <w:rFonts w:ascii="宋体" w:hAnsi="宋体"/>
          <w:color w:val="000000"/>
          <w:sz w:val="24"/>
          <w:szCs w:val="24"/>
        </w:rPr>
      </w:pPr>
      <w:bookmarkStart w:id="25" w:name="_Toc205892042"/>
      <w:bookmarkStart w:id="26" w:name="_Toc205892043"/>
      <w:bookmarkEnd w:id="25"/>
      <w:bookmarkEnd w:id="26"/>
      <w:r>
        <w:rPr>
          <w:rFonts w:ascii="宋体" w:hAnsi="宋体" w:hint="eastAsia"/>
          <w:color w:val="000000"/>
          <w:sz w:val="24"/>
          <w:szCs w:val="24"/>
        </w:rPr>
        <w:t>本次资产评估遵循的评估依据主要包括行为依据、法律法规依据、评估准则依据、资产权属依据，及评定估算时采用的取</w:t>
      </w:r>
      <w:proofErr w:type="gramStart"/>
      <w:r>
        <w:rPr>
          <w:rFonts w:ascii="宋体" w:hAnsi="宋体" w:hint="eastAsia"/>
          <w:color w:val="000000"/>
          <w:sz w:val="24"/>
          <w:szCs w:val="24"/>
        </w:rPr>
        <w:t>价依据</w:t>
      </w:r>
      <w:proofErr w:type="gramEnd"/>
      <w:r>
        <w:rPr>
          <w:rFonts w:ascii="宋体" w:hAnsi="宋体" w:hint="eastAsia"/>
          <w:color w:val="000000"/>
          <w:sz w:val="24"/>
          <w:szCs w:val="24"/>
        </w:rPr>
        <w:t>和其他参考资料等，具体如下：</w:t>
      </w:r>
    </w:p>
    <w:p w14:paraId="016ED0AE"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w:t>
      </w:r>
      <w:proofErr w:type="gramStart"/>
      <w:r>
        <w:rPr>
          <w:rFonts w:ascii="宋体" w:hAnsi="宋体" w:hint="eastAsia"/>
          <w:color w:val="000000"/>
          <w:sz w:val="24"/>
          <w:szCs w:val="24"/>
        </w:rPr>
        <w:t>一</w:t>
      </w:r>
      <w:proofErr w:type="gramEnd"/>
      <w:r>
        <w:rPr>
          <w:rFonts w:ascii="宋体" w:hAnsi="宋体" w:hint="eastAsia"/>
          <w:color w:val="000000"/>
          <w:sz w:val="24"/>
          <w:szCs w:val="24"/>
        </w:rPr>
        <w:t>)</w:t>
      </w:r>
      <w:r>
        <w:rPr>
          <w:rFonts w:ascii="宋体" w:hAnsi="宋体" w:hint="eastAsia"/>
          <w:color w:val="000000"/>
          <w:sz w:val="24"/>
          <w:szCs w:val="24"/>
        </w:rPr>
        <w:t>行为依据</w:t>
      </w:r>
    </w:p>
    <w:p w14:paraId="13484AA0"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 xml:space="preserve">1. </w:t>
      </w:r>
      <w:r>
        <w:rPr>
          <w:rFonts w:ascii="宋体" w:hAnsi="宋体" w:hint="eastAsia"/>
          <w:color w:val="000000"/>
          <w:sz w:val="24"/>
          <w:szCs w:val="24"/>
        </w:rPr>
        <w:t>广东省东莞市第一人民法院《委托评估函》（</w:t>
      </w:r>
      <w:r>
        <w:rPr>
          <w:rFonts w:ascii="宋体" w:hAnsi="宋体" w:hint="eastAsia"/>
          <w:color w:val="000000"/>
          <w:sz w:val="24"/>
          <w:szCs w:val="24"/>
        </w:rPr>
        <w:t>2021</w:t>
      </w:r>
      <w:r>
        <w:rPr>
          <w:rFonts w:ascii="宋体" w:hAnsi="宋体" w:hint="eastAsia"/>
          <w:color w:val="000000"/>
          <w:sz w:val="24"/>
          <w:szCs w:val="24"/>
        </w:rPr>
        <w:t>）粤</w:t>
      </w:r>
      <w:r>
        <w:rPr>
          <w:rFonts w:ascii="宋体" w:hAnsi="宋体" w:hint="eastAsia"/>
          <w:color w:val="000000"/>
          <w:sz w:val="24"/>
          <w:szCs w:val="24"/>
        </w:rPr>
        <w:t>1971</w:t>
      </w:r>
      <w:r>
        <w:rPr>
          <w:rFonts w:ascii="宋体" w:hAnsi="宋体" w:hint="eastAsia"/>
          <w:color w:val="000000"/>
          <w:sz w:val="24"/>
          <w:szCs w:val="24"/>
        </w:rPr>
        <w:t>执</w:t>
      </w:r>
      <w:r>
        <w:rPr>
          <w:rFonts w:ascii="宋体" w:hAnsi="宋体" w:hint="eastAsia"/>
          <w:color w:val="000000"/>
          <w:sz w:val="24"/>
          <w:szCs w:val="24"/>
        </w:rPr>
        <w:t>29972</w:t>
      </w:r>
      <w:r>
        <w:rPr>
          <w:rFonts w:ascii="宋体" w:hAnsi="宋体" w:hint="eastAsia"/>
          <w:color w:val="000000"/>
          <w:sz w:val="24"/>
          <w:szCs w:val="24"/>
        </w:rPr>
        <w:t>号；</w:t>
      </w:r>
    </w:p>
    <w:p w14:paraId="5763A46E" w14:textId="77777777" w:rsidR="00F76B5E" w:rsidRDefault="0027102A">
      <w:pPr>
        <w:snapToGrid w:val="0"/>
        <w:spacing w:line="360" w:lineRule="auto"/>
        <w:ind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hint="eastAsia"/>
          <w:color w:val="000000"/>
          <w:sz w:val="24"/>
          <w:szCs w:val="24"/>
        </w:rPr>
        <w:t>《广东省东莞市第一人民法院执行裁定书》（</w:t>
      </w:r>
      <w:r>
        <w:rPr>
          <w:rFonts w:ascii="宋体" w:hAnsi="宋体" w:hint="eastAsia"/>
          <w:color w:val="000000"/>
          <w:sz w:val="24"/>
          <w:szCs w:val="24"/>
        </w:rPr>
        <w:t>2021</w:t>
      </w:r>
      <w:r>
        <w:rPr>
          <w:rFonts w:ascii="宋体" w:hAnsi="宋体" w:hint="eastAsia"/>
          <w:color w:val="000000"/>
          <w:sz w:val="24"/>
          <w:szCs w:val="24"/>
        </w:rPr>
        <w:t>）粤</w:t>
      </w:r>
      <w:r>
        <w:rPr>
          <w:rFonts w:ascii="宋体" w:hAnsi="宋体" w:hint="eastAsia"/>
          <w:color w:val="000000"/>
          <w:sz w:val="24"/>
          <w:szCs w:val="24"/>
        </w:rPr>
        <w:t>1971</w:t>
      </w:r>
      <w:r>
        <w:rPr>
          <w:rFonts w:ascii="宋体" w:hAnsi="宋体" w:hint="eastAsia"/>
          <w:color w:val="000000"/>
          <w:sz w:val="24"/>
          <w:szCs w:val="24"/>
        </w:rPr>
        <w:t>执</w:t>
      </w:r>
      <w:r>
        <w:rPr>
          <w:rFonts w:ascii="宋体" w:hAnsi="宋体" w:hint="eastAsia"/>
          <w:color w:val="000000"/>
          <w:sz w:val="24"/>
          <w:szCs w:val="24"/>
        </w:rPr>
        <w:t>29972</w:t>
      </w:r>
      <w:r>
        <w:rPr>
          <w:rFonts w:ascii="宋体" w:hAnsi="宋体" w:hint="eastAsia"/>
          <w:color w:val="000000"/>
          <w:sz w:val="24"/>
          <w:szCs w:val="24"/>
        </w:rPr>
        <w:t>号，</w:t>
      </w:r>
    </w:p>
    <w:p w14:paraId="24A8002B" w14:textId="77777777" w:rsidR="00F76B5E" w:rsidRDefault="0027102A">
      <w:pPr>
        <w:snapToGrid w:val="0"/>
        <w:spacing w:line="360" w:lineRule="auto"/>
        <w:ind w:firstLine="48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hint="eastAsia"/>
          <w:color w:val="000000"/>
          <w:sz w:val="24"/>
          <w:szCs w:val="24"/>
        </w:rPr>
        <w:t>《广东省东莞市第一人民法院查封（扣押）财产清单》（</w:t>
      </w:r>
      <w:r>
        <w:rPr>
          <w:rFonts w:ascii="宋体" w:hAnsi="宋体" w:hint="eastAsia"/>
          <w:color w:val="000000"/>
          <w:sz w:val="24"/>
          <w:szCs w:val="24"/>
        </w:rPr>
        <w:t>2021</w:t>
      </w:r>
      <w:r>
        <w:rPr>
          <w:rFonts w:ascii="宋体" w:hAnsi="宋体" w:hint="eastAsia"/>
          <w:color w:val="000000"/>
          <w:sz w:val="24"/>
          <w:szCs w:val="24"/>
        </w:rPr>
        <w:t>）粤</w:t>
      </w:r>
      <w:r>
        <w:rPr>
          <w:rFonts w:ascii="宋体" w:hAnsi="宋体" w:hint="eastAsia"/>
          <w:color w:val="000000"/>
          <w:sz w:val="24"/>
          <w:szCs w:val="24"/>
        </w:rPr>
        <w:t>1971</w:t>
      </w:r>
      <w:r>
        <w:rPr>
          <w:rFonts w:ascii="宋体" w:hAnsi="宋体" w:hint="eastAsia"/>
          <w:color w:val="000000"/>
          <w:sz w:val="24"/>
          <w:szCs w:val="24"/>
        </w:rPr>
        <w:t>执</w:t>
      </w:r>
      <w:r>
        <w:rPr>
          <w:rFonts w:ascii="宋体" w:hAnsi="宋体" w:hint="eastAsia"/>
          <w:color w:val="000000"/>
          <w:sz w:val="24"/>
          <w:szCs w:val="24"/>
        </w:rPr>
        <w:t>29972</w:t>
      </w:r>
      <w:r>
        <w:rPr>
          <w:rFonts w:ascii="宋体" w:hAnsi="宋体" w:hint="eastAsia"/>
          <w:color w:val="000000"/>
          <w:sz w:val="24"/>
          <w:szCs w:val="24"/>
        </w:rPr>
        <w:t>号</w:t>
      </w:r>
    </w:p>
    <w:p w14:paraId="5C1B3880"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二</w:t>
      </w:r>
      <w:r>
        <w:rPr>
          <w:rFonts w:ascii="宋体" w:hAnsi="宋体" w:hint="eastAsia"/>
          <w:color w:val="000000"/>
          <w:sz w:val="24"/>
          <w:szCs w:val="24"/>
        </w:rPr>
        <w:t>)</w:t>
      </w:r>
      <w:r>
        <w:rPr>
          <w:rFonts w:ascii="宋体" w:hAnsi="宋体" w:hint="eastAsia"/>
          <w:color w:val="000000"/>
          <w:sz w:val="24"/>
          <w:szCs w:val="24"/>
        </w:rPr>
        <w:t>法律依据</w:t>
      </w:r>
    </w:p>
    <w:p w14:paraId="1B538043"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1.</w:t>
      </w:r>
      <w:r>
        <w:rPr>
          <w:rFonts w:ascii="宋体" w:hAnsi="宋体"/>
          <w:color w:val="000000"/>
          <w:sz w:val="24"/>
          <w:szCs w:val="24"/>
        </w:rPr>
        <w:t>《中华人民共和国</w:t>
      </w:r>
      <w:r>
        <w:rPr>
          <w:rFonts w:ascii="宋体" w:hAnsi="宋体" w:hint="eastAsia"/>
          <w:color w:val="000000"/>
          <w:sz w:val="24"/>
          <w:szCs w:val="24"/>
        </w:rPr>
        <w:t>民法典</w:t>
      </w:r>
      <w:r>
        <w:rPr>
          <w:rFonts w:ascii="宋体" w:hAnsi="宋体"/>
          <w:color w:val="000000"/>
          <w:sz w:val="24"/>
          <w:szCs w:val="24"/>
        </w:rPr>
        <w:t>》</w:t>
      </w:r>
      <w:r>
        <w:rPr>
          <w:rFonts w:ascii="宋体" w:hAnsi="宋体" w:hint="eastAsia"/>
          <w:color w:val="000000"/>
          <w:sz w:val="24"/>
          <w:szCs w:val="24"/>
        </w:rPr>
        <w:t>。</w:t>
      </w:r>
    </w:p>
    <w:p w14:paraId="6D6C442F"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《中华人民共和国资产评估法》。</w:t>
      </w:r>
    </w:p>
    <w:p w14:paraId="6D80A19A"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《中华人民共和国公司法》。</w:t>
      </w:r>
    </w:p>
    <w:p w14:paraId="7AC48BC0"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《中华人民共和国企业所得税法》。</w:t>
      </w:r>
    </w:p>
    <w:p w14:paraId="613239DC"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《中华人民共和国增值税暂行条例》。</w:t>
      </w:r>
    </w:p>
    <w:p w14:paraId="5EE2A987"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《中华人民共和国增值税暂行条例实施细则》。</w:t>
      </w:r>
    </w:p>
    <w:p w14:paraId="388E7C81"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7.</w:t>
      </w:r>
      <w:r>
        <w:rPr>
          <w:rFonts w:ascii="宋体" w:hAnsi="宋体" w:hint="eastAsia"/>
          <w:color w:val="000000"/>
          <w:sz w:val="24"/>
          <w:szCs w:val="24"/>
        </w:rPr>
        <w:t>《关于全面推开</w:t>
      </w:r>
      <w:r>
        <w:rPr>
          <w:rFonts w:ascii="宋体" w:hAnsi="宋体" w:hint="eastAsia"/>
          <w:color w:val="000000"/>
          <w:sz w:val="24"/>
          <w:szCs w:val="24"/>
        </w:rPr>
        <w:t>营业税改征增值税试点的通知》。</w:t>
      </w:r>
    </w:p>
    <w:p w14:paraId="4D4B403F"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8.</w:t>
      </w:r>
      <w:r>
        <w:rPr>
          <w:rFonts w:ascii="宋体" w:hAnsi="宋体" w:hint="eastAsia"/>
          <w:color w:val="000000"/>
          <w:sz w:val="24"/>
          <w:szCs w:val="24"/>
        </w:rPr>
        <w:t>其他相关法律、法规和规范性文件。</w:t>
      </w:r>
    </w:p>
    <w:p w14:paraId="5AEC937E"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三</w:t>
      </w:r>
      <w:r>
        <w:rPr>
          <w:rFonts w:ascii="宋体" w:hAnsi="宋体" w:hint="eastAsia"/>
          <w:color w:val="000000"/>
          <w:sz w:val="24"/>
          <w:szCs w:val="24"/>
        </w:rPr>
        <w:t>)</w:t>
      </w:r>
      <w:r>
        <w:rPr>
          <w:rFonts w:ascii="宋体" w:hAnsi="宋体"/>
          <w:color w:val="000000"/>
          <w:sz w:val="24"/>
          <w:szCs w:val="24"/>
        </w:rPr>
        <w:t>准则依据</w:t>
      </w:r>
    </w:p>
    <w:p w14:paraId="40E3241C" w14:textId="77777777" w:rsidR="00F76B5E" w:rsidRDefault="0027102A">
      <w:pPr>
        <w:snapToGrid w:val="0"/>
        <w:spacing w:line="360" w:lineRule="auto"/>
        <w:ind w:firstLine="480"/>
        <w:rPr>
          <w:rFonts w:ascii="宋体" w:hAnsi="宋体"/>
          <w:color w:val="000000"/>
          <w:sz w:val="24"/>
          <w:szCs w:val="24"/>
        </w:rPr>
      </w:pPr>
      <w:r>
        <w:rPr>
          <w:rFonts w:ascii="宋体" w:hAnsi="宋体"/>
          <w:color w:val="000000"/>
          <w:sz w:val="24"/>
          <w:szCs w:val="24"/>
        </w:rPr>
        <w:t>1.</w:t>
      </w:r>
      <w:r>
        <w:rPr>
          <w:rFonts w:ascii="宋体" w:hAnsi="宋体"/>
          <w:color w:val="000000"/>
          <w:sz w:val="24"/>
          <w:szCs w:val="24"/>
        </w:rPr>
        <w:t>《资产评估基本准则》；</w:t>
      </w:r>
    </w:p>
    <w:p w14:paraId="64ED301E" w14:textId="77777777" w:rsidR="00F76B5E" w:rsidRDefault="0027102A">
      <w:pPr>
        <w:snapToGrid w:val="0"/>
        <w:spacing w:line="360" w:lineRule="auto"/>
        <w:ind w:firstLine="480"/>
        <w:rPr>
          <w:rFonts w:ascii="宋体" w:hAnsi="宋体"/>
          <w:color w:val="000000"/>
          <w:sz w:val="24"/>
          <w:szCs w:val="24"/>
        </w:rPr>
      </w:pPr>
      <w:r>
        <w:rPr>
          <w:rFonts w:ascii="宋体" w:hAnsi="宋体"/>
          <w:color w:val="000000"/>
          <w:sz w:val="24"/>
          <w:szCs w:val="24"/>
        </w:rPr>
        <w:t>2.</w:t>
      </w:r>
      <w:r>
        <w:rPr>
          <w:rFonts w:ascii="宋体" w:hAnsi="宋体"/>
          <w:color w:val="000000"/>
          <w:sz w:val="24"/>
          <w:szCs w:val="24"/>
        </w:rPr>
        <w:t>《资产评估职业道德准则》；</w:t>
      </w:r>
    </w:p>
    <w:p w14:paraId="7A5BE8F4"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《资产评估执业准则——资产评估程序》</w:t>
      </w:r>
      <w:r>
        <w:rPr>
          <w:rFonts w:ascii="宋体" w:hAnsi="宋体"/>
          <w:color w:val="000000"/>
          <w:sz w:val="24"/>
          <w:szCs w:val="24"/>
        </w:rPr>
        <w:t>；</w:t>
      </w:r>
    </w:p>
    <w:p w14:paraId="3304D4B9"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《资产评估执业准则——资产评估报告》</w:t>
      </w:r>
      <w:r>
        <w:rPr>
          <w:rFonts w:ascii="宋体" w:hAnsi="宋体"/>
          <w:color w:val="000000"/>
          <w:sz w:val="24"/>
          <w:szCs w:val="24"/>
        </w:rPr>
        <w:t>；</w:t>
      </w:r>
    </w:p>
    <w:p w14:paraId="5B618F41"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《资产评估执业准则——资产评估方法》。</w:t>
      </w:r>
    </w:p>
    <w:p w14:paraId="48C1867B"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6</w:t>
      </w:r>
      <w:r>
        <w:rPr>
          <w:rFonts w:ascii="宋体" w:hAnsi="宋体"/>
          <w:color w:val="000000"/>
          <w:sz w:val="24"/>
          <w:szCs w:val="24"/>
        </w:rPr>
        <w:t>.</w:t>
      </w:r>
      <w:r>
        <w:rPr>
          <w:rFonts w:ascii="宋体" w:hAnsi="宋体"/>
          <w:color w:val="000000"/>
          <w:sz w:val="24"/>
          <w:szCs w:val="24"/>
        </w:rPr>
        <w:t>《资产评估执业准则</w:t>
      </w:r>
      <w:r>
        <w:rPr>
          <w:rFonts w:ascii="宋体" w:hAnsi="宋体"/>
          <w:color w:val="000000"/>
          <w:sz w:val="24"/>
          <w:szCs w:val="24"/>
        </w:rPr>
        <w:t>——</w:t>
      </w:r>
      <w:r>
        <w:rPr>
          <w:rFonts w:ascii="宋体" w:hAnsi="宋体"/>
          <w:color w:val="000000"/>
          <w:sz w:val="24"/>
          <w:szCs w:val="24"/>
        </w:rPr>
        <w:t>资产评估委托合同》；</w:t>
      </w:r>
    </w:p>
    <w:p w14:paraId="4350FCAB"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lastRenderedPageBreak/>
        <w:t>7</w:t>
      </w:r>
      <w:r>
        <w:rPr>
          <w:rFonts w:ascii="宋体" w:hAnsi="宋体"/>
          <w:color w:val="000000"/>
          <w:sz w:val="24"/>
          <w:szCs w:val="24"/>
        </w:rPr>
        <w:t>.</w:t>
      </w:r>
      <w:r>
        <w:rPr>
          <w:rFonts w:ascii="宋体" w:hAnsi="宋体"/>
          <w:color w:val="000000"/>
          <w:sz w:val="24"/>
          <w:szCs w:val="24"/>
        </w:rPr>
        <w:t>《资产评估执业准则</w:t>
      </w:r>
      <w:r>
        <w:rPr>
          <w:rFonts w:ascii="宋体" w:hAnsi="宋体"/>
          <w:color w:val="000000"/>
          <w:sz w:val="24"/>
          <w:szCs w:val="24"/>
        </w:rPr>
        <w:t>——</w:t>
      </w:r>
      <w:r>
        <w:rPr>
          <w:rFonts w:ascii="宋体" w:hAnsi="宋体"/>
          <w:color w:val="000000"/>
          <w:sz w:val="24"/>
          <w:szCs w:val="24"/>
        </w:rPr>
        <w:t>资产评估档案》；</w:t>
      </w:r>
    </w:p>
    <w:p w14:paraId="14F9F9C0"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8.</w:t>
      </w:r>
      <w:r>
        <w:rPr>
          <w:rFonts w:ascii="宋体" w:hAnsi="宋体"/>
          <w:color w:val="000000"/>
          <w:sz w:val="24"/>
          <w:szCs w:val="24"/>
        </w:rPr>
        <w:t>《资产评估执业准则</w:t>
      </w:r>
      <w:r>
        <w:rPr>
          <w:rFonts w:ascii="宋体" w:hAnsi="宋体"/>
          <w:color w:val="000000"/>
          <w:sz w:val="24"/>
          <w:szCs w:val="24"/>
        </w:rPr>
        <w:t>——</w:t>
      </w:r>
      <w:r>
        <w:rPr>
          <w:rFonts w:ascii="宋体" w:hAnsi="宋体"/>
          <w:color w:val="000000"/>
          <w:sz w:val="24"/>
          <w:szCs w:val="24"/>
        </w:rPr>
        <w:t>机器设备》；</w:t>
      </w:r>
    </w:p>
    <w:p w14:paraId="54EEF51E"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《资产评估机构业务质量控制指南》；</w:t>
      </w:r>
    </w:p>
    <w:p w14:paraId="6E3E6CD7"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10.</w:t>
      </w:r>
      <w:r>
        <w:rPr>
          <w:rFonts w:ascii="宋体" w:hAnsi="宋体"/>
          <w:color w:val="000000"/>
          <w:sz w:val="24"/>
          <w:szCs w:val="24"/>
        </w:rPr>
        <w:t>《资产评估价值类型指导意见》；</w:t>
      </w:r>
    </w:p>
    <w:p w14:paraId="6BE2785A" w14:textId="77777777" w:rsidR="00F76B5E" w:rsidRDefault="0027102A">
      <w:pPr>
        <w:snapToGrid w:val="0"/>
        <w:spacing w:line="360" w:lineRule="auto"/>
        <w:ind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1.</w:t>
      </w:r>
      <w:r>
        <w:rPr>
          <w:rFonts w:ascii="宋体" w:hAnsi="宋体"/>
          <w:color w:val="000000"/>
          <w:sz w:val="24"/>
          <w:szCs w:val="24"/>
        </w:rPr>
        <w:t>《资产评估对象法律权属指导意见》</w:t>
      </w:r>
      <w:r>
        <w:rPr>
          <w:rFonts w:ascii="宋体" w:hAnsi="宋体" w:hint="eastAsia"/>
          <w:color w:val="000000"/>
          <w:sz w:val="24"/>
          <w:szCs w:val="24"/>
        </w:rPr>
        <w:t>。</w:t>
      </w:r>
    </w:p>
    <w:p w14:paraId="6A300576"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三</w:t>
      </w:r>
      <w:r>
        <w:rPr>
          <w:rFonts w:ascii="宋体" w:hAnsi="宋体" w:hint="eastAsia"/>
          <w:color w:val="000000"/>
          <w:sz w:val="24"/>
          <w:szCs w:val="24"/>
        </w:rPr>
        <w:t>)</w:t>
      </w:r>
      <w:r>
        <w:rPr>
          <w:rFonts w:ascii="宋体" w:hAnsi="宋体" w:hint="eastAsia"/>
          <w:color w:val="000000"/>
          <w:sz w:val="24"/>
          <w:szCs w:val="24"/>
        </w:rPr>
        <w:t>权属依据</w:t>
      </w:r>
    </w:p>
    <w:p w14:paraId="4F4E67F1"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未提供。</w:t>
      </w:r>
    </w:p>
    <w:p w14:paraId="0DF66DDB" w14:textId="77777777" w:rsidR="00F76B5E" w:rsidRDefault="0027102A">
      <w:pPr>
        <w:snapToGrid w:val="0"/>
        <w:spacing w:line="360" w:lineRule="auto"/>
        <w:ind w:firstLine="480"/>
        <w:rPr>
          <w:rFonts w:ascii="宋体" w:hAnsi="宋体"/>
          <w:color w:val="000000"/>
          <w:sz w:val="24"/>
          <w:szCs w:val="24"/>
        </w:rPr>
      </w:pPr>
      <w:bookmarkStart w:id="27" w:name="_Toc66605632"/>
      <w:bookmarkStart w:id="28" w:name="_Toc205892045"/>
      <w:r>
        <w:rPr>
          <w:rFonts w:ascii="宋体" w:hAnsi="宋体" w:hint="eastAsia"/>
          <w:color w:val="000000"/>
          <w:sz w:val="24"/>
          <w:szCs w:val="24"/>
        </w:rPr>
        <w:t>(</w:t>
      </w:r>
      <w:r>
        <w:rPr>
          <w:rFonts w:ascii="宋体" w:hAnsi="宋体" w:hint="eastAsia"/>
          <w:color w:val="000000"/>
          <w:sz w:val="24"/>
          <w:szCs w:val="24"/>
        </w:rPr>
        <w:t>四</w:t>
      </w:r>
      <w:r>
        <w:rPr>
          <w:rFonts w:ascii="宋体" w:hAnsi="宋体" w:hint="eastAsia"/>
          <w:color w:val="000000"/>
          <w:sz w:val="24"/>
          <w:szCs w:val="24"/>
        </w:rPr>
        <w:t>)</w:t>
      </w:r>
      <w:r>
        <w:rPr>
          <w:rFonts w:ascii="宋体" w:hAnsi="宋体" w:hint="eastAsia"/>
          <w:color w:val="000000"/>
          <w:sz w:val="24"/>
          <w:szCs w:val="24"/>
        </w:rPr>
        <w:t>取价依据</w:t>
      </w:r>
      <w:bookmarkEnd w:id="27"/>
      <w:bookmarkEnd w:id="28"/>
    </w:p>
    <w:p w14:paraId="41E13437" w14:textId="77777777" w:rsidR="00F76B5E" w:rsidRDefault="0027102A">
      <w:pPr>
        <w:snapToGrid w:val="0"/>
        <w:spacing w:line="360" w:lineRule="auto"/>
        <w:ind w:firstLine="480"/>
        <w:rPr>
          <w:rFonts w:ascii="宋体" w:hAnsi="宋体"/>
          <w:color w:val="000000"/>
          <w:sz w:val="24"/>
          <w:szCs w:val="24"/>
        </w:rPr>
      </w:pPr>
      <w:bookmarkStart w:id="29" w:name="_Toc66605633"/>
      <w:bookmarkStart w:id="30" w:name="_Toc205892046"/>
      <w:r>
        <w:rPr>
          <w:rFonts w:ascii="宋体" w:hAnsi="宋体" w:hint="eastAsia"/>
          <w:color w:val="000000"/>
          <w:sz w:val="24"/>
          <w:szCs w:val="24"/>
        </w:rPr>
        <w:t>1.</w:t>
      </w:r>
      <w:r>
        <w:rPr>
          <w:rFonts w:ascii="宋体" w:hAnsi="宋体" w:hint="eastAsia"/>
          <w:color w:val="000000"/>
          <w:sz w:val="24"/>
          <w:szCs w:val="24"/>
        </w:rPr>
        <w:t>《</w:t>
      </w:r>
      <w:r>
        <w:rPr>
          <w:rFonts w:ascii="宋体" w:hAnsi="宋体" w:hint="eastAsia"/>
          <w:color w:val="000000"/>
          <w:sz w:val="24"/>
          <w:szCs w:val="24"/>
        </w:rPr>
        <w:t>202</w:t>
      </w:r>
      <w:r>
        <w:rPr>
          <w:rFonts w:ascii="宋体" w:hAnsi="宋体"/>
          <w:color w:val="000000"/>
          <w:sz w:val="24"/>
          <w:szCs w:val="24"/>
        </w:rPr>
        <w:t>1</w:t>
      </w:r>
      <w:r>
        <w:rPr>
          <w:rFonts w:ascii="宋体" w:hAnsi="宋体" w:hint="eastAsia"/>
          <w:color w:val="000000"/>
          <w:sz w:val="24"/>
          <w:szCs w:val="24"/>
        </w:rPr>
        <w:t>机电产品报价手册》机械工业出版社；</w:t>
      </w:r>
    </w:p>
    <w:p w14:paraId="779CEAA8"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网上查询的机器设备市场价格资料；</w:t>
      </w:r>
    </w:p>
    <w:p w14:paraId="59E33693"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《最新资产评估常用数据与参数手册》</w:t>
      </w:r>
      <w:r>
        <w:rPr>
          <w:rFonts w:ascii="宋体" w:hAnsi="宋体" w:hint="eastAsia"/>
          <w:color w:val="000000"/>
          <w:sz w:val="24"/>
          <w:szCs w:val="24"/>
        </w:rPr>
        <w:t>(</w:t>
      </w:r>
      <w:r>
        <w:rPr>
          <w:rFonts w:ascii="宋体" w:hAnsi="宋体" w:hint="eastAsia"/>
          <w:color w:val="000000"/>
          <w:sz w:val="24"/>
          <w:szCs w:val="24"/>
        </w:rPr>
        <w:t>中国经济科学出版社</w:t>
      </w:r>
      <w:r>
        <w:rPr>
          <w:rFonts w:ascii="宋体" w:hAnsi="宋体" w:hint="eastAsia"/>
          <w:color w:val="000000"/>
          <w:sz w:val="24"/>
          <w:szCs w:val="24"/>
        </w:rPr>
        <w:t>2012</w:t>
      </w:r>
      <w:r>
        <w:rPr>
          <w:rFonts w:ascii="宋体" w:hAnsi="宋体" w:hint="eastAsia"/>
          <w:color w:val="000000"/>
          <w:sz w:val="24"/>
          <w:szCs w:val="24"/>
        </w:rPr>
        <w:t>版</w:t>
      </w:r>
      <w:r>
        <w:rPr>
          <w:rFonts w:ascii="宋体" w:hAnsi="宋体" w:hint="eastAsia"/>
          <w:color w:val="000000"/>
          <w:sz w:val="24"/>
          <w:szCs w:val="24"/>
        </w:rPr>
        <w:t>)</w:t>
      </w:r>
      <w:r>
        <w:rPr>
          <w:rFonts w:ascii="宋体" w:hAnsi="宋体" w:hint="eastAsia"/>
          <w:color w:val="000000"/>
          <w:sz w:val="24"/>
          <w:szCs w:val="24"/>
        </w:rPr>
        <w:t>；</w:t>
      </w:r>
    </w:p>
    <w:p w14:paraId="7CB195DE"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广东信成土地房地产资产评估有限公司价格信息资料库相关资料；</w:t>
      </w:r>
    </w:p>
    <w:p w14:paraId="43CF5824"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、其他参考资料。</w:t>
      </w:r>
    </w:p>
    <w:p w14:paraId="0475258A"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五</w:t>
      </w:r>
      <w:r>
        <w:rPr>
          <w:rFonts w:ascii="宋体" w:hAnsi="宋体" w:hint="eastAsia"/>
          <w:color w:val="000000"/>
          <w:sz w:val="24"/>
          <w:szCs w:val="24"/>
        </w:rPr>
        <w:t>)</w:t>
      </w:r>
      <w:r>
        <w:rPr>
          <w:rFonts w:ascii="宋体" w:hAnsi="宋体" w:hint="eastAsia"/>
          <w:color w:val="000000"/>
          <w:sz w:val="24"/>
          <w:szCs w:val="24"/>
        </w:rPr>
        <w:t>其它参考资料</w:t>
      </w:r>
      <w:bookmarkEnd w:id="29"/>
      <w:bookmarkEnd w:id="30"/>
    </w:p>
    <w:p w14:paraId="1D2DC50D"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国家有关部门颁布的统计资料和技术标准资料，以及本评估机构收集的其他有关资料</w:t>
      </w:r>
      <w:r>
        <w:rPr>
          <w:rFonts w:ascii="宋体" w:hAnsi="宋体"/>
          <w:color w:val="000000"/>
          <w:sz w:val="24"/>
          <w:szCs w:val="24"/>
        </w:rPr>
        <w:t>。</w:t>
      </w:r>
    </w:p>
    <w:p w14:paraId="7FED33C0" w14:textId="77777777" w:rsidR="00F76B5E" w:rsidRDefault="0027102A">
      <w:pPr>
        <w:pStyle w:val="1"/>
        <w:snapToGrid w:val="0"/>
        <w:spacing w:before="0" w:after="0" w:line="360" w:lineRule="auto"/>
        <w:ind w:firstLineChars="200" w:firstLine="482"/>
        <w:rPr>
          <w:color w:val="000000"/>
          <w:sz w:val="24"/>
          <w:szCs w:val="24"/>
        </w:rPr>
      </w:pPr>
      <w:bookmarkStart w:id="31" w:name="_Toc93936757"/>
      <w:r>
        <w:rPr>
          <w:rFonts w:hint="eastAsia"/>
          <w:color w:val="000000"/>
          <w:sz w:val="24"/>
          <w:szCs w:val="24"/>
        </w:rPr>
        <w:t>七、评估方法</w:t>
      </w:r>
      <w:bookmarkEnd w:id="31"/>
    </w:p>
    <w:p w14:paraId="49E73726" w14:textId="77777777" w:rsidR="00F76B5E" w:rsidRDefault="0027102A">
      <w:pPr>
        <w:snapToGrid w:val="0"/>
        <w:spacing w:line="360" w:lineRule="auto"/>
        <w:ind w:firstLine="480"/>
        <w:rPr>
          <w:rFonts w:ascii="宋体" w:hAnsi="宋体"/>
          <w:color w:val="000000"/>
          <w:sz w:val="24"/>
          <w:szCs w:val="24"/>
        </w:rPr>
      </w:pPr>
      <w:bookmarkStart w:id="32" w:name="_Toc447125217"/>
      <w:r>
        <w:rPr>
          <w:rFonts w:ascii="宋体" w:hAnsi="宋体" w:hint="eastAsia"/>
          <w:color w:val="000000"/>
          <w:sz w:val="24"/>
          <w:szCs w:val="24"/>
        </w:rPr>
        <w:t>资产评估技术方法一般有市场法、收益法与成本法。</w:t>
      </w:r>
    </w:p>
    <w:p w14:paraId="463B83F2" w14:textId="77777777" w:rsidR="00F76B5E" w:rsidRDefault="0027102A">
      <w:pPr>
        <w:snapToGrid w:val="0"/>
        <w:spacing w:line="300" w:lineRule="auto"/>
        <w:ind w:firstLine="480"/>
        <w:rPr>
          <w:rFonts w:ascii="宋体" w:hAnsi="宋体"/>
          <w:color w:val="000000"/>
          <w:sz w:val="24"/>
          <w:szCs w:val="24"/>
        </w:rPr>
      </w:pPr>
      <w:r>
        <w:rPr>
          <w:rFonts w:ascii="宋体" w:hAnsi="宋体" w:hint="eastAsia"/>
          <w:color w:val="000000"/>
          <w:sz w:val="24"/>
          <w:szCs w:val="24"/>
        </w:rPr>
        <w:t>本评估项目评估目的是因财</w:t>
      </w:r>
      <w:r>
        <w:rPr>
          <w:rFonts w:ascii="宋体" w:hAnsi="宋体" w:hint="eastAsia"/>
          <w:color w:val="000000"/>
          <w:sz w:val="24"/>
          <w:szCs w:val="24"/>
        </w:rPr>
        <w:t>产拍卖处置提供市场价值参考依据，由于近期在本地区转让同类设备资产的交易案例较少</w:t>
      </w:r>
      <w:r>
        <w:rPr>
          <w:rFonts w:ascii="宋体" w:hAnsi="宋体" w:hint="eastAsia"/>
          <w:color w:val="000000"/>
          <w:sz w:val="24"/>
          <w:szCs w:val="24"/>
        </w:rPr>
        <w:t>,</w:t>
      </w:r>
      <w:r>
        <w:rPr>
          <w:rFonts w:ascii="宋体" w:hAnsi="宋体" w:hint="eastAsia"/>
          <w:color w:val="000000"/>
          <w:sz w:val="24"/>
          <w:szCs w:val="24"/>
        </w:rPr>
        <w:t>因此无法采用市场法进行评估；又因该设备资产无法完全预测其收益获利能力，因此我们认为收益途径对本评估项目来说不适当；综上分析</w:t>
      </w:r>
      <w:r>
        <w:rPr>
          <w:rFonts w:ascii="宋体" w:hAnsi="宋体" w:hint="eastAsia"/>
          <w:color w:val="000000"/>
          <w:sz w:val="24"/>
          <w:szCs w:val="24"/>
        </w:rPr>
        <w:t>,</w:t>
      </w:r>
      <w:r>
        <w:rPr>
          <w:rFonts w:ascii="宋体" w:hAnsi="宋体" w:hint="eastAsia"/>
          <w:color w:val="000000"/>
          <w:sz w:val="24"/>
          <w:szCs w:val="24"/>
        </w:rPr>
        <w:t>我们认为对该设备资产的评估宜采用重置成本法进行评估更为适当。</w:t>
      </w:r>
    </w:p>
    <w:p w14:paraId="7441BE44"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成本法是指首先估测被评估资产的现行再取得成本（重置成本）</w:t>
      </w:r>
      <w:r>
        <w:rPr>
          <w:rFonts w:ascii="宋体" w:hAnsi="宋体" w:hint="eastAsia"/>
          <w:color w:val="000000"/>
          <w:sz w:val="24"/>
          <w:szCs w:val="24"/>
        </w:rPr>
        <w:t>,</w:t>
      </w:r>
      <w:r>
        <w:rPr>
          <w:rFonts w:ascii="宋体" w:hAnsi="宋体" w:hint="eastAsia"/>
          <w:color w:val="000000"/>
          <w:sz w:val="24"/>
          <w:szCs w:val="24"/>
        </w:rPr>
        <w:t>然后估测被评估资产业已存在的各种贬值因素</w:t>
      </w:r>
      <w:r>
        <w:rPr>
          <w:rFonts w:ascii="宋体" w:hAnsi="宋体" w:hint="eastAsia"/>
          <w:color w:val="000000"/>
          <w:sz w:val="24"/>
          <w:szCs w:val="24"/>
        </w:rPr>
        <w:t>,</w:t>
      </w:r>
      <w:r>
        <w:rPr>
          <w:rFonts w:ascii="宋体" w:hAnsi="宋体" w:hint="eastAsia"/>
          <w:color w:val="000000"/>
          <w:sz w:val="24"/>
          <w:szCs w:val="24"/>
        </w:rPr>
        <w:t>并将其从重置成本中扣除而得到被评估资产价值的评估技术方法。</w:t>
      </w:r>
    </w:p>
    <w:p w14:paraId="192D315D"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（一）采用成本</w:t>
      </w:r>
      <w:proofErr w:type="gramStart"/>
      <w:r>
        <w:rPr>
          <w:rFonts w:ascii="宋体" w:hAnsi="宋体" w:hint="eastAsia"/>
          <w:color w:val="000000"/>
          <w:sz w:val="24"/>
          <w:szCs w:val="24"/>
        </w:rPr>
        <w:t>法前提</w:t>
      </w:r>
      <w:proofErr w:type="gramEnd"/>
      <w:r>
        <w:rPr>
          <w:rFonts w:ascii="宋体" w:hAnsi="宋体" w:hint="eastAsia"/>
          <w:color w:val="000000"/>
          <w:sz w:val="24"/>
          <w:szCs w:val="24"/>
        </w:rPr>
        <w:t>条件</w:t>
      </w:r>
    </w:p>
    <w:p w14:paraId="75CB7D98"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、被评估资产处于持续使用状态或设定处于持续使用状态</w:t>
      </w:r>
      <w:r>
        <w:rPr>
          <w:rFonts w:ascii="宋体" w:hAnsi="宋体" w:hint="eastAsia"/>
          <w:color w:val="000000"/>
          <w:sz w:val="24"/>
          <w:szCs w:val="24"/>
        </w:rPr>
        <w:t>;</w:t>
      </w:r>
    </w:p>
    <w:p w14:paraId="1A9E34FF"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w:t>
      </w:r>
      <w:r>
        <w:rPr>
          <w:rFonts w:ascii="宋体" w:hAnsi="宋体" w:hint="eastAsia"/>
          <w:color w:val="000000"/>
          <w:sz w:val="24"/>
          <w:szCs w:val="24"/>
        </w:rPr>
        <w:t>具备购建被评估资产的历史资料</w:t>
      </w:r>
      <w:r>
        <w:rPr>
          <w:rFonts w:ascii="宋体" w:hAnsi="宋体" w:hint="eastAsia"/>
          <w:color w:val="000000"/>
          <w:sz w:val="24"/>
          <w:szCs w:val="24"/>
        </w:rPr>
        <w:t>;</w:t>
      </w:r>
    </w:p>
    <w:p w14:paraId="4263C904"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、存在购建被评估资产的社会必要成本。</w:t>
      </w:r>
    </w:p>
    <w:p w14:paraId="09238901"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lastRenderedPageBreak/>
        <w:t>（二）采用成本法基础条件</w:t>
      </w:r>
    </w:p>
    <w:p w14:paraId="334BAA14"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1)</w:t>
      </w:r>
      <w:r>
        <w:rPr>
          <w:rFonts w:ascii="宋体" w:hAnsi="宋体" w:hint="eastAsia"/>
          <w:color w:val="000000"/>
          <w:sz w:val="24"/>
          <w:szCs w:val="24"/>
        </w:rPr>
        <w:t>成本法下的数量的确定：根据委托方提供的《广东省东莞市第一人民法院查封（扣押）财产清单》（</w:t>
      </w:r>
      <w:r>
        <w:rPr>
          <w:rFonts w:ascii="宋体" w:hAnsi="宋体" w:hint="eastAsia"/>
          <w:color w:val="000000"/>
          <w:sz w:val="24"/>
          <w:szCs w:val="24"/>
        </w:rPr>
        <w:t>2021</w:t>
      </w:r>
      <w:r>
        <w:rPr>
          <w:rFonts w:ascii="宋体" w:hAnsi="宋体" w:hint="eastAsia"/>
          <w:color w:val="000000"/>
          <w:sz w:val="24"/>
          <w:szCs w:val="24"/>
        </w:rPr>
        <w:t>）粤</w:t>
      </w:r>
      <w:r>
        <w:rPr>
          <w:rFonts w:ascii="宋体" w:hAnsi="宋体" w:hint="eastAsia"/>
          <w:color w:val="000000"/>
          <w:sz w:val="24"/>
          <w:szCs w:val="24"/>
        </w:rPr>
        <w:t>1971</w:t>
      </w:r>
      <w:r>
        <w:rPr>
          <w:rFonts w:ascii="宋体" w:hAnsi="宋体" w:hint="eastAsia"/>
          <w:color w:val="000000"/>
          <w:sz w:val="24"/>
          <w:szCs w:val="24"/>
        </w:rPr>
        <w:t>执</w:t>
      </w:r>
      <w:r>
        <w:rPr>
          <w:rFonts w:ascii="宋体" w:hAnsi="宋体" w:hint="eastAsia"/>
          <w:color w:val="000000"/>
          <w:sz w:val="24"/>
          <w:szCs w:val="24"/>
        </w:rPr>
        <w:t>29972</w:t>
      </w:r>
      <w:r>
        <w:rPr>
          <w:rFonts w:ascii="宋体" w:hAnsi="宋体" w:hint="eastAsia"/>
          <w:color w:val="000000"/>
          <w:sz w:val="24"/>
          <w:szCs w:val="24"/>
        </w:rPr>
        <w:t>号等资料审查核实后予以确认。</w:t>
      </w:r>
    </w:p>
    <w:p w14:paraId="78C89C60"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2</w:t>
      </w:r>
      <w:r>
        <w:rPr>
          <w:rFonts w:ascii="宋体" w:hAnsi="宋体" w:hint="eastAsia"/>
          <w:color w:val="000000"/>
          <w:sz w:val="24"/>
          <w:szCs w:val="24"/>
        </w:rPr>
        <w:t>）成本法下机器设备的重置全价主要参照国内外市场同类型或类似机器设备的现行市价，</w:t>
      </w:r>
      <w:proofErr w:type="gramStart"/>
      <w:r>
        <w:rPr>
          <w:rFonts w:ascii="宋体" w:hAnsi="宋体" w:hint="eastAsia"/>
          <w:color w:val="000000"/>
          <w:sz w:val="24"/>
          <w:szCs w:val="24"/>
        </w:rPr>
        <w:t>结合委估机器设备</w:t>
      </w:r>
      <w:proofErr w:type="gramEnd"/>
      <w:r>
        <w:rPr>
          <w:rFonts w:ascii="宋体" w:hAnsi="宋体" w:hint="eastAsia"/>
          <w:color w:val="000000"/>
          <w:sz w:val="24"/>
          <w:szCs w:val="24"/>
        </w:rPr>
        <w:t>历史成本</w:t>
      </w:r>
      <w:r>
        <w:rPr>
          <w:rFonts w:ascii="宋体" w:hAnsi="宋体" w:hint="eastAsia"/>
          <w:color w:val="000000"/>
          <w:sz w:val="24"/>
          <w:szCs w:val="24"/>
        </w:rPr>
        <w:t>,</w:t>
      </w:r>
      <w:r>
        <w:rPr>
          <w:rFonts w:ascii="宋体" w:hAnsi="宋体" w:hint="eastAsia"/>
          <w:color w:val="000000"/>
          <w:sz w:val="24"/>
          <w:szCs w:val="24"/>
        </w:rPr>
        <w:t>同时考虑现时市场上类似机器设备</w:t>
      </w:r>
      <w:proofErr w:type="gramStart"/>
      <w:r>
        <w:rPr>
          <w:rFonts w:ascii="宋体" w:hAnsi="宋体" w:hint="eastAsia"/>
          <w:color w:val="000000"/>
          <w:sz w:val="24"/>
          <w:szCs w:val="24"/>
        </w:rPr>
        <w:t>与委估机器设备</w:t>
      </w:r>
      <w:proofErr w:type="gramEnd"/>
      <w:r>
        <w:rPr>
          <w:rFonts w:ascii="宋体" w:hAnsi="宋体" w:hint="eastAsia"/>
          <w:color w:val="000000"/>
          <w:sz w:val="24"/>
          <w:szCs w:val="24"/>
        </w:rPr>
        <w:t>性能差异所产生的变动系数。此次评估调查同类同型号设备和</w:t>
      </w:r>
      <w:proofErr w:type="gramStart"/>
      <w:r>
        <w:rPr>
          <w:rFonts w:ascii="宋体" w:hAnsi="宋体" w:hint="eastAsia"/>
          <w:color w:val="000000"/>
          <w:sz w:val="24"/>
          <w:szCs w:val="24"/>
        </w:rPr>
        <w:t>可</w:t>
      </w:r>
      <w:proofErr w:type="gramEnd"/>
      <w:r>
        <w:rPr>
          <w:rFonts w:ascii="宋体" w:hAnsi="宋体" w:hint="eastAsia"/>
          <w:color w:val="000000"/>
          <w:sz w:val="24"/>
          <w:szCs w:val="24"/>
        </w:rPr>
        <w:t>替代设备，然后再考虑其功能性及经济性贬值后</w:t>
      </w:r>
      <w:r>
        <w:rPr>
          <w:rFonts w:ascii="宋体" w:hAnsi="宋体" w:hint="eastAsia"/>
          <w:color w:val="000000"/>
          <w:sz w:val="24"/>
          <w:szCs w:val="24"/>
        </w:rPr>
        <w:t>,</w:t>
      </w:r>
      <w:r>
        <w:rPr>
          <w:rFonts w:ascii="宋体" w:hAnsi="宋体" w:hint="eastAsia"/>
          <w:color w:val="000000"/>
          <w:sz w:val="24"/>
          <w:szCs w:val="24"/>
        </w:rPr>
        <w:t>确定重</w:t>
      </w:r>
      <w:r>
        <w:rPr>
          <w:rFonts w:ascii="宋体" w:hAnsi="宋体" w:hint="eastAsia"/>
          <w:color w:val="000000"/>
          <w:sz w:val="24"/>
          <w:szCs w:val="24"/>
        </w:rPr>
        <w:t>置全价。</w:t>
      </w:r>
    </w:p>
    <w:p w14:paraId="43240A48"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3</w:t>
      </w:r>
      <w:r>
        <w:rPr>
          <w:rFonts w:ascii="宋体" w:hAnsi="宋体" w:hint="eastAsia"/>
          <w:color w:val="000000"/>
          <w:sz w:val="24"/>
          <w:szCs w:val="24"/>
        </w:rPr>
        <w:t>）成本法下的成新</w:t>
      </w:r>
      <w:proofErr w:type="gramStart"/>
      <w:r>
        <w:rPr>
          <w:rFonts w:ascii="宋体" w:hAnsi="宋体" w:hint="eastAsia"/>
          <w:color w:val="000000"/>
          <w:sz w:val="24"/>
          <w:szCs w:val="24"/>
        </w:rPr>
        <w:t>率通过</w:t>
      </w:r>
      <w:proofErr w:type="gramEnd"/>
      <w:r>
        <w:rPr>
          <w:rFonts w:ascii="宋体" w:hAnsi="宋体" w:hint="eastAsia"/>
          <w:color w:val="000000"/>
          <w:sz w:val="24"/>
          <w:szCs w:val="24"/>
        </w:rPr>
        <w:t>对照厂牌型号、购置日期、使用年限、尚可使用年限、机器设备磨损等情况</w:t>
      </w:r>
      <w:proofErr w:type="gramStart"/>
      <w:r>
        <w:rPr>
          <w:rFonts w:ascii="宋体" w:hAnsi="宋体" w:hint="eastAsia"/>
          <w:color w:val="000000"/>
          <w:sz w:val="24"/>
          <w:szCs w:val="24"/>
        </w:rPr>
        <w:t>作出</w:t>
      </w:r>
      <w:proofErr w:type="gramEnd"/>
      <w:r>
        <w:rPr>
          <w:rFonts w:ascii="宋体" w:hAnsi="宋体" w:hint="eastAsia"/>
          <w:color w:val="000000"/>
          <w:sz w:val="24"/>
          <w:szCs w:val="24"/>
        </w:rPr>
        <w:t>判断，通过现场实地勘察，对其性能损耗</w:t>
      </w:r>
      <w:proofErr w:type="gramStart"/>
      <w:r>
        <w:rPr>
          <w:rFonts w:ascii="宋体" w:hAnsi="宋体" w:hint="eastAsia"/>
          <w:color w:val="000000"/>
          <w:sz w:val="24"/>
          <w:szCs w:val="24"/>
        </w:rPr>
        <w:t>作出</w:t>
      </w:r>
      <w:proofErr w:type="gramEnd"/>
      <w:r>
        <w:rPr>
          <w:rFonts w:ascii="宋体" w:hAnsi="宋体" w:hint="eastAsia"/>
          <w:color w:val="000000"/>
          <w:sz w:val="24"/>
          <w:szCs w:val="24"/>
        </w:rPr>
        <w:t>判断，从而对该机器设备的成新率</w:t>
      </w:r>
      <w:proofErr w:type="gramStart"/>
      <w:r>
        <w:rPr>
          <w:rFonts w:ascii="宋体" w:hAnsi="宋体" w:hint="eastAsia"/>
          <w:color w:val="000000"/>
          <w:sz w:val="24"/>
          <w:szCs w:val="24"/>
        </w:rPr>
        <w:t>作出</w:t>
      </w:r>
      <w:proofErr w:type="gramEnd"/>
      <w:r>
        <w:rPr>
          <w:rFonts w:ascii="宋体" w:hAnsi="宋体" w:hint="eastAsia"/>
          <w:color w:val="000000"/>
          <w:sz w:val="24"/>
          <w:szCs w:val="24"/>
        </w:rPr>
        <w:t>合理判定，最后确定其成新率。</w:t>
      </w:r>
    </w:p>
    <w:p w14:paraId="58AB4C4A"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基本公式：评估值</w:t>
      </w:r>
      <w:r>
        <w:rPr>
          <w:rFonts w:ascii="宋体" w:hAnsi="宋体" w:hint="eastAsia"/>
          <w:color w:val="000000"/>
          <w:sz w:val="24"/>
          <w:szCs w:val="24"/>
        </w:rPr>
        <w:t>=</w:t>
      </w:r>
      <w:r>
        <w:rPr>
          <w:rFonts w:ascii="宋体" w:hAnsi="宋体" w:hint="eastAsia"/>
          <w:color w:val="000000"/>
          <w:sz w:val="24"/>
          <w:szCs w:val="24"/>
        </w:rPr>
        <w:t>重置价值×成新率</w:t>
      </w:r>
      <w:r>
        <w:rPr>
          <w:rFonts w:ascii="宋体" w:hAnsi="宋体" w:hint="eastAsia"/>
          <w:color w:val="000000"/>
          <w:sz w:val="24"/>
          <w:szCs w:val="24"/>
        </w:rPr>
        <w:tab/>
      </w:r>
    </w:p>
    <w:p w14:paraId="3E9A8E72" w14:textId="77777777" w:rsidR="00F76B5E" w:rsidRDefault="0027102A">
      <w:pPr>
        <w:pStyle w:val="1"/>
        <w:tabs>
          <w:tab w:val="center" w:pos="4605"/>
        </w:tabs>
        <w:snapToGrid w:val="0"/>
        <w:spacing w:before="0" w:after="0" w:line="360" w:lineRule="auto"/>
        <w:ind w:firstLine="482"/>
        <w:rPr>
          <w:color w:val="000000"/>
          <w:sz w:val="24"/>
          <w:szCs w:val="24"/>
        </w:rPr>
      </w:pPr>
      <w:bookmarkStart w:id="33" w:name="_Toc93936758"/>
      <w:r>
        <w:rPr>
          <w:rFonts w:hint="eastAsia"/>
          <w:color w:val="000000"/>
          <w:sz w:val="24"/>
          <w:szCs w:val="24"/>
        </w:rPr>
        <w:t>八、评估程序实施过程和情况</w:t>
      </w:r>
      <w:bookmarkEnd w:id="32"/>
      <w:bookmarkEnd w:id="33"/>
      <w:r>
        <w:rPr>
          <w:color w:val="000000"/>
          <w:sz w:val="24"/>
          <w:szCs w:val="24"/>
        </w:rPr>
        <w:tab/>
      </w:r>
    </w:p>
    <w:p w14:paraId="4A5783E7"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w:t>
      </w:r>
      <w:proofErr w:type="gramStart"/>
      <w:r>
        <w:rPr>
          <w:rFonts w:ascii="宋体" w:hAnsi="宋体" w:hint="eastAsia"/>
          <w:color w:val="000000"/>
          <w:sz w:val="24"/>
          <w:szCs w:val="24"/>
        </w:rPr>
        <w:t>一</w:t>
      </w:r>
      <w:proofErr w:type="gramEnd"/>
      <w:r>
        <w:rPr>
          <w:rFonts w:ascii="宋体" w:hAnsi="宋体" w:hint="eastAsia"/>
          <w:color w:val="000000"/>
          <w:sz w:val="24"/>
          <w:szCs w:val="24"/>
        </w:rPr>
        <w:t>)</w:t>
      </w:r>
      <w:r>
        <w:rPr>
          <w:rFonts w:ascii="宋体" w:hAnsi="宋体" w:hint="eastAsia"/>
          <w:color w:val="000000"/>
          <w:sz w:val="24"/>
          <w:szCs w:val="24"/>
        </w:rPr>
        <w:t>明确评估业务基本事项</w:t>
      </w:r>
    </w:p>
    <w:p w14:paraId="1A6C229E"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通过向委托方了解总体方案，明确委托方、被评估单位、评估目的、评估对象和评估范围、评估基准日、评估报告使用限制、评估报告提交时间及方式等评估业务基本事项。</w:t>
      </w:r>
    </w:p>
    <w:p w14:paraId="4178B7E1"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二</w:t>
      </w:r>
      <w:r>
        <w:rPr>
          <w:rFonts w:ascii="宋体" w:hAnsi="宋体" w:hint="eastAsia"/>
          <w:color w:val="000000"/>
          <w:sz w:val="24"/>
          <w:szCs w:val="24"/>
        </w:rPr>
        <w:t>)</w:t>
      </w:r>
      <w:r>
        <w:rPr>
          <w:rFonts w:ascii="宋体" w:hAnsi="宋体" w:hint="eastAsia"/>
          <w:color w:val="000000"/>
          <w:sz w:val="24"/>
          <w:szCs w:val="24"/>
        </w:rPr>
        <w:t>签订《资产评估</w:t>
      </w:r>
      <w:r>
        <w:rPr>
          <w:rFonts w:ascii="宋体" w:hAnsi="宋体"/>
          <w:color w:val="000000"/>
          <w:sz w:val="24"/>
          <w:szCs w:val="24"/>
        </w:rPr>
        <w:t>委托合同</w:t>
      </w:r>
      <w:r>
        <w:rPr>
          <w:rFonts w:ascii="宋体" w:hAnsi="宋体" w:hint="eastAsia"/>
          <w:color w:val="000000"/>
          <w:sz w:val="24"/>
          <w:szCs w:val="24"/>
        </w:rPr>
        <w:t>》</w:t>
      </w:r>
    </w:p>
    <w:p w14:paraId="4F32FA38"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根据了解的评估业务基本情况，本公司对自身专业胜任能力、独立性和业务风险进行综合分析和评价，最终决定与委托方签订《资产评估</w:t>
      </w:r>
      <w:r>
        <w:rPr>
          <w:rFonts w:ascii="宋体" w:hAnsi="宋体"/>
          <w:color w:val="000000"/>
          <w:sz w:val="24"/>
          <w:szCs w:val="24"/>
        </w:rPr>
        <w:t>委托合同</w:t>
      </w:r>
      <w:r>
        <w:rPr>
          <w:rFonts w:ascii="宋体" w:hAnsi="宋体" w:hint="eastAsia"/>
          <w:color w:val="000000"/>
          <w:sz w:val="24"/>
          <w:szCs w:val="24"/>
        </w:rPr>
        <w:t>》。</w:t>
      </w:r>
    </w:p>
    <w:p w14:paraId="71B61B1F"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三</w:t>
      </w:r>
      <w:r>
        <w:rPr>
          <w:rFonts w:ascii="宋体" w:hAnsi="宋体" w:hint="eastAsia"/>
          <w:color w:val="000000"/>
          <w:sz w:val="24"/>
          <w:szCs w:val="24"/>
        </w:rPr>
        <w:t>)</w:t>
      </w:r>
      <w:r>
        <w:rPr>
          <w:rFonts w:ascii="宋体" w:hAnsi="宋体" w:hint="eastAsia"/>
          <w:color w:val="000000"/>
          <w:sz w:val="24"/>
          <w:szCs w:val="24"/>
        </w:rPr>
        <w:t>编制评估计划</w:t>
      </w:r>
    </w:p>
    <w:p w14:paraId="723B59DD"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根据评估项目的具体情况，指派项目经理和评估小组成员。由项目经理编制评估计划，对评估项目的具体实施程序、时间要求、人员分工做出安排，并将评估计划报经部门经理和总经理审核批准。</w:t>
      </w:r>
    </w:p>
    <w:p w14:paraId="69F358D0"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四</w:t>
      </w:r>
      <w:r>
        <w:rPr>
          <w:rFonts w:ascii="宋体" w:hAnsi="宋体" w:hint="eastAsia"/>
          <w:color w:val="000000"/>
          <w:sz w:val="24"/>
          <w:szCs w:val="24"/>
        </w:rPr>
        <w:t>)</w:t>
      </w:r>
      <w:r>
        <w:rPr>
          <w:rFonts w:ascii="宋体" w:hAnsi="宋体" w:hint="eastAsia"/>
          <w:color w:val="000000"/>
          <w:sz w:val="24"/>
          <w:szCs w:val="24"/>
        </w:rPr>
        <w:t>现场调查</w:t>
      </w:r>
    </w:p>
    <w:p w14:paraId="37A30233"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根据批准的评估计划，评估人员进驻被评估单位进行现场调查工作，主要包括对企业经营状况的了解、向企业有关人员了解评估范围内实物资产的运行、维护、保养状况等。</w:t>
      </w:r>
    </w:p>
    <w:p w14:paraId="039821D1"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五</w:t>
      </w:r>
      <w:r>
        <w:rPr>
          <w:rFonts w:ascii="宋体" w:hAnsi="宋体" w:hint="eastAsia"/>
          <w:color w:val="000000"/>
          <w:sz w:val="24"/>
          <w:szCs w:val="24"/>
        </w:rPr>
        <w:t>)</w:t>
      </w:r>
      <w:r>
        <w:rPr>
          <w:rFonts w:ascii="宋体" w:hAnsi="宋体" w:hint="eastAsia"/>
          <w:color w:val="000000"/>
          <w:sz w:val="24"/>
          <w:szCs w:val="24"/>
        </w:rPr>
        <w:t>收集评估资料</w:t>
      </w:r>
    </w:p>
    <w:p w14:paraId="7E5606BE"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根据评估工作的需要，评估人员收集与本次评估相关的各种资料与信息，包括被</w:t>
      </w:r>
      <w:r>
        <w:rPr>
          <w:rFonts w:ascii="宋体" w:hAnsi="宋体" w:hint="eastAsia"/>
          <w:color w:val="000000"/>
          <w:sz w:val="24"/>
          <w:szCs w:val="24"/>
        </w:rPr>
        <w:lastRenderedPageBreak/>
        <w:t>评估单位的财务资料、资产权属证明材料、设备（根据资产类型而定）的市场价格信息、</w:t>
      </w:r>
      <w:r>
        <w:rPr>
          <w:rFonts w:ascii="宋体" w:hAnsi="宋体" w:hint="eastAsia"/>
          <w:color w:val="000000"/>
          <w:sz w:val="24"/>
          <w:szCs w:val="24"/>
        </w:rPr>
        <w:t>行业信息等。</w:t>
      </w:r>
    </w:p>
    <w:p w14:paraId="454DB397"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六</w:t>
      </w:r>
      <w:r>
        <w:rPr>
          <w:rFonts w:ascii="宋体" w:hAnsi="宋体" w:hint="eastAsia"/>
          <w:color w:val="000000"/>
          <w:sz w:val="24"/>
          <w:szCs w:val="24"/>
        </w:rPr>
        <w:t>)</w:t>
      </w:r>
      <w:r>
        <w:rPr>
          <w:rFonts w:ascii="宋体" w:hAnsi="宋体" w:hint="eastAsia"/>
          <w:color w:val="000000"/>
          <w:sz w:val="24"/>
          <w:szCs w:val="24"/>
        </w:rPr>
        <w:t>评定估算</w:t>
      </w:r>
    </w:p>
    <w:p w14:paraId="50EF7867"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根据评估对象的实际状况和特点，制定各类资产的具体评估方法，对评估范围内的资产分别进行评估测算，确定评估价值。</w:t>
      </w:r>
    </w:p>
    <w:p w14:paraId="0DEAEB60"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七</w:t>
      </w:r>
      <w:r>
        <w:rPr>
          <w:rFonts w:ascii="宋体" w:hAnsi="宋体" w:hint="eastAsia"/>
          <w:color w:val="000000"/>
          <w:sz w:val="24"/>
          <w:szCs w:val="24"/>
        </w:rPr>
        <w:t>)</w:t>
      </w:r>
      <w:r>
        <w:rPr>
          <w:rFonts w:ascii="宋体" w:hAnsi="宋体" w:hint="eastAsia"/>
          <w:color w:val="000000"/>
          <w:sz w:val="24"/>
          <w:szCs w:val="24"/>
        </w:rPr>
        <w:t>编制和提交评估报告</w:t>
      </w:r>
    </w:p>
    <w:p w14:paraId="08548131"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项目负责人（本报告的签字资产评估师）在以上工作的基础上撰写评估报告，并履行本公司内部审核程序后，向委托方提交评估报告。</w:t>
      </w:r>
    </w:p>
    <w:p w14:paraId="2CECFAEF" w14:textId="77777777" w:rsidR="00F76B5E" w:rsidRDefault="0027102A">
      <w:pPr>
        <w:pStyle w:val="1"/>
        <w:snapToGrid w:val="0"/>
        <w:spacing w:before="0" w:after="0" w:line="360" w:lineRule="auto"/>
        <w:ind w:firstLineChars="200" w:firstLine="482"/>
        <w:rPr>
          <w:color w:val="000000"/>
          <w:sz w:val="24"/>
          <w:szCs w:val="24"/>
        </w:rPr>
      </w:pPr>
      <w:bookmarkStart w:id="34" w:name="_Toc144489314"/>
      <w:bookmarkStart w:id="35" w:name="_Toc146119326"/>
      <w:bookmarkStart w:id="36" w:name="_Toc447125218"/>
      <w:bookmarkStart w:id="37" w:name="_Toc501636015"/>
      <w:bookmarkStart w:id="38" w:name="_Toc93936759"/>
      <w:r>
        <w:rPr>
          <w:rFonts w:hint="eastAsia"/>
          <w:color w:val="000000"/>
          <w:sz w:val="24"/>
          <w:szCs w:val="24"/>
        </w:rPr>
        <w:t>九、评估假设</w:t>
      </w:r>
      <w:bookmarkEnd w:id="34"/>
      <w:bookmarkEnd w:id="35"/>
      <w:bookmarkEnd w:id="36"/>
      <w:bookmarkEnd w:id="37"/>
      <w:bookmarkEnd w:id="38"/>
    </w:p>
    <w:p w14:paraId="1A637D44"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本次评估中，评估人员遵循了以下评估假设。本评估报告及评估结论的成立，依赖于以下评估假设：</w:t>
      </w:r>
    </w:p>
    <w:p w14:paraId="75C95664"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w:t>
      </w:r>
      <w:proofErr w:type="gramStart"/>
      <w:r>
        <w:rPr>
          <w:rFonts w:ascii="宋体" w:hAnsi="宋体" w:hint="eastAsia"/>
          <w:color w:val="000000"/>
          <w:sz w:val="24"/>
          <w:szCs w:val="24"/>
        </w:rPr>
        <w:t>一</w:t>
      </w:r>
      <w:proofErr w:type="gramEnd"/>
      <w:r>
        <w:rPr>
          <w:rFonts w:ascii="宋体" w:hAnsi="宋体" w:hint="eastAsia"/>
          <w:color w:val="000000"/>
          <w:sz w:val="24"/>
          <w:szCs w:val="24"/>
        </w:rPr>
        <w:t>)</w:t>
      </w:r>
      <w:r>
        <w:rPr>
          <w:rFonts w:ascii="宋体" w:hAnsi="宋体" w:hint="eastAsia"/>
          <w:color w:val="000000"/>
          <w:sz w:val="24"/>
          <w:szCs w:val="24"/>
        </w:rPr>
        <w:t>基本假设</w:t>
      </w:r>
    </w:p>
    <w:p w14:paraId="48043F7A"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交易假设</w:t>
      </w:r>
    </w:p>
    <w:p w14:paraId="6603FC9E"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交易假设是假定所有待评估资产已经处在交易过程中，评估师根据待评估资产的交易条件等模拟市场进行</w:t>
      </w:r>
      <w:r>
        <w:rPr>
          <w:rFonts w:ascii="宋体" w:hAnsi="宋体" w:hint="eastAsia"/>
          <w:color w:val="000000"/>
          <w:sz w:val="24"/>
          <w:szCs w:val="24"/>
        </w:rPr>
        <w:t>估价。</w:t>
      </w:r>
    </w:p>
    <w:p w14:paraId="41FF164F"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公开市场假设</w:t>
      </w:r>
    </w:p>
    <w:p w14:paraId="7207B787"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公开市场假设是假定待评估资产在公开市场中进行交易，从而实现其市场价值。资产的市场价值受市场机制的制约并由市场行情决定，而不是由个别交易决定。这里的公开市场是指充分发达与完善的市场条件，是一个有自愿的买者和卖者的竞争性市场，在这个市场上，买者和卖者的地位是平等的，彼此都有获得足够市场信息的机会和时间，买卖双方的交易行为都是在自愿的、理智的，而非强制或不受限制的条件下进行的。</w:t>
      </w:r>
    </w:p>
    <w:p w14:paraId="2D18A649"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资产持续使用假设</w:t>
      </w:r>
    </w:p>
    <w:p w14:paraId="25B01C42"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资产持续使用假设是指评估时需根据被评估资产按目前的用途和使用的方式、规模、频度、环境、场所等情况继续使用，相应确定评估方法、参数和依据。</w:t>
      </w:r>
    </w:p>
    <w:p w14:paraId="7038CC5E"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交易运输与税费假设</w:t>
      </w:r>
    </w:p>
    <w:p w14:paraId="4E051B6C"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交易过程产生的运输、安装调试、及税费按拍卖市场通常规则由买受者承担。</w:t>
      </w:r>
    </w:p>
    <w:p w14:paraId="34F9E004"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二</w:t>
      </w:r>
      <w:r>
        <w:rPr>
          <w:rFonts w:ascii="宋体" w:hAnsi="宋体" w:hint="eastAsia"/>
          <w:color w:val="000000"/>
          <w:sz w:val="24"/>
          <w:szCs w:val="24"/>
        </w:rPr>
        <w:t>)</w:t>
      </w:r>
      <w:r>
        <w:rPr>
          <w:rFonts w:ascii="宋体" w:hAnsi="宋体" w:hint="eastAsia"/>
          <w:color w:val="000000"/>
          <w:sz w:val="24"/>
          <w:szCs w:val="24"/>
        </w:rPr>
        <w:t>评估外部环境的假设</w:t>
      </w:r>
    </w:p>
    <w:p w14:paraId="7113D4DD"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．假设国家现行的有关法律法规及政策、国家宏观经济形势无重大变化，</w:t>
      </w:r>
      <w:r>
        <w:rPr>
          <w:rFonts w:ascii="宋体" w:hAnsi="宋体" w:hint="eastAsia"/>
          <w:color w:val="000000"/>
          <w:sz w:val="24"/>
          <w:szCs w:val="24"/>
        </w:rPr>
        <w:t xml:space="preserve"> </w:t>
      </w:r>
      <w:r>
        <w:rPr>
          <w:rFonts w:ascii="宋体" w:hAnsi="宋体" w:hint="eastAsia"/>
          <w:color w:val="000000"/>
          <w:sz w:val="24"/>
          <w:szCs w:val="24"/>
        </w:rPr>
        <w:t>本次</w:t>
      </w:r>
      <w:r>
        <w:rPr>
          <w:rFonts w:ascii="宋体" w:hAnsi="宋体" w:hint="eastAsia"/>
          <w:color w:val="000000"/>
          <w:sz w:val="24"/>
          <w:szCs w:val="24"/>
        </w:rPr>
        <w:lastRenderedPageBreak/>
        <w:t>交易各方所处地区的政治、经济和社会环境无重大变化。</w:t>
      </w:r>
    </w:p>
    <w:p w14:paraId="20DA1334"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．假设有关利率、汇率、赋税基准及税率、政策性征收费用、融资条件等不发生重大变化。</w:t>
      </w:r>
    </w:p>
    <w:p w14:paraId="691F818A"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．假设无其他人力不可抗拒因素及不可预见因素对</w:t>
      </w:r>
      <w:r>
        <w:rPr>
          <w:rFonts w:ascii="宋体" w:hAnsi="宋体" w:hint="eastAsia"/>
          <w:color w:val="000000"/>
          <w:sz w:val="24"/>
          <w:szCs w:val="24"/>
        </w:rPr>
        <w:t>企业造成重大不利影响。</w:t>
      </w:r>
    </w:p>
    <w:p w14:paraId="78B96831"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三</w:t>
      </w:r>
      <w:r>
        <w:rPr>
          <w:rFonts w:ascii="宋体" w:hAnsi="宋体" w:hint="eastAsia"/>
          <w:color w:val="000000"/>
          <w:sz w:val="24"/>
          <w:szCs w:val="24"/>
        </w:rPr>
        <w:t>)</w:t>
      </w:r>
      <w:r>
        <w:rPr>
          <w:rFonts w:ascii="宋体" w:hAnsi="宋体" w:hint="eastAsia"/>
          <w:color w:val="000000"/>
          <w:sz w:val="24"/>
          <w:szCs w:val="24"/>
        </w:rPr>
        <w:t>评估对象和范围方面的假设</w:t>
      </w:r>
    </w:p>
    <w:p w14:paraId="7BDF1091"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本次评估的各项资产均以评估基准日的实际存量为前提，有关资产的现行市价以评估基准日的国内有效价格为依据。</w:t>
      </w:r>
    </w:p>
    <w:p w14:paraId="378B72C1"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评估范围仅以委托方提供的评估申报表为准，未考虑委托方提供清单以外可能存在的或有资产。</w:t>
      </w:r>
    </w:p>
    <w:p w14:paraId="7BBE1520"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四</w:t>
      </w:r>
      <w:r>
        <w:rPr>
          <w:rFonts w:ascii="宋体" w:hAnsi="宋体" w:hint="eastAsia"/>
          <w:color w:val="000000"/>
          <w:sz w:val="24"/>
          <w:szCs w:val="24"/>
        </w:rPr>
        <w:t>)</w:t>
      </w:r>
      <w:r>
        <w:rPr>
          <w:rFonts w:ascii="宋体" w:hAnsi="宋体" w:hint="eastAsia"/>
          <w:color w:val="000000"/>
          <w:sz w:val="24"/>
          <w:szCs w:val="24"/>
        </w:rPr>
        <w:t>有关资料真实性的假设</w:t>
      </w:r>
    </w:p>
    <w:p w14:paraId="463D639C"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本次评估假设委托方提供的资料真实、准确、完整。</w:t>
      </w:r>
    </w:p>
    <w:p w14:paraId="3C234298"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当上述条件发生变化时，评估结果一般会失效。</w:t>
      </w:r>
    </w:p>
    <w:p w14:paraId="2FBEA2C7" w14:textId="77777777" w:rsidR="00F76B5E" w:rsidRDefault="0027102A">
      <w:pPr>
        <w:pStyle w:val="1"/>
        <w:snapToGrid w:val="0"/>
        <w:spacing w:before="0" w:after="0" w:line="360" w:lineRule="auto"/>
        <w:ind w:firstLineChars="200" w:firstLine="482"/>
        <w:rPr>
          <w:color w:val="000000"/>
          <w:sz w:val="24"/>
          <w:szCs w:val="24"/>
        </w:rPr>
      </w:pPr>
      <w:bookmarkStart w:id="39" w:name="_Toc447125219"/>
      <w:bookmarkStart w:id="40" w:name="_Toc501636016"/>
      <w:bookmarkStart w:id="41" w:name="_Toc93936760"/>
      <w:r>
        <w:rPr>
          <w:rFonts w:hint="eastAsia"/>
          <w:color w:val="000000"/>
          <w:sz w:val="24"/>
          <w:szCs w:val="24"/>
        </w:rPr>
        <w:t>十、评估结论</w:t>
      </w:r>
      <w:bookmarkEnd w:id="39"/>
      <w:bookmarkEnd w:id="40"/>
      <w:bookmarkEnd w:id="41"/>
    </w:p>
    <w:p w14:paraId="3F7772CD"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我们认为在评估假设及限制条件下，载于下表的评估结论可恰当地</w:t>
      </w:r>
      <w:proofErr w:type="gramStart"/>
      <w:r>
        <w:rPr>
          <w:rFonts w:ascii="宋体" w:hAnsi="宋体" w:hint="eastAsia"/>
          <w:color w:val="000000"/>
          <w:sz w:val="24"/>
          <w:szCs w:val="24"/>
        </w:rPr>
        <w:t>反映委估机器设备</w:t>
      </w:r>
      <w:proofErr w:type="gramEnd"/>
      <w:r>
        <w:rPr>
          <w:rFonts w:ascii="宋体" w:hAnsi="宋体" w:hint="eastAsia"/>
          <w:color w:val="000000"/>
          <w:sz w:val="24"/>
          <w:szCs w:val="24"/>
        </w:rPr>
        <w:t>资产于评估基准日的资产价值：</w:t>
      </w:r>
    </w:p>
    <w:tbl>
      <w:tblPr>
        <w:tblW w:w="5000" w:type="pct"/>
        <w:tblLook w:val="04A0" w:firstRow="1" w:lastRow="0" w:firstColumn="1" w:lastColumn="0" w:noHBand="0" w:noVBand="1"/>
      </w:tblPr>
      <w:tblGrid>
        <w:gridCol w:w="3698"/>
        <w:gridCol w:w="2916"/>
        <w:gridCol w:w="2107"/>
      </w:tblGrid>
      <w:tr w:rsidR="00F76B5E" w14:paraId="5F077141" w14:textId="77777777">
        <w:trPr>
          <w:trHeight w:val="754"/>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7BF963" w14:textId="77777777" w:rsidR="00F76B5E" w:rsidRDefault="0027102A">
            <w:pPr>
              <w:widowControl/>
              <w:snapToGrid w:val="0"/>
              <w:spacing w:line="360" w:lineRule="auto"/>
              <w:jc w:val="center"/>
              <w:rPr>
                <w:rFonts w:ascii="宋体" w:hAnsi="宋体" w:cs="宋体"/>
                <w:color w:val="000000"/>
                <w:kern w:val="0"/>
                <w:szCs w:val="21"/>
              </w:rPr>
            </w:pPr>
            <w:r>
              <w:rPr>
                <w:rFonts w:ascii="宋体" w:hAnsi="宋体" w:cs="宋体" w:hint="eastAsia"/>
                <w:color w:val="000000"/>
                <w:kern w:val="0"/>
                <w:szCs w:val="21"/>
              </w:rPr>
              <w:t>资产评估委托方</w:t>
            </w:r>
          </w:p>
        </w:tc>
        <w:tc>
          <w:tcPr>
            <w:tcW w:w="1672" w:type="pct"/>
            <w:tcBorders>
              <w:top w:val="single" w:sz="4" w:space="0" w:color="auto"/>
              <w:left w:val="nil"/>
              <w:bottom w:val="single" w:sz="4" w:space="0" w:color="auto"/>
              <w:right w:val="single" w:sz="4" w:space="0" w:color="auto"/>
            </w:tcBorders>
            <w:shd w:val="clear" w:color="auto" w:fill="auto"/>
            <w:vAlign w:val="center"/>
            <w:hideMark/>
          </w:tcPr>
          <w:p w14:paraId="031B3FC8" w14:textId="77777777" w:rsidR="00F76B5E" w:rsidRDefault="0027102A">
            <w:pPr>
              <w:widowControl/>
              <w:snapToGrid w:val="0"/>
              <w:spacing w:line="360" w:lineRule="auto"/>
              <w:jc w:val="center"/>
              <w:rPr>
                <w:rFonts w:ascii="宋体" w:hAnsi="宋体" w:cs="宋体"/>
                <w:color w:val="000000"/>
                <w:kern w:val="0"/>
                <w:szCs w:val="21"/>
              </w:rPr>
            </w:pPr>
            <w:r>
              <w:rPr>
                <w:rFonts w:ascii="宋体" w:hAnsi="宋体" w:cs="宋体" w:hint="eastAsia"/>
                <w:color w:val="000000"/>
                <w:kern w:val="0"/>
                <w:szCs w:val="21"/>
              </w:rPr>
              <w:t>评估项目</w:t>
            </w:r>
          </w:p>
        </w:tc>
        <w:tc>
          <w:tcPr>
            <w:tcW w:w="1208" w:type="pct"/>
            <w:tcBorders>
              <w:top w:val="single" w:sz="4" w:space="0" w:color="auto"/>
              <w:left w:val="nil"/>
              <w:bottom w:val="single" w:sz="4" w:space="0" w:color="auto"/>
              <w:right w:val="single" w:sz="4" w:space="0" w:color="auto"/>
            </w:tcBorders>
            <w:shd w:val="clear" w:color="auto" w:fill="auto"/>
            <w:vAlign w:val="center"/>
            <w:hideMark/>
          </w:tcPr>
          <w:p w14:paraId="476A95F3" w14:textId="77777777" w:rsidR="00F76B5E" w:rsidRDefault="0027102A">
            <w:pPr>
              <w:widowControl/>
              <w:snapToGrid w:val="0"/>
              <w:spacing w:line="360" w:lineRule="auto"/>
              <w:jc w:val="center"/>
              <w:rPr>
                <w:rFonts w:ascii="宋体" w:hAnsi="宋体" w:cs="宋体"/>
                <w:color w:val="000000"/>
                <w:kern w:val="0"/>
                <w:szCs w:val="21"/>
              </w:rPr>
            </w:pPr>
            <w:r>
              <w:rPr>
                <w:rFonts w:ascii="宋体" w:hAnsi="宋体" w:cs="宋体" w:hint="eastAsia"/>
                <w:color w:val="000000"/>
                <w:kern w:val="0"/>
                <w:szCs w:val="21"/>
              </w:rPr>
              <w:t>评估价值（元）</w:t>
            </w:r>
          </w:p>
        </w:tc>
      </w:tr>
      <w:tr w:rsidR="00F76B5E" w14:paraId="58196637" w14:textId="77777777">
        <w:trPr>
          <w:trHeight w:val="798"/>
        </w:trPr>
        <w:tc>
          <w:tcPr>
            <w:tcW w:w="2120" w:type="pct"/>
            <w:tcBorders>
              <w:top w:val="nil"/>
              <w:left w:val="single" w:sz="4" w:space="0" w:color="auto"/>
              <w:bottom w:val="single" w:sz="4" w:space="0" w:color="auto"/>
              <w:right w:val="single" w:sz="4" w:space="0" w:color="auto"/>
            </w:tcBorders>
            <w:shd w:val="clear" w:color="auto" w:fill="auto"/>
            <w:vAlign w:val="center"/>
            <w:hideMark/>
          </w:tcPr>
          <w:p w14:paraId="3B90C3A0" w14:textId="77777777" w:rsidR="00F76B5E" w:rsidRDefault="0027102A">
            <w:pPr>
              <w:widowControl/>
              <w:snapToGrid w:val="0"/>
              <w:spacing w:line="360" w:lineRule="auto"/>
              <w:jc w:val="center"/>
              <w:rPr>
                <w:rFonts w:ascii="宋体" w:hAnsi="宋体" w:cs="宋体"/>
                <w:color w:val="000000"/>
                <w:kern w:val="0"/>
                <w:szCs w:val="21"/>
              </w:rPr>
            </w:pPr>
            <w:r>
              <w:rPr>
                <w:rFonts w:ascii="宋体" w:hAnsi="宋体" w:cs="宋体" w:hint="eastAsia"/>
                <w:color w:val="000000"/>
                <w:kern w:val="0"/>
                <w:szCs w:val="21"/>
              </w:rPr>
              <w:t>广东省东莞市第一人民法院</w:t>
            </w:r>
          </w:p>
        </w:tc>
        <w:tc>
          <w:tcPr>
            <w:tcW w:w="1672" w:type="pct"/>
            <w:tcBorders>
              <w:top w:val="nil"/>
              <w:left w:val="nil"/>
              <w:bottom w:val="single" w:sz="4" w:space="0" w:color="auto"/>
              <w:right w:val="single" w:sz="4" w:space="0" w:color="auto"/>
            </w:tcBorders>
            <w:shd w:val="clear" w:color="auto" w:fill="auto"/>
            <w:vAlign w:val="center"/>
            <w:hideMark/>
          </w:tcPr>
          <w:p w14:paraId="3BAD9203" w14:textId="77777777" w:rsidR="00F76B5E" w:rsidRDefault="0027102A">
            <w:pPr>
              <w:widowControl/>
              <w:snapToGrid w:val="0"/>
              <w:spacing w:line="360" w:lineRule="auto"/>
              <w:jc w:val="center"/>
              <w:rPr>
                <w:rFonts w:ascii="宋体" w:hAnsi="宋体" w:cs="宋体"/>
                <w:color w:val="000000"/>
                <w:kern w:val="0"/>
                <w:szCs w:val="21"/>
              </w:rPr>
            </w:pPr>
            <w:r>
              <w:rPr>
                <w:rFonts w:ascii="宋体" w:hAnsi="宋体" w:cs="宋体" w:hint="eastAsia"/>
                <w:color w:val="000000"/>
                <w:kern w:val="0"/>
                <w:szCs w:val="21"/>
              </w:rPr>
              <w:t>家私十六项</w:t>
            </w:r>
            <w:r>
              <w:rPr>
                <w:rFonts w:ascii="宋体" w:hAnsi="宋体" w:cs="宋体" w:hint="eastAsia"/>
                <w:color w:val="000000"/>
                <w:kern w:val="0"/>
                <w:szCs w:val="21"/>
              </w:rPr>
              <w:t>18</w:t>
            </w:r>
            <w:r>
              <w:rPr>
                <w:rFonts w:ascii="宋体" w:hAnsi="宋体" w:cs="宋体" w:hint="eastAsia"/>
                <w:color w:val="000000"/>
                <w:kern w:val="0"/>
                <w:szCs w:val="21"/>
              </w:rPr>
              <w:t>台套</w:t>
            </w:r>
          </w:p>
        </w:tc>
        <w:tc>
          <w:tcPr>
            <w:tcW w:w="1208" w:type="pct"/>
            <w:tcBorders>
              <w:top w:val="nil"/>
              <w:left w:val="nil"/>
              <w:bottom w:val="single" w:sz="4" w:space="0" w:color="auto"/>
              <w:right w:val="single" w:sz="4" w:space="0" w:color="auto"/>
            </w:tcBorders>
            <w:shd w:val="clear" w:color="auto" w:fill="auto"/>
            <w:vAlign w:val="center"/>
            <w:hideMark/>
          </w:tcPr>
          <w:p w14:paraId="0CC76279" w14:textId="77777777" w:rsidR="00F76B5E" w:rsidRDefault="0027102A">
            <w:pPr>
              <w:widowControl/>
              <w:snapToGrid w:val="0"/>
              <w:spacing w:line="360" w:lineRule="auto"/>
              <w:jc w:val="center"/>
              <w:rPr>
                <w:rFonts w:ascii="宋体" w:hAnsi="宋体" w:cs="宋体"/>
                <w:color w:val="000000"/>
                <w:kern w:val="0"/>
                <w:szCs w:val="21"/>
              </w:rPr>
            </w:pPr>
            <w:r>
              <w:rPr>
                <w:rFonts w:ascii="宋体" w:hAnsi="宋体" w:cs="宋体" w:hint="eastAsia"/>
                <w:color w:val="000000"/>
                <w:kern w:val="0"/>
                <w:szCs w:val="21"/>
              </w:rPr>
              <w:t>3,800.00</w:t>
            </w:r>
          </w:p>
        </w:tc>
      </w:tr>
      <w:tr w:rsidR="00F76B5E" w14:paraId="648D97D3" w14:textId="77777777">
        <w:trPr>
          <w:trHeight w:val="600"/>
        </w:trPr>
        <w:tc>
          <w:tcPr>
            <w:tcW w:w="37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7336E7" w14:textId="77777777" w:rsidR="00F76B5E" w:rsidRDefault="0027102A">
            <w:pPr>
              <w:widowControl/>
              <w:snapToGrid w:val="0"/>
              <w:spacing w:line="360" w:lineRule="auto"/>
              <w:jc w:val="center"/>
              <w:rPr>
                <w:rFonts w:ascii="宋体" w:hAnsi="宋体" w:cs="宋体"/>
                <w:color w:val="000000"/>
                <w:kern w:val="0"/>
                <w:szCs w:val="21"/>
              </w:rPr>
            </w:pPr>
            <w:r>
              <w:rPr>
                <w:rFonts w:ascii="宋体" w:hAnsi="宋体" w:cs="宋体" w:hint="eastAsia"/>
                <w:color w:val="000000"/>
                <w:kern w:val="0"/>
                <w:szCs w:val="21"/>
              </w:rPr>
              <w:t>合</w:t>
            </w:r>
            <w:r>
              <w:rPr>
                <w:rFonts w:ascii="宋体" w:hAnsi="宋体" w:cs="宋体" w:hint="eastAsia"/>
                <w:color w:val="000000"/>
                <w:kern w:val="0"/>
                <w:szCs w:val="21"/>
              </w:rPr>
              <w:t xml:space="preserve">    </w:t>
            </w:r>
            <w:r>
              <w:rPr>
                <w:rFonts w:ascii="宋体" w:hAnsi="宋体" w:cs="宋体" w:hint="eastAsia"/>
                <w:color w:val="000000"/>
                <w:kern w:val="0"/>
                <w:szCs w:val="21"/>
              </w:rPr>
              <w:t>计</w:t>
            </w:r>
          </w:p>
        </w:tc>
        <w:tc>
          <w:tcPr>
            <w:tcW w:w="1208" w:type="pct"/>
            <w:tcBorders>
              <w:top w:val="nil"/>
              <w:left w:val="nil"/>
              <w:bottom w:val="single" w:sz="4" w:space="0" w:color="auto"/>
              <w:right w:val="single" w:sz="4" w:space="0" w:color="auto"/>
            </w:tcBorders>
            <w:shd w:val="clear" w:color="auto" w:fill="auto"/>
            <w:vAlign w:val="center"/>
            <w:hideMark/>
          </w:tcPr>
          <w:p w14:paraId="1C0E1D7A" w14:textId="77777777" w:rsidR="00F76B5E" w:rsidRDefault="0027102A">
            <w:pPr>
              <w:widowControl/>
              <w:snapToGrid w:val="0"/>
              <w:spacing w:line="360" w:lineRule="auto"/>
              <w:jc w:val="center"/>
              <w:rPr>
                <w:rFonts w:ascii="宋体" w:hAnsi="宋体" w:cs="宋体"/>
                <w:color w:val="000000"/>
                <w:kern w:val="0"/>
                <w:szCs w:val="21"/>
              </w:rPr>
            </w:pPr>
            <w:r>
              <w:rPr>
                <w:rFonts w:ascii="宋体" w:hAnsi="宋体" w:cs="宋体" w:hint="eastAsia"/>
                <w:color w:val="000000"/>
                <w:kern w:val="0"/>
                <w:szCs w:val="21"/>
              </w:rPr>
              <w:t>3,800.00</w:t>
            </w:r>
          </w:p>
        </w:tc>
      </w:tr>
    </w:tbl>
    <w:p w14:paraId="270676EF"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大写：叁仟捌佰元整。</w:t>
      </w:r>
    </w:p>
    <w:p w14:paraId="3E0D7D46"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评估结论详细情况详见资产评估明细表。</w:t>
      </w:r>
    </w:p>
    <w:p w14:paraId="268BC717" w14:textId="77777777" w:rsidR="00F76B5E" w:rsidRDefault="0027102A">
      <w:pPr>
        <w:pStyle w:val="1"/>
        <w:snapToGrid w:val="0"/>
        <w:spacing w:before="0" w:after="0" w:line="360" w:lineRule="auto"/>
        <w:ind w:firstLineChars="200" w:firstLine="482"/>
        <w:rPr>
          <w:color w:val="000000"/>
          <w:sz w:val="24"/>
          <w:szCs w:val="24"/>
        </w:rPr>
      </w:pPr>
      <w:bookmarkStart w:id="42" w:name="_Toc447125220"/>
      <w:bookmarkStart w:id="43" w:name="_Toc501636017"/>
      <w:bookmarkStart w:id="44" w:name="_Toc93936761"/>
      <w:r>
        <w:rPr>
          <w:rFonts w:hint="eastAsia"/>
          <w:color w:val="000000"/>
          <w:sz w:val="24"/>
          <w:szCs w:val="24"/>
        </w:rPr>
        <w:t>十一、特别事项说明</w:t>
      </w:r>
      <w:bookmarkEnd w:id="42"/>
      <w:bookmarkEnd w:id="43"/>
      <w:bookmarkEnd w:id="44"/>
    </w:p>
    <w:p w14:paraId="5B617CF8" w14:textId="77777777" w:rsidR="00F76B5E" w:rsidRDefault="0027102A">
      <w:pPr>
        <w:snapToGrid w:val="0"/>
        <w:spacing w:line="360" w:lineRule="auto"/>
        <w:ind w:firstLine="480"/>
        <w:rPr>
          <w:rFonts w:ascii="宋体" w:hAnsi="宋体"/>
          <w:color w:val="000000"/>
          <w:sz w:val="24"/>
          <w:szCs w:val="24"/>
        </w:rPr>
      </w:pPr>
      <w:bookmarkStart w:id="45" w:name="_Toc447125221"/>
      <w:r>
        <w:rPr>
          <w:rFonts w:ascii="宋体" w:hAnsi="宋体" w:hint="eastAsia"/>
          <w:color w:val="000000"/>
          <w:sz w:val="24"/>
          <w:szCs w:val="24"/>
        </w:rPr>
        <w:t>（一）产权瑕疵</w:t>
      </w:r>
    </w:p>
    <w:p w14:paraId="4604181A"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由于委托方未提供相关的产权资料，因此不对产权进行界定，只提供价值参考。</w:t>
      </w:r>
    </w:p>
    <w:p w14:paraId="261D6767"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（二）未决事项、或有事项、法律纠纷等不确定因素</w:t>
      </w:r>
    </w:p>
    <w:p w14:paraId="5114989C"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未发现广东省东莞市第一人民法院纳入评估范围的未决事项、或有事项、法律纠纷等不确定因素。</w:t>
      </w:r>
    </w:p>
    <w:p w14:paraId="1E2F695F"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（三）重大期后事项</w:t>
      </w:r>
    </w:p>
    <w:p w14:paraId="1BEA2D0B"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lastRenderedPageBreak/>
        <w:t>未发现广东省东莞市第一人民法院纳入评估范围资产的重大期后事项。</w:t>
      </w:r>
    </w:p>
    <w:p w14:paraId="01CEB613"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（四）在不违背资产评估准则基本要求的情况下，采用的不同于资产评估准则规定的程序和方法。</w:t>
      </w:r>
    </w:p>
    <w:p w14:paraId="722B976B"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本项目不存在由于客观且不可控的原因，采用的不同于资产评估准则规定的程序和方法的情况。</w:t>
      </w:r>
    </w:p>
    <w:p w14:paraId="0D5CDDA3"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（五）其他需要说明的重要事项</w:t>
      </w:r>
    </w:p>
    <w:p w14:paraId="3EAF60B3"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．勘察受限</w:t>
      </w:r>
    </w:p>
    <w:p w14:paraId="691D8C7D"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本次评估中，评估师未对各种设备在评估基准日时的技术参数和性能做技术检测，评估师在假定资产占有方提供的有关技术资料和运行记录是真实有效的前提下，通过实地勘察</w:t>
      </w:r>
      <w:proofErr w:type="gramStart"/>
      <w:r>
        <w:rPr>
          <w:rFonts w:ascii="宋体" w:hAnsi="宋体" w:hint="eastAsia"/>
          <w:color w:val="000000"/>
          <w:sz w:val="24"/>
          <w:szCs w:val="24"/>
        </w:rPr>
        <w:t>作出</w:t>
      </w:r>
      <w:proofErr w:type="gramEnd"/>
      <w:r>
        <w:rPr>
          <w:rFonts w:ascii="宋体" w:hAnsi="宋体" w:hint="eastAsia"/>
          <w:color w:val="000000"/>
          <w:sz w:val="24"/>
          <w:szCs w:val="24"/>
        </w:rPr>
        <w:t>的判断。</w:t>
      </w:r>
    </w:p>
    <w:p w14:paraId="2DA392F8"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、本次评估没有考虑通货膨胀因素对评估对象价值的影响。</w:t>
      </w:r>
    </w:p>
    <w:p w14:paraId="7749FBB9"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、本评估结论是根据评估原则、依据、前提、方法和程序得出的，只有在评估原则、依据、前提、方法和程序不变的条件下成立；</w:t>
      </w:r>
    </w:p>
    <w:p w14:paraId="6C4ADAEB"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、本评估报告书用于本次评估的目的，不得用于其他目的；</w:t>
      </w:r>
    </w:p>
    <w:p w14:paraId="0EBD6D2C"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、本评估说明不考虑评估行为以外的法律问题，也不考虑评估基准日后的资产市场变化情况；</w:t>
      </w:r>
    </w:p>
    <w:p w14:paraId="1411F7F2"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、本评估中涉及的有关资料、</w:t>
      </w:r>
      <w:r>
        <w:rPr>
          <w:rFonts w:ascii="宋体" w:hAnsi="宋体" w:hint="eastAsia"/>
          <w:color w:val="000000"/>
          <w:sz w:val="24"/>
          <w:szCs w:val="24"/>
        </w:rPr>
        <w:t>数据均以委托方和产权持有者提供的数据、有关资料为准，委托方和产权持有者对其提供资料的真实性、完整性负责；评估机构及注册资产评估师对在此基础上形成的评估结果承担法律责任。</w:t>
      </w:r>
    </w:p>
    <w:p w14:paraId="1061B2EB"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7</w:t>
      </w:r>
      <w:r>
        <w:rPr>
          <w:rFonts w:ascii="宋体" w:hAnsi="宋体" w:hint="eastAsia"/>
          <w:color w:val="000000"/>
          <w:sz w:val="24"/>
          <w:szCs w:val="24"/>
        </w:rPr>
        <w:t>、本次评估的机器设备重置单价为不含税单价，提请报告相关使用者注意。</w:t>
      </w:r>
    </w:p>
    <w:p w14:paraId="0F199719"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8</w:t>
      </w:r>
      <w:r>
        <w:rPr>
          <w:rFonts w:ascii="宋体" w:hAnsi="宋体" w:hint="eastAsia"/>
          <w:color w:val="000000"/>
          <w:sz w:val="24"/>
          <w:szCs w:val="24"/>
        </w:rPr>
        <w:t>、由于</w:t>
      </w:r>
      <w:proofErr w:type="gramStart"/>
      <w:r>
        <w:rPr>
          <w:rFonts w:ascii="宋体" w:hAnsi="宋体" w:hint="eastAsia"/>
          <w:color w:val="000000"/>
          <w:sz w:val="24"/>
          <w:szCs w:val="24"/>
        </w:rPr>
        <w:t>委估设备</w:t>
      </w:r>
      <w:proofErr w:type="gramEnd"/>
      <w:r>
        <w:rPr>
          <w:rFonts w:ascii="宋体" w:hAnsi="宋体" w:hint="eastAsia"/>
          <w:color w:val="000000"/>
          <w:sz w:val="24"/>
          <w:szCs w:val="24"/>
        </w:rPr>
        <w:t>目前在市面可查找价格较少，此次评估调查了同类设备和</w:t>
      </w:r>
      <w:proofErr w:type="gramStart"/>
      <w:r>
        <w:rPr>
          <w:rFonts w:ascii="宋体" w:hAnsi="宋体" w:hint="eastAsia"/>
          <w:color w:val="000000"/>
          <w:sz w:val="24"/>
          <w:szCs w:val="24"/>
        </w:rPr>
        <w:t>可</w:t>
      </w:r>
      <w:proofErr w:type="gramEnd"/>
      <w:r>
        <w:rPr>
          <w:rFonts w:ascii="宋体" w:hAnsi="宋体" w:hint="eastAsia"/>
          <w:color w:val="000000"/>
          <w:sz w:val="24"/>
          <w:szCs w:val="24"/>
        </w:rPr>
        <w:t>替代设备，然后再考虑其功能性及经济性贬值后</w:t>
      </w:r>
      <w:r>
        <w:rPr>
          <w:rFonts w:ascii="宋体" w:hAnsi="宋体" w:hint="eastAsia"/>
          <w:color w:val="000000"/>
          <w:sz w:val="24"/>
          <w:szCs w:val="24"/>
        </w:rPr>
        <w:t>,</w:t>
      </w:r>
      <w:r>
        <w:rPr>
          <w:rFonts w:ascii="宋体" w:hAnsi="宋体" w:hint="eastAsia"/>
          <w:color w:val="000000"/>
          <w:sz w:val="24"/>
          <w:szCs w:val="24"/>
        </w:rPr>
        <w:t>确定重置全价。</w:t>
      </w:r>
    </w:p>
    <w:p w14:paraId="63C6569F"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本次评估产权和评估范围由委托方提供的资料确定，本报告对产权归属及其产权资料的真实性不发表意见。</w:t>
      </w:r>
    </w:p>
    <w:p w14:paraId="4AF608F9"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评估报告使用者应关注以上特别事项说明对经济行为的</w:t>
      </w:r>
      <w:r>
        <w:rPr>
          <w:rFonts w:ascii="宋体" w:hAnsi="宋体" w:hint="eastAsia"/>
          <w:color w:val="000000"/>
          <w:sz w:val="24"/>
          <w:szCs w:val="24"/>
        </w:rPr>
        <w:t>影响。</w:t>
      </w:r>
    </w:p>
    <w:p w14:paraId="5BC311EC" w14:textId="77777777" w:rsidR="00F76B5E" w:rsidRDefault="0027102A">
      <w:pPr>
        <w:pStyle w:val="1"/>
        <w:snapToGrid w:val="0"/>
        <w:spacing w:before="0" w:after="0" w:line="360" w:lineRule="auto"/>
        <w:ind w:firstLineChars="200" w:firstLine="482"/>
        <w:rPr>
          <w:color w:val="000000"/>
          <w:sz w:val="24"/>
          <w:szCs w:val="24"/>
        </w:rPr>
      </w:pPr>
      <w:bookmarkStart w:id="46" w:name="_Toc93936762"/>
      <w:r>
        <w:rPr>
          <w:rFonts w:hint="eastAsia"/>
          <w:color w:val="000000"/>
          <w:sz w:val="24"/>
          <w:szCs w:val="24"/>
        </w:rPr>
        <w:t>十二、评估报告使用限制说明</w:t>
      </w:r>
      <w:bookmarkEnd w:id="45"/>
      <w:bookmarkEnd w:id="46"/>
    </w:p>
    <w:p w14:paraId="65935FED"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评估报告只能用于评估报告载明的评估目的和用途。</w:t>
      </w:r>
    </w:p>
    <w:p w14:paraId="61D3F517"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评估报告只能由评估报告载明的报告使用者使用。</w:t>
      </w:r>
    </w:p>
    <w:p w14:paraId="1B6E6613" w14:textId="77777777" w:rsidR="00F76B5E" w:rsidRDefault="0027102A">
      <w:pPr>
        <w:snapToGrid w:val="0"/>
        <w:spacing w:line="360" w:lineRule="auto"/>
        <w:ind w:firstLine="482"/>
        <w:rPr>
          <w:rFonts w:ascii="宋体" w:hAnsi="宋体"/>
          <w:color w:val="000000"/>
          <w:sz w:val="24"/>
          <w:szCs w:val="24"/>
        </w:rPr>
      </w:pPr>
      <w:bookmarkStart w:id="47" w:name="_Toc527655926"/>
      <w:bookmarkStart w:id="48" w:name="_Toc9908281"/>
      <w:r>
        <w:rPr>
          <w:rFonts w:ascii="宋体" w:hAnsi="宋体" w:hint="eastAsia"/>
          <w:color w:val="000000"/>
          <w:sz w:val="24"/>
          <w:szCs w:val="24"/>
        </w:rPr>
        <w:t>3.</w:t>
      </w:r>
      <w:r>
        <w:rPr>
          <w:rFonts w:ascii="宋体" w:hAnsi="宋体" w:hint="eastAsia"/>
          <w:color w:val="000000"/>
          <w:sz w:val="24"/>
          <w:szCs w:val="24"/>
        </w:rPr>
        <w:t>未征得本评估机构同意并审阅相关内容，评估报告的全部或者部分内容不得</w:t>
      </w:r>
      <w:r>
        <w:rPr>
          <w:rFonts w:ascii="宋体" w:hAnsi="宋体" w:hint="eastAsia"/>
          <w:color w:val="000000"/>
          <w:sz w:val="24"/>
          <w:szCs w:val="24"/>
        </w:rPr>
        <w:lastRenderedPageBreak/>
        <w:t>被摘抄、引用或披露于公开媒体，法律、法规规定以及相关当事方另有约定的除外。</w:t>
      </w:r>
    </w:p>
    <w:p w14:paraId="754E9DE6"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评估报告经资产评估师签字、评估机构盖章后方可正式使用。</w:t>
      </w:r>
    </w:p>
    <w:p w14:paraId="640C66D4"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评估报告所载评估结论仅对评估报告中描述的经济行为有效，评估报告的使用有效期自评估基准日</w:t>
      </w:r>
      <w:r>
        <w:rPr>
          <w:rFonts w:ascii="宋体" w:hAnsi="宋体" w:hint="eastAsia"/>
          <w:color w:val="000000"/>
          <w:sz w:val="24"/>
          <w:szCs w:val="24"/>
        </w:rPr>
        <w:t>2022</w:t>
      </w:r>
      <w:r>
        <w:rPr>
          <w:rFonts w:ascii="宋体" w:hAnsi="宋体" w:hint="eastAsia"/>
          <w:color w:val="000000"/>
          <w:sz w:val="24"/>
          <w:szCs w:val="24"/>
        </w:rPr>
        <w:t>年</w:t>
      </w:r>
      <w:r>
        <w:rPr>
          <w:rFonts w:ascii="宋体" w:hAnsi="宋体" w:hint="eastAsia"/>
          <w:color w:val="000000"/>
          <w:sz w:val="24"/>
          <w:szCs w:val="24"/>
        </w:rPr>
        <w:t>1</w:t>
      </w:r>
      <w:r>
        <w:rPr>
          <w:rFonts w:ascii="宋体" w:hAnsi="宋体" w:hint="eastAsia"/>
          <w:color w:val="000000"/>
          <w:sz w:val="24"/>
          <w:szCs w:val="24"/>
        </w:rPr>
        <w:t>月</w:t>
      </w:r>
      <w:r>
        <w:rPr>
          <w:rFonts w:ascii="宋体" w:hAnsi="宋体" w:hint="eastAsia"/>
          <w:color w:val="000000"/>
          <w:sz w:val="24"/>
          <w:szCs w:val="24"/>
        </w:rPr>
        <w:t>11</w:t>
      </w:r>
      <w:r>
        <w:rPr>
          <w:rFonts w:ascii="宋体" w:hAnsi="宋体" w:hint="eastAsia"/>
          <w:color w:val="000000"/>
          <w:sz w:val="24"/>
          <w:szCs w:val="24"/>
        </w:rPr>
        <w:t>日至</w:t>
      </w:r>
      <w:r>
        <w:rPr>
          <w:rFonts w:ascii="宋体" w:hAnsi="宋体" w:hint="eastAsia"/>
          <w:color w:val="000000"/>
          <w:sz w:val="24"/>
          <w:szCs w:val="24"/>
        </w:rPr>
        <w:t>2023</w:t>
      </w:r>
      <w:r>
        <w:rPr>
          <w:rFonts w:ascii="宋体" w:hAnsi="宋体" w:hint="eastAsia"/>
          <w:color w:val="000000"/>
          <w:sz w:val="24"/>
          <w:szCs w:val="24"/>
        </w:rPr>
        <w:t>年</w:t>
      </w:r>
      <w:r>
        <w:rPr>
          <w:rFonts w:ascii="宋体" w:hAnsi="宋体" w:hint="eastAsia"/>
          <w:color w:val="000000"/>
          <w:sz w:val="24"/>
          <w:szCs w:val="24"/>
        </w:rPr>
        <w:t>1</w:t>
      </w:r>
      <w:r>
        <w:rPr>
          <w:rFonts w:ascii="宋体" w:hAnsi="宋体" w:hint="eastAsia"/>
          <w:color w:val="000000"/>
          <w:sz w:val="24"/>
          <w:szCs w:val="24"/>
        </w:rPr>
        <w:t>月</w:t>
      </w:r>
      <w:r>
        <w:rPr>
          <w:rFonts w:ascii="宋体" w:hAnsi="宋体" w:hint="eastAsia"/>
          <w:color w:val="000000"/>
          <w:sz w:val="24"/>
          <w:szCs w:val="24"/>
        </w:rPr>
        <w:t>10</w:t>
      </w:r>
      <w:r>
        <w:rPr>
          <w:rFonts w:ascii="宋体" w:hAnsi="宋体" w:hint="eastAsia"/>
          <w:color w:val="000000"/>
          <w:sz w:val="24"/>
          <w:szCs w:val="24"/>
        </w:rPr>
        <w:t>日止。</w:t>
      </w:r>
    </w:p>
    <w:p w14:paraId="4AD1D0F8" w14:textId="77777777" w:rsidR="00F76B5E" w:rsidRDefault="0027102A">
      <w:pPr>
        <w:pStyle w:val="1"/>
        <w:snapToGrid w:val="0"/>
        <w:spacing w:before="0" w:after="0" w:line="360" w:lineRule="auto"/>
        <w:ind w:firstLineChars="200" w:firstLine="482"/>
        <w:rPr>
          <w:color w:val="000000"/>
          <w:sz w:val="24"/>
          <w:szCs w:val="24"/>
        </w:rPr>
      </w:pPr>
      <w:bookmarkStart w:id="49" w:name="_Toc447125222"/>
      <w:bookmarkStart w:id="50" w:name="_Toc501636018"/>
      <w:bookmarkStart w:id="51" w:name="_Toc93936763"/>
      <w:bookmarkEnd w:id="47"/>
      <w:bookmarkEnd w:id="48"/>
      <w:r>
        <w:rPr>
          <w:rFonts w:hint="eastAsia"/>
          <w:color w:val="000000"/>
          <w:sz w:val="24"/>
          <w:szCs w:val="24"/>
        </w:rPr>
        <w:t>十三、评估报告日</w:t>
      </w:r>
      <w:bookmarkEnd w:id="49"/>
      <w:bookmarkEnd w:id="50"/>
      <w:bookmarkEnd w:id="51"/>
    </w:p>
    <w:p w14:paraId="6E4AA0E5"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本公司资产评估师于</w:t>
      </w:r>
      <w:r>
        <w:rPr>
          <w:rFonts w:ascii="宋体" w:hAnsi="宋体" w:hint="eastAsia"/>
          <w:color w:val="000000"/>
          <w:sz w:val="24"/>
          <w:szCs w:val="24"/>
        </w:rPr>
        <w:t>2022</w:t>
      </w:r>
      <w:r>
        <w:rPr>
          <w:rFonts w:ascii="宋体" w:hAnsi="宋体" w:hint="eastAsia"/>
          <w:color w:val="000000"/>
          <w:sz w:val="24"/>
          <w:szCs w:val="24"/>
        </w:rPr>
        <w:t>年</w:t>
      </w:r>
      <w:r>
        <w:rPr>
          <w:rFonts w:ascii="宋体" w:hAnsi="宋体" w:hint="eastAsia"/>
          <w:color w:val="000000"/>
          <w:sz w:val="24"/>
          <w:szCs w:val="24"/>
        </w:rPr>
        <w:t>1</w:t>
      </w:r>
      <w:r>
        <w:rPr>
          <w:rFonts w:ascii="宋体" w:hAnsi="宋体" w:hint="eastAsia"/>
          <w:color w:val="000000"/>
          <w:sz w:val="24"/>
          <w:szCs w:val="24"/>
        </w:rPr>
        <w:t>月</w:t>
      </w:r>
      <w:r>
        <w:rPr>
          <w:rFonts w:ascii="宋体" w:hAnsi="宋体" w:hint="eastAsia"/>
          <w:color w:val="000000"/>
          <w:sz w:val="24"/>
          <w:szCs w:val="24"/>
        </w:rPr>
        <w:t>25</w:t>
      </w:r>
      <w:r>
        <w:rPr>
          <w:rFonts w:ascii="宋体" w:hAnsi="宋体" w:hint="eastAsia"/>
          <w:color w:val="000000"/>
          <w:sz w:val="24"/>
          <w:szCs w:val="24"/>
        </w:rPr>
        <w:t>日形成最终专业意见，并签署本评估报告。</w:t>
      </w:r>
    </w:p>
    <w:p w14:paraId="400B531F" w14:textId="77777777" w:rsidR="00F76B5E" w:rsidRDefault="0027102A">
      <w:pPr>
        <w:snapToGrid w:val="0"/>
        <w:spacing w:line="360" w:lineRule="auto"/>
        <w:ind w:firstLine="480"/>
        <w:rPr>
          <w:rFonts w:ascii="宋体" w:hAnsi="宋体"/>
          <w:color w:val="000000"/>
          <w:sz w:val="24"/>
          <w:szCs w:val="24"/>
        </w:rPr>
      </w:pPr>
      <w:r>
        <w:rPr>
          <w:rFonts w:ascii="宋体" w:hAnsi="宋体" w:hint="eastAsia"/>
          <w:color w:val="000000"/>
          <w:sz w:val="24"/>
          <w:szCs w:val="24"/>
        </w:rPr>
        <w:t>本评估报告附有若干附件，系本评估报告的组成部分。</w:t>
      </w:r>
    </w:p>
    <w:p w14:paraId="0D80B5B0" w14:textId="77777777" w:rsidR="00F76B5E" w:rsidRDefault="00F76B5E">
      <w:pPr>
        <w:snapToGrid w:val="0"/>
        <w:spacing w:line="360" w:lineRule="auto"/>
        <w:textAlignment w:val="top"/>
        <w:rPr>
          <w:rFonts w:ascii="宋体" w:hAnsi="宋体"/>
          <w:color w:val="000000"/>
          <w:sz w:val="24"/>
        </w:rPr>
      </w:pPr>
    </w:p>
    <w:p w14:paraId="1DC6EA38" w14:textId="77777777" w:rsidR="00F76B5E" w:rsidRDefault="00F76B5E">
      <w:pPr>
        <w:snapToGrid w:val="0"/>
        <w:spacing w:line="360" w:lineRule="auto"/>
        <w:ind w:firstLineChars="100" w:firstLine="240"/>
        <w:textAlignment w:val="top"/>
        <w:rPr>
          <w:rFonts w:ascii="宋体" w:hAnsi="宋体"/>
          <w:color w:val="000000"/>
          <w:sz w:val="24"/>
        </w:rPr>
      </w:pPr>
    </w:p>
    <w:p w14:paraId="7314328B" w14:textId="77777777" w:rsidR="00F76B5E" w:rsidRDefault="00F76B5E">
      <w:pPr>
        <w:snapToGrid w:val="0"/>
        <w:spacing w:line="360" w:lineRule="auto"/>
        <w:ind w:firstLineChars="100" w:firstLine="240"/>
        <w:textAlignment w:val="top"/>
        <w:rPr>
          <w:rFonts w:ascii="宋体" w:hAnsi="宋体"/>
          <w:color w:val="000000"/>
          <w:sz w:val="24"/>
        </w:rPr>
      </w:pPr>
    </w:p>
    <w:p w14:paraId="68E3F448" w14:textId="77777777" w:rsidR="00F76B5E" w:rsidRDefault="0027102A">
      <w:pPr>
        <w:snapToGrid w:val="0"/>
        <w:spacing w:line="360" w:lineRule="auto"/>
        <w:ind w:firstLineChars="100" w:firstLine="240"/>
        <w:textAlignment w:val="top"/>
        <w:rPr>
          <w:rFonts w:ascii="宋体" w:hAnsi="宋体"/>
          <w:color w:val="000000"/>
          <w:sz w:val="24"/>
        </w:rPr>
      </w:pPr>
      <w:r>
        <w:rPr>
          <w:rFonts w:ascii="宋体" w:hAnsi="宋体" w:hint="eastAsia"/>
          <w:color w:val="000000"/>
          <w:sz w:val="24"/>
        </w:rPr>
        <w:t>资产评估师：</w:t>
      </w:r>
      <w:r>
        <w:rPr>
          <w:rFonts w:ascii="宋体" w:hAnsi="宋体" w:hint="eastAsia"/>
          <w:color w:val="000000"/>
          <w:sz w:val="24"/>
        </w:rPr>
        <w:t xml:space="preserve">                      </w:t>
      </w:r>
      <w:r>
        <w:rPr>
          <w:rFonts w:ascii="宋体" w:hAnsi="宋体" w:hint="eastAsia"/>
          <w:color w:val="000000"/>
          <w:sz w:val="24"/>
        </w:rPr>
        <w:t>资产评估师：</w:t>
      </w:r>
    </w:p>
    <w:p w14:paraId="0C1F5CAE" w14:textId="77777777" w:rsidR="00F76B5E" w:rsidRDefault="00F76B5E">
      <w:pPr>
        <w:snapToGrid w:val="0"/>
        <w:spacing w:line="360" w:lineRule="auto"/>
        <w:ind w:firstLineChars="100" w:firstLine="240"/>
        <w:textAlignment w:val="top"/>
        <w:rPr>
          <w:rFonts w:ascii="宋体" w:hAnsi="宋体"/>
          <w:color w:val="000000"/>
          <w:sz w:val="24"/>
        </w:rPr>
      </w:pPr>
    </w:p>
    <w:p w14:paraId="2A332F9E" w14:textId="77777777" w:rsidR="00F76B5E" w:rsidRDefault="00F76B5E">
      <w:pPr>
        <w:snapToGrid w:val="0"/>
        <w:spacing w:line="360" w:lineRule="auto"/>
        <w:ind w:firstLineChars="100" w:firstLine="240"/>
        <w:textAlignment w:val="top"/>
        <w:rPr>
          <w:rFonts w:ascii="宋体" w:hAnsi="宋体"/>
          <w:color w:val="000000"/>
          <w:sz w:val="24"/>
        </w:rPr>
      </w:pPr>
    </w:p>
    <w:p w14:paraId="08B680EA" w14:textId="77777777" w:rsidR="00F76B5E" w:rsidRDefault="00F76B5E">
      <w:pPr>
        <w:snapToGrid w:val="0"/>
        <w:spacing w:line="360" w:lineRule="auto"/>
        <w:ind w:firstLineChars="100" w:firstLine="240"/>
        <w:textAlignment w:val="top"/>
        <w:rPr>
          <w:rFonts w:ascii="宋体" w:hAnsi="宋体"/>
          <w:color w:val="000000"/>
          <w:sz w:val="24"/>
        </w:rPr>
      </w:pPr>
    </w:p>
    <w:p w14:paraId="5C7C538B" w14:textId="77777777" w:rsidR="00F76B5E" w:rsidRDefault="0027102A">
      <w:pPr>
        <w:snapToGrid w:val="0"/>
        <w:spacing w:line="360" w:lineRule="auto"/>
        <w:ind w:firstLineChars="100" w:firstLine="240"/>
        <w:textAlignment w:val="top"/>
        <w:rPr>
          <w:rFonts w:ascii="宋体" w:hAnsi="宋体"/>
          <w:color w:val="000000"/>
          <w:sz w:val="24"/>
        </w:rPr>
      </w:pPr>
      <w:r>
        <w:rPr>
          <w:rFonts w:ascii="宋体" w:hAnsi="宋体" w:hint="eastAsia"/>
          <w:color w:val="000000"/>
          <w:sz w:val="24"/>
        </w:rPr>
        <w:t>广东信成土地房地产资产评估有限公司</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 xml:space="preserve">   </w:t>
      </w:r>
    </w:p>
    <w:p w14:paraId="289DE0BA" w14:textId="77777777" w:rsidR="00F76B5E" w:rsidRDefault="00F76B5E">
      <w:pPr>
        <w:snapToGrid w:val="0"/>
        <w:spacing w:line="360" w:lineRule="auto"/>
        <w:ind w:firstLineChars="200" w:firstLine="480"/>
        <w:textAlignment w:val="top"/>
        <w:rPr>
          <w:rFonts w:ascii="宋体" w:hAnsi="宋体"/>
          <w:color w:val="000000"/>
          <w:sz w:val="24"/>
        </w:rPr>
      </w:pPr>
    </w:p>
    <w:p w14:paraId="4BC30242" w14:textId="77777777" w:rsidR="00F76B5E" w:rsidRDefault="00F76B5E">
      <w:pPr>
        <w:snapToGrid w:val="0"/>
        <w:spacing w:line="360" w:lineRule="auto"/>
        <w:ind w:firstLineChars="200" w:firstLine="480"/>
        <w:textAlignment w:val="top"/>
        <w:rPr>
          <w:rFonts w:ascii="宋体" w:hAnsi="宋体"/>
          <w:color w:val="000000"/>
          <w:sz w:val="24"/>
        </w:rPr>
      </w:pPr>
    </w:p>
    <w:p w14:paraId="133A6AC8" w14:textId="77777777" w:rsidR="00F76B5E" w:rsidRDefault="0027102A">
      <w:pPr>
        <w:snapToGrid w:val="0"/>
        <w:spacing w:line="360" w:lineRule="auto"/>
        <w:ind w:firstLineChars="100" w:firstLine="240"/>
        <w:textAlignment w:val="top"/>
        <w:rPr>
          <w:rFonts w:ascii="宋体" w:hAnsi="宋体"/>
          <w:color w:val="000000"/>
          <w:sz w:val="24"/>
        </w:rPr>
      </w:pPr>
      <w:r>
        <w:rPr>
          <w:rFonts w:ascii="宋体" w:hAnsi="宋体" w:hint="eastAsia"/>
          <w:color w:val="000000"/>
          <w:sz w:val="24"/>
        </w:rPr>
        <w:t>评估机构法人代表：</w:t>
      </w:r>
    </w:p>
    <w:p w14:paraId="431F351A" w14:textId="77777777" w:rsidR="00F76B5E" w:rsidRDefault="00F76B5E">
      <w:pPr>
        <w:snapToGrid w:val="0"/>
        <w:spacing w:line="360" w:lineRule="auto"/>
        <w:ind w:firstLineChars="100" w:firstLine="240"/>
        <w:rPr>
          <w:rFonts w:ascii="宋体" w:hAnsi="宋体"/>
          <w:color w:val="000000"/>
          <w:sz w:val="24"/>
        </w:rPr>
      </w:pPr>
    </w:p>
    <w:p w14:paraId="1F44F400" w14:textId="77777777" w:rsidR="00F76B5E" w:rsidRDefault="00F76B5E">
      <w:pPr>
        <w:snapToGrid w:val="0"/>
        <w:spacing w:line="360" w:lineRule="auto"/>
        <w:ind w:firstLineChars="100" w:firstLine="240"/>
        <w:rPr>
          <w:rFonts w:ascii="宋体" w:hAnsi="宋体"/>
          <w:color w:val="000000"/>
          <w:sz w:val="24"/>
        </w:rPr>
      </w:pPr>
    </w:p>
    <w:p w14:paraId="33515767" w14:textId="77777777" w:rsidR="00F76B5E" w:rsidRDefault="0027102A">
      <w:pPr>
        <w:snapToGrid w:val="0"/>
        <w:spacing w:line="360" w:lineRule="auto"/>
        <w:ind w:firstLineChars="100" w:firstLine="240"/>
        <w:rPr>
          <w:rFonts w:ascii="宋体" w:hAnsi="宋体"/>
          <w:color w:val="000000"/>
          <w:sz w:val="24"/>
        </w:rPr>
      </w:pPr>
      <w:r>
        <w:rPr>
          <w:rFonts w:ascii="宋体" w:hAnsi="宋体" w:hint="eastAsia"/>
          <w:color w:val="000000"/>
          <w:sz w:val="24"/>
        </w:rPr>
        <w:t>地址：东莞市南城</w:t>
      </w:r>
      <w:proofErr w:type="gramStart"/>
      <w:r>
        <w:rPr>
          <w:rFonts w:ascii="宋体" w:hAnsi="宋体" w:hint="eastAsia"/>
          <w:color w:val="000000"/>
          <w:sz w:val="24"/>
        </w:rPr>
        <w:t>街道胜</w:t>
      </w:r>
      <w:proofErr w:type="gramEnd"/>
      <w:r>
        <w:rPr>
          <w:rFonts w:ascii="宋体" w:hAnsi="宋体" w:hint="eastAsia"/>
          <w:color w:val="000000"/>
          <w:sz w:val="24"/>
        </w:rPr>
        <w:t>和银丰路</w:t>
      </w:r>
      <w:r>
        <w:rPr>
          <w:rFonts w:ascii="宋体" w:hAnsi="宋体" w:hint="eastAsia"/>
          <w:color w:val="000000"/>
          <w:sz w:val="24"/>
        </w:rPr>
        <w:t>21</w:t>
      </w:r>
      <w:r>
        <w:rPr>
          <w:rFonts w:ascii="宋体" w:hAnsi="宋体" w:hint="eastAsia"/>
          <w:color w:val="000000"/>
          <w:sz w:val="24"/>
        </w:rPr>
        <w:t>号三楼</w:t>
      </w:r>
      <w:r>
        <w:rPr>
          <w:rFonts w:ascii="宋体" w:hAnsi="宋体" w:hint="eastAsia"/>
          <w:color w:val="000000"/>
          <w:sz w:val="24"/>
        </w:rPr>
        <w:t>313</w:t>
      </w:r>
      <w:r>
        <w:rPr>
          <w:rFonts w:ascii="宋体" w:hAnsi="宋体" w:hint="eastAsia"/>
          <w:color w:val="000000"/>
          <w:sz w:val="24"/>
        </w:rPr>
        <w:t>室</w:t>
      </w:r>
      <w:r>
        <w:rPr>
          <w:rFonts w:ascii="宋体" w:hAnsi="宋体"/>
          <w:color w:val="000000"/>
          <w:sz w:val="24"/>
        </w:rPr>
        <w:t xml:space="preserve">  </w:t>
      </w:r>
    </w:p>
    <w:p w14:paraId="5292D51F" w14:textId="77777777" w:rsidR="00F76B5E" w:rsidRDefault="0027102A">
      <w:pPr>
        <w:snapToGrid w:val="0"/>
        <w:spacing w:line="360" w:lineRule="auto"/>
        <w:rPr>
          <w:rFonts w:ascii="宋体" w:hAnsi="宋体"/>
          <w:color w:val="000000"/>
          <w:sz w:val="24"/>
        </w:rPr>
      </w:pP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 xml:space="preserve">  </w:t>
      </w:r>
    </w:p>
    <w:p w14:paraId="6606E3C5" w14:textId="77777777" w:rsidR="00F76B5E" w:rsidRDefault="0027102A">
      <w:pPr>
        <w:snapToGrid w:val="0"/>
        <w:spacing w:line="360" w:lineRule="auto"/>
        <w:ind w:firstLineChars="100" w:firstLine="240"/>
        <w:rPr>
          <w:rFonts w:ascii="宋体" w:hAnsi="宋体"/>
          <w:color w:val="000000"/>
          <w:sz w:val="24"/>
          <w:szCs w:val="24"/>
        </w:rPr>
      </w:pPr>
      <w:r>
        <w:rPr>
          <w:rFonts w:ascii="宋体" w:hAnsi="宋体" w:hint="eastAsia"/>
          <w:color w:val="000000"/>
          <w:sz w:val="24"/>
        </w:rPr>
        <w:t>中国·东莞</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2022</w:t>
      </w:r>
      <w:r>
        <w:rPr>
          <w:rFonts w:ascii="宋体" w:hAnsi="宋体" w:hint="eastAsia"/>
          <w:color w:val="000000"/>
          <w:sz w:val="24"/>
        </w:rPr>
        <w:t>年</w:t>
      </w:r>
      <w:r>
        <w:rPr>
          <w:rFonts w:ascii="宋体" w:hAnsi="宋体" w:hint="eastAsia"/>
          <w:color w:val="000000"/>
          <w:sz w:val="24"/>
        </w:rPr>
        <w:t>1</w:t>
      </w:r>
      <w:r>
        <w:rPr>
          <w:rFonts w:ascii="宋体" w:hAnsi="宋体" w:hint="eastAsia"/>
          <w:color w:val="000000"/>
          <w:sz w:val="24"/>
        </w:rPr>
        <w:t>月</w:t>
      </w:r>
      <w:r>
        <w:rPr>
          <w:rFonts w:ascii="宋体" w:hAnsi="宋体" w:hint="eastAsia"/>
          <w:color w:val="000000"/>
          <w:sz w:val="24"/>
        </w:rPr>
        <w:t>25</w:t>
      </w:r>
      <w:r>
        <w:rPr>
          <w:rFonts w:ascii="宋体" w:hAnsi="宋体" w:hint="eastAsia"/>
          <w:color w:val="000000"/>
          <w:sz w:val="24"/>
        </w:rPr>
        <w:t>日</w:t>
      </w:r>
      <w:r>
        <w:rPr>
          <w:rFonts w:ascii="宋体" w:hAnsi="宋体"/>
          <w:color w:val="000000"/>
          <w:kern w:val="0"/>
          <w:sz w:val="20"/>
        </w:rPr>
        <w:t> </w:t>
      </w:r>
    </w:p>
    <w:p w14:paraId="315CF0C8" w14:textId="77777777" w:rsidR="00F76B5E" w:rsidRDefault="0027102A">
      <w:pPr>
        <w:pStyle w:val="ac"/>
        <w:snapToGrid w:val="0"/>
        <w:spacing w:before="0" w:after="0" w:line="360" w:lineRule="auto"/>
        <w:rPr>
          <w:color w:val="000000"/>
          <w:sz w:val="36"/>
          <w:szCs w:val="36"/>
        </w:rPr>
      </w:pPr>
      <w:r>
        <w:rPr>
          <w:color w:val="000000"/>
          <w:kern w:val="0"/>
          <w:sz w:val="20"/>
        </w:rPr>
        <w:br w:type="page"/>
      </w:r>
      <w:bookmarkStart w:id="52" w:name="_Toc447125223"/>
      <w:bookmarkStart w:id="53" w:name="_Toc501636019"/>
      <w:bookmarkStart w:id="54" w:name="_Toc93936764"/>
      <w:r>
        <w:rPr>
          <w:rFonts w:hint="eastAsia"/>
          <w:color w:val="000000"/>
          <w:sz w:val="36"/>
          <w:szCs w:val="36"/>
        </w:rPr>
        <w:lastRenderedPageBreak/>
        <w:t>评估报告附件</w:t>
      </w:r>
      <w:bookmarkEnd w:id="52"/>
      <w:bookmarkEnd w:id="53"/>
      <w:bookmarkEnd w:id="54"/>
    </w:p>
    <w:p w14:paraId="558DF7EE" w14:textId="77777777" w:rsidR="00F76B5E" w:rsidRDefault="00F76B5E">
      <w:pPr>
        <w:snapToGrid w:val="0"/>
        <w:spacing w:line="360" w:lineRule="auto"/>
        <w:ind w:firstLine="480"/>
        <w:jc w:val="center"/>
        <w:rPr>
          <w:rFonts w:ascii="宋体" w:hAnsi="宋体"/>
          <w:b/>
          <w:color w:val="000000"/>
          <w:sz w:val="24"/>
          <w:szCs w:val="24"/>
        </w:rPr>
      </w:pPr>
    </w:p>
    <w:p w14:paraId="426D460B"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资产评估结果汇总表；</w:t>
      </w:r>
    </w:p>
    <w:p w14:paraId="7524F301"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固定</w:t>
      </w:r>
      <w:r>
        <w:rPr>
          <w:rFonts w:ascii="宋体" w:hAnsi="宋体"/>
          <w:color w:val="000000"/>
          <w:sz w:val="24"/>
          <w:szCs w:val="24"/>
        </w:rPr>
        <w:t>资产</w:t>
      </w:r>
      <w:r>
        <w:rPr>
          <w:rFonts w:ascii="宋体" w:hAnsi="宋体" w:hint="eastAsia"/>
          <w:color w:val="000000"/>
          <w:sz w:val="24"/>
          <w:szCs w:val="24"/>
        </w:rPr>
        <w:t>——机器设备清查评估明细表；</w:t>
      </w:r>
    </w:p>
    <w:p w14:paraId="258B537E"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《广东省东莞市第一人民法院委托评估函》、《广东省东莞市第一人民法院执行裁定书》及《广东省东莞市第一人民法院查封（扣押）财产清单》；</w:t>
      </w:r>
    </w:p>
    <w:p w14:paraId="6D0ED26D"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4.</w:t>
      </w:r>
      <w:proofErr w:type="gramStart"/>
      <w:r>
        <w:rPr>
          <w:rFonts w:ascii="宋体" w:hAnsi="宋体" w:hint="eastAsia"/>
          <w:color w:val="000000"/>
          <w:sz w:val="24"/>
          <w:szCs w:val="24"/>
        </w:rPr>
        <w:t>委估资产</w:t>
      </w:r>
      <w:proofErr w:type="gramEnd"/>
      <w:r>
        <w:rPr>
          <w:rFonts w:ascii="宋体" w:hAnsi="宋体" w:hint="eastAsia"/>
          <w:color w:val="000000"/>
          <w:sz w:val="24"/>
          <w:szCs w:val="24"/>
        </w:rPr>
        <w:t>现场勘察相片；</w:t>
      </w:r>
    </w:p>
    <w:p w14:paraId="6CAB8EA4"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广东省财政厅关于广东信成土地房地产资产评估有限公司登记的备案公告</w:t>
      </w:r>
      <w:r>
        <w:rPr>
          <w:rFonts w:ascii="宋体" w:hAnsi="宋体" w:hint="eastAsia"/>
          <w:color w:val="000000"/>
          <w:sz w:val="24"/>
          <w:szCs w:val="24"/>
        </w:rPr>
        <w:t>(</w:t>
      </w:r>
      <w:r>
        <w:rPr>
          <w:rFonts w:ascii="宋体" w:hAnsi="宋体" w:hint="eastAsia"/>
          <w:color w:val="000000"/>
          <w:sz w:val="24"/>
          <w:szCs w:val="24"/>
        </w:rPr>
        <w:t>复印件</w:t>
      </w:r>
      <w:r>
        <w:rPr>
          <w:rFonts w:ascii="宋体" w:hAnsi="宋体" w:hint="eastAsia"/>
          <w:color w:val="000000"/>
          <w:sz w:val="24"/>
          <w:szCs w:val="24"/>
        </w:rPr>
        <w:t>)</w:t>
      </w:r>
      <w:r>
        <w:rPr>
          <w:rFonts w:ascii="宋体" w:hAnsi="宋体" w:hint="eastAsia"/>
          <w:color w:val="000000"/>
          <w:sz w:val="24"/>
          <w:szCs w:val="24"/>
        </w:rPr>
        <w:t>；</w:t>
      </w:r>
    </w:p>
    <w:p w14:paraId="0C8C0AEA"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广东信成土地房地产资产评估有限公司企业法人营业执照</w:t>
      </w:r>
      <w:r>
        <w:rPr>
          <w:rFonts w:ascii="宋体" w:hAnsi="宋体" w:hint="eastAsia"/>
          <w:color w:val="000000"/>
          <w:sz w:val="24"/>
          <w:szCs w:val="24"/>
        </w:rPr>
        <w:t>(</w:t>
      </w:r>
      <w:r>
        <w:rPr>
          <w:rFonts w:ascii="宋体" w:hAnsi="宋体" w:hint="eastAsia"/>
          <w:color w:val="000000"/>
          <w:sz w:val="24"/>
          <w:szCs w:val="24"/>
        </w:rPr>
        <w:t>复印件</w:t>
      </w:r>
      <w:r>
        <w:rPr>
          <w:rFonts w:ascii="宋体" w:hAnsi="宋体" w:hint="eastAsia"/>
          <w:color w:val="000000"/>
          <w:sz w:val="24"/>
          <w:szCs w:val="24"/>
        </w:rPr>
        <w:t>)</w:t>
      </w:r>
      <w:r>
        <w:rPr>
          <w:rFonts w:ascii="宋体" w:hAnsi="宋体" w:hint="eastAsia"/>
          <w:color w:val="000000"/>
          <w:sz w:val="24"/>
          <w:szCs w:val="24"/>
        </w:rPr>
        <w:t>；</w:t>
      </w:r>
    </w:p>
    <w:p w14:paraId="738B64AF" w14:textId="77777777" w:rsidR="00F76B5E" w:rsidRDefault="0027102A">
      <w:pPr>
        <w:snapToGrid w:val="0"/>
        <w:spacing w:line="360" w:lineRule="auto"/>
        <w:ind w:firstLine="482"/>
        <w:rPr>
          <w:rFonts w:ascii="宋体" w:hAnsi="宋体"/>
          <w:color w:val="000000"/>
          <w:sz w:val="24"/>
          <w:szCs w:val="24"/>
        </w:rPr>
      </w:pPr>
      <w:r>
        <w:rPr>
          <w:rFonts w:ascii="宋体" w:hAnsi="宋体" w:hint="eastAsia"/>
          <w:color w:val="000000"/>
          <w:sz w:val="24"/>
          <w:szCs w:val="24"/>
        </w:rPr>
        <w:t>7.</w:t>
      </w:r>
      <w:r>
        <w:rPr>
          <w:rFonts w:ascii="宋体" w:hAnsi="宋体" w:hint="eastAsia"/>
          <w:color w:val="000000"/>
          <w:sz w:val="24"/>
          <w:szCs w:val="24"/>
        </w:rPr>
        <w:t>签字资产评估师资格证书</w:t>
      </w:r>
      <w:r>
        <w:rPr>
          <w:rFonts w:ascii="宋体" w:hAnsi="宋体" w:hint="eastAsia"/>
          <w:color w:val="000000"/>
          <w:sz w:val="24"/>
          <w:szCs w:val="24"/>
        </w:rPr>
        <w:t>(</w:t>
      </w:r>
      <w:r>
        <w:rPr>
          <w:rFonts w:ascii="宋体" w:hAnsi="宋体" w:hint="eastAsia"/>
          <w:color w:val="000000"/>
          <w:sz w:val="24"/>
          <w:szCs w:val="24"/>
        </w:rPr>
        <w:t>复印件</w:t>
      </w:r>
      <w:r>
        <w:rPr>
          <w:rFonts w:ascii="宋体" w:hAnsi="宋体" w:hint="eastAsia"/>
          <w:color w:val="000000"/>
          <w:sz w:val="24"/>
          <w:szCs w:val="24"/>
        </w:rPr>
        <w:t>)</w:t>
      </w:r>
      <w:r>
        <w:rPr>
          <w:rFonts w:ascii="宋体" w:hAnsi="宋体" w:hint="eastAsia"/>
          <w:color w:val="000000"/>
          <w:sz w:val="24"/>
          <w:szCs w:val="24"/>
        </w:rPr>
        <w:t>。</w:t>
      </w:r>
    </w:p>
    <w:p w14:paraId="45A277D3" w14:textId="77777777" w:rsidR="00F76B5E" w:rsidRDefault="00F76B5E">
      <w:pPr>
        <w:snapToGrid w:val="0"/>
        <w:spacing w:line="360" w:lineRule="auto"/>
        <w:ind w:firstLine="482"/>
        <w:rPr>
          <w:rFonts w:ascii="宋体" w:hAnsi="宋体"/>
          <w:color w:val="000000"/>
          <w:sz w:val="24"/>
          <w:szCs w:val="24"/>
        </w:rPr>
      </w:pPr>
    </w:p>
    <w:p w14:paraId="04DBA303" w14:textId="77777777" w:rsidR="00F76B5E" w:rsidRDefault="00F76B5E">
      <w:pPr>
        <w:snapToGrid w:val="0"/>
        <w:spacing w:line="360" w:lineRule="auto"/>
      </w:pPr>
    </w:p>
    <w:sectPr w:rsidR="00F76B5E">
      <w:headerReference w:type="default" r:id="rId10"/>
      <w:footerReference w:type="even" r:id="rId11"/>
      <w:footerReference w:type="default" r:id="rId12"/>
      <w:pgSz w:w="11906" w:h="16838" w:code="9"/>
      <w:pgMar w:top="1644" w:right="1531" w:bottom="1758"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72FF" w14:textId="77777777" w:rsidR="00F76B5E" w:rsidRDefault="0027102A">
      <w:r>
        <w:separator/>
      </w:r>
    </w:p>
  </w:endnote>
  <w:endnote w:type="continuationSeparator" w:id="0">
    <w:p w14:paraId="01CE553C" w14:textId="77777777" w:rsidR="00F76B5E" w:rsidRDefault="0027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EC9B" w14:textId="77777777" w:rsidR="00F76B5E" w:rsidRDefault="0027102A">
    <w:pPr>
      <w:pStyle w:val="a3"/>
      <w:jc w:val="center"/>
    </w:pPr>
    <w:r>
      <w:fldChar w:fldCharType="begin"/>
    </w:r>
    <w:r>
      <w:instrText xml:space="preserve"> PAGE   \* MERGEFORMAT </w:instrText>
    </w:r>
    <w:r>
      <w:fldChar w:fldCharType="separate"/>
    </w:r>
    <w:r>
      <w:rPr>
        <w:noProof/>
        <w:lang w:val="zh-CN"/>
      </w:rPr>
      <w:t>6</w:t>
    </w:r>
    <w:r>
      <w:fldChar w:fldCharType="end"/>
    </w:r>
  </w:p>
  <w:p w14:paraId="6A37F981" w14:textId="77777777" w:rsidR="00F76B5E" w:rsidRDefault="00F76B5E">
    <w:pPr>
      <w:pStyle w:val="a3"/>
      <w:pBdr>
        <w:top w:val="single" w:sz="6" w:space="7" w:color="auto"/>
      </w:pBdr>
      <w:jc w:val="cen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4713" w14:textId="77777777" w:rsidR="00F76B5E" w:rsidRDefault="002710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14:paraId="7490781E" w14:textId="77777777" w:rsidR="00F76B5E" w:rsidRDefault="00F76B5E">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8754" w14:textId="77777777" w:rsidR="00F76B5E" w:rsidRDefault="002710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14:paraId="137D80FA" w14:textId="77777777" w:rsidR="00F76B5E" w:rsidRDefault="00F76B5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956E5" w14:textId="77777777" w:rsidR="00F76B5E" w:rsidRDefault="0027102A">
      <w:r>
        <w:separator/>
      </w:r>
    </w:p>
  </w:footnote>
  <w:footnote w:type="continuationSeparator" w:id="0">
    <w:p w14:paraId="15F74088" w14:textId="77777777" w:rsidR="00F76B5E" w:rsidRDefault="00271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374" w:type="dxa"/>
      <w:tblLayout w:type="fixed"/>
      <w:tblLook w:val="04A0" w:firstRow="1" w:lastRow="0" w:firstColumn="1" w:lastColumn="0" w:noHBand="0" w:noVBand="1"/>
    </w:tblPr>
    <w:tblGrid>
      <w:gridCol w:w="8522"/>
      <w:gridCol w:w="7426"/>
      <w:gridCol w:w="7426"/>
    </w:tblGrid>
    <w:tr w:rsidR="00F76B5E" w14:paraId="2DA3E498" w14:textId="77777777">
      <w:tc>
        <w:tcPr>
          <w:tcW w:w="8522" w:type="dxa"/>
          <w:vMerge w:val="restart"/>
          <w:vAlign w:val="center"/>
        </w:tcPr>
        <w:p w14:paraId="557ED36A" w14:textId="77777777" w:rsidR="00F76B5E" w:rsidRDefault="0027102A">
          <w:pPr>
            <w:pStyle w:val="a6"/>
            <w:spacing w:before="0" w:line="480" w:lineRule="auto"/>
            <w:rPr>
              <w:rFonts w:ascii="Calibri" w:eastAsia="华文中宋" w:hAnsi="Calibri"/>
              <w:sz w:val="15"/>
            </w:rPr>
          </w:pPr>
          <w:r>
            <w:rPr>
              <w:noProof/>
            </w:rPr>
            <w:drawing>
              <wp:inline distT="0" distB="0" distL="0" distR="0" wp14:anchorId="275C3B96" wp14:editId="1866B9AB">
                <wp:extent cx="488950" cy="48895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inline>
            </w:drawing>
          </w:r>
          <w:r>
            <w:rPr>
              <w:rFonts w:hint="eastAsia"/>
              <w:b/>
              <w:sz w:val="21"/>
              <w:szCs w:val="21"/>
            </w:rPr>
            <w:t>广东信成土地房地产资产评估有限公司</w:t>
          </w:r>
          <w:r>
            <w:rPr>
              <w:rFonts w:hint="eastAsia"/>
              <w:b/>
              <w:sz w:val="21"/>
              <w:szCs w:val="21"/>
            </w:rPr>
            <w:t xml:space="preserve">    </w:t>
          </w:r>
          <w:r>
            <w:rPr>
              <w:rFonts w:ascii="宋体" w:hAnsi="宋体" w:hint="eastAsia"/>
              <w:b/>
              <w:sz w:val="21"/>
              <w:szCs w:val="21"/>
            </w:rPr>
            <w:t>电话：</w:t>
          </w:r>
          <w:r>
            <w:rPr>
              <w:rFonts w:ascii="宋体" w:hAnsi="宋体" w:hint="eastAsia"/>
              <w:b/>
              <w:sz w:val="21"/>
              <w:szCs w:val="21"/>
            </w:rPr>
            <w:t>0769-22880733</w:t>
          </w:r>
        </w:p>
      </w:tc>
      <w:tc>
        <w:tcPr>
          <w:tcW w:w="7426" w:type="dxa"/>
        </w:tcPr>
        <w:p w14:paraId="7D815E06" w14:textId="77777777" w:rsidR="00F76B5E" w:rsidRDefault="0027102A">
          <w:pPr>
            <w:pStyle w:val="a8"/>
            <w:pBdr>
              <w:bottom w:val="none" w:sz="0" w:space="0" w:color="auto"/>
            </w:pBdr>
            <w:spacing w:line="240" w:lineRule="atLeast"/>
            <w:jc w:val="right"/>
            <w:rPr>
              <w:rFonts w:ascii="Calibri" w:eastAsia="华文中宋" w:hAnsi="Calibri"/>
              <w:sz w:val="15"/>
            </w:rPr>
          </w:pPr>
          <w:r>
            <w:rPr>
              <w:rFonts w:ascii="Calibri" w:eastAsia="华文中宋" w:hAnsi="Calibri" w:hint="eastAsia"/>
              <w:sz w:val="15"/>
            </w:rPr>
            <w:t>佛山市</w:t>
          </w:r>
          <w:proofErr w:type="gramStart"/>
          <w:r>
            <w:rPr>
              <w:rFonts w:ascii="Calibri" w:eastAsia="华文中宋" w:hAnsi="Calibri" w:hint="eastAsia"/>
              <w:sz w:val="15"/>
            </w:rPr>
            <w:t>南海创鸿房地产</w:t>
          </w:r>
          <w:proofErr w:type="gramEnd"/>
          <w:r>
            <w:rPr>
              <w:rFonts w:ascii="Calibri" w:eastAsia="华文中宋" w:hAnsi="Calibri" w:hint="eastAsia"/>
              <w:sz w:val="15"/>
            </w:rPr>
            <w:t>开发有限公司</w:t>
          </w:r>
        </w:p>
      </w:tc>
      <w:tc>
        <w:tcPr>
          <w:tcW w:w="7426" w:type="dxa"/>
        </w:tcPr>
        <w:p w14:paraId="6701082F" w14:textId="77777777" w:rsidR="00F76B5E" w:rsidRDefault="0027102A">
          <w:pPr>
            <w:pStyle w:val="a8"/>
            <w:pBdr>
              <w:bottom w:val="none" w:sz="0" w:space="0" w:color="auto"/>
            </w:pBdr>
            <w:spacing w:line="240" w:lineRule="atLeast"/>
            <w:jc w:val="right"/>
            <w:rPr>
              <w:rFonts w:ascii="Calibri" w:eastAsia="华文中宋" w:hAnsi="Calibri"/>
              <w:sz w:val="15"/>
            </w:rPr>
          </w:pPr>
          <w:r>
            <w:rPr>
              <w:rFonts w:ascii="Calibri" w:eastAsia="华文中宋" w:hAnsi="Calibri" w:hint="eastAsia"/>
              <w:sz w:val="15"/>
            </w:rPr>
            <w:t>【经济行为主体】</w:t>
          </w:r>
        </w:p>
      </w:tc>
    </w:tr>
    <w:tr w:rsidR="00F76B5E" w14:paraId="7B4A9856" w14:textId="77777777">
      <w:tc>
        <w:tcPr>
          <w:tcW w:w="8522" w:type="dxa"/>
          <w:vMerge/>
        </w:tcPr>
        <w:p w14:paraId="038555D1" w14:textId="77777777" w:rsidR="00F76B5E" w:rsidRDefault="00F76B5E">
          <w:pPr>
            <w:pStyle w:val="a8"/>
            <w:pBdr>
              <w:bottom w:val="none" w:sz="0" w:space="0" w:color="auto"/>
            </w:pBdr>
            <w:spacing w:line="0" w:lineRule="atLeast"/>
            <w:jc w:val="right"/>
            <w:rPr>
              <w:rFonts w:ascii="Calibri" w:eastAsia="华文中宋" w:hAnsi="Calibri"/>
              <w:sz w:val="15"/>
            </w:rPr>
          </w:pPr>
        </w:p>
      </w:tc>
      <w:tc>
        <w:tcPr>
          <w:tcW w:w="7426" w:type="dxa"/>
        </w:tcPr>
        <w:p w14:paraId="2D39E80D" w14:textId="77777777" w:rsidR="00F76B5E" w:rsidRDefault="0027102A">
          <w:pPr>
            <w:pStyle w:val="a8"/>
            <w:pBdr>
              <w:bottom w:val="none" w:sz="0" w:space="0" w:color="auto"/>
            </w:pBdr>
            <w:spacing w:line="240" w:lineRule="atLeast"/>
            <w:jc w:val="right"/>
            <w:rPr>
              <w:rFonts w:ascii="Calibri" w:eastAsia="华文中宋" w:hAnsi="Calibri"/>
              <w:sz w:val="15"/>
            </w:rPr>
          </w:pPr>
          <w:r>
            <w:rPr>
              <w:rFonts w:ascii="Calibri" w:eastAsia="华文中宋" w:hAnsi="Calibri" w:hint="eastAsia"/>
              <w:sz w:val="15"/>
            </w:rPr>
            <w:t>拟融资所涉及的</w:t>
          </w:r>
        </w:p>
      </w:tc>
      <w:tc>
        <w:tcPr>
          <w:tcW w:w="7426" w:type="dxa"/>
        </w:tcPr>
        <w:p w14:paraId="21880C3F" w14:textId="77777777" w:rsidR="00F76B5E" w:rsidRDefault="0027102A">
          <w:pPr>
            <w:pStyle w:val="a8"/>
            <w:pBdr>
              <w:bottom w:val="none" w:sz="0" w:space="0" w:color="auto"/>
            </w:pBdr>
            <w:spacing w:line="240" w:lineRule="atLeast"/>
            <w:jc w:val="right"/>
            <w:rPr>
              <w:rFonts w:ascii="Calibri" w:eastAsia="华文中宋" w:hAnsi="Calibri"/>
              <w:sz w:val="15"/>
            </w:rPr>
          </w:pPr>
          <w:r>
            <w:rPr>
              <w:rFonts w:ascii="Calibri" w:eastAsia="华文中宋" w:hAnsi="Calibri" w:hint="eastAsia"/>
              <w:sz w:val="15"/>
            </w:rPr>
            <w:t>拟【经济行为关键词】所涉及的</w:t>
          </w:r>
        </w:p>
      </w:tc>
    </w:tr>
    <w:tr w:rsidR="00F76B5E" w14:paraId="59896F5A" w14:textId="77777777">
      <w:tc>
        <w:tcPr>
          <w:tcW w:w="8522" w:type="dxa"/>
          <w:vMerge/>
        </w:tcPr>
        <w:p w14:paraId="77C31812" w14:textId="77777777" w:rsidR="00F76B5E" w:rsidRDefault="00F76B5E">
          <w:pPr>
            <w:pStyle w:val="a8"/>
            <w:pBdr>
              <w:bottom w:val="none" w:sz="0" w:space="0" w:color="auto"/>
            </w:pBdr>
            <w:spacing w:line="0" w:lineRule="atLeast"/>
            <w:jc w:val="right"/>
            <w:rPr>
              <w:rFonts w:ascii="Calibri" w:eastAsia="华文中宋" w:hAnsi="Calibri"/>
              <w:sz w:val="15"/>
            </w:rPr>
          </w:pPr>
        </w:p>
      </w:tc>
      <w:tc>
        <w:tcPr>
          <w:tcW w:w="7426" w:type="dxa"/>
        </w:tcPr>
        <w:p w14:paraId="127F5C0F" w14:textId="77777777" w:rsidR="00F76B5E" w:rsidRDefault="0027102A">
          <w:pPr>
            <w:pStyle w:val="a8"/>
            <w:pBdr>
              <w:bottom w:val="none" w:sz="0" w:space="0" w:color="auto"/>
            </w:pBdr>
            <w:wordWrap w:val="0"/>
            <w:spacing w:line="240" w:lineRule="atLeast"/>
            <w:jc w:val="right"/>
            <w:rPr>
              <w:rFonts w:ascii="Calibri" w:eastAsia="华文中宋" w:hAnsi="Calibri"/>
              <w:sz w:val="15"/>
            </w:rPr>
          </w:pPr>
          <w:r>
            <w:rPr>
              <w:rFonts w:ascii="Calibri" w:eastAsia="华文中宋" w:hAnsi="Calibri" w:hint="eastAsia"/>
              <w:sz w:val="15"/>
            </w:rPr>
            <w:t>资产组市场价值·评估报告声明</w:t>
          </w:r>
        </w:p>
      </w:tc>
      <w:tc>
        <w:tcPr>
          <w:tcW w:w="7426" w:type="dxa"/>
        </w:tcPr>
        <w:p w14:paraId="3AFB661E" w14:textId="77777777" w:rsidR="00F76B5E" w:rsidRDefault="0027102A">
          <w:pPr>
            <w:pStyle w:val="a8"/>
            <w:pBdr>
              <w:bottom w:val="none" w:sz="0" w:space="0" w:color="auto"/>
            </w:pBdr>
            <w:spacing w:line="240" w:lineRule="atLeast"/>
            <w:jc w:val="right"/>
            <w:rPr>
              <w:rFonts w:ascii="Calibri" w:eastAsia="华文中宋" w:hAnsi="Calibri"/>
              <w:sz w:val="15"/>
            </w:rPr>
          </w:pPr>
          <w:r>
            <w:rPr>
              <w:rFonts w:ascii="Calibri" w:eastAsia="华文中宋" w:hAnsi="Calibri" w:hint="eastAsia"/>
              <w:sz w:val="15"/>
            </w:rPr>
            <w:t>【产权持有者部分资产】价值·资产评估师声明</w:t>
          </w:r>
        </w:p>
      </w:tc>
    </w:tr>
  </w:tbl>
  <w:p w14:paraId="0881C377" w14:textId="77777777" w:rsidR="00F76B5E" w:rsidRDefault="00F76B5E">
    <w:pPr>
      <w:pStyle w:val="a8"/>
      <w:spacing w:line="240" w:lineRule="atLeast"/>
      <w:jc w:val="both"/>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3C3A" w14:textId="77777777" w:rsidR="00F76B5E" w:rsidRDefault="0027102A">
    <w:pPr>
      <w:pStyle w:val="a8"/>
      <w:jc w:val="both"/>
    </w:pPr>
    <w:r>
      <w:rPr>
        <w:noProof/>
      </w:rPr>
      <w:drawing>
        <wp:inline distT="0" distB="0" distL="0" distR="0" wp14:anchorId="37ED963C" wp14:editId="30A94FB8">
          <wp:extent cx="196850" cy="196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Pr>
        <w:rFonts w:hint="eastAsia"/>
        <w:b/>
        <w:i/>
        <w:sz w:val="24"/>
        <w:szCs w:val="24"/>
      </w:rPr>
      <w:t>广东信成土地房地产资产评估有限公司</w:t>
    </w:r>
    <w:r>
      <w:rPr>
        <w:b/>
        <w:i/>
        <w:sz w:val="24"/>
        <w:szCs w:val="24"/>
      </w:rPr>
      <w:tab/>
    </w:r>
    <w:r>
      <w:rPr>
        <w:rFonts w:hint="eastAsia"/>
        <w:b/>
        <w:i/>
        <w:sz w:val="24"/>
        <w:szCs w:val="24"/>
      </w:rPr>
      <w:t>TEL</w:t>
    </w:r>
    <w:r>
      <w:rPr>
        <w:rFonts w:hint="eastAsia"/>
        <w:b/>
        <w:i/>
        <w:sz w:val="24"/>
        <w:szCs w:val="24"/>
      </w:rPr>
      <w:t>：</w:t>
    </w:r>
    <w:r>
      <w:rPr>
        <w:rFonts w:hint="eastAsia"/>
        <w:b/>
        <w:i/>
        <w:sz w:val="24"/>
        <w:szCs w:val="24"/>
      </w:rPr>
      <w:t>22880733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572E2"/>
    <w:multiLevelType w:val="hybridMultilevel"/>
    <w:tmpl w:val="BF2A5D1C"/>
    <w:lvl w:ilvl="0" w:tplc="04E8960C">
      <w:start w:val="1"/>
      <w:numFmt w:val="japaneseCounting"/>
      <w:lvlText w:val="%1、"/>
      <w:lvlJc w:val="left"/>
      <w:pPr>
        <w:ind w:left="962" w:hanging="4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5E"/>
    <w:rsid w:val="0027102A"/>
    <w:rsid w:val="00F76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4737F"/>
  <w15:chartTrackingRefBased/>
  <w15:docId w15:val="{8F10DD50-2E56-40AF-BA5D-C9A680C2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szCs w:val="20"/>
    </w:rPr>
  </w:style>
  <w:style w:type="paragraph" w:styleId="1">
    <w:name w:val="heading 1"/>
    <w:basedOn w:val="a"/>
    <w:next w:val="a"/>
    <w:link w:val="11"/>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Pr>
      <w:rFonts w:ascii="Times New Roman" w:eastAsia="宋体" w:hAnsi="Times New Roman" w:cs="Times New Roman"/>
      <w:b/>
      <w:bCs/>
      <w:kern w:val="44"/>
      <w:sz w:val="44"/>
      <w:szCs w:val="44"/>
    </w:rPr>
  </w:style>
  <w:style w:type="character" w:customStyle="1" w:styleId="11">
    <w:name w:val="标题 1 字符1"/>
    <w:basedOn w:val="a0"/>
    <w:link w:val="1"/>
    <w:rPr>
      <w:rFonts w:ascii="Times New Roman" w:eastAsia="宋体" w:hAnsi="Times New Roman" w:cs="Times New Roman"/>
      <w:b/>
      <w:bCs/>
      <w:kern w:val="44"/>
      <w:sz w:val="44"/>
      <w:szCs w:val="44"/>
    </w:rPr>
  </w:style>
  <w:style w:type="paragraph" w:styleId="a3">
    <w:name w:val="footer"/>
    <w:basedOn w:val="a"/>
    <w:link w:val="12"/>
    <w:uiPriority w:val="99"/>
    <w:pPr>
      <w:tabs>
        <w:tab w:val="center" w:pos="4153"/>
        <w:tab w:val="right" w:pos="8306"/>
      </w:tabs>
      <w:snapToGrid w:val="0"/>
      <w:jc w:val="left"/>
    </w:pPr>
    <w:rPr>
      <w:sz w:val="18"/>
      <w:szCs w:val="18"/>
      <w:lang w:val="x-none" w:eastAsia="x-none"/>
    </w:rPr>
  </w:style>
  <w:style w:type="character" w:customStyle="1" w:styleId="a4">
    <w:name w:val="页脚 字符"/>
    <w:basedOn w:val="a0"/>
    <w:uiPriority w:val="99"/>
    <w:semiHidden/>
    <w:rPr>
      <w:rFonts w:ascii="Times New Roman" w:eastAsia="宋体" w:hAnsi="Times New Roman" w:cs="Times New Roman"/>
      <w:sz w:val="18"/>
      <w:szCs w:val="18"/>
    </w:rPr>
  </w:style>
  <w:style w:type="character" w:customStyle="1" w:styleId="12">
    <w:name w:val="页脚 字符1"/>
    <w:link w:val="a3"/>
    <w:uiPriority w:val="99"/>
    <w:rPr>
      <w:rFonts w:ascii="Times New Roman" w:eastAsia="宋体" w:hAnsi="Times New Roman" w:cs="Times New Roman"/>
      <w:sz w:val="18"/>
      <w:szCs w:val="18"/>
      <w:lang w:val="x-none" w:eastAsia="x-none"/>
    </w:rPr>
  </w:style>
  <w:style w:type="character" w:styleId="a5">
    <w:name w:val="page number"/>
    <w:basedOn w:val="a0"/>
  </w:style>
  <w:style w:type="paragraph" w:styleId="a6">
    <w:name w:val="Body Text"/>
    <w:aliases w:val="正文文字,正文文字 + 仿宋_GB2312,(符号) 华文仿宋,加宽量  0.2 磅 + 仿宋_GB2312,段前: 0 磅,加... + 仿宋_GB23..."/>
    <w:basedOn w:val="a"/>
    <w:link w:val="13"/>
    <w:pPr>
      <w:spacing w:before="120" w:line="360" w:lineRule="auto"/>
    </w:pPr>
    <w:rPr>
      <w:sz w:val="28"/>
    </w:rPr>
  </w:style>
  <w:style w:type="character" w:customStyle="1" w:styleId="a7">
    <w:name w:val="正文文本 字符"/>
    <w:basedOn w:val="a0"/>
    <w:uiPriority w:val="99"/>
    <w:semiHidden/>
    <w:rPr>
      <w:rFonts w:ascii="Times New Roman" w:eastAsia="宋体" w:hAnsi="Times New Roman" w:cs="Times New Roman"/>
      <w:szCs w:val="20"/>
    </w:rPr>
  </w:style>
  <w:style w:type="character" w:customStyle="1" w:styleId="13">
    <w:name w:val="正文文本 字符1"/>
    <w:aliases w:val="正文文字 字符,正文文字 + 仿宋_GB2312 字符,(符号) 华文仿宋 字符,加宽量  0.2 磅 + 仿宋_GB2312 字符,段前: 0 磅 字符,加... + 仿宋_GB23... 字符"/>
    <w:basedOn w:val="a0"/>
    <w:link w:val="a6"/>
    <w:rPr>
      <w:rFonts w:ascii="Times New Roman" w:eastAsia="宋体" w:hAnsi="Times New Roman" w:cs="Times New Roman"/>
      <w:sz w:val="28"/>
      <w:szCs w:val="20"/>
    </w:rPr>
  </w:style>
  <w:style w:type="paragraph" w:styleId="a8">
    <w:name w:val="header"/>
    <w:basedOn w:val="a"/>
    <w:link w:val="14"/>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uiPriority w:val="99"/>
    <w:semiHidden/>
    <w:rPr>
      <w:rFonts w:ascii="Times New Roman" w:eastAsia="宋体" w:hAnsi="Times New Roman" w:cs="Times New Roman"/>
      <w:sz w:val="18"/>
      <w:szCs w:val="18"/>
    </w:rPr>
  </w:style>
  <w:style w:type="character" w:customStyle="1" w:styleId="14">
    <w:name w:val="页眉 字符1"/>
    <w:basedOn w:val="a0"/>
    <w:link w:val="a8"/>
    <w:uiPriority w:val="99"/>
    <w:rPr>
      <w:rFonts w:ascii="Times New Roman" w:eastAsia="宋体" w:hAnsi="Times New Roman" w:cs="Times New Roman"/>
      <w:sz w:val="18"/>
      <w:szCs w:val="18"/>
    </w:rPr>
  </w:style>
  <w:style w:type="paragraph" w:customStyle="1" w:styleId="aa">
    <w:basedOn w:val="a"/>
    <w:next w:val="a"/>
    <w:autoRedefine/>
    <w:uiPriority w:val="39"/>
    <w:pPr>
      <w:spacing w:before="120" w:after="120"/>
      <w:jc w:val="left"/>
    </w:pPr>
    <w:rPr>
      <w:b/>
      <w:bCs/>
      <w:caps/>
      <w:sz w:val="20"/>
    </w:rPr>
  </w:style>
  <w:style w:type="character" w:styleId="ab">
    <w:name w:val="Hyperlink"/>
    <w:basedOn w:val="a0"/>
    <w:uiPriority w:val="99"/>
    <w:rPr>
      <w:color w:val="0000FF"/>
      <w:u w:val="single"/>
    </w:rPr>
  </w:style>
  <w:style w:type="paragraph" w:styleId="ac">
    <w:name w:val="Title"/>
    <w:basedOn w:val="a"/>
    <w:next w:val="a"/>
    <w:link w:val="15"/>
    <w:qFormat/>
    <w:pPr>
      <w:spacing w:before="240" w:after="60"/>
      <w:jc w:val="center"/>
      <w:outlineLvl w:val="0"/>
    </w:pPr>
    <w:rPr>
      <w:rFonts w:ascii="Cambria" w:hAnsi="Cambria"/>
      <w:b/>
      <w:bCs/>
      <w:sz w:val="32"/>
      <w:szCs w:val="32"/>
    </w:rPr>
  </w:style>
  <w:style w:type="character" w:customStyle="1" w:styleId="ad">
    <w:name w:val="标题 字符"/>
    <w:basedOn w:val="a0"/>
    <w:uiPriority w:val="10"/>
    <w:rPr>
      <w:rFonts w:asciiTheme="majorHAnsi" w:eastAsiaTheme="majorEastAsia" w:hAnsiTheme="majorHAnsi" w:cstheme="majorBidi"/>
      <w:b/>
      <w:bCs/>
      <w:sz w:val="32"/>
      <w:szCs w:val="32"/>
    </w:rPr>
  </w:style>
  <w:style w:type="character" w:customStyle="1" w:styleId="15">
    <w:name w:val="标题 字符1"/>
    <w:basedOn w:val="a0"/>
    <w:link w:val="ac"/>
    <w:rPr>
      <w:rFonts w:ascii="Cambria" w:eastAsia="宋体" w:hAnsi="Cambria" w:cs="Times New Roman"/>
      <w:b/>
      <w:bCs/>
      <w:sz w:val="32"/>
      <w:szCs w:val="32"/>
    </w:rPr>
  </w:style>
  <w:style w:type="paragraph" w:styleId="TOC1">
    <w:name w:val="toc 1"/>
    <w:basedOn w:val="a"/>
    <w:next w:val="a"/>
    <w:autoRedefine/>
    <w:uiPriority w:val="39"/>
    <w:unhideWhenUsed/>
    <w:pPr>
      <w:tabs>
        <w:tab w:val="right" w:leader="dot" w:pos="8963"/>
      </w:tabs>
      <w:spacing w:line="480" w:lineRule="auto"/>
    </w:pPr>
  </w:style>
  <w:style w:type="paragraph" w:styleId="ae">
    <w:name w:val="List Paragraph"/>
    <w:basedOn w:val="a"/>
    <w:uiPriority w:val="34"/>
    <w:qFormat/>
    <w:pPr>
      <w:ind w:firstLineChars="200" w:firstLine="420"/>
    </w:pPr>
  </w:style>
  <w:style w:type="character" w:customStyle="1" w:styleId="Char">
    <w:name w:val="标题 Char"/>
    <w:basedOn w:val="a0"/>
    <w:rPr>
      <w:rFonts w:ascii="Cambria" w:hAnsi="Cambria"/>
      <w:b/>
      <w:bCs/>
      <w:kern w:val="2"/>
      <w:sz w:val="32"/>
      <w:szCs w:val="32"/>
    </w:rPr>
  </w:style>
  <w:style w:type="paragraph" w:styleId="af">
    <w:name w:val="Normal Indent"/>
    <w:basedOn w:val="a"/>
    <w:pPr>
      <w:ind w:firstLine="4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650387">
      <w:bodyDiv w:val="1"/>
      <w:marLeft w:val="0"/>
      <w:marRight w:val="0"/>
      <w:marTop w:val="0"/>
      <w:marBottom w:val="0"/>
      <w:divBdr>
        <w:top w:val="none" w:sz="0" w:space="0" w:color="auto"/>
        <w:left w:val="none" w:sz="0" w:space="0" w:color="auto"/>
        <w:bottom w:val="none" w:sz="0" w:space="0" w:color="auto"/>
        <w:right w:val="none" w:sz="0" w:space="0" w:color="auto"/>
      </w:divBdr>
    </w:div>
    <w:div w:id="761486873">
      <w:bodyDiv w:val="1"/>
      <w:marLeft w:val="0"/>
      <w:marRight w:val="0"/>
      <w:marTop w:val="0"/>
      <w:marBottom w:val="0"/>
      <w:divBdr>
        <w:top w:val="none" w:sz="0" w:space="0" w:color="auto"/>
        <w:left w:val="none" w:sz="0" w:space="0" w:color="auto"/>
        <w:bottom w:val="none" w:sz="0" w:space="0" w:color="auto"/>
        <w:right w:val="none" w:sz="0" w:space="0" w:color="auto"/>
      </w:divBdr>
    </w:div>
    <w:div w:id="1061169535">
      <w:bodyDiv w:val="1"/>
      <w:marLeft w:val="0"/>
      <w:marRight w:val="0"/>
      <w:marTop w:val="0"/>
      <w:marBottom w:val="0"/>
      <w:divBdr>
        <w:top w:val="none" w:sz="0" w:space="0" w:color="auto"/>
        <w:left w:val="none" w:sz="0" w:space="0" w:color="auto"/>
        <w:bottom w:val="none" w:sz="0" w:space="0" w:color="auto"/>
        <w:right w:val="none" w:sz="0" w:space="0" w:color="auto"/>
      </w:divBdr>
    </w:div>
    <w:div w:id="1196575053">
      <w:bodyDiv w:val="1"/>
      <w:marLeft w:val="0"/>
      <w:marRight w:val="0"/>
      <w:marTop w:val="0"/>
      <w:marBottom w:val="0"/>
      <w:divBdr>
        <w:top w:val="none" w:sz="0" w:space="0" w:color="auto"/>
        <w:left w:val="none" w:sz="0" w:space="0" w:color="auto"/>
        <w:bottom w:val="none" w:sz="0" w:space="0" w:color="auto"/>
        <w:right w:val="none" w:sz="0" w:space="0" w:color="auto"/>
      </w:divBdr>
    </w:div>
    <w:div w:id="1464614922">
      <w:bodyDiv w:val="1"/>
      <w:marLeft w:val="0"/>
      <w:marRight w:val="0"/>
      <w:marTop w:val="0"/>
      <w:marBottom w:val="0"/>
      <w:divBdr>
        <w:top w:val="none" w:sz="0" w:space="0" w:color="auto"/>
        <w:left w:val="none" w:sz="0" w:space="0" w:color="auto"/>
        <w:bottom w:val="none" w:sz="0" w:space="0" w:color="auto"/>
        <w:right w:val="none" w:sz="0" w:space="0" w:color="auto"/>
      </w:divBdr>
    </w:div>
    <w:div w:id="1541241409">
      <w:bodyDiv w:val="1"/>
      <w:marLeft w:val="0"/>
      <w:marRight w:val="0"/>
      <w:marTop w:val="0"/>
      <w:marBottom w:val="0"/>
      <w:divBdr>
        <w:top w:val="none" w:sz="0" w:space="0" w:color="auto"/>
        <w:left w:val="none" w:sz="0" w:space="0" w:color="auto"/>
        <w:bottom w:val="none" w:sz="0" w:space="0" w:color="auto"/>
        <w:right w:val="none" w:sz="0" w:space="0" w:color="auto"/>
      </w:divBdr>
    </w:div>
    <w:div w:id="174988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8A0F0-84B9-4ACD-B8C4-D7AFE368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1457</Words>
  <Characters>8306</Characters>
  <Application>Microsoft Office Word</Application>
  <DocSecurity>0</DocSecurity>
  <Lines>69</Lines>
  <Paragraphs>19</Paragraphs>
  <ScaleCrop>false</ScaleCrop>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志军</dc:creator>
  <cp:keywords/>
  <dc:description/>
  <cp:lastModifiedBy>Lzj</cp:lastModifiedBy>
  <cp:revision>2</cp:revision>
  <cp:lastPrinted>2022-01-27T03:19:00Z</cp:lastPrinted>
  <dcterms:created xsi:type="dcterms:W3CDTF">2022-02-10T07:51:00Z</dcterms:created>
  <dcterms:modified xsi:type="dcterms:W3CDTF">2022-02-10T07:51:00Z</dcterms:modified>
</cp:coreProperties>
</file>