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eastAsia="zh-CN"/>
        </w:rPr>
      </w:pPr>
      <w:r>
        <w:rPr>
          <w:rFonts w:hint="eastAsia" w:ascii="仿宋" w:hAnsi="仿宋" w:eastAsia="仿宋" w:cs="仿宋"/>
          <w:b/>
          <w:bCs w:val="0"/>
          <w:color w:val="auto"/>
          <w:sz w:val="52"/>
          <w:szCs w:val="52"/>
          <w:lang w:val="en-US" w:eastAsia="zh-CN"/>
        </w:rPr>
        <w:t>毓秀新城、毓秀花园涉案</w:t>
      </w:r>
      <w:r>
        <w:rPr>
          <w:rFonts w:hint="eastAsia" w:ascii="仿宋" w:hAnsi="仿宋" w:eastAsia="仿宋" w:cs="仿宋"/>
          <w:b/>
          <w:color w:val="auto"/>
          <w:sz w:val="52"/>
          <w:szCs w:val="52"/>
          <w:lang w:val="en-US" w:eastAsia="zh-CN"/>
        </w:rPr>
        <w:t>房地产     价格评估报告</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auto"/>
          <w:sz w:val="28"/>
          <w:szCs w:val="28"/>
          <w:u w:val="single"/>
          <w:lang w:eastAsia="zh-CN"/>
        </w:rPr>
        <w:t>本价评</w:t>
      </w:r>
      <w:r>
        <w:rPr>
          <w:rFonts w:hint="eastAsia" w:ascii="仿宋" w:hAnsi="仿宋" w:eastAsia="仿宋"/>
          <w:b/>
          <w:bCs w:val="0"/>
          <w:color w:val="auto"/>
          <w:sz w:val="28"/>
          <w:szCs w:val="28"/>
          <w:u w:val="single"/>
          <w:lang w:val="en-US" w:eastAsia="zh-CN"/>
        </w:rPr>
        <w:t>[2021]第4208042号</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b/>
          <w:color w:val="auto"/>
          <w:sz w:val="30"/>
          <w:szCs w:val="30"/>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二一年十一月二十九</w:t>
      </w:r>
      <w:r>
        <w:rPr>
          <w:rFonts w:hint="eastAsia" w:ascii="仿宋" w:hAnsi="仿宋" w:eastAsia="仿宋" w:cs="仿宋"/>
          <w:b/>
          <w:bCs/>
          <w:color w:val="auto"/>
          <w:sz w:val="30"/>
          <w:szCs w:val="30"/>
          <w:lang w:val="en-US" w:eastAsia="zh-CN"/>
        </w:rPr>
        <w:t>日</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r>
        <w:rPr>
          <w:rFonts w:hint="eastAsia" w:ascii="仿宋" w:hAnsi="仿宋" w:eastAsia="仿宋"/>
          <w:b/>
          <w:color w:val="auto"/>
          <w:sz w:val="48"/>
          <w:szCs w:val="48"/>
        </w:rPr>
        <w:t>声 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olor w:val="auto"/>
          <w:sz w:val="30"/>
          <w:szCs w:val="30"/>
        </w:rPr>
      </w:pP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人员对纳入价格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范围的委</w:t>
      </w:r>
      <w:r>
        <w:rPr>
          <w:rFonts w:hint="eastAsia" w:ascii="仿宋" w:hAnsi="仿宋" w:eastAsia="仿宋" w:cs="仿宋"/>
          <w:color w:val="auto"/>
          <w:sz w:val="30"/>
          <w:szCs w:val="30"/>
          <w:lang w:val="en-US" w:eastAsia="zh-CN"/>
        </w:rPr>
        <w:t>托标的</w:t>
      </w:r>
      <w:r>
        <w:rPr>
          <w:rFonts w:hint="eastAsia" w:ascii="仿宋" w:hAnsi="仿宋" w:eastAsia="仿宋" w:cs="仿宋"/>
          <w:color w:val="auto"/>
          <w:sz w:val="30"/>
          <w:szCs w:val="30"/>
        </w:rPr>
        <w:t>进行了认真的核实、依据操作规程评定估算等必要</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程序的基础上作出的，针对本</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报告，特作如下声明：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一、我们在执行本</w:t>
      </w:r>
      <w:r>
        <w:rPr>
          <w:rFonts w:hint="eastAsia" w:ascii="仿宋" w:hAnsi="仿宋" w:eastAsia="仿宋" w:cs="仿宋"/>
          <w:color w:val="auto"/>
          <w:sz w:val="30"/>
          <w:szCs w:val="30"/>
          <w:lang w:eastAsia="zh-CN"/>
        </w:rPr>
        <w:t>价格评估</w:t>
      </w:r>
      <w:r>
        <w:rPr>
          <w:rFonts w:hint="eastAsia" w:ascii="仿宋" w:hAnsi="仿宋" w:eastAsia="仿宋" w:cs="仿宋"/>
          <w:color w:val="auto"/>
          <w:sz w:val="30"/>
          <w:szCs w:val="30"/>
        </w:rPr>
        <w:t>业务中，遵循了相关法律法规和</w:t>
      </w:r>
      <w:r>
        <w:rPr>
          <w:rFonts w:hint="eastAsia" w:ascii="仿宋" w:hAnsi="仿宋" w:eastAsia="仿宋" w:cs="仿宋"/>
          <w:color w:val="auto"/>
          <w:sz w:val="30"/>
          <w:szCs w:val="30"/>
          <w:lang w:eastAsia="zh-CN"/>
        </w:rPr>
        <w:t>价格</w:t>
      </w:r>
      <w:r>
        <w:rPr>
          <w:rFonts w:hint="eastAsia" w:ascii="仿宋" w:hAnsi="仿宋" w:eastAsia="仿宋" w:cs="仿宋"/>
          <w:color w:val="auto"/>
          <w:sz w:val="30"/>
          <w:szCs w:val="30"/>
        </w:rPr>
        <w:t>评估准则，恪守了独立、客观和公正的原则。根据执业过程中收集的资料，</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报告陈述的内容是客观的，并对</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结论合理性承担相应的法律责任。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对象涉及的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数据清单</w:t>
      </w:r>
      <w:r>
        <w:rPr>
          <w:rFonts w:hint="eastAsia" w:ascii="仿宋" w:hAnsi="仿宋" w:eastAsia="仿宋" w:cs="仿宋"/>
          <w:color w:val="auto"/>
          <w:sz w:val="30"/>
          <w:szCs w:val="30"/>
          <w:lang w:val="en-US" w:eastAsia="zh-CN"/>
        </w:rPr>
        <w:t>由资料提供方提供</w:t>
      </w:r>
      <w:r>
        <w:rPr>
          <w:rFonts w:hint="eastAsia" w:ascii="仿宋" w:hAnsi="仿宋" w:eastAsia="仿宋" w:cs="仿宋"/>
          <w:color w:val="auto"/>
          <w:sz w:val="30"/>
          <w:szCs w:val="30"/>
        </w:rPr>
        <w:t>并经其签章确认；提供必要资料并保证所提供资料的真实性、合法性、完整性以及恰当使用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报告是委托方和相关当事方的责任。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三、我们与价格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报告中的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四、我们及其所在机构具备本价格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业务所需的执业资质和相关专业价格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经验，本价格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报告没有利用其他机构报告的情形。</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b/>
          <w:color w:val="auto"/>
          <w:sz w:val="48"/>
          <w:szCs w:val="48"/>
        </w:rPr>
      </w:pPr>
      <w:r>
        <w:rPr>
          <w:rFonts w:hint="eastAsia" w:ascii="仿宋" w:hAnsi="仿宋" w:eastAsia="仿宋" w:cs="仿宋"/>
          <w:color w:val="auto"/>
          <w:spacing w:val="0"/>
          <w:kern w:val="0"/>
          <w:sz w:val="30"/>
          <w:szCs w:val="30"/>
        </w:rPr>
        <w:t>五、我们已对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报告中的</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产进行了现场调查；已对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产的法律权属状况给予必要的关注，对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产的法律权属资料进行了</w:t>
      </w:r>
      <w:r>
        <w:rPr>
          <w:rFonts w:hint="eastAsia" w:ascii="仿宋" w:hAnsi="仿宋" w:eastAsia="仿宋" w:cs="仿宋"/>
          <w:color w:val="auto"/>
          <w:spacing w:val="0"/>
          <w:kern w:val="0"/>
          <w:sz w:val="30"/>
          <w:szCs w:val="30"/>
          <w:lang w:eastAsia="zh-CN"/>
        </w:rPr>
        <w:t>查验</w:t>
      </w:r>
      <w:r>
        <w:rPr>
          <w:rFonts w:hint="eastAsia" w:ascii="仿宋" w:hAnsi="仿宋" w:eastAsia="仿宋" w:cs="仿宋"/>
          <w:color w:val="auto"/>
          <w:spacing w:val="0"/>
          <w:kern w:val="0"/>
          <w:sz w:val="30"/>
          <w:szCs w:val="30"/>
        </w:rPr>
        <w:t>。</w:t>
      </w:r>
    </w:p>
    <w:p>
      <w:pPr>
        <w:keepNext w:val="0"/>
        <w:keepLines w:val="0"/>
        <w:pageBreakBefore w:val="0"/>
        <w:kinsoku/>
        <w:wordWrap/>
        <w:overflowPunct/>
        <w:topLinePunct w:val="0"/>
        <w:bidi w:val="0"/>
        <w:spacing w:line="360" w:lineRule="auto"/>
        <w:jc w:val="center"/>
        <w:textAlignment w:val="auto"/>
        <w:rPr>
          <w:rStyle w:val="9"/>
          <w:rFonts w:hint="eastAsia" w:ascii="仿宋" w:hAnsi="仿宋" w:eastAsia="仿宋"/>
          <w:b/>
          <w:color w:val="auto"/>
          <w:sz w:val="48"/>
          <w:szCs w:val="48"/>
        </w:rPr>
      </w:pPr>
      <w:r>
        <w:rPr>
          <w:rFonts w:hint="eastAsia" w:ascii="仿宋" w:hAnsi="仿宋" w:eastAsia="仿宋"/>
          <w:b/>
          <w:color w:val="auto"/>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9"/>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，遵循依法、公正、科学、效率的原则，按照规定的标准、程序和方法，</w:t>
      </w:r>
      <w:r>
        <w:rPr>
          <w:rFonts w:hint="eastAsia" w:ascii="仿宋" w:hAnsi="仿宋" w:eastAsia="仿宋" w:cs="仿宋"/>
          <w:color w:val="auto"/>
          <w:sz w:val="30"/>
          <w:szCs w:val="30"/>
          <w:lang w:eastAsia="zh-CN"/>
        </w:rPr>
        <w:t>对董得斌所有的位于京山市新市镇惠山北路</w:t>
      </w:r>
      <w:r>
        <w:rPr>
          <w:rFonts w:hint="eastAsia" w:ascii="仿宋" w:hAnsi="仿宋" w:eastAsia="仿宋" w:cs="仿宋"/>
          <w:color w:val="auto"/>
          <w:sz w:val="30"/>
          <w:szCs w:val="30"/>
          <w:lang w:val="en-US" w:eastAsia="zh-CN"/>
        </w:rPr>
        <w:t>32号7幢1单元1层101室房屋和黄强所有的位于京山市毓秀新城2号楼幢1单元1602室房屋的价值</w:t>
      </w:r>
      <w:r>
        <w:rPr>
          <w:rFonts w:hint="eastAsia" w:ascii="仿宋" w:hAnsi="仿宋" w:eastAsia="仿宋" w:cs="仿宋"/>
          <w:color w:val="auto"/>
          <w:sz w:val="30"/>
          <w:szCs w:val="30"/>
          <w:lang w:eastAsia="zh-CN"/>
        </w:rPr>
        <w:t>进行了评估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情况及结果报告如下：</w:t>
      </w:r>
      <w:r>
        <w:rPr>
          <w:rStyle w:val="9"/>
          <w:rFonts w:hint="eastAsia" w:ascii="仿宋" w:hAnsi="仿宋" w:eastAsia="仿宋" w:cs="仿宋"/>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目的</w:t>
      </w:r>
      <w:r>
        <w:rPr>
          <w:rStyle w:val="9"/>
          <w:rFonts w:hint="eastAsia" w:ascii="仿宋" w:hAnsi="仿宋" w:eastAsia="仿宋" w:cs="仿宋"/>
          <w:b/>
          <w:bCs/>
          <w:color w:val="auto"/>
          <w:sz w:val="30"/>
          <w:szCs w:val="30"/>
        </w:rPr>
        <w:t>：</w:t>
      </w: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default" w:ascii="仿宋" w:hAnsi="仿宋" w:eastAsia="仿宋" w:cs="仿宋"/>
          <w:color w:val="auto"/>
          <w:sz w:val="30"/>
          <w:szCs w:val="30"/>
          <w:lang w:val="en-US"/>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对象和</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范围</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rPr>
        <w:t>本次价格评估对象为有形财产价格，</w:t>
      </w:r>
      <w:r>
        <w:rPr>
          <w:rFonts w:hint="eastAsia" w:ascii="仿宋" w:hAnsi="仿宋" w:eastAsia="仿宋" w:cs="仿宋"/>
          <w:color w:val="auto"/>
          <w:sz w:val="30"/>
          <w:szCs w:val="30"/>
          <w:lang w:val="en-US" w:eastAsia="zh-CN"/>
        </w:rPr>
        <w:t>评估范围为</w:t>
      </w:r>
      <w:r>
        <w:rPr>
          <w:rFonts w:hint="eastAsia" w:ascii="仿宋" w:hAnsi="仿宋" w:eastAsia="仿宋" w:cs="仿宋"/>
          <w:color w:val="auto"/>
          <w:sz w:val="30"/>
          <w:szCs w:val="30"/>
          <w:lang w:eastAsia="zh-CN"/>
        </w:rPr>
        <w:t>董得斌所有的位于京山市新市镇惠山北路</w:t>
      </w:r>
      <w:r>
        <w:rPr>
          <w:rFonts w:hint="eastAsia" w:ascii="仿宋" w:hAnsi="仿宋" w:eastAsia="仿宋" w:cs="仿宋"/>
          <w:color w:val="auto"/>
          <w:sz w:val="30"/>
          <w:szCs w:val="30"/>
          <w:lang w:val="en-US" w:eastAsia="zh-CN"/>
        </w:rPr>
        <w:t xml:space="preserve">32号7幢1单元1层101室房屋和黄强所有的位于京山市毓秀新城2号楼幢1单元1602室房屋。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评估基准日</w:t>
      </w:r>
      <w:r>
        <w:rPr>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2021年11月25日（现场勘验时间）。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方法：</w:t>
      </w:r>
      <w:r>
        <w:rPr>
          <w:rFonts w:hint="eastAsia" w:ascii="仿宋" w:hAnsi="仿宋" w:eastAsia="仿宋" w:cs="仿宋"/>
          <w:color w:val="auto"/>
          <w:sz w:val="30"/>
          <w:szCs w:val="30"/>
        </w:rPr>
        <w:t>市场法</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价格定义</w:t>
      </w:r>
      <w:r>
        <w:rPr>
          <w:rFonts w:hint="eastAsia" w:ascii="仿宋" w:hAnsi="仿宋" w:eastAsia="仿宋" w:cs="仿宋"/>
          <w:b/>
          <w:bCs/>
          <w:color w:val="auto"/>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结论</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董得斌所有的位于京山市新市镇惠山北路</w:t>
      </w:r>
      <w:r>
        <w:rPr>
          <w:rFonts w:hint="eastAsia" w:ascii="仿宋" w:hAnsi="仿宋" w:eastAsia="仿宋" w:cs="仿宋"/>
          <w:color w:val="auto"/>
          <w:sz w:val="30"/>
          <w:szCs w:val="30"/>
          <w:lang w:val="en-US" w:eastAsia="zh-CN"/>
        </w:rPr>
        <w:t>32号7幢1单元1层101室房屋在2021年11月25日的评估价格为￥574905元（大写人民币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155000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伍拾柒万肆仟玖佰零伍元整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2）黄强所有的位于京山市毓秀新城2号楼幢1单元1602室房屋在2021年11月25日的评估价格为￥873381元（大写人民币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155000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捌拾柒万叁仟叁佰捌拾壹元整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1、对存在的可能影响</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值的瑕疵事项，在委托时未作特殊说明而价格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人员执行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程序一般不能获知的情况下，</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机构及</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2、报告中的分析、意见和结论只在报告阐明的假设前提和限制条件下有效，它们代表价格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25</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24</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rPr>
        <w:t>以上内容摘自</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报告正文，欲了解本</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项目的详细情况和合理理解</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结论，应当阅读</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pict>
          <v:shape id="_x0000_s1026" o:spid="_x0000_s1026" o:spt="136" type="#_x0000_t136" style="position:absolute;left:0pt;margin-left:-0.4pt;margin-top:15.7pt;height:52.25pt;width:421.5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hAnsi="仿宋_GB2312" w:eastAsia="仿宋_GB2312" w:cs="仿宋_GB2312"/>
          <w:bCs/>
          <w:color w:val="auto"/>
          <w:sz w:val="28"/>
          <w:szCs w:val="28"/>
          <w:lang w:val="zh-CN"/>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lang w:eastAsia="zh-CN"/>
        </w:rPr>
        <w:t>本价评</w:t>
      </w:r>
      <w:r>
        <w:rPr>
          <w:rFonts w:hint="eastAsia" w:ascii="仿宋_GB2312" w:hAnsi="仿宋_GB2312" w:eastAsia="仿宋_GB2312" w:cs="仿宋_GB2312"/>
          <w:bCs/>
          <w:color w:val="auto"/>
          <w:sz w:val="28"/>
          <w:szCs w:val="28"/>
        </w:rPr>
        <w:t>[20</w:t>
      </w:r>
      <w:r>
        <w:rPr>
          <w:rFonts w:hint="eastAsia" w:ascii="仿宋_GB2312" w:hAnsi="仿宋_GB2312" w:eastAsia="仿宋_GB2312" w:cs="仿宋_GB2312"/>
          <w:bCs/>
          <w:color w:val="auto"/>
          <w:sz w:val="28"/>
          <w:szCs w:val="28"/>
          <w:lang w:val="en-US" w:eastAsia="zh-CN"/>
        </w:rPr>
        <w:t>21</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4208042</w:t>
      </w:r>
      <w:r>
        <w:rPr>
          <w:rFonts w:hint="eastAsia" w:ascii="仿宋_GB2312" w:hAnsi="仿宋_GB2312" w:eastAsia="仿宋_GB2312" w:cs="仿宋_GB2312"/>
          <w:bCs/>
          <w:color w:val="auto"/>
          <w:sz w:val="28"/>
          <w:szCs w:val="28"/>
          <w:lang w:val="zh-CN"/>
        </w:rPr>
        <w:t>号</w:t>
      </w:r>
    </w:p>
    <w:p>
      <w:pPr>
        <w:keepNext w:val="0"/>
        <w:keepLines w:val="0"/>
        <w:pageBreakBefore w:val="0"/>
        <w:kinsoku/>
        <w:wordWrap/>
        <w:overflowPunct/>
        <w:topLinePunct w:val="0"/>
        <w:bidi w:val="0"/>
        <w:spacing w:line="360" w:lineRule="auto"/>
        <w:ind w:right="-13"/>
        <w:jc w:val="center"/>
        <w:textAlignment w:val="auto"/>
        <w:rPr>
          <w:rFonts w:hint="eastAsia" w:ascii="仿宋_GB2312" w:hAnsi="仿宋_GB2312" w:eastAsia="仿宋_GB2312" w:cs="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eastAsia="zh-CN"/>
        </w:rPr>
      </w:pPr>
      <w:r>
        <w:rPr>
          <w:rFonts w:hint="eastAsia" w:ascii="仿宋" w:hAnsi="仿宋" w:eastAsia="仿宋" w:cs="仿宋"/>
          <w:b/>
          <w:color w:val="auto"/>
          <w:sz w:val="48"/>
          <w:szCs w:val="48"/>
          <w:lang w:val="en-US" w:eastAsia="zh-CN"/>
        </w:rPr>
        <w:t>毓秀新城、毓秀花园涉案房地产      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的委托，遵循</w:t>
      </w:r>
      <w:r>
        <w:rPr>
          <w:rFonts w:hint="eastAsia" w:ascii="仿宋" w:hAnsi="仿宋" w:eastAsia="仿宋" w:cs="仿宋"/>
          <w:color w:val="auto"/>
          <w:sz w:val="30"/>
          <w:szCs w:val="30"/>
          <w:lang w:eastAsia="zh-CN"/>
        </w:rPr>
        <w:t>依法、公正、科学、</w:t>
      </w:r>
      <w:r>
        <w:rPr>
          <w:rFonts w:hint="eastAsia" w:ascii="仿宋" w:hAnsi="仿宋" w:eastAsia="仿宋" w:cs="仿宋"/>
          <w:color w:val="auto"/>
          <w:sz w:val="30"/>
          <w:szCs w:val="30"/>
        </w:rPr>
        <w:t>效率的原则，按照规定的标准、程序和方法，</w:t>
      </w:r>
      <w:r>
        <w:rPr>
          <w:rFonts w:hint="eastAsia" w:ascii="仿宋" w:hAnsi="仿宋" w:eastAsia="仿宋" w:cs="仿宋"/>
          <w:color w:val="auto"/>
          <w:sz w:val="30"/>
          <w:szCs w:val="30"/>
          <w:lang w:eastAsia="zh-CN"/>
        </w:rPr>
        <w:t>对贵院出具的《鉴定委托书》</w:t>
      </w:r>
      <w:r>
        <w:rPr>
          <w:rFonts w:hint="eastAsia" w:ascii="仿宋" w:hAnsi="仿宋" w:eastAsia="仿宋" w:cs="仿宋"/>
          <w:color w:val="auto"/>
          <w:sz w:val="30"/>
          <w:szCs w:val="30"/>
          <w:lang w:val="en-US" w:eastAsia="zh-CN"/>
        </w:rPr>
        <w:t>[京法鉴委（2021）特28号]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w:t>
      </w:r>
      <w:r>
        <w:rPr>
          <w:rFonts w:hint="eastAsia" w:ascii="仿宋" w:hAnsi="仿宋" w:eastAsia="仿宋" w:cs="仿宋"/>
          <w:color w:val="auto"/>
          <w:sz w:val="30"/>
          <w:szCs w:val="30"/>
          <w:lang w:eastAsia="zh-CN"/>
        </w:rPr>
        <w:t>及评估结果报告如</w:t>
      </w:r>
      <w:r>
        <w:rPr>
          <w:rFonts w:hint="eastAsia" w:ascii="仿宋" w:hAnsi="仿宋" w:eastAsia="仿宋" w:cs="仿宋"/>
          <w:color w:val="auto"/>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本次价格评估标的为：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董得斌所有的位于京山市新市镇惠山北路</w:t>
      </w:r>
      <w:r>
        <w:rPr>
          <w:rFonts w:hint="eastAsia" w:ascii="仿宋" w:hAnsi="仿宋" w:eastAsia="仿宋" w:cs="仿宋"/>
          <w:color w:val="auto"/>
          <w:sz w:val="30"/>
          <w:szCs w:val="30"/>
          <w:lang w:val="en-US" w:eastAsia="zh-CN"/>
        </w:rPr>
        <w:t>32号7幢1单元1层101室房屋，</w:t>
      </w:r>
      <w:r>
        <w:rPr>
          <w:rFonts w:hint="eastAsia" w:ascii="仿宋" w:hAnsi="仿宋" w:eastAsia="仿宋" w:cs="仿宋"/>
          <w:b w:val="0"/>
          <w:bCs/>
          <w:color w:val="auto"/>
          <w:sz w:val="30"/>
          <w:szCs w:val="30"/>
          <w:lang w:val="en-US" w:eastAsia="zh-CN"/>
        </w:rPr>
        <w:t>建筑面积129.12㎡；</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rPr>
      </w:pPr>
      <w:r>
        <w:rPr>
          <w:rFonts w:hint="eastAsia" w:ascii="仿宋" w:hAnsi="仿宋" w:eastAsia="仿宋" w:cs="仿宋"/>
          <w:color w:val="auto"/>
          <w:sz w:val="30"/>
          <w:szCs w:val="30"/>
          <w:lang w:val="en-US" w:eastAsia="zh-CN"/>
        </w:rPr>
        <w:t>黄强所有的位于京山市毓秀新城2号楼幢1单元1602室房屋，</w:t>
      </w:r>
      <w:r>
        <w:rPr>
          <w:rFonts w:hint="eastAsia" w:ascii="仿宋" w:hAnsi="仿宋" w:eastAsia="仿宋" w:cs="仿宋"/>
          <w:b w:val="0"/>
          <w:bCs/>
          <w:color w:val="auto"/>
          <w:sz w:val="30"/>
          <w:szCs w:val="30"/>
          <w:lang w:val="en-US" w:eastAsia="zh-CN"/>
        </w:rPr>
        <w:t>建筑面积为162.34㎡。</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二、价格评估目的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2021年11月25日(现场勘验时间)。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五、</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3、《中华人民共和国城市房地产管理法》；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《房地产</w:t>
      </w:r>
      <w:r>
        <w:rPr>
          <w:rFonts w:hint="eastAsia" w:ascii="仿宋" w:hAnsi="仿宋" w:eastAsia="仿宋" w:cs="仿宋"/>
          <w:color w:val="auto"/>
          <w:sz w:val="30"/>
          <w:szCs w:val="30"/>
          <w:lang w:eastAsia="zh-CN"/>
        </w:rPr>
        <w:t>估价</w:t>
      </w:r>
      <w:r>
        <w:rPr>
          <w:rFonts w:hint="eastAsia" w:ascii="仿宋" w:hAnsi="仿宋" w:eastAsia="仿宋" w:cs="仿宋"/>
          <w:color w:val="auto"/>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5、《不动产价格鉴证评估技术规范》；</w:t>
      </w:r>
    </w:p>
    <w:p>
      <w:pPr>
        <w:keepNext w:val="0"/>
        <w:keepLines w:val="0"/>
        <w:pageBreakBefore w:val="0"/>
        <w:numPr>
          <w:ilvl w:val="0"/>
          <w:numId w:val="0"/>
        </w:numPr>
        <w:kinsoku/>
        <w:wordWrap/>
        <w:overflowPunct/>
        <w:topLinePunct w:val="0"/>
        <w:autoSpaceDE/>
        <w:autoSpaceDN/>
        <w:bidi w:val="0"/>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6、《湖北省涉案财物价格鉴证操作规程》；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7、《价格鉴证评估行为指南》；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、《价格评估</w:t>
      </w:r>
      <w:r>
        <w:rPr>
          <w:rFonts w:hint="eastAsia" w:ascii="仿宋" w:hAnsi="仿宋" w:eastAsia="仿宋" w:cs="仿宋"/>
          <w:color w:val="auto"/>
          <w:sz w:val="30"/>
          <w:szCs w:val="30"/>
          <w:lang w:eastAsia="zh-CN"/>
        </w:rPr>
        <w:t>专业</w:t>
      </w:r>
      <w:r>
        <w:rPr>
          <w:rFonts w:hint="eastAsia" w:ascii="仿宋" w:hAnsi="仿宋" w:eastAsia="仿宋" w:cs="仿宋"/>
          <w:color w:val="auto"/>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、《价格鉴证评估专业技术评审工作规范》</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、其他相关法律、法规、通知文件等；</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《鉴定委托书》</w:t>
      </w:r>
      <w:r>
        <w:rPr>
          <w:rFonts w:hint="eastAsia" w:ascii="仿宋" w:hAnsi="仿宋" w:eastAsia="仿宋" w:cs="仿宋"/>
          <w:color w:val="auto"/>
          <w:sz w:val="30"/>
          <w:szCs w:val="30"/>
          <w:lang w:val="en-US" w:eastAsia="zh-CN"/>
        </w:rPr>
        <w:t>[京法鉴委（2021）特28号]</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2、委托方提供的</w:t>
      </w:r>
      <w:r>
        <w:rPr>
          <w:rFonts w:hint="eastAsia" w:ascii="仿宋" w:hAnsi="仿宋" w:eastAsia="仿宋" w:cs="仿宋"/>
          <w:color w:val="auto"/>
          <w:sz w:val="30"/>
          <w:szCs w:val="30"/>
          <w:lang w:eastAsia="zh-CN"/>
        </w:rPr>
        <w:t>房屋不动产权证</w:t>
      </w:r>
      <w:r>
        <w:rPr>
          <w:rFonts w:hint="eastAsia" w:ascii="仿宋" w:hAnsi="仿宋" w:eastAsia="仿宋" w:cs="仿宋"/>
          <w:color w:val="auto"/>
          <w:sz w:val="30"/>
          <w:szCs w:val="30"/>
        </w:rPr>
        <w:t>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六、</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rPr>
        <w:t>市场法</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价格评估</w:t>
      </w:r>
      <w:r>
        <w:rPr>
          <w:rFonts w:hint="eastAsia" w:ascii="仿宋" w:hAnsi="仿宋" w:eastAsia="仿宋" w:cs="仿宋"/>
          <w:b/>
          <w:bCs/>
          <w:color w:val="auto"/>
          <w:sz w:val="30"/>
          <w:szCs w:val="30"/>
          <w:lang w:val="en-US" w:eastAsia="zh-CN"/>
        </w:rPr>
        <w:t>程序和</w:t>
      </w:r>
      <w:r>
        <w:rPr>
          <w:rFonts w:hint="eastAsia" w:ascii="仿宋" w:hAnsi="仿宋" w:eastAsia="仿宋" w:cs="仿宋"/>
          <w:b/>
          <w:bCs/>
          <w:color w:val="auto"/>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的委托，</w:t>
      </w:r>
      <w:r>
        <w:rPr>
          <w:rFonts w:hint="eastAsia" w:ascii="仿宋" w:hAnsi="仿宋" w:eastAsia="仿宋" w:cs="仿宋"/>
          <w:color w:val="auto"/>
          <w:sz w:val="30"/>
          <w:szCs w:val="30"/>
          <w:lang w:eastAsia="zh-CN"/>
        </w:rPr>
        <w:t>对标的所列两处</w:t>
      </w:r>
      <w:r>
        <w:rPr>
          <w:rFonts w:hint="eastAsia" w:ascii="仿宋" w:hAnsi="仿宋" w:eastAsia="仿宋" w:cs="仿宋"/>
          <w:color w:val="auto"/>
          <w:sz w:val="30"/>
          <w:szCs w:val="30"/>
          <w:lang w:val="en-US" w:eastAsia="zh-CN"/>
        </w:rPr>
        <w:t>房屋</w:t>
      </w:r>
      <w:r>
        <w:rPr>
          <w:rFonts w:hint="eastAsia" w:ascii="仿宋" w:hAnsi="仿宋" w:eastAsia="仿宋" w:cs="仿宋"/>
          <w:color w:val="auto"/>
          <w:sz w:val="30"/>
          <w:szCs w:val="30"/>
          <w:lang w:eastAsia="zh-CN"/>
        </w:rPr>
        <w:t>进行价格评估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（一）初步了解此次委估财产的有关情况，明确评估目的、评估范围和评估对象，与委托方共同确定评估基准日；根据财产评估规范要求，准备资料。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公司根据评估标的组建了价格评估项目小组，并对评估标的制定了</w:t>
      </w:r>
      <w:r>
        <w:rPr>
          <w:rFonts w:hint="eastAsia" w:ascii="仿宋" w:hAnsi="仿宋" w:eastAsia="仿宋" w:cs="仿宋"/>
          <w:color w:val="auto"/>
          <w:sz w:val="30"/>
          <w:szCs w:val="30"/>
          <w:lang w:val="en-US" w:eastAsia="zh-CN"/>
        </w:rPr>
        <w:t>相应的</w:t>
      </w:r>
      <w:r>
        <w:rPr>
          <w:rFonts w:hint="eastAsia" w:ascii="仿宋" w:hAnsi="仿宋" w:eastAsia="仿宋" w:cs="仿宋"/>
          <w:color w:val="auto"/>
          <w:sz w:val="30"/>
          <w:szCs w:val="30"/>
        </w:rPr>
        <w:t>评估计划。</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根据委托方提供的评估申报资料，价格评估人员于20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25日</w:t>
      </w:r>
      <w:r>
        <w:rPr>
          <w:rFonts w:hint="eastAsia" w:ascii="仿宋" w:hAnsi="仿宋" w:eastAsia="仿宋" w:cs="仿宋"/>
          <w:color w:val="auto"/>
          <w:sz w:val="30"/>
          <w:szCs w:val="30"/>
          <w:lang w:eastAsia="zh-CN"/>
        </w:rPr>
        <w:t>与京山市人民法院技术鉴定科、执行局工作人员及被执行人代表共同</w:t>
      </w:r>
      <w:r>
        <w:rPr>
          <w:rFonts w:hint="eastAsia" w:ascii="仿宋" w:hAnsi="仿宋" w:eastAsia="仿宋" w:cs="仿宋"/>
          <w:color w:val="auto"/>
          <w:sz w:val="30"/>
          <w:szCs w:val="30"/>
        </w:rPr>
        <w:t>对委估财产组织了勘查，并对相关情况进行调查。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color w:val="auto"/>
          <w:sz w:val="30"/>
          <w:szCs w:val="30"/>
        </w:rPr>
        <w:t>委估</w:t>
      </w:r>
      <w:r>
        <w:rPr>
          <w:rFonts w:hint="eastAsia" w:ascii="仿宋" w:hAnsi="仿宋" w:eastAsia="仿宋" w:cs="仿宋"/>
          <w:color w:val="auto"/>
          <w:sz w:val="30"/>
          <w:szCs w:val="30"/>
          <w:lang w:eastAsia="zh-CN"/>
        </w:rPr>
        <w:t>标的</w:t>
      </w:r>
      <w:r>
        <w:rPr>
          <w:rFonts w:hint="eastAsia" w:ascii="仿宋" w:hAnsi="仿宋" w:eastAsia="仿宋" w:cs="仿宋"/>
          <w:color w:val="auto"/>
          <w:sz w:val="30"/>
          <w:szCs w:val="30"/>
          <w:lang w:val="en-US" w:eastAsia="zh-CN"/>
        </w:rPr>
        <w:t>1董得斌所有</w:t>
      </w:r>
      <w:r>
        <w:rPr>
          <w:rFonts w:hint="eastAsia" w:ascii="仿宋" w:hAnsi="仿宋" w:eastAsia="仿宋" w:cs="仿宋"/>
          <w:color w:val="auto"/>
          <w:sz w:val="30"/>
          <w:szCs w:val="30"/>
        </w:rPr>
        <w:t>房产</w:t>
      </w:r>
      <w:r>
        <w:rPr>
          <w:rFonts w:hint="eastAsia" w:ascii="仿宋" w:hAnsi="仿宋" w:eastAsia="仿宋" w:cs="仿宋"/>
          <w:b w:val="0"/>
          <w:bCs/>
          <w:color w:val="auto"/>
          <w:sz w:val="30"/>
          <w:szCs w:val="30"/>
          <w:lang w:eastAsia="zh-CN"/>
        </w:rPr>
        <w:t>位于京山市新市镇惠山北路</w:t>
      </w:r>
      <w:r>
        <w:rPr>
          <w:rFonts w:hint="eastAsia" w:ascii="仿宋" w:hAnsi="仿宋" w:eastAsia="仿宋" w:cs="仿宋"/>
          <w:b w:val="0"/>
          <w:bCs/>
          <w:color w:val="auto"/>
          <w:sz w:val="30"/>
          <w:szCs w:val="30"/>
          <w:lang w:val="en-US" w:eastAsia="zh-CN"/>
        </w:rPr>
        <w:t>32号毓秀花园7幢1单元1层101室房屋，总层数6层，所在1层，房屋为混合结构，房屋所有权证号：京山县房权证新市镇字第00041935号，证载建筑面积为129.12㎡，普通装修。</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标的2黄强所有房产位于京山市毓秀新城2号楼幢1单元1602室房屋，总层数17层，所在16层，未办理房屋所有权证，购房合同编号：JSX201201891，购房合同约定面积为162.34㎡，该商品房买卖合同已于2012年10月24日办理了登记备案手续，普通装修。</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2、区位状况</w:t>
      </w:r>
    </w:p>
    <w:p>
      <w:pPr>
        <w:pageBreakBefore w:val="0"/>
        <w:kinsoku/>
        <w:wordWrap/>
        <w:overflowPunct/>
        <w:topLinePunct w:val="0"/>
        <w:autoSpaceDE/>
        <w:autoSpaceDN/>
        <w:bidi w:val="0"/>
        <w:adjustRightInd/>
        <w:spacing w:line="240" w:lineRule="auto"/>
        <w:ind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color w:val="auto"/>
          <w:sz w:val="30"/>
          <w:szCs w:val="30"/>
        </w:rPr>
        <w:t>标的</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房屋</w:t>
      </w:r>
      <w:r>
        <w:rPr>
          <w:rFonts w:hint="eastAsia" w:ascii="仿宋" w:hAnsi="仿宋" w:eastAsia="仿宋" w:cs="仿宋"/>
          <w:b w:val="0"/>
          <w:bCs/>
          <w:color w:val="auto"/>
          <w:sz w:val="30"/>
          <w:szCs w:val="30"/>
          <w:lang w:eastAsia="zh-CN"/>
        </w:rPr>
        <w:t>位于京山市新市镇惠山北路</w:t>
      </w:r>
      <w:r>
        <w:rPr>
          <w:rFonts w:hint="eastAsia" w:ascii="仿宋" w:hAnsi="仿宋" w:eastAsia="仿宋" w:cs="仿宋"/>
          <w:b w:val="0"/>
          <w:bCs/>
          <w:color w:val="auto"/>
          <w:sz w:val="30"/>
          <w:szCs w:val="30"/>
          <w:lang w:val="en-US" w:eastAsia="zh-CN"/>
        </w:rPr>
        <w:t>32号毓秀花园小区，周边有京山市新市一中，新市一小等多处学校，临近大中路，交通便利，生活配套设施齐全，地理位置一般。</w:t>
      </w:r>
    </w:p>
    <w:p>
      <w:pPr>
        <w:pageBreakBefore w:val="0"/>
        <w:kinsoku/>
        <w:wordWrap/>
        <w:overflowPunct/>
        <w:topLinePunct w:val="0"/>
        <w:autoSpaceDE/>
        <w:autoSpaceDN/>
        <w:bidi w:val="0"/>
        <w:adjustRightInd/>
        <w:spacing w:line="240" w:lineRule="auto"/>
        <w:ind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标的2房屋位于京山市毓秀新城2号楼幢1单元1602室房屋，坐落在新市大道主干道上，北至轻机大道，</w:t>
      </w:r>
      <w:r>
        <w:rPr>
          <w:rFonts w:hint="eastAsia" w:ascii="仿宋" w:hAnsi="仿宋" w:eastAsia="仿宋" w:cs="仿宋"/>
          <w:color w:val="auto"/>
          <w:sz w:val="28"/>
          <w:szCs w:val="28"/>
          <w:lang w:val="en-US" w:eastAsia="zh-CN"/>
        </w:rPr>
        <w:t>距金山国际大酒店，京山小学，联合广场一公里范围内，</w:t>
      </w:r>
      <w:r>
        <w:rPr>
          <w:rFonts w:hint="eastAsia" w:ascii="仿宋" w:hAnsi="仿宋" w:eastAsia="仿宋" w:cs="仿宋"/>
          <w:b w:val="0"/>
          <w:bCs/>
          <w:color w:val="auto"/>
          <w:sz w:val="30"/>
          <w:szCs w:val="30"/>
          <w:lang w:val="en-US" w:eastAsia="zh-CN"/>
        </w:rPr>
        <w:t>周围多为住宅小区，有商业、学校等机构，生活配套设施齐全，地理位置较好。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color w:val="auto"/>
          <w:sz w:val="30"/>
          <w:szCs w:val="30"/>
          <w:lang w:eastAsia="zh-CN"/>
        </w:rPr>
        <w:t>委托方提供的资料显示，</w:t>
      </w:r>
      <w:r>
        <w:rPr>
          <w:rFonts w:hint="eastAsia" w:ascii="仿宋" w:hAnsi="仿宋" w:eastAsia="仿宋" w:cs="仿宋"/>
          <w:b w:val="0"/>
          <w:bCs/>
          <w:color w:val="auto"/>
          <w:sz w:val="30"/>
          <w:szCs w:val="30"/>
          <w:lang w:val="en-US" w:eastAsia="zh-CN"/>
        </w:rPr>
        <w:t>标的1房屋为董得斌所有，房屋所有权证号：京山县房权证新市镇字第00041935号；标的2房屋为黄强所有，购房合同编号：JSX201201891，预告登记证明号：京山县房预开发区字第00012309号。</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评定估算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本次评估是为法院执行案件提供财产变现提供参考价格，</w:t>
      </w:r>
      <w:r>
        <w:rPr>
          <w:rFonts w:hint="eastAsia" w:ascii="仿宋" w:hAnsi="仿宋" w:eastAsia="仿宋" w:cs="仿宋"/>
          <w:color w:val="auto"/>
          <w:sz w:val="30"/>
          <w:szCs w:val="30"/>
          <w:lang w:eastAsia="zh-CN"/>
        </w:rPr>
        <w:t>委估标的</w:t>
      </w:r>
      <w:r>
        <w:rPr>
          <w:rFonts w:hint="eastAsia" w:ascii="仿宋" w:hAnsi="仿宋" w:eastAsia="仿宋" w:cs="仿宋"/>
          <w:color w:val="auto"/>
          <w:sz w:val="30"/>
          <w:szCs w:val="30"/>
          <w:lang w:val="en-US" w:eastAsia="zh-CN"/>
        </w:rPr>
        <w:t>均</w:t>
      </w:r>
      <w:r>
        <w:rPr>
          <w:rFonts w:hint="eastAsia" w:ascii="仿宋" w:hAnsi="仿宋" w:eastAsia="仿宋" w:cs="仿宋"/>
          <w:color w:val="auto"/>
          <w:sz w:val="30"/>
          <w:szCs w:val="30"/>
        </w:rPr>
        <w:t>处于</w:t>
      </w:r>
      <w:r>
        <w:rPr>
          <w:rFonts w:hint="eastAsia" w:ascii="仿宋" w:hAnsi="仿宋" w:eastAsia="仿宋" w:cs="仿宋"/>
          <w:b w:val="0"/>
          <w:bCs/>
          <w:color w:val="auto"/>
          <w:sz w:val="30"/>
          <w:szCs w:val="30"/>
          <w:lang w:val="en-US" w:eastAsia="zh-CN"/>
        </w:rPr>
        <w:t>京山市城区，</w:t>
      </w:r>
      <w:r>
        <w:rPr>
          <w:rFonts w:hint="eastAsia" w:ascii="仿宋" w:hAnsi="仿宋" w:eastAsia="仿宋" w:cs="仿宋"/>
          <w:color w:val="auto"/>
          <w:sz w:val="30"/>
          <w:szCs w:val="30"/>
        </w:rPr>
        <w:t>同一供应圈内</w:t>
      </w:r>
      <w:r>
        <w:rPr>
          <w:rFonts w:hint="eastAsia" w:ascii="仿宋" w:hAnsi="仿宋" w:eastAsia="仿宋" w:cs="仿宋"/>
          <w:color w:val="auto"/>
          <w:sz w:val="30"/>
          <w:szCs w:val="30"/>
          <w:lang w:val="en-US" w:eastAsia="zh-CN"/>
        </w:rPr>
        <w:t>比较实例</w:t>
      </w:r>
      <w:r>
        <w:rPr>
          <w:rFonts w:hint="eastAsia" w:ascii="仿宋" w:hAnsi="仿宋" w:eastAsia="仿宋" w:cs="仿宋"/>
          <w:color w:val="auto"/>
          <w:sz w:val="30"/>
          <w:szCs w:val="30"/>
        </w:rPr>
        <w:t>房地产</w:t>
      </w:r>
      <w:r>
        <w:rPr>
          <w:rFonts w:hint="eastAsia" w:ascii="仿宋" w:hAnsi="仿宋" w:eastAsia="仿宋" w:cs="仿宋"/>
          <w:b w:val="0"/>
          <w:bCs/>
          <w:color w:val="auto"/>
          <w:sz w:val="30"/>
          <w:szCs w:val="30"/>
          <w:lang w:val="en-US" w:eastAsia="zh-CN"/>
        </w:rPr>
        <w:t>市场交易活跃，评估人员确定采用市场比较法进行评估测算。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市场比较法是</w:t>
      </w:r>
      <w:r>
        <w:rPr>
          <w:rFonts w:hint="eastAsia" w:ascii="仿宋" w:hAnsi="仿宋" w:eastAsia="仿宋" w:cs="仿宋"/>
          <w:color w:val="auto"/>
          <w:sz w:val="30"/>
          <w:szCs w:val="30"/>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color w:val="auto"/>
          <w:sz w:val="30"/>
          <w:szCs w:val="30"/>
          <w:lang w:eastAsia="zh-CN"/>
        </w:rPr>
        <w:t>主要修正项目如下：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交易日期修正，是将可比实例在其成交日期价格修正到价格鉴定基准日的价格。本次评估所选案例成交时间均未超过基准日半年，符合相关评估准则。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区域因素修正，评估人员对影响房屋建筑物价格的区域因素如繁华程度、交通便捷程度、环境、景观、公共设施配套完备程度、城市规划限制与所选交易案例根据当地房屋建筑现有情况和发展趋势及自已经验积累进行判断，并加</w:t>
      </w:r>
      <w:r>
        <w:rPr>
          <w:rFonts w:hint="eastAsia" w:ascii="仿宋" w:hAnsi="仿宋" w:eastAsia="仿宋" w:cs="仿宋"/>
          <w:color w:val="auto"/>
          <w:sz w:val="30"/>
          <w:szCs w:val="30"/>
          <w:lang w:eastAsia="zh-CN"/>
        </w:rPr>
        <w:t>以</w:t>
      </w:r>
      <w:r>
        <w:rPr>
          <w:rFonts w:hint="eastAsia" w:ascii="仿宋" w:hAnsi="仿宋" w:eastAsia="仿宋" w:cs="仿宋"/>
          <w:color w:val="auto"/>
          <w:sz w:val="30"/>
          <w:szCs w:val="30"/>
        </w:rPr>
        <w:t>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评估标的价格</w:t>
      </w:r>
      <w:r>
        <w:rPr>
          <w:rFonts w:hint="eastAsia" w:ascii="仿宋" w:hAnsi="仿宋" w:eastAsia="仿宋" w:cs="仿宋"/>
          <w:color w:val="auto"/>
          <w:sz w:val="30"/>
          <w:szCs w:val="30"/>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（1)标的1房屋的评估测算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评估人员对该区域类似标的房产的市场交易情况进行了调查，</w:t>
      </w:r>
      <w:r>
        <w:rPr>
          <w:rFonts w:hint="eastAsia" w:ascii="仿宋" w:hAnsi="仿宋" w:eastAsia="仿宋" w:cs="仿宋"/>
          <w:color w:val="auto"/>
          <w:sz w:val="30"/>
          <w:szCs w:val="30"/>
        </w:rPr>
        <w:t>选择三个与鉴定标的类似房产交易价格进行比较分析，对这些类似房产的成交价格作适当修正</w:t>
      </w:r>
      <w:r>
        <w:rPr>
          <w:rFonts w:hint="eastAsia" w:ascii="仿宋" w:hAnsi="仿宋" w:eastAsia="仿宋" w:cs="仿宋"/>
          <w:color w:val="auto"/>
          <w:sz w:val="30"/>
          <w:szCs w:val="30"/>
          <w:lang w:eastAsia="zh-CN"/>
        </w:rPr>
        <w:t>后综合测算标的</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类似房屋的市场交易均价为</w:t>
      </w:r>
      <w:r>
        <w:rPr>
          <w:rFonts w:hint="eastAsia" w:ascii="仿宋" w:hAnsi="仿宋" w:eastAsia="仿宋" w:cs="仿宋"/>
          <w:color w:val="auto"/>
          <w:sz w:val="30"/>
          <w:szCs w:val="30"/>
          <w:lang w:val="en-US" w:eastAsia="zh-CN"/>
        </w:rPr>
        <w:t>3900元/㎡。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color w:val="auto"/>
          <w:sz w:val="30"/>
          <w:szCs w:val="30"/>
          <w:lang w:val="en-US" w:eastAsia="zh-CN"/>
        </w:rPr>
        <w:t>标的1市场法测算</w:t>
      </w:r>
      <w:r>
        <w:rPr>
          <w:rFonts w:hint="eastAsia" w:ascii="仿宋" w:hAnsi="仿宋" w:eastAsia="仿宋" w:cs="仿宋"/>
          <w:b w:val="0"/>
          <w:bCs/>
          <w:color w:val="auto"/>
          <w:sz w:val="30"/>
          <w:szCs w:val="30"/>
          <w:lang w:val="en-US" w:eastAsia="zh-CN"/>
        </w:rPr>
        <w:t>评估价格为129.12</w:t>
      </w:r>
      <w:r>
        <w:rPr>
          <w:rFonts w:hint="default" w:ascii="Arial" w:hAnsi="Arial" w:eastAsia="仿宋" w:cs="Arial"/>
          <w:b w:val="0"/>
          <w:bCs/>
          <w:color w:val="auto"/>
          <w:sz w:val="30"/>
          <w:szCs w:val="30"/>
          <w:lang w:val="en-US" w:eastAsia="zh-CN"/>
        </w:rPr>
        <w:t>×</w:t>
      </w:r>
      <w:r>
        <w:rPr>
          <w:rFonts w:hint="eastAsia" w:ascii="仿宋" w:hAnsi="仿宋" w:eastAsia="仿宋" w:cs="仿宋"/>
          <w:color w:val="auto"/>
          <w:sz w:val="30"/>
          <w:szCs w:val="30"/>
          <w:lang w:val="en-US" w:eastAsia="zh-CN"/>
        </w:rPr>
        <w:t>3900</w:t>
      </w:r>
      <w:r>
        <w:rPr>
          <w:rFonts w:hint="eastAsia" w:ascii="仿宋" w:hAnsi="仿宋" w:eastAsia="仿宋" w:cs="仿宋"/>
          <w:b w:val="0"/>
          <w:bCs/>
          <w:color w:val="auto"/>
          <w:sz w:val="30"/>
          <w:szCs w:val="30"/>
          <w:lang w:val="en-US" w:eastAsia="zh-CN"/>
        </w:rPr>
        <w:t>=503568元。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标的房屋进行了普通装修，不可拆除部分主要有：整屋水电安装；地面铺设瓷砖；墙面套白；石膏板和集成吊顶；全套照明灯具；背景墙；套装木门；推拉铝合金隔断门；铝合金全封闭式阳台及防盗网等。鉴定评估人员通过现场勘验结果，以重置成本法对以上装修现有价值逐项测算，装修重置价格为101910元。其综合成新率为70%，不可拆除装修评估价值为71337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color w:val="auto"/>
          <w:sz w:val="30"/>
          <w:szCs w:val="30"/>
          <w:lang w:val="en-US" w:eastAsia="zh-CN"/>
        </w:rPr>
        <w:t>房屋评估价值（含不可拆除装修）为503568+71337=574905元。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（2)标的2房屋的评估测算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评估人员对该区域类似标的房产的市场交易情况进行了调查，</w:t>
      </w:r>
      <w:r>
        <w:rPr>
          <w:rFonts w:hint="eastAsia" w:ascii="仿宋" w:hAnsi="仿宋" w:eastAsia="仿宋" w:cs="仿宋"/>
          <w:color w:val="auto"/>
          <w:sz w:val="30"/>
          <w:szCs w:val="30"/>
        </w:rPr>
        <w:t>选择三个与鉴定标的类似房产交易价格进行比较分析，对这些类似房产的成交价格作适当修正</w:t>
      </w:r>
      <w:r>
        <w:rPr>
          <w:rFonts w:hint="eastAsia" w:ascii="仿宋" w:hAnsi="仿宋" w:eastAsia="仿宋" w:cs="仿宋"/>
          <w:color w:val="auto"/>
          <w:sz w:val="30"/>
          <w:szCs w:val="30"/>
          <w:lang w:eastAsia="zh-CN"/>
        </w:rPr>
        <w:t>后综合测算标的类似房屋的市场交易均价为</w:t>
      </w:r>
      <w:r>
        <w:rPr>
          <w:rFonts w:hint="eastAsia" w:ascii="仿宋" w:hAnsi="仿宋" w:eastAsia="仿宋" w:cs="仿宋"/>
          <w:color w:val="auto"/>
          <w:sz w:val="30"/>
          <w:szCs w:val="30"/>
          <w:lang w:val="en-US" w:eastAsia="zh-CN"/>
        </w:rPr>
        <w:t>4650元/㎡。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b w:val="0"/>
          <w:bCs/>
          <w:color w:val="auto"/>
          <w:sz w:val="30"/>
          <w:szCs w:val="30"/>
          <w:lang w:val="en-US" w:eastAsia="zh-CN"/>
        </w:rPr>
        <w:t>标的2</w:t>
      </w:r>
      <w:r>
        <w:rPr>
          <w:rFonts w:hint="eastAsia" w:ascii="仿宋" w:hAnsi="仿宋" w:eastAsia="仿宋" w:cs="仿宋"/>
          <w:color w:val="auto"/>
          <w:sz w:val="30"/>
          <w:szCs w:val="30"/>
          <w:lang w:val="en-US" w:eastAsia="zh-CN"/>
        </w:rPr>
        <w:t>市场法测算</w:t>
      </w:r>
      <w:r>
        <w:rPr>
          <w:rFonts w:hint="eastAsia" w:ascii="仿宋" w:hAnsi="仿宋" w:eastAsia="仿宋" w:cs="仿宋"/>
          <w:b w:val="0"/>
          <w:bCs/>
          <w:color w:val="auto"/>
          <w:sz w:val="30"/>
          <w:szCs w:val="30"/>
          <w:lang w:val="en-US" w:eastAsia="zh-CN"/>
        </w:rPr>
        <w:t>评估价格为162.34</w:t>
      </w:r>
      <w:r>
        <w:rPr>
          <w:rFonts w:hint="default" w:ascii="Arial" w:hAnsi="Arial" w:eastAsia="仿宋" w:cs="Arial"/>
          <w:b w:val="0"/>
          <w:bCs/>
          <w:color w:val="auto"/>
          <w:sz w:val="30"/>
          <w:szCs w:val="30"/>
          <w:lang w:val="en-US" w:eastAsia="zh-CN"/>
        </w:rPr>
        <w:t>×</w:t>
      </w:r>
      <w:r>
        <w:rPr>
          <w:rFonts w:hint="eastAsia" w:ascii="仿宋" w:hAnsi="仿宋" w:eastAsia="仿宋" w:cs="仿宋"/>
          <w:b w:val="0"/>
          <w:bCs/>
          <w:color w:val="auto"/>
          <w:sz w:val="30"/>
          <w:szCs w:val="30"/>
          <w:lang w:val="en-US" w:eastAsia="zh-CN"/>
        </w:rPr>
        <w:t>4650=754881元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标的房屋进行了普通装修，不可拆除部分主要有：整屋水电安装；地面铺设瓷砖；墙面瓷砖、墙（布）纸；石膏板和集成吊顶；全屋照明灯具；实木衣柜；背景墙；卫生间面盆、淋浴房、坐便器；套装木门；推拉铝合金隔断门；铝合金全封闭式阳台及防盗网等。鉴定评估人员通过现场勘验结果，以重置成本法对以上装修现有价值逐项测算，装修重置价格为151923元。其综合成新率为78%，不可拆除装修评估价值为116385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房屋评估价值（含不可拆除装修）为754881+118500=873381元。</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八、价格评估结论</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董得斌所有的位于京山市新市镇惠山北路</w:t>
      </w:r>
      <w:r>
        <w:rPr>
          <w:rFonts w:hint="eastAsia" w:ascii="仿宋" w:hAnsi="仿宋" w:eastAsia="仿宋" w:cs="仿宋"/>
          <w:color w:val="auto"/>
          <w:sz w:val="30"/>
          <w:szCs w:val="30"/>
          <w:lang w:val="en-US" w:eastAsia="zh-CN"/>
        </w:rPr>
        <w:t>32号7幢1单元1层101室房屋在2021年11月25日的评估价格为￥574905元（大写人民币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155000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伍拾柒万肆仟玖佰零伍元整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2）黄强所有的位于京山市毓秀新城2号楼幢1单元1602室房屋在2021年11月25日的评估价格为￥873381元（大写人民币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155000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捌拾柒万叁仟叁佰捌拾壹元整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九、价格评估限定条件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2、评估结论仅为本</w:t>
      </w:r>
      <w:r>
        <w:rPr>
          <w:rFonts w:hint="eastAsia" w:ascii="仿宋" w:hAnsi="仿宋" w:eastAsia="仿宋" w:cs="仿宋"/>
          <w:color w:val="auto"/>
          <w:sz w:val="30"/>
          <w:szCs w:val="30"/>
          <w:lang w:eastAsia="zh-CN"/>
        </w:rPr>
        <w:t>次</w:t>
      </w:r>
      <w:r>
        <w:rPr>
          <w:rFonts w:hint="eastAsia" w:ascii="仿宋" w:hAnsi="仿宋" w:eastAsia="仿宋" w:cs="仿宋"/>
          <w:color w:val="auto"/>
          <w:sz w:val="30"/>
          <w:szCs w:val="30"/>
        </w:rPr>
        <w:t>评估目</w:t>
      </w:r>
      <w:r>
        <w:rPr>
          <w:rFonts w:hint="eastAsia" w:ascii="仿宋" w:hAnsi="仿宋" w:eastAsia="仿宋" w:cs="仿宋"/>
          <w:color w:val="auto"/>
          <w:sz w:val="30"/>
          <w:szCs w:val="30"/>
          <w:lang w:eastAsia="zh-CN"/>
        </w:rPr>
        <w:t>的即司法拍卖强制变现这一特定目</w:t>
      </w:r>
      <w:r>
        <w:rPr>
          <w:rFonts w:hint="eastAsia" w:ascii="仿宋" w:hAnsi="仿宋" w:eastAsia="仿宋" w:cs="仿宋"/>
          <w:color w:val="auto"/>
          <w:sz w:val="30"/>
          <w:szCs w:val="30"/>
        </w:rPr>
        <w:t>的服务，</w:t>
      </w:r>
      <w:r>
        <w:rPr>
          <w:rFonts w:hint="eastAsia" w:ascii="仿宋" w:hAnsi="仿宋" w:eastAsia="仿宋" w:cs="仿宋"/>
          <w:color w:val="auto"/>
          <w:sz w:val="30"/>
          <w:szCs w:val="30"/>
          <w:lang w:eastAsia="zh-CN"/>
        </w:rPr>
        <w:t>其他经济行为引用无效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受评估人员专业范围及清查技术手段的限制，本次评估未对地上建筑物的建筑结构强度、所用材料品质等进行检测，本报告</w:t>
      </w:r>
      <w:r>
        <w:rPr>
          <w:rFonts w:hint="eastAsia" w:ascii="仿宋" w:hAnsi="仿宋" w:eastAsia="仿宋" w:cs="仿宋"/>
          <w:color w:val="auto"/>
          <w:sz w:val="30"/>
          <w:szCs w:val="30"/>
          <w:lang w:eastAsia="zh-CN"/>
        </w:rPr>
        <w:t>设定</w:t>
      </w:r>
      <w:r>
        <w:rPr>
          <w:rFonts w:hint="eastAsia" w:ascii="仿宋" w:hAnsi="仿宋" w:eastAsia="仿宋" w:cs="仿宋"/>
          <w:color w:val="auto"/>
          <w:sz w:val="30"/>
          <w:szCs w:val="30"/>
        </w:rPr>
        <w:t>评估基准日时点的评估对象房地产</w:t>
      </w:r>
      <w:r>
        <w:rPr>
          <w:rFonts w:hint="eastAsia" w:ascii="仿宋" w:hAnsi="仿宋" w:eastAsia="仿宋" w:cs="仿宋"/>
          <w:color w:val="auto"/>
          <w:sz w:val="30"/>
          <w:szCs w:val="30"/>
          <w:lang w:eastAsia="zh-CN"/>
        </w:rPr>
        <w:t>及附属设施</w:t>
      </w:r>
      <w:r>
        <w:rPr>
          <w:rFonts w:hint="eastAsia" w:ascii="仿宋" w:hAnsi="仿宋" w:eastAsia="仿宋" w:cs="仿宋"/>
          <w:color w:val="auto"/>
          <w:sz w:val="30"/>
          <w:szCs w:val="30"/>
        </w:rPr>
        <w:t>工程质量符合国家和地区相关标准</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、本评估结论设定为“司法执行财产处置中的交易税费及财产处置费用</w:t>
      </w:r>
      <w:r>
        <w:rPr>
          <w:rFonts w:hint="eastAsia" w:ascii="仿宋" w:hAnsi="仿宋" w:eastAsia="仿宋" w:cs="仿宋"/>
          <w:color w:val="auto"/>
          <w:sz w:val="30"/>
          <w:szCs w:val="30"/>
          <w:lang w:eastAsia="zh-CN"/>
        </w:rPr>
        <w:t>均由买卖双方按相关规定各自承担</w:t>
      </w:r>
      <w:r>
        <w:rPr>
          <w:rFonts w:hint="eastAsia" w:ascii="仿宋" w:hAnsi="仿宋" w:eastAsia="仿宋" w:cs="仿宋"/>
          <w:color w:val="auto"/>
          <w:sz w:val="30"/>
          <w:szCs w:val="30"/>
        </w:rPr>
        <w:t>”这一税费负担方式下的价值，未考虑评估费、拍卖费、诉讼费、律师费</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交易税费</w:t>
      </w:r>
      <w:r>
        <w:rPr>
          <w:rFonts w:hint="eastAsia" w:ascii="仿宋" w:hAnsi="仿宋" w:eastAsia="仿宋" w:cs="仿宋"/>
          <w:color w:val="auto"/>
          <w:sz w:val="30"/>
          <w:szCs w:val="30"/>
          <w:lang w:eastAsia="zh-CN"/>
        </w:rPr>
        <w:t>以及欠缴的物业水电费、面积补差</w:t>
      </w:r>
      <w:r>
        <w:rPr>
          <w:rFonts w:hint="eastAsia" w:ascii="仿宋" w:hAnsi="仿宋" w:eastAsia="仿宋" w:cs="仿宋"/>
          <w:color w:val="auto"/>
          <w:sz w:val="30"/>
          <w:szCs w:val="30"/>
        </w:rPr>
        <w:t>等财产处置</w:t>
      </w:r>
      <w:r>
        <w:rPr>
          <w:rFonts w:hint="eastAsia" w:ascii="仿宋" w:hAnsi="仿宋" w:eastAsia="仿宋" w:cs="仿宋"/>
          <w:color w:val="auto"/>
          <w:sz w:val="30"/>
          <w:szCs w:val="30"/>
          <w:lang w:eastAsia="zh-CN"/>
        </w:rPr>
        <w:t>和交易税费</w:t>
      </w:r>
      <w:r>
        <w:rPr>
          <w:rFonts w:hint="eastAsia" w:ascii="仿宋" w:hAnsi="仿宋" w:eastAsia="仿宋" w:cs="仿宋"/>
          <w:color w:val="auto"/>
          <w:sz w:val="30"/>
          <w:szCs w:val="30"/>
        </w:rPr>
        <w:t>对评估结论的影响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、评估结论是本公司出具的，受具体参加本项目的评估人员的执业水平和能力的影响。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602" w:firstLineChars="200"/>
        <w:jc w:val="both"/>
        <w:textAlignment w:val="auto"/>
        <w:rPr>
          <w:rStyle w:val="9"/>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color w:val="auto"/>
          <w:sz w:val="30"/>
          <w:szCs w:val="30"/>
        </w:rPr>
      </w:pPr>
      <w:r>
        <w:rPr>
          <w:rFonts w:hint="eastAsia" w:ascii="仿宋" w:hAnsi="仿宋" w:eastAsia="仿宋" w:cs="仿宋"/>
          <w:color w:val="auto"/>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9"/>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Style w:val="9"/>
          <w:rFonts w:hint="eastAsia" w:ascii="仿宋" w:hAnsi="仿宋" w:eastAsia="仿宋" w:cs="仿宋"/>
          <w:color w:val="auto"/>
          <w:sz w:val="30"/>
          <w:szCs w:val="30"/>
        </w:rPr>
      </w:pP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报告日为</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人员专业意见形成日，本次出具</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报告日期为20</w:t>
      </w:r>
      <w:r>
        <w:rPr>
          <w:rStyle w:val="9"/>
          <w:rFonts w:hint="eastAsia" w:ascii="仿宋" w:hAnsi="仿宋" w:eastAsia="仿宋" w:cs="仿宋"/>
          <w:color w:val="auto"/>
          <w:sz w:val="30"/>
          <w:szCs w:val="30"/>
          <w:lang w:val="en-US" w:eastAsia="zh-CN"/>
        </w:rPr>
        <w:t>21</w:t>
      </w:r>
      <w:r>
        <w:rPr>
          <w:rStyle w:val="9"/>
          <w:rFonts w:hint="eastAsia" w:ascii="仿宋" w:hAnsi="仿宋" w:eastAsia="仿宋" w:cs="仿宋"/>
          <w:color w:val="auto"/>
          <w:sz w:val="30"/>
          <w:szCs w:val="30"/>
        </w:rPr>
        <w:t>年</w:t>
      </w:r>
      <w:r>
        <w:rPr>
          <w:rStyle w:val="9"/>
          <w:rFonts w:hint="eastAsia" w:ascii="仿宋" w:hAnsi="仿宋" w:eastAsia="仿宋" w:cs="仿宋"/>
          <w:color w:val="auto"/>
          <w:sz w:val="30"/>
          <w:szCs w:val="30"/>
          <w:lang w:val="en-US" w:eastAsia="zh-CN"/>
        </w:rPr>
        <w:t>11</w:t>
      </w:r>
      <w:r>
        <w:rPr>
          <w:rStyle w:val="9"/>
          <w:rFonts w:hint="eastAsia" w:ascii="仿宋" w:hAnsi="仿宋" w:eastAsia="仿宋" w:cs="仿宋"/>
          <w:color w:val="auto"/>
          <w:sz w:val="30"/>
          <w:szCs w:val="30"/>
        </w:rPr>
        <w:t>月</w:t>
      </w:r>
      <w:r>
        <w:rPr>
          <w:rStyle w:val="9"/>
          <w:rFonts w:hint="eastAsia" w:ascii="仿宋" w:hAnsi="仿宋" w:eastAsia="仿宋" w:cs="仿宋"/>
          <w:color w:val="auto"/>
          <w:sz w:val="30"/>
          <w:szCs w:val="30"/>
          <w:lang w:val="en-US" w:eastAsia="zh-CN"/>
        </w:rPr>
        <w:t>25</w:t>
      </w:r>
      <w:r>
        <w:rPr>
          <w:rStyle w:val="9"/>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25</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24</w:t>
      </w:r>
      <w:r>
        <w:rPr>
          <w:rFonts w:hint="eastAsia" w:ascii="仿宋" w:hAnsi="仿宋" w:eastAsia="仿宋" w:cs="仿宋"/>
          <w:color w:val="auto"/>
          <w:sz w:val="30"/>
          <w:szCs w:val="30"/>
        </w:rPr>
        <w:t>日止。</w:t>
      </w:r>
    </w:p>
    <w:p>
      <w:pPr>
        <w:pStyle w:val="5"/>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30"/>
          <w:szCs w:val="30"/>
          <w:lang w:val="en-US" w:eastAsia="zh-CN"/>
        </w:rPr>
        <w:t>公司地址：</w:t>
      </w:r>
      <w:r>
        <w:rPr>
          <w:rFonts w:hint="eastAsia" w:ascii="仿宋" w:hAnsi="仿宋" w:eastAsia="仿宋" w:cs="仿宋"/>
          <w:b w:val="0"/>
          <w:bCs w:val="0"/>
          <w:color w:val="auto"/>
          <w:sz w:val="30"/>
          <w:szCs w:val="30"/>
        </w:rPr>
        <w:t>武汉市</w:t>
      </w:r>
      <w:r>
        <w:rPr>
          <w:rFonts w:hint="eastAsia" w:ascii="仿宋" w:hAnsi="仿宋" w:eastAsia="仿宋" w:cs="仿宋"/>
          <w:b w:val="0"/>
          <w:bCs w:val="0"/>
          <w:color w:val="auto"/>
          <w:sz w:val="30"/>
          <w:szCs w:val="30"/>
          <w:lang w:eastAsia="zh-CN"/>
        </w:rPr>
        <w:t>黄陂区前川街西寺大道</w:t>
      </w:r>
      <w:r>
        <w:rPr>
          <w:rFonts w:hint="eastAsia" w:ascii="仿宋" w:hAnsi="仿宋" w:eastAsia="仿宋" w:cs="仿宋"/>
          <w:b w:val="0"/>
          <w:bCs w:val="0"/>
          <w:color w:val="auto"/>
          <w:sz w:val="30"/>
          <w:szCs w:val="30"/>
          <w:lang w:val="en-US" w:eastAsia="zh-CN"/>
        </w:rPr>
        <w:t>188号4层第2层</w:t>
      </w:r>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color w:val="auto"/>
          <w:sz w:val="28"/>
          <w:szCs w:val="28"/>
          <w:lang w:val="zh-CN" w:eastAsia="zh-CN"/>
        </w:rPr>
        <w:t>分公司名称：</w:t>
      </w:r>
      <w:r>
        <w:rPr>
          <w:rFonts w:hint="eastAsia" w:ascii="仿宋" w:hAnsi="仿宋" w:eastAsia="仿宋" w:cs="仿宋"/>
          <w:color w:val="auto"/>
          <w:sz w:val="28"/>
          <w:szCs w:val="28"/>
          <w:lang w:val="zh-CN"/>
        </w:rPr>
        <w:t>本惟识（湖北）价格评估有限公司荆门分公司</w:t>
      </w:r>
    </w:p>
    <w:p>
      <w:pPr>
        <w:keepNext w:val="0"/>
        <w:keepLines w:val="0"/>
        <w:pageBreakBefore w:val="0"/>
        <w:numPr>
          <w:ilvl w:val="0"/>
          <w:numId w:val="2"/>
        </w:numPr>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color w:val="auto"/>
          <w:sz w:val="30"/>
          <w:szCs w:val="30"/>
        </w:rPr>
        <w:t>价格</w:t>
      </w:r>
      <w:r>
        <w:rPr>
          <w:rStyle w:val="9"/>
          <w:rFonts w:hint="eastAsia" w:ascii="仿宋" w:hAnsi="仿宋" w:eastAsia="仿宋" w:cs="仿宋"/>
          <w:b/>
          <w:color w:val="auto"/>
          <w:sz w:val="30"/>
          <w:szCs w:val="30"/>
          <w:lang w:eastAsia="zh-CN"/>
        </w:rPr>
        <w:t>评估专业</w:t>
      </w:r>
      <w:r>
        <w:rPr>
          <w:rStyle w:val="9"/>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6"/>
        <w:tblW w:w="8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943"/>
        <w:gridCol w:w="1690"/>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60" w:hRule="atLeast"/>
          <w:jc w:val="center"/>
        </w:trPr>
        <w:tc>
          <w:tcPr>
            <w:tcW w:w="198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943"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690"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34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4" w:hRule="atLeast"/>
          <w:jc w:val="center"/>
        </w:trPr>
        <w:tc>
          <w:tcPr>
            <w:tcW w:w="1981"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943"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690"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34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jc w:val="center"/>
        </w:trPr>
        <w:tc>
          <w:tcPr>
            <w:tcW w:w="198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lang w:val="en-US" w:eastAsia="zh-CN"/>
              </w:rPr>
              <w:t>陈  松</w:t>
            </w:r>
          </w:p>
        </w:tc>
        <w:tc>
          <w:tcPr>
            <w:tcW w:w="194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rPr>
              <w:t>价格鉴证师</w:t>
            </w:r>
          </w:p>
        </w:tc>
        <w:tc>
          <w:tcPr>
            <w:tcW w:w="169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kern w:val="0"/>
                <w:sz w:val="30"/>
                <w:szCs w:val="30"/>
                <w:lang w:val="en-US" w:eastAsia="zh-CN" w:bidi="ar-SA"/>
              </w:rPr>
            </w:pPr>
            <w:r>
              <w:rPr>
                <w:rFonts w:hint="eastAsia" w:ascii="仿宋" w:hAnsi="仿宋" w:eastAsia="仿宋" w:cs="仿宋"/>
                <w:color w:val="auto"/>
                <w:sz w:val="28"/>
                <w:szCs w:val="28"/>
                <w:lang w:val="en-US" w:eastAsia="zh-CN"/>
              </w:rPr>
              <w:t>0017044</w:t>
            </w:r>
          </w:p>
        </w:tc>
        <w:tc>
          <w:tcPr>
            <w:tcW w:w="3345"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2、价格评估委托书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4、价格评估机构营业执照</w:t>
      </w:r>
      <w:r>
        <w:rPr>
          <w:rFonts w:hint="eastAsia" w:ascii="仿宋" w:hAnsi="仿宋" w:eastAsia="仿宋" w:cs="仿宋"/>
          <w:color w:val="auto"/>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5、价格评估机构资质证书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价格评估人员资格证书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本惟识（湖北）价格评估有限公司</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w:t>
      </w:r>
      <w:r>
        <w:rPr>
          <w:rFonts w:hint="eastAsia" w:ascii="仿宋" w:hAnsi="仿宋" w:eastAsia="仿宋" w:cs="仿宋"/>
          <w:b w:val="0"/>
          <w:bCs w:val="0"/>
          <w:color w:val="auto"/>
          <w:sz w:val="30"/>
          <w:szCs w:val="30"/>
        </w:rPr>
        <w:t>二0</w:t>
      </w:r>
      <w:r>
        <w:rPr>
          <w:rFonts w:hint="eastAsia" w:ascii="仿宋" w:hAnsi="仿宋" w:eastAsia="仿宋" w:cs="仿宋"/>
          <w:b w:val="0"/>
          <w:bCs w:val="0"/>
          <w:color w:val="auto"/>
          <w:sz w:val="30"/>
          <w:szCs w:val="30"/>
          <w:lang w:eastAsia="zh-CN"/>
        </w:rPr>
        <w:t>二一</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val="en-US" w:eastAsia="zh-CN"/>
        </w:rPr>
        <w:t>十一</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eastAsia="zh-CN"/>
        </w:rPr>
        <w:t>二十九</w:t>
      </w:r>
      <w:r>
        <w:rPr>
          <w:rFonts w:hint="eastAsia" w:ascii="仿宋" w:hAnsi="仿宋" w:eastAsia="仿宋" w:cs="仿宋"/>
          <w:b w:val="0"/>
          <w:bCs w:val="0"/>
          <w:color w:val="auto"/>
          <w:sz w:val="30"/>
          <w:szCs w:val="30"/>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现场</w:t>
      </w:r>
      <w:r>
        <w:rPr>
          <w:rFonts w:hint="eastAsia" w:ascii="仿宋" w:hAnsi="仿宋" w:eastAsia="仿宋" w:cs="仿宋"/>
          <w:b/>
          <w:bCs/>
          <w:color w:val="auto"/>
          <w:sz w:val="30"/>
          <w:szCs w:val="30"/>
        </w:rPr>
        <w:t>勘验</w:t>
      </w:r>
      <w:r>
        <w:rPr>
          <w:rFonts w:hint="eastAsia" w:ascii="仿宋" w:hAnsi="仿宋" w:eastAsia="仿宋" w:cs="仿宋"/>
          <w:b/>
          <w:bCs/>
          <w:color w:val="auto"/>
          <w:sz w:val="30"/>
          <w:szCs w:val="30"/>
          <w:lang w:val="en-US" w:eastAsia="zh-CN"/>
        </w:rPr>
        <w:t>概貌</w:t>
      </w:r>
      <w:r>
        <w:rPr>
          <w:rFonts w:hint="eastAsia" w:ascii="仿宋" w:hAnsi="仿宋" w:eastAsia="仿宋" w:cs="仿宋"/>
          <w:b/>
          <w:bCs/>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标的1</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default" w:ascii="仿宋" w:hAnsi="仿宋" w:eastAsia="仿宋" w:cs="仿宋"/>
          <w:b/>
          <w:bCs/>
          <w:color w:val="auto"/>
          <w:sz w:val="30"/>
          <w:szCs w:val="30"/>
          <w:lang w:val="en-US" w:eastAsia="zh-CN"/>
        </w:rPr>
      </w:pPr>
      <w:r>
        <w:rPr>
          <w:rFonts w:hint="default" w:ascii="仿宋" w:hAnsi="仿宋" w:eastAsia="仿宋" w:cs="仿宋"/>
          <w:b/>
          <w:bCs/>
          <w:color w:val="auto"/>
          <w:sz w:val="30"/>
          <w:szCs w:val="30"/>
          <w:lang w:val="en-US" w:eastAsia="zh-CN"/>
        </w:rPr>
        <w:drawing>
          <wp:inline distT="0" distB="0" distL="114300" distR="114300">
            <wp:extent cx="2520315" cy="2520315"/>
            <wp:effectExtent l="0" t="0" r="13335" b="13335"/>
            <wp:docPr id="12" name="图片 12" descr="DSC00216"/>
            <wp:cNvGraphicFramePr/>
            <a:graphic xmlns:a="http://schemas.openxmlformats.org/drawingml/2006/main">
              <a:graphicData uri="http://schemas.openxmlformats.org/drawingml/2006/picture">
                <pic:pic xmlns:pic="http://schemas.openxmlformats.org/drawingml/2006/picture">
                  <pic:nvPicPr>
                    <pic:cNvPr id="12" name="图片 12" descr="DSC00216"/>
                    <pic:cNvPicPr/>
                  </pic:nvPicPr>
                  <pic:blipFill>
                    <a:blip r:embed="rId8"/>
                    <a:stretch>
                      <a:fillRect/>
                    </a:stretch>
                  </pic:blipFill>
                  <pic:spPr>
                    <a:xfrm>
                      <a:off x="0" y="0"/>
                      <a:ext cx="2520315" cy="2520315"/>
                    </a:xfrm>
                    <a:prstGeom prst="rect">
                      <a:avLst/>
                    </a:prstGeom>
                  </pic:spPr>
                </pic:pic>
              </a:graphicData>
            </a:graphic>
          </wp:inline>
        </w:drawing>
      </w:r>
      <w:r>
        <w:rPr>
          <w:rFonts w:hint="default" w:ascii="仿宋" w:hAnsi="仿宋" w:eastAsia="仿宋" w:cs="仿宋"/>
          <w:b/>
          <w:bCs/>
          <w:color w:val="auto"/>
          <w:sz w:val="30"/>
          <w:szCs w:val="30"/>
          <w:lang w:val="en-US" w:eastAsia="zh-CN"/>
        </w:rPr>
        <w:drawing>
          <wp:inline distT="0" distB="0" distL="114300" distR="114300">
            <wp:extent cx="2520315" cy="2520315"/>
            <wp:effectExtent l="0" t="0" r="13335" b="13335"/>
            <wp:docPr id="11" name="图片 11" descr="DSC00223"/>
            <wp:cNvGraphicFramePr/>
            <a:graphic xmlns:a="http://schemas.openxmlformats.org/drawingml/2006/main">
              <a:graphicData uri="http://schemas.openxmlformats.org/drawingml/2006/picture">
                <pic:pic xmlns:pic="http://schemas.openxmlformats.org/drawingml/2006/picture">
                  <pic:nvPicPr>
                    <pic:cNvPr id="11" name="图片 11" descr="DSC00223"/>
                    <pic:cNvPicPr/>
                  </pic:nvPicPr>
                  <pic:blipFill>
                    <a:blip r:embed="rId9"/>
                    <a:stretch>
                      <a:fillRect/>
                    </a:stretch>
                  </pic:blipFill>
                  <pic:spPr>
                    <a:xfrm>
                      <a:off x="0" y="0"/>
                      <a:ext cx="2520315" cy="2520315"/>
                    </a:xfrm>
                    <a:prstGeom prst="rect">
                      <a:avLst/>
                    </a:prstGeom>
                  </pic:spPr>
                </pic:pic>
              </a:graphicData>
            </a:graphic>
          </wp:inline>
        </w:drawing>
      </w:r>
      <w:r>
        <w:rPr>
          <w:rFonts w:hint="default" w:ascii="仿宋" w:hAnsi="仿宋" w:eastAsia="仿宋" w:cs="仿宋"/>
          <w:b/>
          <w:bCs/>
          <w:color w:val="auto"/>
          <w:sz w:val="30"/>
          <w:szCs w:val="30"/>
          <w:lang w:val="en-US" w:eastAsia="zh-CN"/>
        </w:rPr>
        <w:drawing>
          <wp:inline distT="0" distB="0" distL="114300" distR="114300">
            <wp:extent cx="2520315" cy="2520315"/>
            <wp:effectExtent l="0" t="0" r="13335" b="13335"/>
            <wp:docPr id="9" name="图片 9" descr="DSC00227"/>
            <wp:cNvGraphicFramePr/>
            <a:graphic xmlns:a="http://schemas.openxmlformats.org/drawingml/2006/main">
              <a:graphicData uri="http://schemas.openxmlformats.org/drawingml/2006/picture">
                <pic:pic xmlns:pic="http://schemas.openxmlformats.org/drawingml/2006/picture">
                  <pic:nvPicPr>
                    <pic:cNvPr id="9" name="图片 9" descr="DSC00227"/>
                    <pic:cNvPicPr/>
                  </pic:nvPicPr>
                  <pic:blipFill>
                    <a:blip r:embed="rId10"/>
                    <a:stretch>
                      <a:fillRect/>
                    </a:stretch>
                  </pic:blipFill>
                  <pic:spPr>
                    <a:xfrm>
                      <a:off x="0" y="0"/>
                      <a:ext cx="2520315" cy="2520315"/>
                    </a:xfrm>
                    <a:prstGeom prst="rect">
                      <a:avLst/>
                    </a:prstGeom>
                  </pic:spPr>
                </pic:pic>
              </a:graphicData>
            </a:graphic>
          </wp:inline>
        </w:drawing>
      </w:r>
      <w:r>
        <w:rPr>
          <w:rFonts w:hint="default" w:ascii="仿宋" w:hAnsi="仿宋" w:eastAsia="仿宋" w:cs="仿宋"/>
          <w:b/>
          <w:bCs/>
          <w:color w:val="auto"/>
          <w:sz w:val="30"/>
          <w:szCs w:val="30"/>
          <w:lang w:val="en-US" w:eastAsia="zh-CN"/>
        </w:rPr>
        <w:drawing>
          <wp:inline distT="0" distB="0" distL="114300" distR="114300">
            <wp:extent cx="2520315" cy="2520315"/>
            <wp:effectExtent l="0" t="0" r="13335" b="13335"/>
            <wp:docPr id="8" name="图片 8" descr="DSC00234"/>
            <wp:cNvGraphicFramePr/>
            <a:graphic xmlns:a="http://schemas.openxmlformats.org/drawingml/2006/main">
              <a:graphicData uri="http://schemas.openxmlformats.org/drawingml/2006/picture">
                <pic:pic xmlns:pic="http://schemas.openxmlformats.org/drawingml/2006/picture">
                  <pic:nvPicPr>
                    <pic:cNvPr id="8" name="图片 8" descr="DSC00234"/>
                    <pic:cNvPicPr/>
                  </pic:nvPicPr>
                  <pic:blipFill>
                    <a:blip r:embed="rId11"/>
                    <a:stretch>
                      <a:fillRect/>
                    </a:stretch>
                  </pic:blipFill>
                  <pic:spPr>
                    <a:xfrm>
                      <a:off x="0" y="0"/>
                      <a:ext cx="2520315" cy="2520315"/>
                    </a:xfrm>
                    <a:prstGeom prst="rect">
                      <a:avLst/>
                    </a:prstGeom>
                  </pic:spPr>
                </pic:pic>
              </a:graphicData>
            </a:graphic>
          </wp:inline>
        </w:drawing>
      </w:r>
      <w:r>
        <w:rPr>
          <w:rFonts w:hint="default" w:ascii="仿宋" w:hAnsi="仿宋" w:eastAsia="仿宋" w:cs="仿宋"/>
          <w:b/>
          <w:bCs/>
          <w:color w:val="auto"/>
          <w:sz w:val="30"/>
          <w:szCs w:val="30"/>
          <w:lang w:val="en-US" w:eastAsia="zh-CN"/>
        </w:rPr>
        <w:drawing>
          <wp:inline distT="0" distB="0" distL="114300" distR="114300">
            <wp:extent cx="2520315" cy="2520315"/>
            <wp:effectExtent l="0" t="0" r="13335" b="13335"/>
            <wp:docPr id="7" name="图片 7" descr="DSC00238"/>
            <wp:cNvGraphicFramePr/>
            <a:graphic xmlns:a="http://schemas.openxmlformats.org/drawingml/2006/main">
              <a:graphicData uri="http://schemas.openxmlformats.org/drawingml/2006/picture">
                <pic:pic xmlns:pic="http://schemas.openxmlformats.org/drawingml/2006/picture">
                  <pic:nvPicPr>
                    <pic:cNvPr id="7" name="图片 7" descr="DSC00238"/>
                    <pic:cNvPicPr/>
                  </pic:nvPicPr>
                  <pic:blipFill>
                    <a:blip r:embed="rId12"/>
                    <a:stretch>
                      <a:fillRect/>
                    </a:stretch>
                  </pic:blipFill>
                  <pic:spPr>
                    <a:xfrm>
                      <a:off x="0" y="0"/>
                      <a:ext cx="2520315" cy="2520315"/>
                    </a:xfrm>
                    <a:prstGeom prst="rect">
                      <a:avLst/>
                    </a:prstGeom>
                  </pic:spPr>
                </pic:pic>
              </a:graphicData>
            </a:graphic>
          </wp:inline>
        </w:drawing>
      </w:r>
      <w:r>
        <w:rPr>
          <w:rFonts w:hint="default" w:ascii="仿宋" w:hAnsi="仿宋" w:eastAsia="仿宋" w:cs="仿宋"/>
          <w:b/>
          <w:bCs/>
          <w:color w:val="auto"/>
          <w:sz w:val="30"/>
          <w:szCs w:val="30"/>
          <w:lang w:val="en-US" w:eastAsia="zh-CN"/>
        </w:rPr>
        <w:drawing>
          <wp:inline distT="0" distB="0" distL="114300" distR="114300">
            <wp:extent cx="2520315" cy="2520315"/>
            <wp:effectExtent l="0" t="0" r="13335" b="13335"/>
            <wp:docPr id="10" name="图片 10" descr="DSC00246"/>
            <wp:cNvGraphicFramePr/>
            <a:graphic xmlns:a="http://schemas.openxmlformats.org/drawingml/2006/main">
              <a:graphicData uri="http://schemas.openxmlformats.org/drawingml/2006/picture">
                <pic:pic xmlns:pic="http://schemas.openxmlformats.org/drawingml/2006/picture">
                  <pic:nvPicPr>
                    <pic:cNvPr id="10" name="图片 10" descr="DSC00246"/>
                    <pic:cNvPicPr/>
                  </pic:nvPicPr>
                  <pic:blipFill>
                    <a:blip r:embed="rId13"/>
                    <a:stretch>
                      <a:fillRect/>
                    </a:stretch>
                  </pic:blipFill>
                  <pic:spPr>
                    <a:xfrm>
                      <a:off x="0" y="0"/>
                      <a:ext cx="2520315" cy="25203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default"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标的2</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6" name="图片 26" descr="DSC00184"/>
            <wp:cNvGraphicFramePr/>
            <a:graphic xmlns:a="http://schemas.openxmlformats.org/drawingml/2006/main">
              <a:graphicData uri="http://schemas.openxmlformats.org/drawingml/2006/picture">
                <pic:pic xmlns:pic="http://schemas.openxmlformats.org/drawingml/2006/picture">
                  <pic:nvPicPr>
                    <pic:cNvPr id="26" name="图片 26" descr="DSC00184"/>
                    <pic:cNvPicPr/>
                  </pic:nvPicPr>
                  <pic:blipFill>
                    <a:blip r:embed="rId14"/>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5" name="图片 25" descr="DSC00185"/>
            <wp:cNvGraphicFramePr/>
            <a:graphic xmlns:a="http://schemas.openxmlformats.org/drawingml/2006/main">
              <a:graphicData uri="http://schemas.openxmlformats.org/drawingml/2006/picture">
                <pic:pic xmlns:pic="http://schemas.openxmlformats.org/drawingml/2006/picture">
                  <pic:nvPicPr>
                    <pic:cNvPr id="25" name="图片 25" descr="DSC00185"/>
                    <pic:cNvPicPr/>
                  </pic:nvPicPr>
                  <pic:blipFill>
                    <a:blip r:embed="rId15"/>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4" name="图片 24" descr="DSC00188"/>
            <wp:cNvGraphicFramePr/>
            <a:graphic xmlns:a="http://schemas.openxmlformats.org/drawingml/2006/main">
              <a:graphicData uri="http://schemas.openxmlformats.org/drawingml/2006/picture">
                <pic:pic xmlns:pic="http://schemas.openxmlformats.org/drawingml/2006/picture">
                  <pic:nvPicPr>
                    <pic:cNvPr id="24" name="图片 24" descr="DSC00188"/>
                    <pic:cNvPicPr/>
                  </pic:nvPicPr>
                  <pic:blipFill>
                    <a:blip r:embed="rId16"/>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3" name="图片 23" descr="DSC00191"/>
            <wp:cNvGraphicFramePr/>
            <a:graphic xmlns:a="http://schemas.openxmlformats.org/drawingml/2006/main">
              <a:graphicData uri="http://schemas.openxmlformats.org/drawingml/2006/picture">
                <pic:pic xmlns:pic="http://schemas.openxmlformats.org/drawingml/2006/picture">
                  <pic:nvPicPr>
                    <pic:cNvPr id="23" name="图片 23" descr="DSC00191"/>
                    <pic:cNvPicPr/>
                  </pic:nvPicPr>
                  <pic:blipFill>
                    <a:blip r:embed="rId17"/>
                    <a:stretch>
                      <a:fillRect/>
                    </a:stretch>
                  </pic:blipFill>
                  <pic:spPr>
                    <a:xfrm>
                      <a:off x="0" y="0"/>
                      <a:ext cx="2520315" cy="2520315"/>
                    </a:xfrm>
                    <a:prstGeom prst="rect">
                      <a:avLst/>
                    </a:prstGeom>
                  </pic:spPr>
                </pic:pic>
              </a:graphicData>
            </a:graphic>
          </wp:inline>
        </w:drawing>
      </w:r>
      <w:bookmarkStart w:id="0" w:name="_GoBack"/>
      <w:bookmarkEnd w:id="0"/>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2" name="图片 22" descr="DSC00209"/>
            <wp:cNvGraphicFramePr/>
            <a:graphic xmlns:a="http://schemas.openxmlformats.org/drawingml/2006/main">
              <a:graphicData uri="http://schemas.openxmlformats.org/drawingml/2006/picture">
                <pic:pic xmlns:pic="http://schemas.openxmlformats.org/drawingml/2006/picture">
                  <pic:nvPicPr>
                    <pic:cNvPr id="22" name="图片 22" descr="DSC00209"/>
                    <pic:cNvPicPr/>
                  </pic:nvPicPr>
                  <pic:blipFill>
                    <a:blip r:embed="rId18"/>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1" name="图片 21" descr="DSC00212"/>
            <wp:cNvGraphicFramePr/>
            <a:graphic xmlns:a="http://schemas.openxmlformats.org/drawingml/2006/main">
              <a:graphicData uri="http://schemas.openxmlformats.org/drawingml/2006/picture">
                <pic:pic xmlns:pic="http://schemas.openxmlformats.org/drawingml/2006/picture">
                  <pic:nvPicPr>
                    <pic:cNvPr id="21" name="图片 21" descr="DSC00212"/>
                    <pic:cNvPicPr/>
                  </pic:nvPicPr>
                  <pic:blipFill>
                    <a:blip r:embed="rId19"/>
                    <a:stretch>
                      <a:fillRect/>
                    </a:stretch>
                  </pic:blipFill>
                  <pic:spPr>
                    <a:xfrm>
                      <a:off x="0" y="0"/>
                      <a:ext cx="2520315" cy="2520315"/>
                    </a:xfrm>
                    <a:prstGeom prst="rect">
                      <a:avLst/>
                    </a:prstGeom>
                  </pic:spPr>
                </pic:pic>
              </a:graphicData>
            </a:graphic>
          </wp:inline>
        </w:drawing>
      </w:r>
    </w:p>
    <w:p>
      <w:pPr>
        <w:rPr>
          <w:rFonts w:hint="default" w:eastAsia="宋体"/>
          <w:color w:val="auto"/>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17</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WKKv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17</w:t>
                    </w:r>
                    <w:r>
                      <w:rPr>
                        <w:rFonts w:hint="eastAsia" w:ascii="仿宋" w:hAnsi="仿宋" w:eastAsia="仿宋" w:cs="仿宋"/>
                      </w:rPr>
                      <w:t xml:space="preserve"> 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18"/>
        <w:szCs w:val="18"/>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sz w:val="18"/>
        <w:szCs w:val="18"/>
        <w:u w:val="single"/>
        <w:lang w:val="en-US" w:eastAsia="zh-CN"/>
      </w:rPr>
      <w:t xml:space="preserve">    </w:t>
    </w:r>
    <w:r>
      <w:rPr>
        <w:rFonts w:hint="eastAsia" w:ascii="仿宋" w:hAnsi="仿宋" w:eastAsia="仿宋" w:cs="仿宋"/>
        <w:sz w:val="18"/>
        <w:szCs w:val="18"/>
        <w:u w:val="single"/>
        <w:lang w:val="en-US" w:eastAsia="zh-CN"/>
      </w:rPr>
      <w:t>毓秀新城，毓秀花园涉案房地产价格评估报告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6F8A1"/>
    <w:multiLevelType w:val="singleLevel"/>
    <w:tmpl w:val="93E6F8A1"/>
    <w:lvl w:ilvl="0" w:tentative="0">
      <w:start w:val="13"/>
      <w:numFmt w:val="chineseCounting"/>
      <w:suff w:val="nothing"/>
      <w:lvlText w:val="%1、"/>
      <w:lvlJc w:val="left"/>
      <w:rPr>
        <w:rFonts w:hint="eastAsia"/>
      </w:rPr>
    </w:lvl>
  </w:abstractNum>
  <w:abstractNum w:abstractNumId="1">
    <w:nsid w:val="2F9F7AD1"/>
    <w:multiLevelType w:val="singleLevel"/>
    <w:tmpl w:val="2F9F7AD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02018"/>
    <w:rsid w:val="05972984"/>
    <w:rsid w:val="05C521E9"/>
    <w:rsid w:val="0F2A232B"/>
    <w:rsid w:val="0F8461F3"/>
    <w:rsid w:val="10490079"/>
    <w:rsid w:val="11A7392F"/>
    <w:rsid w:val="14A566F8"/>
    <w:rsid w:val="15104E43"/>
    <w:rsid w:val="157A76B5"/>
    <w:rsid w:val="1F8A1EBA"/>
    <w:rsid w:val="22276AD3"/>
    <w:rsid w:val="2B2B0C1C"/>
    <w:rsid w:val="2EA50EA5"/>
    <w:rsid w:val="3376707F"/>
    <w:rsid w:val="33FF4ADE"/>
    <w:rsid w:val="375D2B5F"/>
    <w:rsid w:val="3A677C9D"/>
    <w:rsid w:val="3F860928"/>
    <w:rsid w:val="40360E64"/>
    <w:rsid w:val="425E6681"/>
    <w:rsid w:val="49765461"/>
    <w:rsid w:val="4A834233"/>
    <w:rsid w:val="4C507CD4"/>
    <w:rsid w:val="50702018"/>
    <w:rsid w:val="50E52E9E"/>
    <w:rsid w:val="5274333E"/>
    <w:rsid w:val="53177EF7"/>
    <w:rsid w:val="54775D01"/>
    <w:rsid w:val="54927375"/>
    <w:rsid w:val="574F0B3B"/>
    <w:rsid w:val="5C1318BA"/>
    <w:rsid w:val="5DF9063C"/>
    <w:rsid w:val="5FDA5479"/>
    <w:rsid w:val="64CF60C1"/>
    <w:rsid w:val="66346C68"/>
    <w:rsid w:val="69BC2D2D"/>
    <w:rsid w:val="6C496E3D"/>
    <w:rsid w:val="6D194017"/>
    <w:rsid w:val="6FFA0881"/>
    <w:rsid w:val="72DB435C"/>
    <w:rsid w:val="73BD5FCC"/>
    <w:rsid w:val="76B0775C"/>
    <w:rsid w:val="7C1042D0"/>
    <w:rsid w:val="7E735829"/>
    <w:rsid w:val="7F991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2021-11-25T07:04:00Z</dcterms:created>
  <dc:creator>小西瓜、</dc:creator>
  <cp:lastModifiedBy>lenovo</cp:lastModifiedBy>
  <dcterms:modified xsi:type="dcterms:W3CDTF">2022-03-04T01:16:50Z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87AD8FD7BBC14F70BCB18DBE4472F44E</vt:lpwstr>
  </property>
</Properties>
</file>