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..........................5-7</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...........................8-12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.......................12</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.........................13-19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（五）估价测算过程...............................15-19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（六）估价结果确定..................................19</w:t>
      </w:r>
      <w:bookmarkStart w:id="0" w:name="_GoBack"/>
      <w:bookmarkEnd w:id="0"/>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致委托方函</w:t>
      </w:r>
    </w:p>
    <w:p>
      <w:pPr>
        <w:ind w:firstLine="560" w:firstLineChars="200"/>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孝感市孝南区人民法院：</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受贵方（以下简称委托方）的委托，本公司</w:t>
      </w:r>
      <w:r>
        <w:rPr>
          <w:rFonts w:hint="eastAsia" w:ascii="仿宋_GB2312" w:hAnsi="宋体" w:eastAsia="仿宋_GB2312" w:cs="Times New Roman"/>
          <w:kern w:val="2"/>
          <w:sz w:val="28"/>
          <w:szCs w:val="28"/>
          <w:highlight w:val="none"/>
          <w:lang w:val="en-US" w:eastAsia="zh-CN" w:bidi="ar-SA"/>
        </w:rPr>
        <w:t>于2021年09月08日派</w:t>
      </w:r>
      <w:r>
        <w:rPr>
          <w:rFonts w:hint="eastAsia" w:ascii="仿宋_GB2312" w:hAnsi="宋体" w:eastAsia="仿宋_GB2312" w:cs="Times New Roman"/>
          <w:kern w:val="2"/>
          <w:sz w:val="28"/>
          <w:szCs w:val="28"/>
          <w:lang w:val="en-US" w:eastAsia="zh-CN" w:bidi="ar-SA"/>
        </w:rPr>
        <w:t>员对委托方列明的叶小贺所有的、位于汉川市沈家湾新村159号西边1幢，建筑面积为145.67平方米的住宅房屋（含相关权益）进行了现场实地查勘，并对估价对象房地产于估价时</w:t>
      </w:r>
      <w:r>
        <w:rPr>
          <w:rFonts w:hint="eastAsia" w:ascii="仿宋_GB2312" w:hAnsi="宋体" w:eastAsia="仿宋_GB2312" w:cs="Times New Roman"/>
          <w:kern w:val="2"/>
          <w:sz w:val="28"/>
          <w:szCs w:val="28"/>
          <w:highlight w:val="none"/>
          <w:lang w:val="en-US" w:eastAsia="zh-CN" w:bidi="ar-SA"/>
        </w:rPr>
        <w:t>点2021年09月08日的市</w:t>
      </w:r>
      <w:r>
        <w:rPr>
          <w:rFonts w:hint="eastAsia" w:ascii="仿宋_GB2312" w:hAnsi="宋体" w:eastAsia="仿宋_GB2312" w:cs="Times New Roman"/>
          <w:kern w:val="2"/>
          <w:sz w:val="28"/>
          <w:szCs w:val="28"/>
          <w:lang w:val="en-US" w:eastAsia="zh-CN" w:bidi="ar-SA"/>
        </w:rPr>
        <w:t>场价值进行了估价，为委托方处理案件确定财产处置参考价提供价格咨询参考依据。</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整个估价过程中，估价人员本着独立、客观、公正的原则，根据估价目的，按照估价程序，选择市场法对估价对象进行了评估。估价人员经过实地勘察和评估测算，确定估价对象在估价时点可能形成的市场价值为￥454345元(大写人民币肆拾伍万肆仟叁佰肆拾伍元整)。</w:t>
      </w:r>
    </w:p>
    <w:p>
      <w:pPr>
        <w:rPr>
          <w:rFonts w:hint="eastAsia" w:ascii="仿宋_GB2312" w:hAnsi="宋体" w:eastAsia="仿宋_GB2312" w:cs="Times New Roman"/>
          <w:kern w:val="2"/>
          <w:sz w:val="28"/>
          <w:szCs w:val="28"/>
          <w:lang w:val="en-US" w:eastAsia="zh-CN" w:bidi="ar-SA"/>
        </w:rPr>
      </w:pPr>
    </w:p>
    <w:p>
      <w:pPr>
        <w:rPr>
          <w:rFonts w:hint="eastAsia" w:ascii="仿宋" w:hAnsi="仿宋" w:eastAsia="仿宋"/>
          <w:sz w:val="30"/>
          <w:szCs w:val="30"/>
        </w:rPr>
      </w:pPr>
    </w:p>
    <w:p>
      <w:pPr>
        <w:rPr>
          <w:rFonts w:hint="eastAsia" w:ascii="仿宋" w:hAnsi="仿宋" w:eastAsia="仿宋" w:cs="仿宋"/>
          <w:sz w:val="30"/>
          <w:szCs w:val="30"/>
          <w:lang w:val="en-US" w:eastAsia="zh-CN"/>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二○二一年九月二十二日</w:t>
      </w: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ascii="仿宋" w:hAnsi="仿宋" w:eastAsia="仿宋"/>
          <w:b/>
          <w:bCs/>
          <w:sz w:val="30"/>
          <w:szCs w:val="30"/>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1、估价对象产权手续齐全，房屋产权明确清晰，可在公开市场上自由转让交易。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2、本评估报告使用人须正确理解和使用评估结论，评估结论不等同于评估对象可实现价格，评估结论不应当被认为是对评估对象可实现价格的保证。</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w:t>
      </w:r>
      <w:r>
        <w:rPr>
          <w:rFonts w:hint="eastAsia" w:ascii="仿宋_GB2312" w:hAnsi="仿宋" w:eastAsia="仿宋_GB2312"/>
          <w:b w:val="0"/>
          <w:bCs/>
          <w:sz w:val="28"/>
          <w:szCs w:val="28"/>
          <w:lang w:val="en-US" w:eastAsia="zh-CN"/>
        </w:rPr>
        <w:t>当事人或其他利害关系人对本估价报告如有异议，可以在收到估价报告10日内以书面形式向人民法院提出。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4、估价结果是根据估价对象的使用年限，以及现场实物勘查情况，结合市场实际交易实例，采用市场法进行综合估算的。</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5、评估过程中，没有考虑该房屋产权被抵押、查封后对估价结果的影响。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二○二一年九月二十二日</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 w:hAnsi="仿宋"/>
          <w:b/>
          <w:w w:val="40"/>
          <w:sz w:val="140"/>
          <w:szCs w:val="140"/>
        </w:rPr>
      </w:pPr>
      <w:r>
        <w:rPr>
          <w:rFonts w:hint="eastAsia" w:ascii="仿宋" w:hAnsi="仿宋"/>
          <w:b/>
          <w:w w:val="40"/>
          <w:sz w:val="140"/>
          <w:szCs w:val="140"/>
          <w:lang w:val="en-US" w:eastAsia="zh-CN"/>
        </w:rPr>
        <w:t xml:space="preserve"> </w:t>
      </w:r>
      <w:r>
        <w:rPr>
          <w:rFonts w:hint="eastAsia" w:ascii="仿宋" w:hAnsi="仿宋"/>
          <w:b/>
          <w:w w:val="40"/>
          <w:sz w:val="140"/>
          <w:szCs w:val="140"/>
        </w:rPr>
        <w:t>湖北循其本价格鉴定评估有限公司</w:t>
      </w:r>
    </w:p>
    <w:p>
      <w:pPr>
        <w:ind w:left="-92" w:leftChars="-85" w:right="-147" w:rightChars="-70" w:hanging="86" w:hangingChars="31"/>
        <w:jc w:val="center"/>
        <w:rPr>
          <w:rFonts w:hint="eastAsia" w:ascii="仿宋_GB2312" w:hAnsi="仿宋" w:eastAsia="仿宋_GB2312"/>
          <w:kern w:val="13"/>
          <w:sz w:val="28"/>
          <w:szCs w:val="28"/>
          <w:highlight w:val="none"/>
        </w:rPr>
      </w:pPr>
      <w:r>
        <w:rPr>
          <w:sz w:val="28"/>
          <w:highlight w:val="none"/>
        </w:rPr>
        <mc:AlternateContent>
          <mc:Choice Requires="wps">
            <w:drawing>
              <wp:anchor distT="0" distB="0" distL="114300" distR="114300" simplePos="0" relativeHeight="251661312" behindDoc="0" locked="0" layoutInCell="1" allowOverlap="1">
                <wp:simplePos x="0" y="0"/>
                <wp:positionH relativeFrom="column">
                  <wp:posOffset>-100965</wp:posOffset>
                </wp:positionH>
                <wp:positionV relativeFrom="paragraph">
                  <wp:posOffset>346075</wp:posOffset>
                </wp:positionV>
                <wp:extent cx="5553075" cy="635"/>
                <wp:effectExtent l="0" t="0" r="0" b="0"/>
                <wp:wrapNone/>
                <wp:docPr id="1" name="直接连接符 1"/>
                <wp:cNvGraphicFramePr/>
                <a:graphic xmlns:a="http://schemas.openxmlformats.org/drawingml/2006/main">
                  <a:graphicData uri="http://schemas.microsoft.com/office/word/2010/wordprocessingShape">
                    <wps:wsp>
                      <wps:cNvCnPr/>
                      <wps:spPr>
                        <a:xfrm>
                          <a:off x="0" y="0"/>
                          <a:ext cx="55530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95pt;margin-top:27.25pt;height:0.05pt;width:437.25pt;z-index:251661312;mso-width-relative:page;mso-height-relative:page;" filled="f" stroked="t" coordsize="21600,21600" o:gfxdata="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wDw6NgAAAAJAQAADwAAAAAA&#10;AAABACAAAAAiAAAAZHJzL2Rvd25yZXYueG1sUEsBAhQAFAAAAAgAh07iQHPpizfaAQAAmAMAAA4A&#10;AAAAAAAAAQAgAAAAJwEAAGRycy9lMm9Eb2MueG1sUEsFBgAAAAAGAAYAWQEAAHMFA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21</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71130</w:t>
      </w:r>
      <w:r>
        <w:rPr>
          <w:rFonts w:hint="eastAsia" w:ascii="仿宋_GB2312" w:hAnsi="仿宋" w:eastAsia="仿宋_GB2312"/>
          <w:kern w:val="13"/>
          <w:sz w:val="28"/>
          <w:szCs w:val="28"/>
          <w:highlight w:val="none"/>
        </w:rPr>
        <w:t>号</w:t>
      </w:r>
    </w:p>
    <w:p>
      <w:pPr>
        <w:jc w:val="center"/>
        <w:rPr>
          <w:rFonts w:hint="eastAsia" w:ascii="仿宋" w:hAnsi="仿宋" w:eastAsia="仿宋"/>
          <w:b/>
          <w:bCs/>
          <w:sz w:val="36"/>
          <w:szCs w:val="36"/>
          <w:lang w:val="en-US" w:eastAsia="zh-CN"/>
        </w:rPr>
      </w:pPr>
      <w:r>
        <w:rPr>
          <w:rFonts w:hint="eastAsia" w:ascii="仿宋" w:hAnsi="仿宋" w:eastAsia="仿宋"/>
          <w:b/>
          <w:bCs/>
          <w:sz w:val="36"/>
          <w:szCs w:val="36"/>
          <w:lang w:val="en-US" w:eastAsia="zh-CN"/>
        </w:rPr>
        <w:t>叶小贺所有的</w:t>
      </w:r>
    </w:p>
    <w:p>
      <w:pPr>
        <w:jc w:val="center"/>
        <w:rPr>
          <w:rFonts w:hint="eastAsia" w:ascii="仿宋" w:hAnsi="仿宋" w:eastAsia="仿宋"/>
          <w:b/>
          <w:bCs/>
          <w:sz w:val="36"/>
          <w:szCs w:val="36"/>
          <w:lang w:val="en-US" w:eastAsia="zh-CN"/>
        </w:rPr>
      </w:pPr>
      <w:r>
        <w:rPr>
          <w:rFonts w:hint="eastAsia" w:ascii="仿宋" w:hAnsi="仿宋" w:eastAsia="仿宋"/>
          <w:b/>
          <w:bCs/>
          <w:sz w:val="36"/>
          <w:szCs w:val="36"/>
          <w:lang w:val="en-US" w:eastAsia="zh-CN"/>
        </w:rPr>
        <w:t>位于汉川市沈家湾新村159号西边1幢住宅</w:t>
      </w:r>
    </w:p>
    <w:p>
      <w:pPr>
        <w:jc w:val="center"/>
        <w:rPr>
          <w:rFonts w:ascii="仿宋" w:hAnsi="仿宋" w:eastAsia="仿宋"/>
          <w:b/>
          <w:bCs/>
          <w:sz w:val="36"/>
          <w:szCs w:val="36"/>
        </w:rPr>
      </w:pPr>
      <w:r>
        <w:rPr>
          <w:rFonts w:hint="eastAsia" w:ascii="仿宋" w:hAnsi="仿宋" w:eastAsia="仿宋"/>
          <w:b/>
          <w:bCs/>
          <w:sz w:val="36"/>
          <w:szCs w:val="36"/>
        </w:rPr>
        <w:t>房地产估价结果报告</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lang w:val="en-US" w:eastAsia="zh-CN"/>
        </w:rPr>
        <w:t>（一）委托方</w:t>
      </w:r>
    </w:p>
    <w:p>
      <w:pPr>
        <w:numPr>
          <w:ilvl w:val="0"/>
          <w:numId w:val="1"/>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委托方：孝感市孝南区人民法院</w:t>
      </w:r>
    </w:p>
    <w:p>
      <w:pPr>
        <w:numPr>
          <w:ilvl w:val="0"/>
          <w:numId w:val="0"/>
        </w:numPr>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2. 住所：</w:t>
      </w:r>
      <w:r>
        <w:rPr>
          <w:rFonts w:hint="eastAsia" w:ascii="仿宋_GB2312" w:hAnsi="宋体" w:eastAsia="仿宋_GB2312" w:cs="Times New Roman"/>
          <w:kern w:val="2"/>
          <w:sz w:val="28"/>
          <w:szCs w:val="28"/>
          <w:highlight w:val="none"/>
          <w:lang w:val="en-US" w:eastAsia="zh-CN" w:bidi="ar-SA"/>
        </w:rPr>
        <w:t>湖北省孝感市孝南区黄花路38号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（二）估价方：</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1. 法定代表人：</w:t>
      </w:r>
      <w:r>
        <w:rPr>
          <w:rFonts w:hint="eastAsia" w:ascii="仿宋_GB2312" w:hAnsi="宋体" w:eastAsia="仿宋_GB2312"/>
          <w:sz w:val="28"/>
          <w:szCs w:val="28"/>
          <w:lang w:val="en-US" w:eastAsia="zh-CN"/>
        </w:rPr>
        <w:t>魏胜凯</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 住所：咸宁市长江产业园（书苑小区）3栋1单元12层1201号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（三）估价对象</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1、估价对象范围</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本次估价对象范围为叶小贺所有的、位于汉川市沈家湾新村159号西边1幢，建筑面积为145.67平方米的住宅房地产。</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2、估价对象基本情况</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经本机构人员的实地勘查和委托方提供的委托书及不动产权情况表等资料，可知估价对象实体状况如下</w:t>
      </w:r>
      <w:r>
        <w:rPr>
          <w:rFonts w:hint="eastAsia" w:ascii="仿宋_GB2312" w:hAnsi="宋体" w:eastAsia="仿宋_GB2312" w:cs="Times New Roman"/>
          <w:kern w:val="2"/>
          <w:sz w:val="28"/>
          <w:szCs w:val="28"/>
          <w:lang w:val="en-US" w:eastAsia="zh-CN" w:bidi="ar-SA"/>
        </w:rPr>
        <w:t>：</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估价对象座落</w:t>
      </w:r>
      <w:r>
        <w:rPr>
          <w:rFonts w:hint="eastAsia" w:ascii="仿宋_GB2312" w:hAnsi="宋体" w:eastAsia="仿宋_GB2312" w:cs="Times New Roman"/>
          <w:kern w:val="2"/>
          <w:sz w:val="28"/>
          <w:szCs w:val="28"/>
          <w:lang w:val="en-US" w:eastAsia="zh-CN" w:bidi="ar-SA"/>
        </w:rPr>
        <w:t>汉川市沈家湾新村159号西边1幢住宅房屋，建筑面积为145.67平方米</w:t>
      </w:r>
      <w:r>
        <w:rPr>
          <w:rFonts w:hint="eastAsia" w:ascii="仿宋_GB2312" w:hAnsi="宋体" w:eastAsia="仿宋_GB2312" w:cs="Times New Roman"/>
          <w:kern w:val="2"/>
          <w:sz w:val="28"/>
          <w:szCs w:val="28"/>
          <w:highlight w:val="none"/>
          <w:lang w:val="en-US" w:eastAsia="zh-CN" w:bidi="ar-SA"/>
        </w:rPr>
        <w:t>，房屋所有权人为叶小贺，单独所有，房屋用途为住宅，房屋结构为混合结构，所在层/总层数为1-2层/2层，不动产权证书号为汉川市房权证汉川字第A201402372号，登记时间为2014年6月10日。已被抵押，已被查封。</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经现场实物勘验和调查得知，估价对象房屋坐落于汉川市沈家湾新村泵中路35号</w:t>
      </w:r>
      <w:r>
        <w:rPr>
          <w:rFonts w:hint="eastAsia" w:ascii="仿宋_GB2312" w:hAnsi="宋体" w:eastAsia="仿宋_GB2312" w:cs="Times New Roman"/>
          <w:kern w:val="2"/>
          <w:sz w:val="28"/>
          <w:szCs w:val="28"/>
          <w:lang w:val="en-US" w:eastAsia="zh-CN" w:bidi="ar-SA"/>
        </w:rPr>
        <w:t>，</w:t>
      </w:r>
      <w:r>
        <w:rPr>
          <w:rFonts w:hint="eastAsia" w:ascii="仿宋_GB2312" w:hAnsi="宋体" w:eastAsia="仿宋_GB2312" w:cs="Times New Roman"/>
          <w:kern w:val="2"/>
          <w:sz w:val="28"/>
          <w:szCs w:val="28"/>
          <w:highlight w:val="none"/>
          <w:lang w:val="en-US" w:eastAsia="zh-CN" w:bidi="ar-SA"/>
        </w:rPr>
        <w:t>建成于1995年，无封闭院落，无物业管理，总层数为3层，评估层为1-3层，用途为住宅，南北朝向，外墙铺贴墙砖，安装铝合金窗，室内装修情况因多种原因未能勘验。据调查，室内为简单装修，维护保养一般。</w:t>
      </w:r>
    </w:p>
    <w:p>
      <w:pPr>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（四）估价目的</w:t>
      </w:r>
    </w:p>
    <w:p>
      <w:pPr>
        <w:ind w:firstLine="560"/>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highlight w:val="none"/>
          <w:lang w:val="en-US" w:eastAsia="zh-CN" w:bidi="ar-SA"/>
        </w:rPr>
        <w:t>为委托方处理案件提供价格咨询参考依据而评估该房产市场价格，供委托方及相关当事方咨询参考。</w:t>
      </w:r>
      <w:r>
        <w:rPr>
          <w:rFonts w:hint="eastAsia" w:ascii="仿宋_GB2312" w:hAnsi="宋体" w:eastAsia="仿宋_GB2312"/>
          <w:b/>
          <w:bCs/>
          <w:sz w:val="30"/>
          <w:szCs w:val="30"/>
          <w:highlight w:val="none"/>
          <w:lang w:val="en-US" w:eastAsia="zh-CN"/>
        </w:rPr>
        <w:t xml:space="preserve"> </w:t>
      </w:r>
      <w:r>
        <w:rPr>
          <w:rFonts w:hint="eastAsia" w:ascii="仿宋_GB2312" w:hAnsi="宋体" w:eastAsia="仿宋_GB2312"/>
          <w:b/>
          <w:bCs/>
          <w:sz w:val="30"/>
          <w:szCs w:val="30"/>
          <w:lang w:val="en-US" w:eastAsia="zh-CN"/>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（五）估价时点</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二0二一年九月八日。</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（4）《中华人民共和国土地管理法》；</w:t>
      </w:r>
    </w:p>
    <w:p>
      <w:pPr>
        <w:spacing w:beforeLines="0" w:afterLines="0"/>
        <w:jc w:val="left"/>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（5）中华人民共和国国家标准《房地产估价规范》；</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8</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（1）委托方提供的价格评估鉴定委托书；</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（2）委托方提供的相关权属资料复印件及其他资料复印件。</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3、估价机构和估价人员现场查勘、调查所得的资料；掌握和收集的其它询价资料、参数资料和国家有关部门发布的统计资料和技术标准资料。</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我们按照《房地产估价规范》的规定，遵循估价行业公认的估价工作原则，对估价对象进行独立、客观、科学的评价，并遵守国家保密规定。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hint="eastAsia" w:ascii="仿宋" w:hAnsi="仿宋" w:eastAsia="仿宋"/>
          <w:sz w:val="30"/>
          <w:szCs w:val="30"/>
          <w:lang w:val="en-US" w:eastAsia="zh-CN"/>
        </w:rPr>
        <w:t>身情况的界定，也是以在</w:t>
      </w:r>
      <w:r>
        <w:rPr>
          <w:rFonts w:hint="eastAsia" w:ascii="仿宋_GB2312" w:hAnsi="宋体" w:eastAsia="仿宋_GB2312" w:cs="Times New Roman"/>
          <w:kern w:val="2"/>
          <w:sz w:val="28"/>
          <w:szCs w:val="28"/>
          <w:lang w:val="en-US" w:eastAsia="zh-CN" w:bidi="ar-SA"/>
        </w:rPr>
        <w:t>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规范要求和评估人员现场踏勘，以及对估价对象的使用年限、周边类似房地产交易实例和宗地所处区域因素等资料进行收集、分析和整理，结合评估目的，本次估价采用了市场法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估价人员经过实地勘查和测算，确定估价对象在估价时点可能形成的市场价值为￥454345元(大写人民币肆拾伍万肆仟叁佰肆拾伍元整)。</w:t>
      </w:r>
    </w:p>
    <w:p>
      <w:pPr>
        <w:rPr>
          <w:rFonts w:hint="eastAsia" w:ascii="仿宋_GB2312" w:hAnsi="仿宋" w:eastAsia="仿宋_GB2312" w:cs="Times New Roman"/>
          <w:b/>
          <w:kern w:val="2"/>
          <w:sz w:val="28"/>
          <w:szCs w:val="28"/>
          <w:lang w:val="zh-CN" w:eastAsia="zh-CN" w:bidi="ar-SA"/>
        </w:rPr>
      </w:pPr>
      <w:r>
        <w:rPr>
          <w:rFonts w:hint="eastAsia" w:ascii="仿宋_GB2312" w:hAnsi="仿宋" w:eastAsia="仿宋_GB2312" w:cs="Times New Roman"/>
          <w:b/>
          <w:kern w:val="2"/>
          <w:sz w:val="28"/>
          <w:szCs w:val="28"/>
          <w:lang w:val="en-US" w:eastAsia="zh-CN" w:bidi="ar-SA"/>
        </w:rPr>
        <w:t xml:space="preserve">   </w:t>
      </w:r>
      <w:r>
        <w:rPr>
          <w:rFonts w:hint="eastAsia" w:ascii="仿宋_GB2312" w:hAnsi="仿宋" w:eastAsia="仿宋_GB2312" w:cs="Times New Roman"/>
          <w:b/>
          <w:kern w:val="2"/>
          <w:sz w:val="28"/>
          <w:szCs w:val="28"/>
          <w:lang w:val="zh-CN" w:eastAsia="zh-CN" w:bidi="ar-SA"/>
        </w:rPr>
        <w:t>（十一）价格评估机构</w:t>
      </w:r>
    </w:p>
    <w:p>
      <w:pPr>
        <w:pStyle w:val="4"/>
        <w:spacing w:line="600" w:lineRule="exact"/>
        <w:ind w:firstLine="560" w:firstLineChars="200"/>
        <w:jc w:val="both"/>
        <w:rPr>
          <w:rFonts w:hint="eastAsia" w:ascii="仿宋_GB2312" w:hAnsi="仿宋" w:eastAsia="仿宋_GB2312" w:cs="Times New Roman"/>
          <w:kern w:val="2"/>
          <w:sz w:val="28"/>
          <w:szCs w:val="28"/>
          <w:lang w:val="zh-CN" w:eastAsia="zh-CN" w:bidi="ar-SA"/>
        </w:rPr>
      </w:pPr>
      <w:r>
        <w:rPr>
          <w:rFonts w:hint="eastAsia" w:ascii="仿宋_GB2312" w:hAnsi="仿宋" w:eastAsia="仿宋_GB2312" w:cs="Times New Roman"/>
          <w:kern w:val="2"/>
          <w:sz w:val="28"/>
          <w:szCs w:val="28"/>
          <w:lang w:val="zh-CN" w:eastAsia="zh-CN" w:bidi="ar-SA"/>
        </w:rPr>
        <w:t>机构名称：湖北循其本价格鉴定评估有限公司</w:t>
      </w:r>
    </w:p>
    <w:p>
      <w:pPr>
        <w:pStyle w:val="4"/>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zh-CN" w:eastAsia="zh-CN" w:bidi="ar-SA"/>
        </w:rPr>
        <w:t>机构资质证号：中</w:t>
      </w:r>
      <w:r>
        <w:rPr>
          <w:rFonts w:hint="eastAsia" w:ascii="仿宋_GB2312" w:hAnsi="仿宋" w:eastAsia="仿宋_GB2312" w:cs="Times New Roman"/>
          <w:kern w:val="2"/>
          <w:sz w:val="28"/>
          <w:szCs w:val="28"/>
          <w:lang w:val="en-US" w:eastAsia="zh-CN" w:bidi="ar-SA"/>
        </w:rPr>
        <w:t>J</w:t>
      </w:r>
      <w:r>
        <w:rPr>
          <w:rFonts w:hint="eastAsia" w:ascii="仿宋_GB2312" w:hAnsi="仿宋" w:eastAsia="仿宋_GB2312" w:cs="Times New Roman"/>
          <w:kern w:val="2"/>
          <w:sz w:val="28"/>
          <w:szCs w:val="28"/>
          <w:lang w:val="zh-CN" w:eastAsia="zh-CN" w:bidi="ar-SA"/>
        </w:rPr>
        <w:t>1</w:t>
      </w:r>
      <w:r>
        <w:rPr>
          <w:rFonts w:hint="eastAsia" w:ascii="仿宋_GB2312" w:hAnsi="仿宋" w:eastAsia="仿宋_GB2312" w:cs="Times New Roman"/>
          <w:kern w:val="2"/>
          <w:sz w:val="28"/>
          <w:szCs w:val="28"/>
          <w:lang w:val="en-US" w:eastAsia="zh-CN" w:bidi="ar-SA"/>
        </w:rPr>
        <w:t>7</w:t>
      </w:r>
      <w:r>
        <w:rPr>
          <w:rFonts w:hint="eastAsia" w:ascii="仿宋_GB2312" w:hAnsi="仿宋" w:eastAsia="仿宋_GB2312" w:cs="Times New Roman"/>
          <w:kern w:val="2"/>
          <w:sz w:val="28"/>
          <w:szCs w:val="28"/>
          <w:lang w:val="zh-CN" w:eastAsia="zh-CN" w:bidi="ar-SA"/>
        </w:rPr>
        <w:t>000</w:t>
      </w:r>
      <w:r>
        <w:rPr>
          <w:rFonts w:hint="eastAsia" w:ascii="仿宋_GB2312" w:hAnsi="仿宋" w:eastAsia="仿宋_GB2312" w:cs="Times New Roman"/>
          <w:kern w:val="2"/>
          <w:sz w:val="28"/>
          <w:szCs w:val="28"/>
          <w:lang w:val="en-US" w:eastAsia="zh-CN" w:bidi="ar-SA"/>
        </w:rPr>
        <w:t>4</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（十二）估价专业人员</w:t>
      </w:r>
      <w:r>
        <w:rPr>
          <w:rFonts w:hint="eastAsia" w:ascii="仿宋_GB2312" w:hAnsi="宋体" w:eastAsia="仿宋_GB2312" w:cs="Times New Roman"/>
          <w:kern w:val="2"/>
          <w:sz w:val="28"/>
          <w:szCs w:val="28"/>
          <w:lang w:val="en-US" w:eastAsia="zh-CN" w:bidi="ar-SA"/>
        </w:rPr>
        <w:t xml:space="preserve">   </w:t>
      </w:r>
    </w:p>
    <w:tbl>
      <w:tblPr>
        <w:tblStyle w:val="8"/>
        <w:tblpPr w:leftFromText="180" w:rightFromText="180" w:vertAnchor="text" w:horzAnchor="page" w:tblpXSpec="center" w:tblpY="81"/>
        <w:tblOverlap w:val="never"/>
        <w:tblW w:w="77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875"/>
        <w:gridCol w:w="1625"/>
        <w:gridCol w:w="2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85"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姓  名</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资格证名号</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资格证号</w:t>
            </w:r>
          </w:p>
        </w:tc>
        <w:tc>
          <w:tcPr>
            <w:tcW w:w="2765" w:type="dxa"/>
            <w:vAlign w:val="center"/>
          </w:tcPr>
          <w:p>
            <w:pPr>
              <w:spacing w:line="600" w:lineRule="exact"/>
              <w:jc w:val="center"/>
              <w:rPr>
                <w:rFonts w:hint="eastAsia" w:ascii="仿宋_GB2312" w:hAnsi="仿宋_GB2312" w:eastAsia="仿宋_GB2312" w:cs="仿宋_GB2312"/>
                <w:color w:val="000000"/>
                <w:sz w:val="24"/>
                <w:szCs w:val="24"/>
                <w:lang w:val="zh-CN"/>
              </w:rPr>
            </w:pPr>
            <w:r>
              <w:rPr>
                <w:rStyle w:val="11"/>
                <w:rFonts w:hint="eastAsia" w:ascii="仿宋" w:hAnsi="仿宋" w:eastAsia="仿宋" w:cs="宋体"/>
                <w:color w:val="000000"/>
                <w:sz w:val="30"/>
                <w:szCs w:val="30"/>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330"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孙  坚</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0003035</w:t>
            </w:r>
          </w:p>
        </w:tc>
        <w:tc>
          <w:tcPr>
            <w:tcW w:w="2765" w:type="dxa"/>
            <w:vAlign w:val="center"/>
          </w:tcPr>
          <w:p>
            <w:pPr>
              <w:pStyle w:val="4"/>
              <w:spacing w:line="600" w:lineRule="exact"/>
              <w:jc w:val="center"/>
              <w:rPr>
                <w:rFonts w:hint="eastAsia" w:ascii="仿宋_GB2312" w:hAnsi="仿宋_GB2312" w:eastAsia="仿宋_GB2312" w:cs="仿宋_GB2312"/>
                <w:color w:val="000000"/>
                <w:sz w:val="24"/>
                <w:szCs w:val="24"/>
                <w:lang w:val="zh-CN"/>
              </w:rPr>
            </w:pPr>
            <w:r>
              <w:rPr>
                <w:rFonts w:hint="eastAsia" w:ascii="仿宋" w:hAnsi="仿宋" w:eastAsia="仿宋" w:cs="仿宋"/>
                <w:sz w:val="32"/>
                <w:szCs w:val="32"/>
              </w:rPr>
              <w:drawing>
                <wp:anchor distT="0" distB="0" distL="114300" distR="114300" simplePos="0" relativeHeight="251713536" behindDoc="1" locked="0" layoutInCell="1" allowOverlap="1">
                  <wp:simplePos x="0" y="0"/>
                  <wp:positionH relativeFrom="column">
                    <wp:posOffset>104775</wp:posOffset>
                  </wp:positionH>
                  <wp:positionV relativeFrom="paragraph">
                    <wp:posOffset>128905</wp:posOffset>
                  </wp:positionV>
                  <wp:extent cx="1273810" cy="491490"/>
                  <wp:effectExtent l="0" t="0" r="2540" b="3810"/>
                  <wp:wrapNone/>
                  <wp:docPr id="2" name="图片 7"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r>
              <w:rPr>
                <w:lang w:val="zh-CN" w:eastAsia="zh-CN"/>
              </w:rPr>
              <w:drawing>
                <wp:anchor distT="0" distB="0" distL="114300" distR="114300" simplePos="0" relativeHeight="251715584" behindDoc="0" locked="0" layoutInCell="1" allowOverlap="1">
                  <wp:simplePos x="0" y="0"/>
                  <wp:positionH relativeFrom="column">
                    <wp:posOffset>-65405</wp:posOffset>
                  </wp:positionH>
                  <wp:positionV relativeFrom="paragraph">
                    <wp:posOffset>842645</wp:posOffset>
                  </wp:positionV>
                  <wp:extent cx="1494790" cy="1033780"/>
                  <wp:effectExtent l="0" t="0" r="10795" b="0"/>
                  <wp:wrapNone/>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8"/>
                          <a:stretch>
                            <a:fillRect/>
                          </a:stretch>
                        </pic:blipFill>
                        <pic:spPr>
                          <a:xfrm>
                            <a:off x="0" y="0"/>
                            <a:ext cx="1494790" cy="103378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3"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刘汉生</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0017039</w:t>
            </w:r>
          </w:p>
        </w:tc>
        <w:tc>
          <w:tcPr>
            <w:tcW w:w="2765" w:type="dxa"/>
            <w:vAlign w:val="center"/>
          </w:tcPr>
          <w:p>
            <w:pPr>
              <w:pStyle w:val="4"/>
              <w:rPr>
                <w:rFonts w:hint="eastAsia" w:ascii="仿宋" w:hAnsi="仿宋" w:eastAsia="仿宋"/>
                <w:color w:val="000000"/>
                <w:sz w:val="32"/>
                <w:szCs w:val="32"/>
              </w:rPr>
            </w:pPr>
            <w:r>
              <w:rPr>
                <w:rFonts w:hint="eastAsia" w:ascii="仿宋" w:hAnsi="仿宋" w:eastAsia="仿宋"/>
                <w:color w:val="000000"/>
                <w:sz w:val="32"/>
                <w:szCs w:val="32"/>
              </w:rPr>
              <w:drawing>
                <wp:anchor distT="0" distB="0" distL="114300" distR="114300" simplePos="0" relativeHeight="251716608" behindDoc="0" locked="0" layoutInCell="1" allowOverlap="1">
                  <wp:simplePos x="0" y="0"/>
                  <wp:positionH relativeFrom="column">
                    <wp:posOffset>158115</wp:posOffset>
                  </wp:positionH>
                  <wp:positionV relativeFrom="page">
                    <wp:posOffset>209550</wp:posOffset>
                  </wp:positionV>
                  <wp:extent cx="635" cy="635"/>
                  <wp:effectExtent l="0" t="0" r="0" b="0"/>
                  <wp:wrapNone/>
                  <wp:docPr id="5" name="图片 5"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a:effectLst/>
                        </pic:spPr>
                      </pic:pic>
                    </a:graphicData>
                  </a:graphic>
                </wp:anchor>
              </w:drawing>
            </w:r>
          </w:p>
          <w:p>
            <w:pPr>
              <w:pStyle w:val="4"/>
              <w:rPr>
                <w:rFonts w:hint="eastAsia" w:ascii="仿宋_GB2312" w:hAnsi="仿宋_GB2312" w:eastAsia="仿宋_GB2312" w:cs="仿宋_GB2312"/>
                <w:color w:val="000000"/>
                <w:sz w:val="24"/>
                <w:szCs w:val="24"/>
                <w:lang w:val="zh-CN"/>
              </w:rPr>
            </w:pPr>
          </w:p>
        </w:tc>
      </w:tr>
    </w:tbl>
    <w:p>
      <w:pPr>
        <w:numPr>
          <w:ilvl w:val="0"/>
          <w:numId w:val="0"/>
        </w:numPr>
        <w:rPr>
          <w:rFonts w:hint="eastAsia" w:ascii="仿宋_GB2312" w:hAnsi="宋体" w:eastAsia="仿宋_GB2312"/>
          <w:b/>
          <w:bCs/>
          <w:sz w:val="30"/>
          <w:szCs w:val="30"/>
          <w:highlight w:val="none"/>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highlight w:val="none"/>
          <w:lang w:val="en-US" w:eastAsia="zh-CN"/>
        </w:rPr>
        <w:t xml:space="preserve">   </w:t>
      </w:r>
    </w:p>
    <w:p>
      <w:pPr>
        <w:numPr>
          <w:ilvl w:val="0"/>
          <w:numId w:val="0"/>
        </w:numPr>
        <w:rPr>
          <w:rFonts w:hint="eastAsia" w:ascii="仿宋_GB2312" w:hAnsi="宋体" w:eastAsia="仿宋_GB2312"/>
          <w:b/>
          <w:bCs/>
          <w:sz w:val="30"/>
          <w:szCs w:val="30"/>
          <w:highlight w:val="none"/>
          <w:lang w:val="en-US" w:eastAsia="zh-CN"/>
        </w:rPr>
      </w:pPr>
    </w:p>
    <w:p>
      <w:pPr>
        <w:numPr>
          <w:ilvl w:val="0"/>
          <w:numId w:val="0"/>
        </w:numPr>
        <w:rPr>
          <w:rFonts w:hint="eastAsia" w:ascii="仿宋_GB2312" w:hAnsi="宋体" w:eastAsia="仿宋_GB2312"/>
          <w:b/>
          <w:bCs/>
          <w:sz w:val="30"/>
          <w:szCs w:val="30"/>
          <w:highlight w:val="none"/>
          <w:lang w:val="en-US" w:eastAsia="zh-CN"/>
        </w:rPr>
      </w:pPr>
    </w:p>
    <w:p>
      <w:pPr>
        <w:numPr>
          <w:ilvl w:val="0"/>
          <w:numId w:val="0"/>
        </w:numPr>
        <w:rPr>
          <w:rFonts w:hint="eastAsia" w:ascii="仿宋_GB2312" w:hAnsi="宋体" w:eastAsia="仿宋_GB2312"/>
          <w:b/>
          <w:bCs/>
          <w:sz w:val="30"/>
          <w:szCs w:val="30"/>
          <w:highlight w:val="none"/>
          <w:lang w:val="en-US" w:eastAsia="zh-CN"/>
        </w:rPr>
      </w:pPr>
    </w:p>
    <w:p>
      <w:pPr>
        <w:numPr>
          <w:ilvl w:val="0"/>
          <w:numId w:val="0"/>
        </w:numPr>
        <w:rPr>
          <w:rFonts w:hint="eastAsia" w:ascii="仿宋_GB2312" w:hAnsi="宋体" w:eastAsia="仿宋_GB2312"/>
          <w:b/>
          <w:bCs/>
          <w:sz w:val="30"/>
          <w:szCs w:val="30"/>
          <w:highlight w:val="none"/>
          <w:lang w:val="en-US" w:eastAsia="zh-CN"/>
        </w:rPr>
      </w:pPr>
    </w:p>
    <w:p>
      <w:pPr>
        <w:numPr>
          <w:ilvl w:val="0"/>
          <w:numId w:val="0"/>
        </w:numPr>
        <w:rPr>
          <w:rFonts w:hint="eastAsia" w:ascii="仿宋_GB2312" w:hAnsi="宋体" w:eastAsia="仿宋_GB2312"/>
          <w:b/>
          <w:bCs/>
          <w:sz w:val="30"/>
          <w:szCs w:val="30"/>
          <w:highlight w:val="none"/>
          <w:lang w:val="en-US" w:eastAsia="zh-CN"/>
        </w:rPr>
      </w:pPr>
    </w:p>
    <w:p>
      <w:pPr>
        <w:numPr>
          <w:ilvl w:val="0"/>
          <w:numId w:val="0"/>
        </w:numPr>
        <w:rPr>
          <w:rStyle w:val="11"/>
          <w:rFonts w:hint="eastAsia" w:ascii="仿宋_GB2312" w:hAnsi="仿宋" w:eastAsia="仿宋_GB2312" w:cs="宋体"/>
          <w:b/>
          <w:sz w:val="28"/>
          <w:szCs w:val="28"/>
          <w:highlight w:val="none"/>
        </w:rPr>
      </w:pPr>
      <w:r>
        <w:rPr>
          <w:rFonts w:hint="eastAsia" w:ascii="仿宋_GB2312" w:hAnsi="宋体" w:eastAsia="仿宋_GB2312"/>
          <w:b/>
          <w:bCs/>
          <w:sz w:val="30"/>
          <w:szCs w:val="30"/>
          <w:highlight w:val="none"/>
          <w:lang w:val="en-US" w:eastAsia="zh-CN"/>
        </w:rPr>
        <w:t xml:space="preserve">   （十三）</w:t>
      </w:r>
      <w:r>
        <w:rPr>
          <w:rFonts w:hint="eastAsia" w:ascii="仿宋_GB2312" w:hAnsi="仿宋" w:eastAsia="仿宋_GB2312"/>
          <w:b/>
          <w:sz w:val="28"/>
          <w:szCs w:val="28"/>
          <w:highlight w:val="none"/>
        </w:rPr>
        <w:t>评估报告日</w:t>
      </w:r>
      <w:r>
        <w:rPr>
          <w:rStyle w:val="11"/>
          <w:rFonts w:hint="eastAsia" w:ascii="仿宋" w:hAnsi="仿宋" w:eastAsia="仿宋_GB2312" w:cs="宋体"/>
          <w:b/>
          <w:sz w:val="28"/>
          <w:szCs w:val="28"/>
          <w:highlight w:val="none"/>
        </w:rPr>
        <w:t> </w:t>
      </w:r>
    </w:p>
    <w:p>
      <w:pPr>
        <w:ind w:firstLine="560" w:firstLineChars="200"/>
        <w:rPr>
          <w:rFonts w:hint="eastAsia" w:ascii="仿宋_GB2312" w:hAnsi="宋体" w:eastAsia="仿宋_GB2312" w:cs="Times New Roman"/>
          <w:kern w:val="2"/>
          <w:sz w:val="28"/>
          <w:szCs w:val="28"/>
          <w:highlight w:val="none"/>
          <w:lang w:val="en-US" w:eastAsia="zh-CN" w:bidi="ar-SA"/>
        </w:rPr>
      </w:pPr>
      <w:r>
        <w:rPr>
          <w:rStyle w:val="11"/>
          <w:rFonts w:hint="eastAsia" w:ascii="仿宋_GB2312" w:hAnsi="仿宋" w:eastAsia="仿宋_GB2312" w:cs="宋体"/>
          <w:sz w:val="28"/>
          <w:szCs w:val="28"/>
          <w:highlight w:val="none"/>
        </w:rPr>
        <w:t>本次出具评估报告日期为20</w:t>
      </w:r>
      <w:r>
        <w:rPr>
          <w:rStyle w:val="11"/>
          <w:rFonts w:hint="eastAsia" w:ascii="仿宋_GB2312" w:hAnsi="仿宋" w:eastAsia="仿宋_GB2312" w:cs="宋体"/>
          <w:sz w:val="28"/>
          <w:szCs w:val="28"/>
          <w:highlight w:val="none"/>
          <w:lang w:val="en-US" w:eastAsia="zh-CN"/>
        </w:rPr>
        <w:t>21</w:t>
      </w:r>
      <w:r>
        <w:rPr>
          <w:rStyle w:val="11"/>
          <w:rFonts w:hint="eastAsia" w:ascii="仿宋_GB2312" w:hAnsi="仿宋" w:eastAsia="仿宋_GB2312" w:cs="宋体"/>
          <w:sz w:val="28"/>
          <w:szCs w:val="28"/>
          <w:highlight w:val="none"/>
        </w:rPr>
        <w:t>年</w:t>
      </w:r>
      <w:r>
        <w:rPr>
          <w:rStyle w:val="11"/>
          <w:rFonts w:hint="eastAsia" w:ascii="仿宋_GB2312" w:hAnsi="仿宋" w:eastAsia="仿宋_GB2312" w:cs="宋体"/>
          <w:sz w:val="28"/>
          <w:szCs w:val="28"/>
          <w:highlight w:val="none"/>
          <w:lang w:val="en-US" w:eastAsia="zh-CN"/>
        </w:rPr>
        <w:t>09</w:t>
      </w:r>
      <w:r>
        <w:rPr>
          <w:rStyle w:val="11"/>
          <w:rFonts w:hint="eastAsia" w:ascii="仿宋_GB2312" w:hAnsi="仿宋" w:eastAsia="仿宋_GB2312" w:cs="宋体"/>
          <w:sz w:val="28"/>
          <w:szCs w:val="28"/>
          <w:highlight w:val="none"/>
        </w:rPr>
        <w:t>月</w:t>
      </w:r>
      <w:r>
        <w:rPr>
          <w:rStyle w:val="11"/>
          <w:rFonts w:hint="eastAsia" w:ascii="仿宋_GB2312" w:hAnsi="仿宋" w:eastAsia="仿宋_GB2312" w:cs="宋体"/>
          <w:sz w:val="28"/>
          <w:szCs w:val="28"/>
          <w:highlight w:val="none"/>
          <w:lang w:val="en-US" w:eastAsia="zh-CN"/>
        </w:rPr>
        <w:t>22</w:t>
      </w:r>
      <w:r>
        <w:rPr>
          <w:rStyle w:val="11"/>
          <w:rFonts w:hint="eastAsia" w:ascii="仿宋_GB2312" w:hAnsi="仿宋" w:eastAsia="仿宋_GB2312" w:cs="宋体"/>
          <w:sz w:val="28"/>
          <w:szCs w:val="28"/>
          <w:highlight w:val="none"/>
        </w:rPr>
        <w:t>日。</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（十四）估价报告应用的有效期</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若无特别约定，估价结论有效期为从估价报告完成之日起壹年。超过有效期后需重新估价方可使用。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 w:hAnsi="仿宋" w:eastAsia="仿宋"/>
          <w:b/>
          <w:bCs/>
          <w:sz w:val="36"/>
          <w:szCs w:val="36"/>
          <w:highlight w:val="none"/>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二○二一年九月二十二日</w:t>
      </w:r>
    </w:p>
    <w:p>
      <w:pPr>
        <w:jc w:val="center"/>
        <w:rPr>
          <w:rFonts w:hint="eastAsia" w:ascii="仿宋" w:hAnsi="仿宋" w:eastAsia="仿宋"/>
          <w:b/>
          <w:bCs/>
          <w:sz w:val="36"/>
          <w:szCs w:val="36"/>
          <w:lang w:val="en-US" w:eastAsia="zh-CN"/>
        </w:rPr>
      </w:pPr>
      <w:r>
        <w:rPr>
          <w:rFonts w:hint="eastAsia" w:ascii="仿宋" w:hAnsi="仿宋" w:eastAsia="仿宋"/>
          <w:b/>
          <w:bCs/>
          <w:sz w:val="36"/>
          <w:szCs w:val="36"/>
          <w:lang w:val="en-US" w:eastAsia="zh-CN"/>
        </w:rPr>
        <w:t>叶小贺所有的</w:t>
      </w:r>
    </w:p>
    <w:p>
      <w:pPr>
        <w:jc w:val="center"/>
        <w:rPr>
          <w:rFonts w:hint="eastAsia" w:ascii="仿宋" w:hAnsi="仿宋" w:eastAsia="仿宋"/>
          <w:b/>
          <w:bCs/>
          <w:sz w:val="36"/>
          <w:szCs w:val="36"/>
          <w:lang w:val="en-US" w:eastAsia="zh-CN"/>
        </w:rPr>
      </w:pPr>
      <w:r>
        <w:rPr>
          <w:rFonts w:hint="eastAsia" w:ascii="仿宋" w:hAnsi="仿宋" w:eastAsia="仿宋"/>
          <w:b/>
          <w:bCs/>
          <w:sz w:val="36"/>
          <w:szCs w:val="36"/>
          <w:lang w:val="en-US" w:eastAsia="zh-CN"/>
        </w:rPr>
        <w:t>位于汉川市沈家湾新村159号西边1幢住宅</w:t>
      </w:r>
    </w:p>
    <w:p>
      <w:pPr>
        <w:jc w:val="center"/>
        <w:rPr>
          <w:rFonts w:hint="eastAsia" w:ascii="仿宋" w:hAnsi="仿宋" w:eastAsia="仿宋"/>
          <w:b/>
          <w:bCs/>
          <w:sz w:val="36"/>
          <w:szCs w:val="36"/>
        </w:rPr>
      </w:pPr>
      <w:r>
        <w:rPr>
          <w:rFonts w:hint="eastAsia" w:ascii="仿宋" w:hAnsi="仿宋" w:eastAsia="仿宋"/>
          <w:b/>
          <w:bCs/>
          <w:sz w:val="36"/>
          <w:szCs w:val="36"/>
        </w:rPr>
        <w:t>房地产估价技术报告</w:t>
      </w:r>
    </w:p>
    <w:p>
      <w:pPr>
        <w:jc w:val="center"/>
        <w:rPr>
          <w:rFonts w:hint="eastAsia" w:ascii="仿宋" w:hAnsi="仿宋" w:eastAsia="仿宋"/>
          <w:b/>
          <w:bCs/>
          <w:sz w:val="32"/>
          <w:szCs w:val="32"/>
        </w:rPr>
      </w:pPr>
    </w:p>
    <w:p>
      <w:pPr>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一、估价对象实物状况描述与分析</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估价对象座落</w:t>
      </w:r>
      <w:r>
        <w:rPr>
          <w:rFonts w:hint="eastAsia" w:ascii="仿宋_GB2312" w:hAnsi="宋体" w:eastAsia="仿宋_GB2312" w:cs="Times New Roman"/>
          <w:kern w:val="2"/>
          <w:sz w:val="28"/>
          <w:szCs w:val="28"/>
          <w:lang w:val="en-US" w:eastAsia="zh-CN" w:bidi="ar-SA"/>
        </w:rPr>
        <w:t>汉川市沈家湾新村159号西边1幢住宅房屋，建筑面积为145.67平方米</w:t>
      </w:r>
      <w:r>
        <w:rPr>
          <w:rFonts w:hint="eastAsia" w:ascii="仿宋_GB2312" w:hAnsi="宋体" w:eastAsia="仿宋_GB2312" w:cs="Times New Roman"/>
          <w:kern w:val="2"/>
          <w:sz w:val="28"/>
          <w:szCs w:val="28"/>
          <w:highlight w:val="none"/>
          <w:lang w:val="en-US" w:eastAsia="zh-CN" w:bidi="ar-SA"/>
        </w:rPr>
        <w:t>，房屋所有权人为叶小贺，单独所有，房屋用途为住宅，房屋结构为混合结构，所在层/总层数为1-2层/2层，不动产权证书号为汉川市房权证汉川字第A201402372号，登记时间为2014年6月10日。已被抵押，已被查封。</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经现场实物勘验和调查得知，估价对象房屋坐落于汉川市沈家湾新村泵中路35号</w:t>
      </w:r>
      <w:r>
        <w:rPr>
          <w:rFonts w:hint="eastAsia" w:ascii="仿宋_GB2312" w:hAnsi="宋体" w:eastAsia="仿宋_GB2312" w:cs="Times New Roman"/>
          <w:kern w:val="2"/>
          <w:sz w:val="28"/>
          <w:szCs w:val="28"/>
          <w:lang w:val="en-US" w:eastAsia="zh-CN" w:bidi="ar-SA"/>
        </w:rPr>
        <w:t>，</w:t>
      </w:r>
      <w:r>
        <w:rPr>
          <w:rFonts w:hint="eastAsia" w:ascii="仿宋_GB2312" w:hAnsi="宋体" w:eastAsia="仿宋_GB2312" w:cs="Times New Roman"/>
          <w:kern w:val="2"/>
          <w:sz w:val="28"/>
          <w:szCs w:val="28"/>
          <w:highlight w:val="none"/>
          <w:lang w:val="en-US" w:eastAsia="zh-CN" w:bidi="ar-SA"/>
        </w:rPr>
        <w:t>建成于1995年，无封闭院落，无物业管理，总层数为3层，评估层为1-3层，用途为住宅，南北朝向，外墙铺贴墙砖，安装铝合金窗，室内装修情况因多种原因未能勘验。据调查，室内为简单装修，维护保养一般。</w:t>
      </w:r>
    </w:p>
    <w:p>
      <w:pPr>
        <w:numPr>
          <w:ilvl w:val="0"/>
          <w:numId w:val="0"/>
        </w:numPr>
        <w:ind w:firstLine="562"/>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二、估价对象区域因素分析</w:t>
      </w:r>
    </w:p>
    <w:p>
      <w:pPr>
        <w:ind w:firstLine="560" w:firstLineChars="200"/>
        <w:rPr>
          <w:rFonts w:hint="eastAsia" w:eastAsia="仿宋"/>
          <w:lang w:val="en-US" w:eastAsia="zh-CN"/>
        </w:rPr>
      </w:pPr>
      <w:r>
        <w:rPr>
          <w:rFonts w:hint="eastAsia" w:ascii="仿宋_GB2312" w:hAnsi="宋体" w:eastAsia="仿宋_GB2312" w:cs="Times New Roman"/>
          <w:kern w:val="2"/>
          <w:sz w:val="28"/>
          <w:szCs w:val="28"/>
          <w:lang w:val="en-US" w:eastAsia="zh-CN" w:bidi="ar-SA"/>
        </w:rPr>
        <w:t>估价对象位于</w:t>
      </w:r>
      <w:r>
        <w:rPr>
          <w:rFonts w:hint="eastAsia" w:ascii="仿宋_GB2312" w:hAnsi="宋体" w:eastAsia="仿宋_GB2312" w:cs="Times New Roman"/>
          <w:kern w:val="2"/>
          <w:sz w:val="28"/>
          <w:szCs w:val="28"/>
          <w:highlight w:val="none"/>
          <w:lang w:val="en-US" w:eastAsia="zh-CN" w:bidi="ar-SA"/>
        </w:rPr>
        <w:t>汉川市沈家湾新村泵中路35号</w:t>
      </w:r>
      <w:r>
        <w:rPr>
          <w:rFonts w:hint="eastAsia" w:ascii="仿宋_GB2312" w:hAnsi="宋体" w:eastAsia="仿宋_GB2312" w:cs="Times New Roman"/>
          <w:kern w:val="2"/>
          <w:sz w:val="28"/>
          <w:szCs w:val="28"/>
          <w:lang w:val="en-US" w:eastAsia="zh-CN" w:bidi="ar-SA"/>
        </w:rPr>
        <w:t>，为居民自建房屋，居民区无围墙院落、无物业管理，居住环境、绿化卫生一般。所在区域属于汉川市仙女山街道办事处泵站河社区，汉川老城关镇区，周边公共、生活配套设施基本齐全，交通较为便</w:t>
      </w:r>
      <w:r>
        <w:rPr>
          <w:rFonts w:hint="eastAsia" w:ascii="仿宋_GB2312" w:hAnsi="宋体" w:eastAsia="仿宋_GB2312" w:cs="Times New Roman"/>
          <w:color w:val="auto"/>
          <w:kern w:val="2"/>
          <w:sz w:val="28"/>
          <w:szCs w:val="28"/>
          <w:lang w:val="en-US" w:eastAsia="zh-CN" w:bidi="ar-SA"/>
        </w:rPr>
        <w:t>捷，</w:t>
      </w:r>
      <w:r>
        <w:rPr>
          <w:rFonts w:hint="eastAsia" w:ascii="仿宋" w:hAnsi="仿宋" w:eastAsia="仿宋" w:cs="仿宋"/>
          <w:color w:val="auto"/>
          <w:kern w:val="2"/>
          <w:sz w:val="28"/>
          <w:szCs w:val="28"/>
          <w:lang w:val="en-US" w:eastAsia="zh-CN" w:bidi="ar-SA"/>
        </w:rPr>
        <w:t>有</w:t>
      </w:r>
      <w:r>
        <w:rPr>
          <w:rFonts w:hint="eastAsia" w:ascii="仿宋" w:hAnsi="仿宋" w:eastAsia="仿宋" w:cs="仿宋"/>
          <w:i w:val="0"/>
          <w:caps w:val="0"/>
          <w:color w:val="auto"/>
          <w:spacing w:val="0"/>
          <w:sz w:val="28"/>
          <w:szCs w:val="28"/>
        </w:rPr>
        <w:t>公交车</w:t>
      </w:r>
      <w:r>
        <w:rPr>
          <w:rFonts w:hint="eastAsia" w:ascii="仿宋" w:hAnsi="仿宋" w:eastAsia="仿宋" w:cs="仿宋"/>
          <w:i w:val="0"/>
          <w:caps w:val="0"/>
          <w:color w:val="auto"/>
          <w:spacing w:val="0"/>
          <w:sz w:val="28"/>
          <w:szCs w:val="28"/>
          <w:lang w:eastAsia="zh-CN"/>
        </w:rPr>
        <w:t>通达；</w:t>
      </w:r>
      <w:r>
        <w:rPr>
          <w:rFonts w:hint="eastAsia" w:ascii="仿宋" w:hAnsi="仿宋" w:eastAsia="仿宋" w:cs="仿宋"/>
          <w:color w:val="auto"/>
          <w:kern w:val="2"/>
          <w:sz w:val="28"/>
          <w:szCs w:val="28"/>
          <w:lang w:val="en-US" w:eastAsia="zh-CN" w:bidi="ar-SA"/>
        </w:rPr>
        <w:t>附近设有</w:t>
      </w:r>
      <w:r>
        <w:rPr>
          <w:rFonts w:hint="eastAsia" w:ascii="仿宋" w:hAnsi="仿宋" w:eastAsia="仿宋" w:cs="仿宋"/>
          <w:i w:val="0"/>
          <w:caps w:val="0"/>
          <w:color w:val="auto"/>
          <w:spacing w:val="0"/>
          <w:sz w:val="28"/>
          <w:szCs w:val="28"/>
          <w:lang w:eastAsia="zh-CN"/>
        </w:rPr>
        <w:t>中小学校、医院、各类专业银行，还有大小商场、超市环伺周边，</w:t>
      </w:r>
      <w:r>
        <w:rPr>
          <w:rFonts w:hint="eastAsia" w:ascii="仿宋" w:hAnsi="仿宋" w:eastAsia="仿宋" w:cs="仿宋"/>
          <w:i w:val="0"/>
          <w:caps w:val="0"/>
          <w:color w:val="auto"/>
          <w:spacing w:val="0"/>
          <w:sz w:val="28"/>
          <w:szCs w:val="28"/>
          <w:lang w:val="en-US" w:eastAsia="zh-CN"/>
        </w:rPr>
        <w:t>购物、出行、就学等较为方便。</w:t>
      </w:r>
    </w:p>
    <w:p>
      <w:pPr>
        <w:numPr>
          <w:ilvl w:val="0"/>
          <w:numId w:val="0"/>
        </w:numPr>
        <w:ind w:firstLine="562" w:firstLineChars="200"/>
        <w:rPr>
          <w:rFonts w:ascii="仿宋" w:hAnsi="仿宋" w:eastAsia="仿宋"/>
          <w:sz w:val="30"/>
          <w:szCs w:val="30"/>
        </w:rPr>
      </w:pPr>
      <w:r>
        <w:rPr>
          <w:rFonts w:hint="eastAsia" w:ascii="仿宋_GB2312" w:hAnsi="宋体" w:eastAsia="仿宋_GB2312" w:cs="Times New Roman"/>
          <w:b/>
          <w:bCs/>
          <w:kern w:val="2"/>
          <w:sz w:val="28"/>
          <w:szCs w:val="28"/>
          <w:lang w:val="en-US" w:eastAsia="zh-CN" w:bidi="ar-SA"/>
        </w:rPr>
        <w:t>三、最高最佳使用分析</w:t>
      </w:r>
    </w:p>
    <w:p>
      <w:pPr>
        <w:ind w:firstLine="560" w:firstLineChars="200"/>
        <w:rPr>
          <w:rFonts w:ascii="仿宋" w:hAnsi="仿宋" w:eastAsia="仿宋"/>
          <w:sz w:val="30"/>
          <w:szCs w:val="30"/>
        </w:rPr>
      </w:pPr>
      <w:r>
        <w:rPr>
          <w:rFonts w:hint="eastAsia" w:ascii="仿宋_GB2312" w:hAnsi="宋体" w:eastAsia="仿宋_GB2312" w:cs="Times New Roman"/>
          <w:kern w:val="2"/>
          <w:sz w:val="28"/>
          <w:szCs w:val="28"/>
          <w:lang w:val="en-US" w:eastAsia="zh-CN" w:bidi="ar-SA"/>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估价对象用途为住宅房地产，并保持其实体现状、持续使用为前提。</w:t>
      </w:r>
    </w:p>
    <w:p>
      <w:pPr>
        <w:ind w:firstLine="562" w:firstLineChars="200"/>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四、估价方法的选用</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是住宅房屋，调查房地产中介机构有类似房地产交易案例，并对估价对象进行现场勘验，经过反复研究，我们采用了市场法综合测算估价对象的公开市场价值。</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市场法是指通过比较被评估资产与最近售出类似资产的异同，并将</w:t>
      </w:r>
    </w:p>
    <w:p>
      <w:pPr>
        <w:numPr>
          <w:ilvl w:val="0"/>
          <w:numId w:val="0"/>
        </w:numPr>
        <w:jc w:val="left"/>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评估值（比准价格）=可比实例价格×交易情况修正×市场状况调整×房地产状况调整</w:t>
      </w:r>
      <w:r>
        <w:rPr>
          <w:rFonts w:hint="eastAsia" w:ascii="仿宋_GB2312" w:hAnsi="宋体" w:eastAsia="仿宋_GB2312" w:cs="Times New Roman"/>
          <w:b/>
          <w:bCs/>
          <w:kern w:val="2"/>
          <w:sz w:val="28"/>
          <w:szCs w:val="28"/>
          <w:highlight w:val="none"/>
          <w:lang w:val="en-US" w:eastAsia="zh-CN" w:bidi="ar-SA"/>
        </w:rPr>
        <w:t xml:space="preserve">    </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五、估价过程</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接受委托后，我们会同委托人及相关当事人对估价对象进行了实地勘查，随后开展了广泛的市场调查，并采用市场法进行了估价测算，确定估价结果。</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1、比较实例选择</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针对估价对象的功能和特点，根据替代原则，按用途相同、土地级别相同、价格类型相同等特点，对与估价对象在同一区域内的类似住宅进行了市场调查和比较分析，按照估价要求，筛选三个可比实例。</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实例A：安顺东园小区住宅，2010年建成，总层数6层，所在层4层，3室2厅1卫，南北朝向，精装修，建筑面积126平米，拟交易总价50万，折合单价约为3968元/平米，拟交易日期2021年9月份。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实例B：汉江壹号小区住宅，2015年建成，总层数6层，所在层2层，3室2厅1卫，南北朝向，毛坯，建筑面积106平米，拟交易总价42万，折合单价约为3962元/平米，拟交易日期2021年8月份。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实例C：南港名苑小区住宅，2010年建成，总层数6层，所在层1层，3室2厅2卫，南北朝向，普通装修，建筑面积130平米，拟交易总价47万，折合单价约为3615元/平米，拟交易日期2021年8月份。</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2、比较因素条件说明</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估价对象和比较实例的比较因素条件说明见表1。</w:t>
      </w:r>
    </w:p>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比较因素条件说明表1</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54"/>
        <w:gridCol w:w="1446"/>
        <w:gridCol w:w="15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估价对象与</w:t>
            </w:r>
            <w:r>
              <w:rPr>
                <w:rFonts w:hint="eastAsia" w:ascii="仿宋" w:hAnsi="仿宋" w:eastAsia="仿宋" w:cs="仿宋"/>
                <w:sz w:val="24"/>
                <w:szCs w:val="24"/>
                <w:vertAlign w:val="baseline"/>
                <w:lang w:val="en-US" w:eastAsia="zh-CN"/>
              </w:rPr>
              <w:t>案例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估价</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对象</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A </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可比案例B </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3" w:hRule="atLeast"/>
        </w:trPr>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座 落 位 置</w:t>
            </w:r>
          </w:p>
        </w:tc>
        <w:tc>
          <w:tcPr>
            <w:tcW w:w="1446" w:type="dxa"/>
            <w:vAlign w:val="top"/>
          </w:tcPr>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沈家湾新村泵中路35号1幢</w:t>
            </w:r>
          </w:p>
        </w:tc>
        <w:tc>
          <w:tcPr>
            <w:tcW w:w="1567" w:type="dxa"/>
            <w:vAlign w:val="top"/>
          </w:tcPr>
          <w:p>
            <w:pPr>
              <w:numPr>
                <w:ilvl w:val="0"/>
                <w:numId w:val="0"/>
              </w:numPr>
              <w:spacing w:line="720" w:lineRule="auto"/>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安顺东园</w:t>
            </w:r>
          </w:p>
        </w:tc>
        <w:tc>
          <w:tcPr>
            <w:tcW w:w="1550" w:type="dxa"/>
            <w:vAlign w:val="top"/>
          </w:tcPr>
          <w:p>
            <w:pPr>
              <w:numPr>
                <w:ilvl w:val="0"/>
                <w:numId w:val="0"/>
              </w:numPr>
              <w:spacing w:line="720" w:lineRule="auto"/>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汉江壹号</w:t>
            </w:r>
          </w:p>
        </w:tc>
        <w:tc>
          <w:tcPr>
            <w:tcW w:w="1633" w:type="dxa"/>
            <w:vAlign w:val="top"/>
          </w:tcPr>
          <w:p>
            <w:pPr>
              <w:numPr>
                <w:ilvl w:val="0"/>
                <w:numId w:val="0"/>
              </w:numPr>
              <w:spacing w:line="720" w:lineRule="auto"/>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南港名苑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楼盘名称</w:t>
            </w:r>
          </w:p>
        </w:tc>
        <w:tc>
          <w:tcPr>
            <w:tcW w:w="1446" w:type="dxa"/>
            <w:vAlign w:val="top"/>
          </w:tcPr>
          <w:p>
            <w:pPr>
              <w:numPr>
                <w:ilvl w:val="0"/>
                <w:numId w:val="0"/>
              </w:numPr>
              <w:ind w:left="0" w:leftChars="0" w:firstLine="0" w:firstLineChars="0"/>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w:t>
            </w:r>
          </w:p>
        </w:tc>
        <w:tc>
          <w:tcPr>
            <w:tcW w:w="1567"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安顺东园</w:t>
            </w:r>
          </w:p>
        </w:tc>
        <w:tc>
          <w:tcPr>
            <w:tcW w:w="1550" w:type="dxa"/>
            <w:vAlign w:val="top"/>
          </w:tcPr>
          <w:p>
            <w:pPr>
              <w:numPr>
                <w:ilvl w:val="0"/>
                <w:numId w:val="0"/>
              </w:numPr>
              <w:ind w:left="0" w:leftChars="0" w:firstLine="0" w:firstLineChars="0"/>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汉江壹号</w:t>
            </w:r>
          </w:p>
        </w:tc>
        <w:tc>
          <w:tcPr>
            <w:tcW w:w="1633"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南港名苑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w:t>
            </w:r>
            <w:r>
              <w:rPr>
                <w:rFonts w:hint="eastAsia" w:ascii="仿宋" w:hAnsi="仿宋" w:eastAsia="仿宋" w:cs="仿宋"/>
                <w:color w:val="auto"/>
                <w:sz w:val="30"/>
                <w:szCs w:val="30"/>
                <w:lang w:val="en-US" w:eastAsia="zh-CN"/>
              </w:rPr>
              <w:t>M</w:t>
            </w:r>
            <w:r>
              <w:rPr>
                <w:rFonts w:hint="eastAsia" w:ascii="仿宋" w:hAnsi="仿宋" w:eastAsia="仿宋" w:cs="仿宋"/>
                <w:color w:val="auto"/>
                <w:sz w:val="30"/>
                <w:szCs w:val="30"/>
                <w:vertAlign w:val="superscript"/>
                <w:lang w:val="en-US" w:eastAsia="zh-CN"/>
              </w:rPr>
              <w:t>2</w:t>
            </w:r>
            <w:r>
              <w:rPr>
                <w:rFonts w:hint="eastAsia" w:ascii="仿宋" w:hAnsi="仿宋" w:eastAsia="仿宋" w:cs="仿宋"/>
                <w:sz w:val="30"/>
                <w:szCs w:val="30"/>
                <w:vertAlign w:val="baseline"/>
                <w:lang w:val="en-US" w:eastAsia="zh-CN"/>
              </w:rPr>
              <w:t>)</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3968</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3962</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状况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交易日期</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2021.9</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2021.9</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2021.8</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4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50"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633"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自建房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所在层/总层数</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1-3/3</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4/6</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2/6</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三房二厅</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三房二厅</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二房二厅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简装</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精装</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精装</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_GB2312" w:hAnsi="宋体" w:eastAsia="仿宋_GB2312" w:cs="Times New Roman"/>
                <w:kern w:val="2"/>
                <w:sz w:val="28"/>
                <w:szCs w:val="28"/>
                <w:lang w:val="en-US" w:eastAsia="zh-CN" w:bidi="ar-SA"/>
              </w:rPr>
              <w:t>普装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朝向及采光</w:t>
            </w:r>
            <w:r>
              <w:rPr>
                <w:rFonts w:hint="eastAsia" w:ascii="仿宋" w:hAnsi="仿宋" w:eastAsia="仿宋" w:cs="仿宋"/>
                <w:sz w:val="30"/>
                <w:szCs w:val="30"/>
                <w:vertAlign w:val="baseline"/>
                <w:lang w:val="en-US" w:eastAsia="zh-CN"/>
              </w:rPr>
              <w:t>通风</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color w:val="auto"/>
                <w:sz w:val="30"/>
                <w:szCs w:val="30"/>
                <w:vertAlign w:val="baseline"/>
                <w:lang w:val="en-US" w:eastAsia="zh-CN"/>
              </w:rPr>
              <w:t>南北，好</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新旧程度</w:t>
            </w:r>
          </w:p>
        </w:tc>
        <w:tc>
          <w:tcPr>
            <w:tcW w:w="14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56.7%</w:t>
            </w:r>
          </w:p>
        </w:tc>
        <w:tc>
          <w:tcPr>
            <w:tcW w:w="15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81.7%</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无</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ind w:firstLine="300" w:firstLineChars="100"/>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 音</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无</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无</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无</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无</w:t>
            </w:r>
          </w:p>
        </w:tc>
      </w:tr>
    </w:tbl>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3、编制比较因素修正指数表</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根据估价对象与比较实例各种因素具体情况，编制比较因素修正指数表，见表2。</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比较因素条件指数表</w:t>
      </w:r>
      <w:r>
        <w:rPr>
          <w:rFonts w:hint="eastAsia" w:ascii="仿宋" w:hAnsi="仿宋" w:eastAsia="仿宋" w:cs="仿宋"/>
          <w:sz w:val="30"/>
          <w:szCs w:val="30"/>
          <w:lang w:val="en-US" w:eastAsia="zh-CN"/>
        </w:rPr>
        <w:t>2</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估价对象与案例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估价</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对象</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A </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可比案例B </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成交单价（元/平米）</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3968</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3962</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市场状况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restart"/>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所在楼层</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102</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110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110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朝向</w:t>
            </w:r>
            <w:r>
              <w:rPr>
                <w:rFonts w:hint="eastAsia" w:ascii="仿宋" w:hAnsi="仿宋" w:eastAsia="仿宋" w:cs="仿宋"/>
                <w:sz w:val="24"/>
                <w:szCs w:val="24"/>
                <w:vertAlign w:val="baseline"/>
                <w:lang w:val="en-US" w:eastAsia="zh-CN"/>
              </w:rPr>
              <w:t>及采光</w:t>
            </w:r>
            <w:r>
              <w:rPr>
                <w:rFonts w:hint="eastAsia" w:ascii="仿宋" w:hAnsi="仿宋" w:eastAsia="仿宋" w:cs="仿宋"/>
                <w:sz w:val="30"/>
                <w:szCs w:val="30"/>
                <w:vertAlign w:val="baseline"/>
                <w:lang w:val="en-US" w:eastAsia="zh-CN"/>
              </w:rPr>
              <w:t>通风</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新旧程度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105</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107</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104</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104</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封闭院落</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105</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105</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126</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126</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118</w:t>
            </w: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4、比较因素修正系数确定</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在因素条件指数表的基础上，将估价对象的因素条件指数与可比实例的因素条件指数进行比较，得到比较因素修正系数，见表3。</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比较因素修正系数表</w:t>
      </w:r>
      <w:r>
        <w:rPr>
          <w:rFonts w:hint="eastAsia" w:ascii="仿宋" w:hAnsi="仿宋" w:eastAsia="仿宋" w:cs="仿宋"/>
          <w:sz w:val="30"/>
          <w:szCs w:val="30"/>
          <w:lang w:val="en-US" w:eastAsia="zh-CN"/>
        </w:rPr>
        <w:t>3</w:t>
      </w:r>
    </w:p>
    <w:tbl>
      <w:tblPr>
        <w:tblStyle w:val="9"/>
        <w:tblW w:w="97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4"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估价对象与案例</w:t>
            </w:r>
          </w:p>
        </w:tc>
        <w:tc>
          <w:tcPr>
            <w:tcW w:w="11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对象</w:t>
            </w:r>
          </w:p>
        </w:tc>
        <w:tc>
          <w:tcPr>
            <w:tcW w:w="1867" w:type="dxa"/>
            <w:vAlign w:val="top"/>
          </w:tcPr>
          <w:p>
            <w:pPr>
              <w:spacing w:line="72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可比案例A</w:t>
            </w:r>
          </w:p>
        </w:tc>
        <w:tc>
          <w:tcPr>
            <w:tcW w:w="1550" w:type="dxa"/>
            <w:vAlign w:val="top"/>
          </w:tcPr>
          <w:p>
            <w:pPr>
              <w:spacing w:line="72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可比案例B</w:t>
            </w:r>
          </w:p>
        </w:tc>
        <w:tc>
          <w:tcPr>
            <w:tcW w:w="1833" w:type="dxa"/>
            <w:vAlign w:val="top"/>
          </w:tcPr>
          <w:p>
            <w:pPr>
              <w:spacing w:line="72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成交单价（元/平米）</w:t>
            </w:r>
          </w:p>
        </w:tc>
        <w:tc>
          <w:tcPr>
            <w:tcW w:w="1146"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w:t>
            </w:r>
          </w:p>
        </w:tc>
        <w:tc>
          <w:tcPr>
            <w:tcW w:w="1867"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vertAlign w:val="baseline"/>
                <w:lang w:val="en-US" w:eastAsia="zh-CN"/>
              </w:rPr>
              <w:t>3968</w:t>
            </w:r>
          </w:p>
        </w:tc>
        <w:tc>
          <w:tcPr>
            <w:tcW w:w="1550"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vertAlign w:val="baseline"/>
                <w:lang w:val="en-US" w:eastAsia="zh-CN"/>
              </w:rPr>
              <w:t>3962</w:t>
            </w:r>
          </w:p>
        </w:tc>
        <w:tc>
          <w:tcPr>
            <w:tcW w:w="1833"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vertAlign w:val="baseline"/>
                <w:lang w:val="en-US" w:eastAsia="zh-CN"/>
              </w:rPr>
              <w:t>3615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交易</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情况</w:t>
            </w: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交易情况</w:t>
            </w:r>
          </w:p>
        </w:tc>
        <w:tc>
          <w:tcPr>
            <w:tcW w:w="1146" w:type="dxa"/>
            <w:vAlign w:val="top"/>
          </w:tcPr>
          <w:p>
            <w:pPr>
              <w:jc w:val="center"/>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67"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0"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33"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4"/>
                <w:szCs w:val="24"/>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类型</w:t>
            </w:r>
          </w:p>
        </w:tc>
        <w:tc>
          <w:tcPr>
            <w:tcW w:w="1146"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67"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0"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33"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市场状况调整系数</w:t>
            </w:r>
          </w:p>
        </w:tc>
        <w:tc>
          <w:tcPr>
            <w:tcW w:w="1146" w:type="dxa"/>
            <w:vAlign w:val="top"/>
          </w:tcPr>
          <w:p>
            <w:pPr>
              <w:jc w:val="center"/>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67"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0"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33"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区域状况调整系数</w:t>
            </w:r>
          </w:p>
        </w:tc>
        <w:tc>
          <w:tcPr>
            <w:tcW w:w="1146"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67"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0"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33"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权益状况调整系数</w:t>
            </w:r>
          </w:p>
        </w:tc>
        <w:tc>
          <w:tcPr>
            <w:tcW w:w="1146" w:type="dxa"/>
            <w:vAlign w:val="top"/>
          </w:tcPr>
          <w:p>
            <w:pPr>
              <w:jc w:val="center"/>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100</w:t>
            </w:r>
          </w:p>
        </w:tc>
        <w:tc>
          <w:tcPr>
            <w:tcW w:w="1867" w:type="dxa"/>
            <w:vAlign w:val="top"/>
          </w:tcPr>
          <w:p>
            <w:pPr>
              <w:jc w:val="center"/>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0" w:type="dxa"/>
            <w:vAlign w:val="top"/>
          </w:tcPr>
          <w:p>
            <w:pPr>
              <w:jc w:val="center"/>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33" w:type="dxa"/>
            <w:vAlign w:val="top"/>
          </w:tcPr>
          <w:p>
            <w:pPr>
              <w:jc w:val="center"/>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实物状况调整系数</w:t>
            </w:r>
          </w:p>
        </w:tc>
        <w:tc>
          <w:tcPr>
            <w:tcW w:w="1146"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67"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126</w:t>
            </w:r>
          </w:p>
        </w:tc>
        <w:tc>
          <w:tcPr>
            <w:tcW w:w="1550"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126</w:t>
            </w:r>
          </w:p>
        </w:tc>
        <w:tc>
          <w:tcPr>
            <w:tcW w:w="1833"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比准价格（元/平米）</w:t>
            </w:r>
          </w:p>
        </w:tc>
        <w:tc>
          <w:tcPr>
            <w:tcW w:w="1146"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w:t>
            </w:r>
          </w:p>
        </w:tc>
        <w:tc>
          <w:tcPr>
            <w:tcW w:w="1867"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3149</w:t>
            </w:r>
          </w:p>
        </w:tc>
        <w:tc>
          <w:tcPr>
            <w:tcW w:w="1550"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3144</w:t>
            </w:r>
          </w:p>
        </w:tc>
        <w:tc>
          <w:tcPr>
            <w:tcW w:w="1833"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3064</w:t>
            </w:r>
          </w:p>
        </w:tc>
      </w:tr>
    </w:tbl>
    <w:p>
      <w:pPr>
        <w:numPr>
          <w:ilvl w:val="0"/>
          <w:numId w:val="0"/>
        </w:numPr>
        <w:ind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5、求取估价对象价值</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由于可比实例A、B、C与估价对象条件因素相当类似，且比准价格相差不大，因此采取算数平均值的求取方法确定评估单价。</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评估单价=（3149+3144+3064</w:t>
      </w:r>
      <w:r>
        <w:rPr>
          <w:rFonts w:hint="eastAsia" w:ascii="仿宋" w:hAnsi="仿宋" w:eastAsia="仿宋" w:cs="仿宋"/>
          <w:kern w:val="2"/>
          <w:sz w:val="28"/>
          <w:szCs w:val="28"/>
          <w:lang w:val="en-US" w:eastAsia="zh-CN" w:bidi="ar-SA"/>
        </w:rPr>
        <w:t>）÷3=3119(元/平米)</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评估总值=3119×145.67</w:t>
      </w:r>
      <w:r>
        <w:rPr>
          <w:rFonts w:hint="eastAsia" w:ascii="仿宋" w:hAnsi="仿宋" w:eastAsia="仿宋" w:cs="仿宋"/>
          <w:kern w:val="2"/>
          <w:sz w:val="28"/>
          <w:szCs w:val="28"/>
          <w:lang w:val="en-US" w:eastAsia="zh-CN" w:bidi="ar-SA"/>
        </w:rPr>
        <w:t>≈454345</w:t>
      </w:r>
      <w:r>
        <w:rPr>
          <w:rFonts w:hint="eastAsia" w:ascii="仿宋_GB2312" w:hAnsi="宋体" w:eastAsia="仿宋_GB2312" w:cs="Times New Roman"/>
          <w:kern w:val="2"/>
          <w:sz w:val="28"/>
          <w:szCs w:val="28"/>
          <w:lang w:val="en-US" w:eastAsia="zh-CN" w:bidi="ar-SA"/>
        </w:rPr>
        <w:t>(元)</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六、估价结果确定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估价人员根据估价目的，遵循估价原则，按照规定估价程序和估价方法，经过具体测算，确定估价对象在估价时点可能形成的市场价值为￥454345元(大写人民币肆拾伍万肆仟叁佰肆拾伍元整)。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4200" w:firstLineChars="1500"/>
        <w:rPr>
          <w:rFonts w:hint="eastAsia" w:ascii="仿宋_GB2312" w:hAnsi="宋体" w:eastAsia="仿宋_GB2312" w:cs="Times New Roman"/>
          <w:kern w:val="2"/>
          <w:sz w:val="28"/>
          <w:szCs w:val="28"/>
          <w:lang w:val="en-US" w:eastAsia="zh-CN" w:bidi="ar-SA"/>
        </w:rPr>
      </w:pPr>
    </w:p>
    <w:p>
      <w:pPr>
        <w:ind w:firstLine="4200" w:firstLineChars="15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highlight w:val="none"/>
        </w:rPr>
      </w:pPr>
      <w:r>
        <w:rPr>
          <w:rFonts w:hint="eastAsia" w:ascii="仿宋_GB2312" w:hAnsi="宋体" w:eastAsia="仿宋_GB2312" w:cs="Times New Roman"/>
          <w:kern w:val="2"/>
          <w:sz w:val="28"/>
          <w:szCs w:val="28"/>
          <w:highlight w:val="none"/>
          <w:lang w:val="en-US" w:eastAsia="zh-CN" w:bidi="ar-SA"/>
        </w:rPr>
        <w:t xml:space="preserve">                                  二○二一年九月二十二日</w:t>
      </w:r>
    </w:p>
    <w:p>
      <w:pPr/>
    </w:p>
    <w:p>
      <w:pPr/>
    </w:p>
    <w:p>
      <w:pPr/>
    </w:p>
    <w:sectPr>
      <w:headerReference r:id="rId3" w:type="default"/>
      <w:footerReference r:id="rId4" w:type="default"/>
      <w:footerReference r:id="rId5" w:type="even"/>
      <w:pgSz w:w="11906" w:h="16838"/>
      <w:pgMar w:top="1644" w:right="1520" w:bottom="1361" w:left="15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仿宋">
    <w:panose1 w:val="02010609060101010101"/>
    <w:charset w:val="86"/>
    <w:family w:val="swiss"/>
    <w:pitch w:val="default"/>
    <w:sig w:usb0="800002BF" w:usb1="38CF7CFA" w:usb2="00000016" w:usb3="00000000" w:csb0="00040001" w:csb1="00000000"/>
  </w:font>
  <w:font w:name="仿宋_GB2312">
    <w:altName w:val="仿宋"/>
    <w:panose1 w:val="02010609030001010101"/>
    <w:charset w:val="86"/>
    <w:family w:val="roman"/>
    <w:pitch w:val="default"/>
    <w:sig w:usb0="00000000" w:usb1="00000000" w:usb2="0000001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roman"/>
    <w:pitch w:val="default"/>
    <w:sig w:usb0="800002BF" w:usb1="38CF7CFA" w:usb2="00000016" w:usb3="00000000" w:csb0="00040001"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仿宋">
    <w:panose1 w:val="02010609060101010101"/>
    <w:charset w:val="86"/>
    <w:family w:val="decorative"/>
    <w:pitch w:val="default"/>
    <w:sig w:usb0="800002BF" w:usb1="38CF7CFA" w:usb2="00000016" w:usb3="00000000" w:csb0="00040001" w:csb1="00000000"/>
  </w:font>
  <w:font w:name="仿宋_GB2312">
    <w:altName w:val="仿宋"/>
    <w:panose1 w:val="020106090300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仿宋_GB2312">
    <w:altName w:val="仿宋"/>
    <w:panose1 w:val="02010609030001010101"/>
    <w:charset w:val="86"/>
    <w:family w:val="swiss"/>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001010101"/>
    <w:charset w:val="86"/>
    <w:family w:val="decorative"/>
    <w:pitch w:val="default"/>
    <w:sig w:usb0="00000000" w:usb1="00000000" w:usb2="00000010" w:usb3="00000000" w:csb0="00040000" w:csb1="00000000"/>
  </w:font>
  <w:font w:name="仿宋">
    <w:panose1 w:val="02010609060101010101"/>
    <w:charset w:val="86"/>
    <w:family w:val="swiss"/>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6"/>
        <w:sz w:val="18"/>
        <w:szCs w:val="18"/>
      </w:rPr>
      <w:instrText xml:space="preserve"> PAGE </w:instrText>
    </w:r>
    <w:r>
      <w:rPr>
        <w:sz w:val="18"/>
        <w:szCs w:val="18"/>
      </w:rPr>
      <w:fldChar w:fldCharType="separate"/>
    </w:r>
    <w:r>
      <w:rPr>
        <w:rStyle w:val="6"/>
        <w:sz w:val="18"/>
        <w:szCs w:val="18"/>
      </w:rPr>
      <w:t>1</w:t>
    </w:r>
    <w:r>
      <w:rPr>
        <w:sz w:val="18"/>
        <w:szCs w:val="18"/>
      </w:rPr>
      <w:fldChar w:fldCharType="end"/>
    </w:r>
    <w:r>
      <w:rPr>
        <w:rStyle w:val="6"/>
        <w:rFonts w:hint="eastAsia"/>
        <w:sz w:val="18"/>
        <w:szCs w:val="18"/>
      </w:rPr>
      <w:t>页  共</w:t>
    </w:r>
    <w:r>
      <w:rPr>
        <w:rStyle w:val="6"/>
        <w:rFonts w:hint="eastAsia"/>
        <w:sz w:val="18"/>
        <w:szCs w:val="18"/>
        <w:lang w:val="en-US" w:eastAsia="zh-CN"/>
      </w:rPr>
      <w:t>19</w:t>
    </w:r>
    <w:r>
      <w:rPr>
        <w:rStyle w:val="6"/>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framePr w:wrap="around" w:vAnchor="text" w:hAnchor="margin" w:xAlign="center" w:y="1"/>
      <w:rPr>
        <w:rStyle w:val="6"/>
      </w:rPr>
    </w:pPr>
    <w:r>
      <w:fldChar w:fldCharType="begin"/>
    </w:r>
    <w:r>
      <w:rPr>
        <w:rStyle w:val="6"/>
      </w:rPr>
      <w:instrText xml:space="preserve">PAGE  </w:instrText>
    </w:r>
    <w:r>
      <w:fldChar w:fldCharType="separate"/>
    </w:r>
    <w:r>
      <w:rPr>
        <w:rStyle w:val="6"/>
      </w:rPr>
      <w:t>5</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78213565">
    <w:nsid w:val="5E11A0BD"/>
    <w:multiLevelType w:val="singleLevel"/>
    <w:tmpl w:val="5E11A0BD"/>
    <w:lvl w:ilvl="0" w:tentative="1">
      <w:start w:val="1"/>
      <w:numFmt w:val="decimal"/>
      <w:suff w:val="space"/>
      <w:lvlText w:val="%1."/>
      <w:lvlJc w:val="left"/>
    </w:lvl>
  </w:abstractNum>
  <w:num w:numId="1">
    <w:abstractNumId w:val="15782135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DB718D7"/>
    <w:rsid w:val="02140D77"/>
    <w:rsid w:val="077A1E53"/>
    <w:rsid w:val="18A128D4"/>
    <w:rsid w:val="25916DB0"/>
    <w:rsid w:val="4A7D0844"/>
    <w:rsid w:val="4B35476F"/>
    <w:rsid w:val="6DB718D7"/>
    <w:rsid w:val="701460A1"/>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8">
    <w:name w:val="Normal Table"/>
    <w:semiHidden/>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styleId="6">
    <w:name w:val="page number"/>
    <w:basedOn w:val="5"/>
    <w:qFormat/>
    <w:uiPriority w:val="0"/>
    <w:rPr>
      <w:rFonts w:ascii="Times New Roman" w:hAnsi="Times New Roman" w:eastAsia="宋体" w:cs="Times New Roman"/>
    </w:rPr>
  </w:style>
  <w:style w:type="character" w:styleId="7">
    <w:name w:val="Hyperlink"/>
    <w:basedOn w:val="5"/>
    <w:qFormat/>
    <w:uiPriority w:val="0"/>
    <w:rPr>
      <w:rFonts w:ascii="Times New Roman" w:hAnsi="Times New Roman" w:eastAsia="宋体" w:cs="Times New Roman"/>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List Paragraph"/>
    <w:basedOn w:val="1"/>
    <w:qFormat/>
    <w:uiPriority w:val="34"/>
    <w:pPr>
      <w:ind w:firstLine="420" w:firstLineChars="200"/>
    </w:pPr>
  </w:style>
  <w:style w:type="character" w:customStyle="1" w:styleId="11">
    <w:name w:val="apple-converted-space"/>
    <w:basedOn w:val="5"/>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2021-09-14T06:33:00Z</dcterms:created>
  <dc:creator>Administrator</dc:creator>
  <cp:lastModifiedBy>Administrator</cp:lastModifiedBy>
  <dcterms:modified xsi:type="dcterms:W3CDTF">2021-09-23T07:50:39Z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ICV">
    <vt:lpwstr>07126739634D4197BEEAD2F040617AA2</vt:lpwstr>
  </property>
</Properties>
</file>