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（六）估价结果确定..................................19</w:t>
      </w:r>
      <w:bookmarkStart w:id="0" w:name="_GoBack"/>
      <w:bookmarkEnd w:id="0"/>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受贵方（以下简称委托方）的委托，本公司</w:t>
      </w:r>
      <w:r>
        <w:rPr>
          <w:rFonts w:hint="eastAsia" w:ascii="仿宋_GB2312" w:hAnsi="宋体" w:eastAsia="仿宋_GB2312" w:cs="Times New Roman"/>
          <w:kern w:val="2"/>
          <w:sz w:val="28"/>
          <w:szCs w:val="28"/>
          <w:highlight w:val="none"/>
          <w:lang w:val="en-US" w:eastAsia="zh-CN" w:bidi="ar-SA"/>
        </w:rPr>
        <w:t>于2021年09月08日派</w:t>
      </w:r>
      <w:r>
        <w:rPr>
          <w:rFonts w:hint="eastAsia" w:ascii="仿宋_GB2312" w:hAnsi="宋体" w:eastAsia="仿宋_GB2312" w:cs="Times New Roman"/>
          <w:kern w:val="2"/>
          <w:sz w:val="28"/>
          <w:szCs w:val="28"/>
          <w:lang w:val="en-US" w:eastAsia="zh-CN" w:bidi="ar-SA"/>
        </w:rPr>
        <w:t>员对委托方列明的田和平所有的、位于汉川市北桥祥和花园南区10幢1单元202室，建筑面积为162.35平方米的住宅房屋（含相关权益）进行了现场实地查勘，并对估价对象房地产于估价时</w:t>
      </w:r>
      <w:r>
        <w:rPr>
          <w:rFonts w:hint="eastAsia" w:ascii="仿宋_GB2312" w:hAnsi="宋体" w:eastAsia="仿宋_GB2312" w:cs="Times New Roman"/>
          <w:kern w:val="2"/>
          <w:sz w:val="28"/>
          <w:szCs w:val="28"/>
          <w:highlight w:val="none"/>
          <w:lang w:val="en-US" w:eastAsia="zh-CN" w:bidi="ar-SA"/>
        </w:rPr>
        <w:t>点2021年09月08日的市</w:t>
      </w:r>
      <w:r>
        <w:rPr>
          <w:rFonts w:hint="eastAsia" w:ascii="仿宋_GB2312" w:hAnsi="宋体" w:eastAsia="仿宋_GB2312" w:cs="Times New Roman"/>
          <w:kern w:val="2"/>
          <w:sz w:val="28"/>
          <w:szCs w:val="28"/>
          <w:lang w:val="en-US" w:eastAsia="zh-CN" w:bidi="ar-SA"/>
        </w:rPr>
        <w:t>场价值进行了估价，为委托方处理案件确定财产处置参考价提供价格咨询参考依据。</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按照估价程序，选择市场法对估价对象进行了评估。估价人员经过实地勘察和评估测算，确定估价对象在估价时点可能形成的市场价值为</w:t>
      </w:r>
      <w:r>
        <w:rPr>
          <w:rFonts w:hint="eastAsia" w:ascii="仿宋_GB2312" w:hAnsi="宋体" w:eastAsia="仿宋_GB2312" w:cs="Times New Roman"/>
          <w:kern w:val="2"/>
          <w:sz w:val="28"/>
          <w:szCs w:val="28"/>
          <w:lang w:val="en-US" w:eastAsia="zh-CN" w:bidi="ar-SA"/>
        </w:rPr>
        <w:t>￥</w:t>
      </w:r>
      <w:r>
        <w:rPr>
          <w:rFonts w:hint="eastAsia" w:ascii="仿宋" w:hAnsi="仿宋" w:eastAsia="仿宋" w:cs="仿宋"/>
          <w:kern w:val="2"/>
          <w:sz w:val="28"/>
          <w:szCs w:val="28"/>
          <w:highlight w:val="none"/>
          <w:lang w:val="en-US" w:eastAsia="zh-CN" w:bidi="ar-SA"/>
        </w:rPr>
        <w:t>592415</w:t>
      </w:r>
      <w:r>
        <w:rPr>
          <w:rFonts w:hint="eastAsia" w:ascii="仿宋_GB2312" w:hAnsi="宋体" w:eastAsia="仿宋_GB2312" w:cs="Times New Roman"/>
          <w:kern w:val="2"/>
          <w:sz w:val="28"/>
          <w:szCs w:val="28"/>
          <w:lang w:val="en-US" w:eastAsia="zh-CN" w:bidi="ar-SA"/>
        </w:rPr>
        <w:t>元(大写人民币伍拾玖万贰仟肆佰壹拾伍元整)</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sz w:val="30"/>
          <w:szCs w:val="30"/>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二○二一年九月二十二日</w:t>
      </w: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w:t>
      </w:r>
      <w:r>
        <w:rPr>
          <w:rFonts w:hint="eastAsia" w:ascii="仿宋_GB2312" w:hAnsi="仿宋" w:eastAsia="仿宋_GB2312"/>
          <w:b w:val="0"/>
          <w:bCs/>
          <w:sz w:val="28"/>
          <w:szCs w:val="28"/>
          <w:lang w:val="en-US" w:eastAsia="zh-CN"/>
        </w:rPr>
        <w:t>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4、估价结果是根据估价对象的使用年限，以及现场实物勘查情况，结合市场实际交易实例，采用市场法进行综合估算的。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5、评估过程中，没有考虑该房屋产权被抵押、查封后对估价结果的影响。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二○二一年九月二十二日</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1312;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71128</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田和平所有的</w:t>
      </w:r>
    </w:p>
    <w:p>
      <w:pPr>
        <w:jc w:val="center"/>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位于汉川市北桥祥和花园南区10幢1单元202 室</w:t>
      </w:r>
    </w:p>
    <w:p>
      <w:pPr>
        <w:jc w:val="center"/>
        <w:rPr>
          <w:rFonts w:ascii="仿宋" w:hAnsi="仿宋" w:eastAsia="仿宋"/>
          <w:b/>
          <w:bCs/>
          <w:sz w:val="32"/>
          <w:szCs w:val="32"/>
        </w:rPr>
      </w:pPr>
      <w:r>
        <w:rPr>
          <w:rFonts w:hint="eastAsia" w:ascii="仿宋" w:hAnsi="仿宋" w:eastAsia="仿宋"/>
          <w:b/>
          <w:bCs/>
          <w:sz w:val="32"/>
          <w:szCs w:val="32"/>
        </w:rPr>
        <w:t>房地产估价结果报告</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w:t>
      </w:r>
      <w:r>
        <w:rPr>
          <w:rFonts w:hint="eastAsia" w:ascii="仿宋_GB2312" w:hAnsi="宋体" w:eastAsia="仿宋_GB2312" w:cs="Times New Roman"/>
          <w:kern w:val="2"/>
          <w:sz w:val="28"/>
          <w:szCs w:val="28"/>
          <w:highlight w:val="none"/>
          <w:lang w:val="en-US" w:eastAsia="zh-CN" w:bidi="ar-SA"/>
        </w:rPr>
        <w:t>湖北省孝感市孝南区黄花路38号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本次估价对象范围为田和平所有的、位于汉川市北桥祥和花园南区10幢1单元202室，建筑面积为162.35平方米的住宅房地产</w:t>
      </w:r>
      <w:r>
        <w:rPr>
          <w:rFonts w:hint="eastAsia" w:ascii="仿宋_GB2312" w:hAnsi="宋体" w:eastAsia="仿宋_GB2312" w:cs="Times New Roman"/>
          <w:kern w:val="2"/>
          <w:sz w:val="28"/>
          <w:szCs w:val="28"/>
          <w:lang w:val="en-US" w:eastAsia="zh-CN" w:bidi="ar-SA"/>
        </w:rPr>
        <w:t>。</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经本机构人员的实地勘查和委托方提供的委托书及不动产权情况表等资料，可知估价对象实体状况如下：</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估价对象座落</w:t>
      </w:r>
      <w:r>
        <w:rPr>
          <w:rFonts w:hint="eastAsia" w:ascii="仿宋_GB2312" w:hAnsi="宋体" w:eastAsia="仿宋_GB2312" w:cs="Times New Roman"/>
          <w:kern w:val="2"/>
          <w:sz w:val="28"/>
          <w:szCs w:val="28"/>
          <w:lang w:val="en-US" w:eastAsia="zh-CN" w:bidi="ar-SA"/>
        </w:rPr>
        <w:t>汉川市北桥祥和花园南区10幢1单元202室，建筑面积为162.35平方米</w:t>
      </w:r>
      <w:r>
        <w:rPr>
          <w:rFonts w:hint="eastAsia" w:ascii="仿宋_GB2312" w:hAnsi="宋体" w:eastAsia="仿宋_GB2312" w:cs="Times New Roman"/>
          <w:kern w:val="2"/>
          <w:sz w:val="28"/>
          <w:szCs w:val="28"/>
          <w:highlight w:val="none"/>
          <w:lang w:val="en-US" w:eastAsia="zh-CN" w:bidi="ar-SA"/>
        </w:rPr>
        <w:t>，房屋所有权人为田和平，房屋用途为住宅，房屋结构为混合结构，所在层/总层数为2层/6层，不动产权证书号为城北私070452号，登记时间为2013年10月31日。已被抵押，已被查封。</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经现场实物勘验和调查得知，估价对象房屋坐落于汉川市北桥祥和支路祥和花园南区10幢1单元202</w:t>
      </w:r>
      <w:r>
        <w:rPr>
          <w:rFonts w:hint="eastAsia" w:ascii="仿宋_GB2312" w:hAnsi="宋体" w:eastAsia="仿宋_GB2312" w:cs="Times New Roman"/>
          <w:kern w:val="2"/>
          <w:sz w:val="28"/>
          <w:szCs w:val="28"/>
          <w:lang w:val="en-US" w:eastAsia="zh-CN" w:bidi="ar-SA"/>
        </w:rPr>
        <w:t>室，</w:t>
      </w:r>
      <w:r>
        <w:rPr>
          <w:rFonts w:hint="eastAsia" w:ascii="仿宋_GB2312" w:hAnsi="宋体" w:eastAsia="仿宋_GB2312" w:cs="Times New Roman"/>
          <w:kern w:val="2"/>
          <w:sz w:val="28"/>
          <w:szCs w:val="28"/>
          <w:highlight w:val="none"/>
          <w:lang w:val="en-US" w:eastAsia="zh-CN" w:bidi="ar-SA"/>
        </w:rPr>
        <w:t>建成于2012年，总层数为6+1层，所在层为第2层，为多层步梯房屋，用途为成套住宅，户型四室二厅二卫一厨，南北朝向，外墙为防水涂料粉刷，安装塑钢窗户，室内装修情况因多种原因未能勘验。据调查，室内为简单装修，维护保养一般。</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二0二一年九月八日。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我们按照《房地产估价规范》的规定，遵循估价行业公认的估价工作原则，对估价对象进行独立、客观、科学的评价，并遵守国家保密规定。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w:t>
      </w:r>
      <w:r>
        <w:rPr>
          <w:rFonts w:hint="eastAsia" w:ascii="仿宋_GB2312" w:hAnsi="宋体" w:eastAsia="仿宋_GB2312" w:cs="Times New Roman"/>
          <w:kern w:val="2"/>
          <w:sz w:val="28"/>
          <w:szCs w:val="28"/>
          <w:lang w:val="en-US" w:eastAsia="zh-CN" w:bidi="ar-SA"/>
        </w:rPr>
        <w:t>￥</w:t>
      </w:r>
      <w:r>
        <w:rPr>
          <w:rFonts w:hint="eastAsia" w:ascii="仿宋" w:hAnsi="仿宋" w:eastAsia="仿宋" w:cs="仿宋"/>
          <w:kern w:val="2"/>
          <w:sz w:val="28"/>
          <w:szCs w:val="28"/>
          <w:highlight w:val="none"/>
          <w:lang w:val="en-US" w:eastAsia="zh-CN" w:bidi="ar-SA"/>
        </w:rPr>
        <w:t>592415</w:t>
      </w:r>
      <w:r>
        <w:rPr>
          <w:rFonts w:hint="eastAsia" w:ascii="仿宋_GB2312" w:hAnsi="宋体" w:eastAsia="仿宋_GB2312" w:cs="Times New Roman"/>
          <w:kern w:val="2"/>
          <w:sz w:val="28"/>
          <w:szCs w:val="28"/>
          <w:lang w:val="en-US" w:eastAsia="zh-CN" w:bidi="ar-SA"/>
        </w:rPr>
        <w:t>元(大写人民币伍拾玖万贰仟肆佰壹拾伍元整)</w:t>
      </w:r>
      <w:r>
        <w:rPr>
          <w:rFonts w:hint="eastAsia" w:ascii="仿宋_GB2312" w:hAnsi="宋体" w:eastAsia="仿宋_GB2312" w:cs="Times New Roman"/>
          <w:kern w:val="2"/>
          <w:sz w:val="28"/>
          <w:szCs w:val="28"/>
          <w:lang w:val="en-US" w:eastAsia="zh-CN" w:bidi="ar-SA"/>
        </w:rPr>
        <w:t>。</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7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0"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765"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705344" behindDoc="1" locked="0" layoutInCell="1" allowOverlap="1">
                  <wp:simplePos x="0" y="0"/>
                  <wp:positionH relativeFrom="column">
                    <wp:posOffset>104775</wp:posOffset>
                  </wp:positionH>
                  <wp:positionV relativeFrom="paragraph">
                    <wp:posOffset>128905</wp:posOffset>
                  </wp:positionV>
                  <wp:extent cx="1273810" cy="491490"/>
                  <wp:effectExtent l="0" t="0" r="2540" b="3810"/>
                  <wp:wrapNone/>
                  <wp:docPr id="2"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r>
              <w:rPr>
                <w:lang w:val="zh-CN" w:eastAsia="zh-CN"/>
              </w:rPr>
              <w:drawing>
                <wp:anchor distT="0" distB="0" distL="114300" distR="114300" simplePos="0" relativeHeight="251707392" behindDoc="0" locked="0" layoutInCell="1" allowOverlap="1">
                  <wp:simplePos x="0" y="0"/>
                  <wp:positionH relativeFrom="column">
                    <wp:posOffset>-65405</wp:posOffset>
                  </wp:positionH>
                  <wp:positionV relativeFrom="paragraph">
                    <wp:posOffset>842645</wp:posOffset>
                  </wp:positionV>
                  <wp:extent cx="1494790" cy="1033780"/>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3"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0017039</w:t>
            </w:r>
          </w:p>
        </w:tc>
        <w:tc>
          <w:tcPr>
            <w:tcW w:w="2765" w:type="dxa"/>
            <w:vAlign w:val="center"/>
          </w:tcPr>
          <w:p>
            <w:pPr>
              <w:pStyle w:val="4"/>
              <w:rPr>
                <w:rFonts w:hint="eastAsia" w:ascii="仿宋" w:hAnsi="仿宋" w:eastAsia="仿宋"/>
                <w:color w:val="000000"/>
                <w:sz w:val="32"/>
                <w:szCs w:val="32"/>
              </w:rPr>
            </w:pPr>
            <w:r>
              <w:rPr>
                <w:rFonts w:hint="eastAsia" w:ascii="仿宋" w:hAnsi="仿宋" w:eastAsia="仿宋"/>
                <w:color w:val="000000"/>
                <w:sz w:val="32"/>
                <w:szCs w:val="32"/>
              </w:rPr>
              <w:drawing>
                <wp:anchor distT="0" distB="0" distL="114300" distR="114300" simplePos="0" relativeHeight="251708416" behindDoc="0" locked="0" layoutInCell="1" allowOverlap="1">
                  <wp:simplePos x="0" y="0"/>
                  <wp:positionH relativeFrom="column">
                    <wp:posOffset>158115</wp:posOffset>
                  </wp:positionH>
                  <wp:positionV relativeFrom="page">
                    <wp:posOffset>209550</wp:posOffset>
                  </wp:positionV>
                  <wp:extent cx="635" cy="635"/>
                  <wp:effectExtent l="0" t="0" r="0" b="0"/>
                  <wp:wrapNone/>
                  <wp:docPr id="5" name="图片 5"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b/>
          <w:bCs/>
          <w:sz w:val="30"/>
          <w:szCs w:val="30"/>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 xml:space="preserve">   </w:t>
      </w: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b/>
          <w:bCs/>
          <w:sz w:val="30"/>
          <w:szCs w:val="30"/>
          <w:highlight w:val="none"/>
          <w:lang w:val="en-US" w:eastAsia="zh-CN"/>
        </w:rPr>
        <w:t xml:space="preserve">  （十三）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09</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22</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若无特别约定，估价结论有效期为从估价报告完成之日起壹年。超过有效期后需重新估价方可使用。</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二○二一年九月二十二日</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田和平所有的</w:t>
      </w:r>
    </w:p>
    <w:p>
      <w:pPr>
        <w:jc w:val="center"/>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位于汉川市北桥祥和花园南区10幢1单元202 室</w:t>
      </w:r>
    </w:p>
    <w:p>
      <w:pPr>
        <w:jc w:val="center"/>
        <w:rPr>
          <w:rFonts w:hint="eastAsia" w:ascii="仿宋" w:hAnsi="仿宋" w:eastAsia="仿宋"/>
          <w:b/>
          <w:bCs/>
          <w:sz w:val="36"/>
          <w:szCs w:val="36"/>
        </w:rPr>
      </w:pPr>
      <w:r>
        <w:rPr>
          <w:rFonts w:hint="eastAsia" w:ascii="仿宋" w:hAnsi="仿宋" w:eastAsia="仿宋"/>
          <w:b/>
          <w:bCs/>
          <w:sz w:val="32"/>
          <w:szCs w:val="32"/>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估价对象座落</w:t>
      </w:r>
      <w:r>
        <w:rPr>
          <w:rFonts w:hint="eastAsia" w:ascii="仿宋_GB2312" w:hAnsi="宋体" w:eastAsia="仿宋_GB2312" w:cs="Times New Roman"/>
          <w:kern w:val="2"/>
          <w:sz w:val="28"/>
          <w:szCs w:val="28"/>
          <w:lang w:val="en-US" w:eastAsia="zh-CN" w:bidi="ar-SA"/>
        </w:rPr>
        <w:t>汉川市北桥祥和花园南区10幢1单元202室，建筑面积为162.35平方米</w:t>
      </w:r>
      <w:r>
        <w:rPr>
          <w:rFonts w:hint="eastAsia" w:ascii="仿宋_GB2312" w:hAnsi="宋体" w:eastAsia="仿宋_GB2312" w:cs="Times New Roman"/>
          <w:kern w:val="2"/>
          <w:sz w:val="28"/>
          <w:szCs w:val="28"/>
          <w:highlight w:val="none"/>
          <w:lang w:val="en-US" w:eastAsia="zh-CN" w:bidi="ar-SA"/>
        </w:rPr>
        <w:t>，房屋所有权人为田和平，房屋用途为住宅，房屋结构为混合结构，所在层/总层数为2层/6层，不动产权证书号为城北私070452号，登记时间为2013年10月31日。已被抵押，已被查封。</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经现场实物勘验和调查得知，估价对象房屋坐落于汉川市北桥祥和支路祥和花园南区10幢1单元202</w:t>
      </w:r>
      <w:r>
        <w:rPr>
          <w:rFonts w:hint="eastAsia" w:ascii="仿宋_GB2312" w:hAnsi="宋体" w:eastAsia="仿宋_GB2312" w:cs="Times New Roman"/>
          <w:kern w:val="2"/>
          <w:sz w:val="28"/>
          <w:szCs w:val="28"/>
          <w:lang w:val="en-US" w:eastAsia="zh-CN" w:bidi="ar-SA"/>
        </w:rPr>
        <w:t>室，</w:t>
      </w:r>
      <w:r>
        <w:rPr>
          <w:rFonts w:hint="eastAsia" w:ascii="仿宋_GB2312" w:hAnsi="宋体" w:eastAsia="仿宋_GB2312" w:cs="Times New Roman"/>
          <w:kern w:val="2"/>
          <w:sz w:val="28"/>
          <w:szCs w:val="28"/>
          <w:highlight w:val="none"/>
          <w:lang w:val="en-US" w:eastAsia="zh-CN" w:bidi="ar-SA"/>
        </w:rPr>
        <w:t>建成于2012年，总层数为6+1层，所在层为第2层，为多层步梯房屋，用途为成套住宅，户型四室二厅二卫一厨，南北朝向，外墙为防水涂料粉刷，安装塑钢窗户，室内装修情况因多种原因未能勘验。据调查，室内为简单装修，维护保养一般。</w:t>
      </w:r>
    </w:p>
    <w:p>
      <w:pPr>
        <w:numPr>
          <w:ilvl w:val="0"/>
          <w:numId w:val="0"/>
        </w:numPr>
        <w:ind w:firstLine="562"/>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二、估价对象区域因素分析</w:t>
      </w:r>
    </w:p>
    <w:p>
      <w:pPr>
        <w:ind w:firstLine="560" w:firstLineChars="200"/>
        <w:rPr>
          <w:rFonts w:hint="eastAsia" w:eastAsia="仿宋"/>
          <w:lang w:val="en-US" w:eastAsia="zh-CN"/>
        </w:rPr>
      </w:pPr>
      <w:r>
        <w:rPr>
          <w:rFonts w:hint="eastAsia" w:ascii="仿宋_GB2312" w:hAnsi="宋体" w:eastAsia="仿宋_GB2312" w:cs="Times New Roman"/>
          <w:kern w:val="2"/>
          <w:sz w:val="28"/>
          <w:szCs w:val="28"/>
          <w:lang w:val="en-US" w:eastAsia="zh-CN" w:bidi="ar-SA"/>
        </w:rPr>
        <w:t>估价对象位于</w:t>
      </w:r>
      <w:r>
        <w:rPr>
          <w:rFonts w:hint="eastAsia" w:ascii="仿宋_GB2312" w:hAnsi="宋体" w:eastAsia="仿宋_GB2312" w:cs="Times New Roman"/>
          <w:kern w:val="2"/>
          <w:sz w:val="28"/>
          <w:szCs w:val="28"/>
          <w:highlight w:val="none"/>
          <w:lang w:val="en-US" w:eastAsia="zh-CN" w:bidi="ar-SA"/>
        </w:rPr>
        <w:t>汉川市汉川市祥和支路祥和花园南区小区</w:t>
      </w:r>
      <w:r>
        <w:rPr>
          <w:rFonts w:hint="eastAsia" w:ascii="仿宋_GB2312" w:hAnsi="宋体" w:eastAsia="仿宋_GB2312" w:cs="Times New Roman"/>
          <w:kern w:val="2"/>
          <w:sz w:val="28"/>
          <w:szCs w:val="28"/>
          <w:lang w:val="en-US" w:eastAsia="zh-CN" w:bidi="ar-SA"/>
        </w:rPr>
        <w:t>，该小区居住环境、绿化卫生及物业管理一般。所在区域属于汉川市城区成熟地段，居住人口较稠密，周边公共、生活配套设施齐全，交通便</w:t>
      </w:r>
      <w:r>
        <w:rPr>
          <w:rFonts w:hint="eastAsia" w:ascii="仿宋_GB2312" w:hAnsi="宋体" w:eastAsia="仿宋_GB2312" w:cs="Times New Roman"/>
          <w:color w:val="auto"/>
          <w:kern w:val="2"/>
          <w:sz w:val="28"/>
          <w:szCs w:val="28"/>
          <w:lang w:val="en-US" w:eastAsia="zh-CN" w:bidi="ar-SA"/>
        </w:rPr>
        <w:t>捷，</w:t>
      </w:r>
      <w:r>
        <w:rPr>
          <w:rFonts w:hint="eastAsia" w:ascii="仿宋" w:hAnsi="仿宋" w:eastAsia="仿宋" w:cs="仿宋"/>
          <w:color w:val="auto"/>
          <w:kern w:val="2"/>
          <w:sz w:val="28"/>
          <w:szCs w:val="28"/>
          <w:lang w:val="en-US" w:eastAsia="zh-CN" w:bidi="ar-SA"/>
        </w:rPr>
        <w:t>有</w:t>
      </w:r>
      <w:r>
        <w:rPr>
          <w:rFonts w:hint="eastAsia" w:ascii="仿宋" w:hAnsi="仿宋" w:eastAsia="仿宋" w:cs="仿宋"/>
          <w:i w:val="0"/>
          <w:caps w:val="0"/>
          <w:color w:val="auto"/>
          <w:spacing w:val="0"/>
          <w:sz w:val="28"/>
          <w:szCs w:val="28"/>
        </w:rPr>
        <w:t>多路公交车</w:t>
      </w:r>
      <w:r>
        <w:rPr>
          <w:rFonts w:hint="eastAsia" w:ascii="仿宋" w:hAnsi="仿宋" w:eastAsia="仿宋" w:cs="仿宋"/>
          <w:i w:val="0"/>
          <w:caps w:val="0"/>
          <w:color w:val="auto"/>
          <w:spacing w:val="0"/>
          <w:sz w:val="28"/>
          <w:szCs w:val="28"/>
          <w:lang w:eastAsia="zh-CN"/>
        </w:rPr>
        <w:t>通达；</w:t>
      </w:r>
      <w:r>
        <w:rPr>
          <w:rFonts w:hint="eastAsia" w:ascii="仿宋" w:hAnsi="仿宋" w:eastAsia="仿宋" w:cs="仿宋"/>
          <w:color w:val="auto"/>
          <w:kern w:val="2"/>
          <w:sz w:val="28"/>
          <w:szCs w:val="28"/>
          <w:lang w:val="en-US" w:eastAsia="zh-CN" w:bidi="ar-SA"/>
        </w:rPr>
        <w:t>附近设有</w:t>
      </w:r>
      <w:r>
        <w:rPr>
          <w:rFonts w:hint="eastAsia" w:ascii="仿宋" w:hAnsi="仿宋" w:eastAsia="仿宋" w:cs="仿宋"/>
          <w:i w:val="0"/>
          <w:caps w:val="0"/>
          <w:color w:val="auto"/>
          <w:spacing w:val="0"/>
          <w:sz w:val="28"/>
          <w:szCs w:val="28"/>
          <w:lang w:eastAsia="zh-CN"/>
        </w:rPr>
        <w:t>中小学校、医院、各类专业银行，还有大小商场、超市环伺周边，</w:t>
      </w:r>
      <w:r>
        <w:rPr>
          <w:rFonts w:hint="eastAsia" w:ascii="仿宋" w:hAnsi="仿宋" w:eastAsia="仿宋" w:cs="仿宋"/>
          <w:i w:val="0"/>
          <w:caps w:val="0"/>
          <w:color w:val="auto"/>
          <w:spacing w:val="0"/>
          <w:sz w:val="28"/>
          <w:szCs w:val="28"/>
          <w:lang w:val="en-US" w:eastAsia="zh-CN"/>
        </w:rPr>
        <w:t>购物、出行、就学等较为方便。</w:t>
      </w:r>
    </w:p>
    <w:p>
      <w:pPr>
        <w:numPr>
          <w:ilvl w:val="0"/>
          <w:numId w:val="0"/>
        </w:numPr>
        <w:ind w:firstLine="562" w:firstLineChars="200"/>
        <w:rPr>
          <w:rFonts w:hint="eastAsia" w:ascii="仿宋_GB2312" w:hAnsi="宋体" w:eastAsia="仿宋_GB2312" w:cs="Times New Roman"/>
          <w:b/>
          <w:bCs/>
          <w:kern w:val="2"/>
          <w:sz w:val="28"/>
          <w:szCs w:val="28"/>
          <w:lang w:val="en-US" w:eastAsia="zh-CN" w:bidi="ar-SA"/>
        </w:rPr>
      </w:pPr>
    </w:p>
    <w:p>
      <w:pPr>
        <w:numPr>
          <w:ilvl w:val="0"/>
          <w:numId w:val="0"/>
        </w:numPr>
        <w:ind w:firstLine="562" w:firstLineChars="200"/>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ind w:firstLine="562" w:firstLineChars="20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w:t>
      </w:r>
    </w:p>
    <w:p>
      <w:pPr>
        <w:numPr>
          <w:ilvl w:val="0"/>
          <w:numId w:val="0"/>
        </w:numPr>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接受委托后，我们会同委托人及相关当事人对估价对象进行了实地勘查，随后开展了广泛的市场调查，并采用市场法进行了估价测算，确定估价结果。</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针对估价对象的功能和特点，根据替代原则，按用途相同、土地级别相同、价格类型相同等特点，对与估价对象在同一区域内的类似住宅进行了市场调查和比较分析，按照估价要求，筛选三个可比实例。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实例A：祥和花园南区住宅，2011年建成，总层数6层，所在层6层，3室2厅2卫，南北朝向，简单装修，建筑面积134平米，拟交易总价46万，折合单价约</w:t>
      </w:r>
      <w:r>
        <w:rPr>
          <w:rFonts w:hint="eastAsia" w:ascii="仿宋_GB2312" w:hAnsi="宋体" w:eastAsia="仿宋_GB2312" w:cs="Times New Roman"/>
          <w:kern w:val="2"/>
          <w:sz w:val="28"/>
          <w:szCs w:val="28"/>
          <w:highlight w:val="none"/>
          <w:lang w:val="en-US" w:eastAsia="zh-CN" w:bidi="ar-SA"/>
        </w:rPr>
        <w:t>为3433元/平米，</w:t>
      </w:r>
      <w:r>
        <w:rPr>
          <w:rFonts w:hint="eastAsia" w:ascii="仿宋_GB2312" w:hAnsi="宋体" w:eastAsia="仿宋_GB2312" w:cs="Times New Roman"/>
          <w:kern w:val="2"/>
          <w:sz w:val="28"/>
          <w:szCs w:val="28"/>
          <w:lang w:val="en-US" w:eastAsia="zh-CN" w:bidi="ar-SA"/>
        </w:rPr>
        <w:t>拟交易日期2021年9月份。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实例B：祥和花园南区住宅，2011年建成，总层数6层，所在层6层，3室2厅2卫，南北朝向，精装修，建筑面积152平米，拟交易总价58万，折合单价</w:t>
      </w:r>
      <w:r>
        <w:rPr>
          <w:rFonts w:hint="eastAsia" w:ascii="仿宋_GB2312" w:hAnsi="宋体" w:eastAsia="仿宋_GB2312" w:cs="Times New Roman"/>
          <w:kern w:val="2"/>
          <w:sz w:val="28"/>
          <w:szCs w:val="28"/>
          <w:highlight w:val="none"/>
          <w:lang w:val="en-US" w:eastAsia="zh-CN" w:bidi="ar-SA"/>
        </w:rPr>
        <w:t>约为3816元/平米</w:t>
      </w:r>
      <w:r>
        <w:rPr>
          <w:rFonts w:hint="eastAsia" w:ascii="仿宋_GB2312" w:hAnsi="宋体" w:eastAsia="仿宋_GB2312" w:cs="Times New Roman"/>
          <w:kern w:val="2"/>
          <w:sz w:val="28"/>
          <w:szCs w:val="28"/>
          <w:lang w:val="en-US" w:eastAsia="zh-CN" w:bidi="ar-SA"/>
        </w:rPr>
        <w:t>，拟交易日期2021年9月份。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实例C：祥和花园南区住宅，2011年建成，总层数7层，所在层6层，2室2厅2卫，南北朝向，精装修，建筑面积90平米，拟交易总价35万，折合单价约</w:t>
      </w:r>
      <w:r>
        <w:rPr>
          <w:rFonts w:hint="eastAsia" w:ascii="仿宋_GB2312" w:hAnsi="宋体" w:eastAsia="仿宋_GB2312" w:cs="Times New Roman"/>
          <w:kern w:val="2"/>
          <w:sz w:val="28"/>
          <w:szCs w:val="28"/>
          <w:highlight w:val="none"/>
          <w:lang w:val="en-US" w:eastAsia="zh-CN" w:bidi="ar-SA"/>
        </w:rPr>
        <w:t>为3889元/平米，拟</w:t>
      </w:r>
      <w:r>
        <w:rPr>
          <w:rFonts w:hint="eastAsia" w:ascii="仿宋_GB2312" w:hAnsi="宋体" w:eastAsia="仿宋_GB2312" w:cs="Times New Roman"/>
          <w:kern w:val="2"/>
          <w:sz w:val="28"/>
          <w:szCs w:val="28"/>
          <w:lang w:val="en-US" w:eastAsia="zh-CN" w:bidi="ar-SA"/>
        </w:rPr>
        <w:t>交易日期2021年9月份。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w:t>
            </w:r>
            <w:r>
              <w:rPr>
                <w:rFonts w:hint="eastAsia" w:ascii="仿宋" w:hAnsi="仿宋" w:eastAsia="仿宋" w:cs="仿宋"/>
                <w:sz w:val="24"/>
                <w:szCs w:val="24"/>
                <w:vertAlign w:val="baseline"/>
                <w:lang w:val="en-US" w:eastAsia="zh-CN"/>
              </w:rPr>
              <w:t>案例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trPr>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座 落 位 置</w:t>
            </w:r>
          </w:p>
        </w:tc>
        <w:tc>
          <w:tcPr>
            <w:tcW w:w="1446"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祥和花园南区10幢1单元202室</w:t>
            </w:r>
          </w:p>
        </w:tc>
        <w:tc>
          <w:tcPr>
            <w:tcW w:w="1567"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祥和南苑</w:t>
            </w:r>
          </w:p>
        </w:tc>
        <w:tc>
          <w:tcPr>
            <w:tcW w:w="1550"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祥和南苑</w:t>
            </w:r>
          </w:p>
        </w:tc>
        <w:tc>
          <w:tcPr>
            <w:tcW w:w="1633"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祥和南苑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祥和南苑</w:t>
            </w:r>
          </w:p>
        </w:tc>
        <w:tc>
          <w:tcPr>
            <w:tcW w:w="1567"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祥和南苑</w:t>
            </w:r>
          </w:p>
        </w:tc>
        <w:tc>
          <w:tcPr>
            <w:tcW w:w="1550" w:type="dxa"/>
            <w:vAlign w:val="top"/>
          </w:tcPr>
          <w:p>
            <w:pPr>
              <w:numPr>
                <w:ilvl w:val="0"/>
                <w:numId w:val="0"/>
              </w:numPr>
              <w:ind w:left="0" w:leftChars="0" w:firstLine="0" w:firstLineChars="0"/>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祥和南苑</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祥和南苑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3433</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3816</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2021.9</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2021.9</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2021.9</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2/6</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6/6</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6/6</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四房二厅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二房二厅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简装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简装</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_GB2312" w:hAnsi="宋体" w:eastAsia="仿宋_GB2312" w:cs="Times New Roman"/>
                <w:kern w:val="2"/>
                <w:sz w:val="28"/>
                <w:szCs w:val="28"/>
                <w:lang w:val="en-US" w:eastAsia="zh-CN" w:bidi="ar-SA"/>
              </w:rPr>
              <w:t>精</w:t>
            </w:r>
            <w:r>
              <w:rPr>
                <w:rFonts w:hint="eastAsia" w:ascii="仿宋" w:hAnsi="仿宋" w:eastAsia="仿宋" w:cs="仿宋"/>
                <w:sz w:val="30"/>
                <w:szCs w:val="30"/>
                <w:vertAlign w:val="baseline"/>
                <w:lang w:val="en-US" w:eastAsia="zh-CN"/>
              </w:rPr>
              <w:t>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_GB2312" w:hAnsi="宋体" w:eastAsia="仿宋_GB2312" w:cs="Times New Roman"/>
                <w:kern w:val="2"/>
                <w:sz w:val="28"/>
                <w:szCs w:val="28"/>
                <w:lang w:val="en-US" w:eastAsia="zh-CN" w:bidi="ar-SA"/>
              </w:rPr>
              <w:t>精装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南北，好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85%</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83.3%</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83.3%</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3433</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3816</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98</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98</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105</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98</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103</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104</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对象</w:t>
            </w:r>
          </w:p>
        </w:tc>
        <w:tc>
          <w:tcPr>
            <w:tcW w:w="1867"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成交单价（元/平米）</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3433</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3816</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3889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情况</w:t>
            </w: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交易情况</w:t>
            </w:r>
          </w:p>
        </w:tc>
        <w:tc>
          <w:tcPr>
            <w:tcW w:w="1146" w:type="dxa"/>
            <w:vAlign w:val="top"/>
          </w:tcPr>
          <w:p>
            <w:pPr>
              <w:jc w:val="center"/>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4"/>
                <w:szCs w:val="24"/>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1146"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市场状况调整系数</w:t>
            </w:r>
          </w:p>
        </w:tc>
        <w:tc>
          <w:tcPr>
            <w:tcW w:w="1146" w:type="dxa"/>
            <w:vAlign w:val="top"/>
          </w:tcPr>
          <w:p>
            <w:pPr>
              <w:jc w:val="center"/>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区域状况调整系数</w:t>
            </w:r>
          </w:p>
        </w:tc>
        <w:tc>
          <w:tcPr>
            <w:tcW w:w="1146"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权益状况调整系数</w:t>
            </w:r>
          </w:p>
        </w:tc>
        <w:tc>
          <w:tcPr>
            <w:tcW w:w="1146"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98</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103</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3503</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3705</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3739</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5、求取估价对象价值</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由于可比实例A、B、C与估价对象条件因素相当类似，且比准价格相差不大，因此采取算数平均值的求取方法确定评估单价。</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评估单价=（3503+3705+3739</w:t>
      </w:r>
      <w:r>
        <w:rPr>
          <w:rFonts w:hint="eastAsia" w:ascii="仿宋" w:hAnsi="仿宋" w:eastAsia="仿宋" w:cs="仿宋"/>
          <w:kern w:val="2"/>
          <w:sz w:val="28"/>
          <w:szCs w:val="28"/>
          <w:highlight w:val="none"/>
          <w:lang w:val="en-US" w:eastAsia="zh-CN" w:bidi="ar-SA"/>
        </w:rPr>
        <w:t>）÷3=3649</w:t>
      </w:r>
      <w:r>
        <w:rPr>
          <w:rFonts w:hint="eastAsia" w:ascii="仿宋_GB2312" w:hAnsi="宋体" w:eastAsia="仿宋_GB2312" w:cs="Times New Roman"/>
          <w:kern w:val="2"/>
          <w:sz w:val="28"/>
          <w:szCs w:val="28"/>
          <w:highlight w:val="none"/>
          <w:lang w:val="en-US" w:eastAsia="zh-CN" w:bidi="ar-SA"/>
        </w:rPr>
        <w:t>(元/平米)</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评估总值=</w:t>
      </w:r>
      <w:r>
        <w:rPr>
          <w:rFonts w:hint="eastAsia" w:ascii="仿宋" w:hAnsi="仿宋" w:eastAsia="仿宋" w:cs="仿宋"/>
          <w:kern w:val="2"/>
          <w:sz w:val="28"/>
          <w:szCs w:val="28"/>
          <w:highlight w:val="none"/>
          <w:lang w:val="en-US" w:eastAsia="zh-CN" w:bidi="ar-SA"/>
        </w:rPr>
        <w:t>3649</w:t>
      </w:r>
      <w:r>
        <w:rPr>
          <w:rFonts w:hint="eastAsia" w:ascii="仿宋_GB2312" w:hAnsi="宋体" w:eastAsia="仿宋_GB2312" w:cs="Times New Roman"/>
          <w:kern w:val="2"/>
          <w:sz w:val="28"/>
          <w:szCs w:val="28"/>
          <w:highlight w:val="none"/>
          <w:lang w:val="en-US" w:eastAsia="zh-CN" w:bidi="ar-SA"/>
        </w:rPr>
        <w:t>×162.35</w:t>
      </w:r>
      <w:r>
        <w:rPr>
          <w:rFonts w:hint="eastAsia" w:ascii="仿宋" w:hAnsi="仿宋" w:eastAsia="仿宋" w:cs="仿宋"/>
          <w:kern w:val="2"/>
          <w:sz w:val="28"/>
          <w:szCs w:val="28"/>
          <w:highlight w:val="none"/>
          <w:lang w:val="en-US" w:eastAsia="zh-CN" w:bidi="ar-SA"/>
        </w:rPr>
        <w:t>≈592415</w:t>
      </w:r>
      <w:r>
        <w:rPr>
          <w:rFonts w:hint="eastAsia" w:ascii="仿宋_GB2312" w:hAnsi="宋体" w:eastAsia="仿宋_GB2312" w:cs="Times New Roman"/>
          <w:kern w:val="2"/>
          <w:sz w:val="28"/>
          <w:szCs w:val="28"/>
          <w:highlight w:val="none"/>
          <w:lang w:val="en-US" w:eastAsia="zh-CN" w:bidi="ar-SA"/>
        </w:rPr>
        <w:t>(元)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估价人员根据估价目的，遵循估价原则，按照规定估价程序和估价方法，经过具体测算，确定估价对象在估价时点可能形成的市场价值为￥</w:t>
      </w:r>
      <w:r>
        <w:rPr>
          <w:rFonts w:hint="eastAsia" w:ascii="仿宋" w:hAnsi="仿宋" w:eastAsia="仿宋" w:cs="仿宋"/>
          <w:kern w:val="2"/>
          <w:sz w:val="28"/>
          <w:szCs w:val="28"/>
          <w:highlight w:val="none"/>
          <w:lang w:val="en-US" w:eastAsia="zh-CN" w:bidi="ar-SA"/>
        </w:rPr>
        <w:t>592415</w:t>
      </w:r>
      <w:r>
        <w:rPr>
          <w:rFonts w:hint="eastAsia" w:ascii="仿宋_GB2312" w:hAnsi="宋体" w:eastAsia="仿宋_GB2312" w:cs="Times New Roman"/>
          <w:kern w:val="2"/>
          <w:sz w:val="28"/>
          <w:szCs w:val="28"/>
          <w:lang w:val="en-US" w:eastAsia="zh-CN" w:bidi="ar-SA"/>
        </w:rPr>
        <w:t xml:space="preserve">元(大写人民币伍拾玖万贰仟肆佰壹拾伍元整)。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4200" w:firstLineChars="1500"/>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二○二一年九月二十二日</w:t>
      </w:r>
    </w:p>
    <w:p>
      <w:pPr/>
    </w:p>
    <w:p>
      <w:pP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decorative"/>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仿宋_GB2312">
    <w:altName w:val="仿宋"/>
    <w:panose1 w:val="02010609030001010101"/>
    <w:charset w:val="86"/>
    <w:family w:val="swiss"/>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19</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072BD2"/>
    <w:rsid w:val="0DAF7D84"/>
    <w:rsid w:val="1AA56C42"/>
    <w:rsid w:val="1ABB4669"/>
    <w:rsid w:val="25B5026A"/>
    <w:rsid w:val="2FA8493D"/>
    <w:rsid w:val="36DB148C"/>
    <w:rsid w:val="3C57218D"/>
    <w:rsid w:val="3FCA75B6"/>
    <w:rsid w:val="42C96C1E"/>
    <w:rsid w:val="45BC5CF7"/>
    <w:rsid w:val="4B5375A2"/>
    <w:rsid w:val="51B17CEA"/>
    <w:rsid w:val="52532242"/>
    <w:rsid w:val="52F07F1E"/>
    <w:rsid w:val="60DC2F78"/>
    <w:rsid w:val="64072BD2"/>
    <w:rsid w:val="672D4F56"/>
    <w:rsid w:val="6E3269D7"/>
    <w:rsid w:val="7CC3693C"/>
    <w:rsid w:val="7CF81394"/>
    <w:rsid w:val="7E4D6442"/>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2021-09-14T03:41:00Z</dcterms:created>
  <dc:creator>Administrator</dc:creator>
  <cp:lastModifiedBy>Administrator</cp:lastModifiedBy>
  <dcterms:modified xsi:type="dcterms:W3CDTF">2021-09-22T08:54:59Z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110A46A5D3CF4D15831FB26EF30F5A74</vt:lpwstr>
  </property>
</Properties>
</file>