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.......................12</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.........................13-19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（五）估价测算过程...............................15-19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（六）估价结果确定..................................19</w:t>
      </w:r>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孝感市孝南区人民法院：</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受贵方（以下简称委托方）的委托，本公司</w:t>
      </w:r>
      <w:r>
        <w:rPr>
          <w:rFonts w:hint="eastAsia" w:ascii="仿宋_GB2312" w:hAnsi="宋体" w:eastAsia="仿宋_GB2312" w:cs="Times New Roman"/>
          <w:kern w:val="2"/>
          <w:sz w:val="28"/>
          <w:szCs w:val="28"/>
          <w:highlight w:val="none"/>
          <w:lang w:val="en-US" w:eastAsia="zh-CN" w:bidi="ar-SA"/>
        </w:rPr>
        <w:t>于2021年11月12日派</w:t>
      </w:r>
      <w:r>
        <w:rPr>
          <w:rFonts w:hint="eastAsia" w:ascii="仿宋_GB2312" w:hAnsi="宋体" w:eastAsia="仿宋_GB2312" w:cs="Times New Roman"/>
          <w:kern w:val="2"/>
          <w:sz w:val="28"/>
          <w:szCs w:val="28"/>
          <w:lang w:val="en-US" w:eastAsia="zh-CN" w:bidi="ar-SA"/>
        </w:rPr>
        <w:t>员对委托方列明的何建洲所有的、位于三亚市吉阳区凤凰路鹿港溪山5号楼1201室，建筑面积为54.83平方米的住宅房屋（含相关权益）进行了现场实地查勘，并对估价对象房地产于估价时</w:t>
      </w:r>
      <w:r>
        <w:rPr>
          <w:rFonts w:hint="eastAsia" w:ascii="仿宋_GB2312" w:hAnsi="宋体" w:eastAsia="仿宋_GB2312" w:cs="Times New Roman"/>
          <w:kern w:val="2"/>
          <w:sz w:val="28"/>
          <w:szCs w:val="28"/>
          <w:highlight w:val="none"/>
          <w:lang w:val="en-US" w:eastAsia="zh-CN" w:bidi="ar-SA"/>
        </w:rPr>
        <w:t>点2021年11月12日的市</w:t>
      </w:r>
      <w:r>
        <w:rPr>
          <w:rFonts w:hint="eastAsia" w:ascii="仿宋_GB2312" w:hAnsi="宋体" w:eastAsia="仿宋_GB2312" w:cs="Times New Roman"/>
          <w:kern w:val="2"/>
          <w:sz w:val="28"/>
          <w:szCs w:val="28"/>
          <w:lang w:val="en-US" w:eastAsia="zh-CN" w:bidi="ar-SA"/>
        </w:rPr>
        <w:t>场价值进行了估价，为委托方处理案件确定房地产处置参考价提供价格咨询参考依据。</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整个估价过程中，估价人员本着独立、客观、公正的原则，根据估价目的，收集有关资料，按照估价程序，选择市场法对估价对象进行了评估。估价人员经过实地勘察和测算，确定估价对象在估价时点可能形成的市场价值为￥1843165元(大写人民币壹佰捌拾肆万叁仟壹佰陆拾伍元整)。</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eastAsia="仿宋"/>
          <w:sz w:val="30"/>
          <w:szCs w:val="30"/>
        </w:rPr>
      </w:pPr>
    </w:p>
    <w:p>
      <w:pPr>
        <w:rPr>
          <w:rFonts w:hint="eastAsia" w:ascii="仿宋" w:hAnsi="仿宋" w:eastAsia="仿宋" w:cs="仿宋"/>
          <w:sz w:val="30"/>
          <w:szCs w:val="30"/>
          <w:lang w:val="en-US" w:eastAsia="zh-CN"/>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二○二一年十一月三十日</w:t>
      </w: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w:t>
      </w:r>
      <w:r>
        <w:rPr>
          <w:rFonts w:hint="eastAsia" w:ascii="仿宋_GB2312" w:hAnsi="仿宋" w:eastAsia="仿宋_GB2312"/>
          <w:b w:val="0"/>
          <w:bCs/>
          <w:sz w:val="28"/>
          <w:szCs w:val="28"/>
          <w:lang w:val="en-US" w:eastAsia="zh-CN"/>
        </w:rPr>
        <w:t>当事人或其他利害关系人对本估价报告如有异议，可以在收到估价报告10日内以书面形式向人民法院提出。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4、估价结果是根据估价对象的使用年限，以及现场实物勘查情况，结合市场实际交易实例，采用市场法进行综合估算的。</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仿宋" w:hAnsi="仿宋" w:eastAsia="仿宋"/>
          <w:color w:val="auto"/>
          <w:kern w:val="28"/>
          <w:sz w:val="30"/>
          <w:szCs w:val="30"/>
          <w:lang w:val="en-US" w:eastAsia="zh-CN"/>
        </w:rPr>
      </w:pPr>
      <w:r>
        <w:rPr>
          <w:rFonts w:hint="eastAsia" w:ascii="仿宋_GB2312" w:hAnsi="宋体" w:eastAsia="仿宋_GB2312" w:cs="Times New Roman"/>
          <w:kern w:val="28"/>
          <w:sz w:val="28"/>
          <w:szCs w:val="28"/>
          <w:lang w:val="en-US" w:eastAsia="zh-CN" w:bidi="ar-SA"/>
        </w:rPr>
        <w:t>5、评估过程中，没有考虑该房屋产权抵押、查封后对估价结果的影响。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二○二一年十一月三十日</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b/>
          <w:w w:val="40"/>
          <w:sz w:val="140"/>
          <w:szCs w:val="140"/>
          <w:lang w:val="en-US" w:eastAsia="zh-CN"/>
        </w:rPr>
      </w:pPr>
      <w:r>
        <w:rPr>
          <w:rFonts w:hint="eastAsia" w:ascii="仿宋" w:hAnsi="仿宋"/>
          <w:b/>
          <w:w w:val="40"/>
          <w:sz w:val="140"/>
          <w:szCs w:val="140"/>
          <w:lang w:val="en-US" w:eastAsia="zh-CN"/>
        </w:rPr>
        <w:t xml:space="preserve"> </w:t>
      </w:r>
    </w:p>
    <w:p>
      <w:pPr>
        <w:rPr>
          <w:rFonts w:hint="eastAsia" w:ascii="仿宋" w:hAnsi="仿宋"/>
          <w:b/>
          <w:w w:val="40"/>
          <w:sz w:val="140"/>
          <w:szCs w:val="140"/>
        </w:rPr>
      </w:pP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1312" behindDoc="0" locked="0" layoutInCell="1" allowOverlap="1">
                <wp:simplePos x="0" y="0"/>
                <wp:positionH relativeFrom="column">
                  <wp:posOffset>-100965</wp:posOffset>
                </wp:positionH>
                <wp:positionV relativeFrom="paragraph">
                  <wp:posOffset>346075</wp:posOffset>
                </wp:positionV>
                <wp:extent cx="5553075"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55530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95pt;margin-top:27.25pt;height:0.05pt;width:437.25pt;z-index:251661312;mso-width-relative:page;mso-height-relative:page;" filled="f" stroked="t" coordsize="21600,21600" o:gfxdata="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wDw6NgAAAAJAQAADwAAAAAA&#10;AAABACAAAAAiAAAAZHJzL2Rvd25yZXYueG1sUEsBAhQAFAAAAAgAh07iQHPpizfaAQAAmAMAAA4A&#10;AAAAAAAAAQAgAAAAJwEAAGRycy9lMm9Eb2MueG1sUEsFBgAAAAAGAAYAWQEAAHMFA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21</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71172</w:t>
      </w:r>
      <w:r>
        <w:rPr>
          <w:rFonts w:hint="eastAsia" w:ascii="仿宋_GB2312" w:hAnsi="仿宋" w:eastAsia="仿宋_GB2312"/>
          <w:kern w:val="13"/>
          <w:sz w:val="28"/>
          <w:szCs w:val="28"/>
          <w:highlight w:val="none"/>
        </w:rPr>
        <w:t>号</w:t>
      </w:r>
    </w:p>
    <w:p>
      <w:pPr>
        <w:jc w:val="center"/>
        <w:rPr>
          <w:rFonts w:hint="eastAsia" w:ascii="仿宋" w:hAnsi="仿宋" w:eastAsia="仿宋"/>
          <w:b/>
          <w:bCs/>
          <w:sz w:val="36"/>
          <w:szCs w:val="36"/>
          <w:lang w:val="en-US" w:eastAsia="zh-CN"/>
        </w:rPr>
      </w:pPr>
      <w:r>
        <w:rPr>
          <w:rFonts w:hint="eastAsia" w:ascii="仿宋" w:hAnsi="仿宋" w:eastAsia="仿宋"/>
          <w:b/>
          <w:bCs/>
          <w:sz w:val="36"/>
          <w:szCs w:val="36"/>
          <w:lang w:val="en-US" w:eastAsia="zh-CN"/>
        </w:rPr>
        <w:t>何建洲所有的</w:t>
      </w:r>
    </w:p>
    <w:p>
      <w:pPr>
        <w:jc w:val="center"/>
        <w:rPr>
          <w:rFonts w:hint="default" w:ascii="仿宋" w:hAnsi="仿宋" w:eastAsia="仿宋"/>
          <w:b/>
          <w:bCs/>
          <w:sz w:val="36"/>
          <w:szCs w:val="36"/>
          <w:lang w:val="en-US" w:eastAsia="zh-CN"/>
        </w:rPr>
      </w:pPr>
      <w:r>
        <w:rPr>
          <w:rFonts w:hint="eastAsia" w:ascii="仿宋" w:hAnsi="仿宋" w:eastAsia="仿宋"/>
          <w:b/>
          <w:bCs/>
          <w:sz w:val="36"/>
          <w:szCs w:val="36"/>
          <w:lang w:val="en-US" w:eastAsia="zh-CN"/>
        </w:rPr>
        <w:t>位于三亚市吉阳区凤凰路鹿港溪山5号楼1201室</w:t>
      </w:r>
    </w:p>
    <w:p>
      <w:pPr>
        <w:jc w:val="center"/>
        <w:rPr>
          <w:rFonts w:ascii="仿宋" w:hAnsi="仿宋" w:eastAsia="仿宋"/>
          <w:b/>
          <w:bCs/>
          <w:sz w:val="36"/>
          <w:szCs w:val="36"/>
        </w:rPr>
      </w:pPr>
      <w:r>
        <w:rPr>
          <w:rFonts w:hint="eastAsia" w:ascii="仿宋" w:hAnsi="仿宋" w:eastAsia="仿宋"/>
          <w:b/>
          <w:bCs/>
          <w:sz w:val="36"/>
          <w:szCs w:val="36"/>
        </w:rPr>
        <w:t>房地产估价结果报告</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委托方：孝感市孝南区人民法院</w:t>
      </w:r>
    </w:p>
    <w:p>
      <w:pPr>
        <w:numPr>
          <w:ilvl w:val="0"/>
          <w:numId w:val="0"/>
        </w:numPr>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2. 住所：</w:t>
      </w:r>
      <w:r>
        <w:rPr>
          <w:rFonts w:hint="eastAsia" w:ascii="仿宋_GB2312" w:hAnsi="宋体" w:eastAsia="仿宋_GB2312" w:cs="Times New Roman"/>
          <w:kern w:val="2"/>
          <w:sz w:val="28"/>
          <w:szCs w:val="28"/>
          <w:lang w:val="en-US" w:eastAsia="zh-CN" w:bidi="ar-SA"/>
        </w:rPr>
        <w:t>孝感市孝南区黄花路38号</w:t>
      </w:r>
      <w:bookmarkStart w:id="0" w:name="_GoBack"/>
      <w:bookmarkEnd w:id="0"/>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住所：湖北省咸宁市高新贺胜路（墨香苑小区）3栋5层504</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本次估价对象范围为何建洲所有的、位于三亚市吉阳区凤凰路鹿港溪山5号楼1201室，建筑面积为54.83平方米的住宅房地产。</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经本机构人员的实地勘查和委托方提供的委托书及三亚市房地产权属登记查询结果等资料，可知估价对象实体状况如下：</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估价对象位于</w:t>
      </w:r>
      <w:r>
        <w:rPr>
          <w:rFonts w:hint="eastAsia" w:ascii="仿宋_GB2312" w:hAnsi="宋体" w:eastAsia="仿宋_GB2312" w:cs="Times New Roman"/>
          <w:kern w:val="2"/>
          <w:sz w:val="28"/>
          <w:szCs w:val="28"/>
          <w:lang w:val="en-US" w:eastAsia="zh-CN" w:bidi="ar-SA"/>
        </w:rPr>
        <w:t>三亚市吉阳区凤凰路鹿港溪山5号楼1201室，</w:t>
      </w:r>
      <w:r>
        <w:rPr>
          <w:rFonts w:hint="eastAsia" w:ascii="仿宋_GB2312" w:hAnsi="宋体" w:eastAsia="仿宋_GB2312" w:cs="Times New Roman"/>
          <w:kern w:val="2"/>
          <w:sz w:val="28"/>
          <w:szCs w:val="28"/>
          <w:highlight w:val="none"/>
          <w:lang w:val="en-US" w:eastAsia="zh-CN" w:bidi="ar-SA"/>
        </w:rPr>
        <w:t>权利人为何建洲，产权证号为琼（2020）三亚市不动产权第0000535号，发证日期为2020年01月06日。土地用途为城镇住宅用地，使用权类型为出让，分摊使用权面积为2.9平方米，使用期限至2074年09月03日。房屋用途为住宅，房屋结构为钢筋混凝土结构，</w:t>
      </w:r>
      <w:r>
        <w:rPr>
          <w:rFonts w:hint="eastAsia" w:ascii="仿宋_GB2312" w:hAnsi="宋体" w:eastAsia="仿宋_GB2312" w:cs="Times New Roman"/>
          <w:kern w:val="2"/>
          <w:sz w:val="28"/>
          <w:szCs w:val="28"/>
          <w:lang w:val="en-US" w:eastAsia="zh-CN" w:bidi="ar-SA"/>
        </w:rPr>
        <w:t>建筑面积为54.83平方米</w:t>
      </w:r>
      <w:r>
        <w:rPr>
          <w:rFonts w:hint="eastAsia" w:ascii="仿宋_GB2312" w:hAnsi="宋体" w:eastAsia="仿宋_GB2312" w:cs="Times New Roman"/>
          <w:kern w:val="2"/>
          <w:sz w:val="28"/>
          <w:szCs w:val="28"/>
          <w:highlight w:val="none"/>
          <w:lang w:val="en-US" w:eastAsia="zh-CN" w:bidi="ar-SA"/>
        </w:rPr>
        <w:t>。</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经现场勘验和调查，估价对象房屋座落于</w:t>
      </w:r>
      <w:r>
        <w:rPr>
          <w:rFonts w:hint="eastAsia" w:ascii="仿宋_GB2312" w:hAnsi="宋体" w:eastAsia="仿宋_GB2312" w:cs="Times New Roman"/>
          <w:kern w:val="2"/>
          <w:sz w:val="28"/>
          <w:szCs w:val="28"/>
          <w:lang w:val="en-US" w:eastAsia="zh-CN" w:bidi="ar-SA"/>
        </w:rPr>
        <w:t>三亚市吉阳区凤凰路鹿港溪山5号楼1201室，</w:t>
      </w:r>
      <w:r>
        <w:rPr>
          <w:rFonts w:hint="eastAsia" w:ascii="仿宋_GB2312" w:hAnsi="宋体" w:eastAsia="仿宋_GB2312" w:cs="Times New Roman"/>
          <w:kern w:val="2"/>
          <w:sz w:val="28"/>
          <w:szCs w:val="28"/>
          <w:highlight w:val="none"/>
          <w:lang w:val="en-US" w:eastAsia="zh-CN" w:bidi="ar-SA"/>
        </w:rPr>
        <w:t>建成于2016年，总层数为30层，所在层为第12层，为高层电梯房屋，每层两电梯六住户，房屋结构为钢筋混凝土结构，用途为住宅，二室一厅一卫一厨，南北朝向，通风采光尚可，室内为精装修，维护保养尚好。</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highlight w:val="none"/>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二0二一年十一月十二日。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spacing w:beforeLines="0" w:afterLines="0"/>
        <w:jc w:val="left"/>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我们按照《房地产估价规范》的规定，遵循估价行业公认的估价工作原则，对估价对象进行独立、客观、科学的评价，并遵守国家保密规定。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估价人员经过实地勘查和测算，确定估价对象在估价时点可能形成的市场价值为￥1843165元(大写人民币壹佰捌拾肆万叁仟壹佰陆拾伍元整)。</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（十二）估价专业人员</w:t>
      </w:r>
      <w:r>
        <w:rPr>
          <w:rFonts w:hint="eastAsia" w:ascii="仿宋_GB2312" w:hAnsi="宋体" w:eastAsia="仿宋_GB2312" w:cs="Times New Roman"/>
          <w:kern w:val="2"/>
          <w:sz w:val="28"/>
          <w:szCs w:val="28"/>
          <w:lang w:val="en-US" w:eastAsia="zh-CN" w:bidi="ar-SA"/>
        </w:rPr>
        <w:t xml:space="preserve">   </w:t>
      </w:r>
    </w:p>
    <w:tbl>
      <w:tblPr>
        <w:tblStyle w:val="8"/>
        <w:tblpPr w:leftFromText="180" w:rightFromText="180" w:vertAnchor="text" w:horzAnchor="page" w:tblpXSpec="center" w:tblpY="81"/>
        <w:tblOverlap w:val="never"/>
        <w:tblW w:w="77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875"/>
        <w:gridCol w:w="1625"/>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姓  名</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资格证名号</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资格证号</w:t>
            </w:r>
          </w:p>
        </w:tc>
        <w:tc>
          <w:tcPr>
            <w:tcW w:w="2765" w:type="dxa"/>
            <w:vAlign w:val="center"/>
          </w:tcPr>
          <w:p>
            <w:pPr>
              <w:spacing w:line="600" w:lineRule="exact"/>
              <w:jc w:val="center"/>
              <w:rPr>
                <w:rFonts w:hint="eastAsia" w:ascii="仿宋_GB2312" w:hAnsi="仿宋_GB2312" w:eastAsia="仿宋_GB2312" w:cs="仿宋_GB2312"/>
                <w:color w:val="000000"/>
                <w:sz w:val="24"/>
                <w:szCs w:val="24"/>
                <w:lang w:val="zh-CN"/>
              </w:rPr>
            </w:pPr>
            <w:r>
              <w:rPr>
                <w:rStyle w:val="11"/>
                <w:rFonts w:hint="eastAsia" w:ascii="仿宋" w:hAnsi="仿宋" w:eastAsia="仿宋" w:cs="宋体"/>
                <w:color w:val="000000"/>
                <w:sz w:val="30"/>
                <w:szCs w:val="30"/>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5"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孙  坚</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0003035</w:t>
            </w:r>
          </w:p>
        </w:tc>
        <w:tc>
          <w:tcPr>
            <w:tcW w:w="2765" w:type="dxa"/>
            <w:vAlign w:val="center"/>
          </w:tcPr>
          <w:p>
            <w:pPr>
              <w:pStyle w:val="4"/>
              <w:spacing w:line="600" w:lineRule="exact"/>
              <w:jc w:val="center"/>
              <w:rPr>
                <w:rFonts w:hint="eastAsia" w:ascii="仿宋_GB2312" w:hAnsi="仿宋_GB2312" w:eastAsia="仿宋_GB2312" w:cs="仿宋_GB2312"/>
                <w:color w:val="000000"/>
                <w:sz w:val="24"/>
                <w:szCs w:val="24"/>
                <w:lang w:val="zh-CN"/>
              </w:rPr>
            </w:pPr>
            <w:r>
              <w:rPr>
                <w:rFonts w:hint="eastAsia" w:ascii="仿宋" w:hAnsi="仿宋" w:eastAsia="仿宋" w:cs="仿宋"/>
                <w:sz w:val="32"/>
                <w:szCs w:val="32"/>
              </w:rPr>
              <w:drawing>
                <wp:anchor distT="0" distB="0" distL="114300" distR="114300" simplePos="0" relativeHeight="251721728" behindDoc="1" locked="0" layoutInCell="1" allowOverlap="1">
                  <wp:simplePos x="0" y="0"/>
                  <wp:positionH relativeFrom="column">
                    <wp:posOffset>114300</wp:posOffset>
                  </wp:positionH>
                  <wp:positionV relativeFrom="paragraph">
                    <wp:posOffset>176530</wp:posOffset>
                  </wp:positionV>
                  <wp:extent cx="1273810" cy="491490"/>
                  <wp:effectExtent l="0" t="0" r="2540" b="3810"/>
                  <wp:wrapNone/>
                  <wp:docPr id="3" name="图片 7"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3"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刘汉生</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0017039</w:t>
            </w:r>
          </w:p>
        </w:tc>
        <w:tc>
          <w:tcPr>
            <w:tcW w:w="2765" w:type="dxa"/>
            <w:vAlign w:val="center"/>
          </w:tcPr>
          <w:p>
            <w:pPr>
              <w:pStyle w:val="4"/>
              <w:rPr>
                <w:rFonts w:hint="eastAsia" w:ascii="仿宋" w:hAnsi="仿宋" w:eastAsia="仿宋"/>
                <w:color w:val="000000"/>
                <w:sz w:val="32"/>
                <w:szCs w:val="32"/>
              </w:rPr>
            </w:pPr>
            <w:r>
              <w:rPr>
                <w:lang w:val="zh-CN" w:eastAsia="zh-CN"/>
              </w:rPr>
              <w:drawing>
                <wp:anchor distT="0" distB="0" distL="114300" distR="114300" simplePos="0" relativeHeight="251723776" behindDoc="0" locked="0" layoutInCell="1" allowOverlap="1">
                  <wp:simplePos x="0" y="0"/>
                  <wp:positionH relativeFrom="column">
                    <wp:posOffset>-36830</wp:posOffset>
                  </wp:positionH>
                  <wp:positionV relativeFrom="paragraph">
                    <wp:posOffset>20320</wp:posOffset>
                  </wp:positionV>
                  <wp:extent cx="1494790" cy="1033780"/>
                  <wp:effectExtent l="0" t="0" r="10795" b="0"/>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8"/>
                          <a:stretch>
                            <a:fillRect/>
                          </a:stretch>
                        </pic:blipFill>
                        <pic:spPr>
                          <a:xfrm>
                            <a:off x="0" y="0"/>
                            <a:ext cx="1494790" cy="1033780"/>
                          </a:xfrm>
                          <a:prstGeom prst="rect">
                            <a:avLst/>
                          </a:prstGeom>
                          <a:noFill/>
                          <a:ln w="9525">
                            <a:noFill/>
                            <a:miter/>
                          </a:ln>
                          <a:effectLst/>
                        </pic:spPr>
                      </pic:pic>
                    </a:graphicData>
                  </a:graphic>
                </wp:anchor>
              </w:drawing>
            </w:r>
            <w:r>
              <w:rPr>
                <w:rFonts w:hint="eastAsia" w:ascii="仿宋" w:hAnsi="仿宋" w:eastAsia="仿宋"/>
                <w:color w:val="000000"/>
                <w:sz w:val="32"/>
                <w:szCs w:val="32"/>
              </w:rPr>
              <w:drawing>
                <wp:anchor distT="0" distB="0" distL="114300" distR="114300" simplePos="0" relativeHeight="251724800" behindDoc="0" locked="0" layoutInCell="1" allowOverlap="1">
                  <wp:simplePos x="0" y="0"/>
                  <wp:positionH relativeFrom="column">
                    <wp:posOffset>158115</wp:posOffset>
                  </wp:positionH>
                  <wp:positionV relativeFrom="page">
                    <wp:posOffset>209550</wp:posOffset>
                  </wp:positionV>
                  <wp:extent cx="635" cy="635"/>
                  <wp:effectExtent l="0" t="0" r="0" b="0"/>
                  <wp:wrapNone/>
                  <wp:docPr id="5" name="图片 5"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a:effectLst/>
                        </pic:spPr>
                      </pic:pic>
                    </a:graphicData>
                  </a:graphic>
                </wp:anchor>
              </w:drawing>
            </w:r>
          </w:p>
          <w:p>
            <w:pPr>
              <w:pStyle w:val="4"/>
              <w:rPr>
                <w:rFonts w:hint="eastAsia" w:ascii="仿宋_GB2312" w:hAnsi="仿宋_GB2312" w:eastAsia="仿宋_GB2312" w:cs="仿宋_GB2312"/>
                <w:color w:val="000000"/>
                <w:sz w:val="24"/>
                <w:szCs w:val="24"/>
                <w:lang w:val="zh-CN"/>
              </w:rPr>
            </w:pPr>
          </w:p>
        </w:tc>
      </w:tr>
    </w:tbl>
    <w:p>
      <w:pPr>
        <w:numPr>
          <w:ilvl w:val="0"/>
          <w:numId w:val="0"/>
        </w:numPr>
        <w:rPr>
          <w:rFonts w:hint="eastAsia" w:ascii="仿宋_GB2312" w:hAnsi="宋体" w:eastAsia="仿宋_GB2312"/>
          <w:b/>
          <w:bCs/>
          <w:sz w:val="30"/>
          <w:szCs w:val="30"/>
          <w:highlight w:val="none"/>
          <w:lang w:val="en-US" w:eastAsia="zh-CN"/>
        </w:rPr>
      </w:pPr>
      <w:r>
        <w:rPr>
          <w:rFonts w:hint="eastAsia" w:ascii="仿宋_GB2312" w:hAnsi="宋体" w:eastAsia="仿宋_GB2312"/>
          <w:b/>
          <w:bCs/>
          <w:sz w:val="30"/>
          <w:szCs w:val="30"/>
          <w:highlight w:val="none"/>
          <w:lang w:val="en-US" w:eastAsia="zh-CN"/>
        </w:rPr>
        <w:t xml:space="preserve">       </w:t>
      </w:r>
    </w:p>
    <w:p>
      <w:pPr>
        <w:numPr>
          <w:ilvl w:val="0"/>
          <w:numId w:val="0"/>
        </w:numPr>
        <w:rPr>
          <w:rFonts w:hint="eastAsia" w:ascii="仿宋_GB2312" w:hAnsi="宋体" w:eastAsia="仿宋_GB2312"/>
          <w:b/>
          <w:bCs/>
          <w:sz w:val="30"/>
          <w:szCs w:val="30"/>
          <w:highlight w:val="none"/>
          <w:lang w:val="en-US" w:eastAsia="zh-CN"/>
        </w:rPr>
      </w:pPr>
      <w:r>
        <w:rPr>
          <w:rFonts w:hint="eastAsia" w:ascii="仿宋_GB2312" w:hAnsi="宋体" w:eastAsia="仿宋_GB2312"/>
          <w:b/>
          <w:bCs/>
          <w:sz w:val="30"/>
          <w:szCs w:val="30"/>
          <w:highlight w:val="none"/>
          <w:lang w:val="en-US" w:eastAsia="zh-CN"/>
        </w:rPr>
        <w:t xml:space="preserve">  </w:t>
      </w: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Fonts w:hint="eastAsia" w:ascii="仿宋_GB2312" w:hAnsi="宋体" w:eastAsia="仿宋_GB2312"/>
          <w:b/>
          <w:bCs/>
          <w:sz w:val="30"/>
          <w:szCs w:val="30"/>
          <w:highlight w:val="none"/>
          <w:lang w:val="en-US" w:eastAsia="zh-CN"/>
        </w:rPr>
      </w:pPr>
      <w:r>
        <w:rPr>
          <w:rFonts w:hint="eastAsia" w:ascii="仿宋_GB2312" w:hAnsi="宋体" w:eastAsia="仿宋_GB2312"/>
          <w:b/>
          <w:bCs/>
          <w:sz w:val="30"/>
          <w:szCs w:val="30"/>
          <w:highlight w:val="none"/>
          <w:lang w:val="en-US" w:eastAsia="zh-CN"/>
        </w:rPr>
        <w:t xml:space="preserve"> </w:t>
      </w: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Style w:val="11"/>
          <w:rFonts w:hint="eastAsia" w:ascii="仿宋_GB2312" w:hAnsi="仿宋" w:eastAsia="仿宋_GB2312" w:cs="宋体"/>
          <w:b/>
          <w:sz w:val="28"/>
          <w:szCs w:val="28"/>
          <w:highlight w:val="none"/>
        </w:rPr>
      </w:pPr>
      <w:r>
        <w:rPr>
          <w:rFonts w:hint="eastAsia" w:ascii="仿宋_GB2312" w:hAnsi="宋体" w:eastAsia="仿宋_GB2312"/>
          <w:b/>
          <w:bCs/>
          <w:sz w:val="30"/>
          <w:szCs w:val="30"/>
          <w:highlight w:val="none"/>
          <w:lang w:val="en-US" w:eastAsia="zh-CN"/>
        </w:rPr>
        <w:t xml:space="preserve">   （十三）</w:t>
      </w:r>
      <w:r>
        <w:rPr>
          <w:rFonts w:hint="eastAsia" w:ascii="仿宋_GB2312" w:hAnsi="仿宋" w:eastAsia="仿宋_GB2312"/>
          <w:b/>
          <w:sz w:val="28"/>
          <w:szCs w:val="28"/>
          <w:highlight w:val="none"/>
        </w:rPr>
        <w:t>评估报告日</w:t>
      </w:r>
      <w:r>
        <w:rPr>
          <w:rStyle w:val="11"/>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1"/>
          <w:rFonts w:hint="eastAsia" w:ascii="仿宋_GB2312" w:hAnsi="仿宋" w:eastAsia="仿宋_GB2312" w:cs="宋体"/>
          <w:color w:val="000000"/>
          <w:sz w:val="28"/>
          <w:szCs w:val="28"/>
        </w:rPr>
        <w:t>评估报告日为评估人员专业意见形成日</w:t>
      </w:r>
      <w:r>
        <w:rPr>
          <w:rStyle w:val="11"/>
          <w:rFonts w:hint="eastAsia" w:ascii="仿宋_GB2312" w:hAnsi="仿宋" w:eastAsia="仿宋_GB2312" w:cs="宋体"/>
          <w:color w:val="000000"/>
          <w:sz w:val="28"/>
          <w:szCs w:val="28"/>
          <w:lang w:eastAsia="zh-CN"/>
        </w:rPr>
        <w:t>，</w:t>
      </w:r>
      <w:r>
        <w:rPr>
          <w:rStyle w:val="11"/>
          <w:rFonts w:hint="eastAsia" w:ascii="仿宋_GB2312" w:hAnsi="仿宋" w:eastAsia="仿宋_GB2312" w:cs="宋体"/>
          <w:sz w:val="28"/>
          <w:szCs w:val="28"/>
          <w:highlight w:val="none"/>
        </w:rPr>
        <w:t>本次出具评估报告日期为20</w:t>
      </w:r>
      <w:r>
        <w:rPr>
          <w:rStyle w:val="11"/>
          <w:rFonts w:hint="eastAsia" w:ascii="仿宋_GB2312" w:hAnsi="仿宋" w:eastAsia="仿宋_GB2312" w:cs="宋体"/>
          <w:sz w:val="28"/>
          <w:szCs w:val="28"/>
          <w:highlight w:val="none"/>
          <w:lang w:val="en-US" w:eastAsia="zh-CN"/>
        </w:rPr>
        <w:t>21</w:t>
      </w:r>
      <w:r>
        <w:rPr>
          <w:rStyle w:val="11"/>
          <w:rFonts w:hint="eastAsia" w:ascii="仿宋_GB2312" w:hAnsi="仿宋" w:eastAsia="仿宋_GB2312" w:cs="宋体"/>
          <w:sz w:val="28"/>
          <w:szCs w:val="28"/>
          <w:highlight w:val="none"/>
        </w:rPr>
        <w:t>年</w:t>
      </w:r>
      <w:r>
        <w:rPr>
          <w:rStyle w:val="11"/>
          <w:rFonts w:hint="eastAsia" w:ascii="仿宋_GB2312" w:hAnsi="仿宋" w:eastAsia="仿宋_GB2312" w:cs="宋体"/>
          <w:sz w:val="28"/>
          <w:szCs w:val="28"/>
          <w:highlight w:val="none"/>
          <w:lang w:val="en-US" w:eastAsia="zh-CN"/>
        </w:rPr>
        <w:t>11</w:t>
      </w:r>
      <w:r>
        <w:rPr>
          <w:rStyle w:val="11"/>
          <w:rFonts w:hint="eastAsia" w:ascii="仿宋_GB2312" w:hAnsi="仿宋" w:eastAsia="仿宋_GB2312" w:cs="宋体"/>
          <w:sz w:val="28"/>
          <w:szCs w:val="28"/>
          <w:highlight w:val="none"/>
        </w:rPr>
        <w:t>月</w:t>
      </w:r>
      <w:r>
        <w:rPr>
          <w:rStyle w:val="11"/>
          <w:rFonts w:hint="eastAsia" w:ascii="仿宋_GB2312" w:hAnsi="仿宋" w:eastAsia="仿宋_GB2312" w:cs="宋体"/>
          <w:sz w:val="28"/>
          <w:szCs w:val="28"/>
          <w:highlight w:val="none"/>
          <w:lang w:val="en-US" w:eastAsia="zh-CN"/>
        </w:rPr>
        <w:t>30</w:t>
      </w:r>
      <w:r>
        <w:rPr>
          <w:rStyle w:val="11"/>
          <w:rFonts w:hint="eastAsia" w:ascii="仿宋_GB2312" w:hAnsi="仿宋" w:eastAsia="仿宋_GB2312" w:cs="宋体"/>
          <w:sz w:val="28"/>
          <w:szCs w:val="28"/>
          <w:highlight w:val="none"/>
        </w:rPr>
        <w:t>日。</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若无特别约定，估价结论有效期为从估价报告完成之日起壹年。超过有效期后需重新估价方可使用。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p>
    <w:p>
      <w:pPr>
        <w:ind w:firstLine="4480" w:firstLineChars="16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6"/>
          <w:szCs w:val="36"/>
          <w:highlight w:val="none"/>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二○二一年十一月三十日</w:t>
      </w:r>
    </w:p>
    <w:p>
      <w:pPr>
        <w:jc w:val="center"/>
        <w:rPr>
          <w:rFonts w:hint="eastAsia" w:ascii="仿宋" w:hAnsi="仿宋" w:eastAsia="仿宋"/>
          <w:b/>
          <w:bCs/>
          <w:sz w:val="36"/>
          <w:szCs w:val="36"/>
          <w:lang w:val="en-US" w:eastAsia="zh-CN"/>
        </w:rPr>
      </w:pPr>
      <w:r>
        <w:rPr>
          <w:rFonts w:hint="eastAsia" w:ascii="仿宋" w:hAnsi="仿宋" w:eastAsia="仿宋"/>
          <w:b/>
          <w:bCs/>
          <w:sz w:val="36"/>
          <w:szCs w:val="36"/>
          <w:lang w:val="en-US" w:eastAsia="zh-CN"/>
        </w:rPr>
        <w:t>何建洲所有的</w:t>
      </w:r>
    </w:p>
    <w:p>
      <w:pPr>
        <w:jc w:val="center"/>
        <w:rPr>
          <w:rFonts w:hint="default" w:ascii="仿宋" w:hAnsi="仿宋" w:eastAsia="仿宋"/>
          <w:b/>
          <w:bCs/>
          <w:sz w:val="36"/>
          <w:szCs w:val="36"/>
          <w:lang w:val="en-US" w:eastAsia="zh-CN"/>
        </w:rPr>
      </w:pPr>
      <w:r>
        <w:rPr>
          <w:rFonts w:hint="eastAsia" w:ascii="仿宋" w:hAnsi="仿宋" w:eastAsia="仿宋"/>
          <w:b/>
          <w:bCs/>
          <w:sz w:val="36"/>
          <w:szCs w:val="36"/>
          <w:lang w:val="en-US" w:eastAsia="zh-CN"/>
        </w:rPr>
        <w:t>位于三亚市吉阳区凤凰路鹿港溪山5号楼1201室</w:t>
      </w:r>
    </w:p>
    <w:p>
      <w:pPr>
        <w:jc w:val="center"/>
        <w:rPr>
          <w:rFonts w:hint="eastAsia" w:ascii="仿宋" w:hAnsi="仿宋" w:eastAsia="仿宋"/>
          <w:b/>
          <w:bCs/>
          <w:sz w:val="36"/>
          <w:szCs w:val="36"/>
        </w:rPr>
      </w:pPr>
      <w:r>
        <w:rPr>
          <w:rFonts w:hint="eastAsia" w:ascii="仿宋" w:hAnsi="仿宋" w:eastAsia="仿宋"/>
          <w:b/>
          <w:bCs/>
          <w:sz w:val="36"/>
          <w:szCs w:val="36"/>
        </w:rPr>
        <w:t>房地产估价技术报告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估价对象位于</w:t>
      </w:r>
      <w:r>
        <w:rPr>
          <w:rFonts w:hint="eastAsia" w:ascii="仿宋_GB2312" w:hAnsi="宋体" w:eastAsia="仿宋_GB2312" w:cs="Times New Roman"/>
          <w:kern w:val="2"/>
          <w:sz w:val="28"/>
          <w:szCs w:val="28"/>
          <w:lang w:val="en-US" w:eastAsia="zh-CN" w:bidi="ar-SA"/>
        </w:rPr>
        <w:t>三亚市吉阳区凤凰路鹿港溪山5号楼1201室，</w:t>
      </w:r>
      <w:r>
        <w:rPr>
          <w:rFonts w:hint="eastAsia" w:ascii="仿宋_GB2312" w:hAnsi="宋体" w:eastAsia="仿宋_GB2312" w:cs="Times New Roman"/>
          <w:kern w:val="2"/>
          <w:sz w:val="28"/>
          <w:szCs w:val="28"/>
          <w:highlight w:val="none"/>
          <w:lang w:val="en-US" w:eastAsia="zh-CN" w:bidi="ar-SA"/>
        </w:rPr>
        <w:t>权利人为何建洲，产权证号为琼（2020）三亚市不动产权第0000535号，发证日期为2020年01月06日。土地用途为城镇住宅用地，使用权类型为出让，分摊使用权面积为2.9平方米，使用期限至2074年09月03日。房屋用途为住宅，房屋结构为钢筋混凝土结构，</w:t>
      </w:r>
      <w:r>
        <w:rPr>
          <w:rFonts w:hint="eastAsia" w:ascii="仿宋_GB2312" w:hAnsi="宋体" w:eastAsia="仿宋_GB2312" w:cs="Times New Roman"/>
          <w:kern w:val="2"/>
          <w:sz w:val="28"/>
          <w:szCs w:val="28"/>
          <w:lang w:val="en-US" w:eastAsia="zh-CN" w:bidi="ar-SA"/>
        </w:rPr>
        <w:t>建筑面积为54.83平方米</w:t>
      </w:r>
      <w:r>
        <w:rPr>
          <w:rFonts w:hint="eastAsia" w:ascii="仿宋_GB2312" w:hAnsi="宋体" w:eastAsia="仿宋_GB2312" w:cs="Times New Roman"/>
          <w:kern w:val="2"/>
          <w:sz w:val="28"/>
          <w:szCs w:val="28"/>
          <w:highlight w:val="none"/>
          <w:lang w:val="en-US" w:eastAsia="zh-CN" w:bidi="ar-SA"/>
        </w:rPr>
        <w:t>。</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经现场勘验和调查，估价对象房屋座落于</w:t>
      </w:r>
      <w:r>
        <w:rPr>
          <w:rFonts w:hint="eastAsia" w:ascii="仿宋_GB2312" w:hAnsi="宋体" w:eastAsia="仿宋_GB2312" w:cs="Times New Roman"/>
          <w:kern w:val="2"/>
          <w:sz w:val="28"/>
          <w:szCs w:val="28"/>
          <w:lang w:val="en-US" w:eastAsia="zh-CN" w:bidi="ar-SA"/>
        </w:rPr>
        <w:t>三亚市吉阳区凤凰路鹿港溪山5号楼1201室，</w:t>
      </w:r>
      <w:r>
        <w:rPr>
          <w:rFonts w:hint="eastAsia" w:ascii="仿宋_GB2312" w:hAnsi="宋体" w:eastAsia="仿宋_GB2312" w:cs="Times New Roman"/>
          <w:kern w:val="2"/>
          <w:sz w:val="28"/>
          <w:szCs w:val="28"/>
          <w:highlight w:val="none"/>
          <w:lang w:val="en-US" w:eastAsia="zh-CN" w:bidi="ar-SA"/>
        </w:rPr>
        <w:t>建成于2016年，总层数为30层，所在层为第12层，为高层电梯房屋，每层两电梯六住户，房屋结构为钢筋混凝土结构，用途为住宅，二室一厅一卫一厨，南北朝向，通风采光尚可，室内为精装修，维护保养尚好。</w:t>
      </w:r>
    </w:p>
    <w:p>
      <w:pPr>
        <w:numPr>
          <w:ilvl w:val="0"/>
          <w:numId w:val="0"/>
        </w:numPr>
        <w:ind w:firstLine="562"/>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二、估价对象区域因素分析</w:t>
      </w:r>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i w:val="0"/>
          <w:caps w:val="0"/>
          <w:color w:val="auto"/>
          <w:spacing w:val="0"/>
          <w:sz w:val="28"/>
          <w:szCs w:val="28"/>
          <w:vertAlign w:val="baseline"/>
        </w:rPr>
      </w:pPr>
      <w:r>
        <w:rPr>
          <w:rFonts w:hint="eastAsia" w:ascii="仿宋_GB2312" w:hAnsi="宋体" w:eastAsia="仿宋_GB2312" w:cs="Times New Roman"/>
          <w:color w:val="auto"/>
          <w:kern w:val="2"/>
          <w:sz w:val="28"/>
          <w:szCs w:val="28"/>
          <w:highlight w:val="none"/>
          <w:lang w:val="en-US" w:eastAsia="zh-CN" w:bidi="ar-SA"/>
        </w:rPr>
        <w:t>估价对象位于</w:t>
      </w:r>
      <w:r>
        <w:rPr>
          <w:rFonts w:hint="eastAsia" w:ascii="仿宋_GB2312" w:hAnsi="宋体" w:eastAsia="仿宋_GB2312" w:cs="Times New Roman"/>
          <w:color w:val="auto"/>
          <w:kern w:val="2"/>
          <w:sz w:val="28"/>
          <w:szCs w:val="28"/>
          <w:lang w:val="en-US" w:eastAsia="zh-CN" w:bidi="ar-SA"/>
        </w:rPr>
        <w:t>三亚市吉阳区凤凰路鹿港溪山</w:t>
      </w:r>
      <w:r>
        <w:rPr>
          <w:rFonts w:hint="eastAsia" w:ascii="仿宋_GB2312" w:hAnsi="宋体" w:eastAsia="仿宋_GB2312" w:cs="Times New Roman"/>
          <w:color w:val="auto"/>
          <w:kern w:val="2"/>
          <w:sz w:val="28"/>
          <w:szCs w:val="28"/>
          <w:highlight w:val="none"/>
          <w:lang w:val="en-US" w:eastAsia="zh-CN" w:bidi="ar-SA"/>
        </w:rPr>
        <w:t>小区。该小区建成于2016年，</w:t>
      </w:r>
      <w:r>
        <w:rPr>
          <w:rFonts w:hint="eastAsia" w:ascii="仿宋" w:hAnsi="仿宋" w:eastAsia="仿宋" w:cs="仿宋"/>
          <w:i w:val="0"/>
          <w:iCs w:val="0"/>
          <w:caps w:val="0"/>
          <w:color w:val="auto"/>
          <w:spacing w:val="0"/>
          <w:sz w:val="28"/>
          <w:szCs w:val="28"/>
          <w:shd w:val="clear" w:fill="FFFFFF"/>
        </w:rPr>
        <w:t>环境优雅，低密度社区，小区绿化率高</w:t>
      </w:r>
      <w:r>
        <w:rPr>
          <w:rFonts w:hint="eastAsia" w:ascii="仿宋" w:hAnsi="仿宋" w:eastAsia="仿宋" w:cs="仿宋"/>
          <w:i w:val="0"/>
          <w:iCs w:val="0"/>
          <w:caps w:val="0"/>
          <w:color w:val="auto"/>
          <w:spacing w:val="0"/>
          <w:sz w:val="28"/>
          <w:szCs w:val="28"/>
          <w:shd w:val="clear" w:fill="FFFFFF"/>
          <w:lang w:eastAsia="zh-CN"/>
        </w:rPr>
        <w:t>，</w:t>
      </w:r>
      <w:r>
        <w:rPr>
          <w:rFonts w:hint="eastAsia" w:ascii="仿宋_GB2312" w:hAnsi="宋体" w:eastAsia="仿宋_GB2312" w:cs="Times New Roman"/>
          <w:color w:val="auto"/>
          <w:kern w:val="2"/>
          <w:sz w:val="28"/>
          <w:szCs w:val="28"/>
          <w:lang w:val="en-US" w:eastAsia="zh-CN" w:bidi="ar-SA"/>
        </w:rPr>
        <w:t>物业管理佳，24小时保安值守；</w:t>
      </w:r>
      <w:r>
        <w:rPr>
          <w:rFonts w:hint="eastAsia" w:ascii="仿宋" w:hAnsi="仿宋" w:eastAsia="仿宋" w:cs="仿宋"/>
          <w:i w:val="0"/>
          <w:iCs w:val="0"/>
          <w:caps w:val="0"/>
          <w:color w:val="auto"/>
          <w:spacing w:val="0"/>
          <w:sz w:val="28"/>
          <w:szCs w:val="28"/>
          <w:shd w:val="clear" w:fill="FFFFFF"/>
        </w:rPr>
        <w:t>小区地理位置好，位于商业圈，交通便利，出小区就是公交站牌，去机场，三亚湾，大东海，亚龙湾都非诚方便</w:t>
      </w:r>
      <w:r>
        <w:rPr>
          <w:rFonts w:hint="eastAsia" w:ascii="仿宋" w:hAnsi="仿宋" w:eastAsia="仿宋" w:cs="仿宋"/>
          <w:i w:val="0"/>
          <w:iCs w:val="0"/>
          <w:caps w:val="0"/>
          <w:color w:val="auto"/>
          <w:spacing w:val="0"/>
          <w:sz w:val="28"/>
          <w:szCs w:val="28"/>
          <w:shd w:val="clear" w:fill="FFFFFF"/>
          <w:lang w:eastAsia="zh-CN"/>
        </w:rPr>
        <w:t>；</w:t>
      </w:r>
      <w:r>
        <w:rPr>
          <w:rFonts w:hint="eastAsia" w:ascii="仿宋" w:hAnsi="仿宋" w:eastAsia="仿宋" w:cs="仿宋"/>
          <w:i w:val="0"/>
          <w:iCs w:val="0"/>
          <w:caps w:val="0"/>
          <w:color w:val="auto"/>
          <w:spacing w:val="0"/>
          <w:sz w:val="28"/>
          <w:szCs w:val="28"/>
          <w:shd w:val="clear" w:fill="FFFFFF"/>
        </w:rPr>
        <w:t>小区周边配套设施齐全，银行</w:t>
      </w:r>
      <w:r>
        <w:rPr>
          <w:rFonts w:hint="eastAsia" w:ascii="仿宋" w:hAnsi="仿宋" w:eastAsia="仿宋" w:cs="仿宋"/>
          <w:i w:val="0"/>
          <w:iCs w:val="0"/>
          <w:caps w:val="0"/>
          <w:color w:val="auto"/>
          <w:spacing w:val="0"/>
          <w:sz w:val="28"/>
          <w:szCs w:val="28"/>
          <w:shd w:val="clear" w:fill="FFFFFF"/>
          <w:lang w:eastAsia="zh-CN"/>
        </w:rPr>
        <w:t>、</w:t>
      </w:r>
      <w:r>
        <w:rPr>
          <w:rFonts w:hint="eastAsia" w:ascii="仿宋" w:hAnsi="仿宋" w:eastAsia="仿宋" w:cs="仿宋"/>
          <w:i w:val="0"/>
          <w:iCs w:val="0"/>
          <w:caps w:val="0"/>
          <w:color w:val="auto"/>
          <w:spacing w:val="0"/>
          <w:sz w:val="28"/>
          <w:szCs w:val="28"/>
          <w:shd w:val="clear" w:fill="FFFFFF"/>
        </w:rPr>
        <w:t>超市</w:t>
      </w:r>
      <w:r>
        <w:rPr>
          <w:rFonts w:hint="eastAsia" w:ascii="仿宋" w:hAnsi="仿宋" w:eastAsia="仿宋" w:cs="仿宋"/>
          <w:i w:val="0"/>
          <w:iCs w:val="0"/>
          <w:caps w:val="0"/>
          <w:color w:val="auto"/>
          <w:spacing w:val="0"/>
          <w:sz w:val="28"/>
          <w:szCs w:val="28"/>
          <w:shd w:val="clear" w:fill="FFFFFF"/>
          <w:lang w:eastAsia="zh-CN"/>
        </w:rPr>
        <w:t>、</w:t>
      </w:r>
      <w:r>
        <w:rPr>
          <w:rFonts w:hint="eastAsia" w:ascii="仿宋" w:hAnsi="仿宋" w:eastAsia="仿宋" w:cs="仿宋"/>
          <w:i w:val="0"/>
          <w:iCs w:val="0"/>
          <w:caps w:val="0"/>
          <w:color w:val="auto"/>
          <w:spacing w:val="0"/>
          <w:sz w:val="28"/>
          <w:szCs w:val="28"/>
          <w:shd w:val="clear" w:fill="FFFFFF"/>
        </w:rPr>
        <w:t>菜市场</w:t>
      </w:r>
      <w:r>
        <w:rPr>
          <w:rFonts w:hint="eastAsia" w:ascii="仿宋" w:hAnsi="仿宋" w:eastAsia="仿宋" w:cs="仿宋"/>
          <w:i w:val="0"/>
          <w:iCs w:val="0"/>
          <w:caps w:val="0"/>
          <w:color w:val="auto"/>
          <w:spacing w:val="0"/>
          <w:sz w:val="28"/>
          <w:szCs w:val="28"/>
          <w:shd w:val="clear" w:fill="FFFFFF"/>
          <w:lang w:eastAsia="zh-CN"/>
        </w:rPr>
        <w:t>、</w:t>
      </w:r>
      <w:r>
        <w:rPr>
          <w:rFonts w:hint="eastAsia" w:ascii="仿宋" w:hAnsi="仿宋" w:eastAsia="仿宋" w:cs="仿宋"/>
          <w:i w:val="0"/>
          <w:iCs w:val="0"/>
          <w:caps w:val="0"/>
          <w:color w:val="auto"/>
          <w:spacing w:val="0"/>
          <w:sz w:val="28"/>
          <w:szCs w:val="28"/>
          <w:shd w:val="clear" w:fill="FFFFFF"/>
        </w:rPr>
        <w:t>医院</w:t>
      </w:r>
      <w:r>
        <w:rPr>
          <w:rFonts w:hint="eastAsia" w:ascii="仿宋" w:hAnsi="仿宋" w:eastAsia="仿宋" w:cs="仿宋"/>
          <w:i w:val="0"/>
          <w:iCs w:val="0"/>
          <w:caps w:val="0"/>
          <w:color w:val="auto"/>
          <w:spacing w:val="0"/>
          <w:sz w:val="28"/>
          <w:szCs w:val="28"/>
          <w:shd w:val="clear" w:fill="FFFFFF"/>
          <w:lang w:eastAsia="zh-CN"/>
        </w:rPr>
        <w:t>、</w:t>
      </w:r>
      <w:r>
        <w:rPr>
          <w:rFonts w:hint="eastAsia" w:ascii="仿宋" w:hAnsi="仿宋" w:eastAsia="仿宋" w:cs="仿宋"/>
          <w:i w:val="0"/>
          <w:iCs w:val="0"/>
          <w:caps w:val="0"/>
          <w:color w:val="auto"/>
          <w:spacing w:val="0"/>
          <w:sz w:val="28"/>
          <w:szCs w:val="28"/>
          <w:shd w:val="clear" w:fill="FFFFFF"/>
        </w:rPr>
        <w:t>商务会所，应有尽有</w:t>
      </w:r>
      <w:r>
        <w:rPr>
          <w:rFonts w:hint="eastAsia" w:ascii="仿宋" w:hAnsi="仿宋" w:eastAsia="仿宋" w:cs="仿宋"/>
          <w:i w:val="0"/>
          <w:iCs w:val="0"/>
          <w:caps w:val="0"/>
          <w:color w:val="auto"/>
          <w:spacing w:val="0"/>
          <w:sz w:val="28"/>
          <w:szCs w:val="28"/>
          <w:shd w:val="clear" w:fill="FFFFFF"/>
          <w:lang w:eastAsia="zh-CN"/>
        </w:rPr>
        <w:t>，</w:t>
      </w:r>
      <w:r>
        <w:rPr>
          <w:rFonts w:hint="eastAsia" w:ascii="仿宋" w:hAnsi="仿宋" w:eastAsia="仿宋"/>
          <w:color w:val="auto"/>
          <w:sz w:val="30"/>
          <w:szCs w:val="30"/>
          <w:shd w:val="clear" w:color="auto" w:fill="FFFFFF"/>
        </w:rPr>
        <w:t>交通、购物、娱乐</w:t>
      </w:r>
      <w:r>
        <w:rPr>
          <w:rFonts w:hint="eastAsia" w:ascii="仿宋" w:hAnsi="仿宋" w:eastAsia="仿宋"/>
          <w:color w:val="auto"/>
          <w:sz w:val="30"/>
          <w:szCs w:val="30"/>
          <w:shd w:val="clear" w:color="auto" w:fill="FFFFFF"/>
          <w:lang w:eastAsia="zh-CN"/>
        </w:rPr>
        <w:t>等</w:t>
      </w:r>
      <w:r>
        <w:rPr>
          <w:rFonts w:hint="eastAsia" w:ascii="仿宋" w:hAnsi="仿宋" w:eastAsia="仿宋"/>
          <w:color w:val="auto"/>
          <w:sz w:val="30"/>
          <w:szCs w:val="30"/>
          <w:shd w:val="clear" w:color="auto" w:fill="FFFFFF"/>
        </w:rPr>
        <w:t>都极为便利</w:t>
      </w:r>
      <w:r>
        <w:rPr>
          <w:rFonts w:hint="eastAsia" w:ascii="仿宋" w:hAnsi="仿宋" w:eastAsia="仿宋"/>
          <w:color w:val="auto"/>
          <w:sz w:val="30"/>
          <w:szCs w:val="30"/>
          <w:lang w:eastAsia="zh-CN"/>
        </w:rPr>
        <w:t>，属于较为</w:t>
      </w:r>
      <w:r>
        <w:rPr>
          <w:rFonts w:hint="eastAsia" w:ascii="仿宋_GB2312" w:hAnsi="宋体" w:eastAsia="仿宋_GB2312" w:cs="Times New Roman"/>
          <w:color w:val="auto"/>
          <w:kern w:val="2"/>
          <w:sz w:val="28"/>
          <w:szCs w:val="28"/>
          <w:lang w:val="en-US" w:eastAsia="zh-CN" w:bidi="ar-SA"/>
        </w:rPr>
        <w:t>成熟稳定的商住区域。</w:t>
      </w:r>
    </w:p>
    <w:p>
      <w:pPr>
        <w:numPr>
          <w:ilvl w:val="0"/>
          <w:numId w:val="0"/>
        </w:numPr>
        <w:ind w:firstLine="562"/>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三、最高最佳使用分析</w:t>
      </w:r>
    </w:p>
    <w:p>
      <w:pPr>
        <w:ind w:firstLine="560" w:firstLineChars="200"/>
        <w:rPr>
          <w:rFonts w:hint="eastAsia"/>
          <w:lang w:val="en-US" w:eastAsia="zh-CN"/>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w:t>
      </w:r>
      <w:r>
        <w:rPr>
          <w:rFonts w:hint="eastAsia"/>
          <w:lang w:val="en-US" w:eastAsia="zh-CN"/>
        </w:rPr>
        <w:t>结</w:t>
      </w:r>
      <w:r>
        <w:rPr>
          <w:rFonts w:hint="eastAsia" w:ascii="仿宋_GB2312" w:hAnsi="宋体" w:eastAsia="仿宋_GB2312" w:cs="Times New Roman"/>
          <w:kern w:val="2"/>
          <w:sz w:val="28"/>
          <w:szCs w:val="28"/>
          <w:lang w:val="en-US" w:eastAsia="zh-CN" w:bidi="ar-SA"/>
        </w:rPr>
        <w:t>果。根据估价对象的个别因素和区位条件，我们认为估价对象的规划用途为其最佳用途，估价对象用途为住宅房地产，并保持其实体现状、持续使用为前提。</w:t>
      </w:r>
    </w:p>
    <w:p>
      <w:pPr>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四、估价方法的选用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采用了市场法综合测算估价对象的公开市场价值。</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市场法是指通过比较被评估资产与最近售出类似资产的异同，并将类似的市场价格进行调整，从而确定被评估资产价值的一种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评估值（比准价格）=可比实例价格×交易情况修正×市场状况调整×房地产状况调整</w:t>
      </w:r>
      <w:r>
        <w:rPr>
          <w:rFonts w:hint="eastAsia" w:ascii="仿宋_GB2312" w:hAnsi="宋体" w:eastAsia="仿宋_GB2312" w:cs="Times New Roman"/>
          <w:b/>
          <w:bCs/>
          <w:kern w:val="2"/>
          <w:sz w:val="28"/>
          <w:szCs w:val="28"/>
          <w:highlight w:val="none"/>
          <w:lang w:val="en-US" w:eastAsia="zh-CN" w:bidi="ar-SA"/>
        </w:rPr>
        <w:t xml:space="preserve">    </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接受委托后，我们会同委托人及相关当事人对估价对象进行了实地勘查，随后开展了广泛的市场调查，并采用市场法进行了估价测算，确定估价结果。</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针对估价对象的功能和特点，根据替代原则，按用途相同、土地级别相同、价格类型相同等特点，对与估价对象在同一区域内的类似住宅进行了市场调查和比较分析，按照估价要求，筛选三个可比实例。</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实例A：鹿港溪山小区住宅，2016年建成，总层数30层，所在层27层，2室1厅1卫，东南朝向，精装修，建筑面积55.08平米，拟交易价格为198万，折合单价约</w:t>
      </w:r>
      <w:r>
        <w:rPr>
          <w:rFonts w:hint="eastAsia" w:ascii="仿宋_GB2312" w:hAnsi="宋体" w:eastAsia="仿宋_GB2312" w:cs="Times New Roman"/>
          <w:kern w:val="2"/>
          <w:sz w:val="28"/>
          <w:szCs w:val="28"/>
          <w:highlight w:val="none"/>
          <w:lang w:val="en-US" w:eastAsia="zh-CN" w:bidi="ar-SA"/>
        </w:rPr>
        <w:t>为35948元/平米</w:t>
      </w:r>
      <w:r>
        <w:rPr>
          <w:rFonts w:hint="eastAsia" w:ascii="仿宋_GB2312" w:hAnsi="宋体" w:eastAsia="仿宋_GB2312" w:cs="Times New Roman"/>
          <w:kern w:val="2"/>
          <w:sz w:val="28"/>
          <w:szCs w:val="28"/>
          <w:lang w:val="en-US" w:eastAsia="zh-CN" w:bidi="ar-SA"/>
        </w:rPr>
        <w:t>，拟交易日期2021年11月份。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实例B：鹿港溪山小区住宅，2016年建成，总层数25层，所在层23层，2室1厅1卫，南北朝向，精装修，建筑面积56.72平米，拟交易价格为190万，折合单价</w:t>
      </w:r>
      <w:r>
        <w:rPr>
          <w:rFonts w:hint="eastAsia" w:ascii="仿宋_GB2312" w:hAnsi="宋体" w:eastAsia="仿宋_GB2312" w:cs="Times New Roman"/>
          <w:kern w:val="2"/>
          <w:sz w:val="28"/>
          <w:szCs w:val="28"/>
          <w:highlight w:val="none"/>
          <w:lang w:val="en-US" w:eastAsia="zh-CN" w:bidi="ar-SA"/>
        </w:rPr>
        <w:t>约为33498元/平米，拟</w:t>
      </w:r>
      <w:r>
        <w:rPr>
          <w:rFonts w:hint="eastAsia" w:ascii="仿宋_GB2312" w:hAnsi="宋体" w:eastAsia="仿宋_GB2312" w:cs="Times New Roman"/>
          <w:kern w:val="2"/>
          <w:sz w:val="28"/>
          <w:szCs w:val="28"/>
          <w:lang w:val="en-US" w:eastAsia="zh-CN" w:bidi="ar-SA"/>
        </w:rPr>
        <w:t>交易日期2021年11月份。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实例C：鹿港溪山小区住宅，2016年建成，总层数32层，所在层13层，2室1厅1卫，南北朝向，精装修，建筑面积55.08平米，拟交易价格为186万，折合单价约</w:t>
      </w:r>
      <w:r>
        <w:rPr>
          <w:rFonts w:hint="eastAsia" w:ascii="仿宋_GB2312" w:hAnsi="宋体" w:eastAsia="仿宋_GB2312" w:cs="Times New Roman"/>
          <w:kern w:val="2"/>
          <w:sz w:val="28"/>
          <w:szCs w:val="28"/>
          <w:highlight w:val="none"/>
          <w:lang w:val="en-US" w:eastAsia="zh-CN" w:bidi="ar-SA"/>
        </w:rPr>
        <w:t>为33770元/平米，拟交易日期20</w:t>
      </w:r>
      <w:r>
        <w:rPr>
          <w:rFonts w:hint="eastAsia" w:ascii="仿宋_GB2312" w:hAnsi="宋体" w:eastAsia="仿宋_GB2312" w:cs="Times New Roman"/>
          <w:kern w:val="2"/>
          <w:sz w:val="28"/>
          <w:szCs w:val="28"/>
          <w:lang w:val="en-US" w:eastAsia="zh-CN" w:bidi="ar-SA"/>
        </w:rPr>
        <w:t xml:space="preserve">21年11月份。     </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46"/>
        <w:gridCol w:w="15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w:t>
            </w:r>
            <w:r>
              <w:rPr>
                <w:rFonts w:hint="eastAsia" w:ascii="仿宋" w:hAnsi="仿宋" w:eastAsia="仿宋" w:cs="仿宋"/>
                <w:sz w:val="24"/>
                <w:szCs w:val="24"/>
                <w:vertAlign w:val="baseline"/>
                <w:lang w:val="en-US" w:eastAsia="zh-CN"/>
              </w:rPr>
              <w:t>案例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估价</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对象</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A </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可比案例B </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3" w:hRule="atLeast"/>
        </w:trPr>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座 落</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位 置</w:t>
            </w:r>
          </w:p>
        </w:tc>
        <w:tc>
          <w:tcPr>
            <w:tcW w:w="1446" w:type="dxa"/>
            <w:vAlign w:val="top"/>
          </w:tcPr>
          <w:p>
            <w:pPr>
              <w:numPr>
                <w:ilvl w:val="0"/>
                <w:numId w:val="0"/>
              </w:numPr>
              <w:ind w:left="0" w:leftChars="0" w:firstLine="0" w:firstLineChars="0"/>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鹿港溪山</w:t>
            </w:r>
          </w:p>
          <w:p>
            <w:pPr>
              <w:numPr>
                <w:ilvl w:val="0"/>
                <w:numId w:val="0"/>
              </w:numPr>
              <w:ind w:left="0" w:leftChars="0" w:firstLine="0" w:firstLineChars="0"/>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5号楼</w:t>
            </w:r>
          </w:p>
          <w:p>
            <w:pPr>
              <w:numPr>
                <w:ilvl w:val="0"/>
                <w:numId w:val="0"/>
              </w:numPr>
              <w:ind w:left="0" w:leftChars="0" w:firstLine="0" w:firstLineChars="0"/>
              <w:jc w:val="both"/>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1201室</w:t>
            </w:r>
          </w:p>
        </w:tc>
        <w:tc>
          <w:tcPr>
            <w:tcW w:w="1567" w:type="dxa"/>
            <w:vAlign w:val="center"/>
          </w:tcPr>
          <w:p>
            <w:pPr>
              <w:numPr>
                <w:ilvl w:val="0"/>
                <w:numId w:val="0"/>
              </w:numPr>
              <w:spacing w:line="720" w:lineRule="auto"/>
              <w:ind w:left="0" w:leftChars="0" w:firstLine="0" w:firstLineChars="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鹿港溪山</w:t>
            </w:r>
          </w:p>
        </w:tc>
        <w:tc>
          <w:tcPr>
            <w:tcW w:w="1550" w:type="dxa"/>
            <w:vAlign w:val="center"/>
          </w:tcPr>
          <w:p>
            <w:pPr>
              <w:numPr>
                <w:ilvl w:val="0"/>
                <w:numId w:val="0"/>
              </w:numPr>
              <w:spacing w:line="720" w:lineRule="auto"/>
              <w:ind w:left="0" w:leftChars="0" w:firstLine="0" w:firstLineChars="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鹿港溪山</w:t>
            </w:r>
          </w:p>
        </w:tc>
        <w:tc>
          <w:tcPr>
            <w:tcW w:w="1633" w:type="dxa"/>
            <w:vAlign w:val="center"/>
          </w:tcPr>
          <w:p>
            <w:pPr>
              <w:numPr>
                <w:ilvl w:val="0"/>
                <w:numId w:val="0"/>
              </w:numPr>
              <w:spacing w:line="720" w:lineRule="auto"/>
              <w:ind w:left="0" w:leftChars="0" w:firstLine="0" w:firstLineChars="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鹿港溪山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楼盘名称</w:t>
            </w:r>
          </w:p>
        </w:tc>
        <w:tc>
          <w:tcPr>
            <w:tcW w:w="1446" w:type="dxa"/>
            <w:vAlign w:val="top"/>
          </w:tcPr>
          <w:p>
            <w:pPr>
              <w:numPr>
                <w:ilvl w:val="0"/>
                <w:numId w:val="0"/>
              </w:numPr>
              <w:ind w:left="0" w:leftChars="0" w:firstLine="0" w:firstLineChars="0"/>
              <w:jc w:val="both"/>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鹿港溪山</w:t>
            </w:r>
          </w:p>
        </w:tc>
        <w:tc>
          <w:tcPr>
            <w:tcW w:w="1567" w:type="dxa"/>
            <w:vAlign w:val="top"/>
          </w:tcPr>
          <w:p>
            <w:pPr>
              <w:numPr>
                <w:ilvl w:val="0"/>
                <w:numId w:val="0"/>
              </w:numPr>
              <w:ind w:left="0" w:leftChars="0" w:firstLine="0" w:firstLineChars="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鹿港溪山</w:t>
            </w:r>
          </w:p>
        </w:tc>
        <w:tc>
          <w:tcPr>
            <w:tcW w:w="1550" w:type="dxa"/>
            <w:vAlign w:val="top"/>
          </w:tcPr>
          <w:p>
            <w:pPr>
              <w:numPr>
                <w:ilvl w:val="0"/>
                <w:numId w:val="0"/>
              </w:numPr>
              <w:ind w:left="0" w:leftChars="0" w:firstLine="0" w:firstLineChars="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鹿港溪山</w:t>
            </w:r>
          </w:p>
        </w:tc>
        <w:tc>
          <w:tcPr>
            <w:tcW w:w="1633" w:type="dxa"/>
            <w:vAlign w:val="top"/>
          </w:tcPr>
          <w:p>
            <w:pPr>
              <w:numPr>
                <w:ilvl w:val="0"/>
                <w:numId w:val="0"/>
              </w:numPr>
              <w:ind w:left="0" w:leftChars="0" w:firstLine="0" w:firstLineChars="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鹿港溪山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w:t>
            </w:r>
            <w:r>
              <w:rPr>
                <w:rFonts w:hint="eastAsia" w:ascii="仿宋" w:hAnsi="仿宋" w:eastAsia="仿宋" w:cs="仿宋"/>
                <w:color w:val="auto"/>
                <w:sz w:val="30"/>
                <w:szCs w:val="30"/>
                <w:lang w:val="en-US" w:eastAsia="zh-CN"/>
              </w:rPr>
              <w:t>M</w:t>
            </w:r>
            <w:r>
              <w:rPr>
                <w:rFonts w:hint="eastAsia" w:ascii="仿宋" w:hAnsi="仿宋" w:eastAsia="仿宋" w:cs="仿宋"/>
                <w:color w:val="auto"/>
                <w:sz w:val="30"/>
                <w:szCs w:val="30"/>
                <w:vertAlign w:val="superscript"/>
                <w:lang w:val="en-US" w:eastAsia="zh-CN"/>
              </w:rPr>
              <w:t>2</w:t>
            </w:r>
            <w:r>
              <w:rPr>
                <w:rFonts w:hint="eastAsia" w:ascii="仿宋" w:hAnsi="仿宋" w:eastAsia="仿宋" w:cs="仿宋"/>
                <w:sz w:val="30"/>
                <w:szCs w:val="30"/>
                <w:vertAlign w:val="baseline"/>
                <w:lang w:val="en-US" w:eastAsia="zh-CN"/>
              </w:rPr>
              <w:t>)</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35948</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33498</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33770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状况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交易日期</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2021.11</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2021.11</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2021.11</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较优</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较优</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较优</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较好</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较好</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较好</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4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5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6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钢混</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钢混</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钢混</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钢混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12/30</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27/30</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23/25</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偏小适中</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偏小适中</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偏小适中</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偏小适中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二房一厅</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二房一厅</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二房一厅</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二房一厅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精装修</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精装修</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精装修</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精装修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朝向及采光</w:t>
            </w:r>
            <w:r>
              <w:rPr>
                <w:rFonts w:hint="eastAsia" w:ascii="仿宋" w:hAnsi="仿宋" w:eastAsia="仿宋" w:cs="仿宋"/>
                <w:sz w:val="30"/>
                <w:szCs w:val="30"/>
                <w:vertAlign w:val="baseline"/>
                <w:lang w:val="en-US" w:eastAsia="zh-CN"/>
              </w:rPr>
              <w:t>通风</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color w:val="auto"/>
                <w:sz w:val="30"/>
                <w:szCs w:val="30"/>
                <w:vertAlign w:val="baseline"/>
                <w:lang w:val="en-US" w:eastAsia="zh-CN"/>
              </w:rPr>
              <w:t>南北，好</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东南，好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新旧程度</w:t>
            </w:r>
          </w:p>
        </w:tc>
        <w:tc>
          <w:tcPr>
            <w:tcW w:w="14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91.7%</w:t>
            </w:r>
          </w:p>
        </w:tc>
        <w:tc>
          <w:tcPr>
            <w:tcW w:w="15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91.7%</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91.7%</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300" w:firstLineChars="100"/>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 音</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院内，小</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院内，小</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院内，小</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院内，小</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比较因素条件指数表</w:t>
      </w:r>
      <w:r>
        <w:rPr>
          <w:rFonts w:hint="eastAsia" w:ascii="仿宋" w:hAnsi="仿宋" w:eastAsia="仿宋" w:cs="仿宋"/>
          <w:sz w:val="30"/>
          <w:szCs w:val="30"/>
          <w:lang w:val="en-US" w:eastAsia="zh-CN"/>
        </w:rPr>
        <w:t>2</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估价对象与案例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估价</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对象</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A </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可比案例B </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成交单价（元/平米）</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867" w:type="dxa"/>
            <w:textDirection w:val="lrTb"/>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35948</w:t>
            </w:r>
          </w:p>
        </w:tc>
        <w:tc>
          <w:tcPr>
            <w:tcW w:w="1550" w:type="dxa"/>
            <w:textDirection w:val="lrTb"/>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33498</w:t>
            </w:r>
          </w:p>
        </w:tc>
        <w:tc>
          <w:tcPr>
            <w:tcW w:w="1633" w:type="dxa"/>
            <w:textDirection w:val="lrTb"/>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33770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市场状况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所在楼层</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103</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101</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朝向</w:t>
            </w:r>
            <w:r>
              <w:rPr>
                <w:rFonts w:hint="eastAsia" w:ascii="仿宋" w:hAnsi="仿宋" w:eastAsia="仿宋" w:cs="仿宋"/>
                <w:sz w:val="24"/>
                <w:szCs w:val="24"/>
                <w:vertAlign w:val="baseline"/>
                <w:lang w:val="en-US" w:eastAsia="zh-CN"/>
              </w:rPr>
              <w:t>及采光</w:t>
            </w:r>
            <w:r>
              <w:rPr>
                <w:rFonts w:hint="eastAsia" w:ascii="仿宋" w:hAnsi="仿宋" w:eastAsia="仿宋" w:cs="仿宋"/>
                <w:sz w:val="30"/>
                <w:szCs w:val="30"/>
                <w:vertAlign w:val="baseline"/>
                <w:lang w:val="en-US" w:eastAsia="zh-CN"/>
              </w:rPr>
              <w:t>通风</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103</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新旧程度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噪音</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106</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101</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比较因素修正系数表</w:t>
      </w:r>
      <w:r>
        <w:rPr>
          <w:rFonts w:hint="eastAsia" w:ascii="仿宋" w:hAnsi="仿宋" w:eastAsia="仿宋" w:cs="仿宋"/>
          <w:sz w:val="30"/>
          <w:szCs w:val="30"/>
          <w:lang w:val="en-US" w:eastAsia="zh-CN"/>
        </w:rPr>
        <w:t>3</w:t>
      </w:r>
    </w:p>
    <w:tbl>
      <w:tblPr>
        <w:tblStyle w:val="9"/>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估价对象与案例</w:t>
            </w:r>
          </w:p>
        </w:tc>
        <w:tc>
          <w:tcPr>
            <w:tcW w:w="11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对象</w:t>
            </w:r>
          </w:p>
        </w:tc>
        <w:tc>
          <w:tcPr>
            <w:tcW w:w="1867" w:type="dxa"/>
            <w:vAlign w:val="top"/>
          </w:tcPr>
          <w:p>
            <w:pPr>
              <w:spacing w:line="72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可比案例A</w:t>
            </w:r>
          </w:p>
        </w:tc>
        <w:tc>
          <w:tcPr>
            <w:tcW w:w="1550" w:type="dxa"/>
            <w:vAlign w:val="top"/>
          </w:tcPr>
          <w:p>
            <w:pPr>
              <w:spacing w:line="72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可比案例B</w:t>
            </w:r>
          </w:p>
        </w:tc>
        <w:tc>
          <w:tcPr>
            <w:tcW w:w="1833" w:type="dxa"/>
            <w:vAlign w:val="top"/>
          </w:tcPr>
          <w:p>
            <w:pPr>
              <w:spacing w:line="72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成交单价（元/平米）</w:t>
            </w:r>
          </w:p>
        </w:tc>
        <w:tc>
          <w:tcPr>
            <w:tcW w:w="1146"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w:t>
            </w:r>
          </w:p>
        </w:tc>
        <w:tc>
          <w:tcPr>
            <w:tcW w:w="1867" w:type="dxa"/>
            <w:textDirection w:val="lrTb"/>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35948</w:t>
            </w:r>
          </w:p>
        </w:tc>
        <w:tc>
          <w:tcPr>
            <w:tcW w:w="1550" w:type="dxa"/>
            <w:textDirection w:val="lrTb"/>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33498</w:t>
            </w:r>
          </w:p>
        </w:tc>
        <w:tc>
          <w:tcPr>
            <w:tcW w:w="1833" w:type="dxa"/>
            <w:textDirection w:val="lrTb"/>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33770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交易</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情况</w:t>
            </w: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交易情况</w:t>
            </w:r>
          </w:p>
        </w:tc>
        <w:tc>
          <w:tcPr>
            <w:tcW w:w="1146" w:type="dxa"/>
            <w:vAlign w:val="top"/>
          </w:tcPr>
          <w:p>
            <w:pPr>
              <w:jc w:val="center"/>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100</w:t>
            </w:r>
          </w:p>
        </w:tc>
        <w:tc>
          <w:tcPr>
            <w:tcW w:w="155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100</w:t>
            </w:r>
          </w:p>
        </w:tc>
        <w:tc>
          <w:tcPr>
            <w:tcW w:w="18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4"/>
                <w:szCs w:val="24"/>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类型</w:t>
            </w:r>
          </w:p>
        </w:tc>
        <w:tc>
          <w:tcPr>
            <w:tcW w:w="1146"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100</w:t>
            </w:r>
          </w:p>
        </w:tc>
        <w:tc>
          <w:tcPr>
            <w:tcW w:w="155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100</w:t>
            </w:r>
          </w:p>
        </w:tc>
        <w:tc>
          <w:tcPr>
            <w:tcW w:w="18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市场状况调整系数</w:t>
            </w:r>
          </w:p>
        </w:tc>
        <w:tc>
          <w:tcPr>
            <w:tcW w:w="1146" w:type="dxa"/>
            <w:vAlign w:val="top"/>
          </w:tcPr>
          <w:p>
            <w:pPr>
              <w:jc w:val="center"/>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100</w:t>
            </w:r>
          </w:p>
        </w:tc>
        <w:tc>
          <w:tcPr>
            <w:tcW w:w="155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100</w:t>
            </w:r>
          </w:p>
        </w:tc>
        <w:tc>
          <w:tcPr>
            <w:tcW w:w="18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区域状况调整系数</w:t>
            </w:r>
          </w:p>
        </w:tc>
        <w:tc>
          <w:tcPr>
            <w:tcW w:w="1146"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100</w:t>
            </w:r>
          </w:p>
        </w:tc>
        <w:tc>
          <w:tcPr>
            <w:tcW w:w="155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100</w:t>
            </w:r>
          </w:p>
        </w:tc>
        <w:tc>
          <w:tcPr>
            <w:tcW w:w="18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权益状况调整系数</w:t>
            </w:r>
          </w:p>
        </w:tc>
        <w:tc>
          <w:tcPr>
            <w:tcW w:w="1146" w:type="dxa"/>
            <w:vAlign w:val="top"/>
          </w:tcPr>
          <w:p>
            <w:pPr>
              <w:jc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100</w:t>
            </w:r>
          </w:p>
        </w:tc>
        <w:tc>
          <w:tcPr>
            <w:tcW w:w="18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100</w:t>
            </w:r>
          </w:p>
        </w:tc>
        <w:tc>
          <w:tcPr>
            <w:tcW w:w="155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100</w:t>
            </w:r>
          </w:p>
        </w:tc>
        <w:tc>
          <w:tcPr>
            <w:tcW w:w="18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实物状况调整系数</w:t>
            </w:r>
          </w:p>
        </w:tc>
        <w:tc>
          <w:tcPr>
            <w:tcW w:w="1146"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106</w:t>
            </w:r>
          </w:p>
        </w:tc>
        <w:tc>
          <w:tcPr>
            <w:tcW w:w="1550" w:type="dxa"/>
            <w:vAlign w:val="top"/>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101</w:t>
            </w:r>
          </w:p>
        </w:tc>
        <w:tc>
          <w:tcPr>
            <w:tcW w:w="1833" w:type="dxa"/>
            <w:vAlign w:val="top"/>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比准价格（元/平米）</w:t>
            </w:r>
          </w:p>
        </w:tc>
        <w:tc>
          <w:tcPr>
            <w:tcW w:w="1146"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w:t>
            </w:r>
          </w:p>
        </w:tc>
        <w:tc>
          <w:tcPr>
            <w:tcW w:w="1867" w:type="dxa"/>
            <w:vAlign w:val="top"/>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33913</w:t>
            </w:r>
          </w:p>
        </w:tc>
        <w:tc>
          <w:tcPr>
            <w:tcW w:w="1550" w:type="dxa"/>
            <w:vAlign w:val="top"/>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33166</w:t>
            </w:r>
          </w:p>
        </w:tc>
        <w:tc>
          <w:tcPr>
            <w:tcW w:w="1833" w:type="dxa"/>
            <w:vAlign w:val="top"/>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33770</w:t>
            </w:r>
          </w:p>
        </w:tc>
      </w:tr>
    </w:tbl>
    <w:p>
      <w:pPr>
        <w:numPr>
          <w:ilvl w:val="0"/>
          <w:numId w:val="0"/>
        </w:numPr>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5、求取估价对象价值</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由于可比实例A、B、C与估价对象条件因素相当类似，且比准价格相差不远，因此采取算数平均值的求取方法。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评估单价=</w:t>
      </w:r>
      <w:r>
        <w:rPr>
          <w:rFonts w:hint="eastAsia" w:ascii="仿宋" w:hAnsi="仿宋" w:eastAsia="仿宋" w:cs="仿宋"/>
          <w:kern w:val="2"/>
          <w:sz w:val="28"/>
          <w:szCs w:val="28"/>
          <w:lang w:val="en-US" w:eastAsia="zh-CN" w:bidi="ar-SA"/>
        </w:rPr>
        <w:t>（33913+33166+33770</w:t>
      </w:r>
      <w:r>
        <w:rPr>
          <w:rFonts w:hint="eastAsia" w:ascii="仿宋_GB2312" w:hAnsi="宋体" w:eastAsia="仿宋_GB2312" w:cs="Times New Roman"/>
          <w:kern w:val="2"/>
          <w:sz w:val="28"/>
          <w:szCs w:val="28"/>
          <w:lang w:val="en-US" w:eastAsia="zh-CN" w:bidi="ar-SA"/>
        </w:rPr>
        <w:t>）</w:t>
      </w:r>
      <w:r>
        <w:rPr>
          <w:rFonts w:hint="default" w:ascii="仿宋_GB2312" w:hAnsi="宋体" w:eastAsia="仿宋_GB2312" w:cs="Times New Roman"/>
          <w:kern w:val="2"/>
          <w:sz w:val="28"/>
          <w:szCs w:val="28"/>
          <w:lang w:val="en-US" w:eastAsia="zh-CN" w:bidi="ar-SA"/>
        </w:rPr>
        <w:t>÷</w:t>
      </w:r>
      <w:r>
        <w:rPr>
          <w:rFonts w:hint="eastAsia" w:ascii="仿宋_GB2312" w:hAnsi="宋体" w:eastAsia="仿宋_GB2312" w:cs="Times New Roman"/>
          <w:kern w:val="2"/>
          <w:sz w:val="28"/>
          <w:szCs w:val="28"/>
          <w:lang w:val="en-US" w:eastAsia="zh-CN" w:bidi="ar-SA"/>
        </w:rPr>
        <w:t>3≈</w:t>
      </w:r>
      <w:r>
        <w:rPr>
          <w:rFonts w:hint="eastAsia" w:ascii="仿宋" w:hAnsi="仿宋" w:eastAsia="仿宋" w:cs="仿宋"/>
          <w:kern w:val="2"/>
          <w:sz w:val="28"/>
          <w:szCs w:val="28"/>
          <w:lang w:val="en-US" w:eastAsia="zh-CN" w:bidi="ar-SA"/>
        </w:rPr>
        <w:t>33616</w:t>
      </w:r>
      <w:r>
        <w:rPr>
          <w:rFonts w:hint="eastAsia" w:ascii="仿宋_GB2312" w:hAnsi="宋体" w:eastAsia="仿宋_GB2312" w:cs="Times New Roman"/>
          <w:kern w:val="2"/>
          <w:sz w:val="28"/>
          <w:szCs w:val="28"/>
          <w:lang w:val="en-US" w:eastAsia="zh-CN" w:bidi="ar-SA"/>
        </w:rPr>
        <w:t>(元/平米)</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评估总值=</w:t>
      </w:r>
      <w:r>
        <w:rPr>
          <w:rFonts w:hint="eastAsia" w:ascii="仿宋" w:hAnsi="仿宋" w:eastAsia="仿宋" w:cs="仿宋"/>
          <w:kern w:val="2"/>
          <w:sz w:val="28"/>
          <w:szCs w:val="28"/>
          <w:lang w:val="en-US" w:eastAsia="zh-CN" w:bidi="ar-SA"/>
        </w:rPr>
        <w:t>33616</w:t>
      </w:r>
      <w:r>
        <w:rPr>
          <w:rFonts w:hint="eastAsia" w:ascii="仿宋_GB2312" w:hAnsi="宋体" w:eastAsia="仿宋_GB2312" w:cs="Times New Roman"/>
          <w:kern w:val="2"/>
          <w:sz w:val="28"/>
          <w:szCs w:val="28"/>
          <w:lang w:val="en-US" w:eastAsia="zh-CN" w:bidi="ar-SA"/>
        </w:rPr>
        <w:t>×54.83≈1843165(元)</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六、估价结果确定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估价人员根据估价目的，遵循估价原则，按照规定估价程序和估价方法，经过具体测算，确定估价对象在估价时点可能形成的市场价值为￥1843165元(大写人民币壹佰捌拾肆万叁仟壹佰陆拾伍元整)。</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highlight w:val="none"/>
        </w:rPr>
      </w:pPr>
      <w:r>
        <w:rPr>
          <w:rFonts w:hint="eastAsia" w:ascii="仿宋_GB2312" w:hAnsi="宋体" w:eastAsia="仿宋_GB2312" w:cs="Times New Roman"/>
          <w:kern w:val="2"/>
          <w:sz w:val="28"/>
          <w:szCs w:val="28"/>
          <w:highlight w:val="none"/>
          <w:lang w:val="en-US" w:eastAsia="zh-CN" w:bidi="ar-SA"/>
        </w:rPr>
        <w:t xml:space="preserve">                                  二○二一年十一月三十日</w:t>
      </w:r>
    </w:p>
    <w:p>
      <w:pPr/>
    </w:p>
    <w:p>
      <w:pPr/>
    </w:p>
    <w:p>
      <w:pPr/>
    </w:p>
    <w:sectPr>
      <w:headerReference r:id="rId3" w:type="default"/>
      <w:footerReference r:id="rId4" w:type="default"/>
      <w:footerReference r:id="rId5" w:type="even"/>
      <w:pgSz w:w="11906" w:h="16838"/>
      <w:pgMar w:top="1644" w:right="1463" w:bottom="1361" w:left="146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仿宋">
    <w:panose1 w:val="02010609060101010101"/>
    <w:charset w:val="86"/>
    <w:family w:val="roman"/>
    <w:pitch w:val="default"/>
    <w:sig w:usb0="800002BF" w:usb1="38CF7CFA" w:usb2="00000016" w:usb3="00000000" w:csb0="00040001" w:csb1="00000000"/>
  </w:font>
  <w:font w:name="仿宋_GB2312">
    <w:altName w:val="仿宋"/>
    <w:panose1 w:val="02010609030001010101"/>
    <w:charset w:val="86"/>
    <w:family w:val="swiss"/>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swiss"/>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001010101"/>
    <w:charset w:val="86"/>
    <w:family w:val="roman"/>
    <w:pitch w:val="default"/>
    <w:sig w:usb0="00000000" w:usb1="00000000" w:usb2="00000010" w:usb3="00000000" w:csb0="00040000" w:csb1="00000000"/>
  </w:font>
  <w:font w:name="仿宋_GB2312">
    <w:altName w:val="仿宋"/>
    <w:panose1 w:val="02010609030101010101"/>
    <w:charset w:val="86"/>
    <w:family w:val="swiss"/>
    <w:pitch w:val="default"/>
    <w:sig w:usb0="00000000" w:usb1="00000000" w:usb2="00000010" w:usb3="00000000" w:csb0="00040000" w:csb1="00000000"/>
  </w:font>
  <w:font w:name="仿宋">
    <w:panose1 w:val="02010609060101010101"/>
    <w:charset w:val="86"/>
    <w:family w:val="decorative"/>
    <w:pitch w:val="default"/>
    <w:sig w:usb0="800002BF" w:usb1="38CF7CFA" w:usb2="00000016" w:usb3="00000000" w:csb0="00040001" w:csb1="00000000"/>
  </w:font>
  <w:font w:name="仿宋_GB2312">
    <w:altName w:val="仿宋"/>
    <w:panose1 w:val="020106090300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001010101"/>
    <w:charset w:val="86"/>
    <w:family w:val="decorative"/>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Batang">
    <w:panose1 w:val="02030600000101010101"/>
    <w:charset w:val="81"/>
    <w:family w:val="auto"/>
    <w:pitch w:val="default"/>
    <w:sig w:usb0="B00002AF" w:usb1="69D77CFB" w:usb2="00000030" w:usb3="00000000" w:csb0="4008009F" w:csb1="DFD70000"/>
  </w:font>
  <w:font w:name="新宋体">
    <w:panose1 w:val="02010609030101010101"/>
    <w:charset w:val="86"/>
    <w:family w:val="auto"/>
    <w:pitch w:val="default"/>
    <w:sig w:usb0="00000003" w:usb1="288F0000" w:usb2="00000006" w:usb3="00000000" w:csb0="00040001" w:csb1="00000000"/>
  </w:font>
  <w:font w:name="创艺简仿宋">
    <w:altName w:val="宋体"/>
    <w:panose1 w:val="00000000000000000000"/>
    <w:charset w:val="86"/>
    <w:family w:val="auto"/>
    <w:pitch w:val="default"/>
    <w:sig w:usb0="00000000" w:usb1="00000000" w:usb2="00000010" w:usb3="00000000" w:csb0="00040000" w:csb1="00000000"/>
  </w:font>
  <w:font w:name="Calibri Light">
    <w:altName w:val="Calibri"/>
    <w:panose1 w:val="020F0302020204030204"/>
    <w:charset w:val="00"/>
    <w:family w:val="auto"/>
    <w:pitch w:val="default"/>
    <w:sig w:usb0="00000000" w:usb1="00000000" w:usb2="00000000" w:usb3="00000000" w:csb0="2000019F" w:csb1="00000000"/>
  </w:font>
  <w:font w:name="仿宋_GB2312">
    <w:altName w:val="仿宋"/>
    <w:panose1 w:val="02010609030101010101"/>
    <w:charset w:val="86"/>
    <w:family w:val="decorative"/>
    <w:pitch w:val="default"/>
    <w:sig w:usb0="00000000" w:usb1="00000000" w:usb2="00000010" w:usb3="00000000" w:csb0="00040000" w:csb1="00000000"/>
  </w:font>
  <w:font w:name="仿宋_GB2312">
    <w:altName w:val="仿宋"/>
    <w:panose1 w:val="02010609030101010101"/>
    <w:charset w:val="86"/>
    <w:family w:val="roma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swiss"/>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6"/>
        <w:sz w:val="18"/>
        <w:szCs w:val="18"/>
      </w:rPr>
      <w:instrText xml:space="preserve"> PAGE </w:instrText>
    </w:r>
    <w:r>
      <w:rPr>
        <w:sz w:val="18"/>
        <w:szCs w:val="18"/>
      </w:rPr>
      <w:fldChar w:fldCharType="separate"/>
    </w:r>
    <w:r>
      <w:rPr>
        <w:rStyle w:val="6"/>
        <w:sz w:val="18"/>
        <w:szCs w:val="18"/>
      </w:rPr>
      <w:t>1</w:t>
    </w:r>
    <w:r>
      <w:rPr>
        <w:sz w:val="18"/>
        <w:szCs w:val="18"/>
      </w:rPr>
      <w:fldChar w:fldCharType="end"/>
    </w:r>
    <w:r>
      <w:rPr>
        <w:rStyle w:val="6"/>
        <w:rFonts w:hint="eastAsia"/>
        <w:sz w:val="18"/>
        <w:szCs w:val="18"/>
      </w:rPr>
      <w:t>页  共</w:t>
    </w:r>
    <w:r>
      <w:rPr>
        <w:rStyle w:val="6"/>
        <w:rFonts w:hint="eastAsia"/>
        <w:sz w:val="18"/>
        <w:szCs w:val="18"/>
        <w:lang w:val="en-US" w:eastAsia="zh-CN"/>
      </w:rPr>
      <w:t>19</w:t>
    </w:r>
    <w:r>
      <w:rPr>
        <w:rStyle w:val="6"/>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6"/>
      </w:rPr>
    </w:pPr>
    <w:r>
      <w:fldChar w:fldCharType="begin"/>
    </w:r>
    <w:r>
      <w:rPr>
        <w:rStyle w:val="6"/>
      </w:rPr>
      <w:instrText xml:space="preserve">PAGE  </w:instrText>
    </w:r>
    <w:r>
      <w:fldChar w:fldCharType="separate"/>
    </w:r>
    <w:r>
      <w:rPr>
        <w:rStyle w:val="6"/>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num w:numId="1">
    <w:abstractNumId w:val="15782135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252EBD"/>
    <w:rsid w:val="010569BB"/>
    <w:rsid w:val="032121AE"/>
    <w:rsid w:val="0E252EBD"/>
    <w:rsid w:val="11794537"/>
    <w:rsid w:val="14565BE9"/>
    <w:rsid w:val="174156B7"/>
    <w:rsid w:val="17DE7734"/>
    <w:rsid w:val="18BA7A5E"/>
    <w:rsid w:val="18F062F7"/>
    <w:rsid w:val="214A06AB"/>
    <w:rsid w:val="287A4275"/>
    <w:rsid w:val="3554618D"/>
    <w:rsid w:val="472A5ECE"/>
    <w:rsid w:val="497D0CA1"/>
    <w:rsid w:val="4B7D06FE"/>
    <w:rsid w:val="50CD535C"/>
    <w:rsid w:val="546F3C12"/>
    <w:rsid w:val="663D7BCC"/>
    <w:rsid w:val="6A437A66"/>
    <w:rsid w:val="6AFB3992"/>
    <w:rsid w:val="76A43EB3"/>
    <w:rsid w:val="77704880"/>
    <w:rsid w:val="7E094A54"/>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6">
    <w:name w:val="page number"/>
    <w:basedOn w:val="5"/>
    <w:qFormat/>
    <w:uiPriority w:val="0"/>
    <w:rPr>
      <w:rFonts w:ascii="Times New Roman" w:hAnsi="Times New Roman" w:eastAsia="宋体" w:cs="Times New Roman"/>
    </w:rPr>
  </w:style>
  <w:style w:type="character" w:styleId="7">
    <w:name w:val="Hyperlink"/>
    <w:basedOn w:val="5"/>
    <w:qFormat/>
    <w:uiPriority w:val="0"/>
    <w:rPr>
      <w:rFonts w:ascii="Times New Roman" w:hAnsi="Times New Roman" w:eastAsia="宋体" w:cs="Times New Roman"/>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List Paragraph"/>
    <w:basedOn w:val="1"/>
    <w:qFormat/>
    <w:uiPriority w:val="34"/>
    <w:pPr>
      <w:ind w:firstLine="420" w:firstLineChars="200"/>
    </w:pPr>
  </w:style>
  <w:style w:type="character" w:customStyle="1" w:styleId="11">
    <w:name w:val="apple-converted-space"/>
    <w:basedOn w:val="5"/>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2021-11-17T01:46:00Z</dcterms:created>
  <dc:creator>Administrator</dc:creator>
  <cp:lastModifiedBy>Administrator</cp:lastModifiedBy>
  <dcterms:modified xsi:type="dcterms:W3CDTF">2021-12-02T07:44:39Z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EAEF5CA9E2C043D6BA986D39672BBB9A</vt:lpwstr>
  </property>
</Properties>
</file>