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00"/>
        <w:rPr>
          <w:rFonts w:hint="eastAsia" w:ascii="仿宋_GB2312" w:eastAsia="仿宋_GB2312"/>
          <w:kern w:val="0"/>
          <w:sz w:val="10"/>
          <w:szCs w:val="10"/>
          <w:lang w:eastAsia="zh-CN"/>
        </w:rPr>
      </w:pPr>
    </w:p>
    <w:p>
      <w:pPr>
        <w:ind w:right="400"/>
        <w:rPr>
          <w:rFonts w:hint="eastAsia" w:ascii="仿宋_GB2312" w:eastAsia="仿宋_GB2312"/>
          <w:kern w:val="0"/>
          <w:sz w:val="10"/>
          <w:szCs w:val="10"/>
          <w:lang w:eastAsia="zh-CN"/>
        </w:rPr>
      </w:pPr>
    </w:p>
    <w:p>
      <w:pPr>
        <w:ind w:right="400"/>
        <w:rPr>
          <w:rFonts w:hint="eastAsia" w:ascii="仿宋_GB2312" w:eastAsia="仿宋_GB2312"/>
          <w:kern w:val="0"/>
          <w:sz w:val="10"/>
          <w:szCs w:val="10"/>
        </w:rPr>
      </w:pPr>
      <w:r>
        <w:rPr>
          <w:rFonts w:hint="eastAsia" w:ascii="仿宋_GB2312" w:eastAsia="仿宋_GB2312"/>
          <w:kern w:val="0"/>
          <w:sz w:val="10"/>
          <w:szCs w:val="10"/>
        </w:rPr>
        <w:drawing>
          <wp:inline distT="0" distB="0" distL="0" distR="0">
            <wp:extent cx="942975" cy="981075"/>
            <wp:effectExtent l="0" t="0" r="9525" b="9525"/>
            <wp:docPr id="1" name="Picture 1" descr="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标识"/>
                    <pic:cNvPicPr>
                      <a:picLocks noChangeAspect="1" noChangeArrowheads="1"/>
                    </pic:cNvPicPr>
                  </pic:nvPicPr>
                  <pic:blipFill>
                    <a:blip r:embed="rId5"/>
                    <a:srcRect/>
                    <a:stretch>
                      <a:fillRect/>
                    </a:stretch>
                  </pic:blipFill>
                  <pic:spPr>
                    <a:xfrm>
                      <a:off x="0" y="0"/>
                      <a:ext cx="942975" cy="981075"/>
                    </a:xfrm>
                    <a:prstGeom prst="rect">
                      <a:avLst/>
                    </a:prstGeom>
                    <a:noFill/>
                    <a:ln w="9525">
                      <a:noFill/>
                      <a:miter lim="800000"/>
                      <a:headEnd/>
                      <a:tailEnd/>
                    </a:ln>
                  </pic:spPr>
                </pic:pic>
              </a:graphicData>
            </a:graphic>
          </wp:inline>
        </w:drawing>
      </w:r>
    </w:p>
    <w:p>
      <w:pPr>
        <w:ind w:right="400"/>
        <w:rPr>
          <w:rFonts w:hint="eastAsia" w:ascii="仿宋_GB2312" w:eastAsia="仿宋_GB2312"/>
          <w:kern w:val="0"/>
          <w:sz w:val="10"/>
          <w:szCs w:val="10"/>
        </w:rPr>
      </w:pPr>
      <w:r>
        <w:rPr>
          <w:rFonts w:hint="eastAsia" w:ascii="仿宋_GB2312" w:eastAsia="仿宋_GB2312"/>
          <w:kern w:val="0"/>
          <w:sz w:val="10"/>
          <w:szCs w:val="10"/>
        </w:rPr>
        <w:t xml:space="preserve">                                                                                         </w:t>
      </w:r>
    </w:p>
    <w:p>
      <w:pPr>
        <w:jc w:val="right"/>
        <w:rPr>
          <w:rFonts w:hint="eastAsia" w:ascii="仿宋_GB2312" w:eastAsia="仿宋_GB2312"/>
          <w:kern w:val="0"/>
          <w:sz w:val="24"/>
          <w:szCs w:val="24"/>
        </w:rPr>
      </w:pPr>
      <w:r>
        <w:rPr>
          <w:rFonts w:hint="eastAsia" w:ascii="仿宋_GB2312" w:eastAsia="仿宋_GB2312"/>
          <w:kern w:val="0"/>
          <w:sz w:val="28"/>
          <w:szCs w:val="10"/>
        </w:rPr>
        <w:t xml:space="preserve"> </w:t>
      </w:r>
      <w:r>
        <w:rPr>
          <w:rFonts w:hint="eastAsia" w:ascii="仿宋_GB2312" w:eastAsia="仿宋_GB2312"/>
          <w:kern w:val="0"/>
          <w:sz w:val="10"/>
          <w:szCs w:val="10"/>
        </w:rPr>
        <w:t xml:space="preserve"> </w:t>
      </w:r>
      <w:r>
        <w:rPr>
          <w:rFonts w:hint="eastAsia" w:ascii="仿宋_GB2312" w:eastAsia="仿宋_GB2312"/>
          <w:kern w:val="0"/>
          <w:sz w:val="28"/>
          <w:szCs w:val="28"/>
        </w:rPr>
        <w:t xml:space="preserve">  </w:t>
      </w:r>
      <w:r>
        <w:rPr>
          <w:rFonts w:hint="eastAsia" w:ascii="仿宋_GB2312" w:hAnsi="仿宋_GB2312" w:eastAsia="仿宋_GB2312"/>
          <w:sz w:val="28"/>
          <w:szCs w:val="28"/>
        </w:rPr>
        <w:t>渭昌鹏价评字［20</w:t>
      </w:r>
      <w:r>
        <w:rPr>
          <w:rFonts w:hint="eastAsia" w:ascii="仿宋_GB2312" w:hAnsi="仿宋_GB2312" w:eastAsia="仿宋_GB2312"/>
          <w:sz w:val="28"/>
          <w:szCs w:val="28"/>
          <w:lang w:val="en-US" w:eastAsia="zh-CN"/>
        </w:rPr>
        <w:t>21</w:t>
      </w:r>
      <w:r>
        <w:rPr>
          <w:rFonts w:hint="eastAsia" w:ascii="仿宋_GB2312" w:hAnsi="仿宋_GB2312" w:eastAsia="仿宋_GB2312"/>
          <w:sz w:val="28"/>
          <w:szCs w:val="28"/>
        </w:rPr>
        <w:t>］</w:t>
      </w:r>
      <w:r>
        <w:rPr>
          <w:rFonts w:hint="eastAsia" w:ascii="仿宋_GB2312" w:hAnsi="仿宋_GB2312" w:eastAsia="仿宋_GB2312"/>
          <w:sz w:val="28"/>
          <w:szCs w:val="28"/>
          <w:lang w:val="en-US" w:eastAsia="zh-CN"/>
        </w:rPr>
        <w:t>063</w:t>
      </w:r>
      <w:r>
        <w:rPr>
          <w:rFonts w:hint="eastAsia" w:ascii="仿宋_GB2312" w:hAnsi="仿宋_GB2312" w:eastAsia="仿宋_GB2312"/>
          <w:sz w:val="28"/>
          <w:szCs w:val="28"/>
        </w:rPr>
        <w:t>号</w:t>
      </w:r>
      <w:r>
        <w:rPr>
          <w:rFonts w:hint="eastAsia" w:ascii="仿宋_GB2312" w:eastAsia="仿宋_GB2312"/>
          <w:kern w:val="0"/>
          <w:sz w:val="28"/>
          <w:szCs w:val="28"/>
        </w:rPr>
        <w:t xml:space="preserve">    </w:t>
      </w:r>
      <w:r>
        <w:rPr>
          <w:rFonts w:hint="eastAsia" w:ascii="仿宋_GB2312" w:eastAsia="仿宋_GB2312"/>
          <w:kern w:val="0"/>
          <w:sz w:val="24"/>
          <w:szCs w:val="24"/>
        </w:rPr>
        <w:t xml:space="preserve">     </w:t>
      </w:r>
    </w:p>
    <w:p>
      <w:pPr>
        <w:jc w:val="left"/>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60288" behindDoc="1" locked="0" layoutInCell="1" allowOverlap="1">
                <wp:simplePos x="0" y="0"/>
                <wp:positionH relativeFrom="page">
                  <wp:posOffset>1256030</wp:posOffset>
                </wp:positionH>
                <wp:positionV relativeFrom="paragraph">
                  <wp:posOffset>0</wp:posOffset>
                </wp:positionV>
                <wp:extent cx="5420360" cy="76200"/>
                <wp:effectExtent l="0" t="0" r="8890" b="0"/>
                <wp:wrapNone/>
                <wp:docPr id="3" name="Rectangle 10"/>
                <wp:cNvGraphicFramePr/>
                <a:graphic xmlns:a="http://schemas.openxmlformats.org/drawingml/2006/main">
                  <a:graphicData uri="http://schemas.microsoft.com/office/word/2010/wordprocessingShape">
                    <wps:wsp>
                      <wps:cNvSpPr/>
                      <wps:spPr>
                        <a:xfrm>
                          <a:off x="0" y="0"/>
                          <a:ext cx="5420360" cy="76200"/>
                        </a:xfrm>
                        <a:prstGeom prst="rect">
                          <a:avLst/>
                        </a:prstGeom>
                        <a:solidFill>
                          <a:srgbClr val="FA1820"/>
                        </a:solidFill>
                        <a:ln w="9525">
                          <a:noFill/>
                        </a:ln>
                      </wps:spPr>
                      <wps:bodyPr upright="1"/>
                    </wps:wsp>
                  </a:graphicData>
                </a:graphic>
              </wp:anchor>
            </w:drawing>
          </mc:Choice>
          <mc:Fallback>
            <w:pict>
              <v:rect id="Rectangle 10" o:spid="_x0000_s1026" o:spt="1" style="position:absolute;left:0pt;margin-left:98.9pt;margin-top:0pt;height:6pt;width:426.8pt;mso-position-horizontal-relative:page;z-index:-251656192;mso-width-relative:page;mso-height-relative:page;" fillcolor="#FA1820" filled="t" stroked="f" coordsize="21600,21600" o:gfxdata="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a+IcNYA&#10;AAAIAQAADwAAAAAAAAABACAAAAAiAAAAZHJzL2Rvd25yZXYueG1sUEsBAhQAFAAAAAgAh07iQNXb&#10;HjevAQAAawMAAA4AAAAAAAAAAQAgAAAAJQEAAGRycy9lMm9Eb2MueG1sUEsFBgAAAAAGAAYAWQEA&#10;AEYFAAAAAA==&#10;">
                <v:fill on="t" focussize="0,0"/>
                <v:stroke on="f"/>
                <v:imagedata o:title=""/>
                <o:lock v:ext="edit" aspectratio="f"/>
              </v:rect>
            </w:pict>
          </mc:Fallback>
        </mc:AlternateContent>
      </w:r>
    </w:p>
    <w:p>
      <w:pPr>
        <w:rPr>
          <w:rFonts w:hint="eastAsia" w:ascii="仿宋_GB2312" w:eastAsia="仿宋_GB2312"/>
        </w:rPr>
      </w:pPr>
    </w:p>
    <w:p>
      <w:pPr>
        <w:rPr>
          <w:rFonts w:hint="eastAsia" w:ascii="仿宋_GB2312" w:eastAsia="仿宋_GB2312"/>
        </w:rPr>
      </w:pPr>
    </w:p>
    <w:p>
      <w:pPr>
        <w:spacing w:line="500" w:lineRule="exact"/>
        <w:jc w:val="center"/>
        <w:rPr>
          <w:rFonts w:hint="eastAsia" w:ascii="仿宋_GB2312" w:eastAsia="仿宋_GB2312"/>
          <w:b/>
          <w:sz w:val="36"/>
          <w:szCs w:val="36"/>
        </w:rPr>
      </w:pPr>
    </w:p>
    <w:p>
      <w:pPr>
        <w:spacing w:line="500" w:lineRule="exact"/>
        <w:jc w:val="center"/>
        <w:rPr>
          <w:rFonts w:hint="eastAsia" w:ascii="黑体" w:hAnsi="黑体" w:eastAsia="黑体" w:cs="黑体"/>
          <w:b/>
          <w:sz w:val="36"/>
          <w:szCs w:val="36"/>
        </w:rPr>
      </w:pPr>
      <w:r>
        <w:rPr>
          <w:rFonts w:hint="eastAsia" w:ascii="黑体" w:hAnsi="黑体" w:eastAsia="黑体" w:cs="黑体"/>
          <w:b/>
          <w:sz w:val="36"/>
          <w:szCs w:val="36"/>
        </w:rPr>
        <w:t>渭南市昌鹏价格评估有限责任公司</w:t>
      </w:r>
    </w:p>
    <w:p>
      <w:pPr>
        <w:spacing w:line="500" w:lineRule="exact"/>
        <w:jc w:val="center"/>
        <w:rPr>
          <w:rFonts w:hint="eastAsia" w:ascii="黑体" w:hAnsi="黑体" w:eastAsia="黑体" w:cs="黑体"/>
          <w:b/>
          <w:sz w:val="36"/>
          <w:szCs w:val="36"/>
        </w:rPr>
      </w:pPr>
      <w:r>
        <w:rPr>
          <w:rFonts w:hint="eastAsia" w:ascii="黑体" w:hAnsi="黑体" w:eastAsia="黑体" w:cs="黑体"/>
          <w:b/>
          <w:sz w:val="36"/>
          <w:szCs w:val="36"/>
        </w:rPr>
        <w:t>评估报告</w:t>
      </w:r>
    </w:p>
    <w:p>
      <w:pPr>
        <w:jc w:val="left"/>
        <w:rPr>
          <w:rFonts w:hint="eastAsia" w:ascii="黑体" w:hAnsi="黑体" w:eastAsia="黑体" w:cs="黑体"/>
          <w:sz w:val="72"/>
        </w:rPr>
      </w:pPr>
      <w:r>
        <w:rPr>
          <w:rFonts w:hint="eastAsia" w:ascii="黑体" w:hAnsi="黑体" w:eastAsia="黑体" w:cs="黑体"/>
          <w:sz w:val="72"/>
        </w:rPr>
        <w:t xml:space="preserve"> </w:t>
      </w:r>
    </w:p>
    <w:p>
      <w:pPr>
        <w:jc w:val="center"/>
        <w:rPr>
          <w:rFonts w:hint="eastAsia" w:ascii="仿宋_GB2312" w:hAnsi="仿宋_GB2312" w:eastAsia="仿宋_GB2312" w:cs="仿宋_GB2312"/>
          <w:kern w:val="0"/>
          <w:sz w:val="72"/>
          <w:szCs w:val="10"/>
        </w:rPr>
      </w:pPr>
      <w:r>
        <w:rPr>
          <w:rFonts w:hint="eastAsia" w:ascii="仿宋_GB2312" w:hAnsi="仿宋_GB2312" w:eastAsia="仿宋_GB2312" w:cs="仿宋_GB2312"/>
          <w:color w:val="0000FF"/>
        </w:rPr>
        <w:drawing>
          <wp:inline distT="0" distB="0" distL="0" distR="0">
            <wp:extent cx="2552700" cy="2581275"/>
            <wp:effectExtent l="0" t="0" r="0" b="9525"/>
            <wp:docPr id="2" name="图片 2" descr="http://pic.5tu.cn/uploads/allimg/201102/010P000024054943B62-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pic.5tu.cn/uploads/allimg/201102/010P000024054943B62-1.jpg"/>
                    <pic:cNvPicPr>
                      <a:picLocks noChangeAspect="1" noChangeArrowheads="1"/>
                    </pic:cNvPicPr>
                  </pic:nvPicPr>
                  <pic:blipFill>
                    <a:blip r:embed="rId7" r:link="rId8"/>
                    <a:srcRect/>
                    <a:stretch>
                      <a:fillRect/>
                    </a:stretch>
                  </pic:blipFill>
                  <pic:spPr>
                    <a:xfrm>
                      <a:off x="0" y="0"/>
                      <a:ext cx="2552700" cy="2581275"/>
                    </a:xfrm>
                    <a:prstGeom prst="rect">
                      <a:avLst/>
                    </a:prstGeom>
                    <a:noFill/>
                    <a:ln w="9525">
                      <a:noFill/>
                      <a:miter lim="800000"/>
                      <a:headEnd/>
                      <a:tailEnd/>
                    </a:ln>
                  </pic:spPr>
                </pic:pic>
              </a:graphicData>
            </a:graphic>
          </wp:inline>
        </w:drawing>
      </w:r>
    </w:p>
    <w:p>
      <w:pPr>
        <w:jc w:val="left"/>
        <w:rPr>
          <w:rFonts w:hint="eastAsia" w:ascii="仿宋_GB2312" w:hAnsi="仿宋_GB2312" w:eastAsia="仿宋_GB2312" w:cs="仿宋_GB2312"/>
        </w:rPr>
      </w:pPr>
    </w:p>
    <w:p>
      <w:pPr>
        <w:jc w:val="both"/>
        <w:rPr>
          <w:rFonts w:hint="eastAsia" w:ascii="仿宋_GB2312" w:hAnsi="仿宋_GB2312" w:eastAsia="仿宋_GB2312" w:cs="仿宋_GB2312"/>
          <w:b/>
          <w:bCs/>
          <w:sz w:val="36"/>
          <w:szCs w:val="36"/>
        </w:rPr>
      </w:pP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rPr>
        <w:t>关于</w:t>
      </w:r>
      <w:r>
        <w:rPr>
          <w:rFonts w:hint="eastAsia" w:ascii="黑体" w:hAnsi="黑体" w:eastAsia="黑体" w:cs="黑体"/>
          <w:b/>
          <w:bCs/>
          <w:sz w:val="36"/>
          <w:szCs w:val="36"/>
          <w:lang w:eastAsia="zh-CN"/>
        </w:rPr>
        <w:t>渭南市临渭区三贤路东侧馨苑居小区</w:t>
      </w:r>
    </w:p>
    <w:p>
      <w:pPr>
        <w:jc w:val="center"/>
        <w:rPr>
          <w:rFonts w:hint="default" w:ascii="黑体" w:hAnsi="黑体" w:eastAsia="黑体" w:cs="黑体"/>
          <w:b/>
          <w:bCs/>
          <w:sz w:val="36"/>
          <w:szCs w:val="36"/>
          <w:lang w:val="en-US" w:eastAsia="zh-CN"/>
        </w:rPr>
      </w:pPr>
      <w:r>
        <w:rPr>
          <w:rFonts w:hint="eastAsia" w:ascii="黑体" w:hAnsi="黑体" w:eastAsia="黑体" w:cs="黑体"/>
          <w:b/>
          <w:bCs/>
          <w:sz w:val="36"/>
          <w:szCs w:val="36"/>
          <w:lang w:val="en-US" w:eastAsia="zh-CN"/>
        </w:rPr>
        <w:t>2号楼2单元6层2号房产现值价格评估报告</w:t>
      </w:r>
    </w:p>
    <w:p>
      <w:pPr>
        <w:jc w:val="center"/>
        <w:rPr>
          <w:rFonts w:hint="eastAsia" w:ascii="仿宋_GB2312" w:hAnsi="仿宋_GB2312" w:eastAsia="仿宋_GB2312" w:cs="仿宋_GB2312"/>
          <w:b/>
          <w:bCs/>
          <w:sz w:val="36"/>
          <w:szCs w:val="36"/>
        </w:rPr>
      </w:pPr>
    </w:p>
    <w:p>
      <w:pPr>
        <w:jc w:val="center"/>
        <w:rPr>
          <w:rFonts w:hint="eastAsia" w:ascii="仿宋_GB2312" w:hAnsi="仿宋_GB2312" w:eastAsia="仿宋_GB2312" w:cs="仿宋_GB2312"/>
          <w:b/>
          <w:bCs/>
          <w:sz w:val="36"/>
          <w:szCs w:val="36"/>
        </w:rPr>
      </w:pPr>
    </w:p>
    <w:p>
      <w:pPr>
        <w:jc w:val="center"/>
        <w:rPr>
          <w:rFonts w:hint="eastAsia" w:ascii="宋体" w:hAnsi="宋体" w:eastAsia="宋体" w:cs="宋体"/>
          <w:b/>
          <w:bCs/>
          <w:sz w:val="36"/>
          <w:szCs w:val="36"/>
        </w:rPr>
      </w:pPr>
    </w:p>
    <w:p>
      <w:pPr>
        <w:jc w:val="center"/>
        <w:rPr>
          <w:rFonts w:hint="eastAsia" w:ascii="宋体" w:hAnsi="宋体" w:eastAsia="宋体" w:cs="宋体"/>
          <w:b/>
          <w:bCs/>
          <w:sz w:val="36"/>
          <w:szCs w:val="36"/>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rPr>
        <w:t>关于</w:t>
      </w:r>
      <w:r>
        <w:rPr>
          <w:rFonts w:hint="eastAsia" w:ascii="宋体" w:hAnsi="宋体" w:eastAsia="宋体" w:cs="宋体"/>
          <w:b/>
          <w:bCs/>
          <w:sz w:val="36"/>
          <w:szCs w:val="36"/>
          <w:lang w:eastAsia="zh-CN"/>
        </w:rPr>
        <w:t>渭南市临渭区三贤路东侧馨苑居小区</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val="en-US" w:eastAsia="zh-CN"/>
        </w:rPr>
        <w:t>2号楼2单元6层2号</w:t>
      </w:r>
      <w:r>
        <w:rPr>
          <w:rFonts w:hint="eastAsia" w:ascii="宋体" w:hAnsi="宋体" w:eastAsia="宋体" w:cs="宋体"/>
          <w:b/>
          <w:bCs/>
          <w:sz w:val="36"/>
          <w:szCs w:val="36"/>
        </w:rPr>
        <w:t>房产现</w:t>
      </w:r>
      <w:r>
        <w:rPr>
          <w:rFonts w:hint="eastAsia" w:ascii="宋体" w:hAnsi="宋体" w:eastAsia="宋体" w:cs="宋体"/>
          <w:b/>
          <w:bCs/>
          <w:sz w:val="36"/>
          <w:szCs w:val="36"/>
          <w:lang w:eastAsia="zh-CN"/>
        </w:rPr>
        <w:t>值</w:t>
      </w:r>
      <w:r>
        <w:rPr>
          <w:rFonts w:hint="eastAsia" w:ascii="宋体" w:hAnsi="宋体" w:eastAsia="宋体" w:cs="宋体"/>
          <w:b/>
          <w:bCs/>
          <w:sz w:val="36"/>
          <w:szCs w:val="36"/>
        </w:rPr>
        <w:t>价格评估报告</w:t>
      </w:r>
      <w:r>
        <w:rPr>
          <w:rFonts w:hint="eastAsia" w:ascii="宋体" w:hAnsi="宋体" w:eastAsia="宋体" w:cs="宋体"/>
          <w:b/>
          <w:bCs/>
          <w:sz w:val="36"/>
          <w:szCs w:val="36"/>
          <w:lang w:eastAsia="zh-CN"/>
        </w:rPr>
        <w:t>书</w:t>
      </w: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sz w:val="28"/>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303530</wp:posOffset>
                </wp:positionV>
                <wp:extent cx="5257800" cy="4445"/>
                <wp:effectExtent l="0" t="0" r="0" b="0"/>
                <wp:wrapNone/>
                <wp:docPr id="4" name="Line 11"/>
                <wp:cNvGraphicFramePr/>
                <a:graphic xmlns:a="http://schemas.openxmlformats.org/drawingml/2006/main">
                  <a:graphicData uri="http://schemas.microsoft.com/office/word/2010/wordprocessingShape">
                    <wps:wsp>
                      <wps:cNvCnPr/>
                      <wps:spPr>
                        <a:xfrm flipV="1">
                          <a:off x="0" y="0"/>
                          <a:ext cx="525780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flip:y;margin-left:2.85pt;margin-top:23.9pt;height:0.35pt;width:414pt;z-index:251660288;mso-width-relative:page;mso-height-relative:page;" filled="f" stroked="t" coordsize="21600,21600" o:gfxdata="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Ye251QAAAAcBAAAP&#10;AAAAAAAAAAEAIAAAACIAAABkcnMvZG93bnJldi54bWxQSwECFAAUAAAACACHTuJA/IzUMuIBAADn&#10;AwAADgAAAAAAAAABACAAAAAkAQAAZHJzL2Uyb0RvYy54bWxQSwUGAAAAAAYABgBZAQAAeAUAAAAA&#10;">
                <v:fill on="f" focussize="0,0"/>
                <v:stroke color="#000000" joinstyle="round"/>
                <v:imagedata o:title=""/>
                <o:lock v:ext="edit" aspectratio="f"/>
              </v:line>
            </w:pict>
          </mc:Fallback>
        </mc:AlternateContent>
      </w:r>
      <w:r>
        <w:rPr>
          <w:rFonts w:hint="eastAsia" w:ascii="仿宋_GB2312" w:hAnsi="仿宋_GB2312" w:eastAsia="仿宋_GB2312" w:cs="仿宋_GB2312"/>
          <w:sz w:val="28"/>
        </w:rPr>
        <w:t>渭昌鹏价评字［20</w:t>
      </w:r>
      <w:r>
        <w:rPr>
          <w:rFonts w:hint="eastAsia" w:ascii="仿宋_GB2312" w:hAnsi="仿宋_GB2312" w:eastAsia="仿宋_GB2312" w:cs="仿宋_GB2312"/>
          <w:sz w:val="28"/>
          <w:lang w:val="en-US" w:eastAsia="zh-CN"/>
        </w:rPr>
        <w:t>21</w:t>
      </w:r>
      <w:r>
        <w:rPr>
          <w:rFonts w:hint="eastAsia" w:ascii="仿宋_GB2312" w:hAnsi="仿宋_GB2312" w:eastAsia="仿宋_GB2312" w:cs="仿宋_GB2312"/>
          <w:sz w:val="28"/>
        </w:rPr>
        <w:t>］</w:t>
      </w:r>
      <w:r>
        <w:rPr>
          <w:rFonts w:hint="eastAsia" w:ascii="仿宋_GB2312" w:hAnsi="仿宋_GB2312" w:eastAsia="仿宋_GB2312" w:cs="仿宋_GB2312"/>
          <w:sz w:val="28"/>
          <w:lang w:val="en-US" w:eastAsia="zh-CN"/>
        </w:rPr>
        <w:t>063</w:t>
      </w:r>
      <w:r>
        <w:rPr>
          <w:rFonts w:hint="eastAsia" w:ascii="仿宋_GB2312" w:hAnsi="仿宋_GB2312" w:eastAsia="仿宋_GB2312" w:cs="仿宋_GB2312"/>
          <w:sz w:val="28"/>
        </w:rPr>
        <w:t>号</w:t>
      </w: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b/>
          <w:bCs/>
          <w:sz w:val="32"/>
        </w:rPr>
        <w:t>渭南市</w:t>
      </w:r>
      <w:r>
        <w:rPr>
          <w:rFonts w:hint="eastAsia" w:ascii="仿宋_GB2312" w:hAnsi="仿宋_GB2312" w:eastAsia="仿宋_GB2312" w:cs="仿宋_GB2312"/>
          <w:b/>
          <w:bCs/>
          <w:sz w:val="32"/>
          <w:lang w:eastAsia="zh-CN"/>
        </w:rPr>
        <w:t>临渭区</w:t>
      </w:r>
      <w:r>
        <w:rPr>
          <w:rFonts w:hint="eastAsia" w:ascii="仿宋_GB2312" w:hAnsi="仿宋_GB2312" w:eastAsia="仿宋_GB2312" w:cs="仿宋_GB2312"/>
          <w:b/>
          <w:bCs/>
          <w:sz w:val="32"/>
        </w:rPr>
        <w:t>人民法院：</w:t>
      </w:r>
    </w:p>
    <w:p>
      <w:pPr>
        <w:numPr>
          <w:ilvl w:val="0"/>
          <w:numId w:val="0"/>
        </w:numPr>
        <w:spacing w:line="56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我公司于</w:t>
      </w:r>
      <w:r>
        <w:rPr>
          <w:rFonts w:hint="eastAsia" w:ascii="仿宋_GB2312" w:hAnsi="仿宋_GB2312" w:eastAsia="仿宋_GB2312" w:cs="仿宋_GB2312"/>
          <w:sz w:val="32"/>
          <w:lang w:val="en-US" w:eastAsia="zh-CN"/>
        </w:rPr>
        <w:t>2021年8月5日收到</w:t>
      </w:r>
      <w:r>
        <w:rPr>
          <w:rFonts w:hint="eastAsia" w:ascii="仿宋_GB2312" w:hAnsi="仿宋_GB2312" w:eastAsia="仿宋_GB2312" w:cs="仿宋_GB2312"/>
          <w:sz w:val="32"/>
        </w:rPr>
        <w:t>你院</w:t>
      </w:r>
      <w:r>
        <w:rPr>
          <w:rFonts w:hint="eastAsia" w:ascii="仿宋_GB2312" w:hAnsi="仿宋_GB2312" w:eastAsia="仿宋_GB2312" w:cs="仿宋_GB2312"/>
          <w:sz w:val="32"/>
          <w:lang w:eastAsia="zh-CN"/>
        </w:rPr>
        <w:t>来函，</w:t>
      </w:r>
      <w:r>
        <w:rPr>
          <w:rFonts w:hint="eastAsia" w:ascii="仿宋_GB2312" w:hAnsi="仿宋_GB2312" w:eastAsia="仿宋_GB2312" w:cs="仿宋_GB2312"/>
          <w:sz w:val="32"/>
          <w:lang w:val="en-US" w:eastAsia="zh-CN"/>
        </w:rPr>
        <w:t>现对渭南临渭区三贤路东侧馨苑居小区2号楼2单元6层2号房产重新进行现值价格评估，现将价格评估情况综述如下：</w:t>
      </w:r>
    </w:p>
    <w:p>
      <w:pPr>
        <w:numPr>
          <w:ilvl w:val="0"/>
          <w:numId w:val="1"/>
        </w:numPr>
        <w:spacing w:line="560" w:lineRule="exact"/>
        <w:ind w:firstLine="645"/>
        <w:rPr>
          <w:rFonts w:hint="eastAsia" w:ascii="仿宋_GB2312" w:hAnsi="仿宋_GB2312" w:eastAsia="仿宋_GB2312" w:cs="仿宋_GB2312"/>
          <w:b/>
          <w:bCs/>
          <w:sz w:val="32"/>
        </w:rPr>
      </w:pPr>
      <w:r>
        <w:rPr>
          <w:rFonts w:hint="eastAsia" w:ascii="仿宋_GB2312" w:hAnsi="仿宋_GB2312" w:eastAsia="仿宋_GB2312" w:cs="仿宋_GB2312"/>
          <w:b/>
          <w:bCs/>
          <w:sz w:val="32"/>
        </w:rPr>
        <w:t>价格评估标的</w:t>
      </w:r>
    </w:p>
    <w:p>
      <w:pPr>
        <w:numPr>
          <w:ilvl w:val="0"/>
          <w:numId w:val="0"/>
        </w:numPr>
        <w:spacing w:line="560" w:lineRule="exact"/>
        <w:ind w:firstLine="640" w:firstLineChars="200"/>
        <w:rPr>
          <w:rFonts w:hint="eastAsia" w:ascii="仿宋_GB2312" w:hAnsi="仿宋_GB2312" w:eastAsia="仿宋_GB2312" w:cs="仿宋_GB2312"/>
          <w:b/>
          <w:bCs/>
          <w:sz w:val="32"/>
        </w:rPr>
      </w:pPr>
      <w:r>
        <w:rPr>
          <w:rFonts w:hint="eastAsia" w:ascii="仿宋_GB2312" w:hAnsi="仿宋_GB2312" w:eastAsia="仿宋_GB2312" w:cs="仿宋_GB2312"/>
          <w:sz w:val="32"/>
          <w:lang w:val="en-US" w:eastAsia="zh-CN"/>
        </w:rPr>
        <w:t>渭南临渭区三贤路东侧馨苑居小区2号楼2单元6层2号房产。</w:t>
      </w:r>
    </w:p>
    <w:p>
      <w:pPr>
        <w:spacing w:line="560" w:lineRule="exact"/>
        <w:ind w:firstLine="681" w:firstLineChars="212"/>
        <w:rPr>
          <w:rFonts w:hint="eastAsia" w:ascii="仿宋_GB2312" w:hAnsi="仿宋_GB2312" w:eastAsia="仿宋_GB2312" w:cs="仿宋_GB2312"/>
          <w:b/>
          <w:bCs/>
          <w:sz w:val="32"/>
        </w:rPr>
      </w:pPr>
      <w:r>
        <w:rPr>
          <w:rFonts w:hint="eastAsia" w:ascii="仿宋_GB2312" w:hAnsi="仿宋_GB2312" w:eastAsia="仿宋_GB2312" w:cs="仿宋_GB2312"/>
          <w:b/>
          <w:bCs/>
          <w:sz w:val="32"/>
        </w:rPr>
        <w:t>二、价格评估目的</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为法院</w:t>
      </w:r>
      <w:r>
        <w:rPr>
          <w:rFonts w:hint="eastAsia" w:ascii="仿宋_GB2312" w:hAnsi="仿宋_GB2312" w:eastAsia="仿宋_GB2312" w:cs="仿宋_GB2312"/>
          <w:sz w:val="32"/>
          <w:lang w:eastAsia="zh-CN"/>
        </w:rPr>
        <w:t>执行</w:t>
      </w:r>
      <w:r>
        <w:rPr>
          <w:rFonts w:hint="eastAsia" w:ascii="仿宋_GB2312" w:hAnsi="仿宋_GB2312" w:eastAsia="仿宋_GB2312" w:cs="仿宋_GB2312"/>
          <w:sz w:val="32"/>
        </w:rPr>
        <w:t>案件提供该房产在价格评估基准日的价值参考依据。</w:t>
      </w:r>
    </w:p>
    <w:p>
      <w:pPr>
        <w:spacing w:line="560" w:lineRule="exact"/>
        <w:ind w:firstLine="660"/>
        <w:rPr>
          <w:rFonts w:hint="eastAsia" w:ascii="仿宋_GB2312" w:hAnsi="仿宋_GB2312" w:eastAsia="仿宋_GB2312" w:cs="仿宋_GB2312"/>
          <w:b/>
          <w:bCs/>
          <w:sz w:val="32"/>
        </w:rPr>
      </w:pPr>
      <w:r>
        <w:rPr>
          <w:rFonts w:hint="eastAsia" w:ascii="仿宋_GB2312" w:hAnsi="仿宋_GB2312" w:eastAsia="仿宋_GB2312" w:cs="仿宋_GB2312"/>
          <w:b/>
          <w:bCs/>
          <w:sz w:val="32"/>
        </w:rPr>
        <w:t>三、价格评估基准日</w:t>
      </w:r>
    </w:p>
    <w:p>
      <w:pPr>
        <w:spacing w:line="560" w:lineRule="exact"/>
        <w:ind w:firstLine="660"/>
        <w:rPr>
          <w:rFonts w:hint="eastAsia" w:ascii="仿宋_GB2312" w:hAnsi="仿宋_GB2312" w:eastAsia="仿宋_GB2312" w:cs="仿宋_GB2312"/>
          <w:sz w:val="32"/>
        </w:rPr>
      </w:pP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rPr>
        <w:t>日。</w:t>
      </w:r>
    </w:p>
    <w:p>
      <w:pPr>
        <w:numPr>
          <w:ilvl w:val="0"/>
          <w:numId w:val="2"/>
        </w:numPr>
        <w:spacing w:line="560" w:lineRule="exact"/>
        <w:ind w:left="640" w:leftChars="0" w:firstLine="0" w:firstLineChars="0"/>
        <w:rPr>
          <w:rFonts w:hint="eastAsia" w:ascii="仿宋_GB2312" w:hAnsi="仿宋_GB2312" w:eastAsia="仿宋_GB2312" w:cs="仿宋_GB2312"/>
          <w:b/>
          <w:bCs/>
          <w:sz w:val="32"/>
        </w:rPr>
      </w:pPr>
      <w:r>
        <w:rPr>
          <w:rFonts w:hint="eastAsia" w:ascii="仿宋_GB2312" w:hAnsi="仿宋_GB2312" w:eastAsia="仿宋_GB2312" w:cs="仿宋_GB2312"/>
          <w:b/>
          <w:bCs/>
          <w:sz w:val="32"/>
        </w:rPr>
        <w:t>价格定义</w:t>
      </w:r>
    </w:p>
    <w:p>
      <w:pPr>
        <w:numPr>
          <w:numId w:val="0"/>
        </w:numPr>
        <w:spacing w:line="560" w:lineRule="exact"/>
        <w:ind w:left="640" w:leftChars="0"/>
        <w:rPr>
          <w:rFonts w:hint="eastAsia" w:ascii="仿宋_GB2312" w:hAnsi="仿宋_GB2312" w:eastAsia="仿宋_GB2312" w:cs="仿宋_GB2312"/>
          <w:b/>
          <w:bCs/>
          <w:sz w:val="32"/>
        </w:rPr>
      </w:pP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　　价格评估结论所指价格是：价格评估标的在评估基准日，</w:t>
      </w:r>
      <w:r>
        <w:rPr>
          <w:rFonts w:hint="eastAsia" w:ascii="仿宋_GB2312" w:hAnsi="仿宋_GB2312" w:eastAsia="仿宋_GB2312" w:cs="仿宋_GB2312"/>
          <w:sz w:val="32"/>
          <w:lang w:eastAsia="zh-CN"/>
        </w:rPr>
        <w:t>根据委托方需要，</w:t>
      </w:r>
      <w:r>
        <w:rPr>
          <w:rFonts w:hint="eastAsia" w:ascii="仿宋_GB2312" w:hAnsi="仿宋_GB2312" w:eastAsia="仿宋_GB2312" w:cs="仿宋_GB2312"/>
          <w:sz w:val="32"/>
        </w:rPr>
        <w:t>采用公开市场价值标准确定的市场价格。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五、价格评估依据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国家有关法律法规</w:t>
      </w:r>
    </w:p>
    <w:p>
      <w:pPr>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1、《中华人民共和国价格法》</w:t>
      </w:r>
    </w:p>
    <w:p>
      <w:pPr>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资产评估</w:t>
      </w:r>
      <w:r>
        <w:rPr>
          <w:rFonts w:hint="eastAsia" w:ascii="仿宋_GB2312" w:hAnsi="仿宋_GB2312" w:eastAsia="仿宋_GB2312" w:cs="仿宋_GB2312"/>
          <w:sz w:val="32"/>
          <w:szCs w:val="32"/>
        </w:rPr>
        <w:t>法》</w:t>
      </w:r>
    </w:p>
    <w:p>
      <w:pPr>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3、《陕西省价格鉴证操作规范》</w:t>
      </w:r>
    </w:p>
    <w:p>
      <w:pPr>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4、《房地产估价规范》</w:t>
      </w:r>
    </w:p>
    <w:p>
      <w:pPr>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陕西省涉案财物价格鉴定条例</w:t>
      </w:r>
      <w:r>
        <w:rPr>
          <w:rFonts w:hint="eastAsia" w:ascii="仿宋_GB2312" w:hAnsi="仿宋_GB2312" w:eastAsia="仿宋_GB2312" w:cs="仿宋_GB2312"/>
          <w:sz w:val="32"/>
          <w:szCs w:val="32"/>
        </w:rPr>
        <w:t>》</w:t>
      </w:r>
    </w:p>
    <w:p>
      <w:pPr>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最高人民法院关于民事诉讼证据的若干规定</w:t>
      </w:r>
      <w:r>
        <w:rPr>
          <w:rFonts w:hint="eastAsia" w:ascii="仿宋_GB2312" w:hAnsi="仿宋_GB2312" w:eastAsia="仿宋_GB2312" w:cs="仿宋_GB2312"/>
          <w:sz w:val="32"/>
          <w:szCs w:val="32"/>
        </w:rPr>
        <w:t>》</w:t>
      </w:r>
    </w:p>
    <w:p>
      <w:pPr>
        <w:spacing w:line="560" w:lineRule="exac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人民法院委托评估工作规范</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委托方出具的证明</w:t>
      </w:r>
    </w:p>
    <w:p>
      <w:pPr>
        <w:spacing w:line="560" w:lineRule="exact"/>
        <w:rPr>
          <w:rFonts w:hint="eastAsia" w:ascii="仿宋_GB2312" w:hAnsi="仿宋_GB2312" w:eastAsia="仿宋_GB2312" w:cs="仿宋_GB2312"/>
          <w:sz w:val="32"/>
          <w:lang w:eastAsia="zh-CN"/>
        </w:rPr>
      </w:pPr>
      <w:r>
        <w:rPr>
          <w:rFonts w:hint="eastAsia" w:ascii="仿宋_GB2312" w:hAnsi="仿宋_GB2312" w:eastAsia="仿宋_GB2312" w:cs="仿宋_GB2312"/>
          <w:sz w:val="32"/>
        </w:rPr>
        <w:t xml:space="preserve">    1、委托方出具的</w:t>
      </w:r>
      <w:r>
        <w:rPr>
          <w:rFonts w:hint="eastAsia" w:ascii="仿宋_GB2312" w:hAnsi="仿宋_GB2312" w:eastAsia="仿宋_GB2312" w:cs="仿宋_GB2312"/>
          <w:sz w:val="32"/>
          <w:lang w:eastAsia="zh-CN"/>
        </w:rPr>
        <w:t>委托函</w:t>
      </w:r>
    </w:p>
    <w:p>
      <w:pPr>
        <w:spacing w:line="560" w:lineRule="exact"/>
        <w:rPr>
          <w:rFonts w:hint="eastAsia" w:ascii="仿宋_GB2312" w:hAnsi="仿宋_GB2312" w:eastAsia="仿宋_GB2312" w:cs="仿宋_GB2312"/>
          <w:sz w:val="32"/>
          <w:lang w:eastAsia="zh-CN"/>
        </w:rPr>
      </w:pPr>
      <w:r>
        <w:rPr>
          <w:rFonts w:hint="eastAsia" w:ascii="仿宋_GB2312" w:hAnsi="仿宋_GB2312" w:eastAsia="仿宋_GB2312" w:cs="仿宋_GB2312"/>
          <w:sz w:val="32"/>
        </w:rPr>
        <w:t xml:space="preserve">    2、委托方提供的产权证明</w:t>
      </w:r>
      <w:r>
        <w:rPr>
          <w:rFonts w:hint="eastAsia" w:ascii="仿宋_GB2312" w:hAnsi="仿宋_GB2312" w:eastAsia="仿宋_GB2312" w:cs="仿宋_GB2312"/>
          <w:sz w:val="32"/>
          <w:lang w:eastAsia="zh-CN"/>
        </w:rPr>
        <w:t>资料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评估方搜集的资料</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现场勘查记录</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2、市</w:t>
      </w:r>
      <w:r>
        <w:rPr>
          <w:rFonts w:hint="eastAsia" w:ascii="仿宋_GB2312" w:hAnsi="仿宋_GB2312" w:eastAsia="仿宋_GB2312" w:cs="仿宋_GB2312"/>
          <w:sz w:val="32"/>
        </w:rPr>
        <w:t>场调查资料</w:t>
      </w:r>
    </w:p>
    <w:p>
      <w:pPr>
        <w:spacing w:line="560" w:lineRule="exact"/>
        <w:rPr>
          <w:rFonts w:hint="eastAsia" w:ascii="仿宋_GB2312" w:hAnsi="仿宋_GB2312" w:eastAsia="仿宋_GB2312" w:cs="仿宋_GB2312"/>
          <w:b/>
          <w:bCs/>
          <w:sz w:val="32"/>
        </w:rPr>
      </w:pPr>
      <w:r>
        <w:rPr>
          <w:rFonts w:hint="eastAsia" w:ascii="仿宋_GB2312" w:hAnsi="仿宋_GB2312" w:eastAsia="仿宋_GB2312" w:cs="仿宋_GB2312"/>
          <w:sz w:val="32"/>
        </w:rPr>
        <w:t>　　</w:t>
      </w:r>
      <w:r>
        <w:rPr>
          <w:rFonts w:hint="eastAsia" w:ascii="仿宋_GB2312" w:hAnsi="仿宋_GB2312" w:eastAsia="仿宋_GB2312" w:cs="仿宋_GB2312"/>
          <w:b/>
          <w:bCs/>
          <w:sz w:val="32"/>
        </w:rPr>
        <w:t>六、价格评估方法</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　　市场法　</w:t>
      </w:r>
    </w:p>
    <w:p>
      <w:pPr>
        <w:spacing w:line="560" w:lineRule="exact"/>
        <w:rPr>
          <w:rFonts w:hint="eastAsia" w:ascii="仿宋_GB2312" w:hAnsi="仿宋_GB2312" w:eastAsia="仿宋_GB2312" w:cs="仿宋_GB2312"/>
          <w:b/>
          <w:bCs/>
          <w:sz w:val="32"/>
        </w:rPr>
      </w:pPr>
      <w:r>
        <w:rPr>
          <w:rFonts w:hint="eastAsia" w:ascii="仿宋_GB2312" w:hAnsi="仿宋_GB2312" w:eastAsia="仿宋_GB2312" w:cs="仿宋_GB2312"/>
          <w:sz w:val="32"/>
        </w:rPr>
        <w:t>　　</w:t>
      </w:r>
      <w:r>
        <w:rPr>
          <w:rFonts w:hint="eastAsia" w:ascii="仿宋_GB2312" w:hAnsi="仿宋_GB2312" w:eastAsia="仿宋_GB2312" w:cs="仿宋_GB2312"/>
          <w:b/>
          <w:bCs/>
          <w:sz w:val="32"/>
        </w:rPr>
        <w:t>七、价格评估过程及结论数据</w:t>
      </w:r>
    </w:p>
    <w:p>
      <w:pPr>
        <w:spacing w:line="560" w:lineRule="exact"/>
        <w:ind w:firstLine="643" w:firstLineChars="201"/>
        <w:rPr>
          <w:rFonts w:hint="eastAsia" w:ascii="仿宋_GB2312" w:hAnsi="仿宋_GB2312" w:eastAsia="仿宋_GB2312" w:cs="仿宋_GB2312"/>
          <w:sz w:val="32"/>
        </w:rPr>
      </w:pPr>
      <w:r>
        <w:rPr>
          <w:rFonts w:hint="eastAsia" w:ascii="仿宋_GB2312" w:hAnsi="仿宋_GB2312" w:eastAsia="仿宋_GB2312" w:cs="仿宋_GB2312"/>
          <w:sz w:val="32"/>
        </w:rPr>
        <w:t>我公司接受委托后，成立价格评估小组，根据委托方提供的资料，制定了价格评估作业方案。对评估标的物的市场价格进行调研和询价后，评估人员</w:t>
      </w:r>
      <w:r>
        <w:rPr>
          <w:rFonts w:hint="eastAsia" w:ascii="仿宋_GB2312" w:hAnsi="仿宋_GB2312" w:eastAsia="仿宋_GB2312" w:cs="仿宋_GB2312"/>
          <w:color w:val="000000"/>
          <w:kern w:val="0"/>
          <w:sz w:val="32"/>
          <w:szCs w:val="32"/>
        </w:rPr>
        <w:t>根据价格评估相关操作规范与规定，</w:t>
      </w:r>
      <w:r>
        <w:rPr>
          <w:rFonts w:hint="eastAsia" w:ascii="仿宋_GB2312" w:hAnsi="仿宋_GB2312" w:eastAsia="仿宋_GB2312" w:cs="仿宋_GB2312"/>
          <w:sz w:val="32"/>
        </w:rPr>
        <w:t xml:space="preserve">选择适当的评估方法和方式，确定采用市场法进行本次价格评估，针对具体评估项目进行评定估算，分析确定评估结论，并撰写价格评估报告书。 </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 xml:space="preserve">    1、房产概况：</w:t>
      </w:r>
    </w:p>
    <w:p>
      <w:pPr>
        <w:spacing w:line="560" w:lineRule="exact"/>
        <w:ind w:firstLine="643" w:firstLineChars="201"/>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待估</w:t>
      </w:r>
      <w:r>
        <w:rPr>
          <w:rFonts w:hint="eastAsia" w:ascii="仿宋_GB2312" w:hAnsi="仿宋_GB2312" w:eastAsia="仿宋_GB2312" w:cs="仿宋_GB2312"/>
          <w:sz w:val="32"/>
          <w:szCs w:val="32"/>
          <w:lang w:eastAsia="zh-CN"/>
        </w:rPr>
        <w:t>房产</w:t>
      </w:r>
      <w:r>
        <w:rPr>
          <w:rFonts w:hint="eastAsia" w:ascii="仿宋_GB2312" w:hAnsi="仿宋_GB2312" w:eastAsia="仿宋_GB2312" w:cs="仿宋_GB2312"/>
          <w:sz w:val="32"/>
          <w:lang w:val="en-US" w:eastAsia="zh-CN"/>
        </w:rPr>
        <w:t>渭南临渭区三贤路东侧馨苑居小区2号楼2单元6层2号</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所有人为李喜鹏，登记日期为</w:t>
      </w:r>
      <w:r>
        <w:rPr>
          <w:rFonts w:hint="eastAsia" w:ascii="仿宋_GB2312" w:hAnsi="仿宋_GB2312" w:eastAsia="仿宋_GB2312" w:cs="仿宋_GB2312"/>
          <w:sz w:val="32"/>
          <w:lang w:val="en-US" w:eastAsia="zh-CN"/>
        </w:rPr>
        <w:t>2009年5月12日。</w:t>
      </w:r>
      <w:r>
        <w:rPr>
          <w:rFonts w:hint="eastAsia" w:ascii="仿宋_GB2312" w:hAnsi="仿宋_GB2312" w:eastAsia="仿宋_GB2312" w:cs="仿宋_GB2312"/>
          <w:sz w:val="32"/>
          <w:lang w:eastAsia="zh-CN"/>
        </w:rPr>
        <w:t>房产证号：渭房权证</w:t>
      </w:r>
      <w:r>
        <w:rPr>
          <w:rFonts w:hint="eastAsia" w:ascii="仿宋_GB2312" w:hAnsi="仿宋_GB2312" w:eastAsia="仿宋_GB2312" w:cs="仿宋_GB2312"/>
          <w:sz w:val="32"/>
          <w:lang w:val="en-US" w:eastAsia="zh-CN"/>
        </w:rPr>
        <w:t>登有字第 30S04050375号，</w:t>
      </w:r>
      <w:r>
        <w:rPr>
          <w:rFonts w:hint="eastAsia" w:ascii="仿宋_GB2312" w:hAnsi="仿宋_GB2312" w:eastAsia="仿宋_GB2312" w:cs="仿宋_GB2312"/>
          <w:sz w:val="32"/>
        </w:rPr>
        <w:t>建筑面积</w:t>
      </w:r>
      <w:r>
        <w:rPr>
          <w:rFonts w:hint="eastAsia" w:ascii="仿宋_GB2312" w:hAnsi="仿宋_GB2312" w:eastAsia="仿宋_GB2312" w:cs="仿宋_GB2312"/>
          <w:sz w:val="32"/>
          <w:lang w:val="en-US" w:eastAsia="zh-CN"/>
        </w:rPr>
        <w:t>125.08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，毛墙毛地，房产</w:t>
      </w:r>
      <w:r>
        <w:rPr>
          <w:rFonts w:hint="eastAsia" w:ascii="仿宋_GB2312" w:hAnsi="仿宋_GB2312" w:eastAsia="仿宋_GB2312" w:cs="仿宋_GB2312"/>
          <w:sz w:val="32"/>
        </w:rPr>
        <w:t>总</w:t>
      </w:r>
      <w:r>
        <w:rPr>
          <w:rFonts w:hint="eastAsia" w:ascii="仿宋_GB2312" w:hAnsi="仿宋_GB2312" w:eastAsia="仿宋_GB2312" w:cs="仿宋_GB2312"/>
          <w:sz w:val="32"/>
          <w:lang w:eastAsia="zh-CN"/>
        </w:rPr>
        <w:t>层</w:t>
      </w:r>
      <w:r>
        <w:rPr>
          <w:rFonts w:hint="eastAsia" w:ascii="仿宋_GB2312" w:hAnsi="仿宋_GB2312" w:eastAsia="仿宋_GB2312" w:cs="仿宋_GB2312"/>
          <w:sz w:val="32"/>
        </w:rPr>
        <w:t>数</w:t>
      </w:r>
      <w:r>
        <w:rPr>
          <w:rFonts w:hint="eastAsia" w:ascii="仿宋_GB2312" w:hAnsi="仿宋_GB2312" w:eastAsia="仿宋_GB2312" w:cs="仿宋_GB2312"/>
          <w:sz w:val="32"/>
          <w:lang w:eastAsia="zh-CN"/>
        </w:rPr>
        <w:t>为</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层</w:t>
      </w:r>
      <w:r>
        <w:rPr>
          <w:rFonts w:hint="eastAsia" w:ascii="仿宋_GB2312" w:hAnsi="仿宋_GB2312" w:eastAsia="仿宋_GB2312" w:cs="仿宋_GB2312"/>
          <w:sz w:val="32"/>
          <w:lang w:eastAsia="zh-CN"/>
        </w:rPr>
        <w:t>，该房产所处位置为</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lang w:eastAsia="zh-CN"/>
        </w:rPr>
        <w:t>层</w:t>
      </w:r>
      <w:r>
        <w:rPr>
          <w:rFonts w:hint="eastAsia" w:ascii="仿宋_GB2312" w:hAnsi="仿宋_GB2312" w:eastAsia="仿宋_GB2312" w:cs="仿宋_GB2312"/>
          <w:sz w:val="32"/>
          <w:lang w:val="en-US" w:eastAsia="zh-CN"/>
        </w:rPr>
        <w:t>。一层为商铺，2-6层为住宅。</w:t>
      </w:r>
      <w:r>
        <w:rPr>
          <w:rFonts w:hint="eastAsia" w:ascii="仿宋_GB2312" w:hAnsi="仿宋_GB2312" w:eastAsia="仿宋_GB2312" w:cs="仿宋_GB2312"/>
          <w:color w:val="000000"/>
          <w:sz w:val="32"/>
          <w:szCs w:val="32"/>
        </w:rPr>
        <w:t>所在区域交通便利，设施齐全，商业服务环境状况、人文环境状</w:t>
      </w:r>
      <w:r>
        <w:rPr>
          <w:rFonts w:hint="eastAsia" w:ascii="仿宋_GB2312" w:hAnsi="仿宋_GB2312" w:eastAsia="仿宋_GB2312" w:cs="仿宋_GB2312"/>
          <w:color w:val="000000"/>
          <w:sz w:val="32"/>
          <w:szCs w:val="32"/>
          <w:lang w:eastAsia="zh-CN"/>
        </w:rPr>
        <w:t>况较好</w:t>
      </w:r>
      <w:r>
        <w:rPr>
          <w:rFonts w:hint="eastAsia" w:ascii="仿宋_GB2312" w:hAnsi="仿宋_GB2312" w:eastAsia="仿宋_GB2312" w:cs="仿宋_GB2312"/>
          <w:color w:val="000000"/>
          <w:sz w:val="32"/>
          <w:szCs w:val="32"/>
        </w:rPr>
        <w:t>。</w:t>
      </w:r>
    </w:p>
    <w:p>
      <w:pPr>
        <w:spacing w:line="560" w:lineRule="exact"/>
        <w:ind w:firstLine="643" w:firstLineChars="20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2、房产评估测算过程及结论数据</w:t>
      </w:r>
    </w:p>
    <w:p>
      <w:pPr>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由于委估房产为住宅</w:t>
      </w:r>
      <w:r>
        <w:rPr>
          <w:rFonts w:hint="eastAsia" w:ascii="仿宋_GB2312" w:hAnsi="仿宋_GB2312" w:eastAsia="仿宋_GB2312" w:cs="仿宋_GB2312"/>
          <w:sz w:val="32"/>
          <w:szCs w:val="32"/>
          <w:lang w:eastAsia="zh-CN"/>
        </w:rPr>
        <w:t>用房</w:t>
      </w:r>
      <w:r>
        <w:rPr>
          <w:rFonts w:hint="eastAsia" w:ascii="仿宋_GB2312" w:hAnsi="仿宋_GB2312" w:eastAsia="仿宋_GB2312" w:cs="仿宋_GB2312"/>
          <w:sz w:val="32"/>
          <w:szCs w:val="32"/>
        </w:rPr>
        <w:t>，在市场上与待估房产可比的交易案例较多，故采用市场法对其价值进行评估，市场法是通过市场上可比的交易实例根据替代原理对委估房产的市场价格进行调整，而确定其比准价格的一种方法。</w:t>
      </w:r>
    </w:p>
    <w:p>
      <w:pPr>
        <w:pStyle w:val="2"/>
        <w:autoSpaceDE w:val="0"/>
        <w:autoSpaceDN w:val="0"/>
        <w:spacing w:line="560" w:lineRule="exact"/>
        <w:ind w:firstLine="595" w:firstLineChars="18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2.1、选取房产比较实例</w:t>
      </w:r>
    </w:p>
    <w:p>
      <w:pPr>
        <w:pStyle w:val="2"/>
        <w:autoSpaceDE w:val="0"/>
        <w:autoSpaceDN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根据待估房产地点的同一性或类似性；时间的接近性；交易情况有无反常等基本要求选取三个可比实例如下：</w:t>
      </w:r>
    </w:p>
    <w:tbl>
      <w:tblPr>
        <w:tblStyle w:val="6"/>
        <w:tblW w:w="8332" w:type="dxa"/>
        <w:tblInd w:w="93" w:type="dxa"/>
        <w:tblLayout w:type="fixed"/>
        <w:tblCellMar>
          <w:top w:w="0" w:type="dxa"/>
          <w:left w:w="108" w:type="dxa"/>
          <w:bottom w:w="0" w:type="dxa"/>
          <w:right w:w="108" w:type="dxa"/>
        </w:tblCellMar>
      </w:tblPr>
      <w:tblGrid>
        <w:gridCol w:w="2083"/>
        <w:gridCol w:w="2083"/>
        <w:gridCol w:w="2083"/>
        <w:gridCol w:w="2083"/>
      </w:tblGrid>
      <w:tr>
        <w:tblPrEx>
          <w:tblCellMar>
            <w:top w:w="0" w:type="dxa"/>
            <w:left w:w="108" w:type="dxa"/>
            <w:bottom w:w="0" w:type="dxa"/>
            <w:right w:w="108" w:type="dxa"/>
          </w:tblCellMar>
        </w:tblPrEx>
        <w:trPr>
          <w:trHeight w:val="381" w:hRule="atLeast"/>
        </w:trPr>
        <w:tc>
          <w:tcPr>
            <w:tcW w:w="208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比较实例</w:t>
            </w:r>
          </w:p>
        </w:tc>
        <w:tc>
          <w:tcPr>
            <w:tcW w:w="2083"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实例A</w:t>
            </w:r>
          </w:p>
        </w:tc>
        <w:tc>
          <w:tcPr>
            <w:tcW w:w="2083"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实例B</w:t>
            </w:r>
          </w:p>
        </w:tc>
        <w:tc>
          <w:tcPr>
            <w:tcW w:w="2083"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实例C</w:t>
            </w:r>
          </w:p>
        </w:tc>
      </w:tr>
      <w:tr>
        <w:tblPrEx>
          <w:tblCellMar>
            <w:top w:w="0" w:type="dxa"/>
            <w:left w:w="108" w:type="dxa"/>
            <w:bottom w:w="0" w:type="dxa"/>
            <w:right w:w="108" w:type="dxa"/>
          </w:tblCellMar>
        </w:tblPrEx>
        <w:trPr>
          <w:trHeight w:val="381" w:hRule="atLeast"/>
        </w:trPr>
        <w:tc>
          <w:tcPr>
            <w:tcW w:w="208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地理位置</w:t>
            </w:r>
          </w:p>
        </w:tc>
        <w:tc>
          <w:tcPr>
            <w:tcW w:w="208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逸泽园</w:t>
            </w:r>
          </w:p>
        </w:tc>
        <w:tc>
          <w:tcPr>
            <w:tcW w:w="208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Cs w:val="22"/>
                <w:lang w:eastAsia="zh-CN"/>
              </w:rPr>
            </w:pPr>
            <w:r>
              <w:rPr>
                <w:rFonts w:hint="eastAsia" w:ascii="仿宋_GB2312" w:hAnsi="仿宋_GB2312" w:eastAsia="仿宋_GB2312" w:cs="仿宋_GB2312"/>
                <w:sz w:val="32"/>
                <w:szCs w:val="32"/>
                <w:lang w:eastAsia="zh-CN"/>
              </w:rPr>
              <w:t>人保家属院</w:t>
            </w:r>
          </w:p>
        </w:tc>
        <w:tc>
          <w:tcPr>
            <w:tcW w:w="208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zCs w:val="22"/>
                <w:lang w:eastAsia="zh-CN"/>
              </w:rPr>
            </w:pPr>
            <w:r>
              <w:rPr>
                <w:rFonts w:hint="eastAsia" w:ascii="仿宋_GB2312" w:hAnsi="仿宋_GB2312" w:eastAsia="仿宋_GB2312" w:cs="仿宋_GB2312"/>
                <w:sz w:val="32"/>
                <w:szCs w:val="32"/>
                <w:lang w:eastAsia="zh-CN"/>
              </w:rPr>
              <w:t>惠园小区</w:t>
            </w:r>
          </w:p>
        </w:tc>
      </w:tr>
      <w:tr>
        <w:tblPrEx>
          <w:tblCellMar>
            <w:top w:w="0" w:type="dxa"/>
            <w:left w:w="108" w:type="dxa"/>
            <w:bottom w:w="0" w:type="dxa"/>
            <w:right w:w="108" w:type="dxa"/>
          </w:tblCellMar>
        </w:tblPrEx>
        <w:trPr>
          <w:trHeight w:val="381" w:hRule="atLeast"/>
        </w:trPr>
        <w:tc>
          <w:tcPr>
            <w:tcW w:w="208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物业用途</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住宅</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住宅</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住宅</w:t>
            </w:r>
          </w:p>
        </w:tc>
      </w:tr>
      <w:tr>
        <w:tblPrEx>
          <w:tblCellMar>
            <w:top w:w="0" w:type="dxa"/>
            <w:left w:w="108" w:type="dxa"/>
            <w:bottom w:w="0" w:type="dxa"/>
            <w:right w:w="108" w:type="dxa"/>
          </w:tblCellMar>
        </w:tblPrEx>
        <w:trPr>
          <w:trHeight w:val="381" w:hRule="atLeast"/>
        </w:trPr>
        <w:tc>
          <w:tcPr>
            <w:tcW w:w="208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房屋结构</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混合</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混合</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混合</w:t>
            </w:r>
          </w:p>
        </w:tc>
      </w:tr>
      <w:tr>
        <w:tblPrEx>
          <w:tblCellMar>
            <w:top w:w="0" w:type="dxa"/>
            <w:left w:w="108" w:type="dxa"/>
            <w:bottom w:w="0" w:type="dxa"/>
            <w:right w:w="108" w:type="dxa"/>
          </w:tblCellMar>
        </w:tblPrEx>
        <w:trPr>
          <w:trHeight w:val="381" w:hRule="atLeast"/>
        </w:trPr>
        <w:tc>
          <w:tcPr>
            <w:tcW w:w="2083" w:type="dxa"/>
            <w:tcBorders>
              <w:top w:val="nil"/>
              <w:left w:val="single" w:color="auto" w:sz="4" w:space="0"/>
              <w:bottom w:val="single" w:color="auto" w:sz="4" w:space="0"/>
              <w:right w:val="single" w:color="auto" w:sz="4" w:space="0"/>
            </w:tcBorders>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项目状况</w:t>
            </w:r>
          </w:p>
        </w:tc>
        <w:tc>
          <w:tcPr>
            <w:tcW w:w="2083" w:type="dxa"/>
            <w:tcBorders>
              <w:top w:val="nil"/>
              <w:left w:val="nil"/>
              <w:bottom w:val="single" w:color="auto" w:sz="4" w:space="0"/>
              <w:right w:val="single" w:color="auto" w:sz="4" w:space="0"/>
            </w:tcBorders>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现房</w:t>
            </w:r>
          </w:p>
        </w:tc>
        <w:tc>
          <w:tcPr>
            <w:tcW w:w="2083" w:type="dxa"/>
            <w:tcBorders>
              <w:top w:val="nil"/>
              <w:left w:val="nil"/>
              <w:bottom w:val="single" w:color="auto" w:sz="4" w:space="0"/>
              <w:right w:val="single" w:color="auto" w:sz="4" w:space="0"/>
            </w:tcBorders>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现房</w:t>
            </w:r>
          </w:p>
        </w:tc>
        <w:tc>
          <w:tcPr>
            <w:tcW w:w="2083" w:type="dxa"/>
            <w:tcBorders>
              <w:top w:val="nil"/>
              <w:left w:val="nil"/>
              <w:bottom w:val="single" w:color="auto" w:sz="4" w:space="0"/>
              <w:right w:val="single" w:color="auto" w:sz="4" w:space="0"/>
            </w:tcBorders>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现房</w:t>
            </w:r>
          </w:p>
        </w:tc>
      </w:tr>
      <w:tr>
        <w:tblPrEx>
          <w:tblCellMar>
            <w:top w:w="0" w:type="dxa"/>
            <w:left w:w="108" w:type="dxa"/>
            <w:bottom w:w="0" w:type="dxa"/>
            <w:right w:w="108" w:type="dxa"/>
          </w:tblCellMar>
        </w:tblPrEx>
        <w:trPr>
          <w:trHeight w:val="381" w:hRule="atLeast"/>
        </w:trPr>
        <w:tc>
          <w:tcPr>
            <w:tcW w:w="208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装修状况</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未</w:t>
            </w:r>
            <w:r>
              <w:rPr>
                <w:rFonts w:hint="eastAsia" w:ascii="仿宋_GB2312" w:hAnsi="仿宋_GB2312" w:eastAsia="仿宋_GB2312" w:cs="仿宋_GB2312"/>
                <w:kern w:val="0"/>
                <w:sz w:val="28"/>
                <w:szCs w:val="28"/>
              </w:rPr>
              <w:t>装修</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未</w:t>
            </w:r>
            <w:r>
              <w:rPr>
                <w:rFonts w:hint="eastAsia" w:ascii="仿宋_GB2312" w:hAnsi="仿宋_GB2312" w:eastAsia="仿宋_GB2312" w:cs="仿宋_GB2312"/>
                <w:kern w:val="0"/>
                <w:sz w:val="28"/>
                <w:szCs w:val="28"/>
              </w:rPr>
              <w:t>装修</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未</w:t>
            </w:r>
            <w:r>
              <w:rPr>
                <w:rFonts w:hint="eastAsia" w:ascii="仿宋_GB2312" w:hAnsi="仿宋_GB2312" w:eastAsia="仿宋_GB2312" w:cs="仿宋_GB2312"/>
                <w:kern w:val="0"/>
                <w:sz w:val="28"/>
                <w:szCs w:val="28"/>
              </w:rPr>
              <w:t>装修</w:t>
            </w:r>
          </w:p>
        </w:tc>
      </w:tr>
      <w:tr>
        <w:tblPrEx>
          <w:tblCellMar>
            <w:top w:w="0" w:type="dxa"/>
            <w:left w:w="108" w:type="dxa"/>
            <w:bottom w:w="0" w:type="dxa"/>
            <w:right w:w="108" w:type="dxa"/>
          </w:tblCellMar>
        </w:tblPrEx>
        <w:trPr>
          <w:trHeight w:val="381" w:hRule="atLeast"/>
        </w:trPr>
        <w:tc>
          <w:tcPr>
            <w:tcW w:w="208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交易日期</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20</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12</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21</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4</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21</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5</w:t>
            </w:r>
          </w:p>
        </w:tc>
      </w:tr>
      <w:tr>
        <w:tblPrEx>
          <w:tblCellMar>
            <w:top w:w="0" w:type="dxa"/>
            <w:left w:w="108" w:type="dxa"/>
            <w:bottom w:w="0" w:type="dxa"/>
            <w:right w:w="108" w:type="dxa"/>
          </w:tblCellMar>
        </w:tblPrEx>
        <w:trPr>
          <w:trHeight w:val="381" w:hRule="atLeast"/>
        </w:trPr>
        <w:tc>
          <w:tcPr>
            <w:tcW w:w="208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交易状况</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正常交易</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正常交易</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正常交易</w:t>
            </w:r>
          </w:p>
        </w:tc>
      </w:tr>
      <w:tr>
        <w:tblPrEx>
          <w:tblCellMar>
            <w:top w:w="0" w:type="dxa"/>
            <w:left w:w="108" w:type="dxa"/>
            <w:bottom w:w="0" w:type="dxa"/>
            <w:right w:w="108" w:type="dxa"/>
          </w:tblCellMar>
        </w:tblPrEx>
        <w:trPr>
          <w:trHeight w:val="1142" w:hRule="atLeast"/>
        </w:trPr>
        <w:tc>
          <w:tcPr>
            <w:tcW w:w="2083" w:type="dxa"/>
            <w:tcBorders>
              <w:top w:val="nil"/>
              <w:left w:val="single" w:color="auto" w:sz="4" w:space="0"/>
              <w:bottom w:val="single" w:color="auto" w:sz="4" w:space="0"/>
              <w:right w:val="single" w:color="auto" w:sz="4" w:space="0"/>
            </w:tcBorders>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交易单价（元/平方米）</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宋体" w:eastAsia="仿宋_GB2312" w:cs="宋体"/>
                <w:kern w:val="0"/>
                <w:sz w:val="28"/>
                <w:szCs w:val="28"/>
                <w:lang w:val="en-US" w:eastAsia="zh-CN"/>
              </w:rPr>
              <w:t>4150</w:t>
            </w:r>
            <w:r>
              <w:rPr>
                <w:rFonts w:hint="eastAsia" w:ascii="仿宋_GB2312" w:hAnsi="宋体" w:eastAsia="仿宋_GB2312" w:cs="宋体"/>
                <w:kern w:val="0"/>
                <w:sz w:val="28"/>
                <w:szCs w:val="28"/>
              </w:rPr>
              <w:t>元</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宋体" w:eastAsia="仿宋_GB2312" w:cs="宋体"/>
                <w:kern w:val="0"/>
                <w:sz w:val="28"/>
                <w:szCs w:val="28"/>
                <w:lang w:val="en-US" w:eastAsia="zh-CN"/>
              </w:rPr>
              <w:t>3980</w:t>
            </w:r>
            <w:r>
              <w:rPr>
                <w:rFonts w:hint="eastAsia" w:ascii="仿宋_GB2312" w:hAnsi="宋体" w:eastAsia="仿宋_GB2312" w:cs="宋体"/>
                <w:kern w:val="0"/>
                <w:sz w:val="28"/>
                <w:szCs w:val="28"/>
              </w:rPr>
              <w:t>元</w:t>
            </w:r>
          </w:p>
        </w:tc>
        <w:tc>
          <w:tcPr>
            <w:tcW w:w="2083"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宋体" w:eastAsia="仿宋_GB2312" w:cs="宋体"/>
                <w:kern w:val="0"/>
                <w:sz w:val="28"/>
                <w:szCs w:val="28"/>
                <w:lang w:val="en-US" w:eastAsia="zh-CN"/>
              </w:rPr>
              <w:t>4060</w:t>
            </w:r>
            <w:r>
              <w:rPr>
                <w:rFonts w:hint="eastAsia" w:ascii="仿宋_GB2312" w:hAnsi="宋体" w:eastAsia="仿宋_GB2312" w:cs="宋体"/>
                <w:kern w:val="0"/>
                <w:sz w:val="28"/>
                <w:szCs w:val="28"/>
              </w:rPr>
              <w:t>元</w:t>
            </w:r>
          </w:p>
        </w:tc>
      </w:tr>
    </w:tbl>
    <w:p>
      <w:pPr>
        <w:pStyle w:val="2"/>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2.2、交易</w:t>
      </w:r>
      <w:r>
        <w:rPr>
          <w:rFonts w:hint="eastAsia" w:ascii="仿宋_GB2312" w:hAnsi="仿宋_GB2312" w:eastAsia="仿宋_GB2312" w:cs="仿宋_GB2312"/>
          <w:kern w:val="0"/>
          <w:sz w:val="32"/>
          <w:szCs w:val="32"/>
        </w:rPr>
        <w:t>状况</w:t>
      </w:r>
      <w:r>
        <w:rPr>
          <w:rFonts w:hint="eastAsia" w:ascii="仿宋_GB2312" w:hAnsi="仿宋_GB2312" w:eastAsia="仿宋_GB2312" w:cs="仿宋_GB2312"/>
          <w:sz w:val="32"/>
          <w:szCs w:val="32"/>
        </w:rPr>
        <w:t>修正</w:t>
      </w:r>
    </w:p>
    <w:p>
      <w:pPr>
        <w:pStyle w:val="2"/>
        <w:autoSpaceDE w:val="0"/>
        <w:autoSpaceDN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3个比较实例没有非正常交易情况，故</w:t>
      </w:r>
      <w:r>
        <w:rPr>
          <w:rFonts w:hint="eastAsia" w:ascii="仿宋_GB2312" w:hAnsi="仿宋_GB2312" w:eastAsia="仿宋_GB2312" w:cs="仿宋_GB2312"/>
          <w:kern w:val="0"/>
          <w:sz w:val="32"/>
          <w:szCs w:val="32"/>
        </w:rPr>
        <w:t>修正</w:t>
      </w:r>
      <w:r>
        <w:rPr>
          <w:rFonts w:hint="eastAsia" w:ascii="仿宋_GB2312" w:hAnsi="仿宋_GB2312" w:eastAsia="仿宋_GB2312" w:cs="仿宋_GB2312"/>
          <w:sz w:val="32"/>
          <w:szCs w:val="32"/>
        </w:rPr>
        <w:t>系数均为100。</w:t>
      </w:r>
    </w:p>
    <w:p>
      <w:pPr>
        <w:pStyle w:val="2"/>
        <w:autoSpaceDE w:val="0"/>
        <w:autoSpaceDN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2.3、交易日期修正</w:t>
      </w:r>
    </w:p>
    <w:p>
      <w:pPr>
        <w:pStyle w:val="2"/>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委估房产与可比实例的交易日期有时间差异时，随着时间的推移，在房地产价格有较明显的变化趋势时，必须进行交易日期修正。本次评估中，由于选取的均为近期发生的交易案例，故不作修正。</w:t>
      </w:r>
    </w:p>
    <w:p>
      <w:pPr>
        <w:pStyle w:val="2"/>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2.4、区域因素修正</w:t>
      </w:r>
    </w:p>
    <w:p>
      <w:pPr>
        <w:pStyle w:val="2"/>
        <w:autoSpaceDE w:val="0"/>
        <w:autoSpaceDN w:val="0"/>
        <w:spacing w:line="56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前面所选取的三个比较实例中，</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属于同一地段，已排除由于外部环境差异所造成的价格差异，使修正后的可比实例价格能够与委估房产所处地段的实际情况相符。本评估报告拟采用直接比较法进行区域修正，即以委估房产的各项区域因素状况为基准，与可比实例相对应的区域因素逐项比较，然后确定修正系数。</w:t>
      </w:r>
    </w:p>
    <w:p>
      <w:pPr>
        <w:pStyle w:val="2"/>
        <w:autoSpaceDE w:val="0"/>
        <w:autoSpaceDN w:val="0"/>
        <w:spacing w:line="560" w:lineRule="exact"/>
        <w:ind w:firstLine="6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具体比较因素如下表：</w:t>
      </w:r>
    </w:p>
    <w:tbl>
      <w:tblPr>
        <w:tblStyle w:val="6"/>
        <w:tblW w:w="8315" w:type="dxa"/>
        <w:tblInd w:w="93" w:type="dxa"/>
        <w:tblLayout w:type="fixed"/>
        <w:tblCellMar>
          <w:top w:w="0" w:type="dxa"/>
          <w:left w:w="108" w:type="dxa"/>
          <w:bottom w:w="0" w:type="dxa"/>
          <w:right w:w="108" w:type="dxa"/>
        </w:tblCellMar>
      </w:tblPr>
      <w:tblGrid>
        <w:gridCol w:w="859"/>
        <w:gridCol w:w="859"/>
        <w:gridCol w:w="1005"/>
        <w:gridCol w:w="1005"/>
        <w:gridCol w:w="1005"/>
        <w:gridCol w:w="3582"/>
      </w:tblGrid>
      <w:tr>
        <w:tblPrEx>
          <w:tblCellMar>
            <w:top w:w="0" w:type="dxa"/>
            <w:left w:w="108" w:type="dxa"/>
            <w:bottom w:w="0" w:type="dxa"/>
            <w:right w:w="108" w:type="dxa"/>
          </w:tblCellMar>
        </w:tblPrEx>
        <w:trPr>
          <w:trHeight w:val="392" w:hRule="atLeast"/>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实例A</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实例B</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实例C</w:t>
            </w:r>
          </w:p>
        </w:tc>
        <w:tc>
          <w:tcPr>
            <w:tcW w:w="35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区域因素详细状况说明</w:t>
            </w:r>
          </w:p>
        </w:tc>
      </w:tr>
      <w:tr>
        <w:tblPrEx>
          <w:tblCellMar>
            <w:top w:w="0" w:type="dxa"/>
            <w:left w:w="108" w:type="dxa"/>
            <w:bottom w:w="0" w:type="dxa"/>
            <w:right w:w="108" w:type="dxa"/>
          </w:tblCellMar>
        </w:tblPrEx>
        <w:trPr>
          <w:trHeight w:val="392" w:hRule="atLeast"/>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3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784" w:hRule="atLeast"/>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区域</w:t>
            </w:r>
            <w:r>
              <w:rPr>
                <w:rFonts w:hint="eastAsia" w:ascii="仿宋_GB2312" w:hAnsi="仿宋_GB2312" w:eastAsia="仿宋_GB2312" w:cs="仿宋_GB2312"/>
                <w:kern w:val="0"/>
                <w:sz w:val="28"/>
                <w:szCs w:val="28"/>
              </w:rPr>
              <w:t>位置</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稍差</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稍差</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物业所处城市区段，距市中心的距离</w:t>
            </w:r>
          </w:p>
        </w:tc>
      </w:tr>
      <w:tr>
        <w:tblPrEx>
          <w:tblCellMar>
            <w:top w:w="0" w:type="dxa"/>
            <w:left w:w="108" w:type="dxa"/>
            <w:bottom w:w="0" w:type="dxa"/>
            <w:right w:w="108" w:type="dxa"/>
          </w:tblCellMar>
        </w:tblPrEx>
        <w:trPr>
          <w:trHeight w:val="784" w:hRule="atLeast"/>
        </w:trPr>
        <w:tc>
          <w:tcPr>
            <w:tcW w:w="859"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交通状况</w:t>
            </w: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道路条件</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周边道路通达能力、路况</w:t>
            </w:r>
          </w:p>
        </w:tc>
      </w:tr>
      <w:tr>
        <w:tblPrEx>
          <w:tblCellMar>
            <w:top w:w="0" w:type="dxa"/>
            <w:left w:w="108" w:type="dxa"/>
            <w:bottom w:w="0" w:type="dxa"/>
            <w:right w:w="108" w:type="dxa"/>
          </w:tblCellMar>
        </w:tblPrEx>
        <w:trPr>
          <w:trHeight w:val="784" w:hRule="atLeast"/>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公共交通</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城市公交线路、交通管制</w:t>
            </w:r>
          </w:p>
        </w:tc>
      </w:tr>
      <w:tr>
        <w:tblPrEx>
          <w:tblCellMar>
            <w:top w:w="0" w:type="dxa"/>
            <w:left w:w="108" w:type="dxa"/>
            <w:bottom w:w="0" w:type="dxa"/>
            <w:right w:w="108" w:type="dxa"/>
          </w:tblCellMar>
        </w:tblPrEx>
        <w:trPr>
          <w:trHeight w:val="784" w:hRule="atLeast"/>
        </w:trPr>
        <w:tc>
          <w:tcPr>
            <w:tcW w:w="859"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社区配套</w:t>
            </w: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配套范围</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基础配套设施范围</w:t>
            </w:r>
          </w:p>
        </w:tc>
      </w:tr>
      <w:tr>
        <w:tblPrEx>
          <w:tblCellMar>
            <w:top w:w="0" w:type="dxa"/>
            <w:left w:w="108" w:type="dxa"/>
            <w:bottom w:w="0" w:type="dxa"/>
            <w:right w:w="108" w:type="dxa"/>
          </w:tblCellMar>
        </w:tblPrEx>
        <w:trPr>
          <w:trHeight w:val="784" w:hRule="atLeast"/>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供应通力</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基础配套设施满足居民需求状况</w:t>
            </w:r>
          </w:p>
        </w:tc>
      </w:tr>
      <w:tr>
        <w:tblPrEx>
          <w:tblCellMar>
            <w:top w:w="0" w:type="dxa"/>
            <w:left w:w="108" w:type="dxa"/>
            <w:bottom w:w="0" w:type="dxa"/>
            <w:right w:w="108" w:type="dxa"/>
          </w:tblCellMar>
        </w:tblPrEx>
        <w:trPr>
          <w:trHeight w:val="784" w:hRule="atLeast"/>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服务设施</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商业网点、学校、医院、娱乐设施等</w:t>
            </w:r>
          </w:p>
        </w:tc>
      </w:tr>
      <w:tr>
        <w:tblPrEx>
          <w:tblCellMar>
            <w:top w:w="0" w:type="dxa"/>
            <w:left w:w="108" w:type="dxa"/>
            <w:bottom w:w="0" w:type="dxa"/>
            <w:right w:w="108" w:type="dxa"/>
          </w:tblCellMar>
        </w:tblPrEx>
        <w:trPr>
          <w:trHeight w:val="784" w:hRule="atLeast"/>
        </w:trPr>
        <w:tc>
          <w:tcPr>
            <w:tcW w:w="859"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社区环境</w:t>
            </w: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室外场所</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稍差</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居民散步和健身需求的活动场所</w:t>
            </w:r>
          </w:p>
        </w:tc>
      </w:tr>
      <w:tr>
        <w:tblPrEx>
          <w:tblCellMar>
            <w:top w:w="0" w:type="dxa"/>
            <w:left w:w="108" w:type="dxa"/>
            <w:bottom w:w="0" w:type="dxa"/>
            <w:right w:w="108" w:type="dxa"/>
          </w:tblCellMar>
        </w:tblPrEx>
        <w:trPr>
          <w:trHeight w:val="784" w:hRule="atLeast"/>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环境污染</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含声、光、气、水的污染状况</w:t>
            </w:r>
          </w:p>
        </w:tc>
      </w:tr>
      <w:tr>
        <w:tblPrEx>
          <w:tblCellMar>
            <w:top w:w="0" w:type="dxa"/>
            <w:left w:w="108" w:type="dxa"/>
            <w:bottom w:w="0" w:type="dxa"/>
            <w:right w:w="108" w:type="dxa"/>
          </w:tblCellMar>
        </w:tblPrEx>
        <w:trPr>
          <w:trHeight w:val="784" w:hRule="atLeast"/>
        </w:trPr>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859"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社会环境</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相同</w:t>
            </w:r>
          </w:p>
        </w:tc>
        <w:tc>
          <w:tcPr>
            <w:tcW w:w="3582"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城市治安和居住区安全保障状况</w:t>
            </w:r>
          </w:p>
        </w:tc>
      </w:tr>
      <w:tr>
        <w:tblPrEx>
          <w:tblCellMar>
            <w:top w:w="0" w:type="dxa"/>
            <w:left w:w="108" w:type="dxa"/>
            <w:bottom w:w="0" w:type="dxa"/>
            <w:right w:w="108" w:type="dxa"/>
          </w:tblCellMar>
        </w:tblPrEx>
        <w:trPr>
          <w:trHeight w:val="564" w:hRule="atLeast"/>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修正系数</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100</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96</w:t>
            </w:r>
          </w:p>
        </w:tc>
        <w:tc>
          <w:tcPr>
            <w:tcW w:w="1005"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98</w:t>
            </w:r>
          </w:p>
        </w:tc>
        <w:tc>
          <w:tcPr>
            <w:tcW w:w="3582" w:type="dxa"/>
            <w:tcBorders>
              <w:top w:val="nil"/>
              <w:left w:val="nil"/>
              <w:bottom w:val="single" w:color="auto" w:sz="4" w:space="0"/>
              <w:right w:val="single" w:color="auto" w:sz="4" w:space="0"/>
            </w:tcBorders>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bl>
    <w:p>
      <w:pPr>
        <w:pStyle w:val="2"/>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2.5、个别因素修正</w:t>
      </w:r>
    </w:p>
    <w:p>
      <w:pPr>
        <w:pStyle w:val="2"/>
        <w:autoSpaceDE w:val="0"/>
        <w:autoSpaceDN w:val="0"/>
        <w:spacing w:line="560" w:lineRule="exact"/>
        <w:ind w:firstLine="56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主要考虑新旧程度、装修情况、平面布局、房屋维护水平、附属配套服务设施及物业管理等影响房产价格的因素。故综合进行个别因素修正，确定个别因素修正系数如下表：</w:t>
      </w:r>
    </w:p>
    <w:tbl>
      <w:tblPr>
        <w:tblStyle w:val="6"/>
        <w:tblW w:w="92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3"/>
        <w:gridCol w:w="2356"/>
        <w:gridCol w:w="2405"/>
        <w:gridCol w:w="2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1953" w:type="dxa"/>
            <w:tcBorders>
              <w:top w:val="single" w:color="000000" w:sz="6" w:space="0"/>
              <w:left w:val="single" w:color="000000" w:sz="6" w:space="0"/>
              <w:bottom w:val="single" w:color="000000" w:sz="6" w:space="0"/>
              <w:right w:val="single" w:color="000000" w:sz="6" w:space="0"/>
            </w:tcBorders>
          </w:tcPr>
          <w:p>
            <w:pPr>
              <w:autoSpaceDE w:val="0"/>
              <w:autoSpaceDN w:val="0"/>
              <w:spacing w:line="560" w:lineRule="exact"/>
              <w:outlineLvl w:val="0"/>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7620</wp:posOffset>
                      </wp:positionV>
                      <wp:extent cx="1247775" cy="695325"/>
                      <wp:effectExtent l="2540" t="4445" r="6985" b="5080"/>
                      <wp:wrapNone/>
                      <wp:docPr id="5" name="直接连接符 5"/>
                      <wp:cNvGraphicFramePr/>
                      <a:graphic xmlns:a="http://schemas.openxmlformats.org/drawingml/2006/main">
                        <a:graphicData uri="http://schemas.microsoft.com/office/word/2010/wordprocessingShape">
                          <wps:wsp>
                            <wps:cNvCnPr/>
                            <wps:spPr>
                              <a:xfrm>
                                <a:off x="851535" y="7747635"/>
                                <a:ext cx="124777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65pt;margin-top:0.6pt;height:54.75pt;width:98.25pt;z-index:251661312;mso-width-relative:page;mso-height-relative:page;" filled="f" stroked="t" coordsize="21600,21600" o:gfxdata="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n3rLWAAAACQEAAA8AAAAAAAAAAQAgAAAAIgAAAGRycy9kb3ducmV2LnhtbFBLAQIUABQA&#10;AAAIAIdO4kDqw2Ed8gEAAMEDAAAOAAAAAAAAAAEAIAAAACUBAABkcnMvZTJvRG9jLnhtbFBLBQYA&#10;AAAABgAGAFkBAACJ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rPr>
              <w:t xml:space="preserve">       实 例</w:t>
            </w:r>
          </w:p>
          <w:p>
            <w:pPr>
              <w:autoSpaceDE w:val="0"/>
              <w:autoSpaceDN w:val="0"/>
              <w:spacing w:line="560" w:lineRule="exact"/>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 目</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实例A</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实例B</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实例C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 筑 结 构</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装 修 情 况</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房 屋 方 位</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稍差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 型 结 构</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稍差</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楼       层</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稍好</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泊车便利程度</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 光 通 风</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绿 化 环 境</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稍好</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附属配套设施</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 业 管 理</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19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修正系数</w:t>
            </w:r>
          </w:p>
        </w:tc>
        <w:tc>
          <w:tcPr>
            <w:tcW w:w="235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104</w:t>
            </w:r>
          </w:p>
        </w:tc>
        <w:tc>
          <w:tcPr>
            <w:tcW w:w="24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98</w:t>
            </w:r>
          </w:p>
        </w:tc>
        <w:tc>
          <w:tcPr>
            <w:tcW w:w="25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jc w:val="center"/>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98</w:t>
            </w:r>
          </w:p>
        </w:tc>
      </w:tr>
    </w:tbl>
    <w:p>
      <w:pPr>
        <w:pStyle w:val="2"/>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2.6、房产现值价格评估结论数据如下：</w:t>
      </w:r>
    </w:p>
    <w:p>
      <w:pPr>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市场法估算公式为：委估房产评估价格=可比实例价格×交易情况修正系数×交易日期修正系数×区域因素修正系数×个别因素修正系数</w:t>
      </w:r>
    </w:p>
    <w:p>
      <w:pPr>
        <w:pStyle w:val="2"/>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房产现值价格结论数据测算如下表：</w:t>
      </w:r>
    </w:p>
    <w:tbl>
      <w:tblPr>
        <w:tblStyle w:val="6"/>
        <w:tblW w:w="8320" w:type="dxa"/>
        <w:tblInd w:w="91" w:type="dxa"/>
        <w:tblLayout w:type="fixed"/>
        <w:tblCellMar>
          <w:top w:w="0" w:type="dxa"/>
          <w:left w:w="108" w:type="dxa"/>
          <w:bottom w:w="0" w:type="dxa"/>
          <w:right w:w="108" w:type="dxa"/>
        </w:tblCellMar>
      </w:tblPr>
      <w:tblGrid>
        <w:gridCol w:w="2987"/>
        <w:gridCol w:w="1731"/>
        <w:gridCol w:w="1731"/>
        <w:gridCol w:w="1871"/>
      </w:tblGrid>
      <w:tr>
        <w:tblPrEx>
          <w:tblCellMar>
            <w:top w:w="0" w:type="dxa"/>
            <w:left w:w="108" w:type="dxa"/>
            <w:bottom w:w="0" w:type="dxa"/>
            <w:right w:w="108" w:type="dxa"/>
          </w:tblCellMar>
        </w:tblPrEx>
        <w:trPr>
          <w:trHeight w:val="567" w:hRule="exact"/>
        </w:trPr>
        <w:tc>
          <w:tcPr>
            <w:tcW w:w="298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 例</w:t>
            </w:r>
          </w:p>
        </w:tc>
        <w:tc>
          <w:tcPr>
            <w:tcW w:w="173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实例A</w:t>
            </w:r>
          </w:p>
        </w:tc>
        <w:tc>
          <w:tcPr>
            <w:tcW w:w="173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实例B</w:t>
            </w:r>
          </w:p>
        </w:tc>
        <w:tc>
          <w:tcPr>
            <w:tcW w:w="18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实例C</w:t>
            </w:r>
          </w:p>
        </w:tc>
      </w:tr>
      <w:tr>
        <w:tblPrEx>
          <w:tblCellMar>
            <w:top w:w="0" w:type="dxa"/>
            <w:left w:w="108" w:type="dxa"/>
            <w:bottom w:w="0" w:type="dxa"/>
            <w:right w:w="108" w:type="dxa"/>
          </w:tblCellMar>
        </w:tblPrEx>
        <w:trPr>
          <w:trHeight w:val="567" w:hRule="exact"/>
        </w:trPr>
        <w:tc>
          <w:tcPr>
            <w:tcW w:w="298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交易单价（元/㎡）</w:t>
            </w:r>
          </w:p>
        </w:tc>
        <w:tc>
          <w:tcPr>
            <w:tcW w:w="173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宋体" w:eastAsia="仿宋_GB2312" w:cs="宋体"/>
                <w:kern w:val="0"/>
                <w:sz w:val="28"/>
                <w:szCs w:val="28"/>
                <w:lang w:val="en-US" w:eastAsia="zh-CN"/>
              </w:rPr>
              <w:t>4150</w:t>
            </w:r>
            <w:r>
              <w:rPr>
                <w:rFonts w:hint="eastAsia" w:ascii="仿宋_GB2312" w:hAnsi="宋体" w:eastAsia="仿宋_GB2312" w:cs="宋体"/>
                <w:kern w:val="0"/>
                <w:sz w:val="28"/>
                <w:szCs w:val="28"/>
              </w:rPr>
              <w:t>元</w:t>
            </w:r>
          </w:p>
        </w:tc>
        <w:tc>
          <w:tcPr>
            <w:tcW w:w="173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宋体" w:eastAsia="仿宋_GB2312" w:cs="宋体"/>
                <w:kern w:val="0"/>
                <w:sz w:val="28"/>
                <w:szCs w:val="28"/>
                <w:lang w:val="en-US" w:eastAsia="zh-CN"/>
              </w:rPr>
              <w:t>3980</w:t>
            </w:r>
            <w:r>
              <w:rPr>
                <w:rFonts w:hint="eastAsia" w:ascii="仿宋_GB2312" w:hAnsi="宋体" w:eastAsia="仿宋_GB2312" w:cs="宋体"/>
                <w:kern w:val="0"/>
                <w:sz w:val="28"/>
                <w:szCs w:val="28"/>
              </w:rPr>
              <w:t>元</w:t>
            </w:r>
          </w:p>
        </w:tc>
        <w:tc>
          <w:tcPr>
            <w:tcW w:w="18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宋体" w:eastAsia="仿宋_GB2312" w:cs="宋体"/>
                <w:kern w:val="0"/>
                <w:sz w:val="28"/>
                <w:szCs w:val="28"/>
                <w:lang w:val="en-US" w:eastAsia="zh-CN"/>
              </w:rPr>
              <w:t>4060</w:t>
            </w:r>
            <w:r>
              <w:rPr>
                <w:rFonts w:hint="eastAsia" w:ascii="仿宋_GB2312" w:hAnsi="宋体" w:eastAsia="仿宋_GB2312" w:cs="宋体"/>
                <w:kern w:val="0"/>
                <w:sz w:val="28"/>
                <w:szCs w:val="28"/>
              </w:rPr>
              <w:t>元</w:t>
            </w:r>
          </w:p>
        </w:tc>
      </w:tr>
      <w:tr>
        <w:tblPrEx>
          <w:tblCellMar>
            <w:top w:w="0" w:type="dxa"/>
            <w:left w:w="108" w:type="dxa"/>
            <w:bottom w:w="0" w:type="dxa"/>
            <w:right w:w="108" w:type="dxa"/>
          </w:tblCellMar>
        </w:tblPrEx>
        <w:trPr>
          <w:trHeight w:val="567" w:hRule="atLeast"/>
        </w:trPr>
        <w:tc>
          <w:tcPr>
            <w:tcW w:w="298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 易 情 况 修 正</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100/10</w:t>
            </w:r>
            <w:r>
              <w:rPr>
                <w:rFonts w:hint="eastAsia" w:ascii="仿宋_GB2312" w:hAnsi="仿宋_GB2312" w:eastAsia="仿宋_GB2312" w:cs="仿宋_GB2312"/>
                <w:kern w:val="0"/>
                <w:sz w:val="28"/>
                <w:szCs w:val="28"/>
                <w:lang w:val="en-US" w:eastAsia="zh-CN"/>
              </w:rPr>
              <w:t>0</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100/100</w:t>
            </w:r>
          </w:p>
        </w:tc>
        <w:tc>
          <w:tcPr>
            <w:tcW w:w="187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100/100</w:t>
            </w:r>
          </w:p>
        </w:tc>
      </w:tr>
      <w:tr>
        <w:tblPrEx>
          <w:tblCellMar>
            <w:top w:w="0" w:type="dxa"/>
            <w:left w:w="108" w:type="dxa"/>
            <w:bottom w:w="0" w:type="dxa"/>
            <w:right w:w="108" w:type="dxa"/>
          </w:tblCellMar>
        </w:tblPrEx>
        <w:trPr>
          <w:trHeight w:val="567" w:hRule="atLeast"/>
        </w:trPr>
        <w:tc>
          <w:tcPr>
            <w:tcW w:w="298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 易 日 期 修 正</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100/100</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100/100</w:t>
            </w:r>
          </w:p>
        </w:tc>
        <w:tc>
          <w:tcPr>
            <w:tcW w:w="187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100/100</w:t>
            </w:r>
          </w:p>
        </w:tc>
      </w:tr>
      <w:tr>
        <w:tblPrEx>
          <w:tblCellMar>
            <w:top w:w="0" w:type="dxa"/>
            <w:left w:w="108" w:type="dxa"/>
            <w:bottom w:w="0" w:type="dxa"/>
            <w:right w:w="108" w:type="dxa"/>
          </w:tblCellMar>
        </w:tblPrEx>
        <w:trPr>
          <w:trHeight w:val="567" w:hRule="atLeast"/>
        </w:trPr>
        <w:tc>
          <w:tcPr>
            <w:tcW w:w="298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 域 因 素 修 正</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rPr>
              <w:t>100/</w:t>
            </w:r>
            <w:r>
              <w:rPr>
                <w:rFonts w:hint="eastAsia" w:ascii="仿宋_GB2312" w:hAnsi="仿宋_GB2312" w:eastAsia="仿宋_GB2312" w:cs="仿宋_GB2312"/>
                <w:kern w:val="0"/>
                <w:sz w:val="28"/>
                <w:szCs w:val="28"/>
                <w:lang w:val="en-US" w:eastAsia="zh-CN"/>
              </w:rPr>
              <w:t>100</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100/</w:t>
            </w:r>
            <w:r>
              <w:rPr>
                <w:rFonts w:hint="eastAsia" w:ascii="仿宋_GB2312" w:hAnsi="仿宋_GB2312" w:eastAsia="仿宋_GB2312" w:cs="仿宋_GB2312"/>
                <w:kern w:val="0"/>
                <w:sz w:val="28"/>
                <w:szCs w:val="28"/>
                <w:lang w:val="en-US" w:eastAsia="zh-CN"/>
              </w:rPr>
              <w:t>96</w:t>
            </w:r>
          </w:p>
        </w:tc>
        <w:tc>
          <w:tcPr>
            <w:tcW w:w="1871"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100/</w:t>
            </w:r>
            <w:r>
              <w:rPr>
                <w:rFonts w:hint="eastAsia" w:ascii="仿宋_GB2312" w:hAnsi="仿宋_GB2312" w:eastAsia="仿宋_GB2312" w:cs="仿宋_GB2312"/>
                <w:kern w:val="0"/>
                <w:sz w:val="28"/>
                <w:szCs w:val="28"/>
                <w:lang w:val="en-US" w:eastAsia="zh-CN"/>
              </w:rPr>
              <w:t>98</w:t>
            </w:r>
          </w:p>
        </w:tc>
      </w:tr>
      <w:tr>
        <w:tblPrEx>
          <w:tblCellMar>
            <w:top w:w="0" w:type="dxa"/>
            <w:left w:w="108" w:type="dxa"/>
            <w:bottom w:w="0" w:type="dxa"/>
            <w:right w:w="108" w:type="dxa"/>
          </w:tblCellMar>
        </w:tblPrEx>
        <w:trPr>
          <w:trHeight w:val="567" w:hRule="exact"/>
        </w:trPr>
        <w:tc>
          <w:tcPr>
            <w:tcW w:w="298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个 别 因 素 修 正</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r>
              <w:rPr>
                <w:rFonts w:hint="eastAsia" w:ascii="仿宋_GB2312" w:hAnsi="仿宋_GB2312" w:eastAsia="仿宋_GB2312" w:cs="仿宋_GB2312"/>
                <w:kern w:val="0"/>
                <w:sz w:val="28"/>
                <w:szCs w:val="28"/>
                <w:lang w:val="en-US" w:eastAsia="zh-CN"/>
              </w:rPr>
              <w:t>104</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100/</w:t>
            </w:r>
            <w:r>
              <w:rPr>
                <w:rFonts w:hint="eastAsia" w:ascii="仿宋_GB2312" w:hAnsi="仿宋_GB2312" w:eastAsia="仿宋_GB2312" w:cs="仿宋_GB2312"/>
                <w:kern w:val="0"/>
                <w:sz w:val="28"/>
                <w:szCs w:val="28"/>
                <w:lang w:val="en-US" w:eastAsia="zh-CN"/>
              </w:rPr>
              <w:t>98</w:t>
            </w:r>
          </w:p>
        </w:tc>
        <w:tc>
          <w:tcPr>
            <w:tcW w:w="1871" w:type="dxa"/>
            <w:tcBorders>
              <w:top w:val="nil"/>
              <w:left w:val="nil"/>
              <w:bottom w:val="single" w:color="auto" w:sz="4" w:space="0"/>
              <w:right w:val="single" w:color="auto" w:sz="4" w:space="0"/>
            </w:tcBorders>
            <w:vAlign w:val="center"/>
          </w:tcPr>
          <w:p>
            <w:pPr>
              <w:widowControl/>
              <w:spacing w:line="560" w:lineRule="exact"/>
              <w:jc w:val="center"/>
              <w:rPr>
                <w:rFonts w:hint="default"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rPr>
              <w:t>100/</w:t>
            </w:r>
            <w:r>
              <w:rPr>
                <w:rFonts w:hint="eastAsia" w:ascii="仿宋_GB2312" w:hAnsi="仿宋_GB2312" w:eastAsia="仿宋_GB2312" w:cs="仿宋_GB2312"/>
                <w:kern w:val="0"/>
                <w:sz w:val="28"/>
                <w:szCs w:val="28"/>
                <w:lang w:val="en-US" w:eastAsia="zh-CN"/>
              </w:rPr>
              <w:t>98</w:t>
            </w:r>
          </w:p>
        </w:tc>
      </w:tr>
      <w:tr>
        <w:tblPrEx>
          <w:tblCellMar>
            <w:top w:w="0" w:type="dxa"/>
            <w:left w:w="108" w:type="dxa"/>
            <w:bottom w:w="0" w:type="dxa"/>
            <w:right w:w="108" w:type="dxa"/>
          </w:tblCellMar>
        </w:tblPrEx>
        <w:trPr>
          <w:trHeight w:val="567" w:hRule="exact"/>
        </w:trPr>
        <w:tc>
          <w:tcPr>
            <w:tcW w:w="2987" w:type="dxa"/>
            <w:tcBorders>
              <w:top w:val="nil"/>
              <w:left w:val="single" w:color="auto" w:sz="4" w:space="0"/>
              <w:bottom w:val="single" w:color="auto" w:sz="4" w:space="0"/>
              <w:right w:val="single" w:color="auto" w:sz="4" w:space="0"/>
            </w:tcBorders>
            <w:vAlign w:val="center"/>
          </w:tcPr>
          <w:p>
            <w:pPr>
              <w:widowControl/>
              <w:spacing w:line="5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修正后单价（元/㎡）</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3990.38元</w:t>
            </w:r>
          </w:p>
        </w:tc>
        <w:tc>
          <w:tcPr>
            <w:tcW w:w="173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4230.44元</w:t>
            </w:r>
          </w:p>
        </w:tc>
        <w:tc>
          <w:tcPr>
            <w:tcW w:w="1871" w:type="dxa"/>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4227.74元</w:t>
            </w:r>
          </w:p>
        </w:tc>
      </w:tr>
      <w:tr>
        <w:tblPrEx>
          <w:tblCellMar>
            <w:top w:w="0" w:type="dxa"/>
            <w:left w:w="108" w:type="dxa"/>
            <w:bottom w:w="0" w:type="dxa"/>
            <w:right w:w="108" w:type="dxa"/>
          </w:tblCellMar>
        </w:tblPrEx>
        <w:trPr>
          <w:trHeight w:val="567" w:hRule="exact"/>
        </w:trPr>
        <w:tc>
          <w:tcPr>
            <w:tcW w:w="2987"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评估单价（元/㎡）</w:t>
            </w:r>
          </w:p>
          <w:p>
            <w:pPr>
              <w:widowControl/>
              <w:spacing w:line="560" w:lineRule="exact"/>
              <w:jc w:val="center"/>
              <w:rPr>
                <w:rFonts w:hint="eastAsia" w:ascii="仿宋_GB2312" w:hAnsi="仿宋_GB2312" w:eastAsia="仿宋_GB2312" w:cs="仿宋_GB2312"/>
                <w:kern w:val="0"/>
                <w:sz w:val="28"/>
                <w:szCs w:val="28"/>
              </w:rPr>
            </w:pPr>
          </w:p>
        </w:tc>
        <w:tc>
          <w:tcPr>
            <w:tcW w:w="533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评估单价按上述修正单价的算术平均值确定</w:t>
            </w:r>
          </w:p>
        </w:tc>
      </w:tr>
      <w:tr>
        <w:tblPrEx>
          <w:tblCellMar>
            <w:top w:w="0" w:type="dxa"/>
            <w:left w:w="108" w:type="dxa"/>
            <w:bottom w:w="0" w:type="dxa"/>
            <w:right w:w="108" w:type="dxa"/>
          </w:tblCellMar>
        </w:tblPrEx>
        <w:trPr>
          <w:trHeight w:val="567" w:hRule="exact"/>
        </w:trPr>
        <w:tc>
          <w:tcPr>
            <w:tcW w:w="2987" w:type="dxa"/>
            <w:vMerge w:val="continue"/>
            <w:tcBorders>
              <w:top w:val="nil"/>
              <w:left w:val="single" w:color="auto" w:sz="4" w:space="0"/>
              <w:bottom w:val="nil"/>
              <w:right w:val="single" w:color="auto" w:sz="4" w:space="0"/>
            </w:tcBorders>
            <w:vAlign w:val="center"/>
          </w:tcPr>
          <w:p>
            <w:pPr>
              <w:widowControl/>
              <w:jc w:val="left"/>
              <w:rPr>
                <w:rFonts w:hint="eastAsia" w:ascii="仿宋_GB2312" w:hAnsi="仿宋_GB2312" w:eastAsia="仿宋_GB2312" w:cs="仿宋_GB2312"/>
                <w:kern w:val="0"/>
                <w:sz w:val="28"/>
                <w:szCs w:val="28"/>
              </w:rPr>
            </w:pPr>
          </w:p>
        </w:tc>
        <w:tc>
          <w:tcPr>
            <w:tcW w:w="5333" w:type="dxa"/>
            <w:gridSpan w:val="3"/>
            <w:tcBorders>
              <w:top w:val="single" w:color="auto" w:sz="4" w:space="0"/>
              <w:left w:val="nil"/>
              <w:bottom w:val="single" w:color="auto" w:sz="4" w:space="0"/>
              <w:right w:val="single" w:color="000000" w:sz="4" w:space="0"/>
            </w:tcBorders>
            <w:vAlign w:val="center"/>
          </w:tcPr>
          <w:p>
            <w:pPr>
              <w:widowControl/>
              <w:spacing w:line="560" w:lineRule="exact"/>
              <w:ind w:firstLine="1405" w:firstLineChars="500"/>
              <w:jc w:val="both"/>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val="en-US" w:eastAsia="zh-CN"/>
              </w:rPr>
              <w:t>4149.52元</w:t>
            </w:r>
            <w:r>
              <w:rPr>
                <w:rFonts w:hint="eastAsia" w:ascii="仿宋_GB2312" w:hAnsi="仿宋_GB2312" w:eastAsia="仿宋_GB2312" w:cs="仿宋_GB2312"/>
                <w:b/>
                <w:bCs/>
                <w:kern w:val="0"/>
                <w:sz w:val="28"/>
                <w:szCs w:val="28"/>
              </w:rPr>
              <w:t>/㎡</w:t>
            </w:r>
          </w:p>
        </w:tc>
      </w:tr>
      <w:tr>
        <w:tblPrEx>
          <w:tblCellMar>
            <w:top w:w="0" w:type="dxa"/>
            <w:left w:w="108" w:type="dxa"/>
            <w:bottom w:w="0" w:type="dxa"/>
            <w:right w:w="108" w:type="dxa"/>
          </w:tblCellMar>
        </w:tblPrEx>
        <w:trPr>
          <w:trHeight w:val="567" w:hRule="exact"/>
        </w:trPr>
        <w:tc>
          <w:tcPr>
            <w:tcW w:w="2987" w:type="dxa"/>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评估值</w:t>
            </w:r>
          </w:p>
        </w:tc>
        <w:tc>
          <w:tcPr>
            <w:tcW w:w="5333" w:type="dxa"/>
            <w:gridSpan w:val="3"/>
            <w:tcBorders>
              <w:top w:val="single" w:color="auto" w:sz="4" w:space="0"/>
              <w:left w:val="nil"/>
              <w:bottom w:val="single" w:color="auto" w:sz="4" w:space="0"/>
              <w:right w:val="single" w:color="000000" w:sz="4" w:space="0"/>
            </w:tcBorders>
            <w:vAlign w:val="center"/>
          </w:tcPr>
          <w:p>
            <w:pPr>
              <w:widowControl/>
              <w:spacing w:line="560" w:lineRule="exact"/>
              <w:ind w:firstLine="1405" w:firstLineChars="500"/>
              <w:jc w:val="both"/>
              <w:rPr>
                <w:rFonts w:hint="default"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519022元</w:t>
            </w:r>
          </w:p>
        </w:tc>
      </w:tr>
    </w:tbl>
    <w:p>
      <w:pPr>
        <w:autoSpaceDE w:val="0"/>
        <w:autoSpaceDN w:val="0"/>
        <w:spacing w:line="560" w:lineRule="exact"/>
        <w:ind w:firstLine="56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注：上述因素修正中，好+6%    较好+4%   稍好+2%   相同0%   稍差-2%  较差-4%  差-6% </w:t>
      </w:r>
      <w:r>
        <w:rPr>
          <w:rFonts w:hint="eastAsia" w:ascii="仿宋_GB2312" w:hAnsi="仿宋_GB2312" w:eastAsia="仿宋_GB2312" w:cs="仿宋_GB2312"/>
          <w:sz w:val="32"/>
          <w:szCs w:val="32"/>
        </w:rPr>
        <w:t xml:space="preserve"> </w:t>
      </w:r>
    </w:p>
    <w:p>
      <w:pPr>
        <w:numPr>
          <w:ilvl w:val="0"/>
          <w:numId w:val="0"/>
        </w:numPr>
        <w:autoSpaceDE w:val="0"/>
        <w:autoSpaceDN w:val="0"/>
        <w:spacing w:line="560" w:lineRule="exact"/>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价格评估结论</w:t>
      </w:r>
    </w:p>
    <w:p>
      <w:pPr>
        <w:numPr>
          <w:ilvl w:val="0"/>
          <w:numId w:val="0"/>
        </w:numPr>
        <w:autoSpaceDE w:val="0"/>
        <w:autoSpaceDN w:val="0"/>
        <w:spacing w:line="560" w:lineRule="exact"/>
        <w:ind w:firstLine="640" w:firstLineChars="200"/>
        <w:outlineLvl w:val="0"/>
        <w:rPr>
          <w:rFonts w:hint="eastAsia" w:ascii="黑体" w:hAnsi="黑体" w:eastAsia="黑体" w:cs="黑体"/>
          <w:b/>
          <w:bCs w:val="0"/>
          <w:sz w:val="32"/>
          <w:szCs w:val="32"/>
        </w:rPr>
      </w:pPr>
      <w:r>
        <w:rPr>
          <w:rFonts w:hint="eastAsia" w:ascii="仿宋_GB2312" w:hAnsi="仿宋_GB2312" w:eastAsia="仿宋_GB2312" w:cs="仿宋_GB2312"/>
          <w:bCs/>
          <w:sz w:val="32"/>
          <w:szCs w:val="32"/>
        </w:rPr>
        <w:t>该房产评估价格四舍五入取值为</w:t>
      </w:r>
      <w:r>
        <w:rPr>
          <w:rFonts w:hint="eastAsia" w:ascii="仿宋_GB2312" w:hAnsi="仿宋_GB2312" w:eastAsia="仿宋_GB2312" w:cs="仿宋_GB2312"/>
          <w:bCs/>
          <w:sz w:val="32"/>
          <w:szCs w:val="32"/>
          <w:lang w:eastAsia="zh-CN"/>
        </w:rPr>
        <w:t>人民币大写</w:t>
      </w:r>
      <w:r>
        <w:rPr>
          <w:rFonts w:hint="eastAsia" w:ascii="仿宋_GB2312" w:hAnsi="仿宋_GB2312" w:eastAsia="仿宋_GB2312" w:cs="仿宋_GB2312"/>
          <w:bCs/>
          <w:sz w:val="32"/>
          <w:szCs w:val="32"/>
        </w:rPr>
        <w:t>：</w:t>
      </w:r>
      <w:r>
        <w:rPr>
          <w:rFonts w:hint="eastAsia" w:ascii="黑体" w:hAnsi="黑体" w:eastAsia="黑体" w:cs="黑体"/>
          <w:b/>
          <w:bCs w:val="0"/>
          <w:sz w:val="32"/>
          <w:szCs w:val="32"/>
          <w:lang w:eastAsia="zh-CN"/>
        </w:rPr>
        <w:t>伍拾壹万玖仟元整</w:t>
      </w:r>
      <w:r>
        <w:rPr>
          <w:rFonts w:hint="eastAsia" w:ascii="黑体" w:hAnsi="黑体" w:eastAsia="黑体" w:cs="黑体"/>
          <w:b/>
          <w:bCs w:val="0"/>
          <w:sz w:val="32"/>
          <w:szCs w:val="32"/>
        </w:rPr>
        <w:t>（¥</w:t>
      </w:r>
      <w:r>
        <w:rPr>
          <w:rFonts w:hint="eastAsia" w:ascii="黑体" w:hAnsi="黑体" w:eastAsia="黑体" w:cs="黑体"/>
          <w:b/>
          <w:bCs w:val="0"/>
          <w:sz w:val="32"/>
          <w:szCs w:val="32"/>
          <w:lang w:val="en-US" w:eastAsia="zh-CN"/>
        </w:rPr>
        <w:t>：519000.00</w:t>
      </w:r>
      <w:r>
        <w:rPr>
          <w:rFonts w:hint="eastAsia" w:ascii="黑体" w:hAnsi="黑体" w:eastAsia="黑体" w:cs="黑体"/>
          <w:b/>
          <w:bCs w:val="0"/>
          <w:sz w:val="32"/>
          <w:szCs w:val="32"/>
        </w:rPr>
        <w:t>元）。</w:t>
      </w:r>
    </w:p>
    <w:p>
      <w:p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九、价格评估限定条件</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1、提供</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rPr>
        <w:t>资料客观真实。</w:t>
      </w:r>
    </w:p>
    <w:p>
      <w:pPr>
        <w:autoSpaceDE w:val="0"/>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2、上述评估结论是反映委估房产在本次评估目的下，根据评估原则确定的现值价格，未考虑遇自然力或其他不可抗力以及房产市场未来发生重大变化对现时评估价的影响。</w:t>
      </w:r>
    </w:p>
    <w:p>
      <w:p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十、 声明</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 xml:space="preserve">    1、价格评估结论受报告书中已说明的限定条件限制。</w:t>
      </w:r>
    </w:p>
    <w:p>
      <w:pPr>
        <w:spacing w:line="560" w:lineRule="exact"/>
        <w:ind w:firstLine="645"/>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eastAsia="zh-CN"/>
        </w:rPr>
        <w:t>提供方</w:t>
      </w:r>
      <w:r>
        <w:rPr>
          <w:rFonts w:hint="eastAsia" w:ascii="仿宋_GB2312" w:hAnsi="仿宋_GB2312" w:eastAsia="仿宋_GB2312" w:cs="仿宋_GB2312"/>
          <w:sz w:val="32"/>
        </w:rPr>
        <w:t>其提供资料的真实性负责。</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 xml:space="preserve">    3、价格评估标的仅对本次委托有效，未经我公司书面同意，报告书的全部或部分内容，不得发表于任何公开媒体上。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4、评估机构和评估人员与价格评估标的没有利害关系,也与有关当事人没有利害关系。</w:t>
      </w:r>
    </w:p>
    <w:p>
      <w:pPr>
        <w:pStyle w:val="3"/>
        <w:autoSpaceDE w:val="0"/>
        <w:autoSpaceDN w:val="0"/>
        <w:spacing w:line="560" w:lineRule="exact"/>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cs="仿宋_GB2312"/>
          <w:sz w:val="32"/>
          <w:szCs w:val="32"/>
          <w:lang w:eastAsia="zh-CN"/>
        </w:rPr>
        <w:t>委托单位或相关当事人在收到评估报告书后，如对</w:t>
      </w:r>
    </w:p>
    <w:p>
      <w:pPr>
        <w:pStyle w:val="3"/>
        <w:autoSpaceDE w:val="0"/>
        <w:autoSpaceDN w:val="0"/>
        <w:spacing w:line="560" w:lineRule="exact"/>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评估报告书有异议，可在</w:t>
      </w:r>
      <w:r>
        <w:rPr>
          <w:rFonts w:hint="eastAsia" w:ascii="仿宋_GB2312" w:hAnsi="仿宋_GB2312" w:cs="仿宋_GB2312"/>
          <w:sz w:val="32"/>
          <w:szCs w:val="32"/>
          <w:lang w:val="en-US" w:eastAsia="zh-CN"/>
        </w:rPr>
        <w:t>10日内提出书面异议书，进行补充鉴定或重新鉴定。</w:t>
      </w:r>
    </w:p>
    <w:p>
      <w:pPr>
        <w:pStyle w:val="3"/>
        <w:autoSpaceDE w:val="0"/>
        <w:autoSpaceDN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估价报告有效期：自20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16</w:t>
      </w:r>
      <w:r>
        <w:rPr>
          <w:rFonts w:hint="eastAsia" w:ascii="仿宋_GB2312" w:hAnsi="仿宋_GB2312" w:eastAsia="仿宋_GB2312" w:cs="仿宋_GB2312"/>
          <w:sz w:val="32"/>
          <w:szCs w:val="32"/>
        </w:rPr>
        <w:t>日至20</w:t>
      </w:r>
      <w:r>
        <w:rPr>
          <w:rFonts w:hint="eastAsia" w:ascii="仿宋_GB2312" w:hAnsi="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rPr>
        <w:t>日。</w:t>
      </w:r>
    </w:p>
    <w:p>
      <w:p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十一、价格评估作业日期</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rPr>
        <w:t>日至20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16</w:t>
      </w:r>
      <w:r>
        <w:rPr>
          <w:rFonts w:hint="eastAsia" w:ascii="仿宋_GB2312" w:hAnsi="仿宋_GB2312" w:eastAsia="仿宋_GB2312" w:cs="仿宋_GB2312"/>
          <w:sz w:val="32"/>
        </w:rPr>
        <w:t>日。</w:t>
      </w:r>
    </w:p>
    <w:p>
      <w:pPr>
        <w:spacing w:line="56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rPr>
        <w:t xml:space="preserve">十二、价格评估机构            </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机构名称：渭南市昌鹏价格评估有限责任公司</w:t>
      </w:r>
    </w:p>
    <w:p>
      <w:pPr>
        <w:spacing w:line="560" w:lineRule="exact"/>
        <w:ind w:firstLine="640" w:firstLineChars="200"/>
        <w:rPr>
          <w:rFonts w:hint="default" w:ascii="仿宋_GB2312" w:hAnsi="宋体" w:eastAsia="仿宋_GB2312"/>
          <w:sz w:val="32"/>
          <w:lang w:val="en-US" w:eastAsia="zh-CN"/>
        </w:rPr>
      </w:pPr>
      <w:r>
        <w:rPr>
          <w:rFonts w:hint="eastAsia" w:ascii="仿宋_GB2312" w:hAnsi="宋体" w:eastAsia="仿宋_GB2312"/>
          <w:sz w:val="32"/>
        </w:rPr>
        <w:t>机构资质证书证号</w:t>
      </w:r>
      <w:r>
        <w:rPr>
          <w:rFonts w:hint="eastAsia" w:ascii="仿宋_GB2312" w:hAnsi="宋体" w:eastAsia="仿宋_GB2312"/>
          <w:sz w:val="32"/>
          <w:lang w:eastAsia="zh-CN"/>
        </w:rPr>
        <w:t>：</w:t>
      </w:r>
      <w:r>
        <w:rPr>
          <w:rFonts w:hint="eastAsia" w:ascii="仿宋_GB2312" w:hAnsi="宋体" w:eastAsia="仿宋_GB2312"/>
          <w:sz w:val="32"/>
          <w:lang w:val="en-US" w:eastAsia="zh-CN"/>
        </w:rPr>
        <w:t xml:space="preserve">     中J270005</w:t>
      </w:r>
    </w:p>
    <w:p>
      <w:pPr>
        <w:ind w:firstLine="640" w:firstLineChars="200"/>
        <w:rPr>
          <w:rFonts w:hint="eastAsia" w:ascii="仿宋_GB2312" w:hAnsi="宋体" w:eastAsia="仿宋_GB2312"/>
          <w:sz w:val="32"/>
        </w:rPr>
      </w:pPr>
      <w:r>
        <w:rPr>
          <w:rFonts w:hint="eastAsia" w:ascii="仿宋_GB2312" w:hAnsi="宋体" w:eastAsia="仿宋_GB2312"/>
          <w:sz w:val="32"/>
        </w:rPr>
        <w:t xml:space="preserve">法定代表人（盖章）： </w:t>
      </w:r>
    </w:p>
    <w:p>
      <w:pPr>
        <w:ind w:firstLine="643" w:firstLineChars="200"/>
        <w:rPr>
          <w:rFonts w:hint="eastAsia" w:ascii="仿宋_GB2312" w:hAnsi="宋体" w:eastAsia="仿宋_GB2312"/>
          <w:b/>
          <w:bCs/>
          <w:sz w:val="32"/>
        </w:rPr>
      </w:pPr>
      <w:r>
        <w:rPr>
          <w:rFonts w:hint="eastAsia" w:ascii="仿宋_GB2312" w:hAnsi="宋体" w:eastAsia="仿宋_GB2312"/>
          <w:b/>
          <w:bCs/>
          <w:sz w:val="32"/>
        </w:rPr>
        <w:t>十三、价格评估人员</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执业资格名称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资格证号        </w:t>
      </w:r>
      <w:r>
        <w:rPr>
          <w:rFonts w:hint="eastAsia" w:ascii="仿宋_GB2312" w:hAnsi="宋体" w:eastAsia="仿宋_GB2312"/>
          <w:sz w:val="32"/>
          <w:szCs w:val="32"/>
          <w:lang w:eastAsia="zh-CN"/>
        </w:rPr>
        <w:t>签</w:t>
      </w:r>
      <w:r>
        <w:rPr>
          <w:rFonts w:hint="eastAsia" w:ascii="仿宋_GB2312" w:hAnsi="宋体" w:eastAsia="仿宋_GB2312"/>
          <w:sz w:val="32"/>
          <w:szCs w:val="32"/>
        </w:rPr>
        <w:t>章</w:t>
      </w:r>
    </w:p>
    <w:p>
      <w:pPr>
        <w:ind w:firstLine="640" w:firstLineChars="200"/>
        <w:rPr>
          <w:rFonts w:hint="eastAsia" w:ascii="仿宋_GB2312" w:hAnsi="宋体" w:eastAsia="仿宋_GB2312"/>
          <w:sz w:val="32"/>
          <w:szCs w:val="32"/>
        </w:rPr>
      </w:pP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专业人员资格证</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61010078</w:t>
      </w:r>
    </w:p>
    <w:p>
      <w:pPr>
        <w:rPr>
          <w:rFonts w:hint="eastAsia" w:ascii="仿宋_GB2312" w:hAnsi="宋体" w:eastAsia="仿宋_GB2312"/>
          <w:sz w:val="32"/>
          <w:szCs w:val="32"/>
        </w:rPr>
      </w:pPr>
      <w:r>
        <w:rPr>
          <w:rFonts w:hint="eastAsia" w:ascii="仿宋_GB2312" w:hAnsi="宋体" w:eastAsia="仿宋_GB2312"/>
          <w:sz w:val="32"/>
          <w:szCs w:val="32"/>
        </w:rPr>
        <w:t xml:space="preserve">    </w:t>
      </w:r>
    </w:p>
    <w:p>
      <w:pPr>
        <w:ind w:firstLine="480" w:firstLineChars="150"/>
        <w:rPr>
          <w:rFonts w:hint="default" w:ascii="仿宋_GB2312" w:hAnsi="宋体" w:eastAsia="仿宋_GB2312"/>
          <w:sz w:val="32"/>
          <w:szCs w:val="32"/>
          <w:lang w:val="en-US" w:eastAsia="zh-CN"/>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专业人员资格证</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61010080</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专业人员资格证</w:t>
      </w:r>
      <w:r>
        <w:rPr>
          <w:rFonts w:hint="eastAsia" w:ascii="仿宋_GB2312" w:hAnsi="宋体" w:eastAsia="仿宋_GB2312"/>
          <w:sz w:val="32"/>
          <w:szCs w:val="32"/>
          <w:lang w:val="en-US" w:eastAsia="zh-CN"/>
        </w:rPr>
        <w:t xml:space="preserve">        0002815</w:t>
      </w:r>
    </w:p>
    <w:p>
      <w:pPr>
        <w:ind w:firstLine="643" w:firstLineChars="200"/>
        <w:rPr>
          <w:rFonts w:hint="eastAsia" w:ascii="仿宋_GB2312" w:hAnsi="宋体" w:eastAsia="仿宋_GB2312"/>
          <w:sz w:val="32"/>
          <w:szCs w:val="32"/>
        </w:rPr>
      </w:pPr>
      <w:r>
        <w:rPr>
          <w:rFonts w:hint="eastAsia" w:ascii="仿宋_GB2312" w:hAnsi="宋体" w:eastAsia="仿宋_GB2312"/>
          <w:b/>
          <w:sz w:val="32"/>
          <w:szCs w:val="32"/>
        </w:rPr>
        <w:t>十四、附件</w:t>
      </w:r>
    </w:p>
    <w:p>
      <w:pPr>
        <w:ind w:left="-178" w:leftChars="-85"/>
        <w:rPr>
          <w:rFonts w:hint="eastAsia" w:ascii="仿宋_GB2312" w:hAnsi="宋体" w:eastAsia="仿宋_GB2312"/>
          <w:bCs/>
          <w:sz w:val="32"/>
          <w:szCs w:val="32"/>
        </w:rPr>
      </w:pPr>
      <w:r>
        <w:rPr>
          <w:rFonts w:hint="eastAsia" w:ascii="仿宋_GB2312" w:hAnsi="宋体" w:eastAsia="仿宋_GB2312"/>
          <w:b/>
          <w:sz w:val="32"/>
          <w:szCs w:val="32"/>
        </w:rPr>
        <w:t xml:space="preserve">    </w:t>
      </w:r>
      <w:r>
        <w:rPr>
          <w:rFonts w:hint="eastAsia" w:ascii="仿宋_GB2312" w:hAnsi="宋体" w:eastAsia="仿宋_GB2312"/>
          <w:bCs/>
          <w:sz w:val="32"/>
          <w:szCs w:val="32"/>
        </w:rPr>
        <w:t xml:space="preserve"> 1、</w:t>
      </w:r>
      <w:r>
        <w:rPr>
          <w:rFonts w:hint="eastAsia" w:ascii="仿宋_GB2312" w:hAnsi="宋体" w:eastAsia="仿宋_GB2312"/>
          <w:bCs/>
          <w:sz w:val="32"/>
          <w:szCs w:val="32"/>
          <w:lang w:eastAsia="zh-CN"/>
        </w:rPr>
        <w:t>房产现状</w:t>
      </w:r>
      <w:r>
        <w:rPr>
          <w:rFonts w:hint="eastAsia" w:ascii="仿宋_GB2312" w:hAnsi="宋体" w:eastAsia="仿宋_GB2312"/>
          <w:bCs/>
          <w:sz w:val="32"/>
          <w:szCs w:val="32"/>
        </w:rPr>
        <w:t>照片</w:t>
      </w:r>
    </w:p>
    <w:p>
      <w:pPr>
        <w:ind w:left="-178" w:leftChars="-85"/>
        <w:rPr>
          <w:rFonts w:hint="default" w:ascii="仿宋_GB2312" w:hAnsi="宋体" w:eastAsia="仿宋_GB2312"/>
          <w:bCs/>
          <w:sz w:val="32"/>
          <w:szCs w:val="32"/>
          <w:lang w:val="en-US" w:eastAsia="zh-CN"/>
        </w:rPr>
      </w:pPr>
      <w:r>
        <w:rPr>
          <w:rFonts w:hint="eastAsia" w:ascii="仿宋_GB2312" w:hAnsi="宋体" w:eastAsia="仿宋_GB2312"/>
          <w:bCs/>
          <w:sz w:val="32"/>
          <w:szCs w:val="32"/>
          <w:lang w:val="en-US" w:eastAsia="zh-CN"/>
        </w:rPr>
        <w:t xml:space="preserve">     2、房产平面示意图</w:t>
      </w:r>
    </w:p>
    <w:p>
      <w:pPr>
        <w:ind w:left="64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、价格评估机构与人员资质证复印件</w:t>
      </w:r>
      <w:bookmarkStart w:id="0" w:name="_GoBack"/>
      <w:bookmarkEnd w:id="0"/>
    </w:p>
    <w:p>
      <w:pPr>
        <w:ind w:firstLine="4160" w:firstLineChars="1300"/>
        <w:rPr>
          <w:rFonts w:hint="eastAsia" w:ascii="仿宋_GB2312" w:hAnsi="宋体" w:eastAsia="仿宋_GB2312"/>
          <w:kern w:val="0"/>
          <w:sz w:val="32"/>
        </w:rPr>
      </w:pPr>
    </w:p>
    <w:p>
      <w:pPr>
        <w:ind w:firstLine="4160" w:firstLineChars="1300"/>
        <w:rPr>
          <w:rFonts w:hint="eastAsia" w:ascii="仿宋_GB2312" w:hAnsi="宋体" w:eastAsia="仿宋_GB2312"/>
          <w:kern w:val="0"/>
          <w:sz w:val="32"/>
        </w:rPr>
      </w:pPr>
    </w:p>
    <w:p>
      <w:pPr>
        <w:ind w:firstLine="4160" w:firstLineChars="1300"/>
        <w:rPr>
          <w:rFonts w:hint="eastAsia" w:ascii="仿宋_GB2312" w:hAnsi="宋体" w:eastAsia="仿宋_GB2312"/>
          <w:kern w:val="0"/>
          <w:sz w:val="32"/>
        </w:rPr>
      </w:pPr>
    </w:p>
    <w:p>
      <w:pPr>
        <w:ind w:firstLine="4160" w:firstLineChars="1300"/>
        <w:rPr>
          <w:rFonts w:hint="eastAsia" w:ascii="仿宋_GB2312" w:hAnsi="宋体" w:eastAsia="仿宋_GB2312"/>
          <w:kern w:val="0"/>
          <w:sz w:val="32"/>
        </w:rPr>
      </w:pPr>
    </w:p>
    <w:p>
      <w:pPr>
        <w:ind w:firstLine="4160" w:firstLineChars="1300"/>
        <w:jc w:val="right"/>
      </w:pPr>
      <w:r>
        <w:rPr>
          <w:rFonts w:hint="eastAsia" w:ascii="仿宋_GB2312" w:hAnsi="宋体" w:eastAsia="仿宋_GB2312"/>
          <w:kern w:val="0"/>
          <w:sz w:val="32"/>
        </w:rPr>
        <w:t>二0</w:t>
      </w:r>
      <w:r>
        <w:rPr>
          <w:rFonts w:hint="eastAsia" w:ascii="仿宋_GB2312" w:hAnsi="宋体" w:eastAsia="仿宋_GB2312"/>
          <w:kern w:val="0"/>
          <w:sz w:val="32"/>
          <w:lang w:eastAsia="zh-CN"/>
        </w:rPr>
        <w:t>二</w:t>
      </w:r>
      <w:r>
        <w:rPr>
          <w:rFonts w:hint="eastAsia" w:ascii="仿宋_GB2312" w:hAnsi="仿宋_GB2312" w:eastAsia="仿宋_GB2312" w:cs="仿宋_GB2312"/>
          <w:kern w:val="0"/>
          <w:sz w:val="32"/>
        </w:rPr>
        <w:t>一年</w:t>
      </w:r>
      <w:r>
        <w:rPr>
          <w:rFonts w:hint="eastAsia" w:ascii="仿宋_GB2312" w:hAnsi="仿宋_GB2312" w:eastAsia="仿宋_GB2312" w:cs="仿宋_GB2312"/>
          <w:kern w:val="0"/>
          <w:sz w:val="32"/>
          <w:lang w:eastAsia="zh-CN"/>
        </w:rPr>
        <w:t>八月十六</w:t>
      </w:r>
      <w:r>
        <w:rPr>
          <w:rFonts w:hint="eastAsia" w:ascii="仿宋_GB2312" w:eastAsia="仿宋_GB2312"/>
          <w:kern w:val="0"/>
          <w:sz w:val="32"/>
          <w:szCs w:val="32"/>
        </w:rPr>
        <w:t xml:space="preserve">日      </w:t>
      </w:r>
    </w:p>
    <w:sectPr>
      <w:footerReference r:id="rId3" w:type="default"/>
      <w:pgSz w:w="11906" w:h="16838"/>
      <w:pgMar w:top="1440" w:right="1800" w:bottom="1440" w:left="1800" w:header="851" w:footer="992" w:gutter="0"/>
      <w:pgNumType w:fmt="decimal"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96C46D"/>
    <w:multiLevelType w:val="singleLevel"/>
    <w:tmpl w:val="E196C46D"/>
    <w:lvl w:ilvl="0" w:tentative="0">
      <w:start w:val="4"/>
      <w:numFmt w:val="chineseCounting"/>
      <w:suff w:val="nothing"/>
      <w:lvlText w:val="%1、"/>
      <w:lvlJc w:val="left"/>
      <w:pPr>
        <w:ind w:left="640" w:leftChars="0" w:firstLine="0" w:firstLineChars="0"/>
      </w:pPr>
      <w:rPr>
        <w:rFonts w:hint="eastAsia"/>
      </w:rPr>
    </w:lvl>
  </w:abstractNum>
  <w:abstractNum w:abstractNumId="1">
    <w:nsid w:val="59783E09"/>
    <w:multiLevelType w:val="singleLevel"/>
    <w:tmpl w:val="59783E0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A3D02"/>
    <w:rsid w:val="09F4600B"/>
    <w:rsid w:val="2A284B3E"/>
    <w:rsid w:val="5BA93F5D"/>
    <w:rsid w:val="6A7D15E8"/>
    <w:rsid w:val="7D6A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Indent 2"/>
    <w:basedOn w:val="1"/>
    <w:qFormat/>
    <w:uiPriority w:val="0"/>
    <w:pPr>
      <w:ind w:left="150"/>
    </w:pPr>
    <w:rPr>
      <w:rFonts w:eastAsia="仿宋_GB2312"/>
      <w:sz w:val="2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pic.5tu.cn/uploads/allimg/201102/010P000024054943B62-1.jpg" TargetMode="External"/><Relationship Id="rId7" Type="http://schemas.openxmlformats.org/officeDocument/2006/relationships/image" Target="media/image2.jpeg"/><Relationship Id="rId6" Type="http://schemas.openxmlformats.org/officeDocument/2006/relationships/hyperlink" Target="http://pic.5tu.cn/psd/201102/geren-35768.html"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2021-08-11T08:35:00Z</dcterms:created>
  <dc:creator>Administrator</dc:creator>
  <cp:lastModifiedBy>Administrator</cp:lastModifiedBy>
  <cp:lastPrinted>2021-08-16T03:33:02Z</cp:lastPrinted>
  <dcterms:modified xsi:type="dcterms:W3CDTF">2021-08-16T03:44:57Z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060F80D83A404A2A8D040623F4F755CD</vt:lpwstr>
  </property>
</Properties>
</file>