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......................................5</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..........................6-8</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...........................9-14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.........................15-22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（四）估价方法的选用................................16</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（六）估价结果确定..................................22</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rPr>
          <w:rFonts w:hint="eastAsia" w:ascii="仿宋" w:hAnsi="仿宋" w:eastAsia="仿宋"/>
          <w:sz w:val="30"/>
          <w:szCs w:val="30"/>
        </w:rPr>
      </w:pPr>
    </w:p>
    <w:p>
      <w:pPr>
        <w:rPr>
          <w:rFonts w:ascii="仿宋" w:hAnsi="仿宋" w:eastAsia="仿宋"/>
          <w:sz w:val="28"/>
          <w:szCs w:val="28"/>
        </w:rPr>
      </w:pPr>
      <w:r>
        <w:rPr>
          <w:rFonts w:hint="eastAsia" w:ascii="仿宋" w:hAnsi="仿宋" w:eastAsia="仿宋"/>
          <w:sz w:val="28"/>
          <w:szCs w:val="28"/>
          <w:lang w:val="en-US" w:eastAsia="zh-CN"/>
        </w:rPr>
        <w:t>孝感市孝南区</w:t>
      </w:r>
      <w:r>
        <w:rPr>
          <w:rFonts w:hint="eastAsia" w:ascii="仿宋" w:hAnsi="仿宋" w:eastAsia="仿宋"/>
          <w:sz w:val="28"/>
          <w:szCs w:val="28"/>
        </w:rPr>
        <w:t>人民法院：</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受贵方（以下简称委托方）的委托，本公司</w:t>
      </w:r>
      <w:r>
        <w:rPr>
          <w:rFonts w:hint="eastAsia" w:ascii="仿宋" w:hAnsi="仿宋" w:eastAsia="仿宋"/>
          <w:sz w:val="28"/>
          <w:szCs w:val="28"/>
          <w:highlight w:val="none"/>
        </w:rPr>
        <w:t>于20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09</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18</w:t>
      </w:r>
      <w:r>
        <w:rPr>
          <w:rFonts w:hint="eastAsia" w:ascii="仿宋" w:hAnsi="仿宋" w:eastAsia="仿宋"/>
          <w:sz w:val="28"/>
          <w:szCs w:val="28"/>
        </w:rPr>
        <w:t>日派员对委托方列明的</w:t>
      </w:r>
      <w:r>
        <w:rPr>
          <w:rFonts w:hint="eastAsia" w:ascii="仿宋" w:hAnsi="仿宋" w:eastAsia="仿宋"/>
          <w:sz w:val="28"/>
          <w:szCs w:val="28"/>
          <w:lang w:val="en-US" w:eastAsia="zh-CN"/>
        </w:rPr>
        <w:t>孝感市宇飞房地产开发有限公司云梦分公司所有的、</w:t>
      </w:r>
      <w:r>
        <w:rPr>
          <w:rFonts w:hint="eastAsia" w:ascii="仿宋" w:hAnsi="仿宋" w:eastAsia="仿宋"/>
          <w:sz w:val="28"/>
          <w:szCs w:val="28"/>
        </w:rPr>
        <w:t>位于</w:t>
      </w:r>
      <w:r>
        <w:rPr>
          <w:rFonts w:hint="eastAsia" w:ascii="仿宋" w:hAnsi="仿宋" w:eastAsia="仿宋"/>
          <w:sz w:val="28"/>
          <w:szCs w:val="28"/>
          <w:lang w:eastAsia="zh-CN"/>
        </w:rPr>
        <w:t>云梦县城关建设西路</w:t>
      </w:r>
      <w:r>
        <w:rPr>
          <w:rFonts w:hint="eastAsia" w:ascii="仿宋" w:hAnsi="仿宋" w:eastAsia="仿宋"/>
          <w:sz w:val="28"/>
          <w:szCs w:val="28"/>
          <w:lang w:val="en-US" w:eastAsia="zh-CN"/>
        </w:rPr>
        <w:t>9号正业名居小区6号楼11套住宅房屋、</w:t>
      </w:r>
      <w:r>
        <w:rPr>
          <w:rFonts w:hint="eastAsia" w:ascii="仿宋" w:hAnsi="仿宋" w:eastAsia="仿宋"/>
          <w:sz w:val="28"/>
          <w:szCs w:val="28"/>
        </w:rPr>
        <w:t>建筑面积</w:t>
      </w:r>
      <w:r>
        <w:rPr>
          <w:rFonts w:hint="eastAsia" w:ascii="仿宋" w:hAnsi="仿宋" w:eastAsia="仿宋"/>
          <w:sz w:val="28"/>
          <w:szCs w:val="28"/>
          <w:lang w:eastAsia="zh-CN"/>
        </w:rPr>
        <w:t>共计</w:t>
      </w:r>
      <w:r>
        <w:rPr>
          <w:rFonts w:hint="eastAsia" w:ascii="仿宋" w:hAnsi="仿宋" w:eastAsia="仿宋"/>
          <w:b w:val="0"/>
          <w:bCs w:val="0"/>
          <w:sz w:val="28"/>
          <w:szCs w:val="28"/>
          <w:highlight w:val="none"/>
          <w:vertAlign w:val="baseline"/>
          <w:lang w:val="en-US" w:eastAsia="zh-CN"/>
        </w:rPr>
        <w:t>1341.28</w:t>
      </w:r>
      <w:r>
        <w:rPr>
          <w:rFonts w:hint="eastAsia" w:ascii="仿宋" w:hAnsi="仿宋" w:eastAsia="仿宋"/>
          <w:sz w:val="28"/>
          <w:szCs w:val="28"/>
          <w:highlight w:val="none"/>
        </w:rPr>
        <w:t>平</w:t>
      </w:r>
      <w:r>
        <w:rPr>
          <w:rFonts w:hint="eastAsia" w:ascii="仿宋" w:hAnsi="仿宋" w:eastAsia="仿宋"/>
          <w:sz w:val="28"/>
          <w:szCs w:val="28"/>
        </w:rPr>
        <w:t>方米的房地产（含相关权益）进行了现场实地查勘，并对估价对象房地</w:t>
      </w:r>
      <w:r>
        <w:rPr>
          <w:rFonts w:hint="eastAsia" w:ascii="仿宋" w:hAnsi="仿宋" w:eastAsia="仿宋"/>
          <w:sz w:val="28"/>
          <w:szCs w:val="28"/>
          <w:highlight w:val="none"/>
        </w:rPr>
        <w:t>产于估价时点20</w:t>
      </w:r>
      <w:r>
        <w:rPr>
          <w:rFonts w:hint="eastAsia" w:ascii="仿宋" w:hAnsi="仿宋" w:eastAsia="仿宋"/>
          <w:sz w:val="28"/>
          <w:szCs w:val="28"/>
          <w:highlight w:val="none"/>
          <w:lang w:val="en-US" w:eastAsia="zh-CN"/>
        </w:rPr>
        <w:t>21</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09</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18</w:t>
      </w:r>
      <w:r>
        <w:rPr>
          <w:rFonts w:hint="eastAsia" w:ascii="仿宋" w:hAnsi="仿宋" w:eastAsia="仿宋"/>
          <w:sz w:val="28"/>
          <w:szCs w:val="28"/>
          <w:highlight w:val="none"/>
        </w:rPr>
        <w:t>日的市场价值进行了估价，</w:t>
      </w:r>
      <w:r>
        <w:rPr>
          <w:rFonts w:hint="eastAsia" w:ascii="仿宋_GB2312" w:hAnsi="宋体" w:eastAsia="仿宋_GB2312" w:cs="Times New Roman"/>
          <w:kern w:val="2"/>
          <w:sz w:val="28"/>
          <w:szCs w:val="28"/>
          <w:lang w:val="en-US" w:eastAsia="zh-CN" w:bidi="ar-SA"/>
        </w:rPr>
        <w:t>为委托方处理案件确定房地产处置参考价提供价格咨询参考依据。</w:t>
      </w:r>
    </w:p>
    <w:p>
      <w:pPr>
        <w:ind w:firstLine="560" w:firstLineChars="200"/>
        <w:rPr>
          <w:rFonts w:hint="eastAsia" w:ascii="仿宋" w:hAnsi="仿宋" w:eastAsia="仿宋_GB2312"/>
          <w:sz w:val="28"/>
          <w:szCs w:val="28"/>
          <w:highlight w:val="yellow"/>
          <w:lang w:val="en-US" w:eastAsia="zh-CN"/>
        </w:rPr>
      </w:pPr>
      <w:r>
        <w:rPr>
          <w:rFonts w:hint="eastAsia" w:ascii="仿宋" w:hAnsi="仿宋" w:eastAsia="仿宋"/>
          <w:sz w:val="28"/>
          <w:szCs w:val="28"/>
        </w:rPr>
        <w:t>在整个估价过程中，估价人员本着独立、客观、公正的原则，根据估价目的，收集有关资料，按照估价程序，选择</w:t>
      </w:r>
      <w:r>
        <w:rPr>
          <w:rFonts w:hint="eastAsia" w:ascii="仿宋" w:hAnsi="仿宋" w:eastAsia="仿宋"/>
          <w:sz w:val="28"/>
          <w:szCs w:val="28"/>
          <w:lang w:val="en-US" w:eastAsia="zh-CN"/>
        </w:rPr>
        <w:t>市场</w:t>
      </w:r>
      <w:r>
        <w:rPr>
          <w:rFonts w:hint="eastAsia" w:ascii="仿宋" w:hAnsi="仿宋" w:eastAsia="仿宋"/>
          <w:sz w:val="28"/>
          <w:szCs w:val="28"/>
        </w:rPr>
        <w:t>法对估价对象进行了评估。估价人员经过实地勘察和测算，</w:t>
      </w:r>
      <w:r>
        <w:rPr>
          <w:rFonts w:hint="eastAsia" w:ascii="仿宋_GB2312" w:hAnsi="宋体" w:eastAsia="仿宋_GB2312" w:cs="Times New Roman"/>
          <w:kern w:val="2"/>
          <w:sz w:val="28"/>
          <w:szCs w:val="28"/>
          <w:lang w:val="en-US" w:eastAsia="zh-CN" w:bidi="ar-SA"/>
        </w:rPr>
        <w:t>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b w:val="0"/>
          <w:bCs w:val="0"/>
          <w:sz w:val="28"/>
          <w:szCs w:val="28"/>
          <w:highlight w:val="none"/>
          <w:vertAlign w:val="baseline"/>
          <w:lang w:val="en-US" w:eastAsia="zh-CN"/>
        </w:rPr>
        <w:t>37</w:t>
      </w:r>
      <w:r>
        <w:rPr>
          <w:rFonts w:hint="eastAsia" w:ascii="仿宋" w:hAnsi="仿宋" w:eastAsia="仿宋"/>
          <w:b w:val="0"/>
          <w:bCs w:val="0"/>
          <w:sz w:val="28"/>
          <w:szCs w:val="28"/>
          <w:vertAlign w:val="baseline"/>
          <w:lang w:val="en-US" w:eastAsia="zh-CN"/>
        </w:rPr>
        <w:t>50125</w:t>
      </w:r>
      <w:r>
        <w:rPr>
          <w:rFonts w:hint="eastAsia" w:ascii="仿宋_GB2312" w:hAnsi="宋体" w:eastAsia="仿宋_GB2312" w:cs="Times New Roman"/>
          <w:kern w:val="2"/>
          <w:sz w:val="28"/>
          <w:szCs w:val="28"/>
          <w:lang w:val="en-US" w:eastAsia="zh-CN" w:bidi="ar-SA"/>
        </w:rPr>
        <w:t>元(大写人民币叁佰柒拾伍万零壹佰贰拾伍元整)</w:t>
      </w:r>
      <w:r>
        <w:rPr>
          <w:rFonts w:hint="eastAsia" w:ascii="仿宋_GB2312" w:hAnsi="宋体" w:eastAsia="仿宋_GB2312" w:cs="Times New Roman"/>
          <w:kern w:val="2"/>
          <w:sz w:val="28"/>
          <w:szCs w:val="28"/>
          <w:highlight w:val="none"/>
          <w:lang w:val="en-US" w:eastAsia="zh-CN" w:bidi="ar-SA"/>
        </w:rPr>
        <w:t>。详见房地产估价结果明细表。</w:t>
      </w:r>
    </w:p>
    <w:p>
      <w:pPr>
        <w:rPr>
          <w:rFonts w:ascii="仿宋" w:hAnsi="仿宋" w:eastAsia="仿宋"/>
          <w:sz w:val="28"/>
          <w:szCs w:val="28"/>
        </w:rPr>
      </w:pPr>
    </w:p>
    <w:p>
      <w:pPr>
        <w:ind w:firstLine="3360" w:firstLineChars="1200"/>
        <w:rPr>
          <w:rFonts w:hint="eastAsia" w:ascii="仿宋" w:hAnsi="仿宋" w:eastAsia="仿宋"/>
          <w:sz w:val="28"/>
          <w:szCs w:val="28"/>
        </w:rPr>
      </w:pPr>
    </w:p>
    <w:p>
      <w:pPr>
        <w:ind w:firstLine="3360" w:firstLineChars="1200"/>
        <w:rPr>
          <w:rFonts w:hint="eastAsia" w:ascii="仿宋" w:hAnsi="仿宋" w:eastAsia="仿宋"/>
          <w:sz w:val="28"/>
          <w:szCs w:val="28"/>
        </w:rPr>
      </w:pPr>
    </w:p>
    <w:p>
      <w:pPr>
        <w:ind w:firstLine="3360" w:firstLineChars="1200"/>
        <w:rPr>
          <w:rFonts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rPr>
        <w:t>湖北循其本价格鉴定评估有限公司</w:t>
      </w:r>
    </w:p>
    <w:p>
      <w:pPr>
        <w:ind w:firstLine="3920" w:firstLineChars="1400"/>
        <w:rPr>
          <w:rFonts w:hint="eastAsia" w:ascii="仿宋" w:hAnsi="仿宋" w:eastAsia="仿宋"/>
          <w:sz w:val="28"/>
          <w:szCs w:val="28"/>
          <w:highlight w:val="none"/>
        </w:rPr>
      </w:pPr>
      <w:r>
        <w:rPr>
          <w:rFonts w:hint="eastAsia" w:ascii="仿宋" w:hAnsi="仿宋" w:eastAsia="仿宋"/>
          <w:sz w:val="28"/>
          <w:szCs w:val="28"/>
          <w:highlight w:val="none"/>
          <w:lang w:val="en-US" w:eastAsia="zh-CN"/>
        </w:rPr>
        <w:t xml:space="preserve">      </w:t>
      </w:r>
      <w:r>
        <w:rPr>
          <w:rFonts w:hint="eastAsia" w:ascii="仿宋" w:hAnsi="仿宋" w:eastAsia="仿宋"/>
          <w:sz w:val="28"/>
          <w:szCs w:val="28"/>
          <w:highlight w:val="none"/>
        </w:rPr>
        <w:t>二</w:t>
      </w:r>
      <w:r>
        <w:rPr>
          <w:rFonts w:hint="eastAsia" w:ascii="仿宋" w:hAnsi="仿宋" w:eastAsia="仿宋"/>
          <w:sz w:val="28"/>
          <w:szCs w:val="28"/>
          <w:highlight w:val="none"/>
          <w:lang w:val="en-US" w:eastAsia="zh-CN"/>
        </w:rPr>
        <w:t>0二一</w:t>
      </w:r>
      <w:r>
        <w:rPr>
          <w:rFonts w:hint="eastAsia" w:ascii="仿宋" w:hAnsi="仿宋" w:eastAsia="仿宋"/>
          <w:sz w:val="28"/>
          <w:szCs w:val="28"/>
          <w:highlight w:val="none"/>
        </w:rPr>
        <w:t>年</w:t>
      </w:r>
      <w:r>
        <w:rPr>
          <w:rFonts w:hint="eastAsia" w:ascii="仿宋" w:hAnsi="仿宋" w:eastAsia="仿宋"/>
          <w:sz w:val="28"/>
          <w:szCs w:val="28"/>
          <w:highlight w:val="none"/>
          <w:lang w:eastAsia="zh-CN"/>
        </w:rPr>
        <w:t>九</w:t>
      </w:r>
      <w:r>
        <w:rPr>
          <w:rFonts w:hint="eastAsia" w:ascii="仿宋" w:hAnsi="仿宋" w:eastAsia="仿宋"/>
          <w:sz w:val="28"/>
          <w:szCs w:val="28"/>
          <w:highlight w:val="none"/>
        </w:rPr>
        <w:t>月</w:t>
      </w:r>
      <w:r>
        <w:rPr>
          <w:rFonts w:hint="eastAsia" w:ascii="仿宋" w:hAnsi="仿宋" w:eastAsia="仿宋"/>
          <w:sz w:val="28"/>
          <w:szCs w:val="28"/>
          <w:highlight w:val="none"/>
          <w:lang w:eastAsia="zh-CN"/>
        </w:rPr>
        <w:t>二十九</w:t>
      </w:r>
      <w:r>
        <w:rPr>
          <w:rFonts w:hint="eastAsia" w:ascii="仿宋" w:hAnsi="仿宋" w:eastAsia="仿宋"/>
          <w:sz w:val="28"/>
          <w:szCs w:val="28"/>
          <w:highlight w:val="none"/>
        </w:rPr>
        <w:t>日</w:t>
      </w:r>
    </w:p>
    <w:p>
      <w:pPr>
        <w:ind w:firstLine="4200" w:firstLineChars="1400"/>
        <w:jc w:val="left"/>
        <w:rPr>
          <w:rFonts w:hint="eastAsia" w:ascii="仿宋" w:hAnsi="仿宋" w:eastAsia="仿宋"/>
          <w:sz w:val="30"/>
          <w:szCs w:val="30"/>
          <w:highlight w:val="yellow"/>
        </w:rPr>
      </w:pPr>
    </w:p>
    <w:p>
      <w:pPr>
        <w:jc w:val="center"/>
        <w:rPr>
          <w:rFonts w:hint="eastAsia" w:ascii="仿宋" w:hAnsi="仿宋" w:eastAsia="仿宋"/>
          <w:b w:val="0"/>
          <w:bCs w:val="0"/>
          <w:sz w:val="28"/>
          <w:szCs w:val="28"/>
          <w:lang w:val="en-US" w:eastAsia="zh-CN"/>
        </w:rPr>
      </w:pPr>
    </w:p>
    <w:p>
      <w:pPr>
        <w:jc w:val="center"/>
        <w:rPr>
          <w:rFonts w:hint="eastAsia" w:ascii="仿宋" w:hAnsi="仿宋" w:eastAsia="仿宋"/>
          <w:b w:val="0"/>
          <w:bCs w:val="0"/>
          <w:sz w:val="28"/>
          <w:szCs w:val="28"/>
          <w:lang w:val="en-US" w:eastAsia="zh-CN"/>
        </w:rPr>
      </w:pPr>
      <w:r>
        <w:rPr>
          <w:rFonts w:hint="eastAsia" w:ascii="仿宋" w:hAnsi="仿宋" w:eastAsia="仿宋"/>
          <w:b/>
          <w:bCs/>
          <w:sz w:val="28"/>
          <w:szCs w:val="28"/>
          <w:lang w:val="en-US" w:eastAsia="zh-CN"/>
        </w:rPr>
        <w:t>房地产估价结果明细表</w:t>
      </w:r>
    </w:p>
    <w:tbl>
      <w:tblPr>
        <w:tblStyle w:val="9"/>
        <w:tblW w:w="8790"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50"/>
        <w:gridCol w:w="1050"/>
        <w:gridCol w:w="1455"/>
        <w:gridCol w:w="1410"/>
        <w:gridCol w:w="151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序号</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单元号</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层数/房号</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建筑</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面积（㎡）</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楼层差价（%）</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评估单价</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（元/㎡）</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评估值</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1-102</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344961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2-202</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102</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2849</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355441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4</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4-402</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103</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2877</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358935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6</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5-502</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7</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8</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5-502</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5" w:type="dxa"/>
            <w:gridSpan w:val="3"/>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合计</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1341.28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3750125</w:t>
            </w:r>
          </w:p>
        </w:tc>
      </w:tr>
    </w:tbl>
    <w:p>
      <w:pPr>
        <w:jc w:val="center"/>
        <w:rPr>
          <w:rFonts w:hint="eastAsia" w:ascii="仿宋" w:hAnsi="仿宋" w:eastAsia="仿宋"/>
          <w:b w:val="0"/>
          <w:bCs w:val="0"/>
          <w:sz w:val="28"/>
          <w:szCs w:val="28"/>
          <w:lang w:val="en-US" w:eastAsia="zh-CN"/>
        </w:rPr>
      </w:pPr>
    </w:p>
    <w:p>
      <w:pPr>
        <w:jc w:val="center"/>
        <w:rPr>
          <w:rFonts w:hint="eastAsia" w:ascii="仿宋" w:hAnsi="仿宋" w:eastAsia="仿宋"/>
          <w:b w:val="0"/>
          <w:bCs w:val="0"/>
          <w:sz w:val="28"/>
          <w:szCs w:val="28"/>
          <w:lang w:val="en-US" w:eastAsia="zh-CN"/>
        </w:rPr>
      </w:pPr>
    </w:p>
    <w:p>
      <w:pPr>
        <w:jc w:val="both"/>
        <w:rPr>
          <w:rFonts w:hint="eastAsia" w:ascii="仿宋" w:hAnsi="仿宋" w:eastAsia="仿宋"/>
          <w:b w:val="0"/>
          <w:bCs w:val="0"/>
          <w:sz w:val="28"/>
          <w:szCs w:val="28"/>
          <w:lang w:val="en-US" w:eastAsia="zh-CN"/>
        </w:rPr>
      </w:pPr>
    </w:p>
    <w:p>
      <w:pPr>
        <w:jc w:val="center"/>
        <w:rPr>
          <w:rFonts w:hint="eastAsia" w:ascii="仿宋" w:hAnsi="仿宋" w:eastAsia="仿宋"/>
          <w:b w:val="0"/>
          <w:bCs w:val="0"/>
          <w:sz w:val="28"/>
          <w:szCs w:val="28"/>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3、当事人或其他利害关系人对本估价报告如有异议，可以在收到本估价报告10日内以书面形式向人民法院提出。</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4、评估过程中，没有考虑估价对象产权抵押、查封后对估价结果的影响。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3920" w:firstLineChars="1400"/>
        <w:rPr>
          <w:rFonts w:hint="eastAsia" w:ascii="仿宋" w:hAnsi="仿宋" w:eastAsia="仿宋"/>
          <w:b/>
          <w:bCs/>
          <w:sz w:val="44"/>
          <w:szCs w:val="44"/>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w:t>
      </w:r>
      <w:r>
        <w:rPr>
          <w:rFonts w:hint="eastAsia" w:ascii="仿宋_GB2312" w:hAnsi="宋体" w:eastAsia="仿宋_GB2312" w:cs="Times New Roman"/>
          <w:kern w:val="2"/>
          <w:sz w:val="28"/>
          <w:szCs w:val="28"/>
          <w:lang w:val="en-US" w:eastAsia="zh-CN" w:bidi="ar-SA"/>
        </w:rPr>
        <w:t>二0二一年九月二十九日</w:t>
      </w:r>
    </w:p>
    <w:p>
      <w:pPr>
        <w:ind w:firstLine="560" w:firstLineChars="200"/>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highlight w:val="none"/>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1312;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71139</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孝感市</w:t>
      </w:r>
      <w:r>
        <w:rPr>
          <w:rFonts w:hint="eastAsia" w:ascii="仿宋" w:hAnsi="仿宋" w:eastAsia="仿宋"/>
          <w:b/>
          <w:bCs/>
          <w:sz w:val="32"/>
          <w:szCs w:val="32"/>
          <w:lang w:val="en-US" w:eastAsia="zh-CN"/>
        </w:rPr>
        <w:t>宇飞房地产开发有限公司云梦分公司所有的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位于云梦县城关建设西路正业名居小区6幢11套住宅</w:t>
      </w:r>
    </w:p>
    <w:p>
      <w:pPr>
        <w:jc w:val="center"/>
        <w:rPr>
          <w:rFonts w:hint="eastAsia" w:ascii="仿宋" w:hAnsi="仿宋" w:eastAsia="仿宋"/>
          <w:b/>
          <w:bCs/>
          <w:sz w:val="36"/>
          <w:szCs w:val="36"/>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32"/>
          <w:szCs w:val="32"/>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本次估价对象范围为孝感市宇飞房地产开发有限公司云梦分公司所有的、位于云梦县城关建设西路9号正业名居小区6号楼11套住宅房屋、建筑面积共计1341.28平方米的房地产。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w:t>
      </w:r>
      <w:r>
        <w:rPr>
          <w:rFonts w:hint="eastAsia" w:ascii="仿宋_GB2312" w:hAnsi="宋体" w:eastAsia="仿宋_GB2312" w:cs="Times New Roman"/>
          <w:kern w:val="2"/>
          <w:sz w:val="28"/>
          <w:szCs w:val="28"/>
          <w:lang w:val="en-US" w:eastAsia="zh-CN" w:bidi="ar-SA"/>
        </w:rPr>
        <w:t>本机构人员的实地勘查和委托方提供的委托书及有关资料，可知</w:t>
      </w:r>
      <w:r>
        <w:rPr>
          <w:rFonts w:hint="eastAsia" w:ascii="仿宋_GB2312" w:hAnsi="宋体" w:eastAsia="仿宋_GB2312" w:cs="Times New Roman"/>
          <w:kern w:val="2"/>
          <w:sz w:val="28"/>
          <w:szCs w:val="28"/>
          <w:lang w:val="en-US" w:eastAsia="zh-CN" w:bidi="ar-SA"/>
        </w:rPr>
        <w:t>估价</w:t>
      </w:r>
      <w:r>
        <w:rPr>
          <w:rFonts w:hint="eastAsia" w:ascii="仿宋_GB2312" w:hAnsi="宋体" w:eastAsia="仿宋_GB2312" w:cs="Times New Roman"/>
          <w:kern w:val="2"/>
          <w:sz w:val="28"/>
          <w:szCs w:val="28"/>
          <w:lang w:val="en-US" w:eastAsia="zh-CN" w:bidi="ar-SA"/>
        </w:rPr>
        <w:t>对象实体状况如</w:t>
      </w:r>
      <w:r>
        <w:rPr>
          <w:rFonts w:hint="eastAsia" w:ascii="仿宋_GB2312" w:hAnsi="宋体" w:eastAsia="仿宋_GB2312" w:cs="Times New Roman"/>
          <w:kern w:val="2"/>
          <w:sz w:val="28"/>
          <w:szCs w:val="28"/>
          <w:lang w:val="en-US" w:eastAsia="zh-CN" w:bidi="ar-SA"/>
        </w:rPr>
        <w:t>下：</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估价对象位于孝感市云梦县城关建设西路9号正业名居小区，坐落于6号楼的1单元1层101、102室、2层202室、4层402室、5层501、502室，2单元1层101室、5层501、502室，3单元1层101室、5层501室，共计11套，建筑面积合计</w:t>
      </w:r>
      <w:r>
        <w:rPr>
          <w:rFonts w:hint="eastAsia" w:ascii="仿宋_GB2312" w:hAnsi="宋体" w:eastAsia="仿宋_GB2312" w:cs="Times New Roman"/>
          <w:kern w:val="2"/>
          <w:sz w:val="28"/>
          <w:szCs w:val="28"/>
          <w:lang w:val="en-US" w:eastAsia="zh-CN" w:bidi="ar-SA"/>
        </w:rPr>
        <w:t>1341.28平方米。房屋于2013年建成，用途为成套住宅，户型为三室二厅，总层数为6+1层，南北朝向，外墙为防水涂料粉刷，3单元5层501室室内为毛坯未装修，其他房屋室内均为普通装修。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二0二一年九月十八日。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我们按照《房地产估价规范》的规定，遵循估价行业公认的估价工作原则，对估价对象进行独立、客观、科学的评价，并遵守国家保密规定。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对住宅房屋、门面商铺分别采用了市场法、收益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b w:val="0"/>
          <w:bCs w:val="0"/>
          <w:sz w:val="28"/>
          <w:szCs w:val="28"/>
          <w:highlight w:val="none"/>
          <w:vertAlign w:val="baseline"/>
          <w:lang w:val="en-US" w:eastAsia="zh-CN"/>
        </w:rPr>
        <w:t>37</w:t>
      </w:r>
      <w:r>
        <w:rPr>
          <w:rFonts w:hint="eastAsia" w:ascii="仿宋" w:hAnsi="仿宋" w:eastAsia="仿宋"/>
          <w:b w:val="0"/>
          <w:bCs w:val="0"/>
          <w:sz w:val="28"/>
          <w:szCs w:val="28"/>
          <w:vertAlign w:val="baseline"/>
          <w:lang w:val="en-US" w:eastAsia="zh-CN"/>
        </w:rPr>
        <w:t>50125</w:t>
      </w:r>
      <w:r>
        <w:rPr>
          <w:rFonts w:hint="eastAsia" w:ascii="仿宋_GB2312" w:hAnsi="宋体" w:eastAsia="仿宋_GB2312" w:cs="Times New Roman"/>
          <w:kern w:val="2"/>
          <w:sz w:val="28"/>
          <w:szCs w:val="28"/>
          <w:lang w:val="en-US" w:eastAsia="zh-CN" w:bidi="ar-SA"/>
        </w:rPr>
        <w:t>元(大写人民币叁佰柒拾伍万零壹佰贰拾伍元整)。详见房地产估价结果明细表。</w:t>
      </w:r>
    </w:p>
    <w:p>
      <w:pPr>
        <w:ind w:firstLine="560" w:firstLineChars="200"/>
        <w:jc w:val="cente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房地产估价结果明细表</w:t>
      </w:r>
    </w:p>
    <w:tbl>
      <w:tblPr>
        <w:tblStyle w:val="9"/>
        <w:tblW w:w="8790"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50"/>
        <w:gridCol w:w="1050"/>
        <w:gridCol w:w="1455"/>
        <w:gridCol w:w="1410"/>
        <w:gridCol w:w="151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序号</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单元号</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层数/房号</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建筑</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面积（㎡）</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楼层差价（%）</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评估单价</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（元/㎡）</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评估值</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1-102</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344961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2-202</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102</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2849</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355441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4</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4-402</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103</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2877</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358935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6</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5-502</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7</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8</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5-502</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5" w:type="dxa"/>
            <w:gridSpan w:val="3"/>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合计</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1341.28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w:t>
            </w:r>
          </w:p>
        </w:tc>
        <w:tc>
          <w:tcPr>
            <w:tcW w:w="166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3750125</w:t>
            </w:r>
          </w:p>
        </w:tc>
      </w:tr>
    </w:tbl>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9504" behindDoc="1" locked="0" layoutInCell="1" allowOverlap="1">
                  <wp:simplePos x="0" y="0"/>
                  <wp:positionH relativeFrom="column">
                    <wp:posOffset>47625</wp:posOffset>
                  </wp:positionH>
                  <wp:positionV relativeFrom="paragraph">
                    <wp:posOffset>271780</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70528" behindDoc="0" locked="0" layoutInCell="1" allowOverlap="1">
                  <wp:simplePos x="0" y="0"/>
                  <wp:positionH relativeFrom="column">
                    <wp:posOffset>-141605</wp:posOffset>
                  </wp:positionH>
                  <wp:positionV relativeFrom="paragraph">
                    <wp:posOffset>149860</wp:posOffset>
                  </wp:positionV>
                  <wp:extent cx="1494790" cy="1033780"/>
                  <wp:effectExtent l="0" t="0" r="10795" b="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494790" cy="1033780"/>
                          </a:xfrm>
                          <a:prstGeom prst="rect">
                            <a:avLst/>
                          </a:prstGeom>
                          <a:noFill/>
                          <a:ln w="9525">
                            <a:noFill/>
                            <a:miter/>
                          </a:ln>
                        </pic:spPr>
                      </pic:pic>
                    </a:graphicData>
                  </a:graphic>
                </wp:anchor>
              </w:drawing>
            </w:r>
            <w:r>
              <w:rPr>
                <w:rFonts w:hint="eastAsia" w:ascii="仿宋" w:hAnsi="仿宋" w:eastAsia="仿宋"/>
                <w:color w:val="000000"/>
                <w:sz w:val="32"/>
                <w:szCs w:val="32"/>
              </w:rPr>
              <w:drawing>
                <wp:anchor distT="0" distB="0" distL="114300" distR="114300" simplePos="0" relativeHeight="251671552" behindDoc="0" locked="0" layoutInCell="1" allowOverlap="1">
                  <wp:simplePos x="0" y="0"/>
                  <wp:positionH relativeFrom="column">
                    <wp:posOffset>158115</wp:posOffset>
                  </wp:positionH>
                  <wp:positionV relativeFrom="page">
                    <wp:posOffset>209550</wp:posOffset>
                  </wp:positionV>
                  <wp:extent cx="635" cy="635"/>
                  <wp:effectExtent l="0" t="0" r="0" b="0"/>
                  <wp:wrapNone/>
                  <wp:docPr id="4" name="图片 4"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29</w:t>
      </w:r>
      <w:r>
        <w:rPr>
          <w:rStyle w:val="11"/>
          <w:rFonts w:hint="eastAsia" w:ascii="仿宋_GB2312" w:hAnsi="仿宋" w:eastAsia="仿宋_GB2312" w:cs="宋体"/>
          <w:sz w:val="28"/>
          <w:szCs w:val="28"/>
          <w:highlight w:val="none"/>
        </w:rPr>
        <w:t>日</w:t>
      </w:r>
      <w:r>
        <w:rPr>
          <w:rStyle w:val="11"/>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二○二一年九月二十九日</w:t>
      </w:r>
    </w:p>
    <w:p>
      <w:pPr>
        <w:jc w:val="center"/>
        <w:rPr>
          <w:rFonts w:hint="eastAsia" w:ascii="仿宋_GB2312" w:hAnsi="宋体" w:eastAsia="仿宋_GB2312" w:cs="Times New Roman"/>
          <w:kern w:val="2"/>
          <w:sz w:val="28"/>
          <w:szCs w:val="28"/>
          <w:highlight w:val="none"/>
          <w:lang w:val="en-US" w:eastAsia="zh-CN" w:bidi="ar-SA"/>
        </w:rPr>
      </w:pPr>
    </w:p>
    <w:p>
      <w:pPr>
        <w:jc w:val="both"/>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6"/>
          <w:szCs w:val="36"/>
          <w:lang w:eastAsia="zh-CN"/>
        </w:rPr>
      </w:pPr>
    </w:p>
    <w:p>
      <w:pPr>
        <w:jc w:val="center"/>
        <w:rPr>
          <w:rFonts w:hint="eastAsia" w:ascii="仿宋" w:hAnsi="仿宋" w:eastAsia="仿宋"/>
          <w:b/>
          <w:bCs/>
          <w:sz w:val="32"/>
          <w:szCs w:val="32"/>
          <w:lang w:val="en-US" w:eastAsia="zh-CN"/>
        </w:rPr>
      </w:pPr>
      <w:r>
        <w:rPr>
          <w:rFonts w:hint="eastAsia" w:ascii="仿宋" w:hAnsi="仿宋" w:eastAsia="仿宋"/>
          <w:b/>
          <w:bCs/>
          <w:sz w:val="32"/>
          <w:szCs w:val="32"/>
          <w:lang w:eastAsia="zh-CN"/>
        </w:rPr>
        <w:t>孝感市</w:t>
      </w:r>
      <w:r>
        <w:rPr>
          <w:rFonts w:hint="eastAsia" w:ascii="仿宋" w:hAnsi="仿宋" w:eastAsia="仿宋"/>
          <w:b/>
          <w:bCs/>
          <w:sz w:val="32"/>
          <w:szCs w:val="32"/>
          <w:lang w:val="en-US" w:eastAsia="zh-CN"/>
        </w:rPr>
        <w:t>宇飞房地产开发有限公司云梦分公司所有的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位于云梦县城关建设西路正业名居小区6幢11套住宅</w:t>
      </w:r>
    </w:p>
    <w:p>
      <w:pPr>
        <w:jc w:val="center"/>
        <w:rPr>
          <w:rFonts w:hint="eastAsia" w:ascii="仿宋" w:hAnsi="仿宋" w:eastAsia="仿宋"/>
          <w:b/>
          <w:bCs/>
          <w:sz w:val="32"/>
          <w:szCs w:val="32"/>
        </w:rPr>
      </w:pPr>
      <w:r>
        <w:rPr>
          <w:rFonts w:hint="eastAsia" w:ascii="仿宋" w:hAnsi="仿宋" w:eastAsia="仿宋"/>
          <w:b/>
          <w:bCs/>
          <w:sz w:val="32"/>
          <w:szCs w:val="32"/>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default" w:ascii="仿宋" w:hAnsi="仿宋" w:eastAsia="仿宋"/>
          <w:sz w:val="28"/>
          <w:szCs w:val="28"/>
          <w:lang w:val="en-US" w:eastAsia="zh-CN"/>
        </w:rPr>
      </w:pPr>
      <w:r>
        <w:rPr>
          <w:rFonts w:hint="eastAsia" w:ascii="仿宋" w:hAnsi="仿宋" w:eastAsia="仿宋" w:cs="仿宋"/>
          <w:kern w:val="2"/>
          <w:sz w:val="28"/>
          <w:szCs w:val="28"/>
          <w:lang w:val="en-US" w:eastAsia="zh-CN" w:bidi="ar-SA"/>
        </w:rPr>
        <w:t>估价对象位于孝感市云梦县城关建设西路9号正业名居小区，坐落于6号楼的1单元1层101、102室、2层202室、4层402室、5层501、502室，2单元1层101室、5层501、502室，3单元1层101室、5层501室，共计11套，建筑面积合计1341.28平方米。房屋于2013年建成，用途为成套住宅，户型为三室二厅，总层数为6+1层，南北朝向，外墙为防水涂料粉刷，3单元5层501室室内为毛坯未装修，其他房屋室内均为普通装修。</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二、估价对象区域因素分析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rPr>
        <w:t>估价对象位于</w:t>
      </w:r>
      <w:r>
        <w:rPr>
          <w:rFonts w:hint="eastAsia" w:ascii="仿宋" w:hAnsi="仿宋" w:eastAsia="仿宋" w:cs="仿宋"/>
          <w:kern w:val="2"/>
          <w:sz w:val="28"/>
          <w:szCs w:val="28"/>
          <w:lang w:val="en-US" w:eastAsia="zh-CN" w:bidi="ar-SA"/>
        </w:rPr>
        <w:t>云梦县城关建设西路9号正业名居小区</w:t>
      </w:r>
      <w:r>
        <w:rPr>
          <w:rFonts w:hint="eastAsia" w:ascii="仿宋" w:hAnsi="仿宋" w:eastAsia="仿宋"/>
          <w:sz w:val="28"/>
          <w:szCs w:val="28"/>
          <w:lang w:eastAsia="zh-CN"/>
        </w:rPr>
        <w:t>。</w:t>
      </w:r>
      <w:r>
        <w:rPr>
          <w:rFonts w:hint="eastAsia" w:ascii="仿宋" w:hAnsi="仿宋" w:eastAsia="仿宋"/>
          <w:sz w:val="28"/>
          <w:szCs w:val="28"/>
        </w:rPr>
        <w:t>此地段</w:t>
      </w:r>
      <w:r>
        <w:rPr>
          <w:rFonts w:hint="eastAsia" w:ascii="仿宋" w:hAnsi="仿宋" w:eastAsia="仿宋"/>
          <w:sz w:val="28"/>
          <w:szCs w:val="28"/>
          <w:lang w:eastAsia="zh-CN"/>
        </w:rPr>
        <w:t>属于云梦县中心城区，</w:t>
      </w:r>
      <w:r>
        <w:rPr>
          <w:rFonts w:hint="eastAsia" w:ascii="仿宋_GB2312" w:hAnsi="宋体" w:eastAsia="仿宋_GB2312" w:cs="Times New Roman"/>
          <w:kern w:val="2"/>
          <w:sz w:val="28"/>
          <w:szCs w:val="28"/>
          <w:lang w:val="en-US" w:eastAsia="zh-CN" w:bidi="ar-SA"/>
        </w:rPr>
        <w:t>周边生活、公共配套设施基本齐全，</w:t>
      </w:r>
      <w:r>
        <w:rPr>
          <w:rFonts w:hint="eastAsia" w:ascii="仿宋" w:hAnsi="仿宋" w:eastAsia="仿宋"/>
          <w:sz w:val="28"/>
          <w:szCs w:val="28"/>
          <w:lang w:eastAsia="zh-CN"/>
        </w:rPr>
        <w:t>附近建有学校、菜场、超市、银行、医院，交通便利，出行方便，利于上学、就医、购物等，属于云梦县城区成熟</w:t>
      </w:r>
      <w:r>
        <w:rPr>
          <w:rFonts w:hint="eastAsia" w:ascii="仿宋" w:hAnsi="仿宋" w:eastAsia="仿宋"/>
          <w:sz w:val="28"/>
          <w:szCs w:val="28"/>
        </w:rPr>
        <w:t>稳定</w:t>
      </w:r>
      <w:r>
        <w:rPr>
          <w:rFonts w:hint="eastAsia" w:ascii="仿宋" w:hAnsi="仿宋" w:eastAsia="仿宋"/>
          <w:sz w:val="28"/>
          <w:szCs w:val="28"/>
          <w:lang w:eastAsia="zh-CN"/>
        </w:rPr>
        <w:t>的商住区域</w:t>
      </w:r>
      <w:r>
        <w:rPr>
          <w:rFonts w:hint="eastAsia" w:ascii="仿宋" w:hAnsi="仿宋" w:eastAsia="仿宋"/>
          <w:sz w:val="28"/>
          <w:szCs w:val="28"/>
        </w:rPr>
        <w:t>。</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和商铺，调查房地产中介机构有类似房地产交易案例，并对估价对象进行现场勘验，经过反复研究，我们确定采用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接受委托后，我们会同委托人及相关当事人对估价对象进行了实地勘查，随后开展了广泛的市场调查，采用市场法对估价对象进行了估价测算。</w:t>
      </w:r>
    </w:p>
    <w:p>
      <w:pPr>
        <w:ind w:firstLine="560" w:firstLineChars="200"/>
        <w:rPr>
          <w:rFonts w:hint="default" w:ascii="仿宋" w:hAnsi="仿宋" w:eastAsia="仿宋"/>
          <w:sz w:val="30"/>
          <w:szCs w:val="30"/>
          <w:lang w:val="en-US" w:eastAsia="zh-CN"/>
        </w:rPr>
      </w:pPr>
      <w:r>
        <w:rPr>
          <w:rFonts w:hint="eastAsia" w:ascii="仿宋_GB2312" w:hAnsi="宋体" w:eastAsia="仿宋_GB2312" w:cs="Times New Roman"/>
          <w:kern w:val="2"/>
          <w:sz w:val="28"/>
          <w:szCs w:val="28"/>
          <w:lang w:val="en-US" w:eastAsia="zh-CN" w:bidi="ar-SA"/>
        </w:rPr>
        <w:t>经调查研究，估价人员确定采用市场法先测算估价对象中2单元5层501室住宅房屋价格，然后根据楼层调整系数估算其他房屋价格</w:t>
      </w:r>
      <w:r>
        <w:rPr>
          <w:rFonts w:hint="eastAsia" w:ascii="仿宋" w:hAnsi="仿宋" w:eastAsia="仿宋"/>
          <w:sz w:val="30"/>
          <w:szCs w:val="30"/>
          <w:lang w:val="en-US" w:eastAsia="zh-CN"/>
        </w:rPr>
        <w:t>。</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针对估价对象的功能和特点，根据替代原则，按照用途相同、土地级别相同、价格类型相同等特点，对与估价对象在同一区域内的类似住宅进行了市场调查和比较分析，按照估价要求，筛选三个可比实例。</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实例A：正业名居小区住宅，2013年建成，总层数7层，所在层4层，3室2厅，南北朝向，普通装修，建筑面积122平米，拟交易总价36万，折合单价约2951元/㎡，拟交易日期2021年09月份。</w:t>
      </w:r>
    </w:p>
    <w:p>
      <w:p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实例B：深云小区住宅，2013年建成，总层数7层，所在层7层，3室2厅，南北朝向，普通装修，建筑面积131.5平米，拟交易总价34.5万，折合单价约2624元/㎡，拟交易日期2021年09月份。</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实例C：正业花园小区住宅，2011年建成，总层数5层，所在层2层，3室2厅，南北朝向，普通装修，建筑面积108平米，拟交易总价33万，折合单价约3056元/㎡，拟交易日期2021年09月份。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ind w:firstLine="560" w:firstLineChars="200"/>
        <w:jc w:val="cente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w:t>
            </w:r>
            <w:r>
              <w:rPr>
                <w:rFonts w:hint="eastAsia" w:ascii="仿宋" w:hAnsi="仿宋" w:eastAsia="仿宋" w:cs="仿宋"/>
                <w:sz w:val="24"/>
                <w:szCs w:val="24"/>
                <w:vertAlign w:val="baseline"/>
                <w:lang w:val="en-US" w:eastAsia="zh-CN"/>
              </w:rPr>
              <w:t>案例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估价</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对象</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A </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可比案例</w:t>
            </w:r>
          </w:p>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座 落位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sz w:val="21"/>
                <w:szCs w:val="21"/>
                <w:vertAlign w:val="baseline"/>
                <w:lang w:val="en-US" w:eastAsia="zh-CN"/>
              </w:rPr>
              <w:t>正业名居6栋1单元501室</w:t>
            </w:r>
          </w:p>
        </w:tc>
        <w:tc>
          <w:tcPr>
            <w:tcW w:w="1567"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正业名居</w:t>
            </w:r>
          </w:p>
        </w:tc>
        <w:tc>
          <w:tcPr>
            <w:tcW w:w="1550" w:type="dxa"/>
            <w:vAlign w:val="top"/>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深云小区</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正业花园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color w:val="auto"/>
                <w:sz w:val="28"/>
                <w:szCs w:val="28"/>
                <w:lang w:val="en-US" w:eastAsia="zh-CN"/>
              </w:rPr>
              <w:t>正业名居</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color w:val="auto"/>
                <w:sz w:val="28"/>
                <w:szCs w:val="28"/>
                <w:lang w:val="en-US" w:eastAsia="zh-CN"/>
              </w:rPr>
              <w:t>正业名居</w:t>
            </w:r>
          </w:p>
        </w:tc>
        <w:tc>
          <w:tcPr>
            <w:tcW w:w="1550" w:type="dxa"/>
            <w:vAlign w:val="top"/>
          </w:tcPr>
          <w:p>
            <w:pPr>
              <w:numPr>
                <w:ilvl w:val="0"/>
                <w:numId w:val="0"/>
              </w:numPr>
              <w:ind w:left="0" w:leftChars="0" w:firstLine="0" w:firstLineChars="0"/>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color w:val="auto"/>
                <w:sz w:val="28"/>
                <w:szCs w:val="28"/>
                <w:lang w:val="en-US" w:eastAsia="zh-CN"/>
              </w:rPr>
              <w:t>深云小区</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color w:val="auto"/>
                <w:sz w:val="28"/>
                <w:szCs w:val="28"/>
                <w:lang w:val="en-US" w:eastAsia="zh-CN"/>
              </w:rPr>
              <w:t>正业花园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成交单价（元/</w:t>
            </w:r>
            <w:r>
              <w:rPr>
                <w:rFonts w:hint="eastAsia" w:ascii="仿宋" w:hAnsi="仿宋" w:eastAsia="仿宋" w:cs="仿宋"/>
                <w:color w:val="auto"/>
                <w:sz w:val="30"/>
                <w:szCs w:val="30"/>
                <w:highlight w:val="none"/>
                <w:lang w:val="en-US" w:eastAsia="zh-CN"/>
              </w:rPr>
              <w:t>M</w:t>
            </w:r>
            <w:r>
              <w:rPr>
                <w:rFonts w:hint="eastAsia" w:ascii="仿宋" w:hAnsi="仿宋" w:eastAsia="仿宋" w:cs="仿宋"/>
                <w:color w:val="auto"/>
                <w:sz w:val="30"/>
                <w:szCs w:val="30"/>
                <w:highlight w:val="none"/>
                <w:vertAlign w:val="superscript"/>
                <w:lang w:val="en-US" w:eastAsia="zh-CN"/>
              </w:rPr>
              <w:t>2</w:t>
            </w:r>
            <w:r>
              <w:rPr>
                <w:rFonts w:hint="eastAsia" w:ascii="仿宋" w:hAnsi="仿宋" w:eastAsia="仿宋" w:cs="仿宋"/>
                <w:sz w:val="30"/>
                <w:szCs w:val="30"/>
                <w:highlight w:val="none"/>
                <w:vertAlign w:val="baseline"/>
                <w:lang w:val="en-US" w:eastAsia="zh-CN"/>
              </w:rPr>
              <w:t>)</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2951</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2624</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交易</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情况</w:t>
            </w: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交易情况</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正常</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正常</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类型</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二手房</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二手房</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二手房</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市场</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状况</w:t>
            </w: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交易日期</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2021.09</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2021.09</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2021.09</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2021.09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状况</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说明</w:t>
            </w: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较繁华</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较繁华</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较繁华</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城市规划</w:t>
            </w:r>
          </w:p>
        </w:tc>
        <w:tc>
          <w:tcPr>
            <w:tcW w:w="1446"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居住、</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商业区</w:t>
            </w:r>
          </w:p>
        </w:tc>
        <w:tc>
          <w:tcPr>
            <w:tcW w:w="1567"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居住、</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商业区</w:t>
            </w:r>
          </w:p>
        </w:tc>
        <w:tc>
          <w:tcPr>
            <w:tcW w:w="1550"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居住、</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商业区</w:t>
            </w:r>
          </w:p>
        </w:tc>
        <w:tc>
          <w:tcPr>
            <w:tcW w:w="1633"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居住、</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权益状况说明</w:t>
            </w: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房产类型</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商品房</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商品房</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商品房</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权属清晰情况</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有瑕疵</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有瑕疵</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权属清晰</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实物</w:t>
            </w:r>
          </w:p>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状况</w:t>
            </w:r>
          </w:p>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说明</w:t>
            </w:r>
          </w:p>
        </w:tc>
        <w:tc>
          <w:tcPr>
            <w:tcW w:w="2054"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建筑结构</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混合</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混合</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混合</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临街状态</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不临街</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不临街</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不临街</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28"/>
                <w:szCs w:val="28"/>
                <w:highlight w:val="none"/>
                <w:vertAlign w:val="baseline"/>
                <w:lang w:val="en-US" w:eastAsia="zh-CN"/>
              </w:rPr>
              <w:t>所在层</w:t>
            </w:r>
            <w:r>
              <w:rPr>
                <w:rFonts w:hint="eastAsia" w:ascii="仿宋" w:hAnsi="仿宋" w:eastAsia="仿宋" w:cs="仿宋"/>
                <w:sz w:val="24"/>
                <w:szCs w:val="24"/>
                <w:highlight w:val="none"/>
                <w:vertAlign w:val="baseline"/>
                <w:lang w:val="en-US" w:eastAsia="zh-CN"/>
              </w:rPr>
              <w:t>/</w:t>
            </w:r>
            <w:r>
              <w:rPr>
                <w:rFonts w:hint="eastAsia" w:ascii="仿宋" w:hAnsi="仿宋" w:eastAsia="仿宋" w:cs="仿宋"/>
                <w:sz w:val="28"/>
                <w:szCs w:val="28"/>
                <w:highlight w:val="none"/>
                <w:vertAlign w:val="baseline"/>
                <w:lang w:val="en-US" w:eastAsia="zh-CN"/>
              </w:rPr>
              <w:t>总层</w:t>
            </w:r>
            <w:r>
              <w:rPr>
                <w:rFonts w:hint="eastAsia" w:ascii="仿宋" w:hAnsi="仿宋" w:eastAsia="仿宋" w:cs="仿宋"/>
                <w:sz w:val="30"/>
                <w:szCs w:val="30"/>
                <w:highlight w:val="none"/>
                <w:vertAlign w:val="baseline"/>
                <w:lang w:val="en-US" w:eastAsia="zh-CN"/>
              </w:rPr>
              <w:t>数</w:t>
            </w:r>
          </w:p>
        </w:tc>
        <w:tc>
          <w:tcPr>
            <w:tcW w:w="14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5/7</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4/7</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7/7</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适中</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适中</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适中</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布局户型</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三房二厅</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三房二厅</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三房二厅</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装修情况</w:t>
            </w:r>
          </w:p>
        </w:tc>
        <w:tc>
          <w:tcPr>
            <w:tcW w:w="1446" w:type="dxa"/>
            <w:vAlign w:val="top"/>
          </w:tcPr>
          <w:p>
            <w:pPr>
              <w:jc w:val="center"/>
              <w:rPr>
                <w:rFonts w:hint="default" w:ascii="仿宋" w:hAnsi="仿宋" w:eastAsia="仿宋" w:cs="仿宋"/>
                <w:color w:val="FF0000"/>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普通装修</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普通装修</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普通装修</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普通装修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朝向及采光</w:t>
            </w:r>
            <w:r>
              <w:rPr>
                <w:rFonts w:hint="eastAsia" w:ascii="仿宋" w:hAnsi="仿宋" w:eastAsia="仿宋" w:cs="仿宋"/>
                <w:sz w:val="30"/>
                <w:szCs w:val="30"/>
                <w:highlight w:val="none"/>
                <w:vertAlign w:val="baseline"/>
                <w:lang w:val="en-US" w:eastAsia="zh-CN"/>
              </w:rPr>
              <w:t>通风</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南北，好</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南北，好</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南北，好</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层高</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标准层高</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标准层高</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标准层高</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86.7%</w:t>
            </w:r>
          </w:p>
        </w:tc>
        <w:tc>
          <w:tcPr>
            <w:tcW w:w="15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86.7%</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86.7%</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物业管理</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噪 音</w:t>
            </w:r>
          </w:p>
        </w:tc>
        <w:tc>
          <w:tcPr>
            <w:tcW w:w="14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安静</w:t>
            </w:r>
          </w:p>
        </w:tc>
        <w:tc>
          <w:tcPr>
            <w:tcW w:w="15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安静</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安静</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安静</w:t>
            </w:r>
          </w:p>
        </w:tc>
      </w:tr>
    </w:tbl>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3、编制比较因素修正指数表</w:t>
      </w:r>
    </w:p>
    <w:p>
      <w:pPr>
        <w:numPr>
          <w:ilvl w:val="0"/>
          <w:numId w:val="0"/>
        </w:numPr>
        <w:ind w:firstLine="560"/>
        <w:rPr>
          <w:rFonts w:hint="default" w:ascii="仿宋" w:hAnsi="仿宋" w:eastAsia="仿宋" w:cs="仿宋"/>
          <w:sz w:val="30"/>
          <w:szCs w:val="30"/>
          <w:highlight w:val="none"/>
          <w:lang w:val="en-US" w:eastAsia="zh-CN"/>
        </w:rPr>
      </w:pPr>
      <w:r>
        <w:rPr>
          <w:rFonts w:hint="eastAsia" w:ascii="仿宋_GB2312" w:hAnsi="宋体" w:eastAsia="仿宋_GB2312" w:cs="Times New Roman"/>
          <w:kern w:val="2"/>
          <w:sz w:val="28"/>
          <w:szCs w:val="28"/>
          <w:highlight w:val="none"/>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因素</w:t>
            </w:r>
          </w:p>
          <w:p>
            <w:pPr>
              <w:snapToGrid w:val="0"/>
              <w:spacing w:line="240" w:lineRule="auto"/>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内容</w:t>
            </w:r>
          </w:p>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估价对象与案例</w:t>
            </w:r>
          </w:p>
        </w:tc>
        <w:tc>
          <w:tcPr>
            <w:tcW w:w="11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估价</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对象</w:t>
            </w:r>
          </w:p>
        </w:tc>
        <w:tc>
          <w:tcPr>
            <w:tcW w:w="18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可比案例</w:t>
            </w:r>
          </w:p>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 xml:space="preserve">A </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 xml:space="preserve">可比案例B </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可比案例</w:t>
            </w:r>
          </w:p>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成交单价（元/平米）</w:t>
            </w:r>
          </w:p>
        </w:tc>
        <w:tc>
          <w:tcPr>
            <w:tcW w:w="11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w:t>
            </w:r>
          </w:p>
        </w:tc>
        <w:tc>
          <w:tcPr>
            <w:tcW w:w="18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2951</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2624</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交易</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情况</w:t>
            </w:r>
          </w:p>
        </w:tc>
        <w:tc>
          <w:tcPr>
            <w:tcW w:w="21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交易情况</w:t>
            </w:r>
          </w:p>
        </w:tc>
        <w:tc>
          <w:tcPr>
            <w:tcW w:w="11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类型</w:t>
            </w:r>
          </w:p>
        </w:tc>
        <w:tc>
          <w:tcPr>
            <w:tcW w:w="1146"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市场状况</w:t>
            </w:r>
          </w:p>
        </w:tc>
        <w:tc>
          <w:tcPr>
            <w:tcW w:w="1146"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highlight w:val="none"/>
                <w:vertAlign w:val="baseline"/>
                <w:lang w:val="en-US" w:eastAsia="zh-CN"/>
              </w:rPr>
            </w:pPr>
          </w:p>
          <w:p>
            <w:pPr>
              <w:ind w:firstLine="300" w:firstLineChars="100"/>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w:t>
            </w:r>
          </w:p>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状况</w:t>
            </w:r>
          </w:p>
          <w:p>
            <w:pPr>
              <w:jc w:val="center"/>
              <w:rPr>
                <w:rFonts w:hint="eastAsia" w:ascii="仿宋" w:hAnsi="仿宋" w:eastAsia="仿宋" w:cs="仿宋"/>
                <w:sz w:val="30"/>
                <w:szCs w:val="30"/>
                <w:highlight w:val="none"/>
                <w:vertAlign w:val="baseline"/>
                <w:lang w:val="en-US" w:eastAsia="zh-CN"/>
              </w:rPr>
            </w:pP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说明</w:t>
            </w:r>
          </w:p>
        </w:tc>
        <w:tc>
          <w:tcPr>
            <w:tcW w:w="21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公共设施配套</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24"/>
                <w:szCs w:val="24"/>
                <w:highlight w:val="none"/>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both"/>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highlight w:val="none"/>
                <w:vertAlign w:val="baseline"/>
                <w:lang w:val="en-US" w:eastAsia="zh-CN"/>
              </w:rPr>
            </w:pPr>
          </w:p>
        </w:tc>
        <w:tc>
          <w:tcPr>
            <w:tcW w:w="21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权益</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状况</w:t>
            </w:r>
          </w:p>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说明</w:t>
            </w:r>
          </w:p>
        </w:tc>
        <w:tc>
          <w:tcPr>
            <w:tcW w:w="21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97</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97</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highlight w:val="none"/>
                <w:vertAlign w:val="baseline"/>
                <w:lang w:val="en-US" w:eastAsia="zh-CN"/>
              </w:rPr>
              <w:t>2951</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highlight w:val="none"/>
                <w:vertAlign w:val="baseline"/>
                <w:lang w:val="en-US" w:eastAsia="zh-CN"/>
              </w:rPr>
              <w:t>2624</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sz w:val="30"/>
                <w:szCs w:val="30"/>
                <w:highlight w:val="none"/>
                <w:vertAlign w:val="baseline"/>
                <w:lang w:val="en-US" w:eastAsia="zh-CN"/>
              </w:rPr>
              <w:t>3056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105</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97</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2922</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2576</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2882</w:t>
            </w:r>
          </w:p>
        </w:tc>
      </w:tr>
    </w:tbl>
    <w:p>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5、求取估价对象价值</w:t>
      </w:r>
    </w:p>
    <w:p>
      <w:pPr>
        <w:numPr>
          <w:ilvl w:val="0"/>
          <w:numId w:val="0"/>
        </w:numPr>
        <w:ind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sz w:val="28"/>
          <w:szCs w:val="28"/>
          <w:lang w:val="en-US" w:eastAsia="zh-CN"/>
        </w:rPr>
        <w:t>由于可比实例A、B、C与估价对象条件类似，比准价格相差不大，因此采取算数平均值的求取方法，</w:t>
      </w:r>
      <w:r>
        <w:rPr>
          <w:rFonts w:hint="eastAsia" w:ascii="仿宋" w:hAnsi="仿宋" w:eastAsia="仿宋" w:cs="仿宋"/>
          <w:color w:val="auto"/>
          <w:sz w:val="28"/>
          <w:szCs w:val="28"/>
          <w:lang w:val="en-US" w:eastAsia="zh-CN"/>
        </w:rPr>
        <w:t>计算出估价对象中</w:t>
      </w:r>
      <w:r>
        <w:rPr>
          <w:rFonts w:hint="eastAsia" w:ascii="仿宋" w:hAnsi="仿宋" w:eastAsia="仿宋"/>
          <w:color w:val="auto"/>
          <w:sz w:val="30"/>
          <w:szCs w:val="30"/>
          <w:lang w:val="en-US" w:eastAsia="zh-CN"/>
        </w:rPr>
        <w:t>2单元5层501室</w:t>
      </w:r>
      <w:r>
        <w:rPr>
          <w:rFonts w:hint="eastAsia" w:ascii="仿宋" w:hAnsi="仿宋" w:eastAsia="仿宋" w:cs="仿宋"/>
          <w:color w:val="auto"/>
          <w:sz w:val="28"/>
          <w:szCs w:val="28"/>
          <w:lang w:val="en-US" w:eastAsia="zh-CN"/>
        </w:rPr>
        <w:t>住宅房屋的评估单价。</w:t>
      </w:r>
    </w:p>
    <w:p>
      <w:pPr>
        <w:numPr>
          <w:ilvl w:val="0"/>
          <w:numId w:val="0"/>
        </w:numPr>
        <w:ind w:left="1718" w:leftChars="285" w:hanging="1120" w:hangingChars="4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评估单价=(2922+2576+2882)÷</w:t>
      </w:r>
      <w:r>
        <w:rPr>
          <w:rFonts w:hint="eastAsia" w:ascii="仿宋" w:hAnsi="仿宋" w:eastAsia="仿宋" w:cs="仿宋"/>
          <w:sz w:val="28"/>
          <w:szCs w:val="28"/>
          <w:highlight w:val="none"/>
          <w:lang w:val="en-US" w:eastAsia="zh-CN"/>
        </w:rPr>
        <w:t>3≈2793(元/平米)</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估价人员确定了</w:t>
      </w:r>
      <w:r>
        <w:rPr>
          <w:rFonts w:hint="eastAsia" w:ascii="仿宋" w:hAnsi="仿宋" w:eastAsia="仿宋"/>
          <w:sz w:val="28"/>
          <w:szCs w:val="28"/>
          <w:lang w:eastAsia="zh-CN"/>
        </w:rPr>
        <w:t>估价对象中</w:t>
      </w:r>
      <w:r>
        <w:rPr>
          <w:rFonts w:hint="eastAsia" w:ascii="仿宋" w:hAnsi="仿宋" w:eastAsia="仿宋"/>
          <w:color w:val="auto"/>
          <w:sz w:val="30"/>
          <w:szCs w:val="30"/>
          <w:lang w:val="en-US" w:eastAsia="zh-CN"/>
        </w:rPr>
        <w:t>2单元5层501室</w:t>
      </w:r>
      <w:r>
        <w:rPr>
          <w:rFonts w:hint="eastAsia" w:ascii="仿宋" w:hAnsi="仿宋" w:eastAsia="仿宋" w:cs="仿宋"/>
          <w:color w:val="auto"/>
          <w:sz w:val="28"/>
          <w:szCs w:val="28"/>
          <w:lang w:val="en-US" w:eastAsia="zh-CN"/>
        </w:rPr>
        <w:t>住宅房屋</w:t>
      </w:r>
      <w:r>
        <w:rPr>
          <w:rFonts w:hint="eastAsia" w:ascii="仿宋" w:hAnsi="仿宋" w:eastAsia="仿宋"/>
          <w:sz w:val="28"/>
          <w:szCs w:val="28"/>
          <w:lang w:eastAsia="zh-CN"/>
        </w:rPr>
        <w:t>的评估单价</w:t>
      </w:r>
      <w:r>
        <w:rPr>
          <w:rFonts w:hint="eastAsia" w:ascii="仿宋" w:hAnsi="仿宋" w:eastAsia="仿宋" w:cs="仿宋"/>
          <w:sz w:val="28"/>
          <w:szCs w:val="28"/>
          <w:lang w:val="en-US" w:eastAsia="zh-CN"/>
        </w:rPr>
        <w:t>后，经对同一小区房屋楼层各种因素进行调整，其它楼层评估价格按照楼层差价调整系数</w:t>
      </w:r>
      <w:r>
        <w:rPr>
          <w:rFonts w:hint="eastAsia" w:ascii="仿宋" w:hAnsi="仿宋" w:eastAsia="仿宋"/>
          <w:sz w:val="28"/>
          <w:szCs w:val="28"/>
          <w:lang w:val="en-US" w:eastAsia="zh-CN"/>
        </w:rPr>
        <w:t>进行</w:t>
      </w:r>
      <w:r>
        <w:rPr>
          <w:rFonts w:hint="eastAsia" w:ascii="仿宋" w:hAnsi="仿宋" w:eastAsia="仿宋" w:cs="仿宋"/>
          <w:sz w:val="28"/>
          <w:szCs w:val="28"/>
          <w:lang w:val="en-US" w:eastAsia="zh-CN"/>
        </w:rPr>
        <w:t>测算。因此正业名居小区11套住宅房屋的评估值分别为：</w:t>
      </w:r>
    </w:p>
    <w:tbl>
      <w:tblPr>
        <w:tblStyle w:val="9"/>
        <w:tblW w:w="8790"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50"/>
        <w:gridCol w:w="1050"/>
        <w:gridCol w:w="1455"/>
        <w:gridCol w:w="1410"/>
        <w:gridCol w:w="151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序号</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单元号</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层数/房号</w:t>
            </w:r>
          </w:p>
        </w:tc>
        <w:tc>
          <w:tcPr>
            <w:tcW w:w="145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建筑</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面积（㎡）</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楼层差价（%）</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评估单价</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（元/㎡）</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评估值</w:t>
            </w:r>
          </w:p>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1-102</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344961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2-202</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102</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2849</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355441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4</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4-402</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103</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2877</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358935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6</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5-502</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7</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8</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5-502</w:t>
            </w:r>
          </w:p>
        </w:tc>
        <w:tc>
          <w:tcPr>
            <w:tcW w:w="1455" w:type="dxa"/>
            <w:textDirection w:val="lrTb"/>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124.76</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348455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99</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2765</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330639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w:t>
            </w:r>
          </w:p>
        </w:tc>
        <w:tc>
          <w:tcPr>
            <w:tcW w:w="105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3单元</w:t>
            </w:r>
          </w:p>
        </w:tc>
        <w:tc>
          <w:tcPr>
            <w:tcW w:w="105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5-501</w:t>
            </w:r>
          </w:p>
        </w:tc>
        <w:tc>
          <w:tcPr>
            <w:tcW w:w="1455" w:type="dxa"/>
            <w:textDirection w:val="lrTb"/>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119.58</w:t>
            </w:r>
          </w:p>
        </w:tc>
        <w:tc>
          <w:tcPr>
            <w:tcW w:w="1410"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100</w:t>
            </w:r>
          </w:p>
        </w:tc>
        <w:tc>
          <w:tcPr>
            <w:tcW w:w="151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2793</w:t>
            </w:r>
          </w:p>
        </w:tc>
        <w:tc>
          <w:tcPr>
            <w:tcW w:w="166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333987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5" w:type="dxa"/>
            <w:gridSpan w:val="3"/>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合计</w:t>
            </w:r>
          </w:p>
        </w:tc>
        <w:tc>
          <w:tcPr>
            <w:tcW w:w="145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cs="仿宋"/>
                <w:kern w:val="2"/>
                <w:sz w:val="28"/>
                <w:szCs w:val="28"/>
                <w:lang w:val="en-US" w:eastAsia="zh-CN" w:bidi="ar-SA"/>
              </w:rPr>
              <w:t>1341.28</w:t>
            </w:r>
          </w:p>
        </w:tc>
        <w:tc>
          <w:tcPr>
            <w:tcW w:w="1410"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w:t>
            </w:r>
          </w:p>
        </w:tc>
        <w:tc>
          <w:tcPr>
            <w:tcW w:w="1515" w:type="dxa"/>
            <w:vAlign w:val="top"/>
          </w:tcPr>
          <w:p>
            <w:pPr>
              <w:jc w:val="center"/>
              <w:rPr>
                <w:rFonts w:hint="eastAsia"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w:t>
            </w:r>
          </w:p>
        </w:tc>
        <w:tc>
          <w:tcPr>
            <w:tcW w:w="1665" w:type="dxa"/>
            <w:vAlign w:val="top"/>
          </w:tcPr>
          <w:p>
            <w:pPr>
              <w:jc w:val="center"/>
              <w:rPr>
                <w:rFonts w:hint="default" w:ascii="仿宋" w:hAnsi="仿宋" w:eastAsia="仿宋"/>
                <w:b w:val="0"/>
                <w:bCs w:val="0"/>
                <w:sz w:val="28"/>
                <w:szCs w:val="28"/>
                <w:vertAlign w:val="baseline"/>
                <w:lang w:val="en-US" w:eastAsia="zh-CN"/>
              </w:rPr>
            </w:pPr>
            <w:r>
              <w:rPr>
                <w:rFonts w:hint="eastAsia" w:ascii="仿宋" w:hAnsi="仿宋" w:eastAsia="仿宋"/>
                <w:b w:val="0"/>
                <w:bCs w:val="0"/>
                <w:sz w:val="28"/>
                <w:szCs w:val="28"/>
                <w:vertAlign w:val="baseline"/>
                <w:lang w:val="en-US" w:eastAsia="zh-CN"/>
              </w:rPr>
              <w:t>3750125</w:t>
            </w:r>
          </w:p>
        </w:tc>
      </w:tr>
    </w:tbl>
    <w:p>
      <w:pPr>
        <w:ind w:firstLine="560" w:firstLineChars="200"/>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以上11套住宅房屋评估值合</w:t>
      </w:r>
      <w:r>
        <w:rPr>
          <w:rFonts w:hint="eastAsia" w:ascii="仿宋" w:hAnsi="仿宋" w:eastAsia="仿宋" w:cs="仿宋"/>
          <w:b w:val="0"/>
          <w:bCs w:val="0"/>
          <w:kern w:val="2"/>
          <w:sz w:val="28"/>
          <w:szCs w:val="28"/>
          <w:highlight w:val="none"/>
          <w:lang w:val="en-US" w:eastAsia="zh-CN" w:bidi="ar-SA"/>
        </w:rPr>
        <w:t>计</w:t>
      </w:r>
      <w:r>
        <w:rPr>
          <w:rFonts w:hint="eastAsia" w:ascii="仿宋" w:hAnsi="仿宋" w:eastAsia="仿宋"/>
          <w:b w:val="0"/>
          <w:bCs w:val="0"/>
          <w:sz w:val="28"/>
          <w:szCs w:val="28"/>
          <w:vertAlign w:val="baseline"/>
          <w:lang w:val="en-US" w:eastAsia="zh-CN"/>
        </w:rPr>
        <w:t>3750125</w:t>
      </w:r>
      <w:r>
        <w:rPr>
          <w:rFonts w:hint="eastAsia" w:ascii="仿宋" w:hAnsi="仿宋" w:eastAsia="仿宋" w:cs="仿宋"/>
          <w:b w:val="0"/>
          <w:bCs w:val="0"/>
          <w:kern w:val="2"/>
          <w:sz w:val="28"/>
          <w:szCs w:val="28"/>
          <w:highlight w:val="none"/>
          <w:lang w:val="en-US" w:eastAsia="zh-CN" w:bidi="ar-SA"/>
        </w:rPr>
        <w:t>元。</w:t>
      </w:r>
    </w:p>
    <w:p>
      <w:pPr>
        <w:ind w:firstLine="562" w:firstLineChars="20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估价人员根据估价目的，遵循估价原则，按照规定估价程序和估价方法，经过具体评估测算，确定估价对象在估价时点可能形成的市场价值为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b w:val="0"/>
          <w:bCs w:val="0"/>
          <w:sz w:val="28"/>
          <w:szCs w:val="28"/>
          <w:highlight w:val="none"/>
          <w:vertAlign w:val="baseline"/>
          <w:lang w:val="en-US" w:eastAsia="zh-CN"/>
        </w:rPr>
        <w:t>37</w:t>
      </w:r>
      <w:r>
        <w:rPr>
          <w:rFonts w:hint="eastAsia" w:ascii="仿宋" w:hAnsi="仿宋" w:eastAsia="仿宋"/>
          <w:b w:val="0"/>
          <w:bCs w:val="0"/>
          <w:sz w:val="28"/>
          <w:szCs w:val="28"/>
          <w:vertAlign w:val="baseline"/>
          <w:lang w:val="en-US" w:eastAsia="zh-CN"/>
        </w:rPr>
        <w:t>50125</w:t>
      </w:r>
      <w:r>
        <w:rPr>
          <w:rFonts w:hint="eastAsia" w:ascii="仿宋_GB2312" w:hAnsi="宋体" w:eastAsia="仿宋_GB2312" w:cs="Times New Roman"/>
          <w:kern w:val="2"/>
          <w:sz w:val="28"/>
          <w:szCs w:val="28"/>
          <w:lang w:val="en-US" w:eastAsia="zh-CN" w:bidi="ar-SA"/>
        </w:rPr>
        <w:t>元(大写人民币叁佰柒拾伍万零壹佰贰拾伍元整)。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湖北循其本价格鉴定评估有限公司</w:t>
      </w:r>
    </w:p>
    <w:p>
      <w:pPr>
        <w:jc w:val="both"/>
        <w:rPr>
          <w:sz w:val="28"/>
          <w:szCs w:val="28"/>
        </w:rPr>
      </w:pPr>
      <w:r>
        <w:rPr>
          <w:rFonts w:hint="eastAsia" w:ascii="仿宋_GB2312" w:hAnsi="宋体" w:eastAsia="仿宋_GB2312" w:cs="Times New Roman"/>
          <w:kern w:val="2"/>
          <w:sz w:val="28"/>
          <w:szCs w:val="28"/>
          <w:highlight w:val="none"/>
          <w:lang w:val="en-US" w:eastAsia="zh-CN" w:bidi="ar-SA"/>
        </w:rPr>
        <w:t xml:space="preserve">                                  二○二一年九月二十九日</w:t>
      </w: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decorative"/>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创艺简仿宋">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22</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EE2985"/>
    <w:rsid w:val="0317189E"/>
    <w:rsid w:val="049C4F1D"/>
    <w:rsid w:val="0F32467D"/>
    <w:rsid w:val="11D968E0"/>
    <w:rsid w:val="125D5E2E"/>
    <w:rsid w:val="19B915C3"/>
    <w:rsid w:val="1F7546B0"/>
    <w:rsid w:val="242258D5"/>
    <w:rsid w:val="2E51759F"/>
    <w:rsid w:val="40EE2985"/>
    <w:rsid w:val="50200100"/>
    <w:rsid w:val="5C331A5C"/>
    <w:rsid w:val="5CC453C1"/>
    <w:rsid w:val="608E53F7"/>
    <w:rsid w:val="610872BF"/>
    <w:rsid w:val="620C5868"/>
    <w:rsid w:val="6CAA23D4"/>
    <w:rsid w:val="766A2DD4"/>
    <w:rsid w:val="76970420"/>
    <w:rsid w:val="778F7079"/>
    <w:rsid w:val="7B9B3656"/>
    <w:rsid w:val="7C791C06"/>
    <w:rsid w:val="7E7F7F1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2021-09-26T00:59:00Z</dcterms:created>
  <dc:creator>Administrator</dc:creator>
  <cp:lastModifiedBy>Administrator</cp:lastModifiedBy>
  <dcterms:modified xsi:type="dcterms:W3CDTF">2021-09-29T05:04:09Z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4D7EBC77734149B0941B23E0EAFD27AE</vt:lpwstr>
  </property>
</Properties>
</file>