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left"/>
        <w:rPr>
          <w:rFonts w:ascii="仿宋_GB2312" w:eastAsia="仿宋_GB2312"/>
          <w:b/>
          <w:color w:val="000000" w:themeColor="text1"/>
          <w:sz w:val="28"/>
          <w:szCs w:val="28"/>
        </w:rPr>
      </w:pPr>
      <w:r>
        <w:rPr>
          <w:rFonts w:ascii="仿宋_GB2312" w:eastAsia="仿宋_GB2312"/>
          <w:b/>
          <w:color w:val="000000" w:themeColor="text1"/>
          <w:sz w:val="28"/>
          <w:szCs w:val="28"/>
        </w:rPr>
        <w:drawing>
          <wp:anchor distT="0" distB="0" distL="114300" distR="114300" simplePos="0" relativeHeight="251664384" behindDoc="1" locked="0" layoutInCell="1" allowOverlap="1">
            <wp:simplePos x="0" y="0"/>
            <wp:positionH relativeFrom="column">
              <wp:posOffset>3903980</wp:posOffset>
            </wp:positionH>
            <wp:positionV relativeFrom="paragraph">
              <wp:posOffset>177165</wp:posOffset>
            </wp:positionV>
            <wp:extent cx="1895475" cy="574040"/>
            <wp:effectExtent l="0" t="0" r="9525" b="16510"/>
            <wp:wrapTight wrapText="bothSides">
              <wp:wrapPolygon>
                <wp:start x="-217" y="0"/>
                <wp:lineTo x="-217" y="20788"/>
                <wp:lineTo x="21709" y="20788"/>
                <wp:lineTo x="21709" y="0"/>
                <wp:lineTo x="-217" y="0"/>
              </wp:wrapPolygon>
            </wp:wrapTight>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1"/>
                    <a:stretch>
                      <a:fillRect/>
                    </a:stretch>
                  </pic:blipFill>
                  <pic:spPr>
                    <a:xfrm>
                      <a:off x="0" y="0"/>
                      <a:ext cx="1895475" cy="574040"/>
                    </a:xfrm>
                    <a:prstGeom prst="rect">
                      <a:avLst/>
                    </a:prstGeom>
                    <a:noFill/>
                    <a:ln w="9525">
                      <a:noFill/>
                    </a:ln>
                  </pic:spPr>
                </pic:pic>
              </a:graphicData>
            </a:graphic>
          </wp:anchor>
        </w:drawing>
      </w:r>
      <w:r>
        <w:rPr>
          <w:rFonts w:hint="eastAsia" w:ascii="仿宋_GB2312" w:eastAsia="仿宋_GB2312"/>
          <w:b/>
          <w:color w:val="000000" w:themeColor="text1"/>
          <w:sz w:val="28"/>
          <w:szCs w:val="28"/>
        </w:rPr>
        <w:t xml:space="preserve">  </w:t>
      </w:r>
    </w:p>
    <w:p>
      <w:pPr>
        <w:jc w:val="left"/>
        <w:rPr>
          <w:rFonts w:ascii="仿宋_GB2312" w:eastAsia="仿宋_GB2312"/>
          <w:b/>
          <w:color w:val="000000" w:themeColor="text1"/>
          <w:sz w:val="28"/>
          <w:szCs w:val="28"/>
        </w:rPr>
      </w:pPr>
      <w:r>
        <w:drawing>
          <wp:inline distT="0" distB="0" distL="114300" distR="114300">
            <wp:extent cx="1000125" cy="96202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1000125" cy="962025"/>
                    </a:xfrm>
                    <a:prstGeom prst="rect">
                      <a:avLst/>
                    </a:prstGeom>
                    <a:noFill/>
                    <a:ln w="9525">
                      <a:noFill/>
                    </a:ln>
                  </pic:spPr>
                </pic:pic>
              </a:graphicData>
            </a:graphic>
          </wp:inline>
        </w:drawing>
      </w:r>
    </w:p>
    <w:p>
      <w:pPr>
        <w:jc w:val="left"/>
        <w:rPr>
          <w:rFonts w:ascii="仿宋_GB2312" w:eastAsia="仿宋_GB2312"/>
          <w:b/>
          <w:color w:val="000000" w:themeColor="text1"/>
          <w:sz w:val="28"/>
          <w:szCs w:val="28"/>
        </w:rPr>
      </w:pPr>
    </w:p>
    <w:p>
      <w:pPr>
        <w:jc w:val="left"/>
        <w:rPr>
          <w:rFonts w:ascii="仿宋_GB2312" w:eastAsia="仿宋_GB2312"/>
          <w:b/>
          <w:color w:val="000000" w:themeColor="text1"/>
          <w:sz w:val="24"/>
          <w:szCs w:val="24"/>
        </w:rPr>
      </w:pPr>
    </w:p>
    <w:p>
      <w:pPr>
        <w:jc w:val="left"/>
        <w:rPr>
          <w:rFonts w:ascii="仿宋_GB2312" w:eastAsia="仿宋_GB2312"/>
          <w:b/>
          <w:color w:val="000000" w:themeColor="text1"/>
          <w:sz w:val="24"/>
          <w:szCs w:val="24"/>
        </w:rPr>
      </w:pPr>
    </w:p>
    <w:p>
      <w:pPr>
        <w:jc w:val="left"/>
        <w:rPr>
          <w:rFonts w:ascii="仿宋_GB2312" w:eastAsia="仿宋_GB2312"/>
          <w:b/>
          <w:color w:val="000000" w:themeColor="text1"/>
          <w:sz w:val="24"/>
          <w:szCs w:val="24"/>
        </w:rPr>
      </w:pPr>
    </w:p>
    <w:p>
      <w:pPr>
        <w:jc w:val="left"/>
        <w:rPr>
          <w:rFonts w:ascii="仿宋_GB2312" w:eastAsia="仿宋_GB2312"/>
          <w:b/>
          <w:color w:val="000000" w:themeColor="text1"/>
          <w:sz w:val="24"/>
          <w:szCs w:val="24"/>
        </w:rPr>
      </w:pPr>
    </w:p>
    <w:p>
      <w:pPr>
        <w:tabs>
          <w:tab w:val="left" w:pos="709"/>
        </w:tabs>
        <w:adjustRightInd w:val="0"/>
        <w:snapToGrid w:val="0"/>
        <w:spacing w:line="480" w:lineRule="auto"/>
        <w:jc w:val="center"/>
        <w:rPr>
          <w:rFonts w:ascii="仿宋_GB2312" w:eastAsia="仿宋_GB2312"/>
          <w:color w:val="000000" w:themeColor="text1"/>
          <w:sz w:val="44"/>
          <w:szCs w:val="44"/>
        </w:rPr>
      </w:pPr>
      <w:bookmarkStart w:id="0" w:name="_Toc362509683"/>
      <w:r>
        <w:rPr>
          <w:rFonts w:hint="eastAsia" w:ascii="仿宋_GB2312" w:eastAsia="仿宋_GB2312"/>
          <w:b/>
          <w:color w:val="000000" w:themeColor="text1"/>
          <w:sz w:val="44"/>
          <w:szCs w:val="44"/>
          <w:highlight w:val="none"/>
        </w:rPr>
        <w:t>涉执房地产处置司法评估报告</w:t>
      </w:r>
      <w:bookmarkEnd w:id="0"/>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709"/>
        </w:tabs>
        <w:adjustRightInd w:val="0"/>
        <w:snapToGrid w:val="0"/>
        <w:spacing w:line="480" w:lineRule="auto"/>
        <w:jc w:val="center"/>
        <w:rPr>
          <w:rFonts w:ascii="仿宋_GB2312" w:eastAsia="仿宋_GB2312"/>
          <w:b/>
          <w:color w:val="000000" w:themeColor="text1"/>
          <w:szCs w:val="21"/>
        </w:rPr>
      </w:pPr>
    </w:p>
    <w:p>
      <w:pPr>
        <w:tabs>
          <w:tab w:val="left" w:pos="540"/>
        </w:tabs>
        <w:snapToGrid w:val="0"/>
        <w:spacing w:line="560" w:lineRule="exact"/>
        <w:ind w:firstLine="630" w:firstLineChars="196"/>
        <w:rPr>
          <w:rFonts w:ascii="仿宋_GB2312" w:eastAsia="仿宋_GB2312" w:cs="仿宋_GB2312"/>
          <w:color w:val="000000" w:themeColor="text1"/>
          <w:sz w:val="32"/>
        </w:rPr>
      </w:pPr>
      <w:r>
        <w:rPr>
          <w:rFonts w:hint="eastAsia" w:ascii="仿宋_GB2312" w:eastAsia="仿宋_GB2312"/>
          <w:b/>
          <w:color w:val="000000" w:themeColor="text1"/>
          <w:sz w:val="32"/>
        </w:rPr>
        <w:t>估价报告编号</w:t>
      </w:r>
      <w:r>
        <w:rPr>
          <w:rFonts w:hint="eastAsia" w:ascii="仿宋_GB2312" w:eastAsia="仿宋_GB2312"/>
          <w:color w:val="000000" w:themeColor="text1"/>
          <w:sz w:val="32"/>
        </w:rPr>
        <w:t>：</w:t>
      </w:r>
      <w:r>
        <w:rPr>
          <w:rFonts w:hint="eastAsia" w:ascii="仿宋_GB2312" w:eastAsia="仿宋_GB2312" w:cs="仿宋_GB2312"/>
          <w:color w:val="000000" w:themeColor="text1"/>
          <w:sz w:val="32"/>
        </w:rPr>
        <w:t xml:space="preserve">冀嘉泽2021（房估）字第0109057号 </w:t>
      </w:r>
    </w:p>
    <w:p>
      <w:pPr>
        <w:tabs>
          <w:tab w:val="left" w:pos="709"/>
        </w:tabs>
        <w:adjustRightInd w:val="0"/>
        <w:snapToGrid w:val="0"/>
        <w:spacing w:line="560" w:lineRule="exact"/>
        <w:ind w:left="2861" w:leftChars="299" w:hanging="2233" w:hangingChars="695"/>
        <w:rPr>
          <w:rFonts w:ascii="仿宋_GB2312" w:eastAsia="仿宋_GB2312" w:cs="仿宋_GB2312"/>
          <w:color w:val="000000" w:themeColor="text1"/>
          <w:sz w:val="32"/>
        </w:rPr>
      </w:pPr>
      <w:r>
        <w:rPr>
          <w:rFonts w:hint="eastAsia" w:ascii="仿宋_GB2312" w:eastAsia="仿宋_GB2312"/>
          <w:b/>
          <w:color w:val="000000" w:themeColor="text1"/>
          <w:sz w:val="32"/>
        </w:rPr>
        <w:t>估价项目名称</w:t>
      </w:r>
      <w:r>
        <w:rPr>
          <w:rFonts w:hint="eastAsia" w:ascii="仿宋_GB2312" w:eastAsia="仿宋_GB2312"/>
          <w:color w:val="000000" w:themeColor="text1"/>
          <w:sz w:val="32"/>
        </w:rPr>
        <w:t>：</w:t>
      </w:r>
      <w:r>
        <w:rPr>
          <w:rFonts w:hint="eastAsia" w:ascii="仿宋_GB2312" w:eastAsia="仿宋_GB2312"/>
          <w:color w:val="000000" w:themeColor="text1"/>
          <w:sz w:val="32"/>
          <w:lang w:eastAsia="zh-CN"/>
        </w:rPr>
        <w:t>石家庄市裕华区神兴二期12-B-604</w:t>
      </w:r>
      <w:r>
        <w:rPr>
          <w:rFonts w:hint="eastAsia" w:ascii="仿宋_GB2312" w:eastAsia="仿宋_GB2312"/>
          <w:color w:val="000000" w:themeColor="text1"/>
          <w:sz w:val="32"/>
        </w:rPr>
        <w:t>的</w:t>
      </w:r>
      <w:r>
        <w:rPr>
          <w:rFonts w:hint="eastAsia" w:ascii="仿宋_GB2312" w:eastAsia="仿宋_GB2312" w:cs="仿宋_GB2312"/>
          <w:color w:val="000000" w:themeColor="text1"/>
          <w:sz w:val="32"/>
          <w:lang w:bidi="ar"/>
        </w:rPr>
        <w:t>成套</w:t>
      </w:r>
      <w:r>
        <w:rPr>
          <w:rFonts w:hint="eastAsia" w:ascii="仿宋_GB2312" w:eastAsia="仿宋_GB2312" w:cs="仿宋_GB2312"/>
          <w:color w:val="000000" w:themeColor="text1"/>
          <w:sz w:val="32"/>
          <w:highlight w:val="none"/>
          <w:lang w:bidi="ar"/>
        </w:rPr>
        <w:t>住宅司法评估</w:t>
      </w:r>
    </w:p>
    <w:p>
      <w:pPr>
        <w:tabs>
          <w:tab w:val="left" w:pos="709"/>
          <w:tab w:val="left" w:pos="851"/>
          <w:tab w:val="left" w:pos="993"/>
          <w:tab w:val="left" w:pos="1560"/>
        </w:tabs>
        <w:adjustRightInd w:val="0"/>
        <w:snapToGrid w:val="0"/>
        <w:spacing w:line="560" w:lineRule="exact"/>
        <w:ind w:firstLine="630" w:firstLineChars="196"/>
        <w:rPr>
          <w:rFonts w:hint="eastAsia" w:ascii="仿宋_GB2312" w:eastAsia="仿宋_GB2312"/>
          <w:color w:val="000000" w:themeColor="text1"/>
          <w:sz w:val="32"/>
          <w:lang w:eastAsia="zh-CN"/>
        </w:rPr>
      </w:pPr>
      <w:r>
        <w:rPr>
          <w:rFonts w:hint="eastAsia" w:ascii="仿宋_GB2312" w:eastAsia="仿宋_GB2312"/>
          <w:b/>
          <w:color w:val="000000" w:themeColor="text1"/>
          <w:sz w:val="32"/>
        </w:rPr>
        <w:t>估价委托人</w:t>
      </w:r>
      <w:r>
        <w:rPr>
          <w:rFonts w:hint="eastAsia" w:ascii="仿宋_GB2312" w:eastAsia="仿宋_GB2312"/>
          <w:color w:val="000000" w:themeColor="text1"/>
          <w:sz w:val="32"/>
        </w:rPr>
        <w:t>：</w:t>
      </w:r>
      <w:r>
        <w:rPr>
          <w:rFonts w:hint="eastAsia" w:ascii="仿宋_GB2312" w:eastAsia="仿宋_GB2312"/>
          <w:color w:val="000000" w:themeColor="text1"/>
          <w:sz w:val="32"/>
          <w:lang w:eastAsia="zh-CN"/>
        </w:rPr>
        <w:t>石家庄市长安区人民法院</w:t>
      </w:r>
    </w:p>
    <w:p>
      <w:pPr>
        <w:tabs>
          <w:tab w:val="left" w:pos="709"/>
        </w:tabs>
        <w:adjustRightInd w:val="0"/>
        <w:snapToGrid w:val="0"/>
        <w:spacing w:line="560" w:lineRule="exact"/>
        <w:ind w:firstLine="630" w:firstLineChars="196"/>
        <w:rPr>
          <w:rFonts w:ascii="仿宋_GB2312" w:eastAsia="仿宋_GB2312"/>
          <w:color w:val="000000" w:themeColor="text1"/>
          <w:sz w:val="32"/>
        </w:rPr>
      </w:pPr>
      <w:r>
        <w:rPr>
          <w:rFonts w:hint="eastAsia" w:ascii="仿宋_GB2312" w:eastAsia="仿宋_GB2312"/>
          <w:b/>
          <w:color w:val="000000" w:themeColor="text1"/>
          <w:sz w:val="32"/>
        </w:rPr>
        <w:t>房地产估价机构</w:t>
      </w:r>
      <w:r>
        <w:rPr>
          <w:rFonts w:hint="eastAsia" w:ascii="仿宋_GB2312" w:eastAsia="仿宋_GB2312"/>
          <w:color w:val="000000" w:themeColor="text1"/>
          <w:sz w:val="32"/>
        </w:rPr>
        <w:t>：河北嘉泽房地产资产评估有限公司</w:t>
      </w:r>
    </w:p>
    <w:p>
      <w:pPr>
        <w:tabs>
          <w:tab w:val="left" w:pos="2520"/>
        </w:tabs>
        <w:adjustRightInd w:val="0"/>
        <w:snapToGrid w:val="0"/>
        <w:spacing w:line="560" w:lineRule="exact"/>
        <w:ind w:firstLine="643" w:firstLineChars="200"/>
        <w:rPr>
          <w:rFonts w:hint="eastAsia" w:ascii="仿宋_GB2312" w:eastAsia="仿宋_GB2312" w:cs="仿宋_GB2312"/>
          <w:color w:val="000000" w:themeColor="text1"/>
          <w:sz w:val="32"/>
          <w:lang w:eastAsia="zh-CN"/>
        </w:rPr>
      </w:pPr>
      <w:r>
        <w:rPr>
          <w:rFonts w:hint="eastAsia" w:ascii="仿宋_GB2312" w:eastAsia="仿宋_GB2312"/>
          <w:b/>
          <w:color w:val="000000" w:themeColor="text1"/>
          <w:sz w:val="32"/>
        </w:rPr>
        <w:t>注册房地产估价师</w:t>
      </w:r>
      <w:r>
        <w:rPr>
          <w:rFonts w:hint="eastAsia" w:ascii="仿宋_GB2312" w:eastAsia="仿宋_GB2312"/>
          <w:color w:val="000000" w:themeColor="text1"/>
          <w:sz w:val="32"/>
        </w:rPr>
        <w:t>：</w:t>
      </w:r>
      <w:r>
        <w:rPr>
          <w:rFonts w:hint="eastAsia" w:ascii="仿宋_GB2312" w:eastAsia="仿宋_GB2312" w:cs="仿宋_GB2312"/>
          <w:color w:val="000000" w:themeColor="text1"/>
          <w:sz w:val="32"/>
          <w:lang w:eastAsia="zh-CN"/>
        </w:rPr>
        <w:t>刘  倩</w:t>
      </w:r>
      <w:r>
        <w:rPr>
          <w:rFonts w:hint="eastAsia" w:ascii="仿宋_GB2312" w:eastAsia="仿宋_GB2312" w:cs="仿宋_GB2312"/>
          <w:color w:val="000000" w:themeColor="text1"/>
          <w:sz w:val="32"/>
        </w:rPr>
        <w:t xml:space="preserve"> 注册号：</w:t>
      </w:r>
      <w:r>
        <w:rPr>
          <w:rFonts w:hint="eastAsia" w:ascii="仿宋_GB2312" w:eastAsia="仿宋_GB2312" w:cs="仿宋_GB2312"/>
          <w:color w:val="000000" w:themeColor="text1"/>
          <w:sz w:val="32"/>
          <w:lang w:eastAsia="zh-CN"/>
        </w:rPr>
        <w:t>1320210061</w:t>
      </w:r>
    </w:p>
    <w:p>
      <w:pPr>
        <w:tabs>
          <w:tab w:val="left" w:pos="2520"/>
        </w:tabs>
        <w:adjustRightInd w:val="0"/>
        <w:snapToGrid w:val="0"/>
        <w:spacing w:line="560" w:lineRule="exact"/>
        <w:ind w:firstLine="3520" w:firstLineChars="1100"/>
        <w:rPr>
          <w:rFonts w:hint="eastAsia" w:ascii="仿宋_GB2312" w:eastAsia="仿宋_GB2312" w:cs="仿宋_GB2312"/>
          <w:color w:val="000000" w:themeColor="text1"/>
          <w:sz w:val="28"/>
          <w:szCs w:val="28"/>
          <w:lang w:eastAsia="zh-CN"/>
        </w:rPr>
      </w:pPr>
      <w:r>
        <w:rPr>
          <w:rFonts w:hint="eastAsia" w:ascii="仿宋_GB2312" w:eastAsia="仿宋_GB2312" w:cs="仿宋_GB2312"/>
          <w:color w:val="000000" w:themeColor="text1"/>
          <w:sz w:val="32"/>
          <w:lang w:eastAsia="zh-CN"/>
        </w:rPr>
        <w:t>蒲亚维</w:t>
      </w:r>
      <w:r>
        <w:rPr>
          <w:rFonts w:hint="eastAsia" w:ascii="仿宋_GB2312" w:eastAsia="仿宋_GB2312" w:cs="仿宋_GB2312"/>
          <w:color w:val="000000" w:themeColor="text1"/>
          <w:sz w:val="32"/>
        </w:rPr>
        <w:t xml:space="preserve"> 注册号：</w:t>
      </w:r>
      <w:r>
        <w:rPr>
          <w:rFonts w:hint="eastAsia" w:ascii="仿宋_GB2312" w:eastAsia="仿宋_GB2312" w:cs="仿宋_GB2312"/>
          <w:color w:val="000000" w:themeColor="text1"/>
          <w:sz w:val="32"/>
          <w:lang w:eastAsia="zh-CN"/>
        </w:rPr>
        <w:t>1320200042</w:t>
      </w:r>
    </w:p>
    <w:p>
      <w:pPr>
        <w:tabs>
          <w:tab w:val="left" w:pos="2520"/>
        </w:tabs>
        <w:adjustRightInd w:val="0"/>
        <w:snapToGrid w:val="0"/>
        <w:spacing w:line="560" w:lineRule="exact"/>
        <w:ind w:firstLine="630" w:firstLineChars="196"/>
        <w:rPr>
          <w:rFonts w:hint="eastAsia" w:ascii="仿宋_GB2312" w:eastAsia="仿宋_GB2312"/>
          <w:color w:val="000000" w:themeColor="text1"/>
          <w:sz w:val="32"/>
          <w:szCs w:val="32"/>
          <w:lang w:eastAsia="zh-CN"/>
        </w:rPr>
      </w:pPr>
      <w:r>
        <w:rPr>
          <w:rFonts w:hint="eastAsia" w:ascii="仿宋_GB2312" w:eastAsia="仿宋_GB2312"/>
          <w:b/>
          <w:color w:val="000000" w:themeColor="text1"/>
          <w:sz w:val="32"/>
        </w:rPr>
        <w:t>估价报告出具日期：</w:t>
      </w:r>
      <w:r>
        <w:rPr>
          <w:rFonts w:hint="eastAsia" w:ascii="仿宋_GB2312" w:eastAsia="仿宋_GB2312"/>
          <w:color w:val="000000" w:themeColor="text1"/>
          <w:sz w:val="32"/>
          <w:szCs w:val="32"/>
          <w:highlight w:val="none"/>
          <w:lang w:eastAsia="zh-CN"/>
        </w:rPr>
        <w:t>2021年9月26日</w:t>
      </w:r>
    </w:p>
    <w:p>
      <w:pPr>
        <w:tabs>
          <w:tab w:val="left" w:pos="0"/>
        </w:tabs>
        <w:snapToGrid w:val="0"/>
        <w:spacing w:line="480" w:lineRule="auto"/>
        <w:rPr>
          <w:rFonts w:ascii="仿宋_GB2312" w:hAnsi="宋体" w:eastAsia="仿宋_GB2312"/>
          <w:snapToGrid w:val="0"/>
          <w:color w:val="000000" w:themeColor="text1"/>
          <w:spacing w:val="-10"/>
          <w:kern w:val="0"/>
          <w:sz w:val="32"/>
          <w:szCs w:val="32"/>
        </w:rPr>
        <w:sectPr>
          <w:headerReference r:id="rId3" w:type="default"/>
          <w:footerReference r:id="rId4" w:type="default"/>
          <w:pgSz w:w="11906" w:h="16838"/>
          <w:pgMar w:top="1814" w:right="1276" w:bottom="1418" w:left="1701" w:header="1417" w:footer="737" w:gutter="0"/>
          <w:pgBorders>
            <w:top w:val="none" w:sz="0" w:space="0"/>
            <w:left w:val="none" w:sz="0" w:space="0"/>
            <w:bottom w:val="none" w:sz="0" w:space="0"/>
            <w:right w:val="none" w:sz="0" w:space="0"/>
          </w:pgBorders>
          <w:cols w:space="720" w:num="1"/>
          <w:titlePg/>
          <w:docGrid w:linePitch="286" w:charSpace="0"/>
        </w:sectPr>
      </w:pPr>
    </w:p>
    <w:p>
      <w:pPr>
        <w:snapToGrid w:val="0"/>
        <w:spacing w:line="360" w:lineRule="auto"/>
        <w:jc w:val="center"/>
        <w:rPr>
          <w:b/>
          <w:color w:val="000000" w:themeColor="text1"/>
          <w:sz w:val="26"/>
          <w:szCs w:val="26"/>
        </w:rPr>
      </w:pPr>
      <w:bookmarkStart w:id="1" w:name="_Toc383069657"/>
      <w:r>
        <w:rPr>
          <w:rFonts w:hint="eastAsia" w:ascii="仿宋_GB2312" w:eastAsia="仿宋_GB2312"/>
          <w:b/>
          <w:snapToGrid w:val="0"/>
          <w:color w:val="000000" w:themeColor="text1"/>
          <w:sz w:val="36"/>
          <w:szCs w:val="36"/>
        </w:rPr>
        <w:t>致估价委托人函</w:t>
      </w:r>
      <w:r>
        <w:rPr>
          <w:b/>
          <w:color w:val="000000" w:themeColor="text1"/>
          <w:sz w:val="26"/>
          <w:szCs w:val="26"/>
        </w:rPr>
        <w:fldChar w:fldCharType="begin"/>
      </w:r>
      <w:r>
        <w:rPr>
          <w:b/>
          <w:color w:val="000000" w:themeColor="text1"/>
          <w:sz w:val="26"/>
          <w:szCs w:val="26"/>
        </w:rPr>
        <w:instrText xml:space="preserve"> TC "</w:instrText>
      </w:r>
      <w:bookmarkStart w:id="2" w:name="_Toc288212013"/>
      <w:bookmarkStart w:id="3" w:name="_Toc289260244"/>
      <w:r>
        <w:rPr>
          <w:rFonts w:hint="eastAsia"/>
          <w:b/>
          <w:color w:val="000000" w:themeColor="text1"/>
          <w:sz w:val="26"/>
          <w:szCs w:val="26"/>
        </w:rPr>
        <w:instrText xml:space="preserve">一、</w:instrText>
      </w:r>
      <w:r>
        <w:rPr>
          <w:b/>
          <w:color w:val="000000" w:themeColor="text1"/>
          <w:sz w:val="26"/>
          <w:szCs w:val="26"/>
        </w:rPr>
        <w:instrText xml:space="preserve">致</w:instrText>
      </w:r>
      <w:r>
        <w:rPr>
          <w:rFonts w:hint="eastAsia"/>
          <w:b/>
          <w:color w:val="000000" w:themeColor="text1"/>
          <w:sz w:val="26"/>
          <w:szCs w:val="26"/>
        </w:rPr>
        <w:instrText xml:space="preserve">估价</w:instrText>
      </w:r>
      <w:r>
        <w:rPr>
          <w:b/>
          <w:color w:val="000000" w:themeColor="text1"/>
          <w:sz w:val="26"/>
          <w:szCs w:val="26"/>
        </w:rPr>
        <w:instrText xml:space="preserve">委托人函</w:instrText>
      </w:r>
      <w:bookmarkEnd w:id="2"/>
      <w:bookmarkEnd w:id="3"/>
      <w:r>
        <w:rPr>
          <w:b/>
          <w:color w:val="000000" w:themeColor="text1"/>
          <w:sz w:val="26"/>
          <w:szCs w:val="26"/>
        </w:rPr>
        <w:instrText xml:space="preserve">" \f C \l "1"</w:instrText>
      </w:r>
      <w:r>
        <w:rPr>
          <w:b/>
          <w:color w:val="000000" w:themeColor="text1"/>
          <w:sz w:val="26"/>
          <w:szCs w:val="26"/>
        </w:rPr>
        <w:fldChar w:fldCharType="end"/>
      </w:r>
    </w:p>
    <w:p>
      <w:pPr>
        <w:spacing w:line="580" w:lineRule="exact"/>
        <w:rPr>
          <w:rFonts w:eastAsia="仿宋_GB2312"/>
          <w:color w:val="000000" w:themeColor="text1"/>
          <w:sz w:val="28"/>
          <w:szCs w:val="28"/>
        </w:rPr>
      </w:pPr>
      <w:r>
        <w:rPr>
          <w:rFonts w:hint="eastAsia" w:eastAsia="仿宋_GB2312"/>
          <w:color w:val="000000" w:themeColor="text1"/>
          <w:sz w:val="28"/>
          <w:szCs w:val="28"/>
          <w:lang w:eastAsia="zh-CN"/>
        </w:rPr>
        <w:t>石家庄市长安区人民法院</w:t>
      </w:r>
      <w:r>
        <w:rPr>
          <w:rFonts w:hint="eastAsia" w:eastAsia="仿宋_GB2312"/>
          <w:color w:val="000000" w:themeColor="text1"/>
          <w:sz w:val="28"/>
          <w:szCs w:val="28"/>
        </w:rPr>
        <w:t>：</w:t>
      </w:r>
    </w:p>
    <w:p>
      <w:pPr>
        <w:spacing w:line="580" w:lineRule="exact"/>
        <w:ind w:firstLine="555"/>
        <w:rPr>
          <w:rFonts w:hint="eastAsia" w:ascii="仿宋_GB2312" w:hAnsi="宋体" w:eastAsia="仿宋_GB2312" w:cs="宋体"/>
          <w:color w:val="000000" w:themeColor="text1"/>
          <w:sz w:val="28"/>
          <w:szCs w:val="28"/>
          <w:lang w:eastAsia="zh-CN"/>
        </w:rPr>
      </w:pPr>
      <w:r>
        <w:rPr>
          <w:rFonts w:hint="eastAsia" w:eastAsia="仿宋_GB2312"/>
          <w:color w:val="000000" w:themeColor="text1"/>
          <w:sz w:val="28"/>
          <w:szCs w:val="28"/>
        </w:rPr>
        <w:t>受</w:t>
      </w:r>
      <w:r>
        <w:rPr>
          <w:rFonts w:hint="eastAsia" w:ascii="仿宋_GB2312" w:hAnsi="宋体" w:eastAsia="仿宋_GB2312" w:cs="宋体"/>
          <w:color w:val="000000" w:themeColor="text1"/>
          <w:sz w:val="28"/>
          <w:szCs w:val="28"/>
          <w:lang w:eastAsia="zh-CN"/>
        </w:rPr>
        <w:t>贵院委托，我公司对贵院在执行《（2021）冀0102执恢317号》案件中涉及的白雪梅位于石家庄市裕华区神兴二期12-B-604的成套住宅房地产市场价值进行了评估。</w:t>
      </w:r>
    </w:p>
    <w:p>
      <w:pPr>
        <w:snapToGrid w:val="0"/>
        <w:spacing w:line="580" w:lineRule="exact"/>
        <w:ind w:firstLine="560" w:firstLineChars="200"/>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估价目的：为</w:t>
      </w:r>
      <w:r>
        <w:rPr>
          <w:rFonts w:hint="eastAsia" w:ascii="仿宋_GB2312" w:hAnsi="仿宋_GB2312" w:eastAsia="仿宋_GB2312" w:cs="仿宋_GB2312"/>
          <w:color w:val="000000" w:themeColor="text1"/>
          <w:sz w:val="28"/>
          <w:szCs w:val="28"/>
          <w:lang w:eastAsia="zh-CN"/>
        </w:rPr>
        <w:t>石家庄市长安区人民法院</w:t>
      </w:r>
      <w:r>
        <w:rPr>
          <w:rFonts w:hint="eastAsia" w:ascii="仿宋_GB2312" w:hAnsi="仿宋_GB2312" w:eastAsia="仿宋_GB2312" w:cs="仿宋_GB2312"/>
          <w:color w:val="000000" w:themeColor="text1"/>
          <w:sz w:val="28"/>
          <w:szCs w:val="28"/>
        </w:rPr>
        <w:t>确定财产处置参考价提供参考依据。</w:t>
      </w:r>
    </w:p>
    <w:p>
      <w:pPr>
        <w:snapToGrid w:val="0"/>
        <w:spacing w:line="580" w:lineRule="exact"/>
        <w:ind w:firstLine="560" w:firstLineChars="200"/>
        <w:rPr>
          <w:rFonts w:ascii="仿宋_GB2312" w:eastAsia="仿宋_GB2312"/>
          <w:color w:val="000000" w:themeColor="text1"/>
          <w:sz w:val="28"/>
          <w:szCs w:val="28"/>
        </w:rPr>
      </w:pPr>
      <w:r>
        <w:rPr>
          <w:rFonts w:hint="eastAsia" w:ascii="仿宋_GB2312" w:hAnsi="仿宋_GB2312" w:eastAsia="仿宋_GB2312" w:cs="仿宋_GB2312"/>
          <w:color w:val="000000" w:themeColor="text1"/>
          <w:sz w:val="28"/>
          <w:szCs w:val="28"/>
        </w:rPr>
        <w:t>估价对象：</w:t>
      </w:r>
      <w:r>
        <w:rPr>
          <w:rFonts w:hint="eastAsia" w:ascii="仿宋_GB2312" w:hAnsi="仿宋_GB2312" w:eastAsia="仿宋_GB2312" w:cs="仿宋_GB2312"/>
          <w:color w:val="000000" w:themeColor="text1"/>
          <w:sz w:val="28"/>
          <w:szCs w:val="28"/>
          <w:lang w:bidi="ar"/>
        </w:rPr>
        <w:t>根据调档资料《不动产权利及其他事项登记信息》记载</w:t>
      </w:r>
      <w:r>
        <w:rPr>
          <w:rFonts w:hint="eastAsia" w:ascii="仿宋_GB2312" w:hAnsi="仿宋_GB2312" w:eastAsia="仿宋_GB2312" w:cs="仿宋_GB2312"/>
          <w:color w:val="000000" w:themeColor="text1"/>
          <w:sz w:val="28"/>
          <w:szCs w:val="28"/>
        </w:rPr>
        <w:t>，</w:t>
      </w:r>
      <w:r>
        <w:rPr>
          <w:rFonts w:hint="eastAsia" w:ascii="仿宋_GB2312" w:hAnsi="宋体" w:eastAsia="仿宋_GB2312" w:cs="宋体"/>
          <w:color w:val="000000" w:themeColor="text1"/>
          <w:sz w:val="28"/>
          <w:szCs w:val="28"/>
        </w:rPr>
        <w:t>不动产权证书号为</w:t>
      </w:r>
      <w:r>
        <w:rPr>
          <w:rFonts w:hint="eastAsia" w:ascii="仿宋_GB2312" w:hAnsi="宋体" w:eastAsia="仿宋_GB2312" w:cs="宋体"/>
          <w:color w:val="000000" w:themeColor="text1"/>
          <w:sz w:val="28"/>
          <w:szCs w:val="28"/>
          <w:lang w:eastAsia="zh-CN"/>
        </w:rPr>
        <w:t>530052161</w:t>
      </w:r>
      <w:r>
        <w:rPr>
          <w:rFonts w:hint="eastAsia" w:ascii="仿宋_GB2312" w:hAnsi="宋体" w:eastAsia="仿宋_GB2312" w:cs="宋体"/>
          <w:color w:val="000000" w:themeColor="text1"/>
          <w:sz w:val="28"/>
          <w:szCs w:val="28"/>
        </w:rPr>
        <w:t>，</w:t>
      </w:r>
      <w:r>
        <w:rPr>
          <w:rFonts w:hint="eastAsia" w:ascii="仿宋_GB2312" w:hAnsi="仿宋_GB2312" w:eastAsia="仿宋_GB2312" w:cs="仿宋_GB2312"/>
          <w:color w:val="000000" w:themeColor="text1"/>
          <w:sz w:val="28"/>
          <w:szCs w:val="28"/>
        </w:rPr>
        <w:t>估价对象位于</w:t>
      </w:r>
      <w:r>
        <w:rPr>
          <w:rFonts w:hint="eastAsia" w:ascii="仿宋_GB2312" w:hAnsi="仿宋_GB2312" w:eastAsia="仿宋_GB2312" w:cs="仿宋_GB2312"/>
          <w:color w:val="000000" w:themeColor="text1"/>
          <w:sz w:val="28"/>
          <w:szCs w:val="28"/>
          <w:lang w:eastAsia="zh-CN"/>
        </w:rPr>
        <w:t>石家庄市裕华区神兴二期12-B-604</w:t>
      </w:r>
      <w:r>
        <w:rPr>
          <w:rFonts w:hint="eastAsia" w:ascii="仿宋_GB2312" w:hAnsi="仿宋_GB2312" w:eastAsia="仿宋_GB2312" w:cs="仿宋_GB2312"/>
          <w:color w:val="000000" w:themeColor="text1"/>
          <w:sz w:val="28"/>
          <w:szCs w:val="28"/>
        </w:rPr>
        <w:t>，房屋所有权人为</w:t>
      </w:r>
      <w:r>
        <w:rPr>
          <w:rFonts w:hint="eastAsia" w:ascii="仿宋_GB2312" w:hAnsi="仿宋_GB2312" w:eastAsia="仿宋_GB2312" w:cs="仿宋_GB2312"/>
          <w:color w:val="000000" w:themeColor="text1"/>
          <w:sz w:val="28"/>
          <w:szCs w:val="28"/>
          <w:lang w:eastAsia="zh-CN"/>
        </w:rPr>
        <w:t>白雪梅</w:t>
      </w:r>
      <w:r>
        <w:rPr>
          <w:rFonts w:hint="eastAsia" w:ascii="仿宋_GB2312" w:hAnsi="仿宋_GB2312" w:eastAsia="仿宋_GB2312" w:cs="仿宋_GB2312"/>
          <w:color w:val="000000" w:themeColor="text1"/>
          <w:sz w:val="28"/>
          <w:szCs w:val="28"/>
        </w:rPr>
        <w:t>，用途为住宅，</w:t>
      </w:r>
      <w:r>
        <w:rPr>
          <w:rFonts w:hint="eastAsia" w:ascii="仿宋_GB2312" w:hAnsi="仿宋_GB2312" w:eastAsia="仿宋_GB2312" w:cs="仿宋_GB2312"/>
          <w:color w:val="000000" w:themeColor="text1"/>
          <w:sz w:val="28"/>
          <w:szCs w:val="28"/>
          <w:lang w:eastAsia="zh-CN"/>
        </w:rPr>
        <w:t>混合</w:t>
      </w:r>
      <w:r>
        <w:rPr>
          <w:rFonts w:hint="eastAsia" w:ascii="仿宋_GB2312" w:hAnsi="仿宋_GB2312" w:eastAsia="仿宋_GB2312" w:cs="仿宋_GB2312"/>
          <w:color w:val="000000" w:themeColor="text1"/>
          <w:sz w:val="28"/>
          <w:szCs w:val="28"/>
        </w:rPr>
        <w:t>结构，</w:t>
      </w:r>
      <w:r>
        <w:rPr>
          <w:rFonts w:hint="eastAsia" w:ascii="仿宋_GB2312" w:eastAsia="仿宋_GB2312"/>
          <w:color w:val="000000" w:themeColor="text1"/>
          <w:sz w:val="28"/>
          <w:szCs w:val="28"/>
        </w:rPr>
        <w:t>房屋总层数为</w:t>
      </w:r>
      <w:r>
        <w:rPr>
          <w:rFonts w:hint="eastAsia" w:ascii="仿宋_GB2312" w:eastAsia="仿宋_GB2312"/>
          <w:color w:val="000000" w:themeColor="text1"/>
          <w:sz w:val="28"/>
          <w:szCs w:val="28"/>
          <w:lang w:val="en-US" w:eastAsia="zh-CN"/>
        </w:rPr>
        <w:t>8</w:t>
      </w:r>
      <w:r>
        <w:rPr>
          <w:rFonts w:hint="eastAsia" w:ascii="仿宋_GB2312" w:eastAsia="仿宋_GB2312"/>
          <w:color w:val="000000" w:themeColor="text1"/>
          <w:sz w:val="28"/>
          <w:szCs w:val="28"/>
        </w:rPr>
        <w:t>层（地上</w:t>
      </w:r>
      <w:r>
        <w:rPr>
          <w:rFonts w:hint="eastAsia" w:ascii="仿宋_GB2312" w:eastAsia="仿宋_GB2312"/>
          <w:color w:val="000000" w:themeColor="text1"/>
          <w:sz w:val="28"/>
          <w:szCs w:val="28"/>
          <w:lang w:val="en-US" w:eastAsia="zh-CN"/>
        </w:rPr>
        <w:t>7</w:t>
      </w:r>
      <w:r>
        <w:rPr>
          <w:rFonts w:hint="eastAsia" w:ascii="仿宋_GB2312" w:eastAsia="仿宋_GB2312"/>
          <w:color w:val="000000" w:themeColor="text1"/>
          <w:sz w:val="28"/>
          <w:szCs w:val="28"/>
        </w:rPr>
        <w:t>层，地下1层），</w:t>
      </w:r>
      <w:r>
        <w:rPr>
          <w:rFonts w:hint="eastAsia" w:ascii="仿宋_GB2312" w:eastAsia="仿宋_GB2312"/>
          <w:color w:val="000000" w:themeColor="text1"/>
          <w:sz w:val="28"/>
          <w:szCs w:val="28"/>
          <w:lang w:val="en-US" w:eastAsia="zh-CN"/>
        </w:rPr>
        <w:t>房屋</w:t>
      </w:r>
      <w:r>
        <w:rPr>
          <w:rFonts w:hint="eastAsia" w:ascii="仿宋_GB2312" w:hAnsi="仿宋_GB2312" w:eastAsia="仿宋_GB2312" w:cs="仿宋_GB2312"/>
          <w:color w:val="000000" w:themeColor="text1"/>
          <w:sz w:val="28"/>
          <w:szCs w:val="28"/>
        </w:rPr>
        <w:t>所在层为</w:t>
      </w:r>
      <w:r>
        <w:rPr>
          <w:rFonts w:hint="eastAsia" w:ascii="仿宋_GB2312" w:hAnsi="仿宋_GB2312" w:eastAsia="仿宋_GB2312" w:cs="仿宋_GB2312"/>
          <w:color w:val="000000" w:themeColor="text1"/>
          <w:sz w:val="28"/>
          <w:szCs w:val="28"/>
          <w:lang w:val="en-US" w:eastAsia="zh-CN"/>
        </w:rPr>
        <w:t>地上6-7</w:t>
      </w:r>
      <w:r>
        <w:rPr>
          <w:rFonts w:hint="eastAsia" w:ascii="仿宋_GB2312" w:hAnsi="仿宋_GB2312" w:eastAsia="仿宋_GB2312" w:cs="仿宋_GB2312"/>
          <w:color w:val="000000" w:themeColor="text1"/>
          <w:sz w:val="28"/>
          <w:szCs w:val="28"/>
        </w:rPr>
        <w:t>层</w:t>
      </w:r>
      <w:r>
        <w:rPr>
          <w:rFonts w:hint="eastAsia" w:ascii="仿宋_GB2312" w:hAnsi="仿宋_GB2312" w:eastAsia="仿宋_GB2312" w:cs="仿宋_GB2312"/>
          <w:color w:val="000000" w:themeColor="text1"/>
          <w:sz w:val="28"/>
          <w:szCs w:val="28"/>
          <w:lang w:eastAsia="zh-CN"/>
        </w:rPr>
        <w:t>，</w:t>
      </w:r>
      <w:r>
        <w:rPr>
          <w:rFonts w:hint="eastAsia" w:ascii="仿宋_GB2312" w:eastAsia="仿宋_GB2312"/>
          <w:color w:val="000000"/>
          <w:sz w:val="28"/>
          <w:szCs w:val="28"/>
          <w:lang w:val="en-US" w:eastAsia="zh-CN"/>
        </w:rPr>
        <w:t>地下室</w:t>
      </w:r>
      <w:r>
        <w:rPr>
          <w:rFonts w:hint="eastAsia" w:ascii="仿宋_GB2312" w:hAnsi="仿宋_GB2312" w:eastAsia="仿宋_GB2312" w:cs="仿宋_GB2312"/>
          <w:color w:val="000000" w:themeColor="text1"/>
          <w:sz w:val="28"/>
          <w:szCs w:val="28"/>
          <w:lang w:val="en-US" w:eastAsia="zh-CN"/>
        </w:rPr>
        <w:t>为地下1层</w:t>
      </w:r>
      <w:r>
        <w:rPr>
          <w:rFonts w:hint="eastAsia" w:ascii="仿宋_GB2312" w:hAnsi="仿宋_GB2312" w:eastAsia="仿宋_GB2312" w:cs="仿宋_GB2312"/>
          <w:color w:val="000000" w:themeColor="text1"/>
          <w:sz w:val="28"/>
          <w:szCs w:val="28"/>
        </w:rPr>
        <w:t>，</w:t>
      </w:r>
      <w:r>
        <w:rPr>
          <w:rFonts w:hint="eastAsia" w:ascii="仿宋_GB2312" w:eastAsia="仿宋_GB2312"/>
          <w:color w:val="000000" w:themeColor="text1"/>
          <w:sz w:val="28"/>
          <w:szCs w:val="28"/>
        </w:rPr>
        <w:t>建筑面积</w:t>
      </w:r>
      <w:r>
        <w:rPr>
          <w:rFonts w:hint="eastAsia" w:ascii="仿宋_GB2312" w:eastAsia="仿宋_GB2312"/>
          <w:color w:val="000000" w:themeColor="text1"/>
          <w:sz w:val="28"/>
          <w:szCs w:val="28"/>
          <w:lang w:eastAsia="zh-CN"/>
        </w:rPr>
        <w:t>148.31</w:t>
      </w:r>
      <w:r>
        <w:rPr>
          <w:rFonts w:hint="eastAsia" w:ascii="仿宋_GB2312" w:eastAsia="仿宋_GB2312"/>
          <w:color w:val="000000" w:themeColor="text1"/>
          <w:sz w:val="28"/>
          <w:szCs w:val="28"/>
        </w:rPr>
        <w:t>平方米。其它状况详见估价结果报告。</w:t>
      </w:r>
    </w:p>
    <w:p>
      <w:pPr>
        <w:snapToGrid w:val="0"/>
        <w:spacing w:line="580" w:lineRule="exact"/>
        <w:ind w:firstLine="560" w:firstLineChars="200"/>
        <w:rPr>
          <w:rFonts w:hint="eastAsia" w:ascii="仿宋_GB2312" w:hAnsi="宋体" w:eastAsia="仿宋_GB2312" w:cs="宋体"/>
          <w:color w:val="000000" w:themeColor="text1"/>
          <w:sz w:val="28"/>
          <w:szCs w:val="28"/>
          <w:lang w:eastAsia="zh-CN"/>
        </w:rPr>
      </w:pPr>
      <w:r>
        <w:rPr>
          <w:rFonts w:hint="eastAsia" w:ascii="仿宋_GB2312" w:hAnsi="宋体" w:eastAsia="仿宋_GB2312" w:cs="宋体"/>
          <w:color w:val="000000" w:themeColor="text1"/>
          <w:sz w:val="28"/>
          <w:szCs w:val="28"/>
        </w:rPr>
        <w:t>价值时点：</w:t>
      </w:r>
      <w:r>
        <w:rPr>
          <w:rFonts w:hint="eastAsia" w:ascii="仿宋_GB2312" w:hAnsi="宋体" w:eastAsia="仿宋_GB2312" w:cs="宋体"/>
          <w:color w:val="000000" w:themeColor="text1"/>
          <w:sz w:val="28"/>
          <w:szCs w:val="28"/>
          <w:lang w:eastAsia="zh-CN"/>
        </w:rPr>
        <w:t>2021年9月10日</w:t>
      </w:r>
    </w:p>
    <w:p>
      <w:pPr>
        <w:snapToGrid w:val="0"/>
        <w:spacing w:line="58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价值类型：房地产市场价值。估价的价值标准为公开市场价值，不考虑抵押、查封等因素的影响。</w:t>
      </w:r>
    </w:p>
    <w:p>
      <w:pPr>
        <w:snapToGrid w:val="0"/>
        <w:spacing w:line="580" w:lineRule="exact"/>
        <w:ind w:firstLine="560" w:firstLineChars="200"/>
        <w:rPr>
          <w:rFonts w:ascii="仿宋_GB2312" w:hAnsi="仿宋" w:eastAsia="仿宋_GB2312"/>
          <w:color w:val="000000" w:themeColor="text1"/>
          <w:sz w:val="28"/>
          <w:szCs w:val="28"/>
        </w:rPr>
      </w:pPr>
      <w:r>
        <w:rPr>
          <w:rFonts w:hint="eastAsia" w:ascii="仿宋_GB2312" w:hAnsi="宋体" w:eastAsia="仿宋_GB2312" w:cs="宋体"/>
          <w:color w:val="000000" w:themeColor="text1"/>
          <w:sz w:val="28"/>
          <w:szCs w:val="28"/>
        </w:rPr>
        <w:t>经过实地查勘和市场调查，我们依据国家制定的有关法律、法规、文</w:t>
      </w:r>
      <w:r>
        <w:rPr>
          <w:rFonts w:hint="eastAsia" w:ascii="仿宋_GB2312" w:eastAsia="仿宋_GB2312"/>
          <w:color w:val="000000" w:themeColor="text1"/>
          <w:sz w:val="28"/>
          <w:szCs w:val="28"/>
        </w:rPr>
        <w:t>件及规定的技术标准，本着独立、客观、公正、合法的原则，按照严谨的估价程序，在认真分析所掌握资料与影响估价对象价值诸因素的基础上，选用比较法和收益法进行了分析、测算和判断，</w:t>
      </w:r>
      <w:r>
        <w:rPr>
          <w:rFonts w:hint="eastAsia" w:ascii="仿宋_GB2312" w:hAnsi="仿宋" w:eastAsia="仿宋_GB2312"/>
          <w:color w:val="000000" w:themeColor="text1"/>
          <w:sz w:val="28"/>
          <w:szCs w:val="28"/>
        </w:rPr>
        <w:t>最终确定估价对象在价值时点</w:t>
      </w:r>
      <w:r>
        <w:rPr>
          <w:rFonts w:hint="eastAsia" w:ascii="仿宋_GB2312" w:hAnsi="仿宋" w:eastAsia="仿宋_GB2312"/>
          <w:color w:val="000000" w:themeColor="text1"/>
          <w:sz w:val="28"/>
          <w:szCs w:val="28"/>
          <w:lang w:eastAsia="zh-CN"/>
        </w:rPr>
        <w:t>2021年9月10日</w:t>
      </w:r>
      <w:r>
        <w:rPr>
          <w:rFonts w:hint="eastAsia" w:ascii="仿宋_GB2312" w:hAnsi="仿宋" w:eastAsia="仿宋_GB2312"/>
          <w:color w:val="000000" w:themeColor="text1"/>
          <w:sz w:val="28"/>
          <w:szCs w:val="28"/>
        </w:rPr>
        <w:t>的房地产市场价值为：</w:t>
      </w:r>
    </w:p>
    <w:p>
      <w:pPr>
        <w:snapToGrid w:val="0"/>
        <w:spacing w:line="580" w:lineRule="exact"/>
        <w:ind w:firstLine="560" w:firstLineChars="200"/>
        <w:rPr>
          <w:rFonts w:ascii="仿宋_GB2312" w:hAnsi="仿宋" w:eastAsia="仿宋_GB2312"/>
          <w:color w:val="000000" w:themeColor="text1"/>
          <w:sz w:val="28"/>
          <w:szCs w:val="28"/>
          <w:highlight w:val="none"/>
        </w:rPr>
      </w:pPr>
      <w:r>
        <w:rPr>
          <w:rFonts w:hint="eastAsia" w:ascii="仿宋_GB2312" w:hAnsi="仿宋" w:eastAsia="仿宋_GB2312"/>
          <w:color w:val="000000" w:themeColor="text1"/>
          <w:sz w:val="28"/>
          <w:szCs w:val="28"/>
        </w:rPr>
        <w:t>总</w:t>
      </w:r>
      <w:r>
        <w:rPr>
          <w:rFonts w:hint="eastAsia" w:ascii="仿宋_GB2312" w:hAnsi="仿宋" w:eastAsia="仿宋_GB2312"/>
          <w:color w:val="000000" w:themeColor="text1"/>
          <w:sz w:val="28"/>
          <w:szCs w:val="28"/>
          <w:highlight w:val="none"/>
        </w:rPr>
        <w:t>价：人民币</w:t>
      </w:r>
      <w:r>
        <w:rPr>
          <w:rFonts w:hint="eastAsia" w:ascii="仿宋_GB2312" w:hAnsi="仿宋" w:eastAsia="仿宋_GB2312"/>
          <w:color w:val="000000" w:themeColor="text1"/>
          <w:sz w:val="28"/>
          <w:szCs w:val="28"/>
          <w:highlight w:val="none"/>
          <w:lang w:eastAsia="zh-CN"/>
        </w:rPr>
        <w:t>185.40</w:t>
      </w:r>
      <w:r>
        <w:rPr>
          <w:rFonts w:hint="eastAsia" w:ascii="仿宋_GB2312" w:hAnsi="仿宋" w:eastAsia="仿宋_GB2312"/>
          <w:color w:val="000000" w:themeColor="text1"/>
          <w:sz w:val="28"/>
          <w:szCs w:val="28"/>
          <w:highlight w:val="none"/>
        </w:rPr>
        <w:t>万元</w:t>
      </w:r>
      <w:r>
        <w:rPr>
          <w:rFonts w:hint="eastAsia" w:ascii="仿宋_GB2312" w:hAnsi="宋体" w:eastAsia="仿宋_GB2312" w:cs="宋体"/>
          <w:color w:val="000000" w:themeColor="text1"/>
          <w:sz w:val="28"/>
          <w:szCs w:val="28"/>
          <w:highlight w:val="none"/>
          <w:lang w:eastAsia="zh-CN"/>
        </w:rPr>
        <w:t>（</w:t>
      </w:r>
      <w:r>
        <w:rPr>
          <w:rFonts w:hint="eastAsia" w:ascii="仿宋_GB2312" w:hAnsi="宋体" w:eastAsia="仿宋_GB2312" w:cs="宋体"/>
          <w:color w:val="000000" w:themeColor="text1"/>
          <w:sz w:val="28"/>
          <w:szCs w:val="28"/>
          <w:highlight w:val="none"/>
          <w:lang w:val="en-US" w:eastAsia="zh-CN"/>
        </w:rPr>
        <w:t>含地下室价值</w:t>
      </w:r>
      <w:r>
        <w:rPr>
          <w:rFonts w:hint="eastAsia" w:ascii="仿宋_GB2312" w:hAnsi="宋体" w:eastAsia="仿宋_GB2312" w:cs="宋体"/>
          <w:color w:val="000000" w:themeColor="text1"/>
          <w:sz w:val="28"/>
          <w:szCs w:val="28"/>
          <w:highlight w:val="none"/>
          <w:lang w:eastAsia="zh-CN"/>
        </w:rPr>
        <w:t>）</w:t>
      </w:r>
    </w:p>
    <w:p>
      <w:pPr>
        <w:snapToGrid w:val="0"/>
        <w:spacing w:line="580" w:lineRule="exact"/>
        <w:ind w:firstLine="560" w:firstLineChars="200"/>
        <w:rPr>
          <w:rFonts w:ascii="仿宋_GB2312" w:hAnsi="宋体" w:eastAsia="仿宋_GB2312" w:cs="宋体"/>
          <w:color w:val="000000" w:themeColor="text1"/>
          <w:sz w:val="28"/>
          <w:szCs w:val="28"/>
          <w:highlight w:val="none"/>
        </w:rPr>
      </w:pPr>
      <w:r>
        <w:rPr>
          <w:rFonts w:hint="eastAsia" w:ascii="仿宋_GB2312" w:hAnsi="仿宋" w:eastAsia="仿宋_GB2312"/>
          <w:color w:val="000000" w:themeColor="text1"/>
          <w:sz w:val="28"/>
          <w:szCs w:val="28"/>
          <w:highlight w:val="none"/>
        </w:rPr>
        <w:t>人民币大写：</w:t>
      </w:r>
      <w:r>
        <w:rPr>
          <w:rFonts w:hint="eastAsia" w:ascii="仿宋_GB2312" w:hAnsi="宋体" w:eastAsia="仿宋_GB2312" w:cs="宋体"/>
          <w:color w:val="000000" w:themeColor="text1"/>
          <w:sz w:val="28"/>
          <w:szCs w:val="28"/>
          <w:highlight w:val="none"/>
          <w:lang w:eastAsia="zh-CN"/>
        </w:rPr>
        <w:t>壹佰捌拾伍万肆仟</w:t>
      </w:r>
      <w:r>
        <w:rPr>
          <w:rFonts w:hint="eastAsia" w:ascii="仿宋_GB2312" w:hAnsi="宋体" w:eastAsia="仿宋_GB2312" w:cs="宋体"/>
          <w:color w:val="000000" w:themeColor="text1"/>
          <w:sz w:val="28"/>
          <w:szCs w:val="28"/>
          <w:highlight w:val="none"/>
        </w:rPr>
        <w:t>元整</w:t>
      </w:r>
    </w:p>
    <w:p>
      <w:pPr>
        <w:snapToGrid w:val="0"/>
        <w:spacing w:line="580" w:lineRule="exact"/>
        <w:ind w:firstLine="560" w:firstLineChars="200"/>
        <w:rPr>
          <w:rFonts w:ascii="仿宋_GB2312" w:hAnsi="宋体" w:eastAsia="仿宋_GB2312" w:cs="宋体"/>
          <w:color w:val="000000" w:themeColor="text1"/>
          <w:sz w:val="28"/>
          <w:szCs w:val="28"/>
          <w:highlight w:val="none"/>
        </w:rPr>
      </w:pPr>
      <w:r>
        <w:rPr>
          <w:rFonts w:hint="eastAsia" w:ascii="仿宋_GB2312" w:hAnsi="宋体" w:eastAsia="仿宋_GB2312" w:cs="宋体"/>
          <w:color w:val="000000" w:themeColor="text1"/>
          <w:sz w:val="28"/>
          <w:szCs w:val="28"/>
          <w:highlight w:val="none"/>
        </w:rPr>
        <w:t>房地产单价：</w:t>
      </w:r>
      <w:r>
        <w:rPr>
          <w:rFonts w:hint="eastAsia" w:ascii="仿宋_GB2312" w:hAnsi="宋体" w:eastAsia="仿宋_GB2312" w:cs="宋体"/>
          <w:color w:val="000000" w:themeColor="text1"/>
          <w:sz w:val="28"/>
          <w:szCs w:val="28"/>
          <w:highlight w:val="none"/>
          <w:lang w:eastAsia="zh-CN"/>
        </w:rPr>
        <w:t>12501</w:t>
      </w:r>
      <w:r>
        <w:rPr>
          <w:rFonts w:hint="eastAsia" w:ascii="仿宋_GB2312" w:hAnsi="宋体" w:eastAsia="仿宋_GB2312" w:cs="宋体"/>
          <w:color w:val="000000" w:themeColor="text1"/>
          <w:sz w:val="28"/>
          <w:szCs w:val="28"/>
          <w:highlight w:val="none"/>
        </w:rPr>
        <w:t>元/平方米。</w:t>
      </w:r>
    </w:p>
    <w:p>
      <w:pPr>
        <w:tabs>
          <w:tab w:val="left" w:pos="540"/>
        </w:tabs>
        <w:snapToGrid w:val="0"/>
        <w:spacing w:line="580" w:lineRule="exact"/>
        <w:ind w:firstLine="562" w:firstLineChars="200"/>
        <w:rPr>
          <w:rFonts w:ascii="仿宋_GB2312" w:eastAsia="仿宋_GB2312"/>
          <w:b/>
          <w:bCs/>
          <w:color w:val="000000" w:themeColor="text1"/>
          <w:sz w:val="28"/>
          <w:szCs w:val="28"/>
        </w:rPr>
      </w:pPr>
      <w:r>
        <w:rPr>
          <w:rFonts w:hint="eastAsia" w:ascii="仿宋_GB2312" w:eastAsia="仿宋_GB2312"/>
          <w:b/>
          <w:bCs/>
          <w:color w:val="000000" w:themeColor="text1"/>
          <w:sz w:val="28"/>
          <w:szCs w:val="28"/>
        </w:rPr>
        <w:t>特别提示：</w:t>
      </w:r>
    </w:p>
    <w:p>
      <w:pPr>
        <w:snapToGrid w:val="0"/>
        <w:spacing w:line="580" w:lineRule="exact"/>
        <w:ind w:firstLine="560" w:firstLineChars="200"/>
        <w:rPr>
          <w:rFonts w:hint="eastAsia" w:ascii="仿宋_GB2312" w:hAnsi="宋体" w:eastAsia="仿宋_GB2312" w:cs="宋体"/>
          <w:color w:val="000000" w:themeColor="text1"/>
          <w:sz w:val="28"/>
          <w:szCs w:val="28"/>
          <w:lang w:eastAsia="zh-CN"/>
        </w:rPr>
      </w:pPr>
      <w:r>
        <w:rPr>
          <w:rFonts w:hint="eastAsia" w:ascii="仿宋_GB2312" w:hAnsi="宋体" w:eastAsia="仿宋_GB2312" w:cs="宋体"/>
          <w:color w:val="000000" w:themeColor="text1"/>
          <w:sz w:val="28"/>
          <w:szCs w:val="28"/>
        </w:rPr>
        <w:t>1.应当按照法律规定和评估报告载明的用途、使用人、使用期限等使用范围使用评估报告。否则，房地产估价机构和注册房地产估价师依法不承担责任</w:t>
      </w:r>
      <w:r>
        <w:rPr>
          <w:rFonts w:hint="eastAsia" w:ascii="仿宋_GB2312" w:hAnsi="宋体" w:eastAsia="仿宋_GB2312" w:cs="宋体"/>
          <w:color w:val="000000" w:themeColor="text1"/>
          <w:sz w:val="28"/>
          <w:szCs w:val="28"/>
          <w:lang w:eastAsia="zh-CN"/>
        </w:rPr>
        <w:t>。</w:t>
      </w:r>
    </w:p>
    <w:p>
      <w:pPr>
        <w:snapToGrid w:val="0"/>
        <w:spacing w:line="580" w:lineRule="exact"/>
        <w:ind w:firstLine="560" w:firstLineChars="200"/>
        <w:rPr>
          <w:rFonts w:hint="default" w:ascii="仿宋_GB2312" w:hAnsi="宋体" w:eastAsia="仿宋_GB2312" w:cs="宋体"/>
          <w:color w:val="000000" w:themeColor="text1"/>
          <w:sz w:val="28"/>
          <w:szCs w:val="28"/>
          <w:lang w:val="en-US" w:eastAsia="zh-CN"/>
        </w:rPr>
      </w:pPr>
      <w:r>
        <w:rPr>
          <w:rFonts w:hint="eastAsia" w:ascii="仿宋_GB2312" w:hAnsi="宋体" w:eastAsia="仿宋_GB2312" w:cs="宋体"/>
          <w:color w:val="000000" w:themeColor="text1"/>
          <w:sz w:val="28"/>
          <w:szCs w:val="28"/>
        </w:rPr>
        <w:t>2.评估结果仅为人民法院确定财产处置参考价服务，不是评估对象处置可实现的成交价格，也不应当被视为对评估对象处置成交价格的保证</w:t>
      </w:r>
      <w:r>
        <w:rPr>
          <w:rFonts w:hint="eastAsia" w:ascii="仿宋_GB2312" w:hAnsi="宋体" w:eastAsia="仿宋_GB2312" w:cs="宋体"/>
          <w:color w:val="000000" w:themeColor="text1"/>
          <w:sz w:val="28"/>
          <w:szCs w:val="28"/>
          <w:lang w:val="en-US" w:eastAsia="zh-CN"/>
        </w:rPr>
        <w:t>。</w:t>
      </w:r>
    </w:p>
    <w:p>
      <w:pPr>
        <w:snapToGrid w:val="0"/>
        <w:spacing w:line="580" w:lineRule="exact"/>
        <w:ind w:firstLine="560" w:firstLineChars="200"/>
        <w:rPr>
          <w:rFonts w:hint="eastAsia" w:ascii="仿宋_GB2312" w:hAnsi="宋体" w:eastAsia="仿宋_GB2312" w:cs="宋体"/>
          <w:color w:val="000000" w:themeColor="text1"/>
          <w:sz w:val="28"/>
          <w:szCs w:val="28"/>
          <w:lang w:eastAsia="zh-CN"/>
        </w:rPr>
      </w:pPr>
      <w:r>
        <w:rPr>
          <w:rFonts w:hint="eastAsia" w:ascii="仿宋_GB2312" w:hAnsi="宋体" w:eastAsia="仿宋_GB2312" w:cs="宋体"/>
          <w:color w:val="000000" w:themeColor="text1"/>
          <w:sz w:val="28"/>
          <w:szCs w:val="28"/>
        </w:rPr>
        <w:t>3.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r>
        <w:rPr>
          <w:rFonts w:hint="eastAsia" w:ascii="仿宋_GB2312" w:hAnsi="宋体" w:eastAsia="仿宋_GB2312" w:cs="宋体"/>
          <w:color w:val="000000" w:themeColor="text1"/>
          <w:sz w:val="28"/>
          <w:szCs w:val="28"/>
          <w:lang w:eastAsia="zh-CN"/>
        </w:rPr>
        <w:t>。</w:t>
      </w:r>
    </w:p>
    <w:p>
      <w:pPr>
        <w:snapToGrid w:val="0"/>
        <w:spacing w:line="580" w:lineRule="exact"/>
        <w:ind w:firstLine="560" w:firstLineChars="200"/>
        <w:rPr>
          <w:rFonts w:hint="eastAsia" w:ascii="仿宋_GB2312" w:hAnsi="宋体" w:eastAsia="仿宋_GB2312" w:cs="宋体"/>
          <w:color w:val="000000" w:themeColor="text1"/>
          <w:sz w:val="28"/>
          <w:szCs w:val="28"/>
          <w:lang w:eastAsia="zh-CN"/>
        </w:rPr>
      </w:pPr>
      <w:r>
        <w:rPr>
          <w:rFonts w:hint="eastAsia" w:ascii="仿宋_GB2312" w:hAnsi="宋体" w:eastAsia="仿宋_GB2312" w:cs="宋体"/>
          <w:color w:val="000000" w:themeColor="text1"/>
          <w:sz w:val="28"/>
          <w:szCs w:val="28"/>
        </w:rPr>
        <w:t>4.在评估报告使用期限或者评估结果有效期内，评估报告或者评估结果未使用之前，如果评估对象状况或者房地产市场状况发生明显变化的，评估结果应当进行相应调整后才可使用</w:t>
      </w:r>
      <w:r>
        <w:rPr>
          <w:rFonts w:hint="eastAsia" w:ascii="仿宋_GB2312" w:hAnsi="宋体" w:eastAsia="仿宋_GB2312" w:cs="宋体"/>
          <w:color w:val="000000" w:themeColor="text1"/>
          <w:sz w:val="28"/>
          <w:szCs w:val="28"/>
          <w:lang w:eastAsia="zh-CN"/>
        </w:rPr>
        <w:t>。</w:t>
      </w:r>
    </w:p>
    <w:p>
      <w:pPr>
        <w:snapToGrid w:val="0"/>
        <w:spacing w:line="58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5.当事人、利害关系人收到评估报告后五日内对评估报告的参照标准、计算方法或者评估结果等向人民法院提出书面异议；当事人、利害关系人对评估机构作出的说明仍有异议的，可以提请人民法院委托评估行业组织进行专业技术评审。</w:t>
      </w:r>
    </w:p>
    <w:p>
      <w:pPr>
        <w:snapToGrid w:val="0"/>
        <w:spacing w:line="58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6.估价中无法考虑实地查勘之后、处置完毕之前，因不可抗力、人为破坏等因素对估价对象造成的意外损害。</w:t>
      </w:r>
    </w:p>
    <w:p>
      <w:pPr>
        <w:snapToGrid w:val="0"/>
        <w:spacing w:line="580" w:lineRule="exact"/>
        <w:ind w:firstLine="560" w:firstLineChars="200"/>
        <w:rPr>
          <w:rFonts w:hint="eastAsia" w:ascii="仿宋_GB2312" w:hAnsi="宋体" w:eastAsia="仿宋_GB2312" w:cs="仿宋_GB2312"/>
          <w:color w:val="000000"/>
          <w:sz w:val="28"/>
          <w:szCs w:val="28"/>
          <w:highlight w:val="none"/>
          <w:lang w:eastAsia="zh-CN" w:bidi="ar"/>
        </w:rPr>
      </w:pPr>
      <w:r>
        <w:rPr>
          <w:rFonts w:hint="eastAsia" w:ascii="仿宋_GB2312" w:hAnsi="宋体" w:eastAsia="仿宋_GB2312" w:cs="仿宋_GB2312"/>
          <w:color w:val="000000"/>
          <w:sz w:val="28"/>
          <w:szCs w:val="28"/>
          <w:highlight w:val="none"/>
          <w:lang w:bidi="ar"/>
        </w:rPr>
        <w:t>7.</w:t>
      </w:r>
      <w:r>
        <w:rPr>
          <w:rFonts w:hint="eastAsia" w:ascii="仿宋_GB2312" w:hAnsi="宋体" w:eastAsia="仿宋_GB2312"/>
          <w:color w:val="000000" w:themeColor="text1"/>
          <w:sz w:val="28"/>
          <w:szCs w:val="28"/>
          <w:highlight w:val="none"/>
        </w:rPr>
        <w:t>人民法院未明确估价对象存在欠缴税金及相关费用（包括税收、物业费、供暖费、水电气费等及其滞纳金），故假定评估对象不存在欠缴税金及相关费用</w:t>
      </w:r>
      <w:r>
        <w:rPr>
          <w:rFonts w:hint="eastAsia" w:ascii="仿宋_GB2312" w:hAnsi="宋体" w:eastAsia="仿宋_GB2312"/>
          <w:color w:val="000000" w:themeColor="text1"/>
          <w:sz w:val="28"/>
          <w:szCs w:val="28"/>
          <w:highlight w:val="none"/>
          <w:lang w:eastAsia="zh-CN"/>
        </w:rPr>
        <w:t>，</w:t>
      </w:r>
      <w:r>
        <w:rPr>
          <w:rFonts w:hint="eastAsia" w:ascii="仿宋_GB2312" w:hAnsi="宋体" w:eastAsia="仿宋_GB2312" w:cs="仿宋_GB2312"/>
          <w:color w:val="000000"/>
          <w:sz w:val="28"/>
          <w:szCs w:val="28"/>
          <w:highlight w:val="none"/>
          <w:lang w:bidi="ar"/>
        </w:rPr>
        <w:t>最终以实际欠缴税金为准。</w:t>
      </w:r>
    </w:p>
    <w:p>
      <w:pPr>
        <w:snapToGrid w:val="0"/>
        <w:spacing w:line="58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8.评估对象的财产范围包含房屋所有权及分摊的</w:t>
      </w:r>
      <w:r>
        <w:rPr>
          <w:rFonts w:hint="eastAsia" w:ascii="仿宋_GB2312" w:hAnsi="宋体" w:eastAsia="仿宋_GB2312" w:cs="宋体"/>
          <w:color w:val="000000"/>
          <w:sz w:val="28"/>
          <w:szCs w:val="28"/>
        </w:rPr>
        <w:t>国有建设用地使用权价值，不包含室内可移动物品及其他债权债务。</w:t>
      </w:r>
    </w:p>
    <w:p>
      <w:pPr>
        <w:tabs>
          <w:tab w:val="left" w:pos="540"/>
        </w:tabs>
        <w:snapToGrid w:val="0"/>
        <w:spacing w:line="580" w:lineRule="exact"/>
        <w:ind w:firstLine="560" w:firstLineChars="200"/>
        <w:rPr>
          <w:rFonts w:ascii="仿宋_GB2312" w:eastAsia="仿宋_GB2312" w:cs="仿宋_GB2312"/>
          <w:bCs/>
          <w:color w:val="000000" w:themeColor="text1"/>
          <w:sz w:val="28"/>
          <w:szCs w:val="28"/>
        </w:rPr>
      </w:pPr>
      <w:r>
        <w:rPr>
          <w:rFonts w:hint="eastAsia" w:ascii="仿宋_GB2312" w:eastAsia="仿宋_GB2312" w:cs="仿宋_GB2312"/>
          <w:bCs/>
          <w:color w:val="000000" w:themeColor="text1"/>
          <w:sz w:val="28"/>
          <w:szCs w:val="28"/>
          <w:lang w:bidi="ar"/>
        </w:rPr>
        <w:t>9.本报告仅供</w:t>
      </w:r>
      <w:r>
        <w:rPr>
          <w:rFonts w:hint="eastAsia" w:ascii="仿宋_GB2312" w:eastAsia="仿宋_GB2312" w:cs="仿宋_GB2312"/>
          <w:color w:val="000000" w:themeColor="text1"/>
          <w:sz w:val="28"/>
          <w:szCs w:val="28"/>
          <w:lang w:eastAsia="zh-CN" w:bidi="ar"/>
        </w:rPr>
        <w:t>石家庄市长安区人民法院</w:t>
      </w:r>
      <w:r>
        <w:rPr>
          <w:rFonts w:hint="eastAsia" w:ascii="仿宋_GB2312" w:eastAsia="仿宋_GB2312" w:cs="仿宋_GB2312"/>
          <w:color w:val="000000" w:themeColor="text1"/>
          <w:sz w:val="28"/>
          <w:szCs w:val="28"/>
          <w:lang w:bidi="ar"/>
        </w:rPr>
        <w:t>确定财产处置参考价时</w:t>
      </w:r>
      <w:r>
        <w:rPr>
          <w:rFonts w:hint="eastAsia" w:ascii="仿宋_GB2312" w:eastAsia="仿宋_GB2312" w:cs="仿宋_GB2312"/>
          <w:bCs/>
          <w:color w:val="000000" w:themeColor="text1"/>
          <w:sz w:val="28"/>
          <w:szCs w:val="28"/>
          <w:lang w:bidi="ar"/>
        </w:rPr>
        <w:t>使用。</w:t>
      </w:r>
    </w:p>
    <w:p>
      <w:pPr>
        <w:tabs>
          <w:tab w:val="left" w:pos="540"/>
        </w:tabs>
        <w:snapToGrid w:val="0"/>
        <w:spacing w:line="580" w:lineRule="exact"/>
        <w:ind w:firstLine="560" w:firstLineChars="200"/>
        <w:rPr>
          <w:rFonts w:ascii="仿宋_GB2312" w:eastAsia="仿宋_GB2312" w:cs="仿宋_GB2312"/>
          <w:bCs/>
          <w:color w:val="000000" w:themeColor="text1"/>
          <w:sz w:val="28"/>
          <w:szCs w:val="28"/>
        </w:rPr>
      </w:pPr>
      <w:r>
        <w:rPr>
          <w:rFonts w:hint="eastAsia" w:ascii="仿宋_GB2312" w:eastAsia="仿宋_GB2312" w:cs="仿宋_GB2312"/>
          <w:bCs/>
          <w:color w:val="000000" w:themeColor="text1"/>
          <w:sz w:val="28"/>
          <w:szCs w:val="28"/>
          <w:lang w:bidi="ar"/>
        </w:rPr>
        <w:t>10.本报告的使用有效期为自估价报告出具之日起计算为壹年，即</w:t>
      </w:r>
      <w:r>
        <w:rPr>
          <w:rFonts w:hint="eastAsia" w:ascii="仿宋_GB2312" w:eastAsia="仿宋_GB2312" w:cs="仿宋_GB2312"/>
          <w:bCs/>
          <w:color w:val="000000" w:themeColor="text1"/>
          <w:sz w:val="28"/>
          <w:szCs w:val="28"/>
          <w:highlight w:val="none"/>
          <w:lang w:eastAsia="zh-CN" w:bidi="ar"/>
        </w:rPr>
        <w:t>2021年9月26日</w:t>
      </w:r>
      <w:r>
        <w:rPr>
          <w:rFonts w:hint="eastAsia" w:ascii="仿宋_GB2312" w:eastAsia="仿宋_GB2312" w:cs="仿宋_GB2312"/>
          <w:bCs/>
          <w:color w:val="000000" w:themeColor="text1"/>
          <w:sz w:val="28"/>
          <w:szCs w:val="28"/>
          <w:highlight w:val="none"/>
          <w:lang w:bidi="ar"/>
        </w:rPr>
        <w:t>起至2022年</w:t>
      </w:r>
      <w:r>
        <w:rPr>
          <w:rFonts w:hint="eastAsia" w:ascii="仿宋_GB2312" w:eastAsia="仿宋_GB2312" w:cs="仿宋_GB2312"/>
          <w:bCs/>
          <w:color w:val="000000" w:themeColor="text1"/>
          <w:sz w:val="28"/>
          <w:szCs w:val="28"/>
          <w:highlight w:val="none"/>
          <w:lang w:val="en-US" w:eastAsia="zh-CN" w:bidi="ar"/>
        </w:rPr>
        <w:t>9</w:t>
      </w:r>
      <w:r>
        <w:rPr>
          <w:rFonts w:hint="eastAsia" w:ascii="仿宋_GB2312" w:eastAsia="仿宋_GB2312" w:cs="仿宋_GB2312"/>
          <w:bCs/>
          <w:color w:val="000000" w:themeColor="text1"/>
          <w:sz w:val="28"/>
          <w:szCs w:val="28"/>
          <w:highlight w:val="none"/>
          <w:lang w:bidi="ar"/>
        </w:rPr>
        <w:t>月</w:t>
      </w:r>
      <w:r>
        <w:rPr>
          <w:rFonts w:hint="eastAsia" w:ascii="仿宋_GB2312" w:eastAsia="仿宋_GB2312" w:cs="仿宋_GB2312"/>
          <w:bCs/>
          <w:color w:val="000000" w:themeColor="text1"/>
          <w:sz w:val="28"/>
          <w:szCs w:val="28"/>
          <w:highlight w:val="none"/>
          <w:lang w:val="en-US" w:eastAsia="zh-CN" w:bidi="ar"/>
        </w:rPr>
        <w:t>2</w:t>
      </w:r>
      <w:r>
        <w:rPr>
          <w:rFonts w:hint="eastAsia" w:ascii="仿宋_GB2312" w:eastAsia="仿宋_GB2312" w:cs="仿宋_GB2312"/>
          <w:bCs/>
          <w:color w:val="000000" w:themeColor="text1"/>
          <w:sz w:val="28"/>
          <w:szCs w:val="28"/>
          <w:highlight w:val="none"/>
          <w:lang w:bidi="ar"/>
        </w:rPr>
        <w:t>5日</w:t>
      </w:r>
      <w:r>
        <w:rPr>
          <w:rFonts w:hint="eastAsia" w:ascii="仿宋_GB2312" w:eastAsia="仿宋_GB2312" w:cs="仿宋_GB2312"/>
          <w:bCs/>
          <w:color w:val="000000" w:themeColor="text1"/>
          <w:sz w:val="28"/>
          <w:szCs w:val="28"/>
          <w:lang w:bidi="ar"/>
        </w:rPr>
        <w:t>止。</w:t>
      </w:r>
    </w:p>
    <w:p>
      <w:pPr>
        <w:spacing w:line="580" w:lineRule="exact"/>
        <w:ind w:firstLine="555"/>
        <w:rPr>
          <w:rFonts w:ascii="仿宋_GB2312" w:eastAsia="仿宋_GB2312" w:cs="仿宋_GB2312"/>
          <w:color w:val="000000" w:themeColor="text1"/>
          <w:sz w:val="28"/>
          <w:szCs w:val="28"/>
        </w:rPr>
      </w:pPr>
      <w:r>
        <w:rPr>
          <w:rFonts w:hint="eastAsia" w:ascii="仿宋_GB2312" w:eastAsia="仿宋_GB2312" w:cs="仿宋_GB2312"/>
          <w:color w:val="000000" w:themeColor="text1"/>
          <w:sz w:val="28"/>
          <w:szCs w:val="28"/>
          <w:lang w:bidi="ar"/>
        </w:rPr>
        <w:t>11.本估价报告交付估价委托人原件</w:t>
      </w:r>
      <w:r>
        <w:rPr>
          <w:rFonts w:hint="eastAsia" w:ascii="仿宋_GB2312" w:eastAsia="仿宋_GB2312" w:cs="仿宋_GB2312"/>
          <w:color w:val="000000" w:themeColor="text1"/>
          <w:sz w:val="28"/>
          <w:szCs w:val="28"/>
          <w:highlight w:val="none"/>
          <w:lang w:val="en-US" w:eastAsia="zh-CN" w:bidi="ar"/>
        </w:rPr>
        <w:t>伍</w:t>
      </w:r>
      <w:r>
        <w:rPr>
          <w:rFonts w:hint="eastAsia" w:ascii="仿宋_GB2312" w:eastAsia="仿宋_GB2312" w:cs="仿宋_GB2312"/>
          <w:color w:val="000000" w:themeColor="text1"/>
          <w:sz w:val="28"/>
          <w:szCs w:val="28"/>
          <w:highlight w:val="none"/>
          <w:lang w:bidi="ar"/>
        </w:rPr>
        <w:t>份</w:t>
      </w:r>
      <w:r>
        <w:rPr>
          <w:rFonts w:hint="eastAsia" w:ascii="仿宋_GB2312" w:eastAsia="仿宋_GB2312" w:cs="仿宋_GB2312"/>
          <w:color w:val="000000" w:themeColor="text1"/>
          <w:sz w:val="28"/>
          <w:szCs w:val="28"/>
          <w:lang w:bidi="ar"/>
        </w:rPr>
        <w:t>，报告复印件无效。</w:t>
      </w:r>
    </w:p>
    <w:p>
      <w:pPr>
        <w:tabs>
          <w:tab w:val="left" w:pos="540"/>
        </w:tabs>
        <w:snapToGrid w:val="0"/>
        <w:spacing w:line="58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特此函告。</w:t>
      </w:r>
    </w:p>
    <w:p>
      <w:pPr>
        <w:tabs>
          <w:tab w:val="left" w:pos="540"/>
        </w:tabs>
        <w:snapToGrid w:val="0"/>
        <w:spacing w:line="580" w:lineRule="exact"/>
        <w:ind w:firstLine="560" w:firstLineChars="200"/>
        <w:rPr>
          <w:rFonts w:ascii="仿宋_GB2312" w:eastAsia="仿宋_GB2312"/>
          <w:color w:val="000000" w:themeColor="text1"/>
          <w:sz w:val="28"/>
          <w:szCs w:val="28"/>
        </w:rPr>
      </w:pPr>
    </w:p>
    <w:p>
      <w:pPr>
        <w:tabs>
          <w:tab w:val="left" w:pos="540"/>
        </w:tabs>
        <w:snapToGrid w:val="0"/>
        <w:spacing w:line="580" w:lineRule="exact"/>
        <w:ind w:firstLine="560" w:firstLineChars="200"/>
        <w:rPr>
          <w:rFonts w:ascii="仿宋_GB2312" w:eastAsia="仿宋_GB2312"/>
          <w:color w:val="000000" w:themeColor="text1"/>
          <w:sz w:val="28"/>
          <w:szCs w:val="28"/>
        </w:rPr>
      </w:pPr>
    </w:p>
    <w:p>
      <w:pPr>
        <w:tabs>
          <w:tab w:val="left" w:pos="540"/>
        </w:tabs>
        <w:snapToGrid w:val="0"/>
        <w:spacing w:line="580" w:lineRule="exact"/>
        <w:ind w:firstLine="560" w:firstLineChars="200"/>
        <w:jc w:val="right"/>
        <w:rPr>
          <w:rFonts w:ascii="仿宋_GB2312" w:eastAsia="仿宋_GB2312"/>
          <w:bCs/>
          <w:color w:val="000000" w:themeColor="text1"/>
          <w:sz w:val="28"/>
          <w:szCs w:val="28"/>
        </w:rPr>
      </w:pPr>
      <w:r>
        <w:rPr>
          <w:rFonts w:hint="eastAsia" w:ascii="仿宋_GB2312" w:eastAsia="仿宋_GB2312"/>
          <w:bCs/>
          <w:color w:val="000000" w:themeColor="text1"/>
          <w:sz w:val="28"/>
          <w:szCs w:val="28"/>
        </w:rPr>
        <w:t>河北嘉泽房地产资产评估有限公司</w:t>
      </w:r>
    </w:p>
    <w:p>
      <w:pPr>
        <w:tabs>
          <w:tab w:val="left" w:pos="540"/>
        </w:tabs>
        <w:snapToGrid w:val="0"/>
        <w:spacing w:line="580" w:lineRule="exact"/>
        <w:ind w:firstLine="560" w:firstLineChars="200"/>
        <w:rPr>
          <w:rFonts w:ascii="仿宋_GB2312" w:eastAsia="仿宋_GB2312"/>
          <w:bCs/>
          <w:color w:val="000000" w:themeColor="text1"/>
          <w:sz w:val="28"/>
          <w:szCs w:val="28"/>
        </w:rPr>
      </w:pPr>
      <w:r>
        <w:rPr>
          <w:rFonts w:hint="eastAsia" w:ascii="仿宋_GB2312" w:eastAsia="仿宋_GB2312"/>
          <w:bCs/>
          <w:color w:val="000000" w:themeColor="text1"/>
          <w:sz w:val="28"/>
          <w:szCs w:val="28"/>
        </w:rPr>
        <w:t xml:space="preserve">                                      法定代表人：</w:t>
      </w:r>
    </w:p>
    <w:p>
      <w:pPr>
        <w:tabs>
          <w:tab w:val="left" w:pos="540"/>
        </w:tabs>
        <w:snapToGrid w:val="0"/>
        <w:spacing w:line="580" w:lineRule="exact"/>
        <w:ind w:firstLine="5460" w:firstLineChars="1950"/>
        <w:rPr>
          <w:rFonts w:ascii="仿宋_GB2312" w:eastAsia="仿宋_GB2312"/>
          <w:bCs/>
          <w:color w:val="000000" w:themeColor="text1"/>
          <w:sz w:val="28"/>
          <w:szCs w:val="28"/>
          <w:highlight w:val="none"/>
        </w:rPr>
        <w:sectPr>
          <w:headerReference r:id="rId6" w:type="first"/>
          <w:headerReference r:id="rId5" w:type="default"/>
          <w:footerReference r:id="rId7" w:type="default"/>
          <w:pgSz w:w="11906" w:h="16838"/>
          <w:pgMar w:top="1814" w:right="1276" w:bottom="1418" w:left="1701" w:header="1418" w:footer="737" w:gutter="0"/>
          <w:pgBorders>
            <w:top w:val="none" w:sz="0" w:space="0"/>
            <w:left w:val="none" w:sz="0" w:space="0"/>
            <w:bottom w:val="none" w:sz="0" w:space="0"/>
            <w:right w:val="none" w:sz="0" w:space="0"/>
          </w:pgBorders>
          <w:pgNumType w:start="0"/>
          <w:cols w:space="720" w:num="1"/>
          <w:titlePg/>
          <w:docGrid w:linePitch="312" w:charSpace="0"/>
        </w:sectPr>
      </w:pPr>
      <w:r>
        <w:rPr>
          <w:rFonts w:hint="eastAsia" w:ascii="仿宋_GB2312" w:eastAsia="仿宋_GB2312"/>
          <w:bCs/>
          <w:color w:val="000000" w:themeColor="text1"/>
          <w:sz w:val="28"/>
          <w:szCs w:val="28"/>
          <w:highlight w:val="none"/>
        </w:rPr>
        <w:t>二〇二一年</w:t>
      </w:r>
      <w:r>
        <w:rPr>
          <w:rFonts w:hint="eastAsia" w:ascii="仿宋_GB2312" w:eastAsia="仿宋_GB2312"/>
          <w:bCs/>
          <w:color w:val="000000" w:themeColor="text1"/>
          <w:sz w:val="28"/>
          <w:szCs w:val="28"/>
          <w:highlight w:val="none"/>
          <w:lang w:val="en-US" w:eastAsia="zh-CN"/>
        </w:rPr>
        <w:t>九</w:t>
      </w:r>
      <w:r>
        <w:rPr>
          <w:rFonts w:hint="eastAsia" w:ascii="仿宋_GB2312" w:eastAsia="仿宋_GB2312"/>
          <w:bCs/>
          <w:color w:val="000000" w:themeColor="text1"/>
          <w:sz w:val="28"/>
          <w:szCs w:val="28"/>
          <w:highlight w:val="none"/>
        </w:rPr>
        <w:t>月</w:t>
      </w:r>
      <w:r>
        <w:rPr>
          <w:rFonts w:hint="eastAsia" w:ascii="仿宋_GB2312" w:eastAsia="仿宋_GB2312"/>
          <w:bCs/>
          <w:color w:val="000000" w:themeColor="text1"/>
          <w:sz w:val="28"/>
          <w:szCs w:val="28"/>
          <w:highlight w:val="none"/>
          <w:lang w:val="en-US" w:eastAsia="zh-CN"/>
        </w:rPr>
        <w:t>二</w:t>
      </w:r>
      <w:r>
        <w:rPr>
          <w:rFonts w:hint="eastAsia" w:ascii="仿宋_GB2312" w:eastAsia="仿宋_GB2312"/>
          <w:bCs/>
          <w:color w:val="000000" w:themeColor="text1"/>
          <w:sz w:val="28"/>
          <w:szCs w:val="28"/>
          <w:highlight w:val="none"/>
        </w:rPr>
        <w:t>十六日</w:t>
      </w:r>
    </w:p>
    <w:p>
      <w:pPr>
        <w:tabs>
          <w:tab w:val="left" w:pos="540"/>
        </w:tabs>
        <w:snapToGrid w:val="0"/>
        <w:spacing w:line="500" w:lineRule="exact"/>
        <w:jc w:val="center"/>
        <w:rPr>
          <w:rFonts w:ascii="仿宋_GB2312" w:eastAsia="仿宋_GB2312"/>
          <w:b/>
          <w:color w:val="000000" w:themeColor="text1"/>
          <w:sz w:val="36"/>
          <w:szCs w:val="36"/>
          <w:highlight w:val="yellow"/>
        </w:rPr>
      </w:pPr>
      <w:r>
        <w:rPr>
          <w:rFonts w:hint="eastAsia" w:ascii="仿宋_GB2312" w:eastAsia="仿宋_GB2312"/>
          <w:b/>
          <w:color w:val="000000" w:themeColor="text1"/>
          <w:sz w:val="36"/>
          <w:szCs w:val="36"/>
          <w:highlight w:val="none"/>
        </w:rPr>
        <w:t>目</w:t>
      </w:r>
      <w:r>
        <w:rPr>
          <w:rFonts w:hint="eastAsia" w:ascii="仿宋_GB2312" w:eastAsia="仿宋_GB2312"/>
          <w:b/>
          <w:color w:val="000000" w:themeColor="text1"/>
          <w:sz w:val="36"/>
          <w:szCs w:val="36"/>
          <w:highlight w:val="none"/>
          <w:lang w:val="en-US" w:eastAsia="zh-CN"/>
        </w:rPr>
        <w:t xml:space="preserve">  </w:t>
      </w:r>
      <w:r>
        <w:rPr>
          <w:rFonts w:hint="eastAsia" w:ascii="仿宋_GB2312" w:eastAsia="仿宋_GB2312"/>
          <w:b/>
          <w:color w:val="000000" w:themeColor="text1"/>
          <w:sz w:val="36"/>
          <w:szCs w:val="36"/>
          <w:highlight w:val="none"/>
        </w:rPr>
        <w:t>录</w:t>
      </w:r>
      <w:bookmarkEnd w:id="1"/>
    </w:p>
    <w:p>
      <w:pPr>
        <w:pStyle w:val="30"/>
        <w:tabs>
          <w:tab w:val="right" w:leader="dot" w:pos="8929"/>
          <w:tab w:val="clear" w:pos="9457"/>
        </w:tabs>
        <w:spacing w:beforeLines="0" w:afterLines="0" w:line="240" w:lineRule="auto"/>
        <w:rPr>
          <w:rFonts w:ascii="仿宋" w:hAnsi="仿宋" w:eastAsia="仿宋" w:cs="仿宋"/>
          <w:color w:val="000000" w:themeColor="text1"/>
          <w:sz w:val="26"/>
          <w:szCs w:val="26"/>
        </w:rPr>
      </w:pPr>
      <w:bookmarkStart w:id="4" w:name="_Toc387827685"/>
      <w:bookmarkStart w:id="5" w:name="_Toc301369710"/>
      <w:bookmarkStart w:id="6" w:name="_Toc297196345"/>
      <w:bookmarkStart w:id="7" w:name="_Toc297122050"/>
      <w:bookmarkStart w:id="8" w:name="_Toc367869492"/>
      <w:bookmarkStart w:id="9" w:name="_Toc382493606"/>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TOC \o "1-2" \h \u </w:instrText>
      </w:r>
      <w:r>
        <w:rPr>
          <w:rFonts w:hint="eastAsia" w:ascii="仿宋" w:hAnsi="仿宋" w:eastAsia="仿宋" w:cs="仿宋"/>
          <w:color w:val="000000" w:themeColor="text1"/>
          <w:sz w:val="26"/>
          <w:szCs w:val="26"/>
        </w:rPr>
        <w:fldChar w:fldCharType="separate"/>
      </w:r>
      <w:r>
        <w:fldChar w:fldCharType="begin"/>
      </w:r>
      <w:r>
        <w:instrText xml:space="preserve"> HYPERLINK \l "_Toc17110" </w:instrText>
      </w:r>
      <w:r>
        <w:fldChar w:fldCharType="separate"/>
      </w:r>
      <w:r>
        <w:rPr>
          <w:rFonts w:hint="eastAsia" w:ascii="仿宋" w:hAnsi="仿宋" w:eastAsia="仿宋" w:cs="仿宋"/>
          <w:color w:val="000000" w:themeColor="text1"/>
          <w:sz w:val="26"/>
          <w:szCs w:val="26"/>
        </w:rPr>
        <w:t>估价师声明</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_Toc17110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0"/>
        <w:tabs>
          <w:tab w:val="right" w:leader="dot" w:pos="8929"/>
          <w:tab w:val="clear" w:pos="9457"/>
        </w:tabs>
        <w:spacing w:beforeLines="0" w:afterLines="0" w:line="240" w:lineRule="auto"/>
        <w:rPr>
          <w:rFonts w:ascii="仿宋" w:hAnsi="仿宋" w:eastAsia="仿宋" w:cs="仿宋"/>
          <w:color w:val="000000" w:themeColor="text1"/>
          <w:sz w:val="26"/>
          <w:szCs w:val="26"/>
        </w:rPr>
      </w:pPr>
      <w:r>
        <w:fldChar w:fldCharType="begin"/>
      </w:r>
      <w:r>
        <w:instrText xml:space="preserve"> HYPERLINK \l "_Toc20449" </w:instrText>
      </w:r>
      <w:r>
        <w:fldChar w:fldCharType="separate"/>
      </w:r>
      <w:r>
        <w:rPr>
          <w:rFonts w:hint="eastAsia" w:ascii="仿宋" w:hAnsi="仿宋" w:eastAsia="仿宋" w:cs="仿宋"/>
          <w:color w:val="000000" w:themeColor="text1"/>
          <w:sz w:val="26"/>
          <w:szCs w:val="26"/>
        </w:rPr>
        <w:t>估价结果报告</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_Toc20449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"_Toc6103" </w:instrText>
      </w:r>
      <w:r>
        <w:fldChar w:fldCharType="separate"/>
      </w:r>
      <w:r>
        <w:rPr>
          <w:rFonts w:hint="eastAsia" w:ascii="仿宋" w:hAnsi="仿宋" w:eastAsia="仿宋" w:cs="仿宋"/>
          <w:color w:val="000000" w:themeColor="text1"/>
          <w:sz w:val="26"/>
          <w:szCs w:val="26"/>
        </w:rPr>
        <w:t>一、估价委托人</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_Toc6103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"_Toc5734" </w:instrText>
      </w:r>
      <w:r>
        <w:fldChar w:fldCharType="separate"/>
      </w:r>
      <w:r>
        <w:rPr>
          <w:rFonts w:hint="eastAsia" w:ascii="仿宋" w:hAnsi="仿宋" w:eastAsia="仿宋" w:cs="仿宋"/>
          <w:color w:val="000000" w:themeColor="text1"/>
          <w:sz w:val="26"/>
          <w:szCs w:val="26"/>
        </w:rPr>
        <w:t>二、房地产估价机构</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_Toc5734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"_Toc27733" </w:instrText>
      </w:r>
      <w:r>
        <w:fldChar w:fldCharType="separate"/>
      </w:r>
      <w:r>
        <w:rPr>
          <w:rFonts w:hint="eastAsia" w:ascii="仿宋" w:hAnsi="仿宋" w:eastAsia="仿宋" w:cs="仿宋"/>
          <w:color w:val="000000" w:themeColor="text1"/>
          <w:sz w:val="26"/>
          <w:szCs w:val="26"/>
        </w:rPr>
        <w:t>三、估价目的</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_Toc27733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"_Toc14045" </w:instrText>
      </w:r>
      <w:r>
        <w:fldChar w:fldCharType="separate"/>
      </w:r>
      <w:r>
        <w:rPr>
          <w:rFonts w:hint="eastAsia" w:ascii="仿宋" w:hAnsi="仿宋" w:eastAsia="仿宋" w:cs="仿宋"/>
          <w:color w:val="000000" w:themeColor="text1"/>
          <w:sz w:val="26"/>
          <w:szCs w:val="26"/>
        </w:rPr>
        <w:t>四、估价对象</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_Toc14045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6</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"_Toc28345" </w:instrText>
      </w:r>
      <w:r>
        <w:fldChar w:fldCharType="separate"/>
      </w:r>
      <w:r>
        <w:rPr>
          <w:rFonts w:hint="eastAsia" w:ascii="仿宋" w:hAnsi="仿宋" w:eastAsia="仿宋" w:cs="仿宋"/>
          <w:color w:val="000000" w:themeColor="text1"/>
          <w:sz w:val="26"/>
          <w:szCs w:val="26"/>
        </w:rPr>
        <w:t>五、价值时点</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_Toc28345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9</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"_Toc19323" </w:instrText>
      </w:r>
      <w:r>
        <w:fldChar w:fldCharType="separate"/>
      </w:r>
      <w:r>
        <w:rPr>
          <w:rFonts w:hint="eastAsia" w:ascii="仿宋" w:hAnsi="仿宋" w:eastAsia="仿宋" w:cs="仿宋"/>
          <w:color w:val="000000" w:themeColor="text1"/>
          <w:sz w:val="26"/>
          <w:szCs w:val="26"/>
        </w:rPr>
        <w:t>六、价值类型</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_Toc19323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9</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"_Toc2079" </w:instrText>
      </w:r>
      <w:r>
        <w:fldChar w:fldCharType="separate"/>
      </w:r>
      <w:r>
        <w:rPr>
          <w:rFonts w:hint="eastAsia" w:ascii="仿宋" w:hAnsi="仿宋" w:eastAsia="仿宋" w:cs="仿宋"/>
          <w:color w:val="000000" w:themeColor="text1"/>
          <w:sz w:val="26"/>
          <w:szCs w:val="26"/>
        </w:rPr>
        <w:t>七、估价原则</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_Toc2079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9</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"_Toc31141" </w:instrText>
      </w:r>
      <w:r>
        <w:fldChar w:fldCharType="separate"/>
      </w:r>
      <w:r>
        <w:rPr>
          <w:rFonts w:hint="eastAsia" w:ascii="仿宋" w:hAnsi="仿宋" w:eastAsia="仿宋" w:cs="仿宋"/>
          <w:color w:val="000000" w:themeColor="text1"/>
          <w:sz w:val="26"/>
          <w:szCs w:val="26"/>
        </w:rPr>
        <w:t>八、估价依据</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_Toc31141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10</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"_Toc3631" </w:instrText>
      </w:r>
      <w:r>
        <w:fldChar w:fldCharType="separate"/>
      </w:r>
      <w:r>
        <w:rPr>
          <w:rFonts w:hint="eastAsia" w:ascii="仿宋" w:hAnsi="仿宋" w:eastAsia="仿宋" w:cs="仿宋"/>
          <w:color w:val="000000" w:themeColor="text1"/>
          <w:sz w:val="26"/>
          <w:szCs w:val="26"/>
        </w:rPr>
        <w:t>九、估价方法</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_Toc3631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12</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"_Toc14061" </w:instrText>
      </w:r>
      <w:r>
        <w:fldChar w:fldCharType="separate"/>
      </w:r>
      <w:r>
        <w:rPr>
          <w:rFonts w:hint="eastAsia" w:ascii="仿宋" w:hAnsi="仿宋" w:eastAsia="仿宋" w:cs="仿宋"/>
          <w:color w:val="000000" w:themeColor="text1"/>
          <w:sz w:val="26"/>
          <w:szCs w:val="26"/>
        </w:rPr>
        <w:t>十、估价结果</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_Toc14061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14</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"_Toc25750" </w:instrText>
      </w:r>
      <w:r>
        <w:fldChar w:fldCharType="separate"/>
      </w:r>
      <w:r>
        <w:rPr>
          <w:rFonts w:hint="eastAsia" w:ascii="仿宋" w:hAnsi="仿宋" w:eastAsia="仿宋" w:cs="仿宋"/>
          <w:color w:val="000000" w:themeColor="text1"/>
          <w:sz w:val="26"/>
          <w:szCs w:val="26"/>
        </w:rPr>
        <w:t>十一、注册房地产估价师</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_Toc25750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14</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"_Toc4900" </w:instrText>
      </w:r>
      <w:r>
        <w:fldChar w:fldCharType="separate"/>
      </w:r>
      <w:r>
        <w:rPr>
          <w:rFonts w:hint="eastAsia" w:ascii="仿宋" w:hAnsi="仿宋" w:eastAsia="仿宋" w:cs="仿宋"/>
          <w:color w:val="000000" w:themeColor="text1"/>
          <w:sz w:val="26"/>
          <w:szCs w:val="26"/>
        </w:rPr>
        <w:t>十二、实地查勘期</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_Toc4900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14</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"_Toc4940" </w:instrText>
      </w:r>
      <w:r>
        <w:fldChar w:fldCharType="separate"/>
      </w:r>
      <w:r>
        <w:rPr>
          <w:rFonts w:hint="eastAsia" w:ascii="仿宋" w:hAnsi="仿宋" w:eastAsia="仿宋" w:cs="仿宋"/>
          <w:color w:val="000000" w:themeColor="text1"/>
          <w:sz w:val="26"/>
          <w:szCs w:val="26"/>
        </w:rPr>
        <w:t>十三、估价作业期</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_Toc4940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14</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8"/>
        <w:tabs>
          <w:tab w:val="right" w:leader="dot" w:pos="8929"/>
          <w:tab w:val="clear" w:pos="9457"/>
        </w:tabs>
        <w:spacing w:before="0"/>
        <w:rPr>
          <w:rFonts w:ascii="仿宋" w:hAnsi="仿宋" w:eastAsia="仿宋" w:cs="仿宋"/>
          <w:color w:val="000000" w:themeColor="text1"/>
          <w:sz w:val="26"/>
          <w:szCs w:val="26"/>
        </w:rPr>
      </w:pPr>
      <w:r>
        <w:fldChar w:fldCharType="begin"/>
      </w:r>
      <w:r>
        <w:instrText xml:space="preserve"> HYPERLINK \l "_Toc6156" </w:instrText>
      </w:r>
      <w:r>
        <w:fldChar w:fldCharType="separate"/>
      </w:r>
      <w:r>
        <w:rPr>
          <w:rFonts w:hint="eastAsia" w:ascii="仿宋" w:hAnsi="仿宋" w:eastAsia="仿宋" w:cs="仿宋"/>
          <w:color w:val="000000" w:themeColor="text1"/>
          <w:sz w:val="26"/>
          <w:szCs w:val="26"/>
        </w:rPr>
        <w:t>十四、估价报告使用期限及限制</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_Toc6156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14</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pStyle w:val="30"/>
        <w:tabs>
          <w:tab w:val="right" w:leader="dot" w:pos="8929"/>
          <w:tab w:val="clear" w:pos="9457"/>
        </w:tabs>
        <w:spacing w:beforeLines="0" w:afterLines="0" w:line="240" w:lineRule="auto"/>
        <w:rPr>
          <w:rFonts w:ascii="仿宋" w:hAnsi="仿宋" w:eastAsia="仿宋" w:cs="仿宋"/>
          <w:color w:val="000000" w:themeColor="text1"/>
          <w:sz w:val="26"/>
          <w:szCs w:val="26"/>
        </w:rPr>
      </w:pPr>
      <w:r>
        <w:fldChar w:fldCharType="begin"/>
      </w:r>
      <w:r>
        <w:instrText xml:space="preserve"> HYPERLINK \l "_Toc11418" </w:instrText>
      </w:r>
      <w:r>
        <w:fldChar w:fldCharType="separate"/>
      </w:r>
      <w:r>
        <w:rPr>
          <w:rFonts w:hint="eastAsia" w:ascii="仿宋" w:hAnsi="仿宋" w:eastAsia="仿宋" w:cs="仿宋"/>
          <w:color w:val="000000" w:themeColor="text1"/>
          <w:sz w:val="26"/>
          <w:szCs w:val="26"/>
        </w:rPr>
        <w:t>附   件</w:t>
      </w:r>
      <w:r>
        <w:rPr>
          <w:rFonts w:hint="eastAsia" w:ascii="仿宋" w:hAnsi="仿宋" w:eastAsia="仿宋" w:cs="仿宋"/>
          <w:color w:val="000000" w:themeColor="text1"/>
          <w:sz w:val="26"/>
          <w:szCs w:val="26"/>
        </w:rPr>
        <w:tab/>
      </w:r>
      <w:r>
        <w:rPr>
          <w:rFonts w:hint="eastAsia" w:ascii="仿宋" w:hAnsi="仿宋" w:eastAsia="仿宋" w:cs="仿宋"/>
          <w:color w:val="000000" w:themeColor="text1"/>
          <w:sz w:val="26"/>
          <w:szCs w:val="26"/>
        </w:rPr>
        <w:fldChar w:fldCharType="begin"/>
      </w:r>
      <w:r>
        <w:rPr>
          <w:rFonts w:hint="eastAsia" w:ascii="仿宋" w:hAnsi="仿宋" w:eastAsia="仿宋" w:cs="仿宋"/>
          <w:color w:val="000000" w:themeColor="text1"/>
          <w:sz w:val="26"/>
          <w:szCs w:val="26"/>
        </w:rPr>
        <w:instrText xml:space="preserve"> PAGEREF _Toc11418 \h </w:instrText>
      </w:r>
      <w:r>
        <w:rPr>
          <w:rFonts w:hint="eastAsia" w:ascii="仿宋" w:hAnsi="仿宋" w:eastAsia="仿宋" w:cs="仿宋"/>
          <w:color w:val="000000" w:themeColor="text1"/>
          <w:sz w:val="26"/>
          <w:szCs w:val="26"/>
        </w:rPr>
        <w:fldChar w:fldCharType="separate"/>
      </w:r>
      <w:r>
        <w:rPr>
          <w:rFonts w:hint="eastAsia" w:ascii="仿宋" w:hAnsi="仿宋" w:eastAsia="仿宋" w:cs="仿宋"/>
          <w:color w:val="000000" w:themeColor="text1"/>
          <w:sz w:val="26"/>
          <w:szCs w:val="26"/>
        </w:rPr>
        <w:t>15</w:t>
      </w: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fldChar w:fldCharType="end"/>
      </w:r>
    </w:p>
    <w:p>
      <w:pPr>
        <w:rPr>
          <w:rFonts w:ascii="仿宋_GB2312" w:hAnsi="宋体" w:eastAsia="仿宋_GB2312"/>
          <w:snapToGrid w:val="0"/>
          <w:color w:val="000000" w:themeColor="text1"/>
          <w:kern w:val="0"/>
          <w:sz w:val="26"/>
          <w:szCs w:val="26"/>
        </w:rPr>
      </w:pPr>
      <w:r>
        <w:rPr>
          <w:rFonts w:hint="eastAsia" w:ascii="仿宋" w:hAnsi="仿宋" w:eastAsia="仿宋" w:cs="仿宋"/>
          <w:color w:val="000000" w:themeColor="text1"/>
          <w:sz w:val="26"/>
          <w:szCs w:val="26"/>
        </w:rPr>
        <w:fldChar w:fldCharType="end"/>
      </w:r>
      <w:r>
        <w:rPr>
          <w:rFonts w:hint="eastAsia" w:ascii="仿宋" w:hAnsi="仿宋" w:eastAsia="仿宋" w:cs="仿宋"/>
          <w:color w:val="000000" w:themeColor="text1"/>
          <w:sz w:val="26"/>
          <w:szCs w:val="26"/>
        </w:rPr>
        <w:t xml:space="preserve">     </w:t>
      </w:r>
      <w:r>
        <w:rPr>
          <w:rFonts w:hint="eastAsia" w:ascii="仿宋_GB2312" w:hAnsi="宋体" w:eastAsia="仿宋_GB2312"/>
          <w:snapToGrid w:val="0"/>
          <w:color w:val="000000" w:themeColor="text1"/>
          <w:kern w:val="0"/>
          <w:sz w:val="26"/>
          <w:szCs w:val="26"/>
        </w:rPr>
        <w:t>1. 估价对象所处位置示意图</w:t>
      </w:r>
    </w:p>
    <w:p>
      <w:pPr>
        <w:pStyle w:val="80"/>
        <w:tabs>
          <w:tab w:val="left" w:pos="0"/>
          <w:tab w:val="left" w:pos="1418"/>
        </w:tabs>
        <w:adjustRightInd w:val="0"/>
        <w:snapToGrid w:val="0"/>
        <w:spacing w:line="460" w:lineRule="exact"/>
        <w:ind w:left="709" w:firstLine="0" w:firstLineChars="0"/>
        <w:rPr>
          <w:rFonts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rPr>
        <w:t>2. 估价对象现场查勘照片</w:t>
      </w:r>
    </w:p>
    <w:p>
      <w:pPr>
        <w:pStyle w:val="80"/>
        <w:tabs>
          <w:tab w:val="left" w:pos="0"/>
          <w:tab w:val="left" w:pos="1418"/>
        </w:tabs>
        <w:adjustRightInd w:val="0"/>
        <w:snapToGrid w:val="0"/>
        <w:spacing w:line="460" w:lineRule="exact"/>
        <w:ind w:left="709" w:firstLine="0" w:firstLineChars="0"/>
        <w:rPr>
          <w:rFonts w:hint="eastAsia"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rPr>
        <w:t>3.《</w:t>
      </w:r>
      <w:r>
        <w:rPr>
          <w:rFonts w:hint="eastAsia" w:ascii="仿宋_GB2312" w:hAnsi="宋体" w:eastAsia="仿宋_GB2312"/>
          <w:snapToGrid w:val="0"/>
          <w:color w:val="000000" w:themeColor="text1"/>
          <w:kern w:val="0"/>
          <w:sz w:val="26"/>
          <w:szCs w:val="26"/>
          <w:lang w:eastAsia="zh-CN"/>
        </w:rPr>
        <w:t>长安区人民法院司法鉴定委托书</w:t>
      </w:r>
      <w:r>
        <w:rPr>
          <w:rFonts w:hint="eastAsia" w:ascii="仿宋_GB2312" w:hAnsi="宋体" w:eastAsia="仿宋_GB2312"/>
          <w:snapToGrid w:val="0"/>
          <w:color w:val="000000" w:themeColor="text1"/>
          <w:kern w:val="0"/>
          <w:sz w:val="26"/>
          <w:szCs w:val="26"/>
        </w:rPr>
        <w:t>》复印件</w:t>
      </w:r>
    </w:p>
    <w:p>
      <w:pPr>
        <w:pStyle w:val="80"/>
        <w:tabs>
          <w:tab w:val="left" w:pos="0"/>
          <w:tab w:val="left" w:pos="1418"/>
        </w:tabs>
        <w:adjustRightInd w:val="0"/>
        <w:snapToGrid w:val="0"/>
        <w:spacing w:line="460" w:lineRule="exact"/>
        <w:ind w:left="709" w:firstLine="0" w:firstLineChars="0"/>
        <w:rPr>
          <w:rFonts w:hint="eastAsia"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rPr>
        <w:t>4.《石家庄市长安区人民法院执行裁定书》复印件</w:t>
      </w:r>
    </w:p>
    <w:p>
      <w:pPr>
        <w:pStyle w:val="80"/>
        <w:tabs>
          <w:tab w:val="left" w:pos="0"/>
          <w:tab w:val="left" w:pos="1418"/>
        </w:tabs>
        <w:adjustRightInd w:val="0"/>
        <w:snapToGrid w:val="0"/>
        <w:spacing w:line="460" w:lineRule="exact"/>
        <w:ind w:left="709" w:firstLine="0" w:firstLineChars="0"/>
        <w:rPr>
          <w:rFonts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lang w:val="en-US" w:eastAsia="zh-CN"/>
        </w:rPr>
        <w:t>5</w:t>
      </w:r>
      <w:r>
        <w:rPr>
          <w:rFonts w:hint="eastAsia" w:ascii="仿宋_GB2312" w:hAnsi="宋体" w:eastAsia="仿宋_GB2312"/>
          <w:snapToGrid w:val="0"/>
          <w:color w:val="000000" w:themeColor="text1"/>
          <w:kern w:val="0"/>
          <w:sz w:val="26"/>
          <w:szCs w:val="26"/>
        </w:rPr>
        <w:t>.《不动产权利及其他事项登记信息》复印件</w:t>
      </w:r>
    </w:p>
    <w:p>
      <w:pPr>
        <w:pStyle w:val="80"/>
        <w:tabs>
          <w:tab w:val="left" w:pos="0"/>
          <w:tab w:val="left" w:pos="1418"/>
        </w:tabs>
        <w:adjustRightInd w:val="0"/>
        <w:snapToGrid w:val="0"/>
        <w:spacing w:line="460" w:lineRule="exact"/>
        <w:ind w:left="709" w:firstLine="0" w:firstLineChars="0"/>
        <w:rPr>
          <w:rFonts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lang w:val="en-US" w:eastAsia="zh-CN"/>
        </w:rPr>
        <w:t>6</w:t>
      </w:r>
      <w:r>
        <w:rPr>
          <w:rFonts w:hint="eastAsia" w:ascii="仿宋_GB2312" w:hAnsi="宋体" w:eastAsia="仿宋_GB2312"/>
          <w:snapToGrid w:val="0"/>
          <w:color w:val="000000" w:themeColor="text1"/>
          <w:kern w:val="0"/>
          <w:sz w:val="26"/>
          <w:szCs w:val="26"/>
        </w:rPr>
        <w:t>.房地产估价机构营业执照复印件</w:t>
      </w:r>
    </w:p>
    <w:p>
      <w:pPr>
        <w:pStyle w:val="80"/>
        <w:tabs>
          <w:tab w:val="left" w:pos="0"/>
          <w:tab w:val="left" w:pos="1418"/>
        </w:tabs>
        <w:adjustRightInd w:val="0"/>
        <w:snapToGrid w:val="0"/>
        <w:spacing w:line="460" w:lineRule="exact"/>
        <w:ind w:left="709" w:firstLine="0" w:firstLineChars="0"/>
        <w:rPr>
          <w:rFonts w:ascii="仿宋_GB2312" w:hAnsi="宋体" w:eastAsia="仿宋_GB2312"/>
          <w:snapToGrid w:val="0"/>
          <w:color w:val="000000" w:themeColor="text1"/>
          <w:kern w:val="0"/>
          <w:sz w:val="26"/>
          <w:szCs w:val="26"/>
        </w:rPr>
      </w:pPr>
      <w:r>
        <w:rPr>
          <w:rFonts w:hint="eastAsia" w:ascii="仿宋_GB2312" w:hAnsi="宋体" w:eastAsia="仿宋_GB2312"/>
          <w:snapToGrid w:val="0"/>
          <w:color w:val="000000" w:themeColor="text1"/>
          <w:kern w:val="0"/>
          <w:sz w:val="26"/>
          <w:szCs w:val="26"/>
          <w:lang w:val="en-US" w:eastAsia="zh-CN"/>
        </w:rPr>
        <w:t>7</w:t>
      </w:r>
      <w:r>
        <w:rPr>
          <w:rFonts w:hint="eastAsia" w:ascii="仿宋_GB2312" w:hAnsi="宋体" w:eastAsia="仿宋_GB2312"/>
          <w:snapToGrid w:val="0"/>
          <w:color w:val="000000" w:themeColor="text1"/>
          <w:kern w:val="0"/>
          <w:sz w:val="26"/>
          <w:szCs w:val="26"/>
        </w:rPr>
        <w:t>.房地产估价机构资格证书复印件</w:t>
      </w:r>
    </w:p>
    <w:p>
      <w:pPr>
        <w:pStyle w:val="80"/>
        <w:tabs>
          <w:tab w:val="left" w:pos="0"/>
          <w:tab w:val="left" w:pos="1418"/>
        </w:tabs>
        <w:adjustRightInd w:val="0"/>
        <w:snapToGrid w:val="0"/>
        <w:spacing w:line="460" w:lineRule="exact"/>
        <w:ind w:left="709" w:firstLine="0" w:firstLineChars="0"/>
        <w:rPr>
          <w:rFonts w:ascii="仿宋_GB2312" w:hAnsi="宋体" w:eastAsia="仿宋_GB2312"/>
          <w:snapToGrid w:val="0"/>
          <w:color w:val="000000" w:themeColor="text1"/>
          <w:kern w:val="0"/>
          <w:sz w:val="26"/>
          <w:szCs w:val="26"/>
        </w:rPr>
        <w:sectPr>
          <w:pgSz w:w="11906" w:h="16838"/>
          <w:pgMar w:top="1814" w:right="1276" w:bottom="1418" w:left="1701" w:header="1418" w:footer="737" w:gutter="0"/>
          <w:pgBorders>
            <w:top w:val="none" w:sz="0" w:space="0"/>
            <w:left w:val="none" w:sz="0" w:space="0"/>
            <w:bottom w:val="none" w:sz="0" w:space="0"/>
            <w:right w:val="none" w:sz="0" w:space="0"/>
          </w:pgBorders>
          <w:pgNumType w:start="0"/>
          <w:cols w:space="720" w:num="1"/>
          <w:titlePg/>
          <w:docGrid w:linePitch="312" w:charSpace="0"/>
        </w:sectPr>
      </w:pPr>
      <w:r>
        <w:rPr>
          <w:rFonts w:hint="eastAsia" w:ascii="仿宋_GB2312" w:hAnsi="宋体" w:eastAsia="仿宋_GB2312"/>
          <w:snapToGrid w:val="0"/>
          <w:color w:val="000000" w:themeColor="text1"/>
          <w:kern w:val="0"/>
          <w:sz w:val="26"/>
          <w:szCs w:val="26"/>
          <w:lang w:val="en-US" w:eastAsia="zh-CN"/>
        </w:rPr>
        <w:t>8.</w:t>
      </w:r>
      <w:r>
        <w:rPr>
          <w:rFonts w:hint="eastAsia" w:ascii="仿宋_GB2312" w:hAnsi="宋体" w:eastAsia="仿宋_GB2312"/>
          <w:snapToGrid w:val="0"/>
          <w:color w:val="000000" w:themeColor="text1"/>
          <w:kern w:val="0"/>
          <w:sz w:val="26"/>
          <w:szCs w:val="26"/>
        </w:rPr>
        <w:t>房地产估价师资格证复印件</w:t>
      </w:r>
      <w:bookmarkStart w:id="10" w:name="_Toc387827678"/>
      <w:bookmarkStart w:id="11" w:name="_Toc382493599"/>
      <w:bookmarkStart w:id="12" w:name="_Toc301369709"/>
      <w:bookmarkStart w:id="13" w:name="_Toc367869491"/>
    </w:p>
    <w:bookmarkEnd w:id="10"/>
    <w:bookmarkEnd w:id="11"/>
    <w:bookmarkEnd w:id="12"/>
    <w:bookmarkEnd w:id="13"/>
    <w:p>
      <w:pPr>
        <w:pStyle w:val="2"/>
        <w:snapToGrid w:val="0"/>
        <w:spacing w:before="120" w:after="120" w:line="360" w:lineRule="auto"/>
        <w:jc w:val="center"/>
        <w:rPr>
          <w:color w:val="000000" w:themeColor="text1"/>
          <w:sz w:val="36"/>
          <w:szCs w:val="36"/>
        </w:rPr>
      </w:pPr>
      <w:bookmarkStart w:id="14" w:name="_Toc20041"/>
      <w:bookmarkStart w:id="15" w:name="_Toc17110"/>
      <w:bookmarkStart w:id="16" w:name="_Toc10895"/>
      <w:r>
        <w:rPr>
          <w:rFonts w:hint="eastAsia" w:ascii="仿宋_GB2312" w:eastAsia="仿宋_GB2312"/>
          <w:snapToGrid w:val="0"/>
          <w:color w:val="000000" w:themeColor="text1"/>
          <w:kern w:val="0"/>
          <w:sz w:val="36"/>
          <w:szCs w:val="36"/>
        </w:rPr>
        <w:t>估价师声明</w:t>
      </w:r>
      <w:bookmarkEnd w:id="4"/>
      <w:bookmarkEnd w:id="5"/>
      <w:bookmarkEnd w:id="6"/>
      <w:bookmarkEnd w:id="7"/>
      <w:bookmarkEnd w:id="8"/>
      <w:bookmarkEnd w:id="9"/>
      <w:r>
        <w:rPr>
          <w:color w:val="000000" w:themeColor="text1"/>
          <w:sz w:val="36"/>
          <w:szCs w:val="36"/>
        </w:rPr>
        <w:fldChar w:fldCharType="begin"/>
      </w:r>
      <w:r>
        <w:rPr>
          <w:color w:val="000000" w:themeColor="text1"/>
        </w:rPr>
        <w:instrText xml:space="preserve"> TC "</w:instrText>
      </w:r>
      <w:bookmarkStart w:id="17" w:name="_Toc289260246"/>
      <w:bookmarkStart w:id="18" w:name="_Toc288212015"/>
      <w:r>
        <w:rPr>
          <w:rFonts w:hint="eastAsia"/>
          <w:color w:val="000000" w:themeColor="text1"/>
          <w:sz w:val="36"/>
          <w:szCs w:val="36"/>
        </w:rPr>
        <w:instrText xml:space="preserve">三、</w:instrText>
      </w:r>
      <w:r>
        <w:rPr>
          <w:color w:val="000000" w:themeColor="text1"/>
          <w:sz w:val="36"/>
          <w:szCs w:val="36"/>
        </w:rPr>
        <w:instrText xml:space="preserve">注册房地产估价师声明</w:instrText>
      </w:r>
      <w:bookmarkEnd w:id="17"/>
      <w:bookmarkEnd w:id="18"/>
      <w:r>
        <w:rPr>
          <w:color w:val="000000" w:themeColor="text1"/>
        </w:rPr>
        <w:instrText xml:space="preserve">" \f C \l "1"</w:instrText>
      </w:r>
      <w:r>
        <w:rPr>
          <w:color w:val="000000" w:themeColor="text1"/>
          <w:sz w:val="36"/>
          <w:szCs w:val="36"/>
        </w:rPr>
        <w:fldChar w:fldCharType="end"/>
      </w:r>
      <w:bookmarkEnd w:id="14"/>
      <w:bookmarkEnd w:id="15"/>
      <w:bookmarkEnd w:id="16"/>
    </w:p>
    <w:p>
      <w:pPr>
        <w:spacing w:line="560" w:lineRule="exact"/>
        <w:rPr>
          <w:rFonts w:ascii="仿宋_GB2312" w:eastAsia="仿宋_GB2312"/>
          <w:b/>
          <w:color w:val="000000" w:themeColor="text1"/>
          <w:sz w:val="28"/>
          <w:szCs w:val="28"/>
        </w:rPr>
      </w:pPr>
      <w:r>
        <w:rPr>
          <w:rFonts w:hint="eastAsia" w:ascii="仿宋_GB2312" w:eastAsia="仿宋_GB2312"/>
          <w:b/>
          <w:color w:val="000000" w:themeColor="text1"/>
          <w:sz w:val="28"/>
          <w:szCs w:val="28"/>
        </w:rPr>
        <w:t>我们郑重声明：</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1.我们在本估价报告中陈述的事实是真实和准确的。</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2.本估价报告中的分析、意见和结论是我们自己公正的专业分析、意见和结论，但受到估价报告中已说明的假设和限制条件的限制。</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3.我们与本估价报告中的估价对象没有利害关系，也与估价利害关系人没有个人利害关系或偏见。</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4.我们依照中华人民共和国国家标准《房地产估价规范》（GB/T50291-2015）、《房地产估价基本术语标准》（GB/T50899-2013）进行分析，形成意见和结论，撰写本估价报告。</w:t>
      </w:r>
    </w:p>
    <w:p>
      <w:pPr>
        <w:tabs>
          <w:tab w:val="left" w:pos="356"/>
        </w:tabs>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5.我们于</w:t>
      </w:r>
      <w:r>
        <w:rPr>
          <w:rFonts w:hint="eastAsia" w:ascii="仿宋_GB2312" w:hAnsi="宋体" w:eastAsia="仿宋_GB2312"/>
          <w:bCs/>
          <w:color w:val="000000" w:themeColor="text1"/>
          <w:sz w:val="28"/>
          <w:szCs w:val="28"/>
          <w:lang w:eastAsia="zh-CN"/>
        </w:rPr>
        <w:t>2021年9月10日</w:t>
      </w:r>
      <w:r>
        <w:rPr>
          <w:rFonts w:hint="eastAsia" w:ascii="仿宋_GB2312" w:hAnsi="宋体" w:eastAsia="仿宋_GB2312"/>
          <w:bCs/>
          <w:color w:val="000000" w:themeColor="text1"/>
          <w:sz w:val="28"/>
          <w:szCs w:val="28"/>
        </w:rPr>
        <w:t>对估价对象进行了实地查勘。估价人员对估价对象的勘查限于估价对象的外观和使用状况，估价人员不承担对估价对象建筑结构质量进行调查的责任，也不承担对其他被遮盖未暴露及难以接触到的部分进行勘查的责任。</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highlight w:val="yellow"/>
        </w:rPr>
      </w:pPr>
      <w:r>
        <w:rPr>
          <w:rFonts w:hint="eastAsia" w:ascii="仿宋_GB2312" w:hAnsi="宋体" w:eastAsia="仿宋_GB2312"/>
          <w:bCs/>
          <w:color w:val="000000" w:themeColor="text1"/>
          <w:sz w:val="28"/>
          <w:szCs w:val="28"/>
          <w:highlight w:val="none"/>
        </w:rPr>
        <w:t>申请人</w:t>
      </w:r>
      <w:r>
        <w:rPr>
          <w:rFonts w:hint="eastAsia" w:ascii="仿宋_GB2312" w:hAnsi="宋体" w:eastAsia="仿宋_GB2312"/>
          <w:bCs/>
          <w:color w:val="000000" w:themeColor="text1"/>
          <w:sz w:val="28"/>
          <w:szCs w:val="28"/>
          <w:highlight w:val="none"/>
          <w:lang w:val="en-US" w:eastAsia="zh-CN"/>
        </w:rPr>
        <w:t>未与</w:t>
      </w:r>
      <w:r>
        <w:rPr>
          <w:rFonts w:hint="eastAsia" w:ascii="仿宋_GB2312" w:hAnsi="宋体" w:eastAsia="仿宋_GB2312"/>
          <w:bCs/>
          <w:color w:val="000000" w:themeColor="text1"/>
          <w:sz w:val="28"/>
          <w:szCs w:val="28"/>
          <w:highlight w:val="none"/>
        </w:rPr>
        <w:t>房地产估价师一同查勘，</w:t>
      </w:r>
      <w:r>
        <w:rPr>
          <w:rFonts w:hint="eastAsia" w:ascii="仿宋_GB2312" w:hAnsi="宋体" w:eastAsia="仿宋_GB2312"/>
          <w:bCs/>
          <w:color w:val="000000" w:themeColor="text1"/>
          <w:sz w:val="28"/>
          <w:szCs w:val="28"/>
          <w:highlight w:val="none"/>
          <w:lang w:val="en-US" w:eastAsia="zh-CN"/>
        </w:rPr>
        <w:t>未</w:t>
      </w:r>
      <w:r>
        <w:rPr>
          <w:rFonts w:hint="eastAsia" w:ascii="仿宋_GB2312" w:hAnsi="宋体" w:eastAsia="仿宋_GB2312"/>
          <w:bCs/>
          <w:color w:val="000000" w:themeColor="text1"/>
          <w:sz w:val="28"/>
          <w:szCs w:val="28"/>
          <w:highlight w:val="none"/>
        </w:rPr>
        <w:t>在查勘记录上签字。</w:t>
      </w:r>
    </w:p>
    <w:p>
      <w:pPr>
        <w:tabs>
          <w:tab w:val="left" w:pos="0"/>
        </w:tabs>
        <w:adjustRightInd w:val="0"/>
        <w:snapToGrid w:val="0"/>
        <w:spacing w:line="560" w:lineRule="exact"/>
        <w:ind w:firstLine="560" w:firstLineChars="200"/>
        <w:rPr>
          <w:rFonts w:ascii="仿宋_GB2312" w:hAnsi="宋体" w:eastAsia="仿宋_GB2312"/>
          <w:bCs/>
          <w:color w:val="000000" w:themeColor="text1"/>
          <w:sz w:val="28"/>
          <w:szCs w:val="28"/>
        </w:rPr>
      </w:pPr>
      <w:r>
        <w:rPr>
          <w:rFonts w:hint="eastAsia" w:ascii="仿宋_GB2312" w:hAnsi="宋体" w:eastAsia="仿宋_GB2312"/>
          <w:bCs/>
          <w:color w:val="000000" w:themeColor="text1"/>
          <w:sz w:val="28"/>
          <w:szCs w:val="28"/>
        </w:rPr>
        <w:t>6.没有人对本估价报告提供重要的专业帮助。</w:t>
      </w:r>
    </w:p>
    <w:p>
      <w:pPr>
        <w:tabs>
          <w:tab w:val="left" w:pos="0"/>
        </w:tabs>
        <w:adjustRightInd w:val="0"/>
        <w:snapToGrid w:val="0"/>
        <w:spacing w:line="360" w:lineRule="auto"/>
        <w:jc w:val="center"/>
        <w:rPr>
          <w:rFonts w:ascii="仿宋_GB2312" w:eastAsia="仿宋_GB2312"/>
          <w:b/>
          <w:snapToGrid w:val="0"/>
          <w:color w:val="000000" w:themeColor="text1"/>
          <w:kern w:val="0"/>
          <w:sz w:val="36"/>
          <w:szCs w:val="36"/>
        </w:rPr>
      </w:pPr>
      <w:r>
        <w:rPr>
          <w:rFonts w:ascii="仿宋_GB2312" w:hAnsi="宋体" w:eastAsia="仿宋_GB2312"/>
          <w:b/>
          <w:color w:val="000000" w:themeColor="text1"/>
          <w:sz w:val="32"/>
          <w:szCs w:val="32"/>
        </w:rPr>
        <w:br w:type="page"/>
      </w:r>
      <w:r>
        <w:rPr>
          <w:rFonts w:hint="eastAsia" w:ascii="仿宋_GB2312" w:eastAsia="仿宋_GB2312"/>
          <w:b/>
          <w:snapToGrid w:val="0"/>
          <w:color w:val="000000" w:themeColor="text1"/>
          <w:kern w:val="0"/>
          <w:sz w:val="36"/>
          <w:szCs w:val="36"/>
        </w:rPr>
        <w:t>估价假设和限制条件</w:t>
      </w:r>
    </w:p>
    <w:p>
      <w:pPr>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1.一般假设</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（1）我们对《不动产权利及其他事项登记信息》等资料进行了审慎检查，在无理由怀疑其合法性、真实性、准确性和完整性的情况下，假定资料合法、真实、正确、完整。</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2）注册房地产估价师已对房屋安全、环境污染等影响估价对象价值的重大因素给予了关注。估价人员实地查勘时，未对其做建筑物基础、房屋结构上的测量和实验，本次估价假设估价对象能正常安全使用，无建筑物基础、结构、环境污染等方面的重大质量问题。</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（3）</w:t>
      </w:r>
      <w:r>
        <w:rPr>
          <w:rFonts w:hint="eastAsia" w:ascii="仿宋_GB2312" w:eastAsia="仿宋_GB2312"/>
          <w:color w:val="000000" w:themeColor="text1"/>
          <w:sz w:val="28"/>
          <w:szCs w:val="28"/>
        </w:rPr>
        <w:t>本次估价是以估价委托人提供的与估价对象有关的法律文件、权属证明及调档资料</w:t>
      </w:r>
      <w:r>
        <w:rPr>
          <w:rFonts w:hint="eastAsia" w:ascii="仿宋_GB2312" w:hAnsi="宋体" w:eastAsia="仿宋_GB2312"/>
          <w:color w:val="000000" w:themeColor="text1"/>
          <w:sz w:val="28"/>
          <w:szCs w:val="28"/>
        </w:rPr>
        <w:t>真实、合法、准确、完整为前提。</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（4）市场供应关系、市场结构保持稳定、未发生重大变化或实质性改变。</w:t>
      </w:r>
    </w:p>
    <w:p>
      <w:pPr>
        <w:spacing w:line="560" w:lineRule="exact"/>
        <w:ind w:firstLine="560" w:firstLineChars="200"/>
        <w:rPr>
          <w:rFonts w:ascii="仿宋_GB2312" w:hAnsi="宋体" w:eastAsia="仿宋_GB2312"/>
          <w:color w:val="000000" w:themeColor="text1"/>
          <w:sz w:val="28"/>
          <w:szCs w:val="28"/>
          <w:highlight w:val="none"/>
        </w:rPr>
      </w:pPr>
      <w:r>
        <w:rPr>
          <w:rFonts w:hint="eastAsia" w:ascii="仿宋_GB2312" w:hAnsi="宋体" w:eastAsia="仿宋_GB2312"/>
          <w:color w:val="000000" w:themeColor="text1"/>
          <w:sz w:val="28"/>
          <w:szCs w:val="28"/>
          <w:highlight w:val="none"/>
        </w:rPr>
        <w:t>（</w:t>
      </w:r>
      <w:r>
        <w:rPr>
          <w:rFonts w:hint="eastAsia" w:ascii="仿宋_GB2312" w:hAnsi="宋体" w:eastAsia="仿宋_GB2312"/>
          <w:color w:val="000000" w:themeColor="text1"/>
          <w:sz w:val="28"/>
          <w:szCs w:val="28"/>
          <w:highlight w:val="none"/>
          <w:lang w:val="en-US" w:eastAsia="zh-CN"/>
        </w:rPr>
        <w:t>5</w:t>
      </w:r>
      <w:r>
        <w:rPr>
          <w:rFonts w:hint="eastAsia" w:ascii="仿宋_GB2312" w:hAnsi="宋体" w:eastAsia="仿宋_GB2312"/>
          <w:color w:val="000000" w:themeColor="text1"/>
          <w:sz w:val="28"/>
          <w:szCs w:val="28"/>
          <w:highlight w:val="none"/>
        </w:rPr>
        <w:t>）</w:t>
      </w:r>
      <w:r>
        <w:rPr>
          <w:rFonts w:hint="eastAsia" w:ascii="仿宋_GB2312" w:hAnsi="仿宋_GB2312" w:eastAsia="仿宋_GB2312" w:cs="仿宋_GB2312"/>
          <w:color w:val="000000" w:themeColor="text1"/>
          <w:sz w:val="28"/>
          <w:szCs w:val="28"/>
          <w:highlight w:val="none"/>
          <w:lang w:bidi="ar"/>
        </w:rPr>
        <w:t>根据调档资料</w:t>
      </w:r>
      <w:r>
        <w:rPr>
          <w:rFonts w:hint="eastAsia" w:ascii="仿宋_GB2312" w:hAnsi="宋体" w:eastAsia="仿宋_GB2312" w:cs="仿宋_GB2312"/>
          <w:color w:val="000000" w:themeColor="text1"/>
          <w:sz w:val="28"/>
          <w:szCs w:val="28"/>
          <w:highlight w:val="none"/>
          <w:lang w:bidi="ar"/>
        </w:rPr>
        <w:t>《不动产权利及其他事项登记信息》</w:t>
      </w:r>
      <w:r>
        <w:rPr>
          <w:rFonts w:hint="eastAsia" w:ascii="仿宋_GB2312" w:hAnsi="仿宋_GB2312" w:eastAsia="仿宋_GB2312" w:cs="仿宋_GB2312"/>
          <w:color w:val="000000" w:themeColor="text1"/>
          <w:sz w:val="28"/>
          <w:szCs w:val="28"/>
          <w:highlight w:val="none"/>
          <w:lang w:bidi="ar"/>
        </w:rPr>
        <w:t>记载</w:t>
      </w:r>
      <w:r>
        <w:rPr>
          <w:rFonts w:hint="eastAsia" w:ascii="仿宋_GB2312" w:hAnsi="仿宋_GB2312" w:eastAsia="仿宋_GB2312" w:cs="仿宋_GB2312"/>
          <w:color w:val="000000" w:themeColor="text1"/>
          <w:sz w:val="28"/>
          <w:szCs w:val="28"/>
          <w:highlight w:val="none"/>
        </w:rPr>
        <w:t>，</w:t>
      </w:r>
      <w:r>
        <w:rPr>
          <w:rFonts w:hint="eastAsia" w:ascii="仿宋_GB2312" w:hAnsi="仿宋_GB2312" w:eastAsia="仿宋_GB2312" w:cs="仿宋_GB2312"/>
          <w:color w:val="000000" w:themeColor="text1"/>
          <w:sz w:val="28"/>
          <w:szCs w:val="28"/>
          <w:highlight w:val="none"/>
          <w:lang w:val="en-US" w:eastAsia="zh-CN"/>
        </w:rPr>
        <w:t>估价对象存在抵押权，除此之外</w:t>
      </w:r>
      <w:r>
        <w:rPr>
          <w:rFonts w:hint="eastAsia" w:ascii="仿宋_GB2312" w:hAnsi="宋体" w:eastAsia="仿宋_GB2312"/>
          <w:color w:val="000000" w:themeColor="text1"/>
          <w:sz w:val="28"/>
          <w:szCs w:val="28"/>
          <w:highlight w:val="none"/>
        </w:rPr>
        <w:t>人民法院未明确存在租赁权、</w:t>
      </w:r>
      <w:r>
        <w:rPr>
          <w:rFonts w:hint="eastAsia" w:ascii="仿宋_GB2312" w:hAnsi="宋体" w:eastAsia="仿宋_GB2312"/>
          <w:color w:val="000000" w:themeColor="text1"/>
          <w:sz w:val="28"/>
          <w:szCs w:val="28"/>
          <w:highlight w:val="none"/>
          <w:lang w:val="en-US" w:eastAsia="zh-CN"/>
        </w:rPr>
        <w:t>其他</w:t>
      </w:r>
      <w:r>
        <w:rPr>
          <w:rFonts w:hint="eastAsia" w:ascii="仿宋_GB2312" w:hAnsi="宋体" w:eastAsia="仿宋_GB2312"/>
          <w:color w:val="000000" w:themeColor="text1"/>
          <w:sz w:val="28"/>
          <w:szCs w:val="28"/>
          <w:highlight w:val="none"/>
        </w:rPr>
        <w:t>用益物权及占有使用情况，估价人员经过尽职调查后也未发现、掌握相关情况，故假定评估对象不存在租赁权、</w:t>
      </w:r>
      <w:r>
        <w:rPr>
          <w:rFonts w:hint="eastAsia" w:ascii="仿宋_GB2312" w:hAnsi="宋体" w:eastAsia="仿宋_GB2312"/>
          <w:color w:val="000000" w:themeColor="text1"/>
          <w:sz w:val="28"/>
          <w:szCs w:val="28"/>
          <w:highlight w:val="none"/>
          <w:lang w:val="en-US" w:eastAsia="zh-CN"/>
        </w:rPr>
        <w:t>其他</w:t>
      </w:r>
      <w:r>
        <w:rPr>
          <w:rFonts w:hint="eastAsia" w:ascii="仿宋_GB2312" w:hAnsi="宋体" w:eastAsia="仿宋_GB2312"/>
          <w:color w:val="000000" w:themeColor="text1"/>
          <w:sz w:val="28"/>
          <w:szCs w:val="28"/>
          <w:highlight w:val="none"/>
        </w:rPr>
        <w:t>用益物权及占有使用情况。</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highlight w:val="none"/>
        </w:rPr>
        <w:t>（</w:t>
      </w:r>
      <w:r>
        <w:rPr>
          <w:rFonts w:hint="eastAsia" w:ascii="仿宋_GB2312" w:hAnsi="宋体" w:eastAsia="仿宋_GB2312"/>
          <w:color w:val="000000" w:themeColor="text1"/>
          <w:sz w:val="28"/>
          <w:szCs w:val="28"/>
          <w:highlight w:val="none"/>
          <w:lang w:val="en-US" w:eastAsia="zh-CN"/>
        </w:rPr>
        <w:t>6</w:t>
      </w:r>
      <w:r>
        <w:rPr>
          <w:rFonts w:hint="eastAsia" w:ascii="仿宋_GB2312" w:hAnsi="宋体" w:eastAsia="仿宋_GB2312"/>
          <w:color w:val="000000" w:themeColor="text1"/>
          <w:sz w:val="28"/>
          <w:szCs w:val="28"/>
          <w:highlight w:val="none"/>
        </w:rPr>
        <w:t>）人</w:t>
      </w:r>
      <w:r>
        <w:rPr>
          <w:rFonts w:hint="eastAsia" w:ascii="仿宋_GB2312" w:hAnsi="宋体" w:eastAsia="仿宋_GB2312"/>
          <w:color w:val="000000" w:themeColor="text1"/>
          <w:sz w:val="28"/>
          <w:szCs w:val="28"/>
        </w:rPr>
        <w:t>民法院未明确估价对象存在欠缴税金及相关费用（包括税收、物业费、供暖费、水电气费等及其滞纳金），故假定评估对象不存在欠缴税金及相关费用。</w:t>
      </w:r>
    </w:p>
    <w:p>
      <w:pPr>
        <w:spacing w:line="560" w:lineRule="exact"/>
        <w:ind w:firstLine="562" w:firstLineChars="200"/>
        <w:rPr>
          <w:rFonts w:ascii="仿宋_GB2312" w:hAnsi="宋体" w:eastAsia="仿宋_GB2312"/>
          <w:color w:val="000000" w:themeColor="text1"/>
          <w:sz w:val="28"/>
          <w:szCs w:val="28"/>
        </w:rPr>
      </w:pPr>
      <w:r>
        <w:rPr>
          <w:rFonts w:hint="eastAsia" w:ascii="仿宋_GB2312" w:hAnsi="宋体" w:eastAsia="仿宋_GB2312"/>
          <w:b/>
          <w:color w:val="000000" w:themeColor="text1"/>
          <w:sz w:val="28"/>
          <w:szCs w:val="28"/>
        </w:rPr>
        <w:t>2.未定事项假设</w:t>
      </w:r>
    </w:p>
    <w:p>
      <w:pPr>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无未定事项假设。</w:t>
      </w:r>
    </w:p>
    <w:p>
      <w:pPr>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3.背离事实假设</w:t>
      </w:r>
    </w:p>
    <w:p>
      <w:pPr>
        <w:snapToGrid w:val="0"/>
        <w:spacing w:line="560" w:lineRule="exact"/>
        <w:ind w:firstLine="560" w:firstLineChars="200"/>
        <w:rPr>
          <w:rFonts w:ascii="仿宋_GB2312" w:eastAsia="仿宋_GB2312" w:cs="仿宋_GB2312"/>
          <w:color w:val="000000" w:themeColor="text1"/>
          <w:sz w:val="28"/>
          <w:szCs w:val="28"/>
          <w:lang w:bidi="ar"/>
        </w:rPr>
      </w:pPr>
      <w:r>
        <w:rPr>
          <w:rFonts w:hint="eastAsia" w:ascii="仿宋_GB2312" w:hAnsi="宋体" w:eastAsia="仿宋_GB2312" w:cs="宋体"/>
          <w:color w:val="000000" w:themeColor="text1"/>
          <w:sz w:val="28"/>
          <w:szCs w:val="28"/>
          <w:lang w:bidi="ar"/>
        </w:rPr>
        <w:t>根据《不动产权利及其他事项登记信息》，至价值时点，估价对</w:t>
      </w:r>
      <w:r>
        <w:rPr>
          <w:rFonts w:hint="eastAsia" w:ascii="仿宋_GB2312" w:eastAsia="仿宋_GB2312" w:cs="仿宋_GB2312"/>
          <w:color w:val="000000" w:themeColor="text1"/>
          <w:sz w:val="28"/>
          <w:szCs w:val="28"/>
          <w:lang w:bidi="ar"/>
        </w:rPr>
        <w:t>象处于被查封状态。结合估价目的，本次评估不考虑估价对象被查封以及原有的担保物权和其他优先受偿权的影响。</w:t>
      </w:r>
    </w:p>
    <w:p>
      <w:pPr>
        <w:numPr>
          <w:ilvl w:val="0"/>
          <w:numId w:val="1"/>
        </w:numPr>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不相一致假设</w:t>
      </w:r>
    </w:p>
    <w:p>
      <w:pPr>
        <w:snapToGrid w:val="0"/>
        <w:spacing w:line="560" w:lineRule="exact"/>
        <w:ind w:firstLine="560" w:firstLineChars="200"/>
        <w:rPr>
          <w:rFonts w:hint="default" w:ascii="仿宋_GB2312" w:hAnsi="宋体" w:eastAsia="仿宋_GB2312"/>
          <w:b/>
          <w:color w:val="000000" w:themeColor="text1"/>
          <w:sz w:val="28"/>
          <w:szCs w:val="28"/>
          <w:highlight w:val="none"/>
          <w:lang w:val="en-US" w:eastAsia="zh-CN"/>
        </w:rPr>
      </w:pPr>
      <w:r>
        <w:rPr>
          <w:rFonts w:hint="eastAsia" w:ascii="仿宋_GB2312" w:hAnsi="仿宋_GB2312" w:eastAsia="仿宋_GB2312" w:cs="仿宋_GB2312"/>
          <w:color w:val="000000" w:themeColor="text1"/>
          <w:sz w:val="28"/>
          <w:szCs w:val="28"/>
          <w:lang w:bidi="ar"/>
        </w:rPr>
        <w:t>调档资料《不动产权利及其他事项登记信息》记载</w:t>
      </w:r>
      <w:r>
        <w:rPr>
          <w:rFonts w:hint="eastAsia" w:ascii="仿宋_GB2312" w:hAnsi="仿宋_GB2312" w:eastAsia="仿宋_GB2312" w:cs="仿宋_GB2312"/>
          <w:color w:val="000000" w:themeColor="text1"/>
          <w:sz w:val="28"/>
          <w:szCs w:val="28"/>
          <w:lang w:val="en-US" w:eastAsia="zh-CN"/>
        </w:rPr>
        <w:t>房屋坐落为裕华区神兴二期12-B-604，根据神兴物业公司证明及估价人员实地查堪，估价对</w:t>
      </w:r>
      <w:r>
        <w:rPr>
          <w:rFonts w:hint="eastAsia" w:ascii="仿宋_GB2312" w:hAnsi="仿宋_GB2312" w:eastAsia="仿宋_GB2312" w:cs="仿宋_GB2312"/>
          <w:color w:val="000000" w:themeColor="text1"/>
          <w:sz w:val="28"/>
          <w:szCs w:val="28"/>
          <w:highlight w:val="none"/>
          <w:lang w:val="en-US" w:eastAsia="zh-CN"/>
        </w:rPr>
        <w:t>象现已更名为21-604，故本次评估房屋坐落以21-604为准。</w:t>
      </w:r>
    </w:p>
    <w:p>
      <w:pPr>
        <w:numPr>
          <w:ilvl w:val="0"/>
          <w:numId w:val="2"/>
        </w:numPr>
        <w:adjustRightInd w:val="0"/>
        <w:snapToGrid w:val="0"/>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依据不足假设</w:t>
      </w:r>
    </w:p>
    <w:p>
      <w:pPr>
        <w:numPr>
          <w:ilvl w:val="0"/>
          <w:numId w:val="0"/>
        </w:numPr>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sz w:val="28"/>
          <w:szCs w:val="28"/>
        </w:rPr>
        <w:t>由于当事人原因，估价人员未能进入估价对象内部进行实地查勘，只对估价对象外部状况和区位状况进行了实地查勘。经征询人民</w:t>
      </w:r>
      <w:r>
        <w:rPr>
          <w:rFonts w:hint="eastAsia" w:ascii="仿宋_GB2312" w:eastAsia="仿宋_GB2312"/>
          <w:color w:val="000000"/>
          <w:sz w:val="28"/>
          <w:szCs w:val="28"/>
          <w:lang w:val="en-US" w:eastAsia="zh-CN"/>
        </w:rPr>
        <w:t>法院</w:t>
      </w:r>
      <w:r>
        <w:rPr>
          <w:rFonts w:hint="eastAsia" w:ascii="仿宋_GB2312" w:eastAsia="仿宋_GB2312"/>
          <w:color w:val="000000"/>
          <w:sz w:val="28"/>
          <w:szCs w:val="28"/>
        </w:rPr>
        <w:t>意见，</w:t>
      </w:r>
      <w:r>
        <w:rPr>
          <w:rFonts w:hint="eastAsia" w:ascii="仿宋_GB2312" w:eastAsia="仿宋_GB2312"/>
          <w:color w:val="000000"/>
          <w:sz w:val="28"/>
          <w:szCs w:val="28"/>
          <w:lang w:val="en-US" w:eastAsia="zh-CN"/>
        </w:rPr>
        <w:t>结合估价委托人提供的房屋产权证附图，</w:t>
      </w:r>
      <w:r>
        <w:rPr>
          <w:rFonts w:hint="eastAsia" w:ascii="仿宋_GB2312" w:eastAsia="仿宋_GB2312"/>
          <w:color w:val="000000"/>
          <w:sz w:val="28"/>
          <w:szCs w:val="28"/>
        </w:rPr>
        <w:t>对评估对象内部布局、室内装饰装修等情况进行合理假定，即室内装修为普通装修为假定前提进行估价。</w:t>
      </w:r>
    </w:p>
    <w:p>
      <w:pPr>
        <w:adjustRightInd w:val="0"/>
        <w:snapToGrid w:val="0"/>
        <w:spacing w:line="560" w:lineRule="exact"/>
        <w:ind w:firstLine="562" w:firstLineChars="200"/>
        <w:rPr>
          <w:rFonts w:ascii="仿宋_GB2312" w:hAnsi="宋体" w:eastAsia="仿宋_GB2312"/>
          <w:b/>
          <w:color w:val="000000" w:themeColor="text1"/>
          <w:sz w:val="28"/>
          <w:szCs w:val="28"/>
        </w:rPr>
      </w:pPr>
      <w:r>
        <w:rPr>
          <w:rFonts w:hint="eastAsia" w:ascii="仿宋_GB2312" w:hAnsi="宋体" w:eastAsia="仿宋_GB2312"/>
          <w:b/>
          <w:color w:val="000000" w:themeColor="text1"/>
          <w:sz w:val="28"/>
          <w:szCs w:val="28"/>
        </w:rPr>
        <w:t>6.估价报告使用限制</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（1）估价结果为满足全部假设与限制条件下的价值。</w:t>
      </w:r>
    </w:p>
    <w:p>
      <w:pPr>
        <w:snapToGrid w:val="0"/>
        <w:spacing w:line="580" w:lineRule="exact"/>
        <w:ind w:firstLine="560" w:firstLineChars="200"/>
        <w:rPr>
          <w:rFonts w:ascii="仿宋_GB2312" w:hAnsi="宋体" w:eastAsia="仿宋_GB2312" w:cs="宋体"/>
          <w:color w:val="000000"/>
          <w:sz w:val="28"/>
          <w:szCs w:val="28"/>
        </w:rPr>
      </w:pPr>
      <w:r>
        <w:rPr>
          <w:rFonts w:hint="eastAsia" w:ascii="仿宋_GB2312" w:hAnsi="宋体" w:eastAsia="仿宋_GB2312"/>
          <w:color w:val="000000" w:themeColor="text1"/>
          <w:sz w:val="28"/>
          <w:szCs w:val="28"/>
        </w:rPr>
        <w:t>（2）估价委托人</w:t>
      </w:r>
      <w:r>
        <w:rPr>
          <w:rFonts w:hint="eastAsia" w:ascii="仿宋_GB2312" w:hAnsi="宋体" w:eastAsia="仿宋_GB2312" w:cs="宋体"/>
          <w:color w:val="000000"/>
          <w:sz w:val="28"/>
          <w:szCs w:val="28"/>
        </w:rPr>
        <w:t>应当按照法律规定和评估报告载明的用途、使用人、使用期限等使用范围使用评估报告。否则，房地产估价机构和注册房地产估价师依法不承担责任。</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（3）估价结果含分摊的国有建设用地使用权价值，不含室内可移动物品及其他债权债务。</w:t>
      </w:r>
    </w:p>
    <w:p>
      <w:pPr>
        <w:adjustRightInd w:val="0"/>
        <w:snapToGrid w:val="0"/>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themeColor="text1"/>
          <w:sz w:val="28"/>
          <w:szCs w:val="28"/>
        </w:rPr>
        <w:t>（4）</w:t>
      </w:r>
      <w:r>
        <w:rPr>
          <w:rFonts w:hint="eastAsia" w:ascii="仿宋_GB2312" w:hAnsi="宋体" w:eastAsia="仿宋_GB2312" w:cs="宋体"/>
          <w:color w:val="000000"/>
          <w:sz w:val="28"/>
          <w:szCs w:val="28"/>
        </w:rPr>
        <w:t>评估结果仅为人民法院确定财产处置参考价服务，</w:t>
      </w:r>
      <w:r>
        <w:rPr>
          <w:rFonts w:hint="eastAsia" w:ascii="仿宋_GB2312" w:hAnsi="宋体" w:eastAsia="仿宋_GB2312"/>
          <w:color w:val="000000"/>
          <w:sz w:val="28"/>
          <w:szCs w:val="28"/>
        </w:rPr>
        <w:t>若用于其他用途，须另行评估。</w:t>
      </w:r>
    </w:p>
    <w:p>
      <w:pPr>
        <w:snapToGrid w:val="0"/>
        <w:spacing w:line="580" w:lineRule="exact"/>
        <w:ind w:firstLine="560" w:firstLineChars="200"/>
        <w:rPr>
          <w:rFonts w:ascii="仿宋_GB2312" w:hAnsi="宋体" w:eastAsia="仿宋_GB2312" w:cs="宋体"/>
          <w:color w:val="000000"/>
          <w:sz w:val="28"/>
          <w:szCs w:val="28"/>
        </w:rPr>
      </w:pPr>
      <w:r>
        <w:rPr>
          <w:rFonts w:hint="eastAsia" w:ascii="仿宋_GB2312" w:hAnsi="宋体" w:eastAsia="仿宋_GB2312" w:cs="宋体"/>
          <w:color w:val="000000"/>
          <w:sz w:val="28"/>
          <w:szCs w:val="28"/>
        </w:rPr>
        <w:t>（5）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snapToGrid w:val="0"/>
        <w:spacing w:line="580" w:lineRule="exact"/>
        <w:ind w:firstLine="560" w:firstLineChars="200"/>
        <w:rPr>
          <w:rFonts w:hint="eastAsia" w:ascii="仿宋_GB2312" w:hAnsi="宋体" w:eastAsia="仿宋_GB2312" w:cs="宋体"/>
          <w:color w:val="000000"/>
          <w:sz w:val="28"/>
          <w:szCs w:val="28"/>
          <w:lang w:eastAsia="zh-CN"/>
        </w:rPr>
      </w:pPr>
      <w:r>
        <w:rPr>
          <w:rFonts w:hint="eastAsia" w:ascii="仿宋_GB2312" w:hAnsi="宋体" w:eastAsia="仿宋_GB2312" w:cs="宋体"/>
          <w:color w:val="000000"/>
          <w:sz w:val="28"/>
          <w:szCs w:val="28"/>
        </w:rPr>
        <w:t>（6）在评估报告使用期限或者评估结果有效期内，评估报告或者评估结果未使用之前，如果评估对象状况或者房地产市场状况发生明显变化的，评估结果应当进行相应调整后才可使用</w:t>
      </w:r>
      <w:r>
        <w:rPr>
          <w:rFonts w:hint="eastAsia" w:ascii="仿宋_GB2312" w:hAnsi="宋体" w:eastAsia="仿宋_GB2312" w:cs="宋体"/>
          <w:color w:val="000000"/>
          <w:sz w:val="28"/>
          <w:szCs w:val="28"/>
          <w:lang w:eastAsia="zh-CN"/>
        </w:rPr>
        <w:t>。</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（7）本估价结果为估价范围内房地产的整体市场价格，应整体使用。</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（8）本报告使用的有效期为一年。即估价目的在报告完成后的一年内实现，估价结果可作估价对象的市场价格参考，超过一年，需重新进行估价。</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（9）本估价报告加盖的机构印章均为原件，复印件无效。</w:t>
      </w:r>
    </w:p>
    <w:p>
      <w:pPr>
        <w:adjustRightInd w:val="0"/>
        <w:snapToGrid w:val="0"/>
        <w:spacing w:line="560" w:lineRule="exact"/>
        <w:ind w:firstLine="562" w:firstLineChars="200"/>
        <w:rPr>
          <w:rFonts w:ascii="仿宋_GB2312" w:hAnsi="宋体" w:eastAsia="仿宋_GB2312"/>
          <w:color w:val="000000" w:themeColor="text1"/>
          <w:sz w:val="28"/>
          <w:szCs w:val="28"/>
        </w:rPr>
      </w:pPr>
      <w:r>
        <w:rPr>
          <w:rFonts w:hint="eastAsia" w:ascii="仿宋_GB2312" w:hAnsi="宋体" w:eastAsia="仿宋_GB2312"/>
          <w:b/>
          <w:color w:val="000000" w:themeColor="text1"/>
          <w:sz w:val="28"/>
          <w:szCs w:val="28"/>
        </w:rPr>
        <w:t>7.特殊说明事项</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（1）如发现本估价报告文字或数字因校对或其他类似原因出现差错时，请通知本公司进行更正。</w:t>
      </w:r>
    </w:p>
    <w:p>
      <w:pPr>
        <w:adjustRightInd w:val="0"/>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2）估价报告中数据全部采用电算化连续计算得出，由于在估价报告中计算的数据均按四舍五入保留两位小数或取整，因此，可能出现个别等式左右不完全相等的情况，但不影响计算结果及最终估价结果的准确性。</w:t>
      </w:r>
    </w:p>
    <w:p>
      <w:pPr>
        <w:adjustRightInd w:val="0"/>
        <w:snapToGrid w:val="0"/>
        <w:spacing w:line="560" w:lineRule="exact"/>
        <w:ind w:firstLine="560" w:firstLineChars="200"/>
        <w:rPr>
          <w:rFonts w:ascii="仿宋_GB2312" w:hAnsi="宋体" w:eastAsia="仿宋_GB2312" w:cs="宋体"/>
          <w:color w:val="000000" w:themeColor="text1"/>
          <w:sz w:val="28"/>
          <w:szCs w:val="28"/>
          <w:lang w:bidi="ar"/>
        </w:rPr>
      </w:pPr>
      <w:bookmarkStart w:id="19" w:name="_Toc301369712"/>
      <w:bookmarkStart w:id="20" w:name="_Toc367869494"/>
      <w:bookmarkStart w:id="21" w:name="_Toc383069672"/>
      <w:bookmarkStart w:id="22" w:name="_Toc257051888"/>
      <w:bookmarkStart w:id="23" w:name="_Toc297122054"/>
      <w:bookmarkStart w:id="24" w:name="_Toc297196349"/>
      <w:bookmarkStart w:id="25" w:name="_Toc254860123"/>
      <w:bookmarkStart w:id="26" w:name="_Toc243111712"/>
      <w:bookmarkStart w:id="27" w:name="_Toc130033720"/>
      <w:bookmarkStart w:id="28" w:name="_Toc269132866"/>
      <w:bookmarkStart w:id="29" w:name="_Toc243111683"/>
      <w:bookmarkStart w:id="30" w:name="_Toc254875137"/>
      <w:bookmarkStart w:id="31" w:name="_Toc270691065"/>
      <w:bookmarkStart w:id="32" w:name="_Toc135016170"/>
      <w:r>
        <w:rPr>
          <w:rFonts w:hint="eastAsia" w:ascii="仿宋_GB2312" w:hAnsi="宋体" w:eastAsia="仿宋_GB2312" w:cs="宋体"/>
          <w:color w:val="000000" w:themeColor="text1"/>
          <w:sz w:val="28"/>
          <w:szCs w:val="28"/>
          <w:lang w:bidi="ar"/>
        </w:rPr>
        <w:t>（3）现实房地产交易中，成交价格与处置方式、宣传推广度和买受人对估价对象的了解及对房地产的判断等因素有关，一般难以达到理想的公开市场条件，致使实际交易价格往往与估价结果不够一致。</w:t>
      </w:r>
    </w:p>
    <w:p>
      <w:pPr>
        <w:numPr>
          <w:ilvl w:val="0"/>
          <w:numId w:val="0"/>
        </w:numPr>
        <w:adjustRightInd w:val="0"/>
        <w:snapToGrid w:val="0"/>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s="宋体"/>
          <w:color w:val="000000"/>
          <w:sz w:val="28"/>
          <w:szCs w:val="28"/>
          <w:lang w:eastAsia="zh-CN"/>
        </w:rPr>
        <w:t>（</w:t>
      </w:r>
      <w:r>
        <w:rPr>
          <w:rFonts w:hint="eastAsia" w:ascii="仿宋_GB2312" w:hAnsi="宋体" w:eastAsia="仿宋_GB2312" w:cs="宋体"/>
          <w:color w:val="000000"/>
          <w:sz w:val="28"/>
          <w:szCs w:val="28"/>
          <w:lang w:val="en-US" w:eastAsia="zh-CN"/>
        </w:rPr>
        <w:t>4）</w:t>
      </w:r>
      <w:r>
        <w:rPr>
          <w:rFonts w:hint="eastAsia" w:ascii="仿宋_GB2312" w:hAnsi="宋体" w:eastAsia="仿宋_GB2312" w:cs="宋体"/>
          <w:color w:val="000000"/>
          <w:sz w:val="28"/>
          <w:szCs w:val="28"/>
        </w:rPr>
        <w:t>评估结果仅为人民法院确定财产处置参考价服务，不是评估对象处置可实现的成交价格，也不应当被视为对评估对象处置成交价格的保证</w:t>
      </w:r>
      <w:r>
        <w:rPr>
          <w:rFonts w:hint="eastAsia" w:ascii="仿宋_GB2312" w:hAnsi="宋体" w:eastAsia="仿宋_GB2312" w:cs="宋体"/>
          <w:color w:val="000000"/>
          <w:sz w:val="28"/>
          <w:szCs w:val="28"/>
          <w:lang w:eastAsia="zh-CN"/>
        </w:rPr>
        <w:t>。</w:t>
      </w:r>
    </w:p>
    <w:p>
      <w:pPr>
        <w:adjustRightInd w:val="0"/>
        <w:snapToGrid w:val="0"/>
        <w:spacing w:line="56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lang w:bidi="ar"/>
        </w:rPr>
        <w:t>（5）估价中无法考虑实地查勘之后、处置完毕之前，因不可抗力、人为破坏等因素对估价对象造成的意外损害。</w:t>
      </w:r>
    </w:p>
    <w:p>
      <w:pPr>
        <w:adjustRightInd w:val="0"/>
        <w:snapToGrid w:val="0"/>
        <w:spacing w:line="560" w:lineRule="exact"/>
        <w:ind w:firstLine="560" w:firstLineChars="200"/>
        <w:rPr>
          <w:rFonts w:ascii="仿宋_GB2312" w:hAnsi="宋体" w:eastAsia="仿宋_GB2312" w:cs="宋体"/>
          <w:color w:val="000000" w:themeColor="text1"/>
          <w:sz w:val="28"/>
          <w:szCs w:val="28"/>
          <w:lang w:bidi="ar"/>
        </w:rPr>
      </w:pPr>
      <w:r>
        <w:rPr>
          <w:rFonts w:hint="eastAsia" w:ascii="仿宋_GB2312" w:hAnsi="宋体" w:eastAsia="仿宋_GB2312" w:cs="宋体"/>
          <w:color w:val="000000" w:themeColor="text1"/>
          <w:sz w:val="28"/>
          <w:szCs w:val="28"/>
          <w:lang w:bidi="ar"/>
        </w:rPr>
        <w:t>（6）估价结果没有扣除拍卖过程发生的处置费用和税金等。</w:t>
      </w:r>
    </w:p>
    <w:p>
      <w:pPr>
        <w:adjustRightInd w:val="0"/>
        <w:snapToGrid w:val="0"/>
        <w:spacing w:line="560" w:lineRule="exact"/>
        <w:ind w:firstLine="560" w:firstLineChars="200"/>
        <w:rPr>
          <w:rFonts w:ascii="仿宋_GB2312" w:hAnsi="宋体" w:eastAsia="仿宋_GB2312" w:cs="宋体"/>
          <w:color w:val="000000" w:themeColor="text1"/>
          <w:sz w:val="28"/>
          <w:szCs w:val="28"/>
          <w:highlight w:val="none"/>
        </w:rPr>
      </w:pPr>
      <w:r>
        <w:rPr>
          <w:rFonts w:hint="eastAsia" w:ascii="仿宋_GB2312" w:hAnsi="宋体" w:eastAsia="仿宋_GB2312" w:cs="宋体"/>
          <w:color w:val="000000" w:themeColor="text1"/>
          <w:sz w:val="28"/>
          <w:szCs w:val="28"/>
          <w:lang w:bidi="ar"/>
        </w:rPr>
        <w:t>（7）人民法院未书面明确评估对象交易税费负担方式，按照法律法规规定，转</w:t>
      </w:r>
      <w:r>
        <w:rPr>
          <w:rFonts w:hint="eastAsia" w:ascii="仿宋_GB2312" w:hAnsi="宋体" w:eastAsia="仿宋_GB2312" w:cs="宋体"/>
          <w:color w:val="000000" w:themeColor="text1"/>
          <w:sz w:val="28"/>
          <w:szCs w:val="28"/>
          <w:highlight w:val="none"/>
          <w:lang w:bidi="ar"/>
        </w:rPr>
        <w:t>让人和买受人各自负担。</w:t>
      </w:r>
    </w:p>
    <w:p>
      <w:pPr>
        <w:snapToGrid w:val="0"/>
        <w:spacing w:line="560" w:lineRule="exact"/>
        <w:ind w:firstLine="560" w:firstLineChars="200"/>
        <w:rPr>
          <w:rFonts w:ascii="仿宋_GB2312" w:hAnsi="宋体" w:eastAsia="仿宋_GB2312" w:cs="仿宋_GB2312"/>
          <w:color w:val="000000" w:themeColor="text1"/>
          <w:sz w:val="28"/>
          <w:szCs w:val="28"/>
          <w:highlight w:val="none"/>
          <w:lang w:bidi="ar"/>
        </w:rPr>
      </w:pPr>
      <w:r>
        <w:rPr>
          <w:rFonts w:hint="eastAsia" w:ascii="仿宋_GB2312" w:hAnsi="宋体" w:eastAsia="仿宋_GB2312" w:cs="仿宋_GB2312"/>
          <w:color w:val="000000" w:themeColor="text1"/>
          <w:sz w:val="28"/>
          <w:szCs w:val="28"/>
          <w:highlight w:val="none"/>
          <w:lang w:bidi="ar"/>
        </w:rPr>
        <w:t>（8）</w:t>
      </w:r>
      <w:r>
        <w:rPr>
          <w:rFonts w:hint="eastAsia" w:ascii="仿宋_GB2312" w:hAnsi="宋体" w:eastAsia="仿宋_GB2312"/>
          <w:color w:val="000000" w:themeColor="text1"/>
          <w:sz w:val="28"/>
          <w:szCs w:val="28"/>
          <w:highlight w:val="none"/>
        </w:rPr>
        <w:t>人民法院未明确估价对象存在欠缴税金及相关费用（包括税收、物业费、供暖费、水电气费等及其滞纳金），故假定评估对象不存在欠缴税金及相关费用</w:t>
      </w:r>
      <w:r>
        <w:rPr>
          <w:rFonts w:hint="eastAsia" w:ascii="仿宋_GB2312" w:hAnsi="宋体" w:eastAsia="仿宋_GB2312"/>
          <w:color w:val="000000" w:themeColor="text1"/>
          <w:sz w:val="28"/>
          <w:szCs w:val="28"/>
          <w:highlight w:val="none"/>
          <w:lang w:eastAsia="zh-CN"/>
        </w:rPr>
        <w:t>，</w:t>
      </w:r>
      <w:r>
        <w:rPr>
          <w:rFonts w:hint="eastAsia" w:ascii="仿宋_GB2312" w:hAnsi="宋体" w:eastAsia="仿宋_GB2312" w:cs="仿宋_GB2312"/>
          <w:color w:val="000000"/>
          <w:sz w:val="28"/>
          <w:szCs w:val="28"/>
          <w:highlight w:val="none"/>
          <w:lang w:bidi="ar"/>
        </w:rPr>
        <w:t>最终以实际欠缴税金为准</w:t>
      </w:r>
      <w:r>
        <w:rPr>
          <w:rFonts w:hint="eastAsia" w:ascii="仿宋_GB2312" w:hAnsi="宋体" w:eastAsia="仿宋_GB2312" w:cs="仿宋_GB2312"/>
          <w:color w:val="000000" w:themeColor="text1"/>
          <w:sz w:val="28"/>
          <w:szCs w:val="28"/>
          <w:highlight w:val="none"/>
          <w:lang w:bidi="ar"/>
        </w:rPr>
        <w:t>。</w:t>
      </w:r>
    </w:p>
    <w:p>
      <w:pPr>
        <w:adjustRightInd w:val="0"/>
        <w:snapToGrid w:val="0"/>
        <w:spacing w:line="560" w:lineRule="exact"/>
        <w:ind w:firstLine="560" w:firstLineChars="200"/>
        <w:rPr>
          <w:rFonts w:ascii="仿宋_GB2312" w:hAnsi="宋体" w:eastAsia="仿宋_GB2312" w:cs="宋体"/>
          <w:color w:val="000000"/>
          <w:sz w:val="28"/>
          <w:szCs w:val="28"/>
          <w:highlight w:val="none"/>
        </w:rPr>
      </w:pPr>
      <w:r>
        <w:rPr>
          <w:rFonts w:ascii="仿宋_GB2312" w:hAnsi="宋体" w:eastAsia="仿宋_GB2312" w:cs="宋体"/>
          <w:color w:val="000000"/>
          <w:sz w:val="28"/>
          <w:szCs w:val="28"/>
          <w:highlight w:val="none"/>
        </w:rPr>
        <w:t>（</w:t>
      </w:r>
      <w:r>
        <w:rPr>
          <w:rFonts w:hint="eastAsia" w:ascii="仿宋_GB2312" w:hAnsi="宋体" w:eastAsia="仿宋_GB2312" w:cs="宋体"/>
          <w:color w:val="000000"/>
          <w:sz w:val="28"/>
          <w:szCs w:val="28"/>
          <w:highlight w:val="none"/>
        </w:rPr>
        <w:t>9）</w:t>
      </w:r>
      <w:r>
        <w:rPr>
          <w:rFonts w:ascii="仿宋_GB2312" w:hAnsi="宋体" w:eastAsia="仿宋_GB2312" w:cs="宋体"/>
          <w:color w:val="000000"/>
          <w:sz w:val="28"/>
          <w:szCs w:val="28"/>
          <w:highlight w:val="none"/>
        </w:rPr>
        <w:t>估价人员</w:t>
      </w:r>
      <w:r>
        <w:rPr>
          <w:rFonts w:hint="eastAsia" w:ascii="仿宋_GB2312" w:hAnsi="宋体" w:eastAsia="仿宋_GB2312" w:cs="宋体"/>
          <w:color w:val="000000"/>
          <w:sz w:val="28"/>
          <w:szCs w:val="28"/>
          <w:highlight w:val="none"/>
        </w:rPr>
        <w:t>20</w:t>
      </w:r>
      <w:r>
        <w:rPr>
          <w:rFonts w:hint="eastAsia" w:ascii="仿宋_GB2312" w:hAnsi="宋体" w:eastAsia="仿宋_GB2312" w:cs="宋体"/>
          <w:color w:val="000000"/>
          <w:sz w:val="28"/>
          <w:szCs w:val="28"/>
          <w:highlight w:val="none"/>
          <w:lang w:val="en-US" w:eastAsia="zh-CN"/>
        </w:rPr>
        <w:t>2</w:t>
      </w:r>
      <w:r>
        <w:rPr>
          <w:rFonts w:hint="eastAsia" w:ascii="仿宋_GB2312" w:hAnsi="宋体" w:eastAsia="仿宋_GB2312" w:cs="宋体"/>
          <w:color w:val="000000"/>
          <w:sz w:val="28"/>
          <w:szCs w:val="28"/>
          <w:highlight w:val="none"/>
        </w:rPr>
        <w:t>1年</w:t>
      </w:r>
      <w:r>
        <w:rPr>
          <w:rFonts w:hint="eastAsia" w:ascii="仿宋_GB2312" w:hAnsi="宋体" w:eastAsia="仿宋_GB2312" w:cs="宋体"/>
          <w:color w:val="000000"/>
          <w:sz w:val="28"/>
          <w:szCs w:val="28"/>
          <w:highlight w:val="none"/>
          <w:lang w:val="en-US" w:eastAsia="zh-CN"/>
        </w:rPr>
        <w:t>9</w:t>
      </w:r>
      <w:r>
        <w:rPr>
          <w:rFonts w:hint="eastAsia" w:ascii="仿宋_GB2312" w:hAnsi="宋体" w:eastAsia="仿宋_GB2312" w:cs="宋体"/>
          <w:color w:val="000000"/>
          <w:sz w:val="28"/>
          <w:szCs w:val="28"/>
          <w:highlight w:val="none"/>
        </w:rPr>
        <w:t>月1</w:t>
      </w:r>
      <w:r>
        <w:rPr>
          <w:rFonts w:hint="eastAsia" w:ascii="仿宋_GB2312" w:hAnsi="宋体" w:eastAsia="仿宋_GB2312" w:cs="宋体"/>
          <w:color w:val="000000"/>
          <w:sz w:val="28"/>
          <w:szCs w:val="28"/>
          <w:highlight w:val="none"/>
          <w:lang w:val="en-US" w:eastAsia="zh-CN"/>
        </w:rPr>
        <w:t>0</w:t>
      </w:r>
      <w:r>
        <w:rPr>
          <w:rFonts w:hint="eastAsia" w:ascii="仿宋_GB2312" w:hAnsi="宋体" w:eastAsia="仿宋_GB2312" w:cs="宋体"/>
          <w:color w:val="000000"/>
          <w:sz w:val="28"/>
          <w:szCs w:val="28"/>
          <w:highlight w:val="none"/>
        </w:rPr>
        <w:t>日在人民法院工作人员的带领下对估价对象进行了实地查勘，</w:t>
      </w:r>
      <w:r>
        <w:rPr>
          <w:rFonts w:hint="eastAsia" w:ascii="仿宋_GB2312" w:hAnsi="宋体" w:eastAsia="仿宋_GB2312" w:cs="宋体"/>
          <w:color w:val="000000"/>
          <w:sz w:val="28"/>
          <w:szCs w:val="28"/>
          <w:highlight w:val="none"/>
          <w:lang w:val="en-US" w:eastAsia="zh-CN"/>
        </w:rPr>
        <w:t>当事人双方均未</w:t>
      </w:r>
      <w:r>
        <w:rPr>
          <w:rFonts w:hint="eastAsia" w:ascii="仿宋_GB2312" w:hAnsi="宋体" w:eastAsia="仿宋_GB2312" w:cs="宋体"/>
          <w:color w:val="000000"/>
          <w:sz w:val="28"/>
          <w:szCs w:val="28"/>
          <w:highlight w:val="none"/>
        </w:rPr>
        <w:t>到场，</w:t>
      </w:r>
      <w:r>
        <w:rPr>
          <w:rFonts w:hint="eastAsia" w:ascii="仿宋_GB2312" w:hAnsi="宋体" w:eastAsia="仿宋_GB2312" w:cs="宋体"/>
          <w:color w:val="000000"/>
          <w:sz w:val="28"/>
          <w:szCs w:val="28"/>
          <w:highlight w:val="none"/>
          <w:lang w:val="en-US" w:eastAsia="zh-CN"/>
        </w:rPr>
        <w:t>未</w:t>
      </w:r>
      <w:r>
        <w:rPr>
          <w:rFonts w:hint="eastAsia" w:ascii="仿宋_GB2312" w:hAnsi="宋体" w:eastAsia="仿宋_GB2312" w:cs="宋体"/>
          <w:color w:val="000000"/>
          <w:sz w:val="28"/>
          <w:szCs w:val="28"/>
          <w:highlight w:val="none"/>
        </w:rPr>
        <w:t>在实地查勘记录表上签名。</w:t>
      </w:r>
    </w:p>
    <w:p>
      <w:pPr>
        <w:snapToGrid w:val="0"/>
        <w:spacing w:line="56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仿宋_GB2312"/>
          <w:color w:val="000000" w:themeColor="text1"/>
          <w:sz w:val="28"/>
          <w:szCs w:val="28"/>
          <w:lang w:bidi="ar"/>
        </w:rPr>
        <w:t>（10）本报告估价结果包含与房地产不可分割的，必须满足其使用功能的水、电以及配套的相关辅助设施在内的价值。</w:t>
      </w:r>
    </w:p>
    <w:p>
      <w:pPr>
        <w:snapToGrid w:val="0"/>
        <w:spacing w:line="580" w:lineRule="exact"/>
        <w:ind w:firstLine="560" w:firstLineChars="200"/>
        <w:rPr>
          <w:rFonts w:ascii="仿宋_GB2312" w:hAnsi="宋体" w:eastAsia="仿宋_GB2312" w:cs="宋体"/>
          <w:color w:val="000000"/>
          <w:sz w:val="28"/>
          <w:szCs w:val="28"/>
        </w:rPr>
      </w:pPr>
      <w:r>
        <w:rPr>
          <w:rFonts w:hint="eastAsia" w:ascii="仿宋_GB2312" w:hAnsi="宋体" w:eastAsia="仿宋_GB2312" w:cs="宋体"/>
          <w:color w:val="000000" w:themeColor="text1"/>
          <w:sz w:val="28"/>
          <w:szCs w:val="28"/>
          <w:lang w:bidi="ar"/>
        </w:rPr>
        <w:t>（11）</w:t>
      </w:r>
      <w:r>
        <w:rPr>
          <w:rFonts w:hint="eastAsia" w:ascii="仿宋_GB2312" w:hAnsi="宋体" w:eastAsia="仿宋_GB2312" w:cs="宋体"/>
          <w:color w:val="000000"/>
          <w:sz w:val="28"/>
          <w:szCs w:val="28"/>
        </w:rPr>
        <w:t>当事人、利害关系人收到评估报告后五日内对评估报告的参照标准、计算方法或者评估结果等向人民法院提出书面异议；当事人、利害关系人对评估机构作出的说明仍有异议的，可以提请人民法院委托评估行业组织进行专业技术评审。</w:t>
      </w:r>
    </w:p>
    <w:p>
      <w:pPr>
        <w:pStyle w:val="2"/>
        <w:spacing w:before="143" w:beforeLines="50" w:after="143" w:afterLines="50" w:line="360" w:lineRule="auto"/>
        <w:jc w:val="center"/>
        <w:rPr>
          <w:rFonts w:ascii="仿宋_GB2312" w:eastAsia="仿宋_GB2312"/>
          <w:snapToGrid w:val="0"/>
          <w:color w:val="000000" w:themeColor="text1"/>
          <w:kern w:val="0"/>
          <w:sz w:val="36"/>
          <w:szCs w:val="36"/>
        </w:rPr>
      </w:pPr>
      <w:r>
        <w:rPr>
          <w:rFonts w:ascii="仿宋_GB2312" w:eastAsia="仿宋_GB2312"/>
          <w:snapToGrid w:val="0"/>
          <w:color w:val="000000" w:themeColor="text1"/>
          <w:kern w:val="0"/>
          <w:sz w:val="36"/>
          <w:szCs w:val="36"/>
        </w:rPr>
        <w:br w:type="page"/>
      </w:r>
      <w:bookmarkStart w:id="33" w:name="_Toc15961"/>
      <w:bookmarkStart w:id="34" w:name="_Toc20449"/>
      <w:bookmarkStart w:id="35" w:name="_Toc12574"/>
      <w:r>
        <w:rPr>
          <w:rFonts w:hint="eastAsia" w:ascii="仿宋_GB2312" w:eastAsia="仿宋_GB2312"/>
          <w:snapToGrid w:val="0"/>
          <w:color w:val="000000" w:themeColor="text1"/>
          <w:kern w:val="0"/>
          <w:sz w:val="36"/>
          <w:szCs w:val="36"/>
        </w:rPr>
        <w:t>估价结果报告</w:t>
      </w:r>
      <w:bookmarkEnd w:id="19"/>
      <w:bookmarkEnd w:id="20"/>
      <w:bookmarkEnd w:id="21"/>
      <w:bookmarkEnd w:id="22"/>
      <w:bookmarkEnd w:id="23"/>
      <w:bookmarkEnd w:id="24"/>
      <w:bookmarkEnd w:id="33"/>
      <w:bookmarkEnd w:id="34"/>
      <w:bookmarkEnd w:id="35"/>
    </w:p>
    <w:bookmarkEnd w:id="25"/>
    <w:bookmarkEnd w:id="26"/>
    <w:bookmarkEnd w:id="27"/>
    <w:bookmarkEnd w:id="28"/>
    <w:bookmarkEnd w:id="29"/>
    <w:bookmarkEnd w:id="30"/>
    <w:bookmarkEnd w:id="31"/>
    <w:bookmarkEnd w:id="32"/>
    <w:p>
      <w:pPr>
        <w:pStyle w:val="3"/>
        <w:adjustRightInd w:val="0"/>
        <w:snapToGrid w:val="0"/>
        <w:spacing w:before="0" w:after="0" w:line="560" w:lineRule="exact"/>
        <w:ind w:firstLine="562" w:firstLineChars="200"/>
        <w:rPr>
          <w:rFonts w:ascii="仿宋_GB2312" w:hAnsi="Times New Roman" w:eastAsia="仿宋_GB2312"/>
          <w:color w:val="000000" w:themeColor="text1"/>
          <w:sz w:val="28"/>
          <w:szCs w:val="28"/>
        </w:rPr>
      </w:pPr>
      <w:bookmarkStart w:id="36" w:name="_Toc432411970"/>
      <w:bookmarkStart w:id="37" w:name="_Toc382493616"/>
      <w:bookmarkStart w:id="38" w:name="_Toc155258962"/>
      <w:bookmarkStart w:id="39" w:name="_Toc12690"/>
      <w:bookmarkStart w:id="40" w:name="_Toc6103"/>
      <w:bookmarkStart w:id="41" w:name="_Toc15462"/>
      <w:bookmarkStart w:id="42" w:name="_Toc383069673"/>
      <w:bookmarkStart w:id="43" w:name="_Toc94587103"/>
      <w:bookmarkStart w:id="44" w:name="_Toc299004833"/>
      <w:bookmarkStart w:id="45" w:name="_Toc270691081"/>
      <w:bookmarkStart w:id="46" w:name="_Toc243111699"/>
      <w:bookmarkStart w:id="47" w:name="_Toc94587045"/>
      <w:bookmarkStart w:id="48" w:name="_Toc298936729"/>
      <w:bookmarkStart w:id="49" w:name="_Toc299007139"/>
      <w:bookmarkStart w:id="50" w:name="_Toc269132882"/>
      <w:bookmarkStart w:id="51" w:name="_Toc243111728"/>
      <w:bookmarkStart w:id="52" w:name="_Toc254875153"/>
      <w:bookmarkStart w:id="53" w:name="_Toc301369729"/>
      <w:bookmarkStart w:id="54" w:name="_Toc299006852"/>
      <w:bookmarkStart w:id="55" w:name="_Toc254860139"/>
      <w:bookmarkStart w:id="56" w:name="_Toc254860169"/>
      <w:bookmarkStart w:id="57" w:name="_Toc135016185"/>
      <w:bookmarkStart w:id="58" w:name="_Toc299005654"/>
      <w:bookmarkStart w:id="59" w:name="_Toc367869511"/>
      <w:bookmarkStart w:id="60" w:name="_Toc298936786"/>
      <w:bookmarkStart w:id="61" w:name="_Toc301369583"/>
      <w:r>
        <w:rPr>
          <w:rFonts w:hint="eastAsia" w:ascii="仿宋_GB2312" w:hAnsi="Times New Roman" w:eastAsia="仿宋_GB2312"/>
          <w:color w:val="000000" w:themeColor="text1"/>
          <w:sz w:val="28"/>
          <w:szCs w:val="28"/>
        </w:rPr>
        <w:t>一、估价委托人</w:t>
      </w:r>
      <w:bookmarkEnd w:id="36"/>
      <w:bookmarkEnd w:id="37"/>
      <w:bookmarkEnd w:id="38"/>
      <w:r>
        <w:rPr>
          <w:rFonts w:hint="eastAsia" w:ascii="仿宋_GB2312" w:hAnsi="Times New Roman" w:eastAsia="仿宋_GB2312"/>
          <w:color w:val="000000" w:themeColor="text1"/>
          <w:sz w:val="28"/>
          <w:szCs w:val="28"/>
        </w:rPr>
        <w:fldChar w:fldCharType="begin"/>
      </w:r>
      <w:r>
        <w:rPr>
          <w:rFonts w:hint="eastAsia" w:ascii="仿宋_GB2312" w:eastAsia="仿宋_GB2312"/>
          <w:color w:val="000000" w:themeColor="text1"/>
          <w:sz w:val="28"/>
          <w:szCs w:val="28"/>
        </w:rPr>
        <w:instrText xml:space="preserve"> TC "</w:instrText>
      </w:r>
      <w:bookmarkStart w:id="62" w:name="_Toc289260249"/>
      <w:bookmarkStart w:id="63" w:name="_Toc288212018"/>
      <w:r>
        <w:rPr>
          <w:rFonts w:hint="eastAsia" w:ascii="仿宋_GB2312" w:eastAsia="仿宋_GB2312"/>
          <w:color w:val="000000" w:themeColor="text1"/>
          <w:sz w:val="28"/>
          <w:szCs w:val="28"/>
        </w:rPr>
        <w:instrText xml:space="preserve">1、</w:instrText>
      </w:r>
      <w:r>
        <w:rPr>
          <w:rFonts w:hint="eastAsia" w:ascii="仿宋_GB2312" w:hAnsi="Times New Roman" w:eastAsia="仿宋_GB2312"/>
          <w:color w:val="000000" w:themeColor="text1"/>
          <w:sz w:val="28"/>
          <w:szCs w:val="28"/>
        </w:rPr>
        <w:instrText xml:space="preserve">估价委托人</w:instrText>
      </w:r>
      <w:bookmarkEnd w:id="62"/>
      <w:bookmarkEnd w:id="63"/>
      <w:r>
        <w:rPr>
          <w:rFonts w:hint="eastAsia" w:ascii="仿宋_GB2312" w:eastAsia="仿宋_GB2312"/>
          <w:color w:val="000000" w:themeColor="text1"/>
          <w:sz w:val="28"/>
          <w:szCs w:val="28"/>
        </w:rPr>
        <w:instrText xml:space="preserve">" \f C \l "2"</w:instrText>
      </w:r>
      <w:r>
        <w:rPr>
          <w:rFonts w:hint="eastAsia" w:ascii="仿宋_GB2312" w:hAnsi="Times New Roman" w:eastAsia="仿宋_GB2312"/>
          <w:color w:val="000000" w:themeColor="text1"/>
          <w:sz w:val="28"/>
          <w:szCs w:val="28"/>
        </w:rPr>
        <w:fldChar w:fldCharType="end"/>
      </w:r>
      <w:bookmarkEnd w:id="39"/>
      <w:bookmarkEnd w:id="40"/>
      <w:bookmarkEnd w:id="41"/>
    </w:p>
    <w:p>
      <w:pPr>
        <w:adjustRightInd w:val="0"/>
        <w:snapToGrid w:val="0"/>
        <w:spacing w:line="560" w:lineRule="exact"/>
        <w:ind w:firstLine="560" w:firstLineChars="200"/>
        <w:rPr>
          <w:rFonts w:hint="eastAsia" w:ascii="仿宋_GB2312" w:eastAsia="仿宋_GB2312"/>
          <w:caps/>
          <w:color w:val="000000" w:themeColor="text1"/>
          <w:sz w:val="28"/>
          <w:lang w:eastAsia="zh-CN"/>
        </w:rPr>
      </w:pPr>
      <w:bookmarkStart w:id="64" w:name="_Toc155258963"/>
      <w:r>
        <w:rPr>
          <w:rFonts w:hint="eastAsia" w:ascii="仿宋_GB2312" w:eastAsia="仿宋_GB2312"/>
          <w:caps/>
          <w:color w:val="000000" w:themeColor="text1"/>
          <w:sz w:val="28"/>
        </w:rPr>
        <w:t>估价委托人：</w:t>
      </w:r>
      <w:r>
        <w:rPr>
          <w:rFonts w:hint="eastAsia" w:ascii="仿宋_GB2312" w:eastAsia="仿宋_GB2312"/>
          <w:caps/>
          <w:color w:val="000000" w:themeColor="text1"/>
          <w:sz w:val="28"/>
          <w:lang w:eastAsia="zh-CN"/>
        </w:rPr>
        <w:t>石家庄市长安区人民法院</w:t>
      </w:r>
    </w:p>
    <w:p>
      <w:pPr>
        <w:pStyle w:val="3"/>
        <w:adjustRightInd w:val="0"/>
        <w:snapToGrid w:val="0"/>
        <w:spacing w:before="0" w:after="0" w:line="560" w:lineRule="exact"/>
        <w:ind w:firstLine="562" w:firstLineChars="200"/>
        <w:rPr>
          <w:rFonts w:ascii="仿宋_GB2312" w:hAnsi="Times New Roman" w:eastAsia="仿宋_GB2312"/>
          <w:color w:val="000000" w:themeColor="text1"/>
          <w:sz w:val="28"/>
          <w:szCs w:val="28"/>
        </w:rPr>
      </w:pPr>
      <w:bookmarkStart w:id="65" w:name="_Toc432411971"/>
      <w:bookmarkStart w:id="66" w:name="_Toc382493617"/>
      <w:bookmarkStart w:id="67" w:name="_Toc13873"/>
      <w:bookmarkStart w:id="68" w:name="_Toc30794"/>
      <w:bookmarkStart w:id="69" w:name="_Toc5734"/>
      <w:r>
        <w:rPr>
          <w:rFonts w:hint="eastAsia" w:ascii="仿宋_GB2312" w:hAnsi="Times New Roman" w:eastAsia="仿宋_GB2312"/>
          <w:color w:val="000000" w:themeColor="text1"/>
          <w:sz w:val="28"/>
          <w:szCs w:val="28"/>
        </w:rPr>
        <w:t>二、房地产估价机构</w:t>
      </w:r>
      <w:bookmarkEnd w:id="64"/>
      <w:bookmarkEnd w:id="65"/>
      <w:bookmarkEnd w:id="66"/>
      <w:r>
        <w:rPr>
          <w:rFonts w:hint="eastAsia" w:ascii="仿宋_GB2312" w:hAnsi="Times New Roman" w:eastAsia="仿宋_GB2312"/>
          <w:color w:val="000000" w:themeColor="text1"/>
          <w:sz w:val="28"/>
          <w:szCs w:val="28"/>
        </w:rPr>
        <w:fldChar w:fldCharType="begin"/>
      </w:r>
      <w:r>
        <w:rPr>
          <w:rFonts w:hint="eastAsia" w:ascii="仿宋_GB2312" w:hAnsi="Times New Roman" w:eastAsia="仿宋_GB2312"/>
          <w:color w:val="000000" w:themeColor="text1"/>
          <w:sz w:val="28"/>
          <w:szCs w:val="28"/>
        </w:rPr>
        <w:instrText xml:space="preserve"> TC "</w:instrText>
      </w:r>
      <w:bookmarkStart w:id="70" w:name="_Toc288212019"/>
      <w:bookmarkStart w:id="71" w:name="_Toc289260250"/>
      <w:r>
        <w:rPr>
          <w:rFonts w:hint="eastAsia" w:ascii="仿宋_GB2312" w:hAnsi="Times New Roman" w:eastAsia="仿宋_GB2312"/>
          <w:color w:val="000000" w:themeColor="text1"/>
          <w:sz w:val="28"/>
          <w:szCs w:val="28"/>
        </w:rPr>
        <w:instrText xml:space="preserve">2、估价机构</w:instrText>
      </w:r>
      <w:bookmarkEnd w:id="70"/>
      <w:bookmarkEnd w:id="71"/>
      <w:r>
        <w:rPr>
          <w:rFonts w:hint="eastAsia" w:ascii="仿宋_GB2312" w:hAnsi="Times New Roman" w:eastAsia="仿宋_GB2312"/>
          <w:color w:val="000000" w:themeColor="text1"/>
          <w:sz w:val="28"/>
          <w:szCs w:val="28"/>
        </w:rPr>
        <w:instrText xml:space="preserve">" \f C \l "2"</w:instrText>
      </w:r>
      <w:r>
        <w:rPr>
          <w:rFonts w:hint="eastAsia" w:ascii="仿宋_GB2312" w:hAnsi="Times New Roman" w:eastAsia="仿宋_GB2312"/>
          <w:color w:val="000000" w:themeColor="text1"/>
          <w:sz w:val="28"/>
          <w:szCs w:val="28"/>
        </w:rPr>
        <w:fldChar w:fldCharType="end"/>
      </w:r>
      <w:bookmarkEnd w:id="67"/>
      <w:bookmarkEnd w:id="68"/>
      <w:bookmarkEnd w:id="69"/>
    </w:p>
    <w:p>
      <w:pPr>
        <w:adjustRightInd w:val="0"/>
        <w:snapToGrid w:val="0"/>
        <w:spacing w:line="540" w:lineRule="exact"/>
        <w:ind w:firstLine="560" w:firstLineChars="200"/>
        <w:rPr>
          <w:rFonts w:ascii="仿宋_GB2312" w:hAnsi="仿宋" w:eastAsia="仿宋_GB2312" w:cs="仿宋_GB2312"/>
          <w:color w:val="000000" w:themeColor="text1"/>
          <w:sz w:val="28"/>
          <w:szCs w:val="28"/>
        </w:rPr>
      </w:pPr>
      <w:bookmarkStart w:id="72" w:name="_Toc432411972"/>
      <w:bookmarkStart w:id="73" w:name="_Toc382493619"/>
      <w:bookmarkStart w:id="74" w:name="_Toc155258964"/>
      <w:r>
        <w:rPr>
          <w:rFonts w:hint="eastAsia" w:ascii="仿宋_GB2312" w:hAnsi="仿宋" w:eastAsia="仿宋_GB2312" w:cs="仿宋_GB2312"/>
          <w:color w:val="000000" w:themeColor="text1"/>
          <w:sz w:val="28"/>
          <w:szCs w:val="28"/>
        </w:rPr>
        <w:t>估价机构：河北嘉泽房地产资产评估有限公司</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机构地址：石家庄长安区中山东路289号长安广场2209、2205、2207、2208、2210室</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法人代表：魏宏全</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统一社会信用代码：911301007468586013</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 xml:space="preserve">备案等级：壹级     </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证书编号：冀建房估（石）13号</w:t>
      </w:r>
    </w:p>
    <w:p>
      <w:pPr>
        <w:adjustRightInd w:val="0"/>
        <w:snapToGrid w:val="0"/>
        <w:spacing w:line="540" w:lineRule="exact"/>
        <w:ind w:firstLine="560" w:firstLineChars="200"/>
        <w:rPr>
          <w:rFonts w:ascii="仿宋_GB2312" w:hAnsi="仿宋" w:eastAsia="仿宋_GB2312" w:cs="仿宋_GB2312"/>
          <w:color w:val="000000" w:themeColor="text1"/>
          <w:sz w:val="28"/>
          <w:szCs w:val="28"/>
        </w:rPr>
      </w:pPr>
      <w:r>
        <w:rPr>
          <w:rFonts w:hint="eastAsia" w:ascii="仿宋_GB2312" w:hAnsi="仿宋" w:eastAsia="仿宋_GB2312" w:cs="仿宋_GB2312"/>
          <w:color w:val="000000" w:themeColor="text1"/>
          <w:sz w:val="28"/>
          <w:szCs w:val="28"/>
        </w:rPr>
        <w:t>联系电话：0311-85379919  85379918</w:t>
      </w:r>
    </w:p>
    <w:p>
      <w:pPr>
        <w:pStyle w:val="3"/>
        <w:adjustRightInd w:val="0"/>
        <w:snapToGrid w:val="0"/>
        <w:spacing w:before="0" w:after="0" w:line="560" w:lineRule="exact"/>
        <w:ind w:firstLine="562" w:firstLineChars="200"/>
        <w:rPr>
          <w:rFonts w:ascii="仿宋_GB2312" w:hAnsi="Times New Roman" w:eastAsia="仿宋_GB2312"/>
          <w:color w:val="000000" w:themeColor="text1"/>
          <w:sz w:val="28"/>
          <w:szCs w:val="28"/>
        </w:rPr>
      </w:pPr>
      <w:bookmarkStart w:id="75" w:name="_Toc19565"/>
      <w:bookmarkStart w:id="76" w:name="_Toc27733"/>
      <w:bookmarkStart w:id="77" w:name="_Toc17174"/>
      <w:r>
        <w:rPr>
          <w:rFonts w:hint="eastAsia" w:ascii="仿宋_GB2312" w:hAnsi="Times New Roman" w:eastAsia="仿宋_GB2312"/>
          <w:color w:val="000000" w:themeColor="text1"/>
          <w:sz w:val="28"/>
          <w:szCs w:val="28"/>
        </w:rPr>
        <w:t>三、估价目的</w:t>
      </w:r>
      <w:bookmarkEnd w:id="72"/>
      <w:bookmarkEnd w:id="75"/>
      <w:bookmarkEnd w:id="76"/>
      <w:bookmarkEnd w:id="77"/>
    </w:p>
    <w:p>
      <w:pPr>
        <w:adjustRightInd w:val="0"/>
        <w:snapToGrid w:val="0"/>
        <w:spacing w:line="560" w:lineRule="exact"/>
        <w:ind w:firstLine="560" w:firstLineChars="200"/>
        <w:rPr>
          <w:rFonts w:ascii="仿宋_GB2312" w:eastAsia="仿宋_GB2312"/>
          <w:color w:val="000000" w:themeColor="text1"/>
          <w:sz w:val="28"/>
          <w:szCs w:val="28"/>
        </w:rPr>
      </w:pPr>
      <w:bookmarkStart w:id="78" w:name="_Toc432411973"/>
      <w:r>
        <w:rPr>
          <w:rFonts w:hint="eastAsia" w:ascii="仿宋_GB2312" w:eastAsia="仿宋_GB2312"/>
          <w:color w:val="000000" w:themeColor="text1"/>
          <w:sz w:val="28"/>
          <w:szCs w:val="28"/>
        </w:rPr>
        <w:t>为</w:t>
      </w:r>
      <w:r>
        <w:rPr>
          <w:rFonts w:hint="eastAsia" w:ascii="仿宋_GB2312" w:eastAsia="仿宋_GB2312"/>
          <w:color w:val="000000" w:themeColor="text1"/>
          <w:sz w:val="28"/>
          <w:szCs w:val="28"/>
          <w:lang w:eastAsia="zh-CN"/>
        </w:rPr>
        <w:t>石家庄市长安区人民法院</w:t>
      </w:r>
      <w:r>
        <w:rPr>
          <w:rFonts w:hint="eastAsia" w:ascii="仿宋_GB2312" w:eastAsia="仿宋_GB2312"/>
          <w:color w:val="000000" w:themeColor="text1"/>
          <w:sz w:val="28"/>
          <w:szCs w:val="28"/>
        </w:rPr>
        <w:t>确定财产处置参考价提供参考依据。</w:t>
      </w:r>
    </w:p>
    <w:p>
      <w:pPr>
        <w:pStyle w:val="3"/>
        <w:adjustRightInd w:val="0"/>
        <w:snapToGrid w:val="0"/>
        <w:spacing w:before="0" w:after="0" w:line="560" w:lineRule="exact"/>
        <w:ind w:firstLine="562" w:firstLineChars="200"/>
        <w:rPr>
          <w:rFonts w:ascii="仿宋_GB2312" w:hAnsi="Times New Roman" w:eastAsia="仿宋_GB2312"/>
          <w:color w:val="000000" w:themeColor="text1"/>
          <w:sz w:val="28"/>
          <w:szCs w:val="28"/>
        </w:rPr>
      </w:pPr>
      <w:bookmarkStart w:id="79" w:name="_Toc24647"/>
      <w:bookmarkStart w:id="80" w:name="_Toc8340"/>
      <w:bookmarkStart w:id="81" w:name="_Toc14045"/>
      <w:r>
        <w:rPr>
          <w:rFonts w:hint="eastAsia" w:ascii="仿宋_GB2312" w:hAnsi="Times New Roman" w:eastAsia="仿宋_GB2312"/>
          <w:color w:val="000000" w:themeColor="text1"/>
          <w:sz w:val="28"/>
          <w:szCs w:val="28"/>
        </w:rPr>
        <w:t>四、估价对象</w:t>
      </w:r>
      <w:bookmarkEnd w:id="73"/>
      <w:bookmarkEnd w:id="78"/>
      <w:bookmarkEnd w:id="79"/>
      <w:bookmarkEnd w:id="80"/>
      <w:bookmarkEnd w:id="81"/>
    </w:p>
    <w:p>
      <w:pPr>
        <w:adjustRightInd w:val="0"/>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1.估价对象范围</w:t>
      </w:r>
    </w:p>
    <w:p>
      <w:pPr>
        <w:adjustRightInd w:val="0"/>
        <w:snapToGrid w:val="0"/>
        <w:spacing w:line="56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估价对象为</w:t>
      </w:r>
      <w:r>
        <w:rPr>
          <w:rFonts w:hint="eastAsia" w:ascii="仿宋_GB2312" w:hAnsi="宋体" w:eastAsia="仿宋_GB2312" w:cs="宋体"/>
          <w:color w:val="000000" w:themeColor="text1"/>
          <w:sz w:val="28"/>
          <w:szCs w:val="28"/>
          <w:lang w:eastAsia="zh-CN"/>
        </w:rPr>
        <w:t>白雪梅</w:t>
      </w:r>
      <w:r>
        <w:rPr>
          <w:rFonts w:hint="eastAsia" w:ascii="仿宋_GB2312" w:hAnsi="宋体" w:eastAsia="仿宋_GB2312" w:cs="宋体"/>
          <w:color w:val="000000" w:themeColor="text1"/>
          <w:sz w:val="28"/>
          <w:szCs w:val="28"/>
        </w:rPr>
        <w:t>位于</w:t>
      </w:r>
      <w:r>
        <w:rPr>
          <w:rFonts w:hint="eastAsia" w:ascii="仿宋_GB2312" w:hAnsi="宋体" w:eastAsia="仿宋_GB2312" w:cs="宋体"/>
          <w:color w:val="000000" w:themeColor="text1"/>
          <w:sz w:val="28"/>
          <w:szCs w:val="28"/>
          <w:lang w:eastAsia="zh-CN"/>
        </w:rPr>
        <w:t>石家庄市裕华区神兴二期12-B-604</w:t>
      </w:r>
      <w:r>
        <w:rPr>
          <w:rFonts w:hint="eastAsia" w:ascii="仿宋_GB2312" w:hAnsi="宋体" w:eastAsia="仿宋_GB2312" w:cs="宋体"/>
          <w:color w:val="000000" w:themeColor="text1"/>
          <w:sz w:val="28"/>
          <w:szCs w:val="28"/>
        </w:rPr>
        <w:t>的成套住宅，建筑面积为</w:t>
      </w:r>
      <w:r>
        <w:rPr>
          <w:rFonts w:hint="eastAsia" w:ascii="仿宋_GB2312" w:hAnsi="宋体" w:eastAsia="仿宋_GB2312" w:cs="宋体"/>
          <w:color w:val="000000" w:themeColor="text1"/>
          <w:sz w:val="28"/>
          <w:szCs w:val="28"/>
          <w:lang w:eastAsia="zh-CN"/>
        </w:rPr>
        <w:t>148.31</w:t>
      </w:r>
      <w:r>
        <w:rPr>
          <w:rFonts w:hint="eastAsia" w:ascii="仿宋_GB2312" w:hAnsi="宋体" w:eastAsia="仿宋_GB2312" w:cs="宋体"/>
          <w:color w:val="000000" w:themeColor="text1"/>
          <w:sz w:val="28"/>
          <w:szCs w:val="28"/>
        </w:rPr>
        <w:t>平方米</w:t>
      </w:r>
      <w:r>
        <w:rPr>
          <w:rFonts w:hint="eastAsia" w:ascii="仿宋_GB2312" w:hAnsi="宋体" w:eastAsia="仿宋_GB2312" w:cs="宋体"/>
          <w:color w:val="000000" w:themeColor="text1"/>
          <w:sz w:val="28"/>
          <w:szCs w:val="28"/>
          <w:lang w:eastAsia="zh-CN"/>
        </w:rPr>
        <w:t>，</w:t>
      </w:r>
      <w:r>
        <w:rPr>
          <w:rFonts w:hint="eastAsia" w:ascii="仿宋_GB2312" w:hAnsi="宋体" w:eastAsia="仿宋_GB2312" w:cs="宋体"/>
          <w:color w:val="000000" w:themeColor="text1"/>
          <w:sz w:val="28"/>
          <w:szCs w:val="28"/>
          <w:lang w:val="en-US" w:eastAsia="zh-CN"/>
        </w:rPr>
        <w:t>估价对象为地上6-7层，地下室为地下1层</w:t>
      </w:r>
      <w:r>
        <w:rPr>
          <w:rFonts w:hint="eastAsia" w:ascii="仿宋_GB2312" w:hAnsi="宋体" w:eastAsia="仿宋_GB2312" w:cs="宋体"/>
          <w:color w:val="000000" w:themeColor="text1"/>
          <w:sz w:val="28"/>
          <w:szCs w:val="28"/>
        </w:rPr>
        <w:t>。</w:t>
      </w:r>
    </w:p>
    <w:p>
      <w:pPr>
        <w:adjustRightInd w:val="0"/>
        <w:snapToGrid w:val="0"/>
        <w:spacing w:line="56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本次估价范围含分摊的国有建设用地使用权，不含室内可移动物品及其他债权债务。</w:t>
      </w:r>
    </w:p>
    <w:p>
      <w:pPr>
        <w:numPr>
          <w:ilvl w:val="0"/>
          <w:numId w:val="3"/>
        </w:numPr>
        <w:adjustRightInd w:val="0"/>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估价对象实物状况</w:t>
      </w:r>
    </w:p>
    <w:p>
      <w:pPr>
        <w:spacing w:line="560" w:lineRule="exact"/>
        <w:ind w:firstLine="560" w:firstLineChars="200"/>
        <w:rPr>
          <w:rFonts w:ascii="仿宋_GB2312" w:hAnsi="宋体" w:eastAsia="仿宋_GB2312" w:cs="宋体"/>
          <w:color w:val="000000" w:themeColor="text1"/>
          <w:sz w:val="28"/>
          <w:szCs w:val="28"/>
        </w:rPr>
      </w:pPr>
      <w:r>
        <w:rPr>
          <w:rFonts w:hint="eastAsia" w:ascii="仿宋_GB2312" w:eastAsia="仿宋_GB2312"/>
          <w:color w:val="000000" w:themeColor="text1"/>
          <w:sz w:val="28"/>
          <w:szCs w:val="28"/>
        </w:rPr>
        <w:t>估价对象位于</w:t>
      </w:r>
      <w:r>
        <w:rPr>
          <w:rFonts w:hint="eastAsia" w:ascii="仿宋_GB2312" w:hAnsi="仿宋_GB2312" w:eastAsia="仿宋_GB2312" w:cs="仿宋_GB2312"/>
          <w:color w:val="000000" w:themeColor="text1"/>
          <w:sz w:val="28"/>
          <w:szCs w:val="28"/>
          <w:lang w:eastAsia="zh-CN"/>
        </w:rPr>
        <w:t>石家庄市裕华区神兴二期</w:t>
      </w:r>
      <w:r>
        <w:rPr>
          <w:rFonts w:hint="eastAsia" w:ascii="仿宋_GB2312" w:hAnsi="宋体" w:eastAsia="仿宋_GB2312" w:cs="宋体"/>
          <w:color w:val="000000" w:themeColor="text1"/>
          <w:sz w:val="28"/>
          <w:szCs w:val="28"/>
        </w:rPr>
        <w:t>，</w:t>
      </w:r>
      <w:bookmarkStart w:id="82" w:name="_Toc383068139"/>
      <w:bookmarkStart w:id="83" w:name="_Toc384813581"/>
      <w:bookmarkStart w:id="84" w:name="_Toc382493620"/>
      <w:bookmarkStart w:id="85" w:name="_Toc387827692"/>
      <w:r>
        <w:rPr>
          <w:rFonts w:hint="eastAsia" w:ascii="仿宋_GB2312" w:hAnsi="宋体" w:eastAsia="仿宋_GB2312" w:cs="宋体"/>
          <w:color w:val="000000" w:themeColor="text1"/>
          <w:sz w:val="28"/>
          <w:szCs w:val="28"/>
        </w:rPr>
        <w:t>该小区</w:t>
      </w:r>
      <w:r>
        <w:rPr>
          <w:rFonts w:hint="eastAsia" w:ascii="仿宋_GB2312" w:hAnsi="宋体" w:eastAsia="仿宋_GB2312" w:cs="宋体"/>
          <w:color w:val="000000" w:themeColor="text1"/>
          <w:sz w:val="28"/>
          <w:szCs w:val="28"/>
          <w:lang w:val="en-US" w:eastAsia="zh-CN"/>
        </w:rPr>
        <w:t>北临东岗路</w:t>
      </w:r>
      <w:r>
        <w:rPr>
          <w:rFonts w:hint="eastAsia" w:ascii="仿宋_GB2312" w:hAnsi="宋体" w:eastAsia="仿宋_GB2312" w:cs="宋体"/>
          <w:color w:val="000000" w:themeColor="text1"/>
          <w:sz w:val="28"/>
          <w:szCs w:val="28"/>
        </w:rPr>
        <w:t>,小区</w:t>
      </w:r>
      <w:r>
        <w:rPr>
          <w:rFonts w:hint="eastAsia" w:ascii="仿宋_GB2312" w:hAnsi="宋体" w:eastAsia="仿宋_GB2312" w:cs="宋体"/>
          <w:color w:val="000000" w:themeColor="text1"/>
          <w:sz w:val="28"/>
          <w:szCs w:val="28"/>
          <w:lang w:val="en-US" w:eastAsia="zh-CN"/>
        </w:rPr>
        <w:t>内部</w:t>
      </w:r>
      <w:r>
        <w:rPr>
          <w:rFonts w:hint="eastAsia" w:ascii="仿宋_GB2312" w:hAnsi="宋体" w:eastAsia="仿宋_GB2312" w:cs="宋体"/>
          <w:color w:val="000000" w:themeColor="text1"/>
          <w:sz w:val="28"/>
          <w:szCs w:val="28"/>
        </w:rPr>
        <w:t>环境一般，物业管理较规范。</w:t>
      </w:r>
    </w:p>
    <w:p>
      <w:pPr>
        <w:spacing w:line="560" w:lineRule="exact"/>
        <w:ind w:firstLine="560" w:firstLineChars="200"/>
        <w:rPr>
          <w:rFonts w:ascii="仿宋_GB2312" w:eastAsia="仿宋_GB2312"/>
          <w:color w:val="000000"/>
          <w:sz w:val="28"/>
          <w:szCs w:val="28"/>
        </w:rPr>
      </w:pPr>
      <w:r>
        <w:rPr>
          <w:rFonts w:hint="eastAsia" w:ascii="仿宋_GB2312" w:hAnsi="宋体" w:eastAsia="仿宋_GB2312" w:cs="宋体"/>
          <w:color w:val="000000"/>
          <w:sz w:val="28"/>
          <w:szCs w:val="28"/>
        </w:rPr>
        <w:t>估价对象位于</w:t>
      </w:r>
      <w:r>
        <w:rPr>
          <w:rFonts w:hint="eastAsia" w:ascii="仿宋_GB2312" w:hAnsi="宋体" w:eastAsia="仿宋_GB2312" w:cs="宋体"/>
          <w:color w:val="000000"/>
          <w:sz w:val="28"/>
          <w:szCs w:val="28"/>
          <w:lang w:val="en-US" w:eastAsia="zh-CN"/>
        </w:rPr>
        <w:t>神兴二期</w:t>
      </w:r>
      <w:r>
        <w:rPr>
          <w:rFonts w:hint="eastAsia" w:ascii="仿宋_GB2312" w:hAnsi="宋体" w:eastAsia="仿宋_GB2312" w:cs="宋体"/>
          <w:color w:val="000000"/>
          <w:sz w:val="28"/>
          <w:szCs w:val="28"/>
          <w:lang w:eastAsia="zh-CN"/>
        </w:rPr>
        <w:t>12-B-604（</w:t>
      </w:r>
      <w:r>
        <w:rPr>
          <w:rFonts w:hint="eastAsia" w:ascii="仿宋_GB2312" w:hAnsi="宋体" w:eastAsia="仿宋_GB2312" w:cs="宋体"/>
          <w:color w:val="000000"/>
          <w:sz w:val="28"/>
          <w:szCs w:val="28"/>
          <w:lang w:val="en-US" w:eastAsia="zh-CN"/>
        </w:rPr>
        <w:t>现已更名为21-604）</w:t>
      </w:r>
      <w:r>
        <w:rPr>
          <w:rFonts w:hint="eastAsia" w:ascii="仿宋_GB2312" w:hAnsi="宋体" w:eastAsia="仿宋_GB2312" w:cs="宋体"/>
          <w:color w:val="000000"/>
          <w:sz w:val="28"/>
          <w:szCs w:val="28"/>
        </w:rPr>
        <w:t>，建筑面积为</w:t>
      </w:r>
      <w:r>
        <w:rPr>
          <w:rFonts w:hint="eastAsia" w:ascii="仿宋_GB2312" w:hAnsi="宋体" w:eastAsia="仿宋_GB2312" w:cs="宋体"/>
          <w:color w:val="000000"/>
          <w:sz w:val="28"/>
          <w:szCs w:val="28"/>
          <w:lang w:eastAsia="zh-CN"/>
        </w:rPr>
        <w:t>148.31</w:t>
      </w:r>
      <w:r>
        <w:rPr>
          <w:rFonts w:hint="eastAsia" w:ascii="仿宋_GB2312" w:hAnsi="宋体" w:eastAsia="仿宋_GB2312" w:cs="宋体"/>
          <w:color w:val="000000"/>
          <w:sz w:val="28"/>
          <w:szCs w:val="28"/>
        </w:rPr>
        <w:t>平方米。</w:t>
      </w:r>
      <w:r>
        <w:rPr>
          <w:rFonts w:hint="eastAsia" w:ascii="仿宋_GB2312" w:eastAsia="仿宋_GB2312"/>
          <w:color w:val="000000"/>
          <w:sz w:val="28"/>
          <w:szCs w:val="28"/>
        </w:rPr>
        <w:t>由于当事人原因，估价人员未能进入估价对象内部进行实地查勘，只对估价对象外部状况和区位状况进行了实地查勘。经征询人民法</w:t>
      </w:r>
      <w:r>
        <w:rPr>
          <w:rFonts w:hint="eastAsia" w:ascii="仿宋_GB2312" w:eastAsia="仿宋_GB2312"/>
          <w:color w:val="000000"/>
          <w:sz w:val="28"/>
          <w:szCs w:val="28"/>
          <w:lang w:val="en-US" w:eastAsia="zh-CN"/>
        </w:rPr>
        <w:t>院</w:t>
      </w:r>
      <w:r>
        <w:rPr>
          <w:rFonts w:hint="eastAsia" w:ascii="仿宋_GB2312" w:eastAsia="仿宋_GB2312"/>
          <w:color w:val="000000"/>
          <w:sz w:val="28"/>
          <w:szCs w:val="28"/>
        </w:rPr>
        <w:t>意见，对评估对象内部布局、室内装饰装修等情况进行合理假定，即室内装修为普通装修为假定前提进行估价，如相关当事人有异议，应以实际状况为准，本报告作相应调整。</w:t>
      </w:r>
    </w:p>
    <w:p>
      <w:pPr>
        <w:adjustRightInd w:val="0"/>
        <w:snapToGrid w:val="0"/>
        <w:spacing w:line="560" w:lineRule="exact"/>
        <w:ind w:firstLine="560"/>
        <w:rPr>
          <w:rFonts w:ascii="仿宋_GB2312" w:eastAsia="仿宋_GB2312"/>
          <w:color w:val="000000" w:themeColor="text1"/>
          <w:sz w:val="28"/>
          <w:szCs w:val="28"/>
        </w:rPr>
      </w:pPr>
      <w:r>
        <w:rPr>
          <w:rFonts w:hint="eastAsia" w:ascii="仿宋_GB2312" w:hAnsi="宋体" w:eastAsia="仿宋_GB2312" w:cs="宋体"/>
          <w:color w:val="000000" w:themeColor="text1"/>
          <w:sz w:val="28"/>
          <w:szCs w:val="28"/>
        </w:rPr>
        <w:t>估价对象所在2</w:t>
      </w:r>
      <w:r>
        <w:rPr>
          <w:rFonts w:hint="eastAsia" w:ascii="仿宋_GB2312" w:hAnsi="宋体" w:eastAsia="仿宋_GB2312" w:cs="宋体"/>
          <w:color w:val="000000" w:themeColor="text1"/>
          <w:sz w:val="28"/>
          <w:szCs w:val="28"/>
          <w:lang w:val="en-US" w:eastAsia="zh-CN"/>
        </w:rPr>
        <w:t>1</w:t>
      </w:r>
      <w:r>
        <w:rPr>
          <w:rFonts w:hint="eastAsia" w:ascii="仿宋_GB2312" w:hAnsi="宋体" w:eastAsia="仿宋_GB2312" w:cs="宋体"/>
          <w:color w:val="000000" w:themeColor="text1"/>
          <w:sz w:val="28"/>
          <w:szCs w:val="28"/>
        </w:rPr>
        <w:t>号住宅楼</w:t>
      </w:r>
      <w:r>
        <w:rPr>
          <w:rFonts w:hint="eastAsia" w:ascii="仿宋_GB2312" w:hAnsi="宋体" w:eastAsia="仿宋_GB2312" w:cs="宋体"/>
          <w:color w:val="000000" w:themeColor="text1"/>
          <w:sz w:val="28"/>
          <w:szCs w:val="28"/>
          <w:lang w:val="en-US" w:eastAsia="zh-CN"/>
        </w:rPr>
        <w:t>为蝶形楼，</w:t>
      </w:r>
      <w:r>
        <w:rPr>
          <w:rFonts w:hint="eastAsia" w:ascii="仿宋_GB2312" w:hAnsi="宋体" w:eastAsia="仿宋_GB2312" w:cs="宋体"/>
          <w:color w:val="000000" w:themeColor="text1"/>
          <w:sz w:val="28"/>
          <w:szCs w:val="28"/>
        </w:rPr>
        <w:t>共</w:t>
      </w:r>
      <w:r>
        <w:rPr>
          <w:rFonts w:hint="eastAsia" w:ascii="仿宋_GB2312" w:hAnsi="宋体" w:eastAsia="仿宋_GB2312" w:cs="宋体"/>
          <w:color w:val="000000" w:themeColor="text1"/>
          <w:sz w:val="28"/>
          <w:szCs w:val="28"/>
          <w:lang w:val="en-US" w:eastAsia="zh-CN"/>
        </w:rPr>
        <w:t>一</w:t>
      </w:r>
      <w:r>
        <w:rPr>
          <w:rFonts w:hint="eastAsia" w:ascii="仿宋_GB2312" w:hAnsi="宋体" w:eastAsia="仿宋_GB2312" w:cs="宋体"/>
          <w:color w:val="000000" w:themeColor="text1"/>
          <w:sz w:val="28"/>
          <w:szCs w:val="28"/>
        </w:rPr>
        <w:t>个单元，</w:t>
      </w:r>
      <w:r>
        <w:rPr>
          <w:rFonts w:hint="eastAsia" w:ascii="仿宋_GB2312" w:hAnsi="宋体" w:eastAsia="仿宋_GB2312" w:cs="宋体"/>
          <w:color w:val="000000" w:themeColor="text1"/>
          <w:sz w:val="28"/>
          <w:szCs w:val="28"/>
          <w:lang w:val="en-US" w:eastAsia="zh-CN"/>
        </w:rPr>
        <w:t>一</w:t>
      </w:r>
      <w:r>
        <w:rPr>
          <w:rFonts w:hint="eastAsia" w:ascii="仿宋_GB2312" w:hAnsi="宋体" w:eastAsia="仿宋_GB2312" w:cs="宋体"/>
          <w:color w:val="000000" w:themeColor="text1"/>
          <w:sz w:val="28"/>
          <w:szCs w:val="28"/>
        </w:rPr>
        <w:t>梯四户，</w:t>
      </w:r>
      <w:r>
        <w:rPr>
          <w:rFonts w:hint="eastAsia" w:ascii="仿宋_GB2312" w:hAnsi="宋体" w:eastAsia="仿宋_GB2312" w:cs="宋体"/>
          <w:color w:val="000000" w:themeColor="text1"/>
          <w:sz w:val="28"/>
          <w:szCs w:val="28"/>
          <w:lang w:eastAsia="zh-CN"/>
        </w:rPr>
        <w:t>混合</w:t>
      </w:r>
      <w:r>
        <w:rPr>
          <w:rFonts w:hint="eastAsia" w:ascii="仿宋_GB2312" w:hAnsi="宋体" w:eastAsia="仿宋_GB2312" w:cs="宋体"/>
          <w:color w:val="000000" w:themeColor="text1"/>
          <w:sz w:val="28"/>
          <w:szCs w:val="28"/>
        </w:rPr>
        <w:t>结构，</w:t>
      </w:r>
      <w:r>
        <w:rPr>
          <w:rFonts w:hint="eastAsia" w:ascii="仿宋_GB2312" w:eastAsia="仿宋_GB2312"/>
          <w:color w:val="000000" w:themeColor="text1"/>
          <w:sz w:val="28"/>
          <w:szCs w:val="28"/>
        </w:rPr>
        <w:t>建成年代为</w:t>
      </w:r>
      <w:r>
        <w:rPr>
          <w:rFonts w:hint="eastAsia" w:ascii="仿宋_GB2312" w:eastAsia="仿宋_GB2312"/>
          <w:color w:val="000000" w:themeColor="text1"/>
          <w:sz w:val="28"/>
          <w:szCs w:val="28"/>
          <w:lang w:val="en-US" w:eastAsia="zh-CN"/>
        </w:rPr>
        <w:t>2002</w:t>
      </w:r>
      <w:r>
        <w:rPr>
          <w:rFonts w:hint="eastAsia" w:ascii="仿宋_GB2312" w:eastAsia="仿宋_GB2312"/>
          <w:color w:val="000000" w:themeColor="text1"/>
          <w:sz w:val="28"/>
          <w:szCs w:val="28"/>
        </w:rPr>
        <w:t>年，房屋总层数为</w:t>
      </w:r>
      <w:r>
        <w:rPr>
          <w:rFonts w:hint="eastAsia" w:ascii="仿宋_GB2312" w:eastAsia="仿宋_GB2312"/>
          <w:color w:val="000000" w:themeColor="text1"/>
          <w:sz w:val="28"/>
          <w:szCs w:val="28"/>
          <w:lang w:val="en-US" w:eastAsia="zh-CN"/>
        </w:rPr>
        <w:t>8</w:t>
      </w:r>
      <w:r>
        <w:rPr>
          <w:rFonts w:hint="eastAsia" w:ascii="仿宋_GB2312" w:eastAsia="仿宋_GB2312"/>
          <w:color w:val="000000" w:themeColor="text1"/>
          <w:sz w:val="28"/>
          <w:szCs w:val="28"/>
        </w:rPr>
        <w:t>层（</w:t>
      </w:r>
      <w:r>
        <w:rPr>
          <w:rFonts w:hint="eastAsia" w:ascii="仿宋_GB2312" w:hAnsi="宋体" w:eastAsia="仿宋_GB2312" w:cs="宋体"/>
          <w:color w:val="000000" w:themeColor="text1"/>
          <w:sz w:val="28"/>
          <w:szCs w:val="28"/>
        </w:rPr>
        <w:t>地上</w:t>
      </w:r>
      <w:r>
        <w:rPr>
          <w:rFonts w:hint="eastAsia" w:ascii="仿宋_GB2312" w:hAnsi="宋体" w:eastAsia="仿宋_GB2312" w:cs="宋体"/>
          <w:color w:val="000000" w:themeColor="text1"/>
          <w:sz w:val="28"/>
          <w:szCs w:val="28"/>
          <w:lang w:val="en-US" w:eastAsia="zh-CN"/>
        </w:rPr>
        <w:t>7</w:t>
      </w:r>
      <w:r>
        <w:rPr>
          <w:rFonts w:hint="eastAsia" w:ascii="仿宋_GB2312" w:hAnsi="宋体" w:eastAsia="仿宋_GB2312" w:cs="宋体"/>
          <w:color w:val="000000" w:themeColor="text1"/>
          <w:sz w:val="28"/>
          <w:szCs w:val="28"/>
        </w:rPr>
        <w:t>层地下1层</w:t>
      </w:r>
      <w:r>
        <w:rPr>
          <w:rFonts w:hint="eastAsia" w:ascii="仿宋_GB2312" w:eastAsia="仿宋_GB2312"/>
          <w:color w:val="000000" w:themeColor="text1"/>
          <w:sz w:val="28"/>
          <w:szCs w:val="28"/>
        </w:rPr>
        <w:t>）</w:t>
      </w:r>
      <w:r>
        <w:rPr>
          <w:rFonts w:hint="eastAsia" w:ascii="仿宋_GB2312" w:hAnsi="宋体" w:eastAsia="仿宋_GB2312" w:cs="宋体"/>
          <w:color w:val="000000" w:themeColor="text1"/>
          <w:sz w:val="28"/>
          <w:szCs w:val="28"/>
        </w:rPr>
        <w:t>，</w:t>
      </w:r>
      <w:r>
        <w:rPr>
          <w:rFonts w:hint="eastAsia" w:ascii="仿宋_GB2312" w:eastAsia="仿宋_GB2312"/>
          <w:color w:val="000000" w:themeColor="text1"/>
          <w:sz w:val="28"/>
          <w:szCs w:val="28"/>
          <w:lang w:val="en-US" w:eastAsia="zh-CN"/>
        </w:rPr>
        <w:t>房屋</w:t>
      </w:r>
      <w:r>
        <w:rPr>
          <w:rFonts w:hint="eastAsia" w:ascii="仿宋_GB2312" w:eastAsia="仿宋_GB2312"/>
          <w:color w:val="000000" w:themeColor="text1"/>
          <w:sz w:val="28"/>
          <w:szCs w:val="28"/>
        </w:rPr>
        <w:t>所在层为第</w:t>
      </w:r>
      <w:r>
        <w:rPr>
          <w:rFonts w:hint="eastAsia" w:ascii="仿宋_GB2312" w:eastAsia="仿宋_GB2312"/>
          <w:color w:val="000000" w:themeColor="text1"/>
          <w:sz w:val="28"/>
          <w:szCs w:val="28"/>
          <w:lang w:val="en-US" w:eastAsia="zh-CN"/>
        </w:rPr>
        <w:t>6-7</w:t>
      </w:r>
      <w:r>
        <w:rPr>
          <w:rFonts w:hint="eastAsia" w:ascii="仿宋_GB2312" w:eastAsia="仿宋_GB2312"/>
          <w:color w:val="000000" w:themeColor="text1"/>
          <w:sz w:val="28"/>
          <w:szCs w:val="28"/>
        </w:rPr>
        <w:t>层，</w:t>
      </w:r>
      <w:r>
        <w:rPr>
          <w:rFonts w:hint="eastAsia" w:ascii="仿宋_GB2312" w:eastAsia="仿宋_GB2312"/>
          <w:color w:val="000000" w:themeColor="text1"/>
          <w:sz w:val="28"/>
          <w:szCs w:val="28"/>
          <w:lang w:val="en-US" w:eastAsia="zh-CN"/>
        </w:rPr>
        <w:t>地下室为地下1层，</w:t>
      </w:r>
      <w:r>
        <w:rPr>
          <w:rFonts w:hint="eastAsia" w:ascii="仿宋_GB2312" w:eastAsia="仿宋_GB2312"/>
          <w:color w:val="000000" w:themeColor="text1"/>
          <w:sz w:val="28"/>
          <w:szCs w:val="28"/>
        </w:rPr>
        <w:t>楼体</w:t>
      </w:r>
      <w:r>
        <w:rPr>
          <w:rFonts w:hint="eastAsia" w:ascii="仿宋_GB2312" w:hAnsi="宋体" w:eastAsia="仿宋_GB2312" w:cs="宋体"/>
          <w:color w:val="000000" w:themeColor="text1"/>
          <w:sz w:val="28"/>
          <w:szCs w:val="28"/>
        </w:rPr>
        <w:t>外墙面刷涂料，塑钢外窗；</w:t>
      </w:r>
      <w:r>
        <w:rPr>
          <w:rFonts w:hint="eastAsia" w:ascii="仿宋_GB2312" w:eastAsia="仿宋_GB2312"/>
          <w:color w:val="000000" w:themeColor="text1"/>
          <w:sz w:val="28"/>
          <w:szCs w:val="28"/>
        </w:rPr>
        <w:t>单元入口安装防盗门，</w:t>
      </w:r>
      <w:r>
        <w:rPr>
          <w:rFonts w:hint="eastAsia" w:ascii="仿宋_GB2312" w:hAnsi="宋体" w:eastAsia="仿宋_GB2312" w:cs="宋体"/>
          <w:color w:val="000000" w:themeColor="text1"/>
          <w:sz w:val="28"/>
          <w:szCs w:val="28"/>
          <w:lang w:val="en-US" w:eastAsia="zh-CN"/>
        </w:rPr>
        <w:t>水泥</w:t>
      </w:r>
      <w:r>
        <w:rPr>
          <w:rFonts w:hint="eastAsia" w:ascii="仿宋_GB2312" w:hAnsi="宋体" w:eastAsia="仿宋_GB2312" w:cs="宋体"/>
          <w:color w:val="000000" w:themeColor="text1"/>
          <w:sz w:val="28"/>
          <w:szCs w:val="28"/>
        </w:rPr>
        <w:t>地面，内墙面</w:t>
      </w:r>
      <w:r>
        <w:rPr>
          <w:rFonts w:hint="eastAsia" w:ascii="仿宋_GB2312" w:hAnsi="宋体" w:eastAsia="仿宋_GB2312" w:cs="宋体"/>
          <w:color w:val="000000" w:themeColor="text1"/>
          <w:sz w:val="28"/>
          <w:szCs w:val="28"/>
          <w:lang w:eastAsia="zh-CN"/>
        </w:rPr>
        <w:t>、</w:t>
      </w:r>
      <w:r>
        <w:rPr>
          <w:rFonts w:hint="eastAsia" w:ascii="仿宋_GB2312" w:hAnsi="宋体" w:eastAsia="仿宋_GB2312" w:cs="宋体"/>
          <w:color w:val="000000" w:themeColor="text1"/>
          <w:sz w:val="28"/>
          <w:szCs w:val="28"/>
        </w:rPr>
        <w:t>顶棚刷涂料；</w:t>
      </w:r>
      <w:r>
        <w:rPr>
          <w:rFonts w:hint="eastAsia" w:ascii="仿宋_GB2312" w:hAnsi="宋体" w:eastAsia="仿宋_GB2312" w:cs="宋体"/>
          <w:color w:val="000000" w:themeColor="text1"/>
          <w:sz w:val="28"/>
          <w:szCs w:val="28"/>
          <w:highlight w:val="none"/>
        </w:rPr>
        <w:t>公共走廊</w:t>
      </w:r>
      <w:r>
        <w:rPr>
          <w:rFonts w:hint="eastAsia" w:ascii="仿宋_GB2312" w:hAnsi="宋体" w:eastAsia="仿宋_GB2312" w:cs="宋体"/>
          <w:color w:val="000000" w:themeColor="text1"/>
          <w:sz w:val="28"/>
          <w:szCs w:val="28"/>
          <w:highlight w:val="none"/>
          <w:lang w:val="en-US" w:eastAsia="zh-CN"/>
        </w:rPr>
        <w:t>水泥</w:t>
      </w:r>
      <w:r>
        <w:rPr>
          <w:rFonts w:hint="eastAsia" w:ascii="仿宋_GB2312" w:hAnsi="宋体" w:eastAsia="仿宋_GB2312" w:cs="宋体"/>
          <w:color w:val="000000" w:themeColor="text1"/>
          <w:sz w:val="28"/>
          <w:szCs w:val="28"/>
          <w:highlight w:val="none"/>
        </w:rPr>
        <w:t>地</w:t>
      </w:r>
      <w:r>
        <w:rPr>
          <w:rFonts w:hint="eastAsia" w:ascii="仿宋_GB2312" w:hAnsi="宋体" w:eastAsia="仿宋_GB2312" w:cs="宋体"/>
          <w:color w:val="000000" w:themeColor="text1"/>
          <w:sz w:val="28"/>
          <w:szCs w:val="28"/>
          <w:highlight w:val="none"/>
          <w:lang w:eastAsia="zh-CN"/>
        </w:rPr>
        <w:t>面</w:t>
      </w:r>
      <w:r>
        <w:rPr>
          <w:rFonts w:hint="eastAsia" w:ascii="仿宋_GB2312" w:hAnsi="宋体" w:eastAsia="仿宋_GB2312" w:cs="宋体"/>
          <w:color w:val="000000" w:themeColor="text1"/>
          <w:sz w:val="28"/>
          <w:szCs w:val="28"/>
          <w:highlight w:val="none"/>
        </w:rPr>
        <w:t>，墙面及顶</w:t>
      </w:r>
      <w:r>
        <w:rPr>
          <w:rFonts w:hint="eastAsia" w:ascii="仿宋_GB2312" w:hAnsi="宋体" w:eastAsia="仿宋_GB2312" w:cs="宋体"/>
          <w:color w:val="000000" w:themeColor="text1"/>
          <w:sz w:val="28"/>
          <w:szCs w:val="28"/>
        </w:rPr>
        <w:t>棚刷涂料。</w:t>
      </w:r>
      <w:r>
        <w:rPr>
          <w:rFonts w:hint="eastAsia" w:ascii="仿宋_GB2312" w:eastAsia="仿宋_GB2312"/>
          <w:color w:val="000000" w:themeColor="text1"/>
          <w:sz w:val="28"/>
          <w:szCs w:val="28"/>
        </w:rPr>
        <w:t>该楼维护状况一般，水、电、暖、燃气等设施</w:t>
      </w:r>
      <w:r>
        <w:rPr>
          <w:rFonts w:hint="eastAsia" w:ascii="仿宋_GB2312" w:eastAsia="仿宋_GB2312"/>
          <w:color w:val="000000" w:themeColor="text1"/>
          <w:sz w:val="28"/>
          <w:szCs w:val="28"/>
          <w:lang w:val="en-US" w:eastAsia="zh-CN"/>
        </w:rPr>
        <w:t>较</w:t>
      </w:r>
      <w:r>
        <w:rPr>
          <w:rFonts w:hint="eastAsia" w:ascii="仿宋_GB2312" w:eastAsia="仿宋_GB2312"/>
          <w:color w:val="000000" w:themeColor="text1"/>
          <w:sz w:val="28"/>
          <w:szCs w:val="28"/>
        </w:rPr>
        <w:t>齐全。</w:t>
      </w:r>
    </w:p>
    <w:p>
      <w:pPr>
        <w:adjustRightInd w:val="0"/>
        <w:snapToGrid w:val="0"/>
        <w:spacing w:line="560" w:lineRule="exact"/>
        <w:ind w:firstLine="560" w:firstLineChars="200"/>
        <w:rPr>
          <w:rFonts w:ascii="仿宋_GB2312" w:hAnsi="宋体" w:eastAsia="仿宋_GB2312" w:cs="宋体"/>
          <w:color w:val="000000" w:themeColor="text1"/>
          <w:sz w:val="28"/>
          <w:szCs w:val="28"/>
        </w:rPr>
      </w:pPr>
      <w:r>
        <w:rPr>
          <w:rFonts w:hint="eastAsia" w:ascii="仿宋_GB2312" w:hAnsi="宋体" w:eastAsia="仿宋_GB2312" w:cs="宋体"/>
          <w:color w:val="000000" w:themeColor="text1"/>
          <w:sz w:val="28"/>
          <w:szCs w:val="28"/>
        </w:rPr>
        <w:t>估价对象所在宗地地势平坦，基础较好适宜建筑，至价值时点，宗地内外开发程度达到“七通一平”（即通路、通电、通讯、通上水、通下水、通暖、通燃气及场地平整），基础设施完备度高。</w:t>
      </w:r>
    </w:p>
    <w:p>
      <w:pPr>
        <w:numPr>
          <w:ilvl w:val="0"/>
          <w:numId w:val="4"/>
        </w:numPr>
        <w:adjustRightInd w:val="0"/>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估价对象权益状况</w:t>
      </w:r>
    </w:p>
    <w:p>
      <w:pPr>
        <w:numPr>
          <w:ilvl w:val="0"/>
          <w:numId w:val="5"/>
        </w:numPr>
        <w:adjustRightInd w:val="0"/>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估价对象权益状况</w:t>
      </w:r>
    </w:p>
    <w:p>
      <w:pPr>
        <w:ind w:firstLine="560" w:firstLineChars="200"/>
        <w:rPr>
          <w:rFonts w:hint="eastAsia" w:ascii="仿宋_GB2312" w:eastAsia="仿宋_GB2312"/>
          <w:bCs/>
          <w:caps/>
          <w:color w:val="000000" w:themeColor="text1"/>
          <w:sz w:val="28"/>
          <w:szCs w:val="28"/>
        </w:rPr>
      </w:pPr>
      <w:r>
        <w:rPr>
          <w:rFonts w:hint="eastAsia" w:ascii="仿宋_GB2312" w:hAnsi="宋体" w:eastAsia="仿宋_GB2312" w:cs="宋体"/>
          <w:color w:val="000000" w:themeColor="text1"/>
          <w:sz w:val="28"/>
          <w:szCs w:val="28"/>
        </w:rPr>
        <w:t>根据估价委托人提供的《不动产权利及其他事项登记信息》，不动产权证书号为</w:t>
      </w:r>
      <w:r>
        <w:rPr>
          <w:rFonts w:hint="eastAsia" w:ascii="仿宋_GB2312" w:hAnsi="宋体" w:eastAsia="仿宋_GB2312" w:cs="宋体"/>
          <w:color w:val="000000" w:themeColor="text1"/>
          <w:sz w:val="28"/>
          <w:szCs w:val="28"/>
          <w:lang w:eastAsia="zh-CN"/>
        </w:rPr>
        <w:t>530052161</w:t>
      </w:r>
      <w:r>
        <w:rPr>
          <w:rFonts w:hint="eastAsia" w:ascii="仿宋_GB2312" w:hAnsi="宋体" w:eastAsia="仿宋_GB2312" w:cs="宋体"/>
          <w:color w:val="000000" w:themeColor="text1"/>
          <w:sz w:val="28"/>
          <w:szCs w:val="28"/>
        </w:rPr>
        <w:t>，不动产单元号为</w:t>
      </w:r>
      <w:r>
        <w:rPr>
          <w:rFonts w:hint="eastAsia" w:ascii="仿宋_GB2312" w:hAnsi="宋体" w:eastAsia="仿宋_GB2312" w:cs="宋体"/>
          <w:color w:val="000000" w:themeColor="text1"/>
          <w:sz w:val="28"/>
          <w:szCs w:val="28"/>
          <w:lang w:eastAsia="zh-CN"/>
        </w:rPr>
        <w:t>130108008001GB00002F00360227</w:t>
      </w:r>
      <w:r>
        <w:rPr>
          <w:rFonts w:hint="eastAsia" w:ascii="仿宋_GB2312" w:hAnsi="宋体" w:eastAsia="仿宋_GB2312" w:cs="宋体"/>
          <w:color w:val="000000" w:themeColor="text1"/>
          <w:sz w:val="28"/>
          <w:szCs w:val="28"/>
        </w:rPr>
        <w:t>,房屋所有权人为</w:t>
      </w:r>
      <w:r>
        <w:rPr>
          <w:rFonts w:hint="eastAsia" w:ascii="仿宋_GB2312" w:hAnsi="宋体" w:eastAsia="仿宋_GB2312" w:cs="宋体"/>
          <w:color w:val="000000" w:themeColor="text1"/>
          <w:sz w:val="28"/>
          <w:szCs w:val="28"/>
          <w:lang w:eastAsia="zh-CN"/>
        </w:rPr>
        <w:t>白雪梅</w:t>
      </w:r>
      <w:r>
        <w:rPr>
          <w:rFonts w:hint="eastAsia" w:ascii="仿宋_GB2312" w:hAnsi="宋体" w:eastAsia="仿宋_GB2312" w:cs="宋体"/>
          <w:color w:val="000000" w:themeColor="text1"/>
          <w:sz w:val="28"/>
          <w:szCs w:val="28"/>
        </w:rPr>
        <w:t>，房屋共有情况为单独所有，房屋</w:t>
      </w:r>
      <w:r>
        <w:rPr>
          <w:rFonts w:hint="eastAsia" w:ascii="仿宋_GB2312" w:eastAsia="仿宋_GB2312"/>
          <w:color w:val="000000" w:themeColor="text1"/>
          <w:sz w:val="28"/>
          <w:szCs w:val="28"/>
        </w:rPr>
        <w:t>坐落</w:t>
      </w:r>
      <w:r>
        <w:rPr>
          <w:rFonts w:hint="eastAsia" w:ascii="仿宋_GB2312" w:hAnsi="宋体" w:eastAsia="仿宋_GB2312" w:cs="宋体"/>
          <w:color w:val="000000" w:themeColor="text1"/>
          <w:sz w:val="28"/>
          <w:szCs w:val="28"/>
          <w:lang w:eastAsia="zh-CN"/>
        </w:rPr>
        <w:t>石家庄市裕华区神兴二期12-B-604</w:t>
      </w:r>
      <w:r>
        <w:rPr>
          <w:rFonts w:hint="eastAsia" w:ascii="仿宋_GB2312" w:eastAsia="仿宋_GB2312"/>
          <w:color w:val="000000" w:themeColor="text1"/>
          <w:sz w:val="28"/>
          <w:szCs w:val="28"/>
        </w:rPr>
        <w:t>，</w:t>
      </w:r>
      <w:r>
        <w:rPr>
          <w:rFonts w:hint="eastAsia" w:ascii="仿宋_GB2312" w:eastAsia="仿宋_GB2312"/>
          <w:color w:val="000000" w:themeColor="text1"/>
          <w:sz w:val="28"/>
          <w:szCs w:val="28"/>
          <w:lang w:eastAsia="zh-CN"/>
        </w:rPr>
        <w:t>混合</w:t>
      </w:r>
      <w:r>
        <w:rPr>
          <w:rFonts w:hint="eastAsia" w:ascii="仿宋_GB2312" w:eastAsia="仿宋_GB2312"/>
          <w:color w:val="000000" w:themeColor="text1"/>
          <w:sz w:val="28"/>
          <w:szCs w:val="28"/>
        </w:rPr>
        <w:t>结构，用途为住宅，房屋总层数为</w:t>
      </w:r>
      <w:r>
        <w:rPr>
          <w:rFonts w:hint="eastAsia" w:ascii="仿宋_GB2312" w:eastAsia="仿宋_GB2312"/>
          <w:color w:val="000000" w:themeColor="text1"/>
          <w:sz w:val="28"/>
          <w:szCs w:val="28"/>
          <w:lang w:val="en-US" w:eastAsia="zh-CN"/>
        </w:rPr>
        <w:t>8</w:t>
      </w:r>
      <w:r>
        <w:rPr>
          <w:rFonts w:hint="eastAsia" w:ascii="仿宋_GB2312" w:eastAsia="仿宋_GB2312"/>
          <w:color w:val="000000" w:themeColor="text1"/>
          <w:sz w:val="28"/>
          <w:szCs w:val="28"/>
        </w:rPr>
        <w:t>层（地上</w:t>
      </w:r>
      <w:r>
        <w:rPr>
          <w:rFonts w:hint="eastAsia" w:ascii="仿宋_GB2312" w:eastAsia="仿宋_GB2312"/>
          <w:color w:val="000000" w:themeColor="text1"/>
          <w:sz w:val="28"/>
          <w:szCs w:val="28"/>
          <w:lang w:val="en-US" w:eastAsia="zh-CN"/>
        </w:rPr>
        <w:t>7</w:t>
      </w:r>
      <w:r>
        <w:rPr>
          <w:rFonts w:hint="eastAsia" w:ascii="仿宋_GB2312" w:eastAsia="仿宋_GB2312"/>
          <w:color w:val="000000" w:themeColor="text1"/>
          <w:sz w:val="28"/>
          <w:szCs w:val="28"/>
        </w:rPr>
        <w:t>层，地下1层），房屋建筑面积为</w:t>
      </w:r>
      <w:r>
        <w:rPr>
          <w:rFonts w:hint="eastAsia" w:ascii="仿宋_GB2312" w:eastAsia="仿宋_GB2312"/>
          <w:color w:val="000000" w:themeColor="text1"/>
          <w:sz w:val="28"/>
          <w:szCs w:val="28"/>
          <w:lang w:eastAsia="zh-CN"/>
        </w:rPr>
        <w:t>148.31</w:t>
      </w:r>
      <w:r>
        <w:rPr>
          <w:rFonts w:hint="eastAsia" w:ascii="仿宋_GB2312" w:eastAsia="仿宋_GB2312"/>
          <w:color w:val="000000" w:themeColor="text1"/>
          <w:sz w:val="28"/>
          <w:szCs w:val="28"/>
        </w:rPr>
        <w:t>平方米</w:t>
      </w:r>
      <w:r>
        <w:rPr>
          <w:rFonts w:hint="eastAsia" w:ascii="仿宋_GB2312" w:eastAsia="仿宋_GB2312"/>
          <w:color w:val="000000" w:themeColor="text1"/>
          <w:sz w:val="28"/>
          <w:szCs w:val="28"/>
          <w:lang w:eastAsia="zh-CN"/>
        </w:rPr>
        <w:t>，</w:t>
      </w:r>
      <w:r>
        <w:rPr>
          <w:rFonts w:hint="eastAsia" w:ascii="仿宋_GB2312" w:eastAsia="仿宋_GB2312"/>
          <w:color w:val="000000" w:themeColor="text1"/>
          <w:sz w:val="28"/>
          <w:szCs w:val="28"/>
          <w:lang w:val="en-US" w:eastAsia="zh-CN"/>
        </w:rPr>
        <w:t>混合结构，竣工时间2002年01月01日</w:t>
      </w:r>
      <w:r>
        <w:rPr>
          <w:rFonts w:hint="eastAsia" w:ascii="仿宋_GB2312" w:eastAsia="仿宋_GB2312"/>
          <w:bCs/>
          <w:caps/>
          <w:color w:val="000000" w:themeColor="text1"/>
          <w:sz w:val="28"/>
          <w:szCs w:val="28"/>
        </w:rPr>
        <w:t>。</w:t>
      </w:r>
    </w:p>
    <w:p>
      <w:pPr>
        <w:ind w:firstLine="560" w:firstLineChars="200"/>
        <w:rPr>
          <w:rFonts w:hint="eastAsia" w:ascii="仿宋_GB2312" w:eastAsia="仿宋_GB2312"/>
          <w:bCs/>
          <w:caps/>
          <w:color w:val="000000" w:themeColor="text1"/>
          <w:sz w:val="28"/>
          <w:szCs w:val="28"/>
        </w:rPr>
      </w:pPr>
      <w:r>
        <w:rPr>
          <w:rFonts w:hint="eastAsia" w:ascii="仿宋_GB2312" w:eastAsia="仿宋_GB2312"/>
          <w:bCs/>
          <w:caps/>
          <w:color w:val="000000" w:themeColor="text1"/>
          <w:sz w:val="28"/>
          <w:szCs w:val="28"/>
        </w:rPr>
        <w:t>估价委托人仅提供了估价对象的《不动产权利及其他事项登记信息》复印件，登记用途为住宅，未提供《不动产权证书》等权属证明资料，本次估价假设其建筑物占用范围内的土地用途为住宅，使用权类型为国有出让用地。</w:t>
      </w:r>
    </w:p>
    <w:bookmarkEnd w:id="74"/>
    <w:bookmarkEnd w:id="82"/>
    <w:bookmarkEnd w:id="83"/>
    <w:bookmarkEnd w:id="84"/>
    <w:bookmarkEnd w:id="85"/>
    <w:p>
      <w:pPr>
        <w:adjustRightInd w:val="0"/>
        <w:snapToGrid w:val="0"/>
        <w:spacing w:line="580" w:lineRule="exact"/>
        <w:ind w:firstLine="560" w:firstLineChars="200"/>
        <w:rPr>
          <w:rFonts w:ascii="仿宋_GB2312" w:eastAsia="仿宋_GB2312"/>
          <w:color w:val="000000" w:themeColor="text1"/>
          <w:sz w:val="28"/>
          <w:szCs w:val="28"/>
        </w:rPr>
      </w:pPr>
      <w:bookmarkStart w:id="86" w:name="_Toc432411974"/>
      <w:bookmarkStart w:id="87" w:name="_Toc382493624"/>
      <w:bookmarkStart w:id="88" w:name="_Toc155258967"/>
      <w:r>
        <w:rPr>
          <w:rFonts w:hint="eastAsia" w:ascii="仿宋_GB2312" w:eastAsia="仿宋_GB2312"/>
          <w:color w:val="000000" w:themeColor="text1"/>
          <w:sz w:val="28"/>
          <w:szCs w:val="28"/>
        </w:rPr>
        <w:t>（2）他项权利状况</w:t>
      </w:r>
    </w:p>
    <w:p>
      <w:pPr>
        <w:adjustRightInd w:val="0"/>
        <w:snapToGrid w:val="0"/>
        <w:spacing w:line="580" w:lineRule="exact"/>
        <w:ind w:firstLine="560" w:firstLineChars="200"/>
        <w:rPr>
          <w:rFonts w:ascii="仿宋_GB2312" w:eastAsia="仿宋_GB2312" w:cs="仿宋_GB2312"/>
          <w:color w:val="000000" w:themeColor="text1"/>
          <w:sz w:val="28"/>
          <w:szCs w:val="28"/>
        </w:rPr>
      </w:pPr>
      <w:r>
        <w:rPr>
          <w:rFonts w:hint="eastAsia" w:ascii="仿宋_GB2312" w:hAnsi="宋体" w:eastAsia="仿宋_GB2312" w:cs="仿宋_GB2312"/>
          <w:color w:val="000000" w:themeColor="text1"/>
          <w:sz w:val="28"/>
          <w:szCs w:val="28"/>
          <w:lang w:eastAsia="zh-CN" w:bidi="ar"/>
        </w:rPr>
        <w:t>《</w:t>
      </w:r>
      <w:r>
        <w:rPr>
          <w:rFonts w:hint="eastAsia" w:ascii="仿宋_GB2312" w:hAnsi="宋体" w:eastAsia="仿宋_GB2312" w:cs="仿宋_GB2312"/>
          <w:color w:val="000000" w:themeColor="text1"/>
          <w:sz w:val="28"/>
          <w:szCs w:val="28"/>
          <w:lang w:val="en-US" w:eastAsia="zh-CN" w:bidi="ar"/>
        </w:rPr>
        <w:t>石家庄市长安区人民法院执行裁定书</w:t>
      </w:r>
      <w:r>
        <w:rPr>
          <w:rFonts w:hint="eastAsia" w:ascii="仿宋_GB2312" w:hAnsi="宋体" w:eastAsia="仿宋_GB2312" w:cs="仿宋_GB2312"/>
          <w:color w:val="000000" w:themeColor="text1"/>
          <w:sz w:val="28"/>
          <w:szCs w:val="28"/>
          <w:lang w:eastAsia="zh-CN" w:bidi="ar"/>
        </w:rPr>
        <w:t>》、</w:t>
      </w:r>
      <w:r>
        <w:rPr>
          <w:rFonts w:hint="eastAsia" w:ascii="仿宋_GB2312" w:hAnsi="宋体" w:eastAsia="仿宋_GB2312" w:cs="仿宋_GB2312"/>
          <w:color w:val="000000" w:themeColor="text1"/>
          <w:sz w:val="28"/>
          <w:szCs w:val="28"/>
          <w:lang w:bidi="ar"/>
        </w:rPr>
        <w:t>《不动产权利及其他事项登记信息》显示估价对象</w:t>
      </w:r>
      <w:r>
        <w:rPr>
          <w:rFonts w:hint="eastAsia" w:ascii="仿宋_GB2312" w:eastAsia="仿宋_GB2312" w:cs="仿宋_GB2312"/>
          <w:color w:val="000000" w:themeColor="text1"/>
          <w:sz w:val="28"/>
          <w:szCs w:val="28"/>
          <w:lang w:bidi="ar"/>
        </w:rPr>
        <w:t>处于被查封状态</w:t>
      </w:r>
      <w:r>
        <w:rPr>
          <w:rFonts w:hint="eastAsia" w:ascii="仿宋_GB2312" w:eastAsia="仿宋_GB2312" w:cs="仿宋_GB2312"/>
          <w:color w:val="000000" w:themeColor="text1"/>
          <w:sz w:val="28"/>
          <w:szCs w:val="28"/>
          <w:lang w:val="en-US" w:eastAsia="zh-CN" w:bidi="ar"/>
        </w:rPr>
        <w:t>且存在抵押权</w:t>
      </w:r>
      <w:r>
        <w:rPr>
          <w:rFonts w:hint="eastAsia" w:ascii="仿宋_GB2312" w:eastAsia="仿宋_GB2312" w:cs="仿宋_GB2312"/>
          <w:color w:val="000000" w:themeColor="text1"/>
          <w:sz w:val="28"/>
          <w:szCs w:val="28"/>
          <w:lang w:bidi="ar"/>
        </w:rPr>
        <w:t>。</w:t>
      </w:r>
    </w:p>
    <w:p>
      <w:pPr>
        <w:adjustRightInd w:val="0"/>
        <w:snapToGrid w:val="0"/>
        <w:spacing w:line="580" w:lineRule="exact"/>
        <w:ind w:firstLine="560" w:firstLineChars="200"/>
        <w:rPr>
          <w:rFonts w:hint="eastAsia" w:ascii="仿宋_GB2312" w:hAnsi="宋体" w:eastAsia="仿宋_GB2312"/>
          <w:color w:val="000000" w:themeColor="text1"/>
          <w:sz w:val="28"/>
          <w:szCs w:val="28"/>
          <w:lang w:val="en-US" w:eastAsia="zh-CN"/>
        </w:rPr>
      </w:pPr>
      <w:r>
        <w:rPr>
          <w:rFonts w:hint="eastAsia" w:ascii="仿宋_GB2312" w:eastAsia="仿宋_GB2312"/>
          <w:color w:val="000000" w:themeColor="text1"/>
          <w:sz w:val="28"/>
          <w:szCs w:val="28"/>
        </w:rPr>
        <w:t>查封情况：</w:t>
      </w:r>
      <w:r>
        <w:rPr>
          <w:rFonts w:hint="eastAsia" w:ascii="仿宋_GB2312" w:hAnsi="宋体" w:eastAsia="仿宋_GB2312"/>
          <w:color w:val="000000" w:themeColor="text1"/>
          <w:sz w:val="28"/>
          <w:szCs w:val="28"/>
        </w:rPr>
        <w:t>查封机关为</w:t>
      </w:r>
      <w:r>
        <w:rPr>
          <w:rFonts w:hint="eastAsia" w:ascii="仿宋_GB2312" w:hAnsi="宋体" w:eastAsia="仿宋_GB2312"/>
          <w:color w:val="000000" w:themeColor="text1"/>
          <w:sz w:val="28"/>
          <w:szCs w:val="28"/>
          <w:lang w:eastAsia="zh-CN"/>
        </w:rPr>
        <w:t>石家庄市长安区人民法院</w:t>
      </w:r>
      <w:r>
        <w:rPr>
          <w:rFonts w:hint="eastAsia" w:ascii="仿宋_GB2312" w:hAnsi="宋体" w:eastAsia="仿宋_GB2312"/>
          <w:color w:val="000000" w:themeColor="text1"/>
          <w:sz w:val="28"/>
          <w:szCs w:val="28"/>
        </w:rPr>
        <w:t>，查封文件及文号（20</w:t>
      </w:r>
      <w:r>
        <w:rPr>
          <w:rFonts w:hint="eastAsia" w:ascii="仿宋_GB2312" w:hAnsi="宋体" w:eastAsia="仿宋_GB2312"/>
          <w:color w:val="000000" w:themeColor="text1"/>
          <w:sz w:val="28"/>
          <w:szCs w:val="28"/>
          <w:lang w:val="en-US" w:eastAsia="zh-CN"/>
        </w:rPr>
        <w:t>21</w:t>
      </w:r>
      <w:r>
        <w:rPr>
          <w:rFonts w:hint="eastAsia" w:ascii="仿宋_GB2312" w:hAnsi="宋体" w:eastAsia="仿宋_GB2312"/>
          <w:color w:val="000000" w:themeColor="text1"/>
          <w:sz w:val="28"/>
          <w:szCs w:val="28"/>
        </w:rPr>
        <w:t>）</w:t>
      </w:r>
      <w:r>
        <w:rPr>
          <w:rFonts w:hint="eastAsia" w:ascii="仿宋_GB2312" w:hAnsi="宋体" w:eastAsia="仿宋_GB2312"/>
          <w:color w:val="000000" w:themeColor="text1"/>
          <w:sz w:val="28"/>
          <w:szCs w:val="28"/>
          <w:lang w:val="en-US" w:eastAsia="zh-CN"/>
        </w:rPr>
        <w:t>冀</w:t>
      </w:r>
      <w:r>
        <w:rPr>
          <w:rFonts w:hint="eastAsia" w:ascii="仿宋_GB2312" w:hAnsi="宋体" w:eastAsia="仿宋_GB2312"/>
          <w:color w:val="000000" w:themeColor="text1"/>
          <w:sz w:val="28"/>
          <w:szCs w:val="28"/>
        </w:rPr>
        <w:t>010</w:t>
      </w:r>
      <w:r>
        <w:rPr>
          <w:rFonts w:hint="eastAsia" w:ascii="仿宋_GB2312" w:hAnsi="宋体" w:eastAsia="仿宋_GB2312"/>
          <w:color w:val="000000" w:themeColor="text1"/>
          <w:sz w:val="28"/>
          <w:szCs w:val="28"/>
          <w:lang w:val="en-US" w:eastAsia="zh-CN"/>
        </w:rPr>
        <w:t>2</w:t>
      </w:r>
      <w:r>
        <w:rPr>
          <w:rFonts w:hint="eastAsia" w:ascii="仿宋_GB2312" w:hAnsi="宋体" w:eastAsia="仿宋_GB2312"/>
          <w:color w:val="000000" w:themeColor="text1"/>
          <w:sz w:val="28"/>
          <w:szCs w:val="28"/>
        </w:rPr>
        <w:t>执</w:t>
      </w:r>
      <w:r>
        <w:rPr>
          <w:rFonts w:hint="eastAsia" w:ascii="仿宋_GB2312" w:hAnsi="宋体" w:eastAsia="仿宋_GB2312"/>
          <w:color w:val="000000" w:themeColor="text1"/>
          <w:sz w:val="28"/>
          <w:szCs w:val="28"/>
          <w:lang w:val="en-US" w:eastAsia="zh-CN"/>
        </w:rPr>
        <w:t>恢317</w:t>
      </w:r>
      <w:r>
        <w:rPr>
          <w:rFonts w:hint="eastAsia" w:ascii="仿宋_GB2312" w:hAnsi="宋体" w:eastAsia="仿宋_GB2312"/>
          <w:color w:val="000000" w:themeColor="text1"/>
          <w:sz w:val="28"/>
          <w:szCs w:val="28"/>
        </w:rPr>
        <w:t>号，</w:t>
      </w:r>
      <w:r>
        <w:rPr>
          <w:rFonts w:hint="eastAsia" w:ascii="仿宋_GB2312" w:hAnsi="宋体" w:eastAsia="仿宋_GB2312"/>
          <w:color w:val="000000" w:themeColor="text1"/>
          <w:sz w:val="28"/>
          <w:szCs w:val="28"/>
          <w:lang w:val="en-US" w:eastAsia="zh-CN"/>
        </w:rPr>
        <w:t>继续查封被执行人白雪梅名下坐落于石家庄市裕华区神兴二期12-B-604（现已更名为21-604）不动产（证号：530052161）。该房产首封法院衡水市桃城区人民法院于2019年10月31日作出（2018）冀1102执904号移送执行函，将该房产移送本院执行。</w:t>
      </w:r>
    </w:p>
    <w:p>
      <w:pPr>
        <w:adjustRightInd w:val="0"/>
        <w:snapToGrid w:val="0"/>
        <w:spacing w:line="580" w:lineRule="exact"/>
        <w:ind w:firstLine="560" w:firstLineChars="200"/>
        <w:rPr>
          <w:rFonts w:hint="default" w:ascii="仿宋_GB2312" w:hAnsi="宋体" w:eastAsia="仿宋_GB2312"/>
          <w:color w:val="000000" w:themeColor="text1"/>
          <w:sz w:val="28"/>
          <w:szCs w:val="28"/>
          <w:lang w:val="en-US" w:eastAsia="zh-CN"/>
        </w:rPr>
      </w:pPr>
      <w:r>
        <w:rPr>
          <w:rFonts w:hint="eastAsia" w:ascii="仿宋_GB2312" w:hAnsi="宋体" w:eastAsia="仿宋_GB2312"/>
          <w:color w:val="000000" w:themeColor="text1"/>
          <w:sz w:val="28"/>
          <w:szCs w:val="28"/>
          <w:lang w:val="en-US" w:eastAsia="zh-CN"/>
        </w:rPr>
        <w:t>抵押情况：抵押权人为平安普惠融资担保有限公司，抵押方式为最高额抵押，被担保债权数额为1826000元，债务履行期限为2017年03月21日起2022年03月20日止，不动产登记证明号冀（2017）石家庄不动产证明第0016330号，登记时间为2017年03月23日。</w:t>
      </w:r>
    </w:p>
    <w:p>
      <w:pPr>
        <w:adjustRightInd w:val="0"/>
        <w:snapToGrid w:val="0"/>
        <w:spacing w:line="58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根据本次估价目的，本次评估结果不考虑估价对象被查封以及原有的担保物权和其他优先受偿权的影响。</w:t>
      </w:r>
    </w:p>
    <w:p>
      <w:pPr>
        <w:numPr>
          <w:ilvl w:val="0"/>
          <w:numId w:val="4"/>
        </w:numPr>
        <w:adjustRightInd w:val="0"/>
        <w:snapToGrid w:val="0"/>
        <w:spacing w:line="58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估价对象区位状况</w:t>
      </w:r>
    </w:p>
    <w:p>
      <w:pPr>
        <w:snapToGrid w:val="0"/>
        <w:spacing w:line="580" w:lineRule="exact"/>
        <w:ind w:firstLine="560" w:firstLineChars="200"/>
        <w:rPr>
          <w:rFonts w:ascii="仿宋_GB2312" w:eastAsia="仿宋_GB2312"/>
          <w:color w:val="000000" w:themeColor="text1"/>
          <w:sz w:val="28"/>
          <w:szCs w:val="28"/>
        </w:rPr>
      </w:pPr>
      <w:r>
        <w:rPr>
          <w:rFonts w:hint="eastAsia" w:ascii="仿宋_GB2312" w:hAnsi="宋体" w:eastAsia="仿宋_GB2312" w:cs="宋体"/>
          <w:color w:val="000000" w:themeColor="text1"/>
          <w:sz w:val="28"/>
          <w:szCs w:val="28"/>
        </w:rPr>
        <w:t>估价对象位于</w:t>
      </w:r>
      <w:r>
        <w:rPr>
          <w:rFonts w:hint="eastAsia" w:ascii="仿宋_GB2312" w:hAnsi="宋体" w:eastAsia="仿宋_GB2312" w:cs="宋体"/>
          <w:color w:val="000000" w:themeColor="text1"/>
          <w:sz w:val="28"/>
          <w:szCs w:val="28"/>
          <w:lang w:val="en-US" w:eastAsia="zh-CN"/>
        </w:rPr>
        <w:t>石家庄市裕华区神兴二期</w:t>
      </w:r>
      <w:r>
        <w:rPr>
          <w:rFonts w:hint="eastAsia" w:ascii="仿宋_GB2312" w:hAnsi="宋体" w:eastAsia="仿宋_GB2312" w:cs="宋体"/>
          <w:color w:val="000000" w:themeColor="text1"/>
          <w:sz w:val="28"/>
          <w:szCs w:val="28"/>
        </w:rPr>
        <w:t>。估价对象</w:t>
      </w:r>
      <w:r>
        <w:rPr>
          <w:rFonts w:hint="eastAsia" w:ascii="仿宋_GB2312" w:hAnsi="宋体" w:eastAsia="仿宋_GB2312" w:cs="宋体"/>
          <w:color w:val="000000" w:themeColor="text1"/>
          <w:sz w:val="28"/>
          <w:szCs w:val="28"/>
          <w:lang w:val="en-US" w:eastAsia="zh-CN"/>
        </w:rPr>
        <w:t>北</w:t>
      </w:r>
      <w:r>
        <w:rPr>
          <w:rFonts w:hint="eastAsia" w:ascii="仿宋_GB2312" w:hAnsi="宋体" w:eastAsia="仿宋_GB2312" w:cs="宋体"/>
          <w:color w:val="000000" w:themeColor="text1"/>
          <w:sz w:val="28"/>
          <w:szCs w:val="28"/>
        </w:rPr>
        <w:t>临</w:t>
      </w:r>
      <w:r>
        <w:rPr>
          <w:rFonts w:hint="eastAsia" w:ascii="仿宋_GB2312" w:hAnsi="宋体" w:eastAsia="仿宋_GB2312" w:cs="宋体"/>
          <w:color w:val="000000" w:themeColor="text1"/>
          <w:sz w:val="28"/>
          <w:szCs w:val="28"/>
          <w:lang w:val="en-US" w:eastAsia="zh-CN"/>
        </w:rPr>
        <w:t>东岗</w:t>
      </w:r>
      <w:r>
        <w:rPr>
          <w:rFonts w:hint="eastAsia" w:ascii="仿宋_GB2312" w:hAnsi="宋体" w:eastAsia="仿宋_GB2312" w:cs="宋体"/>
          <w:color w:val="000000" w:themeColor="text1"/>
          <w:sz w:val="28"/>
          <w:szCs w:val="28"/>
        </w:rPr>
        <w:t>路，交通条件较好；附近</w:t>
      </w:r>
      <w:r>
        <w:rPr>
          <w:rFonts w:hint="eastAsia" w:ascii="仿宋_GB2312" w:hAnsi="宋体" w:eastAsia="仿宋_GB2312" w:cs="宋体"/>
          <w:color w:val="000000" w:themeColor="text1"/>
          <w:sz w:val="28"/>
          <w:szCs w:val="28"/>
          <w:lang w:val="en-US" w:eastAsia="zh-CN"/>
        </w:rPr>
        <w:t>有6</w:t>
      </w:r>
      <w:r>
        <w:rPr>
          <w:rFonts w:hint="eastAsia" w:ascii="仿宋_GB2312" w:hAnsi="宋体" w:eastAsia="仿宋_GB2312" w:cs="宋体"/>
          <w:color w:val="000000" w:themeColor="text1"/>
          <w:sz w:val="28"/>
          <w:szCs w:val="28"/>
        </w:rPr>
        <w:t>路;</w:t>
      </w:r>
      <w:r>
        <w:rPr>
          <w:rFonts w:hint="eastAsia" w:ascii="仿宋_GB2312" w:hAnsi="宋体" w:eastAsia="仿宋_GB2312" w:cs="宋体"/>
          <w:color w:val="000000" w:themeColor="text1"/>
          <w:sz w:val="28"/>
          <w:szCs w:val="28"/>
          <w:lang w:val="en-US" w:eastAsia="zh-CN"/>
        </w:rPr>
        <w:t>33</w:t>
      </w:r>
      <w:r>
        <w:rPr>
          <w:rFonts w:hint="eastAsia" w:ascii="仿宋_GB2312" w:hAnsi="宋体" w:eastAsia="仿宋_GB2312" w:cs="宋体"/>
          <w:color w:val="000000" w:themeColor="text1"/>
          <w:sz w:val="28"/>
          <w:szCs w:val="28"/>
        </w:rPr>
        <w:t>路;</w:t>
      </w:r>
      <w:r>
        <w:rPr>
          <w:rFonts w:hint="eastAsia" w:ascii="仿宋_GB2312" w:hAnsi="宋体" w:eastAsia="仿宋_GB2312" w:cs="宋体"/>
          <w:color w:val="000000" w:themeColor="text1"/>
          <w:sz w:val="28"/>
          <w:szCs w:val="28"/>
          <w:lang w:val="en-US" w:eastAsia="zh-CN"/>
        </w:rPr>
        <w:t>79</w:t>
      </w:r>
      <w:r>
        <w:rPr>
          <w:rFonts w:hint="eastAsia" w:ascii="仿宋_GB2312" w:hAnsi="宋体" w:eastAsia="仿宋_GB2312" w:cs="宋体"/>
          <w:color w:val="000000" w:themeColor="text1"/>
          <w:sz w:val="28"/>
          <w:szCs w:val="28"/>
        </w:rPr>
        <w:t>路;</w:t>
      </w:r>
      <w:r>
        <w:rPr>
          <w:rFonts w:hint="eastAsia" w:ascii="仿宋_GB2312" w:hAnsi="宋体" w:eastAsia="仿宋_GB2312" w:cs="宋体"/>
          <w:color w:val="000000" w:themeColor="text1"/>
          <w:sz w:val="28"/>
          <w:szCs w:val="28"/>
          <w:lang w:val="en-US" w:eastAsia="zh-CN"/>
        </w:rPr>
        <w:t>12</w:t>
      </w:r>
      <w:r>
        <w:rPr>
          <w:rFonts w:hint="eastAsia" w:ascii="仿宋_GB2312" w:hAnsi="宋体" w:eastAsia="仿宋_GB2312" w:cs="宋体"/>
          <w:color w:val="000000" w:themeColor="text1"/>
          <w:sz w:val="28"/>
          <w:szCs w:val="28"/>
        </w:rPr>
        <w:t>路;</w:t>
      </w:r>
      <w:r>
        <w:rPr>
          <w:rFonts w:hint="eastAsia" w:ascii="仿宋_GB2312" w:hAnsi="宋体" w:eastAsia="仿宋_GB2312" w:cs="宋体"/>
          <w:color w:val="000000" w:themeColor="text1"/>
          <w:sz w:val="28"/>
          <w:szCs w:val="28"/>
          <w:lang w:val="en-US" w:eastAsia="zh-CN"/>
        </w:rPr>
        <w:t>43</w:t>
      </w:r>
      <w:r>
        <w:rPr>
          <w:rFonts w:hint="eastAsia" w:ascii="仿宋_GB2312" w:hAnsi="宋体" w:eastAsia="仿宋_GB2312" w:cs="宋体"/>
          <w:color w:val="000000" w:themeColor="text1"/>
          <w:sz w:val="28"/>
          <w:szCs w:val="28"/>
        </w:rPr>
        <w:t>路;</w:t>
      </w:r>
      <w:r>
        <w:rPr>
          <w:rFonts w:hint="eastAsia" w:ascii="仿宋_GB2312" w:hAnsi="宋体" w:eastAsia="仿宋_GB2312" w:cs="宋体"/>
          <w:color w:val="000000" w:themeColor="text1"/>
          <w:sz w:val="28"/>
          <w:szCs w:val="28"/>
          <w:lang w:val="en-US" w:eastAsia="zh-CN"/>
        </w:rPr>
        <w:t>60</w:t>
      </w:r>
      <w:r>
        <w:rPr>
          <w:rFonts w:hint="eastAsia" w:ascii="仿宋_GB2312" w:hAnsi="宋体" w:eastAsia="仿宋_GB2312" w:cs="宋体"/>
          <w:color w:val="000000" w:themeColor="text1"/>
          <w:sz w:val="28"/>
          <w:szCs w:val="28"/>
        </w:rPr>
        <w:t>路;</w:t>
      </w:r>
      <w:r>
        <w:rPr>
          <w:rFonts w:hint="eastAsia" w:ascii="仿宋_GB2312" w:hAnsi="宋体" w:eastAsia="仿宋_GB2312" w:cs="宋体"/>
          <w:color w:val="000000" w:themeColor="text1"/>
          <w:sz w:val="28"/>
          <w:szCs w:val="28"/>
          <w:lang w:val="en-US" w:eastAsia="zh-CN"/>
        </w:rPr>
        <w:t>82</w:t>
      </w:r>
      <w:r>
        <w:rPr>
          <w:rFonts w:hint="eastAsia" w:ascii="仿宋_GB2312" w:hAnsi="宋体" w:eastAsia="仿宋_GB2312" w:cs="宋体"/>
          <w:color w:val="000000" w:themeColor="text1"/>
          <w:sz w:val="28"/>
          <w:szCs w:val="28"/>
        </w:rPr>
        <w:t>路;</w:t>
      </w:r>
      <w:r>
        <w:rPr>
          <w:rFonts w:hint="eastAsia" w:ascii="仿宋_GB2312" w:hAnsi="宋体" w:eastAsia="仿宋_GB2312" w:cs="宋体"/>
          <w:color w:val="000000" w:themeColor="text1"/>
          <w:sz w:val="28"/>
          <w:szCs w:val="28"/>
          <w:lang w:val="en-US" w:eastAsia="zh-CN"/>
        </w:rPr>
        <w:t>56</w:t>
      </w:r>
      <w:r>
        <w:rPr>
          <w:rFonts w:hint="eastAsia" w:ascii="仿宋_GB2312" w:hAnsi="宋体" w:eastAsia="仿宋_GB2312" w:cs="宋体"/>
          <w:color w:val="000000" w:themeColor="text1"/>
          <w:sz w:val="28"/>
          <w:szCs w:val="28"/>
        </w:rPr>
        <w:t>路公交站点，公共交通便捷度好；周边有新天地自然康城、小马新村、藏龙福地、尚东绿洲等居住小区，住宅聚集度高；小区附近有神兴小学、石家庄市第四十四中学、河北银行、河北医科大学第一医院等，公共服务设施完善，生活便利；周边</w:t>
      </w:r>
      <w:r>
        <w:rPr>
          <w:rFonts w:hint="eastAsia" w:ascii="仿宋_GB2312" w:hAnsi="宋体" w:eastAsia="仿宋_GB2312" w:cs="宋体"/>
          <w:color w:val="000000" w:themeColor="text1"/>
          <w:sz w:val="28"/>
          <w:szCs w:val="28"/>
          <w:lang w:val="en-US" w:eastAsia="zh-CN"/>
        </w:rPr>
        <w:t>有丁香园</w:t>
      </w:r>
      <w:r>
        <w:rPr>
          <w:rFonts w:hint="eastAsia" w:ascii="仿宋_GB2312" w:hAnsi="宋体" w:eastAsia="仿宋_GB2312" w:cs="宋体"/>
          <w:color w:val="000000" w:themeColor="text1"/>
          <w:sz w:val="28"/>
          <w:szCs w:val="28"/>
        </w:rPr>
        <w:t>，环境和景观</w:t>
      </w:r>
      <w:r>
        <w:rPr>
          <w:rFonts w:hint="eastAsia" w:ascii="仿宋_GB2312" w:hAnsi="宋体" w:eastAsia="仿宋_GB2312" w:cs="宋体"/>
          <w:color w:val="000000" w:themeColor="text1"/>
          <w:sz w:val="28"/>
          <w:szCs w:val="28"/>
          <w:lang w:val="en-US" w:eastAsia="zh-CN"/>
        </w:rPr>
        <w:t>较好</w:t>
      </w:r>
      <w:r>
        <w:rPr>
          <w:rFonts w:hint="eastAsia" w:ascii="仿宋_GB2312" w:hAnsi="宋体" w:eastAsia="仿宋_GB2312" w:cs="宋体"/>
          <w:color w:val="000000" w:themeColor="text1"/>
          <w:sz w:val="28"/>
          <w:szCs w:val="28"/>
        </w:rPr>
        <w:t>。</w:t>
      </w:r>
    </w:p>
    <w:p>
      <w:pPr>
        <w:adjustRightInd w:val="0"/>
        <w:snapToGrid w:val="0"/>
        <w:spacing w:line="580" w:lineRule="exact"/>
        <w:ind w:firstLine="560" w:firstLineChars="200"/>
        <w:jc w:val="left"/>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估价对象位置图：</w:t>
      </w:r>
    </w:p>
    <w:p>
      <w:pPr>
        <w:adjustRightInd w:val="0"/>
        <w:snapToGrid w:val="0"/>
        <w:spacing w:line="540" w:lineRule="exact"/>
        <w:ind w:firstLine="420" w:firstLineChars="200"/>
        <w:jc w:val="left"/>
        <w:rPr>
          <w:rFonts w:ascii="仿宋_GB2312" w:eastAsia="仿宋_GB2312"/>
          <w:b/>
          <w:color w:val="000000" w:themeColor="text1"/>
          <w:sz w:val="28"/>
          <w:szCs w:val="28"/>
        </w:rPr>
      </w:pPr>
      <w:bookmarkStart w:id="89" w:name="_Toc14976"/>
      <w:bookmarkStart w:id="90" w:name="_Toc28345"/>
      <w:bookmarkStart w:id="91" w:name="_Toc16550"/>
      <w:r>
        <w:drawing>
          <wp:anchor distT="0" distB="0" distL="114300" distR="114300" simplePos="0" relativeHeight="251666432" behindDoc="0" locked="0" layoutInCell="1" allowOverlap="1">
            <wp:simplePos x="0" y="0"/>
            <wp:positionH relativeFrom="column">
              <wp:posOffset>-135255</wp:posOffset>
            </wp:positionH>
            <wp:positionV relativeFrom="paragraph">
              <wp:posOffset>149860</wp:posOffset>
            </wp:positionV>
            <wp:extent cx="5669280" cy="3810000"/>
            <wp:effectExtent l="0" t="0" r="762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669280" cy="3810000"/>
                    </a:xfrm>
                    <a:prstGeom prst="rect">
                      <a:avLst/>
                    </a:prstGeom>
                    <a:noFill/>
                    <a:ln w="9525">
                      <a:noFill/>
                    </a:ln>
                  </pic:spPr>
                </pic:pic>
              </a:graphicData>
            </a:graphic>
          </wp:anchor>
        </w:drawing>
      </w:r>
      <w:r>
        <w:rPr>
          <w:rFonts w:hint="eastAsia" w:ascii="仿宋_GB2312" w:eastAsia="仿宋_GB2312"/>
          <w:b/>
          <w:color w:val="000000" w:themeColor="text1"/>
          <w:sz w:val="28"/>
          <w:szCs w:val="28"/>
        </w:rPr>
        <w:t>五、价值时点</w:t>
      </w:r>
      <w:bookmarkEnd w:id="86"/>
      <w:bookmarkEnd w:id="87"/>
      <w:r>
        <w:rPr>
          <w:rFonts w:ascii="仿宋_GB2312" w:eastAsia="仿宋_GB2312"/>
          <w:b/>
          <w:color w:val="000000" w:themeColor="text1"/>
          <w:sz w:val="28"/>
          <w:szCs w:val="28"/>
        </w:rPr>
        <w:fldChar w:fldCharType="begin"/>
      </w:r>
      <w:r>
        <w:rPr>
          <w:rFonts w:ascii="仿宋_GB2312" w:eastAsia="仿宋_GB2312"/>
          <w:b/>
          <w:color w:val="000000" w:themeColor="text1"/>
          <w:sz w:val="28"/>
          <w:szCs w:val="28"/>
        </w:rPr>
        <w:instrText xml:space="preserve"> TC "</w:instrText>
      </w:r>
      <w:bookmarkStart w:id="92" w:name="_Toc288212022"/>
      <w:bookmarkStart w:id="93" w:name="_Toc289260253"/>
      <w:r>
        <w:rPr>
          <w:rFonts w:hint="eastAsia" w:ascii="仿宋_GB2312" w:eastAsia="仿宋_GB2312"/>
          <w:b/>
          <w:color w:val="000000" w:themeColor="text1"/>
          <w:sz w:val="28"/>
          <w:szCs w:val="28"/>
        </w:rPr>
        <w:instrText xml:space="preserve">5、估价时点</w:instrText>
      </w:r>
      <w:bookmarkEnd w:id="92"/>
      <w:bookmarkEnd w:id="93"/>
      <w:r>
        <w:rPr>
          <w:rFonts w:ascii="仿宋_GB2312" w:eastAsia="仿宋_GB2312"/>
          <w:b/>
          <w:color w:val="000000" w:themeColor="text1"/>
          <w:sz w:val="28"/>
          <w:szCs w:val="28"/>
        </w:rPr>
        <w:instrText xml:space="preserve">" \f C \l "2"</w:instrText>
      </w:r>
      <w:r>
        <w:rPr>
          <w:rFonts w:ascii="仿宋_GB2312" w:eastAsia="仿宋_GB2312"/>
          <w:b/>
          <w:color w:val="000000" w:themeColor="text1"/>
          <w:sz w:val="28"/>
          <w:szCs w:val="28"/>
        </w:rPr>
        <w:fldChar w:fldCharType="end"/>
      </w:r>
      <w:bookmarkEnd w:id="89"/>
      <w:bookmarkEnd w:id="90"/>
      <w:bookmarkEnd w:id="91"/>
    </w:p>
    <w:p>
      <w:pPr>
        <w:tabs>
          <w:tab w:val="left" w:pos="1212"/>
        </w:tabs>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lang w:val="en-US" w:eastAsia="zh-CN"/>
        </w:rPr>
        <w:t>鉴定委托书</w:t>
      </w:r>
      <w:r>
        <w:rPr>
          <w:rFonts w:hint="eastAsia" w:ascii="仿宋_GB2312" w:eastAsia="仿宋_GB2312"/>
          <w:color w:val="000000" w:themeColor="text1"/>
          <w:sz w:val="28"/>
          <w:szCs w:val="28"/>
        </w:rPr>
        <w:t>未约定价值时点，本次估价以实地查勘日期为价值时点，即</w:t>
      </w:r>
      <w:r>
        <w:rPr>
          <w:rFonts w:hint="eastAsia" w:ascii="仿宋_GB2312" w:eastAsia="仿宋_GB2312"/>
          <w:color w:val="000000" w:themeColor="text1"/>
          <w:sz w:val="28"/>
          <w:szCs w:val="28"/>
          <w:lang w:eastAsia="zh-CN"/>
        </w:rPr>
        <w:t>2021年9月10日</w:t>
      </w:r>
      <w:r>
        <w:rPr>
          <w:rFonts w:hint="eastAsia" w:ascii="仿宋_GB2312" w:eastAsia="仿宋_GB2312"/>
          <w:color w:val="000000" w:themeColor="text1"/>
          <w:sz w:val="28"/>
          <w:szCs w:val="28"/>
        </w:rPr>
        <w:t>。</w:t>
      </w:r>
    </w:p>
    <w:p>
      <w:pPr>
        <w:pStyle w:val="3"/>
        <w:keepNext w:val="0"/>
        <w:keepLines w:val="0"/>
        <w:snapToGrid w:val="0"/>
        <w:spacing w:before="0" w:after="0" w:line="560" w:lineRule="exact"/>
        <w:ind w:firstLine="562" w:firstLineChars="200"/>
        <w:rPr>
          <w:rFonts w:ascii="仿宋_GB2312" w:hAnsi="Times New Roman" w:eastAsia="仿宋_GB2312"/>
          <w:color w:val="000000" w:themeColor="text1"/>
          <w:sz w:val="28"/>
          <w:szCs w:val="28"/>
        </w:rPr>
      </w:pPr>
      <w:bookmarkStart w:id="94" w:name="_Toc19323"/>
      <w:bookmarkStart w:id="95" w:name="_Toc9635"/>
      <w:bookmarkStart w:id="96" w:name="_Toc22725"/>
      <w:bookmarkStart w:id="97" w:name="_Toc382493625"/>
      <w:bookmarkStart w:id="98" w:name="_Toc432411975"/>
      <w:r>
        <w:rPr>
          <w:rFonts w:hint="eastAsia" w:ascii="仿宋_GB2312" w:hAnsi="Times New Roman" w:eastAsia="仿宋_GB2312"/>
          <w:color w:val="000000" w:themeColor="text1"/>
          <w:sz w:val="28"/>
          <w:szCs w:val="28"/>
        </w:rPr>
        <w:t>六、价值类型</w:t>
      </w:r>
      <w:bookmarkEnd w:id="94"/>
      <w:bookmarkEnd w:id="95"/>
      <w:bookmarkEnd w:id="96"/>
      <w:bookmarkEnd w:id="97"/>
      <w:bookmarkEnd w:id="98"/>
    </w:p>
    <w:bookmarkEnd w:id="88"/>
    <w:p>
      <w:pPr>
        <w:spacing w:line="560" w:lineRule="exact"/>
        <w:ind w:firstLine="560" w:firstLineChars="200"/>
        <w:rPr>
          <w:rFonts w:ascii="仿宋_GB2312" w:hAnsi="仿宋_GB2312" w:eastAsia="仿宋_GB2312" w:cs="仿宋_GB2312"/>
          <w:color w:val="000000" w:themeColor="text1"/>
          <w:kern w:val="0"/>
          <w:sz w:val="28"/>
          <w:szCs w:val="28"/>
        </w:rPr>
      </w:pPr>
      <w:r>
        <w:rPr>
          <w:rFonts w:hint="eastAsia" w:ascii="仿宋_GB2312" w:hAnsi="仿宋_GB2312" w:eastAsia="仿宋_GB2312" w:cs="仿宋_GB2312"/>
          <w:color w:val="000000" w:themeColor="text1"/>
          <w:kern w:val="0"/>
          <w:sz w:val="28"/>
          <w:szCs w:val="28"/>
        </w:rPr>
        <w:t>1.价值类型名称</w:t>
      </w:r>
    </w:p>
    <w:p>
      <w:pPr>
        <w:spacing w:line="560" w:lineRule="exact"/>
        <w:ind w:firstLine="560" w:firstLineChars="200"/>
        <w:rPr>
          <w:rFonts w:ascii="仿宋_GB2312" w:hAnsi="仿宋_GB2312" w:eastAsia="仿宋_GB2312" w:cs="仿宋_GB2312"/>
          <w:color w:val="000000" w:themeColor="text1"/>
          <w:kern w:val="0"/>
          <w:sz w:val="28"/>
          <w:szCs w:val="28"/>
        </w:rPr>
      </w:pPr>
      <w:r>
        <w:rPr>
          <w:rFonts w:hint="eastAsia" w:ascii="仿宋_GB2312" w:hAnsi="仿宋_GB2312" w:eastAsia="仿宋_GB2312" w:cs="仿宋_GB2312"/>
          <w:color w:val="000000" w:themeColor="text1"/>
          <w:kern w:val="0"/>
          <w:sz w:val="28"/>
          <w:szCs w:val="28"/>
        </w:rPr>
        <w:t>本次估价的价值类型为市场价值。</w:t>
      </w:r>
    </w:p>
    <w:p>
      <w:pPr>
        <w:spacing w:line="560" w:lineRule="exact"/>
        <w:ind w:firstLine="560" w:firstLineChars="200"/>
        <w:rPr>
          <w:rFonts w:ascii="仿宋_GB2312" w:hAnsi="仿宋_GB2312" w:eastAsia="仿宋_GB2312" w:cs="仿宋_GB2312"/>
          <w:color w:val="000000" w:themeColor="text1"/>
          <w:kern w:val="0"/>
          <w:sz w:val="28"/>
          <w:szCs w:val="28"/>
        </w:rPr>
      </w:pPr>
      <w:r>
        <w:rPr>
          <w:rFonts w:hint="eastAsia" w:ascii="仿宋_GB2312" w:hAnsi="仿宋_GB2312" w:eastAsia="仿宋_GB2312" w:cs="仿宋_GB2312"/>
          <w:color w:val="000000" w:themeColor="text1"/>
          <w:kern w:val="0"/>
          <w:sz w:val="28"/>
          <w:szCs w:val="28"/>
        </w:rPr>
        <w:t>2.价值定义</w:t>
      </w:r>
    </w:p>
    <w:p>
      <w:pPr>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市场价值是指估价对象经适当营销后，由熟悉情况、谨慎行事且不受强迫的交易双方，以公平交易方式在价值时点自愿进行交易的金额。</w:t>
      </w:r>
    </w:p>
    <w:p>
      <w:pPr>
        <w:pStyle w:val="3"/>
        <w:snapToGrid w:val="0"/>
        <w:spacing w:before="0" w:after="0" w:line="560" w:lineRule="exact"/>
        <w:ind w:firstLine="562" w:firstLineChars="200"/>
        <w:rPr>
          <w:rFonts w:ascii="仿宋_GB2312" w:hAnsi="Times New Roman" w:eastAsia="仿宋_GB2312"/>
          <w:color w:val="000000" w:themeColor="text1"/>
          <w:sz w:val="28"/>
          <w:szCs w:val="28"/>
        </w:rPr>
      </w:pPr>
      <w:bookmarkStart w:id="99" w:name="_Toc432411976"/>
      <w:bookmarkStart w:id="100" w:name="_Toc382493627"/>
      <w:bookmarkStart w:id="101" w:name="_Toc155258970"/>
      <w:bookmarkStart w:id="102" w:name="_Toc6804"/>
      <w:bookmarkStart w:id="103" w:name="_Toc2079"/>
      <w:bookmarkStart w:id="104" w:name="_Toc27721"/>
      <w:r>
        <w:rPr>
          <w:rFonts w:hint="eastAsia" w:ascii="仿宋_GB2312" w:hAnsi="Times New Roman" w:eastAsia="仿宋_GB2312"/>
          <w:color w:val="000000" w:themeColor="text1"/>
          <w:sz w:val="28"/>
          <w:szCs w:val="28"/>
        </w:rPr>
        <w:t>七、估价原则</w:t>
      </w:r>
      <w:bookmarkEnd w:id="99"/>
      <w:bookmarkEnd w:id="100"/>
      <w:bookmarkEnd w:id="101"/>
      <w:r>
        <w:rPr>
          <w:rFonts w:hint="eastAsia" w:ascii="仿宋_GB2312" w:hAnsi="Times New Roman" w:eastAsia="仿宋_GB2312"/>
          <w:color w:val="000000" w:themeColor="text1"/>
          <w:sz w:val="28"/>
          <w:szCs w:val="28"/>
        </w:rPr>
        <w:fldChar w:fldCharType="begin"/>
      </w:r>
      <w:r>
        <w:rPr>
          <w:rFonts w:hint="eastAsia" w:ascii="仿宋_GB2312" w:hAnsi="Times New Roman" w:eastAsia="仿宋_GB2312"/>
          <w:color w:val="000000" w:themeColor="text1"/>
          <w:sz w:val="28"/>
          <w:szCs w:val="28"/>
        </w:rPr>
        <w:instrText xml:space="preserve"> TC "</w:instrText>
      </w:r>
      <w:bookmarkStart w:id="105" w:name="_Toc288212025"/>
      <w:bookmarkStart w:id="106" w:name="_Toc289260256"/>
      <w:r>
        <w:rPr>
          <w:rFonts w:hint="eastAsia" w:ascii="仿宋_GB2312" w:hAnsi="Times New Roman" w:eastAsia="仿宋_GB2312"/>
          <w:color w:val="000000" w:themeColor="text1"/>
          <w:sz w:val="28"/>
          <w:szCs w:val="28"/>
        </w:rPr>
        <w:instrText xml:space="preserve">8、估价原则</w:instrText>
      </w:r>
      <w:bookmarkEnd w:id="105"/>
      <w:bookmarkEnd w:id="106"/>
      <w:r>
        <w:rPr>
          <w:rFonts w:hint="eastAsia" w:ascii="仿宋_GB2312" w:hAnsi="Times New Roman" w:eastAsia="仿宋_GB2312"/>
          <w:color w:val="000000" w:themeColor="text1"/>
          <w:sz w:val="28"/>
          <w:szCs w:val="28"/>
        </w:rPr>
        <w:instrText xml:space="preserve">" \f C \l "2"</w:instrText>
      </w:r>
      <w:r>
        <w:rPr>
          <w:rFonts w:hint="eastAsia" w:ascii="仿宋_GB2312" w:hAnsi="Times New Roman" w:eastAsia="仿宋_GB2312"/>
          <w:color w:val="000000" w:themeColor="text1"/>
          <w:sz w:val="28"/>
          <w:szCs w:val="28"/>
        </w:rPr>
        <w:fldChar w:fldCharType="end"/>
      </w:r>
      <w:bookmarkEnd w:id="102"/>
      <w:bookmarkEnd w:id="103"/>
      <w:bookmarkEnd w:id="104"/>
    </w:p>
    <w:p>
      <w:pPr>
        <w:snapToGrid w:val="0"/>
        <w:spacing w:line="560" w:lineRule="exact"/>
        <w:ind w:firstLine="560" w:firstLineChars="200"/>
        <w:rPr>
          <w:rFonts w:ascii="仿宋_GB2312" w:hAnsi="仿宋_GB2312" w:eastAsia="仿宋_GB2312" w:cs="仿宋_GB2312"/>
          <w:color w:val="000000" w:themeColor="text1"/>
          <w:sz w:val="28"/>
          <w:szCs w:val="28"/>
        </w:rPr>
      </w:pPr>
      <w:bookmarkStart w:id="107" w:name="_Toc432411977"/>
      <w:r>
        <w:rPr>
          <w:rFonts w:hint="eastAsia" w:ascii="仿宋_GB2312" w:hAnsi="仿宋_GB2312" w:eastAsia="仿宋_GB2312" w:cs="仿宋_GB2312"/>
          <w:color w:val="000000" w:themeColor="text1"/>
          <w:sz w:val="28"/>
          <w:szCs w:val="28"/>
        </w:rPr>
        <w:t>我们在本次估价时遵循了以下原则：</w:t>
      </w:r>
    </w:p>
    <w:p>
      <w:pPr>
        <w:snapToGrid w:val="0"/>
        <w:spacing w:line="560" w:lineRule="exact"/>
        <w:ind w:left="560"/>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1.独立、客观、公正原则</w:t>
      </w:r>
    </w:p>
    <w:p>
      <w:pPr>
        <w:adjustRightInd w:val="0"/>
        <w:snapToGrid w:val="0"/>
        <w:spacing w:line="560" w:lineRule="exact"/>
        <w:ind w:firstLine="52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要求站在中立的立场上，实事求是、公平正直地评估出对各方估价利害关系人均是公平合理的价值或价格的原则。</w:t>
      </w:r>
    </w:p>
    <w:p>
      <w:pPr>
        <w:adjustRightInd w:val="0"/>
        <w:snapToGrid w:val="0"/>
        <w:spacing w:line="560" w:lineRule="exact"/>
        <w:ind w:firstLine="520"/>
        <w:rPr>
          <w:rFonts w:ascii="仿宋_GB2312" w:hAnsi="宋体" w:eastAsia="仿宋_GB2312"/>
          <w:color w:val="000000" w:themeColor="text1"/>
          <w:sz w:val="28"/>
          <w:szCs w:val="28"/>
        </w:rPr>
      </w:pPr>
      <w:r>
        <w:rPr>
          <w:rFonts w:hint="eastAsia" w:ascii="仿宋_GB2312" w:eastAsia="仿宋_GB2312"/>
          <w:color w:val="000000" w:themeColor="text1"/>
          <w:sz w:val="28"/>
          <w:szCs w:val="28"/>
        </w:rPr>
        <w:t>本次估价坚守独立、客观、公正原则，估价</w:t>
      </w:r>
      <w:r>
        <w:rPr>
          <w:rFonts w:ascii="仿宋_GB2312" w:eastAsia="仿宋_GB2312"/>
          <w:color w:val="000000" w:themeColor="text1"/>
          <w:sz w:val="28"/>
          <w:szCs w:val="28"/>
        </w:rPr>
        <w:t>机构建立</w:t>
      </w:r>
      <w:r>
        <w:rPr>
          <w:rFonts w:hint="eastAsia" w:ascii="仿宋_GB2312" w:eastAsia="仿宋_GB2312"/>
          <w:color w:val="000000" w:themeColor="text1"/>
          <w:sz w:val="28"/>
          <w:szCs w:val="28"/>
        </w:rPr>
        <w:t>了</w:t>
      </w:r>
      <w:r>
        <w:rPr>
          <w:rFonts w:ascii="仿宋_GB2312" w:eastAsia="仿宋_GB2312"/>
          <w:color w:val="000000" w:themeColor="text1"/>
          <w:sz w:val="28"/>
          <w:szCs w:val="28"/>
        </w:rPr>
        <w:t>行之有效的内部审核制度，以保证评估过程规范有序，既不受其他单位和个人的非法干预和影响，也不因</w:t>
      </w:r>
      <w:r>
        <w:rPr>
          <w:rFonts w:hint="eastAsia" w:ascii="仿宋_GB2312" w:eastAsia="仿宋_GB2312"/>
          <w:color w:val="000000" w:themeColor="text1"/>
          <w:sz w:val="28"/>
          <w:szCs w:val="28"/>
        </w:rPr>
        <w:t>房地产</w:t>
      </w:r>
      <w:r>
        <w:rPr>
          <w:rFonts w:ascii="仿宋_GB2312" w:eastAsia="仿宋_GB2312"/>
          <w:color w:val="000000" w:themeColor="text1"/>
          <w:sz w:val="28"/>
          <w:szCs w:val="28"/>
        </w:rPr>
        <w:t>估价师个人好恶或主观偏见影响其分析、判断的客观性。</w:t>
      </w:r>
    </w:p>
    <w:p>
      <w:pPr>
        <w:snapToGrid w:val="0"/>
        <w:spacing w:line="560" w:lineRule="exact"/>
        <w:ind w:firstLine="560" w:firstLineChars="20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2.合法原则</w:t>
      </w:r>
    </w:p>
    <w:p>
      <w:pPr>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要求估价结果是在依法判定的估价对象状况下的价值或价格的原则。</w:t>
      </w:r>
    </w:p>
    <w:p>
      <w:pPr>
        <w:snapToGrid w:val="0"/>
        <w:spacing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本次估价以估价对象合法用途为前提，根据委托估价方提供的合法权属证明等资料进行评估。</w:t>
      </w:r>
    </w:p>
    <w:p>
      <w:pPr>
        <w:snapToGrid w:val="0"/>
        <w:spacing w:line="560" w:lineRule="exact"/>
        <w:ind w:left="56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3.价值时点原则</w:t>
      </w:r>
    </w:p>
    <w:p>
      <w:pPr>
        <w:snapToGrid w:val="0"/>
        <w:spacing w:line="560" w:lineRule="exact"/>
        <w:ind w:firstLine="551" w:firstLineChars="197"/>
        <w:rPr>
          <w:rFonts w:ascii="仿宋_GB2312" w:eastAsia="仿宋_GB2312"/>
          <w:color w:val="000000" w:themeColor="text1"/>
          <w:sz w:val="28"/>
          <w:szCs w:val="28"/>
        </w:rPr>
      </w:pPr>
      <w:r>
        <w:rPr>
          <w:rFonts w:hint="eastAsia" w:ascii="仿宋_GB2312" w:eastAsia="仿宋_GB2312"/>
          <w:color w:val="000000" w:themeColor="text1"/>
          <w:sz w:val="28"/>
          <w:szCs w:val="28"/>
        </w:rPr>
        <w:t>要求估价结果是在根据估价目的确定的某一特定时间的价值或价格的原则。</w:t>
      </w:r>
    </w:p>
    <w:p>
      <w:pPr>
        <w:snapToGrid w:val="0"/>
        <w:spacing w:line="560" w:lineRule="exact"/>
        <w:ind w:firstLine="551" w:firstLineChars="197"/>
        <w:rPr>
          <w:rFonts w:ascii="仿宋_GB2312" w:eastAsia="仿宋_GB2312"/>
          <w:caps/>
          <w:color w:val="000000" w:themeColor="text1"/>
          <w:sz w:val="28"/>
          <w:szCs w:val="28"/>
        </w:rPr>
      </w:pPr>
      <w:r>
        <w:rPr>
          <w:rFonts w:hint="eastAsia" w:ascii="仿宋_GB2312" w:eastAsia="仿宋_GB2312"/>
          <w:caps/>
          <w:color w:val="000000" w:themeColor="text1"/>
          <w:sz w:val="28"/>
          <w:szCs w:val="28"/>
        </w:rPr>
        <w:t>本次估价以价值时点原则为前提，根据价值时点原则确定政府有关房地产的法律、法规、税收政策、估价标准等的发布、变更、实施日期等估价依据。估价结果是根据估价目的确定的价值时点对应的市场价值。</w:t>
      </w:r>
    </w:p>
    <w:p>
      <w:pPr>
        <w:snapToGrid w:val="0"/>
        <w:spacing w:line="560" w:lineRule="exact"/>
        <w:ind w:left="560"/>
        <w:rPr>
          <w:rFonts w:ascii="仿宋_GB2312" w:hAnsi="宋体" w:eastAsia="仿宋_GB2312"/>
          <w:color w:val="000000" w:themeColor="text1"/>
          <w:sz w:val="28"/>
          <w:szCs w:val="28"/>
        </w:rPr>
      </w:pPr>
      <w:r>
        <w:rPr>
          <w:rFonts w:hint="eastAsia" w:ascii="仿宋_GB2312" w:hAnsi="宋体" w:eastAsia="仿宋_GB2312"/>
          <w:color w:val="000000" w:themeColor="text1"/>
          <w:sz w:val="28"/>
          <w:szCs w:val="28"/>
        </w:rPr>
        <w:t>4.替代原则</w:t>
      </w:r>
    </w:p>
    <w:p>
      <w:pPr>
        <w:snapToGrid w:val="0"/>
        <w:spacing w:line="560" w:lineRule="exact"/>
        <w:ind w:firstLine="540"/>
        <w:rPr>
          <w:rFonts w:ascii="仿宋_GB2312" w:eastAsia="仿宋_GB2312"/>
          <w:color w:val="000000" w:themeColor="text1"/>
          <w:sz w:val="28"/>
          <w:szCs w:val="28"/>
        </w:rPr>
      </w:pPr>
      <w:r>
        <w:rPr>
          <w:rFonts w:hint="eastAsia" w:ascii="仿宋_GB2312" w:eastAsia="仿宋_GB2312"/>
          <w:color w:val="000000" w:themeColor="text1"/>
          <w:sz w:val="28"/>
          <w:szCs w:val="28"/>
        </w:rPr>
        <w:t>要求估价结果与估价对象的类似房地产在同等条件下的价值或价格偏差在合理范围内的原则。</w:t>
      </w:r>
    </w:p>
    <w:p>
      <w:pPr>
        <w:snapToGrid w:val="0"/>
        <w:spacing w:line="560" w:lineRule="exact"/>
        <w:ind w:firstLine="560" w:firstLineChars="200"/>
        <w:rPr>
          <w:rFonts w:ascii="仿宋_GB2312" w:hAnsi="宋体" w:eastAsia="仿宋_GB2312"/>
          <w:color w:val="000000" w:themeColor="text1"/>
          <w:sz w:val="28"/>
          <w:szCs w:val="28"/>
        </w:rPr>
      </w:pPr>
      <w:r>
        <w:rPr>
          <w:rFonts w:hint="eastAsia" w:ascii="仿宋_GB2312" w:eastAsia="仿宋_GB2312"/>
          <w:color w:val="000000" w:themeColor="text1"/>
          <w:sz w:val="28"/>
          <w:szCs w:val="28"/>
        </w:rPr>
        <w:t>5.</w:t>
      </w:r>
      <w:r>
        <w:rPr>
          <w:rFonts w:hint="eastAsia" w:ascii="仿宋_GB2312" w:hAnsi="宋体" w:eastAsia="仿宋_GB2312"/>
          <w:color w:val="000000" w:themeColor="text1"/>
          <w:sz w:val="28"/>
          <w:szCs w:val="28"/>
        </w:rPr>
        <w:t>最高最佳利用原则</w:t>
      </w:r>
    </w:p>
    <w:p>
      <w:pPr>
        <w:snapToGrid w:val="0"/>
        <w:spacing w:line="560" w:lineRule="exact"/>
        <w:ind w:firstLine="52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要求估价结果是在估价对象最高最佳利用状况下的价值或价格的原则。</w:t>
      </w:r>
    </w:p>
    <w:p>
      <w:pPr>
        <w:pStyle w:val="3"/>
        <w:snapToGrid w:val="0"/>
        <w:spacing w:before="0" w:after="0" w:line="560" w:lineRule="exact"/>
        <w:ind w:firstLine="562" w:firstLineChars="200"/>
        <w:rPr>
          <w:rFonts w:ascii="仿宋_GB2312" w:hAnsi="Times New Roman" w:eastAsia="仿宋_GB2312"/>
          <w:color w:val="000000" w:themeColor="text1"/>
          <w:sz w:val="28"/>
          <w:szCs w:val="28"/>
        </w:rPr>
      </w:pPr>
      <w:bookmarkStart w:id="108" w:name="_Toc3957"/>
      <w:bookmarkStart w:id="109" w:name="_Toc28024"/>
      <w:bookmarkStart w:id="110" w:name="_Toc31141"/>
      <w:r>
        <w:rPr>
          <w:rFonts w:hint="eastAsia" w:ascii="仿宋_GB2312" w:hAnsi="Times New Roman" w:eastAsia="仿宋_GB2312"/>
          <w:color w:val="000000" w:themeColor="text1"/>
          <w:sz w:val="28"/>
          <w:szCs w:val="28"/>
        </w:rPr>
        <w:t>八、估价依据</w:t>
      </w:r>
      <w:bookmarkEnd w:id="107"/>
      <w:r>
        <w:rPr>
          <w:rFonts w:hint="eastAsia" w:ascii="仿宋_GB2312" w:hAnsi="Times New Roman" w:eastAsia="仿宋_GB2312"/>
          <w:color w:val="000000" w:themeColor="text1"/>
          <w:sz w:val="28"/>
          <w:szCs w:val="28"/>
        </w:rPr>
        <w:fldChar w:fldCharType="begin"/>
      </w:r>
      <w:r>
        <w:rPr>
          <w:rFonts w:hint="eastAsia" w:ascii="仿宋_GB2312" w:hAnsi="Times New Roman" w:eastAsia="仿宋_GB2312"/>
          <w:color w:val="000000" w:themeColor="text1"/>
          <w:sz w:val="28"/>
          <w:szCs w:val="28"/>
        </w:rPr>
        <w:instrText xml:space="preserve"> TC "</w:instrText>
      </w:r>
      <w:bookmarkStart w:id="111" w:name="_Toc288212024"/>
      <w:bookmarkStart w:id="112" w:name="_Toc289260255"/>
      <w:r>
        <w:rPr>
          <w:rFonts w:hint="eastAsia" w:ascii="仿宋_GB2312" w:hAnsi="Times New Roman" w:eastAsia="仿宋_GB2312"/>
          <w:color w:val="000000" w:themeColor="text1"/>
          <w:sz w:val="28"/>
          <w:szCs w:val="28"/>
        </w:rPr>
        <w:instrText xml:space="preserve">7、估价依据</w:instrText>
      </w:r>
      <w:bookmarkEnd w:id="111"/>
      <w:bookmarkEnd w:id="112"/>
      <w:r>
        <w:rPr>
          <w:rFonts w:hint="eastAsia" w:ascii="仿宋_GB2312" w:hAnsi="Times New Roman" w:eastAsia="仿宋_GB2312"/>
          <w:color w:val="000000" w:themeColor="text1"/>
          <w:sz w:val="28"/>
          <w:szCs w:val="28"/>
        </w:rPr>
        <w:instrText xml:space="preserve">" \f C \l "2"</w:instrText>
      </w:r>
      <w:r>
        <w:rPr>
          <w:rFonts w:hint="eastAsia" w:ascii="仿宋_GB2312" w:hAnsi="Times New Roman" w:eastAsia="仿宋_GB2312"/>
          <w:color w:val="000000" w:themeColor="text1"/>
          <w:sz w:val="28"/>
          <w:szCs w:val="28"/>
        </w:rPr>
        <w:fldChar w:fldCharType="end"/>
      </w:r>
      <w:bookmarkEnd w:id="108"/>
      <w:bookmarkEnd w:id="109"/>
      <w:bookmarkEnd w:id="110"/>
    </w:p>
    <w:p>
      <w:pPr>
        <w:snapToGrid w:val="0"/>
        <w:spacing w:line="560" w:lineRule="exact"/>
        <w:ind w:firstLine="560" w:firstLineChars="200"/>
        <w:rPr>
          <w:rFonts w:ascii="仿宋_GB2312" w:hAnsi="宋体" w:eastAsia="仿宋_GB2312"/>
          <w:caps/>
          <w:color w:val="000000" w:themeColor="text1"/>
          <w:sz w:val="28"/>
        </w:rPr>
      </w:pPr>
      <w:bookmarkStart w:id="113" w:name="_Toc432411978"/>
      <w:bookmarkStart w:id="114" w:name="_Toc382493628"/>
      <w:bookmarkStart w:id="115" w:name="_Toc155258971"/>
      <w:r>
        <w:rPr>
          <w:rFonts w:hint="eastAsia" w:ascii="仿宋_GB2312" w:hAnsi="宋体" w:eastAsia="仿宋_GB2312"/>
          <w:caps/>
          <w:color w:val="000000" w:themeColor="text1"/>
          <w:sz w:val="28"/>
        </w:rPr>
        <w:t>（一）法律、法规：</w:t>
      </w:r>
    </w:p>
    <w:p>
      <w:pPr>
        <w:snapToGrid w:val="0"/>
        <w:spacing w:line="560" w:lineRule="exact"/>
        <w:ind w:firstLine="560" w:firstLineChars="200"/>
        <w:rPr>
          <w:rFonts w:ascii="仿宋_GB2312" w:eastAsia="仿宋_GB2312"/>
          <w:bCs/>
          <w:color w:val="000000" w:themeColor="text1"/>
          <w:spacing w:val="-3"/>
          <w:sz w:val="28"/>
          <w:szCs w:val="28"/>
        </w:rPr>
      </w:pPr>
      <w:r>
        <w:rPr>
          <w:rFonts w:hint="eastAsia" w:ascii="仿宋_GB2312" w:hAnsi="宋体" w:eastAsia="仿宋_GB2312"/>
          <w:caps/>
          <w:color w:val="000000" w:themeColor="text1"/>
          <w:sz w:val="28"/>
        </w:rPr>
        <w:t>1.</w:t>
      </w:r>
      <w:r>
        <w:rPr>
          <w:rFonts w:hint="eastAsia" w:ascii="仿宋_GB2312" w:eastAsia="仿宋_GB2312"/>
          <w:bCs/>
          <w:color w:val="000000" w:themeColor="text1"/>
          <w:spacing w:val="-3"/>
          <w:sz w:val="28"/>
          <w:szCs w:val="28"/>
        </w:rPr>
        <w:t>《中华人民共和国民法典》（2020年5月28日第十三届全国人民代表大会第三次会议通过）；</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2.《中华人民共和国城市房地产管理法》</w:t>
      </w:r>
      <w:r>
        <w:rPr>
          <w:rFonts w:ascii="仿宋_GB2312" w:eastAsia="仿宋_GB2312"/>
          <w:bCs/>
          <w:color w:val="000000" w:themeColor="text1"/>
          <w:spacing w:val="-3"/>
          <w:sz w:val="28"/>
          <w:szCs w:val="28"/>
        </w:rPr>
        <w:t>（</w:t>
      </w:r>
      <w:r>
        <w:rPr>
          <w:rFonts w:hint="eastAsia" w:ascii="仿宋_GB2312" w:eastAsia="仿宋_GB2312"/>
          <w:bCs/>
          <w:color w:val="000000" w:themeColor="text1"/>
          <w:spacing w:val="-3"/>
          <w:sz w:val="28"/>
          <w:szCs w:val="28"/>
        </w:rPr>
        <w:t>2019年8月26日第十三届全国人民代表大会常务委员会第十二次会议修正）；</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3.《中华人民共和国土地管理法》</w:t>
      </w:r>
      <w:r>
        <w:rPr>
          <w:rFonts w:ascii="仿宋_GB2312" w:eastAsia="仿宋_GB2312"/>
          <w:bCs/>
          <w:color w:val="000000" w:themeColor="text1"/>
          <w:spacing w:val="-3"/>
          <w:sz w:val="28"/>
          <w:szCs w:val="28"/>
        </w:rPr>
        <w:t>（</w:t>
      </w:r>
      <w:r>
        <w:rPr>
          <w:rFonts w:hint="eastAsia" w:ascii="仿宋_GB2312" w:eastAsia="仿宋_GB2312"/>
          <w:bCs/>
          <w:color w:val="000000" w:themeColor="text1"/>
          <w:spacing w:val="-3"/>
          <w:sz w:val="28"/>
          <w:szCs w:val="28"/>
        </w:rPr>
        <w:t>2019年8月26日第十三届全国人民代表大会常务委员会第十二次会议修正）；</w:t>
      </w:r>
    </w:p>
    <w:p>
      <w:pPr>
        <w:snapToGrid w:val="0"/>
        <w:spacing w:line="560" w:lineRule="exact"/>
        <w:ind w:firstLine="548" w:firstLineChars="200"/>
        <w:rPr>
          <w:rFonts w:ascii="仿宋_GB2312" w:eastAsia="仿宋_GB2312"/>
          <w:bCs/>
          <w:color w:val="000000" w:themeColor="text1"/>
          <w:spacing w:val="-3"/>
          <w:sz w:val="28"/>
          <w:szCs w:val="28"/>
        </w:rPr>
      </w:pPr>
      <w:r>
        <w:rPr>
          <w:rFonts w:ascii="仿宋_GB2312" w:eastAsia="仿宋_GB2312"/>
          <w:bCs/>
          <w:color w:val="000000" w:themeColor="text1"/>
          <w:spacing w:val="-3"/>
          <w:sz w:val="28"/>
          <w:szCs w:val="28"/>
        </w:rPr>
        <w:t>4</w:t>
      </w:r>
      <w:r>
        <w:rPr>
          <w:rFonts w:hint="eastAsia" w:ascii="仿宋_GB2312" w:eastAsia="仿宋_GB2312"/>
          <w:bCs/>
          <w:color w:val="000000" w:themeColor="text1"/>
          <w:spacing w:val="-3"/>
          <w:sz w:val="28"/>
          <w:szCs w:val="28"/>
        </w:rPr>
        <w:t>.《中华人民共和国资产评估法》（2016年7月2日第十二届全国人民代表大会常务委员会第二十一次会议通过）；</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5.《中华人民共和国土地管理法实施条例》（2014年07月29日</w:t>
      </w:r>
      <w:r>
        <w:rPr>
          <w:rFonts w:ascii="仿宋_GB2312" w:eastAsia="仿宋_GB2312"/>
          <w:bCs/>
          <w:color w:val="000000" w:themeColor="text1"/>
          <w:spacing w:val="-3"/>
          <w:sz w:val="28"/>
          <w:szCs w:val="28"/>
        </w:rPr>
        <w:t>第二次修订</w:t>
      </w:r>
      <w:r>
        <w:rPr>
          <w:rFonts w:hint="eastAsia" w:ascii="仿宋_GB2312" w:eastAsia="仿宋_GB2312"/>
          <w:bCs/>
          <w:color w:val="000000" w:themeColor="text1"/>
          <w:spacing w:val="-3"/>
          <w:sz w:val="28"/>
          <w:szCs w:val="28"/>
        </w:rPr>
        <w:t>）；</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6.《中华人民共和国城镇国有土地使用权出让和转让暂行条例》（2020年11月29日修订）；</w:t>
      </w:r>
    </w:p>
    <w:p>
      <w:pPr>
        <w:adjustRightInd w:val="0"/>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7.《最高人民法院关于人民法院委托评估、拍卖工作的若干规定</w:t>
      </w:r>
      <w:r>
        <w:rPr>
          <w:rFonts w:ascii="仿宋_GB2312" w:eastAsia="仿宋_GB2312"/>
          <w:bCs/>
          <w:color w:val="000000" w:themeColor="text1"/>
          <w:spacing w:val="-3"/>
          <w:sz w:val="28"/>
          <w:szCs w:val="28"/>
        </w:rPr>
        <w:t xml:space="preserve"> 》（</w:t>
      </w:r>
      <w:r>
        <w:rPr>
          <w:rFonts w:hint="eastAsia" w:ascii="仿宋_GB2312" w:eastAsia="仿宋_GB2312"/>
          <w:bCs/>
          <w:color w:val="000000" w:themeColor="text1"/>
          <w:spacing w:val="-3"/>
          <w:sz w:val="28"/>
          <w:szCs w:val="28"/>
        </w:rPr>
        <w:t>法释〔2011〕21号</w:t>
      </w:r>
      <w:r>
        <w:rPr>
          <w:rFonts w:ascii="仿宋_GB2312" w:eastAsia="仿宋_GB2312"/>
          <w:bCs/>
          <w:color w:val="000000" w:themeColor="text1"/>
          <w:spacing w:val="-3"/>
          <w:sz w:val="28"/>
          <w:szCs w:val="28"/>
        </w:rPr>
        <w:t xml:space="preserve"> ）</w:t>
      </w:r>
      <w:r>
        <w:rPr>
          <w:rFonts w:hint="eastAsia" w:ascii="仿宋_GB2312" w:eastAsia="仿宋_GB2312"/>
          <w:bCs/>
          <w:color w:val="000000" w:themeColor="text1"/>
          <w:spacing w:val="-3"/>
          <w:sz w:val="28"/>
          <w:szCs w:val="28"/>
        </w:rPr>
        <w:t>；</w:t>
      </w:r>
    </w:p>
    <w:p>
      <w:pPr>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8.《最高人民法院关于人民法院确定财产处置参考价若干问题的规定》（法释[2018]15号]）；</w:t>
      </w:r>
    </w:p>
    <w:p>
      <w:pPr>
        <w:snapToGrid w:val="0"/>
        <w:spacing w:line="560" w:lineRule="exact"/>
        <w:ind w:firstLine="548" w:firstLineChars="200"/>
        <w:rPr>
          <w:rFonts w:ascii="仿宋_GB2312" w:eastAsia="仿宋_GB2312"/>
          <w:bCs/>
          <w:color w:val="000000" w:themeColor="text1"/>
          <w:spacing w:val="-3"/>
          <w:sz w:val="28"/>
          <w:szCs w:val="28"/>
        </w:rPr>
      </w:pPr>
      <w:r>
        <w:rPr>
          <w:rFonts w:hint="eastAsia" w:ascii="仿宋_GB2312" w:eastAsia="仿宋_GB2312"/>
          <w:bCs/>
          <w:color w:val="000000" w:themeColor="text1"/>
          <w:spacing w:val="-3"/>
          <w:sz w:val="28"/>
          <w:szCs w:val="28"/>
        </w:rPr>
        <w:t>9.《人民法院委托评估工作规范》（法办[2018]273号）。</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（二）技术规范及约束性文件：</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1.中华人民共和国国家标准（GB/T50291-2015）《房地产估价规范》；</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2.中华人民共和国国家标准（GB/T50899-2013）《房地产估价基本术语标准》。</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（三）估价委托人提供的资料</w:t>
      </w:r>
    </w:p>
    <w:p>
      <w:pPr>
        <w:snapToGrid w:val="0"/>
        <w:spacing w:line="560" w:lineRule="exact"/>
        <w:ind w:firstLine="560" w:firstLineChars="200"/>
        <w:rPr>
          <w:rFonts w:hint="eastAsia" w:ascii="仿宋_GB2312" w:hAnsi="宋体" w:eastAsia="仿宋_GB2312"/>
          <w:caps/>
          <w:color w:val="000000" w:themeColor="text1"/>
          <w:sz w:val="28"/>
        </w:rPr>
      </w:pPr>
      <w:r>
        <w:rPr>
          <w:rFonts w:hint="eastAsia" w:ascii="仿宋_GB2312" w:hAnsi="宋体" w:eastAsia="仿宋_GB2312"/>
          <w:caps/>
          <w:color w:val="000000" w:themeColor="text1"/>
          <w:sz w:val="28"/>
        </w:rPr>
        <w:t>1.《</w:t>
      </w:r>
      <w:r>
        <w:rPr>
          <w:rFonts w:hint="eastAsia" w:ascii="仿宋_GB2312" w:hAnsi="宋体" w:eastAsia="仿宋_GB2312"/>
          <w:caps/>
          <w:color w:val="000000" w:themeColor="text1"/>
          <w:sz w:val="28"/>
          <w:lang w:eastAsia="zh-CN"/>
        </w:rPr>
        <w:t>长安区人民法院司法鉴定委托书</w:t>
      </w:r>
      <w:r>
        <w:rPr>
          <w:rFonts w:hint="eastAsia" w:ascii="仿宋_GB2312" w:hAnsi="宋体" w:eastAsia="仿宋_GB2312"/>
          <w:caps/>
          <w:color w:val="000000" w:themeColor="text1"/>
          <w:sz w:val="28"/>
        </w:rPr>
        <w:t>》复印件；</w:t>
      </w:r>
    </w:p>
    <w:p>
      <w:pPr>
        <w:snapToGrid w:val="0"/>
        <w:spacing w:line="560" w:lineRule="exact"/>
        <w:ind w:firstLine="560" w:firstLineChars="200"/>
        <w:rPr>
          <w:rFonts w:hint="eastAsia" w:ascii="仿宋_GB2312" w:hAnsi="宋体" w:eastAsia="仿宋_GB2312"/>
          <w:caps/>
          <w:color w:val="000000" w:themeColor="text1"/>
          <w:sz w:val="28"/>
          <w:lang w:eastAsia="zh-CN"/>
        </w:rPr>
      </w:pPr>
      <w:r>
        <w:rPr>
          <w:rFonts w:hint="eastAsia" w:ascii="仿宋_GB2312" w:hAnsi="宋体" w:eastAsia="仿宋_GB2312"/>
          <w:caps/>
          <w:color w:val="000000" w:themeColor="text1"/>
          <w:sz w:val="28"/>
          <w:lang w:val="en-US" w:eastAsia="zh-CN"/>
        </w:rPr>
        <w:t>2.</w:t>
      </w:r>
      <w:r>
        <w:rPr>
          <w:rFonts w:hint="eastAsia" w:ascii="仿宋_GB2312" w:hAnsi="宋体" w:eastAsia="仿宋_GB2312"/>
          <w:caps/>
          <w:color w:val="000000" w:themeColor="text1"/>
          <w:sz w:val="28"/>
        </w:rPr>
        <w:t>《石家庄市长安区人民法院执行裁定书》复印件</w:t>
      </w:r>
      <w:r>
        <w:rPr>
          <w:rFonts w:hint="eastAsia" w:ascii="仿宋_GB2312" w:hAnsi="宋体" w:eastAsia="仿宋_GB2312"/>
          <w:caps/>
          <w:color w:val="000000" w:themeColor="text1"/>
          <w:sz w:val="28"/>
          <w:lang w:eastAsia="zh-CN"/>
        </w:rPr>
        <w:t>；</w:t>
      </w:r>
    </w:p>
    <w:p>
      <w:pPr>
        <w:snapToGrid w:val="0"/>
        <w:spacing w:line="560" w:lineRule="exact"/>
        <w:ind w:firstLine="560" w:firstLineChars="200"/>
        <w:rPr>
          <w:rFonts w:ascii="仿宋_GB2312" w:hAnsi="宋体" w:eastAsia="仿宋_GB2312"/>
          <w:caps/>
          <w:color w:val="000000" w:themeColor="text1"/>
          <w:sz w:val="28"/>
          <w:szCs w:val="28"/>
        </w:rPr>
      </w:pPr>
      <w:r>
        <w:rPr>
          <w:rFonts w:hint="eastAsia" w:ascii="仿宋_GB2312" w:hAnsi="宋体" w:eastAsia="仿宋_GB2312"/>
          <w:caps/>
          <w:color w:val="000000" w:themeColor="text1"/>
          <w:sz w:val="28"/>
          <w:szCs w:val="28"/>
          <w:lang w:val="en-US" w:eastAsia="zh-CN"/>
        </w:rPr>
        <w:t>3</w:t>
      </w:r>
      <w:r>
        <w:rPr>
          <w:rFonts w:hint="eastAsia" w:ascii="仿宋_GB2312" w:hAnsi="宋体" w:eastAsia="仿宋_GB2312"/>
          <w:caps/>
          <w:color w:val="000000" w:themeColor="text1"/>
          <w:sz w:val="28"/>
          <w:szCs w:val="28"/>
        </w:rPr>
        <w:t>.《不动产权利及其他事项登记信息》复印件；</w:t>
      </w:r>
    </w:p>
    <w:p>
      <w:pPr>
        <w:snapToGrid w:val="0"/>
        <w:spacing w:line="560" w:lineRule="exact"/>
        <w:ind w:firstLine="560" w:firstLineChars="200"/>
        <w:rPr>
          <w:rFonts w:ascii="仿宋_GB2312" w:hAnsi="宋体" w:eastAsia="仿宋_GB2312"/>
          <w:caps/>
          <w:color w:val="000000" w:themeColor="text1"/>
          <w:sz w:val="28"/>
          <w:szCs w:val="28"/>
        </w:rPr>
      </w:pPr>
      <w:r>
        <w:rPr>
          <w:rFonts w:hint="eastAsia" w:ascii="仿宋_GB2312" w:hAnsi="宋体" w:eastAsia="仿宋_GB2312"/>
          <w:caps/>
          <w:color w:val="000000" w:themeColor="text1"/>
          <w:sz w:val="28"/>
          <w:szCs w:val="28"/>
          <w:lang w:val="en-US" w:eastAsia="zh-CN"/>
        </w:rPr>
        <w:t>4</w:t>
      </w:r>
      <w:r>
        <w:rPr>
          <w:rFonts w:hint="eastAsia" w:ascii="仿宋_GB2312" w:hAnsi="宋体" w:eastAsia="仿宋_GB2312"/>
          <w:caps/>
          <w:color w:val="000000" w:themeColor="text1"/>
          <w:sz w:val="28"/>
          <w:szCs w:val="28"/>
        </w:rPr>
        <w:t>.估价委托人提供的其他资料。</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（四）房地产估价机构掌握和搜集的估价所需资料</w:t>
      </w:r>
    </w:p>
    <w:p>
      <w:pPr>
        <w:snapToGrid w:val="0"/>
        <w:spacing w:line="560" w:lineRule="exact"/>
        <w:ind w:firstLine="560" w:firstLineChars="200"/>
        <w:rPr>
          <w:rFonts w:ascii="仿宋_GB2312" w:eastAsia="仿宋_GB2312"/>
          <w:bCs/>
          <w:color w:val="000000" w:themeColor="text1"/>
          <w:sz w:val="28"/>
          <w:szCs w:val="28"/>
        </w:rPr>
      </w:pPr>
      <w:r>
        <w:rPr>
          <w:rFonts w:hint="eastAsia" w:ascii="仿宋_GB2312" w:eastAsia="仿宋_GB2312"/>
          <w:bCs/>
          <w:color w:val="000000" w:themeColor="text1"/>
          <w:sz w:val="28"/>
          <w:szCs w:val="28"/>
        </w:rPr>
        <w:t>1.房地产估价机构掌握的房地产市场资料；</w:t>
      </w:r>
      <w:r>
        <w:rPr>
          <w:rFonts w:ascii="仿宋_GB2312" w:eastAsia="仿宋_GB2312"/>
          <w:bCs/>
          <w:color w:val="000000" w:themeColor="text1"/>
          <w:sz w:val="28"/>
          <w:szCs w:val="28"/>
        </w:rPr>
        <w:t xml:space="preserve"> </w:t>
      </w:r>
    </w:p>
    <w:p>
      <w:pPr>
        <w:snapToGrid w:val="0"/>
        <w:spacing w:line="560" w:lineRule="exact"/>
        <w:ind w:firstLine="560" w:firstLineChars="200"/>
        <w:rPr>
          <w:rFonts w:ascii="仿宋_GB2312" w:eastAsia="仿宋_GB2312"/>
          <w:bCs/>
          <w:color w:val="000000" w:themeColor="text1"/>
          <w:sz w:val="28"/>
          <w:szCs w:val="28"/>
        </w:rPr>
      </w:pPr>
      <w:r>
        <w:rPr>
          <w:rFonts w:hint="eastAsia" w:ascii="仿宋_GB2312" w:eastAsia="仿宋_GB2312"/>
          <w:bCs/>
          <w:color w:val="000000" w:themeColor="text1"/>
          <w:sz w:val="28"/>
          <w:szCs w:val="28"/>
        </w:rPr>
        <w:t>2.实地查勘记录及影像资料；</w:t>
      </w:r>
    </w:p>
    <w:p>
      <w:pPr>
        <w:snapToGrid w:val="0"/>
        <w:spacing w:line="560" w:lineRule="exact"/>
        <w:ind w:firstLine="560" w:firstLineChars="200"/>
        <w:rPr>
          <w:rFonts w:ascii="仿宋_GB2312" w:hAnsi="宋体" w:eastAsia="仿宋_GB2312"/>
          <w:caps/>
          <w:color w:val="000000" w:themeColor="text1"/>
          <w:sz w:val="28"/>
        </w:rPr>
      </w:pPr>
      <w:r>
        <w:rPr>
          <w:rFonts w:hint="eastAsia" w:ascii="仿宋_GB2312" w:hAnsi="宋体" w:eastAsia="仿宋_GB2312"/>
          <w:caps/>
          <w:color w:val="000000" w:themeColor="text1"/>
          <w:sz w:val="28"/>
        </w:rPr>
        <w:t>3.市场调查获取的资料。</w:t>
      </w:r>
    </w:p>
    <w:p>
      <w:pPr>
        <w:pStyle w:val="3"/>
        <w:snapToGrid w:val="0"/>
        <w:spacing w:before="0" w:after="0" w:line="560" w:lineRule="exact"/>
        <w:ind w:firstLine="562" w:firstLineChars="200"/>
        <w:rPr>
          <w:rFonts w:ascii="仿宋_GB2312" w:hAnsi="Times New Roman" w:eastAsia="仿宋_GB2312"/>
          <w:color w:val="000000" w:themeColor="text1"/>
          <w:sz w:val="28"/>
          <w:szCs w:val="28"/>
        </w:rPr>
      </w:pPr>
      <w:bookmarkStart w:id="116" w:name="_Toc21175"/>
      <w:bookmarkStart w:id="117" w:name="_Toc3631"/>
      <w:bookmarkStart w:id="118" w:name="_Toc18265"/>
      <w:r>
        <w:rPr>
          <w:rFonts w:hint="eastAsia" w:ascii="仿宋_GB2312" w:hAnsi="Times New Roman" w:eastAsia="仿宋_GB2312"/>
          <w:color w:val="000000" w:themeColor="text1"/>
          <w:sz w:val="28"/>
          <w:szCs w:val="28"/>
        </w:rPr>
        <w:t>九、估价方法</w:t>
      </w:r>
      <w:bookmarkEnd w:id="113"/>
      <w:bookmarkEnd w:id="114"/>
      <w:bookmarkEnd w:id="115"/>
      <w:bookmarkEnd w:id="116"/>
      <w:bookmarkEnd w:id="117"/>
      <w:bookmarkEnd w:id="118"/>
    </w:p>
    <w:p>
      <w:pPr>
        <w:spacing w:line="560" w:lineRule="exact"/>
        <w:ind w:firstLine="560" w:firstLineChars="200"/>
        <w:rPr>
          <w:rFonts w:ascii="仿宋_GB2312" w:hAnsi="仿宋" w:eastAsia="仿宋_GB2312"/>
          <w:color w:val="000000" w:themeColor="text1"/>
          <w:sz w:val="28"/>
          <w:szCs w:val="28"/>
        </w:rPr>
      </w:pPr>
      <w:bookmarkStart w:id="119" w:name="_Toc382493629"/>
      <w:bookmarkStart w:id="120" w:name="_Toc155258972"/>
      <w:bookmarkStart w:id="121" w:name="_Toc432411979"/>
      <w:r>
        <w:rPr>
          <w:rFonts w:hint="eastAsia" w:ascii="仿宋_GB2312" w:hAnsi="仿宋" w:eastAsia="仿宋_GB2312"/>
          <w:color w:val="000000" w:themeColor="text1"/>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估价方法的选择应根据当地房地产市场发育情况并结合估价对象的具体特点及估价目的等，选择适宜的估价方法。</w:t>
      </w:r>
    </w:p>
    <w:p>
      <w:pPr>
        <w:spacing w:line="56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1.选用的估价方法及理由</w:t>
      </w:r>
    </w:p>
    <w:p>
      <w:pPr>
        <w:pStyle w:val="35"/>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（1）选用比较法的理由</w:t>
      </w:r>
    </w:p>
    <w:p>
      <w:pPr>
        <w:pStyle w:val="35"/>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估价对象是交易性活跃的成套住宅房地产，由于估价对象同一供求圈内有较多的类似房地产买卖交易实例，故选用比较法；</w:t>
      </w:r>
    </w:p>
    <w:p>
      <w:pPr>
        <w:pStyle w:val="35"/>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（2）选用收益法的理由</w:t>
      </w:r>
    </w:p>
    <w:p>
      <w:pPr>
        <w:pStyle w:val="35"/>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估价对象为收益性房地产，且区域内有与估价对象类似房地产租赁可比实例，故选用收益法。</w:t>
      </w:r>
    </w:p>
    <w:p>
      <w:pPr>
        <w:spacing w:line="56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2.不选用的估价方法及理由</w:t>
      </w:r>
    </w:p>
    <w:p>
      <w:pPr>
        <w:spacing w:line="56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（1）不选用成本法的理由</w:t>
      </w:r>
    </w:p>
    <w:p>
      <w:pPr>
        <w:spacing w:line="56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虽然估价对象理论上适用成本法，但受到运用的客观条件限制，特别是成套住宅价格主要受市场供求关系影响，成套住宅房地产价格与开发成本的关联性弱，尤其是二手房住宅，房地产的开发成本不能反映出房地产的现时市场价格，故不选用成本法。</w:t>
      </w:r>
    </w:p>
    <w:p>
      <w:pPr>
        <w:keepNext w:val="0"/>
        <w:keepLines w:val="0"/>
        <w:pageBreakBefore w:val="0"/>
        <w:widowControl w:val="0"/>
        <w:kinsoku/>
        <w:wordWrap/>
        <w:overflowPunct/>
        <w:topLinePunct w:val="0"/>
        <w:autoSpaceDE/>
        <w:autoSpaceDN/>
        <w:bidi w:val="0"/>
        <w:spacing w:line="54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（2）不选用假设开发法的理由</w:t>
      </w:r>
    </w:p>
    <w:p>
      <w:pPr>
        <w:keepNext w:val="0"/>
        <w:keepLines w:val="0"/>
        <w:pageBreakBefore w:val="0"/>
        <w:widowControl w:val="0"/>
        <w:kinsoku/>
        <w:wordWrap/>
        <w:overflowPunct/>
        <w:topLinePunct w:val="0"/>
        <w:autoSpaceDE/>
        <w:autoSpaceDN/>
        <w:bidi w:val="0"/>
        <w:spacing w:line="54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由于估价对象属于建成并已使用的物业，非待开发建设房地产，不产生后续开发成本，故不选用假设开发法。</w:t>
      </w:r>
    </w:p>
    <w:p>
      <w:pPr>
        <w:keepNext w:val="0"/>
        <w:keepLines w:val="0"/>
        <w:pageBreakBefore w:val="0"/>
        <w:widowControl w:val="0"/>
        <w:kinsoku/>
        <w:wordWrap/>
        <w:overflowPunct/>
        <w:topLinePunct w:val="0"/>
        <w:autoSpaceDE/>
        <w:autoSpaceDN/>
        <w:bidi w:val="0"/>
        <w:snapToGrid w:val="0"/>
        <w:spacing w:line="540" w:lineRule="exact"/>
        <w:ind w:firstLine="560" w:firstLineChars="200"/>
        <w:jc w:val="left"/>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3.估价技术路线</w:t>
      </w:r>
    </w:p>
    <w:p>
      <w:pPr>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（1）比较法</w:t>
      </w:r>
    </w:p>
    <w:p>
      <w:pPr>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比较法是指选取一定数量的可比实例，将它们与估价对象进行比较，根据其间的差异对可比实例成交价格进行处理后得到估价对象价值或价格的方法。其公式为：</w:t>
      </w:r>
    </w:p>
    <w:p>
      <w:pPr>
        <w:pStyle w:val="35"/>
        <w:keepNext w:val="0"/>
        <w:keepLines w:val="0"/>
        <w:pageBreakBefore w:val="0"/>
        <w:widowControl w:val="0"/>
        <w:kinsoku/>
        <w:wordWrap/>
        <w:overflowPunct/>
        <w:topLinePunct w:val="0"/>
        <w:autoSpaceDE/>
        <w:autoSpaceDN/>
        <w:bidi w:val="0"/>
        <w:snapToGrid w:val="0"/>
        <w:spacing w:line="54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比较价值＝可比实例成交价格×交易情况修正系数×市场状况调整系数×房地产状况调整系数</w:t>
      </w:r>
    </w:p>
    <w:p>
      <w:pPr>
        <w:pStyle w:val="35"/>
        <w:keepNext w:val="0"/>
        <w:keepLines w:val="0"/>
        <w:pageBreakBefore w:val="0"/>
        <w:widowControl w:val="0"/>
        <w:kinsoku/>
        <w:wordWrap/>
        <w:overflowPunct/>
        <w:topLinePunct w:val="0"/>
        <w:autoSpaceDE/>
        <w:autoSpaceDN/>
        <w:bidi w:val="0"/>
        <w:snapToGrid w:val="0"/>
        <w:spacing w:line="54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（2）收益法</w:t>
      </w:r>
    </w:p>
    <w:p>
      <w:pPr>
        <w:pStyle w:val="35"/>
        <w:keepNext w:val="0"/>
        <w:keepLines w:val="0"/>
        <w:pageBreakBefore w:val="0"/>
        <w:widowControl w:val="0"/>
        <w:kinsoku/>
        <w:wordWrap/>
        <w:overflowPunct/>
        <w:topLinePunct w:val="0"/>
        <w:autoSpaceDE/>
        <w:autoSpaceDN/>
        <w:bidi w:val="0"/>
        <w:snapToGrid w:val="0"/>
        <w:spacing w:line="54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收益法是预测估价对象的未来收益，利用报酬率或资本化率、收益乘数将未来收益转换为价值得到估价对象价值或价格的方法。</w:t>
      </w:r>
    </w:p>
    <w:p>
      <w:pPr>
        <w:pStyle w:val="35"/>
        <w:keepNext w:val="0"/>
        <w:keepLines w:val="0"/>
        <w:pageBreakBefore w:val="0"/>
        <w:widowControl w:val="0"/>
        <w:kinsoku/>
        <w:wordWrap/>
        <w:overflowPunct/>
        <w:topLinePunct w:val="0"/>
        <w:autoSpaceDE/>
        <w:autoSpaceDN/>
        <w:bidi w:val="0"/>
        <w:snapToGrid w:val="0"/>
        <w:spacing w:line="54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由于估价对象收益期较长，难以预测该收益期限内各年净收益，所以选用持有加转售模式。公式如下：</w:t>
      </w:r>
    </w:p>
    <w:p>
      <w:pPr>
        <w:pStyle w:val="35"/>
        <w:snapToGrid w:val="0"/>
        <w:spacing w:line="560" w:lineRule="exact"/>
        <w:ind w:firstLine="560" w:firstLineChars="200"/>
        <w:jc w:val="both"/>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V=A/Y×[1/(1+Y)</w:t>
      </w:r>
      <w:r>
        <w:rPr>
          <w:rFonts w:hint="eastAsia" w:ascii="仿宋_GB2312" w:hAnsi="仿宋" w:eastAsia="仿宋_GB2312"/>
          <w:color w:val="000000" w:themeColor="text1"/>
          <w:spacing w:val="0"/>
          <w:kern w:val="2"/>
          <w:szCs w:val="28"/>
          <w:vertAlign w:val="superscript"/>
        </w:rPr>
        <w:t>t</w:t>
      </w:r>
      <w:r>
        <w:rPr>
          <w:rFonts w:hint="eastAsia" w:ascii="仿宋_GB2312" w:hAnsi="仿宋" w:eastAsia="仿宋_GB2312"/>
          <w:color w:val="000000" w:themeColor="text1"/>
          <w:spacing w:val="0"/>
          <w:kern w:val="2"/>
          <w:szCs w:val="28"/>
        </w:rPr>
        <w:t>]+V</w:t>
      </w:r>
      <w:r>
        <w:rPr>
          <w:rFonts w:hint="eastAsia" w:ascii="仿宋_GB2312" w:hAnsi="仿宋" w:eastAsia="仿宋_GB2312"/>
          <w:color w:val="000000" w:themeColor="text1"/>
          <w:spacing w:val="0"/>
          <w:kern w:val="2"/>
          <w:szCs w:val="28"/>
          <w:vertAlign w:val="subscript"/>
        </w:rPr>
        <w:t>t</w:t>
      </w:r>
      <w:r>
        <w:rPr>
          <w:rFonts w:hint="eastAsia" w:ascii="仿宋_GB2312" w:hAnsi="仿宋" w:eastAsia="仿宋_GB2312"/>
          <w:color w:val="000000" w:themeColor="text1"/>
          <w:spacing w:val="0"/>
          <w:kern w:val="2"/>
          <w:szCs w:val="28"/>
        </w:rPr>
        <w:t>/(1+Y)</w:t>
      </w:r>
      <w:r>
        <w:rPr>
          <w:rFonts w:hint="eastAsia" w:ascii="仿宋_GB2312" w:hAnsi="仿宋" w:eastAsia="仿宋_GB2312"/>
          <w:color w:val="000000" w:themeColor="text1"/>
          <w:spacing w:val="0"/>
          <w:kern w:val="2"/>
          <w:szCs w:val="28"/>
          <w:vertAlign w:val="superscript"/>
        </w:rPr>
        <w:t>t</w:t>
      </w:r>
    </w:p>
    <w:p>
      <w:pPr>
        <w:pStyle w:val="35"/>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其中：</w:t>
      </w:r>
    </w:p>
    <w:p>
      <w:pPr>
        <w:pStyle w:val="35"/>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V-收益法评估价值；</w:t>
      </w:r>
    </w:p>
    <w:p>
      <w:pPr>
        <w:pStyle w:val="35"/>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A-房地产期间收益；</w:t>
      </w:r>
    </w:p>
    <w:p>
      <w:pPr>
        <w:pStyle w:val="35"/>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Y-房地产报酬率；</w:t>
      </w:r>
    </w:p>
    <w:p>
      <w:pPr>
        <w:pStyle w:val="35"/>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V</w:t>
      </w:r>
      <w:r>
        <w:rPr>
          <w:rFonts w:hint="eastAsia" w:ascii="仿宋_GB2312" w:hAnsi="仿宋" w:eastAsia="仿宋_GB2312"/>
          <w:color w:val="000000" w:themeColor="text1"/>
          <w:spacing w:val="0"/>
          <w:kern w:val="2"/>
          <w:szCs w:val="28"/>
          <w:vertAlign w:val="subscript"/>
        </w:rPr>
        <w:t>t</w:t>
      </w:r>
      <w:r>
        <w:rPr>
          <w:rFonts w:hint="eastAsia" w:ascii="仿宋_GB2312" w:hAnsi="仿宋" w:eastAsia="仿宋_GB2312"/>
          <w:color w:val="000000" w:themeColor="text1"/>
          <w:spacing w:val="0"/>
          <w:kern w:val="2"/>
          <w:szCs w:val="28"/>
        </w:rPr>
        <w:t>-期末转售收益；</w:t>
      </w:r>
    </w:p>
    <w:p>
      <w:pPr>
        <w:pStyle w:val="35"/>
        <w:keepNext w:val="0"/>
        <w:keepLines w:val="0"/>
        <w:pageBreakBefore w:val="0"/>
        <w:widowControl w:val="0"/>
        <w:kinsoku/>
        <w:wordWrap/>
        <w:overflowPunct/>
        <w:topLinePunct w:val="0"/>
        <w:autoSpaceDE/>
        <w:autoSpaceDN/>
        <w:bidi w:val="0"/>
        <w:adjustRightInd w:val="0"/>
        <w:snapToGrid w:val="0"/>
        <w:spacing w:line="540" w:lineRule="exact"/>
        <w:ind w:firstLine="560" w:firstLineChars="200"/>
        <w:jc w:val="both"/>
        <w:textAlignment w:val="baseline"/>
        <w:rPr>
          <w:rFonts w:ascii="仿宋_GB2312" w:hAnsi="仿宋" w:eastAsia="仿宋_GB2312"/>
          <w:color w:val="000000" w:themeColor="text1"/>
          <w:spacing w:val="0"/>
          <w:kern w:val="2"/>
          <w:szCs w:val="28"/>
        </w:rPr>
      </w:pPr>
      <w:r>
        <w:rPr>
          <w:rFonts w:hint="eastAsia" w:ascii="仿宋_GB2312" w:hAnsi="仿宋" w:eastAsia="仿宋_GB2312"/>
          <w:color w:val="000000" w:themeColor="text1"/>
          <w:spacing w:val="0"/>
          <w:kern w:val="2"/>
          <w:szCs w:val="28"/>
        </w:rPr>
        <w:t>t-房地产持有期。</w:t>
      </w:r>
      <w:r>
        <w:rPr>
          <w:rFonts w:hint="eastAsia" w:ascii="仿宋_GB2312" w:hAnsi="仿宋" w:eastAsia="仿宋_GB2312"/>
          <w:color w:val="000000" w:themeColor="text1"/>
          <w:spacing w:val="0"/>
          <w:kern w:val="2"/>
          <w:szCs w:val="28"/>
        </w:rPr>
        <w:fldChar w:fldCharType="begin"/>
      </w:r>
      <w:r>
        <w:rPr>
          <w:rFonts w:hint="eastAsia" w:ascii="仿宋_GB2312" w:hAnsi="仿宋" w:eastAsia="仿宋_GB2312"/>
          <w:color w:val="000000" w:themeColor="text1"/>
          <w:spacing w:val="0"/>
          <w:kern w:val="2"/>
          <w:szCs w:val="28"/>
        </w:rPr>
        <w:instrText xml:space="preserve"> TC "9、估价方法" \f C \l "2"</w:instrText>
      </w:r>
      <w:r>
        <w:rPr>
          <w:rFonts w:hint="eastAsia" w:ascii="仿宋_GB2312" w:hAnsi="仿宋" w:eastAsia="仿宋_GB2312"/>
          <w:color w:val="000000" w:themeColor="text1"/>
          <w:spacing w:val="0"/>
          <w:kern w:val="2"/>
          <w:szCs w:val="28"/>
        </w:rPr>
        <w:fldChar w:fldCharType="end"/>
      </w:r>
    </w:p>
    <w:p>
      <w:pPr>
        <w:snapToGrid w:val="0"/>
        <w:spacing w:line="560" w:lineRule="exact"/>
        <w:ind w:firstLine="560" w:firstLineChars="200"/>
        <w:jc w:val="left"/>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（3）综合分析确定最终估价结果</w:t>
      </w:r>
    </w:p>
    <w:p>
      <w:pPr>
        <w:pageBreakBefore w:val="0"/>
        <w:widowControl w:val="0"/>
        <w:kinsoku/>
        <w:wordWrap/>
        <w:overflowPunct/>
        <w:topLinePunct w:val="0"/>
        <w:autoSpaceDE/>
        <w:autoSpaceDN/>
        <w:bidi w:val="0"/>
        <w:adjustRightInd/>
        <w:snapToGrid w:val="0"/>
        <w:spacing w:line="540" w:lineRule="exact"/>
        <w:ind w:firstLine="560" w:firstLineChars="200"/>
        <w:jc w:val="left"/>
        <w:textAlignment w:val="auto"/>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通过两种不同的估价技术路线，分别得到估价对象的评估单价，经分析两种方法结果的差异及导致差异的原因后，结合当前同类市场实际和估价师经验，分别确定两种方法结果的影响权重，最后确定估价对象市场价值。</w:t>
      </w:r>
    </w:p>
    <w:p>
      <w:pPr>
        <w:pStyle w:val="3"/>
        <w:pageBreakBefore w:val="0"/>
        <w:widowControl w:val="0"/>
        <w:kinsoku/>
        <w:wordWrap/>
        <w:overflowPunct/>
        <w:topLinePunct w:val="0"/>
        <w:autoSpaceDE/>
        <w:autoSpaceDN/>
        <w:bidi w:val="0"/>
        <w:adjustRightInd/>
        <w:snapToGrid w:val="0"/>
        <w:spacing w:before="0" w:after="0" w:line="540" w:lineRule="exact"/>
        <w:ind w:firstLine="562" w:firstLineChars="200"/>
        <w:textAlignment w:val="auto"/>
        <w:rPr>
          <w:rFonts w:ascii="仿宋_GB2312" w:hAnsi="Times New Roman" w:eastAsia="仿宋_GB2312"/>
          <w:color w:val="000000" w:themeColor="text1"/>
          <w:sz w:val="28"/>
          <w:szCs w:val="28"/>
        </w:rPr>
      </w:pPr>
      <w:bookmarkStart w:id="122" w:name="_Toc28880"/>
      <w:bookmarkStart w:id="123" w:name="_Toc14061"/>
      <w:bookmarkStart w:id="124" w:name="_Toc19196"/>
      <w:r>
        <w:rPr>
          <w:rFonts w:hint="eastAsia" w:ascii="仿宋_GB2312" w:hAnsi="Times New Roman" w:eastAsia="仿宋_GB2312"/>
          <w:color w:val="000000" w:themeColor="text1"/>
          <w:sz w:val="28"/>
          <w:szCs w:val="28"/>
        </w:rPr>
        <w:t>十、估价结果</w:t>
      </w:r>
      <w:bookmarkEnd w:id="122"/>
      <w:bookmarkEnd w:id="123"/>
      <w:bookmarkEnd w:id="124"/>
    </w:p>
    <w:p>
      <w:pPr>
        <w:pageBreakBefore w:val="0"/>
        <w:widowControl w:val="0"/>
        <w:kinsoku/>
        <w:wordWrap/>
        <w:overflowPunct/>
        <w:topLinePunct w:val="0"/>
        <w:autoSpaceDE/>
        <w:autoSpaceDN/>
        <w:bidi w:val="0"/>
        <w:adjustRightInd/>
        <w:snapToGrid w:val="0"/>
        <w:spacing w:line="540" w:lineRule="exact"/>
        <w:ind w:firstLine="560" w:firstLineChars="200"/>
        <w:textAlignment w:val="auto"/>
        <w:rPr>
          <w:rFonts w:ascii="仿宋_GB2312" w:hAnsi="宋体" w:eastAsia="仿宋_GB2312" w:cs="宋体"/>
          <w:color w:val="000000" w:themeColor="text1"/>
          <w:sz w:val="28"/>
          <w:szCs w:val="28"/>
        </w:rPr>
      </w:pPr>
      <w:r>
        <w:rPr>
          <w:rFonts w:hint="eastAsia" w:ascii="仿宋_GB2312" w:hAnsi="宋体" w:eastAsia="仿宋_GB2312"/>
          <w:caps/>
          <w:color w:val="000000" w:themeColor="text1"/>
          <w:sz w:val="28"/>
        </w:rPr>
        <w:t>经过实地查勘和市场调查，我们依据国家制定的有关法律、法规、文件及规定的技术标准，本着独立、客观、公正、合法的原则，按照严谨的估价程序，在认真分析所掌握资料与影响估价对象价值诸因素的基础上，选用比较法和收益法进行了分析、测算和判断</w:t>
      </w:r>
      <w:r>
        <w:rPr>
          <w:rFonts w:hint="eastAsia" w:ascii="仿宋_GB2312" w:hAnsi="仿宋" w:eastAsia="仿宋_GB2312"/>
          <w:color w:val="000000" w:themeColor="text1"/>
          <w:sz w:val="28"/>
          <w:szCs w:val="28"/>
        </w:rPr>
        <w:t>最终确定估价对象在价值时点</w:t>
      </w:r>
      <w:r>
        <w:rPr>
          <w:rFonts w:hint="eastAsia" w:ascii="仿宋_GB2312" w:hAnsi="仿宋" w:eastAsia="仿宋_GB2312"/>
          <w:color w:val="000000" w:themeColor="text1"/>
          <w:sz w:val="28"/>
          <w:szCs w:val="28"/>
          <w:lang w:eastAsia="zh-CN"/>
        </w:rPr>
        <w:t>2021年9月10日</w:t>
      </w:r>
      <w:r>
        <w:rPr>
          <w:rFonts w:hint="eastAsia" w:ascii="仿宋_GB2312" w:hAnsi="仿宋" w:eastAsia="仿宋_GB2312"/>
          <w:color w:val="000000" w:themeColor="text1"/>
          <w:sz w:val="28"/>
          <w:szCs w:val="28"/>
        </w:rPr>
        <w:t>的房地产市场价值为人民币</w:t>
      </w:r>
      <w:r>
        <w:rPr>
          <w:rFonts w:hint="eastAsia" w:ascii="仿宋_GB2312" w:hAnsi="仿宋" w:eastAsia="仿宋_GB2312"/>
          <w:color w:val="000000" w:themeColor="text1"/>
          <w:sz w:val="28"/>
          <w:szCs w:val="28"/>
          <w:lang w:eastAsia="zh-CN"/>
        </w:rPr>
        <w:t>185.40</w:t>
      </w:r>
      <w:r>
        <w:rPr>
          <w:rFonts w:hint="eastAsia" w:ascii="仿宋_GB2312" w:hAnsi="仿宋" w:eastAsia="仿宋_GB2312"/>
          <w:color w:val="000000" w:themeColor="text1"/>
          <w:sz w:val="28"/>
          <w:szCs w:val="28"/>
        </w:rPr>
        <w:t>万元，人民币大写：</w:t>
      </w:r>
      <w:bookmarkEnd w:id="119"/>
      <w:bookmarkEnd w:id="120"/>
      <w:bookmarkEnd w:id="121"/>
      <w:bookmarkStart w:id="125" w:name="_Toc432411980"/>
      <w:bookmarkStart w:id="126" w:name="_Toc155258973"/>
      <w:r>
        <w:rPr>
          <w:rFonts w:hint="eastAsia" w:ascii="仿宋_GB2312" w:hAnsi="仿宋" w:eastAsia="仿宋_GB2312"/>
          <w:color w:val="000000" w:themeColor="text1"/>
          <w:sz w:val="28"/>
          <w:szCs w:val="28"/>
          <w:lang w:eastAsia="zh-CN"/>
        </w:rPr>
        <w:t>壹佰捌拾伍万肆仟</w:t>
      </w:r>
      <w:r>
        <w:rPr>
          <w:rFonts w:hint="eastAsia" w:ascii="仿宋_GB2312" w:hAnsi="仿宋" w:eastAsia="仿宋_GB2312"/>
          <w:color w:val="000000" w:themeColor="text1"/>
          <w:sz w:val="28"/>
          <w:szCs w:val="28"/>
        </w:rPr>
        <w:t>元整</w:t>
      </w:r>
      <w:r>
        <w:rPr>
          <w:rFonts w:hint="eastAsia" w:ascii="仿宋_GB2312" w:hAnsi="宋体" w:eastAsia="仿宋_GB2312" w:cs="宋体"/>
          <w:color w:val="000000" w:themeColor="text1"/>
          <w:sz w:val="28"/>
          <w:szCs w:val="28"/>
        </w:rPr>
        <w:t>，房地产单价：</w:t>
      </w:r>
      <w:r>
        <w:rPr>
          <w:rFonts w:hint="eastAsia" w:ascii="仿宋_GB2312" w:hAnsi="宋体" w:eastAsia="仿宋_GB2312" w:cs="宋体"/>
          <w:color w:val="000000" w:themeColor="text1"/>
          <w:sz w:val="28"/>
          <w:szCs w:val="28"/>
          <w:lang w:eastAsia="zh-CN"/>
        </w:rPr>
        <w:t>12501</w:t>
      </w:r>
      <w:r>
        <w:rPr>
          <w:rFonts w:hint="eastAsia" w:ascii="仿宋_GB2312" w:hAnsi="宋体" w:eastAsia="仿宋_GB2312" w:cs="宋体"/>
          <w:color w:val="000000" w:themeColor="text1"/>
          <w:sz w:val="28"/>
          <w:szCs w:val="28"/>
        </w:rPr>
        <w:t>元/平方米。</w:t>
      </w:r>
    </w:p>
    <w:p>
      <w:pPr>
        <w:pStyle w:val="3"/>
        <w:keepNext w:val="0"/>
        <w:keepLines w:val="0"/>
        <w:snapToGrid w:val="0"/>
        <w:spacing w:before="0" w:after="0" w:line="560" w:lineRule="exact"/>
        <w:ind w:firstLine="562" w:firstLineChars="200"/>
        <w:rPr>
          <w:color w:val="000000" w:themeColor="text1"/>
        </w:rPr>
      </w:pPr>
      <w:bookmarkStart w:id="127" w:name="_Toc25750"/>
      <w:bookmarkStart w:id="128" w:name="_Toc21593"/>
      <w:bookmarkStart w:id="129" w:name="_Toc12654"/>
      <w:r>
        <w:rPr>
          <w:rFonts w:hint="eastAsia" w:ascii="仿宋_GB2312" w:hAnsi="仿宋_GB2312" w:eastAsia="仿宋_GB2312" w:cs="仿宋_GB2312"/>
          <w:color w:val="000000" w:themeColor="text1"/>
          <w:sz w:val="28"/>
          <w:szCs w:val="28"/>
        </w:rPr>
        <w:t>十一、注册房地产估价师</w:t>
      </w:r>
      <w:bookmarkEnd w:id="125"/>
      <w:bookmarkEnd w:id="127"/>
      <w:bookmarkEnd w:id="128"/>
      <w:bookmarkEnd w:id="129"/>
    </w:p>
    <w:p>
      <w:pPr>
        <w:adjustRightInd w:val="0"/>
        <w:snapToGrid w:val="0"/>
        <w:spacing w:line="560" w:lineRule="exact"/>
        <w:ind w:firstLine="560" w:firstLineChars="200"/>
        <w:rPr>
          <w:rFonts w:ascii="仿宋_GB2312" w:eastAsia="仿宋_GB2312"/>
          <w:color w:val="000000" w:themeColor="text1"/>
          <w:sz w:val="26"/>
          <w:szCs w:val="26"/>
        </w:rPr>
      </w:pPr>
      <w:bookmarkStart w:id="130" w:name="_Toc432411981"/>
      <w:bookmarkStart w:id="131" w:name="_Toc155258974"/>
      <w:bookmarkStart w:id="132" w:name="_Toc382493631"/>
      <w:r>
        <w:rPr>
          <w:rFonts w:hint="eastAsia" w:ascii="仿宋_GB2312" w:eastAsia="仿宋_GB2312"/>
          <w:color w:val="000000" w:themeColor="text1"/>
          <w:sz w:val="28"/>
          <w:szCs w:val="28"/>
        </w:rPr>
        <w:t>参加估价的注册房地产估价师为</w:t>
      </w:r>
      <w:r>
        <w:rPr>
          <w:rFonts w:hint="eastAsia" w:ascii="仿宋_GB2312" w:eastAsia="仿宋_GB2312"/>
          <w:color w:val="000000" w:themeColor="text1"/>
          <w:sz w:val="26"/>
          <w:szCs w:val="26"/>
        </w:rPr>
        <w:t>：</w:t>
      </w:r>
    </w:p>
    <w:tbl>
      <w:tblPr>
        <w:tblStyle w:val="49"/>
        <w:tblW w:w="87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2229"/>
        <w:gridCol w:w="2377"/>
        <w:gridCol w:w="2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41" w:type="dxa"/>
            <w:vAlign w:val="center"/>
          </w:tcPr>
          <w:p>
            <w:pPr>
              <w:tabs>
                <w:tab w:val="left" w:pos="735"/>
              </w:tabs>
              <w:overflowPunct w:val="0"/>
              <w:spacing w:line="540" w:lineRule="exact"/>
              <w:jc w:val="center"/>
              <w:rPr>
                <w:rFonts w:ascii="Arial" w:hAnsi="Arial" w:eastAsia="仿宋_GB2312" w:cs="Arial"/>
                <w:color w:val="000000" w:themeColor="text1"/>
                <w:sz w:val="28"/>
                <w:szCs w:val="28"/>
              </w:rPr>
            </w:pPr>
            <w:r>
              <w:rPr>
                <w:rFonts w:ascii="Arial" w:hAnsi="Arial" w:eastAsia="仿宋_GB2312" w:cs="Arial"/>
                <w:color w:val="000000" w:themeColor="text1"/>
                <w:sz w:val="28"/>
                <w:szCs w:val="28"/>
              </w:rPr>
              <w:t>姓名</w:t>
            </w:r>
          </w:p>
        </w:tc>
        <w:tc>
          <w:tcPr>
            <w:tcW w:w="2229" w:type="dxa"/>
            <w:vAlign w:val="center"/>
          </w:tcPr>
          <w:p>
            <w:pPr>
              <w:tabs>
                <w:tab w:val="left" w:pos="735"/>
              </w:tabs>
              <w:overflowPunct w:val="0"/>
              <w:spacing w:line="540" w:lineRule="exact"/>
              <w:jc w:val="center"/>
              <w:rPr>
                <w:rFonts w:ascii="Arial" w:hAnsi="Arial" w:eastAsia="仿宋_GB2312" w:cs="Arial"/>
                <w:color w:val="000000" w:themeColor="text1"/>
                <w:sz w:val="28"/>
                <w:szCs w:val="28"/>
              </w:rPr>
            </w:pPr>
            <w:r>
              <w:rPr>
                <w:rFonts w:hint="eastAsia" w:ascii="Arial" w:hAnsi="Arial" w:eastAsia="仿宋_GB2312" w:cs="Arial"/>
                <w:color w:val="000000" w:themeColor="text1"/>
                <w:sz w:val="28"/>
                <w:szCs w:val="28"/>
              </w:rPr>
              <w:t>注册号</w:t>
            </w:r>
          </w:p>
        </w:tc>
        <w:tc>
          <w:tcPr>
            <w:tcW w:w="2377" w:type="dxa"/>
            <w:vAlign w:val="center"/>
          </w:tcPr>
          <w:p>
            <w:pPr>
              <w:tabs>
                <w:tab w:val="left" w:pos="735"/>
              </w:tabs>
              <w:overflowPunct w:val="0"/>
              <w:spacing w:line="540" w:lineRule="exact"/>
              <w:jc w:val="center"/>
              <w:rPr>
                <w:rFonts w:ascii="Arial" w:hAnsi="Arial" w:eastAsia="仿宋_GB2312" w:cs="Arial"/>
                <w:color w:val="000000" w:themeColor="text1"/>
                <w:sz w:val="28"/>
                <w:szCs w:val="28"/>
              </w:rPr>
            </w:pPr>
            <w:r>
              <w:rPr>
                <w:rFonts w:hint="eastAsia" w:ascii="Arial" w:hAnsi="Arial" w:eastAsia="仿宋_GB2312" w:cs="Arial"/>
                <w:color w:val="000000" w:themeColor="text1"/>
                <w:sz w:val="28"/>
                <w:szCs w:val="28"/>
              </w:rPr>
              <w:t>签  名</w:t>
            </w:r>
          </w:p>
        </w:tc>
        <w:tc>
          <w:tcPr>
            <w:tcW w:w="2530" w:type="dxa"/>
            <w:vAlign w:val="center"/>
          </w:tcPr>
          <w:p>
            <w:pPr>
              <w:tabs>
                <w:tab w:val="left" w:pos="735"/>
              </w:tabs>
              <w:overflowPunct w:val="0"/>
              <w:spacing w:line="540" w:lineRule="exact"/>
              <w:jc w:val="center"/>
              <w:rPr>
                <w:rFonts w:ascii="Arial" w:hAnsi="Arial" w:eastAsia="仿宋_GB2312" w:cs="Arial"/>
                <w:color w:val="000000" w:themeColor="text1"/>
                <w:sz w:val="28"/>
                <w:szCs w:val="28"/>
              </w:rPr>
            </w:pPr>
            <w:r>
              <w:rPr>
                <w:rFonts w:ascii="Arial" w:hAnsi="Arial" w:eastAsia="仿宋_GB2312" w:cs="Arial"/>
                <w:color w:val="000000" w:themeColor="text1"/>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641" w:type="dxa"/>
            <w:vAlign w:val="center"/>
          </w:tcPr>
          <w:p>
            <w:pPr>
              <w:tabs>
                <w:tab w:val="left" w:pos="735"/>
              </w:tabs>
              <w:overflowPunct w:val="0"/>
              <w:spacing w:line="540" w:lineRule="exact"/>
              <w:jc w:val="center"/>
              <w:rPr>
                <w:rFonts w:hint="eastAsia" w:ascii="Arial" w:hAnsi="Arial" w:eastAsia="仿宋_GB2312" w:cs="Arial"/>
                <w:color w:val="000000" w:themeColor="text1"/>
                <w:sz w:val="28"/>
                <w:szCs w:val="28"/>
                <w:lang w:eastAsia="zh-CN"/>
              </w:rPr>
            </w:pPr>
            <w:r>
              <w:rPr>
                <w:rFonts w:hint="eastAsia" w:ascii="Arial" w:hAnsi="Arial" w:eastAsia="仿宋_GB2312" w:cs="Arial"/>
                <w:color w:val="000000" w:themeColor="text1"/>
                <w:sz w:val="28"/>
                <w:szCs w:val="28"/>
                <w:lang w:eastAsia="zh-CN"/>
              </w:rPr>
              <w:t>刘  倩</w:t>
            </w:r>
          </w:p>
        </w:tc>
        <w:tc>
          <w:tcPr>
            <w:tcW w:w="2229" w:type="dxa"/>
            <w:vAlign w:val="center"/>
          </w:tcPr>
          <w:p>
            <w:pPr>
              <w:snapToGrid w:val="0"/>
              <w:spacing w:line="560" w:lineRule="exact"/>
              <w:jc w:val="center"/>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lang w:eastAsia="zh-CN"/>
              </w:rPr>
              <w:t>1320210061</w:t>
            </w:r>
          </w:p>
        </w:tc>
        <w:tc>
          <w:tcPr>
            <w:tcW w:w="2377" w:type="dxa"/>
            <w:vAlign w:val="center"/>
          </w:tcPr>
          <w:p>
            <w:pPr>
              <w:tabs>
                <w:tab w:val="left" w:pos="735"/>
              </w:tabs>
              <w:overflowPunct w:val="0"/>
              <w:spacing w:line="540" w:lineRule="exact"/>
              <w:jc w:val="center"/>
              <w:rPr>
                <w:rFonts w:ascii="仿宋_GB2312" w:eastAsia="仿宋_GB2312" w:cs="仿宋_GB2312"/>
                <w:color w:val="000000" w:themeColor="text1"/>
                <w:sz w:val="32"/>
              </w:rPr>
            </w:pPr>
          </w:p>
        </w:tc>
        <w:tc>
          <w:tcPr>
            <w:tcW w:w="2530" w:type="dxa"/>
            <w:vAlign w:val="center"/>
          </w:tcPr>
          <w:p>
            <w:pPr>
              <w:tabs>
                <w:tab w:val="left" w:pos="735"/>
              </w:tabs>
              <w:wordWrap w:val="0"/>
              <w:overflowPunct w:val="0"/>
              <w:spacing w:line="540" w:lineRule="exact"/>
              <w:jc w:val="center"/>
              <w:rPr>
                <w:rFonts w:ascii="Arial" w:hAnsi="Arial" w:eastAsia="仿宋" w:cs="Arial"/>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641" w:type="dxa"/>
            <w:vAlign w:val="center"/>
          </w:tcPr>
          <w:p>
            <w:pPr>
              <w:tabs>
                <w:tab w:val="left" w:pos="735"/>
              </w:tabs>
              <w:overflowPunct w:val="0"/>
              <w:spacing w:line="540" w:lineRule="exact"/>
              <w:jc w:val="center"/>
              <w:rPr>
                <w:rFonts w:hint="eastAsia" w:ascii="Arial" w:hAnsi="Arial" w:eastAsia="仿宋_GB2312" w:cs="Arial"/>
                <w:color w:val="000000" w:themeColor="text1"/>
                <w:sz w:val="28"/>
                <w:szCs w:val="28"/>
                <w:lang w:eastAsia="zh-CN"/>
              </w:rPr>
            </w:pPr>
            <w:r>
              <w:rPr>
                <w:rFonts w:hint="eastAsia" w:ascii="Arial" w:hAnsi="Arial" w:eastAsia="仿宋_GB2312" w:cs="Arial"/>
                <w:color w:val="000000" w:themeColor="text1"/>
                <w:sz w:val="28"/>
                <w:szCs w:val="28"/>
                <w:lang w:eastAsia="zh-CN"/>
              </w:rPr>
              <w:t>蒲亚维</w:t>
            </w:r>
          </w:p>
        </w:tc>
        <w:tc>
          <w:tcPr>
            <w:tcW w:w="2229" w:type="dxa"/>
            <w:vAlign w:val="center"/>
          </w:tcPr>
          <w:p>
            <w:pPr>
              <w:snapToGrid w:val="0"/>
              <w:spacing w:line="560" w:lineRule="exact"/>
              <w:jc w:val="center"/>
              <w:rPr>
                <w:rFonts w:hint="eastAsia" w:ascii="仿宋_GB2312" w:hAnsi="仿宋" w:eastAsia="仿宋_GB2312"/>
                <w:color w:val="000000" w:themeColor="text1"/>
                <w:sz w:val="28"/>
                <w:szCs w:val="28"/>
                <w:lang w:eastAsia="zh-CN"/>
              </w:rPr>
            </w:pPr>
            <w:r>
              <w:rPr>
                <w:rFonts w:hint="eastAsia" w:ascii="仿宋_GB2312" w:hAnsi="仿宋" w:eastAsia="仿宋_GB2312"/>
                <w:color w:val="000000" w:themeColor="text1"/>
                <w:sz w:val="28"/>
                <w:szCs w:val="28"/>
                <w:lang w:eastAsia="zh-CN"/>
              </w:rPr>
              <w:t>1320200042</w:t>
            </w:r>
          </w:p>
        </w:tc>
        <w:tc>
          <w:tcPr>
            <w:tcW w:w="2377" w:type="dxa"/>
            <w:vAlign w:val="center"/>
          </w:tcPr>
          <w:p>
            <w:pPr>
              <w:tabs>
                <w:tab w:val="left" w:pos="2520"/>
              </w:tabs>
              <w:adjustRightInd w:val="0"/>
              <w:snapToGrid w:val="0"/>
              <w:spacing w:line="540" w:lineRule="exact"/>
              <w:jc w:val="center"/>
              <w:rPr>
                <w:rFonts w:ascii="仿宋_GB2312" w:eastAsia="仿宋_GB2312"/>
                <w:color w:val="000000" w:themeColor="text1"/>
                <w:sz w:val="28"/>
                <w:szCs w:val="28"/>
              </w:rPr>
            </w:pPr>
          </w:p>
        </w:tc>
        <w:tc>
          <w:tcPr>
            <w:tcW w:w="2530" w:type="dxa"/>
            <w:vAlign w:val="center"/>
          </w:tcPr>
          <w:p>
            <w:pPr>
              <w:tabs>
                <w:tab w:val="left" w:pos="735"/>
              </w:tabs>
              <w:wordWrap w:val="0"/>
              <w:overflowPunct w:val="0"/>
              <w:spacing w:line="540" w:lineRule="exact"/>
              <w:jc w:val="center"/>
              <w:rPr>
                <w:rFonts w:ascii="Arial" w:hAnsi="Arial" w:eastAsia="仿宋" w:cs="Arial"/>
                <w:color w:val="000000" w:themeColor="text1"/>
                <w:sz w:val="28"/>
                <w:szCs w:val="28"/>
              </w:rPr>
            </w:pPr>
          </w:p>
        </w:tc>
      </w:tr>
    </w:tbl>
    <w:p>
      <w:pPr>
        <w:pStyle w:val="3"/>
        <w:pageBreakBefore w:val="0"/>
        <w:widowControl w:val="0"/>
        <w:kinsoku/>
        <w:wordWrap/>
        <w:overflowPunct/>
        <w:topLinePunct w:val="0"/>
        <w:autoSpaceDE/>
        <w:autoSpaceDN/>
        <w:bidi w:val="0"/>
        <w:snapToGrid w:val="0"/>
        <w:spacing w:before="0" w:after="0" w:line="520" w:lineRule="exact"/>
        <w:ind w:firstLine="562" w:firstLineChars="200"/>
        <w:textAlignment w:val="auto"/>
        <w:rPr>
          <w:rFonts w:ascii="仿宋_GB2312" w:hAnsi="仿宋_GB2312" w:eastAsia="仿宋_GB2312" w:cs="仿宋_GB2312"/>
          <w:color w:val="000000" w:themeColor="text1"/>
          <w:sz w:val="28"/>
          <w:szCs w:val="28"/>
        </w:rPr>
      </w:pPr>
      <w:bookmarkStart w:id="133" w:name="_Toc20466"/>
      <w:bookmarkStart w:id="134" w:name="_Toc31355"/>
      <w:bookmarkStart w:id="135" w:name="_Toc4900"/>
      <w:r>
        <w:rPr>
          <w:rFonts w:hint="eastAsia" w:ascii="仿宋_GB2312" w:hAnsi="仿宋_GB2312" w:eastAsia="仿宋_GB2312" w:cs="仿宋_GB2312"/>
          <w:color w:val="000000" w:themeColor="text1"/>
          <w:sz w:val="28"/>
          <w:szCs w:val="28"/>
        </w:rPr>
        <w:t>十二、实地查勘期</w:t>
      </w:r>
      <w:bookmarkEnd w:id="130"/>
      <w:bookmarkEnd w:id="131"/>
      <w:bookmarkEnd w:id="132"/>
      <w:r>
        <w:rPr>
          <w:rFonts w:hint="eastAsia" w:ascii="仿宋_GB2312" w:hAnsi="仿宋_GB2312" w:eastAsia="仿宋_GB2312" w:cs="仿宋_GB2312"/>
          <w:color w:val="000000" w:themeColor="text1"/>
          <w:sz w:val="28"/>
          <w:szCs w:val="28"/>
        </w:rPr>
        <w:fldChar w:fldCharType="begin"/>
      </w:r>
      <w:r>
        <w:rPr>
          <w:rFonts w:hint="eastAsia" w:ascii="仿宋_GB2312" w:hAnsi="仿宋_GB2312" w:eastAsia="仿宋_GB2312" w:cs="仿宋_GB2312"/>
          <w:color w:val="000000" w:themeColor="text1"/>
          <w:sz w:val="28"/>
          <w:szCs w:val="28"/>
        </w:rPr>
        <w:instrText xml:space="preserve"> TC "</w:instrText>
      </w:r>
      <w:bookmarkStart w:id="136" w:name="_Toc289260260"/>
      <w:bookmarkStart w:id="137" w:name="_Toc288212029"/>
      <w:r>
        <w:rPr>
          <w:rFonts w:hint="eastAsia" w:ascii="仿宋_GB2312" w:hAnsi="仿宋_GB2312" w:eastAsia="仿宋_GB2312" w:cs="仿宋_GB2312"/>
          <w:color w:val="000000" w:themeColor="text1"/>
          <w:sz w:val="28"/>
          <w:szCs w:val="28"/>
        </w:rPr>
        <w:instrText xml:space="preserve">12、估价作业日期</w:instrText>
      </w:r>
      <w:bookmarkEnd w:id="136"/>
      <w:bookmarkEnd w:id="137"/>
      <w:r>
        <w:rPr>
          <w:rFonts w:hint="eastAsia" w:ascii="仿宋_GB2312" w:hAnsi="仿宋_GB2312" w:eastAsia="仿宋_GB2312" w:cs="仿宋_GB2312"/>
          <w:color w:val="000000" w:themeColor="text1"/>
          <w:sz w:val="28"/>
          <w:szCs w:val="28"/>
        </w:rPr>
        <w:instrText xml:space="preserve">" \f C \l "2"</w:instrText>
      </w:r>
      <w:r>
        <w:rPr>
          <w:rFonts w:hint="eastAsia" w:ascii="仿宋_GB2312" w:hAnsi="仿宋_GB2312" w:eastAsia="仿宋_GB2312" w:cs="仿宋_GB2312"/>
          <w:color w:val="000000" w:themeColor="text1"/>
          <w:sz w:val="28"/>
          <w:szCs w:val="28"/>
        </w:rPr>
        <w:fldChar w:fldCharType="end"/>
      </w:r>
      <w:bookmarkEnd w:id="133"/>
      <w:bookmarkEnd w:id="134"/>
      <w:bookmarkEnd w:id="135"/>
    </w:p>
    <w:p>
      <w:pPr>
        <w:pageBreakBefore w:val="0"/>
        <w:widowControl w:val="0"/>
        <w:kinsoku/>
        <w:wordWrap/>
        <w:overflowPunct/>
        <w:topLinePunct w:val="0"/>
        <w:autoSpaceDE/>
        <w:autoSpaceDN/>
        <w:bidi w:val="0"/>
        <w:snapToGrid w:val="0"/>
        <w:spacing w:line="520" w:lineRule="exact"/>
        <w:ind w:firstLine="560" w:firstLineChars="200"/>
        <w:textAlignment w:val="auto"/>
        <w:rPr>
          <w:rFonts w:hint="eastAsia" w:ascii="仿宋_GB2312" w:eastAsia="仿宋_GB2312"/>
          <w:color w:val="000000" w:themeColor="text1"/>
          <w:sz w:val="28"/>
          <w:szCs w:val="28"/>
          <w:lang w:eastAsia="zh-CN"/>
        </w:rPr>
      </w:pPr>
      <w:bookmarkStart w:id="138" w:name="_Toc432411982"/>
      <w:bookmarkStart w:id="139" w:name="_Toc382493632"/>
      <w:r>
        <w:rPr>
          <w:rFonts w:hint="eastAsia" w:ascii="仿宋_GB2312" w:eastAsia="仿宋_GB2312"/>
          <w:color w:val="000000" w:themeColor="text1"/>
          <w:sz w:val="28"/>
          <w:szCs w:val="28"/>
          <w:lang w:eastAsia="zh-CN"/>
        </w:rPr>
        <w:t>2021年9月10日</w:t>
      </w:r>
    </w:p>
    <w:p>
      <w:pPr>
        <w:pStyle w:val="3"/>
        <w:pageBreakBefore w:val="0"/>
        <w:widowControl w:val="0"/>
        <w:kinsoku/>
        <w:wordWrap/>
        <w:overflowPunct/>
        <w:topLinePunct w:val="0"/>
        <w:autoSpaceDE/>
        <w:autoSpaceDN/>
        <w:bidi w:val="0"/>
        <w:snapToGrid w:val="0"/>
        <w:spacing w:before="0" w:after="0" w:line="520" w:lineRule="exact"/>
        <w:ind w:firstLine="562" w:firstLineChars="200"/>
        <w:textAlignment w:val="auto"/>
        <w:rPr>
          <w:rFonts w:ascii="仿宋_GB2312" w:hAnsi="仿宋_GB2312" w:eastAsia="仿宋_GB2312" w:cs="仿宋_GB2312"/>
          <w:color w:val="000000" w:themeColor="text1"/>
          <w:sz w:val="28"/>
          <w:szCs w:val="28"/>
        </w:rPr>
      </w:pPr>
      <w:bookmarkStart w:id="140" w:name="_Toc30935"/>
      <w:bookmarkStart w:id="141" w:name="_Toc2939"/>
      <w:bookmarkStart w:id="142" w:name="_Toc4940"/>
      <w:r>
        <w:rPr>
          <w:rFonts w:hint="eastAsia" w:ascii="仿宋_GB2312" w:hAnsi="仿宋_GB2312" w:eastAsia="仿宋_GB2312" w:cs="仿宋_GB2312"/>
          <w:color w:val="000000" w:themeColor="text1"/>
          <w:sz w:val="28"/>
          <w:szCs w:val="28"/>
        </w:rPr>
        <w:t>十三、估价作业期</w:t>
      </w:r>
      <w:bookmarkEnd w:id="138"/>
      <w:bookmarkEnd w:id="139"/>
      <w:r>
        <w:rPr>
          <w:rFonts w:hint="eastAsia" w:ascii="仿宋_GB2312" w:hAnsi="仿宋_GB2312" w:eastAsia="仿宋_GB2312" w:cs="仿宋_GB2312"/>
          <w:color w:val="000000" w:themeColor="text1"/>
          <w:sz w:val="28"/>
          <w:szCs w:val="28"/>
        </w:rPr>
        <w:fldChar w:fldCharType="begin"/>
      </w:r>
      <w:r>
        <w:rPr>
          <w:rFonts w:hint="eastAsia" w:ascii="仿宋_GB2312" w:hAnsi="仿宋_GB2312" w:eastAsia="仿宋_GB2312" w:cs="仿宋_GB2312"/>
          <w:color w:val="000000" w:themeColor="text1"/>
          <w:sz w:val="28"/>
          <w:szCs w:val="28"/>
        </w:rPr>
        <w:instrText xml:space="preserve"> TC "</w:instrText>
      </w:r>
      <w:bookmarkStart w:id="143" w:name="_Toc288212030"/>
      <w:bookmarkStart w:id="144" w:name="_Toc289260261"/>
      <w:r>
        <w:rPr>
          <w:rFonts w:hint="eastAsia" w:ascii="仿宋_GB2312" w:hAnsi="仿宋_GB2312" w:eastAsia="仿宋_GB2312" w:cs="仿宋_GB2312"/>
          <w:color w:val="000000" w:themeColor="text1"/>
          <w:sz w:val="28"/>
          <w:szCs w:val="28"/>
        </w:rPr>
        <w:instrText xml:space="preserve">13、估价报告使用期限</w:instrText>
      </w:r>
      <w:bookmarkEnd w:id="143"/>
      <w:bookmarkEnd w:id="144"/>
      <w:r>
        <w:rPr>
          <w:rFonts w:hint="eastAsia" w:ascii="仿宋_GB2312" w:hAnsi="仿宋_GB2312" w:eastAsia="仿宋_GB2312" w:cs="仿宋_GB2312"/>
          <w:color w:val="000000" w:themeColor="text1"/>
          <w:sz w:val="28"/>
          <w:szCs w:val="28"/>
        </w:rPr>
        <w:instrText xml:space="preserve">" \f C \l "2"</w:instrText>
      </w:r>
      <w:r>
        <w:rPr>
          <w:rFonts w:hint="eastAsia" w:ascii="仿宋_GB2312" w:hAnsi="仿宋_GB2312" w:eastAsia="仿宋_GB2312" w:cs="仿宋_GB2312"/>
          <w:color w:val="000000" w:themeColor="text1"/>
          <w:sz w:val="28"/>
          <w:szCs w:val="28"/>
        </w:rPr>
        <w:fldChar w:fldCharType="end"/>
      </w:r>
      <w:bookmarkEnd w:id="140"/>
      <w:bookmarkEnd w:id="141"/>
      <w:bookmarkEnd w:id="142"/>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_GB2312" w:eastAsia="仿宋_GB2312"/>
          <w:color w:val="000000" w:themeColor="text1"/>
          <w:sz w:val="28"/>
          <w:szCs w:val="28"/>
          <w:highlight w:val="yellow"/>
          <w:lang w:eastAsia="zh-CN"/>
        </w:rPr>
      </w:pPr>
      <w:r>
        <w:rPr>
          <w:rFonts w:hint="eastAsia" w:ascii="仿宋_GB2312" w:eastAsia="仿宋_GB2312"/>
          <w:color w:val="000000" w:themeColor="text1"/>
          <w:sz w:val="28"/>
          <w:szCs w:val="28"/>
          <w:lang w:eastAsia="zh-CN"/>
        </w:rPr>
        <w:t>2021年9月10日</w:t>
      </w:r>
      <w:r>
        <w:rPr>
          <w:rFonts w:hint="eastAsia" w:ascii="仿宋_GB2312" w:eastAsia="仿宋_GB2312"/>
          <w:color w:val="000000" w:themeColor="text1"/>
          <w:sz w:val="28"/>
          <w:szCs w:val="28"/>
        </w:rPr>
        <w:t>至</w:t>
      </w:r>
      <w:r>
        <w:rPr>
          <w:rFonts w:hint="eastAsia" w:ascii="仿宋_GB2312" w:eastAsia="仿宋_GB2312"/>
          <w:color w:val="000000" w:themeColor="text1"/>
          <w:sz w:val="28"/>
          <w:szCs w:val="28"/>
          <w:highlight w:val="none"/>
          <w:lang w:eastAsia="zh-CN"/>
        </w:rPr>
        <w:t>2021年9月26日</w:t>
      </w:r>
    </w:p>
    <w:p>
      <w:pPr>
        <w:pageBreakBefore w:val="0"/>
        <w:widowControl w:val="0"/>
        <w:kinsoku/>
        <w:wordWrap/>
        <w:overflowPunct/>
        <w:topLinePunct w:val="0"/>
        <w:autoSpaceDE/>
        <w:autoSpaceDN/>
        <w:bidi w:val="0"/>
        <w:adjustRightInd w:val="0"/>
        <w:snapToGrid w:val="0"/>
        <w:spacing w:line="520" w:lineRule="exact"/>
        <w:ind w:firstLine="562" w:firstLineChars="200"/>
        <w:textAlignment w:val="auto"/>
        <w:outlineLvl w:val="1"/>
        <w:rPr>
          <w:rFonts w:ascii="仿宋_GB2312" w:eastAsia="仿宋_GB2312"/>
          <w:color w:val="000000" w:themeColor="text1"/>
          <w:sz w:val="28"/>
          <w:szCs w:val="28"/>
        </w:rPr>
      </w:pPr>
      <w:bookmarkStart w:id="145" w:name="_Toc11024"/>
      <w:bookmarkStart w:id="146" w:name="_Toc6156"/>
      <w:bookmarkStart w:id="147" w:name="_Toc17705"/>
      <w:r>
        <w:rPr>
          <w:rFonts w:hint="eastAsia" w:ascii="仿宋_GB2312" w:hAnsi="仿宋_GB2312" w:eastAsia="仿宋_GB2312" w:cs="仿宋_GB2312"/>
          <w:b/>
          <w:bCs/>
          <w:color w:val="000000" w:themeColor="text1"/>
          <w:sz w:val="28"/>
          <w:szCs w:val="28"/>
        </w:rPr>
        <w:t>十四、估价报告使用期限及限制</w:t>
      </w:r>
      <w:bookmarkEnd w:id="145"/>
      <w:bookmarkEnd w:id="146"/>
      <w:bookmarkEnd w:id="147"/>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ascii="仿宋_GB2312" w:eastAsia="仿宋_GB2312"/>
          <w:color w:val="000000" w:themeColor="text1"/>
          <w:sz w:val="28"/>
          <w:szCs w:val="28"/>
        </w:rPr>
      </w:pPr>
      <w:r>
        <w:rPr>
          <w:rFonts w:hint="eastAsia" w:ascii="仿宋_GB2312" w:eastAsia="仿宋_GB2312"/>
          <w:color w:val="000000" w:themeColor="text1"/>
          <w:sz w:val="28"/>
          <w:szCs w:val="28"/>
        </w:rPr>
        <w:t>1、本估价报告自出具之日起一年内有效，即</w:t>
      </w:r>
      <w:r>
        <w:rPr>
          <w:rFonts w:hint="eastAsia" w:ascii="仿宋_GB2312" w:eastAsia="仿宋_GB2312"/>
          <w:color w:val="000000" w:themeColor="text1"/>
          <w:sz w:val="28"/>
          <w:szCs w:val="28"/>
          <w:highlight w:val="none"/>
        </w:rPr>
        <w:t>自</w:t>
      </w:r>
      <w:r>
        <w:rPr>
          <w:rFonts w:hint="eastAsia" w:ascii="仿宋_GB2312" w:eastAsia="仿宋_GB2312"/>
          <w:color w:val="000000" w:themeColor="text1"/>
          <w:sz w:val="28"/>
          <w:szCs w:val="28"/>
          <w:highlight w:val="none"/>
          <w:lang w:eastAsia="zh-CN"/>
        </w:rPr>
        <w:t>2021年9月26日</w:t>
      </w:r>
      <w:r>
        <w:rPr>
          <w:rFonts w:hint="eastAsia" w:ascii="仿宋_GB2312" w:eastAsia="仿宋_GB2312"/>
          <w:color w:val="000000" w:themeColor="text1"/>
          <w:sz w:val="28"/>
          <w:szCs w:val="28"/>
          <w:highlight w:val="none"/>
        </w:rPr>
        <w:t>至2022年</w:t>
      </w:r>
      <w:r>
        <w:rPr>
          <w:rFonts w:hint="eastAsia" w:ascii="仿宋_GB2312" w:eastAsia="仿宋_GB2312"/>
          <w:color w:val="000000" w:themeColor="text1"/>
          <w:sz w:val="28"/>
          <w:szCs w:val="28"/>
          <w:highlight w:val="none"/>
          <w:lang w:val="en-US" w:eastAsia="zh-CN"/>
        </w:rPr>
        <w:t>9</w:t>
      </w:r>
      <w:r>
        <w:rPr>
          <w:rFonts w:hint="eastAsia" w:ascii="仿宋_GB2312" w:eastAsia="仿宋_GB2312"/>
          <w:color w:val="000000" w:themeColor="text1"/>
          <w:sz w:val="28"/>
          <w:szCs w:val="28"/>
          <w:highlight w:val="none"/>
        </w:rPr>
        <w:t>月</w:t>
      </w:r>
      <w:r>
        <w:rPr>
          <w:rFonts w:hint="eastAsia" w:ascii="仿宋_GB2312" w:eastAsia="仿宋_GB2312"/>
          <w:color w:val="000000" w:themeColor="text1"/>
          <w:sz w:val="28"/>
          <w:szCs w:val="28"/>
          <w:highlight w:val="none"/>
          <w:lang w:val="en-US" w:eastAsia="zh-CN"/>
        </w:rPr>
        <w:t>2</w:t>
      </w:r>
      <w:r>
        <w:rPr>
          <w:rFonts w:hint="eastAsia" w:ascii="仿宋_GB2312" w:eastAsia="仿宋_GB2312"/>
          <w:color w:val="000000" w:themeColor="text1"/>
          <w:sz w:val="28"/>
          <w:szCs w:val="28"/>
          <w:highlight w:val="none"/>
        </w:rPr>
        <w:t>5日</w:t>
      </w:r>
      <w:r>
        <w:rPr>
          <w:rFonts w:hint="eastAsia" w:ascii="仿宋_GB2312" w:eastAsia="仿宋_GB2312"/>
          <w:color w:val="000000" w:themeColor="text1"/>
          <w:sz w:val="28"/>
          <w:szCs w:val="28"/>
        </w:rPr>
        <w:t>。</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ascii="仿宋_GB2312" w:eastAsia="仿宋_GB2312"/>
          <w:b/>
          <w:bCs/>
          <w:snapToGrid w:val="0"/>
          <w:color w:val="000000" w:themeColor="text1"/>
          <w:kern w:val="0"/>
          <w:sz w:val="36"/>
          <w:szCs w:val="36"/>
        </w:rPr>
      </w:pPr>
      <w:r>
        <w:rPr>
          <w:rFonts w:hint="eastAsia" w:ascii="仿宋_GB2312" w:eastAsia="仿宋_GB2312"/>
          <w:color w:val="000000" w:themeColor="text1"/>
          <w:sz w:val="28"/>
          <w:szCs w:val="28"/>
        </w:rPr>
        <w:t>2、本估价报告只能用于与本次估价目的相符的用途、若改变用途，必须重新估价。</w:t>
      </w:r>
      <w:bookmarkEnd w:id="42"/>
      <w:bookmarkEnd w:id="126"/>
      <w:bookmarkStart w:id="148" w:name="_Toc383069674"/>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148"/>
    <w:p>
      <w:pPr>
        <w:snapToGrid w:val="0"/>
        <w:spacing w:line="540" w:lineRule="exact"/>
        <w:ind w:firstLine="723" w:firstLineChars="200"/>
        <w:jc w:val="center"/>
        <w:rPr>
          <w:rFonts w:ascii="仿宋_GB2312" w:eastAsia="仿宋_GB2312"/>
          <w:b/>
          <w:snapToGrid w:val="0"/>
          <w:color w:val="000000" w:themeColor="text1"/>
          <w:kern w:val="0"/>
          <w:sz w:val="36"/>
          <w:szCs w:val="36"/>
        </w:rPr>
      </w:pPr>
      <w:bookmarkStart w:id="149" w:name="_Toc11418"/>
      <w:bookmarkStart w:id="150" w:name="_Toc301369728"/>
      <w:bookmarkStart w:id="151" w:name="_Toc387827709"/>
      <w:bookmarkStart w:id="152" w:name="_Toc367869510"/>
      <w:bookmarkStart w:id="153" w:name="_Toc382493637"/>
      <w:bookmarkStart w:id="154" w:name="_Toc383069701"/>
      <w:r>
        <w:rPr>
          <w:rFonts w:hint="eastAsia" w:ascii="仿宋_GB2312" w:eastAsia="仿宋_GB2312"/>
          <w:b/>
          <w:snapToGrid w:val="0"/>
          <w:color w:val="000000" w:themeColor="text1"/>
          <w:kern w:val="0"/>
          <w:sz w:val="36"/>
          <w:szCs w:val="36"/>
        </w:rPr>
        <w:br w:type="page"/>
      </w:r>
      <w:r>
        <w:rPr>
          <w:rFonts w:hint="eastAsia" w:ascii="仿宋_GB2312" w:eastAsia="仿宋_GB2312"/>
          <w:b/>
          <w:snapToGrid w:val="0"/>
          <w:color w:val="000000" w:themeColor="text1"/>
          <w:kern w:val="0"/>
          <w:sz w:val="36"/>
          <w:szCs w:val="36"/>
        </w:rPr>
        <w:t>附   件</w:t>
      </w:r>
      <w:bookmarkEnd w:id="149"/>
    </w:p>
    <w:p>
      <w:pPr>
        <w:rPr>
          <w:color w:val="000000" w:themeColor="text1"/>
        </w:rPr>
      </w:pP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附件一  估价对象所处位置示意图</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附件二  估价对象现场查勘照片</w:t>
      </w:r>
    </w:p>
    <w:p>
      <w:pPr>
        <w:pStyle w:val="80"/>
        <w:adjustRightInd w:val="0"/>
        <w:snapToGrid w:val="0"/>
        <w:spacing w:line="600" w:lineRule="exact"/>
        <w:ind w:left="765" w:firstLine="0" w:firstLineChars="0"/>
        <w:rPr>
          <w:rFonts w:hint="eastAsia"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附件三 《</w:t>
      </w:r>
      <w:r>
        <w:rPr>
          <w:rFonts w:hint="eastAsia" w:ascii="仿宋_GB2312" w:hAnsi="仿宋" w:eastAsia="仿宋_GB2312"/>
          <w:color w:val="000000" w:themeColor="text1"/>
          <w:sz w:val="28"/>
          <w:szCs w:val="28"/>
          <w:lang w:eastAsia="zh-CN"/>
        </w:rPr>
        <w:t>长安区人民法院司法鉴定委托书</w:t>
      </w:r>
      <w:r>
        <w:rPr>
          <w:rFonts w:hint="eastAsia" w:ascii="仿宋_GB2312" w:hAnsi="仿宋" w:eastAsia="仿宋_GB2312"/>
          <w:color w:val="000000" w:themeColor="text1"/>
          <w:sz w:val="28"/>
          <w:szCs w:val="28"/>
        </w:rPr>
        <w:t>》复印件</w:t>
      </w:r>
    </w:p>
    <w:p>
      <w:pPr>
        <w:pStyle w:val="80"/>
        <w:adjustRightInd w:val="0"/>
        <w:snapToGrid w:val="0"/>
        <w:spacing w:line="600" w:lineRule="exact"/>
        <w:ind w:left="765" w:firstLine="0" w:firstLineChars="0"/>
        <w:rPr>
          <w:rFonts w:hint="eastAsia" w:ascii="仿宋_GB2312" w:hAnsi="仿宋" w:eastAsia="仿宋_GB2312"/>
          <w:color w:val="000000" w:themeColor="text1"/>
          <w:sz w:val="28"/>
          <w:szCs w:val="28"/>
        </w:rPr>
      </w:pPr>
      <w:r>
        <w:rPr>
          <w:rFonts w:hint="eastAsia" w:ascii="仿宋_GB2312" w:hAnsi="仿宋" w:eastAsia="仿宋_GB2312"/>
          <w:color w:val="000000" w:themeColor="text1"/>
          <w:sz w:val="28"/>
          <w:szCs w:val="28"/>
        </w:rPr>
        <w:t xml:space="preserve">附件四 </w:t>
      </w:r>
      <w:r>
        <w:rPr>
          <w:rFonts w:hint="eastAsia" w:ascii="仿宋_GB2312" w:hAnsi="仿宋" w:eastAsia="仿宋_GB2312"/>
          <w:color w:val="000000" w:themeColor="text1"/>
          <w:sz w:val="28"/>
          <w:szCs w:val="28"/>
          <w:lang w:val="en-US" w:eastAsia="zh-CN"/>
        </w:rPr>
        <w:t>《石家庄市长安区人民法院执行裁定书》复印件</w:t>
      </w:r>
    </w:p>
    <w:p>
      <w:pPr>
        <w:pStyle w:val="80"/>
        <w:adjustRightInd w:val="0"/>
        <w:snapToGrid w:val="0"/>
        <w:spacing w:line="600" w:lineRule="exact"/>
        <w:ind w:left="765" w:firstLine="0" w:firstLineChars="0"/>
        <w:rPr>
          <w:rFonts w:hint="default" w:ascii="仿宋_GB2312" w:hAnsi="仿宋" w:eastAsia="仿宋_GB2312"/>
          <w:color w:val="000000" w:themeColor="text1"/>
          <w:sz w:val="28"/>
          <w:szCs w:val="28"/>
          <w:lang w:val="en-US"/>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 xml:space="preserve">五 </w:t>
      </w:r>
      <w:r>
        <w:rPr>
          <w:rFonts w:hint="eastAsia" w:ascii="仿宋_GB2312" w:hAnsi="仿宋" w:eastAsia="仿宋_GB2312"/>
          <w:color w:val="000000" w:themeColor="text1"/>
          <w:sz w:val="28"/>
          <w:szCs w:val="28"/>
        </w:rPr>
        <w:t>《不动产权利及其他事项登记信息》复印件</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六</w:t>
      </w:r>
      <w:r>
        <w:rPr>
          <w:rFonts w:hint="eastAsia" w:ascii="仿宋_GB2312" w:hAnsi="仿宋" w:eastAsia="仿宋_GB2312"/>
          <w:color w:val="000000" w:themeColor="text1"/>
          <w:sz w:val="28"/>
          <w:szCs w:val="28"/>
        </w:rPr>
        <w:t xml:space="preserve">  房地产估价机构营业执照复印件</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七</w:t>
      </w:r>
      <w:r>
        <w:rPr>
          <w:rFonts w:hint="eastAsia" w:ascii="仿宋_GB2312" w:hAnsi="仿宋" w:eastAsia="仿宋_GB2312"/>
          <w:color w:val="000000" w:themeColor="text1"/>
          <w:sz w:val="28"/>
          <w:szCs w:val="28"/>
        </w:rPr>
        <w:t xml:space="preserve">  房地产估价机构资格证书复印件</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r>
        <w:rPr>
          <w:rFonts w:hint="eastAsia" w:ascii="仿宋_GB2312" w:hAnsi="仿宋" w:eastAsia="仿宋_GB2312"/>
          <w:color w:val="000000" w:themeColor="text1"/>
          <w:sz w:val="28"/>
          <w:szCs w:val="28"/>
        </w:rPr>
        <w:t>附件</w:t>
      </w:r>
      <w:r>
        <w:rPr>
          <w:rFonts w:hint="eastAsia" w:ascii="仿宋_GB2312" w:hAnsi="仿宋" w:eastAsia="仿宋_GB2312"/>
          <w:color w:val="000000" w:themeColor="text1"/>
          <w:sz w:val="28"/>
          <w:szCs w:val="28"/>
          <w:lang w:val="en-US" w:eastAsia="zh-CN"/>
        </w:rPr>
        <w:t>八</w:t>
      </w:r>
      <w:r>
        <w:rPr>
          <w:rFonts w:hint="eastAsia" w:ascii="仿宋_GB2312" w:hAnsi="仿宋" w:eastAsia="仿宋_GB2312"/>
          <w:color w:val="000000" w:themeColor="text1"/>
          <w:sz w:val="28"/>
          <w:szCs w:val="28"/>
        </w:rPr>
        <w:t xml:space="preserve">  房地产估价师资格证复印件</w:t>
      </w:r>
    </w:p>
    <w:p>
      <w:pPr>
        <w:pStyle w:val="80"/>
        <w:adjustRightInd w:val="0"/>
        <w:snapToGrid w:val="0"/>
        <w:spacing w:line="600" w:lineRule="exact"/>
        <w:ind w:left="765" w:firstLine="0" w:firstLineChars="0"/>
        <w:rPr>
          <w:rFonts w:ascii="仿宋_GB2312" w:hAnsi="仿宋" w:eastAsia="仿宋_GB2312"/>
          <w:color w:val="000000" w:themeColor="text1"/>
          <w:sz w:val="28"/>
          <w:szCs w:val="28"/>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rPr>
          <w:rFonts w:ascii="仿宋_GB2312" w:eastAsia="仿宋_GB2312"/>
          <w:snapToGrid w:val="0"/>
          <w:color w:val="000000" w:themeColor="text1"/>
          <w:kern w:val="0"/>
          <w:sz w:val="36"/>
          <w:szCs w:val="36"/>
        </w:rPr>
      </w:pPr>
    </w:p>
    <w:p>
      <w:pPr>
        <w:pStyle w:val="80"/>
        <w:adjustRightInd w:val="0"/>
        <w:snapToGrid w:val="0"/>
        <w:spacing w:line="360" w:lineRule="auto"/>
        <w:ind w:firstLine="0" w:firstLineChars="0"/>
        <w:rPr>
          <w:rFonts w:hint="eastAsia" w:ascii="仿宋_GB2312" w:eastAsia="仿宋_GB2312"/>
          <w:b/>
          <w:bCs/>
          <w:snapToGrid w:val="0"/>
          <w:color w:val="000000" w:themeColor="text1"/>
          <w:kern w:val="0"/>
          <w:sz w:val="36"/>
          <w:szCs w:val="36"/>
          <w:lang w:eastAsia="zh-CN"/>
        </w:rPr>
      </w:pPr>
      <w:r>
        <w:rPr>
          <w:rFonts w:ascii="仿宋_GB2312" w:eastAsia="仿宋_GB2312"/>
          <w:snapToGrid w:val="0"/>
          <w:color w:val="000000" w:themeColor="text1"/>
          <w:kern w:val="0"/>
          <w:sz w:val="36"/>
          <w:szCs w:val="36"/>
        </w:rPr>
        <w:br w:type="page"/>
      </w:r>
      <w:bookmarkEnd w:id="150"/>
      <w:bookmarkEnd w:id="151"/>
      <w:bookmarkEnd w:id="152"/>
      <w:bookmarkEnd w:id="153"/>
      <w:bookmarkEnd w:id="154"/>
      <w:r>
        <w:rPr>
          <w:color w:val="000000" w:themeColor="text1"/>
          <w:sz w:val="36"/>
        </w:rPr>
        <mc:AlternateContent>
          <mc:Choice Requires="wps">
            <w:drawing>
              <wp:anchor distT="0" distB="0" distL="114300" distR="114300" simplePos="0" relativeHeight="251659264" behindDoc="0" locked="0" layoutInCell="1" allowOverlap="1">
                <wp:simplePos x="0" y="0"/>
                <wp:positionH relativeFrom="column">
                  <wp:posOffset>4757420</wp:posOffset>
                </wp:positionH>
                <wp:positionV relativeFrom="paragraph">
                  <wp:posOffset>377190</wp:posOffset>
                </wp:positionV>
                <wp:extent cx="75565" cy="295275"/>
                <wp:effectExtent l="12700" t="17145" r="26035" b="11430"/>
                <wp:wrapNone/>
                <wp:docPr id="1" name="自选图形 4"/>
                <wp:cNvGraphicFramePr/>
                <a:graphic xmlns:a="http://schemas.openxmlformats.org/drawingml/2006/main">
                  <a:graphicData uri="http://schemas.microsoft.com/office/word/2010/wordprocessingShape">
                    <wps:wsp>
                      <wps:cNvSpPr/>
                      <wps:spPr>
                        <a:xfrm>
                          <a:off x="0" y="0"/>
                          <a:ext cx="75565" cy="295275"/>
                        </a:xfrm>
                        <a:prstGeom prst="upArrow">
                          <a:avLst>
                            <a:gd name="adj1" fmla="val 50000"/>
                            <a:gd name="adj2" fmla="val 97689"/>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自选图形 4" o:spid="_x0000_s1026" o:spt="68" type="#_x0000_t68" style="position:absolute;left:0pt;margin-left:374.6pt;margin-top:29.7pt;height:23.25pt;width:5.95pt;z-index:251659264;mso-width-relative:page;mso-height-relative:page;" fillcolor="#FFFFFF" filled="t" stroked="t" coordsize="21600,21600" o:gfxdata="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oPlvDZAAAACgEAAA8AAAAA&#10;AAAAAQAgAAAAIgAAAGRycy9kb3ducmV2LnhtbFBLAQIUABQAAAAIAIdO4kDEt0CgTAIAALAEAAAO&#10;AAAAAAAAAAEAIAAAACgBAABkcnMvZTJvRG9jLnhtbFBLBQYAAAAABgAGAFkBAADmBQAAAAA=&#10;" adj="5399,5400">
                <v:fill type="gradient" on="t" color2="#FFFFFF" angle="90" focus="100%" focussize="0f,0f" focusposition="0f,0f">
                  <o:fill type="gradientUnscaled" v:ext="backwardCompatible"/>
                </v:fill>
                <v:stroke weight="1.25pt" color="#739CC3" joinstyle="miter"/>
                <v:imagedata o:title=""/>
                <o:lock v:ext="edit" aspectratio="f"/>
              </v:shape>
            </w:pict>
          </mc:Fallback>
        </mc:AlternateContent>
      </w:r>
      <w:r>
        <w:drawing>
          <wp:inline distT="0" distB="0" distL="114300" distR="114300">
            <wp:extent cx="5666105" cy="7990205"/>
            <wp:effectExtent l="0" t="0" r="1079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666105" cy="7990205"/>
                    </a:xfrm>
                    <a:prstGeom prst="rect">
                      <a:avLst/>
                    </a:prstGeom>
                    <a:noFill/>
                    <a:ln w="9525">
                      <a:noFill/>
                    </a:ln>
                  </pic:spPr>
                </pic:pic>
              </a:graphicData>
            </a:graphic>
          </wp:inline>
        </w:drawing>
      </w:r>
      <w:r>
        <w:rPr>
          <w:rFonts w:hint="eastAsia" w:ascii="仿宋_GB2312" w:eastAsia="仿宋_GB2312"/>
          <w:b/>
          <w:bCs/>
          <w:snapToGrid w:val="0"/>
          <w:color w:val="000000" w:themeColor="text1"/>
          <w:kern w:val="0"/>
          <w:sz w:val="36"/>
          <w:szCs w:val="36"/>
          <w:lang w:eastAsia="zh-CN"/>
        </w:rPr>
        <w:drawing>
          <wp:inline distT="0" distB="0" distL="114300" distR="114300">
            <wp:extent cx="5659120" cy="9321165"/>
            <wp:effectExtent l="0" t="0" r="17780" b="13335"/>
            <wp:docPr id="6" name="图片 4" descr="拍卖裁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拍卖裁定"/>
                    <pic:cNvPicPr>
                      <a:picLocks noChangeAspect="1"/>
                    </pic:cNvPicPr>
                  </pic:nvPicPr>
                  <pic:blipFill>
                    <a:blip r:embed="rId15"/>
                    <a:stretch>
                      <a:fillRect/>
                    </a:stretch>
                  </pic:blipFill>
                  <pic:spPr>
                    <a:xfrm>
                      <a:off x="0" y="0"/>
                      <a:ext cx="5659120" cy="9321165"/>
                    </a:xfrm>
                    <a:prstGeom prst="rect">
                      <a:avLst/>
                    </a:prstGeom>
                    <a:noFill/>
                    <a:ln w="9525">
                      <a:noFill/>
                    </a:ln>
                  </pic:spPr>
                </pic:pic>
              </a:graphicData>
            </a:graphic>
          </wp:inline>
        </w:drawing>
      </w:r>
    </w:p>
    <w:p>
      <w:pPr>
        <w:pStyle w:val="80"/>
        <w:adjustRightInd w:val="0"/>
        <w:snapToGrid w:val="0"/>
        <w:spacing w:line="360" w:lineRule="auto"/>
        <w:ind w:firstLine="0" w:firstLineChars="0"/>
        <w:jc w:val="center"/>
        <w:rPr>
          <w:rFonts w:hint="eastAsia" w:ascii="仿宋_GB2312" w:eastAsia="仿宋_GB2312"/>
          <w:b/>
          <w:bCs/>
          <w:snapToGrid w:val="0"/>
          <w:color w:val="000000" w:themeColor="text1"/>
          <w:kern w:val="0"/>
          <w:sz w:val="36"/>
          <w:szCs w:val="36"/>
          <w:lang w:eastAsia="zh-CN"/>
        </w:rPr>
      </w:pPr>
      <w:bookmarkStart w:id="155" w:name="_GoBack"/>
      <w:bookmarkEnd w:id="155"/>
    </w:p>
    <w:sectPr>
      <w:headerReference r:id="rId8" w:type="default"/>
      <w:footerReference r:id="rId9" w:type="default"/>
      <w:pgSz w:w="11906" w:h="16838"/>
      <w:pgMar w:top="1814" w:right="1276" w:bottom="1418" w:left="1701" w:header="1418" w:footer="737" w:gutter="0"/>
      <w:pgBorders>
        <w:top w:val="none" w:sz="0" w:space="0"/>
        <w:left w:val="none" w:sz="0" w:space="0"/>
        <w:bottom w:val="none" w:sz="0" w:space="0"/>
        <w:right w:val="none" w:sz="0" w:space="0"/>
      </w:pgBorders>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beforeLines="50"/>
      <w:ind w:left="22" w:hanging="22"/>
      <w:jc w:val="center"/>
      <w:rPr>
        <w:szCs w:val="18"/>
      </w:rPr>
    </w:pPr>
    <w:r>
      <w:rPr>
        <w:rFonts w:hint="eastAsia" w:ascii="方正姚体" w:eastAsia="方正姚体"/>
        <w:szCs w:val="18"/>
      </w:rPr>
      <w:t>地址：**省**市**区***路（街）**号***大厦**室                     联系电话/客服电话：***-********</w:t>
    </w:r>
  </w:p>
  <w:p>
    <w:pPr>
      <w:pStyle w:val="28"/>
      <w:jc w:val="right"/>
    </w:pP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2</w:t>
    </w:r>
    <w:r>
      <w:rPr>
        <w:rFonts w:hint="eastAsia" w:ascii="方正姚体" w:eastAsia="方正姚体"/>
        <w:szCs w:val="18"/>
      </w:rPr>
      <w:fldChar w:fldCharType="end"/>
    </w:r>
    <w:r>
      <w:rPr>
        <w:rFonts w:hint="eastAsia" w:ascii="方正姚体" w:eastAsia="方正姚体"/>
        <w:szCs w:val="18"/>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ascii="宋体" w:hAnsi="宋体"/>
        <w:u w:val="single"/>
      </w:rPr>
      <w:drawing>
        <wp:anchor distT="0" distB="0" distL="114300" distR="114300" simplePos="0" relativeHeight="251662336" behindDoc="1" locked="0" layoutInCell="1" allowOverlap="1">
          <wp:simplePos x="0" y="0"/>
          <wp:positionH relativeFrom="column">
            <wp:posOffset>-133985</wp:posOffset>
          </wp:positionH>
          <wp:positionV relativeFrom="paragraph">
            <wp:posOffset>-304800</wp:posOffset>
          </wp:positionV>
          <wp:extent cx="1327150" cy="403225"/>
          <wp:effectExtent l="0" t="0" r="6350" b="15875"/>
          <wp:wrapTight wrapText="bothSides">
            <wp:wrapPolygon>
              <wp:start x="-310" y="0"/>
              <wp:lineTo x="-310" y="20409"/>
              <wp:lineTo x="21703" y="20409"/>
              <wp:lineTo x="21703" y="0"/>
              <wp:lineTo x="-310"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
                  <a:stretch>
                    <a:fillRect/>
                  </a:stretch>
                </pic:blipFill>
                <pic:spPr>
                  <a:xfrm>
                    <a:off x="0" y="0"/>
                    <a:ext cx="1327150" cy="403225"/>
                  </a:xfrm>
                  <a:prstGeom prst="rect">
                    <a:avLst/>
                  </a:prstGeom>
                  <a:noFill/>
                  <a:ln w="9525">
                    <a:noFill/>
                  </a:ln>
                </pic:spPr>
              </pic:pic>
            </a:graphicData>
          </a:graphic>
        </wp:anchor>
      </w:drawing>
    </w:r>
    <w:r>
      <w:rPr>
        <w:rFonts w:hint="eastAsia" w:ascii="宋体" w:hAnsi="宋体"/>
        <w:color w:val="FF0000"/>
        <w:u w:val="single"/>
      </w:rPr>
      <w:t>页眉需统一设计</w:t>
    </w:r>
    <w:r>
      <w:rPr>
        <w:rFonts w:hint="eastAsia" w:ascii="宋体" w:hAnsi="宋体"/>
        <w:u w:val="single"/>
      </w:rPr>
      <w:t xml:space="preserve">                            **************公司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ascii="宋体" w:hAnsi="宋体"/>
        <w:u w:val="single"/>
      </w:rPr>
      <mc:AlternateContent>
        <mc:Choice Requires="wps">
          <w:drawing>
            <wp:anchor distT="0" distB="0" distL="114300" distR="114300" simplePos="0" relativeHeight="251665408" behindDoc="0" locked="0" layoutInCell="1" allowOverlap="1">
              <wp:simplePos x="0" y="0"/>
              <wp:positionH relativeFrom="column">
                <wp:posOffset>4366895</wp:posOffset>
              </wp:positionH>
              <wp:positionV relativeFrom="paragraph">
                <wp:posOffset>-291465</wp:posOffset>
              </wp:positionV>
              <wp:extent cx="1243965" cy="342900"/>
              <wp:effectExtent l="0" t="0" r="13335" b="0"/>
              <wp:wrapNone/>
              <wp:docPr id="8" name="文本框 5"/>
              <wp:cNvGraphicFramePr/>
              <a:graphic xmlns:a="http://schemas.openxmlformats.org/drawingml/2006/main">
                <a:graphicData uri="http://schemas.microsoft.com/office/word/2010/wordprocessingShape">
                  <wps:wsp>
                    <wps:cNvSpPr txBox="1"/>
                    <wps:spPr>
                      <a:xfrm>
                        <a:off x="0" y="0"/>
                        <a:ext cx="1243965" cy="342900"/>
                      </a:xfrm>
                      <a:prstGeom prst="rect">
                        <a:avLst/>
                      </a:prstGeom>
                      <a:solidFill>
                        <a:srgbClr val="FFFFFF"/>
                      </a:solidFill>
                      <a:ln w="9525">
                        <a:noFill/>
                      </a:ln>
                    </wps:spPr>
                    <wps:txbx>
                      <w:txbxContent>
                        <w:p>
                          <w:pPr>
                            <w:rPr>
                              <w:szCs w:val="32"/>
                            </w:rPr>
                          </w:pPr>
                        </w:p>
                      </w:txbxContent>
                    </wps:txbx>
                    <wps:bodyPr wrap="none" upright="1">
                      <a:spAutoFit/>
                    </wps:bodyPr>
                  </wps:wsp>
                </a:graphicData>
              </a:graphic>
            </wp:anchor>
          </w:drawing>
        </mc:Choice>
        <mc:Fallback>
          <w:pict>
            <v:shape id="文本框 5" o:spid="_x0000_s1026" o:spt="202" type="#_x0000_t202" style="position:absolute;left:0pt;margin-left:343.85pt;margin-top:-22.95pt;height:27pt;width:97.95pt;mso-wrap-style:none;z-index:251665408;mso-width-relative:page;mso-height-relative:page;" fillcolor="#FFFFFF" filled="t" stroked="f" coordsize="21600,21600" o:gfxdata="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ehFMK2QAAAAkBAAAPAAAAAAAAAAEAIAAAACIAAABkcnMvZG93bnJl&#10;di54bWxQSwECFAAUAAAACACHTuJAsRaPdcMBAABYAwAADgAAAAAAAAABACAAAAAoAQAAZHJzL2Uy&#10;b0RvYy54bWxQSwUGAAAAAAYABgBZAQAAXQUAAAAA&#10;">
              <v:fill on="t" focussize="0,0"/>
              <v:stroke on="f"/>
              <v:imagedata o:title=""/>
              <o:lock v:ext="edit" aspectratio="f"/>
              <v:textbox style="mso-fit-shape-to-text:t;">
                <w:txbxContent>
                  <w:p>
                    <w:pPr>
                      <w:rPr>
                        <w:szCs w:val="32"/>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EE4AEB"/>
    <w:multiLevelType w:val="singleLevel"/>
    <w:tmpl w:val="90EE4AEB"/>
    <w:lvl w:ilvl="0" w:tentative="0">
      <w:start w:val="4"/>
      <w:numFmt w:val="decimal"/>
      <w:lvlText w:val="%1."/>
      <w:lvlJc w:val="left"/>
      <w:pPr>
        <w:tabs>
          <w:tab w:val="left" w:pos="312"/>
        </w:tabs>
      </w:pPr>
    </w:lvl>
  </w:abstractNum>
  <w:abstractNum w:abstractNumId="1">
    <w:nsid w:val="DA12406F"/>
    <w:multiLevelType w:val="singleLevel"/>
    <w:tmpl w:val="DA12406F"/>
    <w:lvl w:ilvl="0" w:tentative="0">
      <w:start w:val="1"/>
      <w:numFmt w:val="decimal"/>
      <w:suff w:val="nothing"/>
      <w:lvlText w:val="（%1）"/>
      <w:lvlJc w:val="left"/>
    </w:lvl>
  </w:abstractNum>
  <w:abstractNum w:abstractNumId="2">
    <w:nsid w:val="0057EA6C"/>
    <w:multiLevelType w:val="singleLevel"/>
    <w:tmpl w:val="0057EA6C"/>
    <w:lvl w:ilvl="0" w:tentative="0">
      <w:start w:val="3"/>
      <w:numFmt w:val="decimal"/>
      <w:lvlText w:val="%1."/>
      <w:lvlJc w:val="left"/>
      <w:pPr>
        <w:tabs>
          <w:tab w:val="left" w:pos="312"/>
        </w:tabs>
      </w:pPr>
    </w:lvl>
  </w:abstractNum>
  <w:abstractNum w:abstractNumId="3">
    <w:nsid w:val="711D03FA"/>
    <w:multiLevelType w:val="singleLevel"/>
    <w:tmpl w:val="711D03FA"/>
    <w:lvl w:ilvl="0" w:tentative="0">
      <w:start w:val="2"/>
      <w:numFmt w:val="decimal"/>
      <w:lvlText w:val="%1."/>
      <w:lvlJc w:val="left"/>
      <w:pPr>
        <w:tabs>
          <w:tab w:val="left" w:pos="312"/>
        </w:tabs>
      </w:pPr>
    </w:lvl>
  </w:abstractNum>
  <w:abstractNum w:abstractNumId="4">
    <w:nsid w:val="7F3E83F4"/>
    <w:multiLevelType w:val="singleLevel"/>
    <w:tmpl w:val="7F3E83F4"/>
    <w:lvl w:ilvl="0" w:tentative="0">
      <w:start w:val="5"/>
      <w:numFmt w:val="decimal"/>
      <w:lvlText w:val="%1."/>
      <w:lvlJc w:val="left"/>
      <w:pPr>
        <w:tabs>
          <w:tab w:val="left" w:pos="312"/>
        </w:tabs>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hideSpellingErrors/>
  <w:doNotTrackMoves/>
  <w:documentProtection w:enforcement="0"/>
  <w:defaultTabStop w:val="424"/>
  <w:drawingGridHorizontalSpacing w:val="0"/>
  <w:drawingGridVerticalSpacing w:val="143"/>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847"/>
    <w:rsid w:val="0000286E"/>
    <w:rsid w:val="00007685"/>
    <w:rsid w:val="00007BF5"/>
    <w:rsid w:val="00007FE4"/>
    <w:rsid w:val="00010F8F"/>
    <w:rsid w:val="00015E81"/>
    <w:rsid w:val="000167AC"/>
    <w:rsid w:val="000209BF"/>
    <w:rsid w:val="00023E84"/>
    <w:rsid w:val="000243DC"/>
    <w:rsid w:val="00030B8D"/>
    <w:rsid w:val="00032654"/>
    <w:rsid w:val="00033018"/>
    <w:rsid w:val="000345CA"/>
    <w:rsid w:val="000404E0"/>
    <w:rsid w:val="000436DC"/>
    <w:rsid w:val="00043E15"/>
    <w:rsid w:val="00043F18"/>
    <w:rsid w:val="000452BA"/>
    <w:rsid w:val="00046183"/>
    <w:rsid w:val="000472E3"/>
    <w:rsid w:val="00056CF7"/>
    <w:rsid w:val="00061950"/>
    <w:rsid w:val="00061F27"/>
    <w:rsid w:val="00064A34"/>
    <w:rsid w:val="00064D3D"/>
    <w:rsid w:val="000655D8"/>
    <w:rsid w:val="00065780"/>
    <w:rsid w:val="000747EF"/>
    <w:rsid w:val="0007508D"/>
    <w:rsid w:val="00077420"/>
    <w:rsid w:val="0008218D"/>
    <w:rsid w:val="00085772"/>
    <w:rsid w:val="000879F3"/>
    <w:rsid w:val="00090F74"/>
    <w:rsid w:val="00097816"/>
    <w:rsid w:val="000A27FD"/>
    <w:rsid w:val="000A34FE"/>
    <w:rsid w:val="000A4E22"/>
    <w:rsid w:val="000A7F0D"/>
    <w:rsid w:val="000B24CC"/>
    <w:rsid w:val="000B2B68"/>
    <w:rsid w:val="000B4960"/>
    <w:rsid w:val="000B717D"/>
    <w:rsid w:val="000C0E5A"/>
    <w:rsid w:val="000C172A"/>
    <w:rsid w:val="000C32B5"/>
    <w:rsid w:val="000C5A08"/>
    <w:rsid w:val="000D4A6C"/>
    <w:rsid w:val="000D675D"/>
    <w:rsid w:val="000D6F79"/>
    <w:rsid w:val="000E48DD"/>
    <w:rsid w:val="000F0584"/>
    <w:rsid w:val="001005C6"/>
    <w:rsid w:val="00106A22"/>
    <w:rsid w:val="00113159"/>
    <w:rsid w:val="001132C6"/>
    <w:rsid w:val="00115ABF"/>
    <w:rsid w:val="00117022"/>
    <w:rsid w:val="00120AF8"/>
    <w:rsid w:val="00122E4F"/>
    <w:rsid w:val="00125B59"/>
    <w:rsid w:val="00125D18"/>
    <w:rsid w:val="001308EA"/>
    <w:rsid w:val="001362E9"/>
    <w:rsid w:val="00136794"/>
    <w:rsid w:val="0014055C"/>
    <w:rsid w:val="00147A55"/>
    <w:rsid w:val="00155CCD"/>
    <w:rsid w:val="00164055"/>
    <w:rsid w:val="00164608"/>
    <w:rsid w:val="0016735F"/>
    <w:rsid w:val="001674F1"/>
    <w:rsid w:val="00167BCE"/>
    <w:rsid w:val="001710CC"/>
    <w:rsid w:val="001712E0"/>
    <w:rsid w:val="00172F5F"/>
    <w:rsid w:val="00175D8D"/>
    <w:rsid w:val="00177BB4"/>
    <w:rsid w:val="00177C6F"/>
    <w:rsid w:val="00181501"/>
    <w:rsid w:val="001816CA"/>
    <w:rsid w:val="00185124"/>
    <w:rsid w:val="001857A5"/>
    <w:rsid w:val="001878CA"/>
    <w:rsid w:val="00190B02"/>
    <w:rsid w:val="00196B0D"/>
    <w:rsid w:val="001A03F3"/>
    <w:rsid w:val="001A7429"/>
    <w:rsid w:val="001B141A"/>
    <w:rsid w:val="001B4C91"/>
    <w:rsid w:val="001B506A"/>
    <w:rsid w:val="001C0E1B"/>
    <w:rsid w:val="001C313E"/>
    <w:rsid w:val="001C32CB"/>
    <w:rsid w:val="001C361A"/>
    <w:rsid w:val="001C6CF4"/>
    <w:rsid w:val="001D00BD"/>
    <w:rsid w:val="001D3586"/>
    <w:rsid w:val="001E0170"/>
    <w:rsid w:val="001E36B0"/>
    <w:rsid w:val="001E584C"/>
    <w:rsid w:val="001E5FCC"/>
    <w:rsid w:val="001E7B68"/>
    <w:rsid w:val="001F265D"/>
    <w:rsid w:val="001F403D"/>
    <w:rsid w:val="001F6433"/>
    <w:rsid w:val="0020052C"/>
    <w:rsid w:val="00200731"/>
    <w:rsid w:val="00202376"/>
    <w:rsid w:val="002108C0"/>
    <w:rsid w:val="00212C1F"/>
    <w:rsid w:val="00213320"/>
    <w:rsid w:val="00213D1F"/>
    <w:rsid w:val="00220233"/>
    <w:rsid w:val="002210F3"/>
    <w:rsid w:val="002219DD"/>
    <w:rsid w:val="00223D92"/>
    <w:rsid w:val="00231518"/>
    <w:rsid w:val="00232144"/>
    <w:rsid w:val="00232153"/>
    <w:rsid w:val="00233993"/>
    <w:rsid w:val="00237A20"/>
    <w:rsid w:val="002429C7"/>
    <w:rsid w:val="00243F8E"/>
    <w:rsid w:val="00250454"/>
    <w:rsid w:val="002505F9"/>
    <w:rsid w:val="002518FD"/>
    <w:rsid w:val="00252307"/>
    <w:rsid w:val="002547CF"/>
    <w:rsid w:val="002559E5"/>
    <w:rsid w:val="00257015"/>
    <w:rsid w:val="00257FD1"/>
    <w:rsid w:val="0026091D"/>
    <w:rsid w:val="0026139D"/>
    <w:rsid w:val="00261A07"/>
    <w:rsid w:val="002654E2"/>
    <w:rsid w:val="00266288"/>
    <w:rsid w:val="00266469"/>
    <w:rsid w:val="00270C07"/>
    <w:rsid w:val="0027203A"/>
    <w:rsid w:val="00272070"/>
    <w:rsid w:val="00273A96"/>
    <w:rsid w:val="00273E96"/>
    <w:rsid w:val="00282487"/>
    <w:rsid w:val="00293EFF"/>
    <w:rsid w:val="002948E6"/>
    <w:rsid w:val="00297B30"/>
    <w:rsid w:val="002A4267"/>
    <w:rsid w:val="002A6FC9"/>
    <w:rsid w:val="002B0F9A"/>
    <w:rsid w:val="002B4925"/>
    <w:rsid w:val="002C20F9"/>
    <w:rsid w:val="002C4D46"/>
    <w:rsid w:val="002D1985"/>
    <w:rsid w:val="002D35C2"/>
    <w:rsid w:val="002D3A59"/>
    <w:rsid w:val="002D3C77"/>
    <w:rsid w:val="002D5058"/>
    <w:rsid w:val="002D5D5B"/>
    <w:rsid w:val="002D7CBE"/>
    <w:rsid w:val="002E0010"/>
    <w:rsid w:val="002E3043"/>
    <w:rsid w:val="002E6FE6"/>
    <w:rsid w:val="002F6207"/>
    <w:rsid w:val="002F6A57"/>
    <w:rsid w:val="00303521"/>
    <w:rsid w:val="00303824"/>
    <w:rsid w:val="003102C8"/>
    <w:rsid w:val="00312018"/>
    <w:rsid w:val="0031661D"/>
    <w:rsid w:val="003168C5"/>
    <w:rsid w:val="003174BA"/>
    <w:rsid w:val="00320387"/>
    <w:rsid w:val="00320B75"/>
    <w:rsid w:val="0032336E"/>
    <w:rsid w:val="003236E5"/>
    <w:rsid w:val="0033205F"/>
    <w:rsid w:val="003347F4"/>
    <w:rsid w:val="003377EF"/>
    <w:rsid w:val="00340DEF"/>
    <w:rsid w:val="0034219E"/>
    <w:rsid w:val="00343BAA"/>
    <w:rsid w:val="003445E9"/>
    <w:rsid w:val="00344A6A"/>
    <w:rsid w:val="00350E20"/>
    <w:rsid w:val="00356F7B"/>
    <w:rsid w:val="00360BBB"/>
    <w:rsid w:val="00364072"/>
    <w:rsid w:val="00365943"/>
    <w:rsid w:val="00365AD6"/>
    <w:rsid w:val="00375678"/>
    <w:rsid w:val="003906BA"/>
    <w:rsid w:val="00390ADC"/>
    <w:rsid w:val="0039218C"/>
    <w:rsid w:val="0039313C"/>
    <w:rsid w:val="00397F2C"/>
    <w:rsid w:val="003A1A2C"/>
    <w:rsid w:val="003A3CE3"/>
    <w:rsid w:val="003A74CA"/>
    <w:rsid w:val="003B1951"/>
    <w:rsid w:val="003B4087"/>
    <w:rsid w:val="003B5A63"/>
    <w:rsid w:val="003B5C32"/>
    <w:rsid w:val="003C0FE4"/>
    <w:rsid w:val="003C247F"/>
    <w:rsid w:val="003C35F7"/>
    <w:rsid w:val="003C6B7D"/>
    <w:rsid w:val="003D062D"/>
    <w:rsid w:val="003D0C58"/>
    <w:rsid w:val="003D1633"/>
    <w:rsid w:val="003D3862"/>
    <w:rsid w:val="003D68E0"/>
    <w:rsid w:val="003D73DA"/>
    <w:rsid w:val="003E209B"/>
    <w:rsid w:val="003E6F9B"/>
    <w:rsid w:val="003E7561"/>
    <w:rsid w:val="003E7D9B"/>
    <w:rsid w:val="003F1BBD"/>
    <w:rsid w:val="003F250C"/>
    <w:rsid w:val="003F3C36"/>
    <w:rsid w:val="003F3D16"/>
    <w:rsid w:val="003F62CC"/>
    <w:rsid w:val="003F73D8"/>
    <w:rsid w:val="00400E2F"/>
    <w:rsid w:val="00401FFC"/>
    <w:rsid w:val="0041003F"/>
    <w:rsid w:val="004124E4"/>
    <w:rsid w:val="00413D62"/>
    <w:rsid w:val="004149A0"/>
    <w:rsid w:val="00416775"/>
    <w:rsid w:val="004203E3"/>
    <w:rsid w:val="00420AEC"/>
    <w:rsid w:val="00420DBC"/>
    <w:rsid w:val="004219F5"/>
    <w:rsid w:val="004253F0"/>
    <w:rsid w:val="00425D1E"/>
    <w:rsid w:val="00434980"/>
    <w:rsid w:val="00441E61"/>
    <w:rsid w:val="0044332E"/>
    <w:rsid w:val="00443A17"/>
    <w:rsid w:val="00450605"/>
    <w:rsid w:val="00451A1B"/>
    <w:rsid w:val="00452E49"/>
    <w:rsid w:val="00456AF5"/>
    <w:rsid w:val="00464CF6"/>
    <w:rsid w:val="00466C42"/>
    <w:rsid w:val="004705C1"/>
    <w:rsid w:val="004718CC"/>
    <w:rsid w:val="00471A92"/>
    <w:rsid w:val="00475338"/>
    <w:rsid w:val="0048192F"/>
    <w:rsid w:val="00481FA6"/>
    <w:rsid w:val="00482F63"/>
    <w:rsid w:val="00484317"/>
    <w:rsid w:val="0048459A"/>
    <w:rsid w:val="004860AE"/>
    <w:rsid w:val="00490CF4"/>
    <w:rsid w:val="004919C2"/>
    <w:rsid w:val="00492182"/>
    <w:rsid w:val="00493042"/>
    <w:rsid w:val="004A1721"/>
    <w:rsid w:val="004A7FAB"/>
    <w:rsid w:val="004B1637"/>
    <w:rsid w:val="004B67C9"/>
    <w:rsid w:val="004B7517"/>
    <w:rsid w:val="004C1F32"/>
    <w:rsid w:val="004C76A4"/>
    <w:rsid w:val="004D12E4"/>
    <w:rsid w:val="004D59E3"/>
    <w:rsid w:val="004D5F8F"/>
    <w:rsid w:val="004E0C1B"/>
    <w:rsid w:val="004E1C52"/>
    <w:rsid w:val="004E2262"/>
    <w:rsid w:val="004E2D07"/>
    <w:rsid w:val="004E427F"/>
    <w:rsid w:val="004E4425"/>
    <w:rsid w:val="004E7912"/>
    <w:rsid w:val="004F17B2"/>
    <w:rsid w:val="004F5966"/>
    <w:rsid w:val="00503087"/>
    <w:rsid w:val="005033DB"/>
    <w:rsid w:val="00504B98"/>
    <w:rsid w:val="00516659"/>
    <w:rsid w:val="00517A22"/>
    <w:rsid w:val="00517A77"/>
    <w:rsid w:val="005219C8"/>
    <w:rsid w:val="00524A2C"/>
    <w:rsid w:val="00524C61"/>
    <w:rsid w:val="00532D56"/>
    <w:rsid w:val="005334A3"/>
    <w:rsid w:val="00534E20"/>
    <w:rsid w:val="00535DE2"/>
    <w:rsid w:val="00536C04"/>
    <w:rsid w:val="00540938"/>
    <w:rsid w:val="0054569E"/>
    <w:rsid w:val="00547730"/>
    <w:rsid w:val="00553EF4"/>
    <w:rsid w:val="005551E3"/>
    <w:rsid w:val="00557AD2"/>
    <w:rsid w:val="00561654"/>
    <w:rsid w:val="00562CC3"/>
    <w:rsid w:val="00564770"/>
    <w:rsid w:val="005662EC"/>
    <w:rsid w:val="00571367"/>
    <w:rsid w:val="00573CF9"/>
    <w:rsid w:val="00577AD5"/>
    <w:rsid w:val="00584222"/>
    <w:rsid w:val="00584361"/>
    <w:rsid w:val="00595A2F"/>
    <w:rsid w:val="00595C9F"/>
    <w:rsid w:val="00596640"/>
    <w:rsid w:val="005A0C81"/>
    <w:rsid w:val="005B0635"/>
    <w:rsid w:val="005B1696"/>
    <w:rsid w:val="005B53CB"/>
    <w:rsid w:val="005B76DA"/>
    <w:rsid w:val="005C26DF"/>
    <w:rsid w:val="005C51A2"/>
    <w:rsid w:val="005C5C42"/>
    <w:rsid w:val="005C7A5C"/>
    <w:rsid w:val="005D0184"/>
    <w:rsid w:val="005D1281"/>
    <w:rsid w:val="005D2123"/>
    <w:rsid w:val="005E3D6F"/>
    <w:rsid w:val="005F0E17"/>
    <w:rsid w:val="005F0E4C"/>
    <w:rsid w:val="0060381E"/>
    <w:rsid w:val="006063D0"/>
    <w:rsid w:val="00610415"/>
    <w:rsid w:val="00626E19"/>
    <w:rsid w:val="0063137E"/>
    <w:rsid w:val="00632F1F"/>
    <w:rsid w:val="006374F8"/>
    <w:rsid w:val="0063777A"/>
    <w:rsid w:val="00637B3D"/>
    <w:rsid w:val="00641319"/>
    <w:rsid w:val="00642739"/>
    <w:rsid w:val="00642766"/>
    <w:rsid w:val="006434D5"/>
    <w:rsid w:val="00643FB4"/>
    <w:rsid w:val="00645C53"/>
    <w:rsid w:val="0064616C"/>
    <w:rsid w:val="00647BA1"/>
    <w:rsid w:val="006516F7"/>
    <w:rsid w:val="006526B9"/>
    <w:rsid w:val="00656DCD"/>
    <w:rsid w:val="006619B6"/>
    <w:rsid w:val="00662C53"/>
    <w:rsid w:val="00663327"/>
    <w:rsid w:val="00664087"/>
    <w:rsid w:val="00674134"/>
    <w:rsid w:val="00682000"/>
    <w:rsid w:val="006853D6"/>
    <w:rsid w:val="0068753B"/>
    <w:rsid w:val="00687E85"/>
    <w:rsid w:val="00693376"/>
    <w:rsid w:val="006933DC"/>
    <w:rsid w:val="00694355"/>
    <w:rsid w:val="0069555E"/>
    <w:rsid w:val="006A3AAD"/>
    <w:rsid w:val="006A7F9B"/>
    <w:rsid w:val="006A7FDC"/>
    <w:rsid w:val="006B2710"/>
    <w:rsid w:val="006B2878"/>
    <w:rsid w:val="006B6F34"/>
    <w:rsid w:val="006D00A4"/>
    <w:rsid w:val="006D0421"/>
    <w:rsid w:val="006D0A0F"/>
    <w:rsid w:val="006D1880"/>
    <w:rsid w:val="006D1A05"/>
    <w:rsid w:val="006E2CDD"/>
    <w:rsid w:val="006E5321"/>
    <w:rsid w:val="006E65CB"/>
    <w:rsid w:val="006E6963"/>
    <w:rsid w:val="006F5CB3"/>
    <w:rsid w:val="00703C3C"/>
    <w:rsid w:val="007043DF"/>
    <w:rsid w:val="00704ED7"/>
    <w:rsid w:val="007053F1"/>
    <w:rsid w:val="00706553"/>
    <w:rsid w:val="007070A9"/>
    <w:rsid w:val="00707A02"/>
    <w:rsid w:val="007119CB"/>
    <w:rsid w:val="00711E36"/>
    <w:rsid w:val="00716780"/>
    <w:rsid w:val="0072270D"/>
    <w:rsid w:val="0073035B"/>
    <w:rsid w:val="00733F78"/>
    <w:rsid w:val="00735086"/>
    <w:rsid w:val="007365EB"/>
    <w:rsid w:val="007407BD"/>
    <w:rsid w:val="00742021"/>
    <w:rsid w:val="007475D9"/>
    <w:rsid w:val="00752991"/>
    <w:rsid w:val="00756689"/>
    <w:rsid w:val="00756EDC"/>
    <w:rsid w:val="00757356"/>
    <w:rsid w:val="007632C8"/>
    <w:rsid w:val="007662FE"/>
    <w:rsid w:val="00766443"/>
    <w:rsid w:val="007670B9"/>
    <w:rsid w:val="00775BFF"/>
    <w:rsid w:val="00776966"/>
    <w:rsid w:val="00782DE0"/>
    <w:rsid w:val="00786F42"/>
    <w:rsid w:val="0078760F"/>
    <w:rsid w:val="00790EBE"/>
    <w:rsid w:val="00792BC7"/>
    <w:rsid w:val="00793F37"/>
    <w:rsid w:val="00794CC0"/>
    <w:rsid w:val="00794FB7"/>
    <w:rsid w:val="00795716"/>
    <w:rsid w:val="0079577C"/>
    <w:rsid w:val="007A3E3F"/>
    <w:rsid w:val="007A4F43"/>
    <w:rsid w:val="007A4F66"/>
    <w:rsid w:val="007B2B63"/>
    <w:rsid w:val="007B48DD"/>
    <w:rsid w:val="007C0682"/>
    <w:rsid w:val="007C38E2"/>
    <w:rsid w:val="007C3F00"/>
    <w:rsid w:val="007C7D33"/>
    <w:rsid w:val="007C7D80"/>
    <w:rsid w:val="007D625F"/>
    <w:rsid w:val="007D66CB"/>
    <w:rsid w:val="007E10A3"/>
    <w:rsid w:val="007E3848"/>
    <w:rsid w:val="007E46E5"/>
    <w:rsid w:val="007E550A"/>
    <w:rsid w:val="007E698C"/>
    <w:rsid w:val="007E7335"/>
    <w:rsid w:val="007F0374"/>
    <w:rsid w:val="008033BB"/>
    <w:rsid w:val="008037D3"/>
    <w:rsid w:val="00804BC5"/>
    <w:rsid w:val="00806C5B"/>
    <w:rsid w:val="00807427"/>
    <w:rsid w:val="008128E1"/>
    <w:rsid w:val="0081315A"/>
    <w:rsid w:val="0082018E"/>
    <w:rsid w:val="00822916"/>
    <w:rsid w:val="00825169"/>
    <w:rsid w:val="00825C1E"/>
    <w:rsid w:val="00834252"/>
    <w:rsid w:val="00834662"/>
    <w:rsid w:val="00834917"/>
    <w:rsid w:val="00835D98"/>
    <w:rsid w:val="00837D5C"/>
    <w:rsid w:val="008411D7"/>
    <w:rsid w:val="00845746"/>
    <w:rsid w:val="0085070E"/>
    <w:rsid w:val="00851079"/>
    <w:rsid w:val="00854588"/>
    <w:rsid w:val="008615FA"/>
    <w:rsid w:val="0086320D"/>
    <w:rsid w:val="00864F9D"/>
    <w:rsid w:val="00866574"/>
    <w:rsid w:val="00867A83"/>
    <w:rsid w:val="00873872"/>
    <w:rsid w:val="00877DE9"/>
    <w:rsid w:val="0088181D"/>
    <w:rsid w:val="00882FCD"/>
    <w:rsid w:val="00886FE8"/>
    <w:rsid w:val="00887A55"/>
    <w:rsid w:val="00890210"/>
    <w:rsid w:val="008932F7"/>
    <w:rsid w:val="00895240"/>
    <w:rsid w:val="00895C52"/>
    <w:rsid w:val="008964E1"/>
    <w:rsid w:val="00896D44"/>
    <w:rsid w:val="008A45B3"/>
    <w:rsid w:val="008A46E0"/>
    <w:rsid w:val="008A5191"/>
    <w:rsid w:val="008A6DD0"/>
    <w:rsid w:val="008D2D96"/>
    <w:rsid w:val="008D381C"/>
    <w:rsid w:val="008D6F8F"/>
    <w:rsid w:val="008E0F82"/>
    <w:rsid w:val="008E2804"/>
    <w:rsid w:val="008E3C1D"/>
    <w:rsid w:val="008E6618"/>
    <w:rsid w:val="008F10A4"/>
    <w:rsid w:val="008F20AF"/>
    <w:rsid w:val="008F3A49"/>
    <w:rsid w:val="008F4BDD"/>
    <w:rsid w:val="008F78A0"/>
    <w:rsid w:val="008F78CE"/>
    <w:rsid w:val="009038AA"/>
    <w:rsid w:val="00905AB9"/>
    <w:rsid w:val="009060BD"/>
    <w:rsid w:val="00911566"/>
    <w:rsid w:val="00932AFF"/>
    <w:rsid w:val="00933C4B"/>
    <w:rsid w:val="00933D99"/>
    <w:rsid w:val="00935402"/>
    <w:rsid w:val="009448D5"/>
    <w:rsid w:val="0095144E"/>
    <w:rsid w:val="00953509"/>
    <w:rsid w:val="00953AE9"/>
    <w:rsid w:val="009541BE"/>
    <w:rsid w:val="009611A8"/>
    <w:rsid w:val="00962DAC"/>
    <w:rsid w:val="009637DC"/>
    <w:rsid w:val="0096435B"/>
    <w:rsid w:val="00973239"/>
    <w:rsid w:val="009750EF"/>
    <w:rsid w:val="009779D8"/>
    <w:rsid w:val="00977FF0"/>
    <w:rsid w:val="00983379"/>
    <w:rsid w:val="009848E6"/>
    <w:rsid w:val="0098526B"/>
    <w:rsid w:val="009903B6"/>
    <w:rsid w:val="00990B9F"/>
    <w:rsid w:val="00992931"/>
    <w:rsid w:val="009931CA"/>
    <w:rsid w:val="00993DE0"/>
    <w:rsid w:val="00995828"/>
    <w:rsid w:val="00997048"/>
    <w:rsid w:val="009A0C4A"/>
    <w:rsid w:val="009A5F7C"/>
    <w:rsid w:val="009B7DB6"/>
    <w:rsid w:val="009C0106"/>
    <w:rsid w:val="009C1562"/>
    <w:rsid w:val="009C6E08"/>
    <w:rsid w:val="009E0C92"/>
    <w:rsid w:val="009E0E4A"/>
    <w:rsid w:val="009E7181"/>
    <w:rsid w:val="009F0899"/>
    <w:rsid w:val="009F6DFC"/>
    <w:rsid w:val="00A033FE"/>
    <w:rsid w:val="00A069D1"/>
    <w:rsid w:val="00A10C48"/>
    <w:rsid w:val="00A14860"/>
    <w:rsid w:val="00A1494F"/>
    <w:rsid w:val="00A16DAF"/>
    <w:rsid w:val="00A20870"/>
    <w:rsid w:val="00A22A89"/>
    <w:rsid w:val="00A22AD9"/>
    <w:rsid w:val="00A25276"/>
    <w:rsid w:val="00A32494"/>
    <w:rsid w:val="00A32847"/>
    <w:rsid w:val="00A40A22"/>
    <w:rsid w:val="00A473BE"/>
    <w:rsid w:val="00A4765D"/>
    <w:rsid w:val="00A47A21"/>
    <w:rsid w:val="00A55810"/>
    <w:rsid w:val="00A56071"/>
    <w:rsid w:val="00A61EA2"/>
    <w:rsid w:val="00A63285"/>
    <w:rsid w:val="00A63931"/>
    <w:rsid w:val="00A7006E"/>
    <w:rsid w:val="00A84C9D"/>
    <w:rsid w:val="00A91B6F"/>
    <w:rsid w:val="00A95B10"/>
    <w:rsid w:val="00A96204"/>
    <w:rsid w:val="00AA3724"/>
    <w:rsid w:val="00AB1193"/>
    <w:rsid w:val="00AB15A1"/>
    <w:rsid w:val="00AB5D35"/>
    <w:rsid w:val="00AB6AD1"/>
    <w:rsid w:val="00AB7401"/>
    <w:rsid w:val="00AC08EF"/>
    <w:rsid w:val="00AC1E62"/>
    <w:rsid w:val="00AC59E1"/>
    <w:rsid w:val="00AC7523"/>
    <w:rsid w:val="00AD2C76"/>
    <w:rsid w:val="00AD5502"/>
    <w:rsid w:val="00AE197D"/>
    <w:rsid w:val="00AE30BA"/>
    <w:rsid w:val="00AE433A"/>
    <w:rsid w:val="00AE51E2"/>
    <w:rsid w:val="00AE529D"/>
    <w:rsid w:val="00AE545B"/>
    <w:rsid w:val="00AE7FBB"/>
    <w:rsid w:val="00AF3219"/>
    <w:rsid w:val="00B02C36"/>
    <w:rsid w:val="00B03506"/>
    <w:rsid w:val="00B0672B"/>
    <w:rsid w:val="00B14B62"/>
    <w:rsid w:val="00B156D8"/>
    <w:rsid w:val="00B20CF7"/>
    <w:rsid w:val="00B24B07"/>
    <w:rsid w:val="00B24B89"/>
    <w:rsid w:val="00B30F2A"/>
    <w:rsid w:val="00B3292B"/>
    <w:rsid w:val="00B33A55"/>
    <w:rsid w:val="00B4148D"/>
    <w:rsid w:val="00B42CDA"/>
    <w:rsid w:val="00B45DD1"/>
    <w:rsid w:val="00B50627"/>
    <w:rsid w:val="00B56A7A"/>
    <w:rsid w:val="00B57458"/>
    <w:rsid w:val="00B619E9"/>
    <w:rsid w:val="00B635C6"/>
    <w:rsid w:val="00B67C53"/>
    <w:rsid w:val="00B70F47"/>
    <w:rsid w:val="00B71876"/>
    <w:rsid w:val="00B74347"/>
    <w:rsid w:val="00B750D3"/>
    <w:rsid w:val="00B805D6"/>
    <w:rsid w:val="00B80C4B"/>
    <w:rsid w:val="00B82859"/>
    <w:rsid w:val="00B8457B"/>
    <w:rsid w:val="00B9213C"/>
    <w:rsid w:val="00B92318"/>
    <w:rsid w:val="00B92BE1"/>
    <w:rsid w:val="00B965C7"/>
    <w:rsid w:val="00BA0DD3"/>
    <w:rsid w:val="00BA0DD4"/>
    <w:rsid w:val="00BA5C02"/>
    <w:rsid w:val="00BA5F07"/>
    <w:rsid w:val="00BA5FA7"/>
    <w:rsid w:val="00BA6B9A"/>
    <w:rsid w:val="00BB0ECA"/>
    <w:rsid w:val="00BB38E1"/>
    <w:rsid w:val="00BB7692"/>
    <w:rsid w:val="00BC6933"/>
    <w:rsid w:val="00BD0EC9"/>
    <w:rsid w:val="00BD2A1A"/>
    <w:rsid w:val="00BD3B15"/>
    <w:rsid w:val="00BD3C1B"/>
    <w:rsid w:val="00BD70AB"/>
    <w:rsid w:val="00BE223A"/>
    <w:rsid w:val="00BE24A3"/>
    <w:rsid w:val="00BE4204"/>
    <w:rsid w:val="00BE56CE"/>
    <w:rsid w:val="00BE6AEA"/>
    <w:rsid w:val="00BE743B"/>
    <w:rsid w:val="00BF00BD"/>
    <w:rsid w:val="00BF0767"/>
    <w:rsid w:val="00BF0C11"/>
    <w:rsid w:val="00BF4924"/>
    <w:rsid w:val="00BF7688"/>
    <w:rsid w:val="00C01751"/>
    <w:rsid w:val="00C01BE0"/>
    <w:rsid w:val="00C03266"/>
    <w:rsid w:val="00C10A0E"/>
    <w:rsid w:val="00C10F99"/>
    <w:rsid w:val="00C111D8"/>
    <w:rsid w:val="00C12CCC"/>
    <w:rsid w:val="00C157BB"/>
    <w:rsid w:val="00C16BB5"/>
    <w:rsid w:val="00C23722"/>
    <w:rsid w:val="00C24A09"/>
    <w:rsid w:val="00C27C27"/>
    <w:rsid w:val="00C3272A"/>
    <w:rsid w:val="00C33C0C"/>
    <w:rsid w:val="00C4634C"/>
    <w:rsid w:val="00C50190"/>
    <w:rsid w:val="00C52F2F"/>
    <w:rsid w:val="00C56C45"/>
    <w:rsid w:val="00C57315"/>
    <w:rsid w:val="00C625F7"/>
    <w:rsid w:val="00C62710"/>
    <w:rsid w:val="00C65253"/>
    <w:rsid w:val="00C67A5C"/>
    <w:rsid w:val="00C7183B"/>
    <w:rsid w:val="00C801A8"/>
    <w:rsid w:val="00C80255"/>
    <w:rsid w:val="00C80B4A"/>
    <w:rsid w:val="00C821FE"/>
    <w:rsid w:val="00C82A4A"/>
    <w:rsid w:val="00C8478D"/>
    <w:rsid w:val="00C901CF"/>
    <w:rsid w:val="00C9082B"/>
    <w:rsid w:val="00C917DF"/>
    <w:rsid w:val="00CA0CF4"/>
    <w:rsid w:val="00CA0FB5"/>
    <w:rsid w:val="00CA18FD"/>
    <w:rsid w:val="00CB0F64"/>
    <w:rsid w:val="00CB58CD"/>
    <w:rsid w:val="00CB63EE"/>
    <w:rsid w:val="00CB7B78"/>
    <w:rsid w:val="00CD04CC"/>
    <w:rsid w:val="00CD079D"/>
    <w:rsid w:val="00CD12CE"/>
    <w:rsid w:val="00CD497B"/>
    <w:rsid w:val="00CD70D9"/>
    <w:rsid w:val="00CE4FC0"/>
    <w:rsid w:val="00CE66CB"/>
    <w:rsid w:val="00CF06E1"/>
    <w:rsid w:val="00CF4834"/>
    <w:rsid w:val="00CF48A4"/>
    <w:rsid w:val="00CF73C0"/>
    <w:rsid w:val="00D03006"/>
    <w:rsid w:val="00D035DA"/>
    <w:rsid w:val="00D0403A"/>
    <w:rsid w:val="00D06DDA"/>
    <w:rsid w:val="00D1007A"/>
    <w:rsid w:val="00D1064A"/>
    <w:rsid w:val="00D1138E"/>
    <w:rsid w:val="00D117B9"/>
    <w:rsid w:val="00D23C73"/>
    <w:rsid w:val="00D23DBC"/>
    <w:rsid w:val="00D250D1"/>
    <w:rsid w:val="00D31A09"/>
    <w:rsid w:val="00D31B5E"/>
    <w:rsid w:val="00D34C9D"/>
    <w:rsid w:val="00D43D33"/>
    <w:rsid w:val="00D50ED8"/>
    <w:rsid w:val="00D52A79"/>
    <w:rsid w:val="00D52AD4"/>
    <w:rsid w:val="00D54739"/>
    <w:rsid w:val="00D56BAA"/>
    <w:rsid w:val="00D56ECF"/>
    <w:rsid w:val="00D603F7"/>
    <w:rsid w:val="00D66028"/>
    <w:rsid w:val="00D73423"/>
    <w:rsid w:val="00D75BDC"/>
    <w:rsid w:val="00D77A02"/>
    <w:rsid w:val="00D80EEA"/>
    <w:rsid w:val="00D83452"/>
    <w:rsid w:val="00D90061"/>
    <w:rsid w:val="00D974F9"/>
    <w:rsid w:val="00D97544"/>
    <w:rsid w:val="00DA15FE"/>
    <w:rsid w:val="00DA24E2"/>
    <w:rsid w:val="00DB0289"/>
    <w:rsid w:val="00DB0497"/>
    <w:rsid w:val="00DB18CD"/>
    <w:rsid w:val="00DC0928"/>
    <w:rsid w:val="00DC1D8C"/>
    <w:rsid w:val="00DC3859"/>
    <w:rsid w:val="00DC47E8"/>
    <w:rsid w:val="00DD13BB"/>
    <w:rsid w:val="00DD5269"/>
    <w:rsid w:val="00DE1210"/>
    <w:rsid w:val="00DE18B7"/>
    <w:rsid w:val="00DF00CB"/>
    <w:rsid w:val="00DF42D0"/>
    <w:rsid w:val="00E03D8F"/>
    <w:rsid w:val="00E15072"/>
    <w:rsid w:val="00E232FD"/>
    <w:rsid w:val="00E24B6E"/>
    <w:rsid w:val="00E26F4D"/>
    <w:rsid w:val="00E33715"/>
    <w:rsid w:val="00E356E4"/>
    <w:rsid w:val="00E52B79"/>
    <w:rsid w:val="00E551D2"/>
    <w:rsid w:val="00E5787A"/>
    <w:rsid w:val="00E609A1"/>
    <w:rsid w:val="00E6352B"/>
    <w:rsid w:val="00E67B92"/>
    <w:rsid w:val="00E71282"/>
    <w:rsid w:val="00E75FF6"/>
    <w:rsid w:val="00E76C24"/>
    <w:rsid w:val="00E823BD"/>
    <w:rsid w:val="00E833A3"/>
    <w:rsid w:val="00E834D5"/>
    <w:rsid w:val="00E91A1F"/>
    <w:rsid w:val="00E91AB4"/>
    <w:rsid w:val="00EA065F"/>
    <w:rsid w:val="00EA2150"/>
    <w:rsid w:val="00EA22A6"/>
    <w:rsid w:val="00EA3F97"/>
    <w:rsid w:val="00EB2582"/>
    <w:rsid w:val="00EB4621"/>
    <w:rsid w:val="00EB5B4D"/>
    <w:rsid w:val="00EC2CF3"/>
    <w:rsid w:val="00EC2E57"/>
    <w:rsid w:val="00EC3410"/>
    <w:rsid w:val="00EC5859"/>
    <w:rsid w:val="00EC6244"/>
    <w:rsid w:val="00EC7C2C"/>
    <w:rsid w:val="00EC7F40"/>
    <w:rsid w:val="00ED2B2B"/>
    <w:rsid w:val="00EE1C72"/>
    <w:rsid w:val="00EE461D"/>
    <w:rsid w:val="00EE5934"/>
    <w:rsid w:val="00EE5FE1"/>
    <w:rsid w:val="00EE621C"/>
    <w:rsid w:val="00EE6AA6"/>
    <w:rsid w:val="00EF3438"/>
    <w:rsid w:val="00EF3536"/>
    <w:rsid w:val="00EF47BE"/>
    <w:rsid w:val="00EF4CAA"/>
    <w:rsid w:val="00F03ACA"/>
    <w:rsid w:val="00F14A84"/>
    <w:rsid w:val="00F22059"/>
    <w:rsid w:val="00F23D48"/>
    <w:rsid w:val="00F34C3B"/>
    <w:rsid w:val="00F3687D"/>
    <w:rsid w:val="00F4122F"/>
    <w:rsid w:val="00F4448B"/>
    <w:rsid w:val="00F478B3"/>
    <w:rsid w:val="00F529DD"/>
    <w:rsid w:val="00F52A87"/>
    <w:rsid w:val="00F56B89"/>
    <w:rsid w:val="00F61BBF"/>
    <w:rsid w:val="00F63C38"/>
    <w:rsid w:val="00F70B3F"/>
    <w:rsid w:val="00F70B89"/>
    <w:rsid w:val="00F71AF7"/>
    <w:rsid w:val="00F742FF"/>
    <w:rsid w:val="00F769C9"/>
    <w:rsid w:val="00F80B68"/>
    <w:rsid w:val="00F83466"/>
    <w:rsid w:val="00F84E75"/>
    <w:rsid w:val="00F86ECE"/>
    <w:rsid w:val="00F87C6F"/>
    <w:rsid w:val="00F92017"/>
    <w:rsid w:val="00F92F2B"/>
    <w:rsid w:val="00F95331"/>
    <w:rsid w:val="00F95B27"/>
    <w:rsid w:val="00FA2518"/>
    <w:rsid w:val="00FA254C"/>
    <w:rsid w:val="00FA3692"/>
    <w:rsid w:val="00FB0DAE"/>
    <w:rsid w:val="00FC0CAD"/>
    <w:rsid w:val="00FC39C7"/>
    <w:rsid w:val="00FC4441"/>
    <w:rsid w:val="00FC4687"/>
    <w:rsid w:val="00FD1766"/>
    <w:rsid w:val="00FD1D12"/>
    <w:rsid w:val="00FD5A2D"/>
    <w:rsid w:val="00FD68F8"/>
    <w:rsid w:val="00FE5B0B"/>
    <w:rsid w:val="00FF49FA"/>
    <w:rsid w:val="00FF6E62"/>
    <w:rsid w:val="00FF7AE2"/>
    <w:rsid w:val="015B3028"/>
    <w:rsid w:val="016F5BA1"/>
    <w:rsid w:val="01D131AD"/>
    <w:rsid w:val="01D636D7"/>
    <w:rsid w:val="01D87064"/>
    <w:rsid w:val="01F151ED"/>
    <w:rsid w:val="01F92A7D"/>
    <w:rsid w:val="02776A1A"/>
    <w:rsid w:val="027C6CC9"/>
    <w:rsid w:val="02890BA7"/>
    <w:rsid w:val="03981256"/>
    <w:rsid w:val="03BA5696"/>
    <w:rsid w:val="045D5298"/>
    <w:rsid w:val="0468732F"/>
    <w:rsid w:val="04E74228"/>
    <w:rsid w:val="05065EA5"/>
    <w:rsid w:val="051B17B5"/>
    <w:rsid w:val="056C656C"/>
    <w:rsid w:val="05D41602"/>
    <w:rsid w:val="05E459E4"/>
    <w:rsid w:val="06217FCC"/>
    <w:rsid w:val="06241198"/>
    <w:rsid w:val="06807E66"/>
    <w:rsid w:val="06BA75EE"/>
    <w:rsid w:val="06BE5F13"/>
    <w:rsid w:val="06CF5E2B"/>
    <w:rsid w:val="071B65B1"/>
    <w:rsid w:val="075F0AF2"/>
    <w:rsid w:val="079A2A4A"/>
    <w:rsid w:val="07B73CCC"/>
    <w:rsid w:val="081319B9"/>
    <w:rsid w:val="083C2A7C"/>
    <w:rsid w:val="08552EFA"/>
    <w:rsid w:val="08C956FA"/>
    <w:rsid w:val="090C5545"/>
    <w:rsid w:val="094309A2"/>
    <w:rsid w:val="095A26DB"/>
    <w:rsid w:val="09AA11B0"/>
    <w:rsid w:val="09AE6EC9"/>
    <w:rsid w:val="09CE2330"/>
    <w:rsid w:val="09DA1E07"/>
    <w:rsid w:val="09E3057F"/>
    <w:rsid w:val="09F67376"/>
    <w:rsid w:val="0A1706A5"/>
    <w:rsid w:val="0A22526F"/>
    <w:rsid w:val="0A6C2A75"/>
    <w:rsid w:val="0A9243F6"/>
    <w:rsid w:val="0A9A4CB2"/>
    <w:rsid w:val="0AA803DA"/>
    <w:rsid w:val="0AB5394C"/>
    <w:rsid w:val="0ABF4AD5"/>
    <w:rsid w:val="0AE12354"/>
    <w:rsid w:val="0AE33150"/>
    <w:rsid w:val="0B1C4FE1"/>
    <w:rsid w:val="0B462860"/>
    <w:rsid w:val="0B666E1E"/>
    <w:rsid w:val="0B7C459F"/>
    <w:rsid w:val="0B927F2C"/>
    <w:rsid w:val="0B9755E7"/>
    <w:rsid w:val="0C7601B7"/>
    <w:rsid w:val="0CE12CE9"/>
    <w:rsid w:val="0CE941A6"/>
    <w:rsid w:val="0D45478F"/>
    <w:rsid w:val="0D7610F5"/>
    <w:rsid w:val="0DC22EF6"/>
    <w:rsid w:val="0DCE6ED6"/>
    <w:rsid w:val="0E214703"/>
    <w:rsid w:val="0E4851DA"/>
    <w:rsid w:val="0E4A709F"/>
    <w:rsid w:val="0E6B7C20"/>
    <w:rsid w:val="0F0F0DC0"/>
    <w:rsid w:val="0F0F1F22"/>
    <w:rsid w:val="0F1756DC"/>
    <w:rsid w:val="0F2F2D73"/>
    <w:rsid w:val="0F8524FD"/>
    <w:rsid w:val="0F923070"/>
    <w:rsid w:val="0F954003"/>
    <w:rsid w:val="0FA20E5B"/>
    <w:rsid w:val="0FE1608D"/>
    <w:rsid w:val="102F164C"/>
    <w:rsid w:val="10A10B99"/>
    <w:rsid w:val="10B667EB"/>
    <w:rsid w:val="10D77534"/>
    <w:rsid w:val="11003298"/>
    <w:rsid w:val="11207371"/>
    <w:rsid w:val="112B167D"/>
    <w:rsid w:val="114514FB"/>
    <w:rsid w:val="115D2872"/>
    <w:rsid w:val="121566C7"/>
    <w:rsid w:val="121A1B1B"/>
    <w:rsid w:val="129C3238"/>
    <w:rsid w:val="12D37110"/>
    <w:rsid w:val="138E6001"/>
    <w:rsid w:val="13957F1E"/>
    <w:rsid w:val="139C3AF8"/>
    <w:rsid w:val="14076FBC"/>
    <w:rsid w:val="143347C4"/>
    <w:rsid w:val="143B7827"/>
    <w:rsid w:val="144A4A0F"/>
    <w:rsid w:val="14761E94"/>
    <w:rsid w:val="148C5E9A"/>
    <w:rsid w:val="14F82DA6"/>
    <w:rsid w:val="1510750C"/>
    <w:rsid w:val="15151D99"/>
    <w:rsid w:val="15237C5A"/>
    <w:rsid w:val="15A7709E"/>
    <w:rsid w:val="15C56F1C"/>
    <w:rsid w:val="15D833AD"/>
    <w:rsid w:val="15EC19CF"/>
    <w:rsid w:val="170A24E1"/>
    <w:rsid w:val="171F320C"/>
    <w:rsid w:val="172B37C9"/>
    <w:rsid w:val="17560618"/>
    <w:rsid w:val="177341EE"/>
    <w:rsid w:val="178C2D1C"/>
    <w:rsid w:val="17C0415C"/>
    <w:rsid w:val="18156596"/>
    <w:rsid w:val="181D2B49"/>
    <w:rsid w:val="1888065C"/>
    <w:rsid w:val="18E80CB2"/>
    <w:rsid w:val="18E856A6"/>
    <w:rsid w:val="19086FD3"/>
    <w:rsid w:val="19926A37"/>
    <w:rsid w:val="19A969CD"/>
    <w:rsid w:val="19AE4012"/>
    <w:rsid w:val="19B10CE0"/>
    <w:rsid w:val="19DE0B23"/>
    <w:rsid w:val="19F31F5B"/>
    <w:rsid w:val="1A041B98"/>
    <w:rsid w:val="1AE44AC9"/>
    <w:rsid w:val="1B284DF3"/>
    <w:rsid w:val="1B512F05"/>
    <w:rsid w:val="1B791BC2"/>
    <w:rsid w:val="1C3A7C47"/>
    <w:rsid w:val="1C857282"/>
    <w:rsid w:val="1CB00F2E"/>
    <w:rsid w:val="1CBF55B7"/>
    <w:rsid w:val="1D0F3D3B"/>
    <w:rsid w:val="1D151A85"/>
    <w:rsid w:val="1D673BEE"/>
    <w:rsid w:val="1DB5139A"/>
    <w:rsid w:val="1DB77358"/>
    <w:rsid w:val="1DD25237"/>
    <w:rsid w:val="1DDD22C8"/>
    <w:rsid w:val="1EA4110D"/>
    <w:rsid w:val="1EF2027C"/>
    <w:rsid w:val="1F5C5898"/>
    <w:rsid w:val="1F5C59FA"/>
    <w:rsid w:val="1FAD4A22"/>
    <w:rsid w:val="1FEC6E15"/>
    <w:rsid w:val="202779E4"/>
    <w:rsid w:val="20BF016C"/>
    <w:rsid w:val="21824A0B"/>
    <w:rsid w:val="21A161EC"/>
    <w:rsid w:val="21C41A51"/>
    <w:rsid w:val="21C4640B"/>
    <w:rsid w:val="21CE62BA"/>
    <w:rsid w:val="21F20A51"/>
    <w:rsid w:val="22487C44"/>
    <w:rsid w:val="22931A60"/>
    <w:rsid w:val="22AA3C04"/>
    <w:rsid w:val="23085554"/>
    <w:rsid w:val="231C2163"/>
    <w:rsid w:val="232079C7"/>
    <w:rsid w:val="23346723"/>
    <w:rsid w:val="234D2B53"/>
    <w:rsid w:val="23516A41"/>
    <w:rsid w:val="235C032A"/>
    <w:rsid w:val="23CA3F05"/>
    <w:rsid w:val="23D47700"/>
    <w:rsid w:val="23E2759F"/>
    <w:rsid w:val="24101B04"/>
    <w:rsid w:val="241077BB"/>
    <w:rsid w:val="245C3555"/>
    <w:rsid w:val="24740DAC"/>
    <w:rsid w:val="24745C19"/>
    <w:rsid w:val="24A12B87"/>
    <w:rsid w:val="24A93CD8"/>
    <w:rsid w:val="256964CE"/>
    <w:rsid w:val="25AB1542"/>
    <w:rsid w:val="25D84693"/>
    <w:rsid w:val="25DB734B"/>
    <w:rsid w:val="265C7526"/>
    <w:rsid w:val="27180BC0"/>
    <w:rsid w:val="27486E72"/>
    <w:rsid w:val="279557BC"/>
    <w:rsid w:val="279A4D56"/>
    <w:rsid w:val="27C86A7D"/>
    <w:rsid w:val="27E94DE5"/>
    <w:rsid w:val="284842BE"/>
    <w:rsid w:val="284B4691"/>
    <w:rsid w:val="2856755E"/>
    <w:rsid w:val="28614ACE"/>
    <w:rsid w:val="288B7855"/>
    <w:rsid w:val="28D142CA"/>
    <w:rsid w:val="29033372"/>
    <w:rsid w:val="298D3554"/>
    <w:rsid w:val="29DB1220"/>
    <w:rsid w:val="2A585D04"/>
    <w:rsid w:val="2A7811F4"/>
    <w:rsid w:val="2AC03B29"/>
    <w:rsid w:val="2ADA2663"/>
    <w:rsid w:val="2B366073"/>
    <w:rsid w:val="2B4D0C19"/>
    <w:rsid w:val="2BE12310"/>
    <w:rsid w:val="2BF55255"/>
    <w:rsid w:val="2D0E2DEE"/>
    <w:rsid w:val="2D28545F"/>
    <w:rsid w:val="2D307526"/>
    <w:rsid w:val="2D666B8B"/>
    <w:rsid w:val="2D8E1C95"/>
    <w:rsid w:val="2DE36703"/>
    <w:rsid w:val="2ECA28B4"/>
    <w:rsid w:val="2F04077A"/>
    <w:rsid w:val="2F2A7971"/>
    <w:rsid w:val="2F40562A"/>
    <w:rsid w:val="2F593AAF"/>
    <w:rsid w:val="300774D6"/>
    <w:rsid w:val="301B5A33"/>
    <w:rsid w:val="306D655A"/>
    <w:rsid w:val="30833C82"/>
    <w:rsid w:val="308C6939"/>
    <w:rsid w:val="315F312A"/>
    <w:rsid w:val="31847136"/>
    <w:rsid w:val="31F2760E"/>
    <w:rsid w:val="3205596B"/>
    <w:rsid w:val="320C281E"/>
    <w:rsid w:val="321D7E88"/>
    <w:rsid w:val="32555A13"/>
    <w:rsid w:val="32AE074E"/>
    <w:rsid w:val="32B34703"/>
    <w:rsid w:val="32B44794"/>
    <w:rsid w:val="32B63863"/>
    <w:rsid w:val="32D1254F"/>
    <w:rsid w:val="32F2516D"/>
    <w:rsid w:val="32F26CA9"/>
    <w:rsid w:val="332E5879"/>
    <w:rsid w:val="335F09FF"/>
    <w:rsid w:val="3367179F"/>
    <w:rsid w:val="33A922DA"/>
    <w:rsid w:val="33CD1419"/>
    <w:rsid w:val="34253E6E"/>
    <w:rsid w:val="34360313"/>
    <w:rsid w:val="343944D4"/>
    <w:rsid w:val="347F6228"/>
    <w:rsid w:val="34976B5C"/>
    <w:rsid w:val="34F536C2"/>
    <w:rsid w:val="350A5D72"/>
    <w:rsid w:val="35385399"/>
    <w:rsid w:val="353F75E7"/>
    <w:rsid w:val="35790DB5"/>
    <w:rsid w:val="3596760D"/>
    <w:rsid w:val="35B37A84"/>
    <w:rsid w:val="35E963D4"/>
    <w:rsid w:val="36912F5F"/>
    <w:rsid w:val="36A1541E"/>
    <w:rsid w:val="36D6708F"/>
    <w:rsid w:val="36D94679"/>
    <w:rsid w:val="372C4226"/>
    <w:rsid w:val="3752677F"/>
    <w:rsid w:val="37733EEF"/>
    <w:rsid w:val="37A143B1"/>
    <w:rsid w:val="37A74EB2"/>
    <w:rsid w:val="37D038B7"/>
    <w:rsid w:val="38184DA9"/>
    <w:rsid w:val="384E6FE9"/>
    <w:rsid w:val="384F5FC3"/>
    <w:rsid w:val="38DB7D3F"/>
    <w:rsid w:val="38E55610"/>
    <w:rsid w:val="390712BD"/>
    <w:rsid w:val="39117F45"/>
    <w:rsid w:val="397B54BD"/>
    <w:rsid w:val="398A3B51"/>
    <w:rsid w:val="39A07DED"/>
    <w:rsid w:val="3A593AA4"/>
    <w:rsid w:val="3AD153D4"/>
    <w:rsid w:val="3B1A3D00"/>
    <w:rsid w:val="3B1C2777"/>
    <w:rsid w:val="3B9644B1"/>
    <w:rsid w:val="3BC61353"/>
    <w:rsid w:val="3BD3322F"/>
    <w:rsid w:val="3C474824"/>
    <w:rsid w:val="3C7A0E71"/>
    <w:rsid w:val="3CB01E6E"/>
    <w:rsid w:val="3CBC3CDD"/>
    <w:rsid w:val="3D226711"/>
    <w:rsid w:val="3D7038CF"/>
    <w:rsid w:val="3D927FEE"/>
    <w:rsid w:val="3D982A86"/>
    <w:rsid w:val="3DA42D56"/>
    <w:rsid w:val="3E0A7937"/>
    <w:rsid w:val="3EC71A0F"/>
    <w:rsid w:val="3F650473"/>
    <w:rsid w:val="3F8B2DC1"/>
    <w:rsid w:val="3F9A32A4"/>
    <w:rsid w:val="3F9A59A0"/>
    <w:rsid w:val="3FAF1E04"/>
    <w:rsid w:val="3FF8412A"/>
    <w:rsid w:val="40887274"/>
    <w:rsid w:val="40A83B3E"/>
    <w:rsid w:val="410D35BF"/>
    <w:rsid w:val="413B48B3"/>
    <w:rsid w:val="41900E70"/>
    <w:rsid w:val="41987957"/>
    <w:rsid w:val="42465B70"/>
    <w:rsid w:val="426C6317"/>
    <w:rsid w:val="428C6315"/>
    <w:rsid w:val="42990C57"/>
    <w:rsid w:val="42CE183F"/>
    <w:rsid w:val="42EB4F38"/>
    <w:rsid w:val="430C77E3"/>
    <w:rsid w:val="431D779C"/>
    <w:rsid w:val="439B6D7F"/>
    <w:rsid w:val="43B53C9A"/>
    <w:rsid w:val="43DF3ECA"/>
    <w:rsid w:val="4428303F"/>
    <w:rsid w:val="4431193E"/>
    <w:rsid w:val="4498729F"/>
    <w:rsid w:val="44CE0978"/>
    <w:rsid w:val="44F31BF2"/>
    <w:rsid w:val="44F31C9E"/>
    <w:rsid w:val="44F74778"/>
    <w:rsid w:val="45012FE8"/>
    <w:rsid w:val="45212496"/>
    <w:rsid w:val="453A1979"/>
    <w:rsid w:val="454F5276"/>
    <w:rsid w:val="45595625"/>
    <w:rsid w:val="457D6208"/>
    <w:rsid w:val="460946AE"/>
    <w:rsid w:val="46276980"/>
    <w:rsid w:val="4657138A"/>
    <w:rsid w:val="46B86BE1"/>
    <w:rsid w:val="46F525EC"/>
    <w:rsid w:val="46FB1CEC"/>
    <w:rsid w:val="47683FAC"/>
    <w:rsid w:val="47963965"/>
    <w:rsid w:val="47C1489E"/>
    <w:rsid w:val="47F85100"/>
    <w:rsid w:val="48112282"/>
    <w:rsid w:val="4860263C"/>
    <w:rsid w:val="488902FD"/>
    <w:rsid w:val="48E27259"/>
    <w:rsid w:val="49776B93"/>
    <w:rsid w:val="4A1937AC"/>
    <w:rsid w:val="4A36668E"/>
    <w:rsid w:val="4A442A15"/>
    <w:rsid w:val="4A4B0009"/>
    <w:rsid w:val="4A8F28B3"/>
    <w:rsid w:val="4B48361A"/>
    <w:rsid w:val="4B52606D"/>
    <w:rsid w:val="4B7B1547"/>
    <w:rsid w:val="4B976B1E"/>
    <w:rsid w:val="4BCA50AD"/>
    <w:rsid w:val="4BF8401E"/>
    <w:rsid w:val="4C0655AD"/>
    <w:rsid w:val="4C124D04"/>
    <w:rsid w:val="4C470FC6"/>
    <w:rsid w:val="4CB10AFC"/>
    <w:rsid w:val="4CF913B7"/>
    <w:rsid w:val="4D3707E8"/>
    <w:rsid w:val="4D4824A4"/>
    <w:rsid w:val="4D847382"/>
    <w:rsid w:val="4D8704F9"/>
    <w:rsid w:val="4E453866"/>
    <w:rsid w:val="4E552966"/>
    <w:rsid w:val="4E6B28A6"/>
    <w:rsid w:val="4EAD28FF"/>
    <w:rsid w:val="4EC157D2"/>
    <w:rsid w:val="4ECE2B5A"/>
    <w:rsid w:val="4EF32B10"/>
    <w:rsid w:val="4F0C5C6B"/>
    <w:rsid w:val="4F272E69"/>
    <w:rsid w:val="4F9C23E4"/>
    <w:rsid w:val="4FC74E0A"/>
    <w:rsid w:val="4FE114E3"/>
    <w:rsid w:val="50AE43FD"/>
    <w:rsid w:val="50E5770A"/>
    <w:rsid w:val="50FE28EE"/>
    <w:rsid w:val="5148694B"/>
    <w:rsid w:val="51590500"/>
    <w:rsid w:val="516C4EAA"/>
    <w:rsid w:val="517B0B56"/>
    <w:rsid w:val="51B76501"/>
    <w:rsid w:val="522A4360"/>
    <w:rsid w:val="52397F35"/>
    <w:rsid w:val="523A52A8"/>
    <w:rsid w:val="524F328D"/>
    <w:rsid w:val="52501BA1"/>
    <w:rsid w:val="5290023E"/>
    <w:rsid w:val="52B94C69"/>
    <w:rsid w:val="52E73A4D"/>
    <w:rsid w:val="53116936"/>
    <w:rsid w:val="532026B3"/>
    <w:rsid w:val="53500BE5"/>
    <w:rsid w:val="53593953"/>
    <w:rsid w:val="54347963"/>
    <w:rsid w:val="546963FE"/>
    <w:rsid w:val="54882074"/>
    <w:rsid w:val="55133A8F"/>
    <w:rsid w:val="553C18D6"/>
    <w:rsid w:val="554F0600"/>
    <w:rsid w:val="55952F95"/>
    <w:rsid w:val="55D4346D"/>
    <w:rsid w:val="55D46F1E"/>
    <w:rsid w:val="5612501E"/>
    <w:rsid w:val="56401E75"/>
    <w:rsid w:val="568F2FB3"/>
    <w:rsid w:val="569B7DA6"/>
    <w:rsid w:val="56D005F6"/>
    <w:rsid w:val="574B433C"/>
    <w:rsid w:val="57963076"/>
    <w:rsid w:val="57B91C18"/>
    <w:rsid w:val="57C6479F"/>
    <w:rsid w:val="58403317"/>
    <w:rsid w:val="584B7712"/>
    <w:rsid w:val="5854741C"/>
    <w:rsid w:val="58F42587"/>
    <w:rsid w:val="598B6C13"/>
    <w:rsid w:val="599C552C"/>
    <w:rsid w:val="59CE62E1"/>
    <w:rsid w:val="59D00632"/>
    <w:rsid w:val="5A111225"/>
    <w:rsid w:val="5A99499C"/>
    <w:rsid w:val="5AF4317C"/>
    <w:rsid w:val="5B3154B1"/>
    <w:rsid w:val="5B6947AF"/>
    <w:rsid w:val="5B9A1E7E"/>
    <w:rsid w:val="5BFF4493"/>
    <w:rsid w:val="5C231377"/>
    <w:rsid w:val="5C4353FE"/>
    <w:rsid w:val="5C587EE4"/>
    <w:rsid w:val="5C70509C"/>
    <w:rsid w:val="5C9F132C"/>
    <w:rsid w:val="5D180AE6"/>
    <w:rsid w:val="5D3763F7"/>
    <w:rsid w:val="5D3954F4"/>
    <w:rsid w:val="5D772671"/>
    <w:rsid w:val="5E020DA6"/>
    <w:rsid w:val="5E9B0716"/>
    <w:rsid w:val="5ED32659"/>
    <w:rsid w:val="5F0D57A0"/>
    <w:rsid w:val="5F240472"/>
    <w:rsid w:val="5F4C70F8"/>
    <w:rsid w:val="5FC02088"/>
    <w:rsid w:val="607C2820"/>
    <w:rsid w:val="608102CD"/>
    <w:rsid w:val="61230B4F"/>
    <w:rsid w:val="618D3520"/>
    <w:rsid w:val="61EA2DFB"/>
    <w:rsid w:val="6212440B"/>
    <w:rsid w:val="62280ADA"/>
    <w:rsid w:val="626D2370"/>
    <w:rsid w:val="62961A64"/>
    <w:rsid w:val="629869E7"/>
    <w:rsid w:val="62AA0776"/>
    <w:rsid w:val="62CC7F61"/>
    <w:rsid w:val="630F7237"/>
    <w:rsid w:val="63A03594"/>
    <w:rsid w:val="63F361B6"/>
    <w:rsid w:val="64155535"/>
    <w:rsid w:val="645F49A5"/>
    <w:rsid w:val="64912F39"/>
    <w:rsid w:val="64B622BC"/>
    <w:rsid w:val="64F74528"/>
    <w:rsid w:val="652F1808"/>
    <w:rsid w:val="65A978BE"/>
    <w:rsid w:val="6648510B"/>
    <w:rsid w:val="66533E2A"/>
    <w:rsid w:val="666B0D96"/>
    <w:rsid w:val="66A36122"/>
    <w:rsid w:val="66D501D9"/>
    <w:rsid w:val="670527BF"/>
    <w:rsid w:val="672B40A0"/>
    <w:rsid w:val="675A0CEE"/>
    <w:rsid w:val="676222C2"/>
    <w:rsid w:val="67EF6C65"/>
    <w:rsid w:val="67F0414C"/>
    <w:rsid w:val="686B0770"/>
    <w:rsid w:val="68782D29"/>
    <w:rsid w:val="68B34674"/>
    <w:rsid w:val="68F9141C"/>
    <w:rsid w:val="6998514A"/>
    <w:rsid w:val="69B051D4"/>
    <w:rsid w:val="69BA7762"/>
    <w:rsid w:val="69D5455B"/>
    <w:rsid w:val="69ED51F9"/>
    <w:rsid w:val="6A061E9F"/>
    <w:rsid w:val="6A3C21F8"/>
    <w:rsid w:val="6A6D1CB6"/>
    <w:rsid w:val="6A816E20"/>
    <w:rsid w:val="6B2608DE"/>
    <w:rsid w:val="6B5046B2"/>
    <w:rsid w:val="6BD875D6"/>
    <w:rsid w:val="6BE06D0C"/>
    <w:rsid w:val="6BF42142"/>
    <w:rsid w:val="6C2D64C0"/>
    <w:rsid w:val="6C987AEB"/>
    <w:rsid w:val="6CB1264B"/>
    <w:rsid w:val="6CCF752C"/>
    <w:rsid w:val="6CDA2A6B"/>
    <w:rsid w:val="6D190821"/>
    <w:rsid w:val="6D1C5626"/>
    <w:rsid w:val="6D2D12C9"/>
    <w:rsid w:val="6DD960A5"/>
    <w:rsid w:val="6E00187C"/>
    <w:rsid w:val="6E4F010D"/>
    <w:rsid w:val="6E804DD5"/>
    <w:rsid w:val="6EC55A0E"/>
    <w:rsid w:val="6ECF0F6F"/>
    <w:rsid w:val="6ED82F54"/>
    <w:rsid w:val="6F027769"/>
    <w:rsid w:val="6F595292"/>
    <w:rsid w:val="6F992216"/>
    <w:rsid w:val="6FBE7646"/>
    <w:rsid w:val="6FC53181"/>
    <w:rsid w:val="6FCE10E8"/>
    <w:rsid w:val="6FDD038F"/>
    <w:rsid w:val="6FF50BC2"/>
    <w:rsid w:val="6FF82189"/>
    <w:rsid w:val="6FFA3A2C"/>
    <w:rsid w:val="700365FD"/>
    <w:rsid w:val="701C2AE2"/>
    <w:rsid w:val="701E684A"/>
    <w:rsid w:val="7038064E"/>
    <w:rsid w:val="70385DB2"/>
    <w:rsid w:val="705E75F8"/>
    <w:rsid w:val="70785AF8"/>
    <w:rsid w:val="708B218E"/>
    <w:rsid w:val="70D15FA5"/>
    <w:rsid w:val="713878EC"/>
    <w:rsid w:val="71497706"/>
    <w:rsid w:val="715B7ED5"/>
    <w:rsid w:val="71B6066F"/>
    <w:rsid w:val="71C70DE8"/>
    <w:rsid w:val="71F15E84"/>
    <w:rsid w:val="72733E42"/>
    <w:rsid w:val="72AB4CB8"/>
    <w:rsid w:val="73217E94"/>
    <w:rsid w:val="73560F04"/>
    <w:rsid w:val="736E4A9E"/>
    <w:rsid w:val="737870A6"/>
    <w:rsid w:val="73791DB8"/>
    <w:rsid w:val="73976801"/>
    <w:rsid w:val="744A65A0"/>
    <w:rsid w:val="746F562E"/>
    <w:rsid w:val="747F739E"/>
    <w:rsid w:val="74A54F9E"/>
    <w:rsid w:val="750D5A1E"/>
    <w:rsid w:val="751D21DE"/>
    <w:rsid w:val="7549550F"/>
    <w:rsid w:val="761526AD"/>
    <w:rsid w:val="763622A0"/>
    <w:rsid w:val="76385FF4"/>
    <w:rsid w:val="7659748F"/>
    <w:rsid w:val="76646308"/>
    <w:rsid w:val="76731D44"/>
    <w:rsid w:val="76833B5F"/>
    <w:rsid w:val="76942C1E"/>
    <w:rsid w:val="76981E21"/>
    <w:rsid w:val="76AD24B9"/>
    <w:rsid w:val="77406AC8"/>
    <w:rsid w:val="77453708"/>
    <w:rsid w:val="774B0508"/>
    <w:rsid w:val="77793195"/>
    <w:rsid w:val="77796B5D"/>
    <w:rsid w:val="777D66C5"/>
    <w:rsid w:val="778C7372"/>
    <w:rsid w:val="778F7D21"/>
    <w:rsid w:val="77A758F4"/>
    <w:rsid w:val="77D93AC3"/>
    <w:rsid w:val="784B70E2"/>
    <w:rsid w:val="7863240D"/>
    <w:rsid w:val="787E281E"/>
    <w:rsid w:val="790B06F7"/>
    <w:rsid w:val="792F24EE"/>
    <w:rsid w:val="796B1935"/>
    <w:rsid w:val="79E01FB4"/>
    <w:rsid w:val="7A0A770A"/>
    <w:rsid w:val="7A367BBD"/>
    <w:rsid w:val="7A3A6A24"/>
    <w:rsid w:val="7A6831BF"/>
    <w:rsid w:val="7ACC5F07"/>
    <w:rsid w:val="7C02622B"/>
    <w:rsid w:val="7C122593"/>
    <w:rsid w:val="7C2D0994"/>
    <w:rsid w:val="7C3C683E"/>
    <w:rsid w:val="7C3D1907"/>
    <w:rsid w:val="7C5E5FF1"/>
    <w:rsid w:val="7C8327D6"/>
    <w:rsid w:val="7C9123A4"/>
    <w:rsid w:val="7D2F30B4"/>
    <w:rsid w:val="7D6801BB"/>
    <w:rsid w:val="7D6E47C1"/>
    <w:rsid w:val="7DE5152E"/>
    <w:rsid w:val="7E897A1D"/>
    <w:rsid w:val="7E9079FB"/>
    <w:rsid w:val="7EB35817"/>
    <w:rsid w:val="7F037CF8"/>
    <w:rsid w:val="7FB5187C"/>
    <w:rsid w:val="7FC7497F"/>
    <w:rsid w:val="7FFD4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04"/>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line="376" w:lineRule="auto"/>
      <w:outlineLvl w:val="3"/>
    </w:pPr>
    <w:rPr>
      <w:rFonts w:ascii="Cambria" w:hAnsi="Cambria"/>
      <w:b/>
      <w:bCs/>
      <w:sz w:val="28"/>
      <w:szCs w:val="28"/>
    </w:rPr>
  </w:style>
  <w:style w:type="paragraph" w:styleId="6">
    <w:name w:val="heading 5"/>
    <w:basedOn w:val="1"/>
    <w:next w:val="1"/>
    <w:link w:val="94"/>
    <w:unhideWhenUsed/>
    <w:qFormat/>
    <w:uiPriority w:val="0"/>
    <w:pPr>
      <w:keepNext/>
      <w:keepLines/>
      <w:spacing w:before="280" w:after="290" w:line="376" w:lineRule="auto"/>
      <w:outlineLvl w:val="4"/>
    </w:pPr>
    <w:rPr>
      <w:b/>
      <w:bCs/>
      <w:sz w:val="28"/>
      <w:szCs w:val="28"/>
    </w:rPr>
  </w:style>
  <w:style w:type="character" w:default="1" w:styleId="43">
    <w:name w:val="Default Paragraph Font"/>
    <w:semiHidden/>
    <w:unhideWhenUsed/>
    <w:qFormat/>
    <w:uiPriority w:val="1"/>
  </w:style>
  <w:style w:type="table" w:default="1" w:styleId="49">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90"/>
    <w:qFormat/>
    <w:uiPriority w:val="0"/>
    <w:rPr>
      <w:b/>
      <w:bCs/>
    </w:rPr>
  </w:style>
  <w:style w:type="paragraph" w:styleId="8">
    <w:name w:val="annotation text"/>
    <w:basedOn w:val="1"/>
    <w:link w:val="89"/>
    <w:qFormat/>
    <w:uiPriority w:val="0"/>
    <w:pPr>
      <w:jc w:val="left"/>
    </w:pPr>
  </w:style>
  <w:style w:type="paragraph" w:styleId="9">
    <w:name w:val="toc 7"/>
    <w:basedOn w:val="1"/>
    <w:next w:val="1"/>
    <w:qFormat/>
    <w:uiPriority w:val="0"/>
    <w:pPr>
      <w:ind w:left="1260"/>
      <w:jc w:val="left"/>
    </w:pPr>
    <w:rPr>
      <w:sz w:val="20"/>
    </w:rPr>
  </w:style>
  <w:style w:type="paragraph" w:styleId="10">
    <w:name w:val="index 8"/>
    <w:basedOn w:val="1"/>
    <w:next w:val="1"/>
    <w:semiHidden/>
    <w:qFormat/>
    <w:uiPriority w:val="0"/>
    <w:pPr>
      <w:ind w:left="1400" w:leftChars="1400"/>
    </w:pPr>
  </w:style>
  <w:style w:type="paragraph" w:styleId="11">
    <w:name w:val="Normal Indent"/>
    <w:basedOn w:val="1"/>
    <w:qFormat/>
    <w:uiPriority w:val="0"/>
    <w:pPr>
      <w:widowControl/>
      <w:ind w:firstLine="420"/>
      <w:jc w:val="left"/>
    </w:pPr>
    <w:rPr>
      <w:kern w:val="0"/>
      <w:sz w:val="20"/>
    </w:rPr>
  </w:style>
  <w:style w:type="paragraph" w:styleId="12">
    <w:name w:val="index 5"/>
    <w:basedOn w:val="1"/>
    <w:next w:val="1"/>
    <w:semiHidden/>
    <w:qFormat/>
    <w:uiPriority w:val="0"/>
    <w:pPr>
      <w:ind w:left="800" w:leftChars="800"/>
    </w:pPr>
  </w:style>
  <w:style w:type="paragraph" w:styleId="13">
    <w:name w:val="Document Map"/>
    <w:basedOn w:val="1"/>
    <w:link w:val="88"/>
    <w:qFormat/>
    <w:uiPriority w:val="0"/>
    <w:rPr>
      <w:rFonts w:ascii="宋体"/>
      <w:sz w:val="18"/>
      <w:szCs w:val="18"/>
    </w:rPr>
  </w:style>
  <w:style w:type="paragraph" w:styleId="14">
    <w:name w:val="index 6"/>
    <w:basedOn w:val="1"/>
    <w:next w:val="1"/>
    <w:semiHidden/>
    <w:qFormat/>
    <w:uiPriority w:val="0"/>
    <w:pPr>
      <w:ind w:left="1000" w:leftChars="1000"/>
    </w:pPr>
  </w:style>
  <w:style w:type="paragraph" w:styleId="15">
    <w:name w:val="Body Text 3"/>
    <w:basedOn w:val="1"/>
    <w:link w:val="102"/>
    <w:qFormat/>
    <w:uiPriority w:val="0"/>
    <w:pPr>
      <w:ind w:right="69" w:rightChars="33"/>
    </w:pPr>
    <w:rPr>
      <w:rFonts w:ascii="仿宋_GB2312" w:eastAsia="仿宋_GB2312"/>
      <w:bCs/>
      <w:sz w:val="28"/>
      <w:szCs w:val="28"/>
    </w:rPr>
  </w:style>
  <w:style w:type="paragraph" w:styleId="16">
    <w:name w:val="Body Text"/>
    <w:basedOn w:val="1"/>
    <w:qFormat/>
    <w:uiPriority w:val="0"/>
    <w:rPr>
      <w:spacing w:val="20"/>
      <w:sz w:val="24"/>
      <w:szCs w:val="24"/>
    </w:rPr>
  </w:style>
  <w:style w:type="paragraph" w:styleId="17">
    <w:name w:val="Body Text Indent"/>
    <w:basedOn w:val="1"/>
    <w:qFormat/>
    <w:uiPriority w:val="0"/>
    <w:pPr>
      <w:adjustRightInd w:val="0"/>
      <w:spacing w:line="360" w:lineRule="auto"/>
      <w:ind w:firstLine="660"/>
      <w:textAlignment w:val="baseline"/>
    </w:pPr>
    <w:rPr>
      <w:rFonts w:ascii="宋体"/>
      <w:spacing w:val="20"/>
      <w:kern w:val="0"/>
      <w:sz w:val="28"/>
    </w:rPr>
  </w:style>
  <w:style w:type="paragraph" w:styleId="18">
    <w:name w:val="List 2"/>
    <w:basedOn w:val="1"/>
    <w:qFormat/>
    <w:uiPriority w:val="0"/>
    <w:pPr>
      <w:ind w:left="100" w:leftChars="200" w:hanging="200" w:hangingChars="200"/>
    </w:pPr>
    <w:rPr>
      <w:szCs w:val="24"/>
    </w:rPr>
  </w:style>
  <w:style w:type="paragraph" w:styleId="19">
    <w:name w:val="index 4"/>
    <w:basedOn w:val="1"/>
    <w:next w:val="1"/>
    <w:semiHidden/>
    <w:qFormat/>
    <w:uiPriority w:val="0"/>
    <w:pPr>
      <w:ind w:left="600" w:leftChars="600"/>
    </w:pPr>
  </w:style>
  <w:style w:type="paragraph" w:styleId="20">
    <w:name w:val="toc 5"/>
    <w:basedOn w:val="1"/>
    <w:next w:val="1"/>
    <w:qFormat/>
    <w:uiPriority w:val="0"/>
    <w:pPr>
      <w:ind w:left="840"/>
      <w:jc w:val="left"/>
    </w:pPr>
    <w:rPr>
      <w:sz w:val="20"/>
    </w:rPr>
  </w:style>
  <w:style w:type="paragraph" w:styleId="21">
    <w:name w:val="toc 3"/>
    <w:basedOn w:val="1"/>
    <w:next w:val="1"/>
    <w:qFormat/>
    <w:uiPriority w:val="0"/>
    <w:pPr>
      <w:ind w:left="420"/>
      <w:jc w:val="left"/>
    </w:pPr>
    <w:rPr>
      <w:sz w:val="20"/>
    </w:rPr>
  </w:style>
  <w:style w:type="paragraph" w:styleId="22">
    <w:name w:val="Plain Text"/>
    <w:basedOn w:val="1"/>
    <w:link w:val="92"/>
    <w:qFormat/>
    <w:uiPriority w:val="0"/>
    <w:pPr>
      <w:spacing w:line="500" w:lineRule="exact"/>
    </w:pPr>
    <w:rPr>
      <w:rFonts w:ascii="宋体" w:hAnsi="Courier New"/>
    </w:rPr>
  </w:style>
  <w:style w:type="paragraph" w:styleId="23">
    <w:name w:val="toc 8"/>
    <w:basedOn w:val="1"/>
    <w:next w:val="1"/>
    <w:qFormat/>
    <w:uiPriority w:val="0"/>
    <w:pPr>
      <w:ind w:left="1470"/>
      <w:jc w:val="left"/>
    </w:pPr>
    <w:rPr>
      <w:sz w:val="20"/>
    </w:rPr>
  </w:style>
  <w:style w:type="paragraph" w:styleId="24">
    <w:name w:val="index 3"/>
    <w:basedOn w:val="1"/>
    <w:next w:val="1"/>
    <w:semiHidden/>
    <w:qFormat/>
    <w:uiPriority w:val="0"/>
    <w:pPr>
      <w:ind w:left="400" w:leftChars="400"/>
    </w:pPr>
  </w:style>
  <w:style w:type="paragraph" w:styleId="25">
    <w:name w:val="Date"/>
    <w:basedOn w:val="1"/>
    <w:next w:val="1"/>
    <w:qFormat/>
    <w:uiPriority w:val="0"/>
    <w:pPr>
      <w:adjustRightInd w:val="0"/>
      <w:spacing w:line="312" w:lineRule="atLeast"/>
      <w:jc w:val="right"/>
      <w:textAlignment w:val="baseline"/>
    </w:pPr>
    <w:rPr>
      <w:rFonts w:ascii="宋体"/>
      <w:spacing w:val="20"/>
      <w:kern w:val="0"/>
      <w:sz w:val="28"/>
    </w:rPr>
  </w:style>
  <w:style w:type="paragraph" w:styleId="26">
    <w:name w:val="Body Text Indent 2"/>
    <w:basedOn w:val="1"/>
    <w:qFormat/>
    <w:uiPriority w:val="0"/>
    <w:pPr>
      <w:spacing w:line="360" w:lineRule="auto"/>
      <w:ind w:firstLine="624"/>
    </w:pPr>
    <w:rPr>
      <w:spacing w:val="20"/>
      <w:sz w:val="28"/>
    </w:rPr>
  </w:style>
  <w:style w:type="paragraph" w:styleId="27">
    <w:name w:val="Balloon Text"/>
    <w:basedOn w:val="1"/>
    <w:semiHidden/>
    <w:qFormat/>
    <w:uiPriority w:val="0"/>
    <w:rPr>
      <w:sz w:val="18"/>
      <w:szCs w:val="18"/>
    </w:rPr>
  </w:style>
  <w:style w:type="paragraph" w:styleId="28">
    <w:name w:val="footer"/>
    <w:basedOn w:val="1"/>
    <w:link w:val="91"/>
    <w:qFormat/>
    <w:uiPriority w:val="0"/>
    <w:pPr>
      <w:tabs>
        <w:tab w:val="center" w:pos="4153"/>
        <w:tab w:val="right" w:pos="8306"/>
      </w:tabs>
      <w:adjustRightInd w:val="0"/>
      <w:spacing w:line="240" w:lineRule="atLeast"/>
      <w:jc w:val="left"/>
      <w:textAlignment w:val="baseline"/>
    </w:pPr>
    <w:rPr>
      <w:kern w:val="0"/>
      <w:sz w:val="18"/>
    </w:rPr>
  </w:style>
  <w:style w:type="paragraph" w:styleId="29">
    <w:name w:val="header"/>
    <w:basedOn w:val="1"/>
    <w:link w:val="93"/>
    <w:qFormat/>
    <w:uiPriority w:val="0"/>
    <w:pPr>
      <w:tabs>
        <w:tab w:val="center" w:pos="4153"/>
        <w:tab w:val="right" w:pos="8306"/>
      </w:tabs>
      <w:snapToGrid w:val="0"/>
      <w:jc w:val="center"/>
    </w:pPr>
    <w:rPr>
      <w:sz w:val="18"/>
      <w:szCs w:val="18"/>
    </w:rPr>
  </w:style>
  <w:style w:type="paragraph" w:styleId="30">
    <w:name w:val="toc 1"/>
    <w:basedOn w:val="1"/>
    <w:next w:val="1"/>
    <w:qFormat/>
    <w:uiPriority w:val="39"/>
    <w:pPr>
      <w:tabs>
        <w:tab w:val="right" w:leader="dot" w:pos="9457"/>
      </w:tabs>
      <w:spacing w:beforeLines="100" w:afterLines="100" w:line="360" w:lineRule="auto"/>
      <w:jc w:val="center"/>
    </w:pPr>
    <w:rPr>
      <w:rFonts w:ascii="宋体" w:hAnsi="宋体"/>
      <w:b/>
      <w:bCs/>
      <w:iCs/>
      <w:snapToGrid w:val="0"/>
      <w:spacing w:val="40"/>
      <w:kern w:val="0"/>
      <w:sz w:val="32"/>
      <w:szCs w:val="32"/>
    </w:rPr>
  </w:style>
  <w:style w:type="paragraph" w:styleId="31">
    <w:name w:val="toc 4"/>
    <w:basedOn w:val="1"/>
    <w:next w:val="1"/>
    <w:qFormat/>
    <w:uiPriority w:val="0"/>
    <w:pPr>
      <w:ind w:left="630"/>
      <w:jc w:val="left"/>
    </w:pPr>
    <w:rPr>
      <w:sz w:val="20"/>
    </w:rPr>
  </w:style>
  <w:style w:type="paragraph" w:styleId="32">
    <w:name w:val="index heading"/>
    <w:basedOn w:val="1"/>
    <w:next w:val="33"/>
    <w:semiHidden/>
    <w:qFormat/>
    <w:uiPriority w:val="0"/>
  </w:style>
  <w:style w:type="paragraph" w:styleId="33">
    <w:name w:val="index 1"/>
    <w:basedOn w:val="1"/>
    <w:next w:val="1"/>
    <w:semiHidden/>
    <w:qFormat/>
    <w:uiPriority w:val="0"/>
    <w:pPr>
      <w:spacing w:line="360" w:lineRule="auto"/>
      <w:jc w:val="center"/>
    </w:pPr>
    <w:rPr>
      <w:b/>
      <w:bCs/>
      <w:snapToGrid w:val="0"/>
      <w:kern w:val="0"/>
      <w:sz w:val="30"/>
    </w:rPr>
  </w:style>
  <w:style w:type="paragraph" w:styleId="34">
    <w:name w:val="toc 6"/>
    <w:basedOn w:val="1"/>
    <w:next w:val="1"/>
    <w:qFormat/>
    <w:uiPriority w:val="0"/>
    <w:pPr>
      <w:ind w:left="1050"/>
      <w:jc w:val="left"/>
    </w:pPr>
    <w:rPr>
      <w:sz w:val="20"/>
    </w:rPr>
  </w:style>
  <w:style w:type="paragraph" w:styleId="35">
    <w:name w:val="Body Text Indent 3"/>
    <w:basedOn w:val="1"/>
    <w:link w:val="101"/>
    <w:qFormat/>
    <w:uiPriority w:val="99"/>
    <w:pPr>
      <w:adjustRightInd w:val="0"/>
      <w:spacing w:line="360" w:lineRule="auto"/>
      <w:ind w:firstLine="660"/>
      <w:jc w:val="left"/>
      <w:textAlignment w:val="baseline"/>
    </w:pPr>
    <w:rPr>
      <w:rFonts w:ascii="宋体"/>
      <w:spacing w:val="20"/>
      <w:kern w:val="0"/>
      <w:sz w:val="28"/>
    </w:rPr>
  </w:style>
  <w:style w:type="paragraph" w:styleId="36">
    <w:name w:val="index 7"/>
    <w:basedOn w:val="1"/>
    <w:next w:val="1"/>
    <w:semiHidden/>
    <w:qFormat/>
    <w:uiPriority w:val="0"/>
    <w:pPr>
      <w:ind w:left="1200" w:leftChars="1200"/>
    </w:pPr>
  </w:style>
  <w:style w:type="paragraph" w:styleId="37">
    <w:name w:val="index 9"/>
    <w:basedOn w:val="1"/>
    <w:next w:val="1"/>
    <w:semiHidden/>
    <w:qFormat/>
    <w:uiPriority w:val="0"/>
    <w:pPr>
      <w:ind w:left="1600" w:leftChars="1600"/>
    </w:pPr>
  </w:style>
  <w:style w:type="paragraph" w:styleId="38">
    <w:name w:val="toc 2"/>
    <w:basedOn w:val="1"/>
    <w:next w:val="1"/>
    <w:qFormat/>
    <w:uiPriority w:val="39"/>
    <w:pPr>
      <w:tabs>
        <w:tab w:val="right" w:leader="dot" w:pos="9457"/>
      </w:tabs>
      <w:adjustRightInd w:val="0"/>
      <w:snapToGrid w:val="0"/>
      <w:spacing w:before="120"/>
      <w:ind w:left="29" w:hanging="29" w:hangingChars="12"/>
    </w:pPr>
    <w:rPr>
      <w:rFonts w:ascii="宋体" w:hAnsi="宋体"/>
      <w:bCs/>
      <w:sz w:val="24"/>
      <w:szCs w:val="24"/>
    </w:rPr>
  </w:style>
  <w:style w:type="paragraph" w:styleId="39">
    <w:name w:val="toc 9"/>
    <w:basedOn w:val="1"/>
    <w:next w:val="1"/>
    <w:qFormat/>
    <w:uiPriority w:val="0"/>
    <w:pPr>
      <w:ind w:left="1680"/>
      <w:jc w:val="left"/>
    </w:pPr>
    <w:rPr>
      <w:sz w:val="20"/>
    </w:rPr>
  </w:style>
  <w:style w:type="paragraph" w:styleId="40">
    <w:name w:val="Body Text 2"/>
    <w:basedOn w:val="1"/>
    <w:link w:val="103"/>
    <w:qFormat/>
    <w:uiPriority w:val="0"/>
    <w:rPr>
      <w:bCs/>
      <w:color w:val="000000"/>
      <w:sz w:val="28"/>
      <w:szCs w:val="28"/>
    </w:rPr>
  </w:style>
  <w:style w:type="paragraph" w:styleId="41">
    <w:name w:val="Normal (Web)"/>
    <w:basedOn w:val="1"/>
    <w:qFormat/>
    <w:uiPriority w:val="99"/>
    <w:pPr>
      <w:widowControl/>
      <w:spacing w:before="100" w:beforeAutospacing="1" w:after="100" w:afterAutospacing="1"/>
      <w:jc w:val="left"/>
    </w:pPr>
    <w:rPr>
      <w:rFonts w:ascii="Arial Unicode MS" w:hAnsi="Arial Unicode MS" w:eastAsia="Times New Roman"/>
      <w:kern w:val="0"/>
      <w:sz w:val="24"/>
      <w:szCs w:val="24"/>
    </w:rPr>
  </w:style>
  <w:style w:type="paragraph" w:styleId="42">
    <w:name w:val="index 2"/>
    <w:basedOn w:val="1"/>
    <w:next w:val="1"/>
    <w:semiHidden/>
    <w:qFormat/>
    <w:uiPriority w:val="0"/>
    <w:pPr>
      <w:ind w:left="200" w:leftChars="2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Hyperlink"/>
    <w:qFormat/>
    <w:uiPriority w:val="0"/>
    <w:rPr>
      <w:color w:val="0000FF"/>
      <w:u w:val="single"/>
    </w:rPr>
  </w:style>
  <w:style w:type="character" w:styleId="48">
    <w:name w:val="annotation reference"/>
    <w:qFormat/>
    <w:uiPriority w:val="0"/>
    <w:rPr>
      <w:sz w:val="21"/>
      <w:szCs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1">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52">
    <w:name w:val="font6"/>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53">
    <w:name w:val="font7"/>
    <w:basedOn w:val="1"/>
    <w:qFormat/>
    <w:uiPriority w:val="0"/>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54">
    <w:name w:val="font8"/>
    <w:basedOn w:val="1"/>
    <w:qFormat/>
    <w:uiPriority w:val="0"/>
    <w:pPr>
      <w:widowControl/>
      <w:spacing w:before="100" w:beforeAutospacing="1" w:after="100" w:afterAutospacing="1"/>
      <w:jc w:val="left"/>
    </w:pPr>
    <w:rPr>
      <w:rFonts w:hint="eastAsia" w:ascii="宋体" w:hAnsi="宋体" w:cs="Arial Unicode MS"/>
      <w:kern w:val="0"/>
      <w:sz w:val="16"/>
      <w:szCs w:val="16"/>
    </w:rPr>
  </w:style>
  <w:style w:type="paragraph" w:customStyle="1" w:styleId="55">
    <w:name w:val="font9"/>
    <w:basedOn w:val="1"/>
    <w:qFormat/>
    <w:uiPriority w:val="0"/>
    <w:pPr>
      <w:widowControl/>
      <w:spacing w:before="100" w:beforeAutospacing="1" w:after="100" w:afterAutospacing="1"/>
      <w:jc w:val="left"/>
    </w:pPr>
    <w:rPr>
      <w:rFonts w:hint="eastAsia" w:ascii="宋体" w:hAnsi="宋体" w:cs="Arial Unicode MS"/>
      <w:kern w:val="0"/>
      <w:sz w:val="16"/>
      <w:szCs w:val="16"/>
    </w:rPr>
  </w:style>
  <w:style w:type="paragraph" w:customStyle="1" w:styleId="56">
    <w:name w:val="font10"/>
    <w:basedOn w:val="1"/>
    <w:qFormat/>
    <w:uiPriority w:val="0"/>
    <w:pPr>
      <w:widowControl/>
      <w:spacing w:before="100" w:beforeAutospacing="1" w:after="100" w:afterAutospacing="1"/>
      <w:jc w:val="left"/>
    </w:pPr>
    <w:rPr>
      <w:rFonts w:eastAsia="Arial Unicode MS"/>
      <w:color w:val="000000"/>
      <w:kern w:val="0"/>
      <w:sz w:val="18"/>
      <w:szCs w:val="18"/>
    </w:rPr>
  </w:style>
  <w:style w:type="paragraph" w:customStyle="1" w:styleId="57">
    <w:name w:val="font11"/>
    <w:basedOn w:val="1"/>
    <w:qFormat/>
    <w:uiPriority w:val="0"/>
    <w:pPr>
      <w:widowControl/>
      <w:spacing w:before="100" w:beforeAutospacing="1" w:after="100" w:afterAutospacing="1"/>
      <w:jc w:val="left"/>
    </w:pPr>
    <w:rPr>
      <w:rFonts w:eastAsia="Arial Unicode MS"/>
      <w:kern w:val="0"/>
      <w:sz w:val="16"/>
      <w:szCs w:val="16"/>
    </w:rPr>
  </w:style>
  <w:style w:type="paragraph" w:customStyle="1" w:styleId="58">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59">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0">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1">
    <w:name w:val="xl2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2">
    <w:name w:val="xl2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3">
    <w:name w:val="xl2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5">
    <w:name w:val="xl31"/>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6">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7">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8">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9">
    <w:name w:val="xl3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0">
    <w:name w:val="xl36"/>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1">
    <w:name w:val="xl37"/>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2">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3">
    <w:name w:val="xl39"/>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4">
    <w:name w:val="font1"/>
    <w:basedOn w:val="1"/>
    <w:qFormat/>
    <w:uiPriority w:val="0"/>
    <w:pPr>
      <w:widowControl/>
      <w:spacing w:before="100" w:beforeAutospacing="1" w:after="100" w:afterAutospacing="1"/>
      <w:jc w:val="left"/>
    </w:pPr>
    <w:rPr>
      <w:rFonts w:hint="eastAsia" w:ascii="宋体" w:hAnsi="宋体" w:cs="Arial Unicode MS"/>
      <w:b/>
      <w:bCs/>
      <w:kern w:val="0"/>
      <w:sz w:val="24"/>
      <w:szCs w:val="24"/>
    </w:rPr>
  </w:style>
  <w:style w:type="paragraph" w:customStyle="1" w:styleId="75">
    <w:name w:val="xl4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rPr>
  </w:style>
  <w:style w:type="paragraph" w:customStyle="1" w:styleId="76">
    <w:name w:val="Char1 Char Char Char"/>
    <w:basedOn w:val="1"/>
    <w:qFormat/>
    <w:uiPriority w:val="0"/>
    <w:pPr>
      <w:widowControl/>
      <w:spacing w:after="160" w:line="240" w:lineRule="exact"/>
      <w:jc w:val="left"/>
    </w:pPr>
    <w:rPr>
      <w:rFonts w:ascii="Tahoma" w:hAnsi="Tahoma"/>
      <w:kern w:val="0"/>
      <w:sz w:val="24"/>
      <w:szCs w:val="24"/>
      <w:lang w:eastAsia="en-US"/>
    </w:rPr>
  </w:style>
  <w:style w:type="paragraph" w:customStyle="1" w:styleId="77">
    <w:name w:val="Char1 Char Char Char1"/>
    <w:basedOn w:val="1"/>
    <w:qFormat/>
    <w:uiPriority w:val="0"/>
    <w:pPr>
      <w:widowControl/>
      <w:spacing w:after="160" w:line="240" w:lineRule="exact"/>
      <w:jc w:val="left"/>
    </w:pPr>
    <w:rPr>
      <w:rFonts w:ascii="Tahoma" w:hAnsi="Tahoma"/>
      <w:kern w:val="0"/>
      <w:sz w:val="24"/>
      <w:szCs w:val="24"/>
      <w:lang w:eastAsia="en-US"/>
    </w:rPr>
  </w:style>
  <w:style w:type="paragraph" w:customStyle="1" w:styleId="78">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79">
    <w:name w:val="Char1"/>
    <w:basedOn w:val="1"/>
    <w:qFormat/>
    <w:uiPriority w:val="0"/>
    <w:pPr>
      <w:widowControl/>
      <w:spacing w:after="160" w:line="240" w:lineRule="exact"/>
      <w:jc w:val="left"/>
    </w:pPr>
    <w:rPr>
      <w:rFonts w:ascii="Verdana" w:hAnsi="Verdana"/>
      <w:kern w:val="0"/>
      <w:sz w:val="20"/>
      <w:lang w:eastAsia="en-US"/>
    </w:rPr>
  </w:style>
  <w:style w:type="paragraph" w:customStyle="1" w:styleId="80">
    <w:name w:val="列出段落1"/>
    <w:basedOn w:val="1"/>
    <w:qFormat/>
    <w:uiPriority w:val="34"/>
    <w:pPr>
      <w:ind w:firstLine="420" w:firstLineChars="200"/>
    </w:pPr>
    <w:rPr>
      <w:szCs w:val="24"/>
    </w:rPr>
  </w:style>
  <w:style w:type="paragraph" w:customStyle="1" w:styleId="81">
    <w:name w:val="Char"/>
    <w:basedOn w:val="1"/>
    <w:qFormat/>
    <w:uiPriority w:val="0"/>
    <w:rPr>
      <w:szCs w:val="24"/>
    </w:rPr>
  </w:style>
  <w:style w:type="paragraph" w:customStyle="1" w:styleId="82">
    <w:name w:val="Char2"/>
    <w:basedOn w:val="1"/>
    <w:qFormat/>
    <w:uiPriority w:val="0"/>
    <w:rPr>
      <w:szCs w:val="24"/>
    </w:rPr>
  </w:style>
  <w:style w:type="paragraph" w:customStyle="1" w:styleId="83">
    <w:name w:val="报告正文"/>
    <w:basedOn w:val="1"/>
    <w:qFormat/>
    <w:uiPriority w:val="0"/>
    <w:pPr>
      <w:spacing w:line="500" w:lineRule="atLeast"/>
      <w:ind w:firstLine="567"/>
    </w:pPr>
    <w:rPr>
      <w:rFonts w:hint="eastAsia" w:ascii="仿宋_GB2312" w:hAnsi="Courier New" w:eastAsia="仿宋_GB2312"/>
      <w:sz w:val="28"/>
    </w:rPr>
  </w:style>
  <w:style w:type="paragraph" w:customStyle="1" w:styleId="84">
    <w:name w:val="TOC 标题1"/>
    <w:basedOn w:val="2"/>
    <w:next w:val="1"/>
    <w:unhideWhenUsed/>
    <w:qFormat/>
    <w:uiPriority w:val="39"/>
    <w:pPr>
      <w:widowControl/>
      <w:spacing w:before="480" w:after="0" w:line="276" w:lineRule="auto"/>
      <w:jc w:val="left"/>
      <w:outlineLvl w:val="9"/>
    </w:pPr>
    <w:rPr>
      <w:rFonts w:ascii="Calibri" w:hAnsi="Calibri" w:cs="黑体"/>
      <w:color w:val="365F90"/>
      <w:kern w:val="0"/>
      <w:sz w:val="28"/>
      <w:szCs w:val="28"/>
    </w:rPr>
  </w:style>
  <w:style w:type="character" w:customStyle="1" w:styleId="85">
    <w:name w:val="short_text1"/>
    <w:qFormat/>
    <w:uiPriority w:val="0"/>
    <w:rPr>
      <w:sz w:val="29"/>
      <w:szCs w:val="29"/>
    </w:rPr>
  </w:style>
  <w:style w:type="character" w:customStyle="1" w:styleId="86">
    <w:name w:val="apple-style-span"/>
    <w:basedOn w:val="43"/>
    <w:qFormat/>
    <w:uiPriority w:val="0"/>
  </w:style>
  <w:style w:type="character" w:customStyle="1" w:styleId="87">
    <w:name w:val="apple-converted-space"/>
    <w:basedOn w:val="43"/>
    <w:qFormat/>
    <w:uiPriority w:val="0"/>
  </w:style>
  <w:style w:type="character" w:customStyle="1" w:styleId="88">
    <w:name w:val="文档结构图 Char"/>
    <w:link w:val="13"/>
    <w:qFormat/>
    <w:uiPriority w:val="0"/>
    <w:rPr>
      <w:rFonts w:ascii="宋体"/>
      <w:kern w:val="2"/>
      <w:sz w:val="18"/>
      <w:szCs w:val="18"/>
    </w:rPr>
  </w:style>
  <w:style w:type="character" w:customStyle="1" w:styleId="89">
    <w:name w:val="批注文字 Char"/>
    <w:link w:val="8"/>
    <w:qFormat/>
    <w:uiPriority w:val="0"/>
    <w:rPr>
      <w:kern w:val="2"/>
      <w:sz w:val="21"/>
    </w:rPr>
  </w:style>
  <w:style w:type="character" w:customStyle="1" w:styleId="90">
    <w:name w:val="批注主题 Char"/>
    <w:link w:val="7"/>
    <w:qFormat/>
    <w:uiPriority w:val="0"/>
    <w:rPr>
      <w:b/>
      <w:bCs/>
      <w:kern w:val="2"/>
      <w:sz w:val="21"/>
    </w:rPr>
  </w:style>
  <w:style w:type="character" w:customStyle="1" w:styleId="91">
    <w:name w:val="页脚 Char"/>
    <w:link w:val="28"/>
    <w:qFormat/>
    <w:uiPriority w:val="99"/>
    <w:rPr>
      <w:sz w:val="18"/>
    </w:rPr>
  </w:style>
  <w:style w:type="character" w:customStyle="1" w:styleId="92">
    <w:name w:val="纯文本 Char"/>
    <w:link w:val="22"/>
    <w:qFormat/>
    <w:uiPriority w:val="0"/>
    <w:rPr>
      <w:rFonts w:ascii="宋体" w:hAnsi="Courier New"/>
      <w:kern w:val="2"/>
      <w:sz w:val="21"/>
    </w:rPr>
  </w:style>
  <w:style w:type="character" w:customStyle="1" w:styleId="93">
    <w:name w:val="页眉 Char"/>
    <w:link w:val="29"/>
    <w:qFormat/>
    <w:uiPriority w:val="99"/>
    <w:rPr>
      <w:kern w:val="2"/>
      <w:sz w:val="18"/>
      <w:szCs w:val="18"/>
    </w:rPr>
  </w:style>
  <w:style w:type="character" w:customStyle="1" w:styleId="94">
    <w:name w:val="标题 5 Char"/>
    <w:link w:val="6"/>
    <w:qFormat/>
    <w:uiPriority w:val="0"/>
    <w:rPr>
      <w:b/>
      <w:bCs/>
      <w:kern w:val="2"/>
      <w:sz w:val="28"/>
      <w:szCs w:val="28"/>
    </w:rPr>
  </w:style>
  <w:style w:type="paragraph" w:customStyle="1" w:styleId="95">
    <w:name w:val="样式1"/>
    <w:basedOn w:val="1"/>
    <w:qFormat/>
    <w:uiPriority w:val="99"/>
    <w:pPr>
      <w:spacing w:line="360" w:lineRule="auto"/>
      <w:ind w:firstLine="360" w:firstLineChars="150"/>
    </w:pPr>
    <w:rPr>
      <w:rFonts w:ascii="仿宋_GB2312" w:hAnsi="宋体" w:eastAsia="仿宋_GB2312"/>
      <w:sz w:val="24"/>
      <w:szCs w:val="24"/>
    </w:rPr>
  </w:style>
  <w:style w:type="paragraph" w:customStyle="1" w:styleId="96">
    <w:name w:val="_Style 3"/>
    <w:basedOn w:val="1"/>
    <w:qFormat/>
    <w:uiPriority w:val="34"/>
    <w:pPr>
      <w:ind w:firstLine="420" w:firstLineChars="200"/>
    </w:pPr>
    <w:rPr>
      <w:rFonts w:ascii="Calibri" w:hAnsi="Calibri"/>
      <w:szCs w:val="22"/>
    </w:rPr>
  </w:style>
  <w:style w:type="character" w:customStyle="1" w:styleId="97">
    <w:name w:val="font51"/>
    <w:qFormat/>
    <w:uiPriority w:val="0"/>
    <w:rPr>
      <w:rFonts w:hint="eastAsia" w:ascii="宋体" w:hAnsi="宋体" w:eastAsia="宋体" w:cs="宋体"/>
      <w:color w:val="auto"/>
      <w:sz w:val="24"/>
      <w:szCs w:val="24"/>
      <w:u w:val="none"/>
    </w:rPr>
  </w:style>
  <w:style w:type="character" w:customStyle="1" w:styleId="98">
    <w:name w:val="font91"/>
    <w:qFormat/>
    <w:uiPriority w:val="0"/>
    <w:rPr>
      <w:rFonts w:hint="eastAsia" w:ascii="宋体" w:hAnsi="宋体" w:eastAsia="宋体" w:cs="宋体"/>
      <w:color w:val="008000"/>
      <w:sz w:val="20"/>
      <w:szCs w:val="20"/>
      <w:u w:val="none"/>
    </w:rPr>
  </w:style>
  <w:style w:type="character" w:customStyle="1" w:styleId="99">
    <w:name w:val="font81"/>
    <w:qFormat/>
    <w:uiPriority w:val="0"/>
    <w:rPr>
      <w:rFonts w:hint="eastAsia" w:ascii="宋体" w:hAnsi="宋体" w:eastAsia="宋体" w:cs="宋体"/>
      <w:color w:val="008000"/>
      <w:sz w:val="20"/>
      <w:szCs w:val="20"/>
      <w:u w:val="none"/>
    </w:rPr>
  </w:style>
  <w:style w:type="character" w:customStyle="1" w:styleId="100">
    <w:name w:val="font61"/>
    <w:qFormat/>
    <w:uiPriority w:val="0"/>
    <w:rPr>
      <w:rFonts w:hint="eastAsia" w:ascii="宋体" w:hAnsi="宋体" w:eastAsia="宋体" w:cs="宋体"/>
      <w:color w:val="008000"/>
      <w:sz w:val="20"/>
      <w:szCs w:val="20"/>
      <w:u w:val="single"/>
    </w:rPr>
  </w:style>
  <w:style w:type="character" w:customStyle="1" w:styleId="101">
    <w:name w:val="正文文本缩进 3 Char"/>
    <w:link w:val="35"/>
    <w:qFormat/>
    <w:uiPriority w:val="99"/>
    <w:rPr>
      <w:rFonts w:ascii="宋体"/>
      <w:spacing w:val="20"/>
      <w:sz w:val="28"/>
    </w:rPr>
  </w:style>
  <w:style w:type="character" w:customStyle="1" w:styleId="102">
    <w:name w:val="正文文本 3 Char"/>
    <w:link w:val="15"/>
    <w:qFormat/>
    <w:uiPriority w:val="0"/>
    <w:rPr>
      <w:rFonts w:ascii="仿宋_GB2312" w:eastAsia="仿宋_GB2312"/>
      <w:bCs/>
      <w:kern w:val="2"/>
      <w:sz w:val="28"/>
      <w:szCs w:val="28"/>
    </w:rPr>
  </w:style>
  <w:style w:type="character" w:customStyle="1" w:styleId="103">
    <w:name w:val="正文文本 2 Char"/>
    <w:link w:val="40"/>
    <w:qFormat/>
    <w:uiPriority w:val="0"/>
    <w:rPr>
      <w:bCs/>
      <w:color w:val="000000"/>
      <w:kern w:val="2"/>
      <w:sz w:val="28"/>
      <w:szCs w:val="28"/>
    </w:rPr>
  </w:style>
  <w:style w:type="character" w:customStyle="1" w:styleId="104">
    <w:name w:val="标题 1 Char"/>
    <w:link w:val="2"/>
    <w:qFormat/>
    <w:uiPriority w:val="0"/>
    <w:rPr>
      <w:b/>
      <w:bCs/>
      <w:kern w:val="44"/>
      <w:sz w:val="44"/>
      <w:szCs w:val="44"/>
    </w:rPr>
  </w:style>
  <w:style w:type="character" w:customStyle="1" w:styleId="105">
    <w:name w:val="font01"/>
    <w:qFormat/>
    <w:uiPriority w:val="0"/>
    <w:rPr>
      <w:rFonts w:hint="eastAsia" w:ascii="宋体" w:hAnsi="宋体" w:eastAsia="宋体" w:cs="宋体"/>
      <w:color w:val="000000"/>
      <w:sz w:val="24"/>
      <w:szCs w:val="24"/>
      <w:u w:val="none"/>
    </w:rPr>
  </w:style>
  <w:style w:type="character" w:customStyle="1" w:styleId="106">
    <w:name w:val="font31"/>
    <w:qFormat/>
    <w:uiPriority w:val="0"/>
    <w:rPr>
      <w:rFonts w:hint="eastAsia" w:ascii="宋体" w:hAnsi="宋体" w:eastAsia="宋体" w:cs="宋体"/>
      <w:color w:val="008000"/>
      <w:sz w:val="20"/>
      <w:szCs w:val="20"/>
      <w:u w:val="none"/>
    </w:rPr>
  </w:style>
  <w:style w:type="character" w:customStyle="1" w:styleId="107">
    <w:name w:val="description"/>
    <w:basedOn w:val="43"/>
    <w:qFormat/>
    <w:uiPriority w:val="0"/>
  </w:style>
  <w:style w:type="paragraph" w:customStyle="1" w:styleId="108">
    <w:name w:val="列出段落2"/>
    <w:basedOn w:val="1"/>
    <w:unhideWhenUsed/>
    <w:qFormat/>
    <w:uiPriority w:val="99"/>
    <w:pPr>
      <w:ind w:firstLine="420" w:firstLineChars="200"/>
    </w:pPr>
  </w:style>
  <w:style w:type="paragraph" w:customStyle="1" w:styleId="109">
    <w:name w:val="列出段落3"/>
    <w:basedOn w:val="1"/>
    <w:unhideWhenUsed/>
    <w:qFormat/>
    <w:uiPriority w:val="99"/>
    <w:pPr>
      <w:ind w:firstLine="420" w:firstLineChars="200"/>
    </w:pPr>
  </w:style>
  <w:style w:type="paragraph" w:customStyle="1" w:styleId="110">
    <w:name w:val="列出段落4"/>
    <w:basedOn w:val="1"/>
    <w:unhideWhenUsed/>
    <w:qFormat/>
    <w:uiPriority w:val="34"/>
    <w:pPr>
      <w:ind w:firstLine="420" w:firstLineChars="200"/>
    </w:pPr>
  </w:style>
  <w:style w:type="paragraph" w:customStyle="1" w:styleId="111">
    <w:name w:val="列出段落5"/>
    <w:basedOn w:val="1"/>
    <w:unhideWhenUsed/>
    <w:qFormat/>
    <w:uiPriority w:val="99"/>
    <w:pPr>
      <w:ind w:firstLine="420" w:firstLineChars="200"/>
    </w:pPr>
  </w:style>
  <w:style w:type="paragraph" w:customStyle="1" w:styleId="112">
    <w:name w:val="xl48"/>
    <w:basedOn w:val="1"/>
    <w:qFormat/>
    <w:uiPriority w:val="0"/>
    <w:pPr>
      <w:widowControl/>
      <w:spacing w:before="100" w:beforeAutospacing="1" w:after="100" w:afterAutospacing="1"/>
      <w:jc w:val="center"/>
    </w:pPr>
    <w:rPr>
      <w:rFonts w:ascii="宋体" w:hAnsi="宋体"/>
      <w:kern w:val="0"/>
      <w:sz w:val="24"/>
      <w:szCs w:val="28"/>
    </w:rPr>
  </w:style>
  <w:style w:type="paragraph" w:customStyle="1" w:styleId="113">
    <w:name w:val="xl41"/>
    <w:basedOn w:val="1"/>
    <w:qFormat/>
    <w:uiPriority w:val="0"/>
    <w:pPr>
      <w:widowControl/>
      <w:pBdr>
        <w:bottom w:val="single" w:color="auto" w:sz="4" w:space="0"/>
      </w:pBdr>
      <w:spacing w:before="100" w:beforeAutospacing="1" w:after="100" w:afterAutospacing="1"/>
      <w:jc w:val="center"/>
    </w:pPr>
    <w:rPr>
      <w:rFonts w:ascii="宋体" w:hAnsi="宋体"/>
      <w:kern w:val="0"/>
      <w:sz w:val="28"/>
      <w:szCs w:val="28"/>
    </w:rPr>
  </w:style>
  <w:style w:type="paragraph" w:customStyle="1" w:styleId="114">
    <w:name w:val="Char4"/>
    <w:basedOn w:val="1"/>
    <w:qFormat/>
    <w:uiPriority w:val="0"/>
    <w:rPr>
      <w:rFonts w:ascii="Tahoma" w:hAnsi="Tahoma"/>
      <w:sz w:val="24"/>
    </w:rPr>
  </w:style>
  <w:style w:type="paragraph" w:customStyle="1" w:styleId="115">
    <w:name w:val="font0"/>
    <w:basedOn w:val="1"/>
    <w:qFormat/>
    <w:uiPriority w:val="0"/>
    <w:pPr>
      <w:widowControl/>
      <w:spacing w:before="100" w:beforeAutospacing="1" w:after="100" w:afterAutospacing="1"/>
      <w:jc w:val="left"/>
    </w:pPr>
    <w:rPr>
      <w:rFonts w:hint="eastAsia" w:ascii="宋体" w:hAnsi="宋体"/>
      <w:kern w:val="0"/>
      <w:sz w:val="24"/>
      <w:szCs w:val="28"/>
    </w:rPr>
  </w:style>
  <w:style w:type="paragraph" w:customStyle="1" w:styleId="116">
    <w:name w:val="1"/>
    <w:basedOn w:val="1"/>
    <w:next w:val="22"/>
    <w:qFormat/>
    <w:uiPriority w:val="0"/>
    <w:rPr>
      <w:rFonts w:ascii="宋体" w:hAnsi="Courier New"/>
      <w:sz w:val="28"/>
    </w:rPr>
  </w:style>
  <w:style w:type="paragraph" w:customStyle="1" w:styleId="11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4"/>
      <w:szCs w:val="28"/>
    </w:rPr>
  </w:style>
  <w:style w:type="paragraph" w:customStyle="1" w:styleId="118">
    <w:name w:val="xl47"/>
    <w:basedOn w:val="1"/>
    <w:qFormat/>
    <w:uiPriority w:val="0"/>
    <w:pPr>
      <w:widowControl/>
      <w:spacing w:before="100" w:beforeAutospacing="1" w:after="100" w:afterAutospacing="1"/>
      <w:jc w:val="center"/>
    </w:pPr>
    <w:rPr>
      <w:rFonts w:ascii="宋体" w:hAnsi="宋体"/>
      <w:kern w:val="0"/>
      <w:sz w:val="24"/>
      <w:szCs w:val="28"/>
    </w:rPr>
  </w:style>
  <w:style w:type="paragraph" w:customStyle="1" w:styleId="11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rPr>
  </w:style>
  <w:style w:type="paragraph" w:customStyle="1" w:styleId="120">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121">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122">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rPr>
  </w:style>
  <w:style w:type="paragraph" w:customStyle="1" w:styleId="123">
    <w:name w:val="xl4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124">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24"/>
      <w:szCs w:val="28"/>
    </w:rPr>
  </w:style>
  <w:style w:type="paragraph" w:customStyle="1" w:styleId="125">
    <w:name w:val="普通(网站)1"/>
    <w:basedOn w:val="1"/>
    <w:qFormat/>
    <w:uiPriority w:val="0"/>
    <w:pPr>
      <w:widowControl/>
      <w:spacing w:before="100" w:beforeAutospacing="1" w:after="100" w:afterAutospacing="1"/>
      <w:jc w:val="left"/>
    </w:pPr>
    <w:rPr>
      <w:rFonts w:hint="eastAsia" w:ascii="宋体" w:hAnsi="宋体"/>
      <w:sz w:val="24"/>
      <w:szCs w:val="24"/>
    </w:rPr>
  </w:style>
  <w:style w:type="paragraph" w:customStyle="1" w:styleId="126">
    <w:name w:val="p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7">
    <w:name w:val="number4"/>
    <w:basedOn w:val="43"/>
    <w:qFormat/>
    <w:uiPriority w:val="0"/>
  </w:style>
  <w:style w:type="character" w:customStyle="1" w:styleId="128">
    <w:name w:val="font21"/>
    <w:qFormat/>
    <w:uiPriority w:val="0"/>
    <w:rPr>
      <w:rFonts w:hint="eastAsia" w:ascii="宋体" w:hAnsi="宋体" w:eastAsia="宋体"/>
      <w:color w:val="000000"/>
      <w:sz w:val="20"/>
      <w:szCs w:val="20"/>
      <w:u w:val="none"/>
      <w:vertAlign w:val="superscript"/>
    </w:rPr>
  </w:style>
  <w:style w:type="character" w:customStyle="1" w:styleId="129">
    <w:name w:val="font41"/>
    <w:basedOn w:val="43"/>
    <w:qFormat/>
    <w:uiPriority w:val="0"/>
    <w:rPr>
      <w:rFonts w:hint="eastAsia" w:ascii="仿宋" w:hAnsi="仿宋" w:eastAsia="仿宋" w:cs="仿宋"/>
      <w:color w:val="000000"/>
      <w:sz w:val="18"/>
      <w:szCs w:val="1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FA1C45-A10C-402D-8836-A50D59827BCD}">
  <ds:schemaRefs/>
</ds:datastoreItem>
</file>

<file path=docProps/app.xml><?xml version="1.0" encoding="utf-8"?>
<Properties xmlns="http://schemas.openxmlformats.org/officeDocument/2006/extended-properties" xmlns:vt="http://schemas.openxmlformats.org/officeDocument/2006/docPropsVTypes">
  <Template>Normal</Template>
  <Company>hengtong</Company>
  <Pages>24</Pages>
  <Words>1737</Words>
  <Characters>9902</Characters>
  <Lines>82</Lines>
  <Paragraphs>23</Paragraphs>
  <TotalTime>14</TotalTime>
  <ScaleCrop>false</ScaleCrop>
  <LinksUpToDate>false</LinksUpToDate>
  <CharactersWithSpaces>11616</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2015-12-09T02:42:00Z</dcterms:created>
  <dc:creator>城市徐峰</dc:creator>
  <cp:lastModifiedBy>我爱中国！</cp:lastModifiedBy>
  <cp:lastPrinted>2021-09-26T09:52:00Z</cp:lastPrinted>
  <dcterms:modified xsi:type="dcterms:W3CDTF">2021-12-07T08:53:44Z</dcterms:modified>
  <dc:title>多标的房地产估价报告-抵押</dc:title>
  <cp:revision>650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y fmtid="{D5CDD505-2E9C-101B-9397-08002B2CF9AE}" pid="3" name="ICV">
    <vt:lpwstr>35AE0932A8E540ED87932CEDE39AF74E</vt:lpwstr>
  </property>
</Properties>
</file>