
<file path=[Content_Types].xml><?xml version="1.0" encoding="utf-8"?>
<Types xmlns="http://schemas.openxmlformats.org/package/2006/content-types">
  <Default Extension="xml" ContentType="application/xml"/>
  <Default Extension="png" ContentType="image/png"/>
  <Default Extension="gif" ContentType="image/gi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left"/>
        <w:rPr>
          <w:rFonts w:ascii="仿宋_GB2312" w:eastAsia="仿宋_GB2312"/>
          <w:b/>
          <w:color w:val="000000" w:themeColor="text1"/>
          <w:sz w:val="28"/>
          <w:szCs w:val="28"/>
        </w:rPr>
      </w:pPr>
      <w:r>
        <w:rPr>
          <w:rFonts w:ascii="仿宋_GB2312" w:eastAsia="仿宋_GB2312"/>
          <w:b/>
          <w:color w:val="000000" w:themeColor="text1"/>
          <w:sz w:val="28"/>
          <w:szCs w:val="28"/>
        </w:rPr>
        <w:pict>
          <v:shape id="图片 15" o:spid="_x0000_s2050" o:spt="75" type="#_x0000_t75" style="position:absolute;left:0pt;margin-left:307.4pt;margin-top:13.95pt;height:45.2pt;width:149.25pt;mso-wrap-distance-left:9pt;mso-wrap-distance-right:9pt;z-index:-251655168;mso-width-relative:page;mso-height-relative:page;" filled="f" o:preferrelative="t" stroked="f" coordsize="21600,21600" wrapcoords="-217 0 -217 20788 21709 20788 21709 0 -217 0">
            <v:path/>
            <v:fill on="f" focussize="0,0"/>
            <v:stroke on="f" joinstyle="miter"/>
            <v:imagedata r:id="rId15" o:title=""/>
            <o:lock v:ext="edit" aspectratio="t"/>
            <w10:wrap type="tight"/>
          </v:shape>
        </w:pict>
      </w:r>
      <w:r>
        <w:rPr>
          <w:rFonts w:hint="eastAsia" w:ascii="仿宋_GB2312" w:eastAsia="仿宋_GB2312"/>
          <w:b/>
          <w:color w:val="000000" w:themeColor="text1"/>
          <w:sz w:val="28"/>
          <w:szCs w:val="28"/>
        </w:rPr>
        <w:t xml:space="preserve">  </w:t>
      </w:r>
    </w:p>
    <w:p>
      <w:pPr>
        <w:jc w:val="left"/>
        <w:rPr>
          <w:rFonts w:hint="eastAsia" w:ascii="仿宋_GB2312" w:eastAsia="仿宋_GB2312"/>
          <w:b/>
          <w:color w:val="000000" w:themeColor="text1"/>
          <w:sz w:val="28"/>
          <w:szCs w:val="28"/>
          <w:lang w:eastAsia="zh-CN"/>
        </w:rPr>
      </w:pPr>
      <w:r>
        <w:rPr>
          <w:rFonts w:hint="eastAsia" w:ascii="仿宋_GB2312" w:eastAsia="仿宋_GB2312"/>
          <w:b/>
          <w:color w:val="000000" w:themeColor="text1"/>
          <w:sz w:val="28"/>
          <w:szCs w:val="28"/>
          <w:lang w:eastAsia="zh-CN"/>
        </w:rPr>
        <w:pict>
          <v:shape id="_x0000_i1025" o:spt="75" alt="qrCode" type="#_x0000_t75" style="height:112.5pt;width:112.5pt;" filled="f" o:preferrelative="t" stroked="f" coordsize="21600,21600">
            <v:path/>
            <v:fill on="f" focussize="0,0"/>
            <v:stroke on="f"/>
            <v:imagedata r:id="rId16" o:title="qrCode"/>
            <o:lock v:ext="edit" aspectratio="t"/>
            <w10:wrap type="none"/>
            <w10:anchorlock/>
          </v:shape>
        </w:pict>
      </w:r>
    </w:p>
    <w:p>
      <w:pPr>
        <w:jc w:val="left"/>
        <w:rPr>
          <w:rFonts w:ascii="仿宋_GB2312" w:eastAsia="仿宋_GB2312"/>
          <w:b/>
          <w:color w:val="000000" w:themeColor="text1"/>
          <w:sz w:val="28"/>
          <w:szCs w:val="28"/>
        </w:rPr>
      </w:pPr>
    </w:p>
    <w:p>
      <w:pPr>
        <w:jc w:val="left"/>
        <w:rPr>
          <w:rFonts w:ascii="仿宋_GB2312" w:eastAsia="仿宋_GB2312"/>
          <w:b/>
          <w:color w:val="000000" w:themeColor="text1"/>
          <w:sz w:val="24"/>
          <w:szCs w:val="24"/>
        </w:rPr>
      </w:pPr>
    </w:p>
    <w:p>
      <w:pPr>
        <w:jc w:val="left"/>
        <w:rPr>
          <w:rFonts w:ascii="仿宋_GB2312" w:eastAsia="仿宋_GB2312"/>
          <w:b/>
          <w:color w:val="000000" w:themeColor="text1"/>
          <w:sz w:val="24"/>
          <w:szCs w:val="24"/>
        </w:rPr>
      </w:pPr>
    </w:p>
    <w:p>
      <w:pPr>
        <w:jc w:val="left"/>
        <w:rPr>
          <w:rFonts w:ascii="仿宋_GB2312" w:eastAsia="仿宋_GB2312"/>
          <w:b/>
          <w:color w:val="000000" w:themeColor="text1"/>
          <w:sz w:val="24"/>
          <w:szCs w:val="24"/>
        </w:rPr>
      </w:pPr>
    </w:p>
    <w:p>
      <w:pPr>
        <w:jc w:val="left"/>
        <w:rPr>
          <w:rFonts w:ascii="仿宋_GB2312" w:eastAsia="仿宋_GB2312"/>
          <w:b/>
          <w:color w:val="000000" w:themeColor="text1"/>
          <w:sz w:val="24"/>
          <w:szCs w:val="24"/>
        </w:rPr>
      </w:pPr>
    </w:p>
    <w:p>
      <w:pPr>
        <w:tabs>
          <w:tab w:val="left" w:pos="709"/>
        </w:tabs>
        <w:adjustRightInd w:val="0"/>
        <w:snapToGrid w:val="0"/>
        <w:spacing w:line="480" w:lineRule="auto"/>
        <w:jc w:val="center"/>
        <w:rPr>
          <w:rFonts w:ascii="仿宋_GB2312" w:eastAsia="仿宋_GB2312"/>
          <w:color w:val="000000" w:themeColor="text1"/>
          <w:sz w:val="44"/>
          <w:szCs w:val="44"/>
        </w:rPr>
      </w:pPr>
      <w:bookmarkStart w:id="0" w:name="_Toc362509683"/>
      <w:r>
        <w:rPr>
          <w:rFonts w:hint="eastAsia" w:ascii="仿宋_GB2312" w:eastAsia="仿宋_GB2312"/>
          <w:b/>
          <w:color w:val="000000" w:themeColor="text1"/>
          <w:sz w:val="44"/>
          <w:szCs w:val="44"/>
          <w:highlight w:val="none"/>
        </w:rPr>
        <w:t>涉执房地产处置司法评估报告</w:t>
      </w:r>
      <w:bookmarkEnd w:id="0"/>
    </w:p>
    <w:p>
      <w:pPr>
        <w:tabs>
          <w:tab w:val="left" w:pos="709"/>
        </w:tabs>
        <w:adjustRightInd w:val="0"/>
        <w:snapToGrid w:val="0"/>
        <w:spacing w:line="480" w:lineRule="auto"/>
        <w:jc w:val="center"/>
        <w:rPr>
          <w:rFonts w:ascii="仿宋_GB2312" w:eastAsia="仿宋_GB2312"/>
          <w:b/>
          <w:color w:val="000000" w:themeColor="text1"/>
          <w:szCs w:val="21"/>
        </w:rPr>
      </w:pPr>
    </w:p>
    <w:p>
      <w:pPr>
        <w:tabs>
          <w:tab w:val="left" w:pos="709"/>
        </w:tabs>
        <w:adjustRightInd w:val="0"/>
        <w:snapToGrid w:val="0"/>
        <w:spacing w:line="480" w:lineRule="auto"/>
        <w:jc w:val="center"/>
        <w:rPr>
          <w:rFonts w:ascii="仿宋_GB2312" w:eastAsia="仿宋_GB2312"/>
          <w:b/>
          <w:color w:val="000000" w:themeColor="text1"/>
          <w:szCs w:val="21"/>
        </w:rPr>
      </w:pPr>
    </w:p>
    <w:p>
      <w:pPr>
        <w:tabs>
          <w:tab w:val="left" w:pos="709"/>
        </w:tabs>
        <w:adjustRightInd w:val="0"/>
        <w:snapToGrid w:val="0"/>
        <w:spacing w:line="480" w:lineRule="auto"/>
        <w:jc w:val="center"/>
        <w:rPr>
          <w:rFonts w:ascii="仿宋_GB2312" w:eastAsia="仿宋_GB2312"/>
          <w:b/>
          <w:color w:val="000000" w:themeColor="text1"/>
          <w:szCs w:val="21"/>
        </w:rPr>
      </w:pPr>
    </w:p>
    <w:p>
      <w:pPr>
        <w:tabs>
          <w:tab w:val="left" w:pos="709"/>
        </w:tabs>
        <w:adjustRightInd w:val="0"/>
        <w:snapToGrid w:val="0"/>
        <w:spacing w:line="480" w:lineRule="auto"/>
        <w:jc w:val="center"/>
        <w:rPr>
          <w:rFonts w:ascii="仿宋_GB2312" w:eastAsia="仿宋_GB2312"/>
          <w:b/>
          <w:color w:val="000000" w:themeColor="text1"/>
          <w:szCs w:val="21"/>
        </w:rPr>
      </w:pPr>
    </w:p>
    <w:p>
      <w:pPr>
        <w:tabs>
          <w:tab w:val="left" w:pos="709"/>
        </w:tabs>
        <w:adjustRightInd w:val="0"/>
        <w:snapToGrid w:val="0"/>
        <w:spacing w:line="480" w:lineRule="auto"/>
        <w:jc w:val="center"/>
        <w:rPr>
          <w:rFonts w:ascii="仿宋_GB2312" w:eastAsia="仿宋_GB2312"/>
          <w:b/>
          <w:color w:val="000000" w:themeColor="text1"/>
          <w:szCs w:val="21"/>
        </w:rPr>
      </w:pPr>
    </w:p>
    <w:p>
      <w:pPr>
        <w:tabs>
          <w:tab w:val="left" w:pos="540"/>
        </w:tabs>
        <w:snapToGrid w:val="0"/>
        <w:spacing w:line="560" w:lineRule="exact"/>
        <w:ind w:firstLine="630" w:firstLineChars="196"/>
        <w:rPr>
          <w:rFonts w:ascii="仿宋_GB2312" w:eastAsia="仿宋_GB2312" w:cs="仿宋_GB2312"/>
          <w:color w:val="000000" w:themeColor="text1"/>
          <w:sz w:val="32"/>
          <w:highlight w:val="none"/>
        </w:rPr>
      </w:pPr>
      <w:r>
        <w:rPr>
          <w:rFonts w:hint="eastAsia" w:ascii="仿宋_GB2312" w:eastAsia="仿宋_GB2312"/>
          <w:b/>
          <w:color w:val="000000" w:themeColor="text1"/>
          <w:sz w:val="32"/>
          <w:highlight w:val="none"/>
        </w:rPr>
        <w:t>估价报告编号</w:t>
      </w:r>
      <w:r>
        <w:rPr>
          <w:rFonts w:hint="eastAsia" w:ascii="仿宋_GB2312" w:eastAsia="仿宋_GB2312"/>
          <w:color w:val="000000" w:themeColor="text1"/>
          <w:sz w:val="32"/>
          <w:highlight w:val="none"/>
        </w:rPr>
        <w:t>：</w:t>
      </w:r>
      <w:r>
        <w:rPr>
          <w:rFonts w:hint="eastAsia" w:ascii="仿宋_GB2312" w:eastAsia="仿宋_GB2312" w:cs="仿宋_GB2312"/>
          <w:color w:val="000000" w:themeColor="text1"/>
          <w:sz w:val="32"/>
          <w:highlight w:val="none"/>
        </w:rPr>
        <w:t xml:space="preserve">冀嘉泽2021（房估）字第0110022号 </w:t>
      </w:r>
    </w:p>
    <w:p>
      <w:pPr>
        <w:tabs>
          <w:tab w:val="left" w:pos="709"/>
        </w:tabs>
        <w:adjustRightInd w:val="0"/>
        <w:snapToGrid w:val="0"/>
        <w:spacing w:line="560" w:lineRule="exact"/>
        <w:ind w:left="2861" w:leftChars="299" w:hanging="2233" w:hangingChars="695"/>
        <w:rPr>
          <w:rFonts w:ascii="仿宋_GB2312" w:eastAsia="仿宋_GB2312" w:cs="仿宋_GB2312"/>
          <w:color w:val="000000" w:themeColor="text1"/>
          <w:sz w:val="32"/>
        </w:rPr>
      </w:pPr>
      <w:r>
        <w:rPr>
          <w:rFonts w:hint="eastAsia" w:ascii="仿宋_GB2312" w:eastAsia="仿宋_GB2312"/>
          <w:b/>
          <w:color w:val="000000" w:themeColor="text1"/>
          <w:sz w:val="32"/>
        </w:rPr>
        <w:t>估价项目名称</w:t>
      </w:r>
      <w:r>
        <w:rPr>
          <w:rFonts w:hint="eastAsia" w:ascii="仿宋_GB2312" w:eastAsia="仿宋_GB2312"/>
          <w:color w:val="000000" w:themeColor="text1"/>
          <w:sz w:val="32"/>
        </w:rPr>
        <w:t>：</w:t>
      </w:r>
      <w:r>
        <w:rPr>
          <w:rFonts w:hint="eastAsia" w:ascii="仿宋_GB2312" w:eastAsia="仿宋_GB2312"/>
          <w:color w:val="000000" w:themeColor="text1"/>
          <w:sz w:val="32"/>
          <w:lang w:eastAsia="zh-CN"/>
        </w:rPr>
        <w:t>石家庄市桥西区开泰街以西三简路以南开泰小区6B-4-202等2处</w:t>
      </w:r>
      <w:r>
        <w:rPr>
          <w:rFonts w:hint="eastAsia" w:ascii="仿宋_GB2312" w:eastAsia="仿宋_GB2312"/>
          <w:color w:val="000000" w:themeColor="text1"/>
          <w:sz w:val="32"/>
        </w:rPr>
        <w:t>的</w:t>
      </w:r>
      <w:r>
        <w:rPr>
          <w:rFonts w:hint="eastAsia" w:ascii="仿宋_GB2312" w:eastAsia="仿宋_GB2312" w:cs="仿宋_GB2312"/>
          <w:color w:val="000000" w:themeColor="text1"/>
          <w:sz w:val="32"/>
          <w:lang w:bidi="ar"/>
        </w:rPr>
        <w:t>成套</w:t>
      </w:r>
      <w:r>
        <w:rPr>
          <w:rFonts w:hint="eastAsia" w:ascii="仿宋_GB2312" w:eastAsia="仿宋_GB2312" w:cs="仿宋_GB2312"/>
          <w:color w:val="000000" w:themeColor="text1"/>
          <w:sz w:val="32"/>
          <w:highlight w:val="none"/>
          <w:lang w:bidi="ar"/>
        </w:rPr>
        <w:t>住宅司法评估</w:t>
      </w:r>
    </w:p>
    <w:p>
      <w:pPr>
        <w:tabs>
          <w:tab w:val="left" w:pos="709"/>
          <w:tab w:val="left" w:pos="851"/>
          <w:tab w:val="left" w:pos="993"/>
          <w:tab w:val="left" w:pos="1560"/>
        </w:tabs>
        <w:adjustRightInd w:val="0"/>
        <w:snapToGrid w:val="0"/>
        <w:spacing w:line="560" w:lineRule="exact"/>
        <w:ind w:firstLine="630" w:firstLineChars="196"/>
        <w:rPr>
          <w:rFonts w:hint="eastAsia" w:ascii="仿宋_GB2312" w:eastAsia="仿宋_GB2312"/>
          <w:color w:val="000000" w:themeColor="text1"/>
          <w:sz w:val="32"/>
          <w:lang w:eastAsia="zh-CN"/>
        </w:rPr>
      </w:pPr>
      <w:r>
        <w:rPr>
          <w:rFonts w:hint="eastAsia" w:ascii="仿宋_GB2312" w:eastAsia="仿宋_GB2312"/>
          <w:b/>
          <w:color w:val="000000" w:themeColor="text1"/>
          <w:sz w:val="32"/>
        </w:rPr>
        <w:t>估价委托人</w:t>
      </w:r>
      <w:r>
        <w:rPr>
          <w:rFonts w:hint="eastAsia" w:ascii="仿宋_GB2312" w:eastAsia="仿宋_GB2312"/>
          <w:color w:val="000000" w:themeColor="text1"/>
          <w:sz w:val="32"/>
        </w:rPr>
        <w:t>：</w:t>
      </w:r>
      <w:r>
        <w:rPr>
          <w:rFonts w:hint="eastAsia" w:ascii="仿宋_GB2312" w:eastAsia="仿宋_GB2312"/>
          <w:color w:val="000000" w:themeColor="text1"/>
          <w:sz w:val="32"/>
          <w:lang w:eastAsia="zh-CN"/>
        </w:rPr>
        <w:t>石家庄市长安区人民法院</w:t>
      </w:r>
    </w:p>
    <w:p>
      <w:pPr>
        <w:tabs>
          <w:tab w:val="left" w:pos="709"/>
        </w:tabs>
        <w:adjustRightInd w:val="0"/>
        <w:snapToGrid w:val="0"/>
        <w:spacing w:line="560" w:lineRule="exact"/>
        <w:ind w:firstLine="630" w:firstLineChars="196"/>
        <w:rPr>
          <w:rFonts w:ascii="仿宋_GB2312" w:eastAsia="仿宋_GB2312"/>
          <w:color w:val="000000" w:themeColor="text1"/>
          <w:sz w:val="32"/>
        </w:rPr>
      </w:pPr>
      <w:r>
        <w:rPr>
          <w:rFonts w:hint="eastAsia" w:ascii="仿宋_GB2312" w:eastAsia="仿宋_GB2312"/>
          <w:b/>
          <w:color w:val="000000" w:themeColor="text1"/>
          <w:sz w:val="32"/>
        </w:rPr>
        <w:t>房地产估价机构</w:t>
      </w:r>
      <w:r>
        <w:rPr>
          <w:rFonts w:hint="eastAsia" w:ascii="仿宋_GB2312" w:eastAsia="仿宋_GB2312"/>
          <w:color w:val="000000" w:themeColor="text1"/>
          <w:sz w:val="32"/>
        </w:rPr>
        <w:t>：河北嘉泽房地产资产评估有限公司</w:t>
      </w:r>
    </w:p>
    <w:p>
      <w:pPr>
        <w:tabs>
          <w:tab w:val="left" w:pos="2520"/>
        </w:tabs>
        <w:adjustRightInd w:val="0"/>
        <w:snapToGrid w:val="0"/>
        <w:spacing w:line="560" w:lineRule="exact"/>
        <w:ind w:firstLine="643" w:firstLineChars="200"/>
        <w:rPr>
          <w:rFonts w:hint="eastAsia" w:ascii="仿宋_GB2312" w:eastAsia="仿宋_GB2312" w:cs="仿宋_GB2312"/>
          <w:color w:val="000000" w:themeColor="text1"/>
          <w:sz w:val="32"/>
          <w:lang w:eastAsia="zh-CN"/>
        </w:rPr>
      </w:pPr>
      <w:r>
        <w:rPr>
          <w:rFonts w:hint="eastAsia" w:ascii="仿宋_GB2312" w:eastAsia="仿宋_GB2312"/>
          <w:b/>
          <w:color w:val="000000" w:themeColor="text1"/>
          <w:sz w:val="32"/>
        </w:rPr>
        <w:t>注册房地产估价师</w:t>
      </w:r>
      <w:r>
        <w:rPr>
          <w:rFonts w:hint="eastAsia" w:ascii="仿宋_GB2312" w:eastAsia="仿宋_GB2312"/>
          <w:color w:val="000000" w:themeColor="text1"/>
          <w:sz w:val="32"/>
        </w:rPr>
        <w:t>：</w:t>
      </w:r>
      <w:r>
        <w:rPr>
          <w:rFonts w:hint="eastAsia" w:ascii="仿宋_GB2312" w:eastAsia="仿宋_GB2312" w:cs="仿宋_GB2312"/>
          <w:color w:val="000000" w:themeColor="text1"/>
          <w:sz w:val="32"/>
          <w:lang w:eastAsia="zh-CN"/>
        </w:rPr>
        <w:t>蒲亚维</w:t>
      </w:r>
      <w:r>
        <w:rPr>
          <w:rFonts w:hint="eastAsia" w:ascii="仿宋_GB2312" w:eastAsia="仿宋_GB2312" w:cs="仿宋_GB2312"/>
          <w:color w:val="000000" w:themeColor="text1"/>
          <w:sz w:val="32"/>
        </w:rPr>
        <w:t xml:space="preserve"> 注册号：</w:t>
      </w:r>
      <w:r>
        <w:rPr>
          <w:rFonts w:hint="eastAsia" w:ascii="仿宋_GB2312" w:eastAsia="仿宋_GB2312" w:cs="仿宋_GB2312"/>
          <w:color w:val="000000" w:themeColor="text1"/>
          <w:sz w:val="32"/>
          <w:lang w:eastAsia="zh-CN"/>
        </w:rPr>
        <w:t>1320200042</w:t>
      </w:r>
    </w:p>
    <w:p>
      <w:pPr>
        <w:tabs>
          <w:tab w:val="left" w:pos="2520"/>
        </w:tabs>
        <w:adjustRightInd w:val="0"/>
        <w:snapToGrid w:val="0"/>
        <w:spacing w:line="560" w:lineRule="exact"/>
        <w:ind w:firstLine="3520" w:firstLineChars="1100"/>
        <w:rPr>
          <w:rFonts w:hint="default" w:ascii="仿宋_GB2312" w:eastAsia="仿宋_GB2312" w:cs="仿宋_GB2312"/>
          <w:color w:val="000000" w:themeColor="text1"/>
          <w:sz w:val="28"/>
          <w:szCs w:val="28"/>
          <w:lang w:val="en-US" w:eastAsia="zh-CN"/>
        </w:rPr>
      </w:pPr>
      <w:r>
        <w:rPr>
          <w:rFonts w:hint="eastAsia" w:ascii="仿宋_GB2312" w:eastAsia="仿宋_GB2312" w:cs="仿宋_GB2312"/>
          <w:color w:val="000000" w:themeColor="text1"/>
          <w:sz w:val="32"/>
          <w:lang w:eastAsia="zh-CN"/>
        </w:rPr>
        <w:t>赵立永</w:t>
      </w:r>
      <w:r>
        <w:rPr>
          <w:rFonts w:hint="eastAsia" w:ascii="仿宋_GB2312" w:eastAsia="仿宋_GB2312" w:cs="仿宋_GB2312"/>
          <w:color w:val="000000" w:themeColor="text1"/>
          <w:sz w:val="32"/>
        </w:rPr>
        <w:t xml:space="preserve"> 注册号：</w:t>
      </w:r>
      <w:r>
        <w:rPr>
          <w:rFonts w:hint="eastAsia" w:ascii="仿宋_GB2312" w:eastAsia="仿宋_GB2312" w:cs="仿宋_GB2312"/>
          <w:color w:val="000000" w:themeColor="text1"/>
          <w:sz w:val="32"/>
          <w:lang w:eastAsia="zh-CN"/>
        </w:rPr>
        <w:t>1320</w:t>
      </w:r>
      <w:r>
        <w:rPr>
          <w:rFonts w:hint="eastAsia" w:ascii="仿宋_GB2312" w:eastAsia="仿宋_GB2312" w:cs="仿宋_GB2312"/>
          <w:color w:val="000000" w:themeColor="text1"/>
          <w:sz w:val="32"/>
          <w:lang w:val="en-US" w:eastAsia="zh-CN"/>
        </w:rPr>
        <w:t>150131</w:t>
      </w:r>
    </w:p>
    <w:p>
      <w:pPr>
        <w:tabs>
          <w:tab w:val="left" w:pos="2520"/>
        </w:tabs>
        <w:adjustRightInd w:val="0"/>
        <w:snapToGrid w:val="0"/>
        <w:spacing w:line="560" w:lineRule="exact"/>
        <w:ind w:firstLine="630" w:firstLineChars="196"/>
        <w:rPr>
          <w:rFonts w:hint="eastAsia" w:ascii="仿宋_GB2312" w:eastAsia="仿宋_GB2312"/>
          <w:color w:val="000000" w:themeColor="text1"/>
          <w:sz w:val="32"/>
          <w:szCs w:val="32"/>
          <w:lang w:eastAsia="zh-CN"/>
        </w:rPr>
      </w:pPr>
      <w:r>
        <w:rPr>
          <w:rFonts w:hint="eastAsia" w:ascii="仿宋_GB2312" w:eastAsia="仿宋_GB2312"/>
          <w:b/>
          <w:color w:val="000000" w:themeColor="text1"/>
          <w:sz w:val="32"/>
        </w:rPr>
        <w:t>估价报告出具日期：</w:t>
      </w:r>
      <w:r>
        <w:rPr>
          <w:rFonts w:hint="eastAsia" w:ascii="仿宋_GB2312" w:eastAsia="仿宋_GB2312"/>
          <w:color w:val="000000" w:themeColor="text1"/>
          <w:sz w:val="32"/>
          <w:szCs w:val="32"/>
          <w:highlight w:val="none"/>
          <w:lang w:eastAsia="zh-CN"/>
        </w:rPr>
        <w:t>2021年10月14日</w:t>
      </w:r>
    </w:p>
    <w:p>
      <w:pPr>
        <w:tabs>
          <w:tab w:val="left" w:pos="0"/>
        </w:tabs>
        <w:snapToGrid w:val="0"/>
        <w:spacing w:line="480" w:lineRule="auto"/>
        <w:rPr>
          <w:rFonts w:ascii="仿宋_GB2312" w:hAnsi="宋体" w:eastAsia="仿宋_GB2312"/>
          <w:snapToGrid w:val="0"/>
          <w:color w:val="000000" w:themeColor="text1"/>
          <w:spacing w:val="-10"/>
          <w:kern w:val="0"/>
          <w:sz w:val="32"/>
          <w:szCs w:val="32"/>
        </w:rPr>
        <w:sectPr>
          <w:headerReference r:id="rId3" w:type="default"/>
          <w:footerReference r:id="rId4" w:type="default"/>
          <w:pgSz w:w="11906" w:h="16838"/>
          <w:pgMar w:top="1814" w:right="1276" w:bottom="1418" w:left="1701" w:header="1417" w:footer="737" w:gutter="0"/>
          <w:pgBorders>
            <w:top w:val="none" w:sz="0" w:space="0"/>
            <w:left w:val="none" w:sz="0" w:space="0"/>
            <w:bottom w:val="none" w:sz="0" w:space="0"/>
            <w:right w:val="none" w:sz="0" w:space="0"/>
          </w:pgBorders>
          <w:cols w:space="720" w:num="1"/>
          <w:titlePg/>
          <w:docGrid w:linePitch="286" w:charSpace="0"/>
        </w:sectPr>
      </w:pPr>
    </w:p>
    <w:p>
      <w:pPr>
        <w:snapToGrid w:val="0"/>
        <w:spacing w:line="360" w:lineRule="auto"/>
        <w:jc w:val="center"/>
        <w:rPr>
          <w:b/>
          <w:color w:val="000000" w:themeColor="text1"/>
          <w:sz w:val="26"/>
          <w:szCs w:val="26"/>
        </w:rPr>
      </w:pPr>
      <w:bookmarkStart w:id="1" w:name="_Toc383069657"/>
      <w:r>
        <w:rPr>
          <w:rFonts w:hint="eastAsia" w:ascii="仿宋_GB2312" w:eastAsia="仿宋_GB2312"/>
          <w:b/>
          <w:snapToGrid w:val="0"/>
          <w:color w:val="000000" w:themeColor="text1"/>
          <w:sz w:val="36"/>
          <w:szCs w:val="36"/>
        </w:rPr>
        <w:t>致估价委托人函</w:t>
      </w:r>
      <w:r>
        <w:rPr>
          <w:b/>
          <w:color w:val="000000" w:themeColor="text1"/>
          <w:sz w:val="26"/>
          <w:szCs w:val="26"/>
        </w:rPr>
        <w:fldChar w:fldCharType="begin"/>
      </w:r>
      <w:r>
        <w:rPr>
          <w:b/>
          <w:color w:val="000000" w:themeColor="text1"/>
          <w:sz w:val="26"/>
          <w:szCs w:val="26"/>
        </w:rPr>
        <w:instrText xml:space="preserve"> TC "</w:instrText>
      </w:r>
      <w:bookmarkStart w:id="2" w:name="_Toc289260244"/>
      <w:bookmarkStart w:id="3" w:name="_Toc288212013"/>
      <w:r>
        <w:rPr>
          <w:rFonts w:hint="eastAsia"/>
          <w:b/>
          <w:color w:val="000000" w:themeColor="text1"/>
          <w:sz w:val="26"/>
          <w:szCs w:val="26"/>
        </w:rPr>
        <w:instrText xml:space="preserve">一、</w:instrText>
      </w:r>
      <w:r>
        <w:rPr>
          <w:b/>
          <w:color w:val="000000" w:themeColor="text1"/>
          <w:sz w:val="26"/>
          <w:szCs w:val="26"/>
        </w:rPr>
        <w:instrText xml:space="preserve">致</w:instrText>
      </w:r>
      <w:r>
        <w:rPr>
          <w:rFonts w:hint="eastAsia"/>
          <w:b/>
          <w:color w:val="000000" w:themeColor="text1"/>
          <w:sz w:val="26"/>
          <w:szCs w:val="26"/>
        </w:rPr>
        <w:instrText xml:space="preserve">估价</w:instrText>
      </w:r>
      <w:r>
        <w:rPr>
          <w:b/>
          <w:color w:val="000000" w:themeColor="text1"/>
          <w:sz w:val="26"/>
          <w:szCs w:val="26"/>
        </w:rPr>
        <w:instrText xml:space="preserve">委托人函</w:instrText>
      </w:r>
      <w:bookmarkEnd w:id="2"/>
      <w:bookmarkEnd w:id="3"/>
      <w:r>
        <w:rPr>
          <w:b/>
          <w:color w:val="000000" w:themeColor="text1"/>
          <w:sz w:val="26"/>
          <w:szCs w:val="26"/>
        </w:rPr>
        <w:instrText xml:space="preserve">" \f C \l "1"</w:instrText>
      </w:r>
      <w:r>
        <w:rPr>
          <w:b/>
          <w:color w:val="000000" w:themeColor="text1"/>
          <w:sz w:val="26"/>
          <w:szCs w:val="26"/>
        </w:rPr>
        <w:fldChar w:fldCharType="end"/>
      </w:r>
    </w:p>
    <w:p>
      <w:pPr>
        <w:spacing w:line="580" w:lineRule="exact"/>
        <w:rPr>
          <w:rFonts w:eastAsia="仿宋_GB2312"/>
          <w:color w:val="000000" w:themeColor="text1"/>
          <w:sz w:val="28"/>
          <w:szCs w:val="28"/>
          <w:highlight w:val="none"/>
        </w:rPr>
      </w:pPr>
      <w:r>
        <w:rPr>
          <w:rFonts w:hint="eastAsia" w:eastAsia="仿宋_GB2312"/>
          <w:color w:val="000000" w:themeColor="text1"/>
          <w:sz w:val="28"/>
          <w:szCs w:val="28"/>
          <w:highlight w:val="none"/>
          <w:lang w:eastAsia="zh-CN"/>
        </w:rPr>
        <w:t>石家庄市长安区人民法院</w:t>
      </w:r>
      <w:r>
        <w:rPr>
          <w:rFonts w:hint="eastAsia" w:eastAsia="仿宋_GB2312"/>
          <w:color w:val="000000" w:themeColor="text1"/>
          <w:sz w:val="28"/>
          <w:szCs w:val="28"/>
          <w:highlight w:val="none"/>
        </w:rPr>
        <w:t>：</w:t>
      </w:r>
    </w:p>
    <w:p>
      <w:pPr>
        <w:spacing w:line="580" w:lineRule="exact"/>
        <w:ind w:firstLine="555"/>
        <w:rPr>
          <w:rFonts w:hint="eastAsia" w:ascii="仿宋_GB2312" w:hAnsi="宋体" w:eastAsia="仿宋_GB2312" w:cs="宋体"/>
          <w:color w:val="000000" w:themeColor="text1"/>
          <w:sz w:val="28"/>
          <w:szCs w:val="28"/>
          <w:highlight w:val="none"/>
          <w:lang w:eastAsia="zh-CN"/>
        </w:rPr>
      </w:pPr>
      <w:r>
        <w:rPr>
          <w:rFonts w:hint="eastAsia" w:eastAsia="仿宋_GB2312"/>
          <w:color w:val="000000" w:themeColor="text1"/>
          <w:sz w:val="28"/>
          <w:szCs w:val="28"/>
          <w:highlight w:val="none"/>
        </w:rPr>
        <w:t>受</w:t>
      </w:r>
      <w:r>
        <w:rPr>
          <w:rFonts w:hint="eastAsia" w:ascii="仿宋_GB2312" w:hAnsi="宋体" w:eastAsia="仿宋_GB2312" w:cs="宋体"/>
          <w:color w:val="000000" w:themeColor="text1"/>
          <w:sz w:val="28"/>
          <w:szCs w:val="28"/>
          <w:highlight w:val="none"/>
          <w:lang w:eastAsia="zh-CN"/>
        </w:rPr>
        <w:t>贵院委托，我公司对贵院在执行《（2019）冀0102民初</w:t>
      </w:r>
      <w:r>
        <w:rPr>
          <w:rFonts w:hint="eastAsia" w:ascii="仿宋_GB2312" w:hAnsi="宋体" w:eastAsia="仿宋_GB2312" w:cs="宋体"/>
          <w:color w:val="000000" w:themeColor="text1"/>
          <w:sz w:val="28"/>
          <w:szCs w:val="28"/>
          <w:highlight w:val="none"/>
          <w:lang w:val="en-US" w:eastAsia="zh-CN"/>
        </w:rPr>
        <w:t>9897</w:t>
      </w:r>
      <w:r>
        <w:rPr>
          <w:rFonts w:hint="eastAsia" w:ascii="仿宋_GB2312" w:hAnsi="宋体" w:eastAsia="仿宋_GB2312" w:cs="宋体"/>
          <w:color w:val="000000" w:themeColor="text1"/>
          <w:sz w:val="28"/>
          <w:szCs w:val="28"/>
          <w:highlight w:val="none"/>
          <w:lang w:eastAsia="zh-CN"/>
        </w:rPr>
        <w:t>号》案件中涉及的付涛位于石家庄市桥西区开泰街以西三简路以南开泰小区6B-4-202等2处的成套住宅房地产市场价值进行了评估。</w:t>
      </w:r>
    </w:p>
    <w:p>
      <w:pPr>
        <w:snapToGrid w:val="0"/>
        <w:spacing w:line="580" w:lineRule="exact"/>
        <w:ind w:firstLine="560" w:firstLineChars="200"/>
        <w:rPr>
          <w:rFonts w:ascii="仿宋_GB2312" w:hAnsi="仿宋_GB2312" w:eastAsia="仿宋_GB2312" w:cs="仿宋_GB2312"/>
          <w:color w:val="000000" w:themeColor="text1"/>
          <w:sz w:val="28"/>
          <w:szCs w:val="28"/>
          <w:highlight w:val="none"/>
        </w:rPr>
      </w:pPr>
      <w:r>
        <w:rPr>
          <w:rFonts w:hint="eastAsia" w:ascii="仿宋_GB2312" w:hAnsi="仿宋_GB2312" w:eastAsia="仿宋_GB2312" w:cs="仿宋_GB2312"/>
          <w:color w:val="000000" w:themeColor="text1"/>
          <w:sz w:val="28"/>
          <w:szCs w:val="28"/>
          <w:highlight w:val="none"/>
        </w:rPr>
        <w:t>估价目的：为</w:t>
      </w:r>
      <w:r>
        <w:rPr>
          <w:rFonts w:hint="eastAsia" w:ascii="仿宋_GB2312" w:hAnsi="仿宋_GB2312" w:eastAsia="仿宋_GB2312" w:cs="仿宋_GB2312"/>
          <w:color w:val="000000" w:themeColor="text1"/>
          <w:sz w:val="28"/>
          <w:szCs w:val="28"/>
          <w:highlight w:val="none"/>
          <w:lang w:eastAsia="zh-CN"/>
        </w:rPr>
        <w:t>石家庄市长安区人民法院</w:t>
      </w:r>
      <w:r>
        <w:rPr>
          <w:rFonts w:hint="eastAsia" w:ascii="仿宋_GB2312" w:hAnsi="仿宋_GB2312" w:eastAsia="仿宋_GB2312" w:cs="仿宋_GB2312"/>
          <w:color w:val="000000" w:themeColor="text1"/>
          <w:sz w:val="28"/>
          <w:szCs w:val="28"/>
          <w:highlight w:val="none"/>
        </w:rPr>
        <w:t>确定财产处置参考价提供参考依据。</w:t>
      </w:r>
    </w:p>
    <w:p>
      <w:pPr>
        <w:snapToGrid w:val="0"/>
        <w:spacing w:line="580" w:lineRule="exact"/>
        <w:ind w:firstLine="560" w:firstLineChars="200"/>
        <w:rPr>
          <w:rFonts w:ascii="仿宋_GB2312" w:eastAsia="仿宋_GB2312"/>
          <w:color w:val="000000" w:themeColor="text1"/>
          <w:sz w:val="28"/>
          <w:szCs w:val="28"/>
        </w:rPr>
      </w:pPr>
      <w:r>
        <w:rPr>
          <w:rFonts w:hint="eastAsia" w:ascii="仿宋_GB2312" w:hAnsi="仿宋_GB2312" w:eastAsia="仿宋_GB2312" w:cs="仿宋_GB2312"/>
          <w:color w:val="000000" w:themeColor="text1"/>
          <w:sz w:val="28"/>
          <w:szCs w:val="28"/>
          <w:highlight w:val="none"/>
        </w:rPr>
        <w:t>估价对象：</w:t>
      </w:r>
      <w:r>
        <w:rPr>
          <w:rFonts w:hint="eastAsia" w:ascii="仿宋_GB2312" w:hAnsi="仿宋_GB2312" w:eastAsia="仿宋_GB2312" w:cs="仿宋_GB2312"/>
          <w:color w:val="000000" w:themeColor="text1"/>
          <w:sz w:val="28"/>
          <w:szCs w:val="28"/>
          <w:highlight w:val="none"/>
          <w:lang w:bidi="ar"/>
        </w:rPr>
        <w:t>根据</w:t>
      </w:r>
      <w:r>
        <w:rPr>
          <w:rFonts w:hint="eastAsia" w:ascii="仿宋_GB2312" w:hAnsi="仿宋_GB2312" w:eastAsia="仿宋_GB2312" w:cs="仿宋_GB2312"/>
          <w:color w:val="000000" w:themeColor="text1"/>
          <w:sz w:val="28"/>
          <w:szCs w:val="28"/>
          <w:highlight w:val="none"/>
          <w:lang w:eastAsia="zh-CN" w:bidi="ar"/>
        </w:rPr>
        <w:t>估价委托人</w:t>
      </w:r>
      <w:r>
        <w:rPr>
          <w:rFonts w:hint="eastAsia" w:ascii="仿宋_GB2312" w:hAnsi="仿宋_GB2312" w:eastAsia="仿宋_GB2312" w:cs="仿宋_GB2312"/>
          <w:color w:val="000000" w:themeColor="text1"/>
          <w:sz w:val="28"/>
          <w:szCs w:val="28"/>
          <w:highlight w:val="none"/>
          <w:lang w:bidi="ar"/>
        </w:rPr>
        <w:t>调档资料</w:t>
      </w:r>
      <w:r>
        <w:rPr>
          <w:rFonts w:hint="eastAsia" w:ascii="仿宋_GB2312" w:hAnsi="仿宋_GB2312" w:eastAsia="仿宋_GB2312" w:cs="仿宋_GB2312"/>
          <w:color w:val="000000" w:themeColor="text1"/>
          <w:sz w:val="28"/>
          <w:szCs w:val="28"/>
          <w:highlight w:val="none"/>
          <w:lang w:eastAsia="zh-CN" w:bidi="ar"/>
        </w:rPr>
        <w:t>《石家庄市不动产登记资料查询结果》</w:t>
      </w:r>
      <w:r>
        <w:rPr>
          <w:rFonts w:hint="eastAsia" w:ascii="仿宋_GB2312" w:hAnsi="仿宋_GB2312" w:eastAsia="仿宋_GB2312" w:cs="仿宋_GB2312"/>
          <w:color w:val="000000" w:themeColor="text1"/>
          <w:sz w:val="28"/>
          <w:szCs w:val="28"/>
          <w:highlight w:val="none"/>
          <w:lang w:bidi="ar"/>
        </w:rPr>
        <w:t>记载</w:t>
      </w:r>
      <w:r>
        <w:rPr>
          <w:rFonts w:hint="eastAsia" w:ascii="仿宋_GB2312" w:hAnsi="仿宋_GB2312" w:eastAsia="仿宋_GB2312" w:cs="仿宋_GB2312"/>
          <w:color w:val="000000" w:themeColor="text1"/>
          <w:sz w:val="28"/>
          <w:szCs w:val="28"/>
          <w:highlight w:val="none"/>
        </w:rPr>
        <w:t>，</w:t>
      </w:r>
      <w:r>
        <w:rPr>
          <w:rFonts w:hint="eastAsia" w:ascii="仿宋_GB2312" w:hAnsi="宋体" w:eastAsia="仿宋_GB2312" w:cs="宋体"/>
          <w:color w:val="000000" w:themeColor="text1"/>
          <w:sz w:val="28"/>
          <w:szCs w:val="28"/>
          <w:highlight w:val="none"/>
          <w:lang w:eastAsia="zh-CN"/>
        </w:rPr>
        <w:t>房屋所有权证</w:t>
      </w:r>
      <w:r>
        <w:rPr>
          <w:rFonts w:hint="eastAsia" w:ascii="仿宋_GB2312" w:hAnsi="宋体" w:eastAsia="仿宋_GB2312" w:cs="宋体"/>
          <w:color w:val="000000" w:themeColor="text1"/>
          <w:sz w:val="28"/>
          <w:szCs w:val="28"/>
          <w:highlight w:val="none"/>
        </w:rPr>
        <w:t>号为</w:t>
      </w:r>
      <w:r>
        <w:rPr>
          <w:rFonts w:hint="eastAsia" w:ascii="仿宋_GB2312" w:hAnsi="宋体" w:eastAsia="仿宋_GB2312" w:cs="宋体"/>
          <w:color w:val="000000" w:themeColor="text1"/>
          <w:sz w:val="28"/>
          <w:szCs w:val="28"/>
          <w:highlight w:val="none"/>
          <w:lang w:eastAsia="zh-CN"/>
        </w:rPr>
        <w:t>石房权证第434001644</w:t>
      </w:r>
      <w:r>
        <w:rPr>
          <w:rFonts w:hint="eastAsia" w:ascii="仿宋_GB2312" w:hAnsi="宋体" w:eastAsia="仿宋_GB2312" w:cs="宋体"/>
          <w:color w:val="000000" w:themeColor="text1"/>
          <w:sz w:val="28"/>
          <w:szCs w:val="28"/>
          <w:highlight w:val="none"/>
        </w:rPr>
        <w:t>，</w:t>
      </w:r>
      <w:r>
        <w:rPr>
          <w:rFonts w:hint="eastAsia" w:ascii="仿宋_GB2312" w:hAnsi="仿宋_GB2312" w:eastAsia="仿宋_GB2312" w:cs="仿宋_GB2312"/>
          <w:color w:val="000000" w:themeColor="text1"/>
          <w:sz w:val="28"/>
          <w:szCs w:val="28"/>
          <w:highlight w:val="none"/>
        </w:rPr>
        <w:t>估价对象位于</w:t>
      </w:r>
      <w:r>
        <w:rPr>
          <w:rFonts w:hint="eastAsia" w:ascii="仿宋_GB2312" w:hAnsi="仿宋_GB2312" w:eastAsia="仿宋_GB2312" w:cs="仿宋_GB2312"/>
          <w:color w:val="000000" w:themeColor="text1"/>
          <w:sz w:val="28"/>
          <w:szCs w:val="28"/>
          <w:highlight w:val="none"/>
          <w:lang w:eastAsia="zh-CN"/>
        </w:rPr>
        <w:t>石家庄市桥西区开泰街以西三简路以南开泰小区6B-4-202等2处</w:t>
      </w:r>
      <w:r>
        <w:rPr>
          <w:rFonts w:hint="eastAsia" w:ascii="仿宋_GB2312" w:hAnsi="仿宋_GB2312" w:eastAsia="仿宋_GB2312" w:cs="仿宋_GB2312"/>
          <w:color w:val="000000" w:themeColor="text1"/>
          <w:sz w:val="28"/>
          <w:szCs w:val="28"/>
          <w:highlight w:val="none"/>
        </w:rPr>
        <w:t>，房屋所有权人为</w:t>
      </w:r>
      <w:r>
        <w:rPr>
          <w:rFonts w:hint="eastAsia" w:ascii="仿宋_GB2312" w:hAnsi="仿宋_GB2312" w:eastAsia="仿宋_GB2312" w:cs="仿宋_GB2312"/>
          <w:color w:val="000000" w:themeColor="text1"/>
          <w:sz w:val="28"/>
          <w:szCs w:val="28"/>
          <w:highlight w:val="none"/>
          <w:lang w:eastAsia="zh-CN"/>
        </w:rPr>
        <w:t>付涛</w:t>
      </w:r>
      <w:r>
        <w:rPr>
          <w:rFonts w:hint="eastAsia" w:ascii="仿宋_GB2312" w:hAnsi="仿宋_GB2312" w:eastAsia="仿宋_GB2312" w:cs="仿宋_GB2312"/>
          <w:color w:val="000000" w:themeColor="text1"/>
          <w:sz w:val="28"/>
          <w:szCs w:val="28"/>
          <w:highlight w:val="none"/>
        </w:rPr>
        <w:t>，</w:t>
      </w:r>
      <w:r>
        <w:rPr>
          <w:rFonts w:hint="eastAsia" w:ascii="仿宋_GB2312" w:hAnsi="仿宋_GB2312" w:eastAsia="仿宋_GB2312" w:cs="仿宋_GB2312"/>
          <w:color w:val="000000" w:themeColor="text1"/>
          <w:sz w:val="28"/>
          <w:szCs w:val="28"/>
          <w:highlight w:val="none"/>
          <w:lang w:eastAsia="zh-CN"/>
        </w:rPr>
        <w:t>规划用途为成套住宅/仓储</w:t>
      </w:r>
      <w:r>
        <w:rPr>
          <w:rFonts w:hint="eastAsia" w:ascii="仿宋_GB2312" w:hAnsi="仿宋_GB2312" w:eastAsia="仿宋_GB2312" w:cs="仿宋_GB2312"/>
          <w:color w:val="000000" w:themeColor="text1"/>
          <w:sz w:val="28"/>
          <w:szCs w:val="28"/>
          <w:highlight w:val="none"/>
        </w:rPr>
        <w:t>，</w:t>
      </w:r>
      <w:r>
        <w:rPr>
          <w:rFonts w:hint="eastAsia" w:ascii="仿宋_GB2312" w:hAnsi="仿宋_GB2312" w:eastAsia="仿宋_GB2312" w:cs="仿宋_GB2312"/>
          <w:color w:val="000000" w:themeColor="text1"/>
          <w:sz w:val="28"/>
          <w:szCs w:val="28"/>
          <w:highlight w:val="none"/>
          <w:lang w:eastAsia="zh-CN"/>
        </w:rPr>
        <w:t>混合</w:t>
      </w:r>
      <w:r>
        <w:rPr>
          <w:rFonts w:hint="eastAsia" w:ascii="仿宋_GB2312" w:hAnsi="仿宋_GB2312" w:eastAsia="仿宋_GB2312" w:cs="仿宋_GB2312"/>
          <w:color w:val="000000" w:themeColor="text1"/>
          <w:sz w:val="28"/>
          <w:szCs w:val="28"/>
          <w:highlight w:val="none"/>
        </w:rPr>
        <w:t>结构，</w:t>
      </w:r>
      <w:r>
        <w:rPr>
          <w:rFonts w:hint="eastAsia" w:ascii="仿宋_GB2312" w:eastAsia="仿宋_GB2312"/>
          <w:color w:val="000000" w:themeColor="text1"/>
          <w:sz w:val="28"/>
          <w:szCs w:val="28"/>
          <w:highlight w:val="none"/>
          <w:lang w:eastAsia="zh-CN"/>
        </w:rPr>
        <w:t>房屋总层数为7层（地上6层，地下1层）</w:t>
      </w:r>
      <w:r>
        <w:rPr>
          <w:rFonts w:hint="eastAsia" w:ascii="仿宋_GB2312" w:eastAsia="仿宋_GB2312"/>
          <w:color w:val="000000" w:themeColor="text1"/>
          <w:sz w:val="28"/>
          <w:szCs w:val="28"/>
          <w:highlight w:val="none"/>
        </w:rPr>
        <w:t>，</w:t>
      </w:r>
      <w:r>
        <w:rPr>
          <w:rFonts w:hint="eastAsia" w:ascii="仿宋_GB2312" w:eastAsia="仿宋_GB2312"/>
          <w:color w:val="000000" w:themeColor="text1"/>
          <w:sz w:val="28"/>
          <w:szCs w:val="28"/>
          <w:highlight w:val="none"/>
          <w:lang w:val="en-US" w:eastAsia="zh-CN"/>
        </w:rPr>
        <w:t>房屋</w:t>
      </w:r>
      <w:r>
        <w:rPr>
          <w:rFonts w:hint="eastAsia" w:ascii="仿宋_GB2312" w:hAnsi="仿宋_GB2312" w:eastAsia="仿宋_GB2312" w:cs="仿宋_GB2312"/>
          <w:color w:val="000000" w:themeColor="text1"/>
          <w:sz w:val="28"/>
          <w:szCs w:val="28"/>
          <w:highlight w:val="none"/>
        </w:rPr>
        <w:t>所在层为</w:t>
      </w:r>
      <w:r>
        <w:rPr>
          <w:rFonts w:hint="eastAsia" w:ascii="仿宋_GB2312" w:hAnsi="仿宋_GB2312" w:eastAsia="仿宋_GB2312" w:cs="仿宋_GB2312"/>
          <w:color w:val="000000" w:themeColor="text1"/>
          <w:sz w:val="28"/>
          <w:szCs w:val="28"/>
          <w:highlight w:val="none"/>
          <w:lang w:val="en-US" w:eastAsia="zh-CN"/>
        </w:rPr>
        <w:t>地上2</w:t>
      </w:r>
      <w:r>
        <w:rPr>
          <w:rFonts w:hint="eastAsia" w:ascii="仿宋_GB2312" w:hAnsi="仿宋_GB2312" w:eastAsia="仿宋_GB2312" w:cs="仿宋_GB2312"/>
          <w:color w:val="000000" w:themeColor="text1"/>
          <w:sz w:val="28"/>
          <w:szCs w:val="28"/>
          <w:highlight w:val="none"/>
        </w:rPr>
        <w:t>层</w:t>
      </w:r>
      <w:r>
        <w:rPr>
          <w:rFonts w:hint="eastAsia" w:ascii="仿宋_GB2312" w:hAnsi="仿宋_GB2312" w:eastAsia="仿宋_GB2312" w:cs="仿宋_GB2312"/>
          <w:color w:val="000000" w:themeColor="text1"/>
          <w:sz w:val="28"/>
          <w:szCs w:val="28"/>
          <w:highlight w:val="none"/>
          <w:lang w:eastAsia="zh-CN"/>
        </w:rPr>
        <w:t>，</w:t>
      </w:r>
      <w:r>
        <w:rPr>
          <w:rFonts w:hint="eastAsia" w:ascii="仿宋_GB2312" w:eastAsia="仿宋_GB2312"/>
          <w:color w:val="000000"/>
          <w:sz w:val="28"/>
          <w:szCs w:val="28"/>
          <w:highlight w:val="none"/>
          <w:lang w:val="en-US" w:eastAsia="zh-CN"/>
        </w:rPr>
        <w:t>仓储用房</w:t>
      </w:r>
      <w:r>
        <w:rPr>
          <w:rFonts w:hint="eastAsia" w:ascii="仿宋_GB2312" w:hAnsi="仿宋_GB2312" w:eastAsia="仿宋_GB2312" w:cs="仿宋_GB2312"/>
          <w:color w:val="000000" w:themeColor="text1"/>
          <w:sz w:val="28"/>
          <w:szCs w:val="28"/>
          <w:highlight w:val="none"/>
          <w:lang w:val="en-US" w:eastAsia="zh-CN"/>
        </w:rPr>
        <w:t>为地下1层</w:t>
      </w:r>
      <w:r>
        <w:rPr>
          <w:rFonts w:hint="eastAsia" w:ascii="仿宋_GB2312" w:hAnsi="仿宋_GB2312" w:eastAsia="仿宋_GB2312" w:cs="仿宋_GB2312"/>
          <w:color w:val="000000" w:themeColor="text1"/>
          <w:sz w:val="28"/>
          <w:szCs w:val="28"/>
          <w:highlight w:val="none"/>
        </w:rPr>
        <w:t>，</w:t>
      </w:r>
      <w:r>
        <w:rPr>
          <w:rFonts w:hint="eastAsia" w:ascii="仿宋_GB2312" w:eastAsia="仿宋_GB2312"/>
          <w:color w:val="000000" w:themeColor="text1"/>
          <w:sz w:val="28"/>
          <w:szCs w:val="28"/>
          <w:highlight w:val="none"/>
          <w:lang w:eastAsia="zh-CN"/>
        </w:rPr>
        <w:t>成套住宅建筑面积97.19平方米，仓储用房建筑面积为23.15平方米</w:t>
      </w:r>
      <w:r>
        <w:rPr>
          <w:rFonts w:hint="eastAsia" w:ascii="仿宋_GB2312" w:eastAsia="仿宋_GB2312"/>
          <w:color w:val="000000" w:themeColor="text1"/>
          <w:sz w:val="28"/>
          <w:szCs w:val="28"/>
          <w:highlight w:val="none"/>
        </w:rPr>
        <w:t>。其</w:t>
      </w:r>
      <w:r>
        <w:rPr>
          <w:rFonts w:hint="eastAsia" w:ascii="仿宋_GB2312" w:eastAsia="仿宋_GB2312"/>
          <w:color w:val="000000" w:themeColor="text1"/>
          <w:sz w:val="28"/>
          <w:szCs w:val="28"/>
        </w:rPr>
        <w:t>它状况详见估价结果报告。</w:t>
      </w:r>
    </w:p>
    <w:p>
      <w:pPr>
        <w:snapToGrid w:val="0"/>
        <w:spacing w:line="580" w:lineRule="exact"/>
        <w:ind w:firstLine="560" w:firstLineChars="200"/>
        <w:rPr>
          <w:rFonts w:hint="eastAsia" w:ascii="仿宋_GB2312" w:hAnsi="宋体" w:eastAsia="仿宋_GB2312" w:cs="宋体"/>
          <w:color w:val="000000" w:themeColor="text1"/>
          <w:sz w:val="28"/>
          <w:szCs w:val="28"/>
          <w:lang w:eastAsia="zh-CN"/>
        </w:rPr>
      </w:pPr>
      <w:r>
        <w:rPr>
          <w:rFonts w:hint="eastAsia" w:ascii="仿宋_GB2312" w:hAnsi="宋体" w:eastAsia="仿宋_GB2312" w:cs="宋体"/>
          <w:color w:val="000000" w:themeColor="text1"/>
          <w:sz w:val="28"/>
          <w:szCs w:val="28"/>
        </w:rPr>
        <w:t>价值时点：</w:t>
      </w:r>
      <w:r>
        <w:rPr>
          <w:rFonts w:hint="eastAsia" w:ascii="仿宋_GB2312" w:hAnsi="宋体" w:eastAsia="仿宋_GB2312" w:cs="宋体"/>
          <w:color w:val="000000" w:themeColor="text1"/>
          <w:sz w:val="28"/>
          <w:szCs w:val="28"/>
          <w:lang w:eastAsia="zh-CN"/>
        </w:rPr>
        <w:t>2021年9月29日</w:t>
      </w:r>
    </w:p>
    <w:p>
      <w:pPr>
        <w:snapToGrid w:val="0"/>
        <w:spacing w:line="580" w:lineRule="exact"/>
        <w:ind w:firstLine="560" w:firstLineChars="200"/>
        <w:rPr>
          <w:rFonts w:ascii="仿宋_GB2312" w:hAnsi="宋体" w:eastAsia="仿宋_GB2312" w:cs="宋体"/>
          <w:color w:val="000000" w:themeColor="text1"/>
          <w:sz w:val="28"/>
          <w:szCs w:val="28"/>
        </w:rPr>
      </w:pPr>
      <w:r>
        <w:rPr>
          <w:rFonts w:hint="eastAsia" w:ascii="仿宋_GB2312" w:hAnsi="宋体" w:eastAsia="仿宋_GB2312" w:cs="宋体"/>
          <w:color w:val="000000" w:themeColor="text1"/>
          <w:sz w:val="28"/>
          <w:szCs w:val="28"/>
        </w:rPr>
        <w:t>价值类型：房地产市场价值。估价的价值标准为公开市场价值，不考虑抵押、查封等因素的影响。</w:t>
      </w:r>
    </w:p>
    <w:p>
      <w:pPr>
        <w:snapToGrid w:val="0"/>
        <w:spacing w:line="580" w:lineRule="exact"/>
        <w:ind w:firstLine="560" w:firstLineChars="200"/>
        <w:rPr>
          <w:rFonts w:ascii="仿宋_GB2312" w:hAnsi="仿宋" w:eastAsia="仿宋_GB2312"/>
          <w:color w:val="000000" w:themeColor="text1"/>
          <w:sz w:val="28"/>
          <w:szCs w:val="28"/>
        </w:rPr>
      </w:pPr>
      <w:r>
        <w:rPr>
          <w:rFonts w:hint="eastAsia" w:ascii="仿宋_GB2312" w:hAnsi="宋体" w:eastAsia="仿宋_GB2312" w:cs="宋体"/>
          <w:color w:val="000000" w:themeColor="text1"/>
          <w:sz w:val="28"/>
          <w:szCs w:val="28"/>
        </w:rPr>
        <w:t>经过实地查勘和市场调查，我们依据国家制定的有关法律、法规、文</w:t>
      </w:r>
      <w:r>
        <w:rPr>
          <w:rFonts w:hint="eastAsia" w:ascii="仿宋_GB2312" w:eastAsia="仿宋_GB2312"/>
          <w:color w:val="000000" w:themeColor="text1"/>
          <w:sz w:val="28"/>
          <w:szCs w:val="28"/>
        </w:rPr>
        <w:t>件及规定的技术标准，本着独立、客观、公正、合法的原则，按照严谨的估价程序，在认真分析所掌握资料与影响估价对象价值诸因素的基础上，选用比较法和收益法进行了分析、测算和判断，</w:t>
      </w:r>
      <w:r>
        <w:rPr>
          <w:rFonts w:hint="eastAsia" w:ascii="仿宋_GB2312" w:hAnsi="仿宋" w:eastAsia="仿宋_GB2312"/>
          <w:color w:val="000000" w:themeColor="text1"/>
          <w:sz w:val="28"/>
          <w:szCs w:val="28"/>
        </w:rPr>
        <w:t>最终确定估价对象在价值时点</w:t>
      </w:r>
      <w:r>
        <w:rPr>
          <w:rFonts w:hint="eastAsia" w:ascii="仿宋_GB2312" w:hAnsi="仿宋" w:eastAsia="仿宋_GB2312"/>
          <w:color w:val="000000" w:themeColor="text1"/>
          <w:sz w:val="28"/>
          <w:szCs w:val="28"/>
          <w:lang w:eastAsia="zh-CN"/>
        </w:rPr>
        <w:t>2021年9月29日</w:t>
      </w:r>
      <w:r>
        <w:rPr>
          <w:rFonts w:hint="eastAsia" w:ascii="仿宋_GB2312" w:hAnsi="仿宋" w:eastAsia="仿宋_GB2312"/>
          <w:color w:val="000000" w:themeColor="text1"/>
          <w:sz w:val="28"/>
          <w:szCs w:val="28"/>
        </w:rPr>
        <w:t>的房地产市场价值为：</w:t>
      </w:r>
    </w:p>
    <w:p>
      <w:pPr>
        <w:snapToGrid w:val="0"/>
        <w:spacing w:line="580" w:lineRule="exact"/>
        <w:ind w:firstLine="560" w:firstLineChars="200"/>
        <w:rPr>
          <w:rFonts w:hint="eastAsia" w:ascii="仿宋_GB2312" w:hAnsi="仿宋" w:eastAsia="仿宋_GB2312"/>
          <w:color w:val="000000" w:themeColor="text1"/>
          <w:sz w:val="28"/>
          <w:szCs w:val="28"/>
          <w:lang w:eastAsia="zh-CN"/>
        </w:rPr>
      </w:pPr>
      <w:r>
        <w:rPr>
          <w:rFonts w:hint="eastAsia" w:ascii="仿宋_GB2312" w:hAnsi="仿宋" w:eastAsia="仿宋_GB2312"/>
          <w:color w:val="000000" w:themeColor="text1"/>
          <w:sz w:val="28"/>
          <w:szCs w:val="28"/>
          <w:lang w:eastAsia="zh-CN"/>
        </w:rPr>
        <w:t>成套住宅总价：人民币117.94万元</w:t>
      </w:r>
      <w:r>
        <w:rPr>
          <w:rFonts w:hint="eastAsia" w:ascii="仿宋_GB2312" w:hAnsi="仿宋" w:eastAsia="仿宋_GB2312"/>
          <w:color w:val="000000" w:themeColor="text1"/>
          <w:sz w:val="28"/>
          <w:szCs w:val="28"/>
          <w:highlight w:val="none"/>
          <w:lang w:eastAsia="zh-CN"/>
        </w:rPr>
        <w:t>；</w:t>
      </w:r>
    </w:p>
    <w:p>
      <w:pPr>
        <w:snapToGrid w:val="0"/>
        <w:spacing w:line="580" w:lineRule="exact"/>
        <w:ind w:firstLine="560" w:firstLineChars="200"/>
        <w:rPr>
          <w:rFonts w:hint="eastAsia" w:ascii="仿宋_GB2312" w:hAnsi="仿宋" w:eastAsia="仿宋_GB2312"/>
          <w:color w:val="000000" w:themeColor="text1"/>
          <w:sz w:val="28"/>
          <w:szCs w:val="28"/>
          <w:lang w:eastAsia="zh-CN"/>
        </w:rPr>
      </w:pPr>
      <w:r>
        <w:rPr>
          <w:rFonts w:hint="eastAsia" w:ascii="仿宋_GB2312" w:hAnsi="仿宋" w:eastAsia="仿宋_GB2312"/>
          <w:color w:val="000000" w:themeColor="text1"/>
          <w:sz w:val="28"/>
          <w:szCs w:val="28"/>
          <w:highlight w:val="none"/>
          <w:lang w:eastAsia="zh-CN"/>
        </w:rPr>
        <w:t>人民币大写：壹佰壹拾柒万玖仟肆佰元整</w:t>
      </w:r>
      <w:r>
        <w:rPr>
          <w:rFonts w:hint="eastAsia" w:ascii="仿宋_GB2312" w:hAnsi="宋体" w:eastAsia="仿宋_GB2312" w:cs="宋体"/>
          <w:color w:val="000000" w:themeColor="text1"/>
          <w:sz w:val="28"/>
          <w:szCs w:val="28"/>
          <w:highlight w:val="none"/>
          <w:lang w:eastAsia="zh-CN"/>
        </w:rPr>
        <w:t>；</w:t>
      </w:r>
    </w:p>
    <w:p>
      <w:pPr>
        <w:snapToGrid w:val="0"/>
        <w:spacing w:line="580" w:lineRule="exact"/>
        <w:ind w:firstLine="560" w:firstLineChars="200"/>
        <w:rPr>
          <w:rFonts w:hint="eastAsia" w:ascii="仿宋_GB2312" w:hAnsi="仿宋" w:eastAsia="仿宋_GB2312"/>
          <w:color w:val="000000" w:themeColor="text1"/>
          <w:sz w:val="28"/>
          <w:szCs w:val="28"/>
          <w:lang w:eastAsia="zh-CN"/>
        </w:rPr>
      </w:pPr>
      <w:r>
        <w:rPr>
          <w:rFonts w:hint="eastAsia" w:ascii="仿宋_GB2312" w:hAnsi="仿宋" w:eastAsia="仿宋_GB2312"/>
          <w:color w:val="000000" w:themeColor="text1"/>
          <w:sz w:val="28"/>
          <w:szCs w:val="28"/>
          <w:lang w:eastAsia="zh-CN"/>
        </w:rPr>
        <w:t>成套住宅单价：</w:t>
      </w:r>
      <w:r>
        <w:rPr>
          <w:rFonts w:hint="eastAsia" w:ascii="仿宋_GB2312" w:hAnsi="宋体" w:eastAsia="仿宋_GB2312" w:cs="宋体"/>
          <w:color w:val="000000" w:themeColor="text1"/>
          <w:sz w:val="28"/>
          <w:szCs w:val="28"/>
          <w:highlight w:val="none"/>
          <w:lang w:eastAsia="zh-CN"/>
        </w:rPr>
        <w:t>12135</w:t>
      </w:r>
      <w:r>
        <w:rPr>
          <w:rFonts w:hint="eastAsia" w:ascii="仿宋_GB2312" w:hAnsi="宋体" w:eastAsia="仿宋_GB2312" w:cs="宋体"/>
          <w:color w:val="000000" w:themeColor="text1"/>
          <w:sz w:val="28"/>
          <w:szCs w:val="28"/>
          <w:highlight w:val="none"/>
        </w:rPr>
        <w:t>元/平方米</w:t>
      </w:r>
      <w:r>
        <w:rPr>
          <w:rFonts w:hint="eastAsia" w:ascii="仿宋_GB2312" w:hAnsi="宋体" w:eastAsia="仿宋_GB2312" w:cs="宋体"/>
          <w:color w:val="000000" w:themeColor="text1"/>
          <w:sz w:val="28"/>
          <w:szCs w:val="28"/>
          <w:highlight w:val="none"/>
          <w:lang w:eastAsia="zh-CN"/>
        </w:rPr>
        <w:t>。</w:t>
      </w:r>
    </w:p>
    <w:p>
      <w:pPr>
        <w:snapToGrid w:val="0"/>
        <w:spacing w:line="580" w:lineRule="exact"/>
        <w:ind w:firstLine="560" w:firstLineChars="200"/>
        <w:rPr>
          <w:rFonts w:hint="eastAsia" w:ascii="仿宋_GB2312" w:hAnsi="仿宋" w:eastAsia="仿宋_GB2312"/>
          <w:color w:val="000000" w:themeColor="text1"/>
          <w:sz w:val="28"/>
          <w:szCs w:val="28"/>
          <w:highlight w:val="none"/>
          <w:lang w:eastAsia="zh-CN"/>
        </w:rPr>
      </w:pPr>
      <w:r>
        <w:rPr>
          <w:rFonts w:hint="eastAsia" w:ascii="仿宋_GB2312" w:hAnsi="仿宋" w:eastAsia="仿宋_GB2312"/>
          <w:color w:val="000000" w:themeColor="text1"/>
          <w:sz w:val="28"/>
          <w:szCs w:val="28"/>
          <w:lang w:eastAsia="zh-CN"/>
        </w:rPr>
        <w:t>仓储用房</w:t>
      </w:r>
      <w:r>
        <w:rPr>
          <w:rFonts w:hint="eastAsia" w:ascii="仿宋_GB2312" w:hAnsi="仿宋" w:eastAsia="仿宋_GB2312"/>
          <w:color w:val="000000" w:themeColor="text1"/>
          <w:sz w:val="28"/>
          <w:szCs w:val="28"/>
        </w:rPr>
        <w:t>总</w:t>
      </w:r>
      <w:r>
        <w:rPr>
          <w:rFonts w:hint="eastAsia" w:ascii="仿宋_GB2312" w:hAnsi="仿宋" w:eastAsia="仿宋_GB2312"/>
          <w:color w:val="000000" w:themeColor="text1"/>
          <w:sz w:val="28"/>
          <w:szCs w:val="28"/>
          <w:highlight w:val="none"/>
        </w:rPr>
        <w:t>价：人民币</w:t>
      </w:r>
      <w:r>
        <w:rPr>
          <w:rFonts w:hint="eastAsia" w:ascii="仿宋_GB2312" w:hAnsi="仿宋" w:eastAsia="仿宋_GB2312"/>
          <w:color w:val="000000" w:themeColor="text1"/>
          <w:sz w:val="28"/>
          <w:szCs w:val="28"/>
          <w:highlight w:val="none"/>
          <w:lang w:val="en-US" w:eastAsia="zh-CN"/>
        </w:rPr>
        <w:t>2.32</w:t>
      </w:r>
      <w:r>
        <w:rPr>
          <w:rFonts w:hint="eastAsia" w:ascii="仿宋_GB2312" w:hAnsi="仿宋" w:eastAsia="仿宋_GB2312"/>
          <w:color w:val="000000" w:themeColor="text1"/>
          <w:sz w:val="28"/>
          <w:szCs w:val="28"/>
          <w:highlight w:val="none"/>
        </w:rPr>
        <w:t>万元</w:t>
      </w:r>
      <w:r>
        <w:rPr>
          <w:rFonts w:hint="eastAsia" w:ascii="仿宋_GB2312" w:hAnsi="仿宋" w:eastAsia="仿宋_GB2312"/>
          <w:color w:val="000000" w:themeColor="text1"/>
          <w:sz w:val="28"/>
          <w:szCs w:val="28"/>
          <w:highlight w:val="none"/>
          <w:lang w:eastAsia="zh-CN"/>
        </w:rPr>
        <w:t>；</w:t>
      </w:r>
    </w:p>
    <w:p>
      <w:pPr>
        <w:snapToGrid w:val="0"/>
        <w:spacing w:line="580" w:lineRule="exact"/>
        <w:ind w:firstLine="560" w:firstLineChars="200"/>
        <w:rPr>
          <w:rFonts w:hint="eastAsia" w:ascii="仿宋_GB2312" w:hAnsi="宋体" w:eastAsia="仿宋_GB2312" w:cs="宋体"/>
          <w:color w:val="000000" w:themeColor="text1"/>
          <w:sz w:val="28"/>
          <w:szCs w:val="28"/>
          <w:highlight w:val="none"/>
          <w:lang w:eastAsia="zh-CN"/>
        </w:rPr>
      </w:pPr>
      <w:r>
        <w:rPr>
          <w:rFonts w:hint="eastAsia" w:ascii="仿宋_GB2312" w:hAnsi="仿宋" w:eastAsia="仿宋_GB2312"/>
          <w:color w:val="000000" w:themeColor="text1"/>
          <w:sz w:val="28"/>
          <w:szCs w:val="28"/>
          <w:highlight w:val="none"/>
        </w:rPr>
        <w:t>人民币大写：</w:t>
      </w:r>
      <w:r>
        <w:rPr>
          <w:rFonts w:hint="eastAsia" w:ascii="仿宋_GB2312" w:hAnsi="宋体" w:eastAsia="仿宋_GB2312" w:cs="宋体"/>
          <w:color w:val="000000" w:themeColor="text1"/>
          <w:sz w:val="28"/>
          <w:szCs w:val="28"/>
          <w:highlight w:val="none"/>
          <w:lang w:eastAsia="zh-CN"/>
        </w:rPr>
        <w:t>贰万叁仟贰佰</w:t>
      </w:r>
      <w:r>
        <w:rPr>
          <w:rFonts w:hint="eastAsia" w:ascii="仿宋_GB2312" w:hAnsi="宋体" w:eastAsia="仿宋_GB2312" w:cs="宋体"/>
          <w:color w:val="000000" w:themeColor="text1"/>
          <w:sz w:val="28"/>
          <w:szCs w:val="28"/>
          <w:highlight w:val="none"/>
        </w:rPr>
        <w:t>元整</w:t>
      </w:r>
      <w:r>
        <w:rPr>
          <w:rFonts w:hint="eastAsia" w:ascii="仿宋_GB2312" w:hAnsi="宋体" w:eastAsia="仿宋_GB2312" w:cs="宋体"/>
          <w:color w:val="000000" w:themeColor="text1"/>
          <w:sz w:val="28"/>
          <w:szCs w:val="28"/>
          <w:highlight w:val="none"/>
          <w:lang w:eastAsia="zh-CN"/>
        </w:rPr>
        <w:t>；</w:t>
      </w:r>
    </w:p>
    <w:p>
      <w:pPr>
        <w:snapToGrid w:val="0"/>
        <w:spacing w:line="580" w:lineRule="exact"/>
        <w:ind w:firstLine="560" w:firstLineChars="200"/>
        <w:rPr>
          <w:rFonts w:hint="eastAsia" w:ascii="仿宋_GB2312" w:hAnsi="宋体" w:eastAsia="仿宋_GB2312" w:cs="宋体"/>
          <w:color w:val="000000" w:themeColor="text1"/>
          <w:sz w:val="28"/>
          <w:szCs w:val="28"/>
          <w:highlight w:val="none"/>
        </w:rPr>
      </w:pPr>
      <w:r>
        <w:rPr>
          <w:rFonts w:hint="eastAsia" w:ascii="仿宋_GB2312" w:hAnsi="仿宋" w:eastAsia="仿宋_GB2312"/>
          <w:color w:val="000000" w:themeColor="text1"/>
          <w:sz w:val="28"/>
          <w:szCs w:val="28"/>
          <w:lang w:eastAsia="zh-CN"/>
        </w:rPr>
        <w:t>仓储用房</w:t>
      </w:r>
      <w:r>
        <w:rPr>
          <w:rFonts w:hint="eastAsia" w:ascii="仿宋_GB2312" w:hAnsi="宋体" w:eastAsia="仿宋_GB2312" w:cs="宋体"/>
          <w:color w:val="000000" w:themeColor="text1"/>
          <w:sz w:val="28"/>
          <w:szCs w:val="28"/>
          <w:highlight w:val="none"/>
        </w:rPr>
        <w:t>单价：</w:t>
      </w:r>
      <w:r>
        <w:rPr>
          <w:rFonts w:hint="eastAsia" w:ascii="仿宋_GB2312" w:hAnsi="宋体" w:eastAsia="仿宋_GB2312" w:cs="宋体"/>
          <w:color w:val="000000" w:themeColor="text1"/>
          <w:sz w:val="28"/>
          <w:szCs w:val="28"/>
          <w:highlight w:val="none"/>
          <w:lang w:val="en-US" w:eastAsia="zh-CN"/>
        </w:rPr>
        <w:t>1000</w:t>
      </w:r>
      <w:r>
        <w:rPr>
          <w:rFonts w:hint="eastAsia" w:ascii="仿宋_GB2312" w:hAnsi="宋体" w:eastAsia="仿宋_GB2312" w:cs="宋体"/>
          <w:color w:val="000000" w:themeColor="text1"/>
          <w:sz w:val="28"/>
          <w:szCs w:val="28"/>
          <w:highlight w:val="none"/>
        </w:rPr>
        <w:t>元/平方米。</w:t>
      </w:r>
    </w:p>
    <w:p>
      <w:pPr>
        <w:snapToGrid w:val="0"/>
        <w:spacing w:line="580" w:lineRule="exact"/>
        <w:ind w:firstLine="560" w:firstLineChars="200"/>
        <w:rPr>
          <w:rFonts w:hint="default" w:ascii="仿宋_GB2312" w:hAnsi="宋体" w:eastAsia="仿宋_GB2312" w:cs="宋体"/>
          <w:color w:val="000000" w:themeColor="text1"/>
          <w:sz w:val="28"/>
          <w:szCs w:val="28"/>
          <w:highlight w:val="none"/>
          <w:lang w:val="en-US" w:eastAsia="zh-CN"/>
        </w:rPr>
      </w:pPr>
      <w:r>
        <w:rPr>
          <w:rFonts w:hint="eastAsia" w:ascii="仿宋_GB2312" w:hAnsi="宋体" w:eastAsia="仿宋_GB2312" w:cs="宋体"/>
          <w:color w:val="000000" w:themeColor="text1"/>
          <w:sz w:val="28"/>
          <w:szCs w:val="28"/>
          <w:highlight w:val="none"/>
          <w:lang w:eastAsia="zh-CN"/>
        </w:rPr>
        <w:t>房地产总价值：人民币120.26万元</w:t>
      </w:r>
      <w:r>
        <w:rPr>
          <w:rFonts w:hint="eastAsia" w:ascii="仿宋_GB2312" w:hAnsi="宋体" w:eastAsia="仿宋_GB2312" w:cs="宋体"/>
          <w:color w:val="000000" w:themeColor="text1"/>
          <w:sz w:val="28"/>
          <w:szCs w:val="28"/>
          <w:highlight w:val="none"/>
          <w:lang w:val="en-US" w:eastAsia="zh-CN"/>
        </w:rPr>
        <w:t>。</w:t>
      </w:r>
    </w:p>
    <w:p>
      <w:pPr>
        <w:tabs>
          <w:tab w:val="left" w:pos="540"/>
        </w:tabs>
        <w:snapToGrid w:val="0"/>
        <w:spacing w:line="580" w:lineRule="exact"/>
        <w:ind w:firstLine="562" w:firstLineChars="200"/>
        <w:rPr>
          <w:rFonts w:ascii="仿宋_GB2312" w:eastAsia="仿宋_GB2312"/>
          <w:b/>
          <w:bCs/>
          <w:color w:val="000000" w:themeColor="text1"/>
          <w:sz w:val="28"/>
          <w:szCs w:val="28"/>
        </w:rPr>
      </w:pPr>
      <w:r>
        <w:rPr>
          <w:rFonts w:hint="eastAsia" w:ascii="仿宋_GB2312" w:eastAsia="仿宋_GB2312"/>
          <w:b/>
          <w:bCs/>
          <w:color w:val="000000" w:themeColor="text1"/>
          <w:sz w:val="28"/>
          <w:szCs w:val="28"/>
        </w:rPr>
        <w:t>特别提示：</w:t>
      </w:r>
    </w:p>
    <w:p>
      <w:pPr>
        <w:snapToGrid w:val="0"/>
        <w:spacing w:line="580" w:lineRule="exact"/>
        <w:ind w:firstLine="560" w:firstLineChars="200"/>
        <w:rPr>
          <w:rFonts w:hint="eastAsia" w:ascii="仿宋_GB2312" w:hAnsi="宋体" w:eastAsia="仿宋_GB2312" w:cs="宋体"/>
          <w:color w:val="000000" w:themeColor="text1"/>
          <w:sz w:val="28"/>
          <w:szCs w:val="28"/>
          <w:lang w:eastAsia="zh-CN"/>
        </w:rPr>
      </w:pPr>
      <w:r>
        <w:rPr>
          <w:rFonts w:hint="eastAsia" w:ascii="仿宋_GB2312" w:hAnsi="宋体" w:eastAsia="仿宋_GB2312" w:cs="宋体"/>
          <w:color w:val="000000" w:themeColor="text1"/>
          <w:sz w:val="28"/>
          <w:szCs w:val="28"/>
        </w:rPr>
        <w:t>1.应当按照法律规定和评估报告载明的用途、使用人、使用期限等使用范围使用评估报告。否则，房地产估价机构和注册房地产估价师依法不承担责任</w:t>
      </w:r>
      <w:r>
        <w:rPr>
          <w:rFonts w:hint="eastAsia" w:ascii="仿宋_GB2312" w:hAnsi="宋体" w:eastAsia="仿宋_GB2312" w:cs="宋体"/>
          <w:color w:val="000000" w:themeColor="text1"/>
          <w:sz w:val="28"/>
          <w:szCs w:val="28"/>
          <w:lang w:eastAsia="zh-CN"/>
        </w:rPr>
        <w:t>。</w:t>
      </w:r>
    </w:p>
    <w:p>
      <w:pPr>
        <w:snapToGrid w:val="0"/>
        <w:spacing w:line="580" w:lineRule="exact"/>
        <w:ind w:firstLine="560" w:firstLineChars="200"/>
        <w:rPr>
          <w:rFonts w:hint="default" w:ascii="仿宋_GB2312" w:hAnsi="宋体" w:eastAsia="仿宋_GB2312" w:cs="宋体"/>
          <w:color w:val="000000" w:themeColor="text1"/>
          <w:sz w:val="28"/>
          <w:szCs w:val="28"/>
          <w:lang w:val="en-US" w:eastAsia="zh-CN"/>
        </w:rPr>
      </w:pPr>
      <w:r>
        <w:rPr>
          <w:rFonts w:hint="eastAsia" w:ascii="仿宋_GB2312" w:hAnsi="宋体" w:eastAsia="仿宋_GB2312" w:cs="宋体"/>
          <w:color w:val="000000" w:themeColor="text1"/>
          <w:sz w:val="28"/>
          <w:szCs w:val="28"/>
        </w:rPr>
        <w:t>2.评估结果仅为人民法院确定财产处置参考价服务，不是评估对象处置可实现的成交价格，也不应当被视为对评估对象处置成交价格的保证</w:t>
      </w:r>
      <w:r>
        <w:rPr>
          <w:rFonts w:hint="eastAsia" w:ascii="仿宋_GB2312" w:hAnsi="宋体" w:eastAsia="仿宋_GB2312" w:cs="宋体"/>
          <w:color w:val="000000" w:themeColor="text1"/>
          <w:sz w:val="28"/>
          <w:szCs w:val="28"/>
          <w:lang w:val="en-US" w:eastAsia="zh-CN"/>
        </w:rPr>
        <w:t>。</w:t>
      </w:r>
    </w:p>
    <w:p>
      <w:pPr>
        <w:snapToGrid w:val="0"/>
        <w:spacing w:line="580" w:lineRule="exact"/>
        <w:ind w:firstLine="560" w:firstLineChars="200"/>
        <w:rPr>
          <w:rFonts w:hint="eastAsia" w:ascii="仿宋_GB2312" w:hAnsi="宋体" w:eastAsia="仿宋_GB2312" w:cs="宋体"/>
          <w:color w:val="000000" w:themeColor="text1"/>
          <w:sz w:val="28"/>
          <w:szCs w:val="28"/>
          <w:lang w:eastAsia="zh-CN"/>
        </w:rPr>
      </w:pPr>
      <w:r>
        <w:rPr>
          <w:rFonts w:hint="eastAsia" w:ascii="仿宋_GB2312" w:hAnsi="宋体" w:eastAsia="仿宋_GB2312" w:cs="宋体"/>
          <w:color w:val="000000" w:themeColor="text1"/>
          <w:sz w:val="28"/>
          <w:szCs w:val="28"/>
        </w:rPr>
        <w:t>3.财产拍卖或者变卖之日与价值时点不一致，可能导致评估结果对应的评估对象状况、房地产市场状况、欠缴税费状况等与财产拍卖或者变卖时的相应状况不一致，发生明显变化的，评估结果应当进行相应调整后才可使用</w:t>
      </w:r>
      <w:r>
        <w:rPr>
          <w:rFonts w:hint="eastAsia" w:ascii="仿宋_GB2312" w:hAnsi="宋体" w:eastAsia="仿宋_GB2312" w:cs="宋体"/>
          <w:color w:val="000000" w:themeColor="text1"/>
          <w:sz w:val="28"/>
          <w:szCs w:val="28"/>
          <w:lang w:eastAsia="zh-CN"/>
        </w:rPr>
        <w:t>。</w:t>
      </w:r>
    </w:p>
    <w:p>
      <w:pPr>
        <w:snapToGrid w:val="0"/>
        <w:spacing w:line="580" w:lineRule="exact"/>
        <w:ind w:firstLine="560" w:firstLineChars="200"/>
        <w:rPr>
          <w:rFonts w:hint="eastAsia" w:ascii="仿宋_GB2312" w:hAnsi="宋体" w:eastAsia="仿宋_GB2312" w:cs="宋体"/>
          <w:color w:val="000000" w:themeColor="text1"/>
          <w:sz w:val="28"/>
          <w:szCs w:val="28"/>
          <w:lang w:eastAsia="zh-CN"/>
        </w:rPr>
      </w:pPr>
      <w:r>
        <w:rPr>
          <w:rFonts w:hint="eastAsia" w:ascii="仿宋_GB2312" w:hAnsi="宋体" w:eastAsia="仿宋_GB2312" w:cs="宋体"/>
          <w:color w:val="000000" w:themeColor="text1"/>
          <w:sz w:val="28"/>
          <w:szCs w:val="28"/>
        </w:rPr>
        <w:t>4.在评估报告使用期限或者评估结果有效期内，评估报告或者评估结果未使用之前，如果评估对象状况或者房地产市场状况发生明显变化的，评估结果应当进行相应调整后才可使用</w:t>
      </w:r>
      <w:r>
        <w:rPr>
          <w:rFonts w:hint="eastAsia" w:ascii="仿宋_GB2312" w:hAnsi="宋体" w:eastAsia="仿宋_GB2312" w:cs="宋体"/>
          <w:color w:val="000000" w:themeColor="text1"/>
          <w:sz w:val="28"/>
          <w:szCs w:val="28"/>
          <w:lang w:eastAsia="zh-CN"/>
        </w:rPr>
        <w:t>。</w:t>
      </w:r>
    </w:p>
    <w:p>
      <w:pPr>
        <w:snapToGrid w:val="0"/>
        <w:spacing w:line="580" w:lineRule="exact"/>
        <w:ind w:firstLine="560" w:firstLineChars="200"/>
        <w:rPr>
          <w:rFonts w:ascii="仿宋_GB2312" w:hAnsi="宋体" w:eastAsia="仿宋_GB2312" w:cs="宋体"/>
          <w:color w:val="000000" w:themeColor="text1"/>
          <w:sz w:val="28"/>
          <w:szCs w:val="28"/>
        </w:rPr>
      </w:pPr>
      <w:r>
        <w:rPr>
          <w:rFonts w:hint="eastAsia" w:ascii="仿宋_GB2312" w:hAnsi="宋体" w:eastAsia="仿宋_GB2312" w:cs="宋体"/>
          <w:color w:val="000000" w:themeColor="text1"/>
          <w:sz w:val="28"/>
          <w:szCs w:val="28"/>
        </w:rPr>
        <w:t>5.当事人、利害关系人收到评估报告后五日内对评估报告的参照标准、计算方法或者评估结果等向人民法院提出书面异议；当事人、利害关系人对评估机构作出的说明仍有异议的，可以提请人民法院委托评估行业组织进行专业技术评审。</w:t>
      </w:r>
    </w:p>
    <w:p>
      <w:pPr>
        <w:snapToGrid w:val="0"/>
        <w:spacing w:line="580" w:lineRule="exact"/>
        <w:ind w:firstLine="560" w:firstLineChars="200"/>
        <w:rPr>
          <w:rFonts w:ascii="仿宋_GB2312" w:hAnsi="宋体" w:eastAsia="仿宋_GB2312" w:cs="宋体"/>
          <w:color w:val="000000" w:themeColor="text1"/>
          <w:sz w:val="28"/>
          <w:szCs w:val="28"/>
        </w:rPr>
      </w:pPr>
      <w:r>
        <w:rPr>
          <w:rFonts w:hint="eastAsia" w:ascii="仿宋_GB2312" w:hAnsi="宋体" w:eastAsia="仿宋_GB2312" w:cs="宋体"/>
          <w:color w:val="000000" w:themeColor="text1"/>
          <w:sz w:val="28"/>
          <w:szCs w:val="28"/>
        </w:rPr>
        <w:t>6.估价中无法考虑实地查勘之后、处置完毕之前，因不可抗力、人为破坏等因素对估价对象造成的意外损害。</w:t>
      </w:r>
    </w:p>
    <w:p>
      <w:pPr>
        <w:snapToGrid w:val="0"/>
        <w:spacing w:line="580" w:lineRule="exact"/>
        <w:ind w:firstLine="560" w:firstLineChars="200"/>
        <w:rPr>
          <w:rFonts w:hint="eastAsia" w:ascii="仿宋_GB2312" w:hAnsi="宋体" w:eastAsia="仿宋_GB2312" w:cs="仿宋_GB2312"/>
          <w:color w:val="000000"/>
          <w:sz w:val="28"/>
          <w:szCs w:val="28"/>
          <w:highlight w:val="none"/>
          <w:lang w:eastAsia="zh-CN" w:bidi="ar"/>
        </w:rPr>
      </w:pPr>
      <w:r>
        <w:rPr>
          <w:rFonts w:hint="eastAsia" w:ascii="仿宋_GB2312" w:hAnsi="宋体" w:eastAsia="仿宋_GB2312" w:cs="仿宋_GB2312"/>
          <w:color w:val="000000"/>
          <w:sz w:val="28"/>
          <w:szCs w:val="28"/>
          <w:highlight w:val="none"/>
          <w:lang w:bidi="ar"/>
        </w:rPr>
        <w:t>7.</w:t>
      </w:r>
      <w:r>
        <w:rPr>
          <w:rFonts w:hint="eastAsia" w:ascii="仿宋_GB2312" w:hAnsi="宋体" w:eastAsia="仿宋_GB2312"/>
          <w:color w:val="000000" w:themeColor="text1"/>
          <w:sz w:val="28"/>
          <w:szCs w:val="28"/>
          <w:highlight w:val="none"/>
        </w:rPr>
        <w:t>人民法院未明确估价对象存在欠缴税金及相关费用（包括税收、物业费、供暖费、水电气费等及其滞纳金），故假定评估对象不存在欠缴税金及相关费用</w:t>
      </w:r>
      <w:r>
        <w:rPr>
          <w:rFonts w:hint="eastAsia" w:ascii="仿宋_GB2312" w:hAnsi="宋体" w:eastAsia="仿宋_GB2312"/>
          <w:color w:val="000000" w:themeColor="text1"/>
          <w:sz w:val="28"/>
          <w:szCs w:val="28"/>
          <w:highlight w:val="none"/>
          <w:lang w:eastAsia="zh-CN"/>
        </w:rPr>
        <w:t>，</w:t>
      </w:r>
      <w:r>
        <w:rPr>
          <w:rFonts w:hint="eastAsia" w:ascii="仿宋_GB2312" w:hAnsi="宋体" w:eastAsia="仿宋_GB2312" w:cs="仿宋_GB2312"/>
          <w:color w:val="000000"/>
          <w:sz w:val="28"/>
          <w:szCs w:val="28"/>
          <w:highlight w:val="none"/>
          <w:lang w:bidi="ar"/>
        </w:rPr>
        <w:t>最终以实际欠缴税金为准。</w:t>
      </w:r>
    </w:p>
    <w:p>
      <w:pPr>
        <w:snapToGrid w:val="0"/>
        <w:spacing w:line="580" w:lineRule="exact"/>
        <w:ind w:firstLine="560" w:firstLineChars="200"/>
        <w:rPr>
          <w:rFonts w:ascii="仿宋_GB2312" w:hAnsi="宋体" w:eastAsia="仿宋_GB2312" w:cs="宋体"/>
          <w:color w:val="000000" w:themeColor="text1"/>
          <w:sz w:val="28"/>
          <w:szCs w:val="28"/>
        </w:rPr>
      </w:pPr>
      <w:r>
        <w:rPr>
          <w:rFonts w:hint="eastAsia" w:ascii="仿宋_GB2312" w:hAnsi="宋体" w:eastAsia="仿宋_GB2312" w:cs="宋体"/>
          <w:color w:val="000000" w:themeColor="text1"/>
          <w:sz w:val="28"/>
          <w:szCs w:val="28"/>
        </w:rPr>
        <w:t>8.评估对象的财产范围包含房屋所有权及分摊的</w:t>
      </w:r>
      <w:r>
        <w:rPr>
          <w:rFonts w:hint="eastAsia" w:ascii="仿宋_GB2312" w:hAnsi="宋体" w:eastAsia="仿宋_GB2312" w:cs="宋体"/>
          <w:color w:val="000000"/>
          <w:sz w:val="28"/>
          <w:szCs w:val="28"/>
        </w:rPr>
        <w:t>国有建设用地使用权价值，不包含室内可移动物品及其他债权债务。</w:t>
      </w:r>
    </w:p>
    <w:p>
      <w:pPr>
        <w:tabs>
          <w:tab w:val="left" w:pos="540"/>
        </w:tabs>
        <w:snapToGrid w:val="0"/>
        <w:spacing w:line="580" w:lineRule="exact"/>
        <w:ind w:firstLine="560" w:firstLineChars="200"/>
        <w:rPr>
          <w:rFonts w:ascii="仿宋_GB2312" w:eastAsia="仿宋_GB2312" w:cs="仿宋_GB2312"/>
          <w:bCs/>
          <w:color w:val="000000" w:themeColor="text1"/>
          <w:sz w:val="28"/>
          <w:szCs w:val="28"/>
        </w:rPr>
      </w:pPr>
      <w:r>
        <w:rPr>
          <w:rFonts w:hint="eastAsia" w:ascii="仿宋_GB2312" w:eastAsia="仿宋_GB2312" w:cs="仿宋_GB2312"/>
          <w:bCs/>
          <w:color w:val="000000" w:themeColor="text1"/>
          <w:sz w:val="28"/>
          <w:szCs w:val="28"/>
          <w:lang w:bidi="ar"/>
        </w:rPr>
        <w:t>9.本报告仅供</w:t>
      </w:r>
      <w:r>
        <w:rPr>
          <w:rFonts w:hint="eastAsia" w:ascii="仿宋_GB2312" w:eastAsia="仿宋_GB2312" w:cs="仿宋_GB2312"/>
          <w:color w:val="000000" w:themeColor="text1"/>
          <w:sz w:val="28"/>
          <w:szCs w:val="28"/>
          <w:lang w:eastAsia="zh-CN" w:bidi="ar"/>
        </w:rPr>
        <w:t>石家庄市长安区人民法院</w:t>
      </w:r>
      <w:r>
        <w:rPr>
          <w:rFonts w:hint="eastAsia" w:ascii="仿宋_GB2312" w:eastAsia="仿宋_GB2312" w:cs="仿宋_GB2312"/>
          <w:color w:val="000000" w:themeColor="text1"/>
          <w:sz w:val="28"/>
          <w:szCs w:val="28"/>
          <w:lang w:bidi="ar"/>
        </w:rPr>
        <w:t>确定财产处置参考价时</w:t>
      </w:r>
      <w:r>
        <w:rPr>
          <w:rFonts w:hint="eastAsia" w:ascii="仿宋_GB2312" w:eastAsia="仿宋_GB2312" w:cs="仿宋_GB2312"/>
          <w:bCs/>
          <w:color w:val="000000" w:themeColor="text1"/>
          <w:sz w:val="28"/>
          <w:szCs w:val="28"/>
          <w:lang w:bidi="ar"/>
        </w:rPr>
        <w:t>使用。</w:t>
      </w:r>
    </w:p>
    <w:p>
      <w:pPr>
        <w:tabs>
          <w:tab w:val="left" w:pos="540"/>
        </w:tabs>
        <w:snapToGrid w:val="0"/>
        <w:spacing w:line="580" w:lineRule="exact"/>
        <w:ind w:firstLine="560" w:firstLineChars="200"/>
        <w:rPr>
          <w:rFonts w:ascii="仿宋_GB2312" w:eastAsia="仿宋_GB2312" w:cs="仿宋_GB2312"/>
          <w:bCs/>
          <w:color w:val="000000" w:themeColor="text1"/>
          <w:sz w:val="28"/>
          <w:szCs w:val="28"/>
        </w:rPr>
      </w:pPr>
      <w:r>
        <w:rPr>
          <w:rFonts w:hint="eastAsia" w:ascii="仿宋_GB2312" w:eastAsia="仿宋_GB2312" w:cs="仿宋_GB2312"/>
          <w:bCs/>
          <w:color w:val="000000" w:themeColor="text1"/>
          <w:sz w:val="28"/>
          <w:szCs w:val="28"/>
          <w:lang w:bidi="ar"/>
        </w:rPr>
        <w:t>10.本报告的使用有效期为自估价报告出具之日起计算为壹年，即</w:t>
      </w:r>
      <w:r>
        <w:rPr>
          <w:rFonts w:hint="eastAsia" w:ascii="仿宋_GB2312" w:eastAsia="仿宋_GB2312" w:cs="仿宋_GB2312"/>
          <w:bCs/>
          <w:color w:val="000000" w:themeColor="text1"/>
          <w:sz w:val="28"/>
          <w:szCs w:val="28"/>
          <w:highlight w:val="none"/>
          <w:lang w:eastAsia="zh-CN" w:bidi="ar"/>
        </w:rPr>
        <w:t>2021年10月14日</w:t>
      </w:r>
      <w:r>
        <w:rPr>
          <w:rFonts w:hint="eastAsia" w:ascii="仿宋_GB2312" w:eastAsia="仿宋_GB2312" w:cs="仿宋_GB2312"/>
          <w:bCs/>
          <w:color w:val="000000" w:themeColor="text1"/>
          <w:sz w:val="28"/>
          <w:szCs w:val="28"/>
          <w:highlight w:val="none"/>
          <w:lang w:bidi="ar"/>
        </w:rPr>
        <w:t>起至2022年</w:t>
      </w:r>
      <w:r>
        <w:rPr>
          <w:rFonts w:hint="eastAsia" w:ascii="仿宋_GB2312" w:eastAsia="仿宋_GB2312" w:cs="仿宋_GB2312"/>
          <w:bCs/>
          <w:color w:val="000000" w:themeColor="text1"/>
          <w:sz w:val="28"/>
          <w:szCs w:val="28"/>
          <w:highlight w:val="none"/>
          <w:lang w:val="en-US" w:eastAsia="zh-CN" w:bidi="ar"/>
        </w:rPr>
        <w:t>10</w:t>
      </w:r>
      <w:r>
        <w:rPr>
          <w:rFonts w:hint="eastAsia" w:ascii="仿宋_GB2312" w:eastAsia="仿宋_GB2312" w:cs="仿宋_GB2312"/>
          <w:bCs/>
          <w:color w:val="000000" w:themeColor="text1"/>
          <w:sz w:val="28"/>
          <w:szCs w:val="28"/>
          <w:highlight w:val="none"/>
          <w:lang w:bidi="ar"/>
        </w:rPr>
        <w:t>月</w:t>
      </w:r>
      <w:r>
        <w:rPr>
          <w:rFonts w:hint="eastAsia" w:ascii="仿宋_GB2312" w:eastAsia="仿宋_GB2312" w:cs="仿宋_GB2312"/>
          <w:bCs/>
          <w:color w:val="000000" w:themeColor="text1"/>
          <w:sz w:val="28"/>
          <w:szCs w:val="28"/>
          <w:highlight w:val="none"/>
          <w:lang w:val="en-US" w:eastAsia="zh-CN" w:bidi="ar"/>
        </w:rPr>
        <w:t>13</w:t>
      </w:r>
      <w:r>
        <w:rPr>
          <w:rFonts w:hint="eastAsia" w:ascii="仿宋_GB2312" w:eastAsia="仿宋_GB2312" w:cs="仿宋_GB2312"/>
          <w:bCs/>
          <w:color w:val="000000" w:themeColor="text1"/>
          <w:sz w:val="28"/>
          <w:szCs w:val="28"/>
          <w:highlight w:val="none"/>
          <w:lang w:bidi="ar"/>
        </w:rPr>
        <w:t>日</w:t>
      </w:r>
      <w:r>
        <w:rPr>
          <w:rFonts w:hint="eastAsia" w:ascii="仿宋_GB2312" w:eastAsia="仿宋_GB2312" w:cs="仿宋_GB2312"/>
          <w:bCs/>
          <w:color w:val="000000" w:themeColor="text1"/>
          <w:sz w:val="28"/>
          <w:szCs w:val="28"/>
          <w:lang w:bidi="ar"/>
        </w:rPr>
        <w:t>止。</w:t>
      </w:r>
    </w:p>
    <w:p>
      <w:pPr>
        <w:spacing w:line="580" w:lineRule="exact"/>
        <w:ind w:firstLine="555"/>
        <w:rPr>
          <w:rFonts w:ascii="仿宋_GB2312" w:eastAsia="仿宋_GB2312" w:cs="仿宋_GB2312"/>
          <w:color w:val="000000" w:themeColor="text1"/>
          <w:sz w:val="28"/>
          <w:szCs w:val="28"/>
        </w:rPr>
      </w:pPr>
      <w:r>
        <w:rPr>
          <w:rFonts w:hint="eastAsia" w:ascii="仿宋_GB2312" w:eastAsia="仿宋_GB2312" w:cs="仿宋_GB2312"/>
          <w:color w:val="000000" w:themeColor="text1"/>
          <w:sz w:val="28"/>
          <w:szCs w:val="28"/>
          <w:lang w:bidi="ar"/>
        </w:rPr>
        <w:t>11.本估价报告交付估价委托人原件</w:t>
      </w:r>
      <w:r>
        <w:rPr>
          <w:rFonts w:hint="eastAsia" w:ascii="仿宋_GB2312" w:eastAsia="仿宋_GB2312" w:cs="仿宋_GB2312"/>
          <w:color w:val="000000" w:themeColor="text1"/>
          <w:sz w:val="28"/>
          <w:szCs w:val="28"/>
          <w:highlight w:val="none"/>
          <w:lang w:val="en-US" w:eastAsia="zh-CN" w:bidi="ar"/>
        </w:rPr>
        <w:t>陆</w:t>
      </w:r>
      <w:r>
        <w:rPr>
          <w:rFonts w:hint="eastAsia" w:ascii="仿宋_GB2312" w:eastAsia="仿宋_GB2312" w:cs="仿宋_GB2312"/>
          <w:color w:val="000000" w:themeColor="text1"/>
          <w:sz w:val="28"/>
          <w:szCs w:val="28"/>
          <w:highlight w:val="none"/>
          <w:lang w:bidi="ar"/>
        </w:rPr>
        <w:t>份</w:t>
      </w:r>
      <w:r>
        <w:rPr>
          <w:rFonts w:hint="eastAsia" w:ascii="仿宋_GB2312" w:eastAsia="仿宋_GB2312" w:cs="仿宋_GB2312"/>
          <w:color w:val="000000" w:themeColor="text1"/>
          <w:sz w:val="28"/>
          <w:szCs w:val="28"/>
          <w:lang w:bidi="ar"/>
        </w:rPr>
        <w:t>，报告复印件无效。</w:t>
      </w:r>
    </w:p>
    <w:p>
      <w:pPr>
        <w:tabs>
          <w:tab w:val="left" w:pos="540"/>
        </w:tabs>
        <w:snapToGrid w:val="0"/>
        <w:spacing w:line="580" w:lineRule="exact"/>
        <w:ind w:firstLine="560" w:firstLineChars="200"/>
        <w:rPr>
          <w:rFonts w:ascii="仿宋_GB2312" w:eastAsia="仿宋_GB2312"/>
          <w:color w:val="000000" w:themeColor="text1"/>
          <w:sz w:val="28"/>
          <w:szCs w:val="28"/>
        </w:rPr>
      </w:pPr>
      <w:r>
        <w:rPr>
          <w:rFonts w:hint="eastAsia" w:ascii="仿宋_GB2312" w:eastAsia="仿宋_GB2312"/>
          <w:color w:val="000000" w:themeColor="text1"/>
          <w:sz w:val="28"/>
          <w:szCs w:val="28"/>
        </w:rPr>
        <w:t>特此函告</w:t>
      </w:r>
    </w:p>
    <w:p>
      <w:pPr>
        <w:tabs>
          <w:tab w:val="left" w:pos="540"/>
        </w:tabs>
        <w:snapToGrid w:val="0"/>
        <w:spacing w:line="580" w:lineRule="exact"/>
        <w:ind w:firstLine="560" w:firstLineChars="200"/>
        <w:rPr>
          <w:rFonts w:ascii="仿宋_GB2312" w:eastAsia="仿宋_GB2312"/>
          <w:color w:val="000000" w:themeColor="text1"/>
          <w:sz w:val="28"/>
          <w:szCs w:val="28"/>
        </w:rPr>
      </w:pPr>
    </w:p>
    <w:p>
      <w:pPr>
        <w:tabs>
          <w:tab w:val="left" w:pos="540"/>
        </w:tabs>
        <w:snapToGrid w:val="0"/>
        <w:spacing w:line="580" w:lineRule="exact"/>
        <w:ind w:firstLine="560" w:firstLineChars="200"/>
        <w:rPr>
          <w:rFonts w:ascii="仿宋_GB2312" w:eastAsia="仿宋_GB2312"/>
          <w:color w:val="000000" w:themeColor="text1"/>
          <w:sz w:val="28"/>
          <w:szCs w:val="28"/>
        </w:rPr>
      </w:pPr>
    </w:p>
    <w:p>
      <w:pPr>
        <w:tabs>
          <w:tab w:val="left" w:pos="540"/>
        </w:tabs>
        <w:snapToGrid w:val="0"/>
        <w:spacing w:line="580" w:lineRule="exact"/>
        <w:ind w:firstLine="560" w:firstLineChars="200"/>
        <w:jc w:val="right"/>
        <w:rPr>
          <w:rFonts w:ascii="仿宋_GB2312" w:eastAsia="仿宋_GB2312"/>
          <w:bCs/>
          <w:color w:val="000000" w:themeColor="text1"/>
          <w:sz w:val="28"/>
          <w:szCs w:val="28"/>
        </w:rPr>
      </w:pPr>
      <w:r>
        <w:rPr>
          <w:rFonts w:hint="eastAsia" w:ascii="仿宋_GB2312" w:eastAsia="仿宋_GB2312"/>
          <w:bCs/>
          <w:color w:val="000000" w:themeColor="text1"/>
          <w:sz w:val="28"/>
          <w:szCs w:val="28"/>
        </w:rPr>
        <w:t>河北嘉泽房地产资产评估有限公司</w:t>
      </w:r>
    </w:p>
    <w:p>
      <w:pPr>
        <w:tabs>
          <w:tab w:val="left" w:pos="540"/>
        </w:tabs>
        <w:snapToGrid w:val="0"/>
        <w:spacing w:line="580" w:lineRule="exact"/>
        <w:ind w:firstLine="560" w:firstLineChars="200"/>
        <w:rPr>
          <w:rFonts w:ascii="仿宋_GB2312" w:eastAsia="仿宋_GB2312"/>
          <w:bCs/>
          <w:color w:val="000000" w:themeColor="text1"/>
          <w:sz w:val="28"/>
          <w:szCs w:val="28"/>
        </w:rPr>
      </w:pPr>
      <w:r>
        <w:rPr>
          <w:rFonts w:hint="eastAsia" w:ascii="仿宋_GB2312" w:eastAsia="仿宋_GB2312"/>
          <w:bCs/>
          <w:color w:val="000000" w:themeColor="text1"/>
          <w:sz w:val="28"/>
          <w:szCs w:val="28"/>
        </w:rPr>
        <w:t xml:space="preserve">                                      法定代表人：</w:t>
      </w:r>
    </w:p>
    <w:p>
      <w:pPr>
        <w:tabs>
          <w:tab w:val="left" w:pos="540"/>
        </w:tabs>
        <w:snapToGrid w:val="0"/>
        <w:spacing w:line="580" w:lineRule="exact"/>
        <w:ind w:firstLine="5460" w:firstLineChars="1950"/>
        <w:rPr>
          <w:rFonts w:hint="eastAsia" w:ascii="仿宋_GB2312" w:eastAsia="仿宋_GB2312"/>
          <w:bCs/>
          <w:color w:val="000000" w:themeColor="text1"/>
          <w:sz w:val="28"/>
          <w:szCs w:val="28"/>
          <w:highlight w:val="none"/>
          <w:lang w:eastAsia="zh-CN"/>
        </w:rPr>
        <w:sectPr>
          <w:headerReference r:id="rId6" w:type="first"/>
          <w:headerReference r:id="rId5" w:type="default"/>
          <w:footerReference r:id="rId7" w:type="default"/>
          <w:pgSz w:w="11906" w:h="16838"/>
          <w:pgMar w:top="1814" w:right="1276" w:bottom="1418" w:left="1701" w:header="1418" w:footer="737" w:gutter="0"/>
          <w:pgBorders>
            <w:top w:val="none" w:sz="0" w:space="0"/>
            <w:left w:val="none" w:sz="0" w:space="0"/>
            <w:bottom w:val="none" w:sz="0" w:space="0"/>
            <w:right w:val="none" w:sz="0" w:space="0"/>
          </w:pgBorders>
          <w:pgNumType w:start="0"/>
          <w:cols w:space="720" w:num="1"/>
          <w:titlePg/>
          <w:docGrid w:linePitch="312" w:charSpace="0"/>
        </w:sectPr>
      </w:pPr>
      <w:r>
        <w:rPr>
          <w:rFonts w:hint="eastAsia" w:ascii="仿宋_GB2312" w:eastAsia="仿宋_GB2312"/>
          <w:bCs/>
          <w:color w:val="000000" w:themeColor="text1"/>
          <w:sz w:val="28"/>
          <w:szCs w:val="28"/>
          <w:highlight w:val="none"/>
          <w:lang w:eastAsia="zh-CN"/>
        </w:rPr>
        <w:t>二〇二一年十月十四日</w:t>
      </w:r>
    </w:p>
    <w:p>
      <w:pPr>
        <w:tabs>
          <w:tab w:val="left" w:pos="540"/>
        </w:tabs>
        <w:snapToGrid w:val="0"/>
        <w:spacing w:line="500" w:lineRule="exact"/>
        <w:jc w:val="center"/>
        <w:rPr>
          <w:rFonts w:ascii="仿宋_GB2312" w:eastAsia="仿宋_GB2312"/>
          <w:b/>
          <w:color w:val="000000" w:themeColor="text1"/>
          <w:sz w:val="36"/>
          <w:szCs w:val="36"/>
          <w:highlight w:val="yellow"/>
        </w:rPr>
      </w:pPr>
      <w:r>
        <w:rPr>
          <w:rFonts w:hint="eastAsia" w:ascii="仿宋_GB2312" w:eastAsia="仿宋_GB2312"/>
          <w:b/>
          <w:color w:val="000000" w:themeColor="text1"/>
          <w:sz w:val="36"/>
          <w:szCs w:val="36"/>
          <w:highlight w:val="none"/>
        </w:rPr>
        <w:t>目</w:t>
      </w:r>
      <w:r>
        <w:rPr>
          <w:rFonts w:hint="eastAsia" w:ascii="仿宋_GB2312" w:eastAsia="仿宋_GB2312"/>
          <w:b/>
          <w:color w:val="000000" w:themeColor="text1"/>
          <w:sz w:val="36"/>
          <w:szCs w:val="36"/>
          <w:highlight w:val="none"/>
          <w:lang w:val="en-US" w:eastAsia="zh-CN"/>
        </w:rPr>
        <w:t xml:space="preserve">  </w:t>
      </w:r>
      <w:r>
        <w:rPr>
          <w:rFonts w:hint="eastAsia" w:ascii="仿宋_GB2312" w:eastAsia="仿宋_GB2312"/>
          <w:b/>
          <w:color w:val="000000" w:themeColor="text1"/>
          <w:sz w:val="36"/>
          <w:szCs w:val="36"/>
          <w:highlight w:val="none"/>
        </w:rPr>
        <w:t>录</w:t>
      </w:r>
      <w:bookmarkEnd w:id="1"/>
    </w:p>
    <w:p>
      <w:pPr>
        <w:pStyle w:val="29"/>
        <w:tabs>
          <w:tab w:val="right" w:leader="dot" w:pos="8929"/>
          <w:tab w:val="clear" w:pos="9457"/>
        </w:tabs>
        <w:spacing w:beforeLines="0" w:afterLines="0" w:line="240" w:lineRule="auto"/>
        <w:rPr>
          <w:rFonts w:ascii="仿宋" w:hAnsi="仿宋" w:eastAsia="仿宋" w:cs="仿宋"/>
          <w:color w:val="000000" w:themeColor="text1"/>
          <w:sz w:val="26"/>
          <w:szCs w:val="26"/>
        </w:rPr>
      </w:pPr>
      <w:bookmarkStart w:id="4" w:name="_Toc387827685"/>
      <w:bookmarkStart w:id="5" w:name="_Toc367869492"/>
      <w:bookmarkStart w:id="6" w:name="_Toc297196345"/>
      <w:bookmarkStart w:id="7" w:name="_Toc297122050"/>
      <w:bookmarkStart w:id="8" w:name="_Toc382493606"/>
      <w:bookmarkStart w:id="9" w:name="_Toc301369710"/>
      <w:r>
        <w:rPr>
          <w:rFonts w:hint="eastAsia" w:ascii="仿宋" w:hAnsi="仿宋" w:eastAsia="仿宋" w:cs="仿宋"/>
          <w:color w:val="000000" w:themeColor="text1"/>
          <w:sz w:val="26"/>
          <w:szCs w:val="26"/>
        </w:rPr>
        <w:fldChar w:fldCharType="begin"/>
      </w:r>
      <w:r>
        <w:rPr>
          <w:rFonts w:hint="eastAsia" w:ascii="仿宋" w:hAnsi="仿宋" w:eastAsia="仿宋" w:cs="仿宋"/>
          <w:color w:val="000000" w:themeColor="text1"/>
          <w:sz w:val="26"/>
          <w:szCs w:val="26"/>
        </w:rPr>
        <w:instrText xml:space="preserve">TOC \o "1-2" \h \u </w:instrText>
      </w:r>
      <w:r>
        <w:rPr>
          <w:rFonts w:hint="eastAsia" w:ascii="仿宋" w:hAnsi="仿宋" w:eastAsia="仿宋" w:cs="仿宋"/>
          <w:color w:val="000000" w:themeColor="text1"/>
          <w:sz w:val="26"/>
          <w:szCs w:val="26"/>
        </w:rPr>
        <w:fldChar w:fldCharType="separate"/>
      </w:r>
      <w:r>
        <w:fldChar w:fldCharType="begin"/>
      </w:r>
      <w:r>
        <w:instrText xml:space="preserve"> HYPERLINK \l "_Toc17110" </w:instrText>
      </w:r>
      <w:r>
        <w:fldChar w:fldCharType="separate"/>
      </w:r>
      <w:r>
        <w:rPr>
          <w:rFonts w:hint="eastAsia" w:ascii="仿宋" w:hAnsi="仿宋" w:eastAsia="仿宋" w:cs="仿宋"/>
          <w:color w:val="000000" w:themeColor="text1"/>
          <w:sz w:val="26"/>
          <w:szCs w:val="26"/>
        </w:rPr>
        <w:t>估价师声明</w:t>
      </w:r>
      <w:r>
        <w:rPr>
          <w:rFonts w:hint="eastAsia" w:ascii="仿宋" w:hAnsi="仿宋" w:eastAsia="仿宋" w:cs="仿宋"/>
          <w:color w:val="000000" w:themeColor="text1"/>
          <w:sz w:val="26"/>
          <w:szCs w:val="26"/>
        </w:rPr>
        <w:tab/>
      </w:r>
      <w:r>
        <w:rPr>
          <w:rFonts w:hint="eastAsia" w:ascii="仿宋" w:hAnsi="仿宋" w:eastAsia="仿宋" w:cs="仿宋"/>
          <w:color w:val="000000" w:themeColor="text1"/>
          <w:sz w:val="26"/>
          <w:szCs w:val="26"/>
        </w:rPr>
        <w:fldChar w:fldCharType="begin"/>
      </w:r>
      <w:r>
        <w:rPr>
          <w:rFonts w:hint="eastAsia" w:ascii="仿宋" w:hAnsi="仿宋" w:eastAsia="仿宋" w:cs="仿宋"/>
          <w:color w:val="000000" w:themeColor="text1"/>
          <w:sz w:val="26"/>
          <w:szCs w:val="26"/>
        </w:rPr>
        <w:instrText xml:space="preserve"> PAGEREF _Toc17110 \h </w:instrText>
      </w:r>
      <w:r>
        <w:rPr>
          <w:rFonts w:hint="eastAsia" w:ascii="仿宋" w:hAnsi="仿宋" w:eastAsia="仿宋" w:cs="仿宋"/>
          <w:color w:val="000000" w:themeColor="text1"/>
          <w:sz w:val="26"/>
          <w:szCs w:val="26"/>
        </w:rPr>
        <w:fldChar w:fldCharType="separate"/>
      </w:r>
      <w:r>
        <w:rPr>
          <w:rFonts w:hint="eastAsia" w:ascii="仿宋" w:hAnsi="仿宋" w:eastAsia="仿宋" w:cs="仿宋"/>
          <w:color w:val="000000" w:themeColor="text1"/>
          <w:sz w:val="26"/>
          <w:szCs w:val="26"/>
        </w:rPr>
        <w:t>1</w:t>
      </w:r>
      <w:r>
        <w:rPr>
          <w:rFonts w:hint="eastAsia" w:ascii="仿宋" w:hAnsi="仿宋" w:eastAsia="仿宋" w:cs="仿宋"/>
          <w:color w:val="000000" w:themeColor="text1"/>
          <w:sz w:val="26"/>
          <w:szCs w:val="26"/>
        </w:rPr>
        <w:fldChar w:fldCharType="end"/>
      </w:r>
      <w:r>
        <w:rPr>
          <w:rFonts w:hint="eastAsia" w:ascii="仿宋" w:hAnsi="仿宋" w:eastAsia="仿宋" w:cs="仿宋"/>
          <w:color w:val="000000" w:themeColor="text1"/>
          <w:sz w:val="26"/>
          <w:szCs w:val="26"/>
        </w:rPr>
        <w:fldChar w:fldCharType="end"/>
      </w:r>
    </w:p>
    <w:p>
      <w:pPr>
        <w:pStyle w:val="29"/>
        <w:tabs>
          <w:tab w:val="right" w:leader="dot" w:pos="8929"/>
          <w:tab w:val="clear" w:pos="9457"/>
        </w:tabs>
        <w:spacing w:beforeLines="0" w:afterLines="0" w:line="240" w:lineRule="auto"/>
        <w:rPr>
          <w:rFonts w:ascii="仿宋" w:hAnsi="仿宋" w:eastAsia="仿宋" w:cs="仿宋"/>
          <w:color w:val="000000" w:themeColor="text1"/>
          <w:sz w:val="26"/>
          <w:szCs w:val="26"/>
        </w:rPr>
      </w:pPr>
      <w:r>
        <w:fldChar w:fldCharType="begin"/>
      </w:r>
      <w:r>
        <w:instrText xml:space="preserve"> HYPERLINK \l "_Toc20449" </w:instrText>
      </w:r>
      <w:r>
        <w:fldChar w:fldCharType="separate"/>
      </w:r>
      <w:r>
        <w:rPr>
          <w:rFonts w:hint="eastAsia" w:ascii="仿宋" w:hAnsi="仿宋" w:eastAsia="仿宋" w:cs="仿宋"/>
          <w:color w:val="000000" w:themeColor="text1"/>
          <w:sz w:val="26"/>
          <w:szCs w:val="26"/>
        </w:rPr>
        <w:t>估价结果报告</w:t>
      </w:r>
      <w:r>
        <w:rPr>
          <w:rFonts w:hint="eastAsia" w:ascii="仿宋" w:hAnsi="仿宋" w:eastAsia="仿宋" w:cs="仿宋"/>
          <w:color w:val="000000" w:themeColor="text1"/>
          <w:sz w:val="26"/>
          <w:szCs w:val="26"/>
        </w:rPr>
        <w:tab/>
      </w:r>
      <w:r>
        <w:rPr>
          <w:rFonts w:hint="eastAsia" w:ascii="仿宋" w:hAnsi="仿宋" w:eastAsia="仿宋" w:cs="仿宋"/>
          <w:color w:val="000000" w:themeColor="text1"/>
          <w:sz w:val="26"/>
          <w:szCs w:val="26"/>
        </w:rPr>
        <w:fldChar w:fldCharType="begin"/>
      </w:r>
      <w:r>
        <w:rPr>
          <w:rFonts w:hint="eastAsia" w:ascii="仿宋" w:hAnsi="仿宋" w:eastAsia="仿宋" w:cs="仿宋"/>
          <w:color w:val="000000" w:themeColor="text1"/>
          <w:sz w:val="26"/>
          <w:szCs w:val="26"/>
        </w:rPr>
        <w:instrText xml:space="preserve"> PAGEREF _Toc20449 \h </w:instrText>
      </w:r>
      <w:r>
        <w:rPr>
          <w:rFonts w:hint="eastAsia" w:ascii="仿宋" w:hAnsi="仿宋" w:eastAsia="仿宋" w:cs="仿宋"/>
          <w:color w:val="000000" w:themeColor="text1"/>
          <w:sz w:val="26"/>
          <w:szCs w:val="26"/>
        </w:rPr>
        <w:fldChar w:fldCharType="separate"/>
      </w:r>
      <w:r>
        <w:rPr>
          <w:rFonts w:hint="eastAsia" w:ascii="仿宋" w:hAnsi="仿宋" w:eastAsia="仿宋" w:cs="仿宋"/>
          <w:color w:val="000000" w:themeColor="text1"/>
          <w:sz w:val="26"/>
          <w:szCs w:val="26"/>
        </w:rPr>
        <w:t>6</w:t>
      </w:r>
      <w:r>
        <w:rPr>
          <w:rFonts w:hint="eastAsia" w:ascii="仿宋" w:hAnsi="仿宋" w:eastAsia="仿宋" w:cs="仿宋"/>
          <w:color w:val="000000" w:themeColor="text1"/>
          <w:sz w:val="26"/>
          <w:szCs w:val="26"/>
        </w:rPr>
        <w:fldChar w:fldCharType="end"/>
      </w:r>
      <w:r>
        <w:rPr>
          <w:rFonts w:hint="eastAsia" w:ascii="仿宋" w:hAnsi="仿宋" w:eastAsia="仿宋" w:cs="仿宋"/>
          <w:color w:val="000000" w:themeColor="text1"/>
          <w:sz w:val="26"/>
          <w:szCs w:val="26"/>
        </w:rPr>
        <w:fldChar w:fldCharType="end"/>
      </w:r>
    </w:p>
    <w:p>
      <w:pPr>
        <w:pStyle w:val="37"/>
        <w:tabs>
          <w:tab w:val="right" w:leader="dot" w:pos="8929"/>
          <w:tab w:val="clear" w:pos="9457"/>
        </w:tabs>
        <w:spacing w:before="0"/>
        <w:rPr>
          <w:rFonts w:ascii="仿宋" w:hAnsi="仿宋" w:eastAsia="仿宋" w:cs="仿宋"/>
          <w:color w:val="000000" w:themeColor="text1"/>
          <w:sz w:val="26"/>
          <w:szCs w:val="26"/>
        </w:rPr>
      </w:pPr>
      <w:r>
        <w:fldChar w:fldCharType="begin"/>
      </w:r>
      <w:r>
        <w:instrText xml:space="preserve"> HYPERLINK \l "_Toc6103" </w:instrText>
      </w:r>
      <w:r>
        <w:fldChar w:fldCharType="separate"/>
      </w:r>
      <w:r>
        <w:rPr>
          <w:rFonts w:hint="eastAsia" w:ascii="仿宋" w:hAnsi="仿宋" w:eastAsia="仿宋" w:cs="仿宋"/>
          <w:color w:val="000000" w:themeColor="text1"/>
          <w:sz w:val="26"/>
          <w:szCs w:val="26"/>
        </w:rPr>
        <w:t>一、估价委托人</w:t>
      </w:r>
      <w:r>
        <w:rPr>
          <w:rFonts w:hint="eastAsia" w:ascii="仿宋" w:hAnsi="仿宋" w:eastAsia="仿宋" w:cs="仿宋"/>
          <w:color w:val="000000" w:themeColor="text1"/>
          <w:sz w:val="26"/>
          <w:szCs w:val="26"/>
        </w:rPr>
        <w:tab/>
      </w:r>
      <w:r>
        <w:rPr>
          <w:rFonts w:hint="eastAsia" w:ascii="仿宋" w:hAnsi="仿宋" w:eastAsia="仿宋" w:cs="仿宋"/>
          <w:color w:val="000000" w:themeColor="text1"/>
          <w:sz w:val="26"/>
          <w:szCs w:val="26"/>
        </w:rPr>
        <w:fldChar w:fldCharType="begin"/>
      </w:r>
      <w:r>
        <w:rPr>
          <w:rFonts w:hint="eastAsia" w:ascii="仿宋" w:hAnsi="仿宋" w:eastAsia="仿宋" w:cs="仿宋"/>
          <w:color w:val="000000" w:themeColor="text1"/>
          <w:sz w:val="26"/>
          <w:szCs w:val="26"/>
        </w:rPr>
        <w:instrText xml:space="preserve"> PAGEREF _Toc6103 \h </w:instrText>
      </w:r>
      <w:r>
        <w:rPr>
          <w:rFonts w:hint="eastAsia" w:ascii="仿宋" w:hAnsi="仿宋" w:eastAsia="仿宋" w:cs="仿宋"/>
          <w:color w:val="000000" w:themeColor="text1"/>
          <w:sz w:val="26"/>
          <w:szCs w:val="26"/>
        </w:rPr>
        <w:fldChar w:fldCharType="separate"/>
      </w:r>
      <w:r>
        <w:rPr>
          <w:rFonts w:hint="eastAsia" w:ascii="仿宋" w:hAnsi="仿宋" w:eastAsia="仿宋" w:cs="仿宋"/>
          <w:color w:val="000000" w:themeColor="text1"/>
          <w:sz w:val="26"/>
          <w:szCs w:val="26"/>
        </w:rPr>
        <w:t>6</w:t>
      </w:r>
      <w:r>
        <w:rPr>
          <w:rFonts w:hint="eastAsia" w:ascii="仿宋" w:hAnsi="仿宋" w:eastAsia="仿宋" w:cs="仿宋"/>
          <w:color w:val="000000" w:themeColor="text1"/>
          <w:sz w:val="26"/>
          <w:szCs w:val="26"/>
        </w:rPr>
        <w:fldChar w:fldCharType="end"/>
      </w:r>
      <w:r>
        <w:rPr>
          <w:rFonts w:hint="eastAsia" w:ascii="仿宋" w:hAnsi="仿宋" w:eastAsia="仿宋" w:cs="仿宋"/>
          <w:color w:val="000000" w:themeColor="text1"/>
          <w:sz w:val="26"/>
          <w:szCs w:val="26"/>
        </w:rPr>
        <w:fldChar w:fldCharType="end"/>
      </w:r>
      <w:bookmarkStart w:id="155" w:name="_GoBack"/>
      <w:bookmarkEnd w:id="155"/>
    </w:p>
    <w:p>
      <w:pPr>
        <w:pStyle w:val="37"/>
        <w:tabs>
          <w:tab w:val="right" w:leader="dot" w:pos="8929"/>
          <w:tab w:val="clear" w:pos="9457"/>
        </w:tabs>
        <w:spacing w:before="0"/>
        <w:rPr>
          <w:rFonts w:ascii="仿宋" w:hAnsi="仿宋" w:eastAsia="仿宋" w:cs="仿宋"/>
          <w:color w:val="000000" w:themeColor="text1"/>
          <w:sz w:val="26"/>
          <w:szCs w:val="26"/>
        </w:rPr>
      </w:pPr>
      <w:r>
        <w:fldChar w:fldCharType="begin"/>
      </w:r>
      <w:r>
        <w:instrText xml:space="preserve"> HYPERLINK \l "_Toc5734" </w:instrText>
      </w:r>
      <w:r>
        <w:fldChar w:fldCharType="separate"/>
      </w:r>
      <w:r>
        <w:rPr>
          <w:rFonts w:hint="eastAsia" w:ascii="仿宋" w:hAnsi="仿宋" w:eastAsia="仿宋" w:cs="仿宋"/>
          <w:color w:val="000000" w:themeColor="text1"/>
          <w:sz w:val="26"/>
          <w:szCs w:val="26"/>
        </w:rPr>
        <w:t>二、房地产估价机构</w:t>
      </w:r>
      <w:r>
        <w:rPr>
          <w:rFonts w:hint="eastAsia" w:ascii="仿宋" w:hAnsi="仿宋" w:eastAsia="仿宋" w:cs="仿宋"/>
          <w:color w:val="000000" w:themeColor="text1"/>
          <w:sz w:val="26"/>
          <w:szCs w:val="26"/>
        </w:rPr>
        <w:tab/>
      </w:r>
      <w:r>
        <w:rPr>
          <w:rFonts w:hint="eastAsia" w:ascii="仿宋" w:hAnsi="仿宋" w:eastAsia="仿宋" w:cs="仿宋"/>
          <w:color w:val="000000" w:themeColor="text1"/>
          <w:sz w:val="26"/>
          <w:szCs w:val="26"/>
        </w:rPr>
        <w:fldChar w:fldCharType="begin"/>
      </w:r>
      <w:r>
        <w:rPr>
          <w:rFonts w:hint="eastAsia" w:ascii="仿宋" w:hAnsi="仿宋" w:eastAsia="仿宋" w:cs="仿宋"/>
          <w:color w:val="000000" w:themeColor="text1"/>
          <w:sz w:val="26"/>
          <w:szCs w:val="26"/>
        </w:rPr>
        <w:instrText xml:space="preserve"> PAGEREF _Toc5734 \h </w:instrText>
      </w:r>
      <w:r>
        <w:rPr>
          <w:rFonts w:hint="eastAsia" w:ascii="仿宋" w:hAnsi="仿宋" w:eastAsia="仿宋" w:cs="仿宋"/>
          <w:color w:val="000000" w:themeColor="text1"/>
          <w:sz w:val="26"/>
          <w:szCs w:val="26"/>
        </w:rPr>
        <w:fldChar w:fldCharType="separate"/>
      </w:r>
      <w:r>
        <w:rPr>
          <w:rFonts w:hint="eastAsia" w:ascii="仿宋" w:hAnsi="仿宋" w:eastAsia="仿宋" w:cs="仿宋"/>
          <w:color w:val="000000" w:themeColor="text1"/>
          <w:sz w:val="26"/>
          <w:szCs w:val="26"/>
        </w:rPr>
        <w:t>6</w:t>
      </w:r>
      <w:r>
        <w:rPr>
          <w:rFonts w:hint="eastAsia" w:ascii="仿宋" w:hAnsi="仿宋" w:eastAsia="仿宋" w:cs="仿宋"/>
          <w:color w:val="000000" w:themeColor="text1"/>
          <w:sz w:val="26"/>
          <w:szCs w:val="26"/>
        </w:rPr>
        <w:fldChar w:fldCharType="end"/>
      </w:r>
      <w:r>
        <w:rPr>
          <w:rFonts w:hint="eastAsia" w:ascii="仿宋" w:hAnsi="仿宋" w:eastAsia="仿宋" w:cs="仿宋"/>
          <w:color w:val="000000" w:themeColor="text1"/>
          <w:sz w:val="26"/>
          <w:szCs w:val="26"/>
        </w:rPr>
        <w:fldChar w:fldCharType="end"/>
      </w:r>
    </w:p>
    <w:p>
      <w:pPr>
        <w:pStyle w:val="37"/>
        <w:tabs>
          <w:tab w:val="right" w:leader="dot" w:pos="8929"/>
          <w:tab w:val="clear" w:pos="9457"/>
        </w:tabs>
        <w:spacing w:before="0"/>
        <w:rPr>
          <w:rFonts w:ascii="仿宋" w:hAnsi="仿宋" w:eastAsia="仿宋" w:cs="仿宋"/>
          <w:color w:val="000000" w:themeColor="text1"/>
          <w:sz w:val="26"/>
          <w:szCs w:val="26"/>
        </w:rPr>
      </w:pPr>
      <w:r>
        <w:fldChar w:fldCharType="begin"/>
      </w:r>
      <w:r>
        <w:instrText xml:space="preserve"> HYPERLINK \l "_Toc27733" </w:instrText>
      </w:r>
      <w:r>
        <w:fldChar w:fldCharType="separate"/>
      </w:r>
      <w:r>
        <w:rPr>
          <w:rFonts w:hint="eastAsia" w:ascii="仿宋" w:hAnsi="仿宋" w:eastAsia="仿宋" w:cs="仿宋"/>
          <w:color w:val="000000" w:themeColor="text1"/>
          <w:sz w:val="26"/>
          <w:szCs w:val="26"/>
        </w:rPr>
        <w:t>三、估价目的</w:t>
      </w:r>
      <w:r>
        <w:rPr>
          <w:rFonts w:hint="eastAsia" w:ascii="仿宋" w:hAnsi="仿宋" w:eastAsia="仿宋" w:cs="仿宋"/>
          <w:color w:val="000000" w:themeColor="text1"/>
          <w:sz w:val="26"/>
          <w:szCs w:val="26"/>
        </w:rPr>
        <w:tab/>
      </w:r>
      <w:r>
        <w:rPr>
          <w:rFonts w:hint="eastAsia" w:ascii="仿宋" w:hAnsi="仿宋" w:eastAsia="仿宋" w:cs="仿宋"/>
          <w:color w:val="000000" w:themeColor="text1"/>
          <w:sz w:val="26"/>
          <w:szCs w:val="26"/>
        </w:rPr>
        <w:fldChar w:fldCharType="begin"/>
      </w:r>
      <w:r>
        <w:rPr>
          <w:rFonts w:hint="eastAsia" w:ascii="仿宋" w:hAnsi="仿宋" w:eastAsia="仿宋" w:cs="仿宋"/>
          <w:color w:val="000000" w:themeColor="text1"/>
          <w:sz w:val="26"/>
          <w:szCs w:val="26"/>
        </w:rPr>
        <w:instrText xml:space="preserve"> PAGEREF _Toc27733 \h </w:instrText>
      </w:r>
      <w:r>
        <w:rPr>
          <w:rFonts w:hint="eastAsia" w:ascii="仿宋" w:hAnsi="仿宋" w:eastAsia="仿宋" w:cs="仿宋"/>
          <w:color w:val="000000" w:themeColor="text1"/>
          <w:sz w:val="26"/>
          <w:szCs w:val="26"/>
        </w:rPr>
        <w:fldChar w:fldCharType="separate"/>
      </w:r>
      <w:r>
        <w:rPr>
          <w:rFonts w:hint="eastAsia" w:ascii="仿宋" w:hAnsi="仿宋" w:eastAsia="仿宋" w:cs="仿宋"/>
          <w:color w:val="000000" w:themeColor="text1"/>
          <w:sz w:val="26"/>
          <w:szCs w:val="26"/>
        </w:rPr>
        <w:t>6</w:t>
      </w:r>
      <w:r>
        <w:rPr>
          <w:rFonts w:hint="eastAsia" w:ascii="仿宋" w:hAnsi="仿宋" w:eastAsia="仿宋" w:cs="仿宋"/>
          <w:color w:val="000000" w:themeColor="text1"/>
          <w:sz w:val="26"/>
          <w:szCs w:val="26"/>
        </w:rPr>
        <w:fldChar w:fldCharType="end"/>
      </w:r>
      <w:r>
        <w:rPr>
          <w:rFonts w:hint="eastAsia" w:ascii="仿宋" w:hAnsi="仿宋" w:eastAsia="仿宋" w:cs="仿宋"/>
          <w:color w:val="000000" w:themeColor="text1"/>
          <w:sz w:val="26"/>
          <w:szCs w:val="26"/>
        </w:rPr>
        <w:fldChar w:fldCharType="end"/>
      </w:r>
    </w:p>
    <w:p>
      <w:pPr>
        <w:pStyle w:val="37"/>
        <w:tabs>
          <w:tab w:val="right" w:leader="dot" w:pos="8929"/>
          <w:tab w:val="clear" w:pos="9457"/>
        </w:tabs>
        <w:spacing w:before="0"/>
        <w:rPr>
          <w:rFonts w:ascii="仿宋" w:hAnsi="仿宋" w:eastAsia="仿宋" w:cs="仿宋"/>
          <w:color w:val="000000" w:themeColor="text1"/>
          <w:sz w:val="26"/>
          <w:szCs w:val="26"/>
        </w:rPr>
      </w:pPr>
      <w:r>
        <w:fldChar w:fldCharType="begin"/>
      </w:r>
      <w:r>
        <w:instrText xml:space="preserve"> HYPERLINK \l "_Toc14045" </w:instrText>
      </w:r>
      <w:r>
        <w:fldChar w:fldCharType="separate"/>
      </w:r>
      <w:r>
        <w:rPr>
          <w:rFonts w:hint="eastAsia" w:ascii="仿宋" w:hAnsi="仿宋" w:eastAsia="仿宋" w:cs="仿宋"/>
          <w:color w:val="000000" w:themeColor="text1"/>
          <w:sz w:val="26"/>
          <w:szCs w:val="26"/>
        </w:rPr>
        <w:t>四、估价对象</w:t>
      </w:r>
      <w:r>
        <w:rPr>
          <w:rFonts w:hint="eastAsia" w:ascii="仿宋" w:hAnsi="仿宋" w:eastAsia="仿宋" w:cs="仿宋"/>
          <w:color w:val="000000" w:themeColor="text1"/>
          <w:sz w:val="26"/>
          <w:szCs w:val="26"/>
        </w:rPr>
        <w:tab/>
      </w:r>
      <w:r>
        <w:rPr>
          <w:rFonts w:hint="eastAsia" w:ascii="仿宋" w:hAnsi="仿宋" w:eastAsia="仿宋" w:cs="仿宋"/>
          <w:color w:val="000000" w:themeColor="text1"/>
          <w:sz w:val="26"/>
          <w:szCs w:val="26"/>
        </w:rPr>
        <w:fldChar w:fldCharType="begin"/>
      </w:r>
      <w:r>
        <w:rPr>
          <w:rFonts w:hint="eastAsia" w:ascii="仿宋" w:hAnsi="仿宋" w:eastAsia="仿宋" w:cs="仿宋"/>
          <w:color w:val="000000" w:themeColor="text1"/>
          <w:sz w:val="26"/>
          <w:szCs w:val="26"/>
        </w:rPr>
        <w:instrText xml:space="preserve"> PAGEREF _Toc14045 \h </w:instrText>
      </w:r>
      <w:r>
        <w:rPr>
          <w:rFonts w:hint="eastAsia" w:ascii="仿宋" w:hAnsi="仿宋" w:eastAsia="仿宋" w:cs="仿宋"/>
          <w:color w:val="000000" w:themeColor="text1"/>
          <w:sz w:val="26"/>
          <w:szCs w:val="26"/>
        </w:rPr>
        <w:fldChar w:fldCharType="separate"/>
      </w:r>
      <w:r>
        <w:rPr>
          <w:rFonts w:hint="eastAsia" w:ascii="仿宋" w:hAnsi="仿宋" w:eastAsia="仿宋" w:cs="仿宋"/>
          <w:color w:val="000000" w:themeColor="text1"/>
          <w:sz w:val="26"/>
          <w:szCs w:val="26"/>
        </w:rPr>
        <w:t>6</w:t>
      </w:r>
      <w:r>
        <w:rPr>
          <w:rFonts w:hint="eastAsia" w:ascii="仿宋" w:hAnsi="仿宋" w:eastAsia="仿宋" w:cs="仿宋"/>
          <w:color w:val="000000" w:themeColor="text1"/>
          <w:sz w:val="26"/>
          <w:szCs w:val="26"/>
        </w:rPr>
        <w:fldChar w:fldCharType="end"/>
      </w:r>
      <w:r>
        <w:rPr>
          <w:rFonts w:hint="eastAsia" w:ascii="仿宋" w:hAnsi="仿宋" w:eastAsia="仿宋" w:cs="仿宋"/>
          <w:color w:val="000000" w:themeColor="text1"/>
          <w:sz w:val="26"/>
          <w:szCs w:val="26"/>
        </w:rPr>
        <w:fldChar w:fldCharType="end"/>
      </w:r>
    </w:p>
    <w:p>
      <w:pPr>
        <w:pStyle w:val="37"/>
        <w:tabs>
          <w:tab w:val="right" w:leader="dot" w:pos="8929"/>
          <w:tab w:val="clear" w:pos="9457"/>
        </w:tabs>
        <w:spacing w:before="0"/>
        <w:rPr>
          <w:rFonts w:ascii="仿宋" w:hAnsi="仿宋" w:eastAsia="仿宋" w:cs="仿宋"/>
          <w:color w:val="000000" w:themeColor="text1"/>
          <w:sz w:val="26"/>
          <w:szCs w:val="26"/>
        </w:rPr>
      </w:pPr>
      <w:r>
        <w:fldChar w:fldCharType="begin"/>
      </w:r>
      <w:r>
        <w:instrText xml:space="preserve"> HYPERLINK \l "_Toc28345" </w:instrText>
      </w:r>
      <w:r>
        <w:fldChar w:fldCharType="separate"/>
      </w:r>
      <w:r>
        <w:rPr>
          <w:rFonts w:hint="eastAsia" w:ascii="仿宋" w:hAnsi="仿宋" w:eastAsia="仿宋" w:cs="仿宋"/>
          <w:color w:val="000000" w:themeColor="text1"/>
          <w:sz w:val="26"/>
          <w:szCs w:val="26"/>
        </w:rPr>
        <w:t>五、价值时点</w:t>
      </w:r>
      <w:r>
        <w:rPr>
          <w:rFonts w:hint="eastAsia" w:ascii="仿宋" w:hAnsi="仿宋" w:eastAsia="仿宋" w:cs="仿宋"/>
          <w:color w:val="000000" w:themeColor="text1"/>
          <w:sz w:val="26"/>
          <w:szCs w:val="26"/>
        </w:rPr>
        <w:tab/>
      </w:r>
      <w:r>
        <w:rPr>
          <w:rFonts w:hint="eastAsia" w:ascii="仿宋" w:hAnsi="仿宋" w:eastAsia="仿宋" w:cs="仿宋"/>
          <w:color w:val="000000" w:themeColor="text1"/>
          <w:sz w:val="26"/>
          <w:szCs w:val="26"/>
        </w:rPr>
        <w:fldChar w:fldCharType="begin"/>
      </w:r>
      <w:r>
        <w:rPr>
          <w:rFonts w:hint="eastAsia" w:ascii="仿宋" w:hAnsi="仿宋" w:eastAsia="仿宋" w:cs="仿宋"/>
          <w:color w:val="000000" w:themeColor="text1"/>
          <w:sz w:val="26"/>
          <w:szCs w:val="26"/>
        </w:rPr>
        <w:instrText xml:space="preserve"> PAGEREF _Toc28345 \h </w:instrText>
      </w:r>
      <w:r>
        <w:rPr>
          <w:rFonts w:hint="eastAsia" w:ascii="仿宋" w:hAnsi="仿宋" w:eastAsia="仿宋" w:cs="仿宋"/>
          <w:color w:val="000000" w:themeColor="text1"/>
          <w:sz w:val="26"/>
          <w:szCs w:val="26"/>
        </w:rPr>
        <w:fldChar w:fldCharType="separate"/>
      </w:r>
      <w:r>
        <w:rPr>
          <w:rFonts w:hint="eastAsia" w:ascii="仿宋" w:hAnsi="仿宋" w:eastAsia="仿宋" w:cs="仿宋"/>
          <w:color w:val="000000" w:themeColor="text1"/>
          <w:sz w:val="26"/>
          <w:szCs w:val="26"/>
        </w:rPr>
        <w:t>9</w:t>
      </w:r>
      <w:r>
        <w:rPr>
          <w:rFonts w:hint="eastAsia" w:ascii="仿宋" w:hAnsi="仿宋" w:eastAsia="仿宋" w:cs="仿宋"/>
          <w:color w:val="000000" w:themeColor="text1"/>
          <w:sz w:val="26"/>
          <w:szCs w:val="26"/>
        </w:rPr>
        <w:fldChar w:fldCharType="end"/>
      </w:r>
      <w:r>
        <w:rPr>
          <w:rFonts w:hint="eastAsia" w:ascii="仿宋" w:hAnsi="仿宋" w:eastAsia="仿宋" w:cs="仿宋"/>
          <w:color w:val="000000" w:themeColor="text1"/>
          <w:sz w:val="26"/>
          <w:szCs w:val="26"/>
        </w:rPr>
        <w:fldChar w:fldCharType="end"/>
      </w:r>
    </w:p>
    <w:p>
      <w:pPr>
        <w:pStyle w:val="37"/>
        <w:tabs>
          <w:tab w:val="right" w:leader="dot" w:pos="8929"/>
          <w:tab w:val="clear" w:pos="9457"/>
        </w:tabs>
        <w:spacing w:before="0"/>
        <w:rPr>
          <w:rFonts w:ascii="仿宋" w:hAnsi="仿宋" w:eastAsia="仿宋" w:cs="仿宋"/>
          <w:color w:val="000000" w:themeColor="text1"/>
          <w:sz w:val="26"/>
          <w:szCs w:val="26"/>
        </w:rPr>
      </w:pPr>
      <w:r>
        <w:fldChar w:fldCharType="begin"/>
      </w:r>
      <w:r>
        <w:instrText xml:space="preserve"> HYPERLINK \l "_Toc19323" </w:instrText>
      </w:r>
      <w:r>
        <w:fldChar w:fldCharType="separate"/>
      </w:r>
      <w:r>
        <w:rPr>
          <w:rFonts w:hint="eastAsia" w:ascii="仿宋" w:hAnsi="仿宋" w:eastAsia="仿宋" w:cs="仿宋"/>
          <w:color w:val="000000" w:themeColor="text1"/>
          <w:sz w:val="26"/>
          <w:szCs w:val="26"/>
        </w:rPr>
        <w:t>六、价值类型</w:t>
      </w:r>
      <w:r>
        <w:rPr>
          <w:rFonts w:hint="eastAsia" w:ascii="仿宋" w:hAnsi="仿宋" w:eastAsia="仿宋" w:cs="仿宋"/>
          <w:color w:val="000000" w:themeColor="text1"/>
          <w:sz w:val="26"/>
          <w:szCs w:val="26"/>
        </w:rPr>
        <w:tab/>
      </w:r>
      <w:r>
        <w:rPr>
          <w:rFonts w:hint="eastAsia" w:ascii="仿宋" w:hAnsi="仿宋" w:eastAsia="仿宋" w:cs="仿宋"/>
          <w:color w:val="000000" w:themeColor="text1"/>
          <w:sz w:val="26"/>
          <w:szCs w:val="26"/>
        </w:rPr>
        <w:fldChar w:fldCharType="begin"/>
      </w:r>
      <w:r>
        <w:rPr>
          <w:rFonts w:hint="eastAsia" w:ascii="仿宋" w:hAnsi="仿宋" w:eastAsia="仿宋" w:cs="仿宋"/>
          <w:color w:val="000000" w:themeColor="text1"/>
          <w:sz w:val="26"/>
          <w:szCs w:val="26"/>
        </w:rPr>
        <w:instrText xml:space="preserve"> PAGEREF _Toc19323 \h </w:instrText>
      </w:r>
      <w:r>
        <w:rPr>
          <w:rFonts w:hint="eastAsia" w:ascii="仿宋" w:hAnsi="仿宋" w:eastAsia="仿宋" w:cs="仿宋"/>
          <w:color w:val="000000" w:themeColor="text1"/>
          <w:sz w:val="26"/>
          <w:szCs w:val="26"/>
        </w:rPr>
        <w:fldChar w:fldCharType="separate"/>
      </w:r>
      <w:r>
        <w:rPr>
          <w:rFonts w:hint="eastAsia" w:ascii="仿宋" w:hAnsi="仿宋" w:eastAsia="仿宋" w:cs="仿宋"/>
          <w:color w:val="000000" w:themeColor="text1"/>
          <w:sz w:val="26"/>
          <w:szCs w:val="26"/>
        </w:rPr>
        <w:t>9</w:t>
      </w:r>
      <w:r>
        <w:rPr>
          <w:rFonts w:hint="eastAsia" w:ascii="仿宋" w:hAnsi="仿宋" w:eastAsia="仿宋" w:cs="仿宋"/>
          <w:color w:val="000000" w:themeColor="text1"/>
          <w:sz w:val="26"/>
          <w:szCs w:val="26"/>
        </w:rPr>
        <w:fldChar w:fldCharType="end"/>
      </w:r>
      <w:r>
        <w:rPr>
          <w:rFonts w:hint="eastAsia" w:ascii="仿宋" w:hAnsi="仿宋" w:eastAsia="仿宋" w:cs="仿宋"/>
          <w:color w:val="000000" w:themeColor="text1"/>
          <w:sz w:val="26"/>
          <w:szCs w:val="26"/>
        </w:rPr>
        <w:fldChar w:fldCharType="end"/>
      </w:r>
    </w:p>
    <w:p>
      <w:pPr>
        <w:pStyle w:val="37"/>
        <w:tabs>
          <w:tab w:val="right" w:leader="dot" w:pos="8929"/>
          <w:tab w:val="clear" w:pos="9457"/>
        </w:tabs>
        <w:spacing w:before="0"/>
        <w:rPr>
          <w:rFonts w:hint="eastAsia" w:ascii="仿宋" w:hAnsi="仿宋" w:eastAsia="仿宋" w:cs="仿宋"/>
          <w:color w:val="000000" w:themeColor="text1"/>
          <w:sz w:val="26"/>
          <w:szCs w:val="26"/>
          <w:lang w:val="en-US" w:eastAsia="zh-CN"/>
        </w:rPr>
      </w:pPr>
      <w:r>
        <w:fldChar w:fldCharType="begin"/>
      </w:r>
      <w:r>
        <w:instrText xml:space="preserve"> HYPERLINK \l "_Toc2079" </w:instrText>
      </w:r>
      <w:r>
        <w:fldChar w:fldCharType="separate"/>
      </w:r>
      <w:r>
        <w:rPr>
          <w:rFonts w:hint="eastAsia" w:ascii="仿宋" w:hAnsi="仿宋" w:eastAsia="仿宋" w:cs="仿宋"/>
          <w:color w:val="000000" w:themeColor="text1"/>
          <w:sz w:val="26"/>
          <w:szCs w:val="26"/>
        </w:rPr>
        <w:t>七、估价原则</w:t>
      </w:r>
      <w:r>
        <w:rPr>
          <w:rFonts w:hint="eastAsia" w:ascii="仿宋" w:hAnsi="仿宋" w:eastAsia="仿宋" w:cs="仿宋"/>
          <w:color w:val="000000" w:themeColor="text1"/>
          <w:sz w:val="26"/>
          <w:szCs w:val="26"/>
        </w:rPr>
        <w:tab/>
      </w:r>
      <w:r>
        <w:rPr>
          <w:rFonts w:hint="eastAsia" w:ascii="仿宋" w:hAnsi="仿宋" w:eastAsia="仿宋" w:cs="仿宋"/>
          <w:color w:val="000000" w:themeColor="text1"/>
          <w:sz w:val="26"/>
          <w:szCs w:val="26"/>
          <w:lang w:val="en-US" w:eastAsia="zh-CN"/>
        </w:rPr>
        <w:t>1</w:t>
      </w:r>
      <w:r>
        <w:rPr>
          <w:rFonts w:hint="eastAsia" w:ascii="仿宋" w:hAnsi="仿宋" w:eastAsia="仿宋" w:cs="仿宋"/>
          <w:color w:val="000000" w:themeColor="text1"/>
          <w:sz w:val="26"/>
          <w:szCs w:val="26"/>
        </w:rPr>
        <w:fldChar w:fldCharType="end"/>
      </w:r>
      <w:r>
        <w:rPr>
          <w:rFonts w:hint="eastAsia" w:ascii="仿宋" w:hAnsi="仿宋" w:eastAsia="仿宋" w:cs="仿宋"/>
          <w:color w:val="000000" w:themeColor="text1"/>
          <w:sz w:val="26"/>
          <w:szCs w:val="26"/>
          <w:lang w:val="en-US" w:eastAsia="zh-CN"/>
        </w:rPr>
        <w:t>0</w:t>
      </w:r>
    </w:p>
    <w:p>
      <w:pPr>
        <w:pStyle w:val="37"/>
        <w:tabs>
          <w:tab w:val="right" w:leader="dot" w:pos="8929"/>
          <w:tab w:val="clear" w:pos="9457"/>
        </w:tabs>
        <w:spacing w:before="0"/>
        <w:rPr>
          <w:rFonts w:ascii="仿宋" w:hAnsi="仿宋" w:eastAsia="仿宋" w:cs="仿宋"/>
          <w:color w:val="000000" w:themeColor="text1"/>
          <w:sz w:val="26"/>
          <w:szCs w:val="26"/>
        </w:rPr>
      </w:pPr>
      <w:r>
        <w:fldChar w:fldCharType="begin"/>
      </w:r>
      <w:r>
        <w:instrText xml:space="preserve"> HYPERLINK \l "_Toc31141" </w:instrText>
      </w:r>
      <w:r>
        <w:fldChar w:fldCharType="separate"/>
      </w:r>
      <w:r>
        <w:rPr>
          <w:rFonts w:hint="eastAsia" w:ascii="仿宋" w:hAnsi="仿宋" w:eastAsia="仿宋" w:cs="仿宋"/>
          <w:color w:val="000000" w:themeColor="text1"/>
          <w:sz w:val="26"/>
          <w:szCs w:val="26"/>
        </w:rPr>
        <w:t>八、估价依据</w:t>
      </w:r>
      <w:r>
        <w:rPr>
          <w:rFonts w:hint="eastAsia" w:ascii="仿宋" w:hAnsi="仿宋" w:eastAsia="仿宋" w:cs="仿宋"/>
          <w:color w:val="000000" w:themeColor="text1"/>
          <w:sz w:val="26"/>
          <w:szCs w:val="26"/>
        </w:rPr>
        <w:tab/>
      </w:r>
      <w:r>
        <w:rPr>
          <w:rFonts w:hint="eastAsia" w:ascii="仿宋" w:hAnsi="仿宋" w:eastAsia="仿宋" w:cs="仿宋"/>
          <w:color w:val="000000" w:themeColor="text1"/>
          <w:sz w:val="26"/>
          <w:szCs w:val="26"/>
        </w:rPr>
        <w:fldChar w:fldCharType="begin"/>
      </w:r>
      <w:r>
        <w:rPr>
          <w:rFonts w:hint="eastAsia" w:ascii="仿宋" w:hAnsi="仿宋" w:eastAsia="仿宋" w:cs="仿宋"/>
          <w:color w:val="000000" w:themeColor="text1"/>
          <w:sz w:val="26"/>
          <w:szCs w:val="26"/>
        </w:rPr>
        <w:instrText xml:space="preserve"> PAGEREF _Toc31141 \h </w:instrText>
      </w:r>
      <w:r>
        <w:rPr>
          <w:rFonts w:hint="eastAsia" w:ascii="仿宋" w:hAnsi="仿宋" w:eastAsia="仿宋" w:cs="仿宋"/>
          <w:color w:val="000000" w:themeColor="text1"/>
          <w:sz w:val="26"/>
          <w:szCs w:val="26"/>
        </w:rPr>
        <w:fldChar w:fldCharType="separate"/>
      </w:r>
      <w:r>
        <w:rPr>
          <w:rFonts w:hint="eastAsia" w:ascii="仿宋" w:hAnsi="仿宋" w:eastAsia="仿宋" w:cs="仿宋"/>
          <w:color w:val="000000" w:themeColor="text1"/>
          <w:sz w:val="26"/>
          <w:szCs w:val="26"/>
        </w:rPr>
        <w:t>1</w:t>
      </w:r>
      <w:r>
        <w:rPr>
          <w:rFonts w:hint="eastAsia" w:ascii="仿宋" w:hAnsi="仿宋" w:eastAsia="仿宋" w:cs="仿宋"/>
          <w:color w:val="000000" w:themeColor="text1"/>
          <w:sz w:val="26"/>
          <w:szCs w:val="26"/>
          <w:lang w:val="en-US" w:eastAsia="zh-CN"/>
        </w:rPr>
        <w:t>1</w:t>
      </w:r>
      <w:r>
        <w:rPr>
          <w:rFonts w:hint="eastAsia" w:ascii="仿宋" w:hAnsi="仿宋" w:eastAsia="仿宋" w:cs="仿宋"/>
          <w:color w:val="000000" w:themeColor="text1"/>
          <w:sz w:val="26"/>
          <w:szCs w:val="26"/>
        </w:rPr>
        <w:fldChar w:fldCharType="end"/>
      </w:r>
      <w:r>
        <w:rPr>
          <w:rFonts w:hint="eastAsia" w:ascii="仿宋" w:hAnsi="仿宋" w:eastAsia="仿宋" w:cs="仿宋"/>
          <w:color w:val="000000" w:themeColor="text1"/>
          <w:sz w:val="26"/>
          <w:szCs w:val="26"/>
        </w:rPr>
        <w:fldChar w:fldCharType="end"/>
      </w:r>
    </w:p>
    <w:p>
      <w:pPr>
        <w:pStyle w:val="37"/>
        <w:tabs>
          <w:tab w:val="right" w:leader="dot" w:pos="8929"/>
          <w:tab w:val="clear" w:pos="9457"/>
        </w:tabs>
        <w:spacing w:before="0"/>
        <w:rPr>
          <w:rFonts w:ascii="仿宋" w:hAnsi="仿宋" w:eastAsia="仿宋" w:cs="仿宋"/>
          <w:color w:val="000000" w:themeColor="text1"/>
          <w:sz w:val="26"/>
          <w:szCs w:val="26"/>
        </w:rPr>
      </w:pPr>
      <w:r>
        <w:fldChar w:fldCharType="begin"/>
      </w:r>
      <w:r>
        <w:instrText xml:space="preserve"> HYPERLINK \l "_Toc3631" </w:instrText>
      </w:r>
      <w:r>
        <w:fldChar w:fldCharType="separate"/>
      </w:r>
      <w:r>
        <w:rPr>
          <w:rFonts w:hint="eastAsia" w:ascii="仿宋" w:hAnsi="仿宋" w:eastAsia="仿宋" w:cs="仿宋"/>
          <w:color w:val="000000" w:themeColor="text1"/>
          <w:sz w:val="26"/>
          <w:szCs w:val="26"/>
        </w:rPr>
        <w:t>九、估价方法</w:t>
      </w:r>
      <w:r>
        <w:rPr>
          <w:rFonts w:hint="eastAsia" w:ascii="仿宋" w:hAnsi="仿宋" w:eastAsia="仿宋" w:cs="仿宋"/>
          <w:color w:val="000000" w:themeColor="text1"/>
          <w:sz w:val="26"/>
          <w:szCs w:val="26"/>
        </w:rPr>
        <w:tab/>
      </w:r>
      <w:r>
        <w:rPr>
          <w:rFonts w:hint="eastAsia" w:ascii="仿宋" w:hAnsi="仿宋" w:eastAsia="仿宋" w:cs="仿宋"/>
          <w:color w:val="000000" w:themeColor="text1"/>
          <w:sz w:val="26"/>
          <w:szCs w:val="26"/>
        </w:rPr>
        <w:fldChar w:fldCharType="begin"/>
      </w:r>
      <w:r>
        <w:rPr>
          <w:rFonts w:hint="eastAsia" w:ascii="仿宋" w:hAnsi="仿宋" w:eastAsia="仿宋" w:cs="仿宋"/>
          <w:color w:val="000000" w:themeColor="text1"/>
          <w:sz w:val="26"/>
          <w:szCs w:val="26"/>
        </w:rPr>
        <w:instrText xml:space="preserve"> PAGEREF _Toc3631 \h </w:instrText>
      </w:r>
      <w:r>
        <w:rPr>
          <w:rFonts w:hint="eastAsia" w:ascii="仿宋" w:hAnsi="仿宋" w:eastAsia="仿宋" w:cs="仿宋"/>
          <w:color w:val="000000" w:themeColor="text1"/>
          <w:sz w:val="26"/>
          <w:szCs w:val="26"/>
        </w:rPr>
        <w:fldChar w:fldCharType="separate"/>
      </w:r>
      <w:r>
        <w:rPr>
          <w:rFonts w:hint="eastAsia" w:ascii="仿宋" w:hAnsi="仿宋" w:eastAsia="仿宋" w:cs="仿宋"/>
          <w:color w:val="000000" w:themeColor="text1"/>
          <w:sz w:val="26"/>
          <w:szCs w:val="26"/>
        </w:rPr>
        <w:t>12</w:t>
      </w:r>
      <w:r>
        <w:rPr>
          <w:rFonts w:hint="eastAsia" w:ascii="仿宋" w:hAnsi="仿宋" w:eastAsia="仿宋" w:cs="仿宋"/>
          <w:color w:val="000000" w:themeColor="text1"/>
          <w:sz w:val="26"/>
          <w:szCs w:val="26"/>
        </w:rPr>
        <w:fldChar w:fldCharType="end"/>
      </w:r>
      <w:r>
        <w:rPr>
          <w:rFonts w:hint="eastAsia" w:ascii="仿宋" w:hAnsi="仿宋" w:eastAsia="仿宋" w:cs="仿宋"/>
          <w:color w:val="000000" w:themeColor="text1"/>
          <w:sz w:val="26"/>
          <w:szCs w:val="26"/>
        </w:rPr>
        <w:fldChar w:fldCharType="end"/>
      </w:r>
    </w:p>
    <w:p>
      <w:pPr>
        <w:pStyle w:val="37"/>
        <w:tabs>
          <w:tab w:val="right" w:leader="dot" w:pos="8929"/>
          <w:tab w:val="clear" w:pos="9457"/>
        </w:tabs>
        <w:spacing w:before="0"/>
        <w:rPr>
          <w:rFonts w:ascii="仿宋" w:hAnsi="仿宋" w:eastAsia="仿宋" w:cs="仿宋"/>
          <w:color w:val="000000" w:themeColor="text1"/>
          <w:sz w:val="26"/>
          <w:szCs w:val="26"/>
        </w:rPr>
      </w:pPr>
      <w:r>
        <w:fldChar w:fldCharType="begin"/>
      </w:r>
      <w:r>
        <w:instrText xml:space="preserve"> HYPERLINK \l "_Toc14061" </w:instrText>
      </w:r>
      <w:r>
        <w:fldChar w:fldCharType="separate"/>
      </w:r>
      <w:r>
        <w:rPr>
          <w:rFonts w:hint="eastAsia" w:ascii="仿宋" w:hAnsi="仿宋" w:eastAsia="仿宋" w:cs="仿宋"/>
          <w:color w:val="000000" w:themeColor="text1"/>
          <w:sz w:val="26"/>
          <w:szCs w:val="26"/>
        </w:rPr>
        <w:t>十、估价结果</w:t>
      </w:r>
      <w:r>
        <w:rPr>
          <w:rFonts w:hint="eastAsia" w:ascii="仿宋" w:hAnsi="仿宋" w:eastAsia="仿宋" w:cs="仿宋"/>
          <w:color w:val="000000" w:themeColor="text1"/>
          <w:sz w:val="26"/>
          <w:szCs w:val="26"/>
        </w:rPr>
        <w:tab/>
      </w:r>
      <w:r>
        <w:rPr>
          <w:rFonts w:hint="eastAsia" w:ascii="仿宋" w:hAnsi="仿宋" w:eastAsia="仿宋" w:cs="仿宋"/>
          <w:color w:val="000000" w:themeColor="text1"/>
          <w:sz w:val="26"/>
          <w:szCs w:val="26"/>
        </w:rPr>
        <w:fldChar w:fldCharType="begin"/>
      </w:r>
      <w:r>
        <w:rPr>
          <w:rFonts w:hint="eastAsia" w:ascii="仿宋" w:hAnsi="仿宋" w:eastAsia="仿宋" w:cs="仿宋"/>
          <w:color w:val="000000" w:themeColor="text1"/>
          <w:sz w:val="26"/>
          <w:szCs w:val="26"/>
        </w:rPr>
        <w:instrText xml:space="preserve"> PAGEREF _Toc14061 \h </w:instrText>
      </w:r>
      <w:r>
        <w:rPr>
          <w:rFonts w:hint="eastAsia" w:ascii="仿宋" w:hAnsi="仿宋" w:eastAsia="仿宋" w:cs="仿宋"/>
          <w:color w:val="000000" w:themeColor="text1"/>
          <w:sz w:val="26"/>
          <w:szCs w:val="26"/>
        </w:rPr>
        <w:fldChar w:fldCharType="separate"/>
      </w:r>
      <w:r>
        <w:rPr>
          <w:rFonts w:hint="eastAsia" w:ascii="仿宋" w:hAnsi="仿宋" w:eastAsia="仿宋" w:cs="仿宋"/>
          <w:color w:val="000000" w:themeColor="text1"/>
          <w:sz w:val="26"/>
          <w:szCs w:val="26"/>
        </w:rPr>
        <w:t>14</w:t>
      </w:r>
      <w:r>
        <w:rPr>
          <w:rFonts w:hint="eastAsia" w:ascii="仿宋" w:hAnsi="仿宋" w:eastAsia="仿宋" w:cs="仿宋"/>
          <w:color w:val="000000" w:themeColor="text1"/>
          <w:sz w:val="26"/>
          <w:szCs w:val="26"/>
        </w:rPr>
        <w:fldChar w:fldCharType="end"/>
      </w:r>
      <w:r>
        <w:rPr>
          <w:rFonts w:hint="eastAsia" w:ascii="仿宋" w:hAnsi="仿宋" w:eastAsia="仿宋" w:cs="仿宋"/>
          <w:color w:val="000000" w:themeColor="text1"/>
          <w:sz w:val="26"/>
          <w:szCs w:val="26"/>
        </w:rPr>
        <w:fldChar w:fldCharType="end"/>
      </w:r>
    </w:p>
    <w:p>
      <w:pPr>
        <w:pStyle w:val="37"/>
        <w:tabs>
          <w:tab w:val="right" w:leader="dot" w:pos="8929"/>
          <w:tab w:val="clear" w:pos="9457"/>
        </w:tabs>
        <w:spacing w:before="0"/>
        <w:rPr>
          <w:rFonts w:hint="eastAsia" w:ascii="仿宋" w:hAnsi="仿宋" w:eastAsia="仿宋" w:cs="仿宋"/>
          <w:color w:val="000000" w:themeColor="text1"/>
          <w:sz w:val="26"/>
          <w:szCs w:val="26"/>
          <w:lang w:val="en-US" w:eastAsia="zh-CN"/>
        </w:rPr>
      </w:pPr>
      <w:r>
        <w:fldChar w:fldCharType="begin"/>
      </w:r>
      <w:r>
        <w:instrText xml:space="preserve"> HYPERLINK \l "_Toc25750" </w:instrText>
      </w:r>
      <w:r>
        <w:fldChar w:fldCharType="separate"/>
      </w:r>
      <w:r>
        <w:rPr>
          <w:rFonts w:hint="eastAsia" w:ascii="仿宋" w:hAnsi="仿宋" w:eastAsia="仿宋" w:cs="仿宋"/>
          <w:color w:val="000000" w:themeColor="text1"/>
          <w:sz w:val="26"/>
          <w:szCs w:val="26"/>
        </w:rPr>
        <w:t>十一、注册房地产估价师</w:t>
      </w:r>
      <w:r>
        <w:rPr>
          <w:rFonts w:hint="eastAsia" w:ascii="仿宋" w:hAnsi="仿宋" w:eastAsia="仿宋" w:cs="仿宋"/>
          <w:color w:val="000000" w:themeColor="text1"/>
          <w:sz w:val="26"/>
          <w:szCs w:val="26"/>
        </w:rPr>
        <w:tab/>
      </w:r>
      <w:r>
        <w:rPr>
          <w:rFonts w:hint="eastAsia" w:ascii="仿宋" w:hAnsi="仿宋" w:eastAsia="仿宋" w:cs="仿宋"/>
          <w:color w:val="000000" w:themeColor="text1"/>
          <w:sz w:val="26"/>
          <w:szCs w:val="26"/>
          <w:lang w:val="en-US" w:eastAsia="zh-CN"/>
        </w:rPr>
        <w:t>1</w:t>
      </w:r>
      <w:r>
        <w:rPr>
          <w:rFonts w:hint="eastAsia" w:ascii="仿宋" w:hAnsi="仿宋" w:eastAsia="仿宋" w:cs="仿宋"/>
          <w:color w:val="000000" w:themeColor="text1"/>
          <w:sz w:val="26"/>
          <w:szCs w:val="26"/>
        </w:rPr>
        <w:fldChar w:fldCharType="end"/>
      </w:r>
      <w:r>
        <w:rPr>
          <w:rFonts w:hint="eastAsia" w:ascii="仿宋" w:hAnsi="仿宋" w:eastAsia="仿宋" w:cs="仿宋"/>
          <w:color w:val="000000" w:themeColor="text1"/>
          <w:sz w:val="26"/>
          <w:szCs w:val="26"/>
          <w:lang w:val="en-US" w:eastAsia="zh-CN"/>
        </w:rPr>
        <w:t>5</w:t>
      </w:r>
    </w:p>
    <w:p>
      <w:pPr>
        <w:pStyle w:val="37"/>
        <w:tabs>
          <w:tab w:val="right" w:leader="dot" w:pos="8929"/>
          <w:tab w:val="clear" w:pos="9457"/>
        </w:tabs>
        <w:spacing w:before="0"/>
        <w:rPr>
          <w:rFonts w:hint="eastAsia" w:ascii="仿宋" w:hAnsi="仿宋" w:eastAsia="仿宋" w:cs="仿宋"/>
          <w:color w:val="000000" w:themeColor="text1"/>
          <w:sz w:val="26"/>
          <w:szCs w:val="26"/>
          <w:lang w:val="en-US" w:eastAsia="zh-CN"/>
        </w:rPr>
      </w:pPr>
      <w:r>
        <w:fldChar w:fldCharType="begin"/>
      </w:r>
      <w:r>
        <w:instrText xml:space="preserve"> HYPERLINK \l "_Toc4900" </w:instrText>
      </w:r>
      <w:r>
        <w:fldChar w:fldCharType="separate"/>
      </w:r>
      <w:r>
        <w:rPr>
          <w:rFonts w:hint="eastAsia" w:ascii="仿宋" w:hAnsi="仿宋" w:eastAsia="仿宋" w:cs="仿宋"/>
          <w:color w:val="000000" w:themeColor="text1"/>
          <w:sz w:val="26"/>
          <w:szCs w:val="26"/>
        </w:rPr>
        <w:t>十二、实地查勘期</w:t>
      </w:r>
      <w:r>
        <w:rPr>
          <w:rFonts w:hint="eastAsia" w:ascii="仿宋" w:hAnsi="仿宋" w:eastAsia="仿宋" w:cs="仿宋"/>
          <w:color w:val="000000" w:themeColor="text1"/>
          <w:sz w:val="26"/>
          <w:szCs w:val="26"/>
        </w:rPr>
        <w:tab/>
      </w:r>
      <w:r>
        <w:rPr>
          <w:rFonts w:hint="eastAsia" w:ascii="仿宋" w:hAnsi="仿宋" w:eastAsia="仿宋" w:cs="仿宋"/>
          <w:color w:val="000000" w:themeColor="text1"/>
          <w:sz w:val="26"/>
          <w:szCs w:val="26"/>
          <w:lang w:val="en-US" w:eastAsia="zh-CN"/>
        </w:rPr>
        <w:t>1</w:t>
      </w:r>
      <w:r>
        <w:rPr>
          <w:rFonts w:hint="eastAsia" w:ascii="仿宋" w:hAnsi="仿宋" w:eastAsia="仿宋" w:cs="仿宋"/>
          <w:color w:val="000000" w:themeColor="text1"/>
          <w:sz w:val="26"/>
          <w:szCs w:val="26"/>
        </w:rPr>
        <w:fldChar w:fldCharType="end"/>
      </w:r>
      <w:r>
        <w:rPr>
          <w:rFonts w:hint="eastAsia" w:ascii="仿宋" w:hAnsi="仿宋" w:eastAsia="仿宋" w:cs="仿宋"/>
          <w:color w:val="000000" w:themeColor="text1"/>
          <w:sz w:val="26"/>
          <w:szCs w:val="26"/>
          <w:lang w:val="en-US" w:eastAsia="zh-CN"/>
        </w:rPr>
        <w:t>5</w:t>
      </w:r>
    </w:p>
    <w:p>
      <w:pPr>
        <w:pStyle w:val="37"/>
        <w:tabs>
          <w:tab w:val="right" w:leader="dot" w:pos="8929"/>
          <w:tab w:val="clear" w:pos="9457"/>
        </w:tabs>
        <w:spacing w:before="0"/>
        <w:rPr>
          <w:rFonts w:hint="eastAsia" w:ascii="仿宋" w:hAnsi="仿宋" w:eastAsia="仿宋" w:cs="仿宋"/>
          <w:color w:val="000000" w:themeColor="text1"/>
          <w:sz w:val="26"/>
          <w:szCs w:val="26"/>
          <w:lang w:val="en-US" w:eastAsia="zh-CN"/>
        </w:rPr>
      </w:pPr>
      <w:r>
        <w:fldChar w:fldCharType="begin"/>
      </w:r>
      <w:r>
        <w:instrText xml:space="preserve"> HYPERLINK \l "_Toc4940" </w:instrText>
      </w:r>
      <w:r>
        <w:fldChar w:fldCharType="separate"/>
      </w:r>
      <w:r>
        <w:rPr>
          <w:rFonts w:hint="eastAsia" w:ascii="仿宋" w:hAnsi="仿宋" w:eastAsia="仿宋" w:cs="仿宋"/>
          <w:color w:val="000000" w:themeColor="text1"/>
          <w:sz w:val="26"/>
          <w:szCs w:val="26"/>
        </w:rPr>
        <w:t>十三、估价作业期</w:t>
      </w:r>
      <w:r>
        <w:rPr>
          <w:rFonts w:hint="eastAsia" w:ascii="仿宋" w:hAnsi="仿宋" w:eastAsia="仿宋" w:cs="仿宋"/>
          <w:color w:val="000000" w:themeColor="text1"/>
          <w:sz w:val="26"/>
          <w:szCs w:val="26"/>
        </w:rPr>
        <w:tab/>
      </w:r>
      <w:r>
        <w:rPr>
          <w:rFonts w:hint="eastAsia" w:ascii="仿宋" w:hAnsi="仿宋" w:eastAsia="仿宋" w:cs="仿宋"/>
          <w:color w:val="000000" w:themeColor="text1"/>
          <w:sz w:val="26"/>
          <w:szCs w:val="26"/>
          <w:lang w:val="en-US" w:eastAsia="zh-CN"/>
        </w:rPr>
        <w:t>1</w:t>
      </w:r>
      <w:r>
        <w:rPr>
          <w:rFonts w:hint="eastAsia" w:ascii="仿宋" w:hAnsi="仿宋" w:eastAsia="仿宋" w:cs="仿宋"/>
          <w:color w:val="000000" w:themeColor="text1"/>
          <w:sz w:val="26"/>
          <w:szCs w:val="26"/>
        </w:rPr>
        <w:fldChar w:fldCharType="end"/>
      </w:r>
      <w:r>
        <w:rPr>
          <w:rFonts w:hint="eastAsia" w:ascii="仿宋" w:hAnsi="仿宋" w:eastAsia="仿宋" w:cs="仿宋"/>
          <w:color w:val="000000" w:themeColor="text1"/>
          <w:sz w:val="26"/>
          <w:szCs w:val="26"/>
          <w:lang w:val="en-US" w:eastAsia="zh-CN"/>
        </w:rPr>
        <w:t>5</w:t>
      </w:r>
    </w:p>
    <w:p>
      <w:pPr>
        <w:pStyle w:val="37"/>
        <w:tabs>
          <w:tab w:val="right" w:leader="dot" w:pos="8929"/>
          <w:tab w:val="clear" w:pos="9457"/>
        </w:tabs>
        <w:spacing w:before="0"/>
        <w:rPr>
          <w:rFonts w:hint="eastAsia" w:ascii="仿宋" w:hAnsi="仿宋" w:eastAsia="仿宋" w:cs="仿宋"/>
          <w:color w:val="000000" w:themeColor="text1"/>
          <w:sz w:val="26"/>
          <w:szCs w:val="26"/>
          <w:lang w:val="en-US" w:eastAsia="zh-CN"/>
        </w:rPr>
      </w:pPr>
      <w:r>
        <w:fldChar w:fldCharType="begin"/>
      </w:r>
      <w:r>
        <w:instrText xml:space="preserve"> HYPERLINK \l "_Toc6156" </w:instrText>
      </w:r>
      <w:r>
        <w:fldChar w:fldCharType="separate"/>
      </w:r>
      <w:r>
        <w:rPr>
          <w:rFonts w:hint="eastAsia" w:ascii="仿宋" w:hAnsi="仿宋" w:eastAsia="仿宋" w:cs="仿宋"/>
          <w:color w:val="000000" w:themeColor="text1"/>
          <w:sz w:val="26"/>
          <w:szCs w:val="26"/>
        </w:rPr>
        <w:t>十四、估价报告使用期限及限制</w:t>
      </w:r>
      <w:r>
        <w:rPr>
          <w:rFonts w:hint="eastAsia" w:ascii="仿宋" w:hAnsi="仿宋" w:eastAsia="仿宋" w:cs="仿宋"/>
          <w:color w:val="000000" w:themeColor="text1"/>
          <w:sz w:val="26"/>
          <w:szCs w:val="26"/>
        </w:rPr>
        <w:tab/>
      </w:r>
      <w:r>
        <w:rPr>
          <w:rFonts w:hint="eastAsia" w:ascii="仿宋" w:hAnsi="仿宋" w:eastAsia="仿宋" w:cs="仿宋"/>
          <w:color w:val="000000" w:themeColor="text1"/>
          <w:sz w:val="26"/>
          <w:szCs w:val="26"/>
          <w:lang w:val="en-US" w:eastAsia="zh-CN"/>
        </w:rPr>
        <w:t>1</w:t>
      </w:r>
      <w:r>
        <w:rPr>
          <w:rFonts w:hint="eastAsia" w:ascii="仿宋" w:hAnsi="仿宋" w:eastAsia="仿宋" w:cs="仿宋"/>
          <w:color w:val="000000" w:themeColor="text1"/>
          <w:sz w:val="26"/>
          <w:szCs w:val="26"/>
        </w:rPr>
        <w:fldChar w:fldCharType="end"/>
      </w:r>
      <w:r>
        <w:rPr>
          <w:rFonts w:hint="eastAsia" w:ascii="仿宋" w:hAnsi="仿宋" w:eastAsia="仿宋" w:cs="仿宋"/>
          <w:color w:val="000000" w:themeColor="text1"/>
          <w:sz w:val="26"/>
          <w:szCs w:val="26"/>
          <w:lang w:val="en-US" w:eastAsia="zh-CN"/>
        </w:rPr>
        <w:t>5</w:t>
      </w:r>
    </w:p>
    <w:p>
      <w:pPr>
        <w:pStyle w:val="29"/>
        <w:tabs>
          <w:tab w:val="right" w:leader="dot" w:pos="8929"/>
          <w:tab w:val="clear" w:pos="9457"/>
        </w:tabs>
        <w:spacing w:beforeLines="0" w:afterLines="0" w:line="240" w:lineRule="auto"/>
        <w:rPr>
          <w:rFonts w:ascii="仿宋" w:hAnsi="仿宋" w:eastAsia="仿宋" w:cs="仿宋"/>
          <w:color w:val="000000" w:themeColor="text1"/>
          <w:sz w:val="26"/>
          <w:szCs w:val="26"/>
        </w:rPr>
      </w:pPr>
      <w:r>
        <w:fldChar w:fldCharType="begin"/>
      </w:r>
      <w:r>
        <w:instrText xml:space="preserve"> HYPERLINK \l "_Toc11418" </w:instrText>
      </w:r>
      <w:r>
        <w:fldChar w:fldCharType="separate"/>
      </w:r>
      <w:r>
        <w:rPr>
          <w:rFonts w:hint="eastAsia" w:ascii="仿宋" w:hAnsi="仿宋" w:eastAsia="仿宋" w:cs="仿宋"/>
          <w:color w:val="000000" w:themeColor="text1"/>
          <w:sz w:val="26"/>
          <w:szCs w:val="26"/>
        </w:rPr>
        <w:t>附   件</w:t>
      </w:r>
      <w:r>
        <w:rPr>
          <w:rFonts w:hint="eastAsia" w:ascii="仿宋" w:hAnsi="仿宋" w:eastAsia="仿宋" w:cs="仿宋"/>
          <w:color w:val="000000" w:themeColor="text1"/>
          <w:sz w:val="26"/>
          <w:szCs w:val="26"/>
        </w:rPr>
        <w:tab/>
      </w:r>
      <w:r>
        <w:rPr>
          <w:rFonts w:hint="eastAsia" w:ascii="仿宋" w:hAnsi="仿宋" w:eastAsia="仿宋" w:cs="仿宋"/>
          <w:color w:val="000000" w:themeColor="text1"/>
          <w:sz w:val="26"/>
          <w:szCs w:val="26"/>
        </w:rPr>
        <w:fldChar w:fldCharType="begin"/>
      </w:r>
      <w:r>
        <w:rPr>
          <w:rFonts w:hint="eastAsia" w:ascii="仿宋" w:hAnsi="仿宋" w:eastAsia="仿宋" w:cs="仿宋"/>
          <w:color w:val="000000" w:themeColor="text1"/>
          <w:sz w:val="26"/>
          <w:szCs w:val="26"/>
        </w:rPr>
        <w:instrText xml:space="preserve"> PAGEREF _Toc11418 \h </w:instrText>
      </w:r>
      <w:r>
        <w:rPr>
          <w:rFonts w:hint="eastAsia" w:ascii="仿宋" w:hAnsi="仿宋" w:eastAsia="仿宋" w:cs="仿宋"/>
          <w:color w:val="000000" w:themeColor="text1"/>
          <w:sz w:val="26"/>
          <w:szCs w:val="26"/>
        </w:rPr>
        <w:fldChar w:fldCharType="separate"/>
      </w:r>
      <w:r>
        <w:rPr>
          <w:rFonts w:hint="eastAsia" w:ascii="仿宋" w:hAnsi="仿宋" w:eastAsia="仿宋" w:cs="仿宋"/>
          <w:color w:val="000000" w:themeColor="text1"/>
          <w:sz w:val="26"/>
          <w:szCs w:val="26"/>
        </w:rPr>
        <w:t>1</w:t>
      </w:r>
      <w:r>
        <w:rPr>
          <w:rFonts w:hint="eastAsia" w:ascii="仿宋" w:hAnsi="仿宋" w:eastAsia="仿宋" w:cs="仿宋"/>
          <w:color w:val="000000" w:themeColor="text1"/>
          <w:sz w:val="26"/>
          <w:szCs w:val="26"/>
          <w:lang w:val="en-US" w:eastAsia="zh-CN"/>
        </w:rPr>
        <w:t>6</w:t>
      </w:r>
      <w:r>
        <w:rPr>
          <w:rFonts w:hint="eastAsia" w:ascii="仿宋" w:hAnsi="仿宋" w:eastAsia="仿宋" w:cs="仿宋"/>
          <w:color w:val="000000" w:themeColor="text1"/>
          <w:sz w:val="26"/>
          <w:szCs w:val="26"/>
        </w:rPr>
        <w:fldChar w:fldCharType="end"/>
      </w:r>
      <w:r>
        <w:rPr>
          <w:rFonts w:hint="eastAsia" w:ascii="仿宋" w:hAnsi="仿宋" w:eastAsia="仿宋" w:cs="仿宋"/>
          <w:color w:val="000000" w:themeColor="text1"/>
          <w:sz w:val="26"/>
          <w:szCs w:val="26"/>
        </w:rPr>
        <w:fldChar w:fldCharType="end"/>
      </w:r>
    </w:p>
    <w:p>
      <w:pPr>
        <w:keepNext w:val="0"/>
        <w:keepLines w:val="0"/>
        <w:pageBreakBefore w:val="0"/>
        <w:widowControl w:val="0"/>
        <w:kinsoku/>
        <w:wordWrap/>
        <w:overflowPunct/>
        <w:topLinePunct w:val="0"/>
        <w:autoSpaceDE/>
        <w:autoSpaceDN/>
        <w:bidi w:val="0"/>
        <w:spacing w:line="360" w:lineRule="exact"/>
        <w:textAlignment w:val="auto"/>
        <w:rPr>
          <w:rFonts w:ascii="仿宋_GB2312" w:hAnsi="宋体" w:eastAsia="仿宋_GB2312"/>
          <w:snapToGrid w:val="0"/>
          <w:color w:val="000000" w:themeColor="text1"/>
          <w:kern w:val="0"/>
          <w:sz w:val="26"/>
          <w:szCs w:val="26"/>
        </w:rPr>
      </w:pPr>
      <w:r>
        <w:rPr>
          <w:rFonts w:hint="eastAsia" w:ascii="仿宋" w:hAnsi="仿宋" w:eastAsia="仿宋" w:cs="仿宋"/>
          <w:color w:val="000000" w:themeColor="text1"/>
          <w:sz w:val="26"/>
          <w:szCs w:val="26"/>
        </w:rPr>
        <w:fldChar w:fldCharType="end"/>
      </w:r>
      <w:r>
        <w:rPr>
          <w:rFonts w:hint="eastAsia" w:ascii="仿宋" w:hAnsi="仿宋" w:eastAsia="仿宋" w:cs="仿宋"/>
          <w:color w:val="000000" w:themeColor="text1"/>
          <w:sz w:val="26"/>
          <w:szCs w:val="26"/>
        </w:rPr>
        <w:t xml:space="preserve">     </w:t>
      </w:r>
      <w:r>
        <w:rPr>
          <w:rFonts w:hint="eastAsia" w:ascii="仿宋_GB2312" w:hAnsi="宋体" w:eastAsia="仿宋_GB2312"/>
          <w:snapToGrid w:val="0"/>
          <w:color w:val="000000" w:themeColor="text1"/>
          <w:kern w:val="0"/>
          <w:sz w:val="26"/>
          <w:szCs w:val="26"/>
        </w:rPr>
        <w:t>1. 估价对象所处位置示意图</w:t>
      </w:r>
    </w:p>
    <w:p>
      <w:pPr>
        <w:pStyle w:val="80"/>
        <w:keepNext w:val="0"/>
        <w:keepLines w:val="0"/>
        <w:pageBreakBefore w:val="0"/>
        <w:widowControl w:val="0"/>
        <w:tabs>
          <w:tab w:val="left" w:pos="0"/>
          <w:tab w:val="left" w:pos="1418"/>
        </w:tabs>
        <w:kinsoku/>
        <w:wordWrap/>
        <w:overflowPunct/>
        <w:topLinePunct w:val="0"/>
        <w:autoSpaceDE/>
        <w:autoSpaceDN/>
        <w:bidi w:val="0"/>
        <w:adjustRightInd w:val="0"/>
        <w:snapToGrid w:val="0"/>
        <w:spacing w:line="360" w:lineRule="exact"/>
        <w:ind w:left="709" w:firstLine="0" w:firstLineChars="0"/>
        <w:textAlignment w:val="auto"/>
        <w:rPr>
          <w:rFonts w:ascii="仿宋_GB2312" w:hAnsi="宋体" w:eastAsia="仿宋_GB2312"/>
          <w:snapToGrid w:val="0"/>
          <w:color w:val="000000" w:themeColor="text1"/>
          <w:kern w:val="0"/>
          <w:sz w:val="26"/>
          <w:szCs w:val="26"/>
        </w:rPr>
      </w:pPr>
      <w:r>
        <w:rPr>
          <w:rFonts w:hint="eastAsia" w:ascii="仿宋_GB2312" w:hAnsi="宋体" w:eastAsia="仿宋_GB2312"/>
          <w:snapToGrid w:val="0"/>
          <w:color w:val="000000" w:themeColor="text1"/>
          <w:kern w:val="0"/>
          <w:sz w:val="26"/>
          <w:szCs w:val="26"/>
        </w:rPr>
        <w:t>2. 估价对象现场查勘照片</w:t>
      </w:r>
    </w:p>
    <w:p>
      <w:pPr>
        <w:pStyle w:val="80"/>
        <w:keepNext w:val="0"/>
        <w:keepLines w:val="0"/>
        <w:pageBreakBefore w:val="0"/>
        <w:widowControl w:val="0"/>
        <w:tabs>
          <w:tab w:val="left" w:pos="0"/>
          <w:tab w:val="left" w:pos="1418"/>
        </w:tabs>
        <w:kinsoku/>
        <w:wordWrap/>
        <w:overflowPunct/>
        <w:topLinePunct w:val="0"/>
        <w:autoSpaceDE/>
        <w:autoSpaceDN/>
        <w:bidi w:val="0"/>
        <w:adjustRightInd w:val="0"/>
        <w:snapToGrid w:val="0"/>
        <w:spacing w:line="360" w:lineRule="exact"/>
        <w:ind w:left="709" w:firstLine="0" w:firstLineChars="0"/>
        <w:textAlignment w:val="auto"/>
        <w:rPr>
          <w:rFonts w:hint="eastAsia" w:ascii="仿宋_GB2312" w:hAnsi="宋体" w:eastAsia="仿宋_GB2312"/>
          <w:snapToGrid w:val="0"/>
          <w:color w:val="000000" w:themeColor="text1"/>
          <w:kern w:val="0"/>
          <w:sz w:val="26"/>
          <w:szCs w:val="26"/>
        </w:rPr>
      </w:pPr>
      <w:r>
        <w:rPr>
          <w:rFonts w:hint="eastAsia" w:ascii="仿宋_GB2312" w:hAnsi="宋体" w:eastAsia="仿宋_GB2312"/>
          <w:snapToGrid w:val="0"/>
          <w:color w:val="000000" w:themeColor="text1"/>
          <w:kern w:val="0"/>
          <w:sz w:val="26"/>
          <w:szCs w:val="26"/>
          <w:highlight w:val="none"/>
        </w:rPr>
        <w:t>3.《</w:t>
      </w:r>
      <w:r>
        <w:rPr>
          <w:rFonts w:hint="eastAsia" w:ascii="仿宋_GB2312" w:hAnsi="宋体" w:eastAsia="仿宋_GB2312"/>
          <w:snapToGrid w:val="0"/>
          <w:color w:val="000000" w:themeColor="text1"/>
          <w:kern w:val="0"/>
          <w:sz w:val="26"/>
          <w:szCs w:val="26"/>
          <w:highlight w:val="none"/>
          <w:lang w:eastAsia="zh-CN"/>
        </w:rPr>
        <w:t>长安区人民法院司法鉴定委托书</w:t>
      </w:r>
      <w:r>
        <w:rPr>
          <w:rFonts w:hint="eastAsia" w:ascii="仿宋_GB2312" w:hAnsi="宋体" w:eastAsia="仿宋_GB2312"/>
          <w:snapToGrid w:val="0"/>
          <w:color w:val="000000" w:themeColor="text1"/>
          <w:kern w:val="0"/>
          <w:sz w:val="26"/>
          <w:szCs w:val="26"/>
          <w:highlight w:val="none"/>
        </w:rPr>
        <w:t>》复印</w:t>
      </w:r>
      <w:r>
        <w:rPr>
          <w:rFonts w:hint="eastAsia" w:ascii="仿宋_GB2312" w:hAnsi="宋体" w:eastAsia="仿宋_GB2312"/>
          <w:snapToGrid w:val="0"/>
          <w:color w:val="000000" w:themeColor="text1"/>
          <w:kern w:val="0"/>
          <w:sz w:val="26"/>
          <w:szCs w:val="26"/>
        </w:rPr>
        <w:t>件</w:t>
      </w:r>
    </w:p>
    <w:p>
      <w:pPr>
        <w:pStyle w:val="80"/>
        <w:keepNext w:val="0"/>
        <w:keepLines w:val="0"/>
        <w:pageBreakBefore w:val="0"/>
        <w:widowControl w:val="0"/>
        <w:tabs>
          <w:tab w:val="left" w:pos="0"/>
          <w:tab w:val="left" w:pos="1418"/>
        </w:tabs>
        <w:kinsoku/>
        <w:wordWrap/>
        <w:overflowPunct/>
        <w:topLinePunct w:val="0"/>
        <w:autoSpaceDE/>
        <w:autoSpaceDN/>
        <w:bidi w:val="0"/>
        <w:adjustRightInd w:val="0"/>
        <w:snapToGrid w:val="0"/>
        <w:spacing w:line="360" w:lineRule="exact"/>
        <w:ind w:left="709" w:firstLine="0" w:firstLineChars="0"/>
        <w:textAlignment w:val="auto"/>
        <w:rPr>
          <w:rFonts w:hint="eastAsia" w:ascii="仿宋_GB2312" w:hAnsi="宋体" w:eastAsia="仿宋_GB2312"/>
          <w:snapToGrid w:val="0"/>
          <w:color w:val="000000" w:themeColor="text1"/>
          <w:kern w:val="0"/>
          <w:sz w:val="26"/>
          <w:szCs w:val="26"/>
        </w:rPr>
      </w:pPr>
      <w:r>
        <w:rPr>
          <w:rFonts w:hint="eastAsia" w:ascii="仿宋_GB2312" w:hAnsi="宋体" w:eastAsia="仿宋_GB2312"/>
          <w:snapToGrid w:val="0"/>
          <w:color w:val="000000" w:themeColor="text1"/>
          <w:kern w:val="0"/>
          <w:sz w:val="26"/>
          <w:szCs w:val="26"/>
        </w:rPr>
        <w:t>4.《</w:t>
      </w:r>
      <w:r>
        <w:rPr>
          <w:rFonts w:hint="eastAsia" w:ascii="仿宋_GB2312" w:hAnsi="宋体" w:eastAsia="仿宋_GB2312"/>
          <w:snapToGrid w:val="0"/>
          <w:color w:val="000000" w:themeColor="text1"/>
          <w:kern w:val="0"/>
          <w:sz w:val="26"/>
          <w:szCs w:val="26"/>
          <w:lang w:eastAsia="zh-CN"/>
        </w:rPr>
        <w:t>河北省石家庄市长安区人民法院协助执行通知书</w:t>
      </w:r>
      <w:r>
        <w:rPr>
          <w:rFonts w:hint="eastAsia" w:ascii="仿宋_GB2312" w:hAnsi="宋体" w:eastAsia="仿宋_GB2312"/>
          <w:snapToGrid w:val="0"/>
          <w:color w:val="000000" w:themeColor="text1"/>
          <w:kern w:val="0"/>
          <w:sz w:val="26"/>
          <w:szCs w:val="26"/>
        </w:rPr>
        <w:t>》复印件</w:t>
      </w:r>
    </w:p>
    <w:p>
      <w:pPr>
        <w:pStyle w:val="80"/>
        <w:keepNext w:val="0"/>
        <w:keepLines w:val="0"/>
        <w:pageBreakBefore w:val="0"/>
        <w:widowControl w:val="0"/>
        <w:tabs>
          <w:tab w:val="left" w:pos="0"/>
          <w:tab w:val="left" w:pos="1418"/>
        </w:tabs>
        <w:kinsoku/>
        <w:wordWrap/>
        <w:overflowPunct/>
        <w:topLinePunct w:val="0"/>
        <w:autoSpaceDE/>
        <w:autoSpaceDN/>
        <w:bidi w:val="0"/>
        <w:adjustRightInd w:val="0"/>
        <w:snapToGrid w:val="0"/>
        <w:spacing w:line="360" w:lineRule="exact"/>
        <w:ind w:left="709" w:firstLine="0" w:firstLineChars="0"/>
        <w:textAlignment w:val="auto"/>
        <w:rPr>
          <w:rFonts w:hint="eastAsia" w:ascii="仿宋_GB2312" w:hAnsi="宋体" w:eastAsia="仿宋_GB2312"/>
          <w:snapToGrid w:val="0"/>
          <w:color w:val="000000" w:themeColor="text1"/>
          <w:kern w:val="0"/>
          <w:sz w:val="26"/>
          <w:szCs w:val="26"/>
        </w:rPr>
      </w:pPr>
      <w:r>
        <w:rPr>
          <w:rFonts w:hint="eastAsia" w:ascii="仿宋_GB2312" w:hAnsi="宋体" w:eastAsia="仿宋_GB2312"/>
          <w:snapToGrid w:val="0"/>
          <w:color w:val="000000" w:themeColor="text1"/>
          <w:kern w:val="0"/>
          <w:sz w:val="26"/>
          <w:szCs w:val="26"/>
          <w:lang w:val="en-US" w:eastAsia="zh-CN"/>
        </w:rPr>
        <w:t>5</w:t>
      </w:r>
      <w:r>
        <w:rPr>
          <w:rFonts w:hint="eastAsia" w:ascii="仿宋_GB2312" w:hAnsi="宋体" w:eastAsia="仿宋_GB2312"/>
          <w:snapToGrid w:val="0"/>
          <w:color w:val="000000" w:themeColor="text1"/>
          <w:kern w:val="0"/>
          <w:sz w:val="26"/>
          <w:szCs w:val="26"/>
        </w:rPr>
        <w:t>.</w:t>
      </w:r>
      <w:r>
        <w:rPr>
          <w:rFonts w:hint="eastAsia" w:ascii="仿宋_GB2312" w:hAnsi="宋体" w:eastAsia="仿宋_GB2312"/>
          <w:snapToGrid w:val="0"/>
          <w:color w:val="000000" w:themeColor="text1"/>
          <w:kern w:val="0"/>
          <w:sz w:val="26"/>
          <w:szCs w:val="26"/>
          <w:lang w:eastAsia="zh-CN"/>
        </w:rPr>
        <w:t>《石家庄市不动产登记资料查询结果》</w:t>
      </w:r>
      <w:r>
        <w:rPr>
          <w:rFonts w:hint="eastAsia" w:ascii="仿宋_GB2312" w:hAnsi="宋体" w:eastAsia="仿宋_GB2312"/>
          <w:snapToGrid w:val="0"/>
          <w:color w:val="000000" w:themeColor="text1"/>
          <w:kern w:val="0"/>
          <w:sz w:val="26"/>
          <w:szCs w:val="26"/>
        </w:rPr>
        <w:t>复印件</w:t>
      </w:r>
    </w:p>
    <w:p>
      <w:pPr>
        <w:pStyle w:val="80"/>
        <w:keepNext w:val="0"/>
        <w:keepLines w:val="0"/>
        <w:pageBreakBefore w:val="0"/>
        <w:widowControl w:val="0"/>
        <w:tabs>
          <w:tab w:val="left" w:pos="0"/>
          <w:tab w:val="left" w:pos="1418"/>
        </w:tabs>
        <w:kinsoku/>
        <w:wordWrap/>
        <w:overflowPunct/>
        <w:topLinePunct w:val="0"/>
        <w:autoSpaceDE/>
        <w:autoSpaceDN/>
        <w:bidi w:val="0"/>
        <w:adjustRightInd w:val="0"/>
        <w:snapToGrid w:val="0"/>
        <w:spacing w:line="360" w:lineRule="exact"/>
        <w:ind w:left="709" w:firstLine="0" w:firstLineChars="0"/>
        <w:textAlignment w:val="auto"/>
        <w:rPr>
          <w:rFonts w:hint="eastAsia" w:ascii="仿宋_GB2312" w:hAnsi="宋体" w:eastAsia="仿宋_GB2312"/>
          <w:snapToGrid w:val="0"/>
          <w:color w:val="000000" w:themeColor="text1"/>
          <w:kern w:val="0"/>
          <w:sz w:val="26"/>
          <w:szCs w:val="26"/>
          <w:lang w:eastAsia="zh-CN"/>
        </w:rPr>
      </w:pPr>
      <w:r>
        <w:rPr>
          <w:rFonts w:hint="eastAsia" w:ascii="仿宋_GB2312" w:hAnsi="宋体" w:eastAsia="仿宋_GB2312"/>
          <w:snapToGrid w:val="0"/>
          <w:color w:val="000000" w:themeColor="text1"/>
          <w:kern w:val="0"/>
          <w:sz w:val="26"/>
          <w:szCs w:val="26"/>
          <w:lang w:val="en-US" w:eastAsia="zh-CN"/>
        </w:rPr>
        <w:t>6</w:t>
      </w:r>
      <w:r>
        <w:rPr>
          <w:rFonts w:hint="eastAsia" w:ascii="仿宋_GB2312" w:hAnsi="宋体" w:eastAsia="仿宋_GB2312"/>
          <w:snapToGrid w:val="0"/>
          <w:color w:val="000000" w:themeColor="text1"/>
          <w:kern w:val="0"/>
          <w:sz w:val="26"/>
          <w:szCs w:val="26"/>
        </w:rPr>
        <w:t>.</w:t>
      </w:r>
      <w:r>
        <w:rPr>
          <w:rFonts w:hint="eastAsia" w:ascii="仿宋_GB2312" w:hAnsi="宋体" w:eastAsia="仿宋_GB2312"/>
          <w:snapToGrid w:val="0"/>
          <w:color w:val="000000" w:themeColor="text1"/>
          <w:kern w:val="0"/>
          <w:sz w:val="26"/>
          <w:szCs w:val="26"/>
          <w:lang w:val="en-US" w:eastAsia="zh-CN"/>
        </w:rPr>
        <w:t>《</w:t>
      </w:r>
      <w:r>
        <w:rPr>
          <w:rFonts w:hint="eastAsia" w:ascii="仿宋_GB2312" w:hAnsi="宋体" w:eastAsia="仿宋_GB2312"/>
          <w:snapToGrid w:val="0"/>
          <w:color w:val="000000" w:themeColor="text1"/>
          <w:kern w:val="0"/>
          <w:sz w:val="26"/>
          <w:szCs w:val="26"/>
          <w:lang w:eastAsia="zh-CN"/>
        </w:rPr>
        <w:t>当事人身份证》复印件</w:t>
      </w:r>
    </w:p>
    <w:p>
      <w:pPr>
        <w:pStyle w:val="80"/>
        <w:keepNext w:val="0"/>
        <w:keepLines w:val="0"/>
        <w:pageBreakBefore w:val="0"/>
        <w:widowControl w:val="0"/>
        <w:tabs>
          <w:tab w:val="left" w:pos="0"/>
          <w:tab w:val="left" w:pos="1418"/>
        </w:tabs>
        <w:kinsoku/>
        <w:wordWrap/>
        <w:overflowPunct/>
        <w:topLinePunct w:val="0"/>
        <w:autoSpaceDE/>
        <w:autoSpaceDN/>
        <w:bidi w:val="0"/>
        <w:adjustRightInd w:val="0"/>
        <w:snapToGrid w:val="0"/>
        <w:spacing w:line="360" w:lineRule="exact"/>
        <w:ind w:left="709" w:firstLine="0" w:firstLineChars="0"/>
        <w:textAlignment w:val="auto"/>
        <w:rPr>
          <w:rFonts w:hint="eastAsia" w:ascii="仿宋_GB2312" w:hAnsi="宋体" w:eastAsia="仿宋_GB2312"/>
          <w:snapToGrid w:val="0"/>
          <w:color w:val="000000" w:themeColor="text1"/>
          <w:kern w:val="0"/>
          <w:sz w:val="26"/>
          <w:szCs w:val="26"/>
          <w:highlight w:val="none"/>
          <w:lang w:eastAsia="zh-CN"/>
        </w:rPr>
      </w:pPr>
      <w:r>
        <w:rPr>
          <w:rFonts w:hint="eastAsia" w:ascii="仿宋_GB2312" w:hAnsi="宋体" w:eastAsia="仿宋_GB2312"/>
          <w:snapToGrid w:val="0"/>
          <w:color w:val="000000" w:themeColor="text1"/>
          <w:kern w:val="0"/>
          <w:sz w:val="26"/>
          <w:szCs w:val="26"/>
          <w:lang w:val="en-US" w:eastAsia="zh-CN"/>
        </w:rPr>
        <w:t>7</w:t>
      </w:r>
      <w:r>
        <w:rPr>
          <w:rFonts w:hint="eastAsia" w:ascii="仿宋_GB2312" w:hAnsi="宋体" w:eastAsia="仿宋_GB2312"/>
          <w:snapToGrid w:val="0"/>
          <w:color w:val="000000" w:themeColor="text1"/>
          <w:kern w:val="0"/>
          <w:sz w:val="26"/>
          <w:szCs w:val="26"/>
        </w:rPr>
        <w:t>.</w:t>
      </w:r>
      <w:r>
        <w:rPr>
          <w:rFonts w:hint="eastAsia" w:ascii="仿宋_GB2312" w:hAnsi="宋体" w:eastAsia="仿宋_GB2312"/>
          <w:snapToGrid w:val="0"/>
          <w:color w:val="000000" w:themeColor="text1"/>
          <w:kern w:val="0"/>
          <w:sz w:val="26"/>
          <w:szCs w:val="26"/>
          <w:highlight w:val="none"/>
          <w:lang w:eastAsia="zh-CN"/>
        </w:rPr>
        <w:t>《河北省石家庄市长安区人民法院民事调解书》复印件</w:t>
      </w:r>
    </w:p>
    <w:p>
      <w:pPr>
        <w:pStyle w:val="80"/>
        <w:keepNext w:val="0"/>
        <w:keepLines w:val="0"/>
        <w:pageBreakBefore w:val="0"/>
        <w:widowControl w:val="0"/>
        <w:tabs>
          <w:tab w:val="left" w:pos="0"/>
          <w:tab w:val="left" w:pos="1418"/>
        </w:tabs>
        <w:kinsoku/>
        <w:wordWrap/>
        <w:overflowPunct/>
        <w:topLinePunct w:val="0"/>
        <w:autoSpaceDE/>
        <w:autoSpaceDN/>
        <w:bidi w:val="0"/>
        <w:adjustRightInd w:val="0"/>
        <w:snapToGrid w:val="0"/>
        <w:spacing w:line="360" w:lineRule="exact"/>
        <w:ind w:left="709" w:firstLine="0" w:firstLineChars="0"/>
        <w:textAlignment w:val="auto"/>
        <w:rPr>
          <w:rFonts w:ascii="仿宋_GB2312" w:hAnsi="宋体" w:eastAsia="仿宋_GB2312"/>
          <w:snapToGrid w:val="0"/>
          <w:color w:val="000000" w:themeColor="text1"/>
          <w:kern w:val="0"/>
          <w:sz w:val="26"/>
          <w:szCs w:val="26"/>
        </w:rPr>
      </w:pPr>
      <w:r>
        <w:rPr>
          <w:rFonts w:hint="eastAsia" w:ascii="仿宋_GB2312" w:hAnsi="宋体" w:eastAsia="仿宋_GB2312"/>
          <w:snapToGrid w:val="0"/>
          <w:color w:val="000000" w:themeColor="text1"/>
          <w:kern w:val="0"/>
          <w:sz w:val="26"/>
          <w:szCs w:val="26"/>
          <w:lang w:val="en-US" w:eastAsia="zh-CN"/>
        </w:rPr>
        <w:t>8</w:t>
      </w:r>
      <w:r>
        <w:rPr>
          <w:rFonts w:hint="eastAsia" w:ascii="仿宋_GB2312" w:hAnsi="宋体" w:eastAsia="仿宋_GB2312"/>
          <w:snapToGrid w:val="0"/>
          <w:color w:val="000000" w:themeColor="text1"/>
          <w:kern w:val="0"/>
          <w:sz w:val="26"/>
          <w:szCs w:val="26"/>
        </w:rPr>
        <w:t>.房地产估价机构营业执照复印件</w:t>
      </w:r>
    </w:p>
    <w:p>
      <w:pPr>
        <w:pStyle w:val="80"/>
        <w:keepNext w:val="0"/>
        <w:keepLines w:val="0"/>
        <w:pageBreakBefore w:val="0"/>
        <w:widowControl w:val="0"/>
        <w:tabs>
          <w:tab w:val="left" w:pos="0"/>
          <w:tab w:val="left" w:pos="1418"/>
        </w:tabs>
        <w:kinsoku/>
        <w:wordWrap/>
        <w:overflowPunct/>
        <w:topLinePunct w:val="0"/>
        <w:autoSpaceDE/>
        <w:autoSpaceDN/>
        <w:bidi w:val="0"/>
        <w:adjustRightInd w:val="0"/>
        <w:snapToGrid w:val="0"/>
        <w:spacing w:line="360" w:lineRule="exact"/>
        <w:ind w:left="709" w:firstLine="0" w:firstLineChars="0"/>
        <w:textAlignment w:val="auto"/>
        <w:rPr>
          <w:rFonts w:ascii="仿宋_GB2312" w:hAnsi="宋体" w:eastAsia="仿宋_GB2312"/>
          <w:snapToGrid w:val="0"/>
          <w:color w:val="000000" w:themeColor="text1"/>
          <w:kern w:val="0"/>
          <w:sz w:val="26"/>
          <w:szCs w:val="26"/>
        </w:rPr>
      </w:pPr>
      <w:r>
        <w:rPr>
          <w:rFonts w:hint="eastAsia" w:ascii="仿宋_GB2312" w:hAnsi="宋体" w:eastAsia="仿宋_GB2312"/>
          <w:snapToGrid w:val="0"/>
          <w:color w:val="000000" w:themeColor="text1"/>
          <w:kern w:val="0"/>
          <w:sz w:val="26"/>
          <w:szCs w:val="26"/>
          <w:lang w:val="en-US" w:eastAsia="zh-CN"/>
        </w:rPr>
        <w:t>9</w:t>
      </w:r>
      <w:r>
        <w:rPr>
          <w:rFonts w:hint="eastAsia" w:ascii="仿宋_GB2312" w:hAnsi="宋体" w:eastAsia="仿宋_GB2312"/>
          <w:snapToGrid w:val="0"/>
          <w:color w:val="000000" w:themeColor="text1"/>
          <w:kern w:val="0"/>
          <w:sz w:val="26"/>
          <w:szCs w:val="26"/>
        </w:rPr>
        <w:t>.房地产估价机构资格证书复印件</w:t>
      </w:r>
    </w:p>
    <w:p>
      <w:pPr>
        <w:pStyle w:val="80"/>
        <w:keepNext w:val="0"/>
        <w:keepLines w:val="0"/>
        <w:pageBreakBefore w:val="0"/>
        <w:widowControl w:val="0"/>
        <w:tabs>
          <w:tab w:val="left" w:pos="0"/>
          <w:tab w:val="left" w:pos="1418"/>
        </w:tabs>
        <w:kinsoku/>
        <w:wordWrap/>
        <w:overflowPunct/>
        <w:topLinePunct w:val="0"/>
        <w:autoSpaceDE/>
        <w:autoSpaceDN/>
        <w:bidi w:val="0"/>
        <w:adjustRightInd w:val="0"/>
        <w:snapToGrid w:val="0"/>
        <w:spacing w:line="360" w:lineRule="exact"/>
        <w:ind w:left="709" w:firstLine="0" w:firstLineChars="0"/>
        <w:textAlignment w:val="auto"/>
        <w:rPr>
          <w:rFonts w:ascii="仿宋_GB2312" w:hAnsi="宋体" w:eastAsia="仿宋_GB2312"/>
          <w:snapToGrid w:val="0"/>
          <w:color w:val="000000" w:themeColor="text1"/>
          <w:kern w:val="0"/>
          <w:sz w:val="26"/>
          <w:szCs w:val="26"/>
        </w:rPr>
        <w:sectPr>
          <w:pgSz w:w="11906" w:h="16838"/>
          <w:pgMar w:top="1814" w:right="1276" w:bottom="1418" w:left="1701" w:header="1418" w:footer="737" w:gutter="0"/>
          <w:pgBorders>
            <w:top w:val="none" w:sz="0" w:space="0"/>
            <w:left w:val="none" w:sz="0" w:space="0"/>
            <w:bottom w:val="none" w:sz="0" w:space="0"/>
            <w:right w:val="none" w:sz="0" w:space="0"/>
          </w:pgBorders>
          <w:pgNumType w:start="0"/>
          <w:cols w:space="720" w:num="1"/>
          <w:titlePg/>
          <w:docGrid w:linePitch="312" w:charSpace="0"/>
        </w:sectPr>
      </w:pPr>
      <w:r>
        <w:rPr>
          <w:rFonts w:hint="eastAsia" w:ascii="仿宋_GB2312" w:hAnsi="宋体" w:eastAsia="仿宋_GB2312"/>
          <w:snapToGrid w:val="0"/>
          <w:color w:val="000000" w:themeColor="text1"/>
          <w:kern w:val="0"/>
          <w:sz w:val="26"/>
          <w:szCs w:val="26"/>
          <w:lang w:val="en-US" w:eastAsia="zh-CN"/>
        </w:rPr>
        <w:t>10.</w:t>
      </w:r>
      <w:r>
        <w:rPr>
          <w:rFonts w:hint="eastAsia" w:ascii="仿宋_GB2312" w:hAnsi="宋体" w:eastAsia="仿宋_GB2312"/>
          <w:snapToGrid w:val="0"/>
          <w:color w:val="000000" w:themeColor="text1"/>
          <w:kern w:val="0"/>
          <w:sz w:val="26"/>
          <w:szCs w:val="26"/>
        </w:rPr>
        <w:t>房地产估价师资格证复印件</w:t>
      </w:r>
      <w:bookmarkStart w:id="10" w:name="_Toc382493599"/>
      <w:bookmarkStart w:id="11" w:name="_Toc387827678"/>
      <w:bookmarkStart w:id="12" w:name="_Toc367869491"/>
      <w:bookmarkStart w:id="13" w:name="_Toc301369709"/>
    </w:p>
    <w:bookmarkEnd w:id="10"/>
    <w:bookmarkEnd w:id="11"/>
    <w:bookmarkEnd w:id="12"/>
    <w:bookmarkEnd w:id="13"/>
    <w:p>
      <w:pPr>
        <w:pStyle w:val="2"/>
        <w:snapToGrid w:val="0"/>
        <w:spacing w:before="120" w:after="120" w:line="360" w:lineRule="auto"/>
        <w:jc w:val="center"/>
        <w:rPr>
          <w:color w:val="000000" w:themeColor="text1"/>
          <w:sz w:val="36"/>
          <w:szCs w:val="36"/>
        </w:rPr>
      </w:pPr>
      <w:bookmarkStart w:id="14" w:name="_Toc20041"/>
      <w:bookmarkStart w:id="15" w:name="_Toc10895"/>
      <w:bookmarkStart w:id="16" w:name="_Toc17110"/>
      <w:r>
        <w:rPr>
          <w:rFonts w:hint="eastAsia" w:ascii="仿宋_GB2312" w:eastAsia="仿宋_GB2312"/>
          <w:snapToGrid w:val="0"/>
          <w:color w:val="000000" w:themeColor="text1"/>
          <w:kern w:val="0"/>
          <w:sz w:val="36"/>
          <w:szCs w:val="36"/>
        </w:rPr>
        <w:t>估价师声明</w:t>
      </w:r>
      <w:bookmarkEnd w:id="4"/>
      <w:bookmarkEnd w:id="5"/>
      <w:bookmarkEnd w:id="6"/>
      <w:bookmarkEnd w:id="7"/>
      <w:bookmarkEnd w:id="8"/>
      <w:bookmarkEnd w:id="9"/>
      <w:r>
        <w:rPr>
          <w:color w:val="000000" w:themeColor="text1"/>
          <w:sz w:val="36"/>
          <w:szCs w:val="36"/>
        </w:rPr>
        <w:fldChar w:fldCharType="begin"/>
      </w:r>
      <w:r>
        <w:rPr>
          <w:color w:val="000000" w:themeColor="text1"/>
        </w:rPr>
        <w:instrText xml:space="preserve"> TC "</w:instrText>
      </w:r>
      <w:bookmarkStart w:id="17" w:name="_Toc289260246"/>
      <w:bookmarkStart w:id="18" w:name="_Toc288212015"/>
      <w:r>
        <w:rPr>
          <w:rFonts w:hint="eastAsia"/>
          <w:color w:val="000000" w:themeColor="text1"/>
          <w:sz w:val="36"/>
          <w:szCs w:val="36"/>
        </w:rPr>
        <w:instrText xml:space="preserve">三、</w:instrText>
      </w:r>
      <w:r>
        <w:rPr>
          <w:color w:val="000000" w:themeColor="text1"/>
          <w:sz w:val="36"/>
          <w:szCs w:val="36"/>
        </w:rPr>
        <w:instrText xml:space="preserve">注册房地产估价师声明</w:instrText>
      </w:r>
      <w:bookmarkEnd w:id="17"/>
      <w:bookmarkEnd w:id="18"/>
      <w:r>
        <w:rPr>
          <w:color w:val="000000" w:themeColor="text1"/>
        </w:rPr>
        <w:instrText xml:space="preserve">" \f C \l "1"</w:instrText>
      </w:r>
      <w:r>
        <w:rPr>
          <w:color w:val="000000" w:themeColor="text1"/>
          <w:sz w:val="36"/>
          <w:szCs w:val="36"/>
        </w:rPr>
        <w:fldChar w:fldCharType="end"/>
      </w:r>
      <w:bookmarkEnd w:id="14"/>
      <w:bookmarkEnd w:id="15"/>
      <w:bookmarkEnd w:id="16"/>
    </w:p>
    <w:p>
      <w:pPr>
        <w:spacing w:line="560" w:lineRule="exact"/>
        <w:rPr>
          <w:rFonts w:ascii="仿宋_GB2312" w:eastAsia="仿宋_GB2312"/>
          <w:b/>
          <w:color w:val="000000" w:themeColor="text1"/>
          <w:sz w:val="28"/>
          <w:szCs w:val="28"/>
        </w:rPr>
      </w:pPr>
      <w:r>
        <w:rPr>
          <w:rFonts w:hint="eastAsia" w:ascii="仿宋_GB2312" w:eastAsia="仿宋_GB2312"/>
          <w:b/>
          <w:color w:val="000000" w:themeColor="text1"/>
          <w:sz w:val="28"/>
          <w:szCs w:val="28"/>
        </w:rPr>
        <w:t>我们郑重声明：</w:t>
      </w:r>
    </w:p>
    <w:p>
      <w:pPr>
        <w:tabs>
          <w:tab w:val="left" w:pos="0"/>
        </w:tabs>
        <w:adjustRightInd w:val="0"/>
        <w:snapToGrid w:val="0"/>
        <w:spacing w:line="560" w:lineRule="exact"/>
        <w:ind w:firstLine="560" w:firstLineChars="200"/>
        <w:rPr>
          <w:rFonts w:ascii="仿宋_GB2312" w:hAnsi="宋体" w:eastAsia="仿宋_GB2312"/>
          <w:bCs/>
          <w:color w:val="000000" w:themeColor="text1"/>
          <w:sz w:val="28"/>
          <w:szCs w:val="28"/>
        </w:rPr>
      </w:pPr>
      <w:r>
        <w:rPr>
          <w:rFonts w:hint="eastAsia" w:ascii="仿宋_GB2312" w:hAnsi="宋体" w:eastAsia="仿宋_GB2312"/>
          <w:bCs/>
          <w:color w:val="000000" w:themeColor="text1"/>
          <w:sz w:val="28"/>
          <w:szCs w:val="28"/>
        </w:rPr>
        <w:t>1.我们在本估价报告中陈述的事实是真实和准确的。</w:t>
      </w:r>
    </w:p>
    <w:p>
      <w:pPr>
        <w:tabs>
          <w:tab w:val="left" w:pos="0"/>
        </w:tabs>
        <w:adjustRightInd w:val="0"/>
        <w:snapToGrid w:val="0"/>
        <w:spacing w:line="560" w:lineRule="exact"/>
        <w:ind w:firstLine="560" w:firstLineChars="200"/>
        <w:rPr>
          <w:rFonts w:ascii="仿宋_GB2312" w:hAnsi="宋体" w:eastAsia="仿宋_GB2312"/>
          <w:bCs/>
          <w:color w:val="000000" w:themeColor="text1"/>
          <w:sz w:val="28"/>
          <w:szCs w:val="28"/>
        </w:rPr>
      </w:pPr>
      <w:r>
        <w:rPr>
          <w:rFonts w:hint="eastAsia" w:ascii="仿宋_GB2312" w:hAnsi="宋体" w:eastAsia="仿宋_GB2312"/>
          <w:bCs/>
          <w:color w:val="000000" w:themeColor="text1"/>
          <w:sz w:val="28"/>
          <w:szCs w:val="28"/>
        </w:rPr>
        <w:t>2.本估价报告中的分析、意见和结论是我们自己公正的专业分析、意见和结论，但受到估价报告中已说明的假设和限制条件的限制。</w:t>
      </w:r>
    </w:p>
    <w:p>
      <w:pPr>
        <w:tabs>
          <w:tab w:val="left" w:pos="0"/>
        </w:tabs>
        <w:adjustRightInd w:val="0"/>
        <w:snapToGrid w:val="0"/>
        <w:spacing w:line="560" w:lineRule="exact"/>
        <w:ind w:firstLine="560" w:firstLineChars="200"/>
        <w:rPr>
          <w:rFonts w:ascii="仿宋_GB2312" w:hAnsi="宋体" w:eastAsia="仿宋_GB2312"/>
          <w:bCs/>
          <w:color w:val="000000" w:themeColor="text1"/>
          <w:sz w:val="28"/>
          <w:szCs w:val="28"/>
        </w:rPr>
      </w:pPr>
      <w:r>
        <w:rPr>
          <w:rFonts w:hint="eastAsia" w:ascii="仿宋_GB2312" w:hAnsi="宋体" w:eastAsia="仿宋_GB2312"/>
          <w:bCs/>
          <w:color w:val="000000" w:themeColor="text1"/>
          <w:sz w:val="28"/>
          <w:szCs w:val="28"/>
        </w:rPr>
        <w:t>3.我们与本估价报告中的估价对象没有利害关系，也与估价利害关系人没有个人利害关系或偏见。</w:t>
      </w:r>
    </w:p>
    <w:p>
      <w:pPr>
        <w:tabs>
          <w:tab w:val="left" w:pos="0"/>
        </w:tabs>
        <w:adjustRightInd w:val="0"/>
        <w:snapToGrid w:val="0"/>
        <w:spacing w:line="560" w:lineRule="exact"/>
        <w:ind w:firstLine="560" w:firstLineChars="200"/>
        <w:rPr>
          <w:rFonts w:ascii="仿宋_GB2312" w:hAnsi="宋体" w:eastAsia="仿宋_GB2312"/>
          <w:bCs/>
          <w:color w:val="000000" w:themeColor="text1"/>
          <w:sz w:val="28"/>
          <w:szCs w:val="28"/>
        </w:rPr>
      </w:pPr>
      <w:r>
        <w:rPr>
          <w:rFonts w:hint="eastAsia" w:ascii="仿宋_GB2312" w:hAnsi="宋体" w:eastAsia="仿宋_GB2312"/>
          <w:bCs/>
          <w:color w:val="000000" w:themeColor="text1"/>
          <w:sz w:val="28"/>
          <w:szCs w:val="28"/>
        </w:rPr>
        <w:t>4.我们依照中华人民共和国国家标准《房地产估价规范》（GB/T50291-2015）、《房地产估价基本术语标准》（GB/T50899-2013）进行分析，形成意见和结论，撰写本估价报告。</w:t>
      </w:r>
    </w:p>
    <w:p>
      <w:pPr>
        <w:tabs>
          <w:tab w:val="left" w:pos="356"/>
        </w:tabs>
        <w:spacing w:line="560" w:lineRule="exact"/>
        <w:ind w:firstLine="560" w:firstLineChars="200"/>
        <w:rPr>
          <w:rFonts w:ascii="仿宋_GB2312" w:hAnsi="宋体" w:eastAsia="仿宋_GB2312"/>
          <w:bCs/>
          <w:color w:val="000000" w:themeColor="text1"/>
          <w:sz w:val="28"/>
          <w:szCs w:val="28"/>
        </w:rPr>
      </w:pPr>
      <w:r>
        <w:rPr>
          <w:rFonts w:hint="eastAsia" w:ascii="仿宋_GB2312" w:hAnsi="宋体" w:eastAsia="仿宋_GB2312"/>
          <w:bCs/>
          <w:color w:val="000000" w:themeColor="text1"/>
          <w:sz w:val="28"/>
          <w:szCs w:val="28"/>
        </w:rPr>
        <w:t>5.我们于</w:t>
      </w:r>
      <w:r>
        <w:rPr>
          <w:rFonts w:hint="eastAsia" w:ascii="仿宋_GB2312" w:hAnsi="宋体" w:eastAsia="仿宋_GB2312"/>
          <w:bCs/>
          <w:color w:val="000000" w:themeColor="text1"/>
          <w:sz w:val="28"/>
          <w:szCs w:val="28"/>
          <w:lang w:eastAsia="zh-CN"/>
        </w:rPr>
        <w:t>2021年9月29日</w:t>
      </w:r>
      <w:r>
        <w:rPr>
          <w:rFonts w:hint="eastAsia" w:ascii="仿宋_GB2312" w:hAnsi="宋体" w:eastAsia="仿宋_GB2312"/>
          <w:bCs/>
          <w:color w:val="000000" w:themeColor="text1"/>
          <w:sz w:val="28"/>
          <w:szCs w:val="28"/>
        </w:rPr>
        <w:t>对估价对象进行了实地查勘。估价人员对估价对象的勘查限于估价对象的外观和使用状况，估价人员不承担对估价对象建筑结构质量进行调查的责任，也不承担对其他被遮盖未暴露及难以接触到的部分进行勘查的责任。</w:t>
      </w:r>
    </w:p>
    <w:p>
      <w:pPr>
        <w:tabs>
          <w:tab w:val="left" w:pos="0"/>
        </w:tabs>
        <w:adjustRightInd w:val="0"/>
        <w:snapToGrid w:val="0"/>
        <w:spacing w:line="560" w:lineRule="exact"/>
        <w:ind w:firstLine="560" w:firstLineChars="200"/>
        <w:rPr>
          <w:rFonts w:hint="eastAsia" w:ascii="仿宋_GB2312" w:hAnsi="宋体" w:eastAsia="仿宋_GB2312"/>
          <w:bCs/>
          <w:color w:val="000000" w:themeColor="text1"/>
          <w:sz w:val="28"/>
          <w:szCs w:val="28"/>
        </w:rPr>
      </w:pPr>
      <w:r>
        <w:rPr>
          <w:rFonts w:hint="eastAsia" w:ascii="仿宋_GB2312" w:hAnsi="宋体" w:eastAsia="仿宋_GB2312"/>
          <w:bCs/>
          <w:color w:val="000000" w:themeColor="text1"/>
          <w:sz w:val="28"/>
          <w:szCs w:val="28"/>
        </w:rPr>
        <w:t>申请人及房地产估价师一同查勘，并已在查勘记录上签字。</w:t>
      </w:r>
    </w:p>
    <w:p>
      <w:pPr>
        <w:tabs>
          <w:tab w:val="left" w:pos="0"/>
        </w:tabs>
        <w:adjustRightInd w:val="0"/>
        <w:snapToGrid w:val="0"/>
        <w:spacing w:line="560" w:lineRule="exact"/>
        <w:ind w:firstLine="560" w:firstLineChars="200"/>
        <w:rPr>
          <w:rFonts w:ascii="仿宋_GB2312" w:hAnsi="宋体" w:eastAsia="仿宋_GB2312"/>
          <w:bCs/>
          <w:color w:val="000000" w:themeColor="text1"/>
          <w:sz w:val="28"/>
          <w:szCs w:val="28"/>
        </w:rPr>
      </w:pPr>
      <w:r>
        <w:rPr>
          <w:rFonts w:hint="eastAsia" w:ascii="仿宋_GB2312" w:hAnsi="宋体" w:eastAsia="仿宋_GB2312"/>
          <w:bCs/>
          <w:color w:val="000000" w:themeColor="text1"/>
          <w:sz w:val="28"/>
          <w:szCs w:val="28"/>
        </w:rPr>
        <w:t>6.没有人对本估价报告提供重要的专业帮助。</w:t>
      </w:r>
    </w:p>
    <w:p>
      <w:pPr>
        <w:tabs>
          <w:tab w:val="left" w:pos="0"/>
        </w:tabs>
        <w:adjustRightInd w:val="0"/>
        <w:snapToGrid w:val="0"/>
        <w:spacing w:line="360" w:lineRule="auto"/>
        <w:jc w:val="center"/>
        <w:rPr>
          <w:rFonts w:ascii="仿宋_GB2312" w:eastAsia="仿宋_GB2312"/>
          <w:b/>
          <w:snapToGrid w:val="0"/>
          <w:color w:val="000000" w:themeColor="text1"/>
          <w:kern w:val="0"/>
          <w:sz w:val="36"/>
          <w:szCs w:val="36"/>
        </w:rPr>
      </w:pPr>
      <w:r>
        <w:rPr>
          <w:rFonts w:ascii="仿宋_GB2312" w:hAnsi="宋体" w:eastAsia="仿宋_GB2312"/>
          <w:b/>
          <w:color w:val="000000" w:themeColor="text1"/>
          <w:sz w:val="32"/>
          <w:szCs w:val="32"/>
        </w:rPr>
        <w:br w:type="page"/>
      </w:r>
      <w:r>
        <w:rPr>
          <w:rFonts w:hint="eastAsia" w:ascii="仿宋_GB2312" w:eastAsia="仿宋_GB2312"/>
          <w:b/>
          <w:snapToGrid w:val="0"/>
          <w:color w:val="000000" w:themeColor="text1"/>
          <w:kern w:val="0"/>
          <w:sz w:val="36"/>
          <w:szCs w:val="36"/>
        </w:rPr>
        <w:t>估价假设和限制条件</w:t>
      </w:r>
    </w:p>
    <w:p>
      <w:pPr>
        <w:spacing w:line="560" w:lineRule="exact"/>
        <w:ind w:firstLine="562" w:firstLineChars="200"/>
        <w:rPr>
          <w:rFonts w:ascii="仿宋_GB2312" w:hAnsi="宋体" w:eastAsia="仿宋_GB2312"/>
          <w:b/>
          <w:color w:val="000000" w:themeColor="text1"/>
          <w:sz w:val="28"/>
          <w:szCs w:val="28"/>
        </w:rPr>
      </w:pPr>
      <w:r>
        <w:rPr>
          <w:rFonts w:hint="eastAsia" w:ascii="仿宋_GB2312" w:hAnsi="宋体" w:eastAsia="仿宋_GB2312"/>
          <w:b/>
          <w:color w:val="000000" w:themeColor="text1"/>
          <w:sz w:val="28"/>
          <w:szCs w:val="28"/>
        </w:rPr>
        <w:t>1.一般假设</w:t>
      </w:r>
    </w:p>
    <w:p>
      <w:pPr>
        <w:spacing w:line="560" w:lineRule="exact"/>
        <w:ind w:firstLine="560" w:firstLineChars="200"/>
        <w:rPr>
          <w:rFonts w:ascii="仿宋_GB2312" w:hAnsi="宋体" w:eastAsia="仿宋_GB2312"/>
          <w:color w:val="000000" w:themeColor="text1"/>
          <w:sz w:val="28"/>
          <w:szCs w:val="28"/>
        </w:rPr>
      </w:pPr>
      <w:r>
        <w:rPr>
          <w:rFonts w:hint="eastAsia" w:ascii="仿宋_GB2312" w:hAnsi="宋体" w:eastAsia="仿宋_GB2312"/>
          <w:color w:val="000000" w:themeColor="text1"/>
          <w:sz w:val="28"/>
          <w:szCs w:val="28"/>
        </w:rPr>
        <w:t>（1）我们对</w:t>
      </w:r>
      <w:r>
        <w:rPr>
          <w:rFonts w:hint="eastAsia" w:ascii="仿宋_GB2312" w:hAnsi="宋体" w:eastAsia="仿宋_GB2312"/>
          <w:color w:val="000000" w:themeColor="text1"/>
          <w:sz w:val="28"/>
          <w:szCs w:val="28"/>
          <w:lang w:eastAsia="zh-CN"/>
        </w:rPr>
        <w:t>《石家庄市不动产登记资料查询结果》</w:t>
      </w:r>
      <w:r>
        <w:rPr>
          <w:rFonts w:hint="eastAsia" w:ascii="仿宋_GB2312" w:hAnsi="宋体" w:eastAsia="仿宋_GB2312"/>
          <w:color w:val="000000" w:themeColor="text1"/>
          <w:sz w:val="28"/>
          <w:szCs w:val="28"/>
        </w:rPr>
        <w:t>等资料进行了审慎检查，在无理由怀疑其合法性、真实性、准确性和完整性的情况下，假定资料合法、真实、正确、完整。</w:t>
      </w:r>
    </w:p>
    <w:p>
      <w:pPr>
        <w:spacing w:line="560" w:lineRule="exact"/>
        <w:ind w:firstLine="560" w:firstLineChars="200"/>
        <w:rPr>
          <w:rFonts w:ascii="仿宋_GB2312" w:hAnsi="宋体" w:eastAsia="仿宋_GB2312"/>
          <w:color w:val="000000" w:themeColor="text1"/>
          <w:sz w:val="28"/>
          <w:szCs w:val="28"/>
        </w:rPr>
      </w:pPr>
      <w:r>
        <w:rPr>
          <w:rFonts w:hint="eastAsia" w:ascii="仿宋_GB2312" w:hAnsi="宋体" w:eastAsia="仿宋_GB2312"/>
          <w:color w:val="000000" w:themeColor="text1"/>
          <w:sz w:val="28"/>
          <w:szCs w:val="28"/>
        </w:rPr>
        <w:t>（2）注册房地产估价师已对房屋安全、环境污染等影响估价对象价值的重大因素给予了关注。估价人员实地查勘时，未对其做建筑物基础、房屋结构上的测量和实验，本次估价假设估价对象能正常安全使用，无建筑物基础、结构、环境污染等方面的重大质量问题。</w:t>
      </w:r>
    </w:p>
    <w:p>
      <w:pPr>
        <w:spacing w:line="560" w:lineRule="exact"/>
        <w:ind w:firstLine="560" w:firstLineChars="200"/>
        <w:rPr>
          <w:rFonts w:ascii="仿宋_GB2312" w:hAnsi="宋体" w:eastAsia="仿宋_GB2312"/>
          <w:color w:val="000000" w:themeColor="text1"/>
          <w:sz w:val="28"/>
          <w:szCs w:val="28"/>
        </w:rPr>
      </w:pPr>
      <w:r>
        <w:rPr>
          <w:rFonts w:hint="eastAsia" w:ascii="仿宋_GB2312" w:hAnsi="宋体" w:eastAsia="仿宋_GB2312"/>
          <w:color w:val="000000" w:themeColor="text1"/>
          <w:sz w:val="28"/>
          <w:szCs w:val="28"/>
        </w:rPr>
        <w:t>（3）</w:t>
      </w:r>
      <w:r>
        <w:rPr>
          <w:rFonts w:hint="eastAsia" w:ascii="仿宋_GB2312" w:eastAsia="仿宋_GB2312"/>
          <w:color w:val="000000" w:themeColor="text1"/>
          <w:sz w:val="28"/>
          <w:szCs w:val="28"/>
        </w:rPr>
        <w:t>本次估价是以估价委托人提供的与估价对象有关的法律文件、权属证明及调档资料</w:t>
      </w:r>
      <w:r>
        <w:rPr>
          <w:rFonts w:hint="eastAsia" w:ascii="仿宋_GB2312" w:hAnsi="宋体" w:eastAsia="仿宋_GB2312"/>
          <w:color w:val="000000" w:themeColor="text1"/>
          <w:sz w:val="28"/>
          <w:szCs w:val="28"/>
        </w:rPr>
        <w:t>真实、合法、准确、完整为前提。</w:t>
      </w:r>
    </w:p>
    <w:p>
      <w:pPr>
        <w:spacing w:line="560" w:lineRule="exact"/>
        <w:ind w:firstLine="560" w:firstLineChars="200"/>
        <w:rPr>
          <w:rFonts w:ascii="仿宋_GB2312" w:hAnsi="宋体" w:eastAsia="仿宋_GB2312"/>
          <w:color w:val="000000" w:themeColor="text1"/>
          <w:sz w:val="28"/>
          <w:szCs w:val="28"/>
        </w:rPr>
      </w:pPr>
      <w:r>
        <w:rPr>
          <w:rFonts w:hint="eastAsia" w:ascii="仿宋_GB2312" w:hAnsi="宋体" w:eastAsia="仿宋_GB2312"/>
          <w:color w:val="000000" w:themeColor="text1"/>
          <w:sz w:val="28"/>
          <w:szCs w:val="28"/>
        </w:rPr>
        <w:t>（4）市场供应关系、市场结构保持稳定、未发生重大变化或实质性改变。</w:t>
      </w:r>
    </w:p>
    <w:p>
      <w:pPr>
        <w:spacing w:line="560" w:lineRule="exact"/>
        <w:ind w:firstLine="560" w:firstLineChars="200"/>
        <w:rPr>
          <w:rFonts w:ascii="仿宋_GB2312" w:hAnsi="宋体" w:eastAsia="仿宋_GB2312"/>
          <w:color w:val="000000" w:themeColor="text1"/>
          <w:sz w:val="28"/>
          <w:szCs w:val="28"/>
          <w:highlight w:val="none"/>
        </w:rPr>
      </w:pPr>
      <w:r>
        <w:rPr>
          <w:rFonts w:hint="eastAsia" w:ascii="仿宋_GB2312" w:hAnsi="宋体" w:eastAsia="仿宋_GB2312"/>
          <w:color w:val="000000" w:themeColor="text1"/>
          <w:sz w:val="28"/>
          <w:szCs w:val="28"/>
          <w:highlight w:val="none"/>
        </w:rPr>
        <w:t>（</w:t>
      </w:r>
      <w:r>
        <w:rPr>
          <w:rFonts w:hint="eastAsia" w:ascii="仿宋_GB2312" w:hAnsi="宋体" w:eastAsia="仿宋_GB2312"/>
          <w:color w:val="000000" w:themeColor="text1"/>
          <w:sz w:val="28"/>
          <w:szCs w:val="28"/>
          <w:highlight w:val="none"/>
          <w:lang w:val="en-US" w:eastAsia="zh-CN"/>
        </w:rPr>
        <w:t>5</w:t>
      </w:r>
      <w:r>
        <w:rPr>
          <w:rFonts w:hint="eastAsia" w:ascii="仿宋_GB2312" w:hAnsi="宋体" w:eastAsia="仿宋_GB2312"/>
          <w:color w:val="000000" w:themeColor="text1"/>
          <w:sz w:val="28"/>
          <w:szCs w:val="28"/>
          <w:highlight w:val="none"/>
        </w:rPr>
        <w:t>）</w:t>
      </w:r>
      <w:r>
        <w:rPr>
          <w:rFonts w:hint="eastAsia" w:ascii="仿宋_GB2312" w:hAnsi="仿宋_GB2312" w:eastAsia="仿宋_GB2312" w:cs="仿宋_GB2312"/>
          <w:color w:val="000000" w:themeColor="text1"/>
          <w:sz w:val="28"/>
          <w:szCs w:val="28"/>
          <w:highlight w:val="none"/>
          <w:lang w:bidi="ar"/>
        </w:rPr>
        <w:t>根据调档资料</w:t>
      </w:r>
      <w:r>
        <w:rPr>
          <w:rFonts w:hint="eastAsia" w:ascii="仿宋_GB2312" w:hAnsi="宋体" w:eastAsia="仿宋_GB2312" w:cs="仿宋_GB2312"/>
          <w:color w:val="000000" w:themeColor="text1"/>
          <w:sz w:val="28"/>
          <w:szCs w:val="28"/>
          <w:highlight w:val="none"/>
          <w:lang w:eastAsia="zh-CN" w:bidi="ar"/>
        </w:rPr>
        <w:t>《石家庄市不动产登记资料查询结果》</w:t>
      </w:r>
      <w:r>
        <w:rPr>
          <w:rFonts w:hint="eastAsia" w:ascii="仿宋_GB2312" w:hAnsi="仿宋_GB2312" w:eastAsia="仿宋_GB2312" w:cs="仿宋_GB2312"/>
          <w:color w:val="000000" w:themeColor="text1"/>
          <w:sz w:val="28"/>
          <w:szCs w:val="28"/>
          <w:highlight w:val="none"/>
          <w:lang w:bidi="ar"/>
        </w:rPr>
        <w:t>记载</w:t>
      </w:r>
      <w:r>
        <w:rPr>
          <w:rFonts w:hint="eastAsia" w:ascii="仿宋_GB2312" w:hAnsi="仿宋_GB2312" w:eastAsia="仿宋_GB2312" w:cs="仿宋_GB2312"/>
          <w:color w:val="000000" w:themeColor="text1"/>
          <w:sz w:val="28"/>
          <w:szCs w:val="28"/>
          <w:highlight w:val="none"/>
        </w:rPr>
        <w:t>，</w:t>
      </w:r>
      <w:r>
        <w:rPr>
          <w:rFonts w:hint="eastAsia" w:ascii="仿宋_GB2312" w:hAnsi="仿宋_GB2312" w:eastAsia="仿宋_GB2312" w:cs="仿宋_GB2312"/>
          <w:color w:val="000000" w:themeColor="text1"/>
          <w:sz w:val="28"/>
          <w:szCs w:val="28"/>
          <w:highlight w:val="none"/>
          <w:lang w:val="en-US" w:eastAsia="zh-CN"/>
        </w:rPr>
        <w:t>估价对象存在抵押权，估价对象为自用房地产，除此之外</w:t>
      </w:r>
      <w:r>
        <w:rPr>
          <w:rFonts w:hint="eastAsia" w:ascii="仿宋_GB2312" w:hAnsi="宋体" w:eastAsia="仿宋_GB2312"/>
          <w:color w:val="000000" w:themeColor="text1"/>
          <w:sz w:val="28"/>
          <w:szCs w:val="28"/>
          <w:highlight w:val="none"/>
        </w:rPr>
        <w:t>人民法院未明确存在</w:t>
      </w:r>
      <w:r>
        <w:rPr>
          <w:rFonts w:hint="eastAsia" w:ascii="仿宋_GB2312" w:hAnsi="宋体" w:eastAsia="仿宋_GB2312"/>
          <w:color w:val="000000" w:themeColor="text1"/>
          <w:sz w:val="28"/>
          <w:szCs w:val="28"/>
          <w:highlight w:val="none"/>
          <w:lang w:val="en-US" w:eastAsia="zh-CN"/>
        </w:rPr>
        <w:t>其他</w:t>
      </w:r>
      <w:r>
        <w:rPr>
          <w:rFonts w:hint="eastAsia" w:ascii="仿宋_GB2312" w:hAnsi="宋体" w:eastAsia="仿宋_GB2312"/>
          <w:color w:val="000000" w:themeColor="text1"/>
          <w:sz w:val="28"/>
          <w:szCs w:val="28"/>
          <w:highlight w:val="none"/>
        </w:rPr>
        <w:t>用益物权及占有使用情况，估价人员经过尽职调查后也未发现、掌握相关情况，故假定评估对象不存在租赁权、</w:t>
      </w:r>
      <w:r>
        <w:rPr>
          <w:rFonts w:hint="eastAsia" w:ascii="仿宋_GB2312" w:hAnsi="宋体" w:eastAsia="仿宋_GB2312"/>
          <w:color w:val="000000" w:themeColor="text1"/>
          <w:sz w:val="28"/>
          <w:szCs w:val="28"/>
          <w:highlight w:val="none"/>
          <w:lang w:val="en-US" w:eastAsia="zh-CN"/>
        </w:rPr>
        <w:t>其他</w:t>
      </w:r>
      <w:r>
        <w:rPr>
          <w:rFonts w:hint="eastAsia" w:ascii="仿宋_GB2312" w:hAnsi="宋体" w:eastAsia="仿宋_GB2312"/>
          <w:color w:val="000000" w:themeColor="text1"/>
          <w:sz w:val="28"/>
          <w:szCs w:val="28"/>
          <w:highlight w:val="none"/>
        </w:rPr>
        <w:t>用益物权及占有使用情况。</w:t>
      </w:r>
    </w:p>
    <w:p>
      <w:pPr>
        <w:spacing w:line="560" w:lineRule="exact"/>
        <w:ind w:firstLine="560" w:firstLineChars="200"/>
        <w:rPr>
          <w:rFonts w:ascii="仿宋_GB2312" w:hAnsi="宋体" w:eastAsia="仿宋_GB2312"/>
          <w:color w:val="000000" w:themeColor="text1"/>
          <w:sz w:val="28"/>
          <w:szCs w:val="28"/>
        </w:rPr>
      </w:pPr>
      <w:r>
        <w:rPr>
          <w:rFonts w:hint="eastAsia" w:ascii="仿宋_GB2312" w:hAnsi="宋体" w:eastAsia="仿宋_GB2312"/>
          <w:color w:val="000000" w:themeColor="text1"/>
          <w:sz w:val="28"/>
          <w:szCs w:val="28"/>
          <w:highlight w:val="none"/>
        </w:rPr>
        <w:t>（</w:t>
      </w:r>
      <w:r>
        <w:rPr>
          <w:rFonts w:hint="eastAsia" w:ascii="仿宋_GB2312" w:hAnsi="宋体" w:eastAsia="仿宋_GB2312"/>
          <w:color w:val="000000" w:themeColor="text1"/>
          <w:sz w:val="28"/>
          <w:szCs w:val="28"/>
          <w:highlight w:val="none"/>
          <w:lang w:val="en-US" w:eastAsia="zh-CN"/>
        </w:rPr>
        <w:t>6</w:t>
      </w:r>
      <w:r>
        <w:rPr>
          <w:rFonts w:hint="eastAsia" w:ascii="仿宋_GB2312" w:hAnsi="宋体" w:eastAsia="仿宋_GB2312"/>
          <w:color w:val="000000" w:themeColor="text1"/>
          <w:sz w:val="28"/>
          <w:szCs w:val="28"/>
          <w:highlight w:val="none"/>
        </w:rPr>
        <w:t>）人</w:t>
      </w:r>
      <w:r>
        <w:rPr>
          <w:rFonts w:hint="eastAsia" w:ascii="仿宋_GB2312" w:hAnsi="宋体" w:eastAsia="仿宋_GB2312"/>
          <w:color w:val="000000" w:themeColor="text1"/>
          <w:sz w:val="28"/>
          <w:szCs w:val="28"/>
        </w:rPr>
        <w:t>民法院未明确估价对象存在欠缴税金及相关费用（包括税收、物业费、供暖费、水电气费等及其滞纳金），故假定评估对象不存在欠缴税金及相关费用。</w:t>
      </w:r>
    </w:p>
    <w:p>
      <w:pPr>
        <w:spacing w:line="560" w:lineRule="exact"/>
        <w:ind w:firstLine="562" w:firstLineChars="200"/>
        <w:rPr>
          <w:rFonts w:ascii="仿宋_GB2312" w:hAnsi="宋体" w:eastAsia="仿宋_GB2312"/>
          <w:color w:val="000000" w:themeColor="text1"/>
          <w:sz w:val="28"/>
          <w:szCs w:val="28"/>
        </w:rPr>
      </w:pPr>
      <w:r>
        <w:rPr>
          <w:rFonts w:hint="eastAsia" w:ascii="仿宋_GB2312" w:hAnsi="宋体" w:eastAsia="仿宋_GB2312"/>
          <w:b/>
          <w:color w:val="000000" w:themeColor="text1"/>
          <w:sz w:val="28"/>
          <w:szCs w:val="28"/>
        </w:rPr>
        <w:t>2.未定事项假设</w:t>
      </w:r>
    </w:p>
    <w:p>
      <w:pPr>
        <w:spacing w:line="560" w:lineRule="exact"/>
        <w:ind w:firstLine="560" w:firstLineChars="200"/>
        <w:rPr>
          <w:rFonts w:ascii="仿宋_GB2312" w:hAnsi="宋体" w:eastAsia="仿宋_GB2312"/>
          <w:color w:val="000000" w:themeColor="text1"/>
          <w:sz w:val="28"/>
          <w:szCs w:val="28"/>
        </w:rPr>
      </w:pPr>
      <w:r>
        <w:rPr>
          <w:rFonts w:hint="eastAsia" w:ascii="仿宋_GB2312" w:hAnsi="宋体" w:eastAsia="仿宋_GB2312"/>
          <w:color w:val="000000" w:themeColor="text1"/>
          <w:sz w:val="28"/>
          <w:szCs w:val="28"/>
        </w:rPr>
        <w:t>无未定事项假设。</w:t>
      </w:r>
    </w:p>
    <w:p>
      <w:pPr>
        <w:spacing w:line="560" w:lineRule="exact"/>
        <w:ind w:firstLine="562" w:firstLineChars="200"/>
        <w:rPr>
          <w:rFonts w:ascii="仿宋_GB2312" w:hAnsi="宋体" w:eastAsia="仿宋_GB2312"/>
          <w:b/>
          <w:color w:val="000000" w:themeColor="text1"/>
          <w:sz w:val="28"/>
          <w:szCs w:val="28"/>
        </w:rPr>
      </w:pPr>
      <w:r>
        <w:rPr>
          <w:rFonts w:hint="eastAsia" w:ascii="仿宋_GB2312" w:hAnsi="宋体" w:eastAsia="仿宋_GB2312"/>
          <w:b/>
          <w:color w:val="000000" w:themeColor="text1"/>
          <w:sz w:val="28"/>
          <w:szCs w:val="28"/>
        </w:rPr>
        <w:t>3.背离事实假设</w:t>
      </w:r>
    </w:p>
    <w:p>
      <w:pPr>
        <w:snapToGrid w:val="0"/>
        <w:spacing w:line="560" w:lineRule="exact"/>
        <w:ind w:firstLine="560" w:firstLineChars="200"/>
        <w:rPr>
          <w:rFonts w:ascii="仿宋_GB2312" w:eastAsia="仿宋_GB2312" w:cs="仿宋_GB2312"/>
          <w:color w:val="000000" w:themeColor="text1"/>
          <w:sz w:val="28"/>
          <w:szCs w:val="28"/>
          <w:lang w:bidi="ar"/>
        </w:rPr>
      </w:pPr>
      <w:r>
        <w:rPr>
          <w:rFonts w:hint="eastAsia" w:ascii="仿宋_GB2312" w:hAnsi="宋体" w:eastAsia="仿宋_GB2312" w:cs="宋体"/>
          <w:color w:val="000000" w:themeColor="text1"/>
          <w:sz w:val="28"/>
          <w:szCs w:val="28"/>
          <w:lang w:bidi="ar"/>
        </w:rPr>
        <w:t>根据</w:t>
      </w:r>
      <w:r>
        <w:rPr>
          <w:rFonts w:hint="eastAsia" w:ascii="仿宋_GB2312" w:hAnsi="宋体" w:eastAsia="仿宋_GB2312" w:cs="宋体"/>
          <w:color w:val="000000" w:themeColor="text1"/>
          <w:sz w:val="28"/>
          <w:szCs w:val="28"/>
          <w:lang w:eastAsia="zh-CN" w:bidi="ar"/>
        </w:rPr>
        <w:t>《石家庄市不动产登记资料查询结果》</w:t>
      </w:r>
      <w:r>
        <w:rPr>
          <w:rFonts w:hint="eastAsia" w:ascii="仿宋_GB2312" w:hAnsi="宋体" w:eastAsia="仿宋_GB2312" w:cs="宋体"/>
          <w:color w:val="000000" w:themeColor="text1"/>
          <w:sz w:val="28"/>
          <w:szCs w:val="28"/>
          <w:lang w:bidi="ar"/>
        </w:rPr>
        <w:t>，至价值时点，估价对</w:t>
      </w:r>
      <w:r>
        <w:rPr>
          <w:rFonts w:hint="eastAsia" w:ascii="仿宋_GB2312" w:eastAsia="仿宋_GB2312" w:cs="仿宋_GB2312"/>
          <w:color w:val="000000" w:themeColor="text1"/>
          <w:sz w:val="28"/>
          <w:szCs w:val="28"/>
          <w:lang w:bidi="ar"/>
        </w:rPr>
        <w:t>象处于被查封状态。结合估价目的，本次评估不考虑估价对象被查封以及原有的担保物权和其他优先受偿权的影响。</w:t>
      </w:r>
    </w:p>
    <w:p>
      <w:pPr>
        <w:numPr>
          <w:ilvl w:val="0"/>
          <w:numId w:val="1"/>
        </w:numPr>
        <w:spacing w:line="560" w:lineRule="exact"/>
        <w:ind w:firstLine="562" w:firstLineChars="200"/>
        <w:rPr>
          <w:rFonts w:ascii="仿宋_GB2312" w:hAnsi="宋体" w:eastAsia="仿宋_GB2312"/>
          <w:b/>
          <w:color w:val="000000" w:themeColor="text1"/>
          <w:sz w:val="28"/>
          <w:szCs w:val="28"/>
        </w:rPr>
      </w:pPr>
      <w:r>
        <w:rPr>
          <w:rFonts w:hint="eastAsia" w:ascii="仿宋_GB2312" w:hAnsi="宋体" w:eastAsia="仿宋_GB2312"/>
          <w:b/>
          <w:color w:val="000000" w:themeColor="text1"/>
          <w:sz w:val="28"/>
          <w:szCs w:val="28"/>
        </w:rPr>
        <w:t>不相一致假设</w:t>
      </w:r>
    </w:p>
    <w:p>
      <w:pPr>
        <w:snapToGrid w:val="0"/>
        <w:spacing w:line="560" w:lineRule="exact"/>
        <w:ind w:firstLine="560" w:firstLineChars="200"/>
        <w:rPr>
          <w:rFonts w:hint="eastAsia" w:ascii="仿宋_GB2312" w:hAnsi="宋体" w:eastAsia="仿宋_GB2312"/>
          <w:b/>
          <w:color w:val="000000" w:themeColor="text1"/>
          <w:sz w:val="28"/>
          <w:szCs w:val="28"/>
          <w:highlight w:val="none"/>
          <w:lang w:val="en-US" w:eastAsia="zh-CN"/>
        </w:rPr>
      </w:pPr>
      <w:r>
        <w:rPr>
          <w:rFonts w:hint="eastAsia" w:ascii="仿宋_GB2312" w:hAnsi="仿宋_GB2312" w:eastAsia="仿宋_GB2312" w:cs="仿宋_GB2312"/>
          <w:color w:val="000000" w:themeColor="text1"/>
          <w:sz w:val="28"/>
          <w:szCs w:val="28"/>
          <w:lang w:eastAsia="zh-CN" w:bidi="ar"/>
        </w:rPr>
        <w:t>无不相一致假设。</w:t>
      </w:r>
    </w:p>
    <w:p>
      <w:pPr>
        <w:numPr>
          <w:ilvl w:val="0"/>
          <w:numId w:val="2"/>
        </w:numPr>
        <w:adjustRightInd w:val="0"/>
        <w:snapToGrid w:val="0"/>
        <w:spacing w:line="560" w:lineRule="exact"/>
        <w:ind w:firstLine="562" w:firstLineChars="200"/>
        <w:rPr>
          <w:rFonts w:ascii="仿宋_GB2312" w:hAnsi="宋体" w:eastAsia="仿宋_GB2312"/>
          <w:b/>
          <w:color w:val="000000" w:themeColor="text1"/>
          <w:sz w:val="28"/>
          <w:szCs w:val="28"/>
        </w:rPr>
      </w:pPr>
      <w:r>
        <w:rPr>
          <w:rFonts w:hint="eastAsia" w:ascii="仿宋_GB2312" w:hAnsi="宋体" w:eastAsia="仿宋_GB2312"/>
          <w:b/>
          <w:color w:val="000000" w:themeColor="text1"/>
          <w:sz w:val="28"/>
          <w:szCs w:val="28"/>
        </w:rPr>
        <w:t>依据不足假设</w:t>
      </w:r>
    </w:p>
    <w:p>
      <w:pPr>
        <w:numPr>
          <w:ilvl w:val="0"/>
          <w:numId w:val="0"/>
        </w:numPr>
        <w:spacing w:line="560" w:lineRule="exact"/>
        <w:ind w:firstLine="560" w:firstLineChars="200"/>
        <w:rPr>
          <w:rFonts w:hint="eastAsia" w:ascii="仿宋_GB2312" w:eastAsia="仿宋_GB2312"/>
          <w:color w:val="000000"/>
          <w:sz w:val="28"/>
          <w:szCs w:val="28"/>
          <w:lang w:eastAsia="zh-CN"/>
        </w:rPr>
      </w:pPr>
      <w:r>
        <w:rPr>
          <w:rFonts w:hint="eastAsia" w:ascii="仿宋_GB2312" w:eastAsia="仿宋_GB2312"/>
          <w:color w:val="000000"/>
          <w:sz w:val="28"/>
          <w:szCs w:val="28"/>
          <w:lang w:eastAsia="zh-CN"/>
        </w:rPr>
        <w:t>《石家庄市不动产登记资料查询结果》未记载估价对象建筑结构，根据现场查勘，估价对象建筑结构为混合结构，本次估价以现场查勘状况为准，如与实际不符，估价报告作相应调整。</w:t>
      </w:r>
    </w:p>
    <w:p>
      <w:pPr>
        <w:numPr>
          <w:ilvl w:val="0"/>
          <w:numId w:val="0"/>
        </w:numPr>
        <w:spacing w:line="560" w:lineRule="exact"/>
        <w:ind w:firstLine="560" w:firstLineChars="200"/>
        <w:rPr>
          <w:rFonts w:hint="eastAsia" w:ascii="仿宋_GB2312" w:eastAsia="仿宋_GB2312"/>
          <w:color w:val="000000"/>
          <w:sz w:val="28"/>
          <w:szCs w:val="28"/>
          <w:lang w:eastAsia="zh-CN"/>
        </w:rPr>
      </w:pPr>
      <w:r>
        <w:rPr>
          <w:rFonts w:hint="eastAsia" w:ascii="仿宋_GB2312" w:eastAsia="仿宋_GB2312"/>
          <w:color w:val="000000"/>
          <w:sz w:val="28"/>
          <w:szCs w:val="28"/>
          <w:lang w:eastAsia="zh-CN"/>
        </w:rPr>
        <w:t>《石家庄市不动产登记资料查询结果》未记载估价对象总层数，根据现场查勘，估价对象总层数为地上</w:t>
      </w:r>
      <w:r>
        <w:rPr>
          <w:rFonts w:hint="eastAsia" w:ascii="仿宋_GB2312" w:eastAsia="仿宋_GB2312"/>
          <w:color w:val="000000"/>
          <w:sz w:val="28"/>
          <w:szCs w:val="28"/>
          <w:lang w:val="en-US" w:eastAsia="zh-CN"/>
        </w:rPr>
        <w:t>6层，地下1层</w:t>
      </w:r>
      <w:r>
        <w:rPr>
          <w:rFonts w:hint="eastAsia" w:ascii="仿宋_GB2312" w:eastAsia="仿宋_GB2312"/>
          <w:color w:val="000000"/>
          <w:sz w:val="28"/>
          <w:szCs w:val="28"/>
          <w:lang w:eastAsia="zh-CN"/>
        </w:rPr>
        <w:t>，本次估价以现场查勘状况为准，如与实际不符，估价报告作相应调整。</w:t>
      </w:r>
    </w:p>
    <w:p>
      <w:pPr>
        <w:numPr>
          <w:ilvl w:val="0"/>
          <w:numId w:val="0"/>
        </w:numPr>
        <w:spacing w:line="560" w:lineRule="exact"/>
        <w:ind w:firstLine="560" w:firstLineChars="200"/>
        <w:rPr>
          <w:rFonts w:hint="eastAsia" w:ascii="仿宋_GB2312" w:eastAsia="仿宋_GB2312"/>
          <w:color w:val="000000"/>
          <w:sz w:val="28"/>
          <w:szCs w:val="28"/>
          <w:highlight w:val="none"/>
          <w:lang w:eastAsia="zh-CN"/>
        </w:rPr>
      </w:pPr>
      <w:r>
        <w:rPr>
          <w:rFonts w:hint="eastAsia" w:ascii="仿宋_GB2312" w:eastAsia="仿宋_GB2312"/>
          <w:color w:val="000000"/>
          <w:sz w:val="28"/>
          <w:szCs w:val="28"/>
          <w:highlight w:val="none"/>
          <w:lang w:eastAsia="zh-CN"/>
        </w:rPr>
        <w:t>《石家庄市不动产登记资料查询结果》未记载估价对象土地用途，本次估价假设估价对象土地用途为住宅用地，如与实际不符，估价报告作相应调整。</w:t>
      </w:r>
    </w:p>
    <w:p>
      <w:pPr>
        <w:numPr>
          <w:ilvl w:val="0"/>
          <w:numId w:val="0"/>
        </w:numPr>
        <w:spacing w:line="560" w:lineRule="exact"/>
        <w:ind w:firstLine="560" w:firstLineChars="200"/>
        <w:rPr>
          <w:rFonts w:hint="default" w:ascii="仿宋_GB2312" w:eastAsia="仿宋_GB2312"/>
          <w:color w:val="000000"/>
          <w:sz w:val="28"/>
          <w:szCs w:val="28"/>
          <w:highlight w:val="yellow"/>
          <w:lang w:val="en-US" w:eastAsia="zh-CN"/>
        </w:rPr>
      </w:pPr>
      <w:r>
        <w:rPr>
          <w:rFonts w:hint="eastAsia" w:ascii="仿宋_GB2312" w:eastAsia="仿宋_GB2312"/>
          <w:color w:val="000000"/>
          <w:sz w:val="28"/>
          <w:szCs w:val="28"/>
          <w:highlight w:val="none"/>
          <w:lang w:eastAsia="zh-CN"/>
        </w:rPr>
        <w:t>《石家庄市不动产登记资料查询结果》未记载估价对象建成年代，根据委托人介绍及现场查勘，估价对象建成于</w:t>
      </w:r>
      <w:r>
        <w:rPr>
          <w:rFonts w:hint="eastAsia" w:ascii="仿宋_GB2312" w:eastAsia="仿宋_GB2312"/>
          <w:color w:val="000000"/>
          <w:sz w:val="28"/>
          <w:szCs w:val="28"/>
          <w:highlight w:val="none"/>
          <w:lang w:val="en-US" w:eastAsia="zh-CN"/>
        </w:rPr>
        <w:t>2004年，</w:t>
      </w:r>
      <w:r>
        <w:rPr>
          <w:rFonts w:hint="eastAsia" w:ascii="仿宋_GB2312" w:eastAsia="仿宋_GB2312"/>
          <w:color w:val="000000"/>
          <w:sz w:val="28"/>
          <w:szCs w:val="28"/>
          <w:highlight w:val="none"/>
          <w:lang w:eastAsia="zh-CN"/>
        </w:rPr>
        <w:t>本次估价以现场查</w:t>
      </w:r>
      <w:r>
        <w:rPr>
          <w:rFonts w:hint="eastAsia" w:ascii="仿宋_GB2312" w:eastAsia="仿宋_GB2312"/>
          <w:color w:val="000000"/>
          <w:sz w:val="28"/>
          <w:szCs w:val="28"/>
          <w:lang w:eastAsia="zh-CN"/>
        </w:rPr>
        <w:t>勘状况为准，如与实际不符，估价报告作相应调整。</w:t>
      </w:r>
    </w:p>
    <w:p>
      <w:pPr>
        <w:adjustRightInd w:val="0"/>
        <w:snapToGrid w:val="0"/>
        <w:spacing w:line="560" w:lineRule="exact"/>
        <w:ind w:firstLine="562" w:firstLineChars="200"/>
        <w:rPr>
          <w:rFonts w:ascii="仿宋_GB2312" w:hAnsi="宋体" w:eastAsia="仿宋_GB2312"/>
          <w:b/>
          <w:color w:val="000000" w:themeColor="text1"/>
          <w:sz w:val="28"/>
          <w:szCs w:val="28"/>
        </w:rPr>
      </w:pPr>
      <w:r>
        <w:rPr>
          <w:rFonts w:hint="eastAsia" w:ascii="仿宋_GB2312" w:hAnsi="宋体" w:eastAsia="仿宋_GB2312"/>
          <w:b/>
          <w:color w:val="000000" w:themeColor="text1"/>
          <w:sz w:val="28"/>
          <w:szCs w:val="28"/>
        </w:rPr>
        <w:t>6.估价报告使用限制</w:t>
      </w:r>
    </w:p>
    <w:p>
      <w:pPr>
        <w:adjustRightInd w:val="0"/>
        <w:snapToGrid w:val="0"/>
        <w:spacing w:line="560" w:lineRule="exact"/>
        <w:ind w:firstLine="560" w:firstLineChars="200"/>
        <w:rPr>
          <w:rFonts w:ascii="仿宋_GB2312" w:hAnsi="宋体" w:eastAsia="仿宋_GB2312"/>
          <w:color w:val="000000" w:themeColor="text1"/>
          <w:sz w:val="28"/>
          <w:szCs w:val="28"/>
        </w:rPr>
      </w:pPr>
      <w:r>
        <w:rPr>
          <w:rFonts w:hint="eastAsia" w:ascii="仿宋_GB2312" w:hAnsi="宋体" w:eastAsia="仿宋_GB2312"/>
          <w:color w:val="000000" w:themeColor="text1"/>
          <w:sz w:val="28"/>
          <w:szCs w:val="28"/>
        </w:rPr>
        <w:t>（1）估价结果为满足全部假设与限制条件下的价值。</w:t>
      </w:r>
    </w:p>
    <w:p>
      <w:pPr>
        <w:snapToGrid w:val="0"/>
        <w:spacing w:line="580" w:lineRule="exact"/>
        <w:ind w:firstLine="560" w:firstLineChars="200"/>
        <w:rPr>
          <w:rFonts w:ascii="仿宋_GB2312" w:hAnsi="宋体" w:eastAsia="仿宋_GB2312" w:cs="宋体"/>
          <w:color w:val="000000"/>
          <w:sz w:val="28"/>
          <w:szCs w:val="28"/>
        </w:rPr>
      </w:pPr>
      <w:r>
        <w:rPr>
          <w:rFonts w:hint="eastAsia" w:ascii="仿宋_GB2312" w:hAnsi="宋体" w:eastAsia="仿宋_GB2312"/>
          <w:color w:val="000000" w:themeColor="text1"/>
          <w:sz w:val="28"/>
          <w:szCs w:val="28"/>
        </w:rPr>
        <w:t>（2）估价委托人</w:t>
      </w:r>
      <w:r>
        <w:rPr>
          <w:rFonts w:hint="eastAsia" w:ascii="仿宋_GB2312" w:hAnsi="宋体" w:eastAsia="仿宋_GB2312" w:cs="宋体"/>
          <w:color w:val="000000"/>
          <w:sz w:val="28"/>
          <w:szCs w:val="28"/>
        </w:rPr>
        <w:t>应当按照法律规定和评估报告载明的用途、使用人、使用期限等使用范围使用评估报告。否则，房地产估价机构和注册房地产估价师依法不承担责任。</w:t>
      </w:r>
    </w:p>
    <w:p>
      <w:pPr>
        <w:adjustRightInd w:val="0"/>
        <w:snapToGrid w:val="0"/>
        <w:spacing w:line="560" w:lineRule="exact"/>
        <w:ind w:firstLine="560" w:firstLineChars="200"/>
        <w:rPr>
          <w:rFonts w:ascii="仿宋_GB2312" w:hAnsi="宋体" w:eastAsia="仿宋_GB2312"/>
          <w:color w:val="000000" w:themeColor="text1"/>
          <w:sz w:val="28"/>
          <w:szCs w:val="28"/>
        </w:rPr>
      </w:pPr>
      <w:r>
        <w:rPr>
          <w:rFonts w:hint="eastAsia" w:ascii="仿宋_GB2312" w:hAnsi="宋体" w:eastAsia="仿宋_GB2312"/>
          <w:color w:val="000000" w:themeColor="text1"/>
          <w:sz w:val="28"/>
          <w:szCs w:val="28"/>
        </w:rPr>
        <w:t>（3）估价结果含分摊的国有建设用地使用权价值，不含室内可移动物品及其他债权债务。</w:t>
      </w:r>
    </w:p>
    <w:p>
      <w:pPr>
        <w:adjustRightInd w:val="0"/>
        <w:snapToGrid w:val="0"/>
        <w:spacing w:line="560" w:lineRule="exact"/>
        <w:ind w:firstLine="560" w:firstLineChars="200"/>
        <w:rPr>
          <w:rFonts w:ascii="仿宋_GB2312" w:hAnsi="宋体" w:eastAsia="仿宋_GB2312"/>
          <w:color w:val="000000"/>
          <w:sz w:val="28"/>
          <w:szCs w:val="28"/>
        </w:rPr>
      </w:pPr>
      <w:r>
        <w:rPr>
          <w:rFonts w:hint="eastAsia" w:ascii="仿宋_GB2312" w:hAnsi="宋体" w:eastAsia="仿宋_GB2312"/>
          <w:color w:val="000000" w:themeColor="text1"/>
          <w:sz w:val="28"/>
          <w:szCs w:val="28"/>
        </w:rPr>
        <w:t>（4）</w:t>
      </w:r>
      <w:r>
        <w:rPr>
          <w:rFonts w:hint="eastAsia" w:ascii="仿宋_GB2312" w:hAnsi="宋体" w:eastAsia="仿宋_GB2312" w:cs="宋体"/>
          <w:color w:val="000000"/>
          <w:sz w:val="28"/>
          <w:szCs w:val="28"/>
        </w:rPr>
        <w:t>评估结果仅为人民法院确定财产处置参考价服务，</w:t>
      </w:r>
      <w:r>
        <w:rPr>
          <w:rFonts w:hint="eastAsia" w:ascii="仿宋_GB2312" w:hAnsi="宋体" w:eastAsia="仿宋_GB2312"/>
          <w:color w:val="000000"/>
          <w:sz w:val="28"/>
          <w:szCs w:val="28"/>
        </w:rPr>
        <w:t>若用于其他用途，须另行评估。</w:t>
      </w:r>
    </w:p>
    <w:p>
      <w:pPr>
        <w:snapToGrid w:val="0"/>
        <w:spacing w:line="580" w:lineRule="exact"/>
        <w:ind w:firstLine="560" w:firstLineChars="200"/>
        <w:rPr>
          <w:rFonts w:ascii="仿宋_GB2312" w:hAnsi="宋体" w:eastAsia="仿宋_GB2312" w:cs="宋体"/>
          <w:color w:val="000000"/>
          <w:sz w:val="28"/>
          <w:szCs w:val="28"/>
        </w:rPr>
      </w:pPr>
      <w:r>
        <w:rPr>
          <w:rFonts w:hint="eastAsia" w:ascii="仿宋_GB2312" w:hAnsi="宋体" w:eastAsia="仿宋_GB2312" w:cs="宋体"/>
          <w:color w:val="000000"/>
          <w:sz w:val="28"/>
          <w:szCs w:val="28"/>
        </w:rPr>
        <w:t>（5）财产拍卖或者变卖之日与价值时点不一致，可能导致评估结果对应的评估对象状况、房地产市场状况、欠缴税费状况等与财产拍卖或者变卖时的相应状况不一致，发生明显变化的，评估结果应当进行相应调整后才可使用。</w:t>
      </w:r>
    </w:p>
    <w:p>
      <w:pPr>
        <w:snapToGrid w:val="0"/>
        <w:spacing w:line="580" w:lineRule="exact"/>
        <w:ind w:firstLine="560" w:firstLineChars="200"/>
        <w:rPr>
          <w:rFonts w:hint="eastAsia" w:ascii="仿宋_GB2312" w:hAnsi="宋体" w:eastAsia="仿宋_GB2312" w:cs="宋体"/>
          <w:color w:val="000000"/>
          <w:sz w:val="28"/>
          <w:szCs w:val="28"/>
          <w:lang w:eastAsia="zh-CN"/>
        </w:rPr>
      </w:pPr>
      <w:r>
        <w:rPr>
          <w:rFonts w:hint="eastAsia" w:ascii="仿宋_GB2312" w:hAnsi="宋体" w:eastAsia="仿宋_GB2312" w:cs="宋体"/>
          <w:color w:val="000000"/>
          <w:sz w:val="28"/>
          <w:szCs w:val="28"/>
        </w:rPr>
        <w:t>（6）在评估报告使用期限或者评估结果有效期内，评估报告或者评估结果未使用之前，如果评估对象状况或者房地产市场状况发生明显变化的，评估结果应当进行相应调整后才可使用</w:t>
      </w:r>
      <w:r>
        <w:rPr>
          <w:rFonts w:hint="eastAsia" w:ascii="仿宋_GB2312" w:hAnsi="宋体" w:eastAsia="仿宋_GB2312" w:cs="宋体"/>
          <w:color w:val="000000"/>
          <w:sz w:val="28"/>
          <w:szCs w:val="28"/>
          <w:lang w:eastAsia="zh-CN"/>
        </w:rPr>
        <w:t>。</w:t>
      </w:r>
    </w:p>
    <w:p>
      <w:pPr>
        <w:adjustRightInd w:val="0"/>
        <w:snapToGrid w:val="0"/>
        <w:spacing w:line="560" w:lineRule="exact"/>
        <w:ind w:firstLine="560" w:firstLineChars="200"/>
        <w:rPr>
          <w:rFonts w:ascii="仿宋_GB2312" w:hAnsi="宋体" w:eastAsia="仿宋_GB2312"/>
          <w:color w:val="000000" w:themeColor="text1"/>
          <w:sz w:val="28"/>
          <w:szCs w:val="28"/>
        </w:rPr>
      </w:pPr>
      <w:r>
        <w:rPr>
          <w:rFonts w:hint="eastAsia" w:ascii="仿宋_GB2312" w:hAnsi="宋体" w:eastAsia="仿宋_GB2312"/>
          <w:color w:val="000000" w:themeColor="text1"/>
          <w:sz w:val="28"/>
          <w:szCs w:val="28"/>
        </w:rPr>
        <w:t>（7）本估价结果为估价范围内房地产的整体市场价格，应整体使用。</w:t>
      </w:r>
    </w:p>
    <w:p>
      <w:pPr>
        <w:adjustRightInd w:val="0"/>
        <w:snapToGrid w:val="0"/>
        <w:spacing w:line="560" w:lineRule="exact"/>
        <w:ind w:firstLine="560" w:firstLineChars="200"/>
        <w:rPr>
          <w:rFonts w:ascii="仿宋_GB2312" w:hAnsi="宋体" w:eastAsia="仿宋_GB2312"/>
          <w:color w:val="000000" w:themeColor="text1"/>
          <w:sz w:val="28"/>
          <w:szCs w:val="28"/>
        </w:rPr>
      </w:pPr>
      <w:r>
        <w:rPr>
          <w:rFonts w:hint="eastAsia" w:ascii="仿宋_GB2312" w:hAnsi="宋体" w:eastAsia="仿宋_GB2312"/>
          <w:color w:val="000000" w:themeColor="text1"/>
          <w:sz w:val="28"/>
          <w:szCs w:val="28"/>
        </w:rPr>
        <w:t>（8）本报告使用的有效期为一年。即估价目的在报告完成后的一年内实现，估价结果可作估价对象的市场价格参考，超过一年，需重新进行估价。</w:t>
      </w:r>
    </w:p>
    <w:p>
      <w:pPr>
        <w:adjustRightInd w:val="0"/>
        <w:snapToGrid w:val="0"/>
        <w:spacing w:line="560" w:lineRule="exact"/>
        <w:ind w:firstLine="560" w:firstLineChars="200"/>
        <w:rPr>
          <w:rFonts w:ascii="仿宋_GB2312" w:hAnsi="宋体" w:eastAsia="仿宋_GB2312"/>
          <w:color w:val="000000" w:themeColor="text1"/>
          <w:sz w:val="28"/>
          <w:szCs w:val="28"/>
        </w:rPr>
      </w:pPr>
      <w:r>
        <w:rPr>
          <w:rFonts w:hint="eastAsia" w:ascii="仿宋_GB2312" w:hAnsi="宋体" w:eastAsia="仿宋_GB2312"/>
          <w:color w:val="000000" w:themeColor="text1"/>
          <w:sz w:val="28"/>
          <w:szCs w:val="28"/>
        </w:rPr>
        <w:t>（9）本估价报告加盖的机构印章均为原件，复印件无效。</w:t>
      </w:r>
    </w:p>
    <w:p>
      <w:pPr>
        <w:adjustRightInd w:val="0"/>
        <w:snapToGrid w:val="0"/>
        <w:spacing w:line="560" w:lineRule="exact"/>
        <w:ind w:firstLine="562" w:firstLineChars="200"/>
        <w:rPr>
          <w:rFonts w:ascii="仿宋_GB2312" w:hAnsi="宋体" w:eastAsia="仿宋_GB2312"/>
          <w:color w:val="000000" w:themeColor="text1"/>
          <w:sz w:val="28"/>
          <w:szCs w:val="28"/>
        </w:rPr>
      </w:pPr>
      <w:r>
        <w:rPr>
          <w:rFonts w:hint="eastAsia" w:ascii="仿宋_GB2312" w:hAnsi="宋体" w:eastAsia="仿宋_GB2312"/>
          <w:b/>
          <w:color w:val="000000" w:themeColor="text1"/>
          <w:sz w:val="28"/>
          <w:szCs w:val="28"/>
        </w:rPr>
        <w:t>7.特殊说明事项</w:t>
      </w:r>
    </w:p>
    <w:p>
      <w:pPr>
        <w:adjustRightInd w:val="0"/>
        <w:snapToGrid w:val="0"/>
        <w:spacing w:line="560" w:lineRule="exact"/>
        <w:ind w:firstLine="560" w:firstLineChars="200"/>
        <w:rPr>
          <w:rFonts w:ascii="仿宋_GB2312" w:hAnsi="宋体" w:eastAsia="仿宋_GB2312"/>
          <w:color w:val="000000" w:themeColor="text1"/>
          <w:sz w:val="28"/>
          <w:szCs w:val="28"/>
        </w:rPr>
      </w:pPr>
      <w:r>
        <w:rPr>
          <w:rFonts w:hint="eastAsia" w:ascii="仿宋_GB2312" w:hAnsi="宋体" w:eastAsia="仿宋_GB2312"/>
          <w:color w:val="000000" w:themeColor="text1"/>
          <w:sz w:val="28"/>
          <w:szCs w:val="28"/>
        </w:rPr>
        <w:t>（1）如发现本估价报告文字或数字因校对或其他类似原因出现差错时，请通知本公司进行更正。</w:t>
      </w:r>
    </w:p>
    <w:p>
      <w:pPr>
        <w:adjustRightInd w:val="0"/>
        <w:snapToGrid w:val="0"/>
        <w:spacing w:line="560" w:lineRule="exact"/>
        <w:ind w:firstLine="560" w:firstLineChars="200"/>
        <w:rPr>
          <w:rFonts w:ascii="仿宋_GB2312" w:hAnsi="宋体" w:eastAsia="仿宋_GB2312"/>
          <w:color w:val="000000" w:themeColor="text1"/>
          <w:sz w:val="28"/>
          <w:szCs w:val="28"/>
        </w:rPr>
      </w:pPr>
      <w:r>
        <w:rPr>
          <w:rFonts w:hint="eastAsia" w:ascii="仿宋_GB2312" w:hAnsi="宋体" w:eastAsia="仿宋_GB2312"/>
          <w:color w:val="000000" w:themeColor="text1"/>
          <w:sz w:val="28"/>
          <w:szCs w:val="28"/>
        </w:rPr>
        <w:t>（2）估价报告中数据全部采用电算化连续计算得出，由于在估价报告中计算的数据均按四舍五入保留两位小数或取整，因此，可能出现个别等式左右不完全相等的情况，但不影响计算结果及最终估价结果的准确性。</w:t>
      </w:r>
    </w:p>
    <w:p>
      <w:pPr>
        <w:adjustRightInd w:val="0"/>
        <w:snapToGrid w:val="0"/>
        <w:spacing w:line="560" w:lineRule="exact"/>
        <w:ind w:firstLine="560" w:firstLineChars="200"/>
        <w:rPr>
          <w:rFonts w:ascii="仿宋_GB2312" w:hAnsi="宋体" w:eastAsia="仿宋_GB2312" w:cs="宋体"/>
          <w:color w:val="000000" w:themeColor="text1"/>
          <w:sz w:val="28"/>
          <w:szCs w:val="28"/>
          <w:lang w:bidi="ar"/>
        </w:rPr>
      </w:pPr>
      <w:bookmarkStart w:id="19" w:name="_Toc297196349"/>
      <w:bookmarkStart w:id="20" w:name="_Toc383069672"/>
      <w:bookmarkStart w:id="21" w:name="_Toc257051888"/>
      <w:bookmarkStart w:id="22" w:name="_Toc297122054"/>
      <w:bookmarkStart w:id="23" w:name="_Toc301369712"/>
      <w:bookmarkStart w:id="24" w:name="_Toc367869494"/>
      <w:bookmarkStart w:id="25" w:name="_Toc270691065"/>
      <w:bookmarkStart w:id="26" w:name="_Toc130033720"/>
      <w:bookmarkStart w:id="27" w:name="_Toc254860123"/>
      <w:bookmarkStart w:id="28" w:name="_Toc135016170"/>
      <w:bookmarkStart w:id="29" w:name="_Toc269132866"/>
      <w:bookmarkStart w:id="30" w:name="_Toc243111683"/>
      <w:bookmarkStart w:id="31" w:name="_Toc254875137"/>
      <w:bookmarkStart w:id="32" w:name="_Toc243111712"/>
      <w:r>
        <w:rPr>
          <w:rFonts w:hint="eastAsia" w:ascii="仿宋_GB2312" w:hAnsi="宋体" w:eastAsia="仿宋_GB2312" w:cs="宋体"/>
          <w:color w:val="000000" w:themeColor="text1"/>
          <w:sz w:val="28"/>
          <w:szCs w:val="28"/>
          <w:lang w:bidi="ar"/>
        </w:rPr>
        <w:t>（3）现实房地产交易中，成交价格与处置方式、宣传推广度和买受人对估价对象的了解及对房地产的判断等因素有关，一般难以达到理想的公开市场条件，致使实际交易价格往往与估价结果不够一致。</w:t>
      </w:r>
    </w:p>
    <w:p>
      <w:pPr>
        <w:numPr>
          <w:ilvl w:val="0"/>
          <w:numId w:val="0"/>
        </w:numPr>
        <w:adjustRightInd w:val="0"/>
        <w:snapToGrid w:val="0"/>
        <w:spacing w:line="560" w:lineRule="exact"/>
        <w:ind w:firstLine="560" w:firstLineChars="200"/>
        <w:rPr>
          <w:rFonts w:ascii="仿宋_GB2312" w:hAnsi="宋体" w:eastAsia="仿宋_GB2312"/>
          <w:color w:val="000000"/>
          <w:sz w:val="28"/>
          <w:szCs w:val="28"/>
        </w:rPr>
      </w:pPr>
      <w:r>
        <w:rPr>
          <w:rFonts w:hint="eastAsia" w:ascii="仿宋_GB2312" w:hAnsi="宋体" w:eastAsia="仿宋_GB2312" w:cs="宋体"/>
          <w:color w:val="000000"/>
          <w:sz w:val="28"/>
          <w:szCs w:val="28"/>
          <w:lang w:eastAsia="zh-CN"/>
        </w:rPr>
        <w:t>（</w:t>
      </w:r>
      <w:r>
        <w:rPr>
          <w:rFonts w:hint="eastAsia" w:ascii="仿宋_GB2312" w:hAnsi="宋体" w:eastAsia="仿宋_GB2312" w:cs="宋体"/>
          <w:color w:val="000000"/>
          <w:sz w:val="28"/>
          <w:szCs w:val="28"/>
          <w:lang w:val="en-US" w:eastAsia="zh-CN"/>
        </w:rPr>
        <w:t>4）</w:t>
      </w:r>
      <w:r>
        <w:rPr>
          <w:rFonts w:hint="eastAsia" w:ascii="仿宋_GB2312" w:hAnsi="宋体" w:eastAsia="仿宋_GB2312" w:cs="宋体"/>
          <w:color w:val="000000"/>
          <w:sz w:val="28"/>
          <w:szCs w:val="28"/>
        </w:rPr>
        <w:t>评估结果仅为人民法院确定财产处置参考价服务，不是评估对象处置可实现的成交价格，也不应当被视为对评估对象处置成交价格的保证</w:t>
      </w:r>
      <w:r>
        <w:rPr>
          <w:rFonts w:hint="eastAsia" w:ascii="仿宋_GB2312" w:hAnsi="宋体" w:eastAsia="仿宋_GB2312" w:cs="宋体"/>
          <w:color w:val="000000"/>
          <w:sz w:val="28"/>
          <w:szCs w:val="28"/>
          <w:lang w:eastAsia="zh-CN"/>
        </w:rPr>
        <w:t>。</w:t>
      </w:r>
    </w:p>
    <w:p>
      <w:pPr>
        <w:adjustRightInd w:val="0"/>
        <w:snapToGrid w:val="0"/>
        <w:spacing w:line="560" w:lineRule="exact"/>
        <w:ind w:firstLine="560" w:firstLineChars="200"/>
        <w:rPr>
          <w:rFonts w:ascii="仿宋_GB2312" w:hAnsi="宋体" w:eastAsia="仿宋_GB2312" w:cs="宋体"/>
          <w:color w:val="000000" w:themeColor="text1"/>
          <w:sz w:val="28"/>
          <w:szCs w:val="28"/>
        </w:rPr>
      </w:pPr>
      <w:r>
        <w:rPr>
          <w:rFonts w:hint="eastAsia" w:ascii="仿宋_GB2312" w:hAnsi="宋体" w:eastAsia="仿宋_GB2312" w:cs="宋体"/>
          <w:color w:val="000000" w:themeColor="text1"/>
          <w:sz w:val="28"/>
          <w:szCs w:val="28"/>
          <w:lang w:bidi="ar"/>
        </w:rPr>
        <w:t>（5）估价中无法考虑实地查勘之后、处置完毕之前，因不可抗力、人为破坏等因素对估价对象造成的意外损害。</w:t>
      </w:r>
    </w:p>
    <w:p>
      <w:pPr>
        <w:adjustRightInd w:val="0"/>
        <w:snapToGrid w:val="0"/>
        <w:spacing w:line="560" w:lineRule="exact"/>
        <w:ind w:firstLine="560" w:firstLineChars="200"/>
        <w:rPr>
          <w:rFonts w:ascii="仿宋_GB2312" w:hAnsi="宋体" w:eastAsia="仿宋_GB2312" w:cs="宋体"/>
          <w:color w:val="000000" w:themeColor="text1"/>
          <w:sz w:val="28"/>
          <w:szCs w:val="28"/>
          <w:lang w:bidi="ar"/>
        </w:rPr>
      </w:pPr>
      <w:r>
        <w:rPr>
          <w:rFonts w:hint="eastAsia" w:ascii="仿宋_GB2312" w:hAnsi="宋体" w:eastAsia="仿宋_GB2312" w:cs="宋体"/>
          <w:color w:val="000000" w:themeColor="text1"/>
          <w:sz w:val="28"/>
          <w:szCs w:val="28"/>
          <w:lang w:bidi="ar"/>
        </w:rPr>
        <w:t>（6）估价结果没有扣除拍卖过程发生的处置费用和税金等。</w:t>
      </w:r>
    </w:p>
    <w:p>
      <w:pPr>
        <w:adjustRightInd w:val="0"/>
        <w:snapToGrid w:val="0"/>
        <w:spacing w:line="560" w:lineRule="exact"/>
        <w:ind w:firstLine="560" w:firstLineChars="200"/>
        <w:rPr>
          <w:rFonts w:ascii="仿宋_GB2312" w:hAnsi="宋体" w:eastAsia="仿宋_GB2312" w:cs="宋体"/>
          <w:color w:val="000000" w:themeColor="text1"/>
          <w:sz w:val="28"/>
          <w:szCs w:val="28"/>
          <w:highlight w:val="none"/>
        </w:rPr>
      </w:pPr>
      <w:r>
        <w:rPr>
          <w:rFonts w:hint="eastAsia" w:ascii="仿宋_GB2312" w:hAnsi="宋体" w:eastAsia="仿宋_GB2312" w:cs="宋体"/>
          <w:color w:val="000000" w:themeColor="text1"/>
          <w:sz w:val="28"/>
          <w:szCs w:val="28"/>
          <w:lang w:bidi="ar"/>
        </w:rPr>
        <w:t>（7）人民法院未书面明确评估对象交易税费负担方式，按照法律法规规定，转</w:t>
      </w:r>
      <w:r>
        <w:rPr>
          <w:rFonts w:hint="eastAsia" w:ascii="仿宋_GB2312" w:hAnsi="宋体" w:eastAsia="仿宋_GB2312" w:cs="宋体"/>
          <w:color w:val="000000" w:themeColor="text1"/>
          <w:sz w:val="28"/>
          <w:szCs w:val="28"/>
          <w:highlight w:val="none"/>
          <w:lang w:bidi="ar"/>
        </w:rPr>
        <w:t>让人和买受人各自负担。</w:t>
      </w:r>
    </w:p>
    <w:p>
      <w:pPr>
        <w:snapToGrid w:val="0"/>
        <w:spacing w:line="560" w:lineRule="exact"/>
        <w:ind w:firstLine="560" w:firstLineChars="200"/>
        <w:rPr>
          <w:rFonts w:ascii="仿宋_GB2312" w:hAnsi="宋体" w:eastAsia="仿宋_GB2312" w:cs="仿宋_GB2312"/>
          <w:color w:val="000000" w:themeColor="text1"/>
          <w:sz w:val="28"/>
          <w:szCs w:val="28"/>
          <w:highlight w:val="none"/>
          <w:lang w:bidi="ar"/>
        </w:rPr>
      </w:pPr>
      <w:r>
        <w:rPr>
          <w:rFonts w:hint="eastAsia" w:ascii="仿宋_GB2312" w:hAnsi="宋体" w:eastAsia="仿宋_GB2312" w:cs="仿宋_GB2312"/>
          <w:color w:val="000000" w:themeColor="text1"/>
          <w:sz w:val="28"/>
          <w:szCs w:val="28"/>
          <w:highlight w:val="none"/>
          <w:lang w:bidi="ar"/>
        </w:rPr>
        <w:t>（8）</w:t>
      </w:r>
      <w:r>
        <w:rPr>
          <w:rFonts w:hint="eastAsia" w:ascii="仿宋_GB2312" w:hAnsi="宋体" w:eastAsia="仿宋_GB2312"/>
          <w:color w:val="000000" w:themeColor="text1"/>
          <w:sz w:val="28"/>
          <w:szCs w:val="28"/>
          <w:highlight w:val="none"/>
        </w:rPr>
        <w:t>人民法院未明确估价对象存在欠缴税金及相关费用（包括税收、物业费、供暖费、水电气费等及其滞纳金），故假定评估对象不存在欠缴税金及相关费用</w:t>
      </w:r>
      <w:r>
        <w:rPr>
          <w:rFonts w:hint="eastAsia" w:ascii="仿宋_GB2312" w:hAnsi="宋体" w:eastAsia="仿宋_GB2312"/>
          <w:color w:val="000000" w:themeColor="text1"/>
          <w:sz w:val="28"/>
          <w:szCs w:val="28"/>
          <w:highlight w:val="none"/>
          <w:lang w:eastAsia="zh-CN"/>
        </w:rPr>
        <w:t>，</w:t>
      </w:r>
      <w:r>
        <w:rPr>
          <w:rFonts w:hint="eastAsia" w:ascii="仿宋_GB2312" w:hAnsi="宋体" w:eastAsia="仿宋_GB2312" w:cs="仿宋_GB2312"/>
          <w:color w:val="000000"/>
          <w:sz w:val="28"/>
          <w:szCs w:val="28"/>
          <w:highlight w:val="none"/>
          <w:lang w:bidi="ar"/>
        </w:rPr>
        <w:t>最终以实际欠缴税金为准</w:t>
      </w:r>
      <w:r>
        <w:rPr>
          <w:rFonts w:hint="eastAsia" w:ascii="仿宋_GB2312" w:hAnsi="宋体" w:eastAsia="仿宋_GB2312" w:cs="仿宋_GB2312"/>
          <w:color w:val="000000" w:themeColor="text1"/>
          <w:sz w:val="28"/>
          <w:szCs w:val="28"/>
          <w:highlight w:val="none"/>
          <w:lang w:bidi="ar"/>
        </w:rPr>
        <w:t>。</w:t>
      </w:r>
    </w:p>
    <w:p>
      <w:pPr>
        <w:snapToGrid w:val="0"/>
        <w:spacing w:line="560" w:lineRule="exact"/>
        <w:ind w:firstLine="560" w:firstLineChars="200"/>
        <w:rPr>
          <w:rFonts w:ascii="仿宋_GB2312" w:hAnsi="宋体" w:eastAsia="仿宋_GB2312" w:cs="宋体"/>
          <w:color w:val="000000" w:themeColor="text1"/>
          <w:sz w:val="28"/>
          <w:szCs w:val="28"/>
        </w:rPr>
      </w:pPr>
      <w:r>
        <w:rPr>
          <w:rFonts w:hint="eastAsia" w:ascii="仿宋_GB2312" w:hAnsi="宋体" w:eastAsia="仿宋_GB2312" w:cs="仿宋_GB2312"/>
          <w:color w:val="000000" w:themeColor="text1"/>
          <w:sz w:val="28"/>
          <w:szCs w:val="28"/>
          <w:lang w:bidi="ar"/>
        </w:rPr>
        <w:t>（</w:t>
      </w:r>
      <w:r>
        <w:rPr>
          <w:rFonts w:hint="eastAsia" w:ascii="仿宋_GB2312" w:hAnsi="宋体" w:eastAsia="仿宋_GB2312" w:cs="仿宋_GB2312"/>
          <w:color w:val="000000" w:themeColor="text1"/>
          <w:sz w:val="28"/>
          <w:szCs w:val="28"/>
          <w:lang w:val="en-US" w:eastAsia="zh-CN" w:bidi="ar"/>
        </w:rPr>
        <w:t>9</w:t>
      </w:r>
      <w:r>
        <w:rPr>
          <w:rFonts w:hint="eastAsia" w:ascii="仿宋_GB2312" w:hAnsi="宋体" w:eastAsia="仿宋_GB2312" w:cs="仿宋_GB2312"/>
          <w:color w:val="000000" w:themeColor="text1"/>
          <w:sz w:val="28"/>
          <w:szCs w:val="28"/>
          <w:lang w:bidi="ar"/>
        </w:rPr>
        <w:t>）本报告估价结果包含与房地产不可分割的，必须满足其使用功能的水、电以及配套的相关辅助设施在内的价值。</w:t>
      </w:r>
    </w:p>
    <w:p>
      <w:pPr>
        <w:snapToGrid w:val="0"/>
        <w:spacing w:line="580" w:lineRule="exact"/>
        <w:ind w:firstLine="560" w:firstLineChars="200"/>
        <w:rPr>
          <w:rFonts w:ascii="仿宋_GB2312" w:hAnsi="宋体" w:eastAsia="仿宋_GB2312" w:cs="宋体"/>
          <w:color w:val="000000"/>
          <w:sz w:val="28"/>
          <w:szCs w:val="28"/>
        </w:rPr>
      </w:pPr>
      <w:r>
        <w:rPr>
          <w:rFonts w:hint="eastAsia" w:ascii="仿宋_GB2312" w:hAnsi="宋体" w:eastAsia="仿宋_GB2312" w:cs="宋体"/>
          <w:color w:val="000000" w:themeColor="text1"/>
          <w:sz w:val="28"/>
          <w:szCs w:val="28"/>
          <w:lang w:bidi="ar"/>
        </w:rPr>
        <w:t>（1</w:t>
      </w:r>
      <w:r>
        <w:rPr>
          <w:rFonts w:hint="eastAsia" w:ascii="仿宋_GB2312" w:hAnsi="宋体" w:eastAsia="仿宋_GB2312" w:cs="宋体"/>
          <w:color w:val="000000" w:themeColor="text1"/>
          <w:sz w:val="28"/>
          <w:szCs w:val="28"/>
          <w:lang w:val="en-US" w:eastAsia="zh-CN" w:bidi="ar"/>
        </w:rPr>
        <w:t>0</w:t>
      </w:r>
      <w:r>
        <w:rPr>
          <w:rFonts w:hint="eastAsia" w:ascii="仿宋_GB2312" w:hAnsi="宋体" w:eastAsia="仿宋_GB2312" w:cs="宋体"/>
          <w:color w:val="000000" w:themeColor="text1"/>
          <w:sz w:val="28"/>
          <w:szCs w:val="28"/>
          <w:lang w:bidi="ar"/>
        </w:rPr>
        <w:t>）</w:t>
      </w:r>
      <w:r>
        <w:rPr>
          <w:rFonts w:hint="eastAsia" w:ascii="仿宋_GB2312" w:hAnsi="宋体" w:eastAsia="仿宋_GB2312" w:cs="宋体"/>
          <w:color w:val="000000"/>
          <w:sz w:val="28"/>
          <w:szCs w:val="28"/>
        </w:rPr>
        <w:t>当事人、利害关系人收到评估报告后五日内对评估报告的参照标准、计算方法或者评估结果等向人民法院提出书面异议；当事人、利害关系人对评估机构作出的说明仍有异议的，可以提请人民法院委托评估行业组织进行专业技术评审。</w:t>
      </w:r>
    </w:p>
    <w:p>
      <w:pPr>
        <w:pStyle w:val="2"/>
        <w:spacing w:before="143" w:beforeLines="50" w:after="143" w:afterLines="50" w:line="360" w:lineRule="auto"/>
        <w:jc w:val="center"/>
        <w:rPr>
          <w:rFonts w:ascii="仿宋_GB2312" w:eastAsia="仿宋_GB2312"/>
          <w:snapToGrid w:val="0"/>
          <w:color w:val="000000" w:themeColor="text1"/>
          <w:kern w:val="0"/>
          <w:sz w:val="36"/>
          <w:szCs w:val="36"/>
        </w:rPr>
      </w:pPr>
      <w:r>
        <w:rPr>
          <w:rFonts w:ascii="仿宋_GB2312" w:eastAsia="仿宋_GB2312"/>
          <w:snapToGrid w:val="0"/>
          <w:color w:val="000000" w:themeColor="text1"/>
          <w:kern w:val="0"/>
          <w:sz w:val="36"/>
          <w:szCs w:val="36"/>
        </w:rPr>
        <w:br w:type="page"/>
      </w:r>
      <w:bookmarkStart w:id="33" w:name="_Toc15961"/>
      <w:bookmarkStart w:id="34" w:name="_Toc12574"/>
      <w:bookmarkStart w:id="35" w:name="_Toc20449"/>
      <w:r>
        <w:rPr>
          <w:rFonts w:hint="eastAsia" w:ascii="仿宋_GB2312" w:eastAsia="仿宋_GB2312"/>
          <w:snapToGrid w:val="0"/>
          <w:color w:val="000000" w:themeColor="text1"/>
          <w:kern w:val="0"/>
          <w:sz w:val="36"/>
          <w:szCs w:val="36"/>
        </w:rPr>
        <w:t>估价结果报告</w:t>
      </w:r>
      <w:bookmarkEnd w:id="19"/>
      <w:bookmarkEnd w:id="20"/>
      <w:bookmarkEnd w:id="21"/>
      <w:bookmarkEnd w:id="22"/>
      <w:bookmarkEnd w:id="23"/>
      <w:bookmarkEnd w:id="24"/>
      <w:bookmarkEnd w:id="33"/>
      <w:bookmarkEnd w:id="34"/>
      <w:bookmarkEnd w:id="35"/>
    </w:p>
    <w:bookmarkEnd w:id="25"/>
    <w:bookmarkEnd w:id="26"/>
    <w:bookmarkEnd w:id="27"/>
    <w:bookmarkEnd w:id="28"/>
    <w:bookmarkEnd w:id="29"/>
    <w:bookmarkEnd w:id="30"/>
    <w:bookmarkEnd w:id="31"/>
    <w:bookmarkEnd w:id="32"/>
    <w:p>
      <w:pPr>
        <w:pStyle w:val="3"/>
        <w:adjustRightInd w:val="0"/>
        <w:snapToGrid w:val="0"/>
        <w:spacing w:before="0" w:after="0" w:line="560" w:lineRule="exact"/>
        <w:ind w:firstLine="562" w:firstLineChars="200"/>
        <w:rPr>
          <w:rFonts w:ascii="仿宋_GB2312" w:hAnsi="Times New Roman" w:eastAsia="仿宋_GB2312"/>
          <w:color w:val="000000" w:themeColor="text1"/>
          <w:sz w:val="28"/>
          <w:szCs w:val="28"/>
        </w:rPr>
      </w:pPr>
      <w:bookmarkStart w:id="36" w:name="_Toc155258962"/>
      <w:bookmarkStart w:id="37" w:name="_Toc382493616"/>
      <w:bookmarkStart w:id="38" w:name="_Toc432411970"/>
      <w:bookmarkStart w:id="39" w:name="_Toc12690"/>
      <w:bookmarkStart w:id="40" w:name="_Toc6103"/>
      <w:bookmarkStart w:id="41" w:name="_Toc15462"/>
      <w:bookmarkStart w:id="42" w:name="_Toc383069673"/>
      <w:bookmarkStart w:id="43" w:name="_Toc367869511"/>
      <w:bookmarkStart w:id="44" w:name="_Toc270691081"/>
      <w:bookmarkStart w:id="45" w:name="_Toc94587045"/>
      <w:bookmarkStart w:id="46" w:name="_Toc299004833"/>
      <w:bookmarkStart w:id="47" w:name="_Toc243111699"/>
      <w:bookmarkStart w:id="48" w:name="_Toc94587103"/>
      <w:bookmarkStart w:id="49" w:name="_Toc243111728"/>
      <w:bookmarkStart w:id="50" w:name="_Toc298936729"/>
      <w:bookmarkStart w:id="51" w:name="_Toc298936786"/>
      <w:bookmarkStart w:id="52" w:name="_Toc254860139"/>
      <w:bookmarkStart w:id="53" w:name="_Toc299007139"/>
      <w:bookmarkStart w:id="54" w:name="_Toc254860169"/>
      <w:bookmarkStart w:id="55" w:name="_Toc299006852"/>
      <w:bookmarkStart w:id="56" w:name="_Toc135016185"/>
      <w:bookmarkStart w:id="57" w:name="_Toc254875153"/>
      <w:bookmarkStart w:id="58" w:name="_Toc301369729"/>
      <w:bookmarkStart w:id="59" w:name="_Toc301369583"/>
      <w:bookmarkStart w:id="60" w:name="_Toc269132882"/>
      <w:bookmarkStart w:id="61" w:name="_Toc299005654"/>
      <w:r>
        <w:rPr>
          <w:rFonts w:hint="eastAsia" w:ascii="仿宋_GB2312" w:hAnsi="Times New Roman" w:eastAsia="仿宋_GB2312"/>
          <w:color w:val="000000" w:themeColor="text1"/>
          <w:sz w:val="28"/>
          <w:szCs w:val="28"/>
        </w:rPr>
        <w:t>一、估价委托人</w:t>
      </w:r>
      <w:bookmarkEnd w:id="36"/>
      <w:bookmarkEnd w:id="37"/>
      <w:bookmarkEnd w:id="38"/>
      <w:r>
        <w:rPr>
          <w:rFonts w:hint="eastAsia" w:ascii="仿宋_GB2312" w:hAnsi="Times New Roman" w:eastAsia="仿宋_GB2312"/>
          <w:color w:val="000000" w:themeColor="text1"/>
          <w:sz w:val="28"/>
          <w:szCs w:val="28"/>
        </w:rPr>
        <w:fldChar w:fldCharType="begin"/>
      </w:r>
      <w:r>
        <w:rPr>
          <w:rFonts w:hint="eastAsia" w:ascii="仿宋_GB2312" w:eastAsia="仿宋_GB2312"/>
          <w:color w:val="000000" w:themeColor="text1"/>
          <w:sz w:val="28"/>
          <w:szCs w:val="28"/>
        </w:rPr>
        <w:instrText xml:space="preserve"> TC "</w:instrText>
      </w:r>
      <w:bookmarkStart w:id="62" w:name="_Toc288212018"/>
      <w:bookmarkStart w:id="63" w:name="_Toc289260249"/>
      <w:r>
        <w:rPr>
          <w:rFonts w:hint="eastAsia" w:ascii="仿宋_GB2312" w:eastAsia="仿宋_GB2312"/>
          <w:color w:val="000000" w:themeColor="text1"/>
          <w:sz w:val="28"/>
          <w:szCs w:val="28"/>
        </w:rPr>
        <w:instrText xml:space="preserve">1、</w:instrText>
      </w:r>
      <w:r>
        <w:rPr>
          <w:rFonts w:hint="eastAsia" w:ascii="仿宋_GB2312" w:hAnsi="Times New Roman" w:eastAsia="仿宋_GB2312"/>
          <w:color w:val="000000" w:themeColor="text1"/>
          <w:sz w:val="28"/>
          <w:szCs w:val="28"/>
        </w:rPr>
        <w:instrText xml:space="preserve">估价委托人</w:instrText>
      </w:r>
      <w:bookmarkEnd w:id="62"/>
      <w:bookmarkEnd w:id="63"/>
      <w:r>
        <w:rPr>
          <w:rFonts w:hint="eastAsia" w:ascii="仿宋_GB2312" w:eastAsia="仿宋_GB2312"/>
          <w:color w:val="000000" w:themeColor="text1"/>
          <w:sz w:val="28"/>
          <w:szCs w:val="28"/>
        </w:rPr>
        <w:instrText xml:space="preserve">" \f C \l "2"</w:instrText>
      </w:r>
      <w:r>
        <w:rPr>
          <w:rFonts w:hint="eastAsia" w:ascii="仿宋_GB2312" w:hAnsi="Times New Roman" w:eastAsia="仿宋_GB2312"/>
          <w:color w:val="000000" w:themeColor="text1"/>
          <w:sz w:val="28"/>
          <w:szCs w:val="28"/>
        </w:rPr>
        <w:fldChar w:fldCharType="end"/>
      </w:r>
      <w:bookmarkEnd w:id="39"/>
      <w:bookmarkEnd w:id="40"/>
      <w:bookmarkEnd w:id="41"/>
    </w:p>
    <w:p>
      <w:pPr>
        <w:adjustRightInd w:val="0"/>
        <w:snapToGrid w:val="0"/>
        <w:spacing w:line="560" w:lineRule="exact"/>
        <w:ind w:firstLine="560" w:firstLineChars="200"/>
        <w:rPr>
          <w:rFonts w:hint="eastAsia" w:ascii="仿宋_GB2312" w:eastAsia="仿宋_GB2312"/>
          <w:caps/>
          <w:color w:val="000000" w:themeColor="text1"/>
          <w:sz w:val="28"/>
          <w:lang w:eastAsia="zh-CN"/>
        </w:rPr>
      </w:pPr>
      <w:bookmarkStart w:id="64" w:name="_Toc155258963"/>
      <w:r>
        <w:rPr>
          <w:rFonts w:hint="eastAsia" w:ascii="仿宋_GB2312" w:eastAsia="仿宋_GB2312"/>
          <w:caps/>
          <w:color w:val="000000" w:themeColor="text1"/>
          <w:sz w:val="28"/>
        </w:rPr>
        <w:t>估价委托人：</w:t>
      </w:r>
      <w:r>
        <w:rPr>
          <w:rFonts w:hint="eastAsia" w:ascii="仿宋_GB2312" w:eastAsia="仿宋_GB2312"/>
          <w:caps/>
          <w:color w:val="000000" w:themeColor="text1"/>
          <w:sz w:val="28"/>
          <w:lang w:eastAsia="zh-CN"/>
        </w:rPr>
        <w:t>石家庄市长安区人民法院</w:t>
      </w:r>
    </w:p>
    <w:p>
      <w:pPr>
        <w:pStyle w:val="3"/>
        <w:adjustRightInd w:val="0"/>
        <w:snapToGrid w:val="0"/>
        <w:spacing w:before="0" w:after="0" w:line="560" w:lineRule="exact"/>
        <w:ind w:firstLine="562" w:firstLineChars="200"/>
        <w:rPr>
          <w:rFonts w:ascii="仿宋_GB2312" w:hAnsi="Times New Roman" w:eastAsia="仿宋_GB2312"/>
          <w:color w:val="000000" w:themeColor="text1"/>
          <w:sz w:val="28"/>
          <w:szCs w:val="28"/>
        </w:rPr>
      </w:pPr>
      <w:bookmarkStart w:id="65" w:name="_Toc382493617"/>
      <w:bookmarkStart w:id="66" w:name="_Toc432411971"/>
      <w:bookmarkStart w:id="67" w:name="_Toc13873"/>
      <w:bookmarkStart w:id="68" w:name="_Toc30794"/>
      <w:bookmarkStart w:id="69" w:name="_Toc5734"/>
      <w:r>
        <w:rPr>
          <w:rFonts w:hint="eastAsia" w:ascii="仿宋_GB2312" w:hAnsi="Times New Roman" w:eastAsia="仿宋_GB2312"/>
          <w:color w:val="000000" w:themeColor="text1"/>
          <w:sz w:val="28"/>
          <w:szCs w:val="28"/>
        </w:rPr>
        <w:t>二、房地产估价机构</w:t>
      </w:r>
      <w:bookmarkEnd w:id="64"/>
      <w:bookmarkEnd w:id="65"/>
      <w:bookmarkEnd w:id="66"/>
      <w:r>
        <w:rPr>
          <w:rFonts w:hint="eastAsia" w:ascii="仿宋_GB2312" w:hAnsi="Times New Roman" w:eastAsia="仿宋_GB2312"/>
          <w:color w:val="000000" w:themeColor="text1"/>
          <w:sz w:val="28"/>
          <w:szCs w:val="28"/>
        </w:rPr>
        <w:fldChar w:fldCharType="begin"/>
      </w:r>
      <w:r>
        <w:rPr>
          <w:rFonts w:hint="eastAsia" w:ascii="仿宋_GB2312" w:hAnsi="Times New Roman" w:eastAsia="仿宋_GB2312"/>
          <w:color w:val="000000" w:themeColor="text1"/>
          <w:sz w:val="28"/>
          <w:szCs w:val="28"/>
        </w:rPr>
        <w:instrText xml:space="preserve"> TC "</w:instrText>
      </w:r>
      <w:bookmarkStart w:id="70" w:name="_Toc289260250"/>
      <w:bookmarkStart w:id="71" w:name="_Toc288212019"/>
      <w:r>
        <w:rPr>
          <w:rFonts w:hint="eastAsia" w:ascii="仿宋_GB2312" w:hAnsi="Times New Roman" w:eastAsia="仿宋_GB2312"/>
          <w:color w:val="000000" w:themeColor="text1"/>
          <w:sz w:val="28"/>
          <w:szCs w:val="28"/>
        </w:rPr>
        <w:instrText xml:space="preserve">2、估价机构</w:instrText>
      </w:r>
      <w:bookmarkEnd w:id="70"/>
      <w:bookmarkEnd w:id="71"/>
      <w:r>
        <w:rPr>
          <w:rFonts w:hint="eastAsia" w:ascii="仿宋_GB2312" w:hAnsi="Times New Roman" w:eastAsia="仿宋_GB2312"/>
          <w:color w:val="000000" w:themeColor="text1"/>
          <w:sz w:val="28"/>
          <w:szCs w:val="28"/>
        </w:rPr>
        <w:instrText xml:space="preserve">" \f C \l "2"</w:instrText>
      </w:r>
      <w:r>
        <w:rPr>
          <w:rFonts w:hint="eastAsia" w:ascii="仿宋_GB2312" w:hAnsi="Times New Roman" w:eastAsia="仿宋_GB2312"/>
          <w:color w:val="000000" w:themeColor="text1"/>
          <w:sz w:val="28"/>
          <w:szCs w:val="28"/>
        </w:rPr>
        <w:fldChar w:fldCharType="end"/>
      </w:r>
      <w:bookmarkEnd w:id="67"/>
      <w:bookmarkEnd w:id="68"/>
      <w:bookmarkEnd w:id="69"/>
    </w:p>
    <w:p>
      <w:pPr>
        <w:adjustRightInd w:val="0"/>
        <w:snapToGrid w:val="0"/>
        <w:spacing w:line="540" w:lineRule="exact"/>
        <w:ind w:firstLine="560" w:firstLineChars="200"/>
        <w:rPr>
          <w:rFonts w:ascii="仿宋_GB2312" w:hAnsi="仿宋" w:eastAsia="仿宋_GB2312" w:cs="仿宋_GB2312"/>
          <w:color w:val="000000" w:themeColor="text1"/>
          <w:sz w:val="28"/>
          <w:szCs w:val="28"/>
        </w:rPr>
      </w:pPr>
      <w:bookmarkStart w:id="72" w:name="_Toc432411972"/>
      <w:bookmarkStart w:id="73" w:name="_Toc382493619"/>
      <w:bookmarkStart w:id="74" w:name="_Toc155258964"/>
      <w:r>
        <w:rPr>
          <w:rFonts w:hint="eastAsia" w:ascii="仿宋_GB2312" w:hAnsi="仿宋" w:eastAsia="仿宋_GB2312" w:cs="仿宋_GB2312"/>
          <w:color w:val="000000" w:themeColor="text1"/>
          <w:sz w:val="28"/>
          <w:szCs w:val="28"/>
        </w:rPr>
        <w:t>估价机构：河北嘉泽房地产资产评估有限公司</w:t>
      </w:r>
    </w:p>
    <w:p>
      <w:pPr>
        <w:adjustRightInd w:val="0"/>
        <w:snapToGrid w:val="0"/>
        <w:spacing w:line="540" w:lineRule="exact"/>
        <w:ind w:firstLine="560" w:firstLineChars="200"/>
        <w:rPr>
          <w:rFonts w:ascii="仿宋_GB2312" w:hAnsi="仿宋" w:eastAsia="仿宋_GB2312" w:cs="仿宋_GB2312"/>
          <w:color w:val="000000" w:themeColor="text1"/>
          <w:sz w:val="28"/>
          <w:szCs w:val="28"/>
          <w:highlight w:val="none"/>
        </w:rPr>
      </w:pPr>
      <w:r>
        <w:rPr>
          <w:rFonts w:hint="eastAsia" w:ascii="仿宋_GB2312" w:hAnsi="仿宋" w:eastAsia="仿宋_GB2312" w:cs="仿宋_GB2312"/>
          <w:color w:val="000000" w:themeColor="text1"/>
          <w:sz w:val="28"/>
          <w:szCs w:val="28"/>
        </w:rPr>
        <w:t>机构地址：</w:t>
      </w:r>
      <w:r>
        <w:rPr>
          <w:rFonts w:hint="eastAsia" w:ascii="仿宋_GB2312" w:hAnsi="仿宋" w:eastAsia="仿宋_GB2312" w:cs="仿宋_GB2312"/>
          <w:color w:val="000000" w:themeColor="text1"/>
          <w:sz w:val="28"/>
          <w:szCs w:val="28"/>
          <w:lang w:eastAsia="zh-CN"/>
        </w:rPr>
        <w:t>河</w:t>
      </w:r>
      <w:r>
        <w:rPr>
          <w:rFonts w:hint="eastAsia" w:ascii="仿宋_GB2312" w:hAnsi="仿宋" w:eastAsia="仿宋_GB2312" w:cs="仿宋_GB2312"/>
          <w:color w:val="000000" w:themeColor="text1"/>
          <w:sz w:val="28"/>
          <w:szCs w:val="28"/>
          <w:highlight w:val="none"/>
          <w:lang w:eastAsia="zh-CN"/>
        </w:rPr>
        <w:t>北省</w:t>
      </w:r>
      <w:r>
        <w:rPr>
          <w:rFonts w:hint="eastAsia" w:ascii="仿宋_GB2312" w:hAnsi="仿宋" w:eastAsia="仿宋_GB2312" w:cs="仿宋_GB2312"/>
          <w:color w:val="000000" w:themeColor="text1"/>
          <w:sz w:val="28"/>
          <w:szCs w:val="28"/>
          <w:highlight w:val="none"/>
        </w:rPr>
        <w:t>石家庄</w:t>
      </w:r>
      <w:r>
        <w:rPr>
          <w:rFonts w:hint="eastAsia" w:ascii="仿宋_GB2312" w:hAnsi="仿宋" w:eastAsia="仿宋_GB2312" w:cs="仿宋_GB2312"/>
          <w:color w:val="000000" w:themeColor="text1"/>
          <w:sz w:val="28"/>
          <w:szCs w:val="28"/>
          <w:highlight w:val="none"/>
          <w:lang w:eastAsia="zh-CN"/>
        </w:rPr>
        <w:t>市</w:t>
      </w:r>
      <w:r>
        <w:rPr>
          <w:rFonts w:hint="eastAsia" w:ascii="仿宋_GB2312" w:hAnsi="仿宋" w:eastAsia="仿宋_GB2312" w:cs="仿宋_GB2312"/>
          <w:color w:val="000000" w:themeColor="text1"/>
          <w:sz w:val="28"/>
          <w:szCs w:val="28"/>
          <w:highlight w:val="none"/>
        </w:rPr>
        <w:t>长安区中山东路289号长安广场2209、2205、2207、2208、2210室</w:t>
      </w:r>
    </w:p>
    <w:p>
      <w:pPr>
        <w:adjustRightInd w:val="0"/>
        <w:snapToGrid w:val="0"/>
        <w:spacing w:line="540" w:lineRule="exact"/>
        <w:ind w:firstLine="560" w:firstLineChars="200"/>
        <w:rPr>
          <w:rFonts w:ascii="仿宋_GB2312" w:hAnsi="仿宋" w:eastAsia="仿宋_GB2312" w:cs="仿宋_GB2312"/>
          <w:color w:val="000000" w:themeColor="text1"/>
          <w:sz w:val="28"/>
          <w:szCs w:val="28"/>
        </w:rPr>
      </w:pPr>
      <w:r>
        <w:rPr>
          <w:rFonts w:hint="eastAsia" w:ascii="仿宋_GB2312" w:hAnsi="仿宋" w:eastAsia="仿宋_GB2312" w:cs="仿宋_GB2312"/>
          <w:color w:val="000000" w:themeColor="text1"/>
          <w:sz w:val="28"/>
          <w:szCs w:val="28"/>
        </w:rPr>
        <w:t>法人代表：魏宏全</w:t>
      </w:r>
    </w:p>
    <w:p>
      <w:pPr>
        <w:adjustRightInd w:val="0"/>
        <w:snapToGrid w:val="0"/>
        <w:spacing w:line="540" w:lineRule="exact"/>
        <w:ind w:firstLine="560" w:firstLineChars="200"/>
        <w:rPr>
          <w:rFonts w:ascii="仿宋_GB2312" w:hAnsi="仿宋" w:eastAsia="仿宋_GB2312" w:cs="仿宋_GB2312"/>
          <w:color w:val="000000" w:themeColor="text1"/>
          <w:sz w:val="28"/>
          <w:szCs w:val="28"/>
        </w:rPr>
      </w:pPr>
      <w:r>
        <w:rPr>
          <w:rFonts w:hint="eastAsia" w:ascii="仿宋_GB2312" w:hAnsi="仿宋" w:eastAsia="仿宋_GB2312" w:cs="仿宋_GB2312"/>
          <w:color w:val="000000" w:themeColor="text1"/>
          <w:sz w:val="28"/>
          <w:szCs w:val="28"/>
        </w:rPr>
        <w:t>统一社会信用代码：911301007468586013</w:t>
      </w:r>
    </w:p>
    <w:p>
      <w:pPr>
        <w:adjustRightInd w:val="0"/>
        <w:snapToGrid w:val="0"/>
        <w:spacing w:line="540" w:lineRule="exact"/>
        <w:ind w:firstLine="560" w:firstLineChars="200"/>
        <w:rPr>
          <w:rFonts w:ascii="仿宋_GB2312" w:hAnsi="仿宋" w:eastAsia="仿宋_GB2312" w:cs="仿宋_GB2312"/>
          <w:color w:val="000000" w:themeColor="text1"/>
          <w:sz w:val="28"/>
          <w:szCs w:val="28"/>
        </w:rPr>
      </w:pPr>
      <w:r>
        <w:rPr>
          <w:rFonts w:hint="eastAsia" w:ascii="仿宋_GB2312" w:hAnsi="仿宋" w:eastAsia="仿宋_GB2312" w:cs="仿宋_GB2312"/>
          <w:color w:val="000000" w:themeColor="text1"/>
          <w:sz w:val="28"/>
          <w:szCs w:val="28"/>
        </w:rPr>
        <w:t xml:space="preserve">备案等级：壹级     </w:t>
      </w:r>
    </w:p>
    <w:p>
      <w:pPr>
        <w:adjustRightInd w:val="0"/>
        <w:snapToGrid w:val="0"/>
        <w:spacing w:line="540" w:lineRule="exact"/>
        <w:ind w:firstLine="560" w:firstLineChars="200"/>
        <w:rPr>
          <w:rFonts w:ascii="仿宋_GB2312" w:hAnsi="仿宋" w:eastAsia="仿宋_GB2312" w:cs="仿宋_GB2312"/>
          <w:color w:val="000000" w:themeColor="text1"/>
          <w:sz w:val="28"/>
          <w:szCs w:val="28"/>
        </w:rPr>
      </w:pPr>
      <w:r>
        <w:rPr>
          <w:rFonts w:hint="eastAsia" w:ascii="仿宋_GB2312" w:hAnsi="仿宋" w:eastAsia="仿宋_GB2312" w:cs="仿宋_GB2312"/>
          <w:color w:val="000000" w:themeColor="text1"/>
          <w:sz w:val="28"/>
          <w:szCs w:val="28"/>
        </w:rPr>
        <w:t>证书编号：冀建房估（石）13号</w:t>
      </w:r>
    </w:p>
    <w:p>
      <w:pPr>
        <w:adjustRightInd w:val="0"/>
        <w:snapToGrid w:val="0"/>
        <w:spacing w:line="540" w:lineRule="exact"/>
        <w:ind w:firstLine="560" w:firstLineChars="200"/>
        <w:rPr>
          <w:rFonts w:ascii="仿宋_GB2312" w:hAnsi="仿宋" w:eastAsia="仿宋_GB2312" w:cs="仿宋_GB2312"/>
          <w:color w:val="000000" w:themeColor="text1"/>
          <w:sz w:val="28"/>
          <w:szCs w:val="28"/>
        </w:rPr>
      </w:pPr>
      <w:r>
        <w:rPr>
          <w:rFonts w:hint="eastAsia" w:ascii="仿宋_GB2312" w:hAnsi="仿宋" w:eastAsia="仿宋_GB2312" w:cs="仿宋_GB2312"/>
          <w:color w:val="000000" w:themeColor="text1"/>
          <w:sz w:val="28"/>
          <w:szCs w:val="28"/>
        </w:rPr>
        <w:t>联系电话：0311-85379919  85379918</w:t>
      </w:r>
    </w:p>
    <w:p>
      <w:pPr>
        <w:pStyle w:val="3"/>
        <w:adjustRightInd w:val="0"/>
        <w:snapToGrid w:val="0"/>
        <w:spacing w:before="0" w:after="0" w:line="560" w:lineRule="exact"/>
        <w:ind w:firstLine="562" w:firstLineChars="200"/>
        <w:rPr>
          <w:rFonts w:ascii="仿宋_GB2312" w:hAnsi="Times New Roman" w:eastAsia="仿宋_GB2312"/>
          <w:color w:val="000000" w:themeColor="text1"/>
          <w:sz w:val="28"/>
          <w:szCs w:val="28"/>
        </w:rPr>
      </w:pPr>
      <w:bookmarkStart w:id="75" w:name="_Toc27733"/>
      <w:bookmarkStart w:id="76" w:name="_Toc19565"/>
      <w:bookmarkStart w:id="77" w:name="_Toc17174"/>
      <w:r>
        <w:rPr>
          <w:rFonts w:hint="eastAsia" w:ascii="仿宋_GB2312" w:hAnsi="Times New Roman" w:eastAsia="仿宋_GB2312"/>
          <w:color w:val="000000" w:themeColor="text1"/>
          <w:sz w:val="28"/>
          <w:szCs w:val="28"/>
        </w:rPr>
        <w:t>三、估价目的</w:t>
      </w:r>
      <w:bookmarkEnd w:id="72"/>
      <w:bookmarkEnd w:id="75"/>
      <w:bookmarkEnd w:id="76"/>
      <w:bookmarkEnd w:id="77"/>
    </w:p>
    <w:p>
      <w:pPr>
        <w:adjustRightInd w:val="0"/>
        <w:snapToGrid w:val="0"/>
        <w:spacing w:line="560" w:lineRule="exact"/>
        <w:ind w:firstLine="560" w:firstLineChars="200"/>
        <w:rPr>
          <w:rFonts w:ascii="仿宋_GB2312" w:eastAsia="仿宋_GB2312"/>
          <w:color w:val="000000" w:themeColor="text1"/>
          <w:sz w:val="28"/>
          <w:szCs w:val="28"/>
        </w:rPr>
      </w:pPr>
      <w:bookmarkStart w:id="78" w:name="_Toc432411973"/>
      <w:r>
        <w:rPr>
          <w:rFonts w:hint="eastAsia" w:ascii="仿宋_GB2312" w:eastAsia="仿宋_GB2312"/>
          <w:color w:val="000000" w:themeColor="text1"/>
          <w:sz w:val="28"/>
          <w:szCs w:val="28"/>
        </w:rPr>
        <w:t>为</w:t>
      </w:r>
      <w:r>
        <w:rPr>
          <w:rFonts w:hint="eastAsia" w:ascii="仿宋_GB2312" w:eastAsia="仿宋_GB2312"/>
          <w:color w:val="000000" w:themeColor="text1"/>
          <w:sz w:val="28"/>
          <w:szCs w:val="28"/>
          <w:lang w:eastAsia="zh-CN"/>
        </w:rPr>
        <w:t>石家庄市长安区人民法院</w:t>
      </w:r>
      <w:r>
        <w:rPr>
          <w:rFonts w:hint="eastAsia" w:ascii="仿宋_GB2312" w:eastAsia="仿宋_GB2312"/>
          <w:color w:val="000000" w:themeColor="text1"/>
          <w:sz w:val="28"/>
          <w:szCs w:val="28"/>
        </w:rPr>
        <w:t>确定财产处置参考价提供参考依据。</w:t>
      </w:r>
    </w:p>
    <w:p>
      <w:pPr>
        <w:pStyle w:val="3"/>
        <w:adjustRightInd w:val="0"/>
        <w:snapToGrid w:val="0"/>
        <w:spacing w:before="0" w:after="0" w:line="560" w:lineRule="exact"/>
        <w:ind w:firstLine="562" w:firstLineChars="200"/>
        <w:rPr>
          <w:rFonts w:ascii="仿宋_GB2312" w:hAnsi="Times New Roman" w:eastAsia="仿宋_GB2312"/>
          <w:color w:val="000000" w:themeColor="text1"/>
          <w:sz w:val="28"/>
          <w:szCs w:val="28"/>
        </w:rPr>
      </w:pPr>
      <w:bookmarkStart w:id="79" w:name="_Toc8340"/>
      <w:bookmarkStart w:id="80" w:name="_Toc14045"/>
      <w:bookmarkStart w:id="81" w:name="_Toc24647"/>
      <w:r>
        <w:rPr>
          <w:rFonts w:hint="eastAsia" w:ascii="仿宋_GB2312" w:hAnsi="Times New Roman" w:eastAsia="仿宋_GB2312"/>
          <w:color w:val="000000" w:themeColor="text1"/>
          <w:sz w:val="28"/>
          <w:szCs w:val="28"/>
        </w:rPr>
        <w:t>四、估价对象</w:t>
      </w:r>
      <w:bookmarkEnd w:id="73"/>
      <w:bookmarkEnd w:id="78"/>
      <w:bookmarkEnd w:id="79"/>
      <w:bookmarkEnd w:id="80"/>
      <w:bookmarkEnd w:id="81"/>
    </w:p>
    <w:p>
      <w:pPr>
        <w:adjustRightInd w:val="0"/>
        <w:snapToGrid w:val="0"/>
        <w:spacing w:line="560" w:lineRule="exact"/>
        <w:ind w:firstLine="560" w:firstLineChars="200"/>
        <w:rPr>
          <w:rFonts w:ascii="仿宋_GB2312" w:eastAsia="仿宋_GB2312"/>
          <w:color w:val="000000" w:themeColor="text1"/>
          <w:sz w:val="28"/>
          <w:szCs w:val="28"/>
        </w:rPr>
      </w:pPr>
      <w:r>
        <w:rPr>
          <w:rFonts w:hint="eastAsia" w:ascii="仿宋_GB2312" w:eastAsia="仿宋_GB2312"/>
          <w:color w:val="000000" w:themeColor="text1"/>
          <w:sz w:val="28"/>
          <w:szCs w:val="28"/>
        </w:rPr>
        <w:t>1.估价对象范围</w:t>
      </w:r>
    </w:p>
    <w:p>
      <w:pPr>
        <w:adjustRightInd w:val="0"/>
        <w:snapToGrid w:val="0"/>
        <w:spacing w:line="560" w:lineRule="exact"/>
        <w:ind w:firstLine="560" w:firstLineChars="200"/>
        <w:rPr>
          <w:rFonts w:hint="eastAsia" w:ascii="仿宋_GB2312" w:hAnsi="宋体" w:eastAsia="仿宋_GB2312" w:cs="宋体"/>
          <w:color w:val="000000" w:themeColor="text1"/>
          <w:sz w:val="28"/>
          <w:szCs w:val="28"/>
        </w:rPr>
      </w:pPr>
      <w:r>
        <w:rPr>
          <w:rFonts w:hint="eastAsia" w:ascii="仿宋_GB2312" w:hAnsi="宋体" w:eastAsia="仿宋_GB2312" w:cs="宋体"/>
          <w:color w:val="000000" w:themeColor="text1"/>
          <w:sz w:val="28"/>
          <w:szCs w:val="28"/>
        </w:rPr>
        <w:t>估价对象为</w:t>
      </w:r>
      <w:r>
        <w:rPr>
          <w:rFonts w:hint="eastAsia" w:ascii="仿宋_GB2312" w:hAnsi="宋体" w:eastAsia="仿宋_GB2312" w:cs="宋体"/>
          <w:color w:val="000000" w:themeColor="text1"/>
          <w:sz w:val="28"/>
          <w:szCs w:val="28"/>
          <w:lang w:eastAsia="zh-CN"/>
        </w:rPr>
        <w:t>付涛</w:t>
      </w:r>
      <w:r>
        <w:rPr>
          <w:rFonts w:hint="eastAsia" w:ascii="仿宋_GB2312" w:hAnsi="宋体" w:eastAsia="仿宋_GB2312" w:cs="宋体"/>
          <w:color w:val="000000" w:themeColor="text1"/>
          <w:sz w:val="28"/>
          <w:szCs w:val="28"/>
        </w:rPr>
        <w:t>位于</w:t>
      </w:r>
      <w:r>
        <w:rPr>
          <w:rFonts w:hint="eastAsia" w:ascii="仿宋_GB2312" w:hAnsi="宋体" w:eastAsia="仿宋_GB2312" w:cs="宋体"/>
          <w:color w:val="000000" w:themeColor="text1"/>
          <w:sz w:val="28"/>
          <w:szCs w:val="28"/>
          <w:lang w:eastAsia="zh-CN"/>
        </w:rPr>
        <w:t>石家庄市桥西区开泰街以西三简路以南开泰小区6B-4-202等2处</w:t>
      </w:r>
      <w:r>
        <w:rPr>
          <w:rFonts w:hint="eastAsia" w:ascii="仿宋_GB2312" w:hAnsi="宋体" w:eastAsia="仿宋_GB2312" w:cs="宋体"/>
          <w:color w:val="000000" w:themeColor="text1"/>
          <w:sz w:val="28"/>
          <w:szCs w:val="28"/>
        </w:rPr>
        <w:t>的成套住宅，</w:t>
      </w:r>
      <w:r>
        <w:rPr>
          <w:rFonts w:hint="eastAsia" w:ascii="仿宋_GB2312" w:hAnsi="宋体" w:eastAsia="仿宋_GB2312" w:cs="宋体"/>
          <w:color w:val="000000" w:themeColor="text1"/>
          <w:sz w:val="28"/>
          <w:szCs w:val="28"/>
          <w:lang w:eastAsia="zh-CN"/>
        </w:rPr>
        <w:t>其中，</w:t>
      </w:r>
      <w:r>
        <w:rPr>
          <w:rFonts w:hint="eastAsia" w:ascii="仿宋_GB2312" w:hAnsi="宋体" w:eastAsia="仿宋_GB2312" w:cs="宋体"/>
          <w:color w:val="000000" w:themeColor="text1"/>
          <w:sz w:val="28"/>
          <w:szCs w:val="28"/>
          <w:lang w:val="en-US" w:eastAsia="zh-CN"/>
        </w:rPr>
        <w:t>估价对象</w:t>
      </w:r>
      <w:r>
        <w:rPr>
          <w:rFonts w:hint="eastAsia" w:ascii="仿宋_GB2312" w:hAnsi="宋体" w:eastAsia="仿宋_GB2312" w:cs="宋体"/>
          <w:color w:val="000000" w:themeColor="text1"/>
          <w:sz w:val="28"/>
          <w:szCs w:val="28"/>
          <w:lang w:eastAsia="zh-CN"/>
        </w:rPr>
        <w:t>住宅位于</w:t>
      </w:r>
      <w:r>
        <w:rPr>
          <w:rFonts w:hint="eastAsia" w:ascii="仿宋_GB2312" w:hAnsi="宋体" w:eastAsia="仿宋_GB2312" w:cs="宋体"/>
          <w:color w:val="000000" w:themeColor="text1"/>
          <w:sz w:val="28"/>
          <w:szCs w:val="28"/>
          <w:lang w:val="en-US" w:eastAsia="zh-CN"/>
        </w:rPr>
        <w:t>地上2层，</w:t>
      </w:r>
      <w:r>
        <w:rPr>
          <w:rFonts w:hint="eastAsia" w:ascii="仿宋_GB2312" w:hAnsi="宋体" w:eastAsia="仿宋_GB2312" w:cs="宋体"/>
          <w:color w:val="000000" w:themeColor="text1"/>
          <w:sz w:val="28"/>
          <w:szCs w:val="28"/>
          <w:lang w:eastAsia="zh-CN"/>
        </w:rPr>
        <w:t>建筑面积97.19平方米；仓储用房位于</w:t>
      </w:r>
      <w:r>
        <w:rPr>
          <w:rFonts w:hint="eastAsia" w:ascii="仿宋_GB2312" w:hAnsi="宋体" w:eastAsia="仿宋_GB2312" w:cs="宋体"/>
          <w:color w:val="000000" w:themeColor="text1"/>
          <w:sz w:val="28"/>
          <w:szCs w:val="28"/>
          <w:lang w:val="en-US" w:eastAsia="zh-CN"/>
        </w:rPr>
        <w:t>地下1层，</w:t>
      </w:r>
      <w:r>
        <w:rPr>
          <w:rFonts w:hint="eastAsia" w:ascii="仿宋_GB2312" w:hAnsi="宋体" w:eastAsia="仿宋_GB2312" w:cs="宋体"/>
          <w:color w:val="000000" w:themeColor="text1"/>
          <w:sz w:val="28"/>
          <w:szCs w:val="28"/>
          <w:lang w:eastAsia="zh-CN"/>
        </w:rPr>
        <w:t>建筑面积为23.15平方米。</w:t>
      </w:r>
    </w:p>
    <w:p>
      <w:pPr>
        <w:adjustRightInd w:val="0"/>
        <w:snapToGrid w:val="0"/>
        <w:spacing w:line="560" w:lineRule="exact"/>
        <w:ind w:firstLine="560" w:firstLineChars="200"/>
        <w:rPr>
          <w:rFonts w:ascii="仿宋_GB2312" w:hAnsi="宋体" w:eastAsia="仿宋_GB2312" w:cs="宋体"/>
          <w:color w:val="000000" w:themeColor="text1"/>
          <w:sz w:val="28"/>
          <w:szCs w:val="28"/>
        </w:rPr>
      </w:pPr>
      <w:r>
        <w:rPr>
          <w:rFonts w:hint="eastAsia" w:ascii="仿宋_GB2312" w:hAnsi="宋体" w:eastAsia="仿宋_GB2312" w:cs="宋体"/>
          <w:color w:val="000000" w:themeColor="text1"/>
          <w:sz w:val="28"/>
          <w:szCs w:val="28"/>
        </w:rPr>
        <w:t>本次估价范围含分摊的国有建设用地使用权，不含室内可移动物品及其他债权债务。</w:t>
      </w:r>
    </w:p>
    <w:p>
      <w:pPr>
        <w:numPr>
          <w:ilvl w:val="0"/>
          <w:numId w:val="3"/>
        </w:numPr>
        <w:adjustRightInd w:val="0"/>
        <w:snapToGrid w:val="0"/>
        <w:spacing w:line="560" w:lineRule="exact"/>
        <w:ind w:firstLine="560" w:firstLineChars="200"/>
        <w:rPr>
          <w:rFonts w:ascii="仿宋_GB2312" w:eastAsia="仿宋_GB2312"/>
          <w:color w:val="000000" w:themeColor="text1"/>
          <w:sz w:val="28"/>
          <w:szCs w:val="28"/>
        </w:rPr>
      </w:pPr>
      <w:r>
        <w:rPr>
          <w:rFonts w:hint="eastAsia" w:ascii="仿宋_GB2312" w:eastAsia="仿宋_GB2312"/>
          <w:color w:val="000000" w:themeColor="text1"/>
          <w:sz w:val="28"/>
          <w:szCs w:val="28"/>
        </w:rPr>
        <w:t>估价对象实物状况</w:t>
      </w:r>
    </w:p>
    <w:p>
      <w:pPr>
        <w:spacing w:line="560" w:lineRule="exact"/>
        <w:ind w:firstLine="560" w:firstLineChars="200"/>
        <w:rPr>
          <w:rFonts w:ascii="仿宋_GB2312" w:hAnsi="宋体" w:eastAsia="仿宋_GB2312" w:cs="宋体"/>
          <w:color w:val="auto"/>
          <w:sz w:val="28"/>
          <w:szCs w:val="28"/>
        </w:rPr>
      </w:pPr>
      <w:r>
        <w:rPr>
          <w:rFonts w:hint="eastAsia" w:ascii="仿宋_GB2312" w:eastAsia="仿宋_GB2312"/>
          <w:color w:val="000000" w:themeColor="text1"/>
          <w:sz w:val="28"/>
          <w:szCs w:val="28"/>
        </w:rPr>
        <w:t>估价对象位于</w:t>
      </w:r>
      <w:r>
        <w:rPr>
          <w:rFonts w:hint="eastAsia" w:ascii="仿宋_GB2312" w:hAnsi="仿宋_GB2312" w:eastAsia="仿宋_GB2312" w:cs="仿宋_GB2312"/>
          <w:color w:val="000000" w:themeColor="text1"/>
          <w:sz w:val="28"/>
          <w:szCs w:val="28"/>
          <w:lang w:eastAsia="zh-CN"/>
        </w:rPr>
        <w:t>石家庄市桥西区开泰街以西三简路以南开泰小区</w:t>
      </w:r>
      <w:r>
        <w:rPr>
          <w:rFonts w:hint="eastAsia" w:ascii="仿宋_GB2312" w:hAnsi="宋体" w:eastAsia="仿宋_GB2312" w:cs="宋体"/>
          <w:color w:val="000000" w:themeColor="text1"/>
          <w:sz w:val="28"/>
          <w:szCs w:val="28"/>
        </w:rPr>
        <w:t>，</w:t>
      </w:r>
      <w:bookmarkStart w:id="82" w:name="_Toc383068139"/>
      <w:bookmarkStart w:id="83" w:name="_Toc384813581"/>
      <w:bookmarkStart w:id="84" w:name="_Toc387827692"/>
      <w:bookmarkStart w:id="85" w:name="_Toc382493620"/>
      <w:r>
        <w:rPr>
          <w:rFonts w:hint="eastAsia" w:ascii="仿宋_GB2312" w:hAnsi="宋体" w:eastAsia="仿宋_GB2312" w:cs="宋体"/>
          <w:color w:val="000000" w:themeColor="text1"/>
          <w:sz w:val="28"/>
          <w:szCs w:val="28"/>
        </w:rPr>
        <w:t>该小</w:t>
      </w:r>
      <w:r>
        <w:rPr>
          <w:rFonts w:hint="eastAsia" w:ascii="仿宋_GB2312" w:hAnsi="宋体" w:eastAsia="仿宋_GB2312" w:cs="宋体"/>
          <w:color w:val="auto"/>
          <w:sz w:val="28"/>
          <w:szCs w:val="28"/>
        </w:rPr>
        <w:t>区</w:t>
      </w:r>
      <w:r>
        <w:rPr>
          <w:rFonts w:hint="eastAsia" w:ascii="仿宋_GB2312" w:hAnsi="宋体" w:eastAsia="仿宋_GB2312" w:cs="宋体"/>
          <w:color w:val="auto"/>
          <w:sz w:val="28"/>
          <w:szCs w:val="28"/>
          <w:lang w:eastAsia="zh-CN"/>
        </w:rPr>
        <w:t>南临广源路、</w:t>
      </w:r>
      <w:r>
        <w:rPr>
          <w:rFonts w:hint="eastAsia" w:ascii="仿宋_GB2312" w:hAnsi="宋体" w:eastAsia="仿宋_GB2312" w:cs="宋体"/>
          <w:color w:val="auto"/>
          <w:sz w:val="28"/>
          <w:szCs w:val="28"/>
          <w:lang w:val="en-US" w:eastAsia="zh-CN"/>
        </w:rPr>
        <w:t>东临开泰街</w:t>
      </w:r>
      <w:r>
        <w:rPr>
          <w:rFonts w:hint="eastAsia" w:ascii="仿宋_GB2312" w:hAnsi="宋体" w:eastAsia="仿宋_GB2312" w:cs="宋体"/>
          <w:color w:val="auto"/>
          <w:sz w:val="28"/>
          <w:szCs w:val="28"/>
        </w:rPr>
        <w:t>,小区</w:t>
      </w:r>
      <w:r>
        <w:rPr>
          <w:rFonts w:hint="eastAsia" w:ascii="仿宋_GB2312" w:hAnsi="宋体" w:eastAsia="仿宋_GB2312" w:cs="宋体"/>
          <w:color w:val="auto"/>
          <w:sz w:val="28"/>
          <w:szCs w:val="28"/>
          <w:lang w:val="en-US" w:eastAsia="zh-CN"/>
        </w:rPr>
        <w:t>内部</w:t>
      </w:r>
      <w:r>
        <w:rPr>
          <w:rFonts w:hint="eastAsia" w:ascii="仿宋_GB2312" w:hAnsi="宋体" w:eastAsia="仿宋_GB2312" w:cs="宋体"/>
          <w:color w:val="auto"/>
          <w:sz w:val="28"/>
          <w:szCs w:val="28"/>
        </w:rPr>
        <w:t>环境一般，物业管理较规范。</w:t>
      </w:r>
    </w:p>
    <w:p>
      <w:pPr>
        <w:adjustRightInd w:val="0"/>
        <w:snapToGrid w:val="0"/>
        <w:spacing w:line="560" w:lineRule="exact"/>
        <w:ind w:firstLine="560" w:firstLineChars="200"/>
        <w:rPr>
          <w:rFonts w:hint="eastAsia" w:ascii="仿宋_GB2312" w:hAnsi="宋体" w:eastAsia="仿宋_GB2312" w:cs="宋体"/>
          <w:color w:val="000000" w:themeColor="text1"/>
          <w:sz w:val="28"/>
          <w:szCs w:val="28"/>
        </w:rPr>
      </w:pPr>
      <w:r>
        <w:rPr>
          <w:rFonts w:hint="eastAsia" w:ascii="仿宋_GB2312" w:hAnsi="宋体" w:eastAsia="仿宋_GB2312" w:cs="宋体"/>
          <w:color w:val="000000"/>
          <w:sz w:val="28"/>
          <w:szCs w:val="28"/>
        </w:rPr>
        <w:t>估价对象位于</w:t>
      </w:r>
      <w:r>
        <w:rPr>
          <w:rFonts w:hint="eastAsia" w:ascii="仿宋_GB2312" w:hAnsi="宋体" w:eastAsia="仿宋_GB2312" w:cs="宋体"/>
          <w:color w:val="000000"/>
          <w:sz w:val="28"/>
          <w:szCs w:val="28"/>
          <w:lang w:val="en-US" w:eastAsia="zh-CN"/>
        </w:rPr>
        <w:t>石家庄市桥西区开泰街以西三简路以南开泰小区6B-4-202等两处</w:t>
      </w:r>
      <w:r>
        <w:rPr>
          <w:rFonts w:hint="eastAsia" w:ascii="仿宋_GB2312" w:hAnsi="宋体" w:eastAsia="仿宋_GB2312" w:cs="宋体"/>
          <w:color w:val="000000"/>
          <w:sz w:val="28"/>
          <w:szCs w:val="28"/>
          <w:lang w:eastAsia="zh-CN"/>
        </w:rPr>
        <w:t>。</w:t>
      </w:r>
      <w:r>
        <w:rPr>
          <w:rFonts w:hint="eastAsia" w:ascii="仿宋_GB2312" w:hAnsi="宋体" w:eastAsia="仿宋_GB2312" w:cs="宋体"/>
          <w:color w:val="000000" w:themeColor="text1"/>
          <w:sz w:val="28"/>
          <w:szCs w:val="28"/>
        </w:rPr>
        <w:t>估价对象所在</w:t>
      </w:r>
      <w:r>
        <w:rPr>
          <w:rFonts w:hint="eastAsia" w:ascii="仿宋_GB2312" w:hAnsi="宋体" w:eastAsia="仿宋_GB2312" w:cs="宋体"/>
          <w:color w:val="000000" w:themeColor="text1"/>
          <w:sz w:val="28"/>
          <w:szCs w:val="28"/>
          <w:lang w:val="en-US" w:eastAsia="zh-CN"/>
        </w:rPr>
        <w:t>6B</w:t>
      </w:r>
      <w:r>
        <w:rPr>
          <w:rFonts w:hint="eastAsia" w:ascii="仿宋_GB2312" w:hAnsi="宋体" w:eastAsia="仿宋_GB2312" w:cs="宋体"/>
          <w:color w:val="000000" w:themeColor="text1"/>
          <w:sz w:val="28"/>
          <w:szCs w:val="28"/>
        </w:rPr>
        <w:t>号住宅楼共</w:t>
      </w:r>
      <w:r>
        <w:rPr>
          <w:rFonts w:hint="eastAsia" w:ascii="仿宋_GB2312" w:hAnsi="宋体" w:eastAsia="仿宋_GB2312" w:cs="宋体"/>
          <w:color w:val="000000" w:themeColor="text1"/>
          <w:sz w:val="28"/>
          <w:szCs w:val="28"/>
          <w:lang w:val="en-US" w:eastAsia="zh-CN"/>
        </w:rPr>
        <w:t>四</w:t>
      </w:r>
      <w:r>
        <w:rPr>
          <w:rFonts w:hint="eastAsia" w:ascii="仿宋_GB2312" w:hAnsi="宋体" w:eastAsia="仿宋_GB2312" w:cs="宋体"/>
          <w:color w:val="000000" w:themeColor="text1"/>
          <w:sz w:val="28"/>
          <w:szCs w:val="28"/>
        </w:rPr>
        <w:t>个单元，</w:t>
      </w:r>
      <w:r>
        <w:rPr>
          <w:rFonts w:hint="eastAsia" w:ascii="仿宋_GB2312" w:hAnsi="宋体" w:eastAsia="仿宋_GB2312" w:cs="宋体"/>
          <w:color w:val="000000" w:themeColor="text1"/>
          <w:sz w:val="28"/>
          <w:szCs w:val="28"/>
          <w:lang w:val="en-US" w:eastAsia="zh-CN"/>
        </w:rPr>
        <w:t>一</w:t>
      </w:r>
      <w:r>
        <w:rPr>
          <w:rFonts w:hint="eastAsia" w:ascii="仿宋_GB2312" w:hAnsi="宋体" w:eastAsia="仿宋_GB2312" w:cs="宋体"/>
          <w:color w:val="000000" w:themeColor="text1"/>
          <w:sz w:val="28"/>
          <w:szCs w:val="28"/>
        </w:rPr>
        <w:t>梯</w:t>
      </w:r>
      <w:r>
        <w:rPr>
          <w:rFonts w:hint="eastAsia" w:ascii="仿宋_GB2312" w:hAnsi="宋体" w:eastAsia="仿宋_GB2312" w:cs="宋体"/>
          <w:color w:val="000000" w:themeColor="text1"/>
          <w:sz w:val="28"/>
          <w:szCs w:val="28"/>
          <w:lang w:eastAsia="zh-CN"/>
        </w:rPr>
        <w:t>两</w:t>
      </w:r>
      <w:r>
        <w:rPr>
          <w:rFonts w:hint="eastAsia" w:ascii="仿宋_GB2312" w:hAnsi="宋体" w:eastAsia="仿宋_GB2312" w:cs="宋体"/>
          <w:color w:val="000000" w:themeColor="text1"/>
          <w:sz w:val="28"/>
          <w:szCs w:val="28"/>
        </w:rPr>
        <w:t>户，</w:t>
      </w:r>
      <w:r>
        <w:rPr>
          <w:rFonts w:hint="eastAsia" w:ascii="仿宋_GB2312" w:hAnsi="宋体" w:eastAsia="仿宋_GB2312" w:cs="宋体"/>
          <w:color w:val="000000" w:themeColor="text1"/>
          <w:sz w:val="28"/>
          <w:szCs w:val="28"/>
          <w:lang w:eastAsia="zh-CN"/>
        </w:rPr>
        <w:t>混合</w:t>
      </w:r>
      <w:r>
        <w:rPr>
          <w:rFonts w:hint="eastAsia" w:ascii="仿宋_GB2312" w:hAnsi="宋体" w:eastAsia="仿宋_GB2312" w:cs="宋体"/>
          <w:color w:val="000000" w:themeColor="text1"/>
          <w:sz w:val="28"/>
          <w:szCs w:val="28"/>
        </w:rPr>
        <w:t>结构，</w:t>
      </w:r>
      <w:r>
        <w:rPr>
          <w:rFonts w:hint="eastAsia" w:ascii="仿宋_GB2312" w:eastAsia="仿宋_GB2312"/>
          <w:color w:val="000000" w:themeColor="text1"/>
          <w:sz w:val="28"/>
          <w:szCs w:val="28"/>
        </w:rPr>
        <w:t>建成年代为</w:t>
      </w:r>
      <w:r>
        <w:rPr>
          <w:rFonts w:hint="eastAsia" w:ascii="仿宋_GB2312" w:eastAsia="仿宋_GB2312"/>
          <w:color w:val="000000" w:themeColor="text1"/>
          <w:sz w:val="28"/>
          <w:szCs w:val="28"/>
          <w:lang w:val="en-US" w:eastAsia="zh-CN"/>
        </w:rPr>
        <w:t>2004</w:t>
      </w:r>
      <w:r>
        <w:rPr>
          <w:rFonts w:hint="eastAsia" w:ascii="仿宋_GB2312" w:eastAsia="仿宋_GB2312"/>
          <w:color w:val="000000" w:themeColor="text1"/>
          <w:sz w:val="28"/>
          <w:szCs w:val="28"/>
        </w:rPr>
        <w:t>年，房屋总层数为</w:t>
      </w:r>
      <w:r>
        <w:rPr>
          <w:rFonts w:hint="eastAsia" w:ascii="仿宋_GB2312" w:eastAsia="仿宋_GB2312"/>
          <w:color w:val="000000" w:themeColor="text1"/>
          <w:sz w:val="28"/>
          <w:szCs w:val="28"/>
          <w:lang w:val="en-US" w:eastAsia="zh-CN"/>
        </w:rPr>
        <w:t>7</w:t>
      </w:r>
      <w:r>
        <w:rPr>
          <w:rFonts w:hint="eastAsia" w:ascii="仿宋_GB2312" w:eastAsia="仿宋_GB2312"/>
          <w:color w:val="000000" w:themeColor="text1"/>
          <w:sz w:val="28"/>
          <w:szCs w:val="28"/>
        </w:rPr>
        <w:t>层（</w:t>
      </w:r>
      <w:r>
        <w:rPr>
          <w:rFonts w:hint="eastAsia" w:ascii="仿宋_GB2312" w:hAnsi="宋体" w:eastAsia="仿宋_GB2312" w:cs="宋体"/>
          <w:color w:val="000000" w:themeColor="text1"/>
          <w:sz w:val="28"/>
          <w:szCs w:val="28"/>
        </w:rPr>
        <w:t>地上</w:t>
      </w:r>
      <w:r>
        <w:rPr>
          <w:rFonts w:hint="eastAsia" w:ascii="仿宋_GB2312" w:hAnsi="宋体" w:eastAsia="仿宋_GB2312" w:cs="宋体"/>
          <w:color w:val="000000" w:themeColor="text1"/>
          <w:sz w:val="28"/>
          <w:szCs w:val="28"/>
          <w:lang w:val="en-US" w:eastAsia="zh-CN"/>
        </w:rPr>
        <w:t>6</w:t>
      </w:r>
      <w:r>
        <w:rPr>
          <w:rFonts w:hint="eastAsia" w:ascii="仿宋_GB2312" w:hAnsi="宋体" w:eastAsia="仿宋_GB2312" w:cs="宋体"/>
          <w:color w:val="000000" w:themeColor="text1"/>
          <w:sz w:val="28"/>
          <w:szCs w:val="28"/>
        </w:rPr>
        <w:t>层地下1层</w:t>
      </w:r>
      <w:r>
        <w:rPr>
          <w:rFonts w:hint="eastAsia" w:ascii="仿宋_GB2312" w:eastAsia="仿宋_GB2312"/>
          <w:color w:val="000000" w:themeColor="text1"/>
          <w:sz w:val="28"/>
          <w:szCs w:val="28"/>
        </w:rPr>
        <w:t>）</w:t>
      </w:r>
      <w:r>
        <w:rPr>
          <w:rFonts w:hint="eastAsia" w:ascii="仿宋_GB2312" w:hAnsi="宋体" w:eastAsia="仿宋_GB2312" w:cs="宋体"/>
          <w:color w:val="000000" w:themeColor="text1"/>
          <w:sz w:val="28"/>
          <w:szCs w:val="28"/>
        </w:rPr>
        <w:t>，</w:t>
      </w:r>
      <w:r>
        <w:rPr>
          <w:rFonts w:hint="eastAsia" w:ascii="仿宋_GB2312" w:hAnsi="宋体" w:eastAsia="仿宋_GB2312" w:cs="宋体"/>
          <w:color w:val="000000" w:themeColor="text1"/>
          <w:sz w:val="28"/>
          <w:szCs w:val="28"/>
          <w:lang w:eastAsia="zh-CN"/>
        </w:rPr>
        <w:t>住宅位于</w:t>
      </w:r>
      <w:r>
        <w:rPr>
          <w:rFonts w:hint="eastAsia" w:ascii="仿宋_GB2312" w:hAnsi="宋体" w:eastAsia="仿宋_GB2312" w:cs="宋体"/>
          <w:color w:val="000000" w:themeColor="text1"/>
          <w:sz w:val="28"/>
          <w:szCs w:val="28"/>
          <w:lang w:val="en-US" w:eastAsia="zh-CN"/>
        </w:rPr>
        <w:t>地上2层，</w:t>
      </w:r>
      <w:r>
        <w:rPr>
          <w:rFonts w:hint="eastAsia" w:ascii="仿宋_GB2312" w:hAnsi="宋体" w:eastAsia="仿宋_GB2312" w:cs="宋体"/>
          <w:color w:val="000000" w:themeColor="text1"/>
          <w:sz w:val="28"/>
          <w:szCs w:val="28"/>
          <w:lang w:eastAsia="zh-CN"/>
        </w:rPr>
        <w:t>建筑面积97.19平方米；仓储用房位于</w:t>
      </w:r>
      <w:r>
        <w:rPr>
          <w:rFonts w:hint="eastAsia" w:ascii="仿宋_GB2312" w:hAnsi="宋体" w:eastAsia="仿宋_GB2312" w:cs="宋体"/>
          <w:color w:val="000000" w:themeColor="text1"/>
          <w:sz w:val="28"/>
          <w:szCs w:val="28"/>
          <w:lang w:val="en-US" w:eastAsia="zh-CN"/>
        </w:rPr>
        <w:t>地下1层，</w:t>
      </w:r>
      <w:r>
        <w:rPr>
          <w:rFonts w:hint="eastAsia" w:ascii="仿宋_GB2312" w:hAnsi="宋体" w:eastAsia="仿宋_GB2312" w:cs="宋体"/>
          <w:color w:val="000000" w:themeColor="text1"/>
          <w:sz w:val="28"/>
          <w:szCs w:val="28"/>
          <w:lang w:eastAsia="zh-CN"/>
        </w:rPr>
        <w:t>建筑面积为23.15平方米。</w:t>
      </w:r>
    </w:p>
    <w:p>
      <w:pPr>
        <w:adjustRightInd w:val="0"/>
        <w:snapToGrid w:val="0"/>
        <w:spacing w:line="560" w:lineRule="exact"/>
        <w:ind w:firstLine="560" w:firstLineChars="200"/>
        <w:rPr>
          <w:rFonts w:ascii="仿宋_GB2312" w:eastAsia="仿宋_GB2312"/>
          <w:color w:val="000000" w:themeColor="text1"/>
          <w:sz w:val="28"/>
          <w:szCs w:val="28"/>
        </w:rPr>
      </w:pPr>
      <w:r>
        <w:rPr>
          <w:rFonts w:hint="eastAsia" w:ascii="仿宋_GB2312" w:eastAsia="仿宋_GB2312"/>
          <w:color w:val="000000" w:themeColor="text1"/>
          <w:sz w:val="28"/>
          <w:szCs w:val="28"/>
          <w:lang w:eastAsia="zh-CN"/>
        </w:rPr>
        <w:t>据现场查勘，建筑物</w:t>
      </w:r>
      <w:r>
        <w:rPr>
          <w:rFonts w:hint="eastAsia" w:ascii="仿宋_GB2312" w:eastAsia="仿宋_GB2312"/>
          <w:color w:val="000000" w:themeColor="text1"/>
          <w:sz w:val="28"/>
          <w:szCs w:val="28"/>
        </w:rPr>
        <w:t>楼体</w:t>
      </w:r>
      <w:r>
        <w:rPr>
          <w:rFonts w:hint="eastAsia" w:ascii="仿宋_GB2312" w:hAnsi="宋体" w:eastAsia="仿宋_GB2312" w:cs="宋体"/>
          <w:color w:val="000000" w:themeColor="text1"/>
          <w:sz w:val="28"/>
          <w:szCs w:val="28"/>
        </w:rPr>
        <w:t>外墙面</w:t>
      </w:r>
      <w:r>
        <w:rPr>
          <w:rFonts w:hint="eastAsia" w:ascii="仿宋_GB2312" w:hAnsi="宋体" w:eastAsia="仿宋_GB2312" w:cs="宋体"/>
          <w:color w:val="000000" w:themeColor="text1"/>
          <w:sz w:val="28"/>
          <w:szCs w:val="28"/>
          <w:lang w:eastAsia="zh-CN"/>
        </w:rPr>
        <w:t>抹灰</w:t>
      </w:r>
      <w:r>
        <w:rPr>
          <w:rFonts w:hint="eastAsia" w:ascii="仿宋_GB2312" w:hAnsi="宋体" w:eastAsia="仿宋_GB2312" w:cs="宋体"/>
          <w:color w:val="000000" w:themeColor="text1"/>
          <w:sz w:val="28"/>
          <w:szCs w:val="28"/>
        </w:rPr>
        <w:t>刷涂料，塑钢外窗；</w:t>
      </w:r>
      <w:r>
        <w:rPr>
          <w:rFonts w:hint="eastAsia" w:ascii="仿宋_GB2312" w:eastAsia="仿宋_GB2312"/>
          <w:color w:val="000000" w:themeColor="text1"/>
          <w:sz w:val="28"/>
          <w:szCs w:val="28"/>
        </w:rPr>
        <w:t>单元入口安装防盗门</w:t>
      </w:r>
      <w:r>
        <w:rPr>
          <w:rFonts w:hint="eastAsia" w:ascii="仿宋_GB2312" w:hAnsi="宋体" w:eastAsia="仿宋_GB2312" w:cs="宋体"/>
          <w:color w:val="000000" w:themeColor="text1"/>
          <w:sz w:val="28"/>
          <w:szCs w:val="28"/>
        </w:rPr>
        <w:t>；</w:t>
      </w:r>
      <w:r>
        <w:rPr>
          <w:rFonts w:hint="eastAsia" w:ascii="仿宋_GB2312" w:hAnsi="宋体" w:eastAsia="仿宋_GB2312" w:cs="宋体"/>
          <w:color w:val="000000" w:themeColor="text1"/>
          <w:sz w:val="28"/>
          <w:szCs w:val="28"/>
          <w:highlight w:val="none"/>
        </w:rPr>
        <w:t>公共走廊</w:t>
      </w:r>
      <w:r>
        <w:rPr>
          <w:rFonts w:hint="eastAsia" w:ascii="仿宋_GB2312" w:hAnsi="宋体" w:eastAsia="仿宋_GB2312" w:cs="宋体"/>
          <w:color w:val="000000" w:themeColor="text1"/>
          <w:sz w:val="28"/>
          <w:szCs w:val="28"/>
          <w:highlight w:val="none"/>
          <w:lang w:val="en-US" w:eastAsia="zh-CN"/>
        </w:rPr>
        <w:t>水泥</w:t>
      </w:r>
      <w:r>
        <w:rPr>
          <w:rFonts w:hint="eastAsia" w:ascii="仿宋_GB2312" w:hAnsi="宋体" w:eastAsia="仿宋_GB2312" w:cs="宋体"/>
          <w:color w:val="000000" w:themeColor="text1"/>
          <w:sz w:val="28"/>
          <w:szCs w:val="28"/>
          <w:highlight w:val="none"/>
        </w:rPr>
        <w:t>地</w:t>
      </w:r>
      <w:r>
        <w:rPr>
          <w:rFonts w:hint="eastAsia" w:ascii="仿宋_GB2312" w:hAnsi="宋体" w:eastAsia="仿宋_GB2312" w:cs="宋体"/>
          <w:color w:val="000000" w:themeColor="text1"/>
          <w:sz w:val="28"/>
          <w:szCs w:val="28"/>
          <w:highlight w:val="none"/>
          <w:lang w:eastAsia="zh-CN"/>
        </w:rPr>
        <w:t>面</w:t>
      </w:r>
      <w:r>
        <w:rPr>
          <w:rFonts w:hint="eastAsia" w:ascii="仿宋_GB2312" w:hAnsi="宋体" w:eastAsia="仿宋_GB2312" w:cs="宋体"/>
          <w:color w:val="000000" w:themeColor="text1"/>
          <w:sz w:val="28"/>
          <w:szCs w:val="28"/>
          <w:highlight w:val="none"/>
        </w:rPr>
        <w:t>，墙面及顶</w:t>
      </w:r>
      <w:r>
        <w:rPr>
          <w:rFonts w:hint="eastAsia" w:ascii="仿宋_GB2312" w:hAnsi="宋体" w:eastAsia="仿宋_GB2312" w:cs="宋体"/>
          <w:color w:val="000000" w:themeColor="text1"/>
          <w:sz w:val="28"/>
          <w:szCs w:val="28"/>
        </w:rPr>
        <w:t>棚刷涂料</w:t>
      </w:r>
      <w:r>
        <w:rPr>
          <w:rFonts w:hint="eastAsia" w:ascii="仿宋_GB2312" w:hAnsi="宋体" w:eastAsia="仿宋_GB2312" w:cs="宋体"/>
          <w:color w:val="000000" w:themeColor="text1"/>
          <w:sz w:val="28"/>
          <w:szCs w:val="28"/>
          <w:lang w:eastAsia="zh-CN"/>
        </w:rPr>
        <w:t>；室内瓷砖地面，内墙面部分抹灰刷涂料部分贴壁纸，石膏吊顶，木包门窗套，安装套装门，厨卫瓷砖到顶，</w:t>
      </w:r>
      <w:r>
        <w:rPr>
          <w:rFonts w:hint="eastAsia" w:ascii="仿宋_GB2312" w:hAnsi="宋体" w:eastAsia="仿宋_GB2312" w:cs="宋体"/>
          <w:color w:val="000000" w:themeColor="text1"/>
          <w:sz w:val="28"/>
          <w:szCs w:val="28"/>
          <w:lang w:val="en-US" w:eastAsia="zh-CN"/>
        </w:rPr>
        <w:t>PVC吊顶。</w:t>
      </w:r>
      <w:r>
        <w:rPr>
          <w:rFonts w:hint="eastAsia" w:ascii="仿宋_GB2312" w:eastAsia="仿宋_GB2312"/>
          <w:color w:val="000000" w:themeColor="text1"/>
          <w:sz w:val="28"/>
          <w:szCs w:val="28"/>
        </w:rPr>
        <w:t>该楼维护状况一般，水、电、暖、燃气等设施</w:t>
      </w:r>
      <w:r>
        <w:rPr>
          <w:rFonts w:hint="eastAsia" w:ascii="仿宋_GB2312" w:eastAsia="仿宋_GB2312"/>
          <w:color w:val="000000" w:themeColor="text1"/>
          <w:sz w:val="28"/>
          <w:szCs w:val="28"/>
          <w:lang w:val="en-US" w:eastAsia="zh-CN"/>
        </w:rPr>
        <w:t>较</w:t>
      </w:r>
      <w:r>
        <w:rPr>
          <w:rFonts w:hint="eastAsia" w:ascii="仿宋_GB2312" w:eastAsia="仿宋_GB2312"/>
          <w:color w:val="000000" w:themeColor="text1"/>
          <w:sz w:val="28"/>
          <w:szCs w:val="28"/>
        </w:rPr>
        <w:t>齐全。</w:t>
      </w:r>
    </w:p>
    <w:p>
      <w:pPr>
        <w:adjustRightInd w:val="0"/>
        <w:snapToGrid w:val="0"/>
        <w:spacing w:line="560" w:lineRule="exact"/>
        <w:ind w:firstLine="560" w:firstLineChars="200"/>
        <w:rPr>
          <w:rFonts w:ascii="仿宋_GB2312" w:hAnsi="宋体" w:eastAsia="仿宋_GB2312" w:cs="宋体"/>
          <w:color w:val="000000" w:themeColor="text1"/>
          <w:sz w:val="28"/>
          <w:szCs w:val="28"/>
        </w:rPr>
      </w:pPr>
      <w:r>
        <w:rPr>
          <w:rFonts w:hint="eastAsia" w:ascii="仿宋_GB2312" w:hAnsi="宋体" w:eastAsia="仿宋_GB2312" w:cs="宋体"/>
          <w:color w:val="000000" w:themeColor="text1"/>
          <w:sz w:val="28"/>
          <w:szCs w:val="28"/>
        </w:rPr>
        <w:t>估价对象所在宗地地势平坦，基础较好适宜建筑，至价值时点，宗地内外开发程度达到“七通一平”（即通路、通电、通讯、通上水、通下水、通暖、通燃气及场地平整），基础设施完备度高。</w:t>
      </w:r>
    </w:p>
    <w:p>
      <w:pPr>
        <w:numPr>
          <w:ilvl w:val="0"/>
          <w:numId w:val="4"/>
        </w:numPr>
        <w:adjustRightInd w:val="0"/>
        <w:snapToGrid w:val="0"/>
        <w:spacing w:line="560" w:lineRule="exact"/>
        <w:ind w:firstLine="560" w:firstLineChars="200"/>
        <w:rPr>
          <w:rFonts w:ascii="仿宋_GB2312" w:eastAsia="仿宋_GB2312"/>
          <w:color w:val="000000" w:themeColor="text1"/>
          <w:sz w:val="28"/>
          <w:szCs w:val="28"/>
        </w:rPr>
      </w:pPr>
      <w:r>
        <w:rPr>
          <w:rFonts w:hint="eastAsia" w:ascii="仿宋_GB2312" w:eastAsia="仿宋_GB2312"/>
          <w:color w:val="000000" w:themeColor="text1"/>
          <w:sz w:val="28"/>
          <w:szCs w:val="28"/>
        </w:rPr>
        <w:t>估价对象权益状况</w:t>
      </w:r>
    </w:p>
    <w:p>
      <w:pPr>
        <w:numPr>
          <w:ilvl w:val="0"/>
          <w:numId w:val="5"/>
        </w:numPr>
        <w:adjustRightInd w:val="0"/>
        <w:snapToGrid w:val="0"/>
        <w:spacing w:line="560" w:lineRule="exact"/>
        <w:ind w:firstLine="560" w:firstLineChars="200"/>
        <w:rPr>
          <w:rFonts w:ascii="仿宋_GB2312" w:eastAsia="仿宋_GB2312"/>
          <w:color w:val="000000" w:themeColor="text1"/>
          <w:sz w:val="28"/>
          <w:szCs w:val="28"/>
        </w:rPr>
      </w:pPr>
      <w:r>
        <w:rPr>
          <w:rFonts w:hint="eastAsia" w:ascii="仿宋_GB2312" w:eastAsia="仿宋_GB2312"/>
          <w:color w:val="000000" w:themeColor="text1"/>
          <w:sz w:val="28"/>
          <w:szCs w:val="28"/>
        </w:rPr>
        <w:t>估价对象权益状况</w:t>
      </w:r>
    </w:p>
    <w:p>
      <w:pPr>
        <w:adjustRightInd w:val="0"/>
        <w:snapToGrid w:val="0"/>
        <w:spacing w:line="560" w:lineRule="exact"/>
        <w:ind w:firstLine="560" w:firstLineChars="200"/>
        <w:rPr>
          <w:rFonts w:hint="eastAsia" w:ascii="仿宋_GB2312" w:hAnsi="宋体" w:eastAsia="仿宋_GB2312" w:cs="宋体"/>
          <w:color w:val="000000" w:themeColor="text1"/>
          <w:sz w:val="28"/>
          <w:szCs w:val="28"/>
        </w:rPr>
      </w:pPr>
      <w:r>
        <w:rPr>
          <w:rFonts w:hint="eastAsia" w:ascii="仿宋_GB2312" w:hAnsi="宋体" w:eastAsia="仿宋_GB2312" w:cs="宋体"/>
          <w:color w:val="000000" w:themeColor="text1"/>
          <w:sz w:val="28"/>
          <w:szCs w:val="28"/>
        </w:rPr>
        <w:t>根据估价委托人提供的</w:t>
      </w:r>
      <w:r>
        <w:rPr>
          <w:rFonts w:hint="eastAsia" w:ascii="仿宋_GB2312" w:hAnsi="宋体" w:eastAsia="仿宋_GB2312" w:cs="宋体"/>
          <w:color w:val="000000" w:themeColor="text1"/>
          <w:sz w:val="28"/>
          <w:szCs w:val="28"/>
          <w:lang w:eastAsia="zh-CN"/>
        </w:rPr>
        <w:t>《石家庄市不动产登记资料查询结果》</w:t>
      </w:r>
      <w:r>
        <w:rPr>
          <w:rFonts w:hint="eastAsia" w:ascii="仿宋_GB2312" w:hAnsi="宋体" w:eastAsia="仿宋_GB2312" w:cs="宋体"/>
          <w:color w:val="000000" w:themeColor="text1"/>
          <w:sz w:val="28"/>
          <w:szCs w:val="28"/>
        </w:rPr>
        <w:t>，</w:t>
      </w:r>
      <w:r>
        <w:rPr>
          <w:rFonts w:hint="eastAsia" w:ascii="仿宋_GB2312" w:hAnsi="宋体" w:eastAsia="仿宋_GB2312" w:cs="宋体"/>
          <w:color w:val="000000" w:themeColor="text1"/>
          <w:sz w:val="28"/>
          <w:szCs w:val="28"/>
          <w:lang w:eastAsia="zh-CN"/>
        </w:rPr>
        <w:t>房屋所有权证号为石房权证第434001644号</w:t>
      </w:r>
      <w:r>
        <w:rPr>
          <w:rFonts w:hint="eastAsia" w:ascii="仿宋_GB2312" w:hAnsi="宋体" w:eastAsia="仿宋_GB2312" w:cs="宋体"/>
          <w:color w:val="000000" w:themeColor="text1"/>
          <w:sz w:val="28"/>
          <w:szCs w:val="28"/>
        </w:rPr>
        <w:t>，房屋所有权人为</w:t>
      </w:r>
      <w:r>
        <w:rPr>
          <w:rFonts w:hint="eastAsia" w:ascii="仿宋_GB2312" w:hAnsi="宋体" w:eastAsia="仿宋_GB2312" w:cs="宋体"/>
          <w:color w:val="000000" w:themeColor="text1"/>
          <w:sz w:val="28"/>
          <w:szCs w:val="28"/>
          <w:lang w:eastAsia="zh-CN"/>
        </w:rPr>
        <w:t>付涛</w:t>
      </w:r>
      <w:r>
        <w:rPr>
          <w:rFonts w:hint="eastAsia" w:ascii="仿宋_GB2312" w:hAnsi="宋体" w:eastAsia="仿宋_GB2312" w:cs="宋体"/>
          <w:color w:val="000000" w:themeColor="text1"/>
          <w:sz w:val="28"/>
          <w:szCs w:val="28"/>
        </w:rPr>
        <w:t>，房屋坐落</w:t>
      </w:r>
      <w:r>
        <w:rPr>
          <w:rFonts w:hint="eastAsia" w:ascii="仿宋_GB2312" w:hAnsi="宋体" w:eastAsia="仿宋_GB2312" w:cs="宋体"/>
          <w:color w:val="000000" w:themeColor="text1"/>
          <w:sz w:val="28"/>
          <w:szCs w:val="28"/>
          <w:lang w:eastAsia="zh-CN"/>
        </w:rPr>
        <w:t>石家庄市桥西区开泰街以西三简路以南开泰小区6B-4-202等2处</w:t>
      </w:r>
      <w:r>
        <w:rPr>
          <w:rFonts w:hint="eastAsia" w:ascii="仿宋_GB2312" w:hAnsi="宋体" w:eastAsia="仿宋_GB2312" w:cs="宋体"/>
          <w:color w:val="000000" w:themeColor="text1"/>
          <w:sz w:val="28"/>
          <w:szCs w:val="28"/>
        </w:rPr>
        <w:t>，</w:t>
      </w:r>
      <w:r>
        <w:rPr>
          <w:rFonts w:hint="eastAsia" w:ascii="仿宋_GB2312" w:hAnsi="宋体" w:eastAsia="仿宋_GB2312" w:cs="宋体"/>
          <w:color w:val="000000" w:themeColor="text1"/>
          <w:sz w:val="28"/>
          <w:szCs w:val="28"/>
          <w:lang w:eastAsia="zh-CN"/>
        </w:rPr>
        <w:t>规划用途为成套住宅/仓储</w:t>
      </w:r>
      <w:r>
        <w:rPr>
          <w:rFonts w:hint="eastAsia" w:ascii="仿宋_GB2312" w:hAnsi="宋体" w:eastAsia="仿宋_GB2312" w:cs="宋体"/>
          <w:color w:val="000000" w:themeColor="text1"/>
          <w:sz w:val="28"/>
          <w:szCs w:val="28"/>
        </w:rPr>
        <w:t>，</w:t>
      </w:r>
      <w:r>
        <w:rPr>
          <w:rFonts w:hint="eastAsia" w:ascii="仿宋_GB2312" w:hAnsi="宋体" w:eastAsia="仿宋_GB2312" w:cs="宋体"/>
          <w:color w:val="000000" w:themeColor="text1"/>
          <w:sz w:val="28"/>
          <w:szCs w:val="28"/>
          <w:lang w:eastAsia="zh-CN"/>
        </w:rPr>
        <w:t>房屋总层数为7层（地上6层，地下1层）</w:t>
      </w:r>
      <w:r>
        <w:rPr>
          <w:rFonts w:hint="eastAsia" w:ascii="仿宋_GB2312" w:hAnsi="宋体" w:eastAsia="仿宋_GB2312" w:cs="宋体"/>
          <w:color w:val="000000" w:themeColor="text1"/>
          <w:sz w:val="28"/>
          <w:szCs w:val="28"/>
        </w:rPr>
        <w:t>，</w:t>
      </w:r>
      <w:r>
        <w:rPr>
          <w:rFonts w:hint="eastAsia" w:ascii="仿宋_GB2312" w:hAnsi="宋体" w:eastAsia="仿宋_GB2312" w:cs="宋体"/>
          <w:color w:val="000000" w:themeColor="text1"/>
          <w:sz w:val="28"/>
          <w:szCs w:val="28"/>
          <w:lang w:eastAsia="zh-CN"/>
        </w:rPr>
        <w:t>住宅位于</w:t>
      </w:r>
      <w:r>
        <w:rPr>
          <w:rFonts w:hint="eastAsia" w:ascii="仿宋_GB2312" w:hAnsi="宋体" w:eastAsia="仿宋_GB2312" w:cs="宋体"/>
          <w:color w:val="000000" w:themeColor="text1"/>
          <w:sz w:val="28"/>
          <w:szCs w:val="28"/>
          <w:lang w:val="en-US" w:eastAsia="zh-CN"/>
        </w:rPr>
        <w:t>地上2层，</w:t>
      </w:r>
      <w:r>
        <w:rPr>
          <w:rFonts w:hint="eastAsia" w:ascii="仿宋_GB2312" w:hAnsi="宋体" w:eastAsia="仿宋_GB2312" w:cs="宋体"/>
          <w:color w:val="000000" w:themeColor="text1"/>
          <w:sz w:val="28"/>
          <w:szCs w:val="28"/>
          <w:lang w:eastAsia="zh-CN"/>
        </w:rPr>
        <w:t>建筑面积97.19平方米；仓储用房位于</w:t>
      </w:r>
      <w:r>
        <w:rPr>
          <w:rFonts w:hint="eastAsia" w:ascii="仿宋_GB2312" w:hAnsi="宋体" w:eastAsia="仿宋_GB2312" w:cs="宋体"/>
          <w:color w:val="000000" w:themeColor="text1"/>
          <w:sz w:val="28"/>
          <w:szCs w:val="28"/>
          <w:lang w:val="en-US" w:eastAsia="zh-CN"/>
        </w:rPr>
        <w:t>地下1层，</w:t>
      </w:r>
      <w:r>
        <w:rPr>
          <w:rFonts w:hint="eastAsia" w:ascii="仿宋_GB2312" w:hAnsi="宋体" w:eastAsia="仿宋_GB2312" w:cs="宋体"/>
          <w:color w:val="000000" w:themeColor="text1"/>
          <w:sz w:val="28"/>
          <w:szCs w:val="28"/>
          <w:lang w:eastAsia="zh-CN"/>
        </w:rPr>
        <w:t>建筑面积为23.15平方米。</w:t>
      </w:r>
    </w:p>
    <w:p>
      <w:pPr>
        <w:ind w:firstLine="560" w:firstLineChars="200"/>
        <w:rPr>
          <w:rFonts w:hint="eastAsia" w:ascii="仿宋_GB2312" w:eastAsia="仿宋_GB2312"/>
          <w:bCs/>
          <w:caps/>
          <w:color w:val="000000" w:themeColor="text1"/>
          <w:sz w:val="28"/>
          <w:szCs w:val="28"/>
          <w:highlight w:val="none"/>
        </w:rPr>
      </w:pPr>
      <w:r>
        <w:rPr>
          <w:rFonts w:hint="eastAsia" w:ascii="仿宋_GB2312" w:eastAsia="仿宋_GB2312"/>
          <w:bCs/>
          <w:caps/>
          <w:color w:val="000000" w:themeColor="text1"/>
          <w:sz w:val="28"/>
          <w:szCs w:val="28"/>
        </w:rPr>
        <w:t>估价委托人仅提供了估价对象的</w:t>
      </w:r>
      <w:r>
        <w:rPr>
          <w:rFonts w:hint="eastAsia" w:ascii="仿宋_GB2312" w:eastAsia="仿宋_GB2312"/>
          <w:bCs/>
          <w:caps/>
          <w:color w:val="000000" w:themeColor="text1"/>
          <w:sz w:val="28"/>
          <w:szCs w:val="28"/>
          <w:lang w:eastAsia="zh-CN"/>
        </w:rPr>
        <w:t>《石家庄市不动产登记资料查询结</w:t>
      </w:r>
      <w:r>
        <w:rPr>
          <w:rFonts w:hint="eastAsia" w:ascii="仿宋_GB2312" w:eastAsia="仿宋_GB2312"/>
          <w:bCs/>
          <w:caps/>
          <w:color w:val="000000" w:themeColor="text1"/>
          <w:sz w:val="28"/>
          <w:szCs w:val="28"/>
          <w:highlight w:val="none"/>
          <w:lang w:eastAsia="zh-CN"/>
        </w:rPr>
        <w:t>果》原件</w:t>
      </w:r>
      <w:r>
        <w:rPr>
          <w:rFonts w:hint="eastAsia" w:ascii="仿宋_GB2312" w:eastAsia="仿宋_GB2312"/>
          <w:bCs/>
          <w:caps/>
          <w:color w:val="000000" w:themeColor="text1"/>
          <w:sz w:val="28"/>
          <w:szCs w:val="28"/>
          <w:highlight w:val="none"/>
        </w:rPr>
        <w:t>，登记</w:t>
      </w:r>
      <w:r>
        <w:rPr>
          <w:rFonts w:hint="eastAsia" w:ascii="仿宋_GB2312" w:eastAsia="仿宋_GB2312"/>
          <w:bCs/>
          <w:caps/>
          <w:color w:val="000000" w:themeColor="text1"/>
          <w:sz w:val="28"/>
          <w:szCs w:val="28"/>
          <w:highlight w:val="none"/>
          <w:lang w:eastAsia="zh-CN"/>
        </w:rPr>
        <w:t>规划用途为成套住宅/仓储</w:t>
      </w:r>
      <w:r>
        <w:rPr>
          <w:rFonts w:hint="eastAsia" w:ascii="仿宋_GB2312" w:eastAsia="仿宋_GB2312"/>
          <w:bCs/>
          <w:caps/>
          <w:color w:val="000000" w:themeColor="text1"/>
          <w:sz w:val="28"/>
          <w:szCs w:val="28"/>
          <w:highlight w:val="none"/>
        </w:rPr>
        <w:t>，未提供《</w:t>
      </w:r>
      <w:r>
        <w:rPr>
          <w:rFonts w:hint="eastAsia" w:ascii="仿宋_GB2312" w:eastAsia="仿宋_GB2312"/>
          <w:bCs/>
          <w:caps/>
          <w:color w:val="000000" w:themeColor="text1"/>
          <w:sz w:val="28"/>
          <w:szCs w:val="28"/>
          <w:highlight w:val="none"/>
          <w:lang w:eastAsia="zh-CN"/>
        </w:rPr>
        <w:t>土地使用权证</w:t>
      </w:r>
      <w:r>
        <w:rPr>
          <w:rFonts w:hint="eastAsia" w:ascii="仿宋_GB2312" w:eastAsia="仿宋_GB2312"/>
          <w:bCs/>
          <w:caps/>
          <w:color w:val="000000" w:themeColor="text1"/>
          <w:sz w:val="28"/>
          <w:szCs w:val="28"/>
          <w:highlight w:val="none"/>
        </w:rPr>
        <w:t>》等权属证明资料，本次估价假设其建筑物占用范围内的土地</w:t>
      </w:r>
      <w:r>
        <w:rPr>
          <w:rFonts w:hint="eastAsia" w:ascii="仿宋_GB2312" w:eastAsia="仿宋_GB2312"/>
          <w:bCs/>
          <w:caps/>
          <w:color w:val="000000" w:themeColor="text1"/>
          <w:sz w:val="28"/>
          <w:szCs w:val="28"/>
          <w:highlight w:val="none"/>
          <w:lang w:eastAsia="zh-CN"/>
        </w:rPr>
        <w:t>规划用途为成套住宅</w:t>
      </w:r>
      <w:r>
        <w:rPr>
          <w:rFonts w:hint="eastAsia" w:ascii="仿宋_GB2312" w:eastAsia="仿宋_GB2312"/>
          <w:bCs/>
          <w:caps/>
          <w:color w:val="000000" w:themeColor="text1"/>
          <w:sz w:val="28"/>
          <w:szCs w:val="28"/>
          <w:highlight w:val="none"/>
        </w:rPr>
        <w:t>，使用权类型为国有出让用地。</w:t>
      </w:r>
    </w:p>
    <w:bookmarkEnd w:id="74"/>
    <w:bookmarkEnd w:id="82"/>
    <w:bookmarkEnd w:id="83"/>
    <w:bookmarkEnd w:id="84"/>
    <w:bookmarkEnd w:id="85"/>
    <w:p>
      <w:pPr>
        <w:adjustRightInd w:val="0"/>
        <w:snapToGrid w:val="0"/>
        <w:spacing w:line="580" w:lineRule="exact"/>
        <w:ind w:firstLine="560" w:firstLineChars="200"/>
        <w:rPr>
          <w:rFonts w:ascii="仿宋_GB2312" w:eastAsia="仿宋_GB2312"/>
          <w:color w:val="000000" w:themeColor="text1"/>
          <w:sz w:val="28"/>
          <w:szCs w:val="28"/>
        </w:rPr>
      </w:pPr>
      <w:bookmarkStart w:id="86" w:name="_Toc382493624"/>
      <w:bookmarkStart w:id="87" w:name="_Toc432411974"/>
      <w:bookmarkStart w:id="88" w:name="_Toc155258967"/>
      <w:r>
        <w:rPr>
          <w:rFonts w:hint="eastAsia" w:ascii="仿宋_GB2312" w:eastAsia="仿宋_GB2312"/>
          <w:color w:val="000000" w:themeColor="text1"/>
          <w:sz w:val="28"/>
          <w:szCs w:val="28"/>
        </w:rPr>
        <w:t>（2）他项权利状况</w:t>
      </w:r>
    </w:p>
    <w:p>
      <w:pPr>
        <w:adjustRightInd w:val="0"/>
        <w:snapToGrid w:val="0"/>
        <w:spacing w:line="580" w:lineRule="exact"/>
        <w:ind w:firstLine="560" w:firstLineChars="200"/>
        <w:rPr>
          <w:rFonts w:ascii="仿宋_GB2312" w:eastAsia="仿宋_GB2312" w:cs="仿宋_GB2312"/>
          <w:color w:val="000000" w:themeColor="text1"/>
          <w:sz w:val="28"/>
          <w:szCs w:val="28"/>
        </w:rPr>
      </w:pPr>
      <w:r>
        <w:rPr>
          <w:rFonts w:hint="eastAsia" w:ascii="仿宋_GB2312" w:hAnsi="宋体" w:eastAsia="仿宋_GB2312" w:cs="仿宋_GB2312"/>
          <w:color w:val="000000" w:themeColor="text1"/>
          <w:sz w:val="28"/>
          <w:szCs w:val="28"/>
          <w:lang w:eastAsia="zh-CN" w:bidi="ar"/>
        </w:rPr>
        <w:t>《石家庄市不动产登记资料查询结果》</w:t>
      </w:r>
      <w:r>
        <w:rPr>
          <w:rFonts w:hint="eastAsia" w:ascii="仿宋_GB2312" w:hAnsi="宋体" w:eastAsia="仿宋_GB2312" w:cs="仿宋_GB2312"/>
          <w:color w:val="000000" w:themeColor="text1"/>
          <w:sz w:val="28"/>
          <w:szCs w:val="28"/>
          <w:lang w:bidi="ar"/>
        </w:rPr>
        <w:t>显示估价对象</w:t>
      </w:r>
      <w:r>
        <w:rPr>
          <w:rFonts w:hint="eastAsia" w:ascii="仿宋_GB2312" w:eastAsia="仿宋_GB2312" w:cs="仿宋_GB2312"/>
          <w:color w:val="000000" w:themeColor="text1"/>
          <w:sz w:val="28"/>
          <w:szCs w:val="28"/>
          <w:lang w:bidi="ar"/>
        </w:rPr>
        <w:t>处于被查封状态</w:t>
      </w:r>
      <w:r>
        <w:rPr>
          <w:rFonts w:hint="eastAsia" w:ascii="仿宋_GB2312" w:eastAsia="仿宋_GB2312" w:cs="仿宋_GB2312"/>
          <w:color w:val="000000" w:themeColor="text1"/>
          <w:sz w:val="28"/>
          <w:szCs w:val="28"/>
          <w:lang w:val="en-US" w:eastAsia="zh-CN" w:bidi="ar"/>
        </w:rPr>
        <w:t>且存在抵押权</w:t>
      </w:r>
      <w:r>
        <w:rPr>
          <w:rFonts w:hint="eastAsia" w:ascii="仿宋_GB2312" w:eastAsia="仿宋_GB2312" w:cs="仿宋_GB2312"/>
          <w:color w:val="000000" w:themeColor="text1"/>
          <w:sz w:val="28"/>
          <w:szCs w:val="28"/>
          <w:lang w:bidi="ar"/>
        </w:rPr>
        <w:t>。</w:t>
      </w:r>
    </w:p>
    <w:p>
      <w:pPr>
        <w:adjustRightInd w:val="0"/>
        <w:snapToGrid w:val="0"/>
        <w:spacing w:line="580" w:lineRule="exact"/>
        <w:ind w:firstLine="560" w:firstLineChars="200"/>
        <w:rPr>
          <w:rFonts w:hint="default" w:ascii="仿宋_GB2312" w:hAnsi="宋体" w:eastAsia="仿宋_GB2312" w:cs="仿宋_GB2312"/>
          <w:color w:val="000000" w:themeColor="text1"/>
          <w:sz w:val="28"/>
          <w:szCs w:val="28"/>
          <w:lang w:val="en-US" w:eastAsia="zh-CN" w:bidi="ar"/>
        </w:rPr>
      </w:pPr>
      <w:r>
        <w:rPr>
          <w:rFonts w:hint="eastAsia" w:ascii="仿宋_GB2312" w:hAnsi="宋体" w:eastAsia="仿宋_GB2312" w:cs="仿宋_GB2312"/>
          <w:color w:val="000000" w:themeColor="text1"/>
          <w:sz w:val="28"/>
          <w:szCs w:val="28"/>
          <w:lang w:eastAsia="zh-CN" w:bidi="ar"/>
        </w:rPr>
        <w:t>查封情况：查封机关为石家庄市长安区人民法院，查封文号（2019）冀0102执保1338号</w:t>
      </w:r>
      <w:r>
        <w:rPr>
          <w:rFonts w:hint="eastAsia" w:ascii="仿宋_GB2312" w:hAnsi="宋体" w:eastAsia="仿宋_GB2312" w:cs="仿宋_GB2312"/>
          <w:color w:val="000000" w:themeColor="text1"/>
          <w:sz w:val="28"/>
          <w:szCs w:val="28"/>
          <w:lang w:val="en-US" w:eastAsia="zh-CN" w:bidi="ar"/>
        </w:rPr>
        <w:t>，查封被执行人付涛名下坐落于石家庄市桥西区开泰街以西三简路以南开泰小区6B-4-202等2处不动产（证号：434001644）。查封起止时间：2019年10月30日起2022年10月29日止，登记时间：2019年10月30日。</w:t>
      </w:r>
    </w:p>
    <w:p>
      <w:pPr>
        <w:adjustRightInd w:val="0"/>
        <w:snapToGrid w:val="0"/>
        <w:spacing w:line="580" w:lineRule="exact"/>
        <w:ind w:firstLine="560" w:firstLineChars="200"/>
        <w:rPr>
          <w:rFonts w:hint="default" w:ascii="仿宋_GB2312" w:hAnsi="宋体" w:eastAsia="仿宋_GB2312"/>
          <w:color w:val="000000" w:themeColor="text1"/>
          <w:sz w:val="28"/>
          <w:szCs w:val="28"/>
          <w:lang w:val="en-US" w:eastAsia="zh-CN"/>
        </w:rPr>
      </w:pPr>
      <w:r>
        <w:rPr>
          <w:rFonts w:hint="eastAsia" w:ascii="仿宋_GB2312" w:hAnsi="宋体" w:eastAsia="仿宋_GB2312"/>
          <w:color w:val="000000" w:themeColor="text1"/>
          <w:sz w:val="28"/>
          <w:szCs w:val="28"/>
          <w:lang w:val="en-US" w:eastAsia="zh-CN"/>
        </w:rPr>
        <w:t>抵押情况：抵押权人为付通，抵押方式为一般抵押，债权数额为1000000元，债务履行期限为2017年08月23日起2018年03月22日止，登记时间为2017年08月23日。</w:t>
      </w:r>
    </w:p>
    <w:p>
      <w:pPr>
        <w:adjustRightInd w:val="0"/>
        <w:snapToGrid w:val="0"/>
        <w:spacing w:line="580" w:lineRule="exact"/>
        <w:ind w:firstLine="560" w:firstLineChars="200"/>
        <w:rPr>
          <w:rFonts w:ascii="仿宋_GB2312" w:eastAsia="仿宋_GB2312"/>
          <w:color w:val="000000" w:themeColor="text1"/>
          <w:sz w:val="28"/>
          <w:szCs w:val="28"/>
        </w:rPr>
      </w:pPr>
      <w:r>
        <w:rPr>
          <w:rFonts w:hint="eastAsia" w:ascii="仿宋_GB2312" w:eastAsia="仿宋_GB2312"/>
          <w:color w:val="000000" w:themeColor="text1"/>
          <w:sz w:val="28"/>
          <w:szCs w:val="28"/>
        </w:rPr>
        <w:t>根据本次估价目的，本次评估结果不考虑估价对象被查封以及原有的担保物权和其他优先受偿权的影响。</w:t>
      </w:r>
    </w:p>
    <w:p>
      <w:pPr>
        <w:numPr>
          <w:ilvl w:val="0"/>
          <w:numId w:val="4"/>
        </w:numPr>
        <w:adjustRightInd w:val="0"/>
        <w:snapToGrid w:val="0"/>
        <w:spacing w:line="580" w:lineRule="exact"/>
        <w:ind w:firstLine="560" w:firstLineChars="200"/>
        <w:rPr>
          <w:rFonts w:ascii="仿宋_GB2312" w:eastAsia="仿宋_GB2312"/>
          <w:color w:val="000000" w:themeColor="text1"/>
          <w:sz w:val="28"/>
          <w:szCs w:val="28"/>
        </w:rPr>
      </w:pPr>
      <w:r>
        <w:rPr>
          <w:rFonts w:hint="eastAsia" w:ascii="仿宋_GB2312" w:eastAsia="仿宋_GB2312"/>
          <w:color w:val="000000" w:themeColor="text1"/>
          <w:sz w:val="28"/>
          <w:szCs w:val="28"/>
        </w:rPr>
        <w:t>估价对象区位状况</w:t>
      </w:r>
    </w:p>
    <w:p>
      <w:pPr>
        <w:snapToGrid w:val="0"/>
        <w:spacing w:line="580" w:lineRule="exact"/>
        <w:ind w:firstLine="560" w:firstLineChars="200"/>
        <w:rPr>
          <w:rFonts w:ascii="仿宋_GB2312" w:eastAsia="仿宋_GB2312"/>
          <w:color w:val="000000" w:themeColor="text1"/>
          <w:sz w:val="28"/>
          <w:szCs w:val="28"/>
        </w:rPr>
      </w:pPr>
      <w:r>
        <w:rPr>
          <w:rFonts w:hint="eastAsia" w:ascii="仿宋_GB2312" w:hAnsi="宋体" w:eastAsia="仿宋_GB2312" w:cs="宋体"/>
          <w:color w:val="000000" w:themeColor="text1"/>
          <w:sz w:val="28"/>
          <w:szCs w:val="28"/>
        </w:rPr>
        <w:t>估价对象位于</w:t>
      </w:r>
      <w:r>
        <w:rPr>
          <w:rFonts w:hint="eastAsia" w:ascii="仿宋_GB2312" w:hAnsi="宋体" w:eastAsia="仿宋_GB2312" w:cs="宋体"/>
          <w:color w:val="000000" w:themeColor="text1"/>
          <w:sz w:val="28"/>
          <w:szCs w:val="28"/>
          <w:lang w:val="en-US" w:eastAsia="zh-CN"/>
        </w:rPr>
        <w:t>石家庄市桥西区开泰街以西三简路以南开泰小区</w:t>
      </w:r>
      <w:r>
        <w:rPr>
          <w:rFonts w:hint="eastAsia" w:ascii="仿宋_GB2312" w:hAnsi="宋体" w:eastAsia="仿宋_GB2312" w:cs="宋体"/>
          <w:color w:val="000000" w:themeColor="text1"/>
          <w:sz w:val="28"/>
          <w:szCs w:val="28"/>
        </w:rPr>
        <w:t>。估价对象</w:t>
      </w:r>
      <w:r>
        <w:rPr>
          <w:rFonts w:hint="eastAsia" w:ascii="仿宋_GB2312" w:hAnsi="宋体" w:eastAsia="仿宋_GB2312" w:cs="宋体"/>
          <w:color w:val="000000" w:themeColor="text1"/>
          <w:sz w:val="28"/>
          <w:szCs w:val="28"/>
          <w:lang w:val="en-US" w:eastAsia="zh-CN"/>
        </w:rPr>
        <w:t>东临开泰街</w:t>
      </w:r>
      <w:r>
        <w:rPr>
          <w:rFonts w:hint="eastAsia" w:ascii="仿宋_GB2312" w:hAnsi="宋体" w:eastAsia="仿宋_GB2312" w:cs="宋体"/>
          <w:color w:val="000000" w:themeColor="text1"/>
          <w:sz w:val="28"/>
          <w:szCs w:val="28"/>
        </w:rPr>
        <w:t>，交通条件较好；附近</w:t>
      </w:r>
      <w:r>
        <w:rPr>
          <w:rFonts w:hint="eastAsia" w:ascii="仿宋_GB2312" w:hAnsi="宋体" w:eastAsia="仿宋_GB2312" w:cs="宋体"/>
          <w:color w:val="000000" w:themeColor="text1"/>
          <w:sz w:val="28"/>
          <w:szCs w:val="28"/>
          <w:lang w:val="en-US" w:eastAsia="zh-CN"/>
        </w:rPr>
        <w:t>有游11路、9路、2环1路</w:t>
      </w:r>
      <w:r>
        <w:rPr>
          <w:rFonts w:hint="eastAsia" w:ascii="仿宋_GB2312" w:hAnsi="宋体" w:eastAsia="仿宋_GB2312" w:cs="宋体"/>
          <w:color w:val="000000" w:themeColor="text1"/>
          <w:sz w:val="28"/>
          <w:szCs w:val="28"/>
        </w:rPr>
        <w:t>公交站点，公共交通便捷度好；周边有鑫泽苑、留营华苑、东简良小区、南简良生活东区等居住小区，住宅聚集度高；小区附近有东简良小学、新星中学、中国农业银行、武警医院等，公共服务设施完善，生活便利；周边</w:t>
      </w:r>
      <w:r>
        <w:rPr>
          <w:rFonts w:hint="eastAsia" w:ascii="仿宋_GB2312" w:hAnsi="宋体" w:eastAsia="仿宋_GB2312" w:cs="宋体"/>
          <w:color w:val="000000" w:themeColor="text1"/>
          <w:sz w:val="28"/>
          <w:szCs w:val="28"/>
          <w:lang w:val="en-US" w:eastAsia="zh-CN"/>
        </w:rPr>
        <w:t>有中山公园</w:t>
      </w:r>
      <w:r>
        <w:rPr>
          <w:rFonts w:hint="eastAsia" w:ascii="仿宋_GB2312" w:hAnsi="宋体" w:eastAsia="仿宋_GB2312" w:cs="宋体"/>
          <w:color w:val="000000" w:themeColor="text1"/>
          <w:sz w:val="28"/>
          <w:szCs w:val="28"/>
        </w:rPr>
        <w:t>，环境和景观</w:t>
      </w:r>
      <w:r>
        <w:rPr>
          <w:rFonts w:hint="eastAsia" w:ascii="仿宋_GB2312" w:hAnsi="宋体" w:eastAsia="仿宋_GB2312" w:cs="宋体"/>
          <w:color w:val="000000" w:themeColor="text1"/>
          <w:sz w:val="28"/>
          <w:szCs w:val="28"/>
          <w:lang w:val="en-US" w:eastAsia="zh-CN"/>
        </w:rPr>
        <w:t>较好</w:t>
      </w:r>
      <w:r>
        <w:rPr>
          <w:rFonts w:hint="eastAsia" w:ascii="仿宋_GB2312" w:hAnsi="宋体" w:eastAsia="仿宋_GB2312" w:cs="宋体"/>
          <w:color w:val="000000" w:themeColor="text1"/>
          <w:sz w:val="28"/>
          <w:szCs w:val="28"/>
        </w:rPr>
        <w:t>。</w:t>
      </w:r>
    </w:p>
    <w:p>
      <w:pPr>
        <w:adjustRightInd w:val="0"/>
        <w:snapToGrid w:val="0"/>
        <w:spacing w:line="580" w:lineRule="exact"/>
        <w:ind w:firstLine="560" w:firstLineChars="200"/>
        <w:jc w:val="left"/>
        <w:rPr>
          <w:rFonts w:hint="eastAsia" w:ascii="仿宋_GB2312" w:hAnsi="仿宋" w:eastAsia="仿宋_GB2312"/>
          <w:color w:val="000000" w:themeColor="text1"/>
          <w:sz w:val="28"/>
          <w:szCs w:val="28"/>
        </w:rPr>
      </w:pPr>
      <w:r>
        <w:rPr>
          <w:rFonts w:hint="eastAsia" w:ascii="仿宋_GB2312" w:hAnsi="仿宋" w:eastAsia="仿宋_GB2312"/>
          <w:color w:val="000000" w:themeColor="text1"/>
          <w:sz w:val="28"/>
          <w:szCs w:val="28"/>
        </w:rPr>
        <w:t>估价对象位置图：</w:t>
      </w:r>
    </w:p>
    <w:p>
      <w:pPr>
        <w:adjustRightInd w:val="0"/>
        <w:snapToGrid w:val="0"/>
        <w:spacing w:line="580" w:lineRule="exact"/>
        <w:jc w:val="left"/>
        <w:rPr>
          <w:rFonts w:ascii="仿宋_GB2312" w:eastAsia="仿宋_GB2312"/>
          <w:b/>
          <w:color w:val="000000" w:themeColor="text1"/>
          <w:sz w:val="28"/>
          <w:szCs w:val="28"/>
        </w:rPr>
      </w:pPr>
      <w:r>
        <w:pict>
          <v:shape id="_x0000_s2060" o:spid="_x0000_s2060" o:spt="75" type="#_x0000_t75" style="position:absolute;left:0pt;margin-left:0.75pt;margin-top:13.55pt;height:312.6pt;width:446.05pt;mso-wrap-distance-bottom:0pt;mso-wrap-distance-left:9pt;mso-wrap-distance-right:9pt;mso-wrap-distance-top:0pt;z-index:251662336;mso-width-relative:page;mso-height-relative:page;" filled="f" o:preferrelative="t" stroked="f" coordsize="21600,21600">
            <v:path/>
            <v:fill on="f" focussize="0,0"/>
            <v:stroke on="f"/>
            <v:imagedata r:id="rId17" o:title=""/>
            <o:lock v:ext="edit" aspectratio="t"/>
            <w10:wrap type="square"/>
          </v:shape>
        </w:pict>
      </w:r>
      <w:bookmarkStart w:id="89" w:name="_Toc14976"/>
      <w:bookmarkStart w:id="90" w:name="_Toc16550"/>
      <w:bookmarkStart w:id="91" w:name="_Toc28345"/>
      <w:r>
        <w:rPr>
          <w:rFonts w:hint="eastAsia"/>
          <w:lang w:val="en-US" w:eastAsia="zh-CN"/>
        </w:rPr>
        <w:t xml:space="preserve">     </w:t>
      </w:r>
      <w:r>
        <w:rPr>
          <w:rFonts w:hint="eastAsia" w:ascii="仿宋_GB2312" w:eastAsia="仿宋_GB2312"/>
          <w:b/>
          <w:color w:val="000000" w:themeColor="text1"/>
          <w:sz w:val="28"/>
          <w:szCs w:val="28"/>
        </w:rPr>
        <w:t>五、价值时点</w:t>
      </w:r>
      <w:bookmarkEnd w:id="86"/>
      <w:bookmarkEnd w:id="87"/>
      <w:r>
        <w:rPr>
          <w:rFonts w:ascii="仿宋_GB2312" w:eastAsia="仿宋_GB2312"/>
          <w:b/>
          <w:color w:val="000000" w:themeColor="text1"/>
          <w:sz w:val="28"/>
          <w:szCs w:val="28"/>
        </w:rPr>
        <w:fldChar w:fldCharType="begin"/>
      </w:r>
      <w:r>
        <w:rPr>
          <w:rFonts w:ascii="仿宋_GB2312" w:eastAsia="仿宋_GB2312"/>
          <w:b/>
          <w:color w:val="000000" w:themeColor="text1"/>
          <w:sz w:val="28"/>
          <w:szCs w:val="28"/>
        </w:rPr>
        <w:instrText xml:space="preserve"> TC "</w:instrText>
      </w:r>
      <w:bookmarkStart w:id="92" w:name="_Toc288212022"/>
      <w:bookmarkStart w:id="93" w:name="_Toc289260253"/>
      <w:r>
        <w:rPr>
          <w:rFonts w:hint="eastAsia" w:ascii="仿宋_GB2312" w:eastAsia="仿宋_GB2312"/>
          <w:b/>
          <w:color w:val="000000" w:themeColor="text1"/>
          <w:sz w:val="28"/>
          <w:szCs w:val="28"/>
        </w:rPr>
        <w:instrText xml:space="preserve">5、估价时点</w:instrText>
      </w:r>
      <w:bookmarkEnd w:id="92"/>
      <w:bookmarkEnd w:id="93"/>
      <w:r>
        <w:rPr>
          <w:rFonts w:ascii="仿宋_GB2312" w:eastAsia="仿宋_GB2312"/>
          <w:b/>
          <w:color w:val="000000" w:themeColor="text1"/>
          <w:sz w:val="28"/>
          <w:szCs w:val="28"/>
        </w:rPr>
        <w:instrText xml:space="preserve">" \f C \l "2"</w:instrText>
      </w:r>
      <w:r>
        <w:rPr>
          <w:rFonts w:ascii="仿宋_GB2312" w:eastAsia="仿宋_GB2312"/>
          <w:b/>
          <w:color w:val="000000" w:themeColor="text1"/>
          <w:sz w:val="28"/>
          <w:szCs w:val="28"/>
        </w:rPr>
        <w:fldChar w:fldCharType="end"/>
      </w:r>
      <w:bookmarkEnd w:id="89"/>
      <w:bookmarkEnd w:id="90"/>
      <w:bookmarkEnd w:id="91"/>
    </w:p>
    <w:p>
      <w:pPr>
        <w:tabs>
          <w:tab w:val="left" w:pos="1212"/>
        </w:tabs>
        <w:spacing w:line="560" w:lineRule="exact"/>
        <w:ind w:firstLine="560" w:firstLineChars="200"/>
        <w:rPr>
          <w:rFonts w:ascii="仿宋_GB2312" w:eastAsia="仿宋_GB2312"/>
          <w:color w:val="000000" w:themeColor="text1"/>
          <w:sz w:val="28"/>
          <w:szCs w:val="28"/>
        </w:rPr>
      </w:pPr>
      <w:r>
        <w:rPr>
          <w:rFonts w:hint="eastAsia" w:ascii="仿宋_GB2312" w:eastAsia="仿宋_GB2312"/>
          <w:color w:val="000000" w:themeColor="text1"/>
          <w:sz w:val="28"/>
          <w:szCs w:val="28"/>
          <w:lang w:val="en-US" w:eastAsia="zh-CN"/>
        </w:rPr>
        <w:t>鉴定委托书</w:t>
      </w:r>
      <w:r>
        <w:rPr>
          <w:rFonts w:hint="eastAsia" w:ascii="仿宋_GB2312" w:eastAsia="仿宋_GB2312"/>
          <w:color w:val="000000" w:themeColor="text1"/>
          <w:sz w:val="28"/>
          <w:szCs w:val="28"/>
        </w:rPr>
        <w:t>未约定价值时点，本次估价以实地查勘日期为价值时点，即</w:t>
      </w:r>
      <w:r>
        <w:rPr>
          <w:rFonts w:hint="eastAsia" w:ascii="仿宋_GB2312" w:eastAsia="仿宋_GB2312"/>
          <w:color w:val="000000" w:themeColor="text1"/>
          <w:sz w:val="28"/>
          <w:szCs w:val="28"/>
          <w:lang w:eastAsia="zh-CN"/>
        </w:rPr>
        <w:t>2021年9月29日</w:t>
      </w:r>
      <w:r>
        <w:rPr>
          <w:rFonts w:hint="eastAsia" w:ascii="仿宋_GB2312" w:eastAsia="仿宋_GB2312"/>
          <w:color w:val="000000" w:themeColor="text1"/>
          <w:sz w:val="28"/>
          <w:szCs w:val="28"/>
        </w:rPr>
        <w:t>。</w:t>
      </w:r>
    </w:p>
    <w:p>
      <w:pPr>
        <w:pStyle w:val="3"/>
        <w:keepNext w:val="0"/>
        <w:keepLines w:val="0"/>
        <w:snapToGrid w:val="0"/>
        <w:spacing w:before="0" w:after="0" w:line="560" w:lineRule="exact"/>
        <w:ind w:firstLine="562" w:firstLineChars="200"/>
        <w:rPr>
          <w:rFonts w:ascii="仿宋_GB2312" w:hAnsi="Times New Roman" w:eastAsia="仿宋_GB2312"/>
          <w:color w:val="000000" w:themeColor="text1"/>
          <w:sz w:val="28"/>
          <w:szCs w:val="28"/>
        </w:rPr>
      </w:pPr>
      <w:bookmarkStart w:id="94" w:name="_Toc22725"/>
      <w:bookmarkStart w:id="95" w:name="_Toc432411975"/>
      <w:bookmarkStart w:id="96" w:name="_Toc19323"/>
      <w:bookmarkStart w:id="97" w:name="_Toc9635"/>
      <w:bookmarkStart w:id="98" w:name="_Toc382493625"/>
      <w:r>
        <w:rPr>
          <w:rFonts w:hint="eastAsia" w:ascii="仿宋_GB2312" w:hAnsi="Times New Roman" w:eastAsia="仿宋_GB2312"/>
          <w:color w:val="000000" w:themeColor="text1"/>
          <w:sz w:val="28"/>
          <w:szCs w:val="28"/>
        </w:rPr>
        <w:t>六、价值类型</w:t>
      </w:r>
      <w:bookmarkEnd w:id="94"/>
      <w:bookmarkEnd w:id="95"/>
      <w:bookmarkEnd w:id="96"/>
      <w:bookmarkEnd w:id="97"/>
      <w:bookmarkEnd w:id="98"/>
    </w:p>
    <w:bookmarkEnd w:id="88"/>
    <w:p>
      <w:pPr>
        <w:spacing w:line="560" w:lineRule="exact"/>
        <w:ind w:firstLine="560" w:firstLineChars="200"/>
        <w:rPr>
          <w:rFonts w:ascii="仿宋_GB2312" w:hAnsi="仿宋_GB2312" w:eastAsia="仿宋_GB2312" w:cs="仿宋_GB2312"/>
          <w:color w:val="000000" w:themeColor="text1"/>
          <w:kern w:val="0"/>
          <w:sz w:val="28"/>
          <w:szCs w:val="28"/>
        </w:rPr>
      </w:pPr>
      <w:r>
        <w:rPr>
          <w:rFonts w:hint="eastAsia" w:ascii="仿宋_GB2312" w:hAnsi="仿宋_GB2312" w:eastAsia="仿宋_GB2312" w:cs="仿宋_GB2312"/>
          <w:color w:val="000000" w:themeColor="text1"/>
          <w:kern w:val="0"/>
          <w:sz w:val="28"/>
          <w:szCs w:val="28"/>
        </w:rPr>
        <w:t>1.价值类型名称</w:t>
      </w:r>
    </w:p>
    <w:p>
      <w:pPr>
        <w:spacing w:line="560" w:lineRule="exact"/>
        <w:ind w:firstLine="560" w:firstLineChars="200"/>
        <w:rPr>
          <w:rFonts w:ascii="仿宋_GB2312" w:hAnsi="仿宋_GB2312" w:eastAsia="仿宋_GB2312" w:cs="仿宋_GB2312"/>
          <w:color w:val="000000" w:themeColor="text1"/>
          <w:kern w:val="0"/>
          <w:sz w:val="28"/>
          <w:szCs w:val="28"/>
        </w:rPr>
      </w:pPr>
      <w:r>
        <w:rPr>
          <w:rFonts w:hint="eastAsia" w:ascii="仿宋_GB2312" w:hAnsi="仿宋_GB2312" w:eastAsia="仿宋_GB2312" w:cs="仿宋_GB2312"/>
          <w:color w:val="000000" w:themeColor="text1"/>
          <w:kern w:val="0"/>
          <w:sz w:val="28"/>
          <w:szCs w:val="28"/>
        </w:rPr>
        <w:t>本次估价的价值类型为市场价值。</w:t>
      </w:r>
    </w:p>
    <w:p>
      <w:pPr>
        <w:spacing w:line="560" w:lineRule="exact"/>
        <w:ind w:firstLine="560" w:firstLineChars="200"/>
        <w:rPr>
          <w:rFonts w:ascii="仿宋_GB2312" w:hAnsi="仿宋_GB2312" w:eastAsia="仿宋_GB2312" w:cs="仿宋_GB2312"/>
          <w:color w:val="000000" w:themeColor="text1"/>
          <w:kern w:val="0"/>
          <w:sz w:val="28"/>
          <w:szCs w:val="28"/>
        </w:rPr>
      </w:pPr>
      <w:r>
        <w:rPr>
          <w:rFonts w:hint="eastAsia" w:ascii="仿宋_GB2312" w:hAnsi="仿宋_GB2312" w:eastAsia="仿宋_GB2312" w:cs="仿宋_GB2312"/>
          <w:color w:val="000000" w:themeColor="text1"/>
          <w:kern w:val="0"/>
          <w:sz w:val="28"/>
          <w:szCs w:val="28"/>
        </w:rPr>
        <w:t>2.价值定义</w:t>
      </w:r>
    </w:p>
    <w:p>
      <w:pPr>
        <w:snapToGrid w:val="0"/>
        <w:spacing w:line="560" w:lineRule="exact"/>
        <w:ind w:firstLine="560" w:firstLineChars="200"/>
        <w:rPr>
          <w:rFonts w:ascii="仿宋_GB2312" w:eastAsia="仿宋_GB2312"/>
          <w:color w:val="000000" w:themeColor="text1"/>
          <w:sz w:val="28"/>
          <w:szCs w:val="28"/>
        </w:rPr>
      </w:pPr>
      <w:r>
        <w:rPr>
          <w:rFonts w:hint="eastAsia" w:ascii="仿宋_GB2312" w:eastAsia="仿宋_GB2312"/>
          <w:color w:val="000000" w:themeColor="text1"/>
          <w:sz w:val="28"/>
          <w:szCs w:val="28"/>
        </w:rPr>
        <w:t>市场价值是指估价对象经适当营销后，由熟悉情况、谨慎行事且不受强迫的交易双方，以公平交易方式在价值时点自愿进行交易的金额。</w:t>
      </w:r>
    </w:p>
    <w:p>
      <w:pPr>
        <w:pStyle w:val="3"/>
        <w:snapToGrid w:val="0"/>
        <w:spacing w:before="0" w:after="0" w:line="560" w:lineRule="exact"/>
        <w:ind w:firstLine="562" w:firstLineChars="200"/>
        <w:rPr>
          <w:rFonts w:ascii="仿宋_GB2312" w:hAnsi="Times New Roman" w:eastAsia="仿宋_GB2312"/>
          <w:color w:val="000000" w:themeColor="text1"/>
          <w:sz w:val="28"/>
          <w:szCs w:val="28"/>
        </w:rPr>
      </w:pPr>
      <w:bookmarkStart w:id="99" w:name="_Toc382493627"/>
      <w:bookmarkStart w:id="100" w:name="_Toc432411976"/>
      <w:bookmarkStart w:id="101" w:name="_Toc155258970"/>
      <w:bookmarkStart w:id="102" w:name="_Toc2079"/>
      <w:bookmarkStart w:id="103" w:name="_Toc27721"/>
      <w:bookmarkStart w:id="104" w:name="_Toc6804"/>
      <w:r>
        <w:rPr>
          <w:rFonts w:hint="eastAsia" w:ascii="仿宋_GB2312" w:hAnsi="Times New Roman" w:eastAsia="仿宋_GB2312"/>
          <w:color w:val="000000" w:themeColor="text1"/>
          <w:sz w:val="28"/>
          <w:szCs w:val="28"/>
        </w:rPr>
        <w:t>七、估价原则</w:t>
      </w:r>
      <w:bookmarkEnd w:id="99"/>
      <w:bookmarkEnd w:id="100"/>
      <w:bookmarkEnd w:id="101"/>
      <w:r>
        <w:rPr>
          <w:rFonts w:hint="eastAsia" w:ascii="仿宋_GB2312" w:hAnsi="Times New Roman" w:eastAsia="仿宋_GB2312"/>
          <w:color w:val="000000" w:themeColor="text1"/>
          <w:sz w:val="28"/>
          <w:szCs w:val="28"/>
        </w:rPr>
        <w:fldChar w:fldCharType="begin"/>
      </w:r>
      <w:r>
        <w:rPr>
          <w:rFonts w:hint="eastAsia" w:ascii="仿宋_GB2312" w:hAnsi="Times New Roman" w:eastAsia="仿宋_GB2312"/>
          <w:color w:val="000000" w:themeColor="text1"/>
          <w:sz w:val="28"/>
          <w:szCs w:val="28"/>
        </w:rPr>
        <w:instrText xml:space="preserve"> TC "</w:instrText>
      </w:r>
      <w:bookmarkStart w:id="105" w:name="_Toc289260256"/>
      <w:bookmarkStart w:id="106" w:name="_Toc288212025"/>
      <w:r>
        <w:rPr>
          <w:rFonts w:hint="eastAsia" w:ascii="仿宋_GB2312" w:hAnsi="Times New Roman" w:eastAsia="仿宋_GB2312"/>
          <w:color w:val="000000" w:themeColor="text1"/>
          <w:sz w:val="28"/>
          <w:szCs w:val="28"/>
        </w:rPr>
        <w:instrText xml:space="preserve">8、估价原则</w:instrText>
      </w:r>
      <w:bookmarkEnd w:id="105"/>
      <w:bookmarkEnd w:id="106"/>
      <w:r>
        <w:rPr>
          <w:rFonts w:hint="eastAsia" w:ascii="仿宋_GB2312" w:hAnsi="Times New Roman" w:eastAsia="仿宋_GB2312"/>
          <w:color w:val="000000" w:themeColor="text1"/>
          <w:sz w:val="28"/>
          <w:szCs w:val="28"/>
        </w:rPr>
        <w:instrText xml:space="preserve">" \f C \l "2"</w:instrText>
      </w:r>
      <w:r>
        <w:rPr>
          <w:rFonts w:hint="eastAsia" w:ascii="仿宋_GB2312" w:hAnsi="Times New Roman" w:eastAsia="仿宋_GB2312"/>
          <w:color w:val="000000" w:themeColor="text1"/>
          <w:sz w:val="28"/>
          <w:szCs w:val="28"/>
        </w:rPr>
        <w:fldChar w:fldCharType="end"/>
      </w:r>
      <w:bookmarkEnd w:id="102"/>
      <w:bookmarkEnd w:id="103"/>
      <w:bookmarkEnd w:id="104"/>
    </w:p>
    <w:p>
      <w:pPr>
        <w:snapToGrid w:val="0"/>
        <w:spacing w:line="560" w:lineRule="exact"/>
        <w:ind w:firstLine="560" w:firstLineChars="200"/>
        <w:rPr>
          <w:rFonts w:ascii="仿宋_GB2312" w:hAnsi="仿宋_GB2312" w:eastAsia="仿宋_GB2312" w:cs="仿宋_GB2312"/>
          <w:color w:val="000000" w:themeColor="text1"/>
          <w:sz w:val="28"/>
          <w:szCs w:val="28"/>
        </w:rPr>
      </w:pPr>
      <w:bookmarkStart w:id="107" w:name="_Toc432411977"/>
      <w:r>
        <w:rPr>
          <w:rFonts w:hint="eastAsia" w:ascii="仿宋_GB2312" w:hAnsi="仿宋_GB2312" w:eastAsia="仿宋_GB2312" w:cs="仿宋_GB2312"/>
          <w:color w:val="000000" w:themeColor="text1"/>
          <w:sz w:val="28"/>
          <w:szCs w:val="28"/>
        </w:rPr>
        <w:t>我们在本次估价时遵循了以下原则：</w:t>
      </w:r>
    </w:p>
    <w:p>
      <w:pPr>
        <w:snapToGrid w:val="0"/>
        <w:spacing w:line="560" w:lineRule="exact"/>
        <w:ind w:left="560"/>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1.独立、客观、公正原则</w:t>
      </w:r>
    </w:p>
    <w:p>
      <w:pPr>
        <w:adjustRightInd w:val="0"/>
        <w:snapToGrid w:val="0"/>
        <w:spacing w:line="560" w:lineRule="exact"/>
        <w:ind w:firstLine="520"/>
        <w:rPr>
          <w:rFonts w:ascii="仿宋_GB2312" w:hAnsi="宋体" w:eastAsia="仿宋_GB2312"/>
          <w:color w:val="000000" w:themeColor="text1"/>
          <w:sz w:val="28"/>
          <w:szCs w:val="28"/>
        </w:rPr>
      </w:pPr>
      <w:r>
        <w:rPr>
          <w:rFonts w:hint="eastAsia" w:ascii="仿宋_GB2312" w:hAnsi="宋体" w:eastAsia="仿宋_GB2312"/>
          <w:color w:val="000000" w:themeColor="text1"/>
          <w:sz w:val="28"/>
          <w:szCs w:val="28"/>
        </w:rPr>
        <w:t>要求站在中立的立场上，实事求是、公平正直地评估出对各方估价利害关系人均是公平合理的价值或价格的原则。</w:t>
      </w:r>
    </w:p>
    <w:p>
      <w:pPr>
        <w:adjustRightInd w:val="0"/>
        <w:snapToGrid w:val="0"/>
        <w:spacing w:line="560" w:lineRule="exact"/>
        <w:ind w:firstLine="520"/>
        <w:rPr>
          <w:rFonts w:ascii="仿宋_GB2312" w:hAnsi="宋体" w:eastAsia="仿宋_GB2312"/>
          <w:color w:val="000000" w:themeColor="text1"/>
          <w:sz w:val="28"/>
          <w:szCs w:val="28"/>
        </w:rPr>
      </w:pPr>
      <w:r>
        <w:rPr>
          <w:rFonts w:hint="eastAsia" w:ascii="仿宋_GB2312" w:eastAsia="仿宋_GB2312"/>
          <w:color w:val="000000" w:themeColor="text1"/>
          <w:sz w:val="28"/>
          <w:szCs w:val="28"/>
        </w:rPr>
        <w:t>本次估价坚守独立、客观、公正原则，估价</w:t>
      </w:r>
      <w:r>
        <w:rPr>
          <w:rFonts w:ascii="仿宋_GB2312" w:eastAsia="仿宋_GB2312"/>
          <w:color w:val="000000" w:themeColor="text1"/>
          <w:sz w:val="28"/>
          <w:szCs w:val="28"/>
        </w:rPr>
        <w:t>机构建立</w:t>
      </w:r>
      <w:r>
        <w:rPr>
          <w:rFonts w:hint="eastAsia" w:ascii="仿宋_GB2312" w:eastAsia="仿宋_GB2312"/>
          <w:color w:val="000000" w:themeColor="text1"/>
          <w:sz w:val="28"/>
          <w:szCs w:val="28"/>
        </w:rPr>
        <w:t>了</w:t>
      </w:r>
      <w:r>
        <w:rPr>
          <w:rFonts w:ascii="仿宋_GB2312" w:eastAsia="仿宋_GB2312"/>
          <w:color w:val="000000" w:themeColor="text1"/>
          <w:sz w:val="28"/>
          <w:szCs w:val="28"/>
        </w:rPr>
        <w:t>行之有效的内部审核制度，以保证评估过程规范有序，既不受其他单位和个人的非法干预和影响，也不因</w:t>
      </w:r>
      <w:r>
        <w:rPr>
          <w:rFonts w:hint="eastAsia" w:ascii="仿宋_GB2312" w:eastAsia="仿宋_GB2312"/>
          <w:color w:val="000000" w:themeColor="text1"/>
          <w:sz w:val="28"/>
          <w:szCs w:val="28"/>
        </w:rPr>
        <w:t>房地产</w:t>
      </w:r>
      <w:r>
        <w:rPr>
          <w:rFonts w:ascii="仿宋_GB2312" w:eastAsia="仿宋_GB2312"/>
          <w:color w:val="000000" w:themeColor="text1"/>
          <w:sz w:val="28"/>
          <w:szCs w:val="28"/>
        </w:rPr>
        <w:t>估价师个人好恶或主观偏见影响其分析、判断的客观性。</w:t>
      </w:r>
    </w:p>
    <w:p>
      <w:pPr>
        <w:snapToGrid w:val="0"/>
        <w:spacing w:line="560" w:lineRule="exact"/>
        <w:ind w:firstLine="560" w:firstLineChars="200"/>
        <w:rPr>
          <w:rFonts w:ascii="仿宋_GB2312" w:hAnsi="宋体" w:eastAsia="仿宋_GB2312"/>
          <w:color w:val="000000" w:themeColor="text1"/>
          <w:sz w:val="28"/>
          <w:szCs w:val="28"/>
        </w:rPr>
      </w:pPr>
      <w:r>
        <w:rPr>
          <w:rFonts w:hint="eastAsia" w:ascii="仿宋_GB2312" w:hAnsi="宋体" w:eastAsia="仿宋_GB2312"/>
          <w:color w:val="000000" w:themeColor="text1"/>
          <w:sz w:val="28"/>
          <w:szCs w:val="28"/>
        </w:rPr>
        <w:t>2.合法原则</w:t>
      </w:r>
    </w:p>
    <w:p>
      <w:pPr>
        <w:snapToGrid w:val="0"/>
        <w:spacing w:line="560" w:lineRule="exact"/>
        <w:ind w:firstLine="560" w:firstLineChars="200"/>
        <w:rPr>
          <w:rFonts w:ascii="仿宋_GB2312" w:eastAsia="仿宋_GB2312"/>
          <w:color w:val="000000" w:themeColor="text1"/>
          <w:sz w:val="28"/>
          <w:szCs w:val="28"/>
        </w:rPr>
      </w:pPr>
      <w:r>
        <w:rPr>
          <w:rFonts w:hint="eastAsia" w:ascii="仿宋_GB2312" w:eastAsia="仿宋_GB2312"/>
          <w:color w:val="000000" w:themeColor="text1"/>
          <w:sz w:val="28"/>
          <w:szCs w:val="28"/>
        </w:rPr>
        <w:t>要求估价结果是在依法判定的估价对象状况下的价值或价格的原则。</w:t>
      </w:r>
    </w:p>
    <w:p>
      <w:pPr>
        <w:snapToGrid w:val="0"/>
        <w:spacing w:line="560" w:lineRule="exact"/>
        <w:ind w:firstLine="560" w:firstLineChars="200"/>
        <w:rPr>
          <w:rFonts w:ascii="仿宋_GB2312" w:eastAsia="仿宋_GB2312"/>
          <w:color w:val="000000" w:themeColor="text1"/>
          <w:sz w:val="28"/>
          <w:szCs w:val="28"/>
        </w:rPr>
      </w:pPr>
      <w:r>
        <w:rPr>
          <w:rFonts w:hint="eastAsia" w:ascii="仿宋_GB2312" w:eastAsia="仿宋_GB2312"/>
          <w:color w:val="000000" w:themeColor="text1"/>
          <w:sz w:val="28"/>
          <w:szCs w:val="28"/>
        </w:rPr>
        <w:t>本次估价以估价对象合法用途为前提，根据委托估价方提供的合法权属证明等资料进行评估。</w:t>
      </w:r>
    </w:p>
    <w:p>
      <w:pPr>
        <w:snapToGrid w:val="0"/>
        <w:spacing w:line="560" w:lineRule="exact"/>
        <w:ind w:left="560"/>
        <w:rPr>
          <w:rFonts w:ascii="仿宋_GB2312" w:hAnsi="宋体" w:eastAsia="仿宋_GB2312"/>
          <w:color w:val="000000" w:themeColor="text1"/>
          <w:sz w:val="28"/>
          <w:szCs w:val="28"/>
        </w:rPr>
      </w:pPr>
      <w:r>
        <w:rPr>
          <w:rFonts w:hint="eastAsia" w:ascii="仿宋_GB2312" w:hAnsi="宋体" w:eastAsia="仿宋_GB2312"/>
          <w:color w:val="000000" w:themeColor="text1"/>
          <w:sz w:val="28"/>
          <w:szCs w:val="28"/>
        </w:rPr>
        <w:t>3.价值时点原则</w:t>
      </w:r>
    </w:p>
    <w:p>
      <w:pPr>
        <w:snapToGrid w:val="0"/>
        <w:spacing w:line="560" w:lineRule="exact"/>
        <w:ind w:firstLine="551" w:firstLineChars="197"/>
        <w:rPr>
          <w:rFonts w:ascii="仿宋_GB2312" w:eastAsia="仿宋_GB2312"/>
          <w:color w:val="000000" w:themeColor="text1"/>
          <w:sz w:val="28"/>
          <w:szCs w:val="28"/>
        </w:rPr>
      </w:pPr>
      <w:r>
        <w:rPr>
          <w:rFonts w:hint="eastAsia" w:ascii="仿宋_GB2312" w:eastAsia="仿宋_GB2312"/>
          <w:color w:val="000000" w:themeColor="text1"/>
          <w:sz w:val="28"/>
          <w:szCs w:val="28"/>
        </w:rPr>
        <w:t>要求估价结果是在根据估价目的确定的某一特定时间的价值或价格的原则。</w:t>
      </w:r>
    </w:p>
    <w:p>
      <w:pPr>
        <w:snapToGrid w:val="0"/>
        <w:spacing w:line="560" w:lineRule="exact"/>
        <w:ind w:firstLine="551" w:firstLineChars="197"/>
        <w:rPr>
          <w:rFonts w:ascii="仿宋_GB2312" w:eastAsia="仿宋_GB2312"/>
          <w:caps/>
          <w:color w:val="000000" w:themeColor="text1"/>
          <w:sz w:val="28"/>
          <w:szCs w:val="28"/>
        </w:rPr>
      </w:pPr>
      <w:r>
        <w:rPr>
          <w:rFonts w:hint="eastAsia" w:ascii="仿宋_GB2312" w:eastAsia="仿宋_GB2312"/>
          <w:caps/>
          <w:color w:val="000000" w:themeColor="text1"/>
          <w:sz w:val="28"/>
          <w:szCs w:val="28"/>
        </w:rPr>
        <w:t>本次估价以价值时点原则为前提，根据价值时点原则确定政府有关房地产的法律、法规、税收政策、估价标准等的发布、变更、实施日期等估价依据。估价结果是根据估价目的确定的价值时点对应的市场价值。</w:t>
      </w:r>
    </w:p>
    <w:p>
      <w:pPr>
        <w:snapToGrid w:val="0"/>
        <w:spacing w:line="560" w:lineRule="exact"/>
        <w:ind w:left="560"/>
        <w:rPr>
          <w:rFonts w:ascii="仿宋_GB2312" w:hAnsi="宋体" w:eastAsia="仿宋_GB2312"/>
          <w:color w:val="000000" w:themeColor="text1"/>
          <w:sz w:val="28"/>
          <w:szCs w:val="28"/>
        </w:rPr>
      </w:pPr>
      <w:r>
        <w:rPr>
          <w:rFonts w:hint="eastAsia" w:ascii="仿宋_GB2312" w:hAnsi="宋体" w:eastAsia="仿宋_GB2312"/>
          <w:color w:val="000000" w:themeColor="text1"/>
          <w:sz w:val="28"/>
          <w:szCs w:val="28"/>
        </w:rPr>
        <w:t>4.替代原则</w:t>
      </w:r>
    </w:p>
    <w:p>
      <w:pPr>
        <w:snapToGrid w:val="0"/>
        <w:spacing w:line="560" w:lineRule="exact"/>
        <w:ind w:firstLine="540"/>
        <w:rPr>
          <w:rFonts w:ascii="仿宋_GB2312" w:eastAsia="仿宋_GB2312"/>
          <w:color w:val="000000" w:themeColor="text1"/>
          <w:sz w:val="28"/>
          <w:szCs w:val="28"/>
        </w:rPr>
      </w:pPr>
      <w:r>
        <w:rPr>
          <w:rFonts w:hint="eastAsia" w:ascii="仿宋_GB2312" w:eastAsia="仿宋_GB2312"/>
          <w:color w:val="000000" w:themeColor="text1"/>
          <w:sz w:val="28"/>
          <w:szCs w:val="28"/>
        </w:rPr>
        <w:t>要求估价结果与估价对象的类似房地产在同等条件下的价值或价格偏差在合理范围内的原则。</w:t>
      </w:r>
    </w:p>
    <w:p>
      <w:pPr>
        <w:snapToGrid w:val="0"/>
        <w:spacing w:line="560" w:lineRule="exact"/>
        <w:ind w:firstLine="560" w:firstLineChars="200"/>
        <w:rPr>
          <w:rFonts w:ascii="仿宋_GB2312" w:hAnsi="宋体" w:eastAsia="仿宋_GB2312"/>
          <w:color w:val="000000" w:themeColor="text1"/>
          <w:sz w:val="28"/>
          <w:szCs w:val="28"/>
        </w:rPr>
      </w:pPr>
      <w:r>
        <w:rPr>
          <w:rFonts w:hint="eastAsia" w:ascii="仿宋_GB2312" w:eastAsia="仿宋_GB2312"/>
          <w:color w:val="000000" w:themeColor="text1"/>
          <w:sz w:val="28"/>
          <w:szCs w:val="28"/>
        </w:rPr>
        <w:t>5.</w:t>
      </w:r>
      <w:r>
        <w:rPr>
          <w:rFonts w:hint="eastAsia" w:ascii="仿宋_GB2312" w:hAnsi="宋体" w:eastAsia="仿宋_GB2312"/>
          <w:color w:val="000000" w:themeColor="text1"/>
          <w:sz w:val="28"/>
          <w:szCs w:val="28"/>
        </w:rPr>
        <w:t>最高最佳利用原则</w:t>
      </w:r>
    </w:p>
    <w:p>
      <w:pPr>
        <w:snapToGrid w:val="0"/>
        <w:spacing w:line="560" w:lineRule="exact"/>
        <w:ind w:firstLine="520"/>
        <w:rPr>
          <w:rFonts w:ascii="仿宋_GB2312" w:eastAsia="仿宋_GB2312"/>
          <w:bCs/>
          <w:color w:val="000000" w:themeColor="text1"/>
          <w:spacing w:val="-3"/>
          <w:sz w:val="28"/>
          <w:szCs w:val="28"/>
        </w:rPr>
      </w:pPr>
      <w:r>
        <w:rPr>
          <w:rFonts w:hint="eastAsia" w:ascii="仿宋_GB2312" w:eastAsia="仿宋_GB2312"/>
          <w:bCs/>
          <w:color w:val="000000" w:themeColor="text1"/>
          <w:spacing w:val="-3"/>
          <w:sz w:val="28"/>
          <w:szCs w:val="28"/>
        </w:rPr>
        <w:t>要求估价结果是在估价对象最高最佳利用状况下的价值或价格的原则。</w:t>
      </w:r>
    </w:p>
    <w:p>
      <w:pPr>
        <w:pStyle w:val="3"/>
        <w:snapToGrid w:val="0"/>
        <w:spacing w:before="0" w:after="0" w:line="560" w:lineRule="exact"/>
        <w:ind w:firstLine="562" w:firstLineChars="200"/>
        <w:rPr>
          <w:rFonts w:ascii="仿宋_GB2312" w:hAnsi="Times New Roman" w:eastAsia="仿宋_GB2312"/>
          <w:color w:val="000000" w:themeColor="text1"/>
          <w:sz w:val="28"/>
          <w:szCs w:val="28"/>
        </w:rPr>
      </w:pPr>
      <w:bookmarkStart w:id="108" w:name="_Toc31141"/>
      <w:bookmarkStart w:id="109" w:name="_Toc3957"/>
      <w:bookmarkStart w:id="110" w:name="_Toc28024"/>
      <w:r>
        <w:rPr>
          <w:rFonts w:hint="eastAsia" w:ascii="仿宋_GB2312" w:hAnsi="Times New Roman" w:eastAsia="仿宋_GB2312"/>
          <w:color w:val="000000" w:themeColor="text1"/>
          <w:sz w:val="28"/>
          <w:szCs w:val="28"/>
        </w:rPr>
        <w:t>八、估价依据</w:t>
      </w:r>
      <w:bookmarkEnd w:id="107"/>
      <w:r>
        <w:rPr>
          <w:rFonts w:hint="eastAsia" w:ascii="仿宋_GB2312" w:hAnsi="Times New Roman" w:eastAsia="仿宋_GB2312"/>
          <w:color w:val="000000" w:themeColor="text1"/>
          <w:sz w:val="28"/>
          <w:szCs w:val="28"/>
        </w:rPr>
        <w:fldChar w:fldCharType="begin"/>
      </w:r>
      <w:r>
        <w:rPr>
          <w:rFonts w:hint="eastAsia" w:ascii="仿宋_GB2312" w:hAnsi="Times New Roman" w:eastAsia="仿宋_GB2312"/>
          <w:color w:val="000000" w:themeColor="text1"/>
          <w:sz w:val="28"/>
          <w:szCs w:val="28"/>
        </w:rPr>
        <w:instrText xml:space="preserve"> TC "</w:instrText>
      </w:r>
      <w:bookmarkStart w:id="111" w:name="_Toc288212024"/>
      <w:bookmarkStart w:id="112" w:name="_Toc289260255"/>
      <w:r>
        <w:rPr>
          <w:rFonts w:hint="eastAsia" w:ascii="仿宋_GB2312" w:hAnsi="Times New Roman" w:eastAsia="仿宋_GB2312"/>
          <w:color w:val="000000" w:themeColor="text1"/>
          <w:sz w:val="28"/>
          <w:szCs w:val="28"/>
        </w:rPr>
        <w:instrText xml:space="preserve">7、估价依据</w:instrText>
      </w:r>
      <w:bookmarkEnd w:id="111"/>
      <w:bookmarkEnd w:id="112"/>
      <w:r>
        <w:rPr>
          <w:rFonts w:hint="eastAsia" w:ascii="仿宋_GB2312" w:hAnsi="Times New Roman" w:eastAsia="仿宋_GB2312"/>
          <w:color w:val="000000" w:themeColor="text1"/>
          <w:sz w:val="28"/>
          <w:szCs w:val="28"/>
        </w:rPr>
        <w:instrText xml:space="preserve">" \f C \l "2"</w:instrText>
      </w:r>
      <w:r>
        <w:rPr>
          <w:rFonts w:hint="eastAsia" w:ascii="仿宋_GB2312" w:hAnsi="Times New Roman" w:eastAsia="仿宋_GB2312"/>
          <w:color w:val="000000" w:themeColor="text1"/>
          <w:sz w:val="28"/>
          <w:szCs w:val="28"/>
        </w:rPr>
        <w:fldChar w:fldCharType="end"/>
      </w:r>
      <w:bookmarkEnd w:id="108"/>
      <w:bookmarkEnd w:id="109"/>
      <w:bookmarkEnd w:id="110"/>
    </w:p>
    <w:p>
      <w:pPr>
        <w:snapToGrid w:val="0"/>
        <w:spacing w:line="560" w:lineRule="exact"/>
        <w:ind w:firstLine="560" w:firstLineChars="200"/>
        <w:rPr>
          <w:rFonts w:ascii="仿宋_GB2312" w:hAnsi="宋体" w:eastAsia="仿宋_GB2312"/>
          <w:caps/>
          <w:color w:val="000000" w:themeColor="text1"/>
          <w:sz w:val="28"/>
        </w:rPr>
      </w:pPr>
      <w:bookmarkStart w:id="113" w:name="_Toc432411978"/>
      <w:bookmarkStart w:id="114" w:name="_Toc382493628"/>
      <w:bookmarkStart w:id="115" w:name="_Toc155258971"/>
      <w:r>
        <w:rPr>
          <w:rFonts w:hint="eastAsia" w:ascii="仿宋_GB2312" w:hAnsi="宋体" w:eastAsia="仿宋_GB2312"/>
          <w:caps/>
          <w:color w:val="000000" w:themeColor="text1"/>
          <w:sz w:val="28"/>
        </w:rPr>
        <w:t>（一）法律、法规：</w:t>
      </w:r>
    </w:p>
    <w:p>
      <w:pPr>
        <w:snapToGrid w:val="0"/>
        <w:spacing w:line="560" w:lineRule="exact"/>
        <w:ind w:firstLine="560" w:firstLineChars="200"/>
        <w:rPr>
          <w:rFonts w:ascii="仿宋_GB2312" w:eastAsia="仿宋_GB2312"/>
          <w:bCs/>
          <w:color w:val="000000" w:themeColor="text1"/>
          <w:spacing w:val="-3"/>
          <w:sz w:val="28"/>
          <w:szCs w:val="28"/>
        </w:rPr>
      </w:pPr>
      <w:r>
        <w:rPr>
          <w:rFonts w:hint="eastAsia" w:ascii="仿宋_GB2312" w:hAnsi="宋体" w:eastAsia="仿宋_GB2312"/>
          <w:caps/>
          <w:color w:val="000000" w:themeColor="text1"/>
          <w:sz w:val="28"/>
        </w:rPr>
        <w:t>1.</w:t>
      </w:r>
      <w:r>
        <w:rPr>
          <w:rFonts w:hint="eastAsia" w:ascii="仿宋_GB2312" w:eastAsia="仿宋_GB2312"/>
          <w:bCs/>
          <w:color w:val="000000" w:themeColor="text1"/>
          <w:spacing w:val="-3"/>
          <w:sz w:val="28"/>
          <w:szCs w:val="28"/>
        </w:rPr>
        <w:t>《中华人民共和国民法典》（2020年5月28日第十三届全国人民代表大会第三次会议通过）；</w:t>
      </w:r>
    </w:p>
    <w:p>
      <w:pPr>
        <w:adjustRightInd w:val="0"/>
        <w:snapToGrid w:val="0"/>
        <w:spacing w:line="560" w:lineRule="exact"/>
        <w:ind w:firstLine="548" w:firstLineChars="200"/>
        <w:rPr>
          <w:rFonts w:ascii="仿宋_GB2312" w:eastAsia="仿宋_GB2312"/>
          <w:bCs/>
          <w:color w:val="000000" w:themeColor="text1"/>
          <w:spacing w:val="-3"/>
          <w:sz w:val="28"/>
          <w:szCs w:val="28"/>
        </w:rPr>
      </w:pPr>
      <w:r>
        <w:rPr>
          <w:rFonts w:hint="eastAsia" w:ascii="仿宋_GB2312" w:eastAsia="仿宋_GB2312"/>
          <w:bCs/>
          <w:color w:val="000000" w:themeColor="text1"/>
          <w:spacing w:val="-3"/>
          <w:sz w:val="28"/>
          <w:szCs w:val="28"/>
        </w:rPr>
        <w:t>2.《中华人民共和国城市房地产管理法》</w:t>
      </w:r>
      <w:r>
        <w:rPr>
          <w:rFonts w:ascii="仿宋_GB2312" w:eastAsia="仿宋_GB2312"/>
          <w:bCs/>
          <w:color w:val="000000" w:themeColor="text1"/>
          <w:spacing w:val="-3"/>
          <w:sz w:val="28"/>
          <w:szCs w:val="28"/>
        </w:rPr>
        <w:t>（</w:t>
      </w:r>
      <w:r>
        <w:rPr>
          <w:rFonts w:hint="eastAsia" w:ascii="仿宋_GB2312" w:eastAsia="仿宋_GB2312"/>
          <w:bCs/>
          <w:color w:val="000000" w:themeColor="text1"/>
          <w:spacing w:val="-3"/>
          <w:sz w:val="28"/>
          <w:szCs w:val="28"/>
        </w:rPr>
        <w:t>2019年8月26日第十三届全国人民代表大会常务委员会第十二次会议修正）；</w:t>
      </w:r>
    </w:p>
    <w:p>
      <w:pPr>
        <w:adjustRightInd w:val="0"/>
        <w:snapToGrid w:val="0"/>
        <w:spacing w:line="560" w:lineRule="exact"/>
        <w:ind w:firstLine="548" w:firstLineChars="200"/>
        <w:rPr>
          <w:rFonts w:ascii="仿宋_GB2312" w:eastAsia="仿宋_GB2312"/>
          <w:bCs/>
          <w:color w:val="000000" w:themeColor="text1"/>
          <w:spacing w:val="-3"/>
          <w:sz w:val="28"/>
          <w:szCs w:val="28"/>
        </w:rPr>
      </w:pPr>
      <w:r>
        <w:rPr>
          <w:rFonts w:hint="eastAsia" w:ascii="仿宋_GB2312" w:eastAsia="仿宋_GB2312"/>
          <w:bCs/>
          <w:color w:val="000000" w:themeColor="text1"/>
          <w:spacing w:val="-3"/>
          <w:sz w:val="28"/>
          <w:szCs w:val="28"/>
        </w:rPr>
        <w:t>3.《中华人民共和国土地管理法》</w:t>
      </w:r>
      <w:r>
        <w:rPr>
          <w:rFonts w:ascii="仿宋_GB2312" w:eastAsia="仿宋_GB2312"/>
          <w:bCs/>
          <w:color w:val="000000" w:themeColor="text1"/>
          <w:spacing w:val="-3"/>
          <w:sz w:val="28"/>
          <w:szCs w:val="28"/>
        </w:rPr>
        <w:t>（</w:t>
      </w:r>
      <w:r>
        <w:rPr>
          <w:rFonts w:hint="eastAsia" w:ascii="仿宋_GB2312" w:eastAsia="仿宋_GB2312"/>
          <w:bCs/>
          <w:color w:val="000000" w:themeColor="text1"/>
          <w:spacing w:val="-3"/>
          <w:sz w:val="28"/>
          <w:szCs w:val="28"/>
        </w:rPr>
        <w:t>2019年8月26日第十三届全国人民代表大会常务委员会第十二次会议修正）；</w:t>
      </w:r>
    </w:p>
    <w:p>
      <w:pPr>
        <w:snapToGrid w:val="0"/>
        <w:spacing w:line="560" w:lineRule="exact"/>
        <w:ind w:firstLine="548" w:firstLineChars="200"/>
        <w:rPr>
          <w:rFonts w:ascii="仿宋_GB2312" w:eastAsia="仿宋_GB2312"/>
          <w:bCs/>
          <w:color w:val="000000" w:themeColor="text1"/>
          <w:spacing w:val="-3"/>
          <w:sz w:val="28"/>
          <w:szCs w:val="28"/>
        </w:rPr>
      </w:pPr>
      <w:r>
        <w:rPr>
          <w:rFonts w:ascii="仿宋_GB2312" w:eastAsia="仿宋_GB2312"/>
          <w:bCs/>
          <w:color w:val="000000" w:themeColor="text1"/>
          <w:spacing w:val="-3"/>
          <w:sz w:val="28"/>
          <w:szCs w:val="28"/>
        </w:rPr>
        <w:t>4</w:t>
      </w:r>
      <w:r>
        <w:rPr>
          <w:rFonts w:hint="eastAsia" w:ascii="仿宋_GB2312" w:eastAsia="仿宋_GB2312"/>
          <w:bCs/>
          <w:color w:val="000000" w:themeColor="text1"/>
          <w:spacing w:val="-3"/>
          <w:sz w:val="28"/>
          <w:szCs w:val="28"/>
        </w:rPr>
        <w:t>.《中华人民共和国资产评估法》（2016年7月2日第十二届全国人民代表大会常务委员会第二十一次会议通过）；</w:t>
      </w:r>
    </w:p>
    <w:p>
      <w:pPr>
        <w:adjustRightInd w:val="0"/>
        <w:snapToGrid w:val="0"/>
        <w:spacing w:line="560" w:lineRule="exact"/>
        <w:ind w:firstLine="548" w:firstLineChars="200"/>
        <w:rPr>
          <w:rFonts w:ascii="仿宋_GB2312" w:eastAsia="仿宋_GB2312"/>
          <w:bCs/>
          <w:color w:val="000000" w:themeColor="text1"/>
          <w:spacing w:val="-3"/>
          <w:sz w:val="28"/>
          <w:szCs w:val="28"/>
        </w:rPr>
      </w:pPr>
      <w:r>
        <w:rPr>
          <w:rFonts w:hint="eastAsia" w:ascii="仿宋_GB2312" w:eastAsia="仿宋_GB2312"/>
          <w:bCs/>
          <w:color w:val="000000" w:themeColor="text1"/>
          <w:spacing w:val="-3"/>
          <w:sz w:val="28"/>
          <w:szCs w:val="28"/>
        </w:rPr>
        <w:t>5.《中华人民共和国土地管理法实施条例》（2014年07月29日</w:t>
      </w:r>
      <w:r>
        <w:rPr>
          <w:rFonts w:ascii="仿宋_GB2312" w:eastAsia="仿宋_GB2312"/>
          <w:bCs/>
          <w:color w:val="000000" w:themeColor="text1"/>
          <w:spacing w:val="-3"/>
          <w:sz w:val="28"/>
          <w:szCs w:val="28"/>
        </w:rPr>
        <w:t>第二次修订</w:t>
      </w:r>
      <w:r>
        <w:rPr>
          <w:rFonts w:hint="eastAsia" w:ascii="仿宋_GB2312" w:eastAsia="仿宋_GB2312"/>
          <w:bCs/>
          <w:color w:val="000000" w:themeColor="text1"/>
          <w:spacing w:val="-3"/>
          <w:sz w:val="28"/>
          <w:szCs w:val="28"/>
        </w:rPr>
        <w:t>）；</w:t>
      </w:r>
    </w:p>
    <w:p>
      <w:pPr>
        <w:adjustRightInd w:val="0"/>
        <w:snapToGrid w:val="0"/>
        <w:spacing w:line="560" w:lineRule="exact"/>
        <w:ind w:firstLine="548" w:firstLineChars="200"/>
        <w:rPr>
          <w:rFonts w:ascii="仿宋_GB2312" w:eastAsia="仿宋_GB2312"/>
          <w:bCs/>
          <w:color w:val="000000" w:themeColor="text1"/>
          <w:spacing w:val="-3"/>
          <w:sz w:val="28"/>
          <w:szCs w:val="28"/>
        </w:rPr>
      </w:pPr>
      <w:r>
        <w:rPr>
          <w:rFonts w:hint="eastAsia" w:ascii="仿宋_GB2312" w:eastAsia="仿宋_GB2312"/>
          <w:bCs/>
          <w:color w:val="000000" w:themeColor="text1"/>
          <w:spacing w:val="-3"/>
          <w:sz w:val="28"/>
          <w:szCs w:val="28"/>
        </w:rPr>
        <w:t>6.《中华人民共和国城镇国有土地使用权出让和转让暂行条例》（2020年11月29日修订）；</w:t>
      </w:r>
    </w:p>
    <w:p>
      <w:pPr>
        <w:adjustRightInd w:val="0"/>
        <w:snapToGrid w:val="0"/>
        <w:spacing w:line="560" w:lineRule="exact"/>
        <w:ind w:firstLine="548" w:firstLineChars="200"/>
        <w:rPr>
          <w:rFonts w:ascii="仿宋_GB2312" w:eastAsia="仿宋_GB2312"/>
          <w:bCs/>
          <w:color w:val="000000" w:themeColor="text1"/>
          <w:spacing w:val="-3"/>
          <w:sz w:val="28"/>
          <w:szCs w:val="28"/>
        </w:rPr>
      </w:pPr>
      <w:r>
        <w:rPr>
          <w:rFonts w:hint="eastAsia" w:ascii="仿宋_GB2312" w:eastAsia="仿宋_GB2312"/>
          <w:bCs/>
          <w:color w:val="000000" w:themeColor="text1"/>
          <w:spacing w:val="-3"/>
          <w:sz w:val="28"/>
          <w:szCs w:val="28"/>
        </w:rPr>
        <w:t>7.《最高人民法院关于人民法院委托评估、拍卖工作的若干规定</w:t>
      </w:r>
      <w:r>
        <w:rPr>
          <w:rFonts w:ascii="仿宋_GB2312" w:eastAsia="仿宋_GB2312"/>
          <w:bCs/>
          <w:color w:val="000000" w:themeColor="text1"/>
          <w:spacing w:val="-3"/>
          <w:sz w:val="28"/>
          <w:szCs w:val="28"/>
        </w:rPr>
        <w:t xml:space="preserve"> 》（</w:t>
      </w:r>
      <w:r>
        <w:rPr>
          <w:rFonts w:hint="eastAsia" w:ascii="仿宋_GB2312" w:eastAsia="仿宋_GB2312"/>
          <w:bCs/>
          <w:color w:val="000000" w:themeColor="text1"/>
          <w:spacing w:val="-3"/>
          <w:sz w:val="28"/>
          <w:szCs w:val="28"/>
        </w:rPr>
        <w:t>法释〔2011〕21号</w:t>
      </w:r>
      <w:r>
        <w:rPr>
          <w:rFonts w:ascii="仿宋_GB2312" w:eastAsia="仿宋_GB2312"/>
          <w:bCs/>
          <w:color w:val="000000" w:themeColor="text1"/>
          <w:spacing w:val="-3"/>
          <w:sz w:val="28"/>
          <w:szCs w:val="28"/>
        </w:rPr>
        <w:t xml:space="preserve"> ）</w:t>
      </w:r>
      <w:r>
        <w:rPr>
          <w:rFonts w:hint="eastAsia" w:ascii="仿宋_GB2312" w:eastAsia="仿宋_GB2312"/>
          <w:bCs/>
          <w:color w:val="000000" w:themeColor="text1"/>
          <w:spacing w:val="-3"/>
          <w:sz w:val="28"/>
          <w:szCs w:val="28"/>
        </w:rPr>
        <w:t>；</w:t>
      </w:r>
    </w:p>
    <w:p>
      <w:pPr>
        <w:snapToGrid w:val="0"/>
        <w:spacing w:line="560" w:lineRule="exact"/>
        <w:ind w:firstLine="548" w:firstLineChars="200"/>
        <w:rPr>
          <w:rFonts w:ascii="仿宋_GB2312" w:eastAsia="仿宋_GB2312"/>
          <w:bCs/>
          <w:color w:val="000000" w:themeColor="text1"/>
          <w:spacing w:val="-3"/>
          <w:sz w:val="28"/>
          <w:szCs w:val="28"/>
        </w:rPr>
      </w:pPr>
      <w:r>
        <w:rPr>
          <w:rFonts w:hint="eastAsia" w:ascii="仿宋_GB2312" w:eastAsia="仿宋_GB2312"/>
          <w:bCs/>
          <w:color w:val="000000" w:themeColor="text1"/>
          <w:spacing w:val="-3"/>
          <w:sz w:val="28"/>
          <w:szCs w:val="28"/>
        </w:rPr>
        <w:t>8.《最高人民法院关于人民法院确定财产处置参考价若干问题的规定》（法释[2018]15号]）；</w:t>
      </w:r>
    </w:p>
    <w:p>
      <w:pPr>
        <w:snapToGrid w:val="0"/>
        <w:spacing w:line="560" w:lineRule="exact"/>
        <w:ind w:firstLine="548" w:firstLineChars="200"/>
        <w:rPr>
          <w:rFonts w:hint="eastAsia" w:ascii="仿宋_GB2312" w:eastAsia="仿宋_GB2312"/>
          <w:bCs/>
          <w:color w:val="000000" w:themeColor="text1"/>
          <w:spacing w:val="-3"/>
          <w:sz w:val="28"/>
          <w:szCs w:val="28"/>
          <w:lang w:eastAsia="zh-CN"/>
        </w:rPr>
      </w:pPr>
      <w:r>
        <w:rPr>
          <w:rFonts w:hint="eastAsia" w:ascii="仿宋_GB2312" w:eastAsia="仿宋_GB2312"/>
          <w:bCs/>
          <w:color w:val="000000" w:themeColor="text1"/>
          <w:spacing w:val="-3"/>
          <w:sz w:val="28"/>
          <w:szCs w:val="28"/>
        </w:rPr>
        <w:t>9.《人民法院委托评估工作规范》（法办[2018]273号）</w:t>
      </w:r>
      <w:r>
        <w:rPr>
          <w:rFonts w:hint="eastAsia" w:ascii="仿宋_GB2312" w:eastAsia="仿宋_GB2312"/>
          <w:bCs/>
          <w:color w:val="000000" w:themeColor="text1"/>
          <w:spacing w:val="-3"/>
          <w:sz w:val="28"/>
          <w:szCs w:val="28"/>
          <w:lang w:eastAsia="zh-CN"/>
        </w:rPr>
        <w:t>；</w:t>
      </w:r>
    </w:p>
    <w:p>
      <w:pPr>
        <w:snapToGrid w:val="0"/>
        <w:spacing w:line="560" w:lineRule="exact"/>
        <w:ind w:firstLine="548" w:firstLineChars="200"/>
        <w:rPr>
          <w:rFonts w:ascii="仿宋_GB2312" w:eastAsia="仿宋_GB2312"/>
          <w:bCs/>
          <w:color w:val="000000" w:themeColor="text1"/>
          <w:spacing w:val="-3"/>
          <w:sz w:val="28"/>
          <w:szCs w:val="28"/>
        </w:rPr>
      </w:pPr>
      <w:r>
        <w:rPr>
          <w:rFonts w:hint="eastAsia" w:ascii="仿宋_GB2312" w:eastAsia="仿宋_GB2312"/>
          <w:bCs/>
          <w:color w:val="000000" w:themeColor="text1"/>
          <w:spacing w:val="-3"/>
          <w:sz w:val="28"/>
          <w:szCs w:val="28"/>
          <w:lang w:val="en-US" w:eastAsia="zh-CN"/>
        </w:rPr>
        <w:t>10.《涉执房地产处置司法评估指导意见（试行）》（中房学</w:t>
      </w:r>
      <w:r>
        <w:rPr>
          <w:rFonts w:hint="eastAsia" w:ascii="仿宋_GB2312" w:eastAsia="仿宋_GB2312"/>
          <w:bCs/>
          <w:color w:val="000000" w:themeColor="text1"/>
          <w:spacing w:val="-3"/>
          <w:sz w:val="28"/>
          <w:szCs w:val="28"/>
        </w:rPr>
        <w:t>[20</w:t>
      </w:r>
      <w:r>
        <w:rPr>
          <w:rFonts w:hint="eastAsia" w:ascii="仿宋_GB2312" w:eastAsia="仿宋_GB2312"/>
          <w:bCs/>
          <w:color w:val="000000" w:themeColor="text1"/>
          <w:spacing w:val="-3"/>
          <w:sz w:val="28"/>
          <w:szCs w:val="28"/>
          <w:lang w:val="en-US" w:eastAsia="zh-CN"/>
        </w:rPr>
        <w:t>21</w:t>
      </w:r>
      <w:r>
        <w:rPr>
          <w:rFonts w:hint="eastAsia" w:ascii="仿宋_GB2312" w:eastAsia="仿宋_GB2312"/>
          <w:bCs/>
          <w:color w:val="000000" w:themeColor="text1"/>
          <w:spacing w:val="-3"/>
          <w:sz w:val="28"/>
          <w:szCs w:val="28"/>
        </w:rPr>
        <w:t>]</w:t>
      </w:r>
      <w:r>
        <w:rPr>
          <w:rFonts w:hint="eastAsia" w:ascii="仿宋_GB2312" w:eastAsia="仿宋_GB2312"/>
          <w:bCs/>
          <w:color w:val="000000" w:themeColor="text1"/>
          <w:spacing w:val="-3"/>
          <w:sz w:val="28"/>
          <w:szCs w:val="28"/>
          <w:lang w:val="en-US" w:eastAsia="zh-CN"/>
        </w:rPr>
        <w:t>37号）</w:t>
      </w:r>
      <w:r>
        <w:rPr>
          <w:rFonts w:hint="eastAsia" w:ascii="仿宋_GB2312" w:eastAsia="仿宋_GB2312"/>
          <w:bCs/>
          <w:color w:val="000000" w:themeColor="text1"/>
          <w:spacing w:val="-3"/>
          <w:sz w:val="28"/>
          <w:szCs w:val="28"/>
        </w:rPr>
        <w:t>。</w:t>
      </w:r>
    </w:p>
    <w:p>
      <w:pPr>
        <w:snapToGrid w:val="0"/>
        <w:spacing w:line="560" w:lineRule="exact"/>
        <w:ind w:firstLine="560" w:firstLineChars="200"/>
        <w:rPr>
          <w:rFonts w:ascii="仿宋_GB2312" w:hAnsi="宋体" w:eastAsia="仿宋_GB2312"/>
          <w:caps/>
          <w:color w:val="000000" w:themeColor="text1"/>
          <w:sz w:val="28"/>
        </w:rPr>
      </w:pPr>
      <w:r>
        <w:rPr>
          <w:rFonts w:hint="eastAsia" w:ascii="仿宋_GB2312" w:hAnsi="宋体" w:eastAsia="仿宋_GB2312"/>
          <w:caps/>
          <w:color w:val="000000" w:themeColor="text1"/>
          <w:sz w:val="28"/>
        </w:rPr>
        <w:t>（二）技术规范及约束性文件：</w:t>
      </w:r>
    </w:p>
    <w:p>
      <w:pPr>
        <w:snapToGrid w:val="0"/>
        <w:spacing w:line="560" w:lineRule="exact"/>
        <w:ind w:firstLine="560" w:firstLineChars="200"/>
        <w:rPr>
          <w:rFonts w:ascii="仿宋_GB2312" w:hAnsi="宋体" w:eastAsia="仿宋_GB2312"/>
          <w:caps/>
          <w:color w:val="000000" w:themeColor="text1"/>
          <w:sz w:val="28"/>
        </w:rPr>
      </w:pPr>
      <w:r>
        <w:rPr>
          <w:rFonts w:hint="eastAsia" w:ascii="仿宋_GB2312" w:hAnsi="宋体" w:eastAsia="仿宋_GB2312"/>
          <w:caps/>
          <w:color w:val="000000" w:themeColor="text1"/>
          <w:sz w:val="28"/>
        </w:rPr>
        <w:t>1.中华人民共和国国家标准（GB/T50291-2015）《房地产估价规范》；</w:t>
      </w:r>
    </w:p>
    <w:p>
      <w:pPr>
        <w:snapToGrid w:val="0"/>
        <w:spacing w:line="560" w:lineRule="exact"/>
        <w:ind w:firstLine="560" w:firstLineChars="200"/>
        <w:rPr>
          <w:rFonts w:ascii="仿宋_GB2312" w:hAnsi="宋体" w:eastAsia="仿宋_GB2312"/>
          <w:caps/>
          <w:color w:val="000000" w:themeColor="text1"/>
          <w:sz w:val="28"/>
        </w:rPr>
      </w:pPr>
      <w:r>
        <w:rPr>
          <w:rFonts w:hint="eastAsia" w:ascii="仿宋_GB2312" w:hAnsi="宋体" w:eastAsia="仿宋_GB2312"/>
          <w:caps/>
          <w:color w:val="000000" w:themeColor="text1"/>
          <w:sz w:val="28"/>
        </w:rPr>
        <w:t>2.中华人民共和国国家标准（GB/T50899-2013）《房地产估价基本术语标准》。</w:t>
      </w:r>
    </w:p>
    <w:p>
      <w:pPr>
        <w:snapToGrid w:val="0"/>
        <w:spacing w:line="560" w:lineRule="exact"/>
        <w:ind w:firstLine="560" w:firstLineChars="200"/>
        <w:rPr>
          <w:rFonts w:ascii="仿宋_GB2312" w:hAnsi="宋体" w:eastAsia="仿宋_GB2312"/>
          <w:caps/>
          <w:color w:val="000000" w:themeColor="text1"/>
          <w:sz w:val="28"/>
        </w:rPr>
      </w:pPr>
      <w:r>
        <w:rPr>
          <w:rFonts w:hint="eastAsia" w:ascii="仿宋_GB2312" w:hAnsi="宋体" w:eastAsia="仿宋_GB2312"/>
          <w:caps/>
          <w:color w:val="000000" w:themeColor="text1"/>
          <w:sz w:val="28"/>
        </w:rPr>
        <w:t>（三）估价委托人提供的资料</w:t>
      </w:r>
    </w:p>
    <w:p>
      <w:pPr>
        <w:snapToGrid w:val="0"/>
        <w:spacing w:line="560" w:lineRule="exact"/>
        <w:ind w:firstLine="560" w:firstLineChars="200"/>
        <w:rPr>
          <w:rFonts w:hint="eastAsia" w:ascii="仿宋_GB2312" w:hAnsi="宋体" w:eastAsia="仿宋_GB2312"/>
          <w:caps/>
          <w:color w:val="000000" w:themeColor="text1"/>
          <w:sz w:val="28"/>
        </w:rPr>
      </w:pPr>
      <w:r>
        <w:rPr>
          <w:rFonts w:hint="eastAsia" w:ascii="仿宋_GB2312" w:hAnsi="宋体" w:eastAsia="仿宋_GB2312"/>
          <w:caps/>
          <w:color w:val="000000" w:themeColor="text1"/>
          <w:sz w:val="28"/>
        </w:rPr>
        <w:t>1.《</w:t>
      </w:r>
      <w:r>
        <w:rPr>
          <w:rFonts w:hint="eastAsia" w:ascii="仿宋_GB2312" w:hAnsi="宋体" w:eastAsia="仿宋_GB2312"/>
          <w:caps/>
          <w:color w:val="000000" w:themeColor="text1"/>
          <w:sz w:val="28"/>
          <w:lang w:eastAsia="zh-CN"/>
        </w:rPr>
        <w:t>长安区人民法院司法鉴定委托书</w:t>
      </w:r>
      <w:r>
        <w:rPr>
          <w:rFonts w:hint="eastAsia" w:ascii="仿宋_GB2312" w:hAnsi="宋体" w:eastAsia="仿宋_GB2312"/>
          <w:caps/>
          <w:color w:val="000000" w:themeColor="text1"/>
          <w:sz w:val="28"/>
        </w:rPr>
        <w:t>》复印件；</w:t>
      </w:r>
    </w:p>
    <w:p>
      <w:pPr>
        <w:snapToGrid w:val="0"/>
        <w:spacing w:line="560" w:lineRule="exact"/>
        <w:ind w:firstLine="560" w:firstLineChars="200"/>
        <w:rPr>
          <w:rFonts w:hint="eastAsia" w:ascii="仿宋_GB2312" w:hAnsi="宋体" w:eastAsia="仿宋_GB2312"/>
          <w:caps/>
          <w:color w:val="000000" w:themeColor="text1"/>
          <w:sz w:val="28"/>
          <w:lang w:eastAsia="zh-CN"/>
        </w:rPr>
      </w:pPr>
      <w:r>
        <w:rPr>
          <w:rFonts w:hint="eastAsia" w:ascii="仿宋_GB2312" w:hAnsi="宋体" w:eastAsia="仿宋_GB2312"/>
          <w:caps/>
          <w:color w:val="000000" w:themeColor="text1"/>
          <w:sz w:val="28"/>
          <w:lang w:val="en-US" w:eastAsia="zh-CN"/>
        </w:rPr>
        <w:t>2.</w:t>
      </w:r>
      <w:r>
        <w:rPr>
          <w:rFonts w:hint="eastAsia" w:ascii="仿宋_GB2312" w:hAnsi="宋体" w:eastAsia="仿宋_GB2312"/>
          <w:caps/>
          <w:color w:val="000000" w:themeColor="text1"/>
          <w:sz w:val="28"/>
        </w:rPr>
        <w:t>《</w:t>
      </w:r>
      <w:r>
        <w:rPr>
          <w:rFonts w:hint="eastAsia" w:ascii="仿宋_GB2312" w:hAnsi="宋体" w:eastAsia="仿宋_GB2312"/>
          <w:caps/>
          <w:color w:val="000000" w:themeColor="text1"/>
          <w:sz w:val="28"/>
          <w:lang w:eastAsia="zh-CN"/>
        </w:rPr>
        <w:t>河北省石家庄市长安区人民法院协助执行通知书</w:t>
      </w:r>
      <w:r>
        <w:rPr>
          <w:rFonts w:hint="eastAsia" w:ascii="仿宋_GB2312" w:hAnsi="宋体" w:eastAsia="仿宋_GB2312"/>
          <w:caps/>
          <w:color w:val="000000" w:themeColor="text1"/>
          <w:sz w:val="28"/>
        </w:rPr>
        <w:t>》复印件</w:t>
      </w:r>
      <w:r>
        <w:rPr>
          <w:rFonts w:hint="eastAsia" w:ascii="仿宋_GB2312" w:hAnsi="宋体" w:eastAsia="仿宋_GB2312"/>
          <w:caps/>
          <w:color w:val="000000" w:themeColor="text1"/>
          <w:sz w:val="28"/>
          <w:lang w:eastAsia="zh-CN"/>
        </w:rPr>
        <w:t>；</w:t>
      </w:r>
    </w:p>
    <w:p>
      <w:pPr>
        <w:snapToGrid w:val="0"/>
        <w:spacing w:line="560" w:lineRule="exact"/>
        <w:ind w:firstLine="560" w:firstLineChars="200"/>
        <w:rPr>
          <w:rFonts w:ascii="仿宋_GB2312" w:hAnsi="宋体" w:eastAsia="仿宋_GB2312"/>
          <w:caps/>
          <w:color w:val="000000" w:themeColor="text1"/>
          <w:sz w:val="28"/>
          <w:szCs w:val="28"/>
        </w:rPr>
      </w:pPr>
      <w:r>
        <w:rPr>
          <w:rFonts w:hint="eastAsia" w:ascii="仿宋_GB2312" w:hAnsi="宋体" w:eastAsia="仿宋_GB2312"/>
          <w:caps/>
          <w:color w:val="000000" w:themeColor="text1"/>
          <w:sz w:val="28"/>
          <w:szCs w:val="28"/>
          <w:lang w:val="en-US" w:eastAsia="zh-CN"/>
        </w:rPr>
        <w:t>3</w:t>
      </w:r>
      <w:r>
        <w:rPr>
          <w:rFonts w:hint="eastAsia" w:ascii="仿宋_GB2312" w:hAnsi="宋体" w:eastAsia="仿宋_GB2312"/>
          <w:caps/>
          <w:color w:val="000000" w:themeColor="text1"/>
          <w:sz w:val="28"/>
          <w:szCs w:val="28"/>
        </w:rPr>
        <w:t>.</w:t>
      </w:r>
      <w:r>
        <w:rPr>
          <w:rFonts w:hint="eastAsia" w:ascii="仿宋_GB2312" w:hAnsi="宋体" w:eastAsia="仿宋_GB2312"/>
          <w:caps/>
          <w:color w:val="000000" w:themeColor="text1"/>
          <w:sz w:val="28"/>
          <w:szCs w:val="28"/>
          <w:lang w:eastAsia="zh-CN"/>
        </w:rPr>
        <w:t>《石家庄市不动产登记资料查询结果》</w:t>
      </w:r>
      <w:r>
        <w:rPr>
          <w:rFonts w:hint="eastAsia" w:ascii="仿宋_GB2312" w:hAnsi="宋体" w:eastAsia="仿宋_GB2312"/>
          <w:caps/>
          <w:color w:val="000000" w:themeColor="text1"/>
          <w:sz w:val="28"/>
          <w:szCs w:val="28"/>
        </w:rPr>
        <w:t>复印件；</w:t>
      </w:r>
    </w:p>
    <w:p>
      <w:pPr>
        <w:snapToGrid w:val="0"/>
        <w:spacing w:line="560" w:lineRule="exact"/>
        <w:ind w:firstLine="560" w:firstLineChars="200"/>
        <w:rPr>
          <w:rFonts w:ascii="仿宋_GB2312" w:hAnsi="宋体" w:eastAsia="仿宋_GB2312"/>
          <w:caps/>
          <w:color w:val="000000" w:themeColor="text1"/>
          <w:sz w:val="28"/>
          <w:szCs w:val="28"/>
        </w:rPr>
      </w:pPr>
      <w:r>
        <w:rPr>
          <w:rFonts w:hint="eastAsia" w:ascii="仿宋_GB2312" w:hAnsi="宋体" w:eastAsia="仿宋_GB2312"/>
          <w:caps/>
          <w:color w:val="000000" w:themeColor="text1"/>
          <w:sz w:val="28"/>
          <w:szCs w:val="28"/>
          <w:lang w:val="en-US" w:eastAsia="zh-CN"/>
        </w:rPr>
        <w:t>4</w:t>
      </w:r>
      <w:r>
        <w:rPr>
          <w:rFonts w:hint="eastAsia" w:ascii="仿宋_GB2312" w:hAnsi="宋体" w:eastAsia="仿宋_GB2312"/>
          <w:caps/>
          <w:color w:val="000000" w:themeColor="text1"/>
          <w:sz w:val="28"/>
          <w:szCs w:val="28"/>
        </w:rPr>
        <w:t>.估价委托人提供的其他资料。</w:t>
      </w:r>
    </w:p>
    <w:p>
      <w:pPr>
        <w:snapToGrid w:val="0"/>
        <w:spacing w:line="560" w:lineRule="exact"/>
        <w:ind w:firstLine="560" w:firstLineChars="200"/>
        <w:rPr>
          <w:rFonts w:ascii="仿宋_GB2312" w:hAnsi="宋体" w:eastAsia="仿宋_GB2312"/>
          <w:caps/>
          <w:color w:val="000000" w:themeColor="text1"/>
          <w:sz w:val="28"/>
        </w:rPr>
      </w:pPr>
      <w:r>
        <w:rPr>
          <w:rFonts w:hint="eastAsia" w:ascii="仿宋_GB2312" w:hAnsi="宋体" w:eastAsia="仿宋_GB2312"/>
          <w:caps/>
          <w:color w:val="000000" w:themeColor="text1"/>
          <w:sz w:val="28"/>
        </w:rPr>
        <w:t>（四）房地产估价机构掌握和搜集的估价所需资料</w:t>
      </w:r>
    </w:p>
    <w:p>
      <w:pPr>
        <w:snapToGrid w:val="0"/>
        <w:spacing w:line="560" w:lineRule="exact"/>
        <w:ind w:firstLine="560" w:firstLineChars="200"/>
        <w:rPr>
          <w:rFonts w:ascii="仿宋_GB2312" w:eastAsia="仿宋_GB2312"/>
          <w:bCs/>
          <w:color w:val="000000" w:themeColor="text1"/>
          <w:sz w:val="28"/>
          <w:szCs w:val="28"/>
        </w:rPr>
      </w:pPr>
      <w:r>
        <w:rPr>
          <w:rFonts w:hint="eastAsia" w:ascii="仿宋_GB2312" w:eastAsia="仿宋_GB2312"/>
          <w:bCs/>
          <w:color w:val="000000" w:themeColor="text1"/>
          <w:sz w:val="28"/>
          <w:szCs w:val="28"/>
        </w:rPr>
        <w:t>1.房地产估价机构掌握的房地产市场资料；</w:t>
      </w:r>
      <w:r>
        <w:rPr>
          <w:rFonts w:ascii="仿宋_GB2312" w:eastAsia="仿宋_GB2312"/>
          <w:bCs/>
          <w:color w:val="000000" w:themeColor="text1"/>
          <w:sz w:val="28"/>
          <w:szCs w:val="28"/>
        </w:rPr>
        <w:t xml:space="preserve"> </w:t>
      </w:r>
    </w:p>
    <w:p>
      <w:pPr>
        <w:snapToGrid w:val="0"/>
        <w:spacing w:line="560" w:lineRule="exact"/>
        <w:ind w:firstLine="560" w:firstLineChars="200"/>
        <w:rPr>
          <w:rFonts w:ascii="仿宋_GB2312" w:eastAsia="仿宋_GB2312"/>
          <w:bCs/>
          <w:color w:val="000000" w:themeColor="text1"/>
          <w:sz w:val="28"/>
          <w:szCs w:val="28"/>
        </w:rPr>
      </w:pPr>
      <w:r>
        <w:rPr>
          <w:rFonts w:hint="eastAsia" w:ascii="仿宋_GB2312" w:eastAsia="仿宋_GB2312"/>
          <w:bCs/>
          <w:color w:val="000000" w:themeColor="text1"/>
          <w:sz w:val="28"/>
          <w:szCs w:val="28"/>
        </w:rPr>
        <w:t>2.实地查勘记录及影像资料；</w:t>
      </w:r>
    </w:p>
    <w:p>
      <w:pPr>
        <w:snapToGrid w:val="0"/>
        <w:spacing w:line="560" w:lineRule="exact"/>
        <w:ind w:firstLine="560" w:firstLineChars="200"/>
        <w:rPr>
          <w:rFonts w:ascii="仿宋_GB2312" w:hAnsi="宋体" w:eastAsia="仿宋_GB2312"/>
          <w:caps/>
          <w:color w:val="000000" w:themeColor="text1"/>
          <w:sz w:val="28"/>
        </w:rPr>
      </w:pPr>
      <w:r>
        <w:rPr>
          <w:rFonts w:hint="eastAsia" w:ascii="仿宋_GB2312" w:hAnsi="宋体" w:eastAsia="仿宋_GB2312"/>
          <w:caps/>
          <w:color w:val="000000" w:themeColor="text1"/>
          <w:sz w:val="28"/>
        </w:rPr>
        <w:t>3.市场调查获取的资料。</w:t>
      </w:r>
    </w:p>
    <w:p>
      <w:pPr>
        <w:pStyle w:val="3"/>
        <w:snapToGrid w:val="0"/>
        <w:spacing w:before="0" w:after="0" w:line="560" w:lineRule="exact"/>
        <w:ind w:firstLine="562" w:firstLineChars="200"/>
        <w:rPr>
          <w:rFonts w:ascii="仿宋_GB2312" w:hAnsi="Times New Roman" w:eastAsia="仿宋_GB2312"/>
          <w:color w:val="000000" w:themeColor="text1"/>
          <w:sz w:val="28"/>
          <w:szCs w:val="28"/>
        </w:rPr>
      </w:pPr>
      <w:bookmarkStart w:id="116" w:name="_Toc21175"/>
      <w:bookmarkStart w:id="117" w:name="_Toc3631"/>
      <w:bookmarkStart w:id="118" w:name="_Toc18265"/>
      <w:r>
        <w:rPr>
          <w:rFonts w:hint="eastAsia" w:ascii="仿宋_GB2312" w:hAnsi="Times New Roman" w:eastAsia="仿宋_GB2312"/>
          <w:color w:val="000000" w:themeColor="text1"/>
          <w:sz w:val="28"/>
          <w:szCs w:val="28"/>
        </w:rPr>
        <w:t>九、估价方法</w:t>
      </w:r>
      <w:bookmarkEnd w:id="113"/>
      <w:bookmarkEnd w:id="114"/>
      <w:bookmarkEnd w:id="115"/>
      <w:bookmarkEnd w:id="116"/>
      <w:bookmarkEnd w:id="117"/>
      <w:bookmarkEnd w:id="118"/>
    </w:p>
    <w:p>
      <w:pPr>
        <w:spacing w:line="560" w:lineRule="exact"/>
        <w:ind w:firstLine="560" w:firstLineChars="200"/>
        <w:rPr>
          <w:rFonts w:ascii="仿宋_GB2312" w:hAnsi="仿宋" w:eastAsia="仿宋_GB2312"/>
          <w:color w:val="000000" w:themeColor="text1"/>
          <w:sz w:val="28"/>
          <w:szCs w:val="28"/>
        </w:rPr>
      </w:pPr>
      <w:bookmarkStart w:id="119" w:name="_Toc432411979"/>
      <w:bookmarkStart w:id="120" w:name="_Toc382493629"/>
      <w:bookmarkStart w:id="121" w:name="_Toc155258972"/>
      <w:r>
        <w:rPr>
          <w:rFonts w:hint="eastAsia" w:ascii="仿宋_GB2312" w:hAnsi="仿宋" w:eastAsia="仿宋_GB2312"/>
          <w:color w:val="000000" w:themeColor="text1"/>
          <w:sz w:val="28"/>
          <w:szCs w:val="28"/>
        </w:rPr>
        <w:t>根据《房地产估价规范》，主要的估价方法有比较法、收益法、成本法、假设开发法等。比较法适用于同类房地产交易案例较多的房地产估价；收益法适用于有收益或潜在收益性的房地产估价；可作为独立的开发建设项目进行重新开发建设的，应选用成本法；假设开发法适用于具有开发或再开发潜力的房地产估价。估价方法的选择应根据当地房地产市场发育情况并结合估价对象的具体特点及估价目的等，选择适宜的估价方法。</w:t>
      </w:r>
    </w:p>
    <w:p>
      <w:pPr>
        <w:spacing w:line="560" w:lineRule="exact"/>
        <w:ind w:firstLine="560" w:firstLineChars="200"/>
        <w:rPr>
          <w:rFonts w:ascii="仿宋_GB2312" w:hAnsi="仿宋" w:eastAsia="仿宋_GB2312"/>
          <w:color w:val="000000" w:themeColor="text1"/>
          <w:sz w:val="28"/>
          <w:szCs w:val="28"/>
        </w:rPr>
      </w:pPr>
      <w:r>
        <w:rPr>
          <w:rFonts w:hint="eastAsia" w:ascii="仿宋_GB2312" w:hAnsi="仿宋" w:eastAsia="仿宋_GB2312"/>
          <w:color w:val="000000" w:themeColor="text1"/>
          <w:sz w:val="28"/>
          <w:szCs w:val="28"/>
        </w:rPr>
        <w:t>1.选用的估价方法及理由</w:t>
      </w:r>
    </w:p>
    <w:p>
      <w:pPr>
        <w:pStyle w:val="34"/>
        <w:snapToGrid w:val="0"/>
        <w:spacing w:line="560" w:lineRule="exact"/>
        <w:ind w:firstLine="560" w:firstLineChars="200"/>
        <w:jc w:val="both"/>
        <w:rPr>
          <w:rFonts w:ascii="仿宋_GB2312" w:hAnsi="仿宋" w:eastAsia="仿宋_GB2312"/>
          <w:color w:val="000000" w:themeColor="text1"/>
          <w:spacing w:val="0"/>
          <w:kern w:val="2"/>
          <w:szCs w:val="28"/>
        </w:rPr>
      </w:pPr>
      <w:r>
        <w:rPr>
          <w:rFonts w:hint="eastAsia" w:ascii="仿宋_GB2312" w:hAnsi="仿宋" w:eastAsia="仿宋_GB2312"/>
          <w:color w:val="000000" w:themeColor="text1"/>
          <w:spacing w:val="0"/>
          <w:kern w:val="2"/>
          <w:szCs w:val="28"/>
        </w:rPr>
        <w:t>（1）选用比较法的理由</w:t>
      </w:r>
    </w:p>
    <w:p>
      <w:pPr>
        <w:pStyle w:val="34"/>
        <w:snapToGrid w:val="0"/>
        <w:spacing w:line="560" w:lineRule="exact"/>
        <w:ind w:firstLine="560" w:firstLineChars="200"/>
        <w:jc w:val="both"/>
        <w:rPr>
          <w:rFonts w:ascii="仿宋_GB2312" w:hAnsi="仿宋" w:eastAsia="仿宋_GB2312"/>
          <w:color w:val="000000" w:themeColor="text1"/>
          <w:spacing w:val="0"/>
          <w:kern w:val="2"/>
          <w:szCs w:val="28"/>
        </w:rPr>
      </w:pPr>
      <w:r>
        <w:rPr>
          <w:rFonts w:hint="eastAsia" w:ascii="仿宋_GB2312" w:hAnsi="仿宋" w:eastAsia="仿宋_GB2312"/>
          <w:color w:val="000000" w:themeColor="text1"/>
          <w:spacing w:val="0"/>
          <w:kern w:val="2"/>
          <w:szCs w:val="28"/>
        </w:rPr>
        <w:t>估价对象是交易性活跃的成套住宅房地产，由于估价对象同一供求圈内有较多的类似房地产买卖交易实例，故选用比较法；</w:t>
      </w:r>
    </w:p>
    <w:p>
      <w:pPr>
        <w:pStyle w:val="34"/>
        <w:snapToGrid w:val="0"/>
        <w:spacing w:line="560" w:lineRule="exact"/>
        <w:ind w:firstLine="560" w:firstLineChars="200"/>
        <w:jc w:val="both"/>
        <w:rPr>
          <w:rFonts w:ascii="仿宋_GB2312" w:hAnsi="仿宋" w:eastAsia="仿宋_GB2312"/>
          <w:color w:val="000000" w:themeColor="text1"/>
          <w:spacing w:val="0"/>
          <w:kern w:val="2"/>
          <w:szCs w:val="28"/>
        </w:rPr>
      </w:pPr>
      <w:r>
        <w:rPr>
          <w:rFonts w:hint="eastAsia" w:ascii="仿宋_GB2312" w:hAnsi="仿宋" w:eastAsia="仿宋_GB2312"/>
          <w:color w:val="000000" w:themeColor="text1"/>
          <w:spacing w:val="0"/>
          <w:kern w:val="2"/>
          <w:szCs w:val="28"/>
        </w:rPr>
        <w:t>（2）选用收益法的理由</w:t>
      </w:r>
    </w:p>
    <w:p>
      <w:pPr>
        <w:pStyle w:val="34"/>
        <w:snapToGrid w:val="0"/>
        <w:spacing w:line="560" w:lineRule="exact"/>
        <w:ind w:firstLine="560" w:firstLineChars="200"/>
        <w:jc w:val="both"/>
        <w:rPr>
          <w:rFonts w:ascii="仿宋_GB2312" w:hAnsi="仿宋" w:eastAsia="仿宋_GB2312"/>
          <w:color w:val="000000" w:themeColor="text1"/>
          <w:spacing w:val="0"/>
          <w:kern w:val="2"/>
          <w:szCs w:val="28"/>
        </w:rPr>
      </w:pPr>
      <w:r>
        <w:rPr>
          <w:rFonts w:hint="eastAsia" w:ascii="仿宋_GB2312" w:hAnsi="仿宋" w:eastAsia="仿宋_GB2312"/>
          <w:color w:val="000000" w:themeColor="text1"/>
          <w:spacing w:val="0"/>
          <w:kern w:val="2"/>
          <w:szCs w:val="28"/>
        </w:rPr>
        <w:t>估价对象为收益性房地产，且区域内有与估价对象类似房地产租赁可比实例，故选用收益法。</w:t>
      </w:r>
    </w:p>
    <w:p>
      <w:pPr>
        <w:spacing w:line="560" w:lineRule="exact"/>
        <w:ind w:firstLine="560" w:firstLineChars="200"/>
        <w:rPr>
          <w:rFonts w:ascii="仿宋_GB2312" w:hAnsi="仿宋" w:eastAsia="仿宋_GB2312"/>
          <w:color w:val="000000" w:themeColor="text1"/>
          <w:sz w:val="28"/>
          <w:szCs w:val="28"/>
        </w:rPr>
      </w:pPr>
      <w:r>
        <w:rPr>
          <w:rFonts w:hint="eastAsia" w:ascii="仿宋_GB2312" w:hAnsi="仿宋" w:eastAsia="仿宋_GB2312"/>
          <w:color w:val="000000" w:themeColor="text1"/>
          <w:sz w:val="28"/>
          <w:szCs w:val="28"/>
        </w:rPr>
        <w:t>2.不选用的估价方法及理由</w:t>
      </w:r>
    </w:p>
    <w:p>
      <w:pPr>
        <w:spacing w:line="560" w:lineRule="exact"/>
        <w:ind w:firstLine="560" w:firstLineChars="200"/>
        <w:rPr>
          <w:rFonts w:ascii="仿宋_GB2312" w:hAnsi="仿宋" w:eastAsia="仿宋_GB2312"/>
          <w:color w:val="000000" w:themeColor="text1"/>
          <w:sz w:val="28"/>
          <w:szCs w:val="28"/>
        </w:rPr>
      </w:pPr>
      <w:r>
        <w:rPr>
          <w:rFonts w:hint="eastAsia" w:ascii="仿宋_GB2312" w:hAnsi="仿宋" w:eastAsia="仿宋_GB2312"/>
          <w:color w:val="000000" w:themeColor="text1"/>
          <w:sz w:val="28"/>
          <w:szCs w:val="28"/>
        </w:rPr>
        <w:t>（1）不选用成本法的理由</w:t>
      </w:r>
    </w:p>
    <w:p>
      <w:pPr>
        <w:spacing w:line="560" w:lineRule="exact"/>
        <w:ind w:firstLine="560" w:firstLineChars="200"/>
        <w:rPr>
          <w:rFonts w:ascii="仿宋_GB2312" w:hAnsi="仿宋" w:eastAsia="仿宋_GB2312"/>
          <w:color w:val="000000" w:themeColor="text1"/>
          <w:sz w:val="28"/>
          <w:szCs w:val="28"/>
        </w:rPr>
      </w:pPr>
      <w:r>
        <w:rPr>
          <w:rFonts w:hint="eastAsia" w:ascii="仿宋_GB2312" w:hAnsi="仿宋" w:eastAsia="仿宋_GB2312"/>
          <w:color w:val="000000" w:themeColor="text1"/>
          <w:sz w:val="28"/>
          <w:szCs w:val="28"/>
        </w:rPr>
        <w:t>虽然估价对象理论上适用成本法，但受到运用的客观条件限制，特别是成套住宅价格主要受市场供求关系影响，成套住宅房地产价格与开发成本的关联性弱，尤其是二手房住宅，房地产的开发成本不能反映出房地产的现时市场价格，故不选用成本法。</w:t>
      </w:r>
    </w:p>
    <w:p>
      <w:pPr>
        <w:keepNext w:val="0"/>
        <w:keepLines w:val="0"/>
        <w:pageBreakBefore w:val="0"/>
        <w:widowControl w:val="0"/>
        <w:kinsoku/>
        <w:wordWrap/>
        <w:overflowPunct/>
        <w:topLinePunct w:val="0"/>
        <w:autoSpaceDE/>
        <w:autoSpaceDN/>
        <w:bidi w:val="0"/>
        <w:spacing w:line="540" w:lineRule="exact"/>
        <w:ind w:firstLine="560" w:firstLineChars="200"/>
        <w:rPr>
          <w:rFonts w:ascii="仿宋_GB2312" w:hAnsi="仿宋" w:eastAsia="仿宋_GB2312"/>
          <w:color w:val="000000" w:themeColor="text1"/>
          <w:sz w:val="28"/>
          <w:szCs w:val="28"/>
        </w:rPr>
      </w:pPr>
      <w:r>
        <w:rPr>
          <w:rFonts w:hint="eastAsia" w:ascii="仿宋_GB2312" w:hAnsi="仿宋" w:eastAsia="仿宋_GB2312"/>
          <w:color w:val="000000" w:themeColor="text1"/>
          <w:sz w:val="28"/>
          <w:szCs w:val="28"/>
        </w:rPr>
        <w:t>（2）不选用假设开发法的理由</w:t>
      </w:r>
    </w:p>
    <w:p>
      <w:pPr>
        <w:keepNext w:val="0"/>
        <w:keepLines w:val="0"/>
        <w:pageBreakBefore w:val="0"/>
        <w:widowControl w:val="0"/>
        <w:kinsoku/>
        <w:wordWrap/>
        <w:overflowPunct/>
        <w:topLinePunct w:val="0"/>
        <w:autoSpaceDE/>
        <w:autoSpaceDN/>
        <w:bidi w:val="0"/>
        <w:spacing w:line="540" w:lineRule="exact"/>
        <w:ind w:firstLine="560" w:firstLineChars="200"/>
        <w:rPr>
          <w:rFonts w:ascii="仿宋_GB2312" w:hAnsi="仿宋" w:eastAsia="仿宋_GB2312"/>
          <w:color w:val="000000" w:themeColor="text1"/>
          <w:sz w:val="28"/>
          <w:szCs w:val="28"/>
        </w:rPr>
      </w:pPr>
      <w:r>
        <w:rPr>
          <w:rFonts w:hint="eastAsia" w:ascii="仿宋_GB2312" w:hAnsi="仿宋" w:eastAsia="仿宋_GB2312"/>
          <w:color w:val="000000" w:themeColor="text1"/>
          <w:sz w:val="28"/>
          <w:szCs w:val="28"/>
        </w:rPr>
        <w:t>由于估价对象属于建成并已使用的物业，非待开发建设房地产，不产生后续开发成本，故不选用假设开发法。</w:t>
      </w:r>
    </w:p>
    <w:p>
      <w:pPr>
        <w:keepNext w:val="0"/>
        <w:keepLines w:val="0"/>
        <w:pageBreakBefore w:val="0"/>
        <w:widowControl w:val="0"/>
        <w:kinsoku/>
        <w:wordWrap/>
        <w:overflowPunct/>
        <w:topLinePunct w:val="0"/>
        <w:autoSpaceDE/>
        <w:autoSpaceDN/>
        <w:bidi w:val="0"/>
        <w:snapToGrid w:val="0"/>
        <w:spacing w:line="540" w:lineRule="exact"/>
        <w:ind w:firstLine="560" w:firstLineChars="200"/>
        <w:jc w:val="left"/>
        <w:rPr>
          <w:rFonts w:ascii="仿宋_GB2312" w:hAnsi="仿宋" w:eastAsia="仿宋_GB2312"/>
          <w:color w:val="000000" w:themeColor="text1"/>
          <w:sz w:val="28"/>
          <w:szCs w:val="28"/>
        </w:rPr>
      </w:pPr>
      <w:r>
        <w:rPr>
          <w:rFonts w:hint="eastAsia" w:ascii="仿宋_GB2312" w:hAnsi="仿宋" w:eastAsia="仿宋_GB2312"/>
          <w:color w:val="000000" w:themeColor="text1"/>
          <w:sz w:val="28"/>
          <w:szCs w:val="28"/>
        </w:rPr>
        <w:t>3.估价技术路线</w:t>
      </w:r>
    </w:p>
    <w:p>
      <w:pPr>
        <w:keepNext w:val="0"/>
        <w:keepLines w:val="0"/>
        <w:pageBreakBefore w:val="0"/>
        <w:widowControl w:val="0"/>
        <w:kinsoku/>
        <w:wordWrap/>
        <w:overflowPunct/>
        <w:topLinePunct w:val="0"/>
        <w:autoSpaceDE/>
        <w:autoSpaceDN/>
        <w:bidi w:val="0"/>
        <w:adjustRightInd w:val="0"/>
        <w:snapToGrid w:val="0"/>
        <w:spacing w:line="540" w:lineRule="exact"/>
        <w:ind w:firstLine="560" w:firstLineChars="200"/>
        <w:rPr>
          <w:rFonts w:ascii="仿宋_GB2312" w:hAnsi="仿宋" w:eastAsia="仿宋_GB2312"/>
          <w:color w:val="000000" w:themeColor="text1"/>
          <w:sz w:val="28"/>
          <w:szCs w:val="28"/>
        </w:rPr>
      </w:pPr>
      <w:r>
        <w:rPr>
          <w:rFonts w:hint="eastAsia" w:ascii="仿宋_GB2312" w:hAnsi="仿宋" w:eastAsia="仿宋_GB2312"/>
          <w:color w:val="000000" w:themeColor="text1"/>
          <w:sz w:val="28"/>
          <w:szCs w:val="28"/>
        </w:rPr>
        <w:t>（1）比较法</w:t>
      </w:r>
    </w:p>
    <w:p>
      <w:pPr>
        <w:keepNext w:val="0"/>
        <w:keepLines w:val="0"/>
        <w:pageBreakBefore w:val="0"/>
        <w:widowControl w:val="0"/>
        <w:kinsoku/>
        <w:wordWrap/>
        <w:overflowPunct/>
        <w:topLinePunct w:val="0"/>
        <w:autoSpaceDE/>
        <w:autoSpaceDN/>
        <w:bidi w:val="0"/>
        <w:adjustRightInd w:val="0"/>
        <w:snapToGrid w:val="0"/>
        <w:spacing w:line="540" w:lineRule="exact"/>
        <w:ind w:firstLine="560" w:firstLineChars="200"/>
        <w:rPr>
          <w:rFonts w:ascii="仿宋_GB2312" w:hAnsi="仿宋" w:eastAsia="仿宋_GB2312"/>
          <w:color w:val="000000" w:themeColor="text1"/>
          <w:sz w:val="28"/>
          <w:szCs w:val="28"/>
        </w:rPr>
      </w:pPr>
      <w:r>
        <w:rPr>
          <w:rFonts w:hint="eastAsia" w:ascii="仿宋_GB2312" w:hAnsi="仿宋" w:eastAsia="仿宋_GB2312"/>
          <w:color w:val="000000" w:themeColor="text1"/>
          <w:sz w:val="28"/>
          <w:szCs w:val="28"/>
        </w:rPr>
        <w:t>比较法是指选取一定数量的可比实例，将它们与估价对象进行比较，根据其间的差异对可比实例成交价格进行处理后得到估价对象价值或价格的方法。其公式为：</w:t>
      </w:r>
    </w:p>
    <w:p>
      <w:pPr>
        <w:pStyle w:val="34"/>
        <w:keepNext w:val="0"/>
        <w:keepLines w:val="0"/>
        <w:pageBreakBefore w:val="0"/>
        <w:widowControl w:val="0"/>
        <w:kinsoku/>
        <w:wordWrap/>
        <w:overflowPunct/>
        <w:topLinePunct w:val="0"/>
        <w:autoSpaceDE/>
        <w:autoSpaceDN/>
        <w:bidi w:val="0"/>
        <w:snapToGrid w:val="0"/>
        <w:spacing w:line="540" w:lineRule="exact"/>
        <w:ind w:firstLine="560" w:firstLineChars="200"/>
        <w:jc w:val="both"/>
        <w:rPr>
          <w:rFonts w:ascii="仿宋_GB2312" w:hAnsi="仿宋" w:eastAsia="仿宋_GB2312"/>
          <w:color w:val="000000" w:themeColor="text1"/>
          <w:spacing w:val="0"/>
          <w:kern w:val="2"/>
          <w:szCs w:val="28"/>
        </w:rPr>
      </w:pPr>
      <w:r>
        <w:rPr>
          <w:rFonts w:hint="eastAsia" w:ascii="仿宋_GB2312" w:hAnsi="仿宋" w:eastAsia="仿宋_GB2312"/>
          <w:color w:val="000000" w:themeColor="text1"/>
          <w:spacing w:val="0"/>
          <w:kern w:val="2"/>
          <w:szCs w:val="28"/>
        </w:rPr>
        <w:t>比较价值＝可比实例成交价格×交易情况修正系数×市场状况调整系数×房地产状况调整系数</w:t>
      </w:r>
    </w:p>
    <w:p>
      <w:pPr>
        <w:pStyle w:val="34"/>
        <w:keepNext w:val="0"/>
        <w:keepLines w:val="0"/>
        <w:pageBreakBefore w:val="0"/>
        <w:widowControl w:val="0"/>
        <w:kinsoku/>
        <w:wordWrap/>
        <w:overflowPunct/>
        <w:topLinePunct w:val="0"/>
        <w:autoSpaceDE/>
        <w:autoSpaceDN/>
        <w:bidi w:val="0"/>
        <w:snapToGrid w:val="0"/>
        <w:spacing w:line="540" w:lineRule="exact"/>
        <w:ind w:firstLine="560" w:firstLineChars="200"/>
        <w:jc w:val="both"/>
        <w:rPr>
          <w:rFonts w:ascii="仿宋_GB2312" w:hAnsi="仿宋" w:eastAsia="仿宋_GB2312"/>
          <w:color w:val="000000" w:themeColor="text1"/>
          <w:spacing w:val="0"/>
          <w:kern w:val="2"/>
          <w:szCs w:val="28"/>
        </w:rPr>
      </w:pPr>
      <w:r>
        <w:rPr>
          <w:rFonts w:hint="eastAsia" w:ascii="仿宋_GB2312" w:hAnsi="仿宋" w:eastAsia="仿宋_GB2312"/>
          <w:color w:val="000000" w:themeColor="text1"/>
          <w:spacing w:val="0"/>
          <w:kern w:val="2"/>
          <w:szCs w:val="28"/>
        </w:rPr>
        <w:t>（2）收益法</w:t>
      </w:r>
    </w:p>
    <w:p>
      <w:pPr>
        <w:pStyle w:val="34"/>
        <w:keepNext w:val="0"/>
        <w:keepLines w:val="0"/>
        <w:pageBreakBefore w:val="0"/>
        <w:widowControl w:val="0"/>
        <w:kinsoku/>
        <w:wordWrap/>
        <w:overflowPunct/>
        <w:topLinePunct w:val="0"/>
        <w:autoSpaceDE/>
        <w:autoSpaceDN/>
        <w:bidi w:val="0"/>
        <w:snapToGrid w:val="0"/>
        <w:spacing w:line="540" w:lineRule="exact"/>
        <w:ind w:firstLine="560" w:firstLineChars="200"/>
        <w:jc w:val="both"/>
        <w:rPr>
          <w:rFonts w:ascii="仿宋_GB2312" w:hAnsi="仿宋" w:eastAsia="仿宋_GB2312"/>
          <w:color w:val="000000" w:themeColor="text1"/>
          <w:spacing w:val="0"/>
          <w:kern w:val="2"/>
          <w:szCs w:val="28"/>
        </w:rPr>
      </w:pPr>
      <w:r>
        <w:rPr>
          <w:rFonts w:hint="eastAsia" w:ascii="仿宋_GB2312" w:hAnsi="仿宋" w:eastAsia="仿宋_GB2312"/>
          <w:color w:val="000000" w:themeColor="text1"/>
          <w:spacing w:val="0"/>
          <w:kern w:val="2"/>
          <w:szCs w:val="28"/>
        </w:rPr>
        <w:t>收益法是预测估价对象的未来收益，利用报酬率或资本化率、收益乘数将未来收益转换为价值得到估价对象价值或价格的方法。</w:t>
      </w:r>
    </w:p>
    <w:p>
      <w:pPr>
        <w:pStyle w:val="34"/>
        <w:keepNext w:val="0"/>
        <w:keepLines w:val="0"/>
        <w:pageBreakBefore w:val="0"/>
        <w:widowControl w:val="0"/>
        <w:kinsoku/>
        <w:wordWrap/>
        <w:overflowPunct/>
        <w:topLinePunct w:val="0"/>
        <w:autoSpaceDE/>
        <w:autoSpaceDN/>
        <w:bidi w:val="0"/>
        <w:snapToGrid w:val="0"/>
        <w:spacing w:line="540" w:lineRule="exact"/>
        <w:ind w:firstLine="560" w:firstLineChars="200"/>
        <w:jc w:val="both"/>
        <w:rPr>
          <w:rFonts w:ascii="仿宋_GB2312" w:hAnsi="仿宋" w:eastAsia="仿宋_GB2312"/>
          <w:color w:val="000000" w:themeColor="text1"/>
          <w:spacing w:val="0"/>
          <w:kern w:val="2"/>
          <w:szCs w:val="28"/>
        </w:rPr>
      </w:pPr>
      <w:r>
        <w:rPr>
          <w:rFonts w:hint="eastAsia" w:ascii="仿宋_GB2312" w:hAnsi="仿宋" w:eastAsia="仿宋_GB2312"/>
          <w:color w:val="000000" w:themeColor="text1"/>
          <w:spacing w:val="0"/>
          <w:kern w:val="2"/>
          <w:szCs w:val="28"/>
        </w:rPr>
        <w:t>由于估价对象收益期较长，难以预测该收益期限内各年净收益，所以选用持有加转售模式。公式如下：</w:t>
      </w:r>
    </w:p>
    <w:p>
      <w:pPr>
        <w:pStyle w:val="34"/>
        <w:snapToGrid w:val="0"/>
        <w:spacing w:line="560" w:lineRule="exact"/>
        <w:ind w:firstLine="560" w:firstLineChars="200"/>
        <w:jc w:val="both"/>
        <w:rPr>
          <w:rFonts w:ascii="仿宋_GB2312" w:hAnsi="仿宋" w:eastAsia="仿宋_GB2312"/>
          <w:color w:val="000000" w:themeColor="text1"/>
          <w:spacing w:val="0"/>
          <w:kern w:val="2"/>
          <w:szCs w:val="28"/>
        </w:rPr>
      </w:pPr>
      <w:r>
        <w:rPr>
          <w:rFonts w:hint="eastAsia" w:ascii="仿宋_GB2312" w:hAnsi="仿宋" w:eastAsia="仿宋_GB2312"/>
          <w:color w:val="000000" w:themeColor="text1"/>
          <w:spacing w:val="0"/>
          <w:kern w:val="2"/>
          <w:szCs w:val="28"/>
        </w:rPr>
        <w:t>V=A/Y×[1/(1+Y)</w:t>
      </w:r>
      <w:r>
        <w:rPr>
          <w:rFonts w:hint="eastAsia" w:ascii="仿宋_GB2312" w:hAnsi="仿宋" w:eastAsia="仿宋_GB2312"/>
          <w:color w:val="000000" w:themeColor="text1"/>
          <w:spacing w:val="0"/>
          <w:kern w:val="2"/>
          <w:szCs w:val="28"/>
          <w:vertAlign w:val="superscript"/>
        </w:rPr>
        <w:t>t</w:t>
      </w:r>
      <w:r>
        <w:rPr>
          <w:rFonts w:hint="eastAsia" w:ascii="仿宋_GB2312" w:hAnsi="仿宋" w:eastAsia="仿宋_GB2312"/>
          <w:color w:val="000000" w:themeColor="text1"/>
          <w:spacing w:val="0"/>
          <w:kern w:val="2"/>
          <w:szCs w:val="28"/>
        </w:rPr>
        <w:t>]+V</w:t>
      </w:r>
      <w:r>
        <w:rPr>
          <w:rFonts w:hint="eastAsia" w:ascii="仿宋_GB2312" w:hAnsi="仿宋" w:eastAsia="仿宋_GB2312"/>
          <w:color w:val="000000" w:themeColor="text1"/>
          <w:spacing w:val="0"/>
          <w:kern w:val="2"/>
          <w:szCs w:val="28"/>
          <w:vertAlign w:val="subscript"/>
        </w:rPr>
        <w:t>t</w:t>
      </w:r>
      <w:r>
        <w:rPr>
          <w:rFonts w:hint="eastAsia" w:ascii="仿宋_GB2312" w:hAnsi="仿宋" w:eastAsia="仿宋_GB2312"/>
          <w:color w:val="000000" w:themeColor="text1"/>
          <w:spacing w:val="0"/>
          <w:kern w:val="2"/>
          <w:szCs w:val="28"/>
        </w:rPr>
        <w:t>/(1+Y)</w:t>
      </w:r>
      <w:r>
        <w:rPr>
          <w:rFonts w:hint="eastAsia" w:ascii="仿宋_GB2312" w:hAnsi="仿宋" w:eastAsia="仿宋_GB2312"/>
          <w:color w:val="000000" w:themeColor="text1"/>
          <w:spacing w:val="0"/>
          <w:kern w:val="2"/>
          <w:szCs w:val="28"/>
          <w:vertAlign w:val="superscript"/>
        </w:rPr>
        <w:t>t</w:t>
      </w:r>
    </w:p>
    <w:p>
      <w:pPr>
        <w:pStyle w:val="34"/>
        <w:keepNext w:val="0"/>
        <w:keepLines w:val="0"/>
        <w:pageBreakBefore w:val="0"/>
        <w:widowControl w:val="0"/>
        <w:kinsoku/>
        <w:wordWrap/>
        <w:overflowPunct/>
        <w:topLinePunct w:val="0"/>
        <w:autoSpaceDE/>
        <w:autoSpaceDN/>
        <w:bidi w:val="0"/>
        <w:adjustRightInd w:val="0"/>
        <w:snapToGrid w:val="0"/>
        <w:spacing w:line="540" w:lineRule="exact"/>
        <w:ind w:firstLine="560" w:firstLineChars="200"/>
        <w:jc w:val="both"/>
        <w:textAlignment w:val="baseline"/>
        <w:rPr>
          <w:rFonts w:ascii="仿宋_GB2312" w:hAnsi="仿宋" w:eastAsia="仿宋_GB2312"/>
          <w:color w:val="000000" w:themeColor="text1"/>
          <w:spacing w:val="0"/>
          <w:kern w:val="2"/>
          <w:szCs w:val="28"/>
        </w:rPr>
      </w:pPr>
      <w:r>
        <w:rPr>
          <w:rFonts w:hint="eastAsia" w:ascii="仿宋_GB2312" w:hAnsi="仿宋" w:eastAsia="仿宋_GB2312"/>
          <w:color w:val="000000" w:themeColor="text1"/>
          <w:spacing w:val="0"/>
          <w:kern w:val="2"/>
          <w:szCs w:val="28"/>
        </w:rPr>
        <w:t>其中：</w:t>
      </w:r>
    </w:p>
    <w:p>
      <w:pPr>
        <w:pStyle w:val="34"/>
        <w:keepNext w:val="0"/>
        <w:keepLines w:val="0"/>
        <w:pageBreakBefore w:val="0"/>
        <w:widowControl w:val="0"/>
        <w:kinsoku/>
        <w:wordWrap/>
        <w:overflowPunct/>
        <w:topLinePunct w:val="0"/>
        <w:autoSpaceDE/>
        <w:autoSpaceDN/>
        <w:bidi w:val="0"/>
        <w:adjustRightInd w:val="0"/>
        <w:snapToGrid w:val="0"/>
        <w:spacing w:line="540" w:lineRule="exact"/>
        <w:ind w:firstLine="560" w:firstLineChars="200"/>
        <w:jc w:val="both"/>
        <w:textAlignment w:val="baseline"/>
        <w:rPr>
          <w:rFonts w:ascii="仿宋_GB2312" w:hAnsi="仿宋" w:eastAsia="仿宋_GB2312"/>
          <w:color w:val="000000" w:themeColor="text1"/>
          <w:spacing w:val="0"/>
          <w:kern w:val="2"/>
          <w:szCs w:val="28"/>
        </w:rPr>
      </w:pPr>
      <w:r>
        <w:rPr>
          <w:rFonts w:hint="eastAsia" w:ascii="仿宋_GB2312" w:hAnsi="仿宋" w:eastAsia="仿宋_GB2312"/>
          <w:color w:val="000000" w:themeColor="text1"/>
          <w:spacing w:val="0"/>
          <w:kern w:val="2"/>
          <w:szCs w:val="28"/>
        </w:rPr>
        <w:t>V-收益法评估价值；</w:t>
      </w:r>
    </w:p>
    <w:p>
      <w:pPr>
        <w:pStyle w:val="34"/>
        <w:keepNext w:val="0"/>
        <w:keepLines w:val="0"/>
        <w:pageBreakBefore w:val="0"/>
        <w:widowControl w:val="0"/>
        <w:kinsoku/>
        <w:wordWrap/>
        <w:overflowPunct/>
        <w:topLinePunct w:val="0"/>
        <w:autoSpaceDE/>
        <w:autoSpaceDN/>
        <w:bidi w:val="0"/>
        <w:adjustRightInd w:val="0"/>
        <w:snapToGrid w:val="0"/>
        <w:spacing w:line="540" w:lineRule="exact"/>
        <w:ind w:firstLine="560" w:firstLineChars="200"/>
        <w:jc w:val="both"/>
        <w:textAlignment w:val="baseline"/>
        <w:rPr>
          <w:rFonts w:ascii="仿宋_GB2312" w:hAnsi="仿宋" w:eastAsia="仿宋_GB2312"/>
          <w:color w:val="000000" w:themeColor="text1"/>
          <w:spacing w:val="0"/>
          <w:kern w:val="2"/>
          <w:szCs w:val="28"/>
        </w:rPr>
      </w:pPr>
      <w:r>
        <w:rPr>
          <w:rFonts w:hint="eastAsia" w:ascii="仿宋_GB2312" w:hAnsi="仿宋" w:eastAsia="仿宋_GB2312"/>
          <w:color w:val="000000" w:themeColor="text1"/>
          <w:spacing w:val="0"/>
          <w:kern w:val="2"/>
          <w:szCs w:val="28"/>
        </w:rPr>
        <w:t>A-房地产期间收益；</w:t>
      </w:r>
    </w:p>
    <w:p>
      <w:pPr>
        <w:pStyle w:val="34"/>
        <w:keepNext w:val="0"/>
        <w:keepLines w:val="0"/>
        <w:pageBreakBefore w:val="0"/>
        <w:widowControl w:val="0"/>
        <w:kinsoku/>
        <w:wordWrap/>
        <w:overflowPunct/>
        <w:topLinePunct w:val="0"/>
        <w:autoSpaceDE/>
        <w:autoSpaceDN/>
        <w:bidi w:val="0"/>
        <w:adjustRightInd w:val="0"/>
        <w:snapToGrid w:val="0"/>
        <w:spacing w:line="540" w:lineRule="exact"/>
        <w:ind w:firstLine="560" w:firstLineChars="200"/>
        <w:jc w:val="both"/>
        <w:textAlignment w:val="baseline"/>
        <w:rPr>
          <w:rFonts w:ascii="仿宋_GB2312" w:hAnsi="仿宋" w:eastAsia="仿宋_GB2312"/>
          <w:color w:val="000000" w:themeColor="text1"/>
          <w:spacing w:val="0"/>
          <w:kern w:val="2"/>
          <w:szCs w:val="28"/>
        </w:rPr>
      </w:pPr>
      <w:r>
        <w:rPr>
          <w:rFonts w:hint="eastAsia" w:ascii="仿宋_GB2312" w:hAnsi="仿宋" w:eastAsia="仿宋_GB2312"/>
          <w:color w:val="000000" w:themeColor="text1"/>
          <w:spacing w:val="0"/>
          <w:kern w:val="2"/>
          <w:szCs w:val="28"/>
        </w:rPr>
        <w:t>Y-房地产报酬率；</w:t>
      </w:r>
    </w:p>
    <w:p>
      <w:pPr>
        <w:pStyle w:val="34"/>
        <w:keepNext w:val="0"/>
        <w:keepLines w:val="0"/>
        <w:pageBreakBefore w:val="0"/>
        <w:widowControl w:val="0"/>
        <w:kinsoku/>
        <w:wordWrap/>
        <w:overflowPunct/>
        <w:topLinePunct w:val="0"/>
        <w:autoSpaceDE/>
        <w:autoSpaceDN/>
        <w:bidi w:val="0"/>
        <w:adjustRightInd w:val="0"/>
        <w:snapToGrid w:val="0"/>
        <w:spacing w:line="540" w:lineRule="exact"/>
        <w:ind w:firstLine="560" w:firstLineChars="200"/>
        <w:jc w:val="both"/>
        <w:textAlignment w:val="baseline"/>
        <w:rPr>
          <w:rFonts w:ascii="仿宋_GB2312" w:hAnsi="仿宋" w:eastAsia="仿宋_GB2312"/>
          <w:color w:val="000000" w:themeColor="text1"/>
          <w:spacing w:val="0"/>
          <w:kern w:val="2"/>
          <w:szCs w:val="28"/>
        </w:rPr>
      </w:pPr>
      <w:r>
        <w:rPr>
          <w:rFonts w:hint="eastAsia" w:ascii="仿宋_GB2312" w:hAnsi="仿宋" w:eastAsia="仿宋_GB2312"/>
          <w:color w:val="000000" w:themeColor="text1"/>
          <w:spacing w:val="0"/>
          <w:kern w:val="2"/>
          <w:szCs w:val="28"/>
        </w:rPr>
        <w:t>V</w:t>
      </w:r>
      <w:r>
        <w:rPr>
          <w:rFonts w:hint="eastAsia" w:ascii="仿宋_GB2312" w:hAnsi="仿宋" w:eastAsia="仿宋_GB2312"/>
          <w:color w:val="000000" w:themeColor="text1"/>
          <w:spacing w:val="0"/>
          <w:kern w:val="2"/>
          <w:szCs w:val="28"/>
          <w:vertAlign w:val="subscript"/>
        </w:rPr>
        <w:t>t</w:t>
      </w:r>
      <w:r>
        <w:rPr>
          <w:rFonts w:hint="eastAsia" w:ascii="仿宋_GB2312" w:hAnsi="仿宋" w:eastAsia="仿宋_GB2312"/>
          <w:color w:val="000000" w:themeColor="text1"/>
          <w:spacing w:val="0"/>
          <w:kern w:val="2"/>
          <w:szCs w:val="28"/>
        </w:rPr>
        <w:t>-期末转售收益；</w:t>
      </w:r>
    </w:p>
    <w:p>
      <w:pPr>
        <w:pStyle w:val="34"/>
        <w:keepNext w:val="0"/>
        <w:keepLines w:val="0"/>
        <w:pageBreakBefore w:val="0"/>
        <w:widowControl w:val="0"/>
        <w:kinsoku/>
        <w:wordWrap/>
        <w:overflowPunct/>
        <w:topLinePunct w:val="0"/>
        <w:autoSpaceDE/>
        <w:autoSpaceDN/>
        <w:bidi w:val="0"/>
        <w:adjustRightInd w:val="0"/>
        <w:snapToGrid w:val="0"/>
        <w:spacing w:line="540" w:lineRule="exact"/>
        <w:ind w:firstLine="560" w:firstLineChars="200"/>
        <w:jc w:val="both"/>
        <w:textAlignment w:val="baseline"/>
        <w:rPr>
          <w:rFonts w:ascii="仿宋_GB2312" w:hAnsi="仿宋" w:eastAsia="仿宋_GB2312"/>
          <w:color w:val="000000" w:themeColor="text1"/>
          <w:spacing w:val="0"/>
          <w:kern w:val="2"/>
          <w:szCs w:val="28"/>
        </w:rPr>
      </w:pPr>
      <w:r>
        <w:rPr>
          <w:rFonts w:hint="eastAsia" w:ascii="仿宋_GB2312" w:hAnsi="仿宋" w:eastAsia="仿宋_GB2312"/>
          <w:color w:val="000000" w:themeColor="text1"/>
          <w:spacing w:val="0"/>
          <w:kern w:val="2"/>
          <w:szCs w:val="28"/>
        </w:rPr>
        <w:t>t-房地产持有期。</w:t>
      </w:r>
      <w:r>
        <w:rPr>
          <w:rFonts w:hint="eastAsia" w:ascii="仿宋_GB2312" w:hAnsi="仿宋" w:eastAsia="仿宋_GB2312"/>
          <w:color w:val="000000" w:themeColor="text1"/>
          <w:spacing w:val="0"/>
          <w:kern w:val="2"/>
          <w:szCs w:val="28"/>
        </w:rPr>
        <w:fldChar w:fldCharType="begin"/>
      </w:r>
      <w:r>
        <w:rPr>
          <w:rFonts w:hint="eastAsia" w:ascii="仿宋_GB2312" w:hAnsi="仿宋" w:eastAsia="仿宋_GB2312"/>
          <w:color w:val="000000" w:themeColor="text1"/>
          <w:spacing w:val="0"/>
          <w:kern w:val="2"/>
          <w:szCs w:val="28"/>
        </w:rPr>
        <w:instrText xml:space="preserve"> TC "9、估价方法" \f C \l "2"</w:instrText>
      </w:r>
      <w:r>
        <w:rPr>
          <w:rFonts w:hint="eastAsia" w:ascii="仿宋_GB2312" w:hAnsi="仿宋" w:eastAsia="仿宋_GB2312"/>
          <w:color w:val="000000" w:themeColor="text1"/>
          <w:spacing w:val="0"/>
          <w:kern w:val="2"/>
          <w:szCs w:val="28"/>
        </w:rPr>
        <w:fldChar w:fldCharType="end"/>
      </w:r>
    </w:p>
    <w:p>
      <w:pPr>
        <w:snapToGrid w:val="0"/>
        <w:spacing w:line="560" w:lineRule="exact"/>
        <w:ind w:firstLine="560" w:firstLineChars="200"/>
        <w:jc w:val="left"/>
        <w:rPr>
          <w:rFonts w:ascii="仿宋_GB2312" w:hAnsi="仿宋" w:eastAsia="仿宋_GB2312"/>
          <w:color w:val="000000" w:themeColor="text1"/>
          <w:sz w:val="28"/>
          <w:szCs w:val="28"/>
        </w:rPr>
      </w:pPr>
      <w:r>
        <w:rPr>
          <w:rFonts w:hint="eastAsia" w:ascii="仿宋_GB2312" w:hAnsi="仿宋" w:eastAsia="仿宋_GB2312"/>
          <w:color w:val="000000" w:themeColor="text1"/>
          <w:sz w:val="28"/>
          <w:szCs w:val="28"/>
        </w:rPr>
        <w:t>（3）综合分析确定最终估价结果</w:t>
      </w:r>
    </w:p>
    <w:p>
      <w:pPr>
        <w:pageBreakBefore w:val="0"/>
        <w:widowControl w:val="0"/>
        <w:kinsoku/>
        <w:wordWrap/>
        <w:overflowPunct/>
        <w:topLinePunct w:val="0"/>
        <w:autoSpaceDE/>
        <w:autoSpaceDN/>
        <w:bidi w:val="0"/>
        <w:adjustRightInd/>
        <w:snapToGrid w:val="0"/>
        <w:spacing w:line="540" w:lineRule="exact"/>
        <w:ind w:firstLine="560" w:firstLineChars="200"/>
        <w:jc w:val="left"/>
        <w:textAlignment w:val="auto"/>
        <w:rPr>
          <w:rFonts w:ascii="仿宋_GB2312" w:hAnsi="仿宋" w:eastAsia="仿宋_GB2312"/>
          <w:color w:val="000000" w:themeColor="text1"/>
          <w:sz w:val="28"/>
          <w:szCs w:val="28"/>
        </w:rPr>
      </w:pPr>
      <w:r>
        <w:rPr>
          <w:rFonts w:hint="eastAsia" w:ascii="仿宋_GB2312" w:hAnsi="仿宋" w:eastAsia="仿宋_GB2312"/>
          <w:color w:val="000000" w:themeColor="text1"/>
          <w:sz w:val="28"/>
          <w:szCs w:val="28"/>
        </w:rPr>
        <w:t>通过两种不同的估价技术路线，分别得到估价对象的评估单价，经分析两种方法结果的差异及导致差异的原因后，结合当前同类市场实际和估价师经验，分别确定两种方法结果的影响权重，最后确定估价对象市场价值。</w:t>
      </w:r>
    </w:p>
    <w:p>
      <w:pPr>
        <w:pStyle w:val="3"/>
        <w:pageBreakBefore w:val="0"/>
        <w:widowControl w:val="0"/>
        <w:kinsoku/>
        <w:wordWrap/>
        <w:overflowPunct/>
        <w:topLinePunct w:val="0"/>
        <w:autoSpaceDE/>
        <w:autoSpaceDN/>
        <w:bidi w:val="0"/>
        <w:adjustRightInd/>
        <w:snapToGrid w:val="0"/>
        <w:spacing w:before="0" w:after="0" w:line="540" w:lineRule="exact"/>
        <w:ind w:firstLine="562" w:firstLineChars="200"/>
        <w:textAlignment w:val="auto"/>
        <w:rPr>
          <w:rFonts w:ascii="仿宋_GB2312" w:hAnsi="Times New Roman" w:eastAsia="仿宋_GB2312"/>
          <w:color w:val="000000" w:themeColor="text1"/>
          <w:sz w:val="28"/>
          <w:szCs w:val="28"/>
        </w:rPr>
      </w:pPr>
      <w:bookmarkStart w:id="122" w:name="_Toc14061"/>
      <w:bookmarkStart w:id="123" w:name="_Toc28880"/>
      <w:bookmarkStart w:id="124" w:name="_Toc19196"/>
      <w:r>
        <w:rPr>
          <w:rFonts w:hint="eastAsia" w:ascii="仿宋_GB2312" w:hAnsi="Times New Roman" w:eastAsia="仿宋_GB2312"/>
          <w:color w:val="000000" w:themeColor="text1"/>
          <w:sz w:val="28"/>
          <w:szCs w:val="28"/>
        </w:rPr>
        <w:t>十、估价结果</w:t>
      </w:r>
      <w:bookmarkEnd w:id="122"/>
      <w:bookmarkEnd w:id="123"/>
      <w:bookmarkEnd w:id="124"/>
    </w:p>
    <w:p>
      <w:pPr>
        <w:pageBreakBefore w:val="0"/>
        <w:widowControl w:val="0"/>
        <w:kinsoku/>
        <w:wordWrap/>
        <w:overflowPunct/>
        <w:topLinePunct w:val="0"/>
        <w:autoSpaceDE/>
        <w:autoSpaceDN/>
        <w:bidi w:val="0"/>
        <w:adjustRightInd/>
        <w:snapToGrid w:val="0"/>
        <w:spacing w:line="540" w:lineRule="exact"/>
        <w:ind w:firstLine="560" w:firstLineChars="200"/>
        <w:textAlignment w:val="auto"/>
        <w:rPr>
          <w:rFonts w:hint="eastAsia" w:ascii="仿宋_GB2312" w:hAnsi="仿宋" w:eastAsia="仿宋_GB2312"/>
          <w:color w:val="000000" w:themeColor="text1"/>
          <w:sz w:val="28"/>
          <w:szCs w:val="28"/>
          <w:lang w:eastAsia="zh-CN"/>
        </w:rPr>
      </w:pPr>
      <w:r>
        <w:rPr>
          <w:rFonts w:hint="eastAsia" w:ascii="仿宋_GB2312" w:hAnsi="宋体" w:eastAsia="仿宋_GB2312"/>
          <w:caps/>
          <w:color w:val="000000" w:themeColor="text1"/>
          <w:sz w:val="28"/>
        </w:rPr>
        <w:t>经过实地查勘和市场调查，我们依据国家制定的有关法律、法规、文件及规定的技术标准，本着独立、客观、公正、合法的原则，按照严谨的估价程序，在认真分析所掌握资料与影响估价对象价值诸因素的基础上，选用比较法和收益法进行了分析、测算和判断</w:t>
      </w:r>
      <w:r>
        <w:rPr>
          <w:rFonts w:hint="eastAsia" w:ascii="仿宋_GB2312" w:hAnsi="仿宋" w:eastAsia="仿宋_GB2312"/>
          <w:color w:val="000000" w:themeColor="text1"/>
          <w:sz w:val="28"/>
          <w:szCs w:val="28"/>
        </w:rPr>
        <w:t>最终确定估价对象在价值时点</w:t>
      </w:r>
      <w:r>
        <w:rPr>
          <w:rFonts w:hint="eastAsia" w:ascii="仿宋_GB2312" w:hAnsi="仿宋" w:eastAsia="仿宋_GB2312"/>
          <w:color w:val="000000" w:themeColor="text1"/>
          <w:sz w:val="28"/>
          <w:szCs w:val="28"/>
          <w:lang w:eastAsia="zh-CN"/>
        </w:rPr>
        <w:t>2021年9月29日</w:t>
      </w:r>
      <w:r>
        <w:rPr>
          <w:rFonts w:hint="eastAsia" w:ascii="仿宋_GB2312" w:hAnsi="仿宋" w:eastAsia="仿宋_GB2312"/>
          <w:color w:val="000000" w:themeColor="text1"/>
          <w:sz w:val="28"/>
          <w:szCs w:val="28"/>
        </w:rPr>
        <w:t>的房地产市场价值为</w:t>
      </w:r>
      <w:r>
        <w:rPr>
          <w:rFonts w:hint="eastAsia" w:ascii="仿宋_GB2312" w:hAnsi="仿宋" w:eastAsia="仿宋_GB2312"/>
          <w:color w:val="000000" w:themeColor="text1"/>
          <w:sz w:val="28"/>
          <w:szCs w:val="28"/>
          <w:lang w:eastAsia="zh-CN"/>
        </w:rPr>
        <w:t>：</w:t>
      </w:r>
    </w:p>
    <w:p>
      <w:pPr>
        <w:snapToGrid w:val="0"/>
        <w:spacing w:line="580" w:lineRule="exact"/>
        <w:ind w:firstLine="560" w:firstLineChars="200"/>
        <w:rPr>
          <w:rFonts w:hint="eastAsia" w:ascii="仿宋_GB2312" w:hAnsi="仿宋" w:eastAsia="仿宋_GB2312"/>
          <w:color w:val="000000" w:themeColor="text1"/>
          <w:sz w:val="28"/>
          <w:szCs w:val="28"/>
          <w:lang w:eastAsia="zh-CN"/>
        </w:rPr>
      </w:pPr>
      <w:r>
        <w:rPr>
          <w:rFonts w:hint="eastAsia" w:ascii="仿宋_GB2312" w:hAnsi="仿宋" w:eastAsia="仿宋_GB2312"/>
          <w:color w:val="000000" w:themeColor="text1"/>
          <w:sz w:val="28"/>
          <w:szCs w:val="28"/>
          <w:lang w:eastAsia="zh-CN"/>
        </w:rPr>
        <w:t>成套住宅总价：人民币117.94万元</w:t>
      </w:r>
      <w:r>
        <w:rPr>
          <w:rFonts w:hint="eastAsia" w:ascii="仿宋_GB2312" w:hAnsi="仿宋" w:eastAsia="仿宋_GB2312"/>
          <w:color w:val="000000" w:themeColor="text1"/>
          <w:sz w:val="28"/>
          <w:szCs w:val="28"/>
          <w:highlight w:val="none"/>
          <w:lang w:eastAsia="zh-CN"/>
        </w:rPr>
        <w:t>；</w:t>
      </w:r>
    </w:p>
    <w:p>
      <w:pPr>
        <w:snapToGrid w:val="0"/>
        <w:spacing w:line="580" w:lineRule="exact"/>
        <w:ind w:firstLine="560" w:firstLineChars="200"/>
        <w:rPr>
          <w:rFonts w:hint="eastAsia" w:ascii="仿宋_GB2312" w:hAnsi="仿宋" w:eastAsia="仿宋_GB2312"/>
          <w:color w:val="000000" w:themeColor="text1"/>
          <w:sz w:val="28"/>
          <w:szCs w:val="28"/>
          <w:lang w:eastAsia="zh-CN"/>
        </w:rPr>
      </w:pPr>
      <w:r>
        <w:rPr>
          <w:rFonts w:hint="eastAsia" w:ascii="仿宋_GB2312" w:hAnsi="仿宋" w:eastAsia="仿宋_GB2312"/>
          <w:color w:val="000000" w:themeColor="text1"/>
          <w:sz w:val="28"/>
          <w:szCs w:val="28"/>
          <w:highlight w:val="none"/>
          <w:lang w:eastAsia="zh-CN"/>
        </w:rPr>
        <w:t>人民币大写：壹佰壹拾柒万玖仟肆佰元整</w:t>
      </w:r>
      <w:r>
        <w:rPr>
          <w:rFonts w:hint="eastAsia" w:ascii="仿宋_GB2312" w:hAnsi="宋体" w:eastAsia="仿宋_GB2312" w:cs="宋体"/>
          <w:color w:val="000000" w:themeColor="text1"/>
          <w:sz w:val="28"/>
          <w:szCs w:val="28"/>
          <w:highlight w:val="none"/>
          <w:lang w:eastAsia="zh-CN"/>
        </w:rPr>
        <w:t>；</w:t>
      </w:r>
    </w:p>
    <w:p>
      <w:pPr>
        <w:snapToGrid w:val="0"/>
        <w:spacing w:line="580" w:lineRule="exact"/>
        <w:ind w:firstLine="560" w:firstLineChars="200"/>
        <w:rPr>
          <w:rFonts w:hint="eastAsia" w:ascii="仿宋_GB2312" w:hAnsi="仿宋" w:eastAsia="仿宋_GB2312"/>
          <w:color w:val="000000" w:themeColor="text1"/>
          <w:sz w:val="28"/>
          <w:szCs w:val="28"/>
          <w:lang w:eastAsia="zh-CN"/>
        </w:rPr>
      </w:pPr>
      <w:r>
        <w:rPr>
          <w:rFonts w:hint="eastAsia" w:ascii="仿宋_GB2312" w:hAnsi="仿宋" w:eastAsia="仿宋_GB2312"/>
          <w:color w:val="000000" w:themeColor="text1"/>
          <w:sz w:val="28"/>
          <w:szCs w:val="28"/>
          <w:lang w:eastAsia="zh-CN"/>
        </w:rPr>
        <w:t>成套住宅单价：</w:t>
      </w:r>
      <w:r>
        <w:rPr>
          <w:rFonts w:hint="eastAsia" w:ascii="仿宋_GB2312" w:hAnsi="宋体" w:eastAsia="仿宋_GB2312" w:cs="宋体"/>
          <w:color w:val="000000" w:themeColor="text1"/>
          <w:sz w:val="28"/>
          <w:szCs w:val="28"/>
          <w:highlight w:val="none"/>
          <w:lang w:eastAsia="zh-CN"/>
        </w:rPr>
        <w:t>12135</w:t>
      </w:r>
      <w:r>
        <w:rPr>
          <w:rFonts w:hint="eastAsia" w:ascii="仿宋_GB2312" w:hAnsi="宋体" w:eastAsia="仿宋_GB2312" w:cs="宋体"/>
          <w:color w:val="000000" w:themeColor="text1"/>
          <w:sz w:val="28"/>
          <w:szCs w:val="28"/>
          <w:highlight w:val="none"/>
        </w:rPr>
        <w:t>元/平方米</w:t>
      </w:r>
      <w:r>
        <w:rPr>
          <w:rFonts w:hint="eastAsia" w:ascii="仿宋_GB2312" w:hAnsi="宋体" w:eastAsia="仿宋_GB2312" w:cs="宋体"/>
          <w:color w:val="000000" w:themeColor="text1"/>
          <w:sz w:val="28"/>
          <w:szCs w:val="28"/>
          <w:highlight w:val="none"/>
          <w:lang w:eastAsia="zh-CN"/>
        </w:rPr>
        <w:t>。</w:t>
      </w:r>
    </w:p>
    <w:p>
      <w:pPr>
        <w:snapToGrid w:val="0"/>
        <w:spacing w:line="580" w:lineRule="exact"/>
        <w:ind w:firstLine="560" w:firstLineChars="200"/>
        <w:rPr>
          <w:rFonts w:hint="eastAsia" w:ascii="仿宋_GB2312" w:hAnsi="仿宋" w:eastAsia="仿宋_GB2312"/>
          <w:color w:val="000000" w:themeColor="text1"/>
          <w:sz w:val="28"/>
          <w:szCs w:val="28"/>
          <w:highlight w:val="none"/>
          <w:lang w:eastAsia="zh-CN"/>
        </w:rPr>
      </w:pPr>
      <w:r>
        <w:rPr>
          <w:rFonts w:hint="eastAsia" w:ascii="仿宋_GB2312" w:hAnsi="仿宋" w:eastAsia="仿宋_GB2312"/>
          <w:color w:val="000000" w:themeColor="text1"/>
          <w:sz w:val="28"/>
          <w:szCs w:val="28"/>
          <w:lang w:eastAsia="zh-CN"/>
        </w:rPr>
        <w:t>仓储用房</w:t>
      </w:r>
      <w:r>
        <w:rPr>
          <w:rFonts w:hint="eastAsia" w:ascii="仿宋_GB2312" w:hAnsi="仿宋" w:eastAsia="仿宋_GB2312"/>
          <w:color w:val="000000" w:themeColor="text1"/>
          <w:sz w:val="28"/>
          <w:szCs w:val="28"/>
        </w:rPr>
        <w:t>总</w:t>
      </w:r>
      <w:r>
        <w:rPr>
          <w:rFonts w:hint="eastAsia" w:ascii="仿宋_GB2312" w:hAnsi="仿宋" w:eastAsia="仿宋_GB2312"/>
          <w:color w:val="000000" w:themeColor="text1"/>
          <w:sz w:val="28"/>
          <w:szCs w:val="28"/>
          <w:highlight w:val="none"/>
        </w:rPr>
        <w:t>价：人民币</w:t>
      </w:r>
      <w:r>
        <w:rPr>
          <w:rFonts w:hint="eastAsia" w:ascii="仿宋_GB2312" w:hAnsi="仿宋" w:eastAsia="仿宋_GB2312"/>
          <w:color w:val="000000" w:themeColor="text1"/>
          <w:sz w:val="28"/>
          <w:szCs w:val="28"/>
          <w:highlight w:val="none"/>
          <w:lang w:val="en-US" w:eastAsia="zh-CN"/>
        </w:rPr>
        <w:t>2.32</w:t>
      </w:r>
      <w:r>
        <w:rPr>
          <w:rFonts w:hint="eastAsia" w:ascii="仿宋_GB2312" w:hAnsi="仿宋" w:eastAsia="仿宋_GB2312"/>
          <w:color w:val="000000" w:themeColor="text1"/>
          <w:sz w:val="28"/>
          <w:szCs w:val="28"/>
          <w:highlight w:val="none"/>
        </w:rPr>
        <w:t>万元</w:t>
      </w:r>
      <w:r>
        <w:rPr>
          <w:rFonts w:hint="eastAsia" w:ascii="仿宋_GB2312" w:hAnsi="仿宋" w:eastAsia="仿宋_GB2312"/>
          <w:color w:val="000000" w:themeColor="text1"/>
          <w:sz w:val="28"/>
          <w:szCs w:val="28"/>
          <w:highlight w:val="none"/>
          <w:lang w:eastAsia="zh-CN"/>
        </w:rPr>
        <w:t>；</w:t>
      </w:r>
    </w:p>
    <w:p>
      <w:pPr>
        <w:snapToGrid w:val="0"/>
        <w:spacing w:line="580" w:lineRule="exact"/>
        <w:ind w:firstLine="560" w:firstLineChars="200"/>
        <w:rPr>
          <w:rFonts w:hint="eastAsia" w:ascii="仿宋_GB2312" w:hAnsi="宋体" w:eastAsia="仿宋_GB2312" w:cs="宋体"/>
          <w:color w:val="000000" w:themeColor="text1"/>
          <w:sz w:val="28"/>
          <w:szCs w:val="28"/>
          <w:highlight w:val="none"/>
          <w:lang w:eastAsia="zh-CN"/>
        </w:rPr>
      </w:pPr>
      <w:r>
        <w:rPr>
          <w:rFonts w:hint="eastAsia" w:ascii="仿宋_GB2312" w:hAnsi="仿宋" w:eastAsia="仿宋_GB2312"/>
          <w:color w:val="000000" w:themeColor="text1"/>
          <w:sz w:val="28"/>
          <w:szCs w:val="28"/>
          <w:highlight w:val="none"/>
        </w:rPr>
        <w:t>人民币大写：</w:t>
      </w:r>
      <w:r>
        <w:rPr>
          <w:rFonts w:hint="eastAsia" w:ascii="仿宋_GB2312" w:hAnsi="宋体" w:eastAsia="仿宋_GB2312" w:cs="宋体"/>
          <w:color w:val="000000" w:themeColor="text1"/>
          <w:sz w:val="28"/>
          <w:szCs w:val="28"/>
          <w:highlight w:val="none"/>
          <w:lang w:eastAsia="zh-CN"/>
        </w:rPr>
        <w:t>贰万叁仟贰佰</w:t>
      </w:r>
      <w:r>
        <w:rPr>
          <w:rFonts w:hint="eastAsia" w:ascii="仿宋_GB2312" w:hAnsi="宋体" w:eastAsia="仿宋_GB2312" w:cs="宋体"/>
          <w:color w:val="000000" w:themeColor="text1"/>
          <w:sz w:val="28"/>
          <w:szCs w:val="28"/>
          <w:highlight w:val="none"/>
        </w:rPr>
        <w:t>元整</w:t>
      </w:r>
      <w:r>
        <w:rPr>
          <w:rFonts w:hint="eastAsia" w:ascii="仿宋_GB2312" w:hAnsi="宋体" w:eastAsia="仿宋_GB2312" w:cs="宋体"/>
          <w:color w:val="000000" w:themeColor="text1"/>
          <w:sz w:val="28"/>
          <w:szCs w:val="28"/>
          <w:highlight w:val="none"/>
          <w:lang w:eastAsia="zh-CN"/>
        </w:rPr>
        <w:t>；</w:t>
      </w:r>
    </w:p>
    <w:p>
      <w:pPr>
        <w:snapToGrid w:val="0"/>
        <w:spacing w:line="580" w:lineRule="exact"/>
        <w:ind w:firstLine="560" w:firstLineChars="200"/>
        <w:rPr>
          <w:rFonts w:hint="eastAsia" w:ascii="仿宋_GB2312" w:hAnsi="宋体" w:eastAsia="仿宋_GB2312" w:cs="宋体"/>
          <w:color w:val="000000" w:themeColor="text1"/>
          <w:sz w:val="28"/>
          <w:szCs w:val="28"/>
          <w:highlight w:val="none"/>
        </w:rPr>
      </w:pPr>
      <w:r>
        <w:rPr>
          <w:rFonts w:hint="eastAsia" w:ascii="仿宋_GB2312" w:hAnsi="仿宋" w:eastAsia="仿宋_GB2312"/>
          <w:color w:val="000000" w:themeColor="text1"/>
          <w:sz w:val="28"/>
          <w:szCs w:val="28"/>
          <w:lang w:eastAsia="zh-CN"/>
        </w:rPr>
        <w:t>仓储用房</w:t>
      </w:r>
      <w:r>
        <w:rPr>
          <w:rFonts w:hint="eastAsia" w:ascii="仿宋_GB2312" w:hAnsi="宋体" w:eastAsia="仿宋_GB2312" w:cs="宋体"/>
          <w:color w:val="000000" w:themeColor="text1"/>
          <w:sz w:val="28"/>
          <w:szCs w:val="28"/>
          <w:highlight w:val="none"/>
        </w:rPr>
        <w:t>单价：</w:t>
      </w:r>
      <w:r>
        <w:rPr>
          <w:rFonts w:hint="eastAsia" w:ascii="仿宋_GB2312" w:hAnsi="宋体" w:eastAsia="仿宋_GB2312" w:cs="宋体"/>
          <w:color w:val="000000" w:themeColor="text1"/>
          <w:sz w:val="28"/>
          <w:szCs w:val="28"/>
          <w:highlight w:val="none"/>
          <w:lang w:val="en-US" w:eastAsia="zh-CN"/>
        </w:rPr>
        <w:t>1000</w:t>
      </w:r>
      <w:r>
        <w:rPr>
          <w:rFonts w:hint="eastAsia" w:ascii="仿宋_GB2312" w:hAnsi="宋体" w:eastAsia="仿宋_GB2312" w:cs="宋体"/>
          <w:color w:val="000000" w:themeColor="text1"/>
          <w:sz w:val="28"/>
          <w:szCs w:val="28"/>
          <w:highlight w:val="none"/>
        </w:rPr>
        <w:t>元/平方米。</w:t>
      </w:r>
    </w:p>
    <w:p>
      <w:pPr>
        <w:pageBreakBefore w:val="0"/>
        <w:widowControl w:val="0"/>
        <w:kinsoku/>
        <w:wordWrap/>
        <w:overflowPunct/>
        <w:topLinePunct w:val="0"/>
        <w:autoSpaceDE/>
        <w:autoSpaceDN/>
        <w:bidi w:val="0"/>
        <w:adjustRightInd/>
        <w:snapToGrid w:val="0"/>
        <w:spacing w:line="540" w:lineRule="exact"/>
        <w:ind w:firstLine="560" w:firstLineChars="200"/>
        <w:textAlignment w:val="auto"/>
        <w:rPr>
          <w:rFonts w:ascii="仿宋_GB2312" w:hAnsi="宋体" w:eastAsia="仿宋_GB2312" w:cs="宋体"/>
          <w:color w:val="000000" w:themeColor="text1"/>
          <w:sz w:val="28"/>
          <w:szCs w:val="28"/>
        </w:rPr>
      </w:pPr>
      <w:r>
        <w:rPr>
          <w:rFonts w:hint="eastAsia" w:ascii="仿宋_GB2312" w:hAnsi="宋体" w:eastAsia="仿宋_GB2312" w:cs="宋体"/>
          <w:color w:val="000000" w:themeColor="text1"/>
          <w:sz w:val="28"/>
          <w:szCs w:val="28"/>
          <w:highlight w:val="none"/>
          <w:lang w:eastAsia="zh-CN"/>
        </w:rPr>
        <w:t>房地产总价值：人民币120.26万元</w:t>
      </w:r>
      <w:r>
        <w:rPr>
          <w:rFonts w:hint="eastAsia" w:ascii="仿宋_GB2312" w:hAnsi="宋体" w:eastAsia="仿宋_GB2312" w:cs="宋体"/>
          <w:color w:val="000000" w:themeColor="text1"/>
          <w:sz w:val="28"/>
          <w:szCs w:val="28"/>
          <w:highlight w:val="none"/>
          <w:lang w:val="en-US" w:eastAsia="zh-CN"/>
        </w:rPr>
        <w:t>。</w:t>
      </w:r>
      <w:bookmarkEnd w:id="119"/>
      <w:bookmarkEnd w:id="120"/>
      <w:bookmarkEnd w:id="121"/>
      <w:bookmarkStart w:id="125" w:name="_Toc432411980"/>
      <w:bookmarkStart w:id="126" w:name="_Toc155258973"/>
    </w:p>
    <w:p>
      <w:pPr>
        <w:pStyle w:val="3"/>
        <w:keepNext w:val="0"/>
        <w:keepLines w:val="0"/>
        <w:snapToGrid w:val="0"/>
        <w:spacing w:before="0" w:after="0" w:line="560" w:lineRule="exact"/>
        <w:ind w:firstLine="562" w:firstLineChars="200"/>
        <w:rPr>
          <w:color w:val="000000" w:themeColor="text1"/>
        </w:rPr>
      </w:pPr>
      <w:bookmarkStart w:id="127" w:name="_Toc12654"/>
      <w:bookmarkStart w:id="128" w:name="_Toc25750"/>
      <w:bookmarkStart w:id="129" w:name="_Toc21593"/>
      <w:r>
        <w:rPr>
          <w:rFonts w:hint="eastAsia" w:ascii="仿宋_GB2312" w:hAnsi="仿宋_GB2312" w:eastAsia="仿宋_GB2312" w:cs="仿宋_GB2312"/>
          <w:color w:val="000000" w:themeColor="text1"/>
          <w:sz w:val="28"/>
          <w:szCs w:val="28"/>
        </w:rPr>
        <w:t>十一、注册房地产估价师</w:t>
      </w:r>
      <w:bookmarkEnd w:id="125"/>
      <w:bookmarkEnd w:id="127"/>
      <w:bookmarkEnd w:id="128"/>
      <w:bookmarkEnd w:id="129"/>
    </w:p>
    <w:p>
      <w:pPr>
        <w:adjustRightInd w:val="0"/>
        <w:snapToGrid w:val="0"/>
        <w:spacing w:line="560" w:lineRule="exact"/>
        <w:ind w:firstLine="560" w:firstLineChars="200"/>
        <w:rPr>
          <w:rFonts w:ascii="仿宋_GB2312" w:eastAsia="仿宋_GB2312"/>
          <w:color w:val="000000" w:themeColor="text1"/>
          <w:sz w:val="26"/>
          <w:szCs w:val="26"/>
        </w:rPr>
      </w:pPr>
      <w:bookmarkStart w:id="130" w:name="_Toc155258974"/>
      <w:bookmarkStart w:id="131" w:name="_Toc432411981"/>
      <w:bookmarkStart w:id="132" w:name="_Toc382493631"/>
      <w:r>
        <w:rPr>
          <w:rFonts w:hint="eastAsia" w:ascii="仿宋_GB2312" w:eastAsia="仿宋_GB2312"/>
          <w:color w:val="000000" w:themeColor="text1"/>
          <w:sz w:val="28"/>
          <w:szCs w:val="28"/>
        </w:rPr>
        <w:t>参加估价的注册房地产估价师为</w:t>
      </w:r>
      <w:r>
        <w:rPr>
          <w:rFonts w:hint="eastAsia" w:ascii="仿宋_GB2312" w:eastAsia="仿宋_GB2312"/>
          <w:color w:val="000000" w:themeColor="text1"/>
          <w:sz w:val="26"/>
          <w:szCs w:val="26"/>
        </w:rPr>
        <w:t>：</w:t>
      </w:r>
    </w:p>
    <w:tbl>
      <w:tblPr>
        <w:tblStyle w:val="43"/>
        <w:tblW w:w="8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0"/>
        <w:gridCol w:w="2149"/>
        <w:gridCol w:w="2292"/>
        <w:gridCol w:w="2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580" w:type="dxa"/>
            <w:vAlign w:val="center"/>
          </w:tcPr>
          <w:p>
            <w:pPr>
              <w:tabs>
                <w:tab w:val="left" w:pos="735"/>
              </w:tabs>
              <w:overflowPunct w:val="0"/>
              <w:spacing w:line="540" w:lineRule="exact"/>
              <w:jc w:val="center"/>
              <w:rPr>
                <w:rFonts w:ascii="Arial" w:hAnsi="Arial" w:eastAsia="仿宋_GB2312" w:cs="Arial"/>
                <w:color w:val="000000" w:themeColor="text1"/>
                <w:sz w:val="28"/>
                <w:szCs w:val="28"/>
              </w:rPr>
            </w:pPr>
            <w:r>
              <w:rPr>
                <w:rFonts w:ascii="Arial" w:hAnsi="Arial" w:eastAsia="仿宋_GB2312" w:cs="Arial"/>
                <w:color w:val="000000" w:themeColor="text1"/>
                <w:sz w:val="28"/>
                <w:szCs w:val="28"/>
              </w:rPr>
              <w:t>姓名</w:t>
            </w:r>
          </w:p>
        </w:tc>
        <w:tc>
          <w:tcPr>
            <w:tcW w:w="2149" w:type="dxa"/>
            <w:vAlign w:val="center"/>
          </w:tcPr>
          <w:p>
            <w:pPr>
              <w:tabs>
                <w:tab w:val="left" w:pos="735"/>
              </w:tabs>
              <w:overflowPunct w:val="0"/>
              <w:spacing w:line="540" w:lineRule="exact"/>
              <w:jc w:val="center"/>
              <w:rPr>
                <w:rFonts w:ascii="Arial" w:hAnsi="Arial" w:eastAsia="仿宋_GB2312" w:cs="Arial"/>
                <w:color w:val="000000" w:themeColor="text1"/>
                <w:sz w:val="28"/>
                <w:szCs w:val="28"/>
              </w:rPr>
            </w:pPr>
            <w:r>
              <w:rPr>
                <w:rFonts w:hint="eastAsia" w:ascii="Arial" w:hAnsi="Arial" w:eastAsia="仿宋_GB2312" w:cs="Arial"/>
                <w:color w:val="000000" w:themeColor="text1"/>
                <w:sz w:val="28"/>
                <w:szCs w:val="28"/>
              </w:rPr>
              <w:t>注册号</w:t>
            </w:r>
          </w:p>
        </w:tc>
        <w:tc>
          <w:tcPr>
            <w:tcW w:w="2292" w:type="dxa"/>
            <w:vAlign w:val="center"/>
          </w:tcPr>
          <w:p>
            <w:pPr>
              <w:tabs>
                <w:tab w:val="left" w:pos="735"/>
              </w:tabs>
              <w:overflowPunct w:val="0"/>
              <w:spacing w:line="540" w:lineRule="exact"/>
              <w:jc w:val="center"/>
              <w:rPr>
                <w:rFonts w:ascii="Arial" w:hAnsi="Arial" w:eastAsia="仿宋_GB2312" w:cs="Arial"/>
                <w:color w:val="000000" w:themeColor="text1"/>
                <w:sz w:val="28"/>
                <w:szCs w:val="28"/>
              </w:rPr>
            </w:pPr>
            <w:r>
              <w:rPr>
                <w:rFonts w:hint="eastAsia" w:ascii="Arial" w:hAnsi="Arial" w:eastAsia="仿宋_GB2312" w:cs="Arial"/>
                <w:color w:val="000000" w:themeColor="text1"/>
                <w:sz w:val="28"/>
                <w:szCs w:val="28"/>
              </w:rPr>
              <w:t>签  名</w:t>
            </w:r>
          </w:p>
        </w:tc>
        <w:tc>
          <w:tcPr>
            <w:tcW w:w="2437" w:type="dxa"/>
            <w:vAlign w:val="center"/>
          </w:tcPr>
          <w:p>
            <w:pPr>
              <w:tabs>
                <w:tab w:val="left" w:pos="735"/>
              </w:tabs>
              <w:overflowPunct w:val="0"/>
              <w:spacing w:line="540" w:lineRule="exact"/>
              <w:jc w:val="center"/>
              <w:rPr>
                <w:rFonts w:ascii="Arial" w:hAnsi="Arial" w:eastAsia="仿宋_GB2312" w:cs="Arial"/>
                <w:color w:val="000000" w:themeColor="text1"/>
                <w:sz w:val="28"/>
                <w:szCs w:val="28"/>
              </w:rPr>
            </w:pPr>
            <w:r>
              <w:rPr>
                <w:rFonts w:ascii="Arial" w:hAnsi="Arial" w:eastAsia="仿宋_GB2312" w:cs="Arial"/>
                <w:color w:val="000000" w:themeColor="text1"/>
                <w:sz w:val="28"/>
                <w:szCs w:val="28"/>
              </w:rPr>
              <w:t>签名日期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580" w:type="dxa"/>
            <w:vAlign w:val="center"/>
          </w:tcPr>
          <w:p>
            <w:pPr>
              <w:tabs>
                <w:tab w:val="left" w:pos="735"/>
              </w:tabs>
              <w:overflowPunct w:val="0"/>
              <w:spacing w:line="540" w:lineRule="exact"/>
              <w:jc w:val="center"/>
              <w:rPr>
                <w:rFonts w:hint="eastAsia" w:ascii="Arial" w:hAnsi="Arial" w:eastAsia="仿宋_GB2312" w:cs="Arial"/>
                <w:color w:val="000000" w:themeColor="text1"/>
                <w:sz w:val="28"/>
                <w:szCs w:val="28"/>
                <w:lang w:eastAsia="zh-CN"/>
              </w:rPr>
            </w:pPr>
            <w:r>
              <w:rPr>
                <w:rFonts w:hint="eastAsia" w:ascii="Arial" w:hAnsi="Arial" w:eastAsia="仿宋_GB2312" w:cs="Arial"/>
                <w:color w:val="000000" w:themeColor="text1"/>
                <w:sz w:val="28"/>
                <w:szCs w:val="28"/>
                <w:lang w:eastAsia="zh-CN"/>
              </w:rPr>
              <w:t>蒲亚维</w:t>
            </w:r>
          </w:p>
        </w:tc>
        <w:tc>
          <w:tcPr>
            <w:tcW w:w="2149" w:type="dxa"/>
            <w:vAlign w:val="center"/>
          </w:tcPr>
          <w:p>
            <w:pPr>
              <w:snapToGrid w:val="0"/>
              <w:spacing w:line="560" w:lineRule="exact"/>
              <w:jc w:val="center"/>
              <w:rPr>
                <w:rFonts w:hint="eastAsia" w:ascii="仿宋_GB2312" w:hAnsi="仿宋" w:eastAsia="仿宋_GB2312"/>
                <w:color w:val="000000" w:themeColor="text1"/>
                <w:sz w:val="28"/>
                <w:szCs w:val="28"/>
                <w:lang w:eastAsia="zh-CN"/>
              </w:rPr>
            </w:pPr>
            <w:r>
              <w:rPr>
                <w:rFonts w:hint="eastAsia" w:ascii="仿宋_GB2312" w:hAnsi="仿宋" w:eastAsia="仿宋_GB2312"/>
                <w:color w:val="000000" w:themeColor="text1"/>
                <w:sz w:val="28"/>
                <w:szCs w:val="28"/>
                <w:lang w:eastAsia="zh-CN"/>
              </w:rPr>
              <w:t>1320200042</w:t>
            </w:r>
          </w:p>
        </w:tc>
        <w:tc>
          <w:tcPr>
            <w:tcW w:w="2292" w:type="dxa"/>
            <w:vAlign w:val="center"/>
          </w:tcPr>
          <w:p>
            <w:pPr>
              <w:tabs>
                <w:tab w:val="left" w:pos="735"/>
              </w:tabs>
              <w:overflowPunct w:val="0"/>
              <w:spacing w:line="540" w:lineRule="exact"/>
              <w:jc w:val="center"/>
              <w:rPr>
                <w:rFonts w:ascii="仿宋_GB2312" w:eastAsia="仿宋_GB2312" w:cs="仿宋_GB2312"/>
                <w:color w:val="000000" w:themeColor="text1"/>
                <w:sz w:val="32"/>
              </w:rPr>
            </w:pPr>
          </w:p>
        </w:tc>
        <w:tc>
          <w:tcPr>
            <w:tcW w:w="2437" w:type="dxa"/>
            <w:vAlign w:val="center"/>
          </w:tcPr>
          <w:p>
            <w:pPr>
              <w:tabs>
                <w:tab w:val="left" w:pos="735"/>
              </w:tabs>
              <w:wordWrap w:val="0"/>
              <w:overflowPunct w:val="0"/>
              <w:spacing w:line="540" w:lineRule="exact"/>
              <w:jc w:val="center"/>
              <w:rPr>
                <w:rFonts w:ascii="Arial" w:hAnsi="Arial" w:eastAsia="仿宋" w:cs="Arial"/>
                <w:color w:val="000000" w:themeColor="text1"/>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580" w:type="dxa"/>
            <w:vAlign w:val="center"/>
          </w:tcPr>
          <w:p>
            <w:pPr>
              <w:tabs>
                <w:tab w:val="left" w:pos="735"/>
              </w:tabs>
              <w:overflowPunct w:val="0"/>
              <w:spacing w:line="540" w:lineRule="exact"/>
              <w:jc w:val="center"/>
              <w:rPr>
                <w:rFonts w:hint="eastAsia" w:ascii="Arial" w:hAnsi="Arial" w:eastAsia="仿宋_GB2312" w:cs="Arial"/>
                <w:color w:val="000000" w:themeColor="text1"/>
                <w:sz w:val="28"/>
                <w:szCs w:val="28"/>
                <w:lang w:eastAsia="zh-CN"/>
              </w:rPr>
            </w:pPr>
            <w:r>
              <w:rPr>
                <w:rFonts w:hint="eastAsia" w:ascii="Arial" w:hAnsi="Arial" w:eastAsia="仿宋_GB2312" w:cs="Arial"/>
                <w:color w:val="000000" w:themeColor="text1"/>
                <w:sz w:val="28"/>
                <w:szCs w:val="28"/>
                <w:lang w:eastAsia="zh-CN"/>
              </w:rPr>
              <w:t>赵立永</w:t>
            </w:r>
          </w:p>
        </w:tc>
        <w:tc>
          <w:tcPr>
            <w:tcW w:w="2149" w:type="dxa"/>
            <w:vAlign w:val="center"/>
          </w:tcPr>
          <w:p>
            <w:pPr>
              <w:snapToGrid w:val="0"/>
              <w:spacing w:line="560" w:lineRule="exact"/>
              <w:jc w:val="center"/>
              <w:rPr>
                <w:rFonts w:hint="default" w:ascii="仿宋_GB2312" w:hAnsi="仿宋" w:eastAsia="仿宋_GB2312"/>
                <w:color w:val="000000" w:themeColor="text1"/>
                <w:sz w:val="28"/>
                <w:szCs w:val="28"/>
                <w:lang w:val="en-US" w:eastAsia="zh-CN"/>
              </w:rPr>
            </w:pPr>
            <w:r>
              <w:rPr>
                <w:rFonts w:hint="eastAsia" w:ascii="仿宋_GB2312" w:hAnsi="仿宋" w:eastAsia="仿宋_GB2312"/>
                <w:color w:val="000000" w:themeColor="text1"/>
                <w:sz w:val="28"/>
                <w:szCs w:val="28"/>
                <w:lang w:eastAsia="zh-CN"/>
              </w:rPr>
              <w:t>1320</w:t>
            </w:r>
            <w:r>
              <w:rPr>
                <w:rFonts w:hint="eastAsia" w:ascii="仿宋_GB2312" w:hAnsi="仿宋" w:eastAsia="仿宋_GB2312"/>
                <w:color w:val="000000" w:themeColor="text1"/>
                <w:sz w:val="28"/>
                <w:szCs w:val="28"/>
                <w:lang w:val="en-US" w:eastAsia="zh-CN"/>
              </w:rPr>
              <w:t>150131</w:t>
            </w:r>
          </w:p>
        </w:tc>
        <w:tc>
          <w:tcPr>
            <w:tcW w:w="2292" w:type="dxa"/>
            <w:vAlign w:val="center"/>
          </w:tcPr>
          <w:p>
            <w:pPr>
              <w:tabs>
                <w:tab w:val="left" w:pos="2520"/>
              </w:tabs>
              <w:adjustRightInd w:val="0"/>
              <w:snapToGrid w:val="0"/>
              <w:spacing w:line="540" w:lineRule="exact"/>
              <w:jc w:val="center"/>
              <w:rPr>
                <w:rFonts w:ascii="仿宋_GB2312" w:eastAsia="仿宋_GB2312"/>
                <w:color w:val="000000" w:themeColor="text1"/>
                <w:sz w:val="28"/>
                <w:szCs w:val="28"/>
              </w:rPr>
            </w:pPr>
          </w:p>
        </w:tc>
        <w:tc>
          <w:tcPr>
            <w:tcW w:w="2437" w:type="dxa"/>
            <w:vAlign w:val="center"/>
          </w:tcPr>
          <w:p>
            <w:pPr>
              <w:tabs>
                <w:tab w:val="left" w:pos="735"/>
              </w:tabs>
              <w:wordWrap w:val="0"/>
              <w:overflowPunct w:val="0"/>
              <w:spacing w:line="540" w:lineRule="exact"/>
              <w:jc w:val="center"/>
              <w:rPr>
                <w:rFonts w:ascii="Arial" w:hAnsi="Arial" w:eastAsia="仿宋" w:cs="Arial"/>
                <w:color w:val="000000" w:themeColor="text1"/>
                <w:sz w:val="28"/>
                <w:szCs w:val="28"/>
              </w:rPr>
            </w:pPr>
          </w:p>
        </w:tc>
      </w:tr>
    </w:tbl>
    <w:p>
      <w:pPr>
        <w:pStyle w:val="3"/>
        <w:pageBreakBefore w:val="0"/>
        <w:widowControl w:val="0"/>
        <w:kinsoku/>
        <w:wordWrap/>
        <w:overflowPunct/>
        <w:topLinePunct w:val="0"/>
        <w:autoSpaceDE/>
        <w:autoSpaceDN/>
        <w:bidi w:val="0"/>
        <w:snapToGrid w:val="0"/>
        <w:spacing w:before="0" w:after="0" w:line="520" w:lineRule="exact"/>
        <w:ind w:firstLine="562" w:firstLineChars="200"/>
        <w:textAlignment w:val="auto"/>
        <w:rPr>
          <w:rFonts w:ascii="仿宋_GB2312" w:hAnsi="仿宋_GB2312" w:eastAsia="仿宋_GB2312" w:cs="仿宋_GB2312"/>
          <w:color w:val="000000" w:themeColor="text1"/>
          <w:sz w:val="28"/>
          <w:szCs w:val="28"/>
        </w:rPr>
      </w:pPr>
      <w:bookmarkStart w:id="133" w:name="_Toc4900"/>
      <w:bookmarkStart w:id="134" w:name="_Toc20466"/>
      <w:bookmarkStart w:id="135" w:name="_Toc31355"/>
      <w:r>
        <w:rPr>
          <w:rFonts w:hint="eastAsia" w:ascii="仿宋_GB2312" w:hAnsi="仿宋_GB2312" w:eastAsia="仿宋_GB2312" w:cs="仿宋_GB2312"/>
          <w:color w:val="000000" w:themeColor="text1"/>
          <w:sz w:val="28"/>
          <w:szCs w:val="28"/>
        </w:rPr>
        <w:t>十二、实地查勘期</w:t>
      </w:r>
      <w:bookmarkEnd w:id="130"/>
      <w:bookmarkEnd w:id="131"/>
      <w:bookmarkEnd w:id="132"/>
      <w:r>
        <w:rPr>
          <w:rFonts w:hint="eastAsia" w:ascii="仿宋_GB2312" w:hAnsi="仿宋_GB2312" w:eastAsia="仿宋_GB2312" w:cs="仿宋_GB2312"/>
          <w:color w:val="000000" w:themeColor="text1"/>
          <w:sz w:val="28"/>
          <w:szCs w:val="28"/>
        </w:rPr>
        <w:fldChar w:fldCharType="begin"/>
      </w:r>
      <w:r>
        <w:rPr>
          <w:rFonts w:hint="eastAsia" w:ascii="仿宋_GB2312" w:hAnsi="仿宋_GB2312" w:eastAsia="仿宋_GB2312" w:cs="仿宋_GB2312"/>
          <w:color w:val="000000" w:themeColor="text1"/>
          <w:sz w:val="28"/>
          <w:szCs w:val="28"/>
        </w:rPr>
        <w:instrText xml:space="preserve"> TC "</w:instrText>
      </w:r>
      <w:bookmarkStart w:id="136" w:name="_Toc289260260"/>
      <w:bookmarkStart w:id="137" w:name="_Toc288212029"/>
      <w:r>
        <w:rPr>
          <w:rFonts w:hint="eastAsia" w:ascii="仿宋_GB2312" w:hAnsi="仿宋_GB2312" w:eastAsia="仿宋_GB2312" w:cs="仿宋_GB2312"/>
          <w:color w:val="000000" w:themeColor="text1"/>
          <w:sz w:val="28"/>
          <w:szCs w:val="28"/>
        </w:rPr>
        <w:instrText xml:space="preserve">12、估价作业日期</w:instrText>
      </w:r>
      <w:bookmarkEnd w:id="136"/>
      <w:bookmarkEnd w:id="137"/>
      <w:r>
        <w:rPr>
          <w:rFonts w:hint="eastAsia" w:ascii="仿宋_GB2312" w:hAnsi="仿宋_GB2312" w:eastAsia="仿宋_GB2312" w:cs="仿宋_GB2312"/>
          <w:color w:val="000000" w:themeColor="text1"/>
          <w:sz w:val="28"/>
          <w:szCs w:val="28"/>
        </w:rPr>
        <w:instrText xml:space="preserve">" \f C \l "2"</w:instrText>
      </w:r>
      <w:r>
        <w:rPr>
          <w:rFonts w:hint="eastAsia" w:ascii="仿宋_GB2312" w:hAnsi="仿宋_GB2312" w:eastAsia="仿宋_GB2312" w:cs="仿宋_GB2312"/>
          <w:color w:val="000000" w:themeColor="text1"/>
          <w:sz w:val="28"/>
          <w:szCs w:val="28"/>
        </w:rPr>
        <w:fldChar w:fldCharType="end"/>
      </w:r>
      <w:bookmarkEnd w:id="133"/>
      <w:bookmarkEnd w:id="134"/>
      <w:bookmarkEnd w:id="135"/>
    </w:p>
    <w:p>
      <w:pPr>
        <w:pageBreakBefore w:val="0"/>
        <w:widowControl w:val="0"/>
        <w:kinsoku/>
        <w:wordWrap/>
        <w:overflowPunct/>
        <w:topLinePunct w:val="0"/>
        <w:autoSpaceDE/>
        <w:autoSpaceDN/>
        <w:bidi w:val="0"/>
        <w:snapToGrid w:val="0"/>
        <w:spacing w:line="520" w:lineRule="exact"/>
        <w:ind w:firstLine="560" w:firstLineChars="200"/>
        <w:textAlignment w:val="auto"/>
        <w:rPr>
          <w:rFonts w:hint="eastAsia" w:ascii="仿宋_GB2312" w:eastAsia="仿宋_GB2312"/>
          <w:color w:val="000000" w:themeColor="text1"/>
          <w:sz w:val="28"/>
          <w:szCs w:val="28"/>
          <w:lang w:eastAsia="zh-CN"/>
        </w:rPr>
      </w:pPr>
      <w:bookmarkStart w:id="138" w:name="_Toc432411982"/>
      <w:bookmarkStart w:id="139" w:name="_Toc382493632"/>
      <w:r>
        <w:rPr>
          <w:rFonts w:hint="eastAsia" w:ascii="仿宋_GB2312" w:eastAsia="仿宋_GB2312"/>
          <w:color w:val="000000" w:themeColor="text1"/>
          <w:sz w:val="28"/>
          <w:szCs w:val="28"/>
          <w:lang w:eastAsia="zh-CN"/>
        </w:rPr>
        <w:t>2021年9月29日</w:t>
      </w:r>
    </w:p>
    <w:p>
      <w:pPr>
        <w:pStyle w:val="3"/>
        <w:pageBreakBefore w:val="0"/>
        <w:widowControl w:val="0"/>
        <w:kinsoku/>
        <w:wordWrap/>
        <w:overflowPunct/>
        <w:topLinePunct w:val="0"/>
        <w:autoSpaceDE/>
        <w:autoSpaceDN/>
        <w:bidi w:val="0"/>
        <w:snapToGrid w:val="0"/>
        <w:spacing w:before="0" w:after="0" w:line="520" w:lineRule="exact"/>
        <w:ind w:firstLine="562" w:firstLineChars="200"/>
        <w:textAlignment w:val="auto"/>
        <w:rPr>
          <w:rFonts w:ascii="仿宋_GB2312" w:hAnsi="仿宋_GB2312" w:eastAsia="仿宋_GB2312" w:cs="仿宋_GB2312"/>
          <w:color w:val="000000" w:themeColor="text1"/>
          <w:sz w:val="28"/>
          <w:szCs w:val="28"/>
        </w:rPr>
      </w:pPr>
      <w:bookmarkStart w:id="140" w:name="_Toc30935"/>
      <w:bookmarkStart w:id="141" w:name="_Toc2939"/>
      <w:bookmarkStart w:id="142" w:name="_Toc4940"/>
      <w:r>
        <w:rPr>
          <w:rFonts w:hint="eastAsia" w:ascii="仿宋_GB2312" w:hAnsi="仿宋_GB2312" w:eastAsia="仿宋_GB2312" w:cs="仿宋_GB2312"/>
          <w:color w:val="000000" w:themeColor="text1"/>
          <w:sz w:val="28"/>
          <w:szCs w:val="28"/>
        </w:rPr>
        <w:t>十三、估价作业期</w:t>
      </w:r>
      <w:bookmarkEnd w:id="138"/>
      <w:bookmarkEnd w:id="139"/>
      <w:r>
        <w:rPr>
          <w:rFonts w:hint="eastAsia" w:ascii="仿宋_GB2312" w:hAnsi="仿宋_GB2312" w:eastAsia="仿宋_GB2312" w:cs="仿宋_GB2312"/>
          <w:color w:val="000000" w:themeColor="text1"/>
          <w:sz w:val="28"/>
          <w:szCs w:val="28"/>
        </w:rPr>
        <w:fldChar w:fldCharType="begin"/>
      </w:r>
      <w:r>
        <w:rPr>
          <w:rFonts w:hint="eastAsia" w:ascii="仿宋_GB2312" w:hAnsi="仿宋_GB2312" w:eastAsia="仿宋_GB2312" w:cs="仿宋_GB2312"/>
          <w:color w:val="000000" w:themeColor="text1"/>
          <w:sz w:val="28"/>
          <w:szCs w:val="28"/>
        </w:rPr>
        <w:instrText xml:space="preserve"> TC "</w:instrText>
      </w:r>
      <w:bookmarkStart w:id="143" w:name="_Toc288212030"/>
      <w:bookmarkStart w:id="144" w:name="_Toc289260261"/>
      <w:r>
        <w:rPr>
          <w:rFonts w:hint="eastAsia" w:ascii="仿宋_GB2312" w:hAnsi="仿宋_GB2312" w:eastAsia="仿宋_GB2312" w:cs="仿宋_GB2312"/>
          <w:color w:val="000000" w:themeColor="text1"/>
          <w:sz w:val="28"/>
          <w:szCs w:val="28"/>
        </w:rPr>
        <w:instrText xml:space="preserve">13、估价报告使用期限</w:instrText>
      </w:r>
      <w:bookmarkEnd w:id="143"/>
      <w:bookmarkEnd w:id="144"/>
      <w:r>
        <w:rPr>
          <w:rFonts w:hint="eastAsia" w:ascii="仿宋_GB2312" w:hAnsi="仿宋_GB2312" w:eastAsia="仿宋_GB2312" w:cs="仿宋_GB2312"/>
          <w:color w:val="000000" w:themeColor="text1"/>
          <w:sz w:val="28"/>
          <w:szCs w:val="28"/>
        </w:rPr>
        <w:instrText xml:space="preserve">" \f C \l "2"</w:instrText>
      </w:r>
      <w:r>
        <w:rPr>
          <w:rFonts w:hint="eastAsia" w:ascii="仿宋_GB2312" w:hAnsi="仿宋_GB2312" w:eastAsia="仿宋_GB2312" w:cs="仿宋_GB2312"/>
          <w:color w:val="000000" w:themeColor="text1"/>
          <w:sz w:val="28"/>
          <w:szCs w:val="28"/>
        </w:rPr>
        <w:fldChar w:fldCharType="end"/>
      </w:r>
      <w:bookmarkEnd w:id="140"/>
      <w:bookmarkEnd w:id="141"/>
      <w:bookmarkEnd w:id="142"/>
    </w:p>
    <w:p>
      <w:pPr>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仿宋_GB2312" w:eastAsia="仿宋_GB2312"/>
          <w:color w:val="000000" w:themeColor="text1"/>
          <w:sz w:val="28"/>
          <w:szCs w:val="28"/>
          <w:highlight w:val="yellow"/>
          <w:lang w:eastAsia="zh-CN"/>
        </w:rPr>
      </w:pPr>
      <w:r>
        <w:rPr>
          <w:rFonts w:hint="eastAsia" w:ascii="仿宋_GB2312" w:eastAsia="仿宋_GB2312"/>
          <w:color w:val="000000" w:themeColor="text1"/>
          <w:sz w:val="28"/>
          <w:szCs w:val="28"/>
          <w:lang w:eastAsia="zh-CN"/>
        </w:rPr>
        <w:t>2021年9月29日</w:t>
      </w:r>
      <w:r>
        <w:rPr>
          <w:rFonts w:hint="eastAsia" w:ascii="仿宋_GB2312" w:eastAsia="仿宋_GB2312"/>
          <w:color w:val="000000" w:themeColor="text1"/>
          <w:sz w:val="28"/>
          <w:szCs w:val="28"/>
        </w:rPr>
        <w:t>至</w:t>
      </w:r>
      <w:r>
        <w:rPr>
          <w:rFonts w:hint="eastAsia" w:ascii="仿宋_GB2312" w:eastAsia="仿宋_GB2312"/>
          <w:color w:val="000000" w:themeColor="text1"/>
          <w:sz w:val="28"/>
          <w:szCs w:val="28"/>
          <w:highlight w:val="none"/>
          <w:lang w:eastAsia="zh-CN"/>
        </w:rPr>
        <w:t>2021年10月14日</w:t>
      </w:r>
    </w:p>
    <w:p>
      <w:pPr>
        <w:pageBreakBefore w:val="0"/>
        <w:widowControl w:val="0"/>
        <w:kinsoku/>
        <w:wordWrap/>
        <w:overflowPunct/>
        <w:topLinePunct w:val="0"/>
        <w:autoSpaceDE/>
        <w:autoSpaceDN/>
        <w:bidi w:val="0"/>
        <w:adjustRightInd w:val="0"/>
        <w:snapToGrid w:val="0"/>
        <w:spacing w:line="520" w:lineRule="exact"/>
        <w:ind w:firstLine="562" w:firstLineChars="200"/>
        <w:textAlignment w:val="auto"/>
        <w:outlineLvl w:val="1"/>
        <w:rPr>
          <w:rFonts w:ascii="仿宋_GB2312" w:eastAsia="仿宋_GB2312"/>
          <w:color w:val="000000" w:themeColor="text1"/>
          <w:sz w:val="28"/>
          <w:szCs w:val="28"/>
        </w:rPr>
      </w:pPr>
      <w:bookmarkStart w:id="145" w:name="_Toc17705"/>
      <w:bookmarkStart w:id="146" w:name="_Toc11024"/>
      <w:bookmarkStart w:id="147" w:name="_Toc6156"/>
      <w:r>
        <w:rPr>
          <w:rFonts w:hint="eastAsia" w:ascii="仿宋_GB2312" w:hAnsi="仿宋_GB2312" w:eastAsia="仿宋_GB2312" w:cs="仿宋_GB2312"/>
          <w:b/>
          <w:bCs/>
          <w:color w:val="000000" w:themeColor="text1"/>
          <w:sz w:val="28"/>
          <w:szCs w:val="28"/>
        </w:rPr>
        <w:t>十四、估价报告使用期限及限制</w:t>
      </w:r>
      <w:bookmarkEnd w:id="145"/>
      <w:bookmarkEnd w:id="146"/>
      <w:bookmarkEnd w:id="147"/>
    </w:p>
    <w:p>
      <w:pPr>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ascii="仿宋_GB2312" w:eastAsia="仿宋_GB2312"/>
          <w:color w:val="000000" w:themeColor="text1"/>
          <w:sz w:val="28"/>
          <w:szCs w:val="28"/>
          <w:highlight w:val="none"/>
        </w:rPr>
      </w:pPr>
      <w:r>
        <w:rPr>
          <w:rFonts w:hint="eastAsia" w:ascii="仿宋_GB2312" w:eastAsia="仿宋_GB2312"/>
          <w:color w:val="000000" w:themeColor="text1"/>
          <w:sz w:val="28"/>
          <w:szCs w:val="28"/>
          <w:highlight w:val="none"/>
        </w:rPr>
        <w:t>1、本估价报告自出具之日起一年内有效，即自</w:t>
      </w:r>
      <w:r>
        <w:rPr>
          <w:rFonts w:hint="eastAsia" w:ascii="仿宋_GB2312" w:eastAsia="仿宋_GB2312"/>
          <w:color w:val="000000" w:themeColor="text1"/>
          <w:sz w:val="28"/>
          <w:szCs w:val="28"/>
          <w:highlight w:val="none"/>
          <w:lang w:eastAsia="zh-CN"/>
        </w:rPr>
        <w:t>2021年10月14日</w:t>
      </w:r>
      <w:r>
        <w:rPr>
          <w:rFonts w:hint="eastAsia" w:ascii="仿宋_GB2312" w:eastAsia="仿宋_GB2312"/>
          <w:color w:val="000000" w:themeColor="text1"/>
          <w:sz w:val="28"/>
          <w:szCs w:val="28"/>
          <w:highlight w:val="none"/>
        </w:rPr>
        <w:t>至2022年</w:t>
      </w:r>
      <w:r>
        <w:rPr>
          <w:rFonts w:hint="eastAsia" w:ascii="仿宋_GB2312" w:eastAsia="仿宋_GB2312"/>
          <w:color w:val="000000" w:themeColor="text1"/>
          <w:sz w:val="28"/>
          <w:szCs w:val="28"/>
          <w:highlight w:val="none"/>
          <w:lang w:val="en-US" w:eastAsia="zh-CN"/>
        </w:rPr>
        <w:t>10</w:t>
      </w:r>
      <w:r>
        <w:rPr>
          <w:rFonts w:hint="eastAsia" w:ascii="仿宋_GB2312" w:eastAsia="仿宋_GB2312"/>
          <w:color w:val="000000" w:themeColor="text1"/>
          <w:sz w:val="28"/>
          <w:szCs w:val="28"/>
          <w:highlight w:val="none"/>
        </w:rPr>
        <w:t>月</w:t>
      </w:r>
      <w:r>
        <w:rPr>
          <w:rFonts w:hint="eastAsia" w:ascii="仿宋_GB2312" w:eastAsia="仿宋_GB2312"/>
          <w:color w:val="000000" w:themeColor="text1"/>
          <w:sz w:val="28"/>
          <w:szCs w:val="28"/>
          <w:highlight w:val="none"/>
          <w:lang w:val="en-US" w:eastAsia="zh-CN"/>
        </w:rPr>
        <w:t>07</w:t>
      </w:r>
      <w:r>
        <w:rPr>
          <w:rFonts w:hint="eastAsia" w:ascii="仿宋_GB2312" w:eastAsia="仿宋_GB2312"/>
          <w:color w:val="000000" w:themeColor="text1"/>
          <w:sz w:val="28"/>
          <w:szCs w:val="28"/>
          <w:highlight w:val="none"/>
        </w:rPr>
        <w:t>日。</w:t>
      </w:r>
    </w:p>
    <w:p>
      <w:pPr>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ascii="仿宋_GB2312" w:eastAsia="仿宋_GB2312"/>
          <w:b/>
          <w:bCs/>
          <w:snapToGrid w:val="0"/>
          <w:color w:val="000000" w:themeColor="text1"/>
          <w:kern w:val="0"/>
          <w:sz w:val="36"/>
          <w:szCs w:val="36"/>
        </w:rPr>
      </w:pPr>
      <w:r>
        <w:rPr>
          <w:rFonts w:hint="eastAsia" w:ascii="仿宋_GB2312" w:eastAsia="仿宋_GB2312"/>
          <w:color w:val="000000" w:themeColor="text1"/>
          <w:sz w:val="28"/>
          <w:szCs w:val="28"/>
        </w:rPr>
        <w:t>2、本估价报告只能用于与本次估价目的相符的用途、若改变用途，必须重新估价。</w:t>
      </w:r>
      <w:bookmarkEnd w:id="42"/>
      <w:bookmarkEnd w:id="126"/>
      <w:bookmarkStart w:id="148" w:name="_Toc383069674"/>
    </w:p>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148"/>
    <w:p>
      <w:pPr>
        <w:snapToGrid w:val="0"/>
        <w:spacing w:line="540" w:lineRule="exact"/>
        <w:ind w:firstLine="723" w:firstLineChars="200"/>
        <w:jc w:val="center"/>
        <w:rPr>
          <w:rFonts w:hint="eastAsia" w:ascii="仿宋_GB2312" w:eastAsia="仿宋_GB2312"/>
          <w:b/>
          <w:snapToGrid w:val="0"/>
          <w:color w:val="000000" w:themeColor="text1"/>
          <w:kern w:val="0"/>
          <w:sz w:val="36"/>
          <w:szCs w:val="36"/>
        </w:rPr>
        <w:sectPr>
          <w:headerReference r:id="rId8" w:type="default"/>
          <w:footerReference r:id="rId9" w:type="default"/>
          <w:pgSz w:w="11906" w:h="16838"/>
          <w:pgMar w:top="1814" w:right="1276" w:bottom="1418" w:left="1701" w:header="1418" w:footer="737" w:gutter="0"/>
          <w:pgBorders>
            <w:top w:val="none" w:sz="0" w:space="0"/>
            <w:left w:val="none" w:sz="0" w:space="0"/>
            <w:bottom w:val="none" w:sz="0" w:space="0"/>
            <w:right w:val="none" w:sz="0" w:space="0"/>
          </w:pgBorders>
          <w:cols w:space="720" w:num="1"/>
          <w:docGrid w:type="lines" w:linePitch="286" w:charSpace="0"/>
        </w:sectPr>
      </w:pPr>
      <w:bookmarkStart w:id="149" w:name="_Toc11418"/>
      <w:bookmarkStart w:id="150" w:name="_Toc382493637"/>
      <w:bookmarkStart w:id="151" w:name="_Toc301369728"/>
      <w:bookmarkStart w:id="152" w:name="_Toc387827709"/>
      <w:bookmarkStart w:id="153" w:name="_Toc383069701"/>
      <w:bookmarkStart w:id="154" w:name="_Toc367869510"/>
    </w:p>
    <w:p>
      <w:pPr>
        <w:snapToGrid w:val="0"/>
        <w:spacing w:line="540" w:lineRule="exact"/>
        <w:ind w:firstLine="723" w:firstLineChars="200"/>
        <w:jc w:val="center"/>
        <w:rPr>
          <w:rFonts w:ascii="仿宋_GB2312" w:eastAsia="仿宋_GB2312"/>
          <w:b/>
          <w:snapToGrid w:val="0"/>
          <w:color w:val="000000" w:themeColor="text1"/>
          <w:kern w:val="0"/>
          <w:sz w:val="36"/>
          <w:szCs w:val="36"/>
        </w:rPr>
      </w:pPr>
      <w:r>
        <w:rPr>
          <w:rFonts w:hint="eastAsia" w:ascii="仿宋_GB2312" w:eastAsia="仿宋_GB2312"/>
          <w:b/>
          <w:snapToGrid w:val="0"/>
          <w:color w:val="000000" w:themeColor="text1"/>
          <w:kern w:val="0"/>
          <w:sz w:val="36"/>
          <w:szCs w:val="36"/>
        </w:rPr>
        <w:t>附   件</w:t>
      </w:r>
      <w:bookmarkEnd w:id="149"/>
    </w:p>
    <w:p>
      <w:pPr>
        <w:rPr>
          <w:color w:val="000000" w:themeColor="text1"/>
        </w:rPr>
      </w:pPr>
    </w:p>
    <w:p>
      <w:pPr>
        <w:pStyle w:val="80"/>
        <w:adjustRightInd w:val="0"/>
        <w:snapToGrid w:val="0"/>
        <w:spacing w:line="600" w:lineRule="exact"/>
        <w:ind w:left="765" w:firstLine="0" w:firstLineChars="0"/>
        <w:rPr>
          <w:rFonts w:ascii="仿宋_GB2312" w:hAnsi="仿宋" w:eastAsia="仿宋_GB2312"/>
          <w:color w:val="000000" w:themeColor="text1"/>
          <w:sz w:val="28"/>
          <w:szCs w:val="28"/>
        </w:rPr>
      </w:pPr>
      <w:r>
        <w:rPr>
          <w:rFonts w:hint="eastAsia" w:ascii="仿宋_GB2312" w:hAnsi="仿宋" w:eastAsia="仿宋_GB2312"/>
          <w:color w:val="000000" w:themeColor="text1"/>
          <w:sz w:val="28"/>
          <w:szCs w:val="28"/>
        </w:rPr>
        <w:t>附件一  估价对象所处位置示意图</w:t>
      </w:r>
    </w:p>
    <w:p>
      <w:pPr>
        <w:pStyle w:val="80"/>
        <w:adjustRightInd w:val="0"/>
        <w:snapToGrid w:val="0"/>
        <w:spacing w:line="600" w:lineRule="exact"/>
        <w:ind w:left="765" w:firstLine="0" w:firstLineChars="0"/>
        <w:rPr>
          <w:rFonts w:ascii="仿宋_GB2312" w:hAnsi="仿宋" w:eastAsia="仿宋_GB2312"/>
          <w:color w:val="000000" w:themeColor="text1"/>
          <w:sz w:val="28"/>
          <w:szCs w:val="28"/>
        </w:rPr>
      </w:pPr>
      <w:r>
        <w:rPr>
          <w:rFonts w:hint="eastAsia" w:ascii="仿宋_GB2312" w:hAnsi="仿宋" w:eastAsia="仿宋_GB2312"/>
          <w:color w:val="000000" w:themeColor="text1"/>
          <w:sz w:val="28"/>
          <w:szCs w:val="28"/>
        </w:rPr>
        <w:t>附件二  估价对象现场查勘照片</w:t>
      </w:r>
    </w:p>
    <w:p>
      <w:pPr>
        <w:pStyle w:val="80"/>
        <w:adjustRightInd w:val="0"/>
        <w:snapToGrid w:val="0"/>
        <w:spacing w:line="600" w:lineRule="exact"/>
        <w:ind w:left="765" w:firstLine="0" w:firstLineChars="0"/>
        <w:rPr>
          <w:rFonts w:hint="eastAsia" w:ascii="仿宋_GB2312" w:hAnsi="仿宋" w:eastAsia="仿宋_GB2312"/>
          <w:color w:val="000000" w:themeColor="text1"/>
          <w:sz w:val="28"/>
          <w:szCs w:val="28"/>
        </w:rPr>
      </w:pPr>
      <w:r>
        <w:rPr>
          <w:rFonts w:hint="eastAsia" w:ascii="仿宋_GB2312" w:hAnsi="仿宋" w:eastAsia="仿宋_GB2312"/>
          <w:color w:val="000000" w:themeColor="text1"/>
          <w:sz w:val="28"/>
          <w:szCs w:val="28"/>
        </w:rPr>
        <w:t>附件三 《</w:t>
      </w:r>
      <w:r>
        <w:rPr>
          <w:rFonts w:hint="eastAsia" w:ascii="仿宋_GB2312" w:hAnsi="仿宋" w:eastAsia="仿宋_GB2312"/>
          <w:color w:val="000000" w:themeColor="text1"/>
          <w:sz w:val="28"/>
          <w:szCs w:val="28"/>
          <w:lang w:eastAsia="zh-CN"/>
        </w:rPr>
        <w:t>长安区人民法院司法鉴定委托书</w:t>
      </w:r>
      <w:r>
        <w:rPr>
          <w:rFonts w:hint="eastAsia" w:ascii="仿宋_GB2312" w:hAnsi="仿宋" w:eastAsia="仿宋_GB2312"/>
          <w:color w:val="000000" w:themeColor="text1"/>
          <w:sz w:val="28"/>
          <w:szCs w:val="28"/>
        </w:rPr>
        <w:t>》复印件</w:t>
      </w:r>
    </w:p>
    <w:p>
      <w:pPr>
        <w:pStyle w:val="80"/>
        <w:adjustRightInd w:val="0"/>
        <w:snapToGrid w:val="0"/>
        <w:spacing w:line="600" w:lineRule="exact"/>
        <w:ind w:left="765" w:firstLine="0" w:firstLineChars="0"/>
        <w:rPr>
          <w:rFonts w:hint="eastAsia" w:ascii="仿宋_GB2312" w:hAnsi="仿宋" w:eastAsia="仿宋_GB2312"/>
          <w:color w:val="000000" w:themeColor="text1"/>
          <w:sz w:val="28"/>
          <w:szCs w:val="28"/>
        </w:rPr>
      </w:pPr>
      <w:r>
        <w:rPr>
          <w:rFonts w:hint="eastAsia" w:ascii="仿宋_GB2312" w:hAnsi="仿宋" w:eastAsia="仿宋_GB2312"/>
          <w:color w:val="000000" w:themeColor="text1"/>
          <w:sz w:val="28"/>
          <w:szCs w:val="28"/>
        </w:rPr>
        <w:t xml:space="preserve">附件四 </w:t>
      </w:r>
      <w:r>
        <w:rPr>
          <w:rFonts w:hint="eastAsia" w:ascii="仿宋_GB2312" w:hAnsi="仿宋" w:eastAsia="仿宋_GB2312"/>
          <w:color w:val="000000" w:themeColor="text1"/>
          <w:sz w:val="28"/>
          <w:szCs w:val="28"/>
          <w:lang w:val="en-US" w:eastAsia="zh-CN"/>
        </w:rPr>
        <w:t>《河北省石家庄市长安区人民法院协助执行通知书》复印件</w:t>
      </w:r>
    </w:p>
    <w:p>
      <w:pPr>
        <w:pStyle w:val="80"/>
        <w:adjustRightInd w:val="0"/>
        <w:snapToGrid w:val="0"/>
        <w:spacing w:line="600" w:lineRule="exact"/>
        <w:ind w:left="765" w:firstLine="0" w:firstLineChars="0"/>
        <w:rPr>
          <w:rFonts w:hint="eastAsia" w:ascii="仿宋_GB2312" w:hAnsi="仿宋" w:eastAsia="仿宋_GB2312"/>
          <w:color w:val="000000" w:themeColor="text1"/>
          <w:sz w:val="28"/>
          <w:szCs w:val="28"/>
        </w:rPr>
      </w:pPr>
      <w:r>
        <w:rPr>
          <w:rFonts w:hint="eastAsia" w:ascii="仿宋_GB2312" w:hAnsi="仿宋" w:eastAsia="仿宋_GB2312"/>
          <w:color w:val="000000" w:themeColor="text1"/>
          <w:sz w:val="28"/>
          <w:szCs w:val="28"/>
        </w:rPr>
        <w:t>附件</w:t>
      </w:r>
      <w:r>
        <w:rPr>
          <w:rFonts w:hint="eastAsia" w:ascii="仿宋_GB2312" w:hAnsi="仿宋" w:eastAsia="仿宋_GB2312"/>
          <w:color w:val="000000" w:themeColor="text1"/>
          <w:sz w:val="28"/>
          <w:szCs w:val="28"/>
          <w:lang w:val="en-US" w:eastAsia="zh-CN"/>
        </w:rPr>
        <w:t xml:space="preserve">五 </w:t>
      </w:r>
      <w:r>
        <w:rPr>
          <w:rFonts w:hint="eastAsia" w:ascii="仿宋_GB2312" w:hAnsi="仿宋" w:eastAsia="仿宋_GB2312"/>
          <w:color w:val="000000" w:themeColor="text1"/>
          <w:sz w:val="28"/>
          <w:szCs w:val="28"/>
          <w:lang w:eastAsia="zh-CN"/>
        </w:rPr>
        <w:t>《石家庄市不动产登记资料查询结果》</w:t>
      </w:r>
      <w:r>
        <w:rPr>
          <w:rFonts w:hint="eastAsia" w:ascii="仿宋_GB2312" w:hAnsi="仿宋" w:eastAsia="仿宋_GB2312"/>
          <w:color w:val="000000" w:themeColor="text1"/>
          <w:sz w:val="28"/>
          <w:szCs w:val="28"/>
        </w:rPr>
        <w:t>复印件</w:t>
      </w:r>
    </w:p>
    <w:p>
      <w:pPr>
        <w:pStyle w:val="80"/>
        <w:adjustRightInd w:val="0"/>
        <w:snapToGrid w:val="0"/>
        <w:spacing w:line="600" w:lineRule="exact"/>
        <w:ind w:left="765" w:firstLine="0" w:firstLineChars="0"/>
        <w:rPr>
          <w:rFonts w:hint="eastAsia" w:ascii="仿宋_GB2312" w:hAnsi="仿宋" w:eastAsia="仿宋_GB2312"/>
          <w:color w:val="000000" w:themeColor="text1"/>
          <w:sz w:val="28"/>
          <w:szCs w:val="28"/>
          <w:lang w:eastAsia="zh-CN"/>
        </w:rPr>
      </w:pPr>
      <w:r>
        <w:rPr>
          <w:rFonts w:hint="eastAsia" w:ascii="仿宋_GB2312" w:hAnsi="仿宋" w:eastAsia="仿宋_GB2312"/>
          <w:color w:val="000000" w:themeColor="text1"/>
          <w:sz w:val="28"/>
          <w:szCs w:val="28"/>
        </w:rPr>
        <w:t>附件</w:t>
      </w:r>
      <w:r>
        <w:rPr>
          <w:rFonts w:hint="eastAsia" w:ascii="仿宋_GB2312" w:hAnsi="仿宋" w:eastAsia="仿宋_GB2312"/>
          <w:color w:val="000000" w:themeColor="text1"/>
          <w:sz w:val="28"/>
          <w:szCs w:val="28"/>
          <w:lang w:val="en-US" w:eastAsia="zh-CN"/>
        </w:rPr>
        <w:t xml:space="preserve">六  </w:t>
      </w:r>
      <w:r>
        <w:rPr>
          <w:rFonts w:hint="eastAsia" w:ascii="仿宋_GB2312" w:hAnsi="仿宋" w:eastAsia="仿宋_GB2312"/>
          <w:color w:val="000000" w:themeColor="text1"/>
          <w:sz w:val="28"/>
          <w:szCs w:val="28"/>
          <w:lang w:eastAsia="zh-CN"/>
        </w:rPr>
        <w:t>当事人身份证复印件</w:t>
      </w:r>
    </w:p>
    <w:p>
      <w:pPr>
        <w:pStyle w:val="80"/>
        <w:adjustRightInd w:val="0"/>
        <w:snapToGrid w:val="0"/>
        <w:spacing w:line="600" w:lineRule="exact"/>
        <w:ind w:left="765" w:firstLine="0" w:firstLineChars="0"/>
        <w:rPr>
          <w:rFonts w:hint="eastAsia" w:ascii="仿宋_GB2312" w:hAnsi="仿宋" w:eastAsia="仿宋_GB2312"/>
          <w:color w:val="000000" w:themeColor="text1"/>
          <w:sz w:val="28"/>
          <w:szCs w:val="28"/>
          <w:lang w:val="en-US" w:eastAsia="zh-CN"/>
        </w:rPr>
      </w:pPr>
      <w:r>
        <w:rPr>
          <w:rFonts w:hint="eastAsia" w:ascii="仿宋_GB2312" w:hAnsi="仿宋" w:eastAsia="仿宋_GB2312"/>
          <w:color w:val="000000" w:themeColor="text1"/>
          <w:sz w:val="28"/>
          <w:szCs w:val="28"/>
        </w:rPr>
        <w:t>附件</w:t>
      </w:r>
      <w:r>
        <w:rPr>
          <w:rFonts w:hint="eastAsia" w:ascii="仿宋_GB2312" w:hAnsi="仿宋" w:eastAsia="仿宋_GB2312"/>
          <w:color w:val="000000" w:themeColor="text1"/>
          <w:sz w:val="28"/>
          <w:szCs w:val="28"/>
          <w:lang w:val="en-US" w:eastAsia="zh-CN"/>
        </w:rPr>
        <w:t xml:space="preserve">七 </w:t>
      </w:r>
      <w:r>
        <w:rPr>
          <w:rFonts w:hint="eastAsia" w:ascii="仿宋_GB2312" w:hAnsi="仿宋" w:eastAsia="仿宋_GB2312"/>
          <w:color w:val="000000" w:themeColor="text1"/>
          <w:sz w:val="28"/>
          <w:szCs w:val="28"/>
          <w:lang w:eastAsia="zh-CN"/>
        </w:rPr>
        <w:t>《河北省石家庄市长安区人民法院民事调解书》复印件</w:t>
      </w:r>
    </w:p>
    <w:p>
      <w:pPr>
        <w:pStyle w:val="80"/>
        <w:adjustRightInd w:val="0"/>
        <w:snapToGrid w:val="0"/>
        <w:spacing w:line="600" w:lineRule="exact"/>
        <w:ind w:left="765" w:firstLine="0" w:firstLineChars="0"/>
        <w:rPr>
          <w:rFonts w:ascii="仿宋_GB2312" w:hAnsi="仿宋" w:eastAsia="仿宋_GB2312"/>
          <w:color w:val="000000" w:themeColor="text1"/>
          <w:sz w:val="28"/>
          <w:szCs w:val="28"/>
        </w:rPr>
      </w:pPr>
      <w:r>
        <w:rPr>
          <w:rFonts w:hint="eastAsia" w:ascii="仿宋_GB2312" w:hAnsi="仿宋" w:eastAsia="仿宋_GB2312"/>
          <w:color w:val="000000" w:themeColor="text1"/>
          <w:sz w:val="28"/>
          <w:szCs w:val="28"/>
        </w:rPr>
        <w:t>附件</w:t>
      </w:r>
      <w:r>
        <w:rPr>
          <w:rFonts w:hint="eastAsia" w:ascii="仿宋_GB2312" w:hAnsi="仿宋" w:eastAsia="仿宋_GB2312"/>
          <w:color w:val="000000" w:themeColor="text1"/>
          <w:sz w:val="28"/>
          <w:szCs w:val="28"/>
          <w:lang w:val="en-US" w:eastAsia="zh-CN"/>
        </w:rPr>
        <w:t>八</w:t>
      </w:r>
      <w:r>
        <w:rPr>
          <w:rFonts w:hint="eastAsia" w:ascii="仿宋_GB2312" w:hAnsi="仿宋" w:eastAsia="仿宋_GB2312"/>
          <w:color w:val="000000" w:themeColor="text1"/>
          <w:sz w:val="28"/>
          <w:szCs w:val="28"/>
        </w:rPr>
        <w:t xml:space="preserve">  房地产估价机构营业执照复印件</w:t>
      </w:r>
    </w:p>
    <w:p>
      <w:pPr>
        <w:pStyle w:val="80"/>
        <w:adjustRightInd w:val="0"/>
        <w:snapToGrid w:val="0"/>
        <w:spacing w:line="600" w:lineRule="exact"/>
        <w:ind w:left="765" w:firstLine="0" w:firstLineChars="0"/>
        <w:rPr>
          <w:rFonts w:ascii="仿宋_GB2312" w:hAnsi="仿宋" w:eastAsia="仿宋_GB2312"/>
          <w:color w:val="000000" w:themeColor="text1"/>
          <w:sz w:val="28"/>
          <w:szCs w:val="28"/>
        </w:rPr>
      </w:pPr>
      <w:r>
        <w:rPr>
          <w:rFonts w:hint="eastAsia" w:ascii="仿宋_GB2312" w:hAnsi="仿宋" w:eastAsia="仿宋_GB2312"/>
          <w:color w:val="000000" w:themeColor="text1"/>
          <w:sz w:val="28"/>
          <w:szCs w:val="28"/>
        </w:rPr>
        <w:t>附件</w:t>
      </w:r>
      <w:r>
        <w:rPr>
          <w:rFonts w:hint="eastAsia" w:ascii="仿宋_GB2312" w:hAnsi="仿宋" w:eastAsia="仿宋_GB2312"/>
          <w:color w:val="000000" w:themeColor="text1"/>
          <w:sz w:val="28"/>
          <w:szCs w:val="28"/>
          <w:lang w:val="en-US" w:eastAsia="zh-CN"/>
        </w:rPr>
        <w:t>九</w:t>
      </w:r>
      <w:r>
        <w:rPr>
          <w:rFonts w:hint="eastAsia" w:ascii="仿宋_GB2312" w:hAnsi="仿宋" w:eastAsia="仿宋_GB2312"/>
          <w:color w:val="000000" w:themeColor="text1"/>
          <w:sz w:val="28"/>
          <w:szCs w:val="28"/>
        </w:rPr>
        <w:t xml:space="preserve">  房地产估价机构资格证书复印件</w:t>
      </w:r>
    </w:p>
    <w:p>
      <w:pPr>
        <w:pStyle w:val="80"/>
        <w:adjustRightInd w:val="0"/>
        <w:snapToGrid w:val="0"/>
        <w:spacing w:line="600" w:lineRule="exact"/>
        <w:ind w:left="765" w:firstLine="0" w:firstLineChars="0"/>
        <w:rPr>
          <w:rFonts w:ascii="仿宋_GB2312" w:hAnsi="仿宋" w:eastAsia="仿宋_GB2312"/>
          <w:color w:val="000000" w:themeColor="text1"/>
          <w:sz w:val="28"/>
          <w:szCs w:val="28"/>
        </w:rPr>
      </w:pPr>
      <w:r>
        <w:rPr>
          <w:rFonts w:hint="eastAsia" w:ascii="仿宋_GB2312" w:hAnsi="仿宋" w:eastAsia="仿宋_GB2312"/>
          <w:color w:val="000000" w:themeColor="text1"/>
          <w:sz w:val="28"/>
          <w:szCs w:val="28"/>
        </w:rPr>
        <w:t>附件</w:t>
      </w:r>
      <w:r>
        <w:rPr>
          <w:rFonts w:hint="eastAsia" w:ascii="仿宋_GB2312" w:hAnsi="仿宋" w:eastAsia="仿宋_GB2312"/>
          <w:color w:val="000000" w:themeColor="text1"/>
          <w:sz w:val="28"/>
          <w:szCs w:val="28"/>
          <w:lang w:val="en-US" w:eastAsia="zh-CN"/>
        </w:rPr>
        <w:t>十</w:t>
      </w:r>
      <w:r>
        <w:rPr>
          <w:rFonts w:hint="eastAsia" w:ascii="仿宋_GB2312" w:hAnsi="仿宋" w:eastAsia="仿宋_GB2312"/>
          <w:color w:val="000000" w:themeColor="text1"/>
          <w:sz w:val="28"/>
          <w:szCs w:val="28"/>
        </w:rPr>
        <w:t xml:space="preserve">  房地产估价师资格证复印件</w:t>
      </w:r>
    </w:p>
    <w:p>
      <w:pPr>
        <w:pStyle w:val="80"/>
        <w:adjustRightInd w:val="0"/>
        <w:snapToGrid w:val="0"/>
        <w:spacing w:line="600" w:lineRule="exact"/>
        <w:ind w:left="765" w:firstLine="0" w:firstLineChars="0"/>
        <w:rPr>
          <w:rFonts w:ascii="仿宋_GB2312" w:hAnsi="仿宋" w:eastAsia="仿宋_GB2312"/>
          <w:color w:val="000000" w:themeColor="text1"/>
          <w:sz w:val="28"/>
          <w:szCs w:val="28"/>
        </w:rPr>
      </w:pPr>
    </w:p>
    <w:p>
      <w:pPr>
        <w:rPr>
          <w:rFonts w:ascii="仿宋_GB2312" w:eastAsia="仿宋_GB2312"/>
          <w:snapToGrid w:val="0"/>
          <w:color w:val="000000" w:themeColor="text1"/>
          <w:kern w:val="0"/>
          <w:sz w:val="36"/>
          <w:szCs w:val="36"/>
        </w:rPr>
      </w:pPr>
    </w:p>
    <w:p>
      <w:pPr>
        <w:rPr>
          <w:rFonts w:ascii="仿宋_GB2312" w:eastAsia="仿宋_GB2312"/>
          <w:snapToGrid w:val="0"/>
          <w:color w:val="000000" w:themeColor="text1"/>
          <w:kern w:val="0"/>
          <w:sz w:val="36"/>
          <w:szCs w:val="36"/>
        </w:rPr>
      </w:pPr>
    </w:p>
    <w:p>
      <w:pPr>
        <w:rPr>
          <w:rFonts w:ascii="仿宋_GB2312" w:eastAsia="仿宋_GB2312"/>
          <w:snapToGrid w:val="0"/>
          <w:color w:val="000000" w:themeColor="text1"/>
          <w:kern w:val="0"/>
          <w:sz w:val="36"/>
          <w:szCs w:val="36"/>
        </w:rPr>
      </w:pPr>
    </w:p>
    <w:p>
      <w:pPr>
        <w:rPr>
          <w:rFonts w:ascii="仿宋_GB2312" w:eastAsia="仿宋_GB2312"/>
          <w:snapToGrid w:val="0"/>
          <w:color w:val="000000" w:themeColor="text1"/>
          <w:kern w:val="0"/>
          <w:sz w:val="36"/>
          <w:szCs w:val="36"/>
        </w:rPr>
      </w:pPr>
    </w:p>
    <w:p>
      <w:pPr>
        <w:rPr>
          <w:rFonts w:ascii="仿宋_GB2312" w:eastAsia="仿宋_GB2312"/>
          <w:snapToGrid w:val="0"/>
          <w:color w:val="000000" w:themeColor="text1"/>
          <w:kern w:val="0"/>
          <w:sz w:val="36"/>
          <w:szCs w:val="36"/>
        </w:rPr>
      </w:pPr>
    </w:p>
    <w:p>
      <w:pPr>
        <w:rPr>
          <w:rFonts w:ascii="仿宋_GB2312" w:eastAsia="仿宋_GB2312"/>
          <w:snapToGrid w:val="0"/>
          <w:color w:val="000000" w:themeColor="text1"/>
          <w:kern w:val="0"/>
          <w:sz w:val="36"/>
          <w:szCs w:val="36"/>
        </w:rPr>
      </w:pPr>
    </w:p>
    <w:p>
      <w:pPr>
        <w:rPr>
          <w:rFonts w:ascii="仿宋_GB2312" w:eastAsia="仿宋_GB2312"/>
          <w:snapToGrid w:val="0"/>
          <w:color w:val="000000" w:themeColor="text1"/>
          <w:kern w:val="0"/>
          <w:sz w:val="36"/>
          <w:szCs w:val="36"/>
        </w:rPr>
      </w:pPr>
    </w:p>
    <w:p>
      <w:pPr>
        <w:rPr>
          <w:rFonts w:ascii="仿宋_GB2312" w:eastAsia="仿宋_GB2312"/>
          <w:snapToGrid w:val="0"/>
          <w:color w:val="000000" w:themeColor="text1"/>
          <w:kern w:val="0"/>
          <w:sz w:val="36"/>
          <w:szCs w:val="36"/>
        </w:rPr>
        <w:sectPr>
          <w:headerReference r:id="rId10" w:type="default"/>
          <w:footerReference r:id="rId11" w:type="default"/>
          <w:pgSz w:w="11906" w:h="16838"/>
          <w:pgMar w:top="1814" w:right="1276" w:bottom="1418" w:left="1701" w:header="1418" w:footer="737" w:gutter="0"/>
          <w:pgBorders>
            <w:top w:val="none" w:sz="0" w:space="0"/>
            <w:left w:val="none" w:sz="0" w:space="0"/>
            <w:bottom w:val="none" w:sz="0" w:space="0"/>
            <w:right w:val="none" w:sz="0" w:space="0"/>
          </w:pgBorders>
          <w:cols w:space="720" w:num="1"/>
          <w:docGrid w:type="lines" w:linePitch="286" w:charSpace="0"/>
        </w:sectPr>
      </w:pPr>
    </w:p>
    <w:bookmarkEnd w:id="150"/>
    <w:bookmarkEnd w:id="151"/>
    <w:bookmarkEnd w:id="152"/>
    <w:bookmarkEnd w:id="153"/>
    <w:bookmarkEnd w:id="154"/>
    <w:p>
      <w:pPr>
        <w:jc w:val="center"/>
        <w:rPr>
          <w:rFonts w:ascii="仿宋" w:hAnsi="仿宋" w:eastAsia="仿宋"/>
          <w:b/>
          <w:snapToGrid w:val="0"/>
          <w:color w:val="000000" w:themeColor="text1"/>
          <w:sz w:val="36"/>
          <w:szCs w:val="36"/>
        </w:rPr>
      </w:pPr>
      <w:r>
        <w:rPr>
          <w:color w:val="000000" w:themeColor="text1"/>
          <w:sz w:val="36"/>
        </w:rPr>
        <w:pict>
          <v:shape id="_x0000_s2052" o:spid="_x0000_s2052" o:spt="68" type="#_x0000_t68" style="position:absolute;left:0pt;margin-left:374.6pt;margin-top:29.7pt;height:23.25pt;width:5.95pt;z-index:251659264;mso-width-relative:page;mso-height-relative:page;" filled="t" stroked="t" coordsize="21600,21600">
            <v:path/>
            <v:fill type="gradient" on="t" angle="90" focussize="0f,0f">
              <o:fill type="gradientUnscaled" v:ext="backwardCompatible"/>
            </v:fill>
            <v:stroke weight="1.25pt" color="#739CC3" joinstyle="miter"/>
            <v:imagedata o:title=""/>
            <o:lock v:ext="edit"/>
          </v:shape>
        </w:pict>
      </w:r>
      <w:r>
        <w:rPr>
          <w:rFonts w:hint="eastAsia" w:ascii="仿宋" w:hAnsi="仿宋" w:eastAsia="仿宋"/>
          <w:b/>
          <w:snapToGrid w:val="0"/>
          <w:color w:val="000000" w:themeColor="text1"/>
          <w:sz w:val="36"/>
          <w:szCs w:val="36"/>
        </w:rPr>
        <w:t>估价对象位置示意图</w:t>
      </w:r>
    </w:p>
    <w:p>
      <w:pPr>
        <w:spacing w:line="360" w:lineRule="auto"/>
        <w:ind w:left="178" w:hanging="177" w:hangingChars="74"/>
        <w:jc w:val="center"/>
        <w:rPr>
          <w:rFonts w:ascii="黑体" w:hAnsi="黑体" w:eastAsia="黑体"/>
          <w:color w:val="000000" w:themeColor="text1"/>
          <w:sz w:val="24"/>
          <w:szCs w:val="24"/>
        </w:rPr>
      </w:pPr>
      <w:r>
        <w:rPr>
          <w:rFonts w:hint="eastAsia" w:ascii="黑体" w:hAnsi="黑体" w:eastAsia="黑体"/>
          <w:color w:val="000000" w:themeColor="text1"/>
          <w:sz w:val="24"/>
          <w:szCs w:val="24"/>
        </w:rPr>
        <w:t>区域位置示意图</w:t>
      </w:r>
    </w:p>
    <w:p>
      <w:pPr>
        <w:spacing w:line="360" w:lineRule="auto"/>
        <w:ind w:left="155" w:hanging="155" w:hangingChars="74"/>
        <w:jc w:val="center"/>
        <w:rPr>
          <w:rFonts w:ascii="黑体" w:hAnsi="黑体" w:eastAsia="黑体"/>
          <w:color w:val="000000" w:themeColor="text1"/>
          <w:sz w:val="24"/>
          <w:szCs w:val="24"/>
        </w:rPr>
      </w:pPr>
      <w:r>
        <w:pict>
          <v:shape id="_x0000_i1027" o:spt="75" type="#_x0000_t75" style="height:254.75pt;width:370.55pt;" filled="f" o:preferrelative="t" stroked="f" coordsize="21600,21600">
            <v:path/>
            <v:fill on="f" focussize="0,0"/>
            <v:stroke on="f"/>
            <v:imagedata r:id="rId18" o:title=""/>
            <o:lock v:ext="edit" aspectratio="t"/>
            <w10:wrap type="none"/>
            <w10:anchorlock/>
          </v:shape>
        </w:pict>
      </w:r>
    </w:p>
    <w:p>
      <w:pPr>
        <w:spacing w:line="360" w:lineRule="auto"/>
        <w:ind w:left="178" w:hanging="177" w:hangingChars="74"/>
        <w:jc w:val="center"/>
        <w:rPr>
          <w:rFonts w:ascii="黑体" w:hAnsi="黑体" w:eastAsia="黑体"/>
          <w:color w:val="000000" w:themeColor="text1"/>
          <w:sz w:val="24"/>
          <w:szCs w:val="24"/>
        </w:rPr>
      </w:pPr>
      <w:r>
        <w:rPr>
          <w:rFonts w:hint="eastAsia" w:ascii="黑体" w:hAnsi="黑体" w:eastAsia="黑体"/>
          <w:color w:val="000000" w:themeColor="text1"/>
          <w:sz w:val="24"/>
          <w:szCs w:val="24"/>
        </w:rPr>
        <w:t>详细位置示意图</w:t>
      </w:r>
    </w:p>
    <w:p>
      <w:pPr>
        <w:pStyle w:val="80"/>
        <w:adjustRightInd w:val="0"/>
        <w:snapToGrid w:val="0"/>
        <w:spacing w:line="360" w:lineRule="auto"/>
        <w:ind w:firstLine="0" w:firstLineChars="0"/>
        <w:jc w:val="center"/>
        <w:rPr>
          <w:color w:val="000000" w:themeColor="text1"/>
        </w:rPr>
      </w:pPr>
      <w:r>
        <w:pict>
          <v:shape id="_x0000_i1028" o:spt="75" type="#_x0000_t75" style="height:282.3pt;width:368.25pt;" filled="f" o:preferrelative="t" stroked="f" coordsize="21600,21600">
            <v:path/>
            <v:fill on="f" focussize="0,0"/>
            <v:stroke on="f"/>
            <v:imagedata r:id="rId19" o:title=""/>
            <o:lock v:ext="edit" aspectratio="t"/>
            <w10:wrap type="none"/>
            <w10:anchorlock/>
          </v:shape>
        </w:pict>
      </w:r>
    </w:p>
    <w:p>
      <w:pPr>
        <w:pStyle w:val="80"/>
        <w:adjustRightInd w:val="0"/>
        <w:snapToGrid w:val="0"/>
        <w:spacing w:line="360" w:lineRule="auto"/>
        <w:ind w:firstLine="0" w:firstLineChars="0"/>
        <w:jc w:val="center"/>
        <w:rPr>
          <w:color w:val="000000" w:themeColor="text1"/>
        </w:rPr>
      </w:pPr>
    </w:p>
    <w:p>
      <w:pPr>
        <w:pStyle w:val="80"/>
        <w:adjustRightInd w:val="0"/>
        <w:snapToGrid w:val="0"/>
        <w:spacing w:line="360" w:lineRule="auto"/>
        <w:ind w:firstLine="0" w:firstLineChars="0"/>
        <w:jc w:val="center"/>
        <w:rPr>
          <w:color w:val="000000" w:themeColor="text1"/>
        </w:rPr>
      </w:pPr>
    </w:p>
    <w:p>
      <w:pPr>
        <w:pStyle w:val="80"/>
        <w:adjustRightInd w:val="0"/>
        <w:snapToGrid w:val="0"/>
        <w:spacing w:line="240" w:lineRule="auto"/>
        <w:ind w:firstLine="0" w:firstLineChars="0"/>
        <w:jc w:val="center"/>
        <w:rPr>
          <w:rFonts w:hint="eastAsia" w:ascii="仿宋" w:hAnsi="仿宋" w:eastAsia="仿宋" w:cs="Times New Roman"/>
          <w:b/>
          <w:snapToGrid w:val="0"/>
          <w:color w:val="000000" w:themeColor="text1"/>
          <w:kern w:val="2"/>
          <w:sz w:val="36"/>
          <w:szCs w:val="36"/>
          <w:lang w:val="en-US" w:eastAsia="zh-CN" w:bidi="ar-SA"/>
        </w:rPr>
      </w:pPr>
      <w:r>
        <w:rPr>
          <w:rFonts w:hint="eastAsia" w:ascii="仿宋" w:hAnsi="仿宋" w:eastAsia="仿宋" w:cs="Times New Roman"/>
          <w:b/>
          <w:snapToGrid w:val="0"/>
          <w:color w:val="000000" w:themeColor="text1"/>
          <w:kern w:val="2"/>
          <w:sz w:val="36"/>
          <w:szCs w:val="36"/>
          <w:lang w:val="en-US" w:eastAsia="zh-CN" w:bidi="ar-SA"/>
        </w:rPr>
        <w:pict>
          <v:shape id="_x0000_s2061" o:spid="_x0000_s2061" o:spt="75" type="#_x0000_t75" style="position:absolute;left:0pt;margin-left:217.5pt;margin-top:34.25pt;height:184.7pt;width:208.5pt;mso-wrap-distance-bottom:0pt;mso-wrap-distance-left:9pt;mso-wrap-distance-right:9pt;mso-wrap-distance-top:0pt;z-index:251663360;mso-width-relative:page;mso-height-relative:page;" filled="f" o:preferrelative="t" stroked="f" coordsize="21600,21600">
            <v:path/>
            <v:fill on="f" focussize="0,0"/>
            <v:stroke on="f"/>
            <v:imagedata r:id="rId20" o:title=""/>
            <o:lock v:ext="edit" aspectratio="t"/>
            <w10:wrap type="square"/>
          </v:shape>
        </w:pict>
      </w:r>
      <w:r>
        <w:rPr>
          <w:rFonts w:hint="eastAsia" w:ascii="仿宋" w:hAnsi="仿宋" w:eastAsia="仿宋" w:cs="Times New Roman"/>
          <w:b/>
          <w:snapToGrid w:val="0"/>
          <w:color w:val="000000" w:themeColor="text1"/>
          <w:kern w:val="2"/>
          <w:sz w:val="36"/>
          <w:szCs w:val="36"/>
          <w:lang w:val="en-US" w:eastAsia="zh-CN" w:bidi="ar-SA"/>
        </w:rPr>
        <w:t xml:space="preserve">   现场查勘照片</w:t>
      </w:r>
    </w:p>
    <w:p>
      <w:pPr>
        <w:pStyle w:val="80"/>
        <w:tabs>
          <w:tab w:val="right" w:pos="8929"/>
        </w:tabs>
        <w:adjustRightInd w:val="0"/>
        <w:snapToGrid w:val="0"/>
        <w:spacing w:line="360" w:lineRule="auto"/>
        <w:ind w:firstLine="0" w:firstLineChars="0"/>
        <w:rPr>
          <w:rFonts w:hint="eastAsia"/>
          <w:lang w:eastAsia="zh-CN"/>
        </w:rPr>
      </w:pPr>
      <w:r>
        <w:pict>
          <v:shape id="_x0000_s2051" o:spid="_x0000_s2051" o:spt="75" type="#_x0000_t75" style="position:absolute;left:0pt;margin-left:0.75pt;margin-top:12.75pt;height:184.3pt;width:202.5pt;mso-wrap-distance-bottom:0pt;mso-wrap-distance-left:9pt;mso-wrap-distance-right:9pt;mso-wrap-distance-top:0pt;z-index:251668480;mso-width-relative:page;mso-height-relative:page;" filled="f" o:preferrelative="t" stroked="f" coordsize="21600,21600">
            <v:path/>
            <v:fill on="f" focussize="0,0"/>
            <v:stroke on="f"/>
            <v:imagedata r:id="rId21" o:title=""/>
            <o:lock v:ext="edit" aspectratio="t"/>
            <w10:wrap type="square"/>
          </v:shape>
        </w:pict>
      </w:r>
      <w:r>
        <w:rPr>
          <w:rFonts w:hint="eastAsia"/>
          <w:lang w:eastAsia="zh-CN"/>
        </w:rPr>
        <w:tab/>
      </w:r>
    </w:p>
    <w:p>
      <w:pPr>
        <w:bidi w:val="0"/>
        <w:rPr>
          <w:rFonts w:hint="eastAsia"/>
          <w:lang w:eastAsia="zh-CN"/>
        </w:rPr>
      </w:pPr>
      <w:r>
        <w:pict>
          <v:shape id="_x0000_s2062" o:spid="_x0000_s2062" o:spt="75" type="#_x0000_t75" style="position:absolute;left:0pt;margin-left:-2.05pt;margin-top:215.4pt;height:181pt;width:203.9pt;mso-wrap-distance-bottom:0pt;mso-wrap-distance-left:9pt;mso-wrap-distance-right:9pt;mso-wrap-distance-top:0pt;z-index:251664384;mso-width-relative:page;mso-height-relative:page;" filled="f" o:preferrelative="t" stroked="f" coordsize="21600,21600">
            <v:path/>
            <v:fill on="f" focussize="0,0"/>
            <v:stroke on="f"/>
            <v:imagedata r:id="rId22" o:title=""/>
            <o:lock v:ext="edit" aspectratio="t"/>
            <w10:wrap type="square"/>
          </v:shape>
        </w:pict>
      </w:r>
      <w:r>
        <w:pict>
          <v:shape id="_x0000_s2065" o:spid="_x0000_s2065" o:spt="75" type="#_x0000_t75" style="position:absolute;left:0pt;margin-left:218.05pt;margin-top:1.45pt;height:198.6pt;width:207.15pt;mso-wrap-distance-bottom:0pt;mso-wrap-distance-left:9pt;mso-wrap-distance-right:9pt;mso-wrap-distance-top:0pt;z-index:251667456;mso-width-relative:page;mso-height-relative:page;" filled="f" o:preferrelative="t" stroked="f" coordsize="21600,21600">
            <v:path/>
            <v:fill on="f" focussize="0,0"/>
            <v:stroke on="f"/>
            <v:imagedata r:id="rId23" o:title=""/>
            <o:lock v:ext="edit" aspectratio="t"/>
            <w10:wrap type="square"/>
          </v:shape>
        </w:pict>
      </w:r>
      <w:r>
        <w:pict>
          <v:shape id="_x0000_s2064" o:spid="_x0000_s2064" o:spt="75" type="#_x0000_t75" style="position:absolute;left:0pt;margin-left:0pt;margin-top:1.2pt;height:198.1pt;width:202.45pt;mso-wrap-distance-bottom:0pt;mso-wrap-distance-left:9pt;mso-wrap-distance-right:9pt;mso-wrap-distance-top:0pt;z-index:251666432;mso-width-relative:page;mso-height-relative:page;" filled="f" o:preferrelative="t" stroked="f" coordsize="21600,21600">
            <v:path/>
            <v:fill on="f" focussize="0,0"/>
            <v:stroke on="f"/>
            <v:imagedata r:id="rId24" o:title=""/>
            <o:lock v:ext="edit" aspectratio="t"/>
            <w10:wrap type="square"/>
          </v:shape>
        </w:pict>
      </w:r>
    </w:p>
    <w:p>
      <w:pPr>
        <w:bidi w:val="0"/>
        <w:rPr>
          <w:rFonts w:hint="eastAsia"/>
          <w:lang w:eastAsia="zh-CN"/>
        </w:rPr>
      </w:pPr>
      <w:r>
        <w:pict>
          <v:shape id="_x0000_s2063" o:spid="_x0000_s2063" o:spt="75" type="#_x0000_t75" style="position:absolute;left:0pt;margin-left:7.85pt;margin-top:1.8pt;height:180.3pt;width:206.3pt;mso-wrap-distance-bottom:0pt;mso-wrap-distance-left:9pt;mso-wrap-distance-right:9pt;mso-wrap-distance-top:0pt;z-index:251665408;mso-width-relative:page;mso-height-relative:page;" filled="f" o:preferrelative="t" stroked="f" coordsize="21600,21600">
            <v:path/>
            <v:fill on="f" focussize="0,0"/>
            <v:stroke on="f"/>
            <v:imagedata r:id="rId25" o:title=""/>
            <o:lock v:ext="edit" aspectratio="t"/>
            <w10:wrap type="square"/>
          </v:shape>
        </w:pict>
      </w:r>
    </w:p>
    <w:p>
      <w:pPr>
        <w:bidi w:val="0"/>
        <w:rPr>
          <w:rFonts w:hint="eastAsia"/>
          <w:lang w:eastAsia="zh-CN"/>
        </w:rPr>
      </w:pPr>
    </w:p>
    <w:p>
      <w:pPr>
        <w:bidi w:val="0"/>
        <w:rPr>
          <w:rFonts w:hint="eastAsia"/>
          <w:lang w:eastAsia="zh-CN"/>
        </w:rPr>
      </w:pPr>
    </w:p>
    <w:p>
      <w:pPr>
        <w:bidi w:val="0"/>
        <w:rPr>
          <w:rFonts w:hint="eastAsia"/>
          <w:lang w:eastAsia="zh-CN"/>
        </w:rPr>
      </w:pPr>
      <w:r>
        <w:pict>
          <v:shape id="_x0000_i1029" o:spt="75" type="#_x0000_t75" style="height:420.7pt;width:436pt;" filled="f" o:preferrelative="t" stroked="f" coordsize="21600,21600">
            <v:path/>
            <v:fill on="f" focussize="0,0"/>
            <v:stroke on="f"/>
            <v:imagedata r:id="rId26" o:title=""/>
            <o:lock v:ext="edit" aspectratio="t"/>
            <w10:wrap type="none"/>
            <w10:anchorlock/>
          </v:shape>
        </w:pict>
      </w:r>
      <w:r>
        <w:pict>
          <v:shape id="_x0000_i1030" o:spt="75" type="#_x0000_t75" style="height:423pt;width:431.75pt;" filled="f" o:preferrelative="t" stroked="f" coordsize="21600,21600">
            <v:path/>
            <v:fill on="f" focussize="0,0"/>
            <v:stroke on="f"/>
            <v:imagedata r:id="rId27" o:title=""/>
            <o:lock v:ext="edit" aspectratio="t"/>
            <w10:wrap type="none"/>
            <w10:anchorlock/>
          </v:shape>
        </w:pict>
      </w:r>
      <w:r>
        <w:pict>
          <v:shape id="_x0000_i1031" o:spt="75" type="#_x0000_t75" style="height:446.35pt;width:429pt;" filled="f" o:preferrelative="t" stroked="f" coordsize="21600,21600">
            <v:path/>
            <v:fill on="f" focussize="0,0"/>
            <v:stroke on="f"/>
            <v:imagedata r:id="rId28" o:title=""/>
            <o:lock v:ext="edit" aspectratio="t"/>
            <w10:wrap type="none"/>
            <w10:anchorlock/>
          </v:shape>
        </w:pict>
      </w:r>
      <w:r>
        <w:pict>
          <v:shape id="_x0000_i1032" o:spt="75" type="#_x0000_t75" style="height:459.95pt;width:405pt;" filled="f" o:preferrelative="t" stroked="f" coordsize="21600,21600">
            <v:path/>
            <v:fill on="f" focussize="0,0"/>
            <v:stroke on="f"/>
            <v:imagedata r:id="rId29" o:title=""/>
            <o:lock v:ext="edit" aspectratio="t"/>
            <w10:wrap type="none"/>
            <w10:anchorlock/>
          </v:shape>
        </w:pict>
      </w:r>
      <w:r>
        <w:pict>
          <v:shape id="_x0000_i1033" o:spt="75" type="#_x0000_t75" style="height:427.5pt;width:379.5pt;" filled="f" stroked="f" coordsize="21600,21600">
            <v:path/>
            <v:fill on="f" focussize="0,0"/>
            <v:stroke on="f"/>
            <v:imagedata r:id="rId30" o:title=""/>
            <o:lock v:ext="edit" aspectratio="t"/>
            <w10:wrap type="none"/>
            <w10:anchorlock/>
          </v:shape>
        </w:pict>
      </w:r>
    </w:p>
    <w:p>
      <w:pPr>
        <w:bidi w:val="0"/>
        <w:rPr>
          <w:rFonts w:hint="eastAsia"/>
          <w:lang w:eastAsia="zh-CN"/>
        </w:rPr>
      </w:pPr>
      <w:r>
        <w:pict>
          <v:shape id="_x0000_i1034" o:spt="75" type="#_x0000_t75" style="height:424.5pt;width:400.5pt;" filled="f" stroked="f" coordsize="21600,21600">
            <v:path/>
            <v:fill on="f" focussize="0,0"/>
            <v:stroke on="f"/>
            <v:imagedata r:id="rId31" o:title=""/>
            <o:lock v:ext="edit" aspectratio="t"/>
            <w10:wrap type="none"/>
            <w10:anchorlock/>
          </v:shape>
        </w:pict>
      </w:r>
      <w:r>
        <w:pict>
          <v:shape id="_x0000_i1035" o:spt="75" type="#_x0000_t75" style="height:425.9pt;width:446.1pt;" filled="f" stroked="f" coordsize="21600,21600">
            <v:path/>
            <v:fill on="f" focussize="0,0"/>
            <v:stroke on="f"/>
            <v:imagedata r:id="rId32" o:title=""/>
            <o:lock v:ext="edit" aspectratio="t"/>
            <w10:wrap type="none"/>
            <w10:anchorlock/>
          </v:shape>
        </w:pict>
      </w:r>
      <w:r>
        <w:pict>
          <v:shape id="_x0000_i1036" o:spt="75" type="#_x0000_t75" style="height:427.5pt;width:411pt;" filled="f" stroked="f" coordsize="21600,21600">
            <v:path/>
            <v:fill on="f" focussize="0,0"/>
            <v:stroke on="f"/>
            <v:imagedata r:id="rId33" o:title=""/>
            <o:lock v:ext="edit" aspectratio="t"/>
            <w10:wrap type="none"/>
            <w10:anchorlock/>
          </v:shape>
        </w:pict>
      </w:r>
      <w:r>
        <w:pict>
          <v:shape id="_x0000_i1037" o:spt="75" type="#_x0000_t75" style="height:472.5pt;width:400.35pt;" filled="f" o:preferrelative="t" stroked="f" coordsize="21600,21600">
            <v:path/>
            <v:fill on="f" focussize="0,0"/>
            <v:stroke on="f"/>
            <v:imagedata r:id="rId34" o:title=""/>
            <o:lock v:ext="edit" aspectratio="t"/>
            <w10:wrap type="none"/>
            <w10:anchorlock/>
          </v:shape>
        </w:pict>
      </w:r>
      <w:r>
        <w:pict>
          <v:shape id="_x0000_i1038" o:spt="75" type="#_x0000_t75" style="height:479.15pt;width:426pt;" filled="f" o:preferrelative="t" stroked="f" coordsize="21600,21600">
            <v:path/>
            <v:fill on="f" focussize="0,0"/>
            <v:stroke on="f"/>
            <v:imagedata r:id="rId35" o:title=""/>
            <o:lock v:ext="edit" aspectratio="t"/>
            <w10:wrap type="none"/>
            <w10:anchorlock/>
          </v:shape>
        </w:pict>
      </w:r>
      <w:r>
        <w:pict>
          <v:shape id="_x0000_i1039" o:spt="75" type="#_x0000_t75" style="height:464.25pt;width:441.35pt;" filled="f" o:preferrelative="t" stroked="f" coordsize="21600,21600">
            <v:path/>
            <v:fill on="f" focussize="0,0"/>
            <v:stroke on="f"/>
            <v:imagedata r:id="rId36" o:title=""/>
            <o:lock v:ext="edit" aspectratio="t"/>
            <w10:wrap type="none"/>
            <w10:anchorlock/>
          </v:shape>
        </w:pict>
      </w:r>
    </w:p>
    <w:p>
      <w:pPr>
        <w:pStyle w:val="80"/>
        <w:adjustRightInd w:val="0"/>
        <w:snapToGrid w:val="0"/>
        <w:spacing w:line="360" w:lineRule="auto"/>
        <w:ind w:firstLine="0" w:firstLineChars="0"/>
        <w:jc w:val="center"/>
        <w:rPr>
          <w:rFonts w:hint="eastAsia" w:ascii="仿宋_GB2312" w:eastAsia="仿宋_GB2312"/>
          <w:b/>
          <w:bCs/>
          <w:snapToGrid w:val="0"/>
          <w:color w:val="000000" w:themeColor="text1"/>
          <w:kern w:val="0"/>
          <w:sz w:val="36"/>
          <w:szCs w:val="36"/>
          <w:lang w:eastAsia="zh-CN"/>
        </w:rPr>
      </w:pPr>
      <w:r>
        <w:pict>
          <v:shape id="_x0000_i1040" o:spt="75" type="#_x0000_t75" style="height:685.85pt;width:487.65pt;" filled="f" o:preferrelative="t" stroked="f" coordsize="21600,21600">
            <v:path/>
            <v:fill on="f" focussize="0,0"/>
            <v:stroke on="f"/>
            <v:imagedata r:id="rId37" o:title=""/>
            <o:lock v:ext="edit" aspectratio="t"/>
            <w10:wrap type="none"/>
            <w10:anchorlock/>
          </v:shape>
        </w:pict>
      </w:r>
      <w:r>
        <w:pict>
          <v:shape id="_x0000_i1041" o:spt="75" type="#_x0000_t75" style="height:689.6pt;width:487.65pt;" filled="f" o:preferrelative="t" stroked="f" coordsize="21600,21600">
            <v:path/>
            <v:fill on="f" focussize="0,0"/>
            <v:stroke on="f"/>
            <v:imagedata r:id="rId38" o:title=""/>
            <o:lock v:ext="edit" aspectratio="t"/>
            <w10:wrap type="none"/>
            <w10:anchorlock/>
          </v:shape>
        </w:pict>
      </w:r>
      <w:r>
        <w:rPr>
          <w:rFonts w:hint="eastAsia" w:ascii="仿宋_GB2312" w:hAnsi="仿宋_GB2312" w:eastAsia="仿宋_GB2312" w:cs="仿宋_GB2312"/>
        </w:rPr>
        <w:pict>
          <v:shape id="图片 1" o:spid="_x0000_s2066" o:spt="75" alt="微信图片_20210906175154" type="#_x0000_t75" style="position:absolute;left:0pt;margin-left:19.05pt;margin-top:310.7pt;height:289.45pt;width:409.7pt;z-index:251669504;mso-width-relative:page;mso-height-relative:page;" filled="f" o:preferrelative="t" stroked="f" coordsize="21600,21600">
            <v:path/>
            <v:fill on="f" focussize="0,0"/>
            <v:stroke on="f"/>
            <v:imagedata r:id="rId39" cropleft="11531f" croptop="10346f" cropright="14926f" cropbottom="16146f" o:title=""/>
            <o:lock v:ext="edit" aspectratio="t"/>
          </v:shape>
        </w:pict>
      </w:r>
      <w:r>
        <w:rPr>
          <w:rFonts w:hint="eastAsia" w:ascii="仿宋_GB2312" w:eastAsia="仿宋_GB2312"/>
          <w:b/>
          <w:bCs/>
          <w:snapToGrid w:val="0"/>
          <w:color w:val="000000"/>
          <w:kern w:val="0"/>
          <w:sz w:val="36"/>
          <w:szCs w:val="36"/>
          <w:highlight w:val="none"/>
          <w:lang w:eastAsia="zh-CN"/>
        </w:rPr>
        <w:pict>
          <v:shape id="_x0000_i1042" o:spt="75" alt="蒲亚维" type="#_x0000_t75" style="height:289.95pt;width:407.45pt;" filled="f" o:preferrelative="t" stroked="f" coordsize="21600,21600">
            <v:path/>
            <v:fill on="f" focussize="0,0"/>
            <v:stroke on="f"/>
            <v:imagedata r:id="rId40" cropleft="16026f" croptop="16465f" cropright="10442f" cropbottom="9744f" o:title="蒲亚维"/>
            <o:lock v:ext="edit" aspectratio="t"/>
            <w10:wrap type="none"/>
            <w10:anchorlock/>
          </v:shape>
        </w:pict>
      </w:r>
    </w:p>
    <w:sectPr>
      <w:headerReference r:id="rId12" w:type="default"/>
      <w:footerReference r:id="rId13" w:type="default"/>
      <w:pgSz w:w="11906" w:h="16838"/>
      <w:pgMar w:top="1814" w:right="1276" w:bottom="1418" w:left="1701" w:header="1418" w:footer="737" w:gutter="0"/>
      <w:pgBorders>
        <w:top w:val="none" w:sz="0" w:space="0"/>
        <w:left w:val="none" w:sz="0" w:space="0"/>
        <w:bottom w:val="none" w:sz="0" w:space="0"/>
        <w:right w:val="none" w:sz="0" w:space="0"/>
      </w:pgBorders>
      <w:cols w:space="720" w:num="1"/>
      <w:docGrid w:type="lines"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方正姚体">
    <w:panose1 w:val="02010601030101010101"/>
    <w:charset w:val="86"/>
    <w:family w:val="auto"/>
    <w:pitch w:val="default"/>
    <w:sig w:usb0="00000003" w:usb1="080E0000" w:usb2="00000000" w:usb3="00000000" w:csb0="00040000" w:csb1="00000000"/>
  </w:font>
  <w:font w:name="(使用中文字体)">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spacing w:before="120" w:beforeLines="50"/>
      <w:ind w:left="22" w:hanging="22"/>
      <w:jc w:val="center"/>
      <w:rPr>
        <w:szCs w:val="18"/>
      </w:rPr>
    </w:pPr>
    <w:r>
      <w:rPr>
        <w:rFonts w:hint="eastAsia" w:ascii="方正姚体" w:eastAsia="方正姚体"/>
        <w:szCs w:val="18"/>
      </w:rPr>
      <w:t>地址：**省**市**区***路（街）**号***大厦**室                     联系电话/客服电话：***-********</w:t>
    </w:r>
  </w:p>
  <w:p>
    <w:pPr>
      <w:pStyle w:val="27"/>
      <w:jc w:val="right"/>
    </w:pPr>
    <w:r>
      <w:rPr>
        <w:rFonts w:hint="eastAsia" w:ascii="方正姚体" w:eastAsia="方正姚体"/>
        <w:szCs w:val="18"/>
      </w:rPr>
      <w:t xml:space="preserve">第 </w:t>
    </w:r>
    <w:r>
      <w:rPr>
        <w:rFonts w:hint="eastAsia" w:ascii="方正姚体" w:eastAsia="方正姚体"/>
        <w:szCs w:val="18"/>
      </w:rPr>
      <w:fldChar w:fldCharType="begin"/>
    </w:r>
    <w:r>
      <w:rPr>
        <w:rFonts w:hint="eastAsia" w:ascii="方正姚体" w:eastAsia="方正姚体"/>
        <w:szCs w:val="18"/>
      </w:rPr>
      <w:instrText xml:space="preserve"> PAGE   \* MERGEFORMAT </w:instrText>
    </w:r>
    <w:r>
      <w:rPr>
        <w:rFonts w:hint="eastAsia" w:ascii="方正姚体" w:eastAsia="方正姚体"/>
        <w:szCs w:val="18"/>
      </w:rPr>
      <w:fldChar w:fldCharType="separate"/>
    </w:r>
    <w:r>
      <w:rPr>
        <w:rFonts w:ascii="方正姚体" w:eastAsia="方正姚体"/>
        <w:szCs w:val="18"/>
        <w:lang w:val="zh-CN"/>
      </w:rPr>
      <w:t>2</w:t>
    </w:r>
    <w:r>
      <w:rPr>
        <w:rFonts w:hint="eastAsia" w:ascii="方正姚体" w:eastAsia="方正姚体"/>
        <w:szCs w:val="18"/>
      </w:rPr>
      <w:fldChar w:fldCharType="end"/>
    </w:r>
    <w:r>
      <w:rPr>
        <w:rFonts w:hint="eastAsia" w:ascii="方正姚体" w:eastAsia="方正姚体"/>
        <w:szCs w:val="18"/>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spacing w:before="120" w:beforeLines="50"/>
      <w:ind w:left="22" w:hanging="22"/>
      <w:jc w:val="center"/>
      <w:rPr>
        <w:szCs w:val="18"/>
      </w:rPr>
    </w:pPr>
    <w:r>
      <w:rPr>
        <w:szCs w:val="18"/>
      </w:rPr>
      <w:pict>
        <v:shape id="AutoShape 8" o:spid="_x0000_s3074" o:spt="32" type="#_x0000_t32" style="position:absolute;left:0pt;margin-left:-0.4pt;margin-top:4.5pt;height:0.05pt;width:471.95pt;z-index:251670528;mso-width-relative:page;mso-height-relative:page;" filled="t" o:preferrelative="t" coordsize="21600,21600">
          <v:path arrowok="t"/>
          <v:fill on="t" focussize="0,0"/>
          <v:stroke miterlimit="2"/>
          <v:imagedata o:title=""/>
          <o:lock v:ext="edit"/>
        </v:shape>
      </w:pict>
    </w:r>
    <w:r>
      <w:rPr>
        <w:rFonts w:hint="eastAsia" w:ascii="方正姚体" w:eastAsia="方正姚体"/>
        <w:szCs w:val="18"/>
      </w:rPr>
      <w:t>地址：</w:t>
    </w:r>
    <w:r>
      <w:rPr>
        <w:rFonts w:hint="eastAsia" w:ascii="方正姚体" w:eastAsia="方正姚体"/>
        <w:color w:val="000000" w:themeColor="text1"/>
        <w:szCs w:val="18"/>
      </w:rPr>
      <w:t xml:space="preserve">河北省石家庄市中山东路289号长安广场22层  </w:t>
    </w:r>
    <w:r>
      <w:rPr>
        <w:rFonts w:hint="eastAsia" w:ascii="方正姚体" w:eastAsia="方正姚体"/>
        <w:szCs w:val="18"/>
      </w:rPr>
      <w:t xml:space="preserve">                   联系电话：0311-85379918/19</w:t>
    </w:r>
  </w:p>
  <w:p>
    <w:pPr>
      <w:pStyle w:val="27"/>
      <w:jc w:val="right"/>
    </w:pPr>
    <w:r>
      <w:rPr>
        <w:rFonts w:hint="eastAsia" w:ascii="方正姚体" w:eastAsia="方正姚体"/>
        <w:szCs w:val="18"/>
      </w:rPr>
      <w:t xml:space="preserve">第 </w:t>
    </w:r>
    <w:r>
      <w:rPr>
        <w:rFonts w:hint="eastAsia" w:ascii="方正姚体" w:eastAsia="方正姚体"/>
        <w:szCs w:val="18"/>
      </w:rPr>
      <w:fldChar w:fldCharType="begin"/>
    </w:r>
    <w:r>
      <w:rPr>
        <w:rFonts w:hint="eastAsia" w:ascii="方正姚体" w:eastAsia="方正姚体"/>
        <w:szCs w:val="18"/>
      </w:rPr>
      <w:instrText xml:space="preserve"> PAGE   \* MERGEFORMAT </w:instrText>
    </w:r>
    <w:r>
      <w:rPr>
        <w:rFonts w:hint="eastAsia" w:ascii="方正姚体" w:eastAsia="方正姚体"/>
        <w:szCs w:val="18"/>
      </w:rPr>
      <w:fldChar w:fldCharType="separate"/>
    </w:r>
    <w:r>
      <w:rPr>
        <w:rFonts w:ascii="方正姚体" w:eastAsia="方正姚体"/>
        <w:szCs w:val="18"/>
        <w:lang w:val="zh-CN"/>
      </w:rPr>
      <w:t>19</w:t>
    </w:r>
    <w:r>
      <w:rPr>
        <w:rFonts w:hint="eastAsia" w:ascii="方正姚体" w:eastAsia="方正姚体"/>
        <w:szCs w:val="18"/>
      </w:rPr>
      <w:fldChar w:fldCharType="end"/>
    </w:r>
    <w:r>
      <w:rPr>
        <w:rFonts w:hint="eastAsia" w:ascii="方正姚体" w:eastAsia="方正姚体"/>
        <w:szCs w:val="18"/>
      </w:rPr>
      <w:t xml:space="preserve"> 页</w:t>
    </w:r>
  </w:p>
  <w:p>
    <w:pPr>
      <w:pStyle w:val="2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spacing w:before="120" w:beforeLines="50"/>
      <w:ind w:left="22" w:hanging="22"/>
      <w:jc w:val="center"/>
      <w:rPr>
        <w:szCs w:val="18"/>
      </w:rPr>
    </w:pPr>
    <w:r>
      <w:rPr>
        <w:szCs w:val="18"/>
      </w:rPr>
      <w:pict>
        <v:shape id="_x0000_s3081" o:spid="_x0000_s3081" o:spt="32" type="#_x0000_t32" style="position:absolute;left:0pt;margin-left:-0.4pt;margin-top:4.5pt;height:0.05pt;width:471.95pt;z-index:251672576;mso-width-relative:page;mso-height-relative:page;" filled="t" o:preferrelative="t" coordsize="21600,21600">
          <v:path arrowok="t"/>
          <v:fill on="t" focussize="0,0"/>
          <v:stroke miterlimit="2"/>
          <v:imagedata o:title=""/>
          <o:lock v:ext="edit"/>
        </v:shape>
      </w:pict>
    </w:r>
    <w:r>
      <w:rPr>
        <w:rFonts w:hint="eastAsia" w:ascii="方正姚体" w:eastAsia="方正姚体"/>
        <w:szCs w:val="18"/>
      </w:rPr>
      <w:t>地址：</w:t>
    </w:r>
    <w:r>
      <w:rPr>
        <w:rFonts w:hint="eastAsia" w:ascii="方正姚体" w:eastAsia="方正姚体"/>
        <w:color w:val="000000" w:themeColor="text1"/>
        <w:szCs w:val="18"/>
      </w:rPr>
      <w:t xml:space="preserve">河北省石家庄市中山东路289号长安广场22层  </w:t>
    </w:r>
    <w:r>
      <w:rPr>
        <w:rFonts w:hint="eastAsia" w:ascii="方正姚体" w:eastAsia="方正姚体"/>
        <w:szCs w:val="18"/>
      </w:rPr>
      <w:t xml:space="preserve">                   联系电话：0311-85379918/19</w:t>
    </w:r>
  </w:p>
  <w:p>
    <w:pPr>
      <w:pStyle w:val="27"/>
      <w:jc w:val="right"/>
    </w:pPr>
    <w:r>
      <w:rPr>
        <w:rFonts w:hint="eastAsia" w:ascii="方正姚体" w:eastAsia="方正姚体"/>
        <w:szCs w:val="18"/>
      </w:rPr>
      <w:t xml:space="preserve">第 </w:t>
    </w:r>
    <w:r>
      <w:rPr>
        <w:rFonts w:hint="eastAsia" w:ascii="方正姚体" w:eastAsia="方正姚体"/>
        <w:szCs w:val="18"/>
      </w:rPr>
      <w:fldChar w:fldCharType="begin"/>
    </w:r>
    <w:r>
      <w:rPr>
        <w:rFonts w:hint="eastAsia" w:ascii="方正姚体" w:eastAsia="方正姚体"/>
        <w:szCs w:val="18"/>
      </w:rPr>
      <w:instrText xml:space="preserve"> PAGE   \* MERGEFORMAT </w:instrText>
    </w:r>
    <w:r>
      <w:rPr>
        <w:rFonts w:hint="eastAsia" w:ascii="方正姚体" w:eastAsia="方正姚体"/>
        <w:szCs w:val="18"/>
      </w:rPr>
      <w:fldChar w:fldCharType="separate"/>
    </w:r>
    <w:r>
      <w:rPr>
        <w:rFonts w:ascii="方正姚体" w:eastAsia="方正姚体"/>
        <w:szCs w:val="18"/>
        <w:lang w:val="zh-CN"/>
      </w:rPr>
      <w:t>19</w:t>
    </w:r>
    <w:r>
      <w:rPr>
        <w:rFonts w:hint="eastAsia" w:ascii="方正姚体" w:eastAsia="方正姚体"/>
        <w:szCs w:val="18"/>
      </w:rPr>
      <w:fldChar w:fldCharType="end"/>
    </w:r>
    <w:r>
      <w:rPr>
        <w:rFonts w:hint="eastAsia" w:ascii="方正姚体" w:eastAsia="方正姚体"/>
        <w:szCs w:val="18"/>
      </w:rPr>
      <w:t xml:space="preserve"> 页</w:t>
    </w:r>
  </w:p>
  <w:p>
    <w:pPr>
      <w:pStyle w:val="27"/>
    </w:pPr>
  </w:p>
  <w:p>
    <w:pPr>
      <w:pStyle w:val="2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rPr>
        <w:rFonts w:ascii="宋体" w:hAnsi="宋体"/>
        <w:u w:val="single"/>
      </w:rPr>
      <w:pict>
        <v:shape id="_x0000_s3073" o:spid="_x0000_s3073" o:spt="75" type="#_x0000_t75" style="position:absolute;left:0pt;margin-left:-10.55pt;margin-top:-24pt;height:31.75pt;width:104.5pt;mso-wrap-distance-left:9pt;mso-wrap-distance-right:9pt;z-index:-251656192;mso-width-relative:page;mso-height-relative:page;" filled="f" o:preferrelative="t" stroked="f" coordsize="21600,21600" wrapcoords="-310 0 -310 20409 21703 20409 21703 0 -310 0">
          <v:path/>
          <v:fill on="f" focussize="0,0"/>
          <v:stroke on="f" joinstyle="miter"/>
          <v:imagedata r:id="rId1" o:title=""/>
          <o:lock v:ext="edit" aspectratio="t"/>
          <w10:wrap type="tight"/>
        </v:shape>
      </w:pict>
    </w:r>
    <w:r>
      <w:rPr>
        <w:rFonts w:hint="eastAsia" w:ascii="宋体" w:hAnsi="宋体"/>
        <w:color w:val="FF0000"/>
        <w:u w:val="single"/>
      </w:rPr>
      <w:t>页眉需统一设计</w:t>
    </w:r>
    <w:r>
      <w:rPr>
        <w:rFonts w:hint="eastAsia" w:ascii="宋体" w:hAnsi="宋体"/>
        <w:u w:val="single"/>
      </w:rPr>
      <w:t xml:space="preserve">                            **************公司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tabs>
        <w:tab w:val="left" w:pos="360"/>
        <w:tab w:val="right" w:pos="9049"/>
      </w:tabs>
      <w:jc w:val="both"/>
    </w:pPr>
    <w:r>
      <w:rPr>
        <w:rFonts w:ascii="宋体" w:hAnsi="宋体"/>
        <w:u w:val="single"/>
      </w:rPr>
      <w:pict>
        <v:shape id="图片 4" o:spid="_x0000_s3080" o:spt="75" type="#_x0000_t75" style="position:absolute;left:0pt;margin-left:-3.05pt;margin-top:-25.85pt;height:31.75pt;width:104.55pt;mso-wrap-distance-left:9pt;mso-wrap-distance-right:9pt;z-index:-251646976;mso-width-relative:page;mso-height-relative:page;" filled="f" o:preferrelative="t" stroked="f" coordsize="21600,21600" wrapcoords="21592 -2 0 0 0 21600 21592 21602 8 21602 21600 21600 21600 0 8 -2 21592 -2">
          <v:path/>
          <v:fill on="f" focussize="0,0"/>
          <v:stroke on="f" joinstyle="miter"/>
          <v:imagedata r:id="rId1" o:title=""/>
          <o:lock v:ext="edit" aspectratio="t"/>
          <w10:wrap type="tight"/>
        </v:shape>
      </w:pict>
    </w:r>
    <w:r>
      <w:rPr>
        <w:rFonts w:hint="eastAsia"/>
        <w:szCs w:val="32"/>
        <w:lang w:eastAsia="zh-CN"/>
      </w:rPr>
      <w:tab/>
    </w:r>
    <w:r>
      <w:rPr>
        <w:rFonts w:hint="eastAsia"/>
        <w:szCs w:val="32"/>
        <w:lang w:eastAsia="zh-CN"/>
      </w:rPr>
      <w:tab/>
    </w:r>
    <w:r>
      <w:rPr>
        <w:rFonts w:hint="eastAsia"/>
        <w:szCs w:val="32"/>
        <w:lang w:val="en-US" w:eastAsia="zh-CN"/>
      </w:rPr>
      <w:t xml:space="preserve">                                                                            </w:t>
    </w:r>
    <w:r>
      <w:rPr>
        <w:szCs w:val="32"/>
      </w:rPr>
      <w:pict>
        <v:shape id="_x0000_i1045" o:spt="75" type="#_x0000_t75" style="height:33.75pt;width:83.25pt;" filled="f" o:preferrelative="t" stroked="f" coordsize="21600,21600">
          <v:path/>
          <v:fill on="f" focussize="0,0"/>
          <v:stroke on="f" joinstyle="miter"/>
          <v:imagedata r:id="rId2" o:title="new_logo"/>
          <o:lock v:ext="edit" aspectratio="t"/>
          <w10:wrap type="none"/>
          <w10:anchorlock/>
        </v:shape>
      </w:pict>
    </w:r>
    <w:r>
      <w:rPr>
        <w:rFonts w:hint="eastAsia"/>
        <w:szCs w:val="32"/>
        <w:lang w:eastAsia="zh-CN"/>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tabs>
        <w:tab w:val="left" w:pos="360"/>
        <w:tab w:val="right" w:pos="9049"/>
      </w:tabs>
      <w:jc w:val="both"/>
    </w:pPr>
    <w:r>
      <w:rPr>
        <w:rFonts w:hint="eastAsia"/>
        <w:szCs w:val="32"/>
        <w:lang w:eastAsia="zh-CN"/>
      </w:rPr>
      <w:tab/>
    </w:r>
    <w:r>
      <w:rPr>
        <w:rFonts w:hint="eastAsia"/>
        <w:szCs w:val="32"/>
        <w:lang w:eastAsia="zh-CN"/>
      </w:rPr>
      <w:tab/>
    </w:r>
    <w:r>
      <w:rPr>
        <w:rFonts w:hint="eastAsia"/>
        <w:szCs w:val="32"/>
        <w:lang w:val="en-US" w:eastAsia="zh-CN"/>
      </w:rPr>
      <w:t xml:space="preserve">                                                                            </w:t>
    </w:r>
    <w:r>
      <w:rPr>
        <w:szCs w:val="32"/>
      </w:rPr>
      <w:pict>
        <v:shape id="_x0000_i1046" o:spt="75" type="#_x0000_t75" style="height:33.75pt;width:83.25pt;" filled="f" o:preferrelative="t" stroked="f" coordsize="21600,21600">
          <v:path/>
          <v:fill on="f" focussize="0,0"/>
          <v:stroke on="f" joinstyle="miter"/>
          <v:imagedata r:id="rId1" o:title="new_logo"/>
          <o:lock v:ext="edit" aspectratio="t"/>
          <w10:wrap type="none"/>
          <w10:anchorlock/>
        </v:shape>
      </w:pict>
    </w:r>
    <w:r>
      <w:rPr>
        <w:rFonts w:hint="eastAsia"/>
        <w:szCs w:val="32"/>
        <w:lang w:val="en-US" w:eastAsia="zh-CN"/>
      </w:rPr>
      <w:t xml:space="preserve">                                      </w:t>
    </w:r>
    <w:r>
      <w:rPr>
        <w:rFonts w:ascii="宋体" w:hAnsi="宋体"/>
        <w:u w:val="single"/>
      </w:rPr>
      <w:pict>
        <v:shape id="_x0000_s3077" o:spid="_x0000_s3077" o:spt="75" type="#_x0000_t75" style="position:absolute;left:0pt;margin-left:-3.05pt;margin-top:-25.85pt;height:31.75pt;width:104.55pt;mso-wrap-distance-left:9pt;mso-wrap-distance-right:9pt;z-index:-251644928;mso-width-relative:page;mso-height-relative:page;" filled="f" o:preferrelative="t" stroked="f" coordsize="21600,21600" wrapcoords="21592 -2 0 0 0 21600 21592 21602 8 21602 21600 21600 21600 0 8 -2 21592 -2">
          <v:path/>
          <v:fill on="f" focussize="0,0"/>
          <v:stroke on="f" joinstyle="miter"/>
          <v:imagedata r:id="rId2" o:title=""/>
          <o:lock v:ext="edit" aspectratio="t"/>
          <w10:wrap type="tigh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tabs>
        <w:tab w:val="left" w:pos="360"/>
        <w:tab w:val="right" w:pos="9049"/>
      </w:tabs>
      <w:jc w:val="both"/>
    </w:pPr>
    <w:r>
      <w:rPr>
        <w:rFonts w:hint="eastAsia"/>
        <w:szCs w:val="32"/>
        <w:lang w:eastAsia="zh-CN"/>
      </w:rPr>
      <w:tab/>
    </w:r>
    <w:r>
      <w:rPr>
        <w:rFonts w:hint="eastAsia"/>
        <w:szCs w:val="32"/>
        <w:lang w:eastAsia="zh-CN"/>
      </w:rPr>
      <w:tab/>
    </w:r>
    <w:r>
      <w:rPr>
        <w:rFonts w:hint="eastAsia"/>
        <w:szCs w:val="32"/>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EE4AEB"/>
    <w:multiLevelType w:val="singleLevel"/>
    <w:tmpl w:val="90EE4AEB"/>
    <w:lvl w:ilvl="0" w:tentative="0">
      <w:start w:val="4"/>
      <w:numFmt w:val="decimal"/>
      <w:lvlText w:val="%1."/>
      <w:lvlJc w:val="left"/>
      <w:pPr>
        <w:tabs>
          <w:tab w:val="left" w:pos="312"/>
        </w:tabs>
      </w:pPr>
    </w:lvl>
  </w:abstractNum>
  <w:abstractNum w:abstractNumId="1">
    <w:nsid w:val="DA12406F"/>
    <w:multiLevelType w:val="singleLevel"/>
    <w:tmpl w:val="DA12406F"/>
    <w:lvl w:ilvl="0" w:tentative="0">
      <w:start w:val="1"/>
      <w:numFmt w:val="decimal"/>
      <w:suff w:val="nothing"/>
      <w:lvlText w:val="（%1）"/>
      <w:lvlJc w:val="left"/>
    </w:lvl>
  </w:abstractNum>
  <w:abstractNum w:abstractNumId="2">
    <w:nsid w:val="0057EA6C"/>
    <w:multiLevelType w:val="singleLevel"/>
    <w:tmpl w:val="0057EA6C"/>
    <w:lvl w:ilvl="0" w:tentative="0">
      <w:start w:val="3"/>
      <w:numFmt w:val="decimal"/>
      <w:lvlText w:val="%1."/>
      <w:lvlJc w:val="left"/>
      <w:pPr>
        <w:tabs>
          <w:tab w:val="left" w:pos="312"/>
        </w:tabs>
      </w:pPr>
    </w:lvl>
  </w:abstractNum>
  <w:abstractNum w:abstractNumId="3">
    <w:nsid w:val="711D03FA"/>
    <w:multiLevelType w:val="singleLevel"/>
    <w:tmpl w:val="711D03FA"/>
    <w:lvl w:ilvl="0" w:tentative="0">
      <w:start w:val="2"/>
      <w:numFmt w:val="decimal"/>
      <w:lvlText w:val="%1."/>
      <w:lvlJc w:val="left"/>
      <w:pPr>
        <w:tabs>
          <w:tab w:val="left" w:pos="312"/>
        </w:tabs>
      </w:pPr>
    </w:lvl>
  </w:abstractNum>
  <w:abstractNum w:abstractNumId="4">
    <w:nsid w:val="7F3E83F4"/>
    <w:multiLevelType w:val="singleLevel"/>
    <w:tmpl w:val="7F3E83F4"/>
    <w:lvl w:ilvl="0" w:tentative="0">
      <w:start w:val="5"/>
      <w:numFmt w:val="decimal"/>
      <w:lvlText w:val="%1."/>
      <w:lvlJc w:val="left"/>
      <w:pPr>
        <w:tabs>
          <w:tab w:val="left" w:pos="312"/>
        </w:tabs>
      </w:p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NotTrackMoves/>
  <w:documentProtection w:enforcement="0"/>
  <w:defaultTabStop w:val="424"/>
  <w:drawingGridHorizontalSpacing w:val="0"/>
  <w:drawingGridVerticalSpacing w:val="143"/>
  <w:displayHorizontalDrawingGridEvery w:val="1"/>
  <w:displayVerticalDrawingGridEvery w:val="1"/>
  <w:noPunctuationKerning w:val="1"/>
  <w:characterSpacingControl w:val="compressPunctuation"/>
  <w:hdrShapeDefaults>
    <o:shapelayout v:ext="edit">
      <o:idmap v:ext="edit" data="3"/>
      <o:rules v:ext="edit">
        <o:r id="V:Rule1" type="connector" idref="#AutoShape 8"/>
        <o:r id="V:Rule2" type="connector" idref="#_x0000_s3081"/>
      </o:rules>
    </o:shapelayout>
  </w:hdrShapeDefaults>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32847"/>
    <w:rsid w:val="0000286E"/>
    <w:rsid w:val="00007685"/>
    <w:rsid w:val="00007BF5"/>
    <w:rsid w:val="00007FE4"/>
    <w:rsid w:val="00010F8F"/>
    <w:rsid w:val="00015E81"/>
    <w:rsid w:val="000167AC"/>
    <w:rsid w:val="000209BF"/>
    <w:rsid w:val="00023E84"/>
    <w:rsid w:val="000243DC"/>
    <w:rsid w:val="00030B8D"/>
    <w:rsid w:val="00032654"/>
    <w:rsid w:val="00033018"/>
    <w:rsid w:val="000345CA"/>
    <w:rsid w:val="000404E0"/>
    <w:rsid w:val="000436DC"/>
    <w:rsid w:val="00043E15"/>
    <w:rsid w:val="00043F18"/>
    <w:rsid w:val="000452BA"/>
    <w:rsid w:val="00046183"/>
    <w:rsid w:val="000472E3"/>
    <w:rsid w:val="00056CF7"/>
    <w:rsid w:val="00061950"/>
    <w:rsid w:val="00061F27"/>
    <w:rsid w:val="00064A34"/>
    <w:rsid w:val="00064D3D"/>
    <w:rsid w:val="000655D8"/>
    <w:rsid w:val="00065780"/>
    <w:rsid w:val="000747EF"/>
    <w:rsid w:val="0007508D"/>
    <w:rsid w:val="00077420"/>
    <w:rsid w:val="0008218D"/>
    <w:rsid w:val="00085772"/>
    <w:rsid w:val="000879F3"/>
    <w:rsid w:val="00090F74"/>
    <w:rsid w:val="00097816"/>
    <w:rsid w:val="000A27FD"/>
    <w:rsid w:val="000A34FE"/>
    <w:rsid w:val="000A4E22"/>
    <w:rsid w:val="000A7F0D"/>
    <w:rsid w:val="000B24CC"/>
    <w:rsid w:val="000B2B68"/>
    <w:rsid w:val="000B4960"/>
    <w:rsid w:val="000B717D"/>
    <w:rsid w:val="000C0E5A"/>
    <w:rsid w:val="000C172A"/>
    <w:rsid w:val="000C32B5"/>
    <w:rsid w:val="000C5A08"/>
    <w:rsid w:val="000D4A6C"/>
    <w:rsid w:val="000D675D"/>
    <w:rsid w:val="000D6F79"/>
    <w:rsid w:val="000E48DD"/>
    <w:rsid w:val="000F0584"/>
    <w:rsid w:val="001005C6"/>
    <w:rsid w:val="00106A22"/>
    <w:rsid w:val="00113159"/>
    <w:rsid w:val="001132C6"/>
    <w:rsid w:val="00115ABF"/>
    <w:rsid w:val="00117022"/>
    <w:rsid w:val="00120AF8"/>
    <w:rsid w:val="00122E4F"/>
    <w:rsid w:val="00125B59"/>
    <w:rsid w:val="00125D18"/>
    <w:rsid w:val="001308EA"/>
    <w:rsid w:val="001362E9"/>
    <w:rsid w:val="00136794"/>
    <w:rsid w:val="0014055C"/>
    <w:rsid w:val="00147A55"/>
    <w:rsid w:val="00155CCD"/>
    <w:rsid w:val="00164055"/>
    <w:rsid w:val="00164608"/>
    <w:rsid w:val="0016735F"/>
    <w:rsid w:val="001674F1"/>
    <w:rsid w:val="00167BCE"/>
    <w:rsid w:val="001710CC"/>
    <w:rsid w:val="001712E0"/>
    <w:rsid w:val="00172F5F"/>
    <w:rsid w:val="00175D8D"/>
    <w:rsid w:val="00177BB4"/>
    <w:rsid w:val="00177C6F"/>
    <w:rsid w:val="00181501"/>
    <w:rsid w:val="001816CA"/>
    <w:rsid w:val="00185124"/>
    <w:rsid w:val="001857A5"/>
    <w:rsid w:val="001878CA"/>
    <w:rsid w:val="00190B02"/>
    <w:rsid w:val="00196B0D"/>
    <w:rsid w:val="001A03F3"/>
    <w:rsid w:val="001A7429"/>
    <w:rsid w:val="001B141A"/>
    <w:rsid w:val="001B4C91"/>
    <w:rsid w:val="001B506A"/>
    <w:rsid w:val="001C0E1B"/>
    <w:rsid w:val="001C313E"/>
    <w:rsid w:val="001C32CB"/>
    <w:rsid w:val="001C361A"/>
    <w:rsid w:val="001C6CF4"/>
    <w:rsid w:val="001D00BD"/>
    <w:rsid w:val="001D3586"/>
    <w:rsid w:val="001E0170"/>
    <w:rsid w:val="001E36B0"/>
    <w:rsid w:val="001E584C"/>
    <w:rsid w:val="001E5FCC"/>
    <w:rsid w:val="001E7B68"/>
    <w:rsid w:val="001F265D"/>
    <w:rsid w:val="001F403D"/>
    <w:rsid w:val="001F6433"/>
    <w:rsid w:val="0020052C"/>
    <w:rsid w:val="00200731"/>
    <w:rsid w:val="00202376"/>
    <w:rsid w:val="002108C0"/>
    <w:rsid w:val="00212C1F"/>
    <w:rsid w:val="00213320"/>
    <w:rsid w:val="00213D1F"/>
    <w:rsid w:val="00220233"/>
    <w:rsid w:val="002210F3"/>
    <w:rsid w:val="002219DD"/>
    <w:rsid w:val="00223D92"/>
    <w:rsid w:val="00231518"/>
    <w:rsid w:val="00232144"/>
    <w:rsid w:val="00232153"/>
    <w:rsid w:val="00233993"/>
    <w:rsid w:val="00237A20"/>
    <w:rsid w:val="002429C7"/>
    <w:rsid w:val="00243F8E"/>
    <w:rsid w:val="00250454"/>
    <w:rsid w:val="002505F9"/>
    <w:rsid w:val="002518FD"/>
    <w:rsid w:val="00252307"/>
    <w:rsid w:val="002547CF"/>
    <w:rsid w:val="002559E5"/>
    <w:rsid w:val="00257015"/>
    <w:rsid w:val="00257FD1"/>
    <w:rsid w:val="0026091D"/>
    <w:rsid w:val="0026139D"/>
    <w:rsid w:val="00261A07"/>
    <w:rsid w:val="002654E2"/>
    <w:rsid w:val="00266288"/>
    <w:rsid w:val="00266469"/>
    <w:rsid w:val="00270C07"/>
    <w:rsid w:val="0027203A"/>
    <w:rsid w:val="00272070"/>
    <w:rsid w:val="00273A96"/>
    <w:rsid w:val="00273E96"/>
    <w:rsid w:val="00282487"/>
    <w:rsid w:val="00293EFF"/>
    <w:rsid w:val="002948E6"/>
    <w:rsid w:val="00297B30"/>
    <w:rsid w:val="002A4267"/>
    <w:rsid w:val="002A6FC9"/>
    <w:rsid w:val="002B0F9A"/>
    <w:rsid w:val="002B4925"/>
    <w:rsid w:val="002C20F9"/>
    <w:rsid w:val="002C4D46"/>
    <w:rsid w:val="002D1985"/>
    <w:rsid w:val="002D35C2"/>
    <w:rsid w:val="002D3A59"/>
    <w:rsid w:val="002D3C77"/>
    <w:rsid w:val="002D5058"/>
    <w:rsid w:val="002D5D5B"/>
    <w:rsid w:val="002D7CBE"/>
    <w:rsid w:val="002E0010"/>
    <w:rsid w:val="002E3043"/>
    <w:rsid w:val="002E6FE6"/>
    <w:rsid w:val="002F6207"/>
    <w:rsid w:val="002F6A57"/>
    <w:rsid w:val="00303521"/>
    <w:rsid w:val="00303824"/>
    <w:rsid w:val="003102C8"/>
    <w:rsid w:val="00312018"/>
    <w:rsid w:val="0031661D"/>
    <w:rsid w:val="003168C5"/>
    <w:rsid w:val="003174BA"/>
    <w:rsid w:val="00320387"/>
    <w:rsid w:val="00320B75"/>
    <w:rsid w:val="0032336E"/>
    <w:rsid w:val="003236E5"/>
    <w:rsid w:val="0033205F"/>
    <w:rsid w:val="003347F4"/>
    <w:rsid w:val="003377EF"/>
    <w:rsid w:val="00340DEF"/>
    <w:rsid w:val="0034219E"/>
    <w:rsid w:val="00343BAA"/>
    <w:rsid w:val="003445E9"/>
    <w:rsid w:val="00344A6A"/>
    <w:rsid w:val="00350E20"/>
    <w:rsid w:val="00356F7B"/>
    <w:rsid w:val="00360BBB"/>
    <w:rsid w:val="00364072"/>
    <w:rsid w:val="00365943"/>
    <w:rsid w:val="00365AD6"/>
    <w:rsid w:val="00375678"/>
    <w:rsid w:val="003906BA"/>
    <w:rsid w:val="00390ADC"/>
    <w:rsid w:val="0039218C"/>
    <w:rsid w:val="0039313C"/>
    <w:rsid w:val="00397F2C"/>
    <w:rsid w:val="003A1A2C"/>
    <w:rsid w:val="003A3CE3"/>
    <w:rsid w:val="003A74CA"/>
    <w:rsid w:val="003B1951"/>
    <w:rsid w:val="003B4087"/>
    <w:rsid w:val="003B5A63"/>
    <w:rsid w:val="003B5C32"/>
    <w:rsid w:val="003C0FE4"/>
    <w:rsid w:val="003C247F"/>
    <w:rsid w:val="003C35F7"/>
    <w:rsid w:val="003C6B7D"/>
    <w:rsid w:val="003D062D"/>
    <w:rsid w:val="003D0C58"/>
    <w:rsid w:val="003D1633"/>
    <w:rsid w:val="003D3862"/>
    <w:rsid w:val="003D68E0"/>
    <w:rsid w:val="003D73DA"/>
    <w:rsid w:val="003E209B"/>
    <w:rsid w:val="003E6F9B"/>
    <w:rsid w:val="003E7561"/>
    <w:rsid w:val="003E7D9B"/>
    <w:rsid w:val="003F1BBD"/>
    <w:rsid w:val="003F250C"/>
    <w:rsid w:val="003F3C36"/>
    <w:rsid w:val="003F3D16"/>
    <w:rsid w:val="003F62CC"/>
    <w:rsid w:val="003F73D8"/>
    <w:rsid w:val="00400E2F"/>
    <w:rsid w:val="00401FFC"/>
    <w:rsid w:val="0041003F"/>
    <w:rsid w:val="004124E4"/>
    <w:rsid w:val="00413D62"/>
    <w:rsid w:val="004149A0"/>
    <w:rsid w:val="00416775"/>
    <w:rsid w:val="004203E3"/>
    <w:rsid w:val="00420AEC"/>
    <w:rsid w:val="00420DBC"/>
    <w:rsid w:val="004219F5"/>
    <w:rsid w:val="004253F0"/>
    <w:rsid w:val="00425D1E"/>
    <w:rsid w:val="00434980"/>
    <w:rsid w:val="00441E61"/>
    <w:rsid w:val="0044332E"/>
    <w:rsid w:val="00443A17"/>
    <w:rsid w:val="00450605"/>
    <w:rsid w:val="00451A1B"/>
    <w:rsid w:val="00452E49"/>
    <w:rsid w:val="00456AF5"/>
    <w:rsid w:val="00464CF6"/>
    <w:rsid w:val="00466C42"/>
    <w:rsid w:val="004705C1"/>
    <w:rsid w:val="004718CC"/>
    <w:rsid w:val="00471A92"/>
    <w:rsid w:val="00475338"/>
    <w:rsid w:val="0048192F"/>
    <w:rsid w:val="00481FA6"/>
    <w:rsid w:val="00482F63"/>
    <w:rsid w:val="00484317"/>
    <w:rsid w:val="0048459A"/>
    <w:rsid w:val="004860AE"/>
    <w:rsid w:val="00490CF4"/>
    <w:rsid w:val="004919C2"/>
    <w:rsid w:val="00492182"/>
    <w:rsid w:val="00493042"/>
    <w:rsid w:val="004A1721"/>
    <w:rsid w:val="004A7FAB"/>
    <w:rsid w:val="004B1637"/>
    <w:rsid w:val="004B67C9"/>
    <w:rsid w:val="004B7517"/>
    <w:rsid w:val="004C1F32"/>
    <w:rsid w:val="004C76A4"/>
    <w:rsid w:val="004D12E4"/>
    <w:rsid w:val="004D59E3"/>
    <w:rsid w:val="004D5F8F"/>
    <w:rsid w:val="004E0C1B"/>
    <w:rsid w:val="004E1C52"/>
    <w:rsid w:val="004E2262"/>
    <w:rsid w:val="004E2D07"/>
    <w:rsid w:val="004E427F"/>
    <w:rsid w:val="004E4425"/>
    <w:rsid w:val="004E7912"/>
    <w:rsid w:val="004F17B2"/>
    <w:rsid w:val="004F5966"/>
    <w:rsid w:val="00503087"/>
    <w:rsid w:val="005033DB"/>
    <w:rsid w:val="00504B98"/>
    <w:rsid w:val="00516659"/>
    <w:rsid w:val="00517A22"/>
    <w:rsid w:val="00517A77"/>
    <w:rsid w:val="005219C8"/>
    <w:rsid w:val="00524A2C"/>
    <w:rsid w:val="00524C61"/>
    <w:rsid w:val="00532D56"/>
    <w:rsid w:val="005334A3"/>
    <w:rsid w:val="00534E20"/>
    <w:rsid w:val="00535DE2"/>
    <w:rsid w:val="00536C04"/>
    <w:rsid w:val="00540938"/>
    <w:rsid w:val="0054569E"/>
    <w:rsid w:val="00547730"/>
    <w:rsid w:val="00553EF4"/>
    <w:rsid w:val="005551E3"/>
    <w:rsid w:val="00557AD2"/>
    <w:rsid w:val="00561654"/>
    <w:rsid w:val="00562CC3"/>
    <w:rsid w:val="00564770"/>
    <w:rsid w:val="005662EC"/>
    <w:rsid w:val="00571367"/>
    <w:rsid w:val="00573CF9"/>
    <w:rsid w:val="00577AD5"/>
    <w:rsid w:val="00584222"/>
    <w:rsid w:val="00584361"/>
    <w:rsid w:val="00595A2F"/>
    <w:rsid w:val="00595C9F"/>
    <w:rsid w:val="00596640"/>
    <w:rsid w:val="005A0C81"/>
    <w:rsid w:val="005B0635"/>
    <w:rsid w:val="005B1696"/>
    <w:rsid w:val="005B53CB"/>
    <w:rsid w:val="005B76DA"/>
    <w:rsid w:val="005C26DF"/>
    <w:rsid w:val="005C51A2"/>
    <w:rsid w:val="005C5C42"/>
    <w:rsid w:val="005C7A5C"/>
    <w:rsid w:val="005D0184"/>
    <w:rsid w:val="005D1281"/>
    <w:rsid w:val="005D2123"/>
    <w:rsid w:val="005E3D6F"/>
    <w:rsid w:val="005F0E17"/>
    <w:rsid w:val="005F0E4C"/>
    <w:rsid w:val="0060381E"/>
    <w:rsid w:val="006063D0"/>
    <w:rsid w:val="00610415"/>
    <w:rsid w:val="00626E19"/>
    <w:rsid w:val="0063137E"/>
    <w:rsid w:val="00632F1F"/>
    <w:rsid w:val="006374F8"/>
    <w:rsid w:val="0063777A"/>
    <w:rsid w:val="00637B3D"/>
    <w:rsid w:val="00641319"/>
    <w:rsid w:val="00642739"/>
    <w:rsid w:val="00642766"/>
    <w:rsid w:val="006434D5"/>
    <w:rsid w:val="00643FB4"/>
    <w:rsid w:val="00645C53"/>
    <w:rsid w:val="0064616C"/>
    <w:rsid w:val="00647BA1"/>
    <w:rsid w:val="006516F7"/>
    <w:rsid w:val="006526B9"/>
    <w:rsid w:val="00656DCD"/>
    <w:rsid w:val="006619B6"/>
    <w:rsid w:val="00662C53"/>
    <w:rsid w:val="00663327"/>
    <w:rsid w:val="00664087"/>
    <w:rsid w:val="00674134"/>
    <w:rsid w:val="00682000"/>
    <w:rsid w:val="006853D6"/>
    <w:rsid w:val="0068753B"/>
    <w:rsid w:val="00687E85"/>
    <w:rsid w:val="00693376"/>
    <w:rsid w:val="006933DC"/>
    <w:rsid w:val="00694355"/>
    <w:rsid w:val="0069555E"/>
    <w:rsid w:val="006A3AAD"/>
    <w:rsid w:val="006A7F9B"/>
    <w:rsid w:val="006A7FDC"/>
    <w:rsid w:val="006B2710"/>
    <w:rsid w:val="006B2878"/>
    <w:rsid w:val="006B6F34"/>
    <w:rsid w:val="006D00A4"/>
    <w:rsid w:val="006D0421"/>
    <w:rsid w:val="006D0A0F"/>
    <w:rsid w:val="006D1880"/>
    <w:rsid w:val="006D1A05"/>
    <w:rsid w:val="006E2CDD"/>
    <w:rsid w:val="006E5321"/>
    <w:rsid w:val="006E65CB"/>
    <w:rsid w:val="006E6963"/>
    <w:rsid w:val="006F5CB3"/>
    <w:rsid w:val="00703C3C"/>
    <w:rsid w:val="007043DF"/>
    <w:rsid w:val="00704ED7"/>
    <w:rsid w:val="007053F1"/>
    <w:rsid w:val="00706553"/>
    <w:rsid w:val="007070A9"/>
    <w:rsid w:val="00707A02"/>
    <w:rsid w:val="007119CB"/>
    <w:rsid w:val="00711E36"/>
    <w:rsid w:val="00716780"/>
    <w:rsid w:val="0072270D"/>
    <w:rsid w:val="0073035B"/>
    <w:rsid w:val="00733F78"/>
    <w:rsid w:val="00735086"/>
    <w:rsid w:val="007365EB"/>
    <w:rsid w:val="007407BD"/>
    <w:rsid w:val="00742021"/>
    <w:rsid w:val="007475D9"/>
    <w:rsid w:val="00752991"/>
    <w:rsid w:val="00756689"/>
    <w:rsid w:val="00756EDC"/>
    <w:rsid w:val="00757356"/>
    <w:rsid w:val="007632C8"/>
    <w:rsid w:val="007662FE"/>
    <w:rsid w:val="00766443"/>
    <w:rsid w:val="007670B9"/>
    <w:rsid w:val="00775BFF"/>
    <w:rsid w:val="00776966"/>
    <w:rsid w:val="00782DE0"/>
    <w:rsid w:val="00786F42"/>
    <w:rsid w:val="0078760F"/>
    <w:rsid w:val="00790EBE"/>
    <w:rsid w:val="00792BC7"/>
    <w:rsid w:val="00793F37"/>
    <w:rsid w:val="00794CC0"/>
    <w:rsid w:val="00794FB7"/>
    <w:rsid w:val="00795716"/>
    <w:rsid w:val="0079577C"/>
    <w:rsid w:val="007A3E3F"/>
    <w:rsid w:val="007A4F43"/>
    <w:rsid w:val="007A4F66"/>
    <w:rsid w:val="007B2B63"/>
    <w:rsid w:val="007B48DD"/>
    <w:rsid w:val="007C0682"/>
    <w:rsid w:val="007C38E2"/>
    <w:rsid w:val="007C3F00"/>
    <w:rsid w:val="007C7D33"/>
    <w:rsid w:val="007C7D80"/>
    <w:rsid w:val="007D625F"/>
    <w:rsid w:val="007D66CB"/>
    <w:rsid w:val="007E10A3"/>
    <w:rsid w:val="007E3848"/>
    <w:rsid w:val="007E46E5"/>
    <w:rsid w:val="007E550A"/>
    <w:rsid w:val="007E698C"/>
    <w:rsid w:val="007E7335"/>
    <w:rsid w:val="007F0374"/>
    <w:rsid w:val="008033BB"/>
    <w:rsid w:val="008037D3"/>
    <w:rsid w:val="00804BC5"/>
    <w:rsid w:val="00806C5B"/>
    <w:rsid w:val="00807427"/>
    <w:rsid w:val="008128E1"/>
    <w:rsid w:val="0081315A"/>
    <w:rsid w:val="0082018E"/>
    <w:rsid w:val="00822916"/>
    <w:rsid w:val="00825169"/>
    <w:rsid w:val="00825C1E"/>
    <w:rsid w:val="00834252"/>
    <w:rsid w:val="00834662"/>
    <w:rsid w:val="00834917"/>
    <w:rsid w:val="00835D98"/>
    <w:rsid w:val="00837D5C"/>
    <w:rsid w:val="008411D7"/>
    <w:rsid w:val="00845746"/>
    <w:rsid w:val="0085070E"/>
    <w:rsid w:val="00851079"/>
    <w:rsid w:val="00854588"/>
    <w:rsid w:val="008615FA"/>
    <w:rsid w:val="0086320D"/>
    <w:rsid w:val="00864F9D"/>
    <w:rsid w:val="00866574"/>
    <w:rsid w:val="00867A83"/>
    <w:rsid w:val="00873872"/>
    <w:rsid w:val="00877DE9"/>
    <w:rsid w:val="0088181D"/>
    <w:rsid w:val="00882FCD"/>
    <w:rsid w:val="00886FE8"/>
    <w:rsid w:val="00887A55"/>
    <w:rsid w:val="00890210"/>
    <w:rsid w:val="008932F7"/>
    <w:rsid w:val="00895240"/>
    <w:rsid w:val="00895C52"/>
    <w:rsid w:val="008964E1"/>
    <w:rsid w:val="00896D44"/>
    <w:rsid w:val="008A45B3"/>
    <w:rsid w:val="008A46E0"/>
    <w:rsid w:val="008A5191"/>
    <w:rsid w:val="008A6DD0"/>
    <w:rsid w:val="008D2D96"/>
    <w:rsid w:val="008D381C"/>
    <w:rsid w:val="008D6F8F"/>
    <w:rsid w:val="008E0F82"/>
    <w:rsid w:val="008E2804"/>
    <w:rsid w:val="008E3C1D"/>
    <w:rsid w:val="008E6618"/>
    <w:rsid w:val="008F10A4"/>
    <w:rsid w:val="008F20AF"/>
    <w:rsid w:val="008F3A49"/>
    <w:rsid w:val="008F4BDD"/>
    <w:rsid w:val="008F78A0"/>
    <w:rsid w:val="008F78CE"/>
    <w:rsid w:val="009038AA"/>
    <w:rsid w:val="00905AB9"/>
    <w:rsid w:val="009060BD"/>
    <w:rsid w:val="00911566"/>
    <w:rsid w:val="00932AFF"/>
    <w:rsid w:val="00933C4B"/>
    <w:rsid w:val="00933D99"/>
    <w:rsid w:val="00935402"/>
    <w:rsid w:val="009448D5"/>
    <w:rsid w:val="0095144E"/>
    <w:rsid w:val="00953509"/>
    <w:rsid w:val="00953AE9"/>
    <w:rsid w:val="009541BE"/>
    <w:rsid w:val="009611A8"/>
    <w:rsid w:val="00962DAC"/>
    <w:rsid w:val="009637DC"/>
    <w:rsid w:val="0096435B"/>
    <w:rsid w:val="00973239"/>
    <w:rsid w:val="009750EF"/>
    <w:rsid w:val="009779D8"/>
    <w:rsid w:val="00977FF0"/>
    <w:rsid w:val="00983379"/>
    <w:rsid w:val="009848E6"/>
    <w:rsid w:val="0098526B"/>
    <w:rsid w:val="009903B6"/>
    <w:rsid w:val="00990B9F"/>
    <w:rsid w:val="00992931"/>
    <w:rsid w:val="009931CA"/>
    <w:rsid w:val="00993DE0"/>
    <w:rsid w:val="00995828"/>
    <w:rsid w:val="00997048"/>
    <w:rsid w:val="009A0C4A"/>
    <w:rsid w:val="009A5F7C"/>
    <w:rsid w:val="009B7DB6"/>
    <w:rsid w:val="009C0106"/>
    <w:rsid w:val="009C1562"/>
    <w:rsid w:val="009C6E08"/>
    <w:rsid w:val="009E0C92"/>
    <w:rsid w:val="009E0E4A"/>
    <w:rsid w:val="009E7181"/>
    <w:rsid w:val="009F0899"/>
    <w:rsid w:val="009F6DFC"/>
    <w:rsid w:val="00A033FE"/>
    <w:rsid w:val="00A069D1"/>
    <w:rsid w:val="00A10C48"/>
    <w:rsid w:val="00A14860"/>
    <w:rsid w:val="00A1494F"/>
    <w:rsid w:val="00A16DAF"/>
    <w:rsid w:val="00A20870"/>
    <w:rsid w:val="00A22A89"/>
    <w:rsid w:val="00A22AD9"/>
    <w:rsid w:val="00A25276"/>
    <w:rsid w:val="00A32494"/>
    <w:rsid w:val="00A32847"/>
    <w:rsid w:val="00A40A22"/>
    <w:rsid w:val="00A473BE"/>
    <w:rsid w:val="00A4765D"/>
    <w:rsid w:val="00A47A21"/>
    <w:rsid w:val="00A55810"/>
    <w:rsid w:val="00A56071"/>
    <w:rsid w:val="00A61EA2"/>
    <w:rsid w:val="00A63285"/>
    <w:rsid w:val="00A63931"/>
    <w:rsid w:val="00A7006E"/>
    <w:rsid w:val="00A84C9D"/>
    <w:rsid w:val="00A91B6F"/>
    <w:rsid w:val="00A95B10"/>
    <w:rsid w:val="00A96204"/>
    <w:rsid w:val="00AA3724"/>
    <w:rsid w:val="00AB1193"/>
    <w:rsid w:val="00AB15A1"/>
    <w:rsid w:val="00AB5D35"/>
    <w:rsid w:val="00AB6AD1"/>
    <w:rsid w:val="00AB7401"/>
    <w:rsid w:val="00AC08EF"/>
    <w:rsid w:val="00AC1E62"/>
    <w:rsid w:val="00AC59E1"/>
    <w:rsid w:val="00AC7523"/>
    <w:rsid w:val="00AD2C76"/>
    <w:rsid w:val="00AD5502"/>
    <w:rsid w:val="00AE197D"/>
    <w:rsid w:val="00AE30BA"/>
    <w:rsid w:val="00AE433A"/>
    <w:rsid w:val="00AE51E2"/>
    <w:rsid w:val="00AE529D"/>
    <w:rsid w:val="00AE545B"/>
    <w:rsid w:val="00AE7FBB"/>
    <w:rsid w:val="00AF3219"/>
    <w:rsid w:val="00B02C36"/>
    <w:rsid w:val="00B03506"/>
    <w:rsid w:val="00B0672B"/>
    <w:rsid w:val="00B14B62"/>
    <w:rsid w:val="00B156D8"/>
    <w:rsid w:val="00B20CF7"/>
    <w:rsid w:val="00B24B07"/>
    <w:rsid w:val="00B24B89"/>
    <w:rsid w:val="00B30F2A"/>
    <w:rsid w:val="00B3292B"/>
    <w:rsid w:val="00B33A55"/>
    <w:rsid w:val="00B4148D"/>
    <w:rsid w:val="00B42CDA"/>
    <w:rsid w:val="00B45DD1"/>
    <w:rsid w:val="00B50627"/>
    <w:rsid w:val="00B56A7A"/>
    <w:rsid w:val="00B57458"/>
    <w:rsid w:val="00B619E9"/>
    <w:rsid w:val="00B635C6"/>
    <w:rsid w:val="00B67C53"/>
    <w:rsid w:val="00B70F47"/>
    <w:rsid w:val="00B71876"/>
    <w:rsid w:val="00B74347"/>
    <w:rsid w:val="00B750D3"/>
    <w:rsid w:val="00B805D6"/>
    <w:rsid w:val="00B80C4B"/>
    <w:rsid w:val="00B82859"/>
    <w:rsid w:val="00B8457B"/>
    <w:rsid w:val="00B9213C"/>
    <w:rsid w:val="00B92318"/>
    <w:rsid w:val="00B92BE1"/>
    <w:rsid w:val="00B965C7"/>
    <w:rsid w:val="00BA0DD3"/>
    <w:rsid w:val="00BA0DD4"/>
    <w:rsid w:val="00BA5C02"/>
    <w:rsid w:val="00BA5F07"/>
    <w:rsid w:val="00BA5FA7"/>
    <w:rsid w:val="00BA6B9A"/>
    <w:rsid w:val="00BB0ECA"/>
    <w:rsid w:val="00BB38E1"/>
    <w:rsid w:val="00BB7692"/>
    <w:rsid w:val="00BC6933"/>
    <w:rsid w:val="00BD0EC9"/>
    <w:rsid w:val="00BD2A1A"/>
    <w:rsid w:val="00BD3B15"/>
    <w:rsid w:val="00BD3C1B"/>
    <w:rsid w:val="00BD70AB"/>
    <w:rsid w:val="00BE223A"/>
    <w:rsid w:val="00BE24A3"/>
    <w:rsid w:val="00BE4204"/>
    <w:rsid w:val="00BE56CE"/>
    <w:rsid w:val="00BE6AEA"/>
    <w:rsid w:val="00BE743B"/>
    <w:rsid w:val="00BF00BD"/>
    <w:rsid w:val="00BF0767"/>
    <w:rsid w:val="00BF0C11"/>
    <w:rsid w:val="00BF4924"/>
    <w:rsid w:val="00BF7688"/>
    <w:rsid w:val="00C01751"/>
    <w:rsid w:val="00C01BE0"/>
    <w:rsid w:val="00C03266"/>
    <w:rsid w:val="00C10A0E"/>
    <w:rsid w:val="00C10F99"/>
    <w:rsid w:val="00C111D8"/>
    <w:rsid w:val="00C12CCC"/>
    <w:rsid w:val="00C157BB"/>
    <w:rsid w:val="00C16BB5"/>
    <w:rsid w:val="00C23722"/>
    <w:rsid w:val="00C24A09"/>
    <w:rsid w:val="00C27C27"/>
    <w:rsid w:val="00C3272A"/>
    <w:rsid w:val="00C33C0C"/>
    <w:rsid w:val="00C4634C"/>
    <w:rsid w:val="00C50190"/>
    <w:rsid w:val="00C52F2F"/>
    <w:rsid w:val="00C56C45"/>
    <w:rsid w:val="00C57315"/>
    <w:rsid w:val="00C625F7"/>
    <w:rsid w:val="00C62710"/>
    <w:rsid w:val="00C65253"/>
    <w:rsid w:val="00C67A5C"/>
    <w:rsid w:val="00C7183B"/>
    <w:rsid w:val="00C801A8"/>
    <w:rsid w:val="00C80255"/>
    <w:rsid w:val="00C80B4A"/>
    <w:rsid w:val="00C821FE"/>
    <w:rsid w:val="00C82A4A"/>
    <w:rsid w:val="00C8478D"/>
    <w:rsid w:val="00C901CF"/>
    <w:rsid w:val="00C9082B"/>
    <w:rsid w:val="00C917DF"/>
    <w:rsid w:val="00CA0CF4"/>
    <w:rsid w:val="00CA0FB5"/>
    <w:rsid w:val="00CA18FD"/>
    <w:rsid w:val="00CB0F64"/>
    <w:rsid w:val="00CB58CD"/>
    <w:rsid w:val="00CB63EE"/>
    <w:rsid w:val="00CB7B78"/>
    <w:rsid w:val="00CD04CC"/>
    <w:rsid w:val="00CD079D"/>
    <w:rsid w:val="00CD12CE"/>
    <w:rsid w:val="00CD497B"/>
    <w:rsid w:val="00CD70D9"/>
    <w:rsid w:val="00CE4FC0"/>
    <w:rsid w:val="00CE66CB"/>
    <w:rsid w:val="00CF06E1"/>
    <w:rsid w:val="00CF4834"/>
    <w:rsid w:val="00CF48A4"/>
    <w:rsid w:val="00CF73C0"/>
    <w:rsid w:val="00D03006"/>
    <w:rsid w:val="00D035DA"/>
    <w:rsid w:val="00D0403A"/>
    <w:rsid w:val="00D06DDA"/>
    <w:rsid w:val="00D1007A"/>
    <w:rsid w:val="00D1064A"/>
    <w:rsid w:val="00D1138E"/>
    <w:rsid w:val="00D117B9"/>
    <w:rsid w:val="00D23C73"/>
    <w:rsid w:val="00D23DBC"/>
    <w:rsid w:val="00D250D1"/>
    <w:rsid w:val="00D31A09"/>
    <w:rsid w:val="00D31B5E"/>
    <w:rsid w:val="00D34C9D"/>
    <w:rsid w:val="00D43D33"/>
    <w:rsid w:val="00D50ED8"/>
    <w:rsid w:val="00D52A79"/>
    <w:rsid w:val="00D52AD4"/>
    <w:rsid w:val="00D54739"/>
    <w:rsid w:val="00D56BAA"/>
    <w:rsid w:val="00D56ECF"/>
    <w:rsid w:val="00D603F7"/>
    <w:rsid w:val="00D66028"/>
    <w:rsid w:val="00D73423"/>
    <w:rsid w:val="00D75BDC"/>
    <w:rsid w:val="00D77A02"/>
    <w:rsid w:val="00D80EEA"/>
    <w:rsid w:val="00D83452"/>
    <w:rsid w:val="00D90061"/>
    <w:rsid w:val="00D974F9"/>
    <w:rsid w:val="00D97544"/>
    <w:rsid w:val="00DA15FE"/>
    <w:rsid w:val="00DA24E2"/>
    <w:rsid w:val="00DB0289"/>
    <w:rsid w:val="00DB0497"/>
    <w:rsid w:val="00DB18CD"/>
    <w:rsid w:val="00DC0928"/>
    <w:rsid w:val="00DC1D8C"/>
    <w:rsid w:val="00DC3859"/>
    <w:rsid w:val="00DC47E8"/>
    <w:rsid w:val="00DD13BB"/>
    <w:rsid w:val="00DD5269"/>
    <w:rsid w:val="00DE1210"/>
    <w:rsid w:val="00DE18B7"/>
    <w:rsid w:val="00DF00CB"/>
    <w:rsid w:val="00DF42D0"/>
    <w:rsid w:val="00E03D8F"/>
    <w:rsid w:val="00E15072"/>
    <w:rsid w:val="00E232FD"/>
    <w:rsid w:val="00E24B6E"/>
    <w:rsid w:val="00E26F4D"/>
    <w:rsid w:val="00E33715"/>
    <w:rsid w:val="00E356E4"/>
    <w:rsid w:val="00E52B79"/>
    <w:rsid w:val="00E551D2"/>
    <w:rsid w:val="00E5787A"/>
    <w:rsid w:val="00E609A1"/>
    <w:rsid w:val="00E6352B"/>
    <w:rsid w:val="00E67B92"/>
    <w:rsid w:val="00E71282"/>
    <w:rsid w:val="00E75FF6"/>
    <w:rsid w:val="00E76C24"/>
    <w:rsid w:val="00E823BD"/>
    <w:rsid w:val="00E833A3"/>
    <w:rsid w:val="00E834D5"/>
    <w:rsid w:val="00E91A1F"/>
    <w:rsid w:val="00E91AB4"/>
    <w:rsid w:val="00EA065F"/>
    <w:rsid w:val="00EA2150"/>
    <w:rsid w:val="00EA22A6"/>
    <w:rsid w:val="00EA3F97"/>
    <w:rsid w:val="00EB2582"/>
    <w:rsid w:val="00EB4621"/>
    <w:rsid w:val="00EB5B4D"/>
    <w:rsid w:val="00EC2CF3"/>
    <w:rsid w:val="00EC2E57"/>
    <w:rsid w:val="00EC3410"/>
    <w:rsid w:val="00EC5859"/>
    <w:rsid w:val="00EC6244"/>
    <w:rsid w:val="00EC7C2C"/>
    <w:rsid w:val="00EC7F40"/>
    <w:rsid w:val="00ED2B2B"/>
    <w:rsid w:val="00EE1C72"/>
    <w:rsid w:val="00EE461D"/>
    <w:rsid w:val="00EE5934"/>
    <w:rsid w:val="00EE5FE1"/>
    <w:rsid w:val="00EE621C"/>
    <w:rsid w:val="00EE6AA6"/>
    <w:rsid w:val="00EF3438"/>
    <w:rsid w:val="00EF3536"/>
    <w:rsid w:val="00EF47BE"/>
    <w:rsid w:val="00EF4CAA"/>
    <w:rsid w:val="00F03ACA"/>
    <w:rsid w:val="00F14A84"/>
    <w:rsid w:val="00F22059"/>
    <w:rsid w:val="00F23D48"/>
    <w:rsid w:val="00F34C3B"/>
    <w:rsid w:val="00F3687D"/>
    <w:rsid w:val="00F4122F"/>
    <w:rsid w:val="00F4448B"/>
    <w:rsid w:val="00F478B3"/>
    <w:rsid w:val="00F529DD"/>
    <w:rsid w:val="00F52A87"/>
    <w:rsid w:val="00F56B89"/>
    <w:rsid w:val="00F61BBF"/>
    <w:rsid w:val="00F63C38"/>
    <w:rsid w:val="00F70B3F"/>
    <w:rsid w:val="00F70B89"/>
    <w:rsid w:val="00F71AF7"/>
    <w:rsid w:val="00F742FF"/>
    <w:rsid w:val="00F769C9"/>
    <w:rsid w:val="00F80B68"/>
    <w:rsid w:val="00F83466"/>
    <w:rsid w:val="00F84E75"/>
    <w:rsid w:val="00F86ECE"/>
    <w:rsid w:val="00F87C6F"/>
    <w:rsid w:val="00F92017"/>
    <w:rsid w:val="00F92F2B"/>
    <w:rsid w:val="00F95331"/>
    <w:rsid w:val="00F95B27"/>
    <w:rsid w:val="00FA2518"/>
    <w:rsid w:val="00FA254C"/>
    <w:rsid w:val="00FA3692"/>
    <w:rsid w:val="00FB0DAE"/>
    <w:rsid w:val="00FC0CAD"/>
    <w:rsid w:val="00FC39C7"/>
    <w:rsid w:val="00FC4441"/>
    <w:rsid w:val="00FC4687"/>
    <w:rsid w:val="00FD1766"/>
    <w:rsid w:val="00FD1D12"/>
    <w:rsid w:val="00FD5A2D"/>
    <w:rsid w:val="00FD68F8"/>
    <w:rsid w:val="00FE5B0B"/>
    <w:rsid w:val="00FF49FA"/>
    <w:rsid w:val="00FF6E62"/>
    <w:rsid w:val="00FF7AE2"/>
    <w:rsid w:val="015B3028"/>
    <w:rsid w:val="016F5BA1"/>
    <w:rsid w:val="01A82CA7"/>
    <w:rsid w:val="01D131AD"/>
    <w:rsid w:val="01D636D7"/>
    <w:rsid w:val="01D87064"/>
    <w:rsid w:val="01F151ED"/>
    <w:rsid w:val="01F92A7D"/>
    <w:rsid w:val="020C574D"/>
    <w:rsid w:val="02776A1A"/>
    <w:rsid w:val="027C6CC9"/>
    <w:rsid w:val="02890BA7"/>
    <w:rsid w:val="03981256"/>
    <w:rsid w:val="03BA5696"/>
    <w:rsid w:val="045D5298"/>
    <w:rsid w:val="0468732F"/>
    <w:rsid w:val="04AD576D"/>
    <w:rsid w:val="04E74228"/>
    <w:rsid w:val="04F71081"/>
    <w:rsid w:val="05065EA5"/>
    <w:rsid w:val="0514227C"/>
    <w:rsid w:val="051B17B5"/>
    <w:rsid w:val="056C656C"/>
    <w:rsid w:val="05D41602"/>
    <w:rsid w:val="05E459E4"/>
    <w:rsid w:val="06217FCC"/>
    <w:rsid w:val="06241198"/>
    <w:rsid w:val="06535BE1"/>
    <w:rsid w:val="06807E66"/>
    <w:rsid w:val="068B1497"/>
    <w:rsid w:val="06BA75EE"/>
    <w:rsid w:val="06BE5F13"/>
    <w:rsid w:val="06CF5E2B"/>
    <w:rsid w:val="071B65B1"/>
    <w:rsid w:val="075F0AF2"/>
    <w:rsid w:val="077C5955"/>
    <w:rsid w:val="079A2A4A"/>
    <w:rsid w:val="07B73CCC"/>
    <w:rsid w:val="081319B9"/>
    <w:rsid w:val="082C6DD0"/>
    <w:rsid w:val="083C2A7C"/>
    <w:rsid w:val="08552EFA"/>
    <w:rsid w:val="087F54A1"/>
    <w:rsid w:val="08C956FA"/>
    <w:rsid w:val="090C5545"/>
    <w:rsid w:val="094309A2"/>
    <w:rsid w:val="095A26DB"/>
    <w:rsid w:val="097904CE"/>
    <w:rsid w:val="09AA11B0"/>
    <w:rsid w:val="09AE6EC9"/>
    <w:rsid w:val="09CE2330"/>
    <w:rsid w:val="09DA1E07"/>
    <w:rsid w:val="09E3057F"/>
    <w:rsid w:val="09EC20D9"/>
    <w:rsid w:val="09F67376"/>
    <w:rsid w:val="0A1706A5"/>
    <w:rsid w:val="0A22526F"/>
    <w:rsid w:val="0A474943"/>
    <w:rsid w:val="0A6C2A75"/>
    <w:rsid w:val="0A9243F6"/>
    <w:rsid w:val="0A9A4CB2"/>
    <w:rsid w:val="0AA803DA"/>
    <w:rsid w:val="0AB5394C"/>
    <w:rsid w:val="0ABF4AD5"/>
    <w:rsid w:val="0AE12354"/>
    <w:rsid w:val="0AE33150"/>
    <w:rsid w:val="0B1C4FE1"/>
    <w:rsid w:val="0B352269"/>
    <w:rsid w:val="0B462860"/>
    <w:rsid w:val="0B666E1E"/>
    <w:rsid w:val="0B7C459F"/>
    <w:rsid w:val="0B927F2C"/>
    <w:rsid w:val="0B9755E7"/>
    <w:rsid w:val="0BF93C61"/>
    <w:rsid w:val="0C7601B7"/>
    <w:rsid w:val="0CE12CE9"/>
    <w:rsid w:val="0CE941A6"/>
    <w:rsid w:val="0D45478F"/>
    <w:rsid w:val="0D7610F5"/>
    <w:rsid w:val="0DC22EF6"/>
    <w:rsid w:val="0DCE6ED6"/>
    <w:rsid w:val="0E214703"/>
    <w:rsid w:val="0E4851DA"/>
    <w:rsid w:val="0E4A709F"/>
    <w:rsid w:val="0E6B7C20"/>
    <w:rsid w:val="0F0F0DC0"/>
    <w:rsid w:val="0F0F1F22"/>
    <w:rsid w:val="0F1756DC"/>
    <w:rsid w:val="0F2F2D73"/>
    <w:rsid w:val="0F8524FD"/>
    <w:rsid w:val="0F923070"/>
    <w:rsid w:val="0F954003"/>
    <w:rsid w:val="0FA20E5B"/>
    <w:rsid w:val="0FE1608D"/>
    <w:rsid w:val="102F164C"/>
    <w:rsid w:val="10A10B99"/>
    <w:rsid w:val="10B667EB"/>
    <w:rsid w:val="10D77534"/>
    <w:rsid w:val="11003298"/>
    <w:rsid w:val="11207371"/>
    <w:rsid w:val="112B167D"/>
    <w:rsid w:val="114514FB"/>
    <w:rsid w:val="115D2872"/>
    <w:rsid w:val="121566C7"/>
    <w:rsid w:val="121A1B1B"/>
    <w:rsid w:val="129C3238"/>
    <w:rsid w:val="12D37110"/>
    <w:rsid w:val="131F4219"/>
    <w:rsid w:val="138E6001"/>
    <w:rsid w:val="13957F1E"/>
    <w:rsid w:val="139C3AF8"/>
    <w:rsid w:val="14076FBC"/>
    <w:rsid w:val="143347C4"/>
    <w:rsid w:val="143B7827"/>
    <w:rsid w:val="144A4A0F"/>
    <w:rsid w:val="14761E94"/>
    <w:rsid w:val="148C5E9A"/>
    <w:rsid w:val="14A952C7"/>
    <w:rsid w:val="14F82DA6"/>
    <w:rsid w:val="1510750C"/>
    <w:rsid w:val="15151D99"/>
    <w:rsid w:val="15237C5A"/>
    <w:rsid w:val="15A7709E"/>
    <w:rsid w:val="15C56F1C"/>
    <w:rsid w:val="15D833AD"/>
    <w:rsid w:val="15EC19CF"/>
    <w:rsid w:val="16237010"/>
    <w:rsid w:val="165213D3"/>
    <w:rsid w:val="170A24E1"/>
    <w:rsid w:val="171F320C"/>
    <w:rsid w:val="172B37C9"/>
    <w:rsid w:val="17560618"/>
    <w:rsid w:val="177341EE"/>
    <w:rsid w:val="178C2D1C"/>
    <w:rsid w:val="17C0415C"/>
    <w:rsid w:val="18156596"/>
    <w:rsid w:val="181D2B49"/>
    <w:rsid w:val="1888065C"/>
    <w:rsid w:val="188D5332"/>
    <w:rsid w:val="18990211"/>
    <w:rsid w:val="18A45CCF"/>
    <w:rsid w:val="18A91DF9"/>
    <w:rsid w:val="18E80CB2"/>
    <w:rsid w:val="18E856A6"/>
    <w:rsid w:val="19086FD3"/>
    <w:rsid w:val="19926A37"/>
    <w:rsid w:val="19A969CD"/>
    <w:rsid w:val="19AE4012"/>
    <w:rsid w:val="19B10CE0"/>
    <w:rsid w:val="19D5518D"/>
    <w:rsid w:val="19DE0B23"/>
    <w:rsid w:val="19F31F5B"/>
    <w:rsid w:val="1AE44AC9"/>
    <w:rsid w:val="1B284DF3"/>
    <w:rsid w:val="1B4237B2"/>
    <w:rsid w:val="1B512F05"/>
    <w:rsid w:val="1B600C69"/>
    <w:rsid w:val="1B791BC2"/>
    <w:rsid w:val="1C252153"/>
    <w:rsid w:val="1C3A7C47"/>
    <w:rsid w:val="1C857282"/>
    <w:rsid w:val="1CB00F2E"/>
    <w:rsid w:val="1CBF55B7"/>
    <w:rsid w:val="1CDB4C45"/>
    <w:rsid w:val="1D0F3D3B"/>
    <w:rsid w:val="1D151A85"/>
    <w:rsid w:val="1D673BEE"/>
    <w:rsid w:val="1DB5139A"/>
    <w:rsid w:val="1DB77358"/>
    <w:rsid w:val="1DD25237"/>
    <w:rsid w:val="1DDD22C8"/>
    <w:rsid w:val="1E521CFA"/>
    <w:rsid w:val="1EA4110D"/>
    <w:rsid w:val="1EF2027C"/>
    <w:rsid w:val="1F5C5898"/>
    <w:rsid w:val="1F5C59FA"/>
    <w:rsid w:val="1FAD4A22"/>
    <w:rsid w:val="1FEC6E15"/>
    <w:rsid w:val="202779E4"/>
    <w:rsid w:val="20782B43"/>
    <w:rsid w:val="20BF016C"/>
    <w:rsid w:val="213F0080"/>
    <w:rsid w:val="21824A0B"/>
    <w:rsid w:val="21A161EC"/>
    <w:rsid w:val="21C41A51"/>
    <w:rsid w:val="21C4640B"/>
    <w:rsid w:val="21CE62BA"/>
    <w:rsid w:val="21F20A51"/>
    <w:rsid w:val="22487C44"/>
    <w:rsid w:val="22931A60"/>
    <w:rsid w:val="22AA3C04"/>
    <w:rsid w:val="23085554"/>
    <w:rsid w:val="231C2163"/>
    <w:rsid w:val="232079C7"/>
    <w:rsid w:val="23346723"/>
    <w:rsid w:val="234D2B53"/>
    <w:rsid w:val="23516A41"/>
    <w:rsid w:val="235C032A"/>
    <w:rsid w:val="23AE7C38"/>
    <w:rsid w:val="23CA3F05"/>
    <w:rsid w:val="23D47700"/>
    <w:rsid w:val="23E2759F"/>
    <w:rsid w:val="24101B04"/>
    <w:rsid w:val="241077BB"/>
    <w:rsid w:val="245C3555"/>
    <w:rsid w:val="24740DAC"/>
    <w:rsid w:val="24745C19"/>
    <w:rsid w:val="24A07E2C"/>
    <w:rsid w:val="24A12B87"/>
    <w:rsid w:val="24A93CD8"/>
    <w:rsid w:val="24E46479"/>
    <w:rsid w:val="256964CE"/>
    <w:rsid w:val="256C721C"/>
    <w:rsid w:val="25AB1542"/>
    <w:rsid w:val="25D84693"/>
    <w:rsid w:val="25DB734B"/>
    <w:rsid w:val="25EB0767"/>
    <w:rsid w:val="265C7526"/>
    <w:rsid w:val="265E5213"/>
    <w:rsid w:val="27180BC0"/>
    <w:rsid w:val="27486E72"/>
    <w:rsid w:val="279557BC"/>
    <w:rsid w:val="279A4D56"/>
    <w:rsid w:val="27A216F4"/>
    <w:rsid w:val="27A55540"/>
    <w:rsid w:val="27C86A7D"/>
    <w:rsid w:val="27E94DE5"/>
    <w:rsid w:val="28473CF1"/>
    <w:rsid w:val="284842BE"/>
    <w:rsid w:val="284B4691"/>
    <w:rsid w:val="2856755E"/>
    <w:rsid w:val="28614ACE"/>
    <w:rsid w:val="288B7855"/>
    <w:rsid w:val="28AF7EB5"/>
    <w:rsid w:val="28D142CA"/>
    <w:rsid w:val="29033372"/>
    <w:rsid w:val="298D3554"/>
    <w:rsid w:val="29DB1220"/>
    <w:rsid w:val="2A585D04"/>
    <w:rsid w:val="2A7811F4"/>
    <w:rsid w:val="2AAA32D3"/>
    <w:rsid w:val="2AC03B29"/>
    <w:rsid w:val="2ADA2663"/>
    <w:rsid w:val="2B1F46A9"/>
    <w:rsid w:val="2B366073"/>
    <w:rsid w:val="2B4D0C19"/>
    <w:rsid w:val="2BAC41E6"/>
    <w:rsid w:val="2BE12310"/>
    <w:rsid w:val="2BF55255"/>
    <w:rsid w:val="2C4F1B9F"/>
    <w:rsid w:val="2D0E2DEE"/>
    <w:rsid w:val="2D28545F"/>
    <w:rsid w:val="2D307526"/>
    <w:rsid w:val="2D666B8B"/>
    <w:rsid w:val="2D8E1C95"/>
    <w:rsid w:val="2DE36703"/>
    <w:rsid w:val="2DF870FA"/>
    <w:rsid w:val="2E4F2CEF"/>
    <w:rsid w:val="2E767C40"/>
    <w:rsid w:val="2ECA28B4"/>
    <w:rsid w:val="2F04077A"/>
    <w:rsid w:val="2F2A7971"/>
    <w:rsid w:val="2F40562A"/>
    <w:rsid w:val="2F593AAF"/>
    <w:rsid w:val="2F7C42E2"/>
    <w:rsid w:val="2F8B5642"/>
    <w:rsid w:val="300774D6"/>
    <w:rsid w:val="301B5A33"/>
    <w:rsid w:val="306D655A"/>
    <w:rsid w:val="30833C82"/>
    <w:rsid w:val="308C6939"/>
    <w:rsid w:val="308E3B58"/>
    <w:rsid w:val="30C346CE"/>
    <w:rsid w:val="310E5EAF"/>
    <w:rsid w:val="315F312A"/>
    <w:rsid w:val="31735492"/>
    <w:rsid w:val="31847136"/>
    <w:rsid w:val="31F2760E"/>
    <w:rsid w:val="3205596B"/>
    <w:rsid w:val="32070082"/>
    <w:rsid w:val="320C281E"/>
    <w:rsid w:val="321D7E88"/>
    <w:rsid w:val="32555A13"/>
    <w:rsid w:val="328D4A64"/>
    <w:rsid w:val="32AE074E"/>
    <w:rsid w:val="32B34703"/>
    <w:rsid w:val="32B44794"/>
    <w:rsid w:val="32B63863"/>
    <w:rsid w:val="32C024AB"/>
    <w:rsid w:val="32D1254F"/>
    <w:rsid w:val="32F2516D"/>
    <w:rsid w:val="32F26CA9"/>
    <w:rsid w:val="332E5879"/>
    <w:rsid w:val="335F09FF"/>
    <w:rsid w:val="3367179F"/>
    <w:rsid w:val="33A75AFD"/>
    <w:rsid w:val="33A922DA"/>
    <w:rsid w:val="33CD1419"/>
    <w:rsid w:val="34253E6E"/>
    <w:rsid w:val="34360313"/>
    <w:rsid w:val="343944D4"/>
    <w:rsid w:val="347F6228"/>
    <w:rsid w:val="34976B5C"/>
    <w:rsid w:val="34F536C2"/>
    <w:rsid w:val="350A5D72"/>
    <w:rsid w:val="35385399"/>
    <w:rsid w:val="353F75E7"/>
    <w:rsid w:val="35567ED5"/>
    <w:rsid w:val="35790DB5"/>
    <w:rsid w:val="3596760D"/>
    <w:rsid w:val="35B37A84"/>
    <w:rsid w:val="35C47F1F"/>
    <w:rsid w:val="35E963D4"/>
    <w:rsid w:val="36912F5F"/>
    <w:rsid w:val="36A1541E"/>
    <w:rsid w:val="36D6708F"/>
    <w:rsid w:val="36D94679"/>
    <w:rsid w:val="372C4226"/>
    <w:rsid w:val="37431319"/>
    <w:rsid w:val="3752677F"/>
    <w:rsid w:val="37733EEF"/>
    <w:rsid w:val="379C4B8C"/>
    <w:rsid w:val="37A143B1"/>
    <w:rsid w:val="37A74EB2"/>
    <w:rsid w:val="37D038B7"/>
    <w:rsid w:val="38184DA9"/>
    <w:rsid w:val="384E6FE9"/>
    <w:rsid w:val="384F5FC3"/>
    <w:rsid w:val="387B6772"/>
    <w:rsid w:val="38991DE9"/>
    <w:rsid w:val="38DB7D3F"/>
    <w:rsid w:val="390712BD"/>
    <w:rsid w:val="39117F45"/>
    <w:rsid w:val="397B54BD"/>
    <w:rsid w:val="398A3B51"/>
    <w:rsid w:val="39A07DED"/>
    <w:rsid w:val="3A593AA4"/>
    <w:rsid w:val="3AD153D4"/>
    <w:rsid w:val="3B1A3D00"/>
    <w:rsid w:val="3B1C2777"/>
    <w:rsid w:val="3B6A6561"/>
    <w:rsid w:val="3B9644B1"/>
    <w:rsid w:val="3BC61353"/>
    <w:rsid w:val="3BD3322F"/>
    <w:rsid w:val="3BF433AE"/>
    <w:rsid w:val="3C474824"/>
    <w:rsid w:val="3C7A0E71"/>
    <w:rsid w:val="3CB01E6E"/>
    <w:rsid w:val="3CBC3CDD"/>
    <w:rsid w:val="3D226711"/>
    <w:rsid w:val="3D6C0C7C"/>
    <w:rsid w:val="3D7038CF"/>
    <w:rsid w:val="3D927FEE"/>
    <w:rsid w:val="3D982A86"/>
    <w:rsid w:val="3DA42D56"/>
    <w:rsid w:val="3E0A7937"/>
    <w:rsid w:val="3EC71A0F"/>
    <w:rsid w:val="3EEC2198"/>
    <w:rsid w:val="3F650473"/>
    <w:rsid w:val="3F8B2DC1"/>
    <w:rsid w:val="3F9A32A4"/>
    <w:rsid w:val="3F9A59A0"/>
    <w:rsid w:val="3FAF1E04"/>
    <w:rsid w:val="3FF8412A"/>
    <w:rsid w:val="407F68DF"/>
    <w:rsid w:val="40887274"/>
    <w:rsid w:val="40A83B3E"/>
    <w:rsid w:val="410D35BF"/>
    <w:rsid w:val="413B48B3"/>
    <w:rsid w:val="41900E70"/>
    <w:rsid w:val="41987957"/>
    <w:rsid w:val="41FE10F2"/>
    <w:rsid w:val="42465B70"/>
    <w:rsid w:val="426C6317"/>
    <w:rsid w:val="428C6315"/>
    <w:rsid w:val="42990C57"/>
    <w:rsid w:val="42CE183F"/>
    <w:rsid w:val="42EB4F38"/>
    <w:rsid w:val="430C77E3"/>
    <w:rsid w:val="431D779C"/>
    <w:rsid w:val="433948AE"/>
    <w:rsid w:val="439B6D7F"/>
    <w:rsid w:val="43B53C9A"/>
    <w:rsid w:val="43C6757A"/>
    <w:rsid w:val="43DF3ECA"/>
    <w:rsid w:val="44083F56"/>
    <w:rsid w:val="4428303F"/>
    <w:rsid w:val="4431193E"/>
    <w:rsid w:val="4498729F"/>
    <w:rsid w:val="44CE0978"/>
    <w:rsid w:val="44F31BF2"/>
    <w:rsid w:val="44F31C9E"/>
    <w:rsid w:val="44F74778"/>
    <w:rsid w:val="45012FE8"/>
    <w:rsid w:val="45212496"/>
    <w:rsid w:val="453A1979"/>
    <w:rsid w:val="454F5276"/>
    <w:rsid w:val="45595625"/>
    <w:rsid w:val="45700777"/>
    <w:rsid w:val="457D6208"/>
    <w:rsid w:val="460946AE"/>
    <w:rsid w:val="46276980"/>
    <w:rsid w:val="4657138A"/>
    <w:rsid w:val="469E58CA"/>
    <w:rsid w:val="46B86BE1"/>
    <w:rsid w:val="46D71386"/>
    <w:rsid w:val="46F525EC"/>
    <w:rsid w:val="46FB1CEC"/>
    <w:rsid w:val="47683FAC"/>
    <w:rsid w:val="478A7A5B"/>
    <w:rsid w:val="47963965"/>
    <w:rsid w:val="47C1489E"/>
    <w:rsid w:val="47F85100"/>
    <w:rsid w:val="48112282"/>
    <w:rsid w:val="4860263C"/>
    <w:rsid w:val="4864476B"/>
    <w:rsid w:val="488902FD"/>
    <w:rsid w:val="48E27259"/>
    <w:rsid w:val="49776B93"/>
    <w:rsid w:val="49C62171"/>
    <w:rsid w:val="4A1937AC"/>
    <w:rsid w:val="4A36668E"/>
    <w:rsid w:val="4A442A15"/>
    <w:rsid w:val="4A4B0009"/>
    <w:rsid w:val="4A8F28B3"/>
    <w:rsid w:val="4A9216F7"/>
    <w:rsid w:val="4ACF574D"/>
    <w:rsid w:val="4AF14038"/>
    <w:rsid w:val="4B090631"/>
    <w:rsid w:val="4B48361A"/>
    <w:rsid w:val="4B52606D"/>
    <w:rsid w:val="4B7B1547"/>
    <w:rsid w:val="4B976B1E"/>
    <w:rsid w:val="4BCA50AD"/>
    <w:rsid w:val="4BF8401E"/>
    <w:rsid w:val="4C0655AD"/>
    <w:rsid w:val="4C124D04"/>
    <w:rsid w:val="4C470FC6"/>
    <w:rsid w:val="4CB10AFC"/>
    <w:rsid w:val="4CF913B7"/>
    <w:rsid w:val="4D3707E8"/>
    <w:rsid w:val="4D4824A4"/>
    <w:rsid w:val="4D847382"/>
    <w:rsid w:val="4D8704F9"/>
    <w:rsid w:val="4E453866"/>
    <w:rsid w:val="4E552966"/>
    <w:rsid w:val="4E6B28A6"/>
    <w:rsid w:val="4EAD28FF"/>
    <w:rsid w:val="4EB3566C"/>
    <w:rsid w:val="4EC157D2"/>
    <w:rsid w:val="4ECE2B5A"/>
    <w:rsid w:val="4EF32B10"/>
    <w:rsid w:val="4F0C5C6B"/>
    <w:rsid w:val="4F272E69"/>
    <w:rsid w:val="4F61459E"/>
    <w:rsid w:val="4F9C23E4"/>
    <w:rsid w:val="4FC74E0A"/>
    <w:rsid w:val="4FE114E3"/>
    <w:rsid w:val="509F48E7"/>
    <w:rsid w:val="50AE43FD"/>
    <w:rsid w:val="50E5770A"/>
    <w:rsid w:val="50FE28EE"/>
    <w:rsid w:val="5148694B"/>
    <w:rsid w:val="51590500"/>
    <w:rsid w:val="516C4EAA"/>
    <w:rsid w:val="517B0B56"/>
    <w:rsid w:val="51927348"/>
    <w:rsid w:val="51B76501"/>
    <w:rsid w:val="522A4360"/>
    <w:rsid w:val="52397F35"/>
    <w:rsid w:val="523A52A8"/>
    <w:rsid w:val="524F328D"/>
    <w:rsid w:val="52501BA1"/>
    <w:rsid w:val="5290023E"/>
    <w:rsid w:val="52B94C69"/>
    <w:rsid w:val="52E73A4D"/>
    <w:rsid w:val="53116936"/>
    <w:rsid w:val="532026B3"/>
    <w:rsid w:val="53500BE5"/>
    <w:rsid w:val="53593953"/>
    <w:rsid w:val="54347963"/>
    <w:rsid w:val="546963FE"/>
    <w:rsid w:val="54882074"/>
    <w:rsid w:val="55133A8F"/>
    <w:rsid w:val="553C18D6"/>
    <w:rsid w:val="554F0600"/>
    <w:rsid w:val="55952F95"/>
    <w:rsid w:val="55D4346D"/>
    <w:rsid w:val="55D4371E"/>
    <w:rsid w:val="55D46F1E"/>
    <w:rsid w:val="56100505"/>
    <w:rsid w:val="5612501E"/>
    <w:rsid w:val="563806F1"/>
    <w:rsid w:val="56401E75"/>
    <w:rsid w:val="568F2FB3"/>
    <w:rsid w:val="569B7DA6"/>
    <w:rsid w:val="56D005F6"/>
    <w:rsid w:val="574B433C"/>
    <w:rsid w:val="57963076"/>
    <w:rsid w:val="57B91C18"/>
    <w:rsid w:val="57C6479F"/>
    <w:rsid w:val="58403317"/>
    <w:rsid w:val="584B7712"/>
    <w:rsid w:val="5854741C"/>
    <w:rsid w:val="58F42587"/>
    <w:rsid w:val="598B6C13"/>
    <w:rsid w:val="599C552C"/>
    <w:rsid w:val="59CE62E1"/>
    <w:rsid w:val="59D00632"/>
    <w:rsid w:val="5A111225"/>
    <w:rsid w:val="5A2D3D12"/>
    <w:rsid w:val="5A99499C"/>
    <w:rsid w:val="5AF4317C"/>
    <w:rsid w:val="5B1B0F1E"/>
    <w:rsid w:val="5B3154B1"/>
    <w:rsid w:val="5B5E2A11"/>
    <w:rsid w:val="5B6928F0"/>
    <w:rsid w:val="5B6947AF"/>
    <w:rsid w:val="5B9A1E7E"/>
    <w:rsid w:val="5BFF4493"/>
    <w:rsid w:val="5C231377"/>
    <w:rsid w:val="5C4353FE"/>
    <w:rsid w:val="5C587EE4"/>
    <w:rsid w:val="5C70509C"/>
    <w:rsid w:val="5C9F132C"/>
    <w:rsid w:val="5D180AE6"/>
    <w:rsid w:val="5D3763F7"/>
    <w:rsid w:val="5D3954F4"/>
    <w:rsid w:val="5D772671"/>
    <w:rsid w:val="5DF37F5C"/>
    <w:rsid w:val="5E020DA6"/>
    <w:rsid w:val="5E753E96"/>
    <w:rsid w:val="5E9B0716"/>
    <w:rsid w:val="5ED32659"/>
    <w:rsid w:val="5F0D57A0"/>
    <w:rsid w:val="5F240472"/>
    <w:rsid w:val="5F4C70F8"/>
    <w:rsid w:val="5FC02088"/>
    <w:rsid w:val="5FC15700"/>
    <w:rsid w:val="5FE505D9"/>
    <w:rsid w:val="607C2820"/>
    <w:rsid w:val="608102CD"/>
    <w:rsid w:val="608818BE"/>
    <w:rsid w:val="60D22BB7"/>
    <w:rsid w:val="61230B4F"/>
    <w:rsid w:val="6128103A"/>
    <w:rsid w:val="618D3520"/>
    <w:rsid w:val="61EA2DFB"/>
    <w:rsid w:val="6212440B"/>
    <w:rsid w:val="62280ADA"/>
    <w:rsid w:val="623F4647"/>
    <w:rsid w:val="626D2370"/>
    <w:rsid w:val="62961A64"/>
    <w:rsid w:val="629869E7"/>
    <w:rsid w:val="62CC7F61"/>
    <w:rsid w:val="630F7237"/>
    <w:rsid w:val="63A03594"/>
    <w:rsid w:val="63C20C55"/>
    <w:rsid w:val="63F361B6"/>
    <w:rsid w:val="64155535"/>
    <w:rsid w:val="6422664D"/>
    <w:rsid w:val="645F49A5"/>
    <w:rsid w:val="64603C02"/>
    <w:rsid w:val="64912F39"/>
    <w:rsid w:val="64B622BC"/>
    <w:rsid w:val="652F1808"/>
    <w:rsid w:val="654E0029"/>
    <w:rsid w:val="65A978BE"/>
    <w:rsid w:val="6648510B"/>
    <w:rsid w:val="66533E2A"/>
    <w:rsid w:val="666B0D96"/>
    <w:rsid w:val="66A36122"/>
    <w:rsid w:val="66D501D9"/>
    <w:rsid w:val="670527BF"/>
    <w:rsid w:val="672B40A0"/>
    <w:rsid w:val="675A0CEE"/>
    <w:rsid w:val="676222C2"/>
    <w:rsid w:val="67E56281"/>
    <w:rsid w:val="67EF6C65"/>
    <w:rsid w:val="67F0414C"/>
    <w:rsid w:val="686B0770"/>
    <w:rsid w:val="68782D29"/>
    <w:rsid w:val="68B34674"/>
    <w:rsid w:val="68F9141C"/>
    <w:rsid w:val="6998514A"/>
    <w:rsid w:val="69B051D4"/>
    <w:rsid w:val="69BA7762"/>
    <w:rsid w:val="69D5455B"/>
    <w:rsid w:val="69ED51F9"/>
    <w:rsid w:val="6A061E9F"/>
    <w:rsid w:val="6A284E02"/>
    <w:rsid w:val="6A3C21F8"/>
    <w:rsid w:val="6A6D1CB6"/>
    <w:rsid w:val="6A816E20"/>
    <w:rsid w:val="6AD72852"/>
    <w:rsid w:val="6B2608DE"/>
    <w:rsid w:val="6B5046B2"/>
    <w:rsid w:val="6BD875D6"/>
    <w:rsid w:val="6BE06D0C"/>
    <w:rsid w:val="6BF42142"/>
    <w:rsid w:val="6C2D64C0"/>
    <w:rsid w:val="6C987AEB"/>
    <w:rsid w:val="6CB1264B"/>
    <w:rsid w:val="6CC04A78"/>
    <w:rsid w:val="6CCF752C"/>
    <w:rsid w:val="6CDA2A6B"/>
    <w:rsid w:val="6D190821"/>
    <w:rsid w:val="6D1C5626"/>
    <w:rsid w:val="6D2D12C9"/>
    <w:rsid w:val="6DD960A5"/>
    <w:rsid w:val="6E00187C"/>
    <w:rsid w:val="6E4B4A5E"/>
    <w:rsid w:val="6E4F010D"/>
    <w:rsid w:val="6E804DD5"/>
    <w:rsid w:val="6EC55A0E"/>
    <w:rsid w:val="6ECF0F6F"/>
    <w:rsid w:val="6ED82F54"/>
    <w:rsid w:val="6F027769"/>
    <w:rsid w:val="6F595292"/>
    <w:rsid w:val="6F992216"/>
    <w:rsid w:val="6FBE7646"/>
    <w:rsid w:val="6FC53181"/>
    <w:rsid w:val="6FCE10E8"/>
    <w:rsid w:val="6FDD038F"/>
    <w:rsid w:val="6FF50BC2"/>
    <w:rsid w:val="6FF82189"/>
    <w:rsid w:val="6FFA3A2C"/>
    <w:rsid w:val="700365FD"/>
    <w:rsid w:val="70046D93"/>
    <w:rsid w:val="701B0F33"/>
    <w:rsid w:val="701C2AE2"/>
    <w:rsid w:val="701E684A"/>
    <w:rsid w:val="7038064E"/>
    <w:rsid w:val="70385DB2"/>
    <w:rsid w:val="704A00CE"/>
    <w:rsid w:val="705E75F8"/>
    <w:rsid w:val="70785AF8"/>
    <w:rsid w:val="708B218E"/>
    <w:rsid w:val="70D15FA5"/>
    <w:rsid w:val="713878EC"/>
    <w:rsid w:val="71497706"/>
    <w:rsid w:val="715B7ED5"/>
    <w:rsid w:val="71B6066F"/>
    <w:rsid w:val="71C70DE8"/>
    <w:rsid w:val="71F15E84"/>
    <w:rsid w:val="72733E42"/>
    <w:rsid w:val="72780480"/>
    <w:rsid w:val="72AB4CB8"/>
    <w:rsid w:val="731459E6"/>
    <w:rsid w:val="73217E94"/>
    <w:rsid w:val="73560F04"/>
    <w:rsid w:val="73636573"/>
    <w:rsid w:val="736E4A9E"/>
    <w:rsid w:val="737870A6"/>
    <w:rsid w:val="73791DB8"/>
    <w:rsid w:val="73976801"/>
    <w:rsid w:val="744A65A0"/>
    <w:rsid w:val="746F562E"/>
    <w:rsid w:val="747F739E"/>
    <w:rsid w:val="74A54F9E"/>
    <w:rsid w:val="74DA4C79"/>
    <w:rsid w:val="750D5A1E"/>
    <w:rsid w:val="751D21DE"/>
    <w:rsid w:val="7549550F"/>
    <w:rsid w:val="755B6F89"/>
    <w:rsid w:val="761526AD"/>
    <w:rsid w:val="763622A0"/>
    <w:rsid w:val="76385FF4"/>
    <w:rsid w:val="7659748F"/>
    <w:rsid w:val="76646308"/>
    <w:rsid w:val="76731D44"/>
    <w:rsid w:val="76833B5F"/>
    <w:rsid w:val="76942C1E"/>
    <w:rsid w:val="76981E21"/>
    <w:rsid w:val="76AD24B9"/>
    <w:rsid w:val="76CE0316"/>
    <w:rsid w:val="77406AC8"/>
    <w:rsid w:val="77453708"/>
    <w:rsid w:val="774B0508"/>
    <w:rsid w:val="77793195"/>
    <w:rsid w:val="77796B5D"/>
    <w:rsid w:val="777D66C5"/>
    <w:rsid w:val="778C7372"/>
    <w:rsid w:val="778F7D21"/>
    <w:rsid w:val="77A758F4"/>
    <w:rsid w:val="77D93AC3"/>
    <w:rsid w:val="78133534"/>
    <w:rsid w:val="784B70E2"/>
    <w:rsid w:val="7863157D"/>
    <w:rsid w:val="7863240D"/>
    <w:rsid w:val="78633B0C"/>
    <w:rsid w:val="787E281E"/>
    <w:rsid w:val="79023254"/>
    <w:rsid w:val="790B06F7"/>
    <w:rsid w:val="792F24EE"/>
    <w:rsid w:val="796B1935"/>
    <w:rsid w:val="79A9496D"/>
    <w:rsid w:val="79B40F34"/>
    <w:rsid w:val="79E01FB4"/>
    <w:rsid w:val="79E13F33"/>
    <w:rsid w:val="7A0A770A"/>
    <w:rsid w:val="7A367BBD"/>
    <w:rsid w:val="7A3A6A24"/>
    <w:rsid w:val="7A6831BF"/>
    <w:rsid w:val="7ACC5F07"/>
    <w:rsid w:val="7B7076E1"/>
    <w:rsid w:val="7C02622B"/>
    <w:rsid w:val="7C122593"/>
    <w:rsid w:val="7C24591A"/>
    <w:rsid w:val="7C2D0994"/>
    <w:rsid w:val="7C3C683E"/>
    <w:rsid w:val="7C3D1907"/>
    <w:rsid w:val="7C5E5FF1"/>
    <w:rsid w:val="7C75380D"/>
    <w:rsid w:val="7C8327D6"/>
    <w:rsid w:val="7C9123A4"/>
    <w:rsid w:val="7CCA13D2"/>
    <w:rsid w:val="7CDE09D4"/>
    <w:rsid w:val="7D2F30B4"/>
    <w:rsid w:val="7D6801BB"/>
    <w:rsid w:val="7D6E47C1"/>
    <w:rsid w:val="7DE5152E"/>
    <w:rsid w:val="7E897A1D"/>
    <w:rsid w:val="7E9079FB"/>
    <w:rsid w:val="7EB35817"/>
    <w:rsid w:val="7F037CF8"/>
    <w:rsid w:val="7FB5187C"/>
    <w:rsid w:val="7FC7497F"/>
    <w:rsid w:val="7FFD4F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99"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104"/>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unhideWhenUsed/>
    <w:qFormat/>
    <w:uiPriority w:val="0"/>
    <w:pPr>
      <w:keepNext/>
      <w:keepLines/>
      <w:spacing w:line="376" w:lineRule="auto"/>
      <w:outlineLvl w:val="3"/>
    </w:pPr>
    <w:rPr>
      <w:rFonts w:ascii="Cambria" w:hAnsi="Cambria"/>
      <w:b/>
      <w:bCs/>
      <w:sz w:val="28"/>
      <w:szCs w:val="28"/>
    </w:rPr>
  </w:style>
  <w:style w:type="paragraph" w:styleId="6">
    <w:name w:val="heading 5"/>
    <w:basedOn w:val="1"/>
    <w:next w:val="1"/>
    <w:link w:val="94"/>
    <w:unhideWhenUsed/>
    <w:qFormat/>
    <w:uiPriority w:val="0"/>
    <w:pPr>
      <w:keepNext/>
      <w:keepLines/>
      <w:spacing w:before="280" w:after="290" w:line="376" w:lineRule="auto"/>
      <w:outlineLvl w:val="4"/>
    </w:pPr>
    <w:rPr>
      <w:b/>
      <w:bCs/>
      <w:sz w:val="28"/>
      <w:szCs w:val="28"/>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0"/>
    <w:pPr>
      <w:ind w:left="1260"/>
      <w:jc w:val="left"/>
    </w:pPr>
    <w:rPr>
      <w:sz w:val="20"/>
    </w:rPr>
  </w:style>
  <w:style w:type="paragraph" w:styleId="8">
    <w:name w:val="index 8"/>
    <w:basedOn w:val="1"/>
    <w:next w:val="1"/>
    <w:semiHidden/>
    <w:qFormat/>
    <w:uiPriority w:val="0"/>
    <w:pPr>
      <w:ind w:left="1400" w:leftChars="1400"/>
    </w:pPr>
  </w:style>
  <w:style w:type="paragraph" w:styleId="9">
    <w:name w:val="Normal Indent"/>
    <w:basedOn w:val="1"/>
    <w:qFormat/>
    <w:uiPriority w:val="0"/>
    <w:pPr>
      <w:widowControl/>
      <w:ind w:firstLine="420"/>
      <w:jc w:val="left"/>
    </w:pPr>
    <w:rPr>
      <w:kern w:val="0"/>
      <w:sz w:val="20"/>
    </w:rPr>
  </w:style>
  <w:style w:type="paragraph" w:styleId="10">
    <w:name w:val="index 5"/>
    <w:basedOn w:val="1"/>
    <w:next w:val="1"/>
    <w:semiHidden/>
    <w:qFormat/>
    <w:uiPriority w:val="0"/>
    <w:pPr>
      <w:ind w:left="800" w:leftChars="800"/>
    </w:pPr>
  </w:style>
  <w:style w:type="paragraph" w:styleId="11">
    <w:name w:val="Document Map"/>
    <w:basedOn w:val="1"/>
    <w:link w:val="88"/>
    <w:qFormat/>
    <w:uiPriority w:val="0"/>
    <w:rPr>
      <w:rFonts w:ascii="宋体"/>
      <w:sz w:val="18"/>
      <w:szCs w:val="18"/>
    </w:rPr>
  </w:style>
  <w:style w:type="paragraph" w:styleId="12">
    <w:name w:val="annotation text"/>
    <w:basedOn w:val="1"/>
    <w:link w:val="89"/>
    <w:qFormat/>
    <w:uiPriority w:val="0"/>
    <w:pPr>
      <w:jc w:val="left"/>
    </w:pPr>
  </w:style>
  <w:style w:type="paragraph" w:styleId="13">
    <w:name w:val="index 6"/>
    <w:basedOn w:val="1"/>
    <w:next w:val="1"/>
    <w:semiHidden/>
    <w:qFormat/>
    <w:uiPriority w:val="0"/>
    <w:pPr>
      <w:ind w:left="1000" w:leftChars="1000"/>
    </w:pPr>
  </w:style>
  <w:style w:type="paragraph" w:styleId="14">
    <w:name w:val="Body Text 3"/>
    <w:basedOn w:val="1"/>
    <w:link w:val="102"/>
    <w:qFormat/>
    <w:uiPriority w:val="0"/>
    <w:pPr>
      <w:ind w:right="69" w:rightChars="33"/>
    </w:pPr>
    <w:rPr>
      <w:rFonts w:ascii="仿宋_GB2312" w:eastAsia="仿宋_GB2312"/>
      <w:bCs/>
      <w:sz w:val="28"/>
      <w:szCs w:val="28"/>
    </w:rPr>
  </w:style>
  <w:style w:type="paragraph" w:styleId="15">
    <w:name w:val="Body Text"/>
    <w:basedOn w:val="1"/>
    <w:qFormat/>
    <w:uiPriority w:val="0"/>
    <w:rPr>
      <w:spacing w:val="20"/>
      <w:sz w:val="24"/>
      <w:szCs w:val="24"/>
    </w:rPr>
  </w:style>
  <w:style w:type="paragraph" w:styleId="16">
    <w:name w:val="Body Text Indent"/>
    <w:basedOn w:val="1"/>
    <w:qFormat/>
    <w:uiPriority w:val="0"/>
    <w:pPr>
      <w:adjustRightInd w:val="0"/>
      <w:spacing w:line="360" w:lineRule="auto"/>
      <w:ind w:firstLine="660"/>
      <w:textAlignment w:val="baseline"/>
    </w:pPr>
    <w:rPr>
      <w:rFonts w:ascii="宋体"/>
      <w:spacing w:val="20"/>
      <w:kern w:val="0"/>
      <w:sz w:val="28"/>
    </w:rPr>
  </w:style>
  <w:style w:type="paragraph" w:styleId="17">
    <w:name w:val="List 2"/>
    <w:basedOn w:val="1"/>
    <w:qFormat/>
    <w:uiPriority w:val="0"/>
    <w:pPr>
      <w:ind w:left="100" w:leftChars="200" w:hanging="200" w:hangingChars="200"/>
    </w:pPr>
    <w:rPr>
      <w:szCs w:val="24"/>
    </w:rPr>
  </w:style>
  <w:style w:type="paragraph" w:styleId="18">
    <w:name w:val="index 4"/>
    <w:basedOn w:val="1"/>
    <w:next w:val="1"/>
    <w:semiHidden/>
    <w:qFormat/>
    <w:uiPriority w:val="0"/>
    <w:pPr>
      <w:ind w:left="600" w:leftChars="600"/>
    </w:pPr>
  </w:style>
  <w:style w:type="paragraph" w:styleId="19">
    <w:name w:val="toc 5"/>
    <w:basedOn w:val="1"/>
    <w:next w:val="1"/>
    <w:qFormat/>
    <w:uiPriority w:val="0"/>
    <w:pPr>
      <w:ind w:left="840"/>
      <w:jc w:val="left"/>
    </w:pPr>
    <w:rPr>
      <w:sz w:val="20"/>
    </w:rPr>
  </w:style>
  <w:style w:type="paragraph" w:styleId="20">
    <w:name w:val="toc 3"/>
    <w:basedOn w:val="1"/>
    <w:next w:val="1"/>
    <w:qFormat/>
    <w:uiPriority w:val="0"/>
    <w:pPr>
      <w:ind w:left="420"/>
      <w:jc w:val="left"/>
    </w:pPr>
    <w:rPr>
      <w:sz w:val="20"/>
    </w:rPr>
  </w:style>
  <w:style w:type="paragraph" w:styleId="21">
    <w:name w:val="Plain Text"/>
    <w:basedOn w:val="1"/>
    <w:link w:val="92"/>
    <w:qFormat/>
    <w:uiPriority w:val="0"/>
    <w:pPr>
      <w:spacing w:line="500" w:lineRule="exact"/>
    </w:pPr>
    <w:rPr>
      <w:rFonts w:ascii="宋体" w:hAnsi="Courier New"/>
    </w:rPr>
  </w:style>
  <w:style w:type="paragraph" w:styleId="22">
    <w:name w:val="toc 8"/>
    <w:basedOn w:val="1"/>
    <w:next w:val="1"/>
    <w:qFormat/>
    <w:uiPriority w:val="0"/>
    <w:pPr>
      <w:ind w:left="1470"/>
      <w:jc w:val="left"/>
    </w:pPr>
    <w:rPr>
      <w:sz w:val="20"/>
    </w:rPr>
  </w:style>
  <w:style w:type="paragraph" w:styleId="23">
    <w:name w:val="index 3"/>
    <w:basedOn w:val="1"/>
    <w:next w:val="1"/>
    <w:semiHidden/>
    <w:qFormat/>
    <w:uiPriority w:val="0"/>
    <w:pPr>
      <w:ind w:left="400" w:leftChars="400"/>
    </w:pPr>
  </w:style>
  <w:style w:type="paragraph" w:styleId="24">
    <w:name w:val="Date"/>
    <w:basedOn w:val="1"/>
    <w:next w:val="1"/>
    <w:qFormat/>
    <w:uiPriority w:val="0"/>
    <w:pPr>
      <w:adjustRightInd w:val="0"/>
      <w:spacing w:line="312" w:lineRule="atLeast"/>
      <w:jc w:val="right"/>
      <w:textAlignment w:val="baseline"/>
    </w:pPr>
    <w:rPr>
      <w:rFonts w:ascii="宋体"/>
      <w:spacing w:val="20"/>
      <w:kern w:val="0"/>
      <w:sz w:val="28"/>
    </w:rPr>
  </w:style>
  <w:style w:type="paragraph" w:styleId="25">
    <w:name w:val="Body Text Indent 2"/>
    <w:basedOn w:val="1"/>
    <w:qFormat/>
    <w:uiPriority w:val="0"/>
    <w:pPr>
      <w:spacing w:line="360" w:lineRule="auto"/>
      <w:ind w:firstLine="624"/>
    </w:pPr>
    <w:rPr>
      <w:spacing w:val="20"/>
      <w:sz w:val="28"/>
    </w:rPr>
  </w:style>
  <w:style w:type="paragraph" w:styleId="26">
    <w:name w:val="Balloon Text"/>
    <w:basedOn w:val="1"/>
    <w:semiHidden/>
    <w:qFormat/>
    <w:uiPriority w:val="0"/>
    <w:rPr>
      <w:sz w:val="18"/>
      <w:szCs w:val="18"/>
    </w:rPr>
  </w:style>
  <w:style w:type="paragraph" w:styleId="27">
    <w:name w:val="footer"/>
    <w:basedOn w:val="1"/>
    <w:link w:val="91"/>
    <w:qFormat/>
    <w:uiPriority w:val="0"/>
    <w:pPr>
      <w:tabs>
        <w:tab w:val="center" w:pos="4153"/>
        <w:tab w:val="right" w:pos="8306"/>
      </w:tabs>
      <w:adjustRightInd w:val="0"/>
      <w:spacing w:line="240" w:lineRule="atLeast"/>
      <w:jc w:val="left"/>
      <w:textAlignment w:val="baseline"/>
    </w:pPr>
    <w:rPr>
      <w:kern w:val="0"/>
      <w:sz w:val="18"/>
    </w:rPr>
  </w:style>
  <w:style w:type="paragraph" w:styleId="28">
    <w:name w:val="header"/>
    <w:basedOn w:val="1"/>
    <w:link w:val="93"/>
    <w:qFormat/>
    <w:uiPriority w:val="0"/>
    <w:pPr>
      <w:tabs>
        <w:tab w:val="center" w:pos="4153"/>
        <w:tab w:val="right" w:pos="8306"/>
      </w:tabs>
      <w:snapToGrid w:val="0"/>
      <w:jc w:val="center"/>
    </w:pPr>
    <w:rPr>
      <w:sz w:val="18"/>
      <w:szCs w:val="18"/>
    </w:rPr>
  </w:style>
  <w:style w:type="paragraph" w:styleId="29">
    <w:name w:val="toc 1"/>
    <w:basedOn w:val="1"/>
    <w:next w:val="1"/>
    <w:qFormat/>
    <w:uiPriority w:val="39"/>
    <w:pPr>
      <w:tabs>
        <w:tab w:val="right" w:leader="dot" w:pos="9457"/>
      </w:tabs>
      <w:spacing w:beforeLines="100" w:afterLines="100" w:line="360" w:lineRule="auto"/>
      <w:jc w:val="center"/>
    </w:pPr>
    <w:rPr>
      <w:rFonts w:ascii="宋体" w:hAnsi="宋体"/>
      <w:b/>
      <w:bCs/>
      <w:iCs/>
      <w:snapToGrid w:val="0"/>
      <w:spacing w:val="40"/>
      <w:kern w:val="0"/>
      <w:sz w:val="32"/>
      <w:szCs w:val="32"/>
    </w:rPr>
  </w:style>
  <w:style w:type="paragraph" w:styleId="30">
    <w:name w:val="toc 4"/>
    <w:basedOn w:val="1"/>
    <w:next w:val="1"/>
    <w:qFormat/>
    <w:uiPriority w:val="0"/>
    <w:pPr>
      <w:ind w:left="630"/>
      <w:jc w:val="left"/>
    </w:pPr>
    <w:rPr>
      <w:sz w:val="20"/>
    </w:rPr>
  </w:style>
  <w:style w:type="paragraph" w:styleId="31">
    <w:name w:val="index heading"/>
    <w:basedOn w:val="1"/>
    <w:next w:val="32"/>
    <w:semiHidden/>
    <w:qFormat/>
    <w:uiPriority w:val="0"/>
  </w:style>
  <w:style w:type="paragraph" w:styleId="32">
    <w:name w:val="index 1"/>
    <w:basedOn w:val="1"/>
    <w:next w:val="1"/>
    <w:semiHidden/>
    <w:qFormat/>
    <w:uiPriority w:val="0"/>
    <w:pPr>
      <w:spacing w:line="360" w:lineRule="auto"/>
      <w:jc w:val="center"/>
    </w:pPr>
    <w:rPr>
      <w:b/>
      <w:bCs/>
      <w:snapToGrid w:val="0"/>
      <w:kern w:val="0"/>
      <w:sz w:val="30"/>
    </w:rPr>
  </w:style>
  <w:style w:type="paragraph" w:styleId="33">
    <w:name w:val="toc 6"/>
    <w:basedOn w:val="1"/>
    <w:next w:val="1"/>
    <w:qFormat/>
    <w:uiPriority w:val="0"/>
    <w:pPr>
      <w:ind w:left="1050"/>
      <w:jc w:val="left"/>
    </w:pPr>
    <w:rPr>
      <w:sz w:val="20"/>
    </w:rPr>
  </w:style>
  <w:style w:type="paragraph" w:styleId="34">
    <w:name w:val="Body Text Indent 3"/>
    <w:basedOn w:val="1"/>
    <w:link w:val="101"/>
    <w:qFormat/>
    <w:uiPriority w:val="99"/>
    <w:pPr>
      <w:adjustRightInd w:val="0"/>
      <w:spacing w:line="360" w:lineRule="auto"/>
      <w:ind w:firstLine="660"/>
      <w:jc w:val="left"/>
      <w:textAlignment w:val="baseline"/>
    </w:pPr>
    <w:rPr>
      <w:rFonts w:ascii="宋体"/>
      <w:spacing w:val="20"/>
      <w:kern w:val="0"/>
      <w:sz w:val="28"/>
    </w:rPr>
  </w:style>
  <w:style w:type="paragraph" w:styleId="35">
    <w:name w:val="index 7"/>
    <w:basedOn w:val="1"/>
    <w:next w:val="1"/>
    <w:semiHidden/>
    <w:qFormat/>
    <w:uiPriority w:val="0"/>
    <w:pPr>
      <w:ind w:left="1200" w:leftChars="1200"/>
    </w:pPr>
  </w:style>
  <w:style w:type="paragraph" w:styleId="36">
    <w:name w:val="index 9"/>
    <w:basedOn w:val="1"/>
    <w:next w:val="1"/>
    <w:semiHidden/>
    <w:qFormat/>
    <w:uiPriority w:val="0"/>
    <w:pPr>
      <w:ind w:left="1600" w:leftChars="1600"/>
    </w:pPr>
  </w:style>
  <w:style w:type="paragraph" w:styleId="37">
    <w:name w:val="toc 2"/>
    <w:basedOn w:val="1"/>
    <w:next w:val="1"/>
    <w:qFormat/>
    <w:uiPriority w:val="39"/>
    <w:pPr>
      <w:tabs>
        <w:tab w:val="right" w:leader="dot" w:pos="9457"/>
      </w:tabs>
      <w:adjustRightInd w:val="0"/>
      <w:snapToGrid w:val="0"/>
      <w:spacing w:before="120"/>
      <w:ind w:left="29" w:hanging="29" w:hangingChars="12"/>
    </w:pPr>
    <w:rPr>
      <w:rFonts w:ascii="宋体" w:hAnsi="宋体"/>
      <w:bCs/>
      <w:sz w:val="24"/>
      <w:szCs w:val="24"/>
    </w:rPr>
  </w:style>
  <w:style w:type="paragraph" w:styleId="38">
    <w:name w:val="toc 9"/>
    <w:basedOn w:val="1"/>
    <w:next w:val="1"/>
    <w:qFormat/>
    <w:uiPriority w:val="0"/>
    <w:pPr>
      <w:ind w:left="1680"/>
      <w:jc w:val="left"/>
    </w:pPr>
    <w:rPr>
      <w:sz w:val="20"/>
    </w:rPr>
  </w:style>
  <w:style w:type="paragraph" w:styleId="39">
    <w:name w:val="Body Text 2"/>
    <w:basedOn w:val="1"/>
    <w:link w:val="103"/>
    <w:qFormat/>
    <w:uiPriority w:val="0"/>
    <w:rPr>
      <w:bCs/>
      <w:color w:val="000000"/>
      <w:sz w:val="28"/>
      <w:szCs w:val="28"/>
    </w:rPr>
  </w:style>
  <w:style w:type="paragraph" w:styleId="40">
    <w:name w:val="Normal (Web)"/>
    <w:basedOn w:val="1"/>
    <w:qFormat/>
    <w:uiPriority w:val="99"/>
    <w:pPr>
      <w:widowControl/>
      <w:spacing w:before="100" w:beforeAutospacing="1" w:after="100" w:afterAutospacing="1"/>
      <w:jc w:val="left"/>
    </w:pPr>
    <w:rPr>
      <w:rFonts w:ascii="Arial Unicode MS" w:hAnsi="Arial Unicode MS" w:eastAsia="Times New Roman"/>
      <w:kern w:val="0"/>
      <w:sz w:val="24"/>
      <w:szCs w:val="24"/>
    </w:rPr>
  </w:style>
  <w:style w:type="paragraph" w:styleId="41">
    <w:name w:val="index 2"/>
    <w:basedOn w:val="1"/>
    <w:next w:val="1"/>
    <w:semiHidden/>
    <w:qFormat/>
    <w:uiPriority w:val="0"/>
    <w:pPr>
      <w:ind w:left="200" w:leftChars="200"/>
    </w:pPr>
  </w:style>
  <w:style w:type="paragraph" w:styleId="42">
    <w:name w:val="annotation subject"/>
    <w:basedOn w:val="12"/>
    <w:next w:val="12"/>
    <w:link w:val="90"/>
    <w:qFormat/>
    <w:uiPriority w:val="0"/>
    <w:rPr>
      <w:b/>
      <w:bCs/>
    </w:rPr>
  </w:style>
  <w:style w:type="table" w:styleId="44">
    <w:name w:val="Table Grid"/>
    <w:basedOn w:val="43"/>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qFormat/>
    <w:uiPriority w:val="0"/>
    <w:rPr>
      <w:b/>
      <w:bCs/>
    </w:rPr>
  </w:style>
  <w:style w:type="character" w:styleId="47">
    <w:name w:val="page number"/>
    <w:basedOn w:val="45"/>
    <w:qFormat/>
    <w:uiPriority w:val="0"/>
  </w:style>
  <w:style w:type="character" w:styleId="48">
    <w:name w:val="FollowedHyperlink"/>
    <w:qFormat/>
    <w:uiPriority w:val="0"/>
    <w:rPr>
      <w:color w:val="800080"/>
      <w:u w:val="single"/>
    </w:rPr>
  </w:style>
  <w:style w:type="character" w:styleId="49">
    <w:name w:val="Hyperlink"/>
    <w:qFormat/>
    <w:uiPriority w:val="0"/>
    <w:rPr>
      <w:color w:val="0000FF"/>
      <w:u w:val="single"/>
    </w:rPr>
  </w:style>
  <w:style w:type="character" w:styleId="50">
    <w:name w:val="annotation reference"/>
    <w:qFormat/>
    <w:uiPriority w:val="0"/>
    <w:rPr>
      <w:sz w:val="21"/>
      <w:szCs w:val="21"/>
    </w:rPr>
  </w:style>
  <w:style w:type="paragraph" w:customStyle="1" w:styleId="51">
    <w:name w:val="font5"/>
    <w:basedOn w:val="1"/>
    <w:qFormat/>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52">
    <w:name w:val="font6"/>
    <w:basedOn w:val="1"/>
    <w:qFormat/>
    <w:uiPriority w:val="0"/>
    <w:pPr>
      <w:widowControl/>
      <w:spacing w:before="100" w:beforeAutospacing="1" w:after="100" w:afterAutospacing="1"/>
      <w:jc w:val="left"/>
    </w:pPr>
    <w:rPr>
      <w:rFonts w:eastAsia="Arial Unicode MS"/>
      <w:kern w:val="0"/>
      <w:sz w:val="18"/>
      <w:szCs w:val="18"/>
    </w:rPr>
  </w:style>
  <w:style w:type="paragraph" w:customStyle="1" w:styleId="53">
    <w:name w:val="font7"/>
    <w:basedOn w:val="1"/>
    <w:qFormat/>
    <w:uiPriority w:val="0"/>
    <w:pPr>
      <w:widowControl/>
      <w:spacing w:before="100" w:beforeAutospacing="1" w:after="100" w:afterAutospacing="1"/>
      <w:jc w:val="left"/>
    </w:pPr>
    <w:rPr>
      <w:rFonts w:hint="eastAsia" w:ascii="宋体" w:hAnsi="宋体" w:cs="Arial Unicode MS"/>
      <w:color w:val="000000"/>
      <w:kern w:val="0"/>
      <w:sz w:val="18"/>
      <w:szCs w:val="18"/>
    </w:rPr>
  </w:style>
  <w:style w:type="paragraph" w:customStyle="1" w:styleId="54">
    <w:name w:val="font8"/>
    <w:basedOn w:val="1"/>
    <w:qFormat/>
    <w:uiPriority w:val="0"/>
    <w:pPr>
      <w:widowControl/>
      <w:spacing w:before="100" w:beforeAutospacing="1" w:after="100" w:afterAutospacing="1"/>
      <w:jc w:val="left"/>
    </w:pPr>
    <w:rPr>
      <w:rFonts w:hint="eastAsia" w:ascii="宋体" w:hAnsi="宋体" w:cs="Arial Unicode MS"/>
      <w:kern w:val="0"/>
      <w:sz w:val="16"/>
      <w:szCs w:val="16"/>
    </w:rPr>
  </w:style>
  <w:style w:type="paragraph" w:customStyle="1" w:styleId="55">
    <w:name w:val="font9"/>
    <w:basedOn w:val="1"/>
    <w:qFormat/>
    <w:uiPriority w:val="0"/>
    <w:pPr>
      <w:widowControl/>
      <w:spacing w:before="100" w:beforeAutospacing="1" w:after="100" w:afterAutospacing="1"/>
      <w:jc w:val="left"/>
    </w:pPr>
    <w:rPr>
      <w:rFonts w:hint="eastAsia" w:ascii="宋体" w:hAnsi="宋体" w:cs="Arial Unicode MS"/>
      <w:kern w:val="0"/>
      <w:sz w:val="16"/>
      <w:szCs w:val="16"/>
    </w:rPr>
  </w:style>
  <w:style w:type="paragraph" w:customStyle="1" w:styleId="56">
    <w:name w:val="font10"/>
    <w:basedOn w:val="1"/>
    <w:qFormat/>
    <w:uiPriority w:val="0"/>
    <w:pPr>
      <w:widowControl/>
      <w:spacing w:before="100" w:beforeAutospacing="1" w:after="100" w:afterAutospacing="1"/>
      <w:jc w:val="left"/>
    </w:pPr>
    <w:rPr>
      <w:rFonts w:eastAsia="Arial Unicode MS"/>
      <w:color w:val="000000"/>
      <w:kern w:val="0"/>
      <w:sz w:val="18"/>
      <w:szCs w:val="18"/>
    </w:rPr>
  </w:style>
  <w:style w:type="paragraph" w:customStyle="1" w:styleId="57">
    <w:name w:val="font11"/>
    <w:basedOn w:val="1"/>
    <w:qFormat/>
    <w:uiPriority w:val="0"/>
    <w:pPr>
      <w:widowControl/>
      <w:spacing w:before="100" w:beforeAutospacing="1" w:after="100" w:afterAutospacing="1"/>
      <w:jc w:val="left"/>
    </w:pPr>
    <w:rPr>
      <w:rFonts w:eastAsia="Arial Unicode MS"/>
      <w:kern w:val="0"/>
      <w:sz w:val="16"/>
      <w:szCs w:val="16"/>
    </w:rPr>
  </w:style>
  <w:style w:type="paragraph" w:customStyle="1" w:styleId="58">
    <w:name w:val="xl2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59">
    <w:name w:val="xl2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60">
    <w:name w:val="xl2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61">
    <w:name w:val="xl2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62">
    <w:name w:val="xl28"/>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63">
    <w:name w:val="xl29"/>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64">
    <w:name w:val="xl3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65">
    <w:name w:val="xl31"/>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66">
    <w:name w:val="xl3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67">
    <w:name w:val="xl3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68">
    <w:name w:val="xl3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69">
    <w:name w:val="xl35"/>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70">
    <w:name w:val="xl36"/>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71">
    <w:name w:val="xl37"/>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72">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73">
    <w:name w:val="xl39"/>
    <w:basedOn w:val="1"/>
    <w:qFormat/>
    <w:uiPriority w:val="0"/>
    <w:pPr>
      <w:widowControl/>
      <w:pBdr>
        <w:top w:val="single" w:color="auto" w:sz="4" w:space="0"/>
        <w:bottom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74">
    <w:name w:val="font1"/>
    <w:basedOn w:val="1"/>
    <w:qFormat/>
    <w:uiPriority w:val="0"/>
    <w:pPr>
      <w:widowControl/>
      <w:spacing w:before="100" w:beforeAutospacing="1" w:after="100" w:afterAutospacing="1"/>
      <w:jc w:val="left"/>
    </w:pPr>
    <w:rPr>
      <w:rFonts w:hint="eastAsia" w:ascii="宋体" w:hAnsi="宋体" w:cs="Arial Unicode MS"/>
      <w:b/>
      <w:bCs/>
      <w:kern w:val="0"/>
      <w:sz w:val="24"/>
      <w:szCs w:val="24"/>
    </w:rPr>
  </w:style>
  <w:style w:type="paragraph" w:customStyle="1" w:styleId="75">
    <w:name w:val="xl40"/>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rPr>
  </w:style>
  <w:style w:type="paragraph" w:customStyle="1" w:styleId="76">
    <w:name w:val="Char1 Char Char Char"/>
    <w:basedOn w:val="1"/>
    <w:qFormat/>
    <w:uiPriority w:val="0"/>
    <w:pPr>
      <w:widowControl/>
      <w:spacing w:after="160" w:line="240" w:lineRule="exact"/>
      <w:jc w:val="left"/>
    </w:pPr>
    <w:rPr>
      <w:rFonts w:ascii="Tahoma" w:hAnsi="Tahoma"/>
      <w:kern w:val="0"/>
      <w:sz w:val="24"/>
      <w:szCs w:val="24"/>
      <w:lang w:eastAsia="en-US"/>
    </w:rPr>
  </w:style>
  <w:style w:type="paragraph" w:customStyle="1" w:styleId="77">
    <w:name w:val="Char1 Char Char Char1"/>
    <w:basedOn w:val="1"/>
    <w:qFormat/>
    <w:uiPriority w:val="0"/>
    <w:pPr>
      <w:widowControl/>
      <w:spacing w:after="160" w:line="240" w:lineRule="exact"/>
      <w:jc w:val="left"/>
    </w:pPr>
    <w:rPr>
      <w:rFonts w:ascii="Tahoma" w:hAnsi="Tahoma"/>
      <w:kern w:val="0"/>
      <w:sz w:val="24"/>
      <w:szCs w:val="24"/>
      <w:lang w:eastAsia="en-US"/>
    </w:rPr>
  </w:style>
  <w:style w:type="paragraph" w:customStyle="1" w:styleId="78">
    <w:name w:val="Default"/>
    <w:qFormat/>
    <w:uiPriority w:val="0"/>
    <w:pPr>
      <w:widowControl w:val="0"/>
      <w:autoSpaceDE w:val="0"/>
      <w:autoSpaceDN w:val="0"/>
      <w:adjustRightInd w:val="0"/>
    </w:pPr>
    <w:rPr>
      <w:rFonts w:ascii="楷体_GB2312" w:hAnsi="Times New Roman" w:eastAsia="楷体_GB2312" w:cs="楷体_GB2312"/>
      <w:color w:val="000000"/>
      <w:sz w:val="24"/>
      <w:szCs w:val="24"/>
      <w:lang w:val="en-US" w:eastAsia="zh-CN" w:bidi="ar-SA"/>
    </w:rPr>
  </w:style>
  <w:style w:type="paragraph" w:customStyle="1" w:styleId="79">
    <w:name w:val="Char1"/>
    <w:basedOn w:val="1"/>
    <w:qFormat/>
    <w:uiPriority w:val="0"/>
    <w:pPr>
      <w:widowControl/>
      <w:spacing w:after="160" w:line="240" w:lineRule="exact"/>
      <w:jc w:val="left"/>
    </w:pPr>
    <w:rPr>
      <w:rFonts w:ascii="Verdana" w:hAnsi="Verdana"/>
      <w:kern w:val="0"/>
      <w:sz w:val="20"/>
      <w:lang w:eastAsia="en-US"/>
    </w:rPr>
  </w:style>
  <w:style w:type="paragraph" w:customStyle="1" w:styleId="80">
    <w:name w:val="列出段落1"/>
    <w:basedOn w:val="1"/>
    <w:qFormat/>
    <w:uiPriority w:val="34"/>
    <w:pPr>
      <w:ind w:firstLine="420" w:firstLineChars="200"/>
    </w:pPr>
    <w:rPr>
      <w:szCs w:val="24"/>
    </w:rPr>
  </w:style>
  <w:style w:type="paragraph" w:customStyle="1" w:styleId="81">
    <w:name w:val="Char"/>
    <w:basedOn w:val="1"/>
    <w:qFormat/>
    <w:uiPriority w:val="0"/>
    <w:rPr>
      <w:szCs w:val="24"/>
    </w:rPr>
  </w:style>
  <w:style w:type="paragraph" w:customStyle="1" w:styleId="82">
    <w:name w:val="Char2"/>
    <w:basedOn w:val="1"/>
    <w:qFormat/>
    <w:uiPriority w:val="0"/>
    <w:rPr>
      <w:szCs w:val="24"/>
    </w:rPr>
  </w:style>
  <w:style w:type="paragraph" w:customStyle="1" w:styleId="83">
    <w:name w:val="报告正文"/>
    <w:basedOn w:val="1"/>
    <w:qFormat/>
    <w:uiPriority w:val="0"/>
    <w:pPr>
      <w:spacing w:line="500" w:lineRule="atLeast"/>
      <w:ind w:firstLine="567"/>
    </w:pPr>
    <w:rPr>
      <w:rFonts w:hint="eastAsia" w:ascii="仿宋_GB2312" w:hAnsi="Courier New" w:eastAsia="仿宋_GB2312"/>
      <w:sz w:val="28"/>
    </w:rPr>
  </w:style>
  <w:style w:type="paragraph" w:customStyle="1" w:styleId="84">
    <w:name w:val="TOC 标题1"/>
    <w:basedOn w:val="2"/>
    <w:next w:val="1"/>
    <w:unhideWhenUsed/>
    <w:qFormat/>
    <w:uiPriority w:val="39"/>
    <w:pPr>
      <w:widowControl/>
      <w:spacing w:before="480" w:after="0" w:line="276" w:lineRule="auto"/>
      <w:jc w:val="left"/>
      <w:outlineLvl w:val="9"/>
    </w:pPr>
    <w:rPr>
      <w:rFonts w:ascii="Calibri" w:hAnsi="Calibri" w:cs="黑体"/>
      <w:color w:val="365F90"/>
      <w:kern w:val="0"/>
      <w:sz w:val="28"/>
      <w:szCs w:val="28"/>
    </w:rPr>
  </w:style>
  <w:style w:type="character" w:customStyle="1" w:styleId="85">
    <w:name w:val="short_text1"/>
    <w:qFormat/>
    <w:uiPriority w:val="0"/>
    <w:rPr>
      <w:sz w:val="29"/>
      <w:szCs w:val="29"/>
    </w:rPr>
  </w:style>
  <w:style w:type="character" w:customStyle="1" w:styleId="86">
    <w:name w:val="apple-style-span"/>
    <w:basedOn w:val="45"/>
    <w:qFormat/>
    <w:uiPriority w:val="0"/>
  </w:style>
  <w:style w:type="character" w:customStyle="1" w:styleId="87">
    <w:name w:val="apple-converted-space"/>
    <w:basedOn w:val="45"/>
    <w:qFormat/>
    <w:uiPriority w:val="0"/>
  </w:style>
  <w:style w:type="character" w:customStyle="1" w:styleId="88">
    <w:name w:val="文档结构图 Char"/>
    <w:link w:val="11"/>
    <w:qFormat/>
    <w:uiPriority w:val="0"/>
    <w:rPr>
      <w:rFonts w:ascii="宋体"/>
      <w:kern w:val="2"/>
      <w:sz w:val="18"/>
      <w:szCs w:val="18"/>
    </w:rPr>
  </w:style>
  <w:style w:type="character" w:customStyle="1" w:styleId="89">
    <w:name w:val="批注文字 Char"/>
    <w:link w:val="12"/>
    <w:qFormat/>
    <w:uiPriority w:val="0"/>
    <w:rPr>
      <w:kern w:val="2"/>
      <w:sz w:val="21"/>
    </w:rPr>
  </w:style>
  <w:style w:type="character" w:customStyle="1" w:styleId="90">
    <w:name w:val="批注主题 Char"/>
    <w:link w:val="42"/>
    <w:qFormat/>
    <w:uiPriority w:val="0"/>
    <w:rPr>
      <w:b/>
      <w:bCs/>
      <w:kern w:val="2"/>
      <w:sz w:val="21"/>
    </w:rPr>
  </w:style>
  <w:style w:type="character" w:customStyle="1" w:styleId="91">
    <w:name w:val="页脚 Char"/>
    <w:link w:val="27"/>
    <w:qFormat/>
    <w:uiPriority w:val="99"/>
    <w:rPr>
      <w:sz w:val="18"/>
    </w:rPr>
  </w:style>
  <w:style w:type="character" w:customStyle="1" w:styleId="92">
    <w:name w:val="纯文本 Char"/>
    <w:link w:val="21"/>
    <w:qFormat/>
    <w:uiPriority w:val="0"/>
    <w:rPr>
      <w:rFonts w:ascii="宋体" w:hAnsi="Courier New"/>
      <w:kern w:val="2"/>
      <w:sz w:val="21"/>
    </w:rPr>
  </w:style>
  <w:style w:type="character" w:customStyle="1" w:styleId="93">
    <w:name w:val="页眉 Char"/>
    <w:link w:val="28"/>
    <w:qFormat/>
    <w:uiPriority w:val="99"/>
    <w:rPr>
      <w:kern w:val="2"/>
      <w:sz w:val="18"/>
      <w:szCs w:val="18"/>
    </w:rPr>
  </w:style>
  <w:style w:type="character" w:customStyle="1" w:styleId="94">
    <w:name w:val="标题 5 Char"/>
    <w:link w:val="6"/>
    <w:qFormat/>
    <w:uiPriority w:val="0"/>
    <w:rPr>
      <w:b/>
      <w:bCs/>
      <w:kern w:val="2"/>
      <w:sz w:val="28"/>
      <w:szCs w:val="28"/>
    </w:rPr>
  </w:style>
  <w:style w:type="paragraph" w:customStyle="1" w:styleId="95">
    <w:name w:val="样式1"/>
    <w:basedOn w:val="1"/>
    <w:qFormat/>
    <w:uiPriority w:val="99"/>
    <w:pPr>
      <w:spacing w:line="360" w:lineRule="auto"/>
      <w:ind w:firstLine="360" w:firstLineChars="150"/>
    </w:pPr>
    <w:rPr>
      <w:rFonts w:ascii="仿宋_GB2312" w:hAnsi="宋体" w:eastAsia="仿宋_GB2312"/>
      <w:sz w:val="24"/>
      <w:szCs w:val="24"/>
    </w:rPr>
  </w:style>
  <w:style w:type="paragraph" w:customStyle="1" w:styleId="96">
    <w:name w:val="_Style 3"/>
    <w:basedOn w:val="1"/>
    <w:qFormat/>
    <w:uiPriority w:val="34"/>
    <w:pPr>
      <w:ind w:firstLine="420" w:firstLineChars="200"/>
    </w:pPr>
    <w:rPr>
      <w:rFonts w:ascii="Calibri" w:hAnsi="Calibri"/>
      <w:szCs w:val="22"/>
    </w:rPr>
  </w:style>
  <w:style w:type="character" w:customStyle="1" w:styleId="97">
    <w:name w:val="font51"/>
    <w:qFormat/>
    <w:uiPriority w:val="0"/>
    <w:rPr>
      <w:rFonts w:hint="eastAsia" w:ascii="宋体" w:hAnsi="宋体" w:eastAsia="宋体" w:cs="宋体"/>
      <w:color w:val="auto"/>
      <w:sz w:val="24"/>
      <w:szCs w:val="24"/>
      <w:u w:val="none"/>
    </w:rPr>
  </w:style>
  <w:style w:type="character" w:customStyle="1" w:styleId="98">
    <w:name w:val="font91"/>
    <w:qFormat/>
    <w:uiPriority w:val="0"/>
    <w:rPr>
      <w:rFonts w:hint="eastAsia" w:ascii="宋体" w:hAnsi="宋体" w:eastAsia="宋体" w:cs="宋体"/>
      <w:color w:val="008000"/>
      <w:sz w:val="20"/>
      <w:szCs w:val="20"/>
      <w:u w:val="none"/>
    </w:rPr>
  </w:style>
  <w:style w:type="character" w:customStyle="1" w:styleId="99">
    <w:name w:val="font81"/>
    <w:qFormat/>
    <w:uiPriority w:val="0"/>
    <w:rPr>
      <w:rFonts w:hint="eastAsia" w:ascii="宋体" w:hAnsi="宋体" w:eastAsia="宋体" w:cs="宋体"/>
      <w:color w:val="008000"/>
      <w:sz w:val="20"/>
      <w:szCs w:val="20"/>
      <w:u w:val="none"/>
    </w:rPr>
  </w:style>
  <w:style w:type="character" w:customStyle="1" w:styleId="100">
    <w:name w:val="font61"/>
    <w:qFormat/>
    <w:uiPriority w:val="0"/>
    <w:rPr>
      <w:rFonts w:hint="eastAsia" w:ascii="宋体" w:hAnsi="宋体" w:eastAsia="宋体" w:cs="宋体"/>
      <w:color w:val="008000"/>
      <w:sz w:val="20"/>
      <w:szCs w:val="20"/>
      <w:u w:val="single"/>
    </w:rPr>
  </w:style>
  <w:style w:type="character" w:customStyle="1" w:styleId="101">
    <w:name w:val="正文文本缩进 3 Char"/>
    <w:link w:val="34"/>
    <w:qFormat/>
    <w:uiPriority w:val="99"/>
    <w:rPr>
      <w:rFonts w:ascii="宋体"/>
      <w:spacing w:val="20"/>
      <w:sz w:val="28"/>
    </w:rPr>
  </w:style>
  <w:style w:type="character" w:customStyle="1" w:styleId="102">
    <w:name w:val="正文文本 3 Char"/>
    <w:link w:val="14"/>
    <w:qFormat/>
    <w:uiPriority w:val="0"/>
    <w:rPr>
      <w:rFonts w:ascii="仿宋_GB2312" w:eastAsia="仿宋_GB2312"/>
      <w:bCs/>
      <w:kern w:val="2"/>
      <w:sz w:val="28"/>
      <w:szCs w:val="28"/>
    </w:rPr>
  </w:style>
  <w:style w:type="character" w:customStyle="1" w:styleId="103">
    <w:name w:val="正文文本 2 Char"/>
    <w:link w:val="39"/>
    <w:qFormat/>
    <w:uiPriority w:val="0"/>
    <w:rPr>
      <w:bCs/>
      <w:color w:val="000000"/>
      <w:kern w:val="2"/>
      <w:sz w:val="28"/>
      <w:szCs w:val="28"/>
    </w:rPr>
  </w:style>
  <w:style w:type="character" w:customStyle="1" w:styleId="104">
    <w:name w:val="标题 1 Char"/>
    <w:link w:val="2"/>
    <w:qFormat/>
    <w:uiPriority w:val="0"/>
    <w:rPr>
      <w:b/>
      <w:bCs/>
      <w:kern w:val="44"/>
      <w:sz w:val="44"/>
      <w:szCs w:val="44"/>
    </w:rPr>
  </w:style>
  <w:style w:type="character" w:customStyle="1" w:styleId="105">
    <w:name w:val="font01"/>
    <w:qFormat/>
    <w:uiPriority w:val="0"/>
    <w:rPr>
      <w:rFonts w:hint="eastAsia" w:ascii="宋体" w:hAnsi="宋体" w:eastAsia="宋体" w:cs="宋体"/>
      <w:color w:val="000000"/>
      <w:sz w:val="24"/>
      <w:szCs w:val="24"/>
      <w:u w:val="none"/>
    </w:rPr>
  </w:style>
  <w:style w:type="character" w:customStyle="1" w:styleId="106">
    <w:name w:val="font31"/>
    <w:qFormat/>
    <w:uiPriority w:val="0"/>
    <w:rPr>
      <w:rFonts w:hint="eastAsia" w:ascii="宋体" w:hAnsi="宋体" w:eastAsia="宋体" w:cs="宋体"/>
      <w:color w:val="008000"/>
      <w:sz w:val="20"/>
      <w:szCs w:val="20"/>
      <w:u w:val="none"/>
    </w:rPr>
  </w:style>
  <w:style w:type="character" w:customStyle="1" w:styleId="107">
    <w:name w:val="description"/>
    <w:basedOn w:val="45"/>
    <w:qFormat/>
    <w:uiPriority w:val="0"/>
  </w:style>
  <w:style w:type="paragraph" w:customStyle="1" w:styleId="108">
    <w:name w:val="列出段落2"/>
    <w:basedOn w:val="1"/>
    <w:unhideWhenUsed/>
    <w:qFormat/>
    <w:uiPriority w:val="99"/>
    <w:pPr>
      <w:ind w:firstLine="420" w:firstLineChars="200"/>
    </w:pPr>
  </w:style>
  <w:style w:type="paragraph" w:customStyle="1" w:styleId="109">
    <w:name w:val="列出段落3"/>
    <w:basedOn w:val="1"/>
    <w:unhideWhenUsed/>
    <w:qFormat/>
    <w:uiPriority w:val="99"/>
    <w:pPr>
      <w:ind w:firstLine="420" w:firstLineChars="200"/>
    </w:pPr>
  </w:style>
  <w:style w:type="paragraph" w:customStyle="1" w:styleId="110">
    <w:name w:val="列出段落4"/>
    <w:basedOn w:val="1"/>
    <w:unhideWhenUsed/>
    <w:qFormat/>
    <w:uiPriority w:val="34"/>
    <w:pPr>
      <w:ind w:firstLine="420" w:firstLineChars="200"/>
    </w:pPr>
  </w:style>
  <w:style w:type="paragraph" w:customStyle="1" w:styleId="111">
    <w:name w:val="列出段落5"/>
    <w:basedOn w:val="1"/>
    <w:unhideWhenUsed/>
    <w:qFormat/>
    <w:uiPriority w:val="99"/>
    <w:pPr>
      <w:ind w:firstLine="420" w:firstLineChars="200"/>
    </w:pPr>
  </w:style>
  <w:style w:type="paragraph" w:customStyle="1" w:styleId="112">
    <w:name w:val="xl48"/>
    <w:basedOn w:val="1"/>
    <w:qFormat/>
    <w:uiPriority w:val="0"/>
    <w:pPr>
      <w:widowControl/>
      <w:spacing w:before="100" w:beforeAutospacing="1" w:after="100" w:afterAutospacing="1"/>
      <w:jc w:val="center"/>
    </w:pPr>
    <w:rPr>
      <w:rFonts w:ascii="宋体" w:hAnsi="宋体"/>
      <w:kern w:val="0"/>
      <w:sz w:val="24"/>
      <w:szCs w:val="28"/>
    </w:rPr>
  </w:style>
  <w:style w:type="paragraph" w:customStyle="1" w:styleId="113">
    <w:name w:val="xl41"/>
    <w:basedOn w:val="1"/>
    <w:qFormat/>
    <w:uiPriority w:val="0"/>
    <w:pPr>
      <w:widowControl/>
      <w:pBdr>
        <w:bottom w:val="single" w:color="auto" w:sz="4" w:space="0"/>
      </w:pBdr>
      <w:spacing w:before="100" w:beforeAutospacing="1" w:after="100" w:afterAutospacing="1"/>
      <w:jc w:val="center"/>
    </w:pPr>
    <w:rPr>
      <w:rFonts w:ascii="宋体" w:hAnsi="宋体"/>
      <w:kern w:val="0"/>
      <w:sz w:val="28"/>
      <w:szCs w:val="28"/>
    </w:rPr>
  </w:style>
  <w:style w:type="paragraph" w:customStyle="1" w:styleId="114">
    <w:name w:val="Char4"/>
    <w:basedOn w:val="1"/>
    <w:qFormat/>
    <w:uiPriority w:val="0"/>
    <w:rPr>
      <w:rFonts w:ascii="Tahoma" w:hAnsi="Tahoma"/>
      <w:sz w:val="24"/>
    </w:rPr>
  </w:style>
  <w:style w:type="paragraph" w:customStyle="1" w:styleId="115">
    <w:name w:val="font0"/>
    <w:basedOn w:val="1"/>
    <w:qFormat/>
    <w:uiPriority w:val="0"/>
    <w:pPr>
      <w:widowControl/>
      <w:spacing w:before="100" w:beforeAutospacing="1" w:after="100" w:afterAutospacing="1"/>
      <w:jc w:val="left"/>
    </w:pPr>
    <w:rPr>
      <w:rFonts w:hint="eastAsia" w:ascii="宋体" w:hAnsi="宋体"/>
      <w:kern w:val="0"/>
      <w:sz w:val="24"/>
      <w:szCs w:val="28"/>
    </w:rPr>
  </w:style>
  <w:style w:type="paragraph" w:customStyle="1" w:styleId="116">
    <w:name w:val="1"/>
    <w:basedOn w:val="1"/>
    <w:next w:val="21"/>
    <w:qFormat/>
    <w:uiPriority w:val="0"/>
    <w:rPr>
      <w:rFonts w:ascii="宋体" w:hAnsi="Courier New"/>
      <w:sz w:val="28"/>
    </w:rPr>
  </w:style>
  <w:style w:type="paragraph" w:customStyle="1" w:styleId="117">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kern w:val="0"/>
      <w:sz w:val="24"/>
      <w:szCs w:val="28"/>
    </w:rPr>
  </w:style>
  <w:style w:type="paragraph" w:customStyle="1" w:styleId="118">
    <w:name w:val="xl47"/>
    <w:basedOn w:val="1"/>
    <w:qFormat/>
    <w:uiPriority w:val="0"/>
    <w:pPr>
      <w:widowControl/>
      <w:spacing w:before="100" w:beforeAutospacing="1" w:after="100" w:afterAutospacing="1"/>
      <w:jc w:val="center"/>
    </w:pPr>
    <w:rPr>
      <w:rFonts w:ascii="宋体" w:hAnsi="宋体"/>
      <w:kern w:val="0"/>
      <w:sz w:val="24"/>
      <w:szCs w:val="28"/>
    </w:rPr>
  </w:style>
  <w:style w:type="paragraph" w:customStyle="1" w:styleId="119">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FF0000"/>
      <w:kern w:val="0"/>
      <w:sz w:val="20"/>
    </w:rPr>
  </w:style>
  <w:style w:type="paragraph" w:customStyle="1" w:styleId="120">
    <w:name w:val="xl4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8"/>
    </w:rPr>
  </w:style>
  <w:style w:type="paragraph" w:customStyle="1" w:styleId="121">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8"/>
    </w:rPr>
  </w:style>
  <w:style w:type="paragraph" w:customStyle="1" w:styleId="122">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FF0000"/>
      <w:kern w:val="0"/>
      <w:sz w:val="20"/>
    </w:rPr>
  </w:style>
  <w:style w:type="paragraph" w:customStyle="1" w:styleId="123">
    <w:name w:val="xl45"/>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 w:val="24"/>
      <w:szCs w:val="28"/>
    </w:rPr>
  </w:style>
  <w:style w:type="paragraph" w:customStyle="1" w:styleId="124">
    <w:name w:val="xl4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kern w:val="0"/>
      <w:sz w:val="24"/>
      <w:szCs w:val="28"/>
    </w:rPr>
  </w:style>
  <w:style w:type="paragraph" w:customStyle="1" w:styleId="125">
    <w:name w:val="普通(网站)1"/>
    <w:basedOn w:val="1"/>
    <w:qFormat/>
    <w:uiPriority w:val="0"/>
    <w:pPr>
      <w:widowControl/>
      <w:spacing w:before="100" w:beforeAutospacing="1" w:after="100" w:afterAutospacing="1"/>
      <w:jc w:val="left"/>
    </w:pPr>
    <w:rPr>
      <w:rFonts w:hint="eastAsia" w:ascii="宋体" w:hAnsi="宋体"/>
      <w:sz w:val="24"/>
      <w:szCs w:val="24"/>
    </w:rPr>
  </w:style>
  <w:style w:type="paragraph" w:customStyle="1" w:styleId="126">
    <w:name w:val="p1"/>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27">
    <w:name w:val="number4"/>
    <w:basedOn w:val="45"/>
    <w:qFormat/>
    <w:uiPriority w:val="0"/>
  </w:style>
  <w:style w:type="character" w:customStyle="1" w:styleId="128">
    <w:name w:val="font21"/>
    <w:qFormat/>
    <w:uiPriority w:val="0"/>
    <w:rPr>
      <w:rFonts w:hint="eastAsia" w:ascii="宋体" w:hAnsi="宋体" w:eastAsia="宋体"/>
      <w:color w:val="000000"/>
      <w:sz w:val="20"/>
      <w:szCs w:val="20"/>
      <w:u w:val="none"/>
      <w:vertAlign w:val="superscript"/>
    </w:rPr>
  </w:style>
  <w:style w:type="character" w:customStyle="1" w:styleId="129">
    <w:name w:val="font41"/>
    <w:basedOn w:val="45"/>
    <w:qFormat/>
    <w:uiPriority w:val="0"/>
    <w:rPr>
      <w:rFonts w:hint="eastAsia" w:ascii="仿宋" w:hAnsi="仿宋" w:eastAsia="仿宋" w:cs="仿宋"/>
      <w:color w:val="000000"/>
      <w:sz w:val="18"/>
      <w:szCs w:val="18"/>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7.jpeg"/><Relationship Id="rId4" Type="http://schemas.openxmlformats.org/officeDocument/2006/relationships/footer" Target="footer1.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3073"/>
    <customShpInfo spid="_x0000_s3080"/>
    <customShpInfo spid="_x0000_s3074"/>
    <customShpInfo spid="_x0000_s3077"/>
    <customShpInfo spid="_x0000_s3081"/>
    <customShpInfo spid="_x0000_s2050"/>
    <customShpInfo spid="_x0000_s2060"/>
    <customShpInfo spid="_x0000_s2052"/>
    <customShpInfo spid="_x0000_s2061"/>
    <customShpInfo spid="_x0000_s2051"/>
    <customShpInfo spid="_x0000_s2062"/>
    <customShpInfo spid="_x0000_s2065"/>
    <customShpInfo spid="_x0000_s2064"/>
    <customShpInfo spid="_x0000_s2063"/>
    <customShpInfo spid="_x0000_s206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FA1C45-A10C-402D-8836-A50D59827BCD}">
  <ds:schemaRefs/>
</ds:datastoreItem>
</file>

<file path=docProps/app.xml><?xml version="1.0" encoding="utf-8"?>
<Properties xmlns="http://schemas.openxmlformats.org/officeDocument/2006/extended-properties" xmlns:vt="http://schemas.openxmlformats.org/officeDocument/2006/docPropsVTypes">
  <Template>Normal</Template>
  <Company>hengtong</Company>
  <Pages>61</Pages>
  <Words>23934</Words>
  <Characters>26831</Characters>
  <Lines>82</Lines>
  <Paragraphs>23</Paragraphs>
  <TotalTime>1</TotalTime>
  <ScaleCrop>false</ScaleCrop>
  <LinksUpToDate>false</LinksUpToDate>
  <CharactersWithSpaces>27207</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2015-12-09T02:42:00Z</dcterms:created>
  <dc:creator>城市徐峰</dc:creator>
  <cp:lastModifiedBy>Administrator</cp:lastModifiedBy>
  <cp:lastPrinted>2019-04-16T01:03:00Z</cp:lastPrinted>
  <dcterms:modified xsi:type="dcterms:W3CDTF">2021-10-14T08:43:29Z</dcterms:modified>
  <dc:title>多标的房地产估价报告-抵押</dc:title>
  <cp:revision>650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35AE0932A8E540ED87932CEDE39AF74E</vt:lpwstr>
  </property>
</Properties>
</file>