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（一）孝昌县人民法院司法鉴定委托书复印件；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孝昌县人民法院：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根据委托方提供的委托书及不动产登记信息、现场勘验照片等资料，对委托方列明的位于天津市塘沽区美韵家园19-2-102室、建筑面积为121.32平方米的住宅房地产，于估价时点2020年10月20日的市场价值进行了估价，为委托方确定房地产拍卖底价提供价格参考依据。</w:t>
      </w:r>
    </w:p>
    <w:p>
      <w:pP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w:t>
      </w:r>
      <w:r>
        <w:rPr>
          <w:rFonts w:hint="eastAsia" w:ascii="仿宋_GB2312" w:hAnsi="宋体" w:eastAsia="仿宋_GB2312" w:cs="Times New Roman"/>
          <w:kern w:val="2"/>
          <w:sz w:val="28"/>
          <w:szCs w:val="28"/>
          <w:highlight w:val="none"/>
          <w:lang w:val="en-US" w:eastAsia="zh-CN" w:bidi="ar-SA"/>
        </w:rPr>
        <w:t>市场价值为￥1696903元(大写人民币壹佰陆拾玖万陆仟玖佰零叁元整)。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二○二○年十一月十六日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二○二○年十一月十六日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16134</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6"/>
          <w:szCs w:val="36"/>
          <w:lang w:eastAsia="zh-CN"/>
        </w:rPr>
        <w:t>天津市塘沽区美韵家园</w:t>
      </w:r>
      <w:r>
        <w:rPr>
          <w:rFonts w:hint="eastAsia" w:ascii="仿宋" w:hAnsi="仿宋" w:eastAsia="仿宋"/>
          <w:b/>
          <w:bCs/>
          <w:sz w:val="36"/>
          <w:szCs w:val="36"/>
          <w:lang w:val="en-US" w:eastAsia="zh-CN"/>
        </w:rPr>
        <w:t>19-2-102室</w:t>
      </w:r>
    </w:p>
    <w:p>
      <w:pPr>
        <w:jc w:val="center"/>
        <w:rPr>
          <w:rFonts w:hint="eastAsia" w:ascii="仿宋" w:hAnsi="仿宋" w:eastAsia="仿宋"/>
          <w:b/>
          <w:bCs/>
          <w:sz w:val="36"/>
          <w:szCs w:val="36"/>
          <w:lang w:eastAsia="zh-CN"/>
        </w:rPr>
      </w:pPr>
      <w:r>
        <w:rPr>
          <w:rFonts w:hint="eastAsia" w:ascii="仿宋" w:hAnsi="仿宋" w:eastAsia="仿宋"/>
          <w:b/>
          <w:bCs/>
          <w:sz w:val="36"/>
          <w:szCs w:val="36"/>
          <w:lang w:eastAsia="zh-CN"/>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委托方：孝昌县人民法院</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住所：湖北省孝昌县平安大道12号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本次估价对象范围为张胜桥所有的位于天津市塘沽区美韵家园19-2-102室、建筑面积为121.32平方米的住宅房地产。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w:t>
      </w:r>
      <w:r>
        <w:rPr>
          <w:rFonts w:hint="eastAsia" w:ascii="仿宋" w:hAnsi="仿宋" w:eastAsia="仿宋" w:cs="Arial"/>
          <w:color w:val="000000"/>
          <w:sz w:val="30"/>
          <w:szCs w:val="30"/>
          <w:lang w:eastAsia="zh-CN"/>
        </w:rPr>
        <w:t>及不动产登记信息、现场勘验照片等资料</w:t>
      </w:r>
      <w:r>
        <w:rPr>
          <w:rFonts w:hint="eastAsia" w:ascii="仿宋_GB2312" w:hAnsi="宋体" w:eastAsia="仿宋_GB2312" w:cs="Times New Roman"/>
          <w:kern w:val="2"/>
          <w:sz w:val="28"/>
          <w:szCs w:val="28"/>
          <w:lang w:val="en-US" w:eastAsia="zh-CN" w:bidi="ar-SA"/>
        </w:rPr>
        <w:t>，可知估价对象实体状况如下：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w:t>
      </w:r>
      <w:r>
        <w:rPr>
          <w:rFonts w:hint="eastAsia" w:ascii="仿宋_GB2312" w:hAnsi="宋体" w:eastAsia="仿宋_GB2312" w:cs="Times New Roman"/>
          <w:kern w:val="2"/>
          <w:sz w:val="28"/>
          <w:szCs w:val="28"/>
          <w:lang w:val="en-US" w:eastAsia="zh-CN" w:bidi="ar-SA"/>
        </w:rPr>
        <w:t>天津市海滨新区塘沽美韵家园19-2-102室，</w:t>
      </w:r>
      <w:r>
        <w:rPr>
          <w:rFonts w:hint="eastAsia" w:ascii="仿宋_GB2312" w:hAnsi="宋体" w:eastAsia="仿宋_GB2312" w:cs="Times New Roman"/>
          <w:kern w:val="2"/>
          <w:sz w:val="28"/>
          <w:szCs w:val="28"/>
          <w:highlight w:val="none"/>
          <w:lang w:val="en-US" w:eastAsia="zh-CN" w:bidi="ar-SA"/>
        </w:rPr>
        <w:t>权利人为张胜桥，单独所有，登记时间为2007年11月20日，不动产权证号为107020760273号，不动产登记证明号107041407807；房屋幢号为19-2-102，结构为钢混结构，所在层数/总层数为1层/18层，规划用途为居住，</w:t>
      </w:r>
      <w:r>
        <w:rPr>
          <w:rFonts w:hint="eastAsia" w:ascii="仿宋_GB2312" w:hAnsi="宋体" w:eastAsia="仿宋_GB2312" w:cs="Times New Roman"/>
          <w:kern w:val="2"/>
          <w:sz w:val="28"/>
          <w:szCs w:val="28"/>
          <w:lang w:val="en-US" w:eastAsia="zh-CN" w:bidi="ar-SA"/>
        </w:rPr>
        <w:t>建筑面积为121.32平方米；土地权利性质为出让，面积为61.6平方米，使用期限至2072年04月28日，用途为城镇单一住宅用地</w:t>
      </w:r>
      <w:r>
        <w:rPr>
          <w:rFonts w:hint="eastAsia" w:ascii="仿宋_GB2312" w:hAnsi="宋体" w:eastAsia="仿宋_GB2312" w:cs="Times New Roman"/>
          <w:kern w:val="2"/>
          <w:sz w:val="28"/>
          <w:szCs w:val="28"/>
          <w:highlight w:val="none"/>
          <w:lang w:val="en-US" w:eastAsia="zh-CN" w:bidi="ar-SA"/>
        </w:rPr>
        <w:t>。</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查，估价对象房屋建成于2007年，位于楼栋第一层，现状用途为商用，目前用于美容经营。户型为二厅三室一厨一卫，南北朝向。房屋外墙为防水涂料粉刷，进户门为防盗门，室内墙面、天棚为乳胶漆刷白，餐厅、客厅地面为地砖铺贴，卧室地面为复合地板，厨卫墙面、地面铺贴瓷砖，天棚为铝扣吊顶，塑钢窗加铝合金防盗网，室内装修属于普通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二0二0年十月二十日。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估价人员经过实地勘查和测算，确定估价对象在估价时点的市场价值为￥1696903元(大写人民币壹佰陆拾玖万陆仟玖佰零叁元整)</w:t>
      </w:r>
      <w:r>
        <w:rPr>
          <w:rFonts w:hint="eastAsia" w:ascii="仿宋_GB2312" w:hAnsi="宋体" w:eastAsia="仿宋_GB2312" w:cs="Times New Roman"/>
          <w:kern w:val="2"/>
          <w:sz w:val="28"/>
          <w:szCs w:val="28"/>
          <w:highlight w:val="none"/>
          <w:lang w:val="en-US" w:eastAsia="zh-CN" w:bidi="ar-SA"/>
        </w:rPr>
        <w:t>。</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213360</wp:posOffset>
                  </wp:positionH>
                  <wp:positionV relativeFrom="paragraph">
                    <wp:posOffset>334645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86995</wp:posOffset>
                  </wp:positionH>
                  <wp:positionV relativeFrom="paragraph">
                    <wp:posOffset>287020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16</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二0二0年十一月十六日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天津市塘沽区美韵家园</w:t>
      </w:r>
      <w:r>
        <w:rPr>
          <w:rFonts w:hint="eastAsia" w:ascii="仿宋" w:hAnsi="仿宋" w:eastAsia="仿宋"/>
          <w:b/>
          <w:bCs/>
          <w:sz w:val="36"/>
          <w:szCs w:val="36"/>
          <w:lang w:val="en-US" w:eastAsia="zh-CN"/>
        </w:rPr>
        <w:t>19-2-102室</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w:t>
      </w:r>
      <w:r>
        <w:rPr>
          <w:rFonts w:hint="eastAsia" w:ascii="仿宋_GB2312" w:hAnsi="宋体" w:eastAsia="仿宋_GB2312" w:cs="Times New Roman"/>
          <w:kern w:val="2"/>
          <w:sz w:val="28"/>
          <w:szCs w:val="28"/>
          <w:lang w:val="en-US" w:eastAsia="zh-CN" w:bidi="ar-SA"/>
        </w:rPr>
        <w:t>天津市海滨新区塘沽美韵家园19-2-102室，</w:t>
      </w:r>
      <w:r>
        <w:rPr>
          <w:rFonts w:hint="eastAsia" w:ascii="仿宋_GB2312" w:hAnsi="宋体" w:eastAsia="仿宋_GB2312" w:cs="Times New Roman"/>
          <w:kern w:val="2"/>
          <w:sz w:val="28"/>
          <w:szCs w:val="28"/>
          <w:highlight w:val="none"/>
          <w:lang w:val="en-US" w:eastAsia="zh-CN" w:bidi="ar-SA"/>
        </w:rPr>
        <w:t>权利人为张胜桥，单独所有，登记时间为2007年11月20日，不动产权证号为107020760273号，不动产登记证明号107041407807；房屋幢号为19-2-102，结构为钢混结构，所在层数/总层数为1层/18层，规划用途为居住，</w:t>
      </w:r>
      <w:r>
        <w:rPr>
          <w:rFonts w:hint="eastAsia" w:ascii="仿宋_GB2312" w:hAnsi="宋体" w:eastAsia="仿宋_GB2312" w:cs="Times New Roman"/>
          <w:kern w:val="2"/>
          <w:sz w:val="28"/>
          <w:szCs w:val="28"/>
          <w:lang w:val="en-US" w:eastAsia="zh-CN" w:bidi="ar-SA"/>
        </w:rPr>
        <w:t>建筑面积为121.32平方米；土地权利性质为出让，面积为61.6平方米，使用期限至2072年04月28日，用途为城镇单一住宅用地</w:t>
      </w:r>
      <w:r>
        <w:rPr>
          <w:rFonts w:hint="eastAsia" w:ascii="仿宋_GB2312" w:hAnsi="宋体" w:eastAsia="仿宋_GB2312" w:cs="Times New Roman"/>
          <w:kern w:val="2"/>
          <w:sz w:val="28"/>
          <w:szCs w:val="28"/>
          <w:highlight w:val="none"/>
          <w:lang w:val="en-US" w:eastAsia="zh-CN" w:bidi="ar-SA"/>
        </w:rPr>
        <w:t>。</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查，估价对象房屋建成于2007年，位于楼栋第一层，现状用途为商用，目前用于美容经营。户型为二厅三室一厨一卫，南北朝向。房屋外墙为防水涂料粉刷，进户门为防盗门，室内墙面、天棚为乳胶漆刷白，餐厅、客厅地面为地砖铺贴，卧室地面为复合地板，厨卫墙面、地面铺贴瓷砖，天棚为铝扣吊顶，塑钢窗加铝合金防盗网，室内装修属于普通装修，维护保养一般。</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天津市海滨新区塘沽美韵家园小区。该小区绿化率高，环境优美，楼间距宽，前后无遮挡，通风采光尚好，24小时保安值守，物业管理好；属于塘沽核心地段，周边配套设施完善，有幼儿园、多所小学和塘沽区十四中学，还有塘沽区红十字医院、妇幼保健院和海滨中医院，配套有各专业银行及大小超市、购物广场；交通便利，有多路公交相通，附近建有津滨轻轨9号线，生活出行都十分便捷。</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接受委托后，我们认真研究分析了</w:t>
      </w:r>
      <w:r>
        <w:rPr>
          <w:rFonts w:hint="eastAsia" w:ascii="仿宋" w:hAnsi="仿宋" w:eastAsia="仿宋" w:cs="Arial"/>
          <w:color w:val="000000"/>
          <w:sz w:val="30"/>
          <w:szCs w:val="30"/>
          <w:lang w:eastAsia="zh-CN"/>
        </w:rPr>
        <w:t>委托方提供的不动产登记信息、现场勘验照片等有关资料，</w:t>
      </w:r>
      <w:r>
        <w:rPr>
          <w:rFonts w:hint="eastAsia" w:ascii="仿宋_GB2312" w:hAnsi="宋体" w:eastAsia="仿宋_GB2312" w:cs="Times New Roman"/>
          <w:kern w:val="2"/>
          <w:sz w:val="28"/>
          <w:szCs w:val="28"/>
          <w:lang w:val="en-US" w:eastAsia="zh-CN" w:bidi="ar-SA"/>
        </w:rPr>
        <w:t>随后开展了广泛的市场调查，并采用市场法进行了估价测算。</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实例A：美韵家园小区住宅，2007年建成，总层数18层，所在层16层，南北朝向，精装修，建筑面积120.9平米，三室二厅二卫，拟交易总价180万，折合单价约为14888元/平米，拟交易日期2020年10月份。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实例B：美韵家园小区住宅，2009年建成，总层数18层，所在层1层，南北朝向，简单装修，建筑面积126.26平米，三室二厅二卫，拟交易总价180万，折合单价约为14256元/平米，拟交易日期2020年10月份。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实例C：美韵家园小区住宅，2009年建成，总层数18层，所在层2层，南北朝向，简单装修，建筑面积108.03平米，三室二厅，拟交易总价152万，折合单价约为14070元/平米，拟交易日期2020年10月份。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美韵家园</w:t>
            </w:r>
            <w:r>
              <w:rPr>
                <w:rFonts w:hint="eastAsia" w:ascii="仿宋" w:hAnsi="仿宋" w:eastAsia="仿宋" w:cs="仿宋"/>
                <w:color w:val="auto"/>
                <w:sz w:val="24"/>
                <w:szCs w:val="24"/>
                <w:lang w:val="en-US" w:eastAsia="zh-CN"/>
              </w:rPr>
              <w:t>19-2-102室</w:t>
            </w:r>
          </w:p>
        </w:tc>
        <w:tc>
          <w:tcPr>
            <w:tcW w:w="1567"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美韵家园小区</w:t>
            </w:r>
          </w:p>
        </w:tc>
        <w:tc>
          <w:tcPr>
            <w:tcW w:w="1550"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美韵家园小区</w:t>
            </w:r>
          </w:p>
        </w:tc>
        <w:tc>
          <w:tcPr>
            <w:tcW w:w="1633" w:type="dxa"/>
            <w:vAlign w:val="top"/>
          </w:tcPr>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美韵家园小区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美韵家园</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美韵家园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美韵家园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美韵家园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14888</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14256</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三室两厅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三室两厅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三室两厅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三室两厅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中档装修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74%</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78%</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14888</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14256</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101</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101</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101</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14888</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14256</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107</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101</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13914</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14115</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13931</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由于可比实例A、B、C与估价对象条件因素相当类似，且比准价格相差不远，因此采取算数平均值的求取方法，估算估价对象的价格。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评估单价=（13914+14115+13931）</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3≈13987(元/平米)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评估总值=13987×121.32≈1696903(元)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估价人员根据估价目的，遵循估价原则，按照规定估价程序和方法，经过具体测算，确定估价对象在估价时点的市场价值为￥1696903元(大写人民币壹佰陆拾玖万陆仟玖佰零叁元整)。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bookmarkStart w:id="0" w:name="_GoBack"/>
      <w:bookmarkEnd w:id="0"/>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二0二0年十一月十六日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167BE"/>
    <w:rsid w:val="04862D7A"/>
    <w:rsid w:val="10EC6ED1"/>
    <w:rsid w:val="14ED2C64"/>
    <w:rsid w:val="177109E3"/>
    <w:rsid w:val="1BCE542B"/>
    <w:rsid w:val="1C7F3050"/>
    <w:rsid w:val="1DAA72BB"/>
    <w:rsid w:val="21D32B8D"/>
    <w:rsid w:val="2B3B50FE"/>
    <w:rsid w:val="3076628F"/>
    <w:rsid w:val="31D77150"/>
    <w:rsid w:val="348B2EC1"/>
    <w:rsid w:val="388727CC"/>
    <w:rsid w:val="3A864490"/>
    <w:rsid w:val="3FA47376"/>
    <w:rsid w:val="4E574397"/>
    <w:rsid w:val="4FB167BE"/>
    <w:rsid w:val="5045033F"/>
    <w:rsid w:val="5B3845B5"/>
    <w:rsid w:val="5DA34A2F"/>
    <w:rsid w:val="5E7B340D"/>
    <w:rsid w:val="689457A1"/>
    <w:rsid w:val="68B07650"/>
    <w:rsid w:val="76645648"/>
    <w:rsid w:val="7949798A"/>
    <w:rsid w:val="7BD13B30"/>
    <w:rsid w:val="7C2A32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2020-11-13T07:25:00Z</dcterms:created>
  <dc:creator>Administrator</dc:creator>
  <cp:lastModifiedBy>Administrator</cp:lastModifiedBy>
  <dcterms:modified xsi:type="dcterms:W3CDTF">2020-11-16T03:13:42Z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