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eastAsia="隶书"/>
          <w:b/>
          <w:snapToGrid w:val="0"/>
          <w:kern w:val="0"/>
          <w:sz w:val="48"/>
          <w:szCs w:val="48"/>
        </w:rPr>
      </w:pPr>
      <w:r>
        <w:rPr>
          <w:rFonts w:eastAsia="隶书"/>
          <w:b/>
          <w:snapToGrid w:val="0"/>
          <w:kern w:val="0"/>
          <w:sz w:val="84"/>
          <w:szCs w:val="20"/>
        </w:rPr>
        <w:tab/>
      </w:r>
      <w:r>
        <w:rPr>
          <w:rFonts w:hint="eastAsia" w:eastAsia="隶书"/>
          <w:b/>
          <w:snapToGrid w:val="0"/>
          <w:kern w:val="0"/>
          <w:sz w:val="48"/>
          <w:szCs w:val="48"/>
        </w:rPr>
        <w:tab/>
      </w:r>
    </w:p>
    <w:p>
      <w:pPr>
        <w:jc w:val="center"/>
        <w:rPr>
          <w:rFonts w:hint="eastAsia"/>
          <w:sz w:val="44"/>
          <w:szCs w:val="44"/>
        </w:rPr>
      </w:pPr>
      <w:r>
        <w:rPr>
          <w:rFonts w:hint="eastAsia" w:eastAsia="隶书"/>
          <w:snapToGrid w:val="0"/>
          <w:kern w:val="0"/>
          <w:sz w:val="44"/>
          <w:szCs w:val="44"/>
        </w:rPr>
        <w:t>涉执房地产处置司法评估报告</w:t>
      </w:r>
    </w:p>
    <w:p>
      <w:pPr>
        <w:jc w:val="center"/>
        <w:rPr>
          <w:rFonts w:hint="eastAsia"/>
        </w:rPr>
      </w:pPr>
    </w:p>
    <w:p>
      <w:pPr>
        <w:spacing w:line="360" w:lineRule="auto"/>
        <w:jc w:val="center"/>
        <w:rPr>
          <w:rFonts w:hint="eastAsia" w:ascii="楷体_GB2312" w:eastAsia="楷体_GB2312"/>
          <w:b/>
          <w:snapToGrid w:val="0"/>
          <w:kern w:val="0"/>
          <w:sz w:val="32"/>
          <w:szCs w:val="32"/>
        </w:rPr>
      </w:pPr>
    </w:p>
    <w:p>
      <w:pPr>
        <w:spacing w:line="360" w:lineRule="auto"/>
        <w:jc w:val="center"/>
        <w:rPr>
          <w:rFonts w:hint="eastAsia" w:ascii="楷体_GB2312" w:eastAsia="楷体_GB2312"/>
          <w:b/>
          <w:snapToGrid w:val="0"/>
          <w:kern w:val="0"/>
          <w:sz w:val="32"/>
          <w:szCs w:val="32"/>
        </w:rPr>
      </w:pPr>
    </w:p>
    <w:p>
      <w:pPr>
        <w:spacing w:line="360" w:lineRule="auto"/>
        <w:jc w:val="center"/>
        <w:rPr>
          <w:rFonts w:hint="eastAsia" w:ascii="楷体_GB2312" w:eastAsia="楷体_GB2312"/>
          <w:b/>
          <w:snapToGrid w:val="0"/>
          <w:kern w:val="0"/>
          <w:sz w:val="32"/>
          <w:szCs w:val="32"/>
        </w:rPr>
      </w:pPr>
    </w:p>
    <w:p>
      <w:pPr>
        <w:spacing w:line="360" w:lineRule="auto"/>
        <w:ind w:left="2256" w:leftChars="11" w:hanging="2233" w:hangingChars="695"/>
        <w:rPr>
          <w:rFonts w:hint="eastAsia" w:ascii="楷体_GB2312" w:eastAsia="楷体_GB2312"/>
          <w:b/>
          <w:sz w:val="32"/>
          <w:szCs w:val="32"/>
        </w:rPr>
      </w:pPr>
      <w:r>
        <w:rPr>
          <w:rFonts w:hint="eastAsia" w:ascii="楷体_GB2312" w:eastAsia="楷体_GB2312"/>
          <w:b/>
          <w:sz w:val="32"/>
          <w:szCs w:val="32"/>
        </w:rPr>
        <w:t>估价报告编号：赣怡信[房估]字(2021)第09070号</w:t>
      </w:r>
    </w:p>
    <w:p>
      <w:pPr>
        <w:spacing w:line="360" w:lineRule="auto"/>
        <w:ind w:left="2256" w:leftChars="11" w:hanging="2233" w:hangingChars="695"/>
        <w:rPr>
          <w:rFonts w:hint="eastAsia" w:ascii="楷体_GB2312" w:eastAsia="楷体_GB2312"/>
          <w:b/>
          <w:color w:val="000000"/>
          <w:sz w:val="18"/>
          <w:szCs w:val="18"/>
        </w:rPr>
      </w:pPr>
      <w:r>
        <w:rPr>
          <w:rFonts w:hint="eastAsia" w:ascii="楷体_GB2312" w:eastAsia="楷体_GB2312"/>
          <w:b/>
          <w:sz w:val="32"/>
          <w:szCs w:val="32"/>
        </w:rPr>
        <w:t>估价项目名称：南昌市红谷滩区人民法院执行中国民生银行股份有限公司南昌分行与被执行人万顺平、陈玉华金融借款合同纠纷一案，需对万顺平、陈玉华名下位于南昌市南昌县象湖新城八月湖路699号伟梦清水湾龙井香院26栋一单元303室、304室住宅房地产价值评估</w:t>
      </w:r>
    </w:p>
    <w:p>
      <w:pPr>
        <w:spacing w:line="480" w:lineRule="auto"/>
        <w:rPr>
          <w:rFonts w:hint="eastAsia" w:ascii="楷体_GB2312" w:eastAsia="楷体_GB2312"/>
          <w:b/>
          <w:sz w:val="32"/>
          <w:szCs w:val="32"/>
        </w:rPr>
      </w:pPr>
      <w:r>
        <w:rPr>
          <w:rFonts w:hint="eastAsia" w:ascii="楷体_GB2312" w:eastAsia="楷体_GB2312"/>
          <w:b/>
          <w:color w:val="000000"/>
          <w:sz w:val="32"/>
          <w:szCs w:val="32"/>
        </w:rPr>
        <w:t>估价委托人</w:t>
      </w:r>
      <w:r>
        <w:rPr>
          <w:rFonts w:hint="eastAsia" w:ascii="楷体_GB2312" w:eastAsia="楷体_GB2312"/>
          <w:b/>
          <w:snapToGrid w:val="0"/>
          <w:color w:val="000000"/>
          <w:kern w:val="0"/>
          <w:sz w:val="32"/>
          <w:szCs w:val="32"/>
        </w:rPr>
        <w:t>：南昌市红谷滩区人民法院</w:t>
      </w:r>
    </w:p>
    <w:p>
      <w:pPr>
        <w:spacing w:line="480" w:lineRule="auto"/>
        <w:rPr>
          <w:rFonts w:hint="eastAsia" w:ascii="楷体_GB2312" w:eastAsia="楷体_GB2312"/>
          <w:b/>
          <w:snapToGrid w:val="0"/>
          <w:color w:val="000000"/>
          <w:kern w:val="0"/>
          <w:sz w:val="32"/>
          <w:szCs w:val="32"/>
        </w:rPr>
      </w:pPr>
      <w:r>
        <w:rPr>
          <w:rFonts w:hint="eastAsia" w:ascii="楷体_GB2312" w:eastAsia="楷体_GB2312"/>
          <w:b/>
          <w:color w:val="000000"/>
          <w:sz w:val="32"/>
          <w:szCs w:val="32"/>
        </w:rPr>
        <w:t>房地产估价机构</w:t>
      </w:r>
      <w:r>
        <w:rPr>
          <w:rFonts w:hint="eastAsia" w:ascii="楷体_GB2312" w:eastAsia="楷体_GB2312"/>
          <w:b/>
          <w:snapToGrid w:val="0"/>
          <w:color w:val="000000"/>
          <w:kern w:val="0"/>
          <w:sz w:val="32"/>
          <w:szCs w:val="32"/>
        </w:rPr>
        <w:t>：江西怡信房地产土地资产评估有限公司</w:t>
      </w:r>
    </w:p>
    <w:p>
      <w:pPr>
        <w:spacing w:line="480" w:lineRule="auto"/>
        <w:rPr>
          <w:rFonts w:hint="eastAsia" w:ascii="楷体_GB2312" w:hAnsi="楷体" w:eastAsia="楷体_GB2312"/>
          <w:b/>
          <w:snapToGrid w:val="0"/>
          <w:kern w:val="0"/>
          <w:sz w:val="32"/>
          <w:szCs w:val="32"/>
        </w:rPr>
      </w:pPr>
      <w:r>
        <w:rPr>
          <w:rFonts w:hint="eastAsia" w:ascii="楷体_GB2312" w:eastAsia="楷体_GB2312"/>
          <w:b/>
          <w:snapToGrid w:val="0"/>
          <w:color w:val="000000"/>
          <w:kern w:val="0"/>
          <w:sz w:val="32"/>
          <w:szCs w:val="32"/>
        </w:rPr>
        <w:t>注册房地产估价师：</w:t>
      </w:r>
      <w:r>
        <w:rPr>
          <w:rFonts w:hint="eastAsia" w:ascii="楷体_GB2312" w:hAnsi="楷体" w:eastAsia="楷体_GB2312"/>
          <w:b/>
          <w:snapToGrid w:val="0"/>
          <w:kern w:val="0"/>
          <w:sz w:val="32"/>
          <w:szCs w:val="32"/>
        </w:rPr>
        <w:t>邵  勇   注册号：3520000070</w:t>
      </w:r>
    </w:p>
    <w:p>
      <w:pPr>
        <w:spacing w:line="480" w:lineRule="auto"/>
        <w:ind w:firstLine="2875" w:firstLineChars="895"/>
        <w:rPr>
          <w:rFonts w:hint="eastAsia" w:ascii="楷体_GB2312" w:hAnsi="楷体" w:eastAsia="楷体_GB2312"/>
          <w:b/>
          <w:snapToGrid w:val="0"/>
          <w:kern w:val="0"/>
          <w:sz w:val="32"/>
          <w:szCs w:val="32"/>
        </w:rPr>
      </w:pPr>
      <w:r>
        <w:rPr>
          <w:rFonts w:hint="eastAsia" w:ascii="楷体_GB2312" w:hAnsi="楷体" w:eastAsia="楷体_GB2312"/>
          <w:b/>
          <w:snapToGrid w:val="0"/>
          <w:kern w:val="0"/>
          <w:sz w:val="32"/>
          <w:szCs w:val="32"/>
        </w:rPr>
        <w:t>查韶娉   注册号：3620000021</w:t>
      </w:r>
    </w:p>
    <w:p>
      <w:pPr>
        <w:spacing w:line="480" w:lineRule="auto"/>
        <w:rPr>
          <w:rFonts w:hint="eastAsia" w:ascii="楷体_GB2312" w:eastAsia="楷体_GB2312"/>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701" w:right="1361" w:bottom="1418" w:left="1361" w:header="680" w:footer="851" w:gutter="0"/>
          <w:cols w:space="720" w:num="1"/>
          <w:titlePg/>
          <w:docGrid w:linePitch="312" w:charSpace="0"/>
        </w:sectPr>
      </w:pPr>
      <w:r>
        <w:rPr>
          <w:rFonts w:hint="eastAsia" w:ascii="楷体_GB2312" w:eastAsia="楷体_GB2312"/>
          <w:b/>
          <w:snapToGrid w:val="0"/>
          <w:color w:val="000000"/>
          <w:kern w:val="0"/>
          <w:sz w:val="32"/>
          <w:szCs w:val="32"/>
        </w:rPr>
        <w:t>估价报告出具日期：二0二一年九月二十七日</w:t>
      </w:r>
    </w:p>
    <w:p>
      <w:pPr>
        <w:adjustRightInd w:val="0"/>
        <w:snapToGrid w:val="0"/>
        <w:spacing w:line="360" w:lineRule="auto"/>
        <w:jc w:val="center"/>
        <w:rPr>
          <w:rFonts w:hint="eastAsia" w:ascii="仿宋_GB2312" w:hAnsi="仿宋" w:eastAsia="仿宋_GB2312"/>
          <w:b/>
          <w:snapToGrid w:val="0"/>
          <w:kern w:val="0"/>
          <w:sz w:val="32"/>
          <w:szCs w:val="32"/>
        </w:rPr>
      </w:pPr>
      <w:r>
        <w:rPr>
          <w:rFonts w:hint="eastAsia" w:ascii="仿宋_GB2312" w:hAnsi="仿宋" w:eastAsia="仿宋_GB2312"/>
          <w:b/>
          <w:snapToGrid w:val="0"/>
          <w:kern w:val="0"/>
          <w:sz w:val="32"/>
          <w:szCs w:val="32"/>
        </w:rPr>
        <w:t>致估价委托人函</w:t>
      </w:r>
    </w:p>
    <w:p>
      <w:pPr>
        <w:adjustRightInd w:val="0"/>
        <w:snapToGrid w:val="0"/>
        <w:spacing w:line="360" w:lineRule="auto"/>
        <w:rPr>
          <w:rFonts w:ascii="仿宋_GB2312" w:eastAsia="仿宋_GB2312"/>
          <w:snapToGrid w:val="0"/>
          <w:kern w:val="0"/>
          <w:sz w:val="28"/>
          <w:szCs w:val="20"/>
        </w:rPr>
      </w:pPr>
      <w:r>
        <w:rPr>
          <w:rFonts w:hint="eastAsia" w:ascii="仿宋_GB2312" w:eastAsia="仿宋_GB2312"/>
          <w:snapToGrid w:val="0"/>
          <w:kern w:val="0"/>
          <w:sz w:val="28"/>
          <w:szCs w:val="20"/>
        </w:rPr>
        <w:t>南昌市红谷滩区人民法院：</w:t>
      </w:r>
    </w:p>
    <w:p>
      <w:pPr>
        <w:adjustRightInd w:val="0"/>
        <w:snapToGrid w:val="0"/>
        <w:spacing w:line="360" w:lineRule="auto"/>
        <w:ind w:firstLine="560" w:firstLineChars="200"/>
        <w:rPr>
          <w:rFonts w:hint="eastAsia" w:ascii="仿宋_GB2312" w:hAnsi="仿宋" w:eastAsia="仿宋_GB2312"/>
          <w:snapToGrid w:val="0"/>
          <w:kern w:val="0"/>
          <w:sz w:val="28"/>
          <w:szCs w:val="28"/>
        </w:rPr>
      </w:pPr>
      <w:r>
        <w:rPr>
          <w:rFonts w:hint="eastAsia" w:ascii="仿宋_GB2312" w:eastAsia="仿宋_GB2312"/>
          <w:snapToGrid w:val="0"/>
          <w:kern w:val="0"/>
          <w:sz w:val="28"/>
          <w:szCs w:val="20"/>
        </w:rPr>
        <w:t>承蒙委托，我</w:t>
      </w:r>
      <w:r>
        <w:rPr>
          <w:rFonts w:hint="eastAsia" w:ascii="仿宋_GB2312" w:hAnsi="仿宋" w:eastAsia="仿宋_GB2312"/>
          <w:snapToGrid w:val="0"/>
          <w:kern w:val="0"/>
          <w:sz w:val="28"/>
          <w:szCs w:val="28"/>
        </w:rPr>
        <w:t>公司对位于南昌市南昌县象湖新城八月湖路699号伟梦清水湾龙井香院26栋一单元303室、304室住宅房地产进</w:t>
      </w:r>
      <w:r>
        <w:rPr>
          <w:rFonts w:hint="eastAsia" w:ascii="仿宋_GB2312" w:eastAsia="仿宋_GB2312"/>
          <w:snapToGrid w:val="0"/>
          <w:kern w:val="0"/>
          <w:sz w:val="28"/>
          <w:szCs w:val="20"/>
        </w:rPr>
        <w:t>行了估价，</w:t>
      </w:r>
      <w:r>
        <w:rPr>
          <w:rFonts w:hint="eastAsia" w:ascii="仿宋_GB2312" w:hAnsi="仿宋" w:eastAsia="仿宋_GB2312"/>
          <w:snapToGrid w:val="0"/>
          <w:kern w:val="0"/>
          <w:sz w:val="28"/>
          <w:szCs w:val="28"/>
        </w:rPr>
        <w:t>价值时点为2021年9月17日，估价对象房屋建筑面积合计为119.44平方米，本次估价目的是为人民法院确定财产处置参考价提供参考依据。</w:t>
      </w:r>
    </w:p>
    <w:p>
      <w:pPr>
        <w:adjustRightInd w:val="0"/>
        <w:snapToGrid w:val="0"/>
        <w:spacing w:line="360" w:lineRule="auto"/>
        <w:ind w:firstLine="560" w:firstLineChars="200"/>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我公司按照国家有关法律法规和《房地产估价规范》的要求，遵循估价原则，按照估价工作程序，依据贵方提供的相关资料，选用比较法进行评估，通过综合分析影响房地产价格因素，进行认真测算，确定估价对象在价值时点2021年9月17日满足全部假设和限制条件下的市场价值为</w:t>
      </w:r>
      <w:r>
        <w:rPr>
          <w:rFonts w:hint="eastAsia" w:ascii="仿宋_GB2312" w:eastAsia="仿宋_GB2312"/>
          <w:snapToGrid w:val="0"/>
          <w:kern w:val="0"/>
          <w:sz w:val="28"/>
          <w:szCs w:val="28"/>
        </w:rPr>
        <w:t>123.68万元</w:t>
      </w:r>
      <w:r>
        <w:rPr>
          <w:rFonts w:hint="eastAsia" w:ascii="仿宋_GB2312" w:hAnsi="仿宋" w:eastAsia="仿宋_GB2312"/>
          <w:snapToGrid w:val="0"/>
          <w:kern w:val="0"/>
          <w:sz w:val="28"/>
          <w:szCs w:val="28"/>
        </w:rPr>
        <w:t>，人民币大写：</w:t>
      </w:r>
      <w:r>
        <w:rPr>
          <w:rFonts w:ascii="仿宋_GB2312" w:hAnsi="仿宋" w:eastAsia="仿宋_GB2312"/>
          <w:snapToGrid w:val="0"/>
          <w:kern w:val="0"/>
          <w:sz w:val="28"/>
          <w:szCs w:val="28"/>
        </w:rPr>
        <w:fldChar w:fldCharType="begin"/>
      </w:r>
      <w:r>
        <w:rPr>
          <w:rFonts w:ascii="仿宋_GB2312" w:hAnsi="仿宋" w:eastAsia="仿宋_GB2312"/>
          <w:snapToGrid w:val="0"/>
          <w:kern w:val="0"/>
          <w:sz w:val="28"/>
          <w:szCs w:val="28"/>
        </w:rPr>
        <w:instrText xml:space="preserve"> </w:instrText>
      </w:r>
      <w:r>
        <w:rPr>
          <w:rFonts w:hint="eastAsia" w:ascii="仿宋_GB2312" w:hAnsi="仿宋" w:eastAsia="仿宋_GB2312"/>
          <w:snapToGrid w:val="0"/>
          <w:kern w:val="0"/>
          <w:sz w:val="28"/>
          <w:szCs w:val="28"/>
        </w:rPr>
        <w:instrText xml:space="preserve">= 32070100 \* CHINESENUM2</w:instrText>
      </w:r>
      <w:r>
        <w:rPr>
          <w:rFonts w:ascii="仿宋_GB2312" w:hAnsi="仿宋" w:eastAsia="仿宋_GB2312"/>
          <w:snapToGrid w:val="0"/>
          <w:kern w:val="0"/>
          <w:sz w:val="28"/>
          <w:szCs w:val="28"/>
        </w:rPr>
        <w:instrText xml:space="preserve"> </w:instrText>
      </w:r>
      <w:r>
        <w:rPr>
          <w:rFonts w:ascii="仿宋_GB2312" w:hAnsi="仿宋" w:eastAsia="仿宋_GB2312"/>
          <w:snapToGrid w:val="0"/>
          <w:kern w:val="0"/>
          <w:sz w:val="28"/>
          <w:szCs w:val="28"/>
        </w:rPr>
        <w:fldChar w:fldCharType="separate"/>
      </w:r>
      <w:r>
        <w:rPr>
          <w:rFonts w:hint="eastAsia" w:ascii="仿宋_GB2312" w:hAnsi="仿宋" w:eastAsia="仿宋_GB2312"/>
          <w:snapToGrid w:val="0"/>
          <w:kern w:val="0"/>
          <w:sz w:val="28"/>
          <w:szCs w:val="28"/>
          <w:lang/>
        </w:rPr>
        <w:t>壹佰贰拾叁万陆仟捌佰</w:t>
      </w:r>
      <w:r>
        <w:rPr>
          <w:rFonts w:ascii="仿宋_GB2312" w:hAnsi="仿宋" w:eastAsia="仿宋_GB2312"/>
          <w:snapToGrid w:val="0"/>
          <w:kern w:val="0"/>
          <w:sz w:val="28"/>
          <w:szCs w:val="28"/>
        </w:rPr>
        <w:fldChar w:fldCharType="end"/>
      </w:r>
      <w:r>
        <w:rPr>
          <w:rFonts w:hint="eastAsia" w:ascii="仿宋_GB2312" w:hAnsi="仿宋" w:eastAsia="仿宋_GB2312"/>
          <w:snapToGrid w:val="0"/>
          <w:kern w:val="0"/>
          <w:sz w:val="28"/>
          <w:szCs w:val="28"/>
        </w:rPr>
        <w:t>元整，具体详见《估价结果一览表》。</w:t>
      </w:r>
    </w:p>
    <w:p>
      <w:pPr>
        <w:adjustRightInd w:val="0"/>
        <w:snapToGrid w:val="0"/>
        <w:spacing w:line="360" w:lineRule="auto"/>
        <w:jc w:val="center"/>
        <w:rPr>
          <w:rFonts w:ascii="仿宋_GB2312" w:hAnsi="仿宋" w:eastAsia="仿宋_GB2312"/>
          <w:b/>
          <w:snapToGrid w:val="0"/>
          <w:kern w:val="0"/>
          <w:sz w:val="28"/>
          <w:szCs w:val="28"/>
        </w:rPr>
      </w:pPr>
      <w:r>
        <w:rPr>
          <w:rFonts w:hint="eastAsia" w:ascii="仿宋_GB2312" w:hAnsi="仿宋" w:eastAsia="仿宋_GB2312"/>
          <w:b/>
          <w:snapToGrid w:val="0"/>
          <w:kern w:val="0"/>
          <w:sz w:val="28"/>
          <w:szCs w:val="28"/>
        </w:rPr>
        <w:t xml:space="preserve">                    估价结果一览表                 </w:t>
      </w:r>
      <w:r>
        <w:rPr>
          <w:rFonts w:hint="eastAsia" w:ascii="仿宋_GB2312" w:hAnsi="仿宋" w:eastAsia="仿宋_GB2312"/>
          <w:snapToGrid w:val="0"/>
          <w:kern w:val="0"/>
          <w:sz w:val="18"/>
          <w:szCs w:val="18"/>
        </w:rPr>
        <w:t>表1</w:t>
      </w:r>
    </w:p>
    <w:tbl>
      <w:tblPr>
        <w:tblStyle w:val="21"/>
        <w:tblW w:w="10490" w:type="dxa"/>
        <w:tblInd w:w="-459" w:type="dxa"/>
        <w:tblLayout w:type="fixed"/>
        <w:tblCellMar>
          <w:top w:w="0" w:type="dxa"/>
          <w:left w:w="108" w:type="dxa"/>
          <w:bottom w:w="0" w:type="dxa"/>
          <w:right w:w="108" w:type="dxa"/>
        </w:tblCellMar>
      </w:tblPr>
      <w:tblGrid>
        <w:gridCol w:w="567"/>
        <w:gridCol w:w="1134"/>
        <w:gridCol w:w="993"/>
        <w:gridCol w:w="2693"/>
        <w:gridCol w:w="709"/>
        <w:gridCol w:w="708"/>
        <w:gridCol w:w="819"/>
        <w:gridCol w:w="882"/>
        <w:gridCol w:w="993"/>
        <w:gridCol w:w="992"/>
      </w:tblGrid>
      <w:tr>
        <w:tblPrEx>
          <w:tblCellMar>
            <w:top w:w="0" w:type="dxa"/>
            <w:left w:w="108" w:type="dxa"/>
            <w:bottom w:w="0" w:type="dxa"/>
            <w:right w:w="108" w:type="dxa"/>
          </w:tblCellMar>
        </w:tblPrEx>
        <w:trPr>
          <w:wBefore w:w="0" w:type="dxa"/>
          <w:wAfter w:w="0" w:type="dxa"/>
          <w:trHeight w:val="772"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不动产权证</w:t>
            </w:r>
          </w:p>
        </w:tc>
        <w:tc>
          <w:tcPr>
            <w:tcW w:w="9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产权人</w:t>
            </w:r>
          </w:p>
        </w:tc>
        <w:tc>
          <w:tcPr>
            <w:tcW w:w="26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坐落</w:t>
            </w:r>
          </w:p>
        </w:tc>
        <w:tc>
          <w:tcPr>
            <w:tcW w:w="70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建筑结构</w:t>
            </w:r>
          </w:p>
        </w:tc>
        <w:tc>
          <w:tcPr>
            <w:tcW w:w="70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规划用途</w:t>
            </w:r>
          </w:p>
        </w:tc>
        <w:tc>
          <w:tcPr>
            <w:tcW w:w="81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楼层</w:t>
            </w:r>
          </w:p>
        </w:tc>
        <w:tc>
          <w:tcPr>
            <w:tcW w:w="88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建筑面积（㎡）</w:t>
            </w:r>
          </w:p>
        </w:tc>
        <w:tc>
          <w:tcPr>
            <w:tcW w:w="9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评估单价（元/㎡）</w:t>
            </w:r>
          </w:p>
        </w:tc>
        <w:tc>
          <w:tcPr>
            <w:tcW w:w="99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评估总价（万元）</w:t>
            </w:r>
          </w:p>
        </w:tc>
      </w:tr>
      <w:tr>
        <w:tblPrEx>
          <w:tblCellMar>
            <w:top w:w="0" w:type="dxa"/>
            <w:left w:w="108" w:type="dxa"/>
            <w:bottom w:w="0" w:type="dxa"/>
            <w:right w:w="108" w:type="dxa"/>
          </w:tblCellMar>
        </w:tblPrEx>
        <w:trPr>
          <w:wBefore w:w="0" w:type="dxa"/>
          <w:wAfter w:w="0" w:type="dxa"/>
          <w:trHeight w:val="915"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00127127</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万顺平</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南昌县象湖新城八月湖路699号伟梦清水湾龙井香院26栋一单元303室</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钢混</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住宅</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3/6</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45.6</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10355</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47.22 </w:t>
            </w:r>
          </w:p>
        </w:tc>
      </w:tr>
      <w:tr>
        <w:tblPrEx>
          <w:tblCellMar>
            <w:top w:w="0" w:type="dxa"/>
            <w:left w:w="108" w:type="dxa"/>
            <w:bottom w:w="0" w:type="dxa"/>
            <w:right w:w="108" w:type="dxa"/>
          </w:tblCellMar>
        </w:tblPrEx>
        <w:trPr>
          <w:wBefore w:w="0" w:type="dxa"/>
          <w:wAfter w:w="0" w:type="dxa"/>
          <w:trHeight w:val="825"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00127128</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万顺平</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南昌县象湖新城八月湖路699号伟梦清水湾龙井香院26栋一单元304室</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钢混</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住宅</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3/6</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73.84</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10355</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76.46 </w:t>
            </w:r>
          </w:p>
        </w:tc>
      </w:tr>
      <w:tr>
        <w:tblPrEx>
          <w:tblCellMar>
            <w:top w:w="0" w:type="dxa"/>
            <w:left w:w="108" w:type="dxa"/>
            <w:bottom w:w="0" w:type="dxa"/>
            <w:right w:w="108" w:type="dxa"/>
          </w:tblCellMar>
        </w:tblPrEx>
        <w:trPr>
          <w:wBefore w:w="0" w:type="dxa"/>
          <w:wAfter w:w="0" w:type="dxa"/>
          <w:trHeight w:val="540"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合计</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 xml:space="preserve">119.44 </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 xml:space="preserve">123.68 </w:t>
            </w:r>
          </w:p>
        </w:tc>
      </w:tr>
    </w:tbl>
    <w:p>
      <w:pPr>
        <w:snapToGrid w:val="0"/>
        <w:ind w:firstLine="560"/>
        <w:rPr>
          <w:rFonts w:ascii="仿宋_GB2312" w:hAnsi="仿宋" w:eastAsia="仿宋_GB2312"/>
          <w:kern w:val="0"/>
          <w:sz w:val="24"/>
        </w:rPr>
      </w:pPr>
      <w:r>
        <w:rPr>
          <w:rFonts w:hint="eastAsia" w:ascii="仿宋_GB2312" w:hAnsi="仿宋" w:eastAsia="仿宋_GB2312"/>
          <w:kern w:val="0"/>
          <w:sz w:val="24"/>
        </w:rPr>
        <w:t>特别提示：</w:t>
      </w:r>
    </w:p>
    <w:p>
      <w:pPr>
        <w:snapToGrid w:val="0"/>
        <w:ind w:firstLine="560"/>
        <w:rPr>
          <w:rFonts w:hint="eastAsia" w:ascii="仿宋_GB2312" w:hAnsi="仿宋" w:eastAsia="仿宋_GB2312"/>
          <w:kern w:val="0"/>
          <w:sz w:val="24"/>
        </w:rPr>
      </w:pPr>
      <w:r>
        <w:rPr>
          <w:rFonts w:hint="eastAsia" w:ascii="仿宋_GB2312" w:hAnsi="仿宋" w:eastAsia="仿宋_GB2312"/>
          <w:kern w:val="0"/>
          <w:sz w:val="24"/>
        </w:rPr>
        <w:t>1.本报告仅限于南昌市红谷滩区人民法院执行中国民生银行股份有限公司南昌分行与被执行人万顺平、陈玉华金融借款合同纠纷一案使用，不作他用；</w:t>
      </w:r>
    </w:p>
    <w:p>
      <w:pPr>
        <w:ind w:firstLine="600" w:firstLineChars="250"/>
        <w:rPr>
          <w:rFonts w:hint="eastAsia" w:ascii="仿宋_GB2312" w:hAnsi="仿宋" w:eastAsia="仿宋_GB2312"/>
          <w:kern w:val="0"/>
          <w:sz w:val="24"/>
        </w:rPr>
      </w:pPr>
      <w:r>
        <w:rPr>
          <w:rFonts w:hint="eastAsia" w:ascii="仿宋_GB2312" w:hAnsi="仿宋" w:eastAsia="仿宋_GB2312"/>
          <w:kern w:val="0"/>
          <w:sz w:val="24"/>
        </w:rPr>
        <w:t>2.本估价报告的全文为一个不可分割的整体，报告使用者请详细查阅本报告的估价师声明、估价的假设与限制条件、房地产估价结果报告，以对本报告有一个全面正确的了解。</w:t>
      </w:r>
    </w:p>
    <w:p>
      <w:pPr>
        <w:ind w:firstLine="480" w:firstLineChars="200"/>
        <w:rPr>
          <w:rFonts w:hint="eastAsia" w:ascii="仿宋_GB2312" w:hAnsi="仿宋" w:eastAsia="仿宋_GB2312"/>
          <w:kern w:val="0"/>
          <w:sz w:val="24"/>
        </w:rPr>
      </w:pPr>
      <w:r>
        <w:rPr>
          <w:rFonts w:hint="eastAsia" w:ascii="仿宋_GB2312" w:hAnsi="仿宋" w:eastAsia="仿宋_GB2312"/>
          <w:kern w:val="0"/>
          <w:sz w:val="24"/>
        </w:rPr>
        <w:t>3.本报告评估价格不包含司法拍卖费、交易费、税费等相关费用。</w:t>
      </w:r>
    </w:p>
    <w:p>
      <w:pPr>
        <w:ind w:firstLine="480" w:firstLineChars="200"/>
        <w:rPr>
          <w:rFonts w:hint="eastAsia" w:ascii="仿宋_GB2312" w:hAnsi="仿宋" w:eastAsia="仿宋_GB2312"/>
          <w:kern w:val="0"/>
          <w:sz w:val="24"/>
        </w:rPr>
      </w:pPr>
    </w:p>
    <w:p>
      <w:pPr>
        <w:snapToGrid w:val="0"/>
        <w:spacing w:line="360" w:lineRule="auto"/>
        <w:ind w:firstLine="560"/>
        <w:jc w:val="right"/>
        <w:rPr>
          <w:rFonts w:hint="eastAsia" w:ascii="仿宋_GB2312" w:eastAsia="仿宋_GB2312"/>
          <w:snapToGrid w:val="0"/>
          <w:kern w:val="0"/>
          <w:sz w:val="28"/>
          <w:szCs w:val="28"/>
        </w:rPr>
      </w:pPr>
      <w:r>
        <w:rPr>
          <w:rFonts w:hint="eastAsia" w:ascii="仿宋_GB2312" w:eastAsia="仿宋_GB2312"/>
          <w:snapToGrid w:val="0"/>
          <w:kern w:val="0"/>
          <w:sz w:val="28"/>
          <w:szCs w:val="28"/>
        </w:rPr>
        <w:t>江西怡信房地产土地资产评估有限公司</w:t>
      </w:r>
    </w:p>
    <w:p>
      <w:pPr>
        <w:snapToGrid w:val="0"/>
        <w:spacing w:line="360" w:lineRule="auto"/>
        <w:ind w:firstLine="560"/>
        <w:rPr>
          <w:rFonts w:hint="eastAsia" w:ascii="仿宋_GB2312" w:eastAsia="仿宋_GB2312"/>
          <w:snapToGrid w:val="0"/>
          <w:kern w:val="0"/>
          <w:sz w:val="28"/>
          <w:szCs w:val="28"/>
        </w:rPr>
      </w:pPr>
      <w:r>
        <w:rPr>
          <w:rFonts w:hint="eastAsia" w:ascii="仿宋_GB2312" w:eastAsia="仿宋_GB2312"/>
          <w:snapToGrid w:val="0"/>
          <w:kern w:val="0"/>
          <w:sz w:val="28"/>
          <w:szCs w:val="28"/>
        </w:rPr>
        <w:t xml:space="preserve">                                  法人代表：邵勇</w:t>
      </w:r>
    </w:p>
    <w:p>
      <w:pPr>
        <w:adjustRightInd w:val="0"/>
        <w:snapToGrid w:val="0"/>
        <w:spacing w:line="360" w:lineRule="auto"/>
        <w:ind w:firstLine="560" w:firstLineChars="200"/>
        <w:rPr>
          <w:rFonts w:ascii="仿宋_GB2312" w:eastAsia="仿宋_GB2312"/>
          <w:snapToGrid w:val="0"/>
          <w:kern w:val="0"/>
          <w:sz w:val="28"/>
          <w:szCs w:val="28"/>
        </w:rPr>
        <w:sectPr>
          <w:headerReference r:id="rId9" w:type="default"/>
          <w:footerReference r:id="rId10" w:type="default"/>
          <w:pgSz w:w="11906" w:h="16838"/>
          <w:pgMar w:top="1676" w:right="1304" w:bottom="1304" w:left="1304" w:header="851" w:footer="992" w:gutter="0"/>
          <w:pgNumType w:start="1"/>
          <w:cols w:space="720" w:num="1"/>
          <w:docGrid w:linePitch="312" w:charSpace="0"/>
        </w:sectPr>
      </w:pPr>
      <w:r>
        <w:rPr>
          <w:rFonts w:hint="eastAsia" w:ascii="仿宋_GB2312" w:eastAsia="仿宋_GB2312"/>
          <w:snapToGrid w:val="0"/>
          <w:kern w:val="0"/>
          <w:sz w:val="28"/>
          <w:szCs w:val="28"/>
        </w:rPr>
        <w:t xml:space="preserve">                                二0二一年九月二十七日</w:t>
      </w:r>
    </w:p>
    <w:p>
      <w:pPr>
        <w:pStyle w:val="10"/>
        <w:jc w:val="center"/>
        <w:rPr>
          <w:rFonts w:ascii="宋体" w:hAnsi="宋体"/>
          <w:b/>
          <w:snapToGrid w:val="0"/>
          <w:kern w:val="0"/>
          <w:sz w:val="36"/>
        </w:rPr>
      </w:pPr>
      <w:r>
        <w:rPr>
          <w:rFonts w:hint="eastAsia" w:ascii="宋体" w:hAnsi="宋体"/>
          <w:b/>
          <w:snapToGrid w:val="0"/>
          <w:kern w:val="0"/>
          <w:sz w:val="36"/>
        </w:rPr>
        <w:t>报</w:t>
      </w:r>
      <w:r>
        <w:rPr>
          <w:rFonts w:ascii="宋体" w:hAnsi="宋体"/>
          <w:b/>
          <w:snapToGrid w:val="0"/>
          <w:kern w:val="0"/>
          <w:sz w:val="36"/>
        </w:rPr>
        <w:t xml:space="preserve">  </w:t>
      </w:r>
      <w:r>
        <w:rPr>
          <w:rFonts w:hint="eastAsia" w:ascii="宋体" w:hAnsi="宋体"/>
          <w:b/>
          <w:snapToGrid w:val="0"/>
          <w:kern w:val="0"/>
          <w:sz w:val="36"/>
        </w:rPr>
        <w:t>告</w:t>
      </w:r>
      <w:r>
        <w:rPr>
          <w:rFonts w:ascii="宋体" w:hAnsi="宋体"/>
          <w:b/>
          <w:snapToGrid w:val="0"/>
          <w:kern w:val="0"/>
          <w:sz w:val="36"/>
        </w:rPr>
        <w:t xml:space="preserve">  </w:t>
      </w:r>
      <w:r>
        <w:rPr>
          <w:rFonts w:hint="eastAsia" w:ascii="宋体" w:hAnsi="宋体"/>
          <w:b/>
          <w:snapToGrid w:val="0"/>
          <w:kern w:val="0"/>
          <w:sz w:val="36"/>
        </w:rPr>
        <w:t>目</w:t>
      </w:r>
      <w:r>
        <w:rPr>
          <w:rFonts w:ascii="宋体" w:hAnsi="宋体"/>
          <w:b/>
          <w:snapToGrid w:val="0"/>
          <w:kern w:val="0"/>
          <w:sz w:val="36"/>
        </w:rPr>
        <w:t xml:space="preserve">  </w:t>
      </w:r>
      <w:r>
        <w:rPr>
          <w:rFonts w:hint="eastAsia" w:ascii="宋体" w:hAnsi="宋体"/>
          <w:b/>
          <w:snapToGrid w:val="0"/>
          <w:kern w:val="0"/>
          <w:sz w:val="36"/>
        </w:rPr>
        <w:t>录</w:t>
      </w:r>
    </w:p>
    <w:p>
      <w:pPr>
        <w:pStyle w:val="15"/>
        <w:tabs>
          <w:tab w:val="right" w:leader="dot" w:pos="9060"/>
        </w:tabs>
        <w:spacing w:line="420" w:lineRule="exact"/>
        <w:rPr>
          <w:rFonts w:hint="eastAsia" w:ascii="楷体_GB2312" w:eastAsia="楷体_GB2312"/>
          <w:sz w:val="28"/>
          <w:szCs w:val="28"/>
          <w:lang/>
        </w:rPr>
      </w:pPr>
      <w:r>
        <w:rPr>
          <w:rFonts w:hint="eastAsia" w:ascii="楷体_GB2312" w:hAnsi="楷体" w:eastAsia="楷体_GB2312"/>
          <w:sz w:val="28"/>
          <w:szCs w:val="28"/>
        </w:rPr>
        <w:fldChar w:fldCharType="begin"/>
      </w:r>
      <w:r>
        <w:rPr>
          <w:rFonts w:hint="eastAsia" w:ascii="楷体_GB2312" w:hAnsi="楷体" w:eastAsia="楷体_GB2312"/>
          <w:sz w:val="28"/>
          <w:szCs w:val="28"/>
        </w:rPr>
        <w:instrText xml:space="preserve"> TOC \o "1-3" \h \z \u </w:instrText>
      </w:r>
      <w:r>
        <w:rPr>
          <w:rFonts w:hint="eastAsia" w:ascii="楷体_GB2312" w:hAnsi="楷体" w:eastAsia="楷体_GB2312"/>
          <w:sz w:val="28"/>
          <w:szCs w:val="28"/>
        </w:rPr>
        <w:fldChar w:fldCharType="separate"/>
      </w:r>
      <w:r>
        <w:rPr>
          <w:rFonts w:hint="eastAsia" w:ascii="楷体_GB2312" w:eastAsia="楷体_GB2312"/>
          <w:sz w:val="28"/>
          <w:szCs w:val="28"/>
          <w:lang/>
        </w:rPr>
        <w:fldChar w:fldCharType="begin"/>
      </w:r>
      <w:r>
        <w:rPr>
          <w:rStyle w:val="26"/>
          <w:rFonts w:hint="eastAsia" w:ascii="楷体_GB2312" w:eastAsia="楷体_GB2312"/>
          <w:sz w:val="28"/>
          <w:szCs w:val="28"/>
          <w:lang/>
        </w:rPr>
        <w:instrText xml:space="preserve"> </w:instrText>
      </w:r>
      <w:r>
        <w:rPr>
          <w:rFonts w:hint="eastAsia" w:ascii="楷体_GB2312" w:eastAsia="楷体_GB2312"/>
          <w:sz w:val="28"/>
          <w:szCs w:val="28"/>
          <w:lang/>
        </w:rPr>
        <w:instrText xml:space="preserve">HYPERLINK \l "_Toc438541040"</w:instrText>
      </w:r>
      <w:r>
        <w:rPr>
          <w:rStyle w:val="26"/>
          <w:rFonts w:hint="eastAsia" w:ascii="楷体_GB2312" w:eastAsia="楷体_GB2312"/>
          <w:sz w:val="28"/>
          <w:szCs w:val="28"/>
          <w:lang/>
        </w:rPr>
        <w:instrText xml:space="preserve"> </w:instrText>
      </w:r>
      <w:r>
        <w:rPr>
          <w:rFonts w:hint="eastAsia" w:ascii="楷体_GB2312" w:eastAsia="楷体_GB2312"/>
          <w:sz w:val="28"/>
          <w:szCs w:val="28"/>
          <w:lang/>
        </w:rPr>
        <w:fldChar w:fldCharType="separate"/>
      </w:r>
      <w:r>
        <w:rPr>
          <w:rStyle w:val="26"/>
          <w:rFonts w:hint="eastAsia" w:ascii="楷体_GB2312" w:hAnsi="宋体" w:eastAsia="楷体_GB2312"/>
          <w:b/>
          <w:snapToGrid w:val="0"/>
          <w:kern w:val="0"/>
          <w:sz w:val="28"/>
          <w:szCs w:val="28"/>
          <w:lang/>
        </w:rPr>
        <w:t>估价师声明</w:t>
      </w:r>
      <w:r>
        <w:rPr>
          <w:rFonts w:hint="eastAsia" w:ascii="楷体_GB2312" w:eastAsia="楷体_GB2312"/>
          <w:sz w:val="28"/>
          <w:szCs w:val="28"/>
          <w:lang/>
        </w:rPr>
        <w:tab/>
      </w:r>
      <w:r>
        <w:rPr>
          <w:rFonts w:hint="eastAsia" w:ascii="楷体_GB2312" w:eastAsia="楷体_GB2312"/>
          <w:sz w:val="28"/>
          <w:szCs w:val="28"/>
          <w:lang/>
        </w:rPr>
        <w:t>1</w:t>
      </w:r>
      <w:r>
        <w:rPr>
          <w:rFonts w:hint="eastAsia" w:ascii="楷体_GB2312" w:eastAsia="楷体_GB2312"/>
          <w:sz w:val="28"/>
          <w:szCs w:val="28"/>
          <w:lang/>
        </w:rPr>
        <w:fldChar w:fldCharType="end"/>
      </w:r>
    </w:p>
    <w:p>
      <w:pPr>
        <w:pStyle w:val="15"/>
        <w:tabs>
          <w:tab w:val="right" w:leader="dot" w:pos="9060"/>
        </w:tabs>
        <w:spacing w:line="420" w:lineRule="exact"/>
        <w:rPr>
          <w:rFonts w:hint="eastAsia" w:ascii="楷体_GB2312" w:eastAsia="楷体_GB2312"/>
          <w:sz w:val="28"/>
          <w:szCs w:val="28"/>
          <w:lang/>
        </w:rPr>
      </w:pPr>
      <w:r>
        <w:rPr>
          <w:rFonts w:hint="eastAsia" w:ascii="楷体_GB2312" w:eastAsia="楷体_GB2312"/>
          <w:sz w:val="28"/>
          <w:szCs w:val="28"/>
          <w:lang/>
        </w:rPr>
        <w:fldChar w:fldCharType="begin"/>
      </w:r>
      <w:r>
        <w:rPr>
          <w:rStyle w:val="26"/>
          <w:rFonts w:hint="eastAsia" w:ascii="楷体_GB2312" w:eastAsia="楷体_GB2312"/>
          <w:sz w:val="28"/>
          <w:szCs w:val="28"/>
          <w:lang/>
        </w:rPr>
        <w:instrText xml:space="preserve"> </w:instrText>
      </w:r>
      <w:r>
        <w:rPr>
          <w:rFonts w:hint="eastAsia" w:ascii="楷体_GB2312" w:eastAsia="楷体_GB2312"/>
          <w:sz w:val="28"/>
          <w:szCs w:val="28"/>
          <w:lang/>
        </w:rPr>
        <w:instrText xml:space="preserve">HYPERLINK \l "_Toc438541041"</w:instrText>
      </w:r>
      <w:r>
        <w:rPr>
          <w:rStyle w:val="26"/>
          <w:rFonts w:hint="eastAsia" w:ascii="楷体_GB2312" w:eastAsia="楷体_GB2312"/>
          <w:sz w:val="28"/>
          <w:szCs w:val="28"/>
          <w:lang/>
        </w:rPr>
        <w:instrText xml:space="preserve"> </w:instrText>
      </w:r>
      <w:r>
        <w:rPr>
          <w:rFonts w:hint="eastAsia" w:ascii="楷体_GB2312" w:eastAsia="楷体_GB2312"/>
          <w:sz w:val="28"/>
          <w:szCs w:val="28"/>
          <w:lang/>
        </w:rPr>
        <w:fldChar w:fldCharType="separate"/>
      </w:r>
      <w:r>
        <w:rPr>
          <w:rStyle w:val="26"/>
          <w:rFonts w:hint="eastAsia" w:ascii="楷体_GB2312" w:hAnsi="宋体" w:eastAsia="楷体_GB2312"/>
          <w:b/>
          <w:snapToGrid w:val="0"/>
          <w:kern w:val="0"/>
          <w:sz w:val="28"/>
          <w:szCs w:val="28"/>
          <w:lang/>
        </w:rPr>
        <w:t>估价假设和限制条件</w:t>
      </w:r>
      <w:r>
        <w:rPr>
          <w:rFonts w:hint="eastAsia" w:ascii="楷体_GB2312" w:eastAsia="楷体_GB2312"/>
          <w:sz w:val="28"/>
          <w:szCs w:val="28"/>
          <w:lang/>
        </w:rPr>
        <w:tab/>
      </w:r>
      <w:r>
        <w:rPr>
          <w:rFonts w:hint="eastAsia" w:ascii="楷体_GB2312" w:eastAsia="楷体_GB2312"/>
          <w:sz w:val="28"/>
          <w:szCs w:val="28"/>
          <w:lang/>
        </w:rPr>
        <w:t>2</w:t>
      </w:r>
      <w:r>
        <w:rPr>
          <w:rFonts w:hint="eastAsia" w:ascii="楷体_GB2312" w:eastAsia="楷体_GB2312"/>
          <w:sz w:val="28"/>
          <w:szCs w:val="28"/>
          <w:lang/>
        </w:rPr>
        <w:fldChar w:fldCharType="end"/>
      </w:r>
    </w:p>
    <w:p>
      <w:pPr>
        <w:pStyle w:val="15"/>
        <w:tabs>
          <w:tab w:val="right" w:leader="dot" w:pos="9060"/>
        </w:tabs>
        <w:spacing w:line="420" w:lineRule="exact"/>
        <w:rPr>
          <w:rFonts w:hint="eastAsia" w:ascii="楷体_GB2312" w:eastAsia="楷体_GB2312"/>
          <w:sz w:val="28"/>
          <w:szCs w:val="28"/>
          <w:lang/>
        </w:rPr>
      </w:pPr>
      <w:r>
        <w:rPr>
          <w:rFonts w:hint="eastAsia" w:ascii="楷体_GB2312" w:eastAsia="楷体_GB2312"/>
          <w:sz w:val="28"/>
          <w:szCs w:val="28"/>
          <w:lang/>
        </w:rPr>
        <w:fldChar w:fldCharType="begin"/>
      </w:r>
      <w:r>
        <w:rPr>
          <w:rStyle w:val="26"/>
          <w:rFonts w:hint="eastAsia" w:ascii="楷体_GB2312" w:eastAsia="楷体_GB2312"/>
          <w:sz w:val="28"/>
          <w:szCs w:val="28"/>
          <w:lang/>
        </w:rPr>
        <w:instrText xml:space="preserve"> </w:instrText>
      </w:r>
      <w:r>
        <w:rPr>
          <w:rFonts w:hint="eastAsia" w:ascii="楷体_GB2312" w:eastAsia="楷体_GB2312"/>
          <w:sz w:val="28"/>
          <w:szCs w:val="28"/>
          <w:lang/>
        </w:rPr>
        <w:instrText xml:space="preserve">HYPERLINK \l "_Toc438541042"</w:instrText>
      </w:r>
      <w:r>
        <w:rPr>
          <w:rStyle w:val="26"/>
          <w:rFonts w:hint="eastAsia" w:ascii="楷体_GB2312" w:eastAsia="楷体_GB2312"/>
          <w:sz w:val="28"/>
          <w:szCs w:val="28"/>
          <w:lang/>
        </w:rPr>
        <w:instrText xml:space="preserve"> </w:instrText>
      </w:r>
      <w:r>
        <w:rPr>
          <w:rFonts w:hint="eastAsia" w:ascii="楷体_GB2312" w:eastAsia="楷体_GB2312"/>
          <w:sz w:val="28"/>
          <w:szCs w:val="28"/>
          <w:lang/>
        </w:rPr>
        <w:fldChar w:fldCharType="separate"/>
      </w:r>
      <w:r>
        <w:rPr>
          <w:rStyle w:val="26"/>
          <w:rFonts w:hint="eastAsia" w:ascii="楷体_GB2312" w:hAnsi="宋体" w:eastAsia="楷体_GB2312"/>
          <w:b/>
          <w:snapToGrid w:val="0"/>
          <w:kern w:val="0"/>
          <w:sz w:val="28"/>
          <w:szCs w:val="28"/>
          <w:lang/>
        </w:rPr>
        <w:t>估价结果报告</w:t>
      </w:r>
      <w:r>
        <w:rPr>
          <w:rFonts w:hint="eastAsia" w:ascii="楷体_GB2312" w:eastAsia="楷体_GB2312"/>
          <w:sz w:val="28"/>
          <w:szCs w:val="28"/>
          <w:lang/>
        </w:rPr>
        <w:tab/>
      </w:r>
      <w:r>
        <w:rPr>
          <w:rFonts w:hint="eastAsia" w:ascii="楷体_GB2312" w:eastAsia="楷体_GB2312"/>
          <w:sz w:val="28"/>
          <w:szCs w:val="28"/>
          <w:lang/>
        </w:rPr>
        <w:t>4</w:t>
      </w:r>
      <w:r>
        <w:rPr>
          <w:rFonts w:hint="eastAsia" w:ascii="楷体_GB2312" w:eastAsia="楷体_GB2312"/>
          <w:sz w:val="28"/>
          <w:szCs w:val="28"/>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"_Toc438541043"</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一、估价委托人</w:t>
      </w:r>
      <w:r>
        <w:rPr>
          <w:rFonts w:hint="eastAsia" w:ascii="楷体_GB2312" w:eastAsia="楷体_GB2312"/>
          <w:sz w:val="24"/>
          <w:lang/>
        </w:rPr>
        <w:tab/>
      </w:r>
      <w:r>
        <w:rPr>
          <w:rFonts w:hint="eastAsia" w:ascii="楷体_GB2312" w:eastAsia="楷体_GB2312"/>
          <w:sz w:val="28"/>
          <w:szCs w:val="28"/>
          <w:lang/>
        </w:rPr>
        <w:t>4</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"_Toc438541044"</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二、房地产估价机构</w:t>
      </w:r>
      <w:r>
        <w:rPr>
          <w:rFonts w:hint="eastAsia" w:ascii="楷体_GB2312" w:eastAsia="楷体_GB2312"/>
          <w:sz w:val="24"/>
          <w:lang/>
        </w:rPr>
        <w:tab/>
      </w:r>
      <w:r>
        <w:rPr>
          <w:rFonts w:hint="eastAsia" w:ascii="楷体_GB2312" w:eastAsia="楷体_GB2312"/>
          <w:sz w:val="28"/>
          <w:szCs w:val="28"/>
          <w:lang/>
        </w:rPr>
        <w:t>4</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"_Toc438541045"</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三、估价目的</w:t>
      </w:r>
      <w:r>
        <w:rPr>
          <w:rFonts w:hint="eastAsia" w:ascii="楷体_GB2312" w:eastAsia="楷体_GB2312"/>
          <w:sz w:val="24"/>
          <w:lang/>
        </w:rPr>
        <w:tab/>
      </w:r>
      <w:r>
        <w:rPr>
          <w:rFonts w:hint="eastAsia" w:ascii="楷体_GB2312" w:eastAsia="楷体_GB2312"/>
          <w:sz w:val="28"/>
          <w:szCs w:val="28"/>
          <w:lang/>
        </w:rPr>
        <w:t>4</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"_Toc438541046"</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四、估价对象</w:t>
      </w:r>
      <w:r>
        <w:rPr>
          <w:rFonts w:hint="eastAsia" w:ascii="楷体_GB2312" w:eastAsia="楷体_GB2312"/>
          <w:sz w:val="24"/>
          <w:lang/>
        </w:rPr>
        <w:tab/>
      </w:r>
      <w:r>
        <w:rPr>
          <w:rFonts w:hint="eastAsia" w:ascii="楷体_GB2312" w:eastAsia="楷体_GB2312"/>
          <w:sz w:val="28"/>
          <w:szCs w:val="28"/>
          <w:lang/>
        </w:rPr>
        <w:t>4</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"_Toc438541047"</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bCs/>
          <w:snapToGrid w:val="0"/>
          <w:kern w:val="0"/>
          <w:sz w:val="24"/>
          <w:lang/>
        </w:rPr>
        <w:t>五、价值时点</w:t>
      </w:r>
      <w:r>
        <w:rPr>
          <w:rFonts w:hint="eastAsia" w:ascii="楷体_GB2312" w:eastAsia="楷体_GB2312"/>
          <w:sz w:val="24"/>
          <w:lang/>
        </w:rPr>
        <w:tab/>
      </w:r>
      <w:r>
        <w:rPr>
          <w:rFonts w:hint="eastAsia" w:ascii="楷体_GB2312" w:eastAsia="楷体_GB2312"/>
          <w:sz w:val="28"/>
          <w:szCs w:val="28"/>
          <w:lang/>
        </w:rPr>
        <w:t>5</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"_Toc438541048"</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bCs/>
          <w:snapToGrid w:val="0"/>
          <w:kern w:val="0"/>
          <w:sz w:val="24"/>
          <w:lang/>
        </w:rPr>
        <w:t>六、价值类型</w:t>
      </w:r>
      <w:r>
        <w:rPr>
          <w:rFonts w:hint="eastAsia" w:ascii="楷体_GB2312" w:eastAsia="楷体_GB2312"/>
          <w:sz w:val="24"/>
          <w:lang/>
        </w:rPr>
        <w:tab/>
      </w:r>
      <w:r>
        <w:rPr>
          <w:rFonts w:hint="eastAsia" w:ascii="楷体_GB2312" w:eastAsia="楷体_GB2312"/>
          <w:sz w:val="28"/>
          <w:szCs w:val="28"/>
          <w:lang/>
        </w:rPr>
        <w:t>5</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"_Toc438541049"</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七、估价原则</w:t>
      </w:r>
      <w:r>
        <w:rPr>
          <w:rFonts w:hint="eastAsia" w:ascii="楷体_GB2312" w:eastAsia="楷体_GB2312"/>
          <w:sz w:val="24"/>
          <w:lang/>
        </w:rPr>
        <w:tab/>
      </w:r>
      <w:r>
        <w:rPr>
          <w:rFonts w:hint="eastAsia" w:ascii="楷体_GB2312" w:eastAsia="楷体_GB2312"/>
          <w:sz w:val="28"/>
          <w:szCs w:val="28"/>
          <w:lang/>
        </w:rPr>
        <w:t>5</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"_Toc438541050"</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八、估价依据</w:t>
      </w:r>
      <w:r>
        <w:rPr>
          <w:rFonts w:hint="eastAsia" w:ascii="楷体_GB2312" w:eastAsia="楷体_GB2312"/>
          <w:sz w:val="24"/>
          <w:lang/>
        </w:rPr>
        <w:tab/>
      </w:r>
      <w:r>
        <w:rPr>
          <w:rFonts w:hint="eastAsia" w:ascii="楷体_GB2312" w:eastAsia="楷体_GB2312"/>
          <w:sz w:val="28"/>
          <w:szCs w:val="28"/>
          <w:lang/>
        </w:rPr>
        <w:t>7</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"_Toc438541051"</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九、估价方法</w:t>
      </w:r>
      <w:r>
        <w:rPr>
          <w:rFonts w:hint="eastAsia" w:ascii="楷体_GB2312" w:eastAsia="楷体_GB2312"/>
          <w:sz w:val="24"/>
          <w:lang/>
        </w:rPr>
        <w:tab/>
      </w:r>
      <w:r>
        <w:rPr>
          <w:rFonts w:hint="eastAsia" w:ascii="楷体_GB2312" w:eastAsia="楷体_GB2312"/>
          <w:sz w:val="28"/>
          <w:szCs w:val="28"/>
          <w:lang/>
        </w:rPr>
        <w:t>8</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"_Toc438541052"</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十、估价结果</w:t>
      </w:r>
      <w:r>
        <w:rPr>
          <w:rFonts w:hint="eastAsia" w:ascii="楷体_GB2312" w:eastAsia="楷体_GB2312"/>
          <w:sz w:val="24"/>
          <w:lang/>
        </w:rPr>
        <w:tab/>
      </w:r>
      <w:r>
        <w:rPr>
          <w:rFonts w:hint="eastAsia" w:ascii="楷体_GB2312" w:eastAsia="楷体_GB2312"/>
          <w:sz w:val="28"/>
          <w:szCs w:val="28"/>
          <w:lang/>
        </w:rPr>
        <w:t>8</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"_Toc438541053"</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十一、注册房地产估价师</w:t>
      </w:r>
      <w:r>
        <w:rPr>
          <w:rFonts w:hint="eastAsia" w:ascii="楷体_GB2312" w:eastAsia="楷体_GB2312"/>
          <w:sz w:val="24"/>
          <w:lang/>
        </w:rPr>
        <w:tab/>
      </w:r>
      <w:r>
        <w:rPr>
          <w:rFonts w:hint="eastAsia" w:ascii="楷体_GB2312" w:eastAsia="楷体_GB2312"/>
          <w:sz w:val="28"/>
          <w:szCs w:val="28"/>
          <w:lang/>
        </w:rPr>
        <w:t>9</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"_Toc438541054"</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十二、实地查勘期</w:t>
      </w:r>
      <w:r>
        <w:rPr>
          <w:rFonts w:hint="eastAsia" w:ascii="楷体_GB2312" w:eastAsia="楷体_GB2312"/>
          <w:sz w:val="24"/>
          <w:lang/>
        </w:rPr>
        <w:tab/>
      </w:r>
      <w:r>
        <w:rPr>
          <w:rFonts w:hint="eastAsia" w:ascii="楷体_GB2312" w:eastAsia="楷体_GB2312"/>
          <w:sz w:val="28"/>
          <w:szCs w:val="28"/>
          <w:lang/>
        </w:rPr>
        <w:t>9</w:t>
      </w:r>
      <w:r>
        <w:rPr>
          <w:rFonts w:hint="eastAsia" w:ascii="楷体_GB2312" w:eastAsia="楷体_GB2312"/>
          <w:sz w:val="24"/>
          <w:lang/>
        </w:rPr>
        <w:fldChar w:fldCharType="end"/>
      </w:r>
    </w:p>
    <w:p>
      <w:pPr>
        <w:pStyle w:val="17"/>
        <w:tabs>
          <w:tab w:val="right" w:leader="dot" w:pos="9060"/>
        </w:tabs>
        <w:spacing w:line="420" w:lineRule="exact"/>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"_Toc438541055"</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lang/>
        </w:rPr>
        <w:t>十三、估价作业日期</w:t>
      </w:r>
      <w:r>
        <w:rPr>
          <w:rFonts w:hint="eastAsia" w:ascii="楷体_GB2312" w:eastAsia="楷体_GB2312"/>
          <w:sz w:val="24"/>
          <w:lang/>
        </w:rPr>
        <w:tab/>
      </w:r>
      <w:r>
        <w:rPr>
          <w:rFonts w:hint="eastAsia" w:ascii="楷体_GB2312" w:eastAsia="楷体_GB2312"/>
          <w:sz w:val="28"/>
          <w:szCs w:val="28"/>
          <w:lang/>
        </w:rPr>
        <w:t>9</w:t>
      </w:r>
      <w:r>
        <w:rPr>
          <w:rFonts w:hint="eastAsia" w:ascii="楷体_GB2312" w:eastAsia="楷体_GB2312"/>
          <w:sz w:val="24"/>
          <w:lang/>
        </w:rPr>
        <w:fldChar w:fldCharType="end"/>
      </w:r>
    </w:p>
    <w:p>
      <w:pPr>
        <w:pStyle w:val="15"/>
        <w:tabs>
          <w:tab w:val="right" w:leader="dot" w:pos="9060"/>
        </w:tabs>
        <w:rPr>
          <w:rFonts w:hint="eastAsia" w:ascii="楷体_GB2312" w:eastAsia="楷体_GB2312"/>
          <w:sz w:val="28"/>
          <w:szCs w:val="28"/>
          <w:lang/>
        </w:rPr>
      </w:pPr>
      <w:r>
        <w:rPr>
          <w:rFonts w:hint="eastAsia" w:ascii="楷体_GB2312" w:eastAsia="楷体_GB2312"/>
          <w:sz w:val="28"/>
          <w:szCs w:val="28"/>
          <w:lang/>
        </w:rPr>
        <w:fldChar w:fldCharType="begin"/>
      </w:r>
      <w:r>
        <w:rPr>
          <w:rStyle w:val="26"/>
          <w:rFonts w:hint="eastAsia" w:ascii="楷体_GB2312" w:eastAsia="楷体_GB2312"/>
          <w:sz w:val="28"/>
          <w:szCs w:val="28"/>
          <w:lang/>
        </w:rPr>
        <w:instrText xml:space="preserve"> </w:instrText>
      </w:r>
      <w:r>
        <w:rPr>
          <w:rFonts w:hint="eastAsia" w:ascii="楷体_GB2312" w:eastAsia="楷体_GB2312"/>
          <w:sz w:val="28"/>
          <w:szCs w:val="28"/>
          <w:lang/>
        </w:rPr>
        <w:instrText xml:space="preserve">HYPERLINK \l "_Toc438541063"</w:instrText>
      </w:r>
      <w:r>
        <w:rPr>
          <w:rStyle w:val="26"/>
          <w:rFonts w:hint="eastAsia" w:ascii="楷体_GB2312" w:eastAsia="楷体_GB2312"/>
          <w:sz w:val="28"/>
          <w:szCs w:val="28"/>
          <w:lang/>
        </w:rPr>
        <w:instrText xml:space="preserve"> </w:instrText>
      </w:r>
      <w:r>
        <w:rPr>
          <w:rFonts w:hint="eastAsia" w:ascii="楷体_GB2312" w:eastAsia="楷体_GB2312"/>
          <w:sz w:val="28"/>
          <w:szCs w:val="28"/>
          <w:lang/>
        </w:rPr>
        <w:fldChar w:fldCharType="separate"/>
      </w:r>
      <w:r>
        <w:rPr>
          <w:rStyle w:val="26"/>
          <w:rFonts w:hint="eastAsia" w:ascii="楷体_GB2312" w:hAnsi="宋体" w:eastAsia="楷体_GB2312"/>
          <w:b/>
          <w:snapToGrid w:val="0"/>
          <w:kern w:val="0"/>
          <w:sz w:val="28"/>
          <w:szCs w:val="28"/>
          <w:lang/>
        </w:rPr>
        <w:t>附件</w:t>
      </w:r>
      <w:r>
        <w:rPr>
          <w:rFonts w:hint="eastAsia" w:ascii="楷体_GB2312" w:eastAsia="楷体_GB2312"/>
          <w:sz w:val="28"/>
          <w:szCs w:val="28"/>
          <w:lang/>
        </w:rPr>
        <w:tab/>
      </w:r>
      <w:r>
        <w:rPr>
          <w:rFonts w:hint="eastAsia" w:ascii="楷体_GB2312" w:eastAsia="楷体_GB2312"/>
          <w:sz w:val="28"/>
          <w:szCs w:val="28"/>
          <w:lang/>
        </w:rPr>
        <w:t>10</w:t>
      </w:r>
      <w:r>
        <w:rPr>
          <w:rFonts w:hint="eastAsia" w:ascii="楷体_GB2312" w:eastAsia="楷体_GB2312"/>
          <w:sz w:val="28"/>
          <w:szCs w:val="28"/>
          <w:lang/>
        </w:rPr>
        <w:fldChar w:fldCharType="end"/>
      </w:r>
    </w:p>
    <w:p>
      <w:pPr>
        <w:pStyle w:val="17"/>
        <w:tabs>
          <w:tab w:val="right" w:leader="dot" w:pos="9060"/>
        </w:tabs>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"_Toc438541064"</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rPr>
        <w:t>1</w:t>
      </w:r>
      <w:r>
        <w:rPr>
          <w:rStyle w:val="26"/>
          <w:rFonts w:hint="eastAsia" w:ascii="楷体_GB2312" w:hAnsi="仿宋" w:eastAsia="楷体_GB2312"/>
          <w:snapToGrid w:val="0"/>
          <w:kern w:val="0"/>
          <w:sz w:val="24"/>
          <w:lang/>
        </w:rPr>
        <w:t>、估价委托书复印件</w:t>
      </w:r>
      <w:r>
        <w:rPr>
          <w:rFonts w:hint="eastAsia" w:ascii="楷体_GB2312" w:eastAsia="楷体_GB2312"/>
          <w:sz w:val="24"/>
          <w:lang/>
        </w:rPr>
        <w:fldChar w:fldCharType="end"/>
      </w:r>
    </w:p>
    <w:p>
      <w:pPr>
        <w:pStyle w:val="17"/>
        <w:tabs>
          <w:tab w:val="right" w:leader="dot" w:pos="9060"/>
        </w:tabs>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"_Toc438541065"</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rPr>
        <w:t>2</w:t>
      </w:r>
      <w:r>
        <w:rPr>
          <w:rStyle w:val="26"/>
          <w:rFonts w:hint="eastAsia" w:ascii="楷体_GB2312" w:hAnsi="仿宋" w:eastAsia="楷体_GB2312"/>
          <w:snapToGrid w:val="0"/>
          <w:kern w:val="0"/>
          <w:sz w:val="24"/>
          <w:lang/>
        </w:rPr>
        <w:t>、估价对象位置图</w:t>
      </w:r>
      <w:r>
        <w:rPr>
          <w:rFonts w:hint="eastAsia" w:ascii="楷体_GB2312" w:eastAsia="楷体_GB2312"/>
          <w:sz w:val="24"/>
          <w:lang/>
        </w:rPr>
        <w:fldChar w:fldCharType="end"/>
      </w:r>
    </w:p>
    <w:p>
      <w:pPr>
        <w:pStyle w:val="17"/>
        <w:tabs>
          <w:tab w:val="right" w:leader="dot" w:pos="9060"/>
        </w:tabs>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"_Toc438541066"</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rPr>
        <w:t>3</w:t>
      </w:r>
      <w:r>
        <w:rPr>
          <w:rStyle w:val="26"/>
          <w:rFonts w:hint="eastAsia" w:ascii="楷体_GB2312" w:hAnsi="仿宋" w:eastAsia="楷体_GB2312"/>
          <w:snapToGrid w:val="0"/>
          <w:kern w:val="0"/>
          <w:sz w:val="24"/>
          <w:lang/>
        </w:rPr>
        <w:t>、估价对象实地查勘情况和相关照片</w:t>
      </w:r>
      <w:r>
        <w:rPr>
          <w:rFonts w:hint="eastAsia" w:ascii="楷体_GB2312" w:eastAsia="楷体_GB2312"/>
          <w:sz w:val="24"/>
          <w:lang/>
        </w:rPr>
        <w:fldChar w:fldCharType="end"/>
      </w:r>
    </w:p>
    <w:p>
      <w:pPr>
        <w:pStyle w:val="17"/>
        <w:tabs>
          <w:tab w:val="right" w:leader="dot" w:pos="9060"/>
        </w:tabs>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"_Toc438541067"</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rPr>
        <w:t>4</w:t>
      </w:r>
      <w:r>
        <w:rPr>
          <w:rStyle w:val="26"/>
          <w:rFonts w:hint="eastAsia" w:ascii="楷体_GB2312" w:hAnsi="仿宋" w:eastAsia="楷体_GB2312"/>
          <w:snapToGrid w:val="0"/>
          <w:kern w:val="0"/>
          <w:sz w:val="24"/>
          <w:lang/>
        </w:rPr>
        <w:t>、估价对象权属证明复印件</w:t>
      </w:r>
      <w:r>
        <w:rPr>
          <w:rFonts w:hint="eastAsia" w:ascii="楷体_GB2312" w:eastAsia="楷体_GB2312"/>
          <w:sz w:val="24"/>
          <w:lang/>
        </w:rPr>
        <w:fldChar w:fldCharType="end"/>
      </w:r>
    </w:p>
    <w:p>
      <w:pPr>
        <w:pStyle w:val="17"/>
        <w:tabs>
          <w:tab w:val="right" w:leader="dot" w:pos="9060"/>
        </w:tabs>
        <w:rPr>
          <w:rFonts w:hint="eastAsia" w:ascii="楷体_GB2312" w:eastAsia="楷体_GB2312"/>
          <w:sz w:val="24"/>
          <w:lang/>
        </w:rPr>
      </w:pPr>
      <w:r>
        <w:rPr>
          <w:rFonts w:hint="eastAsia" w:ascii="楷体_GB2312" w:eastAsia="楷体_GB2312"/>
          <w:sz w:val="24"/>
          <w:lang/>
        </w:rPr>
        <w:fldChar w:fldCharType="begin"/>
      </w:r>
      <w:r>
        <w:rPr>
          <w:rStyle w:val="26"/>
          <w:rFonts w:hint="eastAsia" w:ascii="楷体_GB2312" w:eastAsia="楷体_GB2312"/>
          <w:sz w:val="24"/>
          <w:lang/>
        </w:rPr>
        <w:instrText xml:space="preserve"> </w:instrText>
      </w:r>
      <w:r>
        <w:rPr>
          <w:rFonts w:hint="eastAsia" w:ascii="楷体_GB2312" w:eastAsia="楷体_GB2312"/>
          <w:sz w:val="24"/>
          <w:lang/>
        </w:rPr>
        <w:instrText xml:space="preserve">HYPERLINK \l "_Toc438541068"</w:instrText>
      </w:r>
      <w:r>
        <w:rPr>
          <w:rStyle w:val="26"/>
          <w:rFonts w:hint="eastAsia" w:ascii="楷体_GB2312" w:eastAsia="楷体_GB2312"/>
          <w:sz w:val="24"/>
          <w:lang/>
        </w:rPr>
        <w:instrText xml:space="preserve"> </w:instrText>
      </w:r>
      <w:r>
        <w:rPr>
          <w:rFonts w:hint="eastAsia" w:ascii="楷体_GB2312" w:eastAsia="楷体_GB2312"/>
          <w:sz w:val="24"/>
          <w:lang/>
        </w:rPr>
        <w:fldChar w:fldCharType="separate"/>
      </w:r>
      <w:r>
        <w:rPr>
          <w:rStyle w:val="26"/>
          <w:rFonts w:hint="eastAsia" w:ascii="楷体_GB2312" w:hAnsi="仿宋" w:eastAsia="楷体_GB2312"/>
          <w:snapToGrid w:val="0"/>
          <w:kern w:val="0"/>
          <w:sz w:val="24"/>
        </w:rPr>
        <w:t>5</w:t>
      </w:r>
      <w:r>
        <w:rPr>
          <w:rStyle w:val="26"/>
          <w:rFonts w:hint="eastAsia" w:ascii="楷体_GB2312" w:hAnsi="仿宋" w:eastAsia="楷体_GB2312"/>
          <w:snapToGrid w:val="0"/>
          <w:kern w:val="0"/>
          <w:sz w:val="24"/>
          <w:lang/>
        </w:rPr>
        <w:t>、房地产估价机构营业执照复印件</w:t>
      </w:r>
      <w:r>
        <w:rPr>
          <w:rFonts w:hint="eastAsia" w:ascii="楷体_GB2312" w:eastAsia="楷体_GB2312"/>
          <w:sz w:val="24"/>
          <w:lang/>
        </w:rPr>
        <w:fldChar w:fldCharType="end"/>
      </w:r>
    </w:p>
    <w:p>
      <w:pPr>
        <w:ind w:firstLine="480" w:firstLineChars="200"/>
        <w:rPr>
          <w:rFonts w:hint="eastAsia"/>
          <w:lang/>
        </w:rPr>
      </w:pPr>
      <w:r>
        <w:rPr>
          <w:rStyle w:val="26"/>
          <w:rFonts w:hint="eastAsia" w:ascii="楷体_GB2312" w:hAnsi="仿宋" w:eastAsia="楷体_GB2312"/>
          <w:snapToGrid w:val="0"/>
          <w:color w:val="auto"/>
          <w:kern w:val="0"/>
          <w:sz w:val="24"/>
          <w:u w:val="none"/>
          <w:lang/>
        </w:rPr>
        <w:t>6、房地产估价机构资质证书复印件</w:t>
      </w:r>
    </w:p>
    <w:p>
      <w:pPr>
        <w:pStyle w:val="17"/>
        <w:tabs>
          <w:tab w:val="right" w:leader="dot" w:pos="9060"/>
        </w:tabs>
        <w:rPr>
          <w:rFonts w:hint="eastAsia" w:ascii="楷体_GB2312" w:eastAsia="楷体_GB2312"/>
          <w:sz w:val="24"/>
          <w:lang/>
        </w:rPr>
      </w:pPr>
      <w:r>
        <w:rPr>
          <w:rFonts w:hint="eastAsia"/>
          <w:lang/>
        </w:rPr>
        <w:fldChar w:fldCharType="begin"/>
      </w:r>
      <w:r>
        <w:rPr>
          <w:rStyle w:val="26"/>
          <w:rFonts w:hint="eastAsia" w:ascii="楷体_GB2312" w:eastAsia="楷体_GB2312"/>
          <w:sz w:val="24"/>
          <w:lang/>
        </w:rPr>
        <w:instrText xml:space="preserve"> </w:instrText>
      </w:r>
      <w:r>
        <w:rPr>
          <w:rFonts w:hint="eastAsia"/>
          <w:lang/>
        </w:rPr>
        <w:instrText xml:space="preserve">HYPERLINK \l "_Toc438541069"</w:instrText>
      </w:r>
      <w:r>
        <w:rPr>
          <w:rStyle w:val="26"/>
          <w:rFonts w:hint="eastAsia" w:ascii="楷体_GB2312" w:eastAsia="楷体_GB2312"/>
          <w:sz w:val="24"/>
          <w:lang/>
        </w:rPr>
        <w:instrText xml:space="preserve"> </w:instrText>
      </w:r>
      <w:r>
        <w:rPr>
          <w:rFonts w:hint="eastAsia"/>
          <w:lang/>
        </w:rPr>
        <w:fldChar w:fldCharType="separate"/>
      </w:r>
      <w:r>
        <w:rPr>
          <w:rStyle w:val="26"/>
          <w:rFonts w:hint="eastAsia" w:ascii="楷体_GB2312" w:hAnsi="仿宋" w:eastAsia="楷体_GB2312"/>
          <w:snapToGrid w:val="0"/>
          <w:kern w:val="0"/>
          <w:sz w:val="24"/>
        </w:rPr>
        <w:t>7</w:t>
      </w:r>
      <w:r>
        <w:rPr>
          <w:rStyle w:val="26"/>
          <w:rFonts w:hint="eastAsia" w:ascii="楷体_GB2312" w:hAnsi="仿宋" w:eastAsia="楷体_GB2312"/>
          <w:snapToGrid w:val="0"/>
          <w:kern w:val="0"/>
          <w:sz w:val="24"/>
          <w:lang/>
        </w:rPr>
        <w:t>、注册房地产估价师估价资格证书</w:t>
      </w:r>
      <w:r>
        <w:rPr>
          <w:rFonts w:hint="eastAsia"/>
          <w:lang/>
        </w:rPr>
        <w:fldChar w:fldCharType="end"/>
      </w:r>
    </w:p>
    <w:p>
      <w:pPr>
        <w:pStyle w:val="17"/>
        <w:tabs>
          <w:tab w:val="right" w:leader="dot" w:pos="9060"/>
        </w:tabs>
        <w:rPr>
          <w:rFonts w:hAnsi="楷体"/>
          <w:sz w:val="28"/>
          <w:szCs w:val="28"/>
        </w:rPr>
        <w:sectPr>
          <w:headerReference r:id="rId11" w:type="default"/>
          <w:footerReference r:id="rId12" w:type="default"/>
          <w:pgSz w:w="11906" w:h="16838"/>
          <w:pgMar w:top="1676" w:right="1304" w:bottom="1304" w:left="1304" w:header="851" w:footer="992" w:gutter="0"/>
          <w:pgNumType w:start="1"/>
          <w:cols w:space="720" w:num="1"/>
          <w:docGrid w:linePitch="312" w:charSpace="0"/>
        </w:sectPr>
      </w:pPr>
      <w:r>
        <w:rPr>
          <w:rFonts w:hint="eastAsia"/>
          <w:lang/>
        </w:rPr>
        <w:fldChar w:fldCharType="begin"/>
      </w:r>
      <w:r>
        <w:rPr>
          <w:rStyle w:val="26"/>
          <w:rFonts w:hint="eastAsia" w:ascii="楷体_GB2312" w:eastAsia="楷体_GB2312"/>
          <w:sz w:val="24"/>
          <w:lang/>
        </w:rPr>
        <w:instrText xml:space="preserve"> </w:instrText>
      </w:r>
      <w:r>
        <w:rPr>
          <w:rFonts w:hint="eastAsia"/>
          <w:lang/>
        </w:rPr>
        <w:instrText xml:space="preserve">HYPERLINK \l "_Toc438541069"</w:instrText>
      </w:r>
      <w:r>
        <w:rPr>
          <w:rStyle w:val="26"/>
          <w:rFonts w:hint="eastAsia" w:ascii="楷体_GB2312" w:eastAsia="楷体_GB2312"/>
          <w:sz w:val="24"/>
          <w:lang/>
        </w:rPr>
        <w:instrText xml:space="preserve"> </w:instrText>
      </w:r>
      <w:r>
        <w:rPr>
          <w:rFonts w:hint="eastAsia"/>
          <w:lang/>
        </w:rPr>
        <w:fldChar w:fldCharType="separate"/>
      </w:r>
      <w:r>
        <w:rPr>
          <w:rFonts w:hint="eastAsia"/>
          <w:lang/>
        </w:rPr>
        <w:fldChar w:fldCharType="end"/>
      </w:r>
      <w:r>
        <w:rPr>
          <w:rFonts w:hint="eastAsia" w:hAnsi="楷体"/>
          <w:sz w:val="28"/>
          <w:szCs w:val="28"/>
        </w:rPr>
        <w:fldChar w:fldCharType="end"/>
      </w:r>
    </w:p>
    <w:p>
      <w:pPr>
        <w:adjustRightInd w:val="0"/>
        <w:snapToGrid w:val="0"/>
        <w:spacing w:line="360" w:lineRule="auto"/>
        <w:jc w:val="center"/>
        <w:outlineLvl w:val="0"/>
        <w:rPr>
          <w:rFonts w:hint="eastAsia" w:ascii="仿宋_GB2312" w:hAnsi="宋体" w:eastAsia="仿宋_GB2312"/>
          <w:b/>
          <w:snapToGrid w:val="0"/>
          <w:kern w:val="0"/>
          <w:sz w:val="32"/>
          <w:szCs w:val="32"/>
        </w:rPr>
      </w:pPr>
      <w:r>
        <w:rPr>
          <w:rFonts w:hint="eastAsia" w:ascii="仿宋_GB2312" w:hAnsi="宋体" w:eastAsia="仿宋_GB2312"/>
          <w:b/>
          <w:snapToGrid w:val="0"/>
          <w:kern w:val="0"/>
          <w:sz w:val="32"/>
          <w:szCs w:val="32"/>
        </w:rPr>
        <w:t>估价师声明</w:t>
      </w:r>
    </w:p>
    <w:p>
      <w:pPr>
        <w:adjustRightInd w:val="0"/>
        <w:snapToGrid w:val="0"/>
        <w:spacing w:line="360" w:lineRule="auto"/>
        <w:ind w:firstLine="560" w:firstLineChars="200"/>
        <w:rPr>
          <w:rFonts w:ascii="仿宋_GB2312" w:eastAsia="仿宋_GB2312"/>
          <w:snapToGrid w:val="0"/>
          <w:kern w:val="0"/>
          <w:sz w:val="28"/>
          <w:szCs w:val="20"/>
        </w:rPr>
      </w:pPr>
      <w:r>
        <w:rPr>
          <w:rFonts w:hint="eastAsia" w:ascii="仿宋_GB2312" w:eastAsia="仿宋_GB2312"/>
          <w:snapToGrid w:val="0"/>
          <w:kern w:val="0"/>
          <w:sz w:val="28"/>
          <w:szCs w:val="20"/>
        </w:rPr>
        <w:t>我们郑重声明：</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1、注册房地产估价师在估价报告中对事实的说明是真实和准确的，没有虚假记载、误导性陈述和重大遗漏。</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2、估价报告中的分析、意见和结论是注册房地产估价师独立、客观、公正的专业分析、意见和结论，但受到估价报告中已说明的假设和限制条件的限制。</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3、注册房地产估价师与估价报告中的估价对象没有现实或潜在的利益，与估价委托人及估价利害人没有利害关系，也对估价对象、估价委托人及估价利害关系人没有偏见。</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4、注册房地产估价师是按照中华人民共和国国家标准《房地产估价基本术语标准》(GB/T50899－2013)和《房地产估价规范》(GB/T50291－2015)的规定进行估价工作，撰写估价报告。</w:t>
      </w:r>
    </w:p>
    <w:p>
      <w:pPr>
        <w:adjustRightInd w:val="0"/>
        <w:snapToGrid w:val="0"/>
        <w:spacing w:line="440" w:lineRule="exact"/>
        <w:ind w:left="630" w:hanging="630" w:hangingChars="225"/>
        <w:jc w:val="center"/>
        <w:rPr>
          <w:rFonts w:hint="eastAsia" w:ascii="宋体"/>
          <w:b/>
          <w:bCs/>
          <w:spacing w:val="20"/>
          <w:sz w:val="32"/>
        </w:rPr>
      </w:pPr>
      <w:r>
        <w:rPr>
          <w:rFonts w:hint="eastAsia" w:ascii="仿宋_GB2312" w:eastAsia="仿宋_GB2312"/>
          <w:snapToGrid w:val="0"/>
          <w:kern w:val="0"/>
          <w:sz w:val="28"/>
          <w:szCs w:val="20"/>
        </w:rPr>
        <w:t>5、注册房地产估价师已对本估价报告的估价对象进行了实地查勘。</w:t>
      </w:r>
      <w:r>
        <w:rPr>
          <w:rFonts w:ascii="仿宋_GB2312" w:hAnsi="宋体" w:eastAsia="仿宋_GB2312"/>
          <w:snapToGrid w:val="0"/>
          <w:kern w:val="0"/>
          <w:sz w:val="28"/>
          <w:szCs w:val="28"/>
        </w:rPr>
        <w:br w:type="page"/>
      </w:r>
      <w:r>
        <w:rPr>
          <w:rFonts w:hint="eastAsia" w:ascii="宋体"/>
          <w:b/>
          <w:bCs/>
          <w:spacing w:val="20"/>
          <w:sz w:val="32"/>
        </w:rPr>
        <w:t>估价假设和限制条件</w:t>
      </w:r>
    </w:p>
    <w:p>
      <w:pPr>
        <w:adjustRightInd w:val="0"/>
        <w:snapToGrid w:val="0"/>
        <w:spacing w:line="360" w:lineRule="auto"/>
        <w:ind w:firstLine="620"/>
        <w:jc w:val="left"/>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1、一般假设</w:t>
      </w:r>
    </w:p>
    <w:p>
      <w:pPr>
        <w:adjustRightInd w:val="0"/>
        <w:snapToGrid w:val="0"/>
        <w:spacing w:line="360" w:lineRule="auto"/>
        <w:ind w:firstLine="560" w:firstLineChars="200"/>
        <w:rPr>
          <w:rFonts w:ascii="仿宋_GB2312" w:eastAsia="仿宋_GB2312"/>
          <w:snapToGrid w:val="0"/>
          <w:kern w:val="0"/>
          <w:sz w:val="28"/>
          <w:szCs w:val="20"/>
        </w:rPr>
      </w:pPr>
      <w:r>
        <w:rPr>
          <w:rFonts w:hint="eastAsia" w:ascii="仿宋_GB2312" w:eastAsia="仿宋_GB2312"/>
          <w:snapToGrid w:val="0"/>
          <w:kern w:val="0"/>
          <w:sz w:val="28"/>
          <w:szCs w:val="20"/>
        </w:rPr>
        <w:t>（1）本次估价所依据的估价对象权属、面积、用途等资料，以委托估价人提供的《南昌县不动产（房屋)权属信息查询结果》</w:t>
      </w:r>
      <w:r>
        <w:rPr>
          <w:rFonts w:hint="eastAsia" w:ascii="仿宋_GB2312" w:hAnsi="宋体" w:eastAsia="仿宋_GB2312"/>
          <w:snapToGrid w:val="0"/>
          <w:kern w:val="0"/>
          <w:sz w:val="28"/>
          <w:szCs w:val="28"/>
        </w:rPr>
        <w:t>复印件为依据</w:t>
      </w:r>
      <w:r>
        <w:rPr>
          <w:rFonts w:hint="eastAsia" w:ascii="仿宋_GB2312" w:eastAsia="仿宋_GB2312"/>
          <w:snapToGrid w:val="0"/>
          <w:kern w:val="0"/>
          <w:sz w:val="28"/>
          <w:szCs w:val="20"/>
        </w:rPr>
        <w:t>，</w:t>
      </w:r>
      <w:r>
        <w:rPr>
          <w:rFonts w:hint="eastAsia" w:ascii="仿宋_GB2312" w:hAnsi="Bookman Old Style" w:eastAsia="仿宋_GB2312"/>
          <w:snapToGrid w:val="0"/>
          <w:kern w:val="0"/>
          <w:sz w:val="28"/>
          <w:szCs w:val="28"/>
        </w:rPr>
        <w:t>估价师未对相关资料进行审核，在无理由怀疑其合法性、真实性、准确性和完整性且未予以核实的情况下，此次评估估价对象的权属、面积、用途等资料以</w:t>
      </w:r>
      <w:r>
        <w:rPr>
          <w:rFonts w:hint="eastAsia" w:ascii="仿宋_GB2312" w:hAnsi="宋体" w:eastAsia="仿宋_GB2312"/>
          <w:snapToGrid w:val="0"/>
          <w:kern w:val="0"/>
          <w:sz w:val="28"/>
          <w:szCs w:val="28"/>
        </w:rPr>
        <w:t>委托方提供的</w:t>
      </w:r>
      <w:r>
        <w:rPr>
          <w:rFonts w:hint="eastAsia" w:ascii="仿宋_GB2312" w:eastAsia="仿宋_GB2312"/>
          <w:snapToGrid w:val="0"/>
          <w:kern w:val="0"/>
          <w:sz w:val="28"/>
          <w:szCs w:val="20"/>
        </w:rPr>
        <w:t>《南昌县不动产（房屋)权属信息查询结果》</w:t>
      </w:r>
      <w:r>
        <w:rPr>
          <w:rFonts w:hint="eastAsia" w:ascii="仿宋_GB2312" w:hAnsi="宋体" w:eastAsia="仿宋_GB2312"/>
          <w:snapToGrid w:val="0"/>
          <w:kern w:val="0"/>
          <w:sz w:val="28"/>
          <w:szCs w:val="28"/>
        </w:rPr>
        <w:t>复印件</w:t>
      </w:r>
      <w:r>
        <w:rPr>
          <w:rFonts w:hint="eastAsia" w:ascii="仿宋_GB2312" w:hAnsi="Bookman Old Style" w:eastAsia="仿宋_GB2312"/>
          <w:snapToGrid w:val="0"/>
          <w:kern w:val="0"/>
          <w:sz w:val="28"/>
          <w:szCs w:val="28"/>
        </w:rPr>
        <w:t>为准</w:t>
      </w:r>
      <w:r>
        <w:rPr>
          <w:rFonts w:hint="eastAsia" w:ascii="仿宋_GB2312" w:eastAsia="仿宋_GB2312"/>
          <w:snapToGrid w:val="0"/>
          <w:kern w:val="0"/>
          <w:sz w:val="28"/>
          <w:szCs w:val="20"/>
        </w:rPr>
        <w:t>。</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（2）</w:t>
      </w:r>
      <w:r>
        <w:rPr>
          <w:rFonts w:hint="eastAsia" w:ascii="仿宋_GB2312" w:hAnsi="宋体" w:eastAsia="仿宋_GB2312"/>
          <w:snapToGrid w:val="0"/>
          <w:kern w:val="0"/>
          <w:sz w:val="28"/>
          <w:szCs w:val="28"/>
        </w:rPr>
        <w:t>估价人员不具备对估价对象工程质量、房屋安全、优劣情况进行判断的资格，因此估价师对估价对象物业仅作一般性的查勘。估价师对估价对的结构、装饰及设施等内在质量、房屋安全、环境污染等可能影响估价对象价值或价格的重大因素给予了关注，但由于实地查勘仅限于其表面特征，在无相应的专业机构进行鉴定、检测的情况下，不能确定估价对象建筑结构、设备、房屋安全以及环境污染等的内在质量及其他隐蔽部分是否存在缺陷或安全隐患。因此，在无理由怀疑估价对象存在安全隐患且无相应专业机构进行鉴定、检测的情况下，本次估价假设估价对象的工程质量达到国家建筑施工验收规范规定的合格标准，且无建筑结构、设备、房屋安全以及环境污染等的内在质量缺陷或安全隐患。</w:t>
      </w:r>
    </w:p>
    <w:p>
      <w:pPr>
        <w:adjustRightInd w:val="0"/>
        <w:snapToGrid w:val="0"/>
        <w:spacing w:line="360" w:lineRule="auto"/>
        <w:ind w:firstLine="620"/>
        <w:jc w:val="left"/>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2、未定事项假设</w:t>
      </w:r>
    </w:p>
    <w:p>
      <w:pPr>
        <w:adjustRightInd w:val="0"/>
        <w:snapToGrid w:val="0"/>
        <w:spacing w:line="360" w:lineRule="auto"/>
        <w:ind w:firstLine="560" w:firstLineChars="200"/>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本次估价对象无未定事项，无未定事项假设。</w:t>
      </w:r>
    </w:p>
    <w:p>
      <w:pPr>
        <w:adjustRightInd w:val="0"/>
        <w:snapToGrid w:val="0"/>
        <w:spacing w:line="360" w:lineRule="auto"/>
        <w:ind w:firstLine="562" w:firstLineChars="200"/>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3、背离事实假设</w:t>
      </w:r>
    </w:p>
    <w:p>
      <w:pPr>
        <w:adjustRightInd w:val="0"/>
        <w:snapToGrid w:val="0"/>
        <w:spacing w:line="360" w:lineRule="auto"/>
        <w:ind w:firstLine="620"/>
        <w:jc w:val="left"/>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估价对象于价值时点</w:t>
      </w:r>
      <w:r>
        <w:rPr>
          <w:rFonts w:hint="eastAsia" w:ascii="仿宋_GB2312" w:hAnsi="仿宋" w:eastAsia="仿宋_GB2312"/>
          <w:snapToGrid w:val="0"/>
          <w:kern w:val="0"/>
          <w:sz w:val="28"/>
          <w:szCs w:val="28"/>
        </w:rPr>
        <w:t>被南昌市红谷滩区人民法院查封，</w:t>
      </w:r>
      <w:r>
        <w:rPr>
          <w:rFonts w:hint="eastAsia" w:ascii="仿宋_GB2312" w:eastAsia="仿宋_GB2312"/>
          <w:sz w:val="28"/>
        </w:rPr>
        <w:t>本次评估未考虑估价对象抵押、</w:t>
      </w:r>
      <w:r>
        <w:rPr>
          <w:rFonts w:hint="eastAsia" w:ascii="仿宋_GB2312" w:hAnsi="Bookman Old Style" w:eastAsia="仿宋_GB2312"/>
          <w:snapToGrid w:val="0"/>
          <w:kern w:val="0"/>
          <w:sz w:val="28"/>
          <w:szCs w:val="28"/>
        </w:rPr>
        <w:t>租赁、</w:t>
      </w:r>
      <w:r>
        <w:rPr>
          <w:rFonts w:hint="eastAsia" w:ascii="仿宋_GB2312" w:eastAsia="仿宋_GB2312"/>
          <w:sz w:val="28"/>
        </w:rPr>
        <w:t>查封等对评估价格的影响</w:t>
      </w:r>
      <w:r>
        <w:rPr>
          <w:rFonts w:hint="eastAsia" w:ascii="仿宋_GB2312" w:hAnsi="Bookman Old Style" w:eastAsia="仿宋_GB2312"/>
          <w:snapToGrid w:val="0"/>
          <w:kern w:val="0"/>
          <w:sz w:val="28"/>
          <w:szCs w:val="28"/>
        </w:rPr>
        <w:t>。</w:t>
      </w:r>
    </w:p>
    <w:p>
      <w:pPr>
        <w:adjustRightInd w:val="0"/>
        <w:snapToGrid w:val="0"/>
        <w:spacing w:line="360" w:lineRule="auto"/>
        <w:ind w:firstLine="620"/>
        <w:jc w:val="left"/>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4、不相一致假设</w:t>
      </w:r>
    </w:p>
    <w:p>
      <w:pPr>
        <w:adjustRightInd w:val="0"/>
        <w:snapToGrid w:val="0"/>
        <w:spacing w:line="360" w:lineRule="auto"/>
        <w:ind w:firstLine="620"/>
        <w:jc w:val="left"/>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本次估价对象无不相一致事项，无不相一致假设。</w:t>
      </w:r>
    </w:p>
    <w:p>
      <w:pPr>
        <w:adjustRightInd w:val="0"/>
        <w:snapToGrid w:val="0"/>
        <w:spacing w:line="360" w:lineRule="auto"/>
        <w:ind w:firstLine="562" w:firstLineChars="200"/>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5、依据不足假设</w:t>
      </w:r>
    </w:p>
    <w:p>
      <w:pPr>
        <w:adjustRightInd w:val="0"/>
        <w:snapToGrid w:val="0"/>
        <w:spacing w:line="360" w:lineRule="auto"/>
        <w:ind w:firstLine="620"/>
        <w:jc w:val="left"/>
        <w:outlineLvl w:val="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本次估价无依据不足，无依据不足假设。</w:t>
      </w:r>
    </w:p>
    <w:p>
      <w:pPr>
        <w:adjustRightInd w:val="0"/>
        <w:snapToGrid w:val="0"/>
        <w:spacing w:line="360" w:lineRule="auto"/>
        <w:ind w:firstLine="620"/>
        <w:jc w:val="left"/>
        <w:outlineLvl w:val="0"/>
        <w:rPr>
          <w:rFonts w:hint="eastAsia" w:ascii="仿宋_GB2312" w:hAnsi="Bookman Old Style" w:eastAsia="仿宋_GB2312"/>
          <w:b/>
          <w:snapToGrid w:val="0"/>
          <w:kern w:val="0"/>
          <w:sz w:val="28"/>
          <w:szCs w:val="28"/>
        </w:rPr>
      </w:pPr>
      <w:r>
        <w:rPr>
          <w:rFonts w:hint="eastAsia" w:ascii="仿宋_GB2312" w:eastAsia="仿宋_GB2312"/>
          <w:b/>
          <w:sz w:val="28"/>
        </w:rPr>
        <w:t>6、估价报告使用限制</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（1）价值时点后，估价报告有效期内估价对象的质量及价格标准发生变化，并对估价对象估价价值产生明显影响时，不能直接使用本估价结论。</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2）本报告估价结果仅作为委托方在本次估价目的下使用，不得做其他用途。未经本估价机构和估价人员同意，估价报告不得向委托人、申请执行人、被执行人及报告审查部门以外的单位及个人提供，凡因使用估价报告不当而引起的后果，估价机构和估价人员不承担相应的责任。</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（3）本估价报告的全部或其部分内容不得发表于任何公开媒体上，报告解释权为本评估机构所有。</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（4）</w:t>
      </w:r>
      <w:r>
        <w:rPr>
          <w:rFonts w:ascii="仿宋_GB2312" w:hAnsi="Bookman Old Style" w:eastAsia="仿宋_GB2312"/>
          <w:snapToGrid w:val="0"/>
          <w:kern w:val="0"/>
          <w:sz w:val="28"/>
          <w:szCs w:val="28"/>
        </w:rPr>
        <w:t>本次估价结果受价值时点的限制，且本估价报告使用期限自估价报告出具之日起为壹年。若报告使用期限内，房地产市场、建筑市场或估价对象自身状况发生重大变化，估价结果也需做相应调整或委托估价机构重新估价</w:t>
      </w:r>
      <w:r>
        <w:rPr>
          <w:rFonts w:hint="eastAsia" w:ascii="仿宋_GB2312" w:hAnsi="Bookman Old Style" w:eastAsia="仿宋_GB2312"/>
          <w:snapToGrid w:val="0"/>
          <w:kern w:val="0"/>
          <w:sz w:val="28"/>
          <w:szCs w:val="28"/>
        </w:rPr>
        <w:t>。</w:t>
      </w:r>
    </w:p>
    <w:p>
      <w:pPr>
        <w:adjustRightInd w:val="0"/>
        <w:snapToGrid w:val="0"/>
        <w:spacing w:line="360" w:lineRule="auto"/>
        <w:ind w:firstLine="620"/>
        <w:jc w:val="left"/>
        <w:outlineLvl w:val="0"/>
        <w:rPr>
          <w:rFonts w:hint="eastAsia" w:ascii="仿宋_GB2312" w:eastAsia="仿宋_GB2312"/>
          <w:b/>
          <w:sz w:val="28"/>
        </w:rPr>
      </w:pPr>
      <w:r>
        <w:rPr>
          <w:rFonts w:hint="eastAsia" w:ascii="仿宋_GB2312" w:eastAsia="仿宋_GB2312"/>
          <w:b/>
          <w:sz w:val="28"/>
        </w:rPr>
        <w:t>7、其他需要说明的事项</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（1）本报告估价结果没有考虑快速变现、税费转嫁等特殊的交易方式对房地产估价的影响。</w:t>
      </w:r>
    </w:p>
    <w:p>
      <w:pPr>
        <w:adjustRightInd w:val="0"/>
        <w:snapToGrid w:val="0"/>
        <w:spacing w:line="360" w:lineRule="auto"/>
        <w:ind w:left="126" w:leftChars="60" w:firstLine="420" w:firstLineChars="15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（2）本报告中数据全部采用电算化连续计算得出，由于在报告中计算的数据均按四舍五入保留两位小数或取整，因此，可能出现个别等式左右不完全相等的情况，但不影响计算结果及最终评估结论的准确性。</w:t>
      </w:r>
    </w:p>
    <w:p>
      <w:pPr>
        <w:adjustRightInd w:val="0"/>
        <w:snapToGrid w:val="0"/>
        <w:spacing w:line="360" w:lineRule="auto"/>
        <w:ind w:firstLine="560"/>
        <w:jc w:val="center"/>
        <w:rPr>
          <w:rFonts w:hint="eastAsia" w:ascii="宋体" w:hAnsi="宋体"/>
          <w:b/>
          <w:snapToGrid w:val="0"/>
          <w:kern w:val="0"/>
          <w:sz w:val="36"/>
          <w:szCs w:val="20"/>
        </w:rPr>
      </w:pPr>
      <w:r>
        <w:rPr>
          <w:rFonts w:ascii="仿宋_GB2312" w:eastAsia="仿宋_GB2312"/>
          <w:snapToGrid w:val="0"/>
          <w:kern w:val="0"/>
          <w:sz w:val="28"/>
          <w:szCs w:val="20"/>
        </w:rPr>
        <w:br w:type="page"/>
      </w:r>
      <w:r>
        <w:rPr>
          <w:rFonts w:hint="eastAsia" w:ascii="宋体" w:hAnsi="宋体"/>
          <w:b/>
          <w:snapToGrid w:val="0"/>
          <w:kern w:val="0"/>
          <w:sz w:val="36"/>
        </w:rPr>
        <w:t>估价结果报告</w:t>
      </w:r>
    </w:p>
    <w:p>
      <w:pPr>
        <w:adjustRightInd w:val="0"/>
        <w:snapToGrid w:val="0"/>
        <w:spacing w:line="360" w:lineRule="auto"/>
        <w:ind w:firstLine="560"/>
        <w:jc w:val="left"/>
        <w:rPr>
          <w:rFonts w:hint="eastAsia" w:ascii="仿宋_GB2312" w:eastAsia="仿宋_GB2312"/>
          <w:b/>
          <w:snapToGrid w:val="0"/>
          <w:kern w:val="0"/>
          <w:sz w:val="28"/>
          <w:szCs w:val="28"/>
        </w:rPr>
      </w:pPr>
      <w:r>
        <w:rPr>
          <w:rFonts w:hint="eastAsia" w:ascii="仿宋_GB2312" w:eastAsia="仿宋_GB2312"/>
          <w:b/>
          <w:snapToGrid w:val="0"/>
          <w:kern w:val="0"/>
          <w:sz w:val="28"/>
          <w:szCs w:val="28"/>
        </w:rPr>
        <w:t>一、估价委托人</w:t>
      </w:r>
    </w:p>
    <w:p>
      <w:pPr>
        <w:spacing w:line="360" w:lineRule="auto"/>
        <w:ind w:firstLine="560"/>
        <w:rPr>
          <w:rFonts w:hint="eastAsia" w:ascii="仿宋_GB2312" w:eastAsia="仿宋_GB2312"/>
          <w:snapToGrid w:val="0"/>
          <w:kern w:val="0"/>
          <w:sz w:val="28"/>
          <w:szCs w:val="20"/>
        </w:rPr>
      </w:pPr>
      <w:r>
        <w:rPr>
          <w:rFonts w:hint="eastAsia" w:ascii="仿宋_GB2312" w:eastAsia="仿宋_GB2312"/>
          <w:snapToGrid w:val="0"/>
          <w:kern w:val="0"/>
          <w:sz w:val="28"/>
          <w:szCs w:val="20"/>
        </w:rPr>
        <w:t>委托方：南昌市红谷滩区人民法院</w:t>
      </w:r>
    </w:p>
    <w:p>
      <w:pPr>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二、房地产估价机构</w:t>
      </w:r>
    </w:p>
    <w:p>
      <w:pPr>
        <w:pStyle w:val="7"/>
        <w:spacing w:line="360" w:lineRule="auto"/>
        <w:ind w:left="0" w:leftChars="0" w:firstLine="560" w:firstLineChars="200"/>
        <w:jc w:val="left"/>
        <w:rPr>
          <w:rFonts w:hint="eastAsia" w:ascii="仿宋_GB2312" w:eastAsia="仿宋_GB2312"/>
          <w:sz w:val="28"/>
          <w:szCs w:val="20"/>
        </w:rPr>
      </w:pPr>
      <w:bookmarkStart w:id="0" w:name="_Toc438541045"/>
      <w:r>
        <w:rPr>
          <w:rFonts w:hint="eastAsia" w:ascii="仿宋_GB2312" w:eastAsia="仿宋_GB2312"/>
          <w:sz w:val="28"/>
          <w:szCs w:val="20"/>
        </w:rPr>
        <w:t>名称：江西怡信房地产土地资产评估有限公司</w:t>
      </w:r>
    </w:p>
    <w:p>
      <w:pPr>
        <w:pStyle w:val="7"/>
        <w:spacing w:line="360" w:lineRule="auto"/>
        <w:ind w:left="0" w:leftChars="0" w:firstLine="560" w:firstLineChars="200"/>
        <w:jc w:val="left"/>
        <w:rPr>
          <w:rFonts w:hint="eastAsia" w:ascii="仿宋_GB2312" w:eastAsia="仿宋_GB2312"/>
          <w:sz w:val="28"/>
          <w:szCs w:val="20"/>
        </w:rPr>
      </w:pPr>
      <w:r>
        <w:rPr>
          <w:rFonts w:hint="eastAsia" w:ascii="仿宋_GB2312" w:eastAsia="仿宋_GB2312"/>
          <w:sz w:val="28"/>
          <w:szCs w:val="20"/>
        </w:rPr>
        <w:t>住所：</w:t>
      </w:r>
      <w:r>
        <w:rPr>
          <w:rFonts w:hint="eastAsia" w:ascii="仿宋" w:hAnsi="仿宋" w:eastAsia="仿宋"/>
          <w:sz w:val="28"/>
        </w:rPr>
        <w:t>江西省南昌市东湖区青山南路7-9号A栋3.4号</w:t>
      </w:r>
    </w:p>
    <w:p>
      <w:pPr>
        <w:pStyle w:val="7"/>
        <w:spacing w:line="360" w:lineRule="auto"/>
        <w:ind w:left="0" w:leftChars="0" w:firstLine="560" w:firstLineChars="200"/>
        <w:jc w:val="left"/>
        <w:rPr>
          <w:rFonts w:hint="eastAsia" w:ascii="仿宋_GB2312" w:eastAsia="仿宋_GB2312"/>
          <w:sz w:val="28"/>
          <w:szCs w:val="20"/>
        </w:rPr>
      </w:pPr>
      <w:r>
        <w:rPr>
          <w:rFonts w:hint="eastAsia" w:ascii="仿宋_GB2312" w:eastAsia="仿宋_GB2312"/>
          <w:sz w:val="28"/>
          <w:szCs w:val="20"/>
        </w:rPr>
        <w:t>法定代表人：邵勇</w:t>
      </w:r>
    </w:p>
    <w:p>
      <w:pPr>
        <w:pStyle w:val="7"/>
        <w:spacing w:line="360" w:lineRule="auto"/>
        <w:ind w:left="0" w:leftChars="0" w:firstLine="560" w:firstLineChars="200"/>
        <w:jc w:val="left"/>
        <w:rPr>
          <w:rFonts w:hint="eastAsia" w:ascii="仿宋_GB2312" w:eastAsia="仿宋_GB2312"/>
          <w:sz w:val="28"/>
          <w:szCs w:val="20"/>
        </w:rPr>
      </w:pPr>
      <w:r>
        <w:rPr>
          <w:rFonts w:hint="eastAsia" w:ascii="仿宋_GB2312" w:eastAsia="仿宋_GB2312"/>
          <w:sz w:val="28"/>
          <w:szCs w:val="20"/>
        </w:rPr>
        <w:t>资质等级：壹级</w:t>
      </w:r>
    </w:p>
    <w:p>
      <w:pPr>
        <w:pStyle w:val="7"/>
        <w:spacing w:line="360" w:lineRule="auto"/>
        <w:ind w:left="0" w:leftChars="0" w:firstLine="560" w:firstLineChars="200"/>
        <w:jc w:val="left"/>
        <w:rPr>
          <w:rFonts w:hint="eastAsia" w:ascii="仿宋_GB2312" w:eastAsia="仿宋_GB2312"/>
          <w:sz w:val="28"/>
          <w:szCs w:val="20"/>
        </w:rPr>
      </w:pPr>
      <w:r>
        <w:rPr>
          <w:rFonts w:hint="eastAsia" w:ascii="仿宋_GB2312" w:eastAsia="仿宋_GB2312"/>
          <w:sz w:val="28"/>
          <w:szCs w:val="20"/>
        </w:rPr>
        <w:t>资质证书编号：</w:t>
      </w:r>
      <w:r>
        <w:rPr>
          <w:rFonts w:hint="eastAsia" w:ascii="仿宋" w:hAnsi="仿宋" w:eastAsia="仿宋"/>
          <w:sz w:val="28"/>
        </w:rPr>
        <w:t>赣建房评字2号</w:t>
      </w:r>
    </w:p>
    <w:p>
      <w:pPr>
        <w:adjustRightInd w:val="0"/>
        <w:snapToGrid w:val="0"/>
        <w:spacing w:line="360" w:lineRule="auto"/>
        <w:ind w:firstLine="560"/>
        <w:outlineLvl w:val="1"/>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三、估价目的</w:t>
      </w:r>
      <w:bookmarkEnd w:id="0"/>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hAnsi="仿宋" w:eastAsia="仿宋_GB2312"/>
          <w:snapToGrid w:val="0"/>
          <w:kern w:val="0"/>
          <w:sz w:val="28"/>
          <w:szCs w:val="28"/>
        </w:rPr>
        <w:t>为人民法院确定财产处置参考价提供参考依据。</w:t>
      </w:r>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四、估价对象</w:t>
      </w:r>
    </w:p>
    <w:p>
      <w:pPr>
        <w:spacing w:line="360" w:lineRule="auto"/>
        <w:ind w:firstLine="560"/>
        <w:outlineLvl w:val="0"/>
        <w:rPr>
          <w:rFonts w:hint="eastAsia" w:ascii="仿宋_GB2312" w:eastAsia="仿宋_GB2312"/>
          <w:snapToGrid w:val="0"/>
          <w:sz w:val="28"/>
          <w:szCs w:val="28"/>
        </w:rPr>
      </w:pPr>
      <w:r>
        <w:rPr>
          <w:rFonts w:hint="eastAsia" w:ascii="仿宋_GB2312" w:eastAsia="仿宋_GB2312"/>
          <w:snapToGrid w:val="0"/>
          <w:sz w:val="28"/>
          <w:szCs w:val="28"/>
        </w:rPr>
        <w:t>1、估价对象概况</w:t>
      </w:r>
    </w:p>
    <w:p>
      <w:pPr>
        <w:tabs>
          <w:tab w:val="left" w:pos="267"/>
        </w:tabs>
        <w:adjustRightInd w:val="0"/>
        <w:snapToGrid w:val="0"/>
        <w:spacing w:line="360" w:lineRule="auto"/>
        <w:ind w:firstLine="560" w:firstLineChars="200"/>
        <w:jc w:val="left"/>
        <w:rPr>
          <w:rFonts w:hint="eastAsia" w:ascii="仿宋_GB2312" w:eastAsia="仿宋_GB2312"/>
          <w:snapToGrid w:val="0"/>
          <w:sz w:val="15"/>
          <w:szCs w:val="15"/>
        </w:rPr>
      </w:pPr>
      <w:r>
        <w:rPr>
          <w:rFonts w:hint="eastAsia" w:ascii="仿宋_GB2312" w:eastAsia="仿宋_GB2312"/>
          <w:snapToGrid w:val="0"/>
          <w:sz w:val="28"/>
          <w:szCs w:val="28"/>
        </w:rPr>
        <w:t>估价对象为住宅房地产，估价对象位于南昌县象湖新城八月湖路699号伟梦清水湾龙井香院26栋</w:t>
      </w:r>
      <w:r>
        <w:rPr>
          <w:rFonts w:hint="eastAsia" w:ascii="仿宋_GB2312" w:hAnsi="仿宋" w:eastAsia="仿宋_GB2312"/>
          <w:snapToGrid w:val="0"/>
          <w:kern w:val="0"/>
          <w:sz w:val="28"/>
          <w:szCs w:val="28"/>
        </w:rPr>
        <w:t>，</w:t>
      </w:r>
      <w:r>
        <w:rPr>
          <w:rFonts w:hint="eastAsia" w:ascii="仿宋_GB2312" w:eastAsia="仿宋_GB2312"/>
          <w:snapToGrid w:val="0"/>
          <w:sz w:val="28"/>
          <w:szCs w:val="28"/>
        </w:rPr>
        <w:t>建筑面积合计为119.44平方米</w:t>
      </w:r>
      <w:r>
        <w:rPr>
          <w:rFonts w:hint="eastAsia" w:ascii="仿宋_GB2312" w:hAnsi="仿宋" w:eastAsia="仿宋_GB2312"/>
          <w:snapToGrid w:val="0"/>
          <w:kern w:val="0"/>
          <w:sz w:val="28"/>
          <w:szCs w:val="28"/>
        </w:rPr>
        <w:t>，分摊土地面积合计为19.91平方米，</w:t>
      </w:r>
      <w:r>
        <w:rPr>
          <w:rFonts w:hint="eastAsia" w:ascii="仿宋_GB2312" w:eastAsia="仿宋_GB2312"/>
          <w:snapToGrid w:val="0"/>
          <w:kern w:val="0"/>
          <w:sz w:val="28"/>
          <w:szCs w:val="20"/>
        </w:rPr>
        <w:t>权利人</w:t>
      </w:r>
      <w:r>
        <w:rPr>
          <w:rFonts w:hint="eastAsia" w:ascii="仿宋_GB2312" w:eastAsia="仿宋_GB2312"/>
          <w:snapToGrid w:val="0"/>
          <w:sz w:val="28"/>
          <w:szCs w:val="28"/>
        </w:rPr>
        <w:t>为万顺平，土地使用权类型为出让。</w:t>
      </w:r>
    </w:p>
    <w:p>
      <w:pPr>
        <w:tabs>
          <w:tab w:val="left" w:pos="267"/>
        </w:tabs>
        <w:adjustRightInd w:val="0"/>
        <w:snapToGrid w:val="0"/>
        <w:spacing w:line="360" w:lineRule="auto"/>
        <w:ind w:firstLine="560"/>
        <w:jc w:val="left"/>
        <w:rPr>
          <w:rFonts w:hint="eastAsia" w:ascii="仿宋_GB2312" w:eastAsia="仿宋_GB2312"/>
          <w:snapToGrid w:val="0"/>
          <w:sz w:val="28"/>
          <w:szCs w:val="28"/>
        </w:rPr>
      </w:pPr>
      <w:r>
        <w:rPr>
          <w:rFonts w:hint="eastAsia" w:ascii="仿宋_GB2312" w:eastAsia="仿宋_GB2312"/>
          <w:snapToGrid w:val="0"/>
          <w:sz w:val="28"/>
          <w:szCs w:val="28"/>
        </w:rPr>
        <w:t>2、土地基本状况</w:t>
      </w:r>
    </w:p>
    <w:p>
      <w:pPr>
        <w:adjustRightInd w:val="0"/>
        <w:snapToGrid w:val="0"/>
        <w:spacing w:line="360" w:lineRule="auto"/>
        <w:ind w:firstLine="560"/>
        <w:jc w:val="left"/>
        <w:rPr>
          <w:rFonts w:hint="eastAsia" w:ascii="仿宋_GB2312" w:hAnsi="Bookman Old Style" w:eastAsia="仿宋_GB2312"/>
          <w:snapToGrid w:val="0"/>
          <w:kern w:val="0"/>
          <w:sz w:val="28"/>
          <w:szCs w:val="28"/>
        </w:rPr>
      </w:pPr>
      <w:r>
        <w:rPr>
          <w:rFonts w:hint="eastAsia" w:ascii="仿宋_GB2312" w:eastAsia="仿宋_GB2312"/>
          <w:snapToGrid w:val="0"/>
          <w:kern w:val="0"/>
          <w:sz w:val="28"/>
          <w:szCs w:val="20"/>
        </w:rPr>
        <w:t>根据估价委托人提供的资料及估价师现场查勘，估价对象位于</w:t>
      </w:r>
      <w:r>
        <w:rPr>
          <w:rFonts w:hint="eastAsia" w:ascii="仿宋_GB2312" w:eastAsia="仿宋_GB2312"/>
          <w:snapToGrid w:val="0"/>
          <w:sz w:val="28"/>
          <w:szCs w:val="28"/>
        </w:rPr>
        <w:t>南昌县象湖新城八月湖路699号伟梦清水湾龙井香院26栋</w:t>
      </w:r>
      <w:r>
        <w:rPr>
          <w:rFonts w:hint="eastAsia" w:ascii="仿宋_GB2312" w:eastAsia="仿宋_GB2312"/>
          <w:snapToGrid w:val="0"/>
          <w:kern w:val="0"/>
          <w:sz w:val="28"/>
          <w:szCs w:val="20"/>
        </w:rPr>
        <w:t>，所在土地四至为东至碧螺香庭小区、南至八月湖路、西至东新一路、北面至</w:t>
      </w:r>
      <w:r>
        <w:rPr>
          <w:rFonts w:hint="eastAsia" w:ascii="仿宋_GB2312" w:eastAsia="仿宋_GB2312"/>
          <w:snapToGrid w:val="0"/>
          <w:sz w:val="28"/>
          <w:szCs w:val="28"/>
        </w:rPr>
        <w:t>芳湖路</w:t>
      </w:r>
      <w:r>
        <w:rPr>
          <w:rFonts w:hint="eastAsia" w:ascii="仿宋_GB2312" w:eastAsia="仿宋_GB2312"/>
          <w:snapToGrid w:val="0"/>
          <w:kern w:val="0"/>
          <w:sz w:val="28"/>
          <w:szCs w:val="20"/>
        </w:rPr>
        <w:t>。估价对象土地形状较规则，土地开发程度为红线外“六通”（指通路、通电、供水、通气、排水、通讯）及红线内“六通一平”（指通路、通电、供水、通气、排水、通讯及场地平整）</w:t>
      </w:r>
      <w:r>
        <w:rPr>
          <w:rFonts w:hint="eastAsia" w:ascii="仿宋_GB2312" w:hAnsi="Bookman Old Style" w:eastAsia="仿宋_GB2312"/>
          <w:snapToGrid w:val="0"/>
          <w:kern w:val="0"/>
          <w:sz w:val="28"/>
          <w:szCs w:val="28"/>
        </w:rPr>
        <w:t>。</w:t>
      </w:r>
    </w:p>
    <w:p>
      <w:pPr>
        <w:tabs>
          <w:tab w:val="left" w:pos="267"/>
        </w:tabs>
        <w:adjustRightInd w:val="0"/>
        <w:snapToGrid w:val="0"/>
        <w:spacing w:line="360" w:lineRule="auto"/>
        <w:ind w:firstLine="560"/>
        <w:jc w:val="left"/>
        <w:rPr>
          <w:rFonts w:hint="eastAsia" w:ascii="仿宋_GB2312" w:eastAsia="仿宋_GB2312"/>
          <w:snapToGrid w:val="0"/>
          <w:sz w:val="28"/>
          <w:szCs w:val="28"/>
        </w:rPr>
      </w:pPr>
      <w:r>
        <w:rPr>
          <w:rFonts w:hint="eastAsia" w:ascii="仿宋_GB2312" w:hAnsi="仿宋" w:eastAsia="仿宋_GB2312"/>
          <w:snapToGrid w:val="0"/>
          <w:sz w:val="28"/>
          <w:szCs w:val="28"/>
        </w:rPr>
        <w:t>3、建筑物基本状况</w:t>
      </w:r>
    </w:p>
    <w:p>
      <w:pPr>
        <w:tabs>
          <w:tab w:val="left" w:pos="267"/>
        </w:tabs>
        <w:adjustRightInd w:val="0"/>
        <w:snapToGrid w:val="0"/>
        <w:spacing w:line="360" w:lineRule="auto"/>
        <w:ind w:firstLine="570"/>
        <w:rPr>
          <w:rFonts w:hint="eastAsia" w:ascii="仿宋_GB2312" w:hAnsi="Bookman Old Style" w:eastAsia="仿宋_GB2312"/>
          <w:snapToGrid w:val="0"/>
          <w:kern w:val="0"/>
          <w:sz w:val="28"/>
          <w:szCs w:val="28"/>
        </w:rPr>
      </w:pPr>
      <w:r>
        <w:rPr>
          <w:rFonts w:hint="eastAsia" w:ascii="仿宋_GB2312" w:eastAsia="仿宋_GB2312"/>
          <w:snapToGrid w:val="0"/>
          <w:kern w:val="0"/>
          <w:sz w:val="28"/>
          <w:szCs w:val="20"/>
        </w:rPr>
        <w:t>根据估价委托人提供的资料及估价师现场查勘</w:t>
      </w:r>
      <w:r>
        <w:rPr>
          <w:rFonts w:hint="eastAsia" w:ascii="仿宋_GB2312" w:eastAsia="仿宋_GB2312"/>
          <w:snapToGrid w:val="0"/>
          <w:sz w:val="28"/>
          <w:szCs w:val="28"/>
        </w:rPr>
        <w:t>，估价对象建筑</w:t>
      </w:r>
      <w:r>
        <w:rPr>
          <w:rFonts w:hint="eastAsia" w:ascii="仿宋_GB2312" w:hAnsi="Bookman Old Style" w:eastAsia="仿宋_GB2312"/>
          <w:snapToGrid w:val="0"/>
          <w:kern w:val="0"/>
          <w:sz w:val="28"/>
          <w:szCs w:val="28"/>
        </w:rPr>
        <w:t>结构为钢混，用途为住宅，建筑年代约为2011年，总层数6层，位于第3层，毛坯房，经现场查勘303、304室实际为一套住宅。估价对象建筑物新旧程度及维护保养较好，物业管理较好，建筑面积合计为119.44平方米。</w:t>
      </w:r>
    </w:p>
    <w:p>
      <w:pPr>
        <w:tabs>
          <w:tab w:val="left" w:pos="267"/>
        </w:tabs>
        <w:adjustRightInd w:val="0"/>
        <w:snapToGrid w:val="0"/>
        <w:spacing w:line="360" w:lineRule="auto"/>
        <w:ind w:firstLine="570"/>
        <w:rPr>
          <w:rFonts w:hint="eastAsia" w:ascii="仿宋_GB2312" w:hAnsi="Bookman Old Style" w:eastAsia="仿宋_GB2312"/>
          <w:snapToGrid w:val="0"/>
          <w:kern w:val="0"/>
          <w:sz w:val="28"/>
          <w:szCs w:val="28"/>
        </w:rPr>
      </w:pPr>
      <w:r>
        <w:rPr>
          <w:rFonts w:hint="eastAsia" w:ascii="仿宋_GB2312" w:hAnsi="Bookman Old Style" w:eastAsia="仿宋_GB2312"/>
          <w:snapToGrid w:val="0"/>
          <w:kern w:val="0"/>
          <w:sz w:val="28"/>
          <w:szCs w:val="28"/>
        </w:rPr>
        <w:t>至价值时点，根据委托方提供的资料及评估人员现场调查，估价对象存在抵押权等他项权利存在。</w:t>
      </w:r>
    </w:p>
    <w:p>
      <w:pPr>
        <w:tabs>
          <w:tab w:val="left" w:pos="267"/>
        </w:tabs>
        <w:adjustRightInd w:val="0"/>
        <w:snapToGrid w:val="0"/>
        <w:spacing w:line="360" w:lineRule="auto"/>
        <w:ind w:firstLine="570"/>
        <w:rPr>
          <w:rFonts w:hint="eastAsia" w:ascii="仿宋_GB2312" w:hAnsi="Bookman Old Style" w:eastAsia="仿宋_GB2312"/>
          <w:b/>
          <w:bCs/>
          <w:snapToGrid w:val="0"/>
          <w:kern w:val="0"/>
          <w:sz w:val="28"/>
          <w:szCs w:val="28"/>
        </w:rPr>
      </w:pPr>
      <w:r>
        <w:rPr>
          <w:rFonts w:hint="eastAsia" w:ascii="仿宋_GB2312" w:hAnsi="Bookman Old Style" w:eastAsia="仿宋_GB2312"/>
          <w:b/>
          <w:bCs/>
          <w:snapToGrid w:val="0"/>
          <w:kern w:val="0"/>
          <w:sz w:val="28"/>
          <w:szCs w:val="28"/>
        </w:rPr>
        <w:t>五、价值时点</w:t>
      </w:r>
    </w:p>
    <w:p>
      <w:pPr>
        <w:tabs>
          <w:tab w:val="left" w:pos="267"/>
        </w:tabs>
        <w:adjustRightInd w:val="0"/>
        <w:snapToGrid w:val="0"/>
        <w:spacing w:line="360" w:lineRule="auto"/>
        <w:ind w:firstLine="560"/>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根据估价委托人所出具的委托书及《房地产估价规范》要求，估价师于2021年9月17日进行现场查勘，故确定价值时点为2021年9月17日，且该价值时点符合委托方对估价报告、估价价值、估价目的的使用要求。</w:t>
      </w:r>
    </w:p>
    <w:p>
      <w:pPr>
        <w:tabs>
          <w:tab w:val="left" w:pos="267"/>
        </w:tabs>
        <w:adjustRightInd w:val="0"/>
        <w:snapToGrid w:val="0"/>
        <w:spacing w:line="360" w:lineRule="auto"/>
        <w:ind w:firstLine="560"/>
        <w:rPr>
          <w:rFonts w:hint="eastAsia" w:ascii="仿宋_GB2312" w:hAnsi="Bookman Old Style" w:eastAsia="仿宋_GB2312"/>
          <w:b/>
          <w:bCs/>
          <w:snapToGrid w:val="0"/>
          <w:kern w:val="0"/>
          <w:sz w:val="28"/>
          <w:szCs w:val="28"/>
        </w:rPr>
      </w:pPr>
      <w:r>
        <w:rPr>
          <w:rFonts w:hint="eastAsia" w:ascii="仿宋_GB2312" w:hAnsi="Bookman Old Style" w:eastAsia="仿宋_GB2312"/>
          <w:b/>
          <w:bCs/>
          <w:snapToGrid w:val="0"/>
          <w:kern w:val="0"/>
          <w:sz w:val="28"/>
          <w:szCs w:val="28"/>
        </w:rPr>
        <w:t>六、价值类型</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bookmarkStart w:id="1" w:name="OLE_LINK12"/>
      <w:r>
        <w:rPr>
          <w:rFonts w:hint="eastAsia" w:ascii="仿宋_GB2312" w:hAnsi="Bookman Old Style" w:eastAsia="仿宋_GB2312"/>
          <w:bCs/>
          <w:snapToGrid w:val="0"/>
          <w:kern w:val="0"/>
          <w:sz w:val="28"/>
          <w:szCs w:val="28"/>
        </w:rPr>
        <w:t>本次评估的市场价值是指估价对象于2021年9月17日，在本次估价假设和限制条件下形成的客观合理价格，即市场价值。</w:t>
      </w:r>
    </w:p>
    <w:bookmarkEnd w:id="1"/>
    <w:p>
      <w:pPr>
        <w:adjustRightInd w:val="0"/>
        <w:snapToGrid w:val="0"/>
        <w:spacing w:line="360" w:lineRule="auto"/>
        <w:ind w:firstLine="560"/>
        <w:outlineLvl w:val="1"/>
        <w:rPr>
          <w:rFonts w:hint="eastAsia" w:ascii="仿宋_GB2312" w:hAnsi="仿宋" w:eastAsia="仿宋_GB2312"/>
          <w:b/>
          <w:snapToGrid w:val="0"/>
          <w:kern w:val="0"/>
          <w:sz w:val="28"/>
          <w:szCs w:val="28"/>
        </w:rPr>
      </w:pPr>
      <w:bookmarkStart w:id="2" w:name="_Toc438541049"/>
      <w:r>
        <w:rPr>
          <w:rFonts w:hint="eastAsia" w:ascii="仿宋_GB2312" w:hAnsi="仿宋" w:eastAsia="仿宋_GB2312"/>
          <w:b/>
          <w:snapToGrid w:val="0"/>
          <w:kern w:val="0"/>
          <w:sz w:val="28"/>
          <w:szCs w:val="28"/>
        </w:rPr>
        <w:t>七、估价原则</w:t>
      </w:r>
      <w:bookmarkEnd w:id="2"/>
    </w:p>
    <w:p>
      <w:pPr>
        <w:tabs>
          <w:tab w:val="left" w:pos="360"/>
        </w:tabs>
        <w:adjustRightInd w:val="0"/>
        <w:snapToGrid w:val="0"/>
        <w:spacing w:line="360" w:lineRule="auto"/>
        <w:ind w:firstLine="560"/>
        <w:rPr>
          <w:rFonts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本次估价过程中，遵循的主要原则有：</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1、合法原则</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合法原则要求房地产估价应以估价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2、最高最佳使用原则</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所谓最高最佳利用是估价对象一种最可能的使用，这种最可能的使用是法律上允许、技术上可能、财务上可行、经过充分合理的论证，并能给予估价对象带来最高价值的使用。它的一种具体表现，是以能使估价对象获利最多的用途和开发强度来衡量。这是因为在房地产市场中，每位房地产拥有者在主观上都试图充分地发挥房地产的潜力，采用最高最佳利用方式，取得最大的收益。</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3、价值时点原则</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房地产市场是不断变化的，房地产价格具有很强的时间性，它是某一时点上的价格。在不同时点，同一宗房地产往往会有不同的价格。价值时点原则是指求取某一时点上的价格，所以在评估一宗房地产的价格时，必须假定市场停止在价值时点上，同时估价对象房地产的状况通常也是以其在该时点时的状况为准。</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4、独立、客观、公正原则</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独立、客观、公正原则要求房地产估价师站地中立的产场上，评估出对各方当事人来说均是公平合理的价格。</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5、替代原则</w:t>
      </w:r>
    </w:p>
    <w:p>
      <w:pPr>
        <w:tabs>
          <w:tab w:val="left" w:pos="360"/>
        </w:tabs>
        <w:adjustRightInd w:val="0"/>
        <w:snapToGrid w:val="0"/>
        <w:spacing w:line="360" w:lineRule="auto"/>
        <w:ind w:firstLine="56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房地产价格也同样遵循替代规律，受其它具有相同使用价值的房地产，即同类型具有替代可能的房地产价格所牵制。换言之，具有相同使用价值、替代可能的房地产之间，会相互影响和竞争，使价格相互牵制而趋于一致。</w:t>
      </w:r>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八、估价依据</w:t>
      </w:r>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 w:hAnsi="仿宋" w:eastAsia="仿宋"/>
          <w:sz w:val="28"/>
        </w:rPr>
        <w:t>1、《中华人民共和国民法典》（2021年1月1日起施行）</w:t>
      </w:r>
    </w:p>
    <w:p>
      <w:pPr>
        <w:spacing w:line="360" w:lineRule="auto"/>
        <w:ind w:firstLine="570"/>
        <w:rPr>
          <w:rFonts w:hint="eastAsia" w:ascii="仿宋_GB2312" w:eastAsia="仿宋_GB2312"/>
          <w:sz w:val="28"/>
          <w:szCs w:val="28"/>
        </w:rPr>
      </w:pPr>
      <w:r>
        <w:rPr>
          <w:rFonts w:hint="eastAsia" w:ascii="仿宋_GB2312" w:eastAsia="仿宋_GB2312"/>
          <w:sz w:val="28"/>
          <w:szCs w:val="28"/>
        </w:rPr>
        <w:t>2、《房地产估价规范》(GB/T50291－2015)[2015年4月8日发布，自2015年12月1日起实施]；</w:t>
      </w:r>
    </w:p>
    <w:p>
      <w:pPr>
        <w:spacing w:line="360" w:lineRule="auto"/>
        <w:ind w:firstLine="570"/>
        <w:rPr>
          <w:rFonts w:ascii="仿宋_GB2312" w:eastAsia="仿宋_GB2312"/>
          <w:sz w:val="28"/>
          <w:szCs w:val="28"/>
        </w:rPr>
      </w:pPr>
      <w:r>
        <w:rPr>
          <w:rFonts w:hint="eastAsia" w:ascii="仿宋_GB2312" w:eastAsia="仿宋_GB2312"/>
          <w:sz w:val="28"/>
          <w:szCs w:val="28"/>
        </w:rPr>
        <w:t>3、《房地产估价基本术语标准》(GB/T50899－2013)[2013年6月26日发布，2014年2月1日起实施]；</w:t>
      </w:r>
    </w:p>
    <w:p>
      <w:pPr>
        <w:spacing w:line="360" w:lineRule="auto"/>
        <w:ind w:firstLine="570"/>
        <w:rPr>
          <w:rFonts w:hint="eastAsia" w:ascii="仿宋_GB2312" w:eastAsia="仿宋_GB2312"/>
          <w:sz w:val="28"/>
          <w:szCs w:val="28"/>
        </w:rPr>
      </w:pPr>
      <w:r>
        <w:rPr>
          <w:rFonts w:hint="eastAsia" w:ascii="仿宋_GB2312" w:eastAsia="仿宋_GB2312"/>
          <w:sz w:val="28"/>
          <w:szCs w:val="28"/>
        </w:rPr>
        <w:t>4、《中华人民共和国城市房地产管理法》</w:t>
      </w:r>
      <w:r>
        <w:rPr>
          <w:rFonts w:hint="eastAsia" w:ascii="仿宋_GB2312" w:eastAsia="仿宋_GB2312"/>
          <w:sz w:val="28"/>
        </w:rPr>
        <w:t>（</w:t>
      </w:r>
      <w:r>
        <w:rPr>
          <w:rFonts w:hint="eastAsia" w:ascii="仿宋_GB2312" w:eastAsia="仿宋_GB2312"/>
          <w:sz w:val="28"/>
          <w:szCs w:val="28"/>
        </w:rPr>
        <w:t>2020年1月1日起施行</w:t>
      </w:r>
      <w:r>
        <w:rPr>
          <w:rFonts w:hint="eastAsia" w:ascii="仿宋_GB2312" w:eastAsia="仿宋_GB2312"/>
          <w:sz w:val="28"/>
        </w:rPr>
        <w:t>）</w:t>
      </w:r>
      <w:r>
        <w:rPr>
          <w:rFonts w:hint="eastAsia" w:ascii="仿宋_GB2312" w:eastAsia="仿宋_GB2312"/>
          <w:sz w:val="28"/>
          <w:szCs w:val="28"/>
        </w:rPr>
        <w:t>；</w:t>
      </w:r>
    </w:p>
    <w:p>
      <w:pPr>
        <w:tabs>
          <w:tab w:val="left" w:pos="5408"/>
        </w:tabs>
        <w:spacing w:line="360" w:lineRule="auto"/>
        <w:ind w:firstLine="570"/>
        <w:rPr>
          <w:rFonts w:hint="eastAsia" w:ascii="仿宋_GB2312" w:eastAsia="仿宋_GB2312"/>
          <w:sz w:val="28"/>
          <w:szCs w:val="28"/>
        </w:rPr>
      </w:pPr>
      <w:r>
        <w:rPr>
          <w:rFonts w:hint="eastAsia" w:ascii="仿宋_GB2312" w:eastAsia="仿宋_GB2312"/>
          <w:sz w:val="28"/>
          <w:szCs w:val="28"/>
        </w:rPr>
        <w:t>5、《中华人民共和国土地管理法》</w:t>
      </w:r>
      <w:r>
        <w:rPr>
          <w:rFonts w:hint="eastAsia" w:ascii="仿宋_GB2312" w:eastAsia="仿宋_GB2312"/>
          <w:sz w:val="28"/>
        </w:rPr>
        <w:t>（</w:t>
      </w:r>
      <w:r>
        <w:rPr>
          <w:rFonts w:hint="eastAsia" w:ascii="仿宋_GB2312" w:eastAsia="仿宋_GB2312"/>
          <w:sz w:val="28"/>
          <w:szCs w:val="28"/>
        </w:rPr>
        <w:t>2020年1月1日起施行</w:t>
      </w:r>
      <w:r>
        <w:rPr>
          <w:rFonts w:hint="eastAsia" w:ascii="仿宋_GB2312" w:eastAsia="仿宋_GB2312"/>
          <w:sz w:val="28"/>
        </w:rPr>
        <w:t>）</w:t>
      </w:r>
      <w:r>
        <w:rPr>
          <w:rFonts w:hint="eastAsia" w:ascii="仿宋_GB2312" w:eastAsia="仿宋_GB2312"/>
          <w:sz w:val="28"/>
          <w:szCs w:val="28"/>
        </w:rPr>
        <w:t>；</w:t>
      </w:r>
    </w:p>
    <w:p>
      <w:pPr>
        <w:spacing w:line="360" w:lineRule="auto"/>
        <w:ind w:firstLine="570"/>
        <w:rPr>
          <w:rFonts w:ascii="仿宋_GB2312" w:eastAsia="仿宋_GB2312"/>
          <w:sz w:val="28"/>
          <w:szCs w:val="28"/>
        </w:rPr>
      </w:pPr>
      <w:r>
        <w:rPr>
          <w:rFonts w:hint="eastAsia" w:ascii="仿宋_GB2312" w:eastAsia="仿宋_GB2312"/>
          <w:sz w:val="28"/>
          <w:szCs w:val="28"/>
        </w:rPr>
        <w:t>6、《中华人民共和国资产评估法》(2016年7月2日第十二届全国人民代表大会常务委员会第二十一次会议通过，2016年12月1日起施行)</w:t>
      </w:r>
    </w:p>
    <w:p>
      <w:pPr>
        <w:spacing w:line="360" w:lineRule="auto"/>
        <w:ind w:firstLine="570"/>
        <w:rPr>
          <w:rFonts w:hint="eastAsia" w:ascii="仿宋_GB2312" w:eastAsia="仿宋_GB2312"/>
          <w:sz w:val="28"/>
          <w:szCs w:val="28"/>
        </w:rPr>
      </w:pPr>
      <w:r>
        <w:rPr>
          <w:rFonts w:hint="eastAsia" w:ascii="仿宋_GB2312" w:eastAsia="仿宋_GB2312"/>
          <w:sz w:val="28"/>
          <w:szCs w:val="28"/>
        </w:rPr>
        <w:t>7、《最高人民法院关于人民法院民事执行中拍卖、变卖财产的规定》（法释〔2004〕16号2004年11月15日）；</w:t>
      </w:r>
    </w:p>
    <w:p>
      <w:pPr>
        <w:spacing w:line="360" w:lineRule="auto"/>
        <w:ind w:firstLine="570"/>
        <w:rPr>
          <w:rFonts w:hint="eastAsia" w:ascii="仿宋_GB2312" w:eastAsia="仿宋_GB2312"/>
          <w:sz w:val="28"/>
          <w:szCs w:val="28"/>
        </w:rPr>
      </w:pPr>
      <w:r>
        <w:rPr>
          <w:rFonts w:hint="eastAsia" w:ascii="仿宋_GB2312" w:eastAsia="仿宋_GB2312"/>
          <w:sz w:val="28"/>
          <w:szCs w:val="28"/>
        </w:rPr>
        <w:t>8、《司法鉴定程序通则》（中华人民共和国司法部令第132号2016年3月2日）；</w:t>
      </w:r>
    </w:p>
    <w:p>
      <w:pPr>
        <w:spacing w:line="360" w:lineRule="auto"/>
        <w:ind w:firstLine="570"/>
        <w:rPr>
          <w:rFonts w:hint="eastAsia" w:ascii="仿宋_GB2312" w:eastAsia="仿宋_GB2312"/>
          <w:sz w:val="28"/>
          <w:szCs w:val="28"/>
        </w:rPr>
      </w:pPr>
      <w:r>
        <w:rPr>
          <w:rFonts w:hint="eastAsia" w:ascii="仿宋_GB2312" w:eastAsia="仿宋_GB2312"/>
          <w:sz w:val="28"/>
          <w:szCs w:val="28"/>
        </w:rPr>
        <w:t>9、国家、地方等有关法律、行政法规；</w:t>
      </w:r>
    </w:p>
    <w:p>
      <w:pPr>
        <w:spacing w:line="360" w:lineRule="auto"/>
        <w:ind w:firstLine="570"/>
        <w:rPr>
          <w:rFonts w:hint="eastAsia" w:ascii="仿宋_GB2312" w:eastAsia="仿宋_GB2312"/>
          <w:sz w:val="28"/>
          <w:szCs w:val="28"/>
        </w:rPr>
      </w:pPr>
      <w:r>
        <w:rPr>
          <w:rFonts w:hint="eastAsia" w:ascii="仿宋_GB2312" w:eastAsia="仿宋_GB2312"/>
          <w:sz w:val="28"/>
          <w:szCs w:val="28"/>
        </w:rPr>
        <w:t>10、南昌市红谷滩区人民法院出具的《司法评估委托书》[（2021）赣0113执恢38号] ；</w:t>
      </w:r>
    </w:p>
    <w:p>
      <w:pPr>
        <w:spacing w:line="360" w:lineRule="auto"/>
        <w:ind w:firstLine="570"/>
        <w:rPr>
          <w:rFonts w:hint="eastAsia" w:ascii="仿宋_GB2312" w:eastAsia="仿宋_GB2312"/>
          <w:sz w:val="28"/>
          <w:szCs w:val="28"/>
        </w:rPr>
      </w:pPr>
      <w:r>
        <w:rPr>
          <w:rFonts w:hint="eastAsia" w:ascii="仿宋_GB2312" w:eastAsia="仿宋_GB2312"/>
          <w:sz w:val="28"/>
          <w:szCs w:val="28"/>
        </w:rPr>
        <w:t>11、《南昌县不动产（房屋)权属信息查询结果》复印件；</w:t>
      </w:r>
    </w:p>
    <w:p>
      <w:pPr>
        <w:adjustRightInd w:val="0"/>
        <w:snapToGrid w:val="0"/>
        <w:spacing w:line="360" w:lineRule="auto"/>
        <w:ind w:firstLine="560" w:firstLineChars="200"/>
        <w:rPr>
          <w:rFonts w:hint="eastAsia" w:ascii="仿宋_GB2312" w:eastAsia="仿宋_GB2312"/>
          <w:sz w:val="28"/>
          <w:szCs w:val="28"/>
        </w:rPr>
      </w:pPr>
      <w:r>
        <w:rPr>
          <w:rFonts w:hint="eastAsia" w:ascii="仿宋_GB2312" w:eastAsia="仿宋_GB2312"/>
          <w:sz w:val="28"/>
          <w:szCs w:val="28"/>
        </w:rPr>
        <w:t>12、估价人员现场勘察、市场调查所取得的资料及估价人员的专业经验。</w:t>
      </w:r>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 xml:space="preserve">九、估价方法 </w:t>
      </w:r>
    </w:p>
    <w:p>
      <w:pPr>
        <w:adjustRightInd w:val="0"/>
        <w:snapToGrid w:val="0"/>
        <w:spacing w:line="360" w:lineRule="auto"/>
        <w:ind w:firstLine="560" w:firstLineChars="200"/>
        <w:rPr>
          <w:rFonts w:hint="eastAsia" w:ascii="仿宋_GB2312" w:hAnsi="仿宋" w:eastAsia="仿宋_GB2312"/>
          <w:sz w:val="28"/>
          <w:szCs w:val="28"/>
        </w:rPr>
      </w:pPr>
      <w:r>
        <w:rPr>
          <w:rFonts w:hint="eastAsia" w:ascii="仿宋_GB2312" w:hAnsi="仿宋" w:eastAsia="仿宋_GB2312"/>
          <w:sz w:val="28"/>
          <w:szCs w:val="28"/>
        </w:rPr>
        <w:t>1、估价方法的选择</w:t>
      </w:r>
    </w:p>
    <w:p>
      <w:pPr>
        <w:adjustRightInd w:val="0"/>
        <w:snapToGrid w:val="0"/>
        <w:spacing w:line="360" w:lineRule="auto"/>
        <w:ind w:firstLine="560" w:firstLineChars="200"/>
        <w:rPr>
          <w:rFonts w:hint="eastAsia" w:ascii="仿宋_GB2312" w:hAnsi="仿宋" w:eastAsia="仿宋_GB2312"/>
          <w:sz w:val="28"/>
          <w:szCs w:val="28"/>
        </w:rPr>
      </w:pPr>
      <w:r>
        <w:rPr>
          <w:rFonts w:hint="eastAsia" w:ascii="仿宋_GB2312" w:eastAsia="仿宋_GB2312"/>
          <w:sz w:val="28"/>
        </w:rPr>
        <w:t>根据《房地产估价规范》等，通行的评估方法有比较法、收益法、假设开发法、成本法等。注册房地产</w:t>
      </w:r>
      <w:r>
        <w:rPr>
          <w:rFonts w:hint="eastAsia" w:ascii="仿宋_GB2312" w:hAnsi="仿宋" w:eastAsia="仿宋_GB2312"/>
          <w:sz w:val="28"/>
          <w:szCs w:val="28"/>
        </w:rPr>
        <w:t>估价师在认真分析所掌握的资料并对估价对象进行实地勘察后，根据估价对象的特点及本身的实际情况，遵照国家标准《房地产估价规范》，分析如下：</w:t>
      </w:r>
    </w:p>
    <w:p>
      <w:pPr>
        <w:snapToGrid w:val="0"/>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0"/>
        </w:rPr>
        <w:t>(1)</w:t>
      </w:r>
      <w:r>
        <w:rPr>
          <w:rFonts w:hint="eastAsia" w:ascii="仿宋_GB2312" w:eastAsia="仿宋_GB2312"/>
          <w:snapToGrid w:val="0"/>
          <w:kern w:val="0"/>
          <w:sz w:val="28"/>
          <w:szCs w:val="28"/>
        </w:rPr>
        <w:t>比较法：估价对象作为住宅物业，经估价人员现场调查，估价对象所在区域内房地产交易市场上该类物业有一定数量的交易案例，因此可采用比较法进行评估。</w:t>
      </w:r>
    </w:p>
    <w:p>
      <w:pPr>
        <w:adjustRightInd w:val="0"/>
        <w:snapToGrid w:val="0"/>
        <w:spacing w:line="360" w:lineRule="auto"/>
        <w:ind w:firstLine="560" w:firstLineChars="200"/>
        <w:rPr>
          <w:rFonts w:hint="eastAsia" w:ascii="仿宋_GB2312" w:eastAsia="仿宋_GB2312"/>
          <w:snapToGrid w:val="0"/>
          <w:kern w:val="0"/>
          <w:sz w:val="28"/>
          <w:szCs w:val="20"/>
        </w:rPr>
      </w:pPr>
      <w:r>
        <w:rPr>
          <w:rFonts w:hint="eastAsia" w:ascii="仿宋_GB2312" w:eastAsia="仿宋_GB2312"/>
          <w:snapToGrid w:val="0"/>
          <w:kern w:val="0"/>
          <w:sz w:val="28"/>
          <w:szCs w:val="20"/>
        </w:rPr>
        <w:t>(2)收益法：由于估价对象</w:t>
      </w:r>
      <w:r>
        <w:rPr>
          <w:rFonts w:hint="eastAsia" w:ascii="仿宋_GB2312" w:eastAsia="仿宋_GB2312"/>
          <w:snapToGrid w:val="0"/>
          <w:kern w:val="0"/>
          <w:sz w:val="28"/>
          <w:szCs w:val="28"/>
        </w:rPr>
        <w:t>当地售租比严重失衡，现实租金水平难以真实反映当地实际房价情况，故不适宜采用收益法评估。</w:t>
      </w:r>
    </w:p>
    <w:p>
      <w:pPr>
        <w:adjustRightInd w:val="0"/>
        <w:snapToGrid w:val="0"/>
        <w:spacing w:line="360" w:lineRule="auto"/>
        <w:ind w:firstLine="280" w:firstLineChars="100"/>
        <w:rPr>
          <w:rFonts w:ascii="仿宋_GB2312" w:eastAsia="仿宋_GB2312"/>
          <w:snapToGrid w:val="0"/>
          <w:kern w:val="0"/>
          <w:sz w:val="28"/>
          <w:szCs w:val="20"/>
        </w:rPr>
      </w:pPr>
      <w:r>
        <w:rPr>
          <w:rFonts w:hint="eastAsia" w:ascii="仿宋_GB2312" w:eastAsia="仿宋_GB2312"/>
          <w:snapToGrid w:val="0"/>
          <w:color w:val="FF0000"/>
          <w:kern w:val="0"/>
          <w:sz w:val="28"/>
          <w:szCs w:val="20"/>
        </w:rPr>
        <w:t xml:space="preserve"> </w:t>
      </w:r>
      <w:r>
        <w:rPr>
          <w:rFonts w:hint="eastAsia" w:ascii="仿宋_GB2312" w:eastAsia="仿宋_GB2312"/>
          <w:snapToGrid w:val="0"/>
          <w:kern w:val="0"/>
          <w:sz w:val="28"/>
          <w:szCs w:val="20"/>
        </w:rPr>
        <w:t>(3)成本法：成本法是求取估价对象在价值时点的重新购建价格和折旧，然后将重新购建价格减去折旧来求取估价对象的方法，成本法适用的估价对象包括独立开发建设的整体房地产，很少发生交易而限制了比较法运用的房地产，又没有经济收益或没有潜在经济收益而限制收益法运用的房地产，如工厂、码头、机场以及公益、公用为目的医院、公园、军队营房等房地产。考虑到估价对象现时房地产价格与成本关联性弱，房地产的开发成本较难准确反映房地产的实际市场价值</w:t>
      </w:r>
      <w:r>
        <w:rPr>
          <w:rFonts w:ascii="仿宋_GB2312" w:eastAsia="仿宋_GB2312"/>
          <w:snapToGrid w:val="0"/>
          <w:kern w:val="0"/>
          <w:sz w:val="28"/>
          <w:szCs w:val="20"/>
        </w:rPr>
        <w:t>，故</w:t>
      </w:r>
      <w:r>
        <w:rPr>
          <w:rFonts w:hint="eastAsia" w:ascii="仿宋_GB2312" w:eastAsia="仿宋_GB2312"/>
          <w:snapToGrid w:val="0"/>
          <w:kern w:val="0"/>
          <w:sz w:val="28"/>
          <w:szCs w:val="20"/>
        </w:rPr>
        <w:t>不适宜</w:t>
      </w:r>
      <w:r>
        <w:rPr>
          <w:rFonts w:ascii="仿宋_GB2312" w:eastAsia="仿宋_GB2312"/>
          <w:snapToGrid w:val="0"/>
          <w:kern w:val="0"/>
          <w:sz w:val="28"/>
          <w:szCs w:val="20"/>
        </w:rPr>
        <w:t>采用成本法</w:t>
      </w:r>
      <w:r>
        <w:rPr>
          <w:rFonts w:hint="eastAsia" w:ascii="仿宋_GB2312" w:eastAsia="仿宋_GB2312"/>
          <w:snapToGrid w:val="0"/>
          <w:kern w:val="0"/>
          <w:sz w:val="28"/>
          <w:szCs w:val="20"/>
        </w:rPr>
        <w:t>作为估价方法。</w:t>
      </w:r>
    </w:p>
    <w:p>
      <w:pPr>
        <w:adjustRightInd w:val="0"/>
        <w:snapToGrid w:val="0"/>
        <w:spacing w:line="360" w:lineRule="auto"/>
        <w:ind w:firstLine="560" w:firstLineChars="200"/>
        <w:rPr>
          <w:rFonts w:hint="eastAsia" w:ascii="仿宋_GB2312" w:hAnsi="Bookman Old Style" w:eastAsia="仿宋_GB2312"/>
          <w:bCs/>
          <w:snapToGrid w:val="0"/>
          <w:kern w:val="0"/>
          <w:sz w:val="28"/>
          <w:szCs w:val="28"/>
        </w:rPr>
      </w:pPr>
      <w:r>
        <w:rPr>
          <w:rFonts w:hint="eastAsia" w:ascii="仿宋_GB2312" w:eastAsia="仿宋_GB2312"/>
          <w:snapToGrid w:val="0"/>
          <w:kern w:val="0"/>
          <w:sz w:val="28"/>
          <w:szCs w:val="20"/>
        </w:rPr>
        <w:t>(4)</w:t>
      </w:r>
      <w:r>
        <w:rPr>
          <w:rFonts w:hint="eastAsia" w:ascii="仿宋_GB2312" w:eastAsia="仿宋_GB2312"/>
          <w:sz w:val="28"/>
        </w:rPr>
        <w:t>假设开发法：估价对象属已建成物业，本次估价是</w:t>
      </w:r>
      <w:r>
        <w:rPr>
          <w:rFonts w:hint="eastAsia" w:ascii="仿宋_GB2312" w:hAnsi="Bookman Old Style" w:eastAsia="仿宋_GB2312"/>
          <w:bCs/>
          <w:snapToGrid w:val="0"/>
          <w:kern w:val="0"/>
          <w:sz w:val="28"/>
          <w:szCs w:val="28"/>
        </w:rPr>
        <w:t>以现状用途使用对其价值最为有利为前提进行估价，不适宜更新改造、改变用途、重新开发，故不适宜采用假设开发法。</w:t>
      </w:r>
    </w:p>
    <w:p>
      <w:pPr>
        <w:adjustRightInd w:val="0"/>
        <w:snapToGrid w:val="0"/>
        <w:spacing w:line="360" w:lineRule="auto"/>
        <w:ind w:firstLine="560" w:firstLineChars="200"/>
        <w:rPr>
          <w:rFonts w:hint="eastAsia" w:ascii="仿宋_GB2312" w:hAnsi="Bookman Old Style" w:eastAsia="仿宋_GB2312"/>
          <w:bCs/>
          <w:snapToGrid w:val="0"/>
          <w:kern w:val="0"/>
          <w:sz w:val="28"/>
          <w:szCs w:val="28"/>
        </w:rPr>
      </w:pPr>
      <w:r>
        <w:rPr>
          <w:rFonts w:hint="eastAsia" w:ascii="仿宋_GB2312" w:hAnsi="仿宋" w:eastAsia="仿宋_GB2312"/>
          <w:sz w:val="28"/>
          <w:szCs w:val="28"/>
        </w:rPr>
        <w:t>根据估价对象的特点及本身的实际情况，遵照国家标准《房地产估价规范》，经研究，</w:t>
      </w:r>
      <w:r>
        <w:rPr>
          <w:rFonts w:hint="eastAsia" w:ascii="仿宋_GB2312" w:eastAsia="仿宋_GB2312"/>
          <w:sz w:val="28"/>
        </w:rPr>
        <w:t>在此次评估中，选取收益法</w:t>
      </w:r>
      <w:r>
        <w:rPr>
          <w:rFonts w:hint="eastAsia" w:ascii="仿宋_GB2312" w:eastAsia="仿宋_GB2312"/>
          <w:snapToGrid w:val="0"/>
          <w:kern w:val="0"/>
          <w:sz w:val="28"/>
          <w:szCs w:val="28"/>
        </w:rPr>
        <w:t>作为本次估价采用的基本方法来求取估价对象价值</w:t>
      </w:r>
      <w:r>
        <w:rPr>
          <w:rFonts w:hint="eastAsia" w:ascii="仿宋_GB2312" w:hAnsi="仿宋" w:eastAsia="仿宋_GB2312"/>
          <w:sz w:val="28"/>
          <w:szCs w:val="28"/>
        </w:rPr>
        <w:t>。</w:t>
      </w:r>
    </w:p>
    <w:p>
      <w:pPr>
        <w:adjustRightInd w:val="0"/>
        <w:snapToGrid w:val="0"/>
        <w:spacing w:line="360" w:lineRule="auto"/>
        <w:ind w:firstLine="560" w:firstLineChars="200"/>
        <w:rPr>
          <w:rFonts w:hint="eastAsia" w:ascii="仿宋_GB2312" w:hAnsi="Bookman Old Style" w:eastAsia="仿宋_GB2312"/>
          <w:bCs/>
          <w:snapToGrid w:val="0"/>
          <w:kern w:val="0"/>
          <w:sz w:val="28"/>
          <w:szCs w:val="28"/>
        </w:rPr>
      </w:pPr>
      <w:r>
        <w:rPr>
          <w:rFonts w:hint="eastAsia" w:ascii="仿宋_GB2312" w:hAnsi="Bookman Old Style" w:eastAsia="仿宋_GB2312"/>
          <w:bCs/>
          <w:snapToGrid w:val="0"/>
          <w:kern w:val="0"/>
          <w:sz w:val="28"/>
          <w:szCs w:val="28"/>
        </w:rPr>
        <w:t>2、估价技术路线：</w:t>
      </w:r>
    </w:p>
    <w:p>
      <w:pPr>
        <w:adjustRightInd w:val="0"/>
        <w:snapToGrid w:val="0"/>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z w:val="28"/>
          <w:szCs w:val="28"/>
        </w:rPr>
        <w:t>比较法：是根据市场中的替代原理，将估价对象与具有替代性的，且在价值时点近期市场上交易的类似房地产进行比较，并对类似房地产的成交价格作适当修正，以此估算估价对象的客观合理价格或价值的方法。</w:t>
      </w:r>
    </w:p>
    <w:p>
      <w:pPr>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十、估价结果</w:t>
      </w:r>
    </w:p>
    <w:p>
      <w:pPr>
        <w:snapToGrid w:val="0"/>
        <w:spacing w:line="360" w:lineRule="auto"/>
        <w:ind w:firstLine="560"/>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根据估价目的，遵循估价原则，按照估价工作程序，运用科学的估价方法，仔细考察估价对象的建筑特征及使用和维护情况，经过全面与细致的测算，并结合估价经验和对影响物业价值的因素分析，确定估价对象在价值时点2021年9月17日的市场价值为</w:t>
      </w:r>
      <w:r>
        <w:rPr>
          <w:rFonts w:hint="eastAsia" w:ascii="仿宋_GB2312" w:eastAsia="仿宋_GB2312"/>
          <w:snapToGrid w:val="0"/>
          <w:kern w:val="0"/>
          <w:sz w:val="28"/>
          <w:szCs w:val="28"/>
        </w:rPr>
        <w:t>123.68万元</w:t>
      </w:r>
      <w:r>
        <w:rPr>
          <w:rFonts w:hint="eastAsia" w:ascii="仿宋_GB2312" w:hAnsi="仿宋" w:eastAsia="仿宋_GB2312"/>
          <w:snapToGrid w:val="0"/>
          <w:kern w:val="0"/>
          <w:sz w:val="28"/>
          <w:szCs w:val="28"/>
        </w:rPr>
        <w:t>，人民币大写：</w:t>
      </w:r>
      <w:r>
        <w:rPr>
          <w:rFonts w:ascii="仿宋_GB2312" w:hAnsi="仿宋" w:eastAsia="仿宋_GB2312"/>
          <w:snapToGrid w:val="0"/>
          <w:kern w:val="0"/>
          <w:sz w:val="28"/>
          <w:szCs w:val="28"/>
        </w:rPr>
        <w:fldChar w:fldCharType="begin"/>
      </w:r>
      <w:r>
        <w:rPr>
          <w:rFonts w:ascii="仿宋_GB2312" w:hAnsi="仿宋" w:eastAsia="仿宋_GB2312"/>
          <w:snapToGrid w:val="0"/>
          <w:kern w:val="0"/>
          <w:sz w:val="28"/>
          <w:szCs w:val="28"/>
        </w:rPr>
        <w:instrText xml:space="preserve"> </w:instrText>
      </w:r>
      <w:r>
        <w:rPr>
          <w:rFonts w:hint="eastAsia" w:ascii="仿宋_GB2312" w:hAnsi="仿宋" w:eastAsia="仿宋_GB2312"/>
          <w:snapToGrid w:val="0"/>
          <w:kern w:val="0"/>
          <w:sz w:val="28"/>
          <w:szCs w:val="28"/>
        </w:rPr>
        <w:instrText xml:space="preserve">= </w:instrText>
      </w:r>
      <w:r>
        <w:rPr>
          <w:rFonts w:hint="eastAsia" w:ascii="仿宋_GB2312" w:eastAsia="仿宋_GB2312"/>
          <w:snapToGrid w:val="0"/>
          <w:kern w:val="0"/>
          <w:sz w:val="28"/>
          <w:szCs w:val="28"/>
        </w:rPr>
        <w:instrText xml:space="preserve">320701</w:instrText>
      </w:r>
      <w:r>
        <w:rPr>
          <w:rFonts w:hint="eastAsia" w:ascii="仿宋_GB2312" w:hAnsi="仿宋" w:eastAsia="仿宋_GB2312"/>
          <w:snapToGrid w:val="0"/>
          <w:kern w:val="0"/>
          <w:sz w:val="28"/>
          <w:szCs w:val="28"/>
        </w:rPr>
        <w:instrText xml:space="preserve">00 \* CHINESENUM2</w:instrText>
      </w:r>
      <w:r>
        <w:rPr>
          <w:rFonts w:ascii="仿宋_GB2312" w:hAnsi="仿宋" w:eastAsia="仿宋_GB2312"/>
          <w:snapToGrid w:val="0"/>
          <w:kern w:val="0"/>
          <w:sz w:val="28"/>
          <w:szCs w:val="28"/>
        </w:rPr>
        <w:instrText xml:space="preserve"> </w:instrText>
      </w:r>
      <w:r>
        <w:rPr>
          <w:rFonts w:ascii="仿宋_GB2312" w:hAnsi="仿宋" w:eastAsia="仿宋_GB2312"/>
          <w:snapToGrid w:val="0"/>
          <w:kern w:val="0"/>
          <w:sz w:val="28"/>
          <w:szCs w:val="28"/>
        </w:rPr>
        <w:fldChar w:fldCharType="separate"/>
      </w:r>
      <w:r>
        <w:rPr>
          <w:rFonts w:hint="eastAsia" w:ascii="仿宋_GB2312" w:hAnsi="仿宋" w:eastAsia="仿宋_GB2312"/>
          <w:snapToGrid w:val="0"/>
          <w:kern w:val="0"/>
          <w:sz w:val="28"/>
          <w:szCs w:val="28"/>
          <w:lang/>
        </w:rPr>
        <w:t>壹佰贰拾叁万陆仟捌佰</w:t>
      </w:r>
      <w:r>
        <w:rPr>
          <w:rFonts w:ascii="仿宋_GB2312" w:hAnsi="仿宋" w:eastAsia="仿宋_GB2312"/>
          <w:snapToGrid w:val="0"/>
          <w:kern w:val="0"/>
          <w:sz w:val="28"/>
          <w:szCs w:val="28"/>
        </w:rPr>
        <w:fldChar w:fldCharType="end"/>
      </w:r>
      <w:r>
        <w:rPr>
          <w:rFonts w:hint="eastAsia" w:ascii="仿宋_GB2312" w:hAnsi="仿宋" w:eastAsia="仿宋_GB2312"/>
          <w:snapToGrid w:val="0"/>
          <w:kern w:val="0"/>
          <w:sz w:val="28"/>
          <w:szCs w:val="28"/>
        </w:rPr>
        <w:t>元整</w:t>
      </w:r>
      <w:r>
        <w:rPr>
          <w:rFonts w:hint="eastAsia" w:ascii="仿宋_GB2312" w:eastAsia="仿宋_GB2312"/>
          <w:snapToGrid w:val="0"/>
          <w:kern w:val="0"/>
          <w:sz w:val="28"/>
          <w:szCs w:val="20"/>
        </w:rPr>
        <w:t>，</w:t>
      </w:r>
      <w:r>
        <w:rPr>
          <w:rFonts w:hint="eastAsia" w:ascii="仿宋_GB2312" w:hAnsi="仿宋" w:eastAsia="仿宋_GB2312"/>
          <w:snapToGrid w:val="0"/>
          <w:kern w:val="0"/>
          <w:sz w:val="28"/>
          <w:szCs w:val="28"/>
        </w:rPr>
        <w:t>具体详见《估价结果一览表》。</w:t>
      </w:r>
    </w:p>
    <w:p>
      <w:pPr>
        <w:adjustRightInd w:val="0"/>
        <w:snapToGrid w:val="0"/>
        <w:spacing w:line="360" w:lineRule="auto"/>
        <w:jc w:val="center"/>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估价结果一览表</w:t>
      </w:r>
    </w:p>
    <w:p>
      <w:pPr>
        <w:adjustRightInd w:val="0"/>
        <w:snapToGrid w:val="0"/>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表2</w:t>
      </w:r>
    </w:p>
    <w:tbl>
      <w:tblPr>
        <w:tblStyle w:val="21"/>
        <w:tblW w:w="10490" w:type="dxa"/>
        <w:tblInd w:w="-459" w:type="dxa"/>
        <w:tblLayout w:type="fixed"/>
        <w:tblCellMar>
          <w:top w:w="0" w:type="dxa"/>
          <w:left w:w="108" w:type="dxa"/>
          <w:bottom w:w="0" w:type="dxa"/>
          <w:right w:w="108" w:type="dxa"/>
        </w:tblCellMar>
      </w:tblPr>
      <w:tblGrid>
        <w:gridCol w:w="567"/>
        <w:gridCol w:w="1134"/>
        <w:gridCol w:w="993"/>
        <w:gridCol w:w="2693"/>
        <w:gridCol w:w="709"/>
        <w:gridCol w:w="708"/>
        <w:gridCol w:w="819"/>
        <w:gridCol w:w="882"/>
        <w:gridCol w:w="993"/>
        <w:gridCol w:w="992"/>
      </w:tblGrid>
      <w:tr>
        <w:tblPrEx>
          <w:tblCellMar>
            <w:top w:w="0" w:type="dxa"/>
            <w:left w:w="108" w:type="dxa"/>
            <w:bottom w:w="0" w:type="dxa"/>
            <w:right w:w="108" w:type="dxa"/>
          </w:tblCellMar>
        </w:tblPrEx>
        <w:trPr>
          <w:wBefore w:w="0" w:type="dxa"/>
          <w:wAfter w:w="0" w:type="dxa"/>
          <w:trHeight w:val="810"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不动产权证</w:t>
            </w:r>
          </w:p>
        </w:tc>
        <w:tc>
          <w:tcPr>
            <w:tcW w:w="9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产权人</w:t>
            </w:r>
          </w:p>
        </w:tc>
        <w:tc>
          <w:tcPr>
            <w:tcW w:w="26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坐落</w:t>
            </w:r>
          </w:p>
        </w:tc>
        <w:tc>
          <w:tcPr>
            <w:tcW w:w="70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建筑结构</w:t>
            </w:r>
          </w:p>
        </w:tc>
        <w:tc>
          <w:tcPr>
            <w:tcW w:w="70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规划用途</w:t>
            </w:r>
          </w:p>
        </w:tc>
        <w:tc>
          <w:tcPr>
            <w:tcW w:w="81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楼层</w:t>
            </w:r>
          </w:p>
        </w:tc>
        <w:tc>
          <w:tcPr>
            <w:tcW w:w="88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建筑面积（㎡）</w:t>
            </w:r>
          </w:p>
        </w:tc>
        <w:tc>
          <w:tcPr>
            <w:tcW w:w="99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评估单价（元/㎡）</w:t>
            </w:r>
          </w:p>
        </w:tc>
        <w:tc>
          <w:tcPr>
            <w:tcW w:w="99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评估总价（万元）</w:t>
            </w:r>
          </w:p>
        </w:tc>
      </w:tr>
      <w:tr>
        <w:tblPrEx>
          <w:tblCellMar>
            <w:top w:w="0" w:type="dxa"/>
            <w:left w:w="108" w:type="dxa"/>
            <w:bottom w:w="0" w:type="dxa"/>
            <w:right w:w="108" w:type="dxa"/>
          </w:tblCellMar>
        </w:tblPrEx>
        <w:trPr>
          <w:wBefore w:w="0" w:type="dxa"/>
          <w:wAfter w:w="0" w:type="dxa"/>
          <w:trHeight w:val="915"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00127127</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万顺平</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南昌县象湖新城八月湖路699号伟梦清水湾龙井香院26栋一单元303室</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钢混</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住宅</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3/6</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45.6</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10355</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47.22 </w:t>
            </w:r>
          </w:p>
        </w:tc>
      </w:tr>
      <w:tr>
        <w:tblPrEx>
          <w:tblCellMar>
            <w:top w:w="0" w:type="dxa"/>
            <w:left w:w="108" w:type="dxa"/>
            <w:bottom w:w="0" w:type="dxa"/>
            <w:right w:w="108" w:type="dxa"/>
          </w:tblCellMar>
        </w:tblPrEx>
        <w:trPr>
          <w:wBefore w:w="0" w:type="dxa"/>
          <w:wAfter w:w="0" w:type="dxa"/>
          <w:trHeight w:val="975"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00127128</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万顺平</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南昌县象湖新城八月湖路699号伟梦清水湾龙井香院26栋一单元304室</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钢混</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住宅</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3/6</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73.84</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10355</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76.46 </w:t>
            </w:r>
          </w:p>
        </w:tc>
      </w:tr>
      <w:tr>
        <w:tblPrEx>
          <w:tblCellMar>
            <w:top w:w="0" w:type="dxa"/>
            <w:left w:w="108" w:type="dxa"/>
            <w:bottom w:w="0" w:type="dxa"/>
            <w:right w:w="108" w:type="dxa"/>
          </w:tblCellMar>
        </w:tblPrEx>
        <w:trPr>
          <w:wBefore w:w="0" w:type="dxa"/>
          <w:wAfter w:w="0" w:type="dxa"/>
          <w:trHeight w:val="540" w:hRule="atLeast"/>
        </w:trPr>
        <w:tc>
          <w:tcPr>
            <w:tcW w:w="5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合计</w:t>
            </w:r>
          </w:p>
        </w:tc>
        <w:tc>
          <w:tcPr>
            <w:tcW w:w="1134"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26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709"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708"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819"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882"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 xml:space="preserve">119.44 </w:t>
            </w:r>
          </w:p>
        </w:tc>
        <w:tc>
          <w:tcPr>
            <w:tcW w:w="993"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w:t>
            </w:r>
          </w:p>
        </w:tc>
        <w:tc>
          <w:tcPr>
            <w:tcW w:w="992" w:type="dxa"/>
            <w:tcBorders>
              <w:top w:val="nil"/>
              <w:left w:val="nil"/>
              <w:bottom w:val="single" w:color="auto" w:sz="4" w:space="0"/>
              <w:right w:val="single" w:color="auto" w:sz="4" w:space="0"/>
            </w:tcBorders>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 xml:space="preserve">123.68 </w:t>
            </w:r>
          </w:p>
        </w:tc>
      </w:tr>
    </w:tbl>
    <w:p>
      <w:pPr>
        <w:snapToGrid w:val="0"/>
        <w:spacing w:line="360" w:lineRule="auto"/>
        <w:rPr>
          <w:rFonts w:hint="eastAsia" w:ascii="仿宋_GB2312" w:eastAsia="仿宋_GB2312"/>
          <w:b/>
          <w:snapToGrid w:val="0"/>
          <w:kern w:val="0"/>
          <w:sz w:val="28"/>
          <w:szCs w:val="28"/>
        </w:rPr>
      </w:pPr>
      <w:r>
        <w:rPr>
          <w:rFonts w:ascii="仿宋_GB2312" w:hAnsi="仿宋" w:eastAsia="仿宋_GB2312"/>
          <w:b/>
          <w:snapToGrid w:val="0"/>
          <w:kern w:val="0"/>
          <w:sz w:val="28"/>
          <w:szCs w:val="28"/>
        </w:rPr>
        <w:br w:type="page"/>
      </w:r>
      <w:r>
        <w:rPr>
          <w:rFonts w:hint="eastAsia" w:ascii="仿宋_GB2312" w:eastAsia="仿宋_GB2312"/>
          <w:b/>
          <w:snapToGrid w:val="0"/>
          <w:kern w:val="0"/>
          <w:sz w:val="28"/>
          <w:szCs w:val="28"/>
        </w:rPr>
        <w:t>十一、注册房地产估价师</w:t>
      </w:r>
    </w:p>
    <w:p>
      <w:pPr>
        <w:adjustRightInd w:val="0"/>
        <w:snapToGrid w:val="0"/>
        <w:spacing w:line="360" w:lineRule="auto"/>
        <w:jc w:val="center"/>
        <w:rPr>
          <w:rFonts w:hint="eastAsia" w:ascii="仿宋_GB2312" w:eastAsia="仿宋_GB2312"/>
          <w:b/>
          <w:snapToGrid w:val="0"/>
          <w:kern w:val="0"/>
          <w:sz w:val="28"/>
          <w:szCs w:val="28"/>
        </w:rPr>
      </w:pPr>
      <w:r>
        <w:rPr>
          <w:rFonts w:hint="eastAsia" w:ascii="仿宋_GB2312" w:eastAsia="仿宋_GB2312"/>
          <w:b/>
          <w:snapToGrid w:val="0"/>
          <w:kern w:val="0"/>
          <w:sz w:val="28"/>
          <w:szCs w:val="28"/>
        </w:rPr>
        <w:t>参加估价的注册房地产估价师</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2133"/>
        <w:gridCol w:w="2133"/>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atLeast"/>
          <w:jc w:val="center"/>
        </w:trPr>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姓名</w:t>
            </w:r>
          </w:p>
        </w:tc>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注册号</w:t>
            </w:r>
          </w:p>
        </w:tc>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签名</w:t>
            </w:r>
          </w:p>
        </w:tc>
        <w:tc>
          <w:tcPr>
            <w:tcW w:w="1637"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2" w:hRule="atLeast"/>
          <w:jc w:val="center"/>
        </w:trPr>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邵  勇</w:t>
            </w:r>
          </w:p>
        </w:tc>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3520000070</w:t>
            </w:r>
          </w:p>
        </w:tc>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p>
        </w:tc>
        <w:tc>
          <w:tcPr>
            <w:tcW w:w="1637" w:type="pct"/>
            <w:noWrap w:val="0"/>
            <w:vAlign w:val="center"/>
          </w:tcPr>
          <w:p>
            <w:pPr>
              <w:adjustRightInd w:val="0"/>
              <w:snapToGrid w:val="0"/>
              <w:jc w:val="right"/>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2021年9月27日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1" w:hRule="atLeast"/>
          <w:jc w:val="center"/>
        </w:trPr>
        <w:tc>
          <w:tcPr>
            <w:tcW w:w="1121" w:type="pct"/>
            <w:noWrap w:val="0"/>
            <w:vAlign w:val="center"/>
          </w:tcPr>
          <w:p>
            <w:pPr>
              <w:adjustRightInd w:val="0"/>
              <w:snapToGrid w:val="0"/>
              <w:jc w:val="center"/>
              <w:rPr>
                <w:rFonts w:hint="eastAsia" w:ascii="仿宋_GB2312" w:eastAsia="仿宋_GB2312"/>
                <w:snapToGrid w:val="0"/>
                <w:kern w:val="0"/>
                <w:sz w:val="28"/>
                <w:szCs w:val="28"/>
              </w:rPr>
            </w:pPr>
            <w:r>
              <w:rPr>
                <w:rFonts w:hint="eastAsia" w:ascii="仿宋_GB2312" w:eastAsia="仿宋_GB2312"/>
                <w:snapToGrid w:val="0"/>
                <w:kern w:val="0"/>
                <w:sz w:val="28"/>
                <w:szCs w:val="28"/>
              </w:rPr>
              <w:t>查韶娉</w:t>
            </w:r>
          </w:p>
        </w:tc>
        <w:tc>
          <w:tcPr>
            <w:tcW w:w="1121" w:type="pct"/>
            <w:noWrap w:val="0"/>
            <w:vAlign w:val="center"/>
          </w:tcPr>
          <w:p>
            <w:pPr>
              <w:adjustRightInd w:val="0"/>
              <w:snapToGrid w:val="0"/>
              <w:jc w:val="center"/>
              <w:rPr>
                <w:rFonts w:hint="eastAsia" w:ascii="仿宋_GB2312" w:eastAsia="仿宋_GB2312"/>
                <w:snapToGrid w:val="0"/>
                <w:kern w:val="0"/>
                <w:sz w:val="28"/>
                <w:szCs w:val="28"/>
              </w:rPr>
            </w:pPr>
            <w:r>
              <w:rPr>
                <w:rFonts w:hint="eastAsia" w:ascii="仿宋_GB2312" w:eastAsia="仿宋_GB2312"/>
                <w:snapToGrid w:val="0"/>
                <w:kern w:val="0"/>
                <w:sz w:val="28"/>
                <w:szCs w:val="28"/>
              </w:rPr>
              <w:t>3620000021</w:t>
            </w:r>
          </w:p>
        </w:tc>
        <w:tc>
          <w:tcPr>
            <w:tcW w:w="1121" w:type="pct"/>
            <w:noWrap w:val="0"/>
            <w:vAlign w:val="center"/>
          </w:tcPr>
          <w:p>
            <w:pPr>
              <w:adjustRightInd w:val="0"/>
              <w:snapToGrid w:val="0"/>
              <w:jc w:val="center"/>
              <w:rPr>
                <w:rFonts w:hint="eastAsia" w:ascii="仿宋_GB2312" w:hAnsi="仿宋" w:eastAsia="仿宋_GB2312"/>
                <w:snapToGrid w:val="0"/>
                <w:kern w:val="0"/>
                <w:sz w:val="28"/>
                <w:szCs w:val="28"/>
              </w:rPr>
            </w:pPr>
          </w:p>
        </w:tc>
        <w:tc>
          <w:tcPr>
            <w:tcW w:w="1637" w:type="pct"/>
            <w:noWrap w:val="0"/>
            <w:vAlign w:val="center"/>
          </w:tcPr>
          <w:p>
            <w:pPr>
              <w:adjustRightInd w:val="0"/>
              <w:snapToGrid w:val="0"/>
              <w:jc w:val="right"/>
              <w:rPr>
                <w:rFonts w:hint="eastAsia" w:ascii="仿宋_GB2312" w:hAnsi="仿宋" w:eastAsia="仿宋_GB2312"/>
                <w:snapToGrid w:val="0"/>
                <w:kern w:val="0"/>
                <w:sz w:val="28"/>
                <w:szCs w:val="28"/>
              </w:rPr>
            </w:pPr>
            <w:r>
              <w:rPr>
                <w:rFonts w:hint="eastAsia" w:ascii="仿宋_GB2312" w:hAnsi="仿宋" w:eastAsia="仿宋_GB2312"/>
                <w:snapToGrid w:val="0"/>
                <w:kern w:val="0"/>
                <w:sz w:val="28"/>
                <w:szCs w:val="28"/>
              </w:rPr>
              <w:t>2021年9月27日</w:t>
            </w:r>
          </w:p>
        </w:tc>
      </w:tr>
    </w:tbl>
    <w:p>
      <w:pPr>
        <w:adjustRightInd w:val="0"/>
        <w:snapToGrid w:val="0"/>
        <w:spacing w:line="360" w:lineRule="auto"/>
        <w:ind w:firstLine="560"/>
        <w:outlineLvl w:val="1"/>
        <w:rPr>
          <w:rFonts w:hint="eastAsia" w:ascii="仿宋_GB2312" w:hAnsi="仿宋" w:eastAsia="仿宋_GB2312"/>
          <w:b/>
          <w:snapToGrid w:val="0"/>
          <w:kern w:val="0"/>
          <w:sz w:val="28"/>
          <w:szCs w:val="28"/>
        </w:rPr>
      </w:pPr>
      <w:bookmarkStart w:id="3" w:name="_Toc438541054"/>
    </w:p>
    <w:p>
      <w:pPr>
        <w:adjustRightInd w:val="0"/>
        <w:snapToGrid w:val="0"/>
        <w:spacing w:line="360" w:lineRule="auto"/>
        <w:ind w:firstLine="560"/>
        <w:outlineLvl w:val="1"/>
        <w:rPr>
          <w:rFonts w:hint="eastAsia" w:ascii="仿宋_GB2312" w:hAnsi="仿宋" w:eastAsia="仿宋_GB2312"/>
          <w:b/>
          <w:snapToGrid w:val="0"/>
          <w:kern w:val="0"/>
          <w:sz w:val="28"/>
          <w:szCs w:val="28"/>
        </w:rPr>
      </w:pPr>
      <w:r>
        <w:rPr>
          <w:rFonts w:hint="eastAsia" w:ascii="仿宋_GB2312" w:hAnsi="仿宋" w:eastAsia="仿宋_GB2312"/>
          <w:b/>
          <w:snapToGrid w:val="0"/>
          <w:kern w:val="0"/>
          <w:sz w:val="28"/>
          <w:szCs w:val="28"/>
        </w:rPr>
        <w:t>十二、实地查勘期</w:t>
      </w:r>
      <w:bookmarkEnd w:id="3"/>
    </w:p>
    <w:p>
      <w:pPr>
        <w:pStyle w:val="10"/>
        <w:adjustRightInd w:val="0"/>
        <w:snapToGrid w:val="0"/>
        <w:spacing w:line="360" w:lineRule="auto"/>
        <w:ind w:firstLine="560"/>
        <w:rPr>
          <w:rFonts w:hint="eastAsia" w:ascii="仿宋_GB2312" w:hAnsi="宋体" w:eastAsia="仿宋_GB2312"/>
          <w:snapToGrid w:val="0"/>
          <w:kern w:val="0"/>
          <w:sz w:val="28"/>
          <w:szCs w:val="28"/>
        </w:rPr>
      </w:pPr>
      <w:r>
        <w:rPr>
          <w:rFonts w:hint="eastAsia" w:ascii="仿宋_GB2312" w:hAnsi="宋体" w:eastAsia="仿宋_GB2312"/>
          <w:snapToGrid w:val="0"/>
          <w:kern w:val="0"/>
          <w:sz w:val="28"/>
          <w:szCs w:val="28"/>
        </w:rPr>
        <w:t>2021年9月17日</w:t>
      </w:r>
    </w:p>
    <w:p>
      <w:pPr>
        <w:pStyle w:val="10"/>
        <w:adjustRightInd w:val="0"/>
        <w:snapToGrid w:val="0"/>
        <w:spacing w:line="360" w:lineRule="auto"/>
        <w:ind w:firstLine="560"/>
        <w:rPr>
          <w:rFonts w:hint="eastAsia" w:ascii="仿宋_GB2312" w:eastAsia="仿宋_GB2312"/>
          <w:b/>
          <w:snapToGrid w:val="0"/>
          <w:kern w:val="0"/>
          <w:sz w:val="28"/>
          <w:szCs w:val="28"/>
        </w:rPr>
      </w:pPr>
      <w:r>
        <w:rPr>
          <w:rFonts w:hint="eastAsia" w:ascii="仿宋_GB2312" w:eastAsia="仿宋_GB2312"/>
          <w:b/>
          <w:snapToGrid w:val="0"/>
          <w:kern w:val="0"/>
          <w:sz w:val="28"/>
          <w:szCs w:val="28"/>
        </w:rPr>
        <w:t>十三、估价作业日期</w:t>
      </w:r>
    </w:p>
    <w:p>
      <w:pPr>
        <w:adjustRightInd w:val="0"/>
        <w:snapToGrid w:val="0"/>
        <w:spacing w:line="360" w:lineRule="auto"/>
        <w:outlineLvl w:val="0"/>
        <w:rPr>
          <w:rFonts w:hint="eastAsia" w:ascii="仿宋_GB2312" w:eastAsia="仿宋_GB2312"/>
          <w:snapToGrid w:val="0"/>
          <w:kern w:val="0"/>
          <w:sz w:val="28"/>
          <w:szCs w:val="28"/>
        </w:rPr>
      </w:pPr>
      <w:r>
        <w:rPr>
          <w:rFonts w:hint="eastAsia" w:ascii="仿宋_GB2312" w:eastAsia="仿宋_GB2312"/>
          <w:snapToGrid w:val="0"/>
          <w:kern w:val="0"/>
          <w:sz w:val="28"/>
          <w:szCs w:val="28"/>
        </w:rPr>
        <w:t xml:space="preserve">    2021年9月17日至2021年9月27日</w:t>
      </w:r>
    </w:p>
    <w:p>
      <w:pPr>
        <w:spacing w:line="360" w:lineRule="auto"/>
        <w:rPr>
          <w:rFonts w:hint="eastAsia" w:ascii="仿宋_GB2312" w:hAnsi="仿宋" w:eastAsia="仿宋_GB2312"/>
          <w:snapToGrid w:val="0"/>
          <w:kern w:val="0"/>
          <w:sz w:val="28"/>
          <w:szCs w:val="28"/>
        </w:rPr>
      </w:pPr>
    </w:p>
    <w:p>
      <w:pPr>
        <w:tabs>
          <w:tab w:val="left" w:pos="267"/>
        </w:tabs>
        <w:adjustRightInd w:val="0"/>
        <w:snapToGrid w:val="0"/>
        <w:spacing w:line="180" w:lineRule="exact"/>
        <w:ind w:firstLine="560"/>
        <w:rPr>
          <w:rFonts w:hint="eastAsia" w:ascii="仿宋_GB2312" w:hAnsi="仿宋" w:eastAsia="仿宋_GB2312"/>
          <w:snapToGrid w:val="0"/>
          <w:kern w:val="0"/>
          <w:sz w:val="28"/>
          <w:szCs w:val="28"/>
        </w:rPr>
        <w:sectPr>
          <w:headerReference r:id="rId13" w:type="default"/>
          <w:footerReference r:id="rId14" w:type="default"/>
          <w:pgSz w:w="11906" w:h="16838"/>
          <w:pgMar w:top="1251" w:right="1304" w:bottom="1191" w:left="1304" w:header="851" w:footer="992" w:gutter="0"/>
          <w:pgNumType w:start="1"/>
          <w:cols w:space="720" w:num="1"/>
          <w:docGrid w:linePitch="312" w:charSpace="0"/>
        </w:sectPr>
      </w:pPr>
    </w:p>
    <w:p>
      <w:pPr>
        <w:spacing w:line="360" w:lineRule="auto"/>
        <w:jc w:val="center"/>
        <w:rPr>
          <w:rFonts w:hint="eastAsia" w:ascii="宋体" w:hAnsi="宋体"/>
          <w:b/>
          <w:sz w:val="32"/>
          <w:szCs w:val="32"/>
        </w:rPr>
      </w:pPr>
      <w:r>
        <w:rPr>
          <w:rFonts w:hint="eastAsia" w:ascii="宋体" w:hAnsi="宋体"/>
          <w:b/>
          <w:sz w:val="32"/>
          <w:szCs w:val="32"/>
        </w:rPr>
        <w:t>附    件</w:t>
      </w:r>
    </w:p>
    <w:p>
      <w:pPr>
        <w:spacing w:line="360" w:lineRule="auto"/>
        <w:rPr>
          <w:rFonts w:hint="eastAsia" w:ascii="仿宋_GB2312" w:eastAsia="仿宋_GB2312"/>
          <w:sz w:val="28"/>
          <w:szCs w:val="28"/>
        </w:rPr>
      </w:pP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附件一：</w:t>
      </w:r>
      <w:r>
        <w:rPr>
          <w:rFonts w:hint="eastAsia" w:ascii="仿宋_GB2312" w:hAnsi="宋体" w:eastAsia="仿宋_GB2312"/>
          <w:sz w:val="28"/>
        </w:rPr>
        <w:t>司法技术委托书复印件</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附件二：估价对象位置图</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附件三：估价对象实地查勘情况和相关照片</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附件四：估价对象权属证明复印件</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附件五：房地产估价机构营业执照复印件</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附件六：房地产估价机构资质证书复印件</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附件七：注册房地产估价师估价资格证书复印件</w:t>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420" w:firstLineChars="200"/>
        <w:rPr>
          <w:rFonts w:hint="eastAsia" w:ascii="仿宋_GB2312" w:eastAsia="仿宋_GB2312"/>
          <w:snapToGrid w:val="0"/>
          <w:kern w:val="0"/>
          <w:sz w:val="28"/>
          <w:szCs w:val="28"/>
        </w:rPr>
      </w:pPr>
      <w:r>
        <w:rPr>
          <w:lang/>
        </w:rPr>
        <w:drawing>
          <wp:anchor distT="0" distB="0" distL="114300" distR="114300" simplePos="0" relativeHeight="251662336" behindDoc="1" locked="0" layoutInCell="1" allowOverlap="1">
            <wp:simplePos x="0" y="0"/>
            <wp:positionH relativeFrom="column">
              <wp:posOffset>85090</wp:posOffset>
            </wp:positionH>
            <wp:positionV relativeFrom="paragraph">
              <wp:posOffset>0</wp:posOffset>
            </wp:positionV>
            <wp:extent cx="5483860" cy="7747635"/>
            <wp:effectExtent l="0" t="0" r="2540" b="5715"/>
            <wp:wrapNone/>
            <wp:docPr id="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5"/>
                    <pic:cNvPicPr>
                      <a:picLocks noChangeAspect="1"/>
                    </pic:cNvPicPr>
                  </pic:nvPicPr>
                  <pic:blipFill>
                    <a:blip r:embed="rId16"/>
                    <a:stretch>
                      <a:fillRect/>
                    </a:stretch>
                  </pic:blipFill>
                  <pic:spPr>
                    <a:xfrm>
                      <a:off x="0" y="0"/>
                      <a:ext cx="5483860" cy="7747635"/>
                    </a:xfrm>
                    <a:prstGeom prst="rect">
                      <a:avLst/>
                    </a:prstGeom>
                    <a:noFill/>
                    <a:ln>
                      <a:noFill/>
                    </a:ln>
                  </pic:spPr>
                </pic:pic>
              </a:graphicData>
            </a:graphic>
          </wp:anchor>
        </w:drawing>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jc w:val="center"/>
        <w:rPr>
          <w:rFonts w:hint="eastAsia" w:ascii="仿宋_GB2312" w:eastAsia="仿宋_GB2312"/>
          <w:snapToGrid w:val="0"/>
          <w:kern w:val="0"/>
          <w:sz w:val="28"/>
          <w:szCs w:val="28"/>
        </w:rPr>
      </w:pPr>
      <w:r>
        <w:rPr>
          <w:rFonts w:hint="eastAsia" w:ascii="仿宋_GB2312" w:eastAsia="仿宋_GB2312"/>
          <w:snapToGrid w:val="0"/>
          <w:kern w:val="0"/>
          <w:sz w:val="28"/>
          <w:szCs w:val="28"/>
        </w:rPr>
        <w:t>估价对象位置图</w:t>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kern w:val="0"/>
          <w:sz w:val="28"/>
          <w:szCs w:val="28"/>
          <w:lang/>
        </w:rPr>
        <mc:AlternateContent>
          <mc:Choice Requires="wps">
            <w:drawing>
              <wp:anchor distT="0" distB="0" distL="114300" distR="114300" simplePos="0" relativeHeight="251667456" behindDoc="0" locked="0" layoutInCell="1" allowOverlap="1">
                <wp:simplePos x="0" y="0"/>
                <wp:positionH relativeFrom="column">
                  <wp:posOffset>2334895</wp:posOffset>
                </wp:positionH>
                <wp:positionV relativeFrom="paragraph">
                  <wp:posOffset>3175</wp:posOffset>
                </wp:positionV>
                <wp:extent cx="739140" cy="287020"/>
                <wp:effectExtent l="7620" t="7620" r="15240" b="448310"/>
                <wp:wrapNone/>
                <wp:docPr id="10" name="自选图形 98"/>
                <wp:cNvGraphicFramePr/>
                <a:graphic xmlns:a="http://schemas.openxmlformats.org/drawingml/2006/main">
                  <a:graphicData uri="http://schemas.microsoft.com/office/word/2010/wordprocessingShape">
                    <wps:wsp>
                      <wps:cNvSpPr/>
                      <wps:spPr>
                        <a:xfrm>
                          <a:off x="0" y="0"/>
                          <a:ext cx="739140" cy="287020"/>
                        </a:xfrm>
                        <a:prstGeom prst="wedgeRectCallout">
                          <a:avLst>
                            <a:gd name="adj1" fmla="val -39347"/>
                            <a:gd name="adj2" fmla="val 190046"/>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r>
                              <w:rPr>
                                <w:rFonts w:hint="eastAsia"/>
                              </w:rPr>
                              <w:t>估价对象</w:t>
                            </w:r>
                          </w:p>
                        </w:txbxContent>
                      </wps:txbx>
                      <wps:bodyPr wrap="square" upright="1"/>
                    </wps:wsp>
                  </a:graphicData>
                </a:graphic>
              </wp:anchor>
            </w:drawing>
          </mc:Choice>
          <mc:Fallback>
            <w:pict>
              <v:shape id="自选图形 98" o:spid="_x0000_s1026" o:spt="61" type="#_x0000_t61" style="position:absolute;left:0pt;margin-left:183.85pt;margin-top:0.25pt;height:22.6pt;width:58.2pt;z-index:251667456;mso-width-relative:page;mso-height-relative:page;" fillcolor="#FFFFFF" filled="t" stroked="t" coordsize="21600,21600" o:gfxdata="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xJCQF1gAAAAcBAAAPAAAAAAAAAAEA&#10;IAAAACIAAABkcnMvZG93bnJldi54bWxQSwECFAAUAAAACACHTuJAGc2nuYMCAAAlBQAADgAAAAAA&#10;AAABACAAAAAlAQAAZHJzL2Uyb0RvYy54bWxQSwUGAAAAAAYABgBZAQAAGgYAAAAA&#10;" adj="2301,51850">
                <v:fill type="gradient" on="t" color2="#FFFFFF" angle="90" focus="100%" focussize="0f,0f" focusposition="0f,0f">
                  <o:fill type="gradientUnscaled" v:ext="backwardCompatible"/>
                </v:fill>
                <v:stroke weight="1.25pt" color="#739CC3" joinstyle="miter"/>
                <v:imagedata o:title=""/>
                <o:lock v:ext="edit" aspectratio="f"/>
                <v:textbox>
                  <w:txbxContent>
                    <w:p>
                      <w:r>
                        <w:rPr>
                          <w:rFonts w:hint="eastAsia"/>
                        </w:rPr>
                        <w:t>估价对象</w:t>
                      </w:r>
                    </w:p>
                  </w:txbxContent>
                </v:textbox>
              </v:shape>
            </w:pict>
          </mc:Fallback>
        </mc:AlternateContent>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jc w:val="center"/>
        <w:rPr>
          <w:rFonts w:hint="eastAsia" w:ascii="仿宋_GB2312" w:eastAsia="仿宋_GB2312"/>
          <w:snapToGrid w:val="0"/>
          <w:kern w:val="0"/>
          <w:sz w:val="28"/>
          <w:szCs w:val="28"/>
        </w:rPr>
      </w:pPr>
      <w:r>
        <w:rPr>
          <w:rFonts w:hint="eastAsia" w:ascii="仿宋_GB2312" w:eastAsia="仿宋_GB2312"/>
          <w:snapToGrid w:val="0"/>
          <w:kern w:val="0"/>
          <w:sz w:val="28"/>
          <w:szCs w:val="28"/>
        </w:rPr>
        <w:t>估价对象照片</w:t>
      </w:r>
    </w:p>
    <w:p>
      <w:pPr>
        <w:spacing w:line="360" w:lineRule="auto"/>
        <w:ind w:firstLine="560" w:firstLineChars="200"/>
        <w:rPr>
          <w:rFonts w:hint="eastAsia" w:ascii="仿宋_GB2312" w:eastAsia="仿宋_GB2312"/>
          <w:snapToGrid w:val="0"/>
          <w:kern w:val="0"/>
          <w:sz w:val="28"/>
          <w:szCs w:val="28"/>
        </w:rPr>
      </w:pPr>
      <w:r>
        <w:rPr>
          <w:rFonts w:hint="eastAsia" w:ascii="仿宋_GB2312" w:eastAsia="仿宋_GB2312"/>
          <w:kern w:val="0"/>
          <w:sz w:val="28"/>
          <w:szCs w:val="28"/>
          <w:lang/>
        </w:rPr>
        <w:drawing>
          <wp:anchor distT="0" distB="0" distL="114300" distR="114300" simplePos="0" relativeHeight="251663360" behindDoc="1" locked="0" layoutInCell="1" allowOverlap="1">
            <wp:simplePos x="0" y="0"/>
            <wp:positionH relativeFrom="column">
              <wp:posOffset>3168015</wp:posOffset>
            </wp:positionH>
            <wp:positionV relativeFrom="paragraph">
              <wp:posOffset>197485</wp:posOffset>
            </wp:positionV>
            <wp:extent cx="3094990" cy="2320925"/>
            <wp:effectExtent l="0" t="0" r="10160" b="3175"/>
            <wp:wrapNone/>
            <wp:docPr id="6" name="图片 147" descr="IMG_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7" descr="IMG_7306"/>
                    <pic:cNvPicPr>
                      <a:picLocks noChangeAspect="1"/>
                    </pic:cNvPicPr>
                  </pic:nvPicPr>
                  <pic:blipFill>
                    <a:blip r:embed="rId17"/>
                    <a:stretch>
                      <a:fillRect/>
                    </a:stretch>
                  </pic:blipFill>
                  <pic:spPr>
                    <a:xfrm>
                      <a:off x="0" y="0"/>
                      <a:ext cx="3094990" cy="2320925"/>
                    </a:xfrm>
                    <a:prstGeom prst="rect">
                      <a:avLst/>
                    </a:prstGeom>
                    <a:noFill/>
                    <a:ln>
                      <a:noFill/>
                    </a:ln>
                  </pic:spPr>
                </pic:pic>
              </a:graphicData>
            </a:graphic>
          </wp:anchor>
        </w:drawing>
      </w:r>
      <w:r>
        <w:rPr>
          <w:rFonts w:hint="eastAsia" w:ascii="仿宋_GB2312" w:eastAsia="仿宋_GB2312"/>
          <w:kern w:val="0"/>
          <w:sz w:val="28"/>
          <w:szCs w:val="28"/>
          <w:lang/>
        </w:rPr>
        <w:drawing>
          <wp:anchor distT="0" distB="0" distL="114300" distR="114300" simplePos="0" relativeHeight="251664384" behindDoc="1" locked="0" layoutInCell="1" allowOverlap="1">
            <wp:simplePos x="0" y="0"/>
            <wp:positionH relativeFrom="column">
              <wp:posOffset>-272415</wp:posOffset>
            </wp:positionH>
            <wp:positionV relativeFrom="paragraph">
              <wp:posOffset>197485</wp:posOffset>
            </wp:positionV>
            <wp:extent cx="3070225" cy="2301875"/>
            <wp:effectExtent l="0" t="0" r="15875" b="3175"/>
            <wp:wrapNone/>
            <wp:docPr id="7" name="图片 148" descr="IMG_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8" descr="IMG_7310"/>
                    <pic:cNvPicPr>
                      <a:picLocks noChangeAspect="1"/>
                    </pic:cNvPicPr>
                  </pic:nvPicPr>
                  <pic:blipFill>
                    <a:blip r:embed="rId18"/>
                    <a:stretch>
                      <a:fillRect/>
                    </a:stretch>
                  </pic:blipFill>
                  <pic:spPr>
                    <a:xfrm>
                      <a:off x="0" y="0"/>
                      <a:ext cx="3070225" cy="2301875"/>
                    </a:xfrm>
                    <a:prstGeom prst="rect">
                      <a:avLst/>
                    </a:prstGeom>
                    <a:noFill/>
                    <a:ln>
                      <a:noFill/>
                    </a:ln>
                  </pic:spPr>
                </pic:pic>
              </a:graphicData>
            </a:graphic>
          </wp:anchor>
        </w:drawing>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bookmarkStart w:id="4" w:name="_GoBack"/>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bookmarkEnd w:id="4"/>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jc w:val="center"/>
        <w:rPr>
          <w:rFonts w:hint="eastAsia" w:ascii="仿宋_GB2312" w:eastAsia="仿宋_GB2312"/>
          <w:snapToGrid w:val="0"/>
          <w:kern w:val="0"/>
          <w:sz w:val="28"/>
          <w:szCs w:val="28"/>
        </w:rPr>
      </w:pPr>
    </w:p>
    <w:p>
      <w:pPr>
        <w:spacing w:line="360" w:lineRule="auto"/>
        <w:ind w:firstLine="420" w:firstLineChars="200"/>
        <w:jc w:val="center"/>
        <w:rPr>
          <w:rFonts w:hint="eastAsia" w:ascii="仿宋_GB2312" w:eastAsia="仿宋_GB2312"/>
          <w:snapToGrid w:val="0"/>
          <w:kern w:val="0"/>
          <w:sz w:val="28"/>
          <w:szCs w:val="28"/>
        </w:rPr>
      </w:pPr>
      <w:r>
        <w:rPr>
          <w:lang/>
        </w:rPr>
        <w:drawing>
          <wp:anchor distT="0" distB="0" distL="114300" distR="114300" simplePos="0" relativeHeight="251665408" behindDoc="1" locked="0" layoutInCell="1" allowOverlap="1">
            <wp:simplePos x="0" y="0"/>
            <wp:positionH relativeFrom="column">
              <wp:posOffset>266065</wp:posOffset>
            </wp:positionH>
            <wp:positionV relativeFrom="paragraph">
              <wp:posOffset>26670</wp:posOffset>
            </wp:positionV>
            <wp:extent cx="5485765" cy="7107555"/>
            <wp:effectExtent l="0" t="0" r="635" b="17145"/>
            <wp:wrapNone/>
            <wp:docPr id="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3"/>
                    <pic:cNvPicPr>
                      <a:picLocks noChangeAspect="1"/>
                    </pic:cNvPicPr>
                  </pic:nvPicPr>
                  <pic:blipFill>
                    <a:blip r:embed="rId19"/>
                    <a:stretch>
                      <a:fillRect/>
                    </a:stretch>
                  </pic:blipFill>
                  <pic:spPr>
                    <a:xfrm>
                      <a:off x="0" y="0"/>
                      <a:ext cx="5485765" cy="7107555"/>
                    </a:xfrm>
                    <a:prstGeom prst="rect">
                      <a:avLst/>
                    </a:prstGeom>
                    <a:noFill/>
                    <a:ln>
                      <a:noFill/>
                    </a:ln>
                  </pic:spPr>
                </pic:pic>
              </a:graphicData>
            </a:graphic>
          </wp:anchor>
        </w:drawing>
      </w: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r>
        <w:rPr>
          <w:lang/>
        </w:rPr>
        <w:drawing>
          <wp:anchor distT="0" distB="0" distL="114300" distR="114300" simplePos="0" relativeHeight="251666432" behindDoc="1" locked="0" layoutInCell="1" allowOverlap="1">
            <wp:simplePos x="0" y="0"/>
            <wp:positionH relativeFrom="column">
              <wp:posOffset>308610</wp:posOffset>
            </wp:positionH>
            <wp:positionV relativeFrom="paragraph">
              <wp:posOffset>38735</wp:posOffset>
            </wp:positionV>
            <wp:extent cx="5455920" cy="7636510"/>
            <wp:effectExtent l="0" t="0" r="11430" b="2540"/>
            <wp:wrapNone/>
            <wp:docPr id="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4"/>
                    <pic:cNvPicPr>
                      <a:picLocks noChangeAspect="1"/>
                    </pic:cNvPicPr>
                  </pic:nvPicPr>
                  <pic:blipFill>
                    <a:blip r:embed="rId20"/>
                    <a:stretch>
                      <a:fillRect/>
                    </a:stretch>
                  </pic:blipFill>
                  <pic:spPr>
                    <a:xfrm>
                      <a:off x="0" y="0"/>
                      <a:ext cx="5455920" cy="7636510"/>
                    </a:xfrm>
                    <a:prstGeom prst="rect">
                      <a:avLst/>
                    </a:prstGeom>
                    <a:noFill/>
                    <a:ln>
                      <a:noFill/>
                    </a:ln>
                  </pic:spPr>
                </pic:pic>
              </a:graphicData>
            </a:graphic>
          </wp:anchor>
        </w:drawing>
      </w: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ascii="仿宋_GB2312" w:eastAsia="仿宋_GB2312"/>
          <w:snapToGrid w:val="0"/>
          <w:kern w:val="0"/>
          <w:sz w:val="28"/>
          <w:szCs w:val="28"/>
        </w:rPr>
      </w:pPr>
    </w:p>
    <w:p>
      <w:pPr>
        <w:rPr>
          <w:rFonts w:hint="eastAsia"/>
        </w:rPr>
      </w:pPr>
    </w:p>
    <w:p>
      <w:pPr>
        <w:rPr>
          <w:rFonts w:hint="eastAsia"/>
        </w:rPr>
      </w:pPr>
    </w:p>
    <w:p>
      <w:pPr>
        <w:rPr>
          <w:rFonts w:hint="eastAsia"/>
        </w:rPr>
      </w:pPr>
      <w:r>
        <w:rPr>
          <w:rFonts w:hint="eastAsia"/>
          <w:lang/>
        </w:rPr>
        <w:drawing>
          <wp:anchor distT="0" distB="0" distL="114300" distR="114300" simplePos="0" relativeHeight="251658240" behindDoc="1" locked="0" layoutInCell="1" allowOverlap="1">
            <wp:simplePos x="0" y="0"/>
            <wp:positionH relativeFrom="column">
              <wp:posOffset>274955</wp:posOffset>
            </wp:positionH>
            <wp:positionV relativeFrom="paragraph">
              <wp:posOffset>21590</wp:posOffset>
            </wp:positionV>
            <wp:extent cx="5377815" cy="7606665"/>
            <wp:effectExtent l="0" t="0" r="13335" b="13335"/>
            <wp:wrapNone/>
            <wp:docPr id="1" name="图片 30" descr="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营业执照.jpg"/>
                    <pic:cNvPicPr>
                      <a:picLocks noChangeAspect="1"/>
                    </pic:cNvPicPr>
                  </pic:nvPicPr>
                  <pic:blipFill>
                    <a:blip r:embed="rId21"/>
                    <a:stretch>
                      <a:fillRect/>
                    </a:stretch>
                  </pic:blipFill>
                  <pic:spPr>
                    <a:xfrm>
                      <a:off x="0" y="0"/>
                      <a:ext cx="5377815" cy="7606665"/>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w:drawing>
          <wp:anchor distT="0" distB="0" distL="114300" distR="114300" simplePos="0" relativeHeight="251659264" behindDoc="1" locked="0" layoutInCell="1" allowOverlap="1">
            <wp:simplePos x="0" y="0"/>
            <wp:positionH relativeFrom="column">
              <wp:posOffset>222885</wp:posOffset>
            </wp:positionH>
            <wp:positionV relativeFrom="paragraph">
              <wp:posOffset>0</wp:posOffset>
            </wp:positionV>
            <wp:extent cx="5274310" cy="7455535"/>
            <wp:effectExtent l="0" t="0" r="2540" b="12065"/>
            <wp:wrapNone/>
            <wp:docPr id="2" name="图片 31" descr="备案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descr="备案证书.jpg"/>
                    <pic:cNvPicPr>
                      <a:picLocks noChangeAspect="1"/>
                    </pic:cNvPicPr>
                  </pic:nvPicPr>
                  <pic:blipFill>
                    <a:blip r:embed="rId22"/>
                    <a:stretch>
                      <a:fillRect/>
                    </a:stretch>
                  </pic:blipFill>
                  <pic:spPr>
                    <a:xfrm>
                      <a:off x="0" y="0"/>
                      <a:ext cx="5274310" cy="7455535"/>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w:drawing>
          <wp:anchor distT="0" distB="0" distL="114300" distR="114300" simplePos="0" relativeHeight="251660288" behindDoc="1" locked="0" layoutInCell="1" allowOverlap="1">
            <wp:simplePos x="0" y="0"/>
            <wp:positionH relativeFrom="column">
              <wp:posOffset>311785</wp:posOffset>
            </wp:positionH>
            <wp:positionV relativeFrom="paragraph">
              <wp:posOffset>6350</wp:posOffset>
            </wp:positionV>
            <wp:extent cx="4909185" cy="3495040"/>
            <wp:effectExtent l="0" t="0" r="5715" b="10160"/>
            <wp:wrapNone/>
            <wp:docPr id="3" name="图片 24" descr="邵勇查韶娉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邵勇查韶娉证书"/>
                    <pic:cNvPicPr>
                      <a:picLocks noChangeAspect="1"/>
                    </pic:cNvPicPr>
                  </pic:nvPicPr>
                  <pic:blipFill>
                    <a:blip r:embed="rId23"/>
                    <a:srcRect l="10126" t="7977" r="4532" b="49066"/>
                    <a:stretch>
                      <a:fillRect/>
                    </a:stretch>
                  </pic:blipFill>
                  <pic:spPr>
                    <a:xfrm>
                      <a:off x="0" y="0"/>
                      <a:ext cx="4909185" cy="3495040"/>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420" w:firstLineChars="200"/>
        <w:rPr>
          <w:rFonts w:hint="eastAsia" w:ascii="仿宋_GB2312" w:eastAsia="仿宋_GB2312"/>
          <w:snapToGrid w:val="0"/>
          <w:kern w:val="0"/>
          <w:sz w:val="28"/>
          <w:szCs w:val="28"/>
        </w:rPr>
      </w:pPr>
      <w:r>
        <w:rPr>
          <w:rFonts w:hint="eastAsia"/>
          <w:lang/>
        </w:rPr>
        <w:drawing>
          <wp:anchor distT="0" distB="0" distL="114300" distR="114300" simplePos="0" relativeHeight="251661312" behindDoc="1" locked="0" layoutInCell="1" allowOverlap="1">
            <wp:simplePos x="0" y="0"/>
            <wp:positionH relativeFrom="column">
              <wp:posOffset>311785</wp:posOffset>
            </wp:positionH>
            <wp:positionV relativeFrom="paragraph">
              <wp:posOffset>249555</wp:posOffset>
            </wp:positionV>
            <wp:extent cx="4909185" cy="3502660"/>
            <wp:effectExtent l="0" t="0" r="5715" b="2540"/>
            <wp:wrapNone/>
            <wp:docPr id="4" name="图片 25" descr="查总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查总新证"/>
                    <pic:cNvPicPr>
                      <a:picLocks noChangeAspect="1"/>
                    </pic:cNvPicPr>
                  </pic:nvPicPr>
                  <pic:blipFill>
                    <a:blip r:embed="rId24"/>
                    <a:srcRect l="1468"/>
                    <a:stretch>
                      <a:fillRect/>
                    </a:stretch>
                  </pic:blipFill>
                  <pic:spPr>
                    <a:xfrm>
                      <a:off x="0" y="0"/>
                      <a:ext cx="4909185" cy="3502660"/>
                    </a:xfrm>
                    <a:prstGeom prst="rect">
                      <a:avLst/>
                    </a:prstGeom>
                    <a:noFill/>
                    <a:ln>
                      <a:noFill/>
                    </a:ln>
                  </pic:spPr>
                </pic:pic>
              </a:graphicData>
            </a:graphic>
          </wp:anchor>
        </w:drawing>
      </w: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ind w:firstLine="560" w:firstLineChars="200"/>
        <w:rPr>
          <w:rFonts w:hint="eastAsia" w:ascii="仿宋_GB2312" w:eastAsia="仿宋_GB2312"/>
          <w:snapToGrid w:val="0"/>
          <w:kern w:val="0"/>
          <w:sz w:val="28"/>
          <w:szCs w:val="28"/>
        </w:rPr>
      </w:pPr>
    </w:p>
    <w:p>
      <w:pPr>
        <w:spacing w:line="360" w:lineRule="auto"/>
        <w:rPr>
          <w:rFonts w:hint="eastAsia" w:ascii="仿宋_GB2312" w:eastAsia="仿宋_GB2312"/>
          <w:snapToGrid w:val="0"/>
          <w:kern w:val="0"/>
          <w:sz w:val="28"/>
          <w:szCs w:val="28"/>
        </w:rPr>
      </w:pPr>
    </w:p>
    <w:sectPr>
      <w:pgSz w:w="11906" w:h="16838"/>
      <w:pgMar w:top="2183" w:right="1304" w:bottom="130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1" w:usb1="080E0000" w:usb2="00000010" w:usb3="00000000" w:csb0="00040000" w:csb1="00000000"/>
  </w:font>
  <w:font w:name="仿宋体">
    <w:altName w:val="宋体"/>
    <w:panose1 w:val="02010600030101010101"/>
    <w:charset w:val="86"/>
    <w:family w:val="roman"/>
    <w:pitch w:val="default"/>
    <w:sig w:usb0="00000003" w:usb1="080E0000" w:usb2="00000010" w:usb3="00000000" w:csb0="00040001"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Arial Unicode MS">
    <w:altName w:val="Arial"/>
    <w:panose1 w:val="020B0604020202020204"/>
    <w:charset w:val="00"/>
    <w:family w:val="roman"/>
    <w:pitch w:val="default"/>
    <w:sig w:usb0="00000003" w:usb1="00000000" w:usb2="00000000" w:usb3="00000000" w:csb0="00000001" w:csb1="00000000"/>
  </w:font>
  <w:font w:name="隶书">
    <w:altName w:val="微软雅黑"/>
    <w:panose1 w:val="02010509060101010101"/>
    <w:charset w:val="86"/>
    <w:family w:val="modern"/>
    <w:pitch w:val="default"/>
    <w:sig w:usb0="00000000"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Bookman Old Style">
    <w:altName w:val="Georgia"/>
    <w:panose1 w:val="02050604050505020204"/>
    <w:charset w:val="00"/>
    <w:family w:val="roman"/>
    <w:pitch w:val="default"/>
    <w:sig w:usb0="00000001" w:usb1="00000000" w:usb2="00000000" w:usb3="00000000" w:csb0="000000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5"/>
      </w:rPr>
    </w:pPr>
    <w:r>
      <w:fldChar w:fldCharType="begin"/>
    </w:r>
    <w:r>
      <w:rPr>
        <w:rStyle w:val="25"/>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rPr>
        <w:rStyle w:val="25"/>
      </w:rPr>
      <w:instrText xml:space="preserve"> PAGE </w:instrText>
    </w:r>
    <w:r>
      <w:fldChar w:fldCharType="separate"/>
    </w:r>
    <w:r>
      <w:rPr>
        <w:rStyle w:val="25"/>
        <w:lang/>
      </w:rPr>
      <w:t>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ascii="楷体_GB2312" w:eastAsia="楷体_GB2312"/>
        <w:b/>
        <w:spacing w:val="10"/>
        <w:sz w:val="32"/>
        <w:szCs w:val="32"/>
      </w:rPr>
    </w:pPr>
    <w:r>
      <w:rPr>
        <w:lang/>
      </w:rPr>
      <w:drawing>
        <wp:anchor distT="0" distB="0" distL="114300" distR="114300" simplePos="0" relativeHeight="251658240" behindDoc="0" locked="0" layoutInCell="1" allowOverlap="1">
          <wp:simplePos x="0" y="0"/>
          <wp:positionH relativeFrom="column">
            <wp:posOffset>100965</wp:posOffset>
          </wp:positionH>
          <wp:positionV relativeFrom="paragraph">
            <wp:posOffset>3810</wp:posOffset>
          </wp:positionV>
          <wp:extent cx="714375" cy="552450"/>
          <wp:effectExtent l="0" t="0" r="9525" b="0"/>
          <wp:wrapSquare wrapText="bothSides"/>
          <wp:docPr id="11" name="图片 1" descr="地源标志（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地源标志（黑色）"/>
                  <pic:cNvPicPr>
                    <a:picLocks noChangeAspect="1"/>
                  </pic:cNvPicPr>
                </pic:nvPicPr>
                <pic:blipFill>
                  <a:blip r:embed="rId1"/>
                  <a:stretch>
                    <a:fillRect/>
                  </a:stretch>
                </pic:blipFill>
                <pic:spPr>
                  <a:xfrm>
                    <a:off x="0" y="0"/>
                    <a:ext cx="714375" cy="552450"/>
                  </a:xfrm>
                  <a:prstGeom prst="rect">
                    <a:avLst/>
                  </a:prstGeom>
                  <a:noFill/>
                  <a:ln>
                    <a:noFill/>
                  </a:ln>
                </pic:spPr>
              </pic:pic>
            </a:graphicData>
          </a:graphic>
        </wp:anchor>
      </w:drawing>
    </w:r>
    <w:r>
      <w:rPr>
        <w:rFonts w:ascii="楷体_GB2312" w:eastAsia="楷体_GB2312"/>
        <w:b/>
        <w:spacing w:val="12"/>
        <w:sz w:val="32"/>
      </w:rPr>
      <w:t xml:space="preserve">      </w:t>
    </w:r>
    <w:r>
      <w:rPr>
        <w:rFonts w:hint="eastAsia" w:ascii="楷体_GB2312" w:eastAsia="楷体_GB2312"/>
        <w:b/>
        <w:spacing w:val="10"/>
        <w:sz w:val="32"/>
        <w:szCs w:val="32"/>
      </w:rPr>
      <w:t>江</w:t>
    </w:r>
    <w:r>
      <w:rPr>
        <w:rFonts w:ascii="楷体_GB2312" w:eastAsia="楷体_GB2312"/>
        <w:b/>
        <w:spacing w:val="10"/>
        <w:sz w:val="32"/>
        <w:szCs w:val="32"/>
      </w:rPr>
      <w:t xml:space="preserve"> </w:t>
    </w:r>
    <w:r>
      <w:rPr>
        <w:rFonts w:hint="eastAsia" w:ascii="楷体_GB2312" w:eastAsia="楷体_GB2312"/>
        <w:b/>
        <w:spacing w:val="10"/>
        <w:sz w:val="32"/>
        <w:szCs w:val="32"/>
      </w:rPr>
      <w:t>西</w:t>
    </w:r>
    <w:r>
      <w:rPr>
        <w:rFonts w:ascii="楷体_GB2312" w:eastAsia="楷体_GB2312"/>
        <w:b/>
        <w:spacing w:val="10"/>
        <w:sz w:val="32"/>
        <w:szCs w:val="32"/>
      </w:rPr>
      <w:t xml:space="preserve"> </w:t>
    </w:r>
    <w:r>
      <w:rPr>
        <w:rFonts w:hint="eastAsia" w:ascii="楷体_GB2312" w:eastAsia="楷体_GB2312"/>
        <w:b/>
        <w:spacing w:val="10"/>
        <w:sz w:val="32"/>
        <w:szCs w:val="32"/>
      </w:rPr>
      <w:t>省</w:t>
    </w:r>
    <w:r>
      <w:rPr>
        <w:rFonts w:ascii="楷体_GB2312" w:eastAsia="楷体_GB2312"/>
        <w:b/>
        <w:spacing w:val="10"/>
        <w:sz w:val="32"/>
        <w:szCs w:val="32"/>
      </w:rPr>
      <w:t xml:space="preserve"> </w:t>
    </w:r>
    <w:r>
      <w:rPr>
        <w:rFonts w:hint="eastAsia" w:ascii="楷体_GB2312" w:eastAsia="楷体_GB2312"/>
        <w:b/>
        <w:spacing w:val="10"/>
        <w:sz w:val="32"/>
        <w:szCs w:val="32"/>
      </w:rPr>
      <w:t>地</w:t>
    </w:r>
    <w:r>
      <w:rPr>
        <w:rFonts w:ascii="楷体_GB2312" w:eastAsia="楷体_GB2312"/>
        <w:b/>
        <w:spacing w:val="10"/>
        <w:sz w:val="32"/>
        <w:szCs w:val="32"/>
      </w:rPr>
      <w:t xml:space="preserve"> </w:t>
    </w:r>
    <w:r>
      <w:rPr>
        <w:rFonts w:hint="eastAsia" w:ascii="楷体_GB2312" w:eastAsia="楷体_GB2312"/>
        <w:b/>
        <w:spacing w:val="10"/>
        <w:sz w:val="32"/>
        <w:szCs w:val="32"/>
      </w:rPr>
      <w:t>源</w:t>
    </w:r>
    <w:r>
      <w:rPr>
        <w:rFonts w:ascii="楷体_GB2312" w:eastAsia="楷体_GB2312"/>
        <w:b/>
        <w:spacing w:val="10"/>
        <w:sz w:val="32"/>
        <w:szCs w:val="32"/>
      </w:rPr>
      <w:t xml:space="preserve"> </w:t>
    </w:r>
    <w:r>
      <w:rPr>
        <w:rFonts w:hint="eastAsia" w:ascii="楷体_GB2312" w:eastAsia="楷体_GB2312"/>
        <w:b/>
        <w:spacing w:val="10"/>
        <w:sz w:val="32"/>
        <w:szCs w:val="32"/>
      </w:rPr>
      <w:t>评</w:t>
    </w:r>
    <w:r>
      <w:rPr>
        <w:rFonts w:ascii="楷体_GB2312" w:eastAsia="楷体_GB2312"/>
        <w:b/>
        <w:spacing w:val="10"/>
        <w:sz w:val="32"/>
        <w:szCs w:val="32"/>
      </w:rPr>
      <w:t xml:space="preserve"> </w:t>
    </w:r>
    <w:r>
      <w:rPr>
        <w:rFonts w:hint="eastAsia" w:ascii="楷体_GB2312" w:eastAsia="楷体_GB2312"/>
        <w:b/>
        <w:spacing w:val="10"/>
        <w:sz w:val="32"/>
        <w:szCs w:val="32"/>
      </w:rPr>
      <w:t>估</w:t>
    </w:r>
    <w:r>
      <w:rPr>
        <w:rFonts w:ascii="楷体_GB2312" w:eastAsia="楷体_GB2312"/>
        <w:b/>
        <w:spacing w:val="10"/>
        <w:sz w:val="32"/>
        <w:szCs w:val="32"/>
      </w:rPr>
      <w:t xml:space="preserve"> </w:t>
    </w:r>
    <w:r>
      <w:rPr>
        <w:rFonts w:hint="eastAsia" w:ascii="楷体_GB2312" w:eastAsia="楷体_GB2312"/>
        <w:b/>
        <w:spacing w:val="10"/>
        <w:sz w:val="32"/>
        <w:szCs w:val="32"/>
      </w:rPr>
      <w:t>咨</w:t>
    </w:r>
    <w:r>
      <w:rPr>
        <w:rFonts w:ascii="楷体_GB2312" w:eastAsia="楷体_GB2312"/>
        <w:b/>
        <w:spacing w:val="10"/>
        <w:sz w:val="32"/>
        <w:szCs w:val="32"/>
      </w:rPr>
      <w:t xml:space="preserve"> </w:t>
    </w:r>
    <w:r>
      <w:rPr>
        <w:rFonts w:hint="eastAsia" w:ascii="楷体_GB2312" w:eastAsia="楷体_GB2312"/>
        <w:b/>
        <w:spacing w:val="10"/>
        <w:sz w:val="32"/>
        <w:szCs w:val="32"/>
      </w:rPr>
      <w:t>询</w:t>
    </w:r>
    <w:r>
      <w:rPr>
        <w:rFonts w:ascii="楷体_GB2312" w:eastAsia="楷体_GB2312"/>
        <w:b/>
        <w:spacing w:val="10"/>
        <w:sz w:val="32"/>
        <w:szCs w:val="32"/>
      </w:rPr>
      <w:t xml:space="preserve"> </w:t>
    </w:r>
    <w:r>
      <w:rPr>
        <w:rFonts w:hint="eastAsia" w:ascii="楷体_GB2312" w:eastAsia="楷体_GB2312"/>
        <w:b/>
        <w:spacing w:val="10"/>
        <w:sz w:val="32"/>
        <w:szCs w:val="32"/>
      </w:rPr>
      <w:t>有</w:t>
    </w:r>
    <w:r>
      <w:rPr>
        <w:rFonts w:ascii="楷体_GB2312" w:eastAsia="楷体_GB2312"/>
        <w:b/>
        <w:spacing w:val="10"/>
        <w:sz w:val="32"/>
        <w:szCs w:val="32"/>
      </w:rPr>
      <w:t xml:space="preserve"> </w:t>
    </w:r>
    <w:r>
      <w:rPr>
        <w:rFonts w:hint="eastAsia" w:ascii="楷体_GB2312" w:eastAsia="楷体_GB2312"/>
        <w:b/>
        <w:spacing w:val="10"/>
        <w:sz w:val="32"/>
        <w:szCs w:val="32"/>
      </w:rPr>
      <w:t>限</w:t>
    </w:r>
    <w:r>
      <w:rPr>
        <w:rFonts w:ascii="楷体_GB2312" w:eastAsia="楷体_GB2312"/>
        <w:b/>
        <w:spacing w:val="10"/>
        <w:sz w:val="32"/>
        <w:szCs w:val="32"/>
      </w:rPr>
      <w:t xml:space="preserve"> </w:t>
    </w:r>
    <w:r>
      <w:rPr>
        <w:rFonts w:hint="eastAsia" w:ascii="楷体_GB2312" w:eastAsia="楷体_GB2312"/>
        <w:b/>
        <w:spacing w:val="10"/>
        <w:sz w:val="32"/>
        <w:szCs w:val="32"/>
      </w:rPr>
      <w:t>责</w:t>
    </w:r>
    <w:r>
      <w:rPr>
        <w:rFonts w:ascii="楷体_GB2312" w:eastAsia="楷体_GB2312"/>
        <w:b/>
        <w:spacing w:val="10"/>
        <w:sz w:val="32"/>
        <w:szCs w:val="32"/>
      </w:rPr>
      <w:t xml:space="preserve"> </w:t>
    </w:r>
    <w:r>
      <w:rPr>
        <w:rFonts w:hint="eastAsia" w:ascii="楷体_GB2312" w:eastAsia="楷体_GB2312"/>
        <w:b/>
        <w:spacing w:val="10"/>
        <w:sz w:val="32"/>
        <w:szCs w:val="32"/>
      </w:rPr>
      <w:t>任</w:t>
    </w:r>
    <w:r>
      <w:rPr>
        <w:rFonts w:ascii="楷体_GB2312" w:eastAsia="楷体_GB2312"/>
        <w:b/>
        <w:spacing w:val="10"/>
        <w:sz w:val="32"/>
        <w:szCs w:val="32"/>
      </w:rPr>
      <w:t xml:space="preserve"> </w:t>
    </w:r>
    <w:r>
      <w:rPr>
        <w:rFonts w:hint="eastAsia" w:ascii="楷体_GB2312" w:eastAsia="楷体_GB2312"/>
        <w:b/>
        <w:spacing w:val="10"/>
        <w:sz w:val="32"/>
        <w:szCs w:val="32"/>
      </w:rPr>
      <w:t>公</w:t>
    </w:r>
    <w:r>
      <w:rPr>
        <w:rFonts w:ascii="楷体_GB2312" w:eastAsia="楷体_GB2312"/>
        <w:b/>
        <w:spacing w:val="10"/>
        <w:sz w:val="32"/>
        <w:szCs w:val="32"/>
      </w:rPr>
      <w:t xml:space="preserve"> </w:t>
    </w:r>
    <w:r>
      <w:rPr>
        <w:rFonts w:hint="eastAsia" w:ascii="楷体_GB2312" w:eastAsia="楷体_GB2312"/>
        <w:b/>
        <w:spacing w:val="10"/>
        <w:sz w:val="32"/>
        <w:szCs w:val="32"/>
      </w:rPr>
      <w:t>司</w:t>
    </w:r>
  </w:p>
  <w:p>
    <w:pPr>
      <w:pStyle w:val="14"/>
      <w:ind w:firstLine="1543" w:firstLineChars="735"/>
      <w:jc w:val="both"/>
      <w:rPr>
        <w:rFonts w:hint="eastAsia" w:ascii="楷体_GB2312" w:eastAsia="楷体_GB2312"/>
        <w:szCs w:val="21"/>
      </w:rPr>
    </w:pPr>
    <w:r>
      <w:rPr>
        <w:rFonts w:hint="eastAsia" w:ascii="楷体_GB2312" w:eastAsia="楷体_GB2312"/>
        <w:szCs w:val="21"/>
      </w:rPr>
      <w:t xml:space="preserve">地址：南昌市红谷滩新区红谷中大道1376号    </w:t>
    </w:r>
    <w:r>
      <w:rPr>
        <w:rFonts w:ascii="楷体_GB2312" w:eastAsia="楷体_GB2312"/>
        <w:szCs w:val="21"/>
      </w:rPr>
      <w:t xml:space="preserve"> </w:t>
    </w:r>
    <w:r>
      <w:rPr>
        <w:rFonts w:hint="eastAsia" w:ascii="楷体_GB2312" w:eastAsia="楷体_GB2312"/>
        <w:szCs w:val="21"/>
      </w:rPr>
      <w:t>电话：</w:t>
    </w:r>
    <w:r>
      <w:rPr>
        <w:rFonts w:ascii="楷体_GB2312" w:eastAsia="楷体_GB2312"/>
        <w:szCs w:val="21"/>
      </w:rPr>
      <w:t xml:space="preserve">(0791) </w:t>
    </w:r>
    <w:r>
      <w:rPr>
        <w:rFonts w:hint="eastAsia" w:ascii="楷体_GB2312" w:eastAsia="楷体_GB2312"/>
        <w:szCs w:val="21"/>
      </w:rPr>
      <w:t>2177808</w:t>
    </w:r>
  </w:p>
  <w:p>
    <w:pPr>
      <w:pStyle w:val="14"/>
      <w:jc w:val="both"/>
      <w:rPr>
        <w:rFonts w:hint="eastAsia" w:ascii="楷体_GB2312" w:eastAsia="楷体_GB2312"/>
        <w:szCs w:val="21"/>
      </w:rPr>
    </w:pPr>
    <w:r>
      <w:rPr>
        <w:rFonts w:ascii="楷体_GB2312" w:eastAsia="楷体_GB2312"/>
        <w:szCs w:val="21"/>
      </w:rPr>
      <w:t xml:space="preserve">       </w:t>
    </w:r>
    <w:r>
      <w:rPr>
        <w:rFonts w:hint="eastAsia" w:ascii="楷体_GB2312" w:eastAsia="楷体_GB2312"/>
        <w:szCs w:val="21"/>
      </w:rPr>
      <w:t xml:space="preserve">       </w:t>
    </w:r>
    <w:r>
      <w:rPr>
        <w:rFonts w:ascii="楷体_GB2312" w:eastAsia="楷体_GB2312"/>
        <w:szCs w:val="21"/>
      </w:rPr>
      <w:t xml:space="preserve"> </w:t>
    </w:r>
    <w:r>
      <w:rPr>
        <w:rFonts w:hint="eastAsia" w:ascii="楷体_GB2312" w:eastAsia="楷体_GB2312"/>
        <w:szCs w:val="21"/>
      </w:rPr>
      <w:t>邮编：</w:t>
    </w:r>
    <w:r>
      <w:rPr>
        <w:rFonts w:ascii="楷体_GB2312" w:eastAsia="楷体_GB2312"/>
        <w:szCs w:val="21"/>
      </w:rPr>
      <w:t>3300</w:t>
    </w:r>
    <w:r>
      <w:rPr>
        <w:rFonts w:hint="eastAsia" w:ascii="楷体_GB2312" w:eastAsia="楷体_GB2312"/>
        <w:szCs w:val="21"/>
      </w:rPr>
      <w:t>38</w:t>
    </w:r>
    <w:r>
      <w:rPr>
        <w:rFonts w:ascii="楷体_GB2312" w:eastAsia="楷体_GB2312"/>
        <w:szCs w:val="21"/>
      </w:rPr>
      <w:t xml:space="preserve">  </w:t>
    </w:r>
    <w:r>
      <w:rPr>
        <w:rFonts w:hint="eastAsia" w:ascii="楷体_GB2312" w:eastAsia="楷体_GB2312"/>
        <w:szCs w:val="21"/>
      </w:rPr>
      <w:t xml:space="preserve">                   </w:t>
    </w:r>
    <w:r>
      <w:rPr>
        <w:rFonts w:ascii="楷体_GB2312" w:eastAsia="楷体_GB2312"/>
        <w:szCs w:val="21"/>
      </w:rPr>
      <w:t xml:space="preserve">   </w:t>
    </w:r>
    <w:r>
      <w:rPr>
        <w:rFonts w:hint="eastAsia" w:ascii="楷体_GB2312" w:eastAsia="楷体_GB2312"/>
        <w:szCs w:val="21"/>
      </w:rPr>
      <w:t xml:space="preserve">       </w:t>
    </w:r>
    <w:r>
      <w:rPr>
        <w:rFonts w:ascii="楷体_GB2312" w:eastAsia="楷体_GB2312"/>
        <w:szCs w:val="21"/>
      </w:rPr>
      <w:t xml:space="preserve"> </w:t>
    </w:r>
    <w:r>
      <w:rPr>
        <w:rFonts w:hint="eastAsia" w:ascii="楷体_GB2312" w:eastAsia="楷体_GB2312"/>
        <w:szCs w:val="21"/>
      </w:rPr>
      <w:t>传真：</w:t>
    </w:r>
    <w:r>
      <w:rPr>
        <w:rFonts w:ascii="楷体_GB2312" w:eastAsia="楷体_GB2312"/>
        <w:szCs w:val="21"/>
      </w:rPr>
      <w:t xml:space="preserve">(0791) </w:t>
    </w:r>
    <w:r>
      <w:rPr>
        <w:rFonts w:hint="eastAsia" w:ascii="楷体_GB2312" w:eastAsia="楷体_GB2312"/>
        <w:szCs w:val="21"/>
      </w:rPr>
      <w:t>2177805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855"/>
        <w:tab w:val="clear" w:pos="4153"/>
        <w:tab w:val="clear" w:pos="8306"/>
      </w:tabs>
      <w:jc w:val="both"/>
      <w:rPr>
        <w:rFonts w:hint="eastAsia" w:ascii="宋体" w:hAnsi="宋体"/>
      </w:rPr>
    </w:pPr>
    <w:r>
      <w:rPr>
        <w:rFonts w:hint="eastAsia" w:ascii="宋体" w:hAnsi="宋体"/>
      </w:rPr>
      <w:t>江西怡信房地产土地资产评估有限公司</w:t>
    </w:r>
    <w:r>
      <w:rPr>
        <w:rFonts w:ascii="宋体" w:hAnsi="宋体"/>
      </w:rPr>
      <w:tab/>
    </w:r>
    <w:r>
      <w:rPr>
        <w:rFonts w:hint="eastAsia" w:ascii="宋体" w:hAnsi="宋体"/>
      </w:rPr>
      <w:t>联系电话：0791-86210966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750"/>
        <w:tab w:val="clear" w:pos="4153"/>
        <w:tab w:val="clear" w:pos="8306"/>
      </w:tabs>
      <w:jc w:val="both"/>
      <w:rPr>
        <w:rFonts w:hint="eastAsia" w:ascii="宋体" w:hAnsi="宋体"/>
      </w:rPr>
    </w:pPr>
    <w:r>
      <w:rPr>
        <w:rFonts w:hint="eastAsia" w:ascii="宋体" w:hAnsi="宋体"/>
      </w:rPr>
      <w:t>江西怡信房地产土地资产评估有限公司</w:t>
    </w:r>
    <w:r>
      <w:rPr>
        <w:rFonts w:ascii="宋体" w:hAnsi="宋体"/>
      </w:rPr>
      <w:tab/>
    </w:r>
    <w:r>
      <w:rPr>
        <w:rFonts w:hint="eastAsia" w:ascii="宋体" w:hAnsi="宋体"/>
      </w:rPr>
      <w:t>联系电话：0791-86210966</w:t>
    </w:r>
  </w:p>
  <w:p>
    <w:pPr>
      <w:rPr>
        <w:rFonts w:ascii="宋体" w:hAnsi="宋体"/>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ascii="宋体" w:hAnsi="宋体"/>
        <w:szCs w:val="21"/>
      </w:rPr>
    </w:pPr>
    <w:r>
      <w:rPr>
        <w:rFonts w:hint="eastAsia" w:ascii="宋体" w:hAnsi="宋体"/>
      </w:rPr>
      <w:t xml:space="preserve">江西怡信房地产土地资产评估有限公司                   </w:t>
    </w:r>
    <w:r>
      <w:rPr>
        <w:rFonts w:ascii="宋体" w:hAnsi="宋体"/>
      </w:rPr>
      <w:tab/>
    </w:r>
    <w:r>
      <w:rPr>
        <w:rFonts w:hint="eastAsia" w:ascii="宋体" w:hAnsi="宋体"/>
      </w:rPr>
      <w:t xml:space="preserve">           联系电话：0791-86210966</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tentative="0">
      <w:start w:val="6"/>
      <w:numFmt w:val="upperLetter"/>
      <w:pStyle w:val="2"/>
      <w:lvlText w:val="%1、 "/>
      <w:legacy w:legacy="1" w:legacySpace="0" w:legacyIndent="552"/>
      <w:lvlJc w:val="left"/>
      <w:pPr>
        <w:ind w:left="1272" w:hanging="552"/>
      </w:pPr>
      <w:rPr>
        <w:rFonts w:hint="eastAsia" w:ascii="仿宋_GB2312" w:eastAsia="仿宋_GB2312"/>
        <w:b w:val="0"/>
        <w:i w:val="0"/>
        <w:sz w:val="28"/>
        <w:u w:val="none"/>
      </w:rPr>
    </w:lvl>
  </w:abstractNum>
  <w:abstractNum w:abstractNumId="1">
    <w:nsid w:val="00000007"/>
    <w:multiLevelType w:val="singleLevel"/>
    <w:tmpl w:val="00000007"/>
    <w:lvl w:ilvl="0" w:tentative="0">
      <w:start w:val="1"/>
      <w:numFmt w:val="upperLetter"/>
      <w:pStyle w:val="3"/>
      <w:lvlText w:val="%1、"/>
      <w:lvlJc w:val="left"/>
      <w:pPr>
        <w:tabs>
          <w:tab w:val="left" w:pos="984"/>
        </w:tabs>
        <w:ind w:left="984"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6"/>
    <w:rsid w:val="000019C6"/>
    <w:rsid w:val="0000213B"/>
    <w:rsid w:val="000023FC"/>
    <w:rsid w:val="00002EB8"/>
    <w:rsid w:val="00005084"/>
    <w:rsid w:val="000057A5"/>
    <w:rsid w:val="00005FA3"/>
    <w:rsid w:val="0000624B"/>
    <w:rsid w:val="0000659D"/>
    <w:rsid w:val="000068F7"/>
    <w:rsid w:val="00006CAA"/>
    <w:rsid w:val="0001007F"/>
    <w:rsid w:val="00010B78"/>
    <w:rsid w:val="000116EA"/>
    <w:rsid w:val="00012404"/>
    <w:rsid w:val="00012A6E"/>
    <w:rsid w:val="00015249"/>
    <w:rsid w:val="000172D6"/>
    <w:rsid w:val="00017EE3"/>
    <w:rsid w:val="000218BE"/>
    <w:rsid w:val="0002553B"/>
    <w:rsid w:val="00025B06"/>
    <w:rsid w:val="000262B6"/>
    <w:rsid w:val="00026583"/>
    <w:rsid w:val="0003076A"/>
    <w:rsid w:val="000308A7"/>
    <w:rsid w:val="00031411"/>
    <w:rsid w:val="000314DD"/>
    <w:rsid w:val="00031607"/>
    <w:rsid w:val="000318BC"/>
    <w:rsid w:val="00032AED"/>
    <w:rsid w:val="0003548C"/>
    <w:rsid w:val="0003658A"/>
    <w:rsid w:val="00036F4E"/>
    <w:rsid w:val="000378AF"/>
    <w:rsid w:val="00037E84"/>
    <w:rsid w:val="0004191B"/>
    <w:rsid w:val="000426AB"/>
    <w:rsid w:val="00044D82"/>
    <w:rsid w:val="00047D1D"/>
    <w:rsid w:val="00051B67"/>
    <w:rsid w:val="00052898"/>
    <w:rsid w:val="000554C2"/>
    <w:rsid w:val="00056168"/>
    <w:rsid w:val="000561CA"/>
    <w:rsid w:val="00056A94"/>
    <w:rsid w:val="00057083"/>
    <w:rsid w:val="000637BB"/>
    <w:rsid w:val="0006397F"/>
    <w:rsid w:val="00064240"/>
    <w:rsid w:val="00066A15"/>
    <w:rsid w:val="00067A77"/>
    <w:rsid w:val="0007098B"/>
    <w:rsid w:val="000709F3"/>
    <w:rsid w:val="00070F43"/>
    <w:rsid w:val="000716BE"/>
    <w:rsid w:val="000717B2"/>
    <w:rsid w:val="00071B61"/>
    <w:rsid w:val="00073F71"/>
    <w:rsid w:val="0007454B"/>
    <w:rsid w:val="00076602"/>
    <w:rsid w:val="00076EF0"/>
    <w:rsid w:val="00080A8E"/>
    <w:rsid w:val="0008139B"/>
    <w:rsid w:val="00081F31"/>
    <w:rsid w:val="00082DA3"/>
    <w:rsid w:val="00082DE3"/>
    <w:rsid w:val="00082FDD"/>
    <w:rsid w:val="00083195"/>
    <w:rsid w:val="00084B2B"/>
    <w:rsid w:val="00085205"/>
    <w:rsid w:val="00085CBF"/>
    <w:rsid w:val="00086A59"/>
    <w:rsid w:val="00090D9D"/>
    <w:rsid w:val="00090F0A"/>
    <w:rsid w:val="00092083"/>
    <w:rsid w:val="0009273E"/>
    <w:rsid w:val="00092E3D"/>
    <w:rsid w:val="0009331F"/>
    <w:rsid w:val="00094C9B"/>
    <w:rsid w:val="00094D00"/>
    <w:rsid w:val="00095C59"/>
    <w:rsid w:val="000A2AE2"/>
    <w:rsid w:val="000A2EA1"/>
    <w:rsid w:val="000A4744"/>
    <w:rsid w:val="000A5269"/>
    <w:rsid w:val="000A5671"/>
    <w:rsid w:val="000A5F01"/>
    <w:rsid w:val="000A70EA"/>
    <w:rsid w:val="000A7968"/>
    <w:rsid w:val="000B0401"/>
    <w:rsid w:val="000B18B9"/>
    <w:rsid w:val="000B2DE7"/>
    <w:rsid w:val="000B395A"/>
    <w:rsid w:val="000B3D98"/>
    <w:rsid w:val="000B461C"/>
    <w:rsid w:val="000B4AC8"/>
    <w:rsid w:val="000B50A9"/>
    <w:rsid w:val="000B50DB"/>
    <w:rsid w:val="000B6B66"/>
    <w:rsid w:val="000B741E"/>
    <w:rsid w:val="000B7B1A"/>
    <w:rsid w:val="000B7BF9"/>
    <w:rsid w:val="000C00BD"/>
    <w:rsid w:val="000C0651"/>
    <w:rsid w:val="000C1EC9"/>
    <w:rsid w:val="000C227E"/>
    <w:rsid w:val="000C3670"/>
    <w:rsid w:val="000C3B57"/>
    <w:rsid w:val="000C4D59"/>
    <w:rsid w:val="000C54FB"/>
    <w:rsid w:val="000C6AB6"/>
    <w:rsid w:val="000C6FD2"/>
    <w:rsid w:val="000D0A1E"/>
    <w:rsid w:val="000D164A"/>
    <w:rsid w:val="000D26E3"/>
    <w:rsid w:val="000D2DD4"/>
    <w:rsid w:val="000D31CD"/>
    <w:rsid w:val="000D4ACB"/>
    <w:rsid w:val="000D4F00"/>
    <w:rsid w:val="000D6358"/>
    <w:rsid w:val="000D7903"/>
    <w:rsid w:val="000D7E82"/>
    <w:rsid w:val="000E09FA"/>
    <w:rsid w:val="000E1E66"/>
    <w:rsid w:val="000E2C9B"/>
    <w:rsid w:val="000E33D7"/>
    <w:rsid w:val="000E38B2"/>
    <w:rsid w:val="000E5E74"/>
    <w:rsid w:val="000E6587"/>
    <w:rsid w:val="000E7020"/>
    <w:rsid w:val="000E7317"/>
    <w:rsid w:val="000E7F3E"/>
    <w:rsid w:val="000F0082"/>
    <w:rsid w:val="000F02EF"/>
    <w:rsid w:val="000F07B6"/>
    <w:rsid w:val="000F1818"/>
    <w:rsid w:val="000F191E"/>
    <w:rsid w:val="000F2260"/>
    <w:rsid w:val="000F3B40"/>
    <w:rsid w:val="000F50AF"/>
    <w:rsid w:val="000F53A6"/>
    <w:rsid w:val="000F5C81"/>
    <w:rsid w:val="000F7DE5"/>
    <w:rsid w:val="001002BD"/>
    <w:rsid w:val="00100797"/>
    <w:rsid w:val="00100C6D"/>
    <w:rsid w:val="00105153"/>
    <w:rsid w:val="00106F12"/>
    <w:rsid w:val="0010745F"/>
    <w:rsid w:val="001079AB"/>
    <w:rsid w:val="00107AE8"/>
    <w:rsid w:val="0011208C"/>
    <w:rsid w:val="00113810"/>
    <w:rsid w:val="00114B89"/>
    <w:rsid w:val="0011504B"/>
    <w:rsid w:val="001171B2"/>
    <w:rsid w:val="00117EE9"/>
    <w:rsid w:val="00120A3C"/>
    <w:rsid w:val="00121DC6"/>
    <w:rsid w:val="00122A82"/>
    <w:rsid w:val="00123855"/>
    <w:rsid w:val="001246EA"/>
    <w:rsid w:val="00125F7F"/>
    <w:rsid w:val="00126FCE"/>
    <w:rsid w:val="00127FA7"/>
    <w:rsid w:val="001317C2"/>
    <w:rsid w:val="00131FCE"/>
    <w:rsid w:val="00132324"/>
    <w:rsid w:val="001352DD"/>
    <w:rsid w:val="0013537A"/>
    <w:rsid w:val="00135CA8"/>
    <w:rsid w:val="00136F46"/>
    <w:rsid w:val="00140856"/>
    <w:rsid w:val="001411BC"/>
    <w:rsid w:val="00142746"/>
    <w:rsid w:val="00142D00"/>
    <w:rsid w:val="00143383"/>
    <w:rsid w:val="0014341D"/>
    <w:rsid w:val="0014444B"/>
    <w:rsid w:val="001447D4"/>
    <w:rsid w:val="00145E82"/>
    <w:rsid w:val="0014665A"/>
    <w:rsid w:val="00146E0A"/>
    <w:rsid w:val="00147ED4"/>
    <w:rsid w:val="001524DA"/>
    <w:rsid w:val="0015269A"/>
    <w:rsid w:val="00152AA5"/>
    <w:rsid w:val="001543E8"/>
    <w:rsid w:val="00154A73"/>
    <w:rsid w:val="00155430"/>
    <w:rsid w:val="00155F5C"/>
    <w:rsid w:val="001615DF"/>
    <w:rsid w:val="00161930"/>
    <w:rsid w:val="001628AC"/>
    <w:rsid w:val="00162EF0"/>
    <w:rsid w:val="00165AA5"/>
    <w:rsid w:val="00165EB5"/>
    <w:rsid w:val="00167692"/>
    <w:rsid w:val="00167E8F"/>
    <w:rsid w:val="00170B43"/>
    <w:rsid w:val="00172247"/>
    <w:rsid w:val="001751FF"/>
    <w:rsid w:val="00180BAD"/>
    <w:rsid w:val="001816CA"/>
    <w:rsid w:val="00181ECF"/>
    <w:rsid w:val="00183F6E"/>
    <w:rsid w:val="00186410"/>
    <w:rsid w:val="00186B3E"/>
    <w:rsid w:val="00191430"/>
    <w:rsid w:val="001921D5"/>
    <w:rsid w:val="00192356"/>
    <w:rsid w:val="00193201"/>
    <w:rsid w:val="00193888"/>
    <w:rsid w:val="00195049"/>
    <w:rsid w:val="00195B29"/>
    <w:rsid w:val="00195BFC"/>
    <w:rsid w:val="00195E69"/>
    <w:rsid w:val="0019607D"/>
    <w:rsid w:val="001961EC"/>
    <w:rsid w:val="001969C6"/>
    <w:rsid w:val="001A0202"/>
    <w:rsid w:val="001A0350"/>
    <w:rsid w:val="001A07C7"/>
    <w:rsid w:val="001A2073"/>
    <w:rsid w:val="001A3826"/>
    <w:rsid w:val="001A3B68"/>
    <w:rsid w:val="001A4087"/>
    <w:rsid w:val="001A4A22"/>
    <w:rsid w:val="001A5986"/>
    <w:rsid w:val="001A5DD1"/>
    <w:rsid w:val="001A6650"/>
    <w:rsid w:val="001A7506"/>
    <w:rsid w:val="001A7DD5"/>
    <w:rsid w:val="001B0334"/>
    <w:rsid w:val="001B0526"/>
    <w:rsid w:val="001B1370"/>
    <w:rsid w:val="001B428C"/>
    <w:rsid w:val="001B4585"/>
    <w:rsid w:val="001B604A"/>
    <w:rsid w:val="001B728E"/>
    <w:rsid w:val="001B73E8"/>
    <w:rsid w:val="001B765D"/>
    <w:rsid w:val="001B7EE0"/>
    <w:rsid w:val="001C0495"/>
    <w:rsid w:val="001C0D45"/>
    <w:rsid w:val="001C0E21"/>
    <w:rsid w:val="001C34F5"/>
    <w:rsid w:val="001C4788"/>
    <w:rsid w:val="001C4BBB"/>
    <w:rsid w:val="001C590D"/>
    <w:rsid w:val="001C67A0"/>
    <w:rsid w:val="001D101B"/>
    <w:rsid w:val="001D1419"/>
    <w:rsid w:val="001D177F"/>
    <w:rsid w:val="001D22C6"/>
    <w:rsid w:val="001D2D66"/>
    <w:rsid w:val="001D395B"/>
    <w:rsid w:val="001D3F00"/>
    <w:rsid w:val="001D4F32"/>
    <w:rsid w:val="001D6077"/>
    <w:rsid w:val="001D7A74"/>
    <w:rsid w:val="001E064B"/>
    <w:rsid w:val="001E3221"/>
    <w:rsid w:val="001E454D"/>
    <w:rsid w:val="001E4F83"/>
    <w:rsid w:val="001E5E12"/>
    <w:rsid w:val="001E5E67"/>
    <w:rsid w:val="001E7372"/>
    <w:rsid w:val="001E7EFE"/>
    <w:rsid w:val="001F004A"/>
    <w:rsid w:val="001F087E"/>
    <w:rsid w:val="001F091E"/>
    <w:rsid w:val="001F25B5"/>
    <w:rsid w:val="001F270C"/>
    <w:rsid w:val="001F2D34"/>
    <w:rsid w:val="001F6362"/>
    <w:rsid w:val="001F6FD4"/>
    <w:rsid w:val="001F760B"/>
    <w:rsid w:val="0020000A"/>
    <w:rsid w:val="0020077E"/>
    <w:rsid w:val="002016C8"/>
    <w:rsid w:val="00201F59"/>
    <w:rsid w:val="002028BB"/>
    <w:rsid w:val="00202F74"/>
    <w:rsid w:val="00204180"/>
    <w:rsid w:val="00204F07"/>
    <w:rsid w:val="002054A9"/>
    <w:rsid w:val="00205709"/>
    <w:rsid w:val="00205B3F"/>
    <w:rsid w:val="002066D2"/>
    <w:rsid w:val="0021002F"/>
    <w:rsid w:val="002136CC"/>
    <w:rsid w:val="00215341"/>
    <w:rsid w:val="002165DD"/>
    <w:rsid w:val="00216B3F"/>
    <w:rsid w:val="0021750D"/>
    <w:rsid w:val="00220F46"/>
    <w:rsid w:val="00221FED"/>
    <w:rsid w:val="002226FA"/>
    <w:rsid w:val="00224D06"/>
    <w:rsid w:val="00230AE7"/>
    <w:rsid w:val="00231A2F"/>
    <w:rsid w:val="00231F00"/>
    <w:rsid w:val="00232168"/>
    <w:rsid w:val="002324BE"/>
    <w:rsid w:val="00233FFE"/>
    <w:rsid w:val="00236B0A"/>
    <w:rsid w:val="00237463"/>
    <w:rsid w:val="0024029E"/>
    <w:rsid w:val="002431EC"/>
    <w:rsid w:val="002442D2"/>
    <w:rsid w:val="002459B3"/>
    <w:rsid w:val="00246662"/>
    <w:rsid w:val="00247351"/>
    <w:rsid w:val="00247EF1"/>
    <w:rsid w:val="00247FDB"/>
    <w:rsid w:val="00250253"/>
    <w:rsid w:val="00250496"/>
    <w:rsid w:val="00251532"/>
    <w:rsid w:val="00251689"/>
    <w:rsid w:val="002518D7"/>
    <w:rsid w:val="00251F22"/>
    <w:rsid w:val="002540FD"/>
    <w:rsid w:val="00254AE2"/>
    <w:rsid w:val="00257BD7"/>
    <w:rsid w:val="00260EA4"/>
    <w:rsid w:val="00263381"/>
    <w:rsid w:val="00263B65"/>
    <w:rsid w:val="00264271"/>
    <w:rsid w:val="0026682A"/>
    <w:rsid w:val="002676E6"/>
    <w:rsid w:val="00267D73"/>
    <w:rsid w:val="00270BFB"/>
    <w:rsid w:val="00270E6C"/>
    <w:rsid w:val="00271403"/>
    <w:rsid w:val="00271D89"/>
    <w:rsid w:val="002743FB"/>
    <w:rsid w:val="002747D3"/>
    <w:rsid w:val="00275708"/>
    <w:rsid w:val="00276D3D"/>
    <w:rsid w:val="00280CF2"/>
    <w:rsid w:val="00281C98"/>
    <w:rsid w:val="00282147"/>
    <w:rsid w:val="0028328B"/>
    <w:rsid w:val="00285306"/>
    <w:rsid w:val="0028542C"/>
    <w:rsid w:val="002865B5"/>
    <w:rsid w:val="002875E4"/>
    <w:rsid w:val="00287B91"/>
    <w:rsid w:val="002914F1"/>
    <w:rsid w:val="00291FFD"/>
    <w:rsid w:val="00292193"/>
    <w:rsid w:val="0029263D"/>
    <w:rsid w:val="002930F7"/>
    <w:rsid w:val="002937E8"/>
    <w:rsid w:val="00293BD0"/>
    <w:rsid w:val="002950F9"/>
    <w:rsid w:val="00295114"/>
    <w:rsid w:val="002961E8"/>
    <w:rsid w:val="00296551"/>
    <w:rsid w:val="002967F8"/>
    <w:rsid w:val="00297243"/>
    <w:rsid w:val="00297D80"/>
    <w:rsid w:val="002A0685"/>
    <w:rsid w:val="002A0785"/>
    <w:rsid w:val="002A19EA"/>
    <w:rsid w:val="002A1AC4"/>
    <w:rsid w:val="002A2589"/>
    <w:rsid w:val="002A39B3"/>
    <w:rsid w:val="002A41D0"/>
    <w:rsid w:val="002A5142"/>
    <w:rsid w:val="002A5901"/>
    <w:rsid w:val="002A62E2"/>
    <w:rsid w:val="002A698E"/>
    <w:rsid w:val="002B288E"/>
    <w:rsid w:val="002B28BF"/>
    <w:rsid w:val="002B498F"/>
    <w:rsid w:val="002B5CDF"/>
    <w:rsid w:val="002B5DC9"/>
    <w:rsid w:val="002B5F69"/>
    <w:rsid w:val="002B64EE"/>
    <w:rsid w:val="002B6CA2"/>
    <w:rsid w:val="002C07D1"/>
    <w:rsid w:val="002C3185"/>
    <w:rsid w:val="002C4411"/>
    <w:rsid w:val="002C4600"/>
    <w:rsid w:val="002C4F0B"/>
    <w:rsid w:val="002C5731"/>
    <w:rsid w:val="002C7F27"/>
    <w:rsid w:val="002D2C8B"/>
    <w:rsid w:val="002D460B"/>
    <w:rsid w:val="002D4620"/>
    <w:rsid w:val="002D462F"/>
    <w:rsid w:val="002D4F86"/>
    <w:rsid w:val="002D50FA"/>
    <w:rsid w:val="002D6383"/>
    <w:rsid w:val="002E1BEC"/>
    <w:rsid w:val="002E1DA5"/>
    <w:rsid w:val="002E29F4"/>
    <w:rsid w:val="002E2FA0"/>
    <w:rsid w:val="002E3185"/>
    <w:rsid w:val="002E3340"/>
    <w:rsid w:val="002E3B36"/>
    <w:rsid w:val="002E4C2F"/>
    <w:rsid w:val="002E5B32"/>
    <w:rsid w:val="002E724B"/>
    <w:rsid w:val="002E74BE"/>
    <w:rsid w:val="002F1FFB"/>
    <w:rsid w:val="002F28F3"/>
    <w:rsid w:val="002F2917"/>
    <w:rsid w:val="002F2AD2"/>
    <w:rsid w:val="002F2C22"/>
    <w:rsid w:val="002F501B"/>
    <w:rsid w:val="002F5064"/>
    <w:rsid w:val="002F5D4E"/>
    <w:rsid w:val="002F61E7"/>
    <w:rsid w:val="002F66AB"/>
    <w:rsid w:val="002F692C"/>
    <w:rsid w:val="002F6C02"/>
    <w:rsid w:val="002F7453"/>
    <w:rsid w:val="002F7798"/>
    <w:rsid w:val="002F7B17"/>
    <w:rsid w:val="00303123"/>
    <w:rsid w:val="00305DBB"/>
    <w:rsid w:val="00305DE5"/>
    <w:rsid w:val="0030765E"/>
    <w:rsid w:val="00307886"/>
    <w:rsid w:val="003101A3"/>
    <w:rsid w:val="003101BB"/>
    <w:rsid w:val="00310D48"/>
    <w:rsid w:val="0031166C"/>
    <w:rsid w:val="003133AA"/>
    <w:rsid w:val="00313497"/>
    <w:rsid w:val="00314A0E"/>
    <w:rsid w:val="003169EA"/>
    <w:rsid w:val="00316BB6"/>
    <w:rsid w:val="003173A1"/>
    <w:rsid w:val="00317E26"/>
    <w:rsid w:val="003210F0"/>
    <w:rsid w:val="003211EA"/>
    <w:rsid w:val="003214FA"/>
    <w:rsid w:val="00321A59"/>
    <w:rsid w:val="0032271C"/>
    <w:rsid w:val="00322CB0"/>
    <w:rsid w:val="00322E41"/>
    <w:rsid w:val="003254D1"/>
    <w:rsid w:val="00325C65"/>
    <w:rsid w:val="00326AF2"/>
    <w:rsid w:val="00326D10"/>
    <w:rsid w:val="00326EE7"/>
    <w:rsid w:val="00327949"/>
    <w:rsid w:val="00327F0E"/>
    <w:rsid w:val="003308A0"/>
    <w:rsid w:val="00330917"/>
    <w:rsid w:val="00331892"/>
    <w:rsid w:val="00332B09"/>
    <w:rsid w:val="00332E96"/>
    <w:rsid w:val="00332E9E"/>
    <w:rsid w:val="00334B6E"/>
    <w:rsid w:val="00335E14"/>
    <w:rsid w:val="0033667C"/>
    <w:rsid w:val="00336DE3"/>
    <w:rsid w:val="00336EB6"/>
    <w:rsid w:val="0033727D"/>
    <w:rsid w:val="00337F03"/>
    <w:rsid w:val="00341685"/>
    <w:rsid w:val="00343436"/>
    <w:rsid w:val="00345487"/>
    <w:rsid w:val="0034557A"/>
    <w:rsid w:val="00346AB3"/>
    <w:rsid w:val="00346E5D"/>
    <w:rsid w:val="00346F26"/>
    <w:rsid w:val="0035059A"/>
    <w:rsid w:val="00350C5D"/>
    <w:rsid w:val="00350DC9"/>
    <w:rsid w:val="00352060"/>
    <w:rsid w:val="00352B02"/>
    <w:rsid w:val="00356578"/>
    <w:rsid w:val="00360D21"/>
    <w:rsid w:val="00360F7A"/>
    <w:rsid w:val="00361B4F"/>
    <w:rsid w:val="00361EB1"/>
    <w:rsid w:val="00364F22"/>
    <w:rsid w:val="00365BA1"/>
    <w:rsid w:val="00366F34"/>
    <w:rsid w:val="003705CC"/>
    <w:rsid w:val="00370CA5"/>
    <w:rsid w:val="00370CAD"/>
    <w:rsid w:val="0037276F"/>
    <w:rsid w:val="00373CEF"/>
    <w:rsid w:val="00373E14"/>
    <w:rsid w:val="00373E1D"/>
    <w:rsid w:val="00374FC0"/>
    <w:rsid w:val="003760C0"/>
    <w:rsid w:val="003760EC"/>
    <w:rsid w:val="00380625"/>
    <w:rsid w:val="00380F5F"/>
    <w:rsid w:val="003813CF"/>
    <w:rsid w:val="00384592"/>
    <w:rsid w:val="00385D10"/>
    <w:rsid w:val="00390081"/>
    <w:rsid w:val="0039287A"/>
    <w:rsid w:val="00393D30"/>
    <w:rsid w:val="00394888"/>
    <w:rsid w:val="003975DB"/>
    <w:rsid w:val="00397796"/>
    <w:rsid w:val="003A11FD"/>
    <w:rsid w:val="003A2AF5"/>
    <w:rsid w:val="003A2D3E"/>
    <w:rsid w:val="003A2F78"/>
    <w:rsid w:val="003A3033"/>
    <w:rsid w:val="003A313E"/>
    <w:rsid w:val="003A7445"/>
    <w:rsid w:val="003B0162"/>
    <w:rsid w:val="003B095B"/>
    <w:rsid w:val="003B1506"/>
    <w:rsid w:val="003B1E86"/>
    <w:rsid w:val="003B45C3"/>
    <w:rsid w:val="003B5230"/>
    <w:rsid w:val="003B6D9E"/>
    <w:rsid w:val="003B7E70"/>
    <w:rsid w:val="003C00FB"/>
    <w:rsid w:val="003C0DD8"/>
    <w:rsid w:val="003C1C01"/>
    <w:rsid w:val="003C231B"/>
    <w:rsid w:val="003C690F"/>
    <w:rsid w:val="003C71CC"/>
    <w:rsid w:val="003D05EC"/>
    <w:rsid w:val="003D1DBD"/>
    <w:rsid w:val="003D2404"/>
    <w:rsid w:val="003D291F"/>
    <w:rsid w:val="003D4A1B"/>
    <w:rsid w:val="003D7FBE"/>
    <w:rsid w:val="003E0410"/>
    <w:rsid w:val="003E1260"/>
    <w:rsid w:val="003E2CD5"/>
    <w:rsid w:val="003E3737"/>
    <w:rsid w:val="003E4AC8"/>
    <w:rsid w:val="003E63EA"/>
    <w:rsid w:val="003F0B34"/>
    <w:rsid w:val="003F1053"/>
    <w:rsid w:val="003F2ABA"/>
    <w:rsid w:val="003F2C1C"/>
    <w:rsid w:val="003F3CAB"/>
    <w:rsid w:val="003F3CCF"/>
    <w:rsid w:val="003F4B7B"/>
    <w:rsid w:val="003F5225"/>
    <w:rsid w:val="003F55AC"/>
    <w:rsid w:val="003F5E90"/>
    <w:rsid w:val="004005B2"/>
    <w:rsid w:val="004014F3"/>
    <w:rsid w:val="004018AA"/>
    <w:rsid w:val="004033C6"/>
    <w:rsid w:val="0040456A"/>
    <w:rsid w:val="004067EB"/>
    <w:rsid w:val="0041065A"/>
    <w:rsid w:val="00410C65"/>
    <w:rsid w:val="00410CF3"/>
    <w:rsid w:val="004118A3"/>
    <w:rsid w:val="00412F24"/>
    <w:rsid w:val="00414DC6"/>
    <w:rsid w:val="00414E5B"/>
    <w:rsid w:val="00414EA9"/>
    <w:rsid w:val="00417515"/>
    <w:rsid w:val="00417D91"/>
    <w:rsid w:val="0042155B"/>
    <w:rsid w:val="00422774"/>
    <w:rsid w:val="00422BBB"/>
    <w:rsid w:val="00422C3A"/>
    <w:rsid w:val="00422C53"/>
    <w:rsid w:val="00423978"/>
    <w:rsid w:val="00423B06"/>
    <w:rsid w:val="004249B6"/>
    <w:rsid w:val="00425643"/>
    <w:rsid w:val="00425944"/>
    <w:rsid w:val="0042595A"/>
    <w:rsid w:val="00430741"/>
    <w:rsid w:val="004321D1"/>
    <w:rsid w:val="00432BA4"/>
    <w:rsid w:val="0043326C"/>
    <w:rsid w:val="00433AE4"/>
    <w:rsid w:val="00433C04"/>
    <w:rsid w:val="00434C49"/>
    <w:rsid w:val="00441273"/>
    <w:rsid w:val="00444612"/>
    <w:rsid w:val="00444D9E"/>
    <w:rsid w:val="004455DA"/>
    <w:rsid w:val="00445C3D"/>
    <w:rsid w:val="0044662E"/>
    <w:rsid w:val="00446A11"/>
    <w:rsid w:val="004504E6"/>
    <w:rsid w:val="00450C45"/>
    <w:rsid w:val="00450FFD"/>
    <w:rsid w:val="00453BCB"/>
    <w:rsid w:val="004543D5"/>
    <w:rsid w:val="00455A5F"/>
    <w:rsid w:val="0045623D"/>
    <w:rsid w:val="00456A37"/>
    <w:rsid w:val="00456C8F"/>
    <w:rsid w:val="00460548"/>
    <w:rsid w:val="0046062D"/>
    <w:rsid w:val="00464F2F"/>
    <w:rsid w:val="0046768F"/>
    <w:rsid w:val="00467C15"/>
    <w:rsid w:val="00467D53"/>
    <w:rsid w:val="004710E0"/>
    <w:rsid w:val="00471C48"/>
    <w:rsid w:val="00472999"/>
    <w:rsid w:val="0047320F"/>
    <w:rsid w:val="00473399"/>
    <w:rsid w:val="00473802"/>
    <w:rsid w:val="00473F89"/>
    <w:rsid w:val="0047448C"/>
    <w:rsid w:val="00474B98"/>
    <w:rsid w:val="00474F81"/>
    <w:rsid w:val="00477CF9"/>
    <w:rsid w:val="00480E7D"/>
    <w:rsid w:val="004816A7"/>
    <w:rsid w:val="00482F00"/>
    <w:rsid w:val="00483021"/>
    <w:rsid w:val="00483467"/>
    <w:rsid w:val="004844A4"/>
    <w:rsid w:val="004857D6"/>
    <w:rsid w:val="004867F9"/>
    <w:rsid w:val="00486C2A"/>
    <w:rsid w:val="00486E60"/>
    <w:rsid w:val="00486EB6"/>
    <w:rsid w:val="00491393"/>
    <w:rsid w:val="004918A5"/>
    <w:rsid w:val="00492360"/>
    <w:rsid w:val="00493840"/>
    <w:rsid w:val="0049560A"/>
    <w:rsid w:val="00496082"/>
    <w:rsid w:val="00496E64"/>
    <w:rsid w:val="004A070F"/>
    <w:rsid w:val="004A0F27"/>
    <w:rsid w:val="004A1607"/>
    <w:rsid w:val="004A16F1"/>
    <w:rsid w:val="004A1B0D"/>
    <w:rsid w:val="004A3C31"/>
    <w:rsid w:val="004A5D3A"/>
    <w:rsid w:val="004A6646"/>
    <w:rsid w:val="004A6706"/>
    <w:rsid w:val="004B04CB"/>
    <w:rsid w:val="004B21F6"/>
    <w:rsid w:val="004B2EEC"/>
    <w:rsid w:val="004B35A7"/>
    <w:rsid w:val="004B3FB0"/>
    <w:rsid w:val="004B4C1C"/>
    <w:rsid w:val="004B5981"/>
    <w:rsid w:val="004B59F2"/>
    <w:rsid w:val="004B5B8F"/>
    <w:rsid w:val="004B69B9"/>
    <w:rsid w:val="004B720B"/>
    <w:rsid w:val="004C00C7"/>
    <w:rsid w:val="004C1012"/>
    <w:rsid w:val="004C381E"/>
    <w:rsid w:val="004C4593"/>
    <w:rsid w:val="004C45F4"/>
    <w:rsid w:val="004C5802"/>
    <w:rsid w:val="004C588C"/>
    <w:rsid w:val="004C5BEF"/>
    <w:rsid w:val="004C6E3A"/>
    <w:rsid w:val="004C7E29"/>
    <w:rsid w:val="004C7F7E"/>
    <w:rsid w:val="004D0C57"/>
    <w:rsid w:val="004D1449"/>
    <w:rsid w:val="004D1968"/>
    <w:rsid w:val="004D6748"/>
    <w:rsid w:val="004D79BD"/>
    <w:rsid w:val="004D7D59"/>
    <w:rsid w:val="004E13C5"/>
    <w:rsid w:val="004E153B"/>
    <w:rsid w:val="004E27A9"/>
    <w:rsid w:val="004E2F1C"/>
    <w:rsid w:val="004E3A4B"/>
    <w:rsid w:val="004E3DBB"/>
    <w:rsid w:val="004E4819"/>
    <w:rsid w:val="004E4B1C"/>
    <w:rsid w:val="004E6338"/>
    <w:rsid w:val="004E7F60"/>
    <w:rsid w:val="004F0A47"/>
    <w:rsid w:val="004F0DA9"/>
    <w:rsid w:val="004F3E8C"/>
    <w:rsid w:val="004F40EC"/>
    <w:rsid w:val="004F68EE"/>
    <w:rsid w:val="004F73AB"/>
    <w:rsid w:val="004F73FD"/>
    <w:rsid w:val="005000A4"/>
    <w:rsid w:val="005036F0"/>
    <w:rsid w:val="005037EC"/>
    <w:rsid w:val="005044CE"/>
    <w:rsid w:val="0050613F"/>
    <w:rsid w:val="005106EF"/>
    <w:rsid w:val="0051257C"/>
    <w:rsid w:val="005131B5"/>
    <w:rsid w:val="005138E8"/>
    <w:rsid w:val="00513C00"/>
    <w:rsid w:val="00514863"/>
    <w:rsid w:val="00515CEF"/>
    <w:rsid w:val="00516552"/>
    <w:rsid w:val="005166E0"/>
    <w:rsid w:val="00516798"/>
    <w:rsid w:val="00522057"/>
    <w:rsid w:val="00524429"/>
    <w:rsid w:val="005252E9"/>
    <w:rsid w:val="0052594D"/>
    <w:rsid w:val="005270DF"/>
    <w:rsid w:val="00534395"/>
    <w:rsid w:val="005357C2"/>
    <w:rsid w:val="00535CE0"/>
    <w:rsid w:val="00536244"/>
    <w:rsid w:val="0053647B"/>
    <w:rsid w:val="00536FBD"/>
    <w:rsid w:val="005405EF"/>
    <w:rsid w:val="005417BB"/>
    <w:rsid w:val="00542409"/>
    <w:rsid w:val="0054430A"/>
    <w:rsid w:val="00544F9E"/>
    <w:rsid w:val="005453B4"/>
    <w:rsid w:val="00545AE9"/>
    <w:rsid w:val="00546CEC"/>
    <w:rsid w:val="00547523"/>
    <w:rsid w:val="005476B3"/>
    <w:rsid w:val="005504E0"/>
    <w:rsid w:val="00550852"/>
    <w:rsid w:val="00550A4A"/>
    <w:rsid w:val="005523BE"/>
    <w:rsid w:val="0055337F"/>
    <w:rsid w:val="00556187"/>
    <w:rsid w:val="0055701A"/>
    <w:rsid w:val="00557477"/>
    <w:rsid w:val="00560E1B"/>
    <w:rsid w:val="005612EF"/>
    <w:rsid w:val="00561725"/>
    <w:rsid w:val="00561981"/>
    <w:rsid w:val="00561E39"/>
    <w:rsid w:val="005637AC"/>
    <w:rsid w:val="00565B37"/>
    <w:rsid w:val="0056602A"/>
    <w:rsid w:val="005671EE"/>
    <w:rsid w:val="00571B47"/>
    <w:rsid w:val="0057213F"/>
    <w:rsid w:val="0057418B"/>
    <w:rsid w:val="00574B2C"/>
    <w:rsid w:val="00575C36"/>
    <w:rsid w:val="005762AD"/>
    <w:rsid w:val="0057698E"/>
    <w:rsid w:val="00576E97"/>
    <w:rsid w:val="00577EE1"/>
    <w:rsid w:val="005809EF"/>
    <w:rsid w:val="0058344F"/>
    <w:rsid w:val="00583796"/>
    <w:rsid w:val="00584056"/>
    <w:rsid w:val="00584964"/>
    <w:rsid w:val="005875DD"/>
    <w:rsid w:val="00587CCA"/>
    <w:rsid w:val="005911B9"/>
    <w:rsid w:val="00593FAD"/>
    <w:rsid w:val="00594112"/>
    <w:rsid w:val="005952F3"/>
    <w:rsid w:val="0059530C"/>
    <w:rsid w:val="00595432"/>
    <w:rsid w:val="00595896"/>
    <w:rsid w:val="00596A6B"/>
    <w:rsid w:val="00596D45"/>
    <w:rsid w:val="00597E57"/>
    <w:rsid w:val="005A0FD4"/>
    <w:rsid w:val="005A2F3B"/>
    <w:rsid w:val="005A3121"/>
    <w:rsid w:val="005A3632"/>
    <w:rsid w:val="005A3874"/>
    <w:rsid w:val="005A3E69"/>
    <w:rsid w:val="005A45F4"/>
    <w:rsid w:val="005A5225"/>
    <w:rsid w:val="005B1FEA"/>
    <w:rsid w:val="005B27EE"/>
    <w:rsid w:val="005B458B"/>
    <w:rsid w:val="005B71C8"/>
    <w:rsid w:val="005B7F01"/>
    <w:rsid w:val="005C3BCA"/>
    <w:rsid w:val="005C3D82"/>
    <w:rsid w:val="005C3FF5"/>
    <w:rsid w:val="005C6143"/>
    <w:rsid w:val="005C72C9"/>
    <w:rsid w:val="005C78A8"/>
    <w:rsid w:val="005C7BCF"/>
    <w:rsid w:val="005D0B30"/>
    <w:rsid w:val="005D2FFA"/>
    <w:rsid w:val="005D34F7"/>
    <w:rsid w:val="005D363E"/>
    <w:rsid w:val="005D3E2D"/>
    <w:rsid w:val="005D533D"/>
    <w:rsid w:val="005D53FB"/>
    <w:rsid w:val="005D5B3E"/>
    <w:rsid w:val="005E03B1"/>
    <w:rsid w:val="005E1F6C"/>
    <w:rsid w:val="005E23C8"/>
    <w:rsid w:val="005E3EAF"/>
    <w:rsid w:val="005E4192"/>
    <w:rsid w:val="005E4D17"/>
    <w:rsid w:val="005E527F"/>
    <w:rsid w:val="005E7163"/>
    <w:rsid w:val="005F0124"/>
    <w:rsid w:val="005F069A"/>
    <w:rsid w:val="005F0A76"/>
    <w:rsid w:val="005F0B24"/>
    <w:rsid w:val="005F0C10"/>
    <w:rsid w:val="005F10F6"/>
    <w:rsid w:val="005F1926"/>
    <w:rsid w:val="005F1FC8"/>
    <w:rsid w:val="005F249D"/>
    <w:rsid w:val="005F268B"/>
    <w:rsid w:val="005F35A6"/>
    <w:rsid w:val="005F3FF3"/>
    <w:rsid w:val="005F59DA"/>
    <w:rsid w:val="005F663E"/>
    <w:rsid w:val="005F746C"/>
    <w:rsid w:val="005F774F"/>
    <w:rsid w:val="00600C5B"/>
    <w:rsid w:val="00601261"/>
    <w:rsid w:val="00604088"/>
    <w:rsid w:val="00604705"/>
    <w:rsid w:val="006047C1"/>
    <w:rsid w:val="00604A47"/>
    <w:rsid w:val="00604A54"/>
    <w:rsid w:val="006072EC"/>
    <w:rsid w:val="006073D0"/>
    <w:rsid w:val="00610234"/>
    <w:rsid w:val="006131CF"/>
    <w:rsid w:val="00613E6C"/>
    <w:rsid w:val="006152BE"/>
    <w:rsid w:val="00615F12"/>
    <w:rsid w:val="00617655"/>
    <w:rsid w:val="00617A68"/>
    <w:rsid w:val="00617EBB"/>
    <w:rsid w:val="0062000D"/>
    <w:rsid w:val="00622157"/>
    <w:rsid w:val="0062282B"/>
    <w:rsid w:val="00622A01"/>
    <w:rsid w:val="00623B2E"/>
    <w:rsid w:val="00624917"/>
    <w:rsid w:val="00625751"/>
    <w:rsid w:val="0062581C"/>
    <w:rsid w:val="00625C38"/>
    <w:rsid w:val="006265BA"/>
    <w:rsid w:val="006269C4"/>
    <w:rsid w:val="0062781F"/>
    <w:rsid w:val="00630BB1"/>
    <w:rsid w:val="00632B28"/>
    <w:rsid w:val="00632EF6"/>
    <w:rsid w:val="00632FBA"/>
    <w:rsid w:val="0063416A"/>
    <w:rsid w:val="006349FA"/>
    <w:rsid w:val="006352E9"/>
    <w:rsid w:val="00635E9B"/>
    <w:rsid w:val="0063681B"/>
    <w:rsid w:val="0063741F"/>
    <w:rsid w:val="0063780C"/>
    <w:rsid w:val="0064093B"/>
    <w:rsid w:val="0064098A"/>
    <w:rsid w:val="00641773"/>
    <w:rsid w:val="00641866"/>
    <w:rsid w:val="00641B24"/>
    <w:rsid w:val="006426DD"/>
    <w:rsid w:val="0064342F"/>
    <w:rsid w:val="00643F92"/>
    <w:rsid w:val="0064401C"/>
    <w:rsid w:val="0064449B"/>
    <w:rsid w:val="006460EA"/>
    <w:rsid w:val="0064730D"/>
    <w:rsid w:val="00650276"/>
    <w:rsid w:val="00651492"/>
    <w:rsid w:val="00652077"/>
    <w:rsid w:val="0065236D"/>
    <w:rsid w:val="00653B06"/>
    <w:rsid w:val="00654239"/>
    <w:rsid w:val="00654674"/>
    <w:rsid w:val="006547B6"/>
    <w:rsid w:val="00656A0D"/>
    <w:rsid w:val="006575C0"/>
    <w:rsid w:val="00657854"/>
    <w:rsid w:val="00657FF8"/>
    <w:rsid w:val="006604BC"/>
    <w:rsid w:val="0066482F"/>
    <w:rsid w:val="006655A6"/>
    <w:rsid w:val="0066571C"/>
    <w:rsid w:val="00665A11"/>
    <w:rsid w:val="006661B6"/>
    <w:rsid w:val="00666356"/>
    <w:rsid w:val="006663B1"/>
    <w:rsid w:val="00666D8A"/>
    <w:rsid w:val="00666FE2"/>
    <w:rsid w:val="00670D26"/>
    <w:rsid w:val="00671EEE"/>
    <w:rsid w:val="00671F29"/>
    <w:rsid w:val="0067355B"/>
    <w:rsid w:val="00673FB9"/>
    <w:rsid w:val="00674F98"/>
    <w:rsid w:val="00675C6B"/>
    <w:rsid w:val="00675E37"/>
    <w:rsid w:val="0067605E"/>
    <w:rsid w:val="00676574"/>
    <w:rsid w:val="00677048"/>
    <w:rsid w:val="006806F0"/>
    <w:rsid w:val="00681A13"/>
    <w:rsid w:val="00682717"/>
    <w:rsid w:val="006829B0"/>
    <w:rsid w:val="00684216"/>
    <w:rsid w:val="00691C55"/>
    <w:rsid w:val="00692057"/>
    <w:rsid w:val="00692386"/>
    <w:rsid w:val="00693F93"/>
    <w:rsid w:val="00694857"/>
    <w:rsid w:val="00695558"/>
    <w:rsid w:val="0069657A"/>
    <w:rsid w:val="00697E26"/>
    <w:rsid w:val="006A0354"/>
    <w:rsid w:val="006A125C"/>
    <w:rsid w:val="006A27A3"/>
    <w:rsid w:val="006A28B5"/>
    <w:rsid w:val="006A333B"/>
    <w:rsid w:val="006A4715"/>
    <w:rsid w:val="006A686A"/>
    <w:rsid w:val="006B0C01"/>
    <w:rsid w:val="006B29EB"/>
    <w:rsid w:val="006B333C"/>
    <w:rsid w:val="006B3952"/>
    <w:rsid w:val="006B3B67"/>
    <w:rsid w:val="006B51C7"/>
    <w:rsid w:val="006B5E03"/>
    <w:rsid w:val="006B5EC4"/>
    <w:rsid w:val="006C0A36"/>
    <w:rsid w:val="006C0B62"/>
    <w:rsid w:val="006C0DA8"/>
    <w:rsid w:val="006C2984"/>
    <w:rsid w:val="006C520E"/>
    <w:rsid w:val="006C59D3"/>
    <w:rsid w:val="006C5AE5"/>
    <w:rsid w:val="006C6358"/>
    <w:rsid w:val="006C67BE"/>
    <w:rsid w:val="006C7BCA"/>
    <w:rsid w:val="006D06F6"/>
    <w:rsid w:val="006D22D7"/>
    <w:rsid w:val="006D3049"/>
    <w:rsid w:val="006D4056"/>
    <w:rsid w:val="006D6171"/>
    <w:rsid w:val="006E0301"/>
    <w:rsid w:val="006E19C0"/>
    <w:rsid w:val="006E2590"/>
    <w:rsid w:val="006E2DC2"/>
    <w:rsid w:val="006E31A0"/>
    <w:rsid w:val="006E37F1"/>
    <w:rsid w:val="006E40A9"/>
    <w:rsid w:val="006E452A"/>
    <w:rsid w:val="006E4891"/>
    <w:rsid w:val="006E5AEB"/>
    <w:rsid w:val="006E6231"/>
    <w:rsid w:val="006E63B6"/>
    <w:rsid w:val="006E7D46"/>
    <w:rsid w:val="006F0971"/>
    <w:rsid w:val="006F1061"/>
    <w:rsid w:val="006F18DC"/>
    <w:rsid w:val="006F20F6"/>
    <w:rsid w:val="006F2434"/>
    <w:rsid w:val="006F297D"/>
    <w:rsid w:val="006F4847"/>
    <w:rsid w:val="006F4B89"/>
    <w:rsid w:val="006F56A7"/>
    <w:rsid w:val="006F59F0"/>
    <w:rsid w:val="006F663A"/>
    <w:rsid w:val="006F7122"/>
    <w:rsid w:val="00701F53"/>
    <w:rsid w:val="0070205A"/>
    <w:rsid w:val="00702215"/>
    <w:rsid w:val="0070535D"/>
    <w:rsid w:val="0070570C"/>
    <w:rsid w:val="00705ADC"/>
    <w:rsid w:val="00707048"/>
    <w:rsid w:val="007074A7"/>
    <w:rsid w:val="00712C38"/>
    <w:rsid w:val="007130A1"/>
    <w:rsid w:val="007133FF"/>
    <w:rsid w:val="00713B9A"/>
    <w:rsid w:val="007155A1"/>
    <w:rsid w:val="00715CBC"/>
    <w:rsid w:val="00716122"/>
    <w:rsid w:val="00717868"/>
    <w:rsid w:val="007179A7"/>
    <w:rsid w:val="00720D7D"/>
    <w:rsid w:val="007257DA"/>
    <w:rsid w:val="00725C7D"/>
    <w:rsid w:val="0072711F"/>
    <w:rsid w:val="00730E31"/>
    <w:rsid w:val="007312AC"/>
    <w:rsid w:val="0073282C"/>
    <w:rsid w:val="00733CA2"/>
    <w:rsid w:val="007344F9"/>
    <w:rsid w:val="00734849"/>
    <w:rsid w:val="0073661E"/>
    <w:rsid w:val="00737E53"/>
    <w:rsid w:val="0074164B"/>
    <w:rsid w:val="007416B8"/>
    <w:rsid w:val="007419EE"/>
    <w:rsid w:val="0074331B"/>
    <w:rsid w:val="007433B5"/>
    <w:rsid w:val="0074342D"/>
    <w:rsid w:val="00743BA0"/>
    <w:rsid w:val="00743D72"/>
    <w:rsid w:val="00744FF8"/>
    <w:rsid w:val="00745425"/>
    <w:rsid w:val="00745A4C"/>
    <w:rsid w:val="00745D32"/>
    <w:rsid w:val="007463FA"/>
    <w:rsid w:val="00750448"/>
    <w:rsid w:val="00751751"/>
    <w:rsid w:val="0075180B"/>
    <w:rsid w:val="00753533"/>
    <w:rsid w:val="007558FB"/>
    <w:rsid w:val="007564A4"/>
    <w:rsid w:val="007630D8"/>
    <w:rsid w:val="00763D64"/>
    <w:rsid w:val="00764450"/>
    <w:rsid w:val="00764764"/>
    <w:rsid w:val="00765010"/>
    <w:rsid w:val="00766AC4"/>
    <w:rsid w:val="0076743B"/>
    <w:rsid w:val="00772198"/>
    <w:rsid w:val="00772392"/>
    <w:rsid w:val="00772CC1"/>
    <w:rsid w:val="0077423E"/>
    <w:rsid w:val="00774B17"/>
    <w:rsid w:val="00775038"/>
    <w:rsid w:val="00775738"/>
    <w:rsid w:val="00776377"/>
    <w:rsid w:val="00776E79"/>
    <w:rsid w:val="00780C63"/>
    <w:rsid w:val="00781999"/>
    <w:rsid w:val="007824E0"/>
    <w:rsid w:val="007845C8"/>
    <w:rsid w:val="007854C3"/>
    <w:rsid w:val="007869B1"/>
    <w:rsid w:val="00786C69"/>
    <w:rsid w:val="00787268"/>
    <w:rsid w:val="007877B0"/>
    <w:rsid w:val="00792844"/>
    <w:rsid w:val="007930E2"/>
    <w:rsid w:val="00793534"/>
    <w:rsid w:val="007937E3"/>
    <w:rsid w:val="00793936"/>
    <w:rsid w:val="00797140"/>
    <w:rsid w:val="00797407"/>
    <w:rsid w:val="007976BF"/>
    <w:rsid w:val="007A043C"/>
    <w:rsid w:val="007A0506"/>
    <w:rsid w:val="007A1482"/>
    <w:rsid w:val="007A3862"/>
    <w:rsid w:val="007A3875"/>
    <w:rsid w:val="007A3A57"/>
    <w:rsid w:val="007A3E55"/>
    <w:rsid w:val="007A52BB"/>
    <w:rsid w:val="007A6661"/>
    <w:rsid w:val="007A69D9"/>
    <w:rsid w:val="007A7F94"/>
    <w:rsid w:val="007B1C62"/>
    <w:rsid w:val="007B1D28"/>
    <w:rsid w:val="007B2005"/>
    <w:rsid w:val="007B2815"/>
    <w:rsid w:val="007B37C7"/>
    <w:rsid w:val="007B3D4B"/>
    <w:rsid w:val="007B49F9"/>
    <w:rsid w:val="007B4ADE"/>
    <w:rsid w:val="007B59E0"/>
    <w:rsid w:val="007B62B9"/>
    <w:rsid w:val="007B6304"/>
    <w:rsid w:val="007B64B6"/>
    <w:rsid w:val="007C0347"/>
    <w:rsid w:val="007C0923"/>
    <w:rsid w:val="007C0FF1"/>
    <w:rsid w:val="007C1474"/>
    <w:rsid w:val="007C1E37"/>
    <w:rsid w:val="007C2EA8"/>
    <w:rsid w:val="007C42DF"/>
    <w:rsid w:val="007C444C"/>
    <w:rsid w:val="007C4631"/>
    <w:rsid w:val="007C7B7A"/>
    <w:rsid w:val="007D01A3"/>
    <w:rsid w:val="007D067F"/>
    <w:rsid w:val="007D10E0"/>
    <w:rsid w:val="007D1144"/>
    <w:rsid w:val="007D12C3"/>
    <w:rsid w:val="007D2788"/>
    <w:rsid w:val="007D2836"/>
    <w:rsid w:val="007D2B45"/>
    <w:rsid w:val="007D4408"/>
    <w:rsid w:val="007D4C5D"/>
    <w:rsid w:val="007D5D64"/>
    <w:rsid w:val="007D6E51"/>
    <w:rsid w:val="007D7826"/>
    <w:rsid w:val="007E0661"/>
    <w:rsid w:val="007E099A"/>
    <w:rsid w:val="007E1683"/>
    <w:rsid w:val="007E199E"/>
    <w:rsid w:val="007E2662"/>
    <w:rsid w:val="007E3E14"/>
    <w:rsid w:val="007E487D"/>
    <w:rsid w:val="007E781E"/>
    <w:rsid w:val="007F0FF3"/>
    <w:rsid w:val="007F16DC"/>
    <w:rsid w:val="007F1F47"/>
    <w:rsid w:val="007F1FC4"/>
    <w:rsid w:val="007F2D2B"/>
    <w:rsid w:val="007F307A"/>
    <w:rsid w:val="007F51BD"/>
    <w:rsid w:val="007F53DA"/>
    <w:rsid w:val="007F62F1"/>
    <w:rsid w:val="007F693F"/>
    <w:rsid w:val="0080073D"/>
    <w:rsid w:val="00801A50"/>
    <w:rsid w:val="00802272"/>
    <w:rsid w:val="0080245C"/>
    <w:rsid w:val="00804F72"/>
    <w:rsid w:val="0080518E"/>
    <w:rsid w:val="00805E65"/>
    <w:rsid w:val="00805FEA"/>
    <w:rsid w:val="00806123"/>
    <w:rsid w:val="00806C98"/>
    <w:rsid w:val="0080729F"/>
    <w:rsid w:val="00812F36"/>
    <w:rsid w:val="00813499"/>
    <w:rsid w:val="00813FB8"/>
    <w:rsid w:val="008145CB"/>
    <w:rsid w:val="00815EB3"/>
    <w:rsid w:val="00817892"/>
    <w:rsid w:val="00820144"/>
    <w:rsid w:val="00820C15"/>
    <w:rsid w:val="0082217F"/>
    <w:rsid w:val="00822470"/>
    <w:rsid w:val="00822F8E"/>
    <w:rsid w:val="00823767"/>
    <w:rsid w:val="008240B0"/>
    <w:rsid w:val="00825084"/>
    <w:rsid w:val="00825681"/>
    <w:rsid w:val="00826E78"/>
    <w:rsid w:val="008302A1"/>
    <w:rsid w:val="008312C5"/>
    <w:rsid w:val="00832AB0"/>
    <w:rsid w:val="008337FF"/>
    <w:rsid w:val="00833CEC"/>
    <w:rsid w:val="008346C2"/>
    <w:rsid w:val="00834E36"/>
    <w:rsid w:val="00835112"/>
    <w:rsid w:val="00835C11"/>
    <w:rsid w:val="00836B40"/>
    <w:rsid w:val="00836F1B"/>
    <w:rsid w:val="0083703E"/>
    <w:rsid w:val="00837063"/>
    <w:rsid w:val="008375E6"/>
    <w:rsid w:val="008377F3"/>
    <w:rsid w:val="00840937"/>
    <w:rsid w:val="00841F5E"/>
    <w:rsid w:val="0084287A"/>
    <w:rsid w:val="00844DC1"/>
    <w:rsid w:val="00845745"/>
    <w:rsid w:val="00846097"/>
    <w:rsid w:val="0084648F"/>
    <w:rsid w:val="00846A2F"/>
    <w:rsid w:val="00847CDE"/>
    <w:rsid w:val="00847D6E"/>
    <w:rsid w:val="00850D1A"/>
    <w:rsid w:val="00851CD0"/>
    <w:rsid w:val="00852733"/>
    <w:rsid w:val="00852836"/>
    <w:rsid w:val="00852AEE"/>
    <w:rsid w:val="00852EE7"/>
    <w:rsid w:val="00853931"/>
    <w:rsid w:val="00853D71"/>
    <w:rsid w:val="00854123"/>
    <w:rsid w:val="0085696C"/>
    <w:rsid w:val="00857319"/>
    <w:rsid w:val="008573F2"/>
    <w:rsid w:val="008578E6"/>
    <w:rsid w:val="008606E2"/>
    <w:rsid w:val="00860757"/>
    <w:rsid w:val="0086111B"/>
    <w:rsid w:val="00864911"/>
    <w:rsid w:val="008662D3"/>
    <w:rsid w:val="008663AD"/>
    <w:rsid w:val="00866436"/>
    <w:rsid w:val="00866BFB"/>
    <w:rsid w:val="008672EF"/>
    <w:rsid w:val="008672F3"/>
    <w:rsid w:val="008708CE"/>
    <w:rsid w:val="0087124C"/>
    <w:rsid w:val="0087261E"/>
    <w:rsid w:val="00872C2B"/>
    <w:rsid w:val="00873F99"/>
    <w:rsid w:val="00875183"/>
    <w:rsid w:val="0087630C"/>
    <w:rsid w:val="00876377"/>
    <w:rsid w:val="00876E23"/>
    <w:rsid w:val="00876F4B"/>
    <w:rsid w:val="00877BB9"/>
    <w:rsid w:val="00880208"/>
    <w:rsid w:val="00882154"/>
    <w:rsid w:val="008845AA"/>
    <w:rsid w:val="0088480C"/>
    <w:rsid w:val="00884C34"/>
    <w:rsid w:val="008862DD"/>
    <w:rsid w:val="008877F7"/>
    <w:rsid w:val="00890388"/>
    <w:rsid w:val="00891200"/>
    <w:rsid w:val="00892327"/>
    <w:rsid w:val="008935D0"/>
    <w:rsid w:val="00893ABC"/>
    <w:rsid w:val="008940FF"/>
    <w:rsid w:val="00894F87"/>
    <w:rsid w:val="00895E13"/>
    <w:rsid w:val="008A09D4"/>
    <w:rsid w:val="008A18A6"/>
    <w:rsid w:val="008A49F7"/>
    <w:rsid w:val="008B06A9"/>
    <w:rsid w:val="008B2691"/>
    <w:rsid w:val="008B28A3"/>
    <w:rsid w:val="008B3E58"/>
    <w:rsid w:val="008B40EA"/>
    <w:rsid w:val="008C059A"/>
    <w:rsid w:val="008C13C2"/>
    <w:rsid w:val="008C18EF"/>
    <w:rsid w:val="008C32F7"/>
    <w:rsid w:val="008C42DA"/>
    <w:rsid w:val="008C459A"/>
    <w:rsid w:val="008C45E6"/>
    <w:rsid w:val="008C4B2A"/>
    <w:rsid w:val="008D0F7A"/>
    <w:rsid w:val="008D1595"/>
    <w:rsid w:val="008D2080"/>
    <w:rsid w:val="008E02E4"/>
    <w:rsid w:val="008E0C39"/>
    <w:rsid w:val="008E12EC"/>
    <w:rsid w:val="008E1558"/>
    <w:rsid w:val="008E18E7"/>
    <w:rsid w:val="008E298C"/>
    <w:rsid w:val="008E34E3"/>
    <w:rsid w:val="008E3BD9"/>
    <w:rsid w:val="008E3C11"/>
    <w:rsid w:val="008E6BA4"/>
    <w:rsid w:val="008E7554"/>
    <w:rsid w:val="008E7EB4"/>
    <w:rsid w:val="008F0D49"/>
    <w:rsid w:val="008F2CEC"/>
    <w:rsid w:val="008F3FFF"/>
    <w:rsid w:val="008F4DC1"/>
    <w:rsid w:val="008F573F"/>
    <w:rsid w:val="008F5FC9"/>
    <w:rsid w:val="008F7596"/>
    <w:rsid w:val="008F7BCD"/>
    <w:rsid w:val="008F7F01"/>
    <w:rsid w:val="00900194"/>
    <w:rsid w:val="00900244"/>
    <w:rsid w:val="00902400"/>
    <w:rsid w:val="00902480"/>
    <w:rsid w:val="009036AD"/>
    <w:rsid w:val="009047FF"/>
    <w:rsid w:val="0090561F"/>
    <w:rsid w:val="0090698A"/>
    <w:rsid w:val="00906A17"/>
    <w:rsid w:val="0090724A"/>
    <w:rsid w:val="00907931"/>
    <w:rsid w:val="0091008D"/>
    <w:rsid w:val="009100C0"/>
    <w:rsid w:val="009117BD"/>
    <w:rsid w:val="00912335"/>
    <w:rsid w:val="009140ED"/>
    <w:rsid w:val="009153D2"/>
    <w:rsid w:val="0091597D"/>
    <w:rsid w:val="009173FE"/>
    <w:rsid w:val="00917E1D"/>
    <w:rsid w:val="00922A32"/>
    <w:rsid w:val="00922C11"/>
    <w:rsid w:val="00922C37"/>
    <w:rsid w:val="00922DB1"/>
    <w:rsid w:val="00923846"/>
    <w:rsid w:val="009239D2"/>
    <w:rsid w:val="0092564F"/>
    <w:rsid w:val="00926D1B"/>
    <w:rsid w:val="0092712A"/>
    <w:rsid w:val="00927265"/>
    <w:rsid w:val="009316DA"/>
    <w:rsid w:val="00931860"/>
    <w:rsid w:val="00931EEA"/>
    <w:rsid w:val="009325E3"/>
    <w:rsid w:val="00932DAC"/>
    <w:rsid w:val="00933AD6"/>
    <w:rsid w:val="00934720"/>
    <w:rsid w:val="00934B6B"/>
    <w:rsid w:val="00935340"/>
    <w:rsid w:val="009402F8"/>
    <w:rsid w:val="009405D7"/>
    <w:rsid w:val="00940D62"/>
    <w:rsid w:val="0094189E"/>
    <w:rsid w:val="00941C2E"/>
    <w:rsid w:val="00943081"/>
    <w:rsid w:val="009438B9"/>
    <w:rsid w:val="00944233"/>
    <w:rsid w:val="009445A9"/>
    <w:rsid w:val="00944C0D"/>
    <w:rsid w:val="009456C9"/>
    <w:rsid w:val="00945906"/>
    <w:rsid w:val="009515C6"/>
    <w:rsid w:val="00951A0E"/>
    <w:rsid w:val="00951A7C"/>
    <w:rsid w:val="00952145"/>
    <w:rsid w:val="0095347A"/>
    <w:rsid w:val="00954065"/>
    <w:rsid w:val="00954717"/>
    <w:rsid w:val="00954871"/>
    <w:rsid w:val="00956AC5"/>
    <w:rsid w:val="00956C1A"/>
    <w:rsid w:val="00957C93"/>
    <w:rsid w:val="0096017E"/>
    <w:rsid w:val="0096123F"/>
    <w:rsid w:val="0096131F"/>
    <w:rsid w:val="0096146B"/>
    <w:rsid w:val="00961B7A"/>
    <w:rsid w:val="0096206E"/>
    <w:rsid w:val="00962CAD"/>
    <w:rsid w:val="0096515A"/>
    <w:rsid w:val="00965DA7"/>
    <w:rsid w:val="00966013"/>
    <w:rsid w:val="00966024"/>
    <w:rsid w:val="009679FE"/>
    <w:rsid w:val="009711F2"/>
    <w:rsid w:val="0097351E"/>
    <w:rsid w:val="00974AF8"/>
    <w:rsid w:val="009761E7"/>
    <w:rsid w:val="00976B78"/>
    <w:rsid w:val="00977CD5"/>
    <w:rsid w:val="009814D4"/>
    <w:rsid w:val="009816D4"/>
    <w:rsid w:val="00982F23"/>
    <w:rsid w:val="00984DFF"/>
    <w:rsid w:val="00986140"/>
    <w:rsid w:val="0098617C"/>
    <w:rsid w:val="009861D2"/>
    <w:rsid w:val="00986E92"/>
    <w:rsid w:val="00987C8F"/>
    <w:rsid w:val="00987FBE"/>
    <w:rsid w:val="009906E4"/>
    <w:rsid w:val="00991AF2"/>
    <w:rsid w:val="009920D6"/>
    <w:rsid w:val="00996A90"/>
    <w:rsid w:val="00997841"/>
    <w:rsid w:val="00997D14"/>
    <w:rsid w:val="009A0B55"/>
    <w:rsid w:val="009A11F3"/>
    <w:rsid w:val="009A3823"/>
    <w:rsid w:val="009A497B"/>
    <w:rsid w:val="009A55DE"/>
    <w:rsid w:val="009A5708"/>
    <w:rsid w:val="009A5DCE"/>
    <w:rsid w:val="009A6D76"/>
    <w:rsid w:val="009B0A61"/>
    <w:rsid w:val="009B2E32"/>
    <w:rsid w:val="009B3521"/>
    <w:rsid w:val="009B4855"/>
    <w:rsid w:val="009B48A5"/>
    <w:rsid w:val="009B5372"/>
    <w:rsid w:val="009B571A"/>
    <w:rsid w:val="009B6E92"/>
    <w:rsid w:val="009B72DF"/>
    <w:rsid w:val="009B73B3"/>
    <w:rsid w:val="009C0B73"/>
    <w:rsid w:val="009C345D"/>
    <w:rsid w:val="009C3E6F"/>
    <w:rsid w:val="009C5785"/>
    <w:rsid w:val="009C624E"/>
    <w:rsid w:val="009C76BB"/>
    <w:rsid w:val="009C7EF8"/>
    <w:rsid w:val="009D063D"/>
    <w:rsid w:val="009D0FBE"/>
    <w:rsid w:val="009D198C"/>
    <w:rsid w:val="009D1C85"/>
    <w:rsid w:val="009D2F4D"/>
    <w:rsid w:val="009D46F4"/>
    <w:rsid w:val="009D532D"/>
    <w:rsid w:val="009D5A54"/>
    <w:rsid w:val="009E06D4"/>
    <w:rsid w:val="009E0813"/>
    <w:rsid w:val="009E12A4"/>
    <w:rsid w:val="009E2670"/>
    <w:rsid w:val="009E52A1"/>
    <w:rsid w:val="009E6AF1"/>
    <w:rsid w:val="009E6E2D"/>
    <w:rsid w:val="009E6F1D"/>
    <w:rsid w:val="009E73CC"/>
    <w:rsid w:val="009E78E8"/>
    <w:rsid w:val="009E7D5A"/>
    <w:rsid w:val="009E7DD1"/>
    <w:rsid w:val="009E7F2E"/>
    <w:rsid w:val="009F1966"/>
    <w:rsid w:val="009F1D3E"/>
    <w:rsid w:val="009F23A2"/>
    <w:rsid w:val="009F455F"/>
    <w:rsid w:val="009F5807"/>
    <w:rsid w:val="009F5A2C"/>
    <w:rsid w:val="00A0141E"/>
    <w:rsid w:val="00A014F7"/>
    <w:rsid w:val="00A022C5"/>
    <w:rsid w:val="00A0403B"/>
    <w:rsid w:val="00A05502"/>
    <w:rsid w:val="00A05F8E"/>
    <w:rsid w:val="00A0617D"/>
    <w:rsid w:val="00A06C6A"/>
    <w:rsid w:val="00A07177"/>
    <w:rsid w:val="00A10493"/>
    <w:rsid w:val="00A12CD6"/>
    <w:rsid w:val="00A137F3"/>
    <w:rsid w:val="00A13B4D"/>
    <w:rsid w:val="00A14194"/>
    <w:rsid w:val="00A15855"/>
    <w:rsid w:val="00A1588E"/>
    <w:rsid w:val="00A16446"/>
    <w:rsid w:val="00A172A8"/>
    <w:rsid w:val="00A20355"/>
    <w:rsid w:val="00A21A80"/>
    <w:rsid w:val="00A22137"/>
    <w:rsid w:val="00A22C70"/>
    <w:rsid w:val="00A25BF1"/>
    <w:rsid w:val="00A27CA8"/>
    <w:rsid w:val="00A316CF"/>
    <w:rsid w:val="00A323FC"/>
    <w:rsid w:val="00A32F99"/>
    <w:rsid w:val="00A32FFF"/>
    <w:rsid w:val="00A3391C"/>
    <w:rsid w:val="00A33D56"/>
    <w:rsid w:val="00A3664F"/>
    <w:rsid w:val="00A4104B"/>
    <w:rsid w:val="00A411F8"/>
    <w:rsid w:val="00A4186E"/>
    <w:rsid w:val="00A41ABD"/>
    <w:rsid w:val="00A42AFF"/>
    <w:rsid w:val="00A43051"/>
    <w:rsid w:val="00A44C58"/>
    <w:rsid w:val="00A461C5"/>
    <w:rsid w:val="00A47691"/>
    <w:rsid w:val="00A50A6D"/>
    <w:rsid w:val="00A51C7C"/>
    <w:rsid w:val="00A525DB"/>
    <w:rsid w:val="00A53036"/>
    <w:rsid w:val="00A5367C"/>
    <w:rsid w:val="00A53A1D"/>
    <w:rsid w:val="00A53AE2"/>
    <w:rsid w:val="00A54562"/>
    <w:rsid w:val="00A54C99"/>
    <w:rsid w:val="00A55954"/>
    <w:rsid w:val="00A60A7E"/>
    <w:rsid w:val="00A61563"/>
    <w:rsid w:val="00A62B16"/>
    <w:rsid w:val="00A63757"/>
    <w:rsid w:val="00A64A3E"/>
    <w:rsid w:val="00A67999"/>
    <w:rsid w:val="00A67AD5"/>
    <w:rsid w:val="00A7020F"/>
    <w:rsid w:val="00A71FC5"/>
    <w:rsid w:val="00A734C9"/>
    <w:rsid w:val="00A73F96"/>
    <w:rsid w:val="00A74862"/>
    <w:rsid w:val="00A75035"/>
    <w:rsid w:val="00A751FC"/>
    <w:rsid w:val="00A76EFC"/>
    <w:rsid w:val="00A77441"/>
    <w:rsid w:val="00A8294B"/>
    <w:rsid w:val="00A82B5B"/>
    <w:rsid w:val="00A84C0D"/>
    <w:rsid w:val="00A84DEB"/>
    <w:rsid w:val="00A84E22"/>
    <w:rsid w:val="00A84EFA"/>
    <w:rsid w:val="00A8598B"/>
    <w:rsid w:val="00A86C6E"/>
    <w:rsid w:val="00A91ED1"/>
    <w:rsid w:val="00A9213B"/>
    <w:rsid w:val="00A9234E"/>
    <w:rsid w:val="00A930E5"/>
    <w:rsid w:val="00A931E4"/>
    <w:rsid w:val="00A9488C"/>
    <w:rsid w:val="00A97198"/>
    <w:rsid w:val="00A97F8A"/>
    <w:rsid w:val="00AA05F4"/>
    <w:rsid w:val="00AA0D58"/>
    <w:rsid w:val="00AA1986"/>
    <w:rsid w:val="00AA1C69"/>
    <w:rsid w:val="00AA1CF5"/>
    <w:rsid w:val="00AA24F3"/>
    <w:rsid w:val="00AA2A12"/>
    <w:rsid w:val="00AA3F06"/>
    <w:rsid w:val="00AA3F75"/>
    <w:rsid w:val="00AA4EC0"/>
    <w:rsid w:val="00AA50D4"/>
    <w:rsid w:val="00AA77DC"/>
    <w:rsid w:val="00AA7B5D"/>
    <w:rsid w:val="00AB00FA"/>
    <w:rsid w:val="00AB0369"/>
    <w:rsid w:val="00AB03AE"/>
    <w:rsid w:val="00AB0A71"/>
    <w:rsid w:val="00AB17E7"/>
    <w:rsid w:val="00AB1854"/>
    <w:rsid w:val="00AB1B27"/>
    <w:rsid w:val="00AB3672"/>
    <w:rsid w:val="00AB5515"/>
    <w:rsid w:val="00AB6674"/>
    <w:rsid w:val="00AB6C9E"/>
    <w:rsid w:val="00AB6D54"/>
    <w:rsid w:val="00AB7822"/>
    <w:rsid w:val="00AC010B"/>
    <w:rsid w:val="00AC02E1"/>
    <w:rsid w:val="00AC0D19"/>
    <w:rsid w:val="00AC1ABB"/>
    <w:rsid w:val="00AC1EDC"/>
    <w:rsid w:val="00AC29A5"/>
    <w:rsid w:val="00AC3887"/>
    <w:rsid w:val="00AC3D52"/>
    <w:rsid w:val="00AC512B"/>
    <w:rsid w:val="00AC532D"/>
    <w:rsid w:val="00AC5A6D"/>
    <w:rsid w:val="00AC5F28"/>
    <w:rsid w:val="00AC60CB"/>
    <w:rsid w:val="00AC61B0"/>
    <w:rsid w:val="00AC630F"/>
    <w:rsid w:val="00AC7736"/>
    <w:rsid w:val="00AC7758"/>
    <w:rsid w:val="00AD0345"/>
    <w:rsid w:val="00AD20CD"/>
    <w:rsid w:val="00AD3392"/>
    <w:rsid w:val="00AD3B1D"/>
    <w:rsid w:val="00AD41A8"/>
    <w:rsid w:val="00AD4586"/>
    <w:rsid w:val="00AD60D4"/>
    <w:rsid w:val="00AD628E"/>
    <w:rsid w:val="00AD72E1"/>
    <w:rsid w:val="00AE1D0A"/>
    <w:rsid w:val="00AE3D3F"/>
    <w:rsid w:val="00AE44C9"/>
    <w:rsid w:val="00AE56E4"/>
    <w:rsid w:val="00AE5C48"/>
    <w:rsid w:val="00AE70E9"/>
    <w:rsid w:val="00AE7531"/>
    <w:rsid w:val="00AF05B2"/>
    <w:rsid w:val="00AF14AF"/>
    <w:rsid w:val="00AF1564"/>
    <w:rsid w:val="00AF61C1"/>
    <w:rsid w:val="00AF62C4"/>
    <w:rsid w:val="00AF78DD"/>
    <w:rsid w:val="00AF7FE1"/>
    <w:rsid w:val="00B004CC"/>
    <w:rsid w:val="00B00805"/>
    <w:rsid w:val="00B038CD"/>
    <w:rsid w:val="00B03EB0"/>
    <w:rsid w:val="00B049EC"/>
    <w:rsid w:val="00B04B8C"/>
    <w:rsid w:val="00B051F2"/>
    <w:rsid w:val="00B0527F"/>
    <w:rsid w:val="00B06E1B"/>
    <w:rsid w:val="00B10629"/>
    <w:rsid w:val="00B106C9"/>
    <w:rsid w:val="00B106F5"/>
    <w:rsid w:val="00B1117E"/>
    <w:rsid w:val="00B12DDF"/>
    <w:rsid w:val="00B13686"/>
    <w:rsid w:val="00B1549B"/>
    <w:rsid w:val="00B155B4"/>
    <w:rsid w:val="00B15A6F"/>
    <w:rsid w:val="00B15F2D"/>
    <w:rsid w:val="00B173DB"/>
    <w:rsid w:val="00B1782D"/>
    <w:rsid w:val="00B216E8"/>
    <w:rsid w:val="00B21849"/>
    <w:rsid w:val="00B21F3E"/>
    <w:rsid w:val="00B221BA"/>
    <w:rsid w:val="00B229FB"/>
    <w:rsid w:val="00B22B9C"/>
    <w:rsid w:val="00B22DA2"/>
    <w:rsid w:val="00B24290"/>
    <w:rsid w:val="00B24DEF"/>
    <w:rsid w:val="00B265A8"/>
    <w:rsid w:val="00B27C33"/>
    <w:rsid w:val="00B304DC"/>
    <w:rsid w:val="00B306D6"/>
    <w:rsid w:val="00B32EF7"/>
    <w:rsid w:val="00B35859"/>
    <w:rsid w:val="00B3667B"/>
    <w:rsid w:val="00B403DB"/>
    <w:rsid w:val="00B40D98"/>
    <w:rsid w:val="00B41AB1"/>
    <w:rsid w:val="00B42DAF"/>
    <w:rsid w:val="00B43D3B"/>
    <w:rsid w:val="00B43D76"/>
    <w:rsid w:val="00B45200"/>
    <w:rsid w:val="00B462B5"/>
    <w:rsid w:val="00B46CF6"/>
    <w:rsid w:val="00B5046D"/>
    <w:rsid w:val="00B51082"/>
    <w:rsid w:val="00B51991"/>
    <w:rsid w:val="00B51F56"/>
    <w:rsid w:val="00B53440"/>
    <w:rsid w:val="00B53B95"/>
    <w:rsid w:val="00B53D46"/>
    <w:rsid w:val="00B54305"/>
    <w:rsid w:val="00B54534"/>
    <w:rsid w:val="00B54C00"/>
    <w:rsid w:val="00B55663"/>
    <w:rsid w:val="00B56200"/>
    <w:rsid w:val="00B56404"/>
    <w:rsid w:val="00B56B86"/>
    <w:rsid w:val="00B56E7C"/>
    <w:rsid w:val="00B57F3A"/>
    <w:rsid w:val="00B601A3"/>
    <w:rsid w:val="00B62110"/>
    <w:rsid w:val="00B635B5"/>
    <w:rsid w:val="00B6626F"/>
    <w:rsid w:val="00B67ED4"/>
    <w:rsid w:val="00B70A39"/>
    <w:rsid w:val="00B7251C"/>
    <w:rsid w:val="00B72E89"/>
    <w:rsid w:val="00B73167"/>
    <w:rsid w:val="00B75ACB"/>
    <w:rsid w:val="00B75E21"/>
    <w:rsid w:val="00B77AB1"/>
    <w:rsid w:val="00B77B96"/>
    <w:rsid w:val="00B81AD2"/>
    <w:rsid w:val="00B860A8"/>
    <w:rsid w:val="00B903D9"/>
    <w:rsid w:val="00B908B7"/>
    <w:rsid w:val="00B924B6"/>
    <w:rsid w:val="00B926CA"/>
    <w:rsid w:val="00B92C8E"/>
    <w:rsid w:val="00B94294"/>
    <w:rsid w:val="00B944CC"/>
    <w:rsid w:val="00B94EB7"/>
    <w:rsid w:val="00B9509A"/>
    <w:rsid w:val="00B9770E"/>
    <w:rsid w:val="00B97AF1"/>
    <w:rsid w:val="00BA1820"/>
    <w:rsid w:val="00BA21D4"/>
    <w:rsid w:val="00BA2A1E"/>
    <w:rsid w:val="00BA3729"/>
    <w:rsid w:val="00BA3D83"/>
    <w:rsid w:val="00BA452F"/>
    <w:rsid w:val="00BA5D11"/>
    <w:rsid w:val="00BA5FB9"/>
    <w:rsid w:val="00BA6BBB"/>
    <w:rsid w:val="00BA7FC6"/>
    <w:rsid w:val="00BB0D4F"/>
    <w:rsid w:val="00BB165A"/>
    <w:rsid w:val="00BB20E0"/>
    <w:rsid w:val="00BB3E84"/>
    <w:rsid w:val="00BB6AE6"/>
    <w:rsid w:val="00BB6CCB"/>
    <w:rsid w:val="00BB7405"/>
    <w:rsid w:val="00BC068D"/>
    <w:rsid w:val="00BC24AB"/>
    <w:rsid w:val="00BC26FA"/>
    <w:rsid w:val="00BC484A"/>
    <w:rsid w:val="00BC4E82"/>
    <w:rsid w:val="00BC58C9"/>
    <w:rsid w:val="00BC5C17"/>
    <w:rsid w:val="00BC5D29"/>
    <w:rsid w:val="00BC7080"/>
    <w:rsid w:val="00BC724F"/>
    <w:rsid w:val="00BC7C76"/>
    <w:rsid w:val="00BC7CB6"/>
    <w:rsid w:val="00BD12BD"/>
    <w:rsid w:val="00BD23FF"/>
    <w:rsid w:val="00BD2626"/>
    <w:rsid w:val="00BD31BF"/>
    <w:rsid w:val="00BD3538"/>
    <w:rsid w:val="00BD44E8"/>
    <w:rsid w:val="00BD5C3E"/>
    <w:rsid w:val="00BD5D35"/>
    <w:rsid w:val="00BD632E"/>
    <w:rsid w:val="00BD6E03"/>
    <w:rsid w:val="00BD71EE"/>
    <w:rsid w:val="00BD7A5C"/>
    <w:rsid w:val="00BE173B"/>
    <w:rsid w:val="00BE1BBD"/>
    <w:rsid w:val="00BE1FBA"/>
    <w:rsid w:val="00BE23F3"/>
    <w:rsid w:val="00BE433F"/>
    <w:rsid w:val="00BE5F60"/>
    <w:rsid w:val="00BE63EA"/>
    <w:rsid w:val="00BE74B7"/>
    <w:rsid w:val="00BF08E7"/>
    <w:rsid w:val="00BF1473"/>
    <w:rsid w:val="00BF1639"/>
    <w:rsid w:val="00BF314F"/>
    <w:rsid w:val="00BF4B17"/>
    <w:rsid w:val="00BF4D29"/>
    <w:rsid w:val="00C00AF0"/>
    <w:rsid w:val="00C0281B"/>
    <w:rsid w:val="00C02B31"/>
    <w:rsid w:val="00C0323D"/>
    <w:rsid w:val="00C038A5"/>
    <w:rsid w:val="00C03CB3"/>
    <w:rsid w:val="00C044D8"/>
    <w:rsid w:val="00C05D1B"/>
    <w:rsid w:val="00C05FBE"/>
    <w:rsid w:val="00C0616F"/>
    <w:rsid w:val="00C061B9"/>
    <w:rsid w:val="00C11648"/>
    <w:rsid w:val="00C1203C"/>
    <w:rsid w:val="00C1217D"/>
    <w:rsid w:val="00C1473C"/>
    <w:rsid w:val="00C14A84"/>
    <w:rsid w:val="00C14B0F"/>
    <w:rsid w:val="00C2003E"/>
    <w:rsid w:val="00C20309"/>
    <w:rsid w:val="00C2053D"/>
    <w:rsid w:val="00C2062E"/>
    <w:rsid w:val="00C20692"/>
    <w:rsid w:val="00C20CB5"/>
    <w:rsid w:val="00C20F36"/>
    <w:rsid w:val="00C21534"/>
    <w:rsid w:val="00C216F3"/>
    <w:rsid w:val="00C23A64"/>
    <w:rsid w:val="00C2466C"/>
    <w:rsid w:val="00C2502B"/>
    <w:rsid w:val="00C251B6"/>
    <w:rsid w:val="00C25743"/>
    <w:rsid w:val="00C259F4"/>
    <w:rsid w:val="00C25FAB"/>
    <w:rsid w:val="00C26112"/>
    <w:rsid w:val="00C3123D"/>
    <w:rsid w:val="00C316CD"/>
    <w:rsid w:val="00C3270B"/>
    <w:rsid w:val="00C33EE1"/>
    <w:rsid w:val="00C34A0D"/>
    <w:rsid w:val="00C34AC2"/>
    <w:rsid w:val="00C35FCA"/>
    <w:rsid w:val="00C36430"/>
    <w:rsid w:val="00C36588"/>
    <w:rsid w:val="00C367FE"/>
    <w:rsid w:val="00C37CEF"/>
    <w:rsid w:val="00C402EA"/>
    <w:rsid w:val="00C4047F"/>
    <w:rsid w:val="00C41C39"/>
    <w:rsid w:val="00C42C68"/>
    <w:rsid w:val="00C43160"/>
    <w:rsid w:val="00C446AC"/>
    <w:rsid w:val="00C453DB"/>
    <w:rsid w:val="00C456D0"/>
    <w:rsid w:val="00C4599F"/>
    <w:rsid w:val="00C45CA4"/>
    <w:rsid w:val="00C46EE8"/>
    <w:rsid w:val="00C47424"/>
    <w:rsid w:val="00C5058B"/>
    <w:rsid w:val="00C50E56"/>
    <w:rsid w:val="00C523C0"/>
    <w:rsid w:val="00C52E18"/>
    <w:rsid w:val="00C5515E"/>
    <w:rsid w:val="00C554E6"/>
    <w:rsid w:val="00C5570D"/>
    <w:rsid w:val="00C566FC"/>
    <w:rsid w:val="00C5696B"/>
    <w:rsid w:val="00C574A4"/>
    <w:rsid w:val="00C600A4"/>
    <w:rsid w:val="00C60F27"/>
    <w:rsid w:val="00C61ECC"/>
    <w:rsid w:val="00C62C81"/>
    <w:rsid w:val="00C62EEA"/>
    <w:rsid w:val="00C64976"/>
    <w:rsid w:val="00C64A83"/>
    <w:rsid w:val="00C668EF"/>
    <w:rsid w:val="00C678CE"/>
    <w:rsid w:val="00C67AEC"/>
    <w:rsid w:val="00C70571"/>
    <w:rsid w:val="00C7433C"/>
    <w:rsid w:val="00C75F69"/>
    <w:rsid w:val="00C76501"/>
    <w:rsid w:val="00C767D2"/>
    <w:rsid w:val="00C76D62"/>
    <w:rsid w:val="00C810B1"/>
    <w:rsid w:val="00C81734"/>
    <w:rsid w:val="00C82AAD"/>
    <w:rsid w:val="00C83345"/>
    <w:rsid w:val="00C83396"/>
    <w:rsid w:val="00C83EFF"/>
    <w:rsid w:val="00C856ED"/>
    <w:rsid w:val="00C91773"/>
    <w:rsid w:val="00C92AB9"/>
    <w:rsid w:val="00C939D5"/>
    <w:rsid w:val="00C94AC3"/>
    <w:rsid w:val="00C95728"/>
    <w:rsid w:val="00C95C9C"/>
    <w:rsid w:val="00C97015"/>
    <w:rsid w:val="00C97065"/>
    <w:rsid w:val="00CA0743"/>
    <w:rsid w:val="00CA119F"/>
    <w:rsid w:val="00CA186A"/>
    <w:rsid w:val="00CA2B83"/>
    <w:rsid w:val="00CA3454"/>
    <w:rsid w:val="00CA3783"/>
    <w:rsid w:val="00CA4272"/>
    <w:rsid w:val="00CA4D42"/>
    <w:rsid w:val="00CA59E8"/>
    <w:rsid w:val="00CA5C01"/>
    <w:rsid w:val="00CA5D8E"/>
    <w:rsid w:val="00CA6B5D"/>
    <w:rsid w:val="00CA7FDD"/>
    <w:rsid w:val="00CB2E3D"/>
    <w:rsid w:val="00CB2E5F"/>
    <w:rsid w:val="00CB3273"/>
    <w:rsid w:val="00CB4A01"/>
    <w:rsid w:val="00CB57D9"/>
    <w:rsid w:val="00CB5A24"/>
    <w:rsid w:val="00CB6325"/>
    <w:rsid w:val="00CB649C"/>
    <w:rsid w:val="00CC0261"/>
    <w:rsid w:val="00CC0891"/>
    <w:rsid w:val="00CC09B6"/>
    <w:rsid w:val="00CC1480"/>
    <w:rsid w:val="00CC14A0"/>
    <w:rsid w:val="00CC32C6"/>
    <w:rsid w:val="00CC50D2"/>
    <w:rsid w:val="00CC62CA"/>
    <w:rsid w:val="00CC73AB"/>
    <w:rsid w:val="00CC77DA"/>
    <w:rsid w:val="00CC7B9F"/>
    <w:rsid w:val="00CD35F6"/>
    <w:rsid w:val="00CD50AD"/>
    <w:rsid w:val="00CD61DC"/>
    <w:rsid w:val="00CD6263"/>
    <w:rsid w:val="00CD6D45"/>
    <w:rsid w:val="00CD75DE"/>
    <w:rsid w:val="00CD7AC4"/>
    <w:rsid w:val="00CE0545"/>
    <w:rsid w:val="00CE1CC3"/>
    <w:rsid w:val="00CE26B3"/>
    <w:rsid w:val="00CE285E"/>
    <w:rsid w:val="00CE3E3D"/>
    <w:rsid w:val="00CE5AD8"/>
    <w:rsid w:val="00CE79DC"/>
    <w:rsid w:val="00CF136B"/>
    <w:rsid w:val="00CF1B57"/>
    <w:rsid w:val="00CF21B4"/>
    <w:rsid w:val="00CF27E0"/>
    <w:rsid w:val="00CF2DF8"/>
    <w:rsid w:val="00CF3851"/>
    <w:rsid w:val="00CF3F94"/>
    <w:rsid w:val="00CF4B84"/>
    <w:rsid w:val="00CF6ACB"/>
    <w:rsid w:val="00CF73B6"/>
    <w:rsid w:val="00CF7848"/>
    <w:rsid w:val="00D00BB4"/>
    <w:rsid w:val="00D0139F"/>
    <w:rsid w:val="00D0171D"/>
    <w:rsid w:val="00D01D0F"/>
    <w:rsid w:val="00D04430"/>
    <w:rsid w:val="00D05B51"/>
    <w:rsid w:val="00D060E5"/>
    <w:rsid w:val="00D07297"/>
    <w:rsid w:val="00D07EA6"/>
    <w:rsid w:val="00D11ABB"/>
    <w:rsid w:val="00D11F85"/>
    <w:rsid w:val="00D121E5"/>
    <w:rsid w:val="00D13051"/>
    <w:rsid w:val="00D1560C"/>
    <w:rsid w:val="00D158AD"/>
    <w:rsid w:val="00D1660D"/>
    <w:rsid w:val="00D174AD"/>
    <w:rsid w:val="00D179AD"/>
    <w:rsid w:val="00D21086"/>
    <w:rsid w:val="00D21340"/>
    <w:rsid w:val="00D22E2C"/>
    <w:rsid w:val="00D23486"/>
    <w:rsid w:val="00D23B24"/>
    <w:rsid w:val="00D3020F"/>
    <w:rsid w:val="00D31058"/>
    <w:rsid w:val="00D31C60"/>
    <w:rsid w:val="00D31ED3"/>
    <w:rsid w:val="00D33393"/>
    <w:rsid w:val="00D345C6"/>
    <w:rsid w:val="00D34954"/>
    <w:rsid w:val="00D34C15"/>
    <w:rsid w:val="00D3531C"/>
    <w:rsid w:val="00D359E7"/>
    <w:rsid w:val="00D35BE1"/>
    <w:rsid w:val="00D365BF"/>
    <w:rsid w:val="00D36917"/>
    <w:rsid w:val="00D36CD0"/>
    <w:rsid w:val="00D37910"/>
    <w:rsid w:val="00D407F3"/>
    <w:rsid w:val="00D41F46"/>
    <w:rsid w:val="00D42EEF"/>
    <w:rsid w:val="00D42F54"/>
    <w:rsid w:val="00D434D1"/>
    <w:rsid w:val="00D43B39"/>
    <w:rsid w:val="00D43B75"/>
    <w:rsid w:val="00D4659D"/>
    <w:rsid w:val="00D47AA6"/>
    <w:rsid w:val="00D51B54"/>
    <w:rsid w:val="00D52A9F"/>
    <w:rsid w:val="00D52FE8"/>
    <w:rsid w:val="00D545C1"/>
    <w:rsid w:val="00D548D6"/>
    <w:rsid w:val="00D60519"/>
    <w:rsid w:val="00D60849"/>
    <w:rsid w:val="00D617CA"/>
    <w:rsid w:val="00D61C31"/>
    <w:rsid w:val="00D62920"/>
    <w:rsid w:val="00D6491A"/>
    <w:rsid w:val="00D64BEF"/>
    <w:rsid w:val="00D65DF3"/>
    <w:rsid w:val="00D65E19"/>
    <w:rsid w:val="00D66546"/>
    <w:rsid w:val="00D669E7"/>
    <w:rsid w:val="00D66D30"/>
    <w:rsid w:val="00D71281"/>
    <w:rsid w:val="00D718EE"/>
    <w:rsid w:val="00D724B9"/>
    <w:rsid w:val="00D72907"/>
    <w:rsid w:val="00D72E81"/>
    <w:rsid w:val="00D76374"/>
    <w:rsid w:val="00D76B7E"/>
    <w:rsid w:val="00D81AF1"/>
    <w:rsid w:val="00D82304"/>
    <w:rsid w:val="00D82F38"/>
    <w:rsid w:val="00D83388"/>
    <w:rsid w:val="00D83F55"/>
    <w:rsid w:val="00D8523B"/>
    <w:rsid w:val="00D85562"/>
    <w:rsid w:val="00D9088A"/>
    <w:rsid w:val="00D90C2E"/>
    <w:rsid w:val="00D90CEA"/>
    <w:rsid w:val="00D90F75"/>
    <w:rsid w:val="00D91DA6"/>
    <w:rsid w:val="00D92457"/>
    <w:rsid w:val="00D92A5B"/>
    <w:rsid w:val="00D93FF3"/>
    <w:rsid w:val="00D9475C"/>
    <w:rsid w:val="00D94A82"/>
    <w:rsid w:val="00D95ED2"/>
    <w:rsid w:val="00DA06B2"/>
    <w:rsid w:val="00DA0A53"/>
    <w:rsid w:val="00DA1755"/>
    <w:rsid w:val="00DA1B6B"/>
    <w:rsid w:val="00DA3584"/>
    <w:rsid w:val="00DA48B4"/>
    <w:rsid w:val="00DA5464"/>
    <w:rsid w:val="00DA5731"/>
    <w:rsid w:val="00DA659F"/>
    <w:rsid w:val="00DB2334"/>
    <w:rsid w:val="00DB2624"/>
    <w:rsid w:val="00DB2A8F"/>
    <w:rsid w:val="00DB359E"/>
    <w:rsid w:val="00DB3C45"/>
    <w:rsid w:val="00DB3C49"/>
    <w:rsid w:val="00DB54E0"/>
    <w:rsid w:val="00DB58F7"/>
    <w:rsid w:val="00DB5948"/>
    <w:rsid w:val="00DB5A9F"/>
    <w:rsid w:val="00DB5B7D"/>
    <w:rsid w:val="00DB6420"/>
    <w:rsid w:val="00DB77FA"/>
    <w:rsid w:val="00DC1035"/>
    <w:rsid w:val="00DC1136"/>
    <w:rsid w:val="00DC17F5"/>
    <w:rsid w:val="00DC1943"/>
    <w:rsid w:val="00DC21B5"/>
    <w:rsid w:val="00DC2ED0"/>
    <w:rsid w:val="00DC3ADC"/>
    <w:rsid w:val="00DC3BA0"/>
    <w:rsid w:val="00DC4223"/>
    <w:rsid w:val="00DC5324"/>
    <w:rsid w:val="00DC539F"/>
    <w:rsid w:val="00DC624C"/>
    <w:rsid w:val="00DC65D9"/>
    <w:rsid w:val="00DC67F4"/>
    <w:rsid w:val="00DD0D8E"/>
    <w:rsid w:val="00DD1E05"/>
    <w:rsid w:val="00DD469E"/>
    <w:rsid w:val="00DD6327"/>
    <w:rsid w:val="00DD7203"/>
    <w:rsid w:val="00DE0505"/>
    <w:rsid w:val="00DE0CC3"/>
    <w:rsid w:val="00DE150C"/>
    <w:rsid w:val="00DE18BE"/>
    <w:rsid w:val="00DE5365"/>
    <w:rsid w:val="00DE593B"/>
    <w:rsid w:val="00DE5D04"/>
    <w:rsid w:val="00DE60B4"/>
    <w:rsid w:val="00DE701C"/>
    <w:rsid w:val="00DE74B2"/>
    <w:rsid w:val="00DF1828"/>
    <w:rsid w:val="00DF1CA2"/>
    <w:rsid w:val="00DF1E77"/>
    <w:rsid w:val="00DF2DD3"/>
    <w:rsid w:val="00DF350D"/>
    <w:rsid w:val="00DF3D3E"/>
    <w:rsid w:val="00DF512D"/>
    <w:rsid w:val="00DF5F6E"/>
    <w:rsid w:val="00DF6BB6"/>
    <w:rsid w:val="00E001B6"/>
    <w:rsid w:val="00E00272"/>
    <w:rsid w:val="00E00F8E"/>
    <w:rsid w:val="00E011E3"/>
    <w:rsid w:val="00E017AB"/>
    <w:rsid w:val="00E01878"/>
    <w:rsid w:val="00E027E1"/>
    <w:rsid w:val="00E02A0A"/>
    <w:rsid w:val="00E02DB9"/>
    <w:rsid w:val="00E05FB3"/>
    <w:rsid w:val="00E06710"/>
    <w:rsid w:val="00E07B8E"/>
    <w:rsid w:val="00E13D0C"/>
    <w:rsid w:val="00E1418B"/>
    <w:rsid w:val="00E14387"/>
    <w:rsid w:val="00E143C3"/>
    <w:rsid w:val="00E1545B"/>
    <w:rsid w:val="00E16BB6"/>
    <w:rsid w:val="00E16EA7"/>
    <w:rsid w:val="00E177D4"/>
    <w:rsid w:val="00E20411"/>
    <w:rsid w:val="00E205B9"/>
    <w:rsid w:val="00E2125C"/>
    <w:rsid w:val="00E2511A"/>
    <w:rsid w:val="00E2544D"/>
    <w:rsid w:val="00E2616C"/>
    <w:rsid w:val="00E2642E"/>
    <w:rsid w:val="00E26F6E"/>
    <w:rsid w:val="00E2734D"/>
    <w:rsid w:val="00E276AE"/>
    <w:rsid w:val="00E27F77"/>
    <w:rsid w:val="00E306CD"/>
    <w:rsid w:val="00E3171D"/>
    <w:rsid w:val="00E327BC"/>
    <w:rsid w:val="00E3731A"/>
    <w:rsid w:val="00E375E6"/>
    <w:rsid w:val="00E37D30"/>
    <w:rsid w:val="00E37E29"/>
    <w:rsid w:val="00E37F86"/>
    <w:rsid w:val="00E41BA0"/>
    <w:rsid w:val="00E41D40"/>
    <w:rsid w:val="00E43593"/>
    <w:rsid w:val="00E43AA2"/>
    <w:rsid w:val="00E441EC"/>
    <w:rsid w:val="00E45EBA"/>
    <w:rsid w:val="00E47532"/>
    <w:rsid w:val="00E47AFE"/>
    <w:rsid w:val="00E5103A"/>
    <w:rsid w:val="00E5143F"/>
    <w:rsid w:val="00E54180"/>
    <w:rsid w:val="00E55E5F"/>
    <w:rsid w:val="00E56575"/>
    <w:rsid w:val="00E56F4D"/>
    <w:rsid w:val="00E57E19"/>
    <w:rsid w:val="00E61435"/>
    <w:rsid w:val="00E6172A"/>
    <w:rsid w:val="00E621F8"/>
    <w:rsid w:val="00E62326"/>
    <w:rsid w:val="00E63836"/>
    <w:rsid w:val="00E6409F"/>
    <w:rsid w:val="00E64169"/>
    <w:rsid w:val="00E65C75"/>
    <w:rsid w:val="00E65EBE"/>
    <w:rsid w:val="00E66457"/>
    <w:rsid w:val="00E67309"/>
    <w:rsid w:val="00E673D4"/>
    <w:rsid w:val="00E6771B"/>
    <w:rsid w:val="00E716FE"/>
    <w:rsid w:val="00E72DFF"/>
    <w:rsid w:val="00E7312F"/>
    <w:rsid w:val="00E737A0"/>
    <w:rsid w:val="00E73914"/>
    <w:rsid w:val="00E7629F"/>
    <w:rsid w:val="00E77ACB"/>
    <w:rsid w:val="00E806E8"/>
    <w:rsid w:val="00E80867"/>
    <w:rsid w:val="00E82C12"/>
    <w:rsid w:val="00E83F01"/>
    <w:rsid w:val="00E842CA"/>
    <w:rsid w:val="00E8587A"/>
    <w:rsid w:val="00E862C1"/>
    <w:rsid w:val="00E86892"/>
    <w:rsid w:val="00E868F9"/>
    <w:rsid w:val="00E87412"/>
    <w:rsid w:val="00E87AA6"/>
    <w:rsid w:val="00E87BAB"/>
    <w:rsid w:val="00E90059"/>
    <w:rsid w:val="00E91A72"/>
    <w:rsid w:val="00E91ABB"/>
    <w:rsid w:val="00E926D4"/>
    <w:rsid w:val="00E92DDF"/>
    <w:rsid w:val="00E931A1"/>
    <w:rsid w:val="00E93311"/>
    <w:rsid w:val="00E93C20"/>
    <w:rsid w:val="00E94085"/>
    <w:rsid w:val="00E94867"/>
    <w:rsid w:val="00E9540D"/>
    <w:rsid w:val="00E97077"/>
    <w:rsid w:val="00E97A0D"/>
    <w:rsid w:val="00E97FEC"/>
    <w:rsid w:val="00EA060B"/>
    <w:rsid w:val="00EA0A72"/>
    <w:rsid w:val="00EA1D64"/>
    <w:rsid w:val="00EA24E6"/>
    <w:rsid w:val="00EA3DFA"/>
    <w:rsid w:val="00EA4495"/>
    <w:rsid w:val="00EA4CE5"/>
    <w:rsid w:val="00EA725E"/>
    <w:rsid w:val="00EA7339"/>
    <w:rsid w:val="00EA7D4C"/>
    <w:rsid w:val="00EB06C3"/>
    <w:rsid w:val="00EB0B7F"/>
    <w:rsid w:val="00EB1B3E"/>
    <w:rsid w:val="00EB1C3D"/>
    <w:rsid w:val="00EB1EF2"/>
    <w:rsid w:val="00EB21BB"/>
    <w:rsid w:val="00EB2858"/>
    <w:rsid w:val="00EB2939"/>
    <w:rsid w:val="00EB2E02"/>
    <w:rsid w:val="00EB320C"/>
    <w:rsid w:val="00EB39B6"/>
    <w:rsid w:val="00EB3D2C"/>
    <w:rsid w:val="00EB3F2E"/>
    <w:rsid w:val="00EB62E2"/>
    <w:rsid w:val="00EB62FC"/>
    <w:rsid w:val="00EB7A81"/>
    <w:rsid w:val="00EC1FAE"/>
    <w:rsid w:val="00EC4778"/>
    <w:rsid w:val="00EC5A9E"/>
    <w:rsid w:val="00EC5D34"/>
    <w:rsid w:val="00EC5F91"/>
    <w:rsid w:val="00EC60AC"/>
    <w:rsid w:val="00EC7412"/>
    <w:rsid w:val="00ED37C9"/>
    <w:rsid w:val="00ED60B5"/>
    <w:rsid w:val="00ED667E"/>
    <w:rsid w:val="00ED6705"/>
    <w:rsid w:val="00ED6A4F"/>
    <w:rsid w:val="00ED6E06"/>
    <w:rsid w:val="00ED7D0E"/>
    <w:rsid w:val="00EE05AF"/>
    <w:rsid w:val="00EE10D4"/>
    <w:rsid w:val="00EE158A"/>
    <w:rsid w:val="00EE3D59"/>
    <w:rsid w:val="00EE56E4"/>
    <w:rsid w:val="00EE5A1C"/>
    <w:rsid w:val="00EE6919"/>
    <w:rsid w:val="00EF084D"/>
    <w:rsid w:val="00EF1138"/>
    <w:rsid w:val="00EF1519"/>
    <w:rsid w:val="00EF3C12"/>
    <w:rsid w:val="00EF4CC8"/>
    <w:rsid w:val="00EF524F"/>
    <w:rsid w:val="00EF57D0"/>
    <w:rsid w:val="00EF5CCF"/>
    <w:rsid w:val="00EF5EE5"/>
    <w:rsid w:val="00EF628D"/>
    <w:rsid w:val="00EF75CF"/>
    <w:rsid w:val="00F00258"/>
    <w:rsid w:val="00F0146B"/>
    <w:rsid w:val="00F016C2"/>
    <w:rsid w:val="00F01B2E"/>
    <w:rsid w:val="00F01DE9"/>
    <w:rsid w:val="00F024FB"/>
    <w:rsid w:val="00F02AE2"/>
    <w:rsid w:val="00F03319"/>
    <w:rsid w:val="00F048B3"/>
    <w:rsid w:val="00F04A1D"/>
    <w:rsid w:val="00F05530"/>
    <w:rsid w:val="00F05AE3"/>
    <w:rsid w:val="00F06051"/>
    <w:rsid w:val="00F06A1B"/>
    <w:rsid w:val="00F07F6E"/>
    <w:rsid w:val="00F11F07"/>
    <w:rsid w:val="00F12B00"/>
    <w:rsid w:val="00F13A1B"/>
    <w:rsid w:val="00F14733"/>
    <w:rsid w:val="00F15319"/>
    <w:rsid w:val="00F16190"/>
    <w:rsid w:val="00F17B5A"/>
    <w:rsid w:val="00F2059C"/>
    <w:rsid w:val="00F21508"/>
    <w:rsid w:val="00F21912"/>
    <w:rsid w:val="00F21D50"/>
    <w:rsid w:val="00F22C63"/>
    <w:rsid w:val="00F22E7E"/>
    <w:rsid w:val="00F2322A"/>
    <w:rsid w:val="00F2591A"/>
    <w:rsid w:val="00F259F3"/>
    <w:rsid w:val="00F25AFD"/>
    <w:rsid w:val="00F260C7"/>
    <w:rsid w:val="00F26E7A"/>
    <w:rsid w:val="00F26FE6"/>
    <w:rsid w:val="00F27A09"/>
    <w:rsid w:val="00F310A4"/>
    <w:rsid w:val="00F31EC8"/>
    <w:rsid w:val="00F33068"/>
    <w:rsid w:val="00F330FA"/>
    <w:rsid w:val="00F3490D"/>
    <w:rsid w:val="00F36894"/>
    <w:rsid w:val="00F36FBA"/>
    <w:rsid w:val="00F37D2A"/>
    <w:rsid w:val="00F41BB0"/>
    <w:rsid w:val="00F41E85"/>
    <w:rsid w:val="00F41FFE"/>
    <w:rsid w:val="00F4287C"/>
    <w:rsid w:val="00F43E19"/>
    <w:rsid w:val="00F44746"/>
    <w:rsid w:val="00F465E0"/>
    <w:rsid w:val="00F46AB0"/>
    <w:rsid w:val="00F46D88"/>
    <w:rsid w:val="00F47355"/>
    <w:rsid w:val="00F504B1"/>
    <w:rsid w:val="00F52FEC"/>
    <w:rsid w:val="00F55C8B"/>
    <w:rsid w:val="00F570CC"/>
    <w:rsid w:val="00F574EA"/>
    <w:rsid w:val="00F579E4"/>
    <w:rsid w:val="00F57C64"/>
    <w:rsid w:val="00F6099E"/>
    <w:rsid w:val="00F60C51"/>
    <w:rsid w:val="00F62366"/>
    <w:rsid w:val="00F62B72"/>
    <w:rsid w:val="00F64A2B"/>
    <w:rsid w:val="00F64E0E"/>
    <w:rsid w:val="00F650CA"/>
    <w:rsid w:val="00F65C75"/>
    <w:rsid w:val="00F6606B"/>
    <w:rsid w:val="00F66744"/>
    <w:rsid w:val="00F6698E"/>
    <w:rsid w:val="00F675C3"/>
    <w:rsid w:val="00F6760D"/>
    <w:rsid w:val="00F67645"/>
    <w:rsid w:val="00F702F5"/>
    <w:rsid w:val="00F77FC1"/>
    <w:rsid w:val="00F8025D"/>
    <w:rsid w:val="00F80467"/>
    <w:rsid w:val="00F811C6"/>
    <w:rsid w:val="00F81445"/>
    <w:rsid w:val="00F81C7F"/>
    <w:rsid w:val="00F823FA"/>
    <w:rsid w:val="00F82EF8"/>
    <w:rsid w:val="00F82FB9"/>
    <w:rsid w:val="00F831CA"/>
    <w:rsid w:val="00F8362B"/>
    <w:rsid w:val="00F84CA6"/>
    <w:rsid w:val="00F85F8B"/>
    <w:rsid w:val="00F87399"/>
    <w:rsid w:val="00F902D3"/>
    <w:rsid w:val="00F9082F"/>
    <w:rsid w:val="00F91E0B"/>
    <w:rsid w:val="00F94A67"/>
    <w:rsid w:val="00F95CF9"/>
    <w:rsid w:val="00F95E39"/>
    <w:rsid w:val="00F96C04"/>
    <w:rsid w:val="00F97D7D"/>
    <w:rsid w:val="00FA0357"/>
    <w:rsid w:val="00FA1FA8"/>
    <w:rsid w:val="00FA25A2"/>
    <w:rsid w:val="00FA2B08"/>
    <w:rsid w:val="00FA2DFA"/>
    <w:rsid w:val="00FA3037"/>
    <w:rsid w:val="00FA68C5"/>
    <w:rsid w:val="00FA6A1C"/>
    <w:rsid w:val="00FA7560"/>
    <w:rsid w:val="00FB0A7B"/>
    <w:rsid w:val="00FB1277"/>
    <w:rsid w:val="00FB1EC9"/>
    <w:rsid w:val="00FB1FEE"/>
    <w:rsid w:val="00FB3921"/>
    <w:rsid w:val="00FB3D44"/>
    <w:rsid w:val="00FB46B5"/>
    <w:rsid w:val="00FB489B"/>
    <w:rsid w:val="00FB6CC0"/>
    <w:rsid w:val="00FB721A"/>
    <w:rsid w:val="00FB767B"/>
    <w:rsid w:val="00FC1AD6"/>
    <w:rsid w:val="00FC1C7B"/>
    <w:rsid w:val="00FC30E8"/>
    <w:rsid w:val="00FC384F"/>
    <w:rsid w:val="00FC3E3A"/>
    <w:rsid w:val="00FC6680"/>
    <w:rsid w:val="00FC7133"/>
    <w:rsid w:val="00FC76C5"/>
    <w:rsid w:val="00FC76C8"/>
    <w:rsid w:val="00FC7A13"/>
    <w:rsid w:val="00FC7BF4"/>
    <w:rsid w:val="00FD272D"/>
    <w:rsid w:val="00FD2919"/>
    <w:rsid w:val="00FD29A1"/>
    <w:rsid w:val="00FD2E26"/>
    <w:rsid w:val="00FD3679"/>
    <w:rsid w:val="00FD4C9C"/>
    <w:rsid w:val="00FD5BB8"/>
    <w:rsid w:val="00FD6E1E"/>
    <w:rsid w:val="00FD7855"/>
    <w:rsid w:val="00FE0334"/>
    <w:rsid w:val="00FE0F51"/>
    <w:rsid w:val="00FE21C7"/>
    <w:rsid w:val="00FE278A"/>
    <w:rsid w:val="00FE4AB2"/>
    <w:rsid w:val="00FE5268"/>
    <w:rsid w:val="00FE57DA"/>
    <w:rsid w:val="00FE6571"/>
    <w:rsid w:val="00FE68CD"/>
    <w:rsid w:val="00FF0450"/>
    <w:rsid w:val="00FF05AD"/>
    <w:rsid w:val="00FF2801"/>
    <w:rsid w:val="00FF34C3"/>
    <w:rsid w:val="00FF43F2"/>
    <w:rsid w:val="00FF4A8A"/>
    <w:rsid w:val="00FF5505"/>
    <w:rsid w:val="00FF644B"/>
    <w:rsid w:val="00FF646D"/>
    <w:rsid w:val="02300871"/>
    <w:rsid w:val="026F39B1"/>
    <w:rsid w:val="0466201D"/>
    <w:rsid w:val="04993CE9"/>
    <w:rsid w:val="054F28C9"/>
    <w:rsid w:val="05883150"/>
    <w:rsid w:val="06454D91"/>
    <w:rsid w:val="07E62DF0"/>
    <w:rsid w:val="08DE7883"/>
    <w:rsid w:val="0AD3391E"/>
    <w:rsid w:val="0B741AE7"/>
    <w:rsid w:val="0BE91540"/>
    <w:rsid w:val="0C1C0E77"/>
    <w:rsid w:val="0D0C13E6"/>
    <w:rsid w:val="0D2E6DB7"/>
    <w:rsid w:val="0D9C1FB8"/>
    <w:rsid w:val="0F4C5DCF"/>
    <w:rsid w:val="0F8B4ECE"/>
    <w:rsid w:val="0FD80F18"/>
    <w:rsid w:val="10110D97"/>
    <w:rsid w:val="11A8716F"/>
    <w:rsid w:val="12FC0FB0"/>
    <w:rsid w:val="136C4CD8"/>
    <w:rsid w:val="170F1826"/>
    <w:rsid w:val="17AC26A3"/>
    <w:rsid w:val="17CB4AC1"/>
    <w:rsid w:val="1849774D"/>
    <w:rsid w:val="1AE846E6"/>
    <w:rsid w:val="1BA5264E"/>
    <w:rsid w:val="1D121AAD"/>
    <w:rsid w:val="207A513B"/>
    <w:rsid w:val="208822DF"/>
    <w:rsid w:val="21A26265"/>
    <w:rsid w:val="21AE2811"/>
    <w:rsid w:val="21D92E0E"/>
    <w:rsid w:val="24772DD1"/>
    <w:rsid w:val="24A831E4"/>
    <w:rsid w:val="25B00BD8"/>
    <w:rsid w:val="27BB2107"/>
    <w:rsid w:val="280A2E32"/>
    <w:rsid w:val="2A6F59BF"/>
    <w:rsid w:val="2B3F0BD0"/>
    <w:rsid w:val="2C116C82"/>
    <w:rsid w:val="2EC77E2E"/>
    <w:rsid w:val="305A03D0"/>
    <w:rsid w:val="306A5197"/>
    <w:rsid w:val="34F631C1"/>
    <w:rsid w:val="36D628D3"/>
    <w:rsid w:val="37E67361"/>
    <w:rsid w:val="380170E5"/>
    <w:rsid w:val="3A375417"/>
    <w:rsid w:val="3C155F6B"/>
    <w:rsid w:val="3C643755"/>
    <w:rsid w:val="3E765FEC"/>
    <w:rsid w:val="401B29C7"/>
    <w:rsid w:val="40EB1F36"/>
    <w:rsid w:val="41C06D39"/>
    <w:rsid w:val="430E3D53"/>
    <w:rsid w:val="44685CF8"/>
    <w:rsid w:val="456309A4"/>
    <w:rsid w:val="46DA1788"/>
    <w:rsid w:val="47B11E60"/>
    <w:rsid w:val="48844519"/>
    <w:rsid w:val="491F5160"/>
    <w:rsid w:val="49A30CF2"/>
    <w:rsid w:val="4BD364E7"/>
    <w:rsid w:val="4C4B7DAA"/>
    <w:rsid w:val="4E4D7BF9"/>
    <w:rsid w:val="4E634AB7"/>
    <w:rsid w:val="4EA8778F"/>
    <w:rsid w:val="4F302884"/>
    <w:rsid w:val="51270D04"/>
    <w:rsid w:val="532C1B98"/>
    <w:rsid w:val="53C200E9"/>
    <w:rsid w:val="54622AB1"/>
    <w:rsid w:val="571C2E09"/>
    <w:rsid w:val="572144AD"/>
    <w:rsid w:val="57635601"/>
    <w:rsid w:val="58AE22FC"/>
    <w:rsid w:val="590C3883"/>
    <w:rsid w:val="5B72036E"/>
    <w:rsid w:val="5BA35315"/>
    <w:rsid w:val="5BDB5D6D"/>
    <w:rsid w:val="5CD96B02"/>
    <w:rsid w:val="5E6B06C5"/>
    <w:rsid w:val="60121B75"/>
    <w:rsid w:val="613A2997"/>
    <w:rsid w:val="61EA0F35"/>
    <w:rsid w:val="628C62EA"/>
    <w:rsid w:val="62D014A9"/>
    <w:rsid w:val="641704AD"/>
    <w:rsid w:val="65DB7760"/>
    <w:rsid w:val="665F2C54"/>
    <w:rsid w:val="66BB34FD"/>
    <w:rsid w:val="672C1608"/>
    <w:rsid w:val="69FF1568"/>
    <w:rsid w:val="6AA8709E"/>
    <w:rsid w:val="6E5E1F85"/>
    <w:rsid w:val="72132557"/>
    <w:rsid w:val="729D7899"/>
    <w:rsid w:val="74191210"/>
    <w:rsid w:val="74953B1B"/>
    <w:rsid w:val="77EB1EA8"/>
    <w:rsid w:val="7B5431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numPr>
        <w:ilvl w:val="0"/>
        <w:numId w:val="1"/>
      </w:numPr>
      <w:autoSpaceDE w:val="0"/>
      <w:autoSpaceDN w:val="0"/>
      <w:adjustRightInd w:val="0"/>
      <w:spacing w:line="312" w:lineRule="atLeast"/>
      <w:ind w:left="0" w:right="-113" w:firstLine="525"/>
      <w:jc w:val="left"/>
      <w:textAlignment w:val="bottom"/>
      <w:outlineLvl w:val="0"/>
    </w:pPr>
    <w:rPr>
      <w:rFonts w:ascii="仿宋体" w:eastAsia="仿宋体"/>
      <w:kern w:val="0"/>
      <w:sz w:val="28"/>
      <w:szCs w:val="20"/>
    </w:rPr>
  </w:style>
  <w:style w:type="paragraph" w:styleId="3">
    <w:name w:val="heading 2"/>
    <w:basedOn w:val="1"/>
    <w:next w:val="4"/>
    <w:qFormat/>
    <w:uiPriority w:val="0"/>
    <w:pPr>
      <w:keepNext/>
      <w:numPr>
        <w:ilvl w:val="0"/>
        <w:numId w:val="2"/>
      </w:numPr>
      <w:snapToGrid w:val="0"/>
      <w:spacing w:line="480" w:lineRule="auto"/>
      <w:outlineLvl w:val="1"/>
    </w:pPr>
    <w:rPr>
      <w:rFonts w:ascii="仿宋_GB2312" w:eastAsia="仿宋_GB2312"/>
      <w:sz w:val="28"/>
      <w:szCs w:val="20"/>
    </w:rPr>
  </w:style>
  <w:style w:type="character" w:default="1" w:styleId="23">
    <w:name w:val="Default Paragraph Font"/>
    <w:uiPriority w:val="0"/>
  </w:style>
  <w:style w:type="table" w:default="1" w:styleId="21">
    <w:name w:val="Normal Table"/>
    <w:semiHidden/>
    <w:uiPriority w:val="0"/>
    <w:tblPr>
      <w:tblStyle w:val="21"/>
      <w:tblCellMar>
        <w:top w:w="0" w:type="dxa"/>
        <w:left w:w="108" w:type="dxa"/>
        <w:bottom w:w="0" w:type="dxa"/>
        <w:right w:w="108" w:type="dxa"/>
      </w:tblCellMar>
    </w:tblPr>
  </w:style>
  <w:style w:type="paragraph" w:styleId="4">
    <w:name w:val="Normal Indent"/>
    <w:basedOn w:val="1"/>
    <w:uiPriority w:val="0"/>
    <w:pPr>
      <w:ind w:firstLine="420"/>
    </w:pPr>
    <w:rPr>
      <w:szCs w:val="20"/>
    </w:rPr>
  </w:style>
  <w:style w:type="paragraph" w:styleId="5">
    <w:name w:val="Document Map"/>
    <w:basedOn w:val="1"/>
    <w:uiPriority w:val="0"/>
    <w:pPr>
      <w:shd w:val="clear" w:color="auto" w:fill="000080"/>
    </w:pPr>
  </w:style>
  <w:style w:type="paragraph" w:styleId="6">
    <w:name w:val="annotation text"/>
    <w:basedOn w:val="1"/>
    <w:uiPriority w:val="0"/>
    <w:pPr>
      <w:jc w:val="left"/>
    </w:pPr>
  </w:style>
  <w:style w:type="paragraph" w:styleId="7">
    <w:name w:val="index 6"/>
    <w:basedOn w:val="1"/>
    <w:next w:val="1"/>
    <w:uiPriority w:val="0"/>
    <w:pPr>
      <w:ind w:left="1000" w:leftChars="1000"/>
    </w:pPr>
  </w:style>
  <w:style w:type="paragraph" w:styleId="8">
    <w:name w:val="Body Text Indent"/>
    <w:basedOn w:val="1"/>
    <w:uiPriority w:val="0"/>
    <w:pPr>
      <w:snapToGrid w:val="0"/>
      <w:spacing w:line="360" w:lineRule="auto"/>
      <w:ind w:left="720"/>
    </w:pPr>
    <w:rPr>
      <w:rFonts w:ascii="宋体"/>
      <w:snapToGrid w:val="0"/>
      <w:kern w:val="0"/>
      <w:sz w:val="24"/>
    </w:rPr>
  </w:style>
  <w:style w:type="paragraph" w:styleId="9">
    <w:name w:val="Plain Text"/>
    <w:basedOn w:val="1"/>
    <w:uiPriority w:val="0"/>
    <w:rPr>
      <w:rFonts w:ascii="宋体" w:hAnsi="Courier New"/>
      <w:sz w:val="28"/>
      <w:szCs w:val="20"/>
    </w:rPr>
  </w:style>
  <w:style w:type="paragraph" w:styleId="10">
    <w:name w:val="Date"/>
    <w:basedOn w:val="1"/>
    <w:next w:val="1"/>
    <w:uiPriority w:val="0"/>
    <w:rPr>
      <w:szCs w:val="20"/>
    </w:rPr>
  </w:style>
  <w:style w:type="paragraph" w:styleId="11">
    <w:name w:val="Body Text Indent 2"/>
    <w:basedOn w:val="1"/>
    <w:uiPriority w:val="0"/>
    <w:pPr>
      <w:adjustRightInd w:val="0"/>
      <w:snapToGrid w:val="0"/>
      <w:spacing w:line="360" w:lineRule="auto"/>
      <w:ind w:firstLine="560" w:firstLineChars="200"/>
    </w:pPr>
    <w:rPr>
      <w:rFonts w:ascii="仿宋_GB2312" w:eastAsia="仿宋_GB2312"/>
      <w:sz w:val="28"/>
    </w:rPr>
  </w:style>
  <w:style w:type="paragraph" w:styleId="12">
    <w:name w:val="Balloon Text"/>
    <w:basedOn w:val="1"/>
    <w:uiPriority w:val="0"/>
    <w:rPr>
      <w:sz w:val="18"/>
      <w:szCs w:val="18"/>
    </w:rPr>
  </w:style>
  <w:style w:type="paragraph" w:styleId="13">
    <w:name w:val="footer"/>
    <w:basedOn w:val="1"/>
    <w:uiPriority w:val="0"/>
    <w:pPr>
      <w:tabs>
        <w:tab w:val="center" w:pos="4153"/>
        <w:tab w:val="right" w:pos="8306"/>
      </w:tabs>
      <w:snapToGrid w:val="0"/>
      <w:jc w:val="left"/>
    </w:pPr>
    <w:rPr>
      <w:sz w:val="18"/>
      <w:szCs w:val="18"/>
    </w:rPr>
  </w:style>
  <w:style w:type="paragraph" w:styleId="14">
    <w:name w:val="header"/>
    <w:basedOn w:val="1"/>
    <w:link w:val="37"/>
    <w:uiPriority w:val="99"/>
    <w:pPr>
      <w:pBdr>
        <w:bottom w:val="single" w:color="auto" w:sz="6" w:space="1"/>
      </w:pBdr>
      <w:tabs>
        <w:tab w:val="center" w:pos="4153"/>
        <w:tab w:val="right" w:pos="8306"/>
      </w:tabs>
      <w:snapToGrid w:val="0"/>
      <w:jc w:val="center"/>
    </w:pPr>
    <w:rPr>
      <w:szCs w:val="20"/>
    </w:rPr>
  </w:style>
  <w:style w:type="paragraph" w:styleId="15">
    <w:name w:val="toc 1"/>
    <w:basedOn w:val="1"/>
    <w:next w:val="1"/>
    <w:uiPriority w:val="39"/>
  </w:style>
  <w:style w:type="paragraph" w:styleId="16">
    <w:name w:val="Body Text Indent 3"/>
    <w:basedOn w:val="1"/>
    <w:uiPriority w:val="0"/>
    <w:pPr>
      <w:spacing w:line="360" w:lineRule="auto"/>
      <w:ind w:left="2887" w:leftChars="304" w:hanging="2249" w:hangingChars="700"/>
    </w:pPr>
    <w:rPr>
      <w:rFonts w:ascii="楷体_GB2312" w:eastAsia="楷体_GB2312"/>
      <w:b/>
      <w:snapToGrid w:val="0"/>
      <w:kern w:val="0"/>
      <w:sz w:val="32"/>
      <w:szCs w:val="32"/>
    </w:rPr>
  </w:style>
  <w:style w:type="paragraph" w:styleId="17">
    <w:name w:val="toc 2"/>
    <w:basedOn w:val="1"/>
    <w:next w:val="1"/>
    <w:uiPriority w:val="39"/>
    <w:pPr>
      <w:ind w:left="420" w:leftChars="200"/>
    </w:pPr>
  </w:style>
  <w:style w:type="paragraph" w:styleId="18">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paragraph" w:styleId="19">
    <w:name w:val="index 1"/>
    <w:basedOn w:val="1"/>
    <w:next w:val="1"/>
    <w:uiPriority w:val="0"/>
    <w:rPr>
      <w:rFonts w:ascii="仿宋_GB2312" w:eastAsia="仿宋_GB2312"/>
      <w:szCs w:val="21"/>
    </w:rPr>
  </w:style>
  <w:style w:type="paragraph" w:styleId="20">
    <w:name w:val="annotation subject"/>
    <w:basedOn w:val="6"/>
    <w:next w:val="6"/>
    <w:uiPriority w:val="0"/>
    <w:rPr>
      <w:b/>
      <w:bCs/>
    </w:rPr>
  </w:style>
  <w:style w:type="table" w:styleId="22">
    <w:name w:val="Table Grid"/>
    <w:basedOn w:val="21"/>
    <w:uiPriority w:val="0"/>
    <w:pPr>
      <w:widowControl w:val="0"/>
      <w:jc w:val="both"/>
    </w:p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page number"/>
    <w:uiPriority w:val="0"/>
    <w:rPr>
      <w:rFonts w:ascii="宋体" w:hAnsi="宋体" w:eastAsia="宋体"/>
    </w:rPr>
  </w:style>
  <w:style w:type="character" w:styleId="26">
    <w:name w:val="Hyperlink"/>
    <w:uiPriority w:val="99"/>
    <w:rPr>
      <w:color w:val="136EC2"/>
      <w:u w:val="single"/>
    </w:rPr>
  </w:style>
  <w:style w:type="character" w:styleId="27">
    <w:name w:val="annotation reference"/>
    <w:uiPriority w:val="0"/>
    <w:rPr>
      <w:sz w:val="21"/>
      <w:szCs w:val="21"/>
    </w:rPr>
  </w:style>
  <w:style w:type="paragraph" w:customStyle="1" w:styleId="28">
    <w:name w:val="p0"/>
    <w:basedOn w:val="1"/>
    <w:uiPriority w:val="0"/>
    <w:pPr>
      <w:widowControl/>
    </w:pPr>
    <w:rPr>
      <w:kern w:val="0"/>
      <w:szCs w:val="21"/>
    </w:rPr>
  </w:style>
  <w:style w:type="paragraph" w:customStyle="1" w:styleId="29">
    <w:name w:val="Char"/>
    <w:basedOn w:val="1"/>
    <w:uiPriority w:val="0"/>
  </w:style>
  <w:style w:type="paragraph" w:customStyle="1" w:styleId="30">
    <w:name w:val="Char Char Char Char"/>
    <w:basedOn w:val="1"/>
    <w:uiPriority w:val="0"/>
  </w:style>
  <w:style w:type="paragraph" w:customStyle="1" w:styleId="31">
    <w:name w:val=" Char Char Char"/>
    <w:basedOn w:val="1"/>
    <w:uiPriority w:val="0"/>
    <w:pPr>
      <w:snapToGrid w:val="0"/>
      <w:spacing w:line="360" w:lineRule="auto"/>
      <w:ind w:firstLine="200" w:firstLineChars="200"/>
    </w:pPr>
    <w:rPr>
      <w:rFonts w:eastAsia="仿宋_GB2312"/>
      <w:sz w:val="24"/>
    </w:rPr>
  </w:style>
  <w:style w:type="paragraph" w:customStyle="1" w:styleId="32">
    <w:name w:val="_Style 13"/>
    <w:basedOn w:val="1"/>
    <w:uiPriority w:val="0"/>
  </w:style>
  <w:style w:type="paragraph" w:customStyle="1" w:styleId="33">
    <w:name w:val=" Char"/>
    <w:basedOn w:val="1"/>
    <w:uiPriority w:val="0"/>
  </w:style>
  <w:style w:type="paragraph" w:customStyle="1" w:styleId="34">
    <w:name w:val="iw_poi_title"/>
    <w:basedOn w:val="1"/>
    <w:uiPriority w:val="0"/>
    <w:pPr>
      <w:widowControl/>
      <w:jc w:val="left"/>
    </w:pPr>
    <w:rPr>
      <w:rFonts w:ascii="宋体" w:hAnsi="宋体" w:cs="宋体"/>
      <w:b/>
      <w:bCs/>
      <w:color w:val="CC5522"/>
      <w:kern w:val="0"/>
      <w:szCs w:val="21"/>
    </w:rPr>
  </w:style>
  <w:style w:type="paragraph" w:customStyle="1" w:styleId="35">
    <w:name w:val="xl30"/>
    <w:basedOn w:val="1"/>
    <w:uiPriority w:val="0"/>
    <w:pPr>
      <w:widowControl/>
      <w:spacing w:before="100" w:beforeLines="0" w:beforeAutospacing="1" w:after="100" w:afterLines="0" w:afterAutospacing="1"/>
      <w:jc w:val="center"/>
      <w:textAlignment w:val="center"/>
    </w:pPr>
    <w:rPr>
      <w:rFonts w:ascii="Arial Unicode MS" w:hAnsi="Arial Unicode MS" w:eastAsia="Arial Unicode MS" w:cs="Arial Unicode MS"/>
      <w:kern w:val="0"/>
      <w:sz w:val="18"/>
      <w:szCs w:val="18"/>
    </w:rPr>
  </w:style>
  <w:style w:type="character" w:customStyle="1" w:styleId="36">
    <w:name w:val=" Char Char"/>
    <w:uiPriority w:val="0"/>
    <w:rPr>
      <w:rFonts w:eastAsia="宋体"/>
      <w:kern w:val="2"/>
      <w:sz w:val="18"/>
      <w:szCs w:val="18"/>
      <w:lang w:val="en-US" w:eastAsia="zh-CN" w:bidi="ar-SA"/>
    </w:rPr>
  </w:style>
  <w:style w:type="character" w:customStyle="1" w:styleId="37">
    <w:name w:val="页眉 Char"/>
    <w:link w:val="14"/>
    <w:uiPriority w:val="99"/>
    <w:rPr>
      <w:rFonts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JXDY</Company>
  <Pages>21</Pages>
  <Words>1153</Words>
  <Characters>6575</Characters>
  <Lines>54</Lines>
  <Paragraphs>15</Paragraphs>
  <TotalTime>18</TotalTime>
  <ScaleCrop>false</ScaleCrop>
  <LinksUpToDate>false</LinksUpToDate>
  <CharactersWithSpaces>7713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2006-01-19T17:14:00Z</dcterms:created>
  <dc:creator>YNX</dc:creator>
  <cp:lastModifiedBy>Administrator</cp:lastModifiedBy>
  <cp:lastPrinted>2018-07-02T10:20:00Z</cp:lastPrinted>
  <dcterms:modified xsi:type="dcterms:W3CDTF">2021-09-29T03:56:30Z</dcterms:modified>
  <dc:title>房 地 产 估 价 报 告</dc:title>
  <cp:revision>1926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