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bookmarkStart w:id="0" w:name="_GoBack"/>
      <w:bookmarkEnd w:id="0"/>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ascii="仿宋" w:hAnsi="仿宋" w:eastAsia="仿宋"/>
          <w:b/>
          <w:bCs/>
          <w:sz w:val="36"/>
          <w:szCs w:val="36"/>
        </w:rPr>
      </w:pPr>
      <w:r>
        <w:rPr>
          <w:rFonts w:hint="eastAsia" w:ascii="仿宋" w:hAnsi="仿宋" w:eastAsia="仿宋"/>
          <w:b/>
          <w:bCs/>
          <w:sz w:val="36"/>
          <w:szCs w:val="36"/>
        </w:rPr>
        <w:t>致委托方函</w:t>
      </w:r>
    </w:p>
    <w:p>
      <w:pPr>
        <w:rPr>
          <w:rFonts w:hint="eastAsia" w:ascii="仿宋" w:hAnsi="仿宋" w:eastAsia="仿宋"/>
          <w:sz w:val="30"/>
          <w:szCs w:val="30"/>
        </w:rPr>
      </w:pPr>
    </w:p>
    <w:p>
      <w:pPr>
        <w:rPr>
          <w:rFonts w:ascii="仿宋" w:hAnsi="仿宋" w:eastAsia="仿宋"/>
          <w:sz w:val="28"/>
          <w:szCs w:val="28"/>
        </w:rPr>
      </w:pPr>
      <w:r>
        <w:rPr>
          <w:rFonts w:hint="eastAsia" w:ascii="仿宋" w:hAnsi="仿宋" w:eastAsia="仿宋"/>
          <w:sz w:val="28"/>
          <w:szCs w:val="28"/>
          <w:lang w:val="en-US" w:eastAsia="zh-CN"/>
        </w:rPr>
        <w:t>孝感市孝南区</w:t>
      </w:r>
      <w:r>
        <w:rPr>
          <w:rFonts w:hint="eastAsia" w:ascii="仿宋" w:hAnsi="仿宋" w:eastAsia="仿宋"/>
          <w:sz w:val="28"/>
          <w:szCs w:val="28"/>
        </w:rPr>
        <w:t>人民法院：</w:t>
      </w:r>
    </w:p>
    <w:p>
      <w:pPr>
        <w:rPr>
          <w:rFonts w:hint="eastAsia" w:ascii="仿宋" w:hAnsi="仿宋" w:eastAsia="仿宋"/>
          <w:sz w:val="28"/>
          <w:szCs w:val="28"/>
          <w:lang w:val="en-US" w:eastAsia="zh-CN"/>
        </w:rPr>
      </w:pPr>
      <w:r>
        <w:rPr>
          <w:rFonts w:hint="eastAsia" w:ascii="仿宋" w:hAnsi="仿宋" w:eastAsia="仿宋"/>
          <w:sz w:val="28"/>
          <w:szCs w:val="28"/>
          <w:lang w:val="en-US" w:eastAsia="zh-CN"/>
        </w:rPr>
        <w:t xml:space="preserve">    </w:t>
      </w:r>
      <w:r>
        <w:rPr>
          <w:rFonts w:hint="eastAsia" w:ascii="仿宋" w:hAnsi="仿宋" w:eastAsia="仿宋"/>
          <w:sz w:val="28"/>
          <w:szCs w:val="28"/>
        </w:rPr>
        <w:t>受贵方（以下简称委托方）的委托，本公司于20</w:t>
      </w:r>
      <w:r>
        <w:rPr>
          <w:rFonts w:hint="eastAsia" w:ascii="仿宋" w:hAnsi="仿宋" w:eastAsia="仿宋"/>
          <w:sz w:val="28"/>
          <w:szCs w:val="28"/>
          <w:lang w:val="en-US" w:eastAsia="zh-CN"/>
        </w:rPr>
        <w:t>21</w:t>
      </w:r>
      <w:r>
        <w:rPr>
          <w:rFonts w:hint="eastAsia" w:ascii="仿宋" w:hAnsi="仿宋" w:eastAsia="仿宋"/>
          <w:sz w:val="28"/>
          <w:szCs w:val="28"/>
        </w:rPr>
        <w:t>年</w:t>
      </w:r>
      <w:r>
        <w:rPr>
          <w:rFonts w:hint="eastAsia" w:ascii="仿宋" w:hAnsi="仿宋" w:eastAsia="仿宋"/>
          <w:sz w:val="28"/>
          <w:szCs w:val="28"/>
          <w:lang w:val="en-US" w:eastAsia="zh-CN"/>
        </w:rPr>
        <w:t>07</w:t>
      </w:r>
      <w:r>
        <w:rPr>
          <w:rFonts w:hint="eastAsia" w:ascii="仿宋" w:hAnsi="仿宋" w:eastAsia="仿宋"/>
          <w:sz w:val="28"/>
          <w:szCs w:val="28"/>
        </w:rPr>
        <w:t>月</w:t>
      </w:r>
      <w:r>
        <w:rPr>
          <w:rFonts w:hint="eastAsia" w:ascii="仿宋" w:hAnsi="仿宋" w:eastAsia="仿宋"/>
          <w:sz w:val="28"/>
          <w:szCs w:val="28"/>
          <w:lang w:val="en-US" w:eastAsia="zh-CN"/>
        </w:rPr>
        <w:t>07</w:t>
      </w:r>
      <w:r>
        <w:rPr>
          <w:rFonts w:hint="eastAsia" w:ascii="仿宋" w:hAnsi="仿宋" w:eastAsia="仿宋"/>
          <w:sz w:val="28"/>
          <w:szCs w:val="28"/>
        </w:rPr>
        <w:t>日派员对委托方列明的</w:t>
      </w:r>
      <w:r>
        <w:rPr>
          <w:rFonts w:hint="eastAsia" w:ascii="仿宋" w:hAnsi="仿宋" w:eastAsia="仿宋"/>
          <w:sz w:val="28"/>
          <w:szCs w:val="28"/>
          <w:lang w:val="en-US" w:eastAsia="zh-CN"/>
        </w:rPr>
        <w:t>湖北福宏房地产开发有限公司所有的、</w:t>
      </w:r>
      <w:r>
        <w:rPr>
          <w:rFonts w:hint="eastAsia" w:ascii="仿宋" w:hAnsi="仿宋" w:eastAsia="仿宋"/>
          <w:sz w:val="28"/>
          <w:szCs w:val="28"/>
        </w:rPr>
        <w:t>位于</w:t>
      </w:r>
      <w:r>
        <w:rPr>
          <w:rFonts w:hint="eastAsia" w:ascii="仿宋" w:hAnsi="仿宋" w:eastAsia="仿宋"/>
          <w:sz w:val="28"/>
          <w:szCs w:val="28"/>
          <w:lang w:eastAsia="zh-CN"/>
        </w:rPr>
        <w:t>孝感市孝南区肖港镇阳光大道与</w:t>
      </w:r>
      <w:r>
        <w:rPr>
          <w:rFonts w:hint="eastAsia" w:ascii="仿宋" w:hAnsi="仿宋" w:eastAsia="仿宋"/>
          <w:sz w:val="28"/>
          <w:szCs w:val="28"/>
          <w:lang w:val="en-US" w:eastAsia="zh-CN"/>
        </w:rPr>
        <w:t>107国道交汇处A栋15层1502室，</w:t>
      </w:r>
      <w:r>
        <w:rPr>
          <w:rFonts w:hint="eastAsia" w:ascii="仿宋" w:hAnsi="仿宋" w:eastAsia="仿宋"/>
          <w:sz w:val="28"/>
          <w:szCs w:val="28"/>
        </w:rPr>
        <w:t>建筑面积</w:t>
      </w:r>
      <w:r>
        <w:rPr>
          <w:rFonts w:hint="eastAsia" w:ascii="仿宋" w:hAnsi="仿宋" w:eastAsia="仿宋"/>
          <w:sz w:val="28"/>
          <w:szCs w:val="28"/>
          <w:lang w:eastAsia="zh-CN"/>
        </w:rPr>
        <w:t>为</w:t>
      </w:r>
      <w:r>
        <w:rPr>
          <w:rFonts w:hint="eastAsia" w:ascii="仿宋" w:hAnsi="仿宋" w:eastAsia="仿宋"/>
          <w:sz w:val="28"/>
          <w:szCs w:val="28"/>
          <w:lang w:val="en-US" w:eastAsia="zh-CN"/>
        </w:rPr>
        <w:t>132.23㎡</w:t>
      </w:r>
      <w:r>
        <w:rPr>
          <w:rFonts w:hint="eastAsia" w:ascii="仿宋" w:hAnsi="仿宋" w:eastAsia="仿宋"/>
          <w:sz w:val="28"/>
          <w:szCs w:val="28"/>
        </w:rPr>
        <w:t>的</w:t>
      </w:r>
      <w:r>
        <w:rPr>
          <w:rFonts w:hint="eastAsia" w:ascii="仿宋" w:hAnsi="仿宋" w:eastAsia="仿宋"/>
          <w:sz w:val="28"/>
          <w:szCs w:val="28"/>
          <w:lang w:eastAsia="zh-CN"/>
        </w:rPr>
        <w:t>住宅</w:t>
      </w:r>
      <w:r>
        <w:rPr>
          <w:rFonts w:hint="eastAsia" w:ascii="仿宋" w:hAnsi="仿宋" w:eastAsia="仿宋"/>
          <w:sz w:val="28"/>
          <w:szCs w:val="28"/>
        </w:rPr>
        <w:t>房地产（含相关权益）进行了现场实地查勘，并对估价对象房地产于估价时点20</w:t>
      </w:r>
      <w:r>
        <w:rPr>
          <w:rFonts w:hint="eastAsia" w:ascii="仿宋" w:hAnsi="仿宋" w:eastAsia="仿宋"/>
          <w:sz w:val="28"/>
          <w:szCs w:val="28"/>
          <w:lang w:val="en-US" w:eastAsia="zh-CN"/>
        </w:rPr>
        <w:t>21</w:t>
      </w:r>
      <w:r>
        <w:rPr>
          <w:rFonts w:hint="eastAsia" w:ascii="仿宋" w:hAnsi="仿宋" w:eastAsia="仿宋"/>
          <w:sz w:val="28"/>
          <w:szCs w:val="28"/>
        </w:rPr>
        <w:t>年</w:t>
      </w:r>
      <w:r>
        <w:rPr>
          <w:rFonts w:hint="eastAsia" w:ascii="仿宋" w:hAnsi="仿宋" w:eastAsia="仿宋"/>
          <w:sz w:val="28"/>
          <w:szCs w:val="28"/>
          <w:lang w:val="en-US" w:eastAsia="zh-CN"/>
        </w:rPr>
        <w:t>06</w:t>
      </w:r>
      <w:r>
        <w:rPr>
          <w:rFonts w:hint="eastAsia" w:ascii="仿宋" w:hAnsi="仿宋" w:eastAsia="仿宋"/>
          <w:sz w:val="28"/>
          <w:szCs w:val="28"/>
        </w:rPr>
        <w:t>月</w:t>
      </w:r>
      <w:r>
        <w:rPr>
          <w:rFonts w:hint="eastAsia" w:ascii="仿宋" w:hAnsi="仿宋" w:eastAsia="仿宋"/>
          <w:sz w:val="28"/>
          <w:szCs w:val="28"/>
          <w:lang w:val="en-US" w:eastAsia="zh-CN"/>
        </w:rPr>
        <w:t>29</w:t>
      </w:r>
      <w:r>
        <w:rPr>
          <w:rFonts w:hint="eastAsia" w:ascii="仿宋" w:hAnsi="仿宋" w:eastAsia="仿宋"/>
          <w:sz w:val="28"/>
          <w:szCs w:val="28"/>
        </w:rPr>
        <w:t>日的市场价值进行了估价，</w:t>
      </w:r>
      <w:r>
        <w:rPr>
          <w:rFonts w:hint="eastAsia" w:ascii="仿宋" w:hAnsi="仿宋" w:eastAsia="仿宋"/>
          <w:sz w:val="28"/>
          <w:szCs w:val="28"/>
          <w:lang w:val="en-US" w:eastAsia="zh-CN"/>
        </w:rPr>
        <w:t>为委托方处理案件确定房地产处置参考价提供价格咨询参考依据。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rPr>
        <w:t>在整个估价过程中，估价人员本着独立、客观、公正的原则，根据估价目的，收集有关资料，按照估价程序，选择</w:t>
      </w:r>
      <w:r>
        <w:rPr>
          <w:rFonts w:hint="eastAsia" w:ascii="仿宋" w:hAnsi="仿宋" w:eastAsia="仿宋"/>
          <w:sz w:val="28"/>
          <w:szCs w:val="28"/>
          <w:lang w:val="en-US" w:eastAsia="zh-CN"/>
        </w:rPr>
        <w:t>市场</w:t>
      </w:r>
      <w:r>
        <w:rPr>
          <w:rFonts w:hint="eastAsia" w:ascii="仿宋" w:hAnsi="仿宋" w:eastAsia="仿宋"/>
          <w:sz w:val="28"/>
          <w:szCs w:val="28"/>
        </w:rPr>
        <w:t>法对估价对象进行了评估。估价人员经过实地勘察和测算，确定估价对象在估价时点</w:t>
      </w:r>
      <w:r>
        <w:rPr>
          <w:rFonts w:hint="eastAsia" w:ascii="仿宋" w:hAnsi="仿宋" w:eastAsia="仿宋"/>
          <w:sz w:val="28"/>
          <w:szCs w:val="28"/>
          <w:lang w:eastAsia="zh-CN"/>
        </w:rPr>
        <w:t>可能形成</w:t>
      </w:r>
      <w:r>
        <w:rPr>
          <w:rFonts w:hint="eastAsia" w:ascii="仿宋" w:hAnsi="仿宋" w:eastAsia="仿宋"/>
          <w:sz w:val="28"/>
          <w:szCs w:val="28"/>
        </w:rPr>
        <w:t>的市场总价值为</w:t>
      </w:r>
      <w:r>
        <w:rPr>
          <w:rFonts w:hint="eastAsia" w:ascii="仿宋_GB2312" w:hAnsi="宋体" w:eastAsia="仿宋_GB2312" w:cs="Times New Roman"/>
          <w:kern w:val="2"/>
          <w:sz w:val="28"/>
          <w:szCs w:val="28"/>
          <w:lang w:val="en-US" w:eastAsia="zh-CN" w:bidi="ar-SA"/>
        </w:rPr>
        <w:t>￥358079元(大写人民币叁拾伍万捌仟零柒拾玖元整)。</w:t>
      </w:r>
    </w:p>
    <w:p>
      <w:pPr>
        <w:rPr>
          <w:rFonts w:ascii="仿宋" w:hAnsi="仿宋" w:eastAsia="仿宋"/>
          <w:sz w:val="28"/>
          <w:szCs w:val="28"/>
        </w:rPr>
      </w:pPr>
    </w:p>
    <w:p>
      <w:pPr>
        <w:ind w:firstLine="3360" w:firstLineChars="1200"/>
        <w:rPr>
          <w:rFonts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rPr>
        <w:t>湖北循其本价格鉴定评估有限公司</w:t>
      </w:r>
    </w:p>
    <w:p>
      <w:pPr>
        <w:ind w:firstLine="3920" w:firstLineChars="1400"/>
        <w:rPr>
          <w:rFonts w:hint="eastAsia" w:ascii="仿宋" w:hAnsi="仿宋" w:eastAsia="仿宋"/>
          <w:b/>
          <w:bCs/>
          <w:sz w:val="28"/>
          <w:szCs w:val="28"/>
          <w:highlight w:val="none"/>
          <w:lang w:val="en-US" w:eastAsia="zh-CN"/>
        </w:rPr>
      </w:pPr>
      <w:r>
        <w:rPr>
          <w:rFonts w:hint="eastAsia" w:ascii="仿宋" w:hAnsi="仿宋" w:eastAsia="仿宋"/>
          <w:sz w:val="28"/>
          <w:szCs w:val="28"/>
          <w:lang w:val="en-US" w:eastAsia="zh-CN"/>
        </w:rPr>
        <w:t xml:space="preserve">        </w:t>
      </w:r>
      <w:r>
        <w:rPr>
          <w:rFonts w:hint="eastAsia" w:ascii="仿宋" w:hAnsi="仿宋" w:eastAsia="仿宋"/>
          <w:sz w:val="28"/>
          <w:szCs w:val="28"/>
        </w:rPr>
        <w:t>二</w:t>
      </w:r>
      <w:r>
        <w:rPr>
          <w:rFonts w:hint="eastAsia" w:ascii="仿宋" w:hAnsi="仿宋" w:eastAsia="仿宋"/>
          <w:sz w:val="28"/>
          <w:szCs w:val="28"/>
          <w:lang w:val="en-US" w:eastAsia="zh-CN"/>
        </w:rPr>
        <w:t>0二一</w:t>
      </w:r>
      <w:r>
        <w:rPr>
          <w:rFonts w:hint="eastAsia" w:ascii="仿宋" w:hAnsi="仿宋" w:eastAsia="仿宋"/>
          <w:sz w:val="28"/>
          <w:szCs w:val="28"/>
        </w:rPr>
        <w:t>年</w:t>
      </w:r>
      <w:r>
        <w:rPr>
          <w:rFonts w:hint="eastAsia" w:ascii="仿宋" w:hAnsi="仿宋" w:eastAsia="仿宋"/>
          <w:sz w:val="28"/>
          <w:szCs w:val="28"/>
          <w:lang w:eastAsia="zh-CN"/>
        </w:rPr>
        <w:t>七</w:t>
      </w:r>
      <w:r>
        <w:rPr>
          <w:rFonts w:hint="eastAsia" w:ascii="仿宋" w:hAnsi="仿宋" w:eastAsia="仿宋"/>
          <w:sz w:val="28"/>
          <w:szCs w:val="28"/>
          <w:highlight w:val="none"/>
        </w:rPr>
        <w:t>月</w:t>
      </w:r>
      <w:r>
        <w:rPr>
          <w:rFonts w:hint="eastAsia" w:ascii="仿宋" w:hAnsi="仿宋" w:eastAsia="仿宋"/>
          <w:sz w:val="28"/>
          <w:szCs w:val="28"/>
          <w:highlight w:val="none"/>
          <w:lang w:eastAsia="zh-CN"/>
        </w:rPr>
        <w:t>十六</w:t>
      </w:r>
      <w:r>
        <w:rPr>
          <w:rFonts w:hint="eastAsia" w:ascii="仿宋" w:hAnsi="仿宋" w:eastAsia="仿宋"/>
          <w:sz w:val="28"/>
          <w:szCs w:val="28"/>
          <w:highlight w:val="none"/>
        </w:rPr>
        <w:t>日</w:t>
      </w:r>
    </w:p>
    <w:p>
      <w:pPr>
        <w:jc w:val="both"/>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3、当事人或其他利害关系人对本估价报告如有异议，可以在收到本估价报告10日内以书面形式向人民法院提出。</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4、评估过程中，没有考虑估价对象产权抵押、查封后对估价结果的影响。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3920" w:firstLineChars="1400"/>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w:t>
      </w:r>
      <w:r>
        <w:rPr>
          <w:rFonts w:hint="eastAsia" w:ascii="仿宋" w:hAnsi="仿宋" w:eastAsia="仿宋"/>
          <w:sz w:val="30"/>
          <w:szCs w:val="30"/>
          <w:highlight w:val="none"/>
        </w:rPr>
        <w:t>二</w:t>
      </w:r>
      <w:r>
        <w:rPr>
          <w:rFonts w:hint="eastAsia" w:ascii="仿宋" w:hAnsi="仿宋" w:eastAsia="仿宋"/>
          <w:sz w:val="30"/>
          <w:szCs w:val="30"/>
          <w:highlight w:val="none"/>
          <w:lang w:val="en-US" w:eastAsia="zh-CN"/>
        </w:rPr>
        <w:t>0二一</w:t>
      </w:r>
      <w:r>
        <w:rPr>
          <w:rFonts w:hint="eastAsia" w:ascii="仿宋" w:hAnsi="仿宋" w:eastAsia="仿宋"/>
          <w:sz w:val="30"/>
          <w:szCs w:val="30"/>
          <w:highlight w:val="none"/>
        </w:rPr>
        <w:t>年</w:t>
      </w:r>
      <w:r>
        <w:rPr>
          <w:rFonts w:hint="eastAsia" w:ascii="仿宋" w:hAnsi="仿宋" w:eastAsia="仿宋"/>
          <w:sz w:val="30"/>
          <w:szCs w:val="30"/>
          <w:highlight w:val="none"/>
          <w:lang w:eastAsia="zh-CN"/>
        </w:rPr>
        <w:t>七</w:t>
      </w:r>
      <w:r>
        <w:rPr>
          <w:rFonts w:hint="eastAsia" w:ascii="仿宋" w:hAnsi="仿宋" w:eastAsia="仿宋"/>
          <w:sz w:val="30"/>
          <w:szCs w:val="30"/>
          <w:highlight w:val="none"/>
        </w:rPr>
        <w:t>月</w:t>
      </w:r>
      <w:r>
        <w:rPr>
          <w:rFonts w:hint="eastAsia" w:ascii="仿宋" w:hAnsi="仿宋" w:eastAsia="仿宋"/>
          <w:sz w:val="30"/>
          <w:szCs w:val="30"/>
          <w:highlight w:val="none"/>
          <w:lang w:eastAsia="zh-CN"/>
        </w:rPr>
        <w:t>十六</w:t>
      </w:r>
      <w:r>
        <w:rPr>
          <w:rFonts w:hint="eastAsia" w:ascii="仿宋" w:hAnsi="仿宋" w:eastAsia="仿宋"/>
          <w:sz w:val="30"/>
          <w:szCs w:val="30"/>
          <w:highlight w:val="none"/>
        </w:rPr>
        <w:t>日</w:t>
      </w:r>
    </w:p>
    <w:p>
      <w:pPr>
        <w:ind w:firstLine="560" w:firstLineChars="200"/>
        <w:rPr>
          <w:rFonts w:hint="eastAsia" w:ascii="仿宋_GB2312" w:hAnsi="宋体" w:eastAsia="仿宋_GB2312" w:cs="Times New Roman"/>
          <w:kern w:val="2"/>
          <w:sz w:val="28"/>
          <w:szCs w:val="28"/>
          <w:highlight w:val="none"/>
          <w:lang w:val="en-US" w:eastAsia="zh-CN" w:bidi="ar-SA"/>
        </w:rPr>
      </w:pPr>
    </w:p>
    <w:p>
      <w:pPr>
        <w:rPr>
          <w:rFonts w:hint="eastAsia" w:ascii="仿宋_GB2312" w:hAnsi="宋体" w:eastAsia="仿宋_GB2312" w:cs="Times New Roman"/>
          <w:kern w:val="2"/>
          <w:sz w:val="28"/>
          <w:szCs w:val="28"/>
          <w:highlight w:val="none"/>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1312;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71089</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湖北福宏房地产有限公司所有的</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eastAsia="zh-CN"/>
        </w:rPr>
        <w:t>位于孝感市孝南区肖港镇阳光大道与</w:t>
      </w:r>
      <w:r>
        <w:rPr>
          <w:rFonts w:hint="eastAsia" w:ascii="仿宋" w:hAnsi="仿宋" w:eastAsia="仿宋"/>
          <w:b/>
          <w:bCs/>
          <w:sz w:val="32"/>
          <w:szCs w:val="32"/>
          <w:lang w:val="en-US" w:eastAsia="zh-CN"/>
        </w:rPr>
        <w:t>107国道交汇处</w:t>
      </w:r>
    </w:p>
    <w:p>
      <w:pPr>
        <w:jc w:val="center"/>
        <w:rPr>
          <w:rFonts w:hint="eastAsia" w:ascii="仿宋" w:hAnsi="仿宋" w:eastAsia="仿宋"/>
          <w:b/>
          <w:bCs/>
          <w:sz w:val="32"/>
          <w:szCs w:val="32"/>
        </w:rPr>
      </w:pPr>
      <w:r>
        <w:rPr>
          <w:rFonts w:hint="eastAsia" w:ascii="仿宋" w:hAnsi="仿宋" w:eastAsia="仿宋"/>
          <w:b/>
          <w:bCs/>
          <w:sz w:val="32"/>
          <w:szCs w:val="32"/>
          <w:lang w:val="en-US" w:eastAsia="zh-CN"/>
        </w:rPr>
        <w:t>A栋15层1502室</w:t>
      </w: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32"/>
          <w:szCs w:val="32"/>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本次估价对象范围为湖北福宏房地产开发有限公司所有的、位于孝感市孝南区肖港镇阳光大道与107国道交汇处A栋15层1502室，建筑面积为132.23㎡的住宅房地产。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经本机构人员的实地勘查和委托方提供的委托书及有关资料，可知估价对象实体状况如下：</w:t>
      </w:r>
    </w:p>
    <w:p>
      <w:pPr>
        <w:ind w:firstLine="560" w:firstLineChars="200"/>
        <w:rPr>
          <w:rFonts w:hint="default" w:ascii="仿宋" w:hAnsi="仿宋" w:eastAsia="仿宋"/>
          <w:sz w:val="28"/>
          <w:szCs w:val="28"/>
          <w:lang w:val="en-US" w:eastAsia="zh-CN"/>
        </w:rPr>
      </w:pPr>
      <w:r>
        <w:rPr>
          <w:rFonts w:hint="eastAsia" w:ascii="仿宋_GB2312" w:hAnsi="宋体" w:eastAsia="仿宋_GB2312" w:cs="Times New Roman"/>
          <w:kern w:val="2"/>
          <w:sz w:val="28"/>
          <w:szCs w:val="28"/>
          <w:lang w:val="en-US" w:eastAsia="zh-CN" w:bidi="ar-SA"/>
        </w:rPr>
        <w:t>估价对象位于孝感市孝南区肖港镇阳光大道与107国道交汇处的福宏国际小区A栋商住楼15层1502室，用途为住宅。该小区目前已基本建成，小区院内绿化、公共设施正在施工建设中。估价对象房屋于2018年建成，为框架结构，可自主设计户型，南北朝向，总层数/所在层为15/15，1-3楼为商业体，4-15楼为住宅，外墙为墙砖铺贴，每层两电梯四住户，水电已进户，室内塑钢窗，毛坯。该项目售楼部房屋销控表显示，估价对象房屋建筑面积为132.23㎡。</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二0二一年六月二十九日。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估价人员经过实地勘查和测算，确定估价对象在估价时点可能形成的市场价值为￥358079元(大写人民币叁拾伍万捌仟零柒拾玖元整)。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76672" behindDoc="1" locked="0" layoutInCell="1" allowOverlap="1">
                  <wp:simplePos x="0" y="0"/>
                  <wp:positionH relativeFrom="column">
                    <wp:posOffset>66675</wp:posOffset>
                  </wp:positionH>
                  <wp:positionV relativeFrom="paragraph">
                    <wp:posOffset>285115</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8"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678720" behindDoc="0" locked="0" layoutInCell="1" allowOverlap="1">
                  <wp:simplePos x="0" y="0"/>
                  <wp:positionH relativeFrom="column">
                    <wp:posOffset>-132080</wp:posOffset>
                  </wp:positionH>
                  <wp:positionV relativeFrom="paragraph">
                    <wp:posOffset>100330</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679744"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07</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16</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2"/>
          <w:szCs w:val="32"/>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二○二一年七月十六日</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湖北福宏房地产有限公司所有的</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eastAsia="zh-CN"/>
        </w:rPr>
        <w:t>位于孝感市孝南区肖港镇阳光大道与</w:t>
      </w:r>
      <w:r>
        <w:rPr>
          <w:rFonts w:hint="eastAsia" w:ascii="仿宋" w:hAnsi="仿宋" w:eastAsia="仿宋"/>
          <w:b/>
          <w:bCs/>
          <w:sz w:val="32"/>
          <w:szCs w:val="32"/>
          <w:lang w:val="en-US" w:eastAsia="zh-CN"/>
        </w:rPr>
        <w:t>107国道交汇处</w:t>
      </w:r>
    </w:p>
    <w:p>
      <w:pPr>
        <w:jc w:val="center"/>
        <w:rPr>
          <w:rFonts w:hint="eastAsia" w:ascii="仿宋" w:hAnsi="仿宋" w:eastAsia="仿宋"/>
          <w:b/>
          <w:bCs/>
          <w:sz w:val="36"/>
          <w:szCs w:val="36"/>
        </w:rPr>
      </w:pPr>
      <w:r>
        <w:rPr>
          <w:rFonts w:hint="eastAsia" w:ascii="仿宋" w:hAnsi="仿宋" w:eastAsia="仿宋"/>
          <w:b/>
          <w:bCs/>
          <w:sz w:val="32"/>
          <w:szCs w:val="32"/>
          <w:lang w:val="en-US" w:eastAsia="zh-CN"/>
        </w:rPr>
        <w:t>A栋15层1502室</w:t>
      </w:r>
      <w:r>
        <w:rPr>
          <w:rFonts w:hint="eastAsia" w:ascii="仿宋" w:hAnsi="仿宋" w:eastAsia="仿宋"/>
          <w:b/>
          <w:bCs/>
          <w:sz w:val="32"/>
          <w:szCs w:val="32"/>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default" w:ascii="仿宋" w:hAnsi="仿宋" w:eastAsia="仿宋"/>
          <w:sz w:val="28"/>
          <w:szCs w:val="28"/>
          <w:lang w:val="en-US" w:eastAsia="zh-CN"/>
        </w:rPr>
      </w:pPr>
      <w:r>
        <w:rPr>
          <w:rFonts w:hint="eastAsia" w:ascii="仿宋_GB2312" w:hAnsi="宋体" w:eastAsia="仿宋_GB2312" w:cs="Times New Roman"/>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孝感市孝南区肖港镇阳光大道与107国道交汇处的福宏国际小区A栋商住楼15层1502室，</w:t>
      </w:r>
      <w:r>
        <w:rPr>
          <w:rFonts w:hint="eastAsia" w:ascii="仿宋_GB2312" w:hAnsi="宋体" w:eastAsia="仿宋_GB2312" w:cs="Times New Roman"/>
          <w:kern w:val="2"/>
          <w:sz w:val="28"/>
          <w:szCs w:val="28"/>
          <w:highlight w:val="none"/>
          <w:lang w:val="en-US" w:eastAsia="zh-CN" w:bidi="ar-SA"/>
        </w:rPr>
        <w:t>该项目售楼部房屋销控表显示，其</w:t>
      </w:r>
      <w:r>
        <w:rPr>
          <w:rFonts w:hint="eastAsia" w:ascii="仿宋_GB2312" w:hAnsi="宋体" w:eastAsia="仿宋_GB2312" w:cs="Times New Roman"/>
          <w:kern w:val="2"/>
          <w:sz w:val="28"/>
          <w:szCs w:val="28"/>
          <w:lang w:val="en-US" w:eastAsia="zh-CN" w:bidi="ar-SA"/>
        </w:rPr>
        <w:t>建筑面积</w:t>
      </w:r>
      <w:r>
        <w:rPr>
          <w:rFonts w:hint="eastAsia" w:ascii="仿宋" w:hAnsi="仿宋" w:eastAsia="仿宋"/>
          <w:sz w:val="30"/>
          <w:szCs w:val="30"/>
          <w:lang w:eastAsia="zh-CN"/>
        </w:rPr>
        <w:t>为</w:t>
      </w:r>
      <w:r>
        <w:rPr>
          <w:rFonts w:hint="eastAsia" w:ascii="仿宋" w:hAnsi="仿宋" w:eastAsia="仿宋"/>
          <w:sz w:val="30"/>
          <w:szCs w:val="30"/>
          <w:lang w:val="en-US" w:eastAsia="zh-CN"/>
        </w:rPr>
        <w:t>132.23㎡；</w:t>
      </w:r>
      <w:r>
        <w:rPr>
          <w:rFonts w:hint="eastAsia" w:ascii="仿宋_GB2312" w:hAnsi="宋体" w:eastAsia="仿宋_GB2312" w:cs="Times New Roman"/>
          <w:kern w:val="2"/>
          <w:sz w:val="28"/>
          <w:szCs w:val="28"/>
          <w:lang w:val="en-US" w:eastAsia="zh-CN" w:bidi="ar-SA"/>
        </w:rPr>
        <w:t>于2018年建成，为框架结构，可自主设计户型，南北朝向，总层数/所在层为15/15，1-3楼为商业体，4-15楼为住宅，</w:t>
      </w:r>
      <w:r>
        <w:rPr>
          <w:rFonts w:hint="eastAsia" w:ascii="仿宋" w:hAnsi="仿宋" w:eastAsia="仿宋"/>
          <w:color w:val="auto"/>
          <w:sz w:val="28"/>
          <w:szCs w:val="28"/>
          <w:lang w:val="en-US" w:eastAsia="zh-CN"/>
        </w:rPr>
        <w:t>外墙为墙砖铺贴，每层两电</w:t>
      </w:r>
      <w:r>
        <w:rPr>
          <w:rFonts w:hint="eastAsia" w:ascii="仿宋_GB2312" w:hAnsi="宋体" w:eastAsia="仿宋_GB2312" w:cs="Times New Roman"/>
          <w:kern w:val="2"/>
          <w:sz w:val="28"/>
          <w:szCs w:val="28"/>
          <w:highlight w:val="none"/>
          <w:lang w:val="en-US" w:eastAsia="zh-CN" w:bidi="ar-SA"/>
        </w:rPr>
        <w:t>梯四住户，水电已进户，室内塑钢窗，毛坯。</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二、估价对象区域因素分析</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位于孝感市孝南区肖港镇阳光大道与107国道交汇处福宏国际小区。此区域属于肖港镇核心经济商业圈，镇域经济较为活跃，距肖港镇党委、政府及所属机关部门不足500米；周边公共设施和生活配套较为完善齐全，设有镇中心幼儿园、小学和镇中学，有多家专业银行网点、镇中心卫生院和社区卫生服务中心及民营诊所、各类商超、菜场等，人口稠密，交通较为便捷，16路公共汽车可达，出行、购物、就学等各方面较为方便。</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确定采用市场法测算估价对象的公开市场价值。</w:t>
      </w:r>
    </w:p>
    <w:p>
      <w:pPr>
        <w:ind w:firstLine="560" w:firstLineChars="200"/>
        <w:rPr>
          <w:rFonts w:ascii="仿宋" w:hAnsi="仿宋" w:eastAsia="仿宋" w:cs="Arial"/>
          <w:color w:val="333333"/>
          <w:sz w:val="28"/>
          <w:szCs w:val="28"/>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default" w:ascii="仿宋" w:hAnsi="仿宋" w:eastAsia="仿宋"/>
          <w:sz w:val="28"/>
          <w:szCs w:val="28"/>
          <w:lang w:val="en-US" w:eastAsia="zh-CN"/>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接受委托后，我们会同委托人及相关当事人对估价对象进行了实地勘查，随后开展了广泛的市场调查。经调查研究，</w:t>
      </w:r>
      <w:r>
        <w:rPr>
          <w:rFonts w:hint="eastAsia" w:ascii="仿宋" w:hAnsi="仿宋" w:eastAsia="仿宋"/>
          <w:sz w:val="28"/>
          <w:szCs w:val="28"/>
          <w:lang w:eastAsia="zh-CN"/>
        </w:rPr>
        <w:t>估价人员确定采用市场法进行评估</w:t>
      </w:r>
      <w:r>
        <w:rPr>
          <w:rFonts w:hint="eastAsia" w:ascii="仿宋" w:hAnsi="仿宋" w:eastAsia="仿宋"/>
          <w:sz w:val="28"/>
          <w:szCs w:val="28"/>
        </w:rPr>
        <w:t>测算</w:t>
      </w:r>
      <w:r>
        <w:rPr>
          <w:rFonts w:hint="eastAsia" w:ascii="仿宋" w:hAnsi="仿宋" w:eastAsia="仿宋"/>
          <w:sz w:val="28"/>
          <w:szCs w:val="28"/>
          <w:lang w:val="en-US" w:eastAsia="zh-CN"/>
        </w:rPr>
        <w:t>。</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针对估价对象的功能和特点，根据替代原则，按照用途相同、土地级别相同、价格类型相同等特点，对与估价对象在同一区域内的类似住宅进行了市场调查和比较分析，按照估价要求，筛选三个可比实例。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实例A：福宏国际小区住宅，2018年建成，总层数15层，所在层13层，南北朝向，毛坯，建筑面积127平米，拟交易总价36万，折合单价约为2835元/平米，拟交易日期2021年6月份。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实例B：福宏国际小区住宅，2018年建成，总层数15层，所在层11层，南北朝向，毛坯，建筑面积132.23平米，拟交易总价36.5万，折合单价约为2760元/平米，拟交易日期2021年6月份。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实例C：福宏国际小区住宅，2018年建成，总层数15层，所在层15层，南北朝向，毛坯，建筑面积132.23平米，拟交易总价35.6万，折合单价约为2692元/平米，拟交易日期2021年6月份。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座 落位 置</w:t>
            </w:r>
          </w:p>
        </w:tc>
        <w:tc>
          <w:tcPr>
            <w:tcW w:w="1446" w:type="dxa"/>
            <w:vAlign w:val="top"/>
          </w:tcPr>
          <w:p>
            <w:pPr>
              <w:numPr>
                <w:ilvl w:val="0"/>
                <w:numId w:val="0"/>
              </w:numPr>
              <w:ind w:left="0" w:leftChars="0" w:firstLine="0" w:firstLineChars="0"/>
              <w:jc w:val="both"/>
              <w:rPr>
                <w:rFonts w:hint="default" w:ascii="仿宋" w:hAnsi="仿宋" w:eastAsia="仿宋" w:cs="仿宋"/>
                <w:sz w:val="24"/>
                <w:szCs w:val="24"/>
                <w:vertAlign w:val="baseline"/>
                <w:lang w:val="en-US" w:eastAsia="zh-CN"/>
              </w:rPr>
            </w:pPr>
            <w:r>
              <w:rPr>
                <w:rFonts w:hint="eastAsia" w:ascii="仿宋" w:hAnsi="仿宋" w:eastAsia="仿宋" w:cs="仿宋"/>
                <w:sz w:val="21"/>
                <w:szCs w:val="21"/>
                <w:vertAlign w:val="baseline"/>
                <w:lang w:val="en-US" w:eastAsia="zh-CN"/>
              </w:rPr>
              <w:t>福宏国际A栋15层1502室</w:t>
            </w:r>
          </w:p>
        </w:tc>
        <w:tc>
          <w:tcPr>
            <w:tcW w:w="1567"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福宏国际</w:t>
            </w:r>
          </w:p>
        </w:tc>
        <w:tc>
          <w:tcPr>
            <w:tcW w:w="1550"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福宏国际</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福宏国际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color w:val="auto"/>
                <w:sz w:val="28"/>
                <w:szCs w:val="28"/>
                <w:lang w:val="en-US" w:eastAsia="zh-CN"/>
              </w:rPr>
              <w:t>福宏国际</w:t>
            </w:r>
          </w:p>
        </w:tc>
        <w:tc>
          <w:tcPr>
            <w:tcW w:w="1567" w:type="dxa"/>
            <w:vAlign w:val="top"/>
          </w:tcPr>
          <w:p>
            <w:pPr>
              <w:numPr>
                <w:ilvl w:val="0"/>
                <w:numId w:val="0"/>
              </w:numPr>
              <w:ind w:left="0" w:leftChars="0" w:firstLine="0" w:firstLineChars="0"/>
              <w:jc w:val="both"/>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福宏国际</w:t>
            </w:r>
          </w:p>
        </w:tc>
        <w:tc>
          <w:tcPr>
            <w:tcW w:w="1550" w:type="dxa"/>
            <w:vAlign w:val="top"/>
          </w:tcPr>
          <w:p>
            <w:pPr>
              <w:numPr>
                <w:ilvl w:val="0"/>
                <w:numId w:val="0"/>
              </w:numPr>
              <w:ind w:left="0" w:leftChars="0" w:firstLine="0" w:firstLineChars="0"/>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28"/>
                <w:szCs w:val="28"/>
                <w:lang w:val="en-US" w:eastAsia="zh-CN"/>
              </w:rPr>
              <w:t>福宏国际</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福宏国际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2835</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2760</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2021.7</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2021.6</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2021.6</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区域繁华程度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交通便捷程度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较便捷</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较便捷</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较便捷</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公共设施配套</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24"/>
                <w:szCs w:val="24"/>
                <w:highlight w:val="none"/>
                <w:vertAlign w:val="baseline"/>
                <w:lang w:val="en-US" w:eastAsia="zh-CN"/>
              </w:rPr>
              <w:t>完备程度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较完善</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较完善</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较完善</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区域环境景观</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绿地覆盖度</w:t>
            </w:r>
          </w:p>
        </w:tc>
        <w:tc>
          <w:tcPr>
            <w:tcW w:w="1446"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15/15</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13/15</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11/15</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自主设计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自主设计</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自主设计</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自主设计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color w:val="FF0000"/>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95%</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95%</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95%</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安静</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安静</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安静</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安静</w:t>
            </w:r>
          </w:p>
        </w:tc>
      </w:tr>
    </w:tbl>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2835</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2760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104</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102</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104</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102</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2835</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2760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2692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104</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102</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2726</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2706</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2692</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由于可比实例A、B、C与估价对象条件类似，比准价格相差不大，因此采取算数平均值的求取方法，计算出估价对象评估价格。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评估单价=（2726+2706+2692）÷3=2708(元/平米)</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评估值=2708×132.23≈358079（元）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估价人员根据估价目的，遵循估价原则，按照规定估价程序和方法，经过具体测算，确定估价对象在估价时点的市场价值为￥358079元(大写人民币叁拾伍万捌仟零柒拾玖元整)。                        </w:t>
      </w: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二0二一年七月十六日</w:t>
      </w: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roman"/>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moder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创艺简仿宋">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CF4B56"/>
    <w:rsid w:val="054908B9"/>
    <w:rsid w:val="1A4055A7"/>
    <w:rsid w:val="28CF4B56"/>
    <w:rsid w:val="2CD5161C"/>
    <w:rsid w:val="33D7599C"/>
    <w:rsid w:val="36F16EB3"/>
    <w:rsid w:val="565E3DEE"/>
    <w:rsid w:val="5B3D0A3D"/>
    <w:rsid w:val="5FE22D60"/>
    <w:rsid w:val="7137124E"/>
    <w:rsid w:val="76863CF3"/>
    <w:rsid w:val="775C1463"/>
    <w:rsid w:val="776C5E7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2021-07-09T07:31:00Z</dcterms:created>
  <dc:creator>Administrator</dc:creator>
  <cp:lastModifiedBy>Administrator</cp:lastModifiedBy>
  <dcterms:modified xsi:type="dcterms:W3CDTF">2021-07-18T03:54:12Z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9EE158B613CB488E95F94D26AEB52C25</vt:lpwstr>
  </property>
</Properties>
</file>