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420" w:firstLineChars="0"/>
        <w:jc w:val="center"/>
        <w:rPr>
          <w:rFonts w:ascii="仿宋" w:hAnsi="仿宋" w:eastAsia="仿宋"/>
          <w:sz w:val="36"/>
          <w:szCs w:val="36"/>
        </w:rPr>
      </w:pPr>
      <w:r>
        <w:rPr>
          <w:rFonts w:hint="eastAsia" w:ascii="仿宋" w:hAnsi="仿宋" w:eastAsia="仿宋"/>
          <w:b/>
          <w:bCs/>
          <w:sz w:val="36"/>
          <w:szCs w:val="36"/>
        </w:rPr>
        <w:t>目    录</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一、致委托方函....................</w:t>
      </w:r>
      <w:r>
        <w:rPr>
          <w:rFonts w:hint="eastAsia" w:ascii="仿宋_GB2312" w:hAnsi="宋体" w:eastAsia="仿宋_GB2312"/>
          <w:sz w:val="28"/>
          <w:szCs w:val="28"/>
          <w:lang w:val="en-US" w:eastAsia="zh-CN"/>
        </w:rPr>
        <w:t>...................3</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二、估价师声明</w:t>
      </w:r>
      <w:r>
        <w:rPr>
          <w:rFonts w:hint="eastAsia" w:ascii="仿宋_GB2312" w:hAnsi="宋体" w:eastAsia="仿宋_GB2312"/>
          <w:sz w:val="28"/>
          <w:szCs w:val="28"/>
          <w:lang w:val="en-US" w:eastAsia="zh-CN"/>
        </w:rPr>
        <w:t xml:space="preserve"> ......................................4</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三、估价的假设和限制条件</w:t>
      </w:r>
      <w:r>
        <w:rPr>
          <w:rFonts w:hint="eastAsia" w:ascii="仿宋_GB2312" w:hAnsi="宋体" w:eastAsia="仿宋_GB2312"/>
          <w:sz w:val="28"/>
          <w:szCs w:val="28"/>
          <w:lang w:val="en-US" w:eastAsia="zh-CN"/>
        </w:rPr>
        <w:t xml:space="preserve"> ..........................5-7</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四、房地产估价结果报告</w:t>
      </w:r>
      <w:r>
        <w:rPr>
          <w:rFonts w:hint="eastAsia" w:ascii="仿宋_GB2312" w:hAnsi="宋体" w:eastAsia="仿宋_GB2312"/>
          <w:sz w:val="28"/>
          <w:szCs w:val="28"/>
          <w:lang w:val="en-US" w:eastAsia="zh-CN"/>
        </w:rPr>
        <w:t xml:space="preserve"> ...........................8-12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（一）委托方........................................ 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（二）估价方.........................................8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（三）估价对象 ......................................8</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（四）估价目的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（五）估价时点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（六）价值定义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（七）估价依据 ......................................9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（八）估价原则 .....................................10</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（九）估价方法 .....................................11</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（十）估价结果 .....................................11</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（十一）评估机构 ...................................12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（十二）评估人员....................................12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（十三）报告出具日期................................12</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（十四）估价报告应用的有效期 .......................12</w:t>
      </w:r>
    </w:p>
    <w:p>
      <w:pPr>
        <w:ind w:firstLine="562" w:firstLineChars="200"/>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五、房地产估价技术报告</w:t>
      </w:r>
      <w:r>
        <w:rPr>
          <w:rFonts w:hint="eastAsia" w:ascii="仿宋_GB2312" w:hAnsi="宋体" w:eastAsia="仿宋_GB2312"/>
          <w:sz w:val="28"/>
          <w:szCs w:val="28"/>
          <w:lang w:val="en-US" w:eastAsia="zh-CN"/>
        </w:rPr>
        <w:t xml:space="preserve"> .........................13-19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（一）估价对象实物分析 .............................13</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（二）区域因素分析 .................................13</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（三）最高最佳使用分析 .............................14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（四）估价方法的选用................................14</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（五）估价测算过程...............................15-19</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（六）估价结果确定..................................19</w:t>
      </w:r>
    </w:p>
    <w:p>
      <w:pPr>
        <w:jc w:val="both"/>
        <w:rPr>
          <w:rFonts w:hint="eastAsia" w:ascii="仿宋_GB2312" w:hAnsi="宋体" w:eastAsia="仿宋_GB2312"/>
          <w:sz w:val="28"/>
          <w:szCs w:val="28"/>
          <w:lang w:val="en-US" w:eastAsia="zh-CN"/>
        </w:rPr>
      </w:pPr>
      <w:r>
        <w:rPr>
          <w:rFonts w:hint="eastAsia" w:ascii="仿宋_GB2312" w:hAnsi="宋体" w:eastAsia="仿宋_GB2312"/>
          <w:b/>
          <w:bCs/>
          <w:sz w:val="28"/>
          <w:szCs w:val="28"/>
          <w:lang w:val="en-US" w:eastAsia="zh-CN"/>
        </w:rPr>
        <w:t xml:space="preserve">      六、附件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（一）孝感市孝南区人民法院司法鉴定委托书复印件；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（二）价格评估机构资质证书复印件；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（三）评估机构法人营业执照副本复印件；</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（四）价格评估人员资格证书复印件；</w:t>
      </w:r>
    </w:p>
    <w:p>
      <w:pPr>
        <w:ind w:firstLine="560" w:firstLineChars="200"/>
        <w:rPr>
          <w:rFonts w:hint="eastAsia" w:ascii="仿宋" w:hAnsi="仿宋" w:eastAsia="仿宋"/>
          <w:b/>
          <w:bCs/>
          <w:sz w:val="44"/>
          <w:szCs w:val="44"/>
        </w:rPr>
      </w:pPr>
      <w:r>
        <w:rPr>
          <w:rFonts w:hint="eastAsia" w:ascii="仿宋_GB2312" w:hAnsi="宋体" w:eastAsia="仿宋_GB2312"/>
          <w:sz w:val="28"/>
          <w:szCs w:val="28"/>
          <w:lang w:val="en-US" w:eastAsia="zh-CN"/>
        </w:rPr>
        <w:t xml:space="preserve"> （五）现场勘验估价对象有关照片。</w:t>
      </w:r>
    </w:p>
    <w:p>
      <w:pPr>
        <w:jc w:val="center"/>
        <w:rPr>
          <w:rFonts w:hint="eastAsia" w:ascii="仿宋" w:hAnsi="仿宋" w:eastAsia="仿宋"/>
          <w:b/>
          <w:bCs/>
          <w:sz w:val="44"/>
          <w:szCs w:val="44"/>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rPr>
      </w:pPr>
    </w:p>
    <w:p>
      <w:pPr>
        <w:jc w:val="center"/>
        <w:rPr>
          <w:rFonts w:hint="eastAsia" w:ascii="仿宋" w:hAnsi="仿宋" w:eastAsia="仿宋"/>
          <w:b/>
          <w:bCs/>
          <w:sz w:val="44"/>
          <w:szCs w:val="44"/>
        </w:rPr>
      </w:pPr>
    </w:p>
    <w:p>
      <w:pPr>
        <w:jc w:val="center"/>
        <w:rPr>
          <w:rFonts w:hint="eastAsia" w:ascii="仿宋" w:hAnsi="仿宋" w:eastAsia="仿宋"/>
          <w:b/>
          <w:bCs/>
          <w:sz w:val="44"/>
          <w:szCs w:val="44"/>
        </w:rPr>
      </w:pP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both"/>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 xml:space="preserve">  </w:t>
      </w:r>
    </w:p>
    <w:p>
      <w:pPr>
        <w:jc w:val="center"/>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p>
    <w:p>
      <w:pPr>
        <w:jc w:val="both"/>
        <w:rPr>
          <w:rFonts w:hint="eastAsia" w:ascii="仿宋" w:hAnsi="仿宋" w:eastAsia="仿宋"/>
          <w:b/>
          <w:bCs/>
          <w:sz w:val="44"/>
          <w:szCs w:val="44"/>
          <w:lang w:val="en-US" w:eastAsia="zh-CN"/>
        </w:rPr>
      </w:pP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致委托方函</w:t>
      </w:r>
    </w:p>
    <w:p>
      <w:pPr>
        <w:ind w:firstLine="560" w:firstLineChars="200"/>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sz w:val="28"/>
          <w:szCs w:val="28"/>
          <w:lang w:val="en-US" w:eastAsia="zh-CN"/>
        </w:rPr>
        <w:t>孝感市孝南区</w:t>
      </w:r>
      <w:r>
        <w:rPr>
          <w:rFonts w:hint="eastAsia" w:ascii="仿宋_GB2312" w:hAnsi="宋体" w:eastAsia="仿宋_GB2312" w:cs="Times New Roman"/>
          <w:kern w:val="2"/>
          <w:sz w:val="28"/>
          <w:szCs w:val="28"/>
          <w:lang w:val="en-US" w:eastAsia="zh-CN" w:bidi="ar-SA"/>
        </w:rPr>
        <w:t>人民法院：</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sz w:val="28"/>
          <w:szCs w:val="28"/>
          <w:lang w:val="en-US" w:eastAsia="zh-CN"/>
        </w:rPr>
        <w:t>受贵方（以下简称委托方）的委托，本公司于2021年05月24日派员对委托方列明的黄祥波名下的、位于孝感市天河路3号迎宾花城2期1幢22层2206室，建筑面积为113.36平方米的住宅房屋（含相关权益）进行了现场实地查勘，并对估价对象房地产于估价时点2021年05月18日的市场价值进行了估价，为委托方处理案件确定房地产处置参考价提供价格咨询参考依据。</w:t>
      </w:r>
    </w:p>
    <w:p>
      <w:pP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    在整个估价过程中，估价人员本着独立、客观、公正的原则，根据估价目的，收集有关资料，按照估价程序，选择市场法对估价对象进行了评估。估价人员经过实地勘察和测算，确定估价对象在估价时点可能形成的市场价值为￥739334元(大写人民币柒拾叁万玖仟叁佰叁拾肆元整)。</w:t>
      </w:r>
    </w:p>
    <w:p>
      <w:pP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p>
    <w:p>
      <w:pPr>
        <w:rPr>
          <w:rFonts w:hint="eastAsia" w:ascii="仿宋" w:hAnsi="仿宋" w:eastAsia="仿宋" w:cs="仿宋"/>
          <w:sz w:val="30"/>
          <w:szCs w:val="30"/>
          <w:lang w:val="en-US" w:eastAsia="zh-CN"/>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二○二一年五月三十一日</w:t>
      </w:r>
    </w:p>
    <w:p>
      <w:pPr>
        <w:jc w:val="both"/>
        <w:rPr>
          <w:rFonts w:hint="eastAsia" w:ascii="仿宋" w:hAnsi="仿宋" w:eastAsia="仿宋"/>
          <w:b/>
          <w:bCs/>
          <w:sz w:val="44"/>
          <w:szCs w:val="44"/>
          <w:lang w:val="en-US" w:eastAsia="zh-CN"/>
        </w:rPr>
      </w:pPr>
    </w:p>
    <w:p>
      <w:pPr>
        <w:jc w:val="both"/>
        <w:rPr>
          <w:rFonts w:hint="eastAsia" w:ascii="仿宋" w:hAnsi="仿宋" w:eastAsia="仿宋"/>
          <w:b/>
          <w:bCs/>
          <w:sz w:val="44"/>
          <w:szCs w:val="44"/>
          <w:lang w:val="en-US" w:eastAsia="zh-CN"/>
        </w:rPr>
      </w:pPr>
    </w:p>
    <w:p>
      <w:pPr>
        <w:jc w:val="center"/>
        <w:rPr>
          <w:rFonts w:ascii="仿宋" w:hAnsi="仿宋" w:eastAsia="仿宋"/>
          <w:b/>
          <w:bCs/>
          <w:sz w:val="30"/>
          <w:szCs w:val="30"/>
        </w:rPr>
      </w:pPr>
      <w:r>
        <w:rPr>
          <w:rFonts w:hint="eastAsia" w:ascii="仿宋" w:hAnsi="仿宋" w:eastAsia="仿宋"/>
          <w:b/>
          <w:bCs/>
          <w:sz w:val="44"/>
          <w:szCs w:val="44"/>
          <w:lang w:val="en-US" w:eastAsia="zh-CN"/>
        </w:rPr>
        <w:t>估价师声明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我们根据自己的专业知识和职业道德，在此郑重声明：</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1、我们所提供的估价服务是依据《房地产估价规范》进行的，估价报告中陈述事实是真实和准确的，请仔细阅读本估价报告及有关附件。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2、估价报告中的分析、意见和结论，是我们自己公正的专业分析、意见和结论，但受到估价报告中已说明的假设和限制条件的限制。</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3、我们与本估价报告中的估价对象没有任何利害关系；对相关各方的当事人没有任何偏见，也没有任何个人利害关系。</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4、我们依照中华人民共和国国家标准《房地产估价规范》等有关法律法规的规定进行分析，形成意见和结论，撰写本估价报告。</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5、我们仅对委托方指定的估价对象范围进行了实地勘查，估价过程中，未能取得资产占有方有关书面或口头情况说明，我们仅依据所取得的产权资料估算；相关权属资料仅以委托方提供的复印件为依据，我们不对其建筑结构质量、数量等内容的准确性及相关权益负责。</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6、由于估价人员的专业限制，本次估价过程中没有其他专业人员及机构对本估价报告提供诸如结构安全、环境保护、规划控制、产权设定与登记、装修及配套设施设备的权属等方面的专业支持和帮助。</w:t>
      </w:r>
    </w:p>
    <w:p>
      <w:pPr>
        <w:rPr>
          <w:rFonts w:hint="eastAsia" w:ascii="仿宋" w:hAnsi="仿宋" w:eastAsia="仿宋"/>
          <w:b/>
          <w:bCs/>
          <w:sz w:val="44"/>
          <w:szCs w:val="44"/>
          <w:lang w:val="en-US" w:eastAsia="zh-CN"/>
        </w:rPr>
      </w:pPr>
      <w:r>
        <w:rPr>
          <w:rFonts w:hint="eastAsia" w:ascii="仿宋_GB2312" w:hAnsi="宋体" w:eastAsia="仿宋_GB2312" w:cs="Times New Roman"/>
          <w:kern w:val="2"/>
          <w:sz w:val="28"/>
          <w:szCs w:val="28"/>
          <w:lang w:val="en-US" w:eastAsia="zh-CN" w:bidi="ar-SA"/>
        </w:rPr>
        <w:t xml:space="preserve">    7、其他声明事项：出于职业责任，我们与委托方进行必要沟通，避免对本估价报告使用不当的情况发生，提示估价报告使用者合理并恰当使用估价报告，并声明不承担相关当事人决策的责任。</w:t>
      </w:r>
    </w:p>
    <w:p>
      <w:pPr>
        <w:jc w:val="center"/>
        <w:rPr>
          <w:rFonts w:hint="eastAsia" w:ascii="仿宋" w:hAnsi="仿宋" w:eastAsia="仿宋"/>
          <w:b/>
          <w:bCs/>
          <w:sz w:val="44"/>
          <w:szCs w:val="44"/>
          <w:lang w:val="en-US" w:eastAsia="zh-CN"/>
        </w:rPr>
      </w:pPr>
      <w:r>
        <w:rPr>
          <w:rFonts w:hint="eastAsia" w:ascii="仿宋" w:hAnsi="仿宋" w:eastAsia="仿宋"/>
          <w:b/>
          <w:bCs/>
          <w:sz w:val="44"/>
          <w:szCs w:val="44"/>
          <w:lang w:val="en-US" w:eastAsia="zh-CN"/>
        </w:rPr>
        <w:t>估价的假设和限制条件</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pStyle w:val="10"/>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（一）本次估价假设条件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1、估价对象产权手续齐全，房屋产权明确清晰，可在公开市场上自由转让交易。</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次估价对象以估价时点的权属实物存量——包括商品房买卖合同记载范围内的建筑物为前提，本报告所称“估价结果”是指对估价对象在现有用途、状态不变的前提下，为本报告书所列明的目的和假设限制条件下的现行公开市场价值的估计值，无特殊指定情况下，计价金额以人民币元为单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3、不考虑特殊买家或关联方交易，也不考虑估价对象合并、分割等特殊交易；交易双方所获信息是平等或对称的，并谨慎对待估价对象。</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4、在本估价报告书有效期内估价对象存量及相关影响因素、评估所遵循的合法、最高最佳使用原则等不发生变化，估价时点房地产市场为公开公平的均衡市场；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估价结果的有效性依赖于本次估价的前提、假设限制以及遵循的经济原则，这些条件是由本公司估价人员根据估价对象实际情况并结合估价相关规定综合提出的，具有客观性和合理性，以上条件若不成立，本估价结果无效。</w:t>
      </w:r>
    </w:p>
    <w:p>
      <w:pPr>
        <w:rPr>
          <w:rFonts w:ascii="仿宋" w:hAnsi="仿宋" w:eastAsia="仿宋"/>
          <w:sz w:val="30"/>
          <w:szCs w:val="30"/>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（二）估价限制条件</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次估价中运用的法律权属及其证明资料均由委托方提供（复印件），本公司估价人员未能见原件，也未向政府有关部门核实，委托方和相关当事方对其所提供全部资料的真实性、合法性及合理使用估价报告负责；建议有关法律权属及其证明资料的确定最终以有权机关确认为准，若与委托方向我们提供的资料存在差异，本公司保留对报告书的修正权；</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2、本估价报告书及列明结论仅对本次估价目的，其他用途的运用均属无效；</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3、本估价报告及附件须同时完整使用方为有效，本公司不对仅使用报告中部分内容或不同时使用所可能导致的任何损失承担责任。</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本次估价中所运用的资料数据均来自委托方提供的复印件，对超出估价师专业范围之外的其他专业问题未作任何结论和说明，现场工作人员对因遮盖、未暴露、预埋设施及其它人为阻碍难于触及到的部分未进行检验，有关这部分事项请向其他专业工程师、律师及相关政府主管部门询及。</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5、本估价报告书自估价报告完成之日起壹年内有效。在有效期内使用本报告时，应充分考虑房地产市场可能的变化情况及未来发展状况，并随时与本公司联系，以达到有效使用之目的。</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6、本估价报告及相关部分的解释权属湖北循其本价格鉴定评估有限公司，未经本公司书面同意，有关本估价报告的全部或部分内容不得传阅给除使用人以及估价行业管理部门以外的第三者，亦不可公布于任何公开媒体。  </w:t>
      </w:r>
    </w:p>
    <w:p>
      <w:pPr>
        <w:rPr>
          <w:rFonts w:hint="eastAsia" w:ascii="仿宋_GB2312" w:hAnsi="宋体" w:eastAsia="仿宋_GB2312" w:cs="Times New Roman"/>
          <w:kern w:val="2"/>
          <w:sz w:val="28"/>
          <w:szCs w:val="28"/>
          <w:lang w:val="en-US" w:eastAsia="zh-CN" w:bidi="ar-SA"/>
        </w:rPr>
      </w:pPr>
      <w:r>
        <w:rPr>
          <w:rFonts w:hint="eastAsia" w:ascii="仿宋" w:hAnsi="仿宋" w:eastAsia="仿宋"/>
          <w:sz w:val="30"/>
          <w:szCs w:val="30"/>
          <w:lang w:val="en-US" w:eastAsia="zh-CN"/>
        </w:rPr>
        <w:t xml:space="preserve">   </w:t>
      </w:r>
      <w:r>
        <w:rPr>
          <w:rFonts w:hint="eastAsia" w:ascii="仿宋_GB2312" w:hAnsi="宋体" w:eastAsia="仿宋_GB2312" w:cs="Times New Roman"/>
          <w:kern w:val="2"/>
          <w:sz w:val="28"/>
          <w:szCs w:val="28"/>
          <w:lang w:val="en-US" w:eastAsia="zh-CN" w:bidi="ar-SA"/>
        </w:rPr>
        <w:t xml:space="preserve">（三）特别事项说明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1、本报告是根据人民法院及相关当事人提供的资料和信息出具，资料和信息的真实性、完整性、合法性对评估结论构成影响，依据同一标的资产的其他资料或者信息可能得出与本报告不一致的评估结论。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2、本评估报告使用人须正确理解和使用评估结论，评估结论不等同于评估对象可实现价格，评估结论不应当被认为是对评估对象可实现价格的保证。</w:t>
      </w:r>
    </w:p>
    <w:p>
      <w:pPr>
        <w:numPr>
          <w:ilvl w:val="0"/>
          <w:numId w:val="0"/>
        </w:numPr>
        <w:ind w:firstLine="560" w:firstLineChars="200"/>
        <w:rPr>
          <w:rFonts w:hint="default" w:ascii="仿宋_GB2312" w:hAnsi="宋体" w:eastAsia="仿宋_GB2312" w:cs="Times New Roman"/>
          <w:kern w:val="2"/>
          <w:sz w:val="28"/>
          <w:szCs w:val="28"/>
          <w:lang w:val="en-US" w:eastAsia="zh-CN" w:bidi="ar-SA"/>
        </w:rPr>
      </w:pPr>
      <w:r>
        <w:rPr>
          <w:rFonts w:hint="eastAsia" w:ascii="仿宋_GB2312" w:hAnsi="仿宋" w:eastAsia="仿宋_GB2312"/>
          <w:b w:val="0"/>
          <w:bCs/>
          <w:sz w:val="28"/>
          <w:szCs w:val="28"/>
          <w:lang w:val="en-US" w:eastAsia="zh-CN"/>
        </w:rPr>
        <w:t>3、当事人或其他利害关系人对本估价报告如有异议，可以在收到估价报告10日内以书面形式向人民法院提出。</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4、估价结果是根据估价对象使用年限、现场勘查情况，结合市场实际交易实例，采用市场法进行综合估算的。</w:t>
      </w:r>
    </w:p>
    <w:p>
      <w:pPr>
        <w:ind w:firstLine="560" w:firstLineChars="200"/>
        <w:rPr>
          <w:rFonts w:hint="default" w:ascii="仿宋" w:hAnsi="仿宋" w:eastAsia="仿宋"/>
          <w:color w:val="auto"/>
          <w:sz w:val="30"/>
          <w:szCs w:val="30"/>
          <w:lang w:val="en-US" w:eastAsia="zh-CN"/>
        </w:rPr>
      </w:pPr>
      <w:r>
        <w:rPr>
          <w:rFonts w:hint="eastAsia" w:ascii="仿宋_GB2312" w:hAnsi="宋体" w:eastAsia="仿宋_GB2312" w:cs="Times New Roman"/>
          <w:kern w:val="2"/>
          <w:sz w:val="28"/>
          <w:szCs w:val="28"/>
          <w:lang w:val="en-US" w:eastAsia="zh-CN" w:bidi="ar-SA"/>
        </w:rPr>
        <w:t>5、评估过程中未考虑该房屋产权抵押、查封后对估价结果的影响。</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ind w:firstLine="560" w:firstLineChars="200"/>
        <w:rPr>
          <w:rFonts w:hint="eastAsia" w:ascii="仿宋_GB2312" w:hAnsi="宋体" w:eastAsia="仿宋_GB2312" w:cs="Times New Roman"/>
          <w:kern w:val="2"/>
          <w:sz w:val="28"/>
          <w:szCs w:val="28"/>
          <w:lang w:val="en-US" w:eastAsia="zh-CN" w:bidi="ar-SA"/>
        </w:rPr>
      </w:pPr>
    </w:p>
    <w:p>
      <w:pPr>
        <w:ind w:firstLine="560" w:firstLineChars="200"/>
        <w:rPr>
          <w:rFonts w:hint="eastAsia" w:ascii="仿宋_GB2312" w:hAnsi="宋体" w:eastAsia="仿宋_GB2312" w:cs="Times New Roman"/>
          <w:kern w:val="2"/>
          <w:sz w:val="28"/>
          <w:szCs w:val="28"/>
          <w:lang w:val="en-US" w:eastAsia="zh-CN" w:bidi="ar-SA"/>
        </w:rPr>
      </w:pP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二○二一年五月三十一日</w:t>
      </w:r>
    </w:p>
    <w:p>
      <w:pPr>
        <w:rPr>
          <w:rFonts w:hint="eastAsia" w:ascii="仿宋_GB2312" w:hAnsi="宋体" w:eastAsia="仿宋_GB2312" w:cs="Times New Roman"/>
          <w:kern w:val="2"/>
          <w:sz w:val="28"/>
          <w:szCs w:val="28"/>
          <w:lang w:val="en-US" w:eastAsia="zh-CN" w:bidi="ar-SA"/>
        </w:rPr>
      </w:pPr>
    </w:p>
    <w:p>
      <w:pPr>
        <w:rPr>
          <w:rFonts w:hint="eastAsia" w:ascii="仿宋" w:hAnsi="仿宋"/>
          <w:b/>
          <w:w w:val="40"/>
          <w:sz w:val="140"/>
          <w:szCs w:val="140"/>
          <w:lang w:val="en-US" w:eastAsia="zh-CN"/>
        </w:rPr>
      </w:pPr>
    </w:p>
    <w:p>
      <w:pPr>
        <w:rPr>
          <w:rFonts w:hint="eastAsia" w:ascii="仿宋" w:hAnsi="仿宋"/>
          <w:b/>
          <w:w w:val="40"/>
          <w:sz w:val="140"/>
          <w:szCs w:val="140"/>
        </w:rPr>
      </w:pPr>
      <w:r>
        <w:rPr>
          <w:rFonts w:hint="eastAsia" w:ascii="仿宋" w:hAnsi="仿宋"/>
          <w:b/>
          <w:w w:val="40"/>
          <w:sz w:val="140"/>
          <w:szCs w:val="140"/>
          <w:lang w:val="en-US" w:eastAsia="zh-CN"/>
        </w:rPr>
        <w:t xml:space="preserve"> </w:t>
      </w:r>
      <w:r>
        <w:rPr>
          <w:rFonts w:hint="eastAsia" w:ascii="仿宋" w:hAnsi="仿宋"/>
          <w:b/>
          <w:w w:val="40"/>
          <w:sz w:val="140"/>
          <w:szCs w:val="140"/>
        </w:rPr>
        <w:t>湖北循其本价格鉴定评估有限公司</w:t>
      </w:r>
    </w:p>
    <w:p>
      <w:pPr>
        <w:ind w:left="-92" w:leftChars="-85" w:right="-147" w:rightChars="-70" w:hanging="86" w:hangingChars="31"/>
        <w:jc w:val="center"/>
        <w:rPr>
          <w:rFonts w:hint="eastAsia" w:ascii="仿宋_GB2312" w:hAnsi="仿宋" w:eastAsia="仿宋_GB2312"/>
          <w:kern w:val="13"/>
          <w:sz w:val="28"/>
          <w:szCs w:val="28"/>
          <w:highlight w:val="none"/>
        </w:rPr>
      </w:pPr>
      <w:r>
        <w:rPr>
          <w:sz w:val="28"/>
          <w:highlight w:val="none"/>
        </w:rPr>
        <mc:AlternateContent>
          <mc:Choice Requires="wps">
            <w:drawing>
              <wp:anchor distT="0" distB="0" distL="114300" distR="114300" simplePos="0" relativeHeight="251661312" behindDoc="0" locked="0" layoutInCell="1" allowOverlap="1">
                <wp:simplePos x="0" y="0"/>
                <wp:positionH relativeFrom="column">
                  <wp:posOffset>80010</wp:posOffset>
                </wp:positionH>
                <wp:positionV relativeFrom="paragraph">
                  <wp:posOffset>346075</wp:posOffset>
                </wp:positionV>
                <wp:extent cx="5511800" cy="15240"/>
                <wp:effectExtent l="0" t="4445" r="12700" b="8890"/>
                <wp:wrapNone/>
                <wp:docPr id="1" name="直接连接符 1"/>
                <wp:cNvGraphicFramePr/>
                <a:graphic xmlns:a="http://schemas.openxmlformats.org/drawingml/2006/main">
                  <a:graphicData uri="http://schemas.microsoft.com/office/word/2010/wordprocessingShape">
                    <wps:wsp>
                      <wps:cNvCnPr/>
                      <wps:spPr>
                        <a:xfrm>
                          <a:off x="0" y="0"/>
                          <a:ext cx="5511800" cy="15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3pt;margin-top:27.25pt;height:1.2pt;width:434pt;z-index:251661312;mso-width-relative:page;mso-height-relative:page;" filled="f" stroked="t" coordsize="21600,21600" o:gfxdata="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dG5bvVAAAACAEAAA8AAAAA&#10;AAAAAQAgAAAAIgAAAGRycy9kb3ducmV2LnhtbFBLAQIUABQAAAAIAIdO4kAwEdxg3gEAAJoDAAAO&#10;AAAAAAAAAAEAIAAAACQBAABkcnMvZTJvRG9jLnhtbFBLBQYAAAAABgAGAFkBAAB0BQAAAAA=&#10;">
                <v:fill on="f" focussize="0,0"/>
                <v:stroke color="#000000" joinstyle="round"/>
                <v:imagedata o:title=""/>
                <o:lock v:ext="edit" aspectratio="f"/>
              </v:line>
            </w:pict>
          </mc:Fallback>
        </mc:AlternateContent>
      </w:r>
      <w:r>
        <w:rPr>
          <w:rFonts w:hint="eastAsia" w:ascii="仿宋_GB2312" w:hAnsi="仿宋" w:eastAsia="仿宋_GB2312"/>
          <w:kern w:val="13"/>
          <w:sz w:val="28"/>
          <w:szCs w:val="28"/>
          <w:highlight w:val="none"/>
        </w:rPr>
        <w:t>鄂循价鉴[20</w:t>
      </w:r>
      <w:r>
        <w:rPr>
          <w:rFonts w:hint="eastAsia" w:ascii="仿宋_GB2312" w:hAnsi="仿宋" w:eastAsia="仿宋_GB2312"/>
          <w:kern w:val="13"/>
          <w:sz w:val="28"/>
          <w:szCs w:val="28"/>
          <w:highlight w:val="none"/>
          <w:lang w:val="en-US" w:eastAsia="zh-CN"/>
        </w:rPr>
        <w:t>21</w:t>
      </w:r>
      <w:r>
        <w:rPr>
          <w:rFonts w:hint="eastAsia" w:ascii="仿宋_GB2312" w:hAnsi="仿宋" w:eastAsia="仿宋_GB2312"/>
          <w:kern w:val="13"/>
          <w:sz w:val="28"/>
          <w:szCs w:val="28"/>
          <w:highlight w:val="none"/>
        </w:rPr>
        <w:t>]第</w:t>
      </w:r>
      <w:r>
        <w:rPr>
          <w:rFonts w:hint="eastAsia" w:ascii="仿宋_GB2312" w:hAnsi="仿宋" w:eastAsia="仿宋_GB2312"/>
          <w:kern w:val="13"/>
          <w:sz w:val="28"/>
          <w:szCs w:val="28"/>
          <w:highlight w:val="none"/>
          <w:lang w:val="en-US" w:eastAsia="zh-CN"/>
        </w:rPr>
        <w:t>71075</w:t>
      </w:r>
      <w:r>
        <w:rPr>
          <w:rFonts w:hint="eastAsia" w:ascii="仿宋_GB2312" w:hAnsi="仿宋" w:eastAsia="仿宋_GB2312"/>
          <w:kern w:val="13"/>
          <w:sz w:val="28"/>
          <w:szCs w:val="28"/>
          <w:highlight w:val="none"/>
        </w:rPr>
        <w:t>号</w:t>
      </w:r>
    </w:p>
    <w:p>
      <w:pPr>
        <w:jc w:val="center"/>
        <w:rPr>
          <w:rFonts w:hint="default" w:ascii="仿宋" w:hAnsi="仿宋" w:eastAsia="仿宋"/>
          <w:b/>
          <w:bCs/>
          <w:sz w:val="36"/>
          <w:szCs w:val="36"/>
          <w:lang w:val="en-US" w:eastAsia="zh-CN"/>
        </w:rPr>
      </w:pPr>
      <w:r>
        <w:rPr>
          <w:rFonts w:hint="eastAsia" w:ascii="仿宋" w:hAnsi="仿宋" w:eastAsia="仿宋"/>
          <w:b/>
          <w:bCs/>
          <w:sz w:val="36"/>
          <w:szCs w:val="36"/>
          <w:lang w:eastAsia="zh-CN"/>
        </w:rPr>
        <w:t>孝感市天河路</w:t>
      </w:r>
      <w:r>
        <w:rPr>
          <w:rFonts w:hint="eastAsia" w:ascii="仿宋" w:hAnsi="仿宋" w:eastAsia="仿宋"/>
          <w:b/>
          <w:bCs/>
          <w:sz w:val="36"/>
          <w:szCs w:val="36"/>
          <w:lang w:val="en-US" w:eastAsia="zh-CN"/>
        </w:rPr>
        <w:t>3号迎宾花城2期1幢22层2206室</w:t>
      </w:r>
    </w:p>
    <w:p>
      <w:pPr>
        <w:jc w:val="center"/>
        <w:rPr>
          <w:rFonts w:ascii="仿宋" w:hAnsi="仿宋" w:eastAsia="仿宋"/>
          <w:b/>
          <w:bCs/>
          <w:sz w:val="36"/>
          <w:szCs w:val="36"/>
        </w:rPr>
      </w:pPr>
      <w:r>
        <w:rPr>
          <w:rFonts w:hint="eastAsia" w:ascii="仿宋" w:hAnsi="仿宋" w:eastAsia="仿宋"/>
          <w:b/>
          <w:bCs/>
          <w:sz w:val="36"/>
          <w:szCs w:val="36"/>
        </w:rPr>
        <w:t>房地产估价结果报告</w:t>
      </w:r>
    </w:p>
    <w:p>
      <w:pPr>
        <w:jc w:val="cente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b/>
          <w:bCs/>
          <w:sz w:val="30"/>
          <w:szCs w:val="30"/>
          <w:lang w:val="en-US"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b/>
          <w:bCs/>
          <w:sz w:val="30"/>
          <w:szCs w:val="30"/>
          <w:lang w:val="en-US" w:eastAsia="zh-CN"/>
        </w:rPr>
        <w:t>（一）委托方</w:t>
      </w:r>
    </w:p>
    <w:p>
      <w:pPr>
        <w:numPr>
          <w:ilvl w:val="0"/>
          <w:numId w:val="1"/>
        </w:num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委托方：</w:t>
      </w:r>
      <w:r>
        <w:rPr>
          <w:rFonts w:hint="eastAsia" w:ascii="仿宋_GB2312" w:hAnsi="宋体" w:eastAsia="仿宋_GB2312"/>
          <w:sz w:val="28"/>
          <w:szCs w:val="28"/>
          <w:lang w:val="en-US" w:eastAsia="zh-CN"/>
        </w:rPr>
        <w:t>孝感市孝南区</w:t>
      </w:r>
      <w:r>
        <w:rPr>
          <w:rFonts w:hint="eastAsia" w:ascii="仿宋_GB2312" w:hAnsi="宋体" w:eastAsia="仿宋_GB2312" w:cs="Times New Roman"/>
          <w:kern w:val="2"/>
          <w:sz w:val="28"/>
          <w:szCs w:val="28"/>
          <w:lang w:val="en-US" w:eastAsia="zh-CN" w:bidi="ar-SA"/>
        </w:rPr>
        <w:t>人民法院</w:t>
      </w:r>
    </w:p>
    <w:p>
      <w:pPr>
        <w:numPr>
          <w:ilvl w:val="0"/>
          <w:numId w:val="1"/>
        </w:numPr>
        <w:ind w:left="0" w:leftChars="0"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住所：</w:t>
      </w:r>
      <w:r>
        <w:rPr>
          <w:rFonts w:hint="eastAsia" w:ascii="仿宋_GB2312" w:hAnsi="宋体" w:eastAsia="仿宋_GB2312" w:cs="Times New Roman"/>
          <w:kern w:val="2"/>
          <w:sz w:val="28"/>
          <w:szCs w:val="28"/>
          <w:highlight w:val="none"/>
          <w:lang w:val="en-US" w:eastAsia="zh-CN" w:bidi="ar-SA"/>
        </w:rPr>
        <w:t>湖北省孝感市孝南区黄花路38号</w:t>
      </w:r>
    </w:p>
    <w:p>
      <w:pPr>
        <w:numPr>
          <w:ilvl w:val="0"/>
          <w:numId w:val="0"/>
        </w:num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（二）估价方：</w:t>
      </w:r>
      <w:r>
        <w:rPr>
          <w:rFonts w:hint="eastAsia" w:ascii="仿宋_GB2312" w:hAnsi="宋体" w:eastAsia="仿宋_GB2312" w:cs="Times New Roman"/>
          <w:kern w:val="2"/>
          <w:sz w:val="28"/>
          <w:szCs w:val="28"/>
          <w:lang w:val="en-US" w:eastAsia="zh-CN" w:bidi="ar-SA"/>
        </w:rPr>
        <w:t>湖北循其本价格鉴定评估有限公司</w:t>
      </w:r>
    </w:p>
    <w:p>
      <w:pPr>
        <w:ind w:firstLine="560" w:firstLineChars="200"/>
        <w:rPr>
          <w:rFonts w:hint="eastAsia" w:ascii="仿宋_GB2312" w:hAnsi="宋体" w:eastAsia="仿宋_GB2312"/>
          <w:sz w:val="28"/>
          <w:szCs w:val="28"/>
          <w:lang w:val="en-US" w:eastAsia="zh-CN"/>
        </w:rPr>
      </w:pPr>
      <w:r>
        <w:rPr>
          <w:rFonts w:hint="eastAsia" w:ascii="仿宋_GB2312" w:hAnsi="宋体" w:eastAsia="仿宋_GB2312" w:cs="Times New Roman"/>
          <w:kern w:val="2"/>
          <w:sz w:val="28"/>
          <w:szCs w:val="28"/>
          <w:lang w:val="en-US" w:eastAsia="zh-CN" w:bidi="ar-SA"/>
        </w:rPr>
        <w:t>1. 法定代表人：</w:t>
      </w:r>
      <w:r>
        <w:rPr>
          <w:rFonts w:hint="eastAsia" w:ascii="仿宋_GB2312" w:hAnsi="宋体" w:eastAsia="仿宋_GB2312"/>
          <w:sz w:val="28"/>
          <w:szCs w:val="28"/>
          <w:lang w:val="en-US" w:eastAsia="zh-CN"/>
        </w:rPr>
        <w:t>魏胜凯</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 住所：咸宁市长江产业园（书苑小区）3栋1单元12层1201号</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（三）估价对象</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1、估价对象范围</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本次估价对象范围为黄祥波名下的、位于孝感市天河路3号迎宾花城2期1幢22层2206室，建筑面积为113.36平方米的住宅房地产。</w:t>
      </w:r>
    </w:p>
    <w:p>
      <w:p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2、估价对象基本情况</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经本机构人员的实地勘查和委托方提供的委托书和不动产预告登记信息等资料，可知估价对象实体状况如下：</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估价对象座落</w:t>
      </w:r>
      <w:r>
        <w:rPr>
          <w:rFonts w:hint="eastAsia" w:ascii="仿宋_GB2312" w:hAnsi="宋体" w:eastAsia="仿宋_GB2312" w:cs="Times New Roman"/>
          <w:kern w:val="2"/>
          <w:sz w:val="28"/>
          <w:szCs w:val="28"/>
          <w:lang w:val="en-US" w:eastAsia="zh-CN" w:bidi="ar-SA"/>
        </w:rPr>
        <w:t>孝感市天河路3号迎宾花城2期1幢22层2206室，房屋权利</w:t>
      </w:r>
      <w:r>
        <w:rPr>
          <w:rFonts w:hint="eastAsia" w:ascii="仿宋_GB2312" w:hAnsi="宋体" w:eastAsia="仿宋_GB2312" w:cs="Times New Roman"/>
          <w:kern w:val="2"/>
          <w:sz w:val="28"/>
          <w:szCs w:val="28"/>
          <w:highlight w:val="none"/>
          <w:lang w:val="en-US" w:eastAsia="zh-CN" w:bidi="ar-SA"/>
        </w:rPr>
        <w:t>人为黄祥波，所在层数/总层数为22层/30层，</w:t>
      </w:r>
      <w:r>
        <w:rPr>
          <w:rFonts w:hint="eastAsia" w:ascii="仿宋_GB2312" w:hAnsi="宋体" w:eastAsia="仿宋_GB2312" w:cs="Times New Roman"/>
          <w:kern w:val="2"/>
          <w:sz w:val="28"/>
          <w:szCs w:val="28"/>
          <w:lang w:val="en-US" w:eastAsia="zh-CN" w:bidi="ar-SA"/>
        </w:rPr>
        <w:t>建筑面积为113.36平方米，</w:t>
      </w:r>
      <w:r>
        <w:rPr>
          <w:rFonts w:hint="eastAsia" w:ascii="仿宋_GB2312" w:hAnsi="宋体" w:eastAsia="仿宋_GB2312" w:cs="Times New Roman"/>
          <w:kern w:val="2"/>
          <w:sz w:val="28"/>
          <w:szCs w:val="28"/>
          <w:highlight w:val="none"/>
          <w:lang w:val="en-US" w:eastAsia="zh-CN" w:bidi="ar-SA"/>
        </w:rPr>
        <w:t>不动产登记证明号为孝感市房预字第2015003230号，登记时间为2015年03月20日。</w:t>
      </w:r>
    </w:p>
    <w:p>
      <w:pPr>
        <w:ind w:firstLine="560"/>
        <w:rPr>
          <w:rFonts w:hint="default"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经现场勘验和调查，估价对象房屋位于交通大道迎宾花城小区2期1幢22层2206室，建成于2015年，现状用途为成套住宅，每单元三电梯六住户，户型为二厅三室一厨一卫，南北朝向。房屋外墙铺贴墙砖，室内装修情况因多种原因未能勘验。据相关当事人反映，室内为普通装修，维护保养一般。</w:t>
      </w:r>
    </w:p>
    <w:p>
      <w:pPr>
        <w:jc w:val="both"/>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（四）估价目的</w:t>
      </w:r>
    </w:p>
    <w:p>
      <w:pPr>
        <w:ind w:firstLine="560"/>
        <w:rPr>
          <w:rFonts w:hint="eastAsia" w:ascii="仿宋_GB2312" w:hAnsi="宋体" w:eastAsia="仿宋_GB2312"/>
          <w:b/>
          <w:bCs/>
          <w:sz w:val="30"/>
          <w:szCs w:val="30"/>
          <w:lang w:val="en-US" w:eastAsia="zh-CN"/>
        </w:rPr>
      </w:pPr>
      <w:r>
        <w:rPr>
          <w:rFonts w:hint="eastAsia" w:ascii="仿宋_GB2312" w:hAnsi="宋体" w:eastAsia="仿宋_GB2312" w:cs="Times New Roman"/>
          <w:kern w:val="2"/>
          <w:sz w:val="28"/>
          <w:szCs w:val="28"/>
          <w:highlight w:val="none"/>
          <w:lang w:val="en-US" w:eastAsia="zh-CN" w:bidi="ar-SA"/>
        </w:rPr>
        <w:t>为委托方处理案件提供价格咨询参考依据而评估该房产市场价格，供委托方及相关当事方咨询参考。</w:t>
      </w:r>
      <w:r>
        <w:rPr>
          <w:rFonts w:hint="eastAsia" w:ascii="仿宋_GB2312" w:hAnsi="宋体" w:eastAsia="仿宋_GB2312"/>
          <w:b/>
          <w:bCs/>
          <w:sz w:val="30"/>
          <w:szCs w:val="30"/>
          <w:highlight w:val="none"/>
          <w:lang w:val="en-US" w:eastAsia="zh-CN"/>
        </w:rPr>
        <w:t xml:space="preserve"> </w:t>
      </w:r>
      <w:r>
        <w:rPr>
          <w:rFonts w:hint="eastAsia" w:ascii="仿宋_GB2312" w:hAnsi="宋体" w:eastAsia="仿宋_GB2312"/>
          <w:b/>
          <w:bCs/>
          <w:sz w:val="30"/>
          <w:szCs w:val="30"/>
          <w:lang w:val="en-US" w:eastAsia="zh-CN"/>
        </w:rPr>
        <w:t xml:space="preserve">  </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（五）估价时点</w:t>
      </w:r>
    </w:p>
    <w:p>
      <w:p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二0二一年五月十八日。</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（六）价值定义</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本次评估价格是指对估价对象在现有用途、状态不变的前提下，采用公开市场价值标准，为本报告书所列明的目的和假设限制条件下的现行公开市场价值的估计值。</w:t>
      </w:r>
    </w:p>
    <w:p>
      <w:pPr>
        <w:rPr>
          <w:rFonts w:hint="eastAsia" w:ascii="仿宋_GB2312" w:hAnsi="宋体" w:eastAsia="仿宋_GB2312"/>
          <w:b/>
          <w:bCs/>
          <w:sz w:val="30"/>
          <w:szCs w:val="30"/>
          <w:lang w:val="en-US" w:eastAsia="zh-CN"/>
        </w:rPr>
      </w:pPr>
      <w:r>
        <w:rPr>
          <w:rFonts w:hint="eastAsia" w:ascii="仿宋_GB2312" w:hAnsi="宋体" w:eastAsia="仿宋_GB2312"/>
          <w:b/>
          <w:bCs/>
          <w:sz w:val="30"/>
          <w:szCs w:val="30"/>
          <w:lang w:val="en-US" w:eastAsia="zh-CN"/>
        </w:rPr>
        <w:t xml:space="preserve">  （七）估价依据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1、法律法规依据</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（1）《中华人民共和国价格法》；</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w:t>
      </w:r>
      <w:r>
        <w:rPr>
          <w:rFonts w:hint="default" w:ascii="仿宋_GB2312" w:hAnsi="宋体" w:eastAsia="仿宋_GB2312" w:cs="Times New Roman"/>
          <w:kern w:val="2"/>
          <w:sz w:val="28"/>
          <w:szCs w:val="28"/>
          <w:lang w:val="en-US" w:eastAsia="zh-CN" w:bidi="ar-SA"/>
        </w:rPr>
        <w:t>《中华人民共和国</w:t>
      </w:r>
      <w:r>
        <w:rPr>
          <w:rFonts w:hint="eastAsia" w:ascii="仿宋_GB2312" w:hAnsi="宋体" w:eastAsia="仿宋_GB2312" w:cs="Times New Roman"/>
          <w:kern w:val="2"/>
          <w:sz w:val="28"/>
          <w:szCs w:val="28"/>
          <w:lang w:val="en-US" w:eastAsia="zh-CN" w:bidi="ar-SA"/>
        </w:rPr>
        <w:t>资产评估</w:t>
      </w:r>
      <w:r>
        <w:rPr>
          <w:rFonts w:hint="default" w:ascii="仿宋_GB2312" w:hAnsi="宋体" w:eastAsia="仿宋_GB2312" w:cs="Times New Roman"/>
          <w:kern w:val="2"/>
          <w:sz w:val="28"/>
          <w:szCs w:val="28"/>
          <w:lang w:val="en-US" w:eastAsia="zh-CN" w:bidi="ar-SA"/>
        </w:rPr>
        <w:t>法》</w:t>
      </w:r>
      <w:r>
        <w:rPr>
          <w:rFonts w:hint="eastAsia" w:ascii="仿宋_GB2312" w:hAnsi="宋体" w:eastAsia="仿宋_GB2312" w:cs="Times New Roman"/>
          <w:kern w:val="2"/>
          <w:sz w:val="28"/>
          <w:szCs w:val="28"/>
          <w:lang w:val="en-US" w:eastAsia="zh-CN" w:bidi="ar-SA"/>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（3）《中华人民共和国城市房地产管理法》；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（4）《中华人民共和国土地管理法》；</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（5）中华人民共和国国家标准《房地产估价规范》；</w:t>
      </w:r>
    </w:p>
    <w:p>
      <w:pPr>
        <w:spacing w:beforeLines="0" w:afterLines="0"/>
        <w:ind w:firstLine="280" w:firstLineChars="100"/>
        <w:jc w:val="left"/>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6</w:t>
      </w:r>
      <w:r>
        <w:rPr>
          <w:rFonts w:hint="eastAsia" w:ascii="仿宋" w:hAnsi="仿宋" w:eastAsia="仿宋"/>
          <w:sz w:val="28"/>
          <w:szCs w:val="28"/>
          <w:lang w:eastAsia="zh-CN"/>
        </w:rPr>
        <w:t>）</w:t>
      </w:r>
      <w:r>
        <w:rPr>
          <w:rFonts w:hint="eastAsia" w:ascii="仿宋" w:hAnsi="仿宋" w:eastAsia="仿宋"/>
          <w:sz w:val="28"/>
          <w:szCs w:val="28"/>
        </w:rPr>
        <w:t>《价格评估执业规范》</w:t>
      </w:r>
      <w:r>
        <w:rPr>
          <w:rFonts w:hint="eastAsia" w:ascii="仿宋" w:hAnsi="仿宋" w:eastAsia="仿宋"/>
          <w:sz w:val="28"/>
          <w:szCs w:val="28"/>
          <w:lang w:eastAsia="zh-CN"/>
        </w:rPr>
        <w:t>；</w:t>
      </w:r>
    </w:p>
    <w:p>
      <w:pPr>
        <w:spacing w:beforeLines="0" w:afterLines="0"/>
        <w:jc w:val="left"/>
        <w:rPr>
          <w:rFonts w:hint="eastAsia"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7</w:t>
      </w:r>
      <w:r>
        <w:rPr>
          <w:rFonts w:hint="eastAsia" w:ascii="仿宋" w:hAnsi="仿宋" w:eastAsia="仿宋"/>
          <w:sz w:val="28"/>
          <w:szCs w:val="28"/>
          <w:lang w:eastAsia="zh-CN"/>
        </w:rPr>
        <w:t>）</w:t>
      </w:r>
      <w:r>
        <w:rPr>
          <w:rFonts w:hint="eastAsia" w:ascii="仿宋" w:hAnsi="仿宋" w:eastAsia="仿宋"/>
          <w:sz w:val="28"/>
          <w:szCs w:val="28"/>
        </w:rPr>
        <w:t>《价格评估人员自律守则》</w:t>
      </w:r>
      <w:r>
        <w:rPr>
          <w:rFonts w:hint="eastAsia" w:ascii="仿宋" w:hAnsi="仿宋" w:eastAsia="仿宋"/>
          <w:sz w:val="28"/>
          <w:szCs w:val="28"/>
          <w:lang w:eastAsia="zh-CN"/>
        </w:rPr>
        <w:t>；</w:t>
      </w:r>
    </w:p>
    <w:p>
      <w:pPr>
        <w:rPr>
          <w:rFonts w:hint="eastAsia" w:ascii="仿宋_GB2312" w:hAnsi="宋体" w:eastAsia="仿宋_GB2312" w:cs="Times New Roman"/>
          <w:kern w:val="2"/>
          <w:sz w:val="28"/>
          <w:szCs w:val="28"/>
          <w:lang w:val="en-US" w:eastAsia="zh-CN" w:bidi="ar-SA"/>
        </w:rPr>
      </w:pP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8</w:t>
      </w:r>
      <w:r>
        <w:rPr>
          <w:rFonts w:hint="eastAsia" w:ascii="仿宋" w:hAnsi="仿宋" w:eastAsia="仿宋"/>
          <w:sz w:val="28"/>
          <w:szCs w:val="28"/>
          <w:lang w:eastAsia="zh-CN"/>
        </w:rPr>
        <w:t>）</w:t>
      </w:r>
      <w:r>
        <w:rPr>
          <w:rFonts w:hint="eastAsia" w:ascii="仿宋" w:hAnsi="仿宋" w:eastAsia="仿宋"/>
          <w:sz w:val="28"/>
          <w:szCs w:val="28"/>
        </w:rPr>
        <w:t>《价格评估行业职业操守》</w:t>
      </w:r>
      <w:r>
        <w:rPr>
          <w:rFonts w:hint="eastAsia" w:ascii="仿宋" w:hAnsi="仿宋" w:eastAsia="仿宋"/>
          <w:sz w:val="28"/>
          <w:szCs w:val="28"/>
          <w:lang w:eastAsia="zh-CN"/>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2、委托方提供的有关资料</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（1）委托方提供的价格评估鉴定委托书；</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（2）委托方提供的相关权属资料复印件及其他资料复印件。</w:t>
      </w:r>
    </w:p>
    <w:p>
      <w:pPr>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3、估价机构和估价人员现场查勘、调查所得的资料；掌握和收集的其它询价资料、参数资料和国家有关部门发布的统计资料和技术标准资料。</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（八）估价原则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我们按照《房地产估价规范》规定，遵循估价行业公认的估价工作原则，对估价对象进行独立、客观、科学的评价，并遵守国家保密规定。</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本次估价中我们还特别遵循以下估价经济原则：</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独立、客观、公正原则：我们进行估价的最高行为准则。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合法原则：在本次估价时其应当符合国家的法律、法规有关规定，以估价对象的合法权益为前提；本次评估以委托方提供的相关权属资料载明事项体现合法原则。</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最高最佳使用原则：能给估价对象带来最高收益的使用，这种使用是法律上允许、技术上可能、财务上可行，本次估价中以其按现状使用为最高最佳使用。</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时点原则：由于房地产市场是不断变化的，在不同的估价时点，同一宗房地产往往具有不同的价格水平。估价时点原则是指求取某一时点的价格，所以在评估一宗房地产价格时，必须假定市场停止在估价时点上，同时对估价对象的房地产市场情况及自</w:t>
      </w:r>
      <w:r>
        <w:rPr>
          <w:rFonts w:hint="eastAsia" w:ascii="仿宋" w:hAnsi="仿宋" w:eastAsia="仿宋"/>
          <w:sz w:val="30"/>
          <w:szCs w:val="30"/>
          <w:lang w:val="en-US" w:eastAsia="zh-CN"/>
        </w:rPr>
        <w:t>身情况的界定，也是以在</w:t>
      </w:r>
      <w:r>
        <w:rPr>
          <w:rFonts w:hint="eastAsia" w:ascii="仿宋_GB2312" w:hAnsi="宋体" w:eastAsia="仿宋_GB2312" w:cs="Times New Roman"/>
          <w:kern w:val="2"/>
          <w:sz w:val="28"/>
          <w:szCs w:val="28"/>
          <w:lang w:val="en-US" w:eastAsia="zh-CN" w:bidi="ar-SA"/>
        </w:rPr>
        <w:t>估价时点的状况为准。</w:t>
      </w:r>
    </w:p>
    <w:p>
      <w:pPr>
        <w:numPr>
          <w:ilvl w:val="0"/>
          <w:numId w:val="0"/>
        </w:num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（九）估价方法</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根据估价规范要求和评估人员现场踏勘，以及对估价对象的使用年限、周边类似房地产交易实例和宗地所处区域因素等资料进行收集、分析和整理，结合评估目的，本次估价采用了市场法测算估价对象的公开市场价值。</w:t>
      </w:r>
    </w:p>
    <w:p>
      <w:pPr>
        <w:ind w:firstLine="560" w:firstLineChars="200"/>
        <w:rPr>
          <w:rFonts w:ascii="仿宋" w:hAnsi="仿宋" w:eastAsia="仿宋" w:cs="Arial"/>
          <w:color w:val="333333"/>
          <w:sz w:val="30"/>
          <w:szCs w:val="30"/>
          <w:shd w:val="clear" w:color="auto" w:fill="FFFFFF"/>
        </w:rPr>
      </w:pPr>
      <w:r>
        <w:rPr>
          <w:rFonts w:hint="eastAsia" w:ascii="仿宋_GB2312" w:hAnsi="宋体" w:eastAsia="仿宋_GB2312" w:cs="Times New Roman"/>
          <w:kern w:val="2"/>
          <w:sz w:val="28"/>
          <w:szCs w:val="28"/>
          <w:lang w:val="en-US" w:eastAsia="zh-CN" w:bidi="ar-SA"/>
        </w:rPr>
        <w:t>市场法也称市场价格比较法，是指通过比较被评估资产与最近售出类似资产的异同，并将类似的市场价格进行调整，从而确定被评估资产价值的一种</w:t>
      </w:r>
      <w:r>
        <w:rPr>
          <w:rFonts w:hint="eastAsia" w:ascii="仿宋_GB2312" w:hAnsi="宋体" w:eastAsia="仿宋_GB2312" w:cs="Times New Roman"/>
          <w:kern w:val="2"/>
          <w:sz w:val="28"/>
          <w:szCs w:val="28"/>
          <w:lang w:val="en-US" w:eastAsia="zh-CN" w:bidi="ar-SA"/>
        </w:rPr>
        <w:fldChar w:fldCharType="begin"/>
      </w:r>
      <w:r>
        <w:rPr>
          <w:rFonts w:hint="eastAsia" w:ascii="仿宋_GB2312" w:hAnsi="宋体" w:eastAsia="仿宋_GB2312" w:cs="Times New Roman"/>
          <w:kern w:val="2"/>
          <w:sz w:val="28"/>
          <w:szCs w:val="28"/>
          <w:lang w:val="en-US" w:eastAsia="zh-CN" w:bidi="ar-SA"/>
        </w:rPr>
        <w:instrText xml:space="preserve"> HYPERLINK "https://baike.so.com/doc/5779526-5992308.html" \t "_blank" </w:instrText>
      </w:r>
      <w:r>
        <w:rPr>
          <w:rFonts w:hint="eastAsia" w:ascii="仿宋_GB2312" w:hAnsi="宋体" w:eastAsia="仿宋_GB2312" w:cs="Times New Roman"/>
          <w:kern w:val="2"/>
          <w:sz w:val="28"/>
          <w:szCs w:val="28"/>
          <w:lang w:val="en-US" w:eastAsia="zh-CN" w:bidi="ar-SA"/>
        </w:rPr>
        <w:fldChar w:fldCharType="separate"/>
      </w:r>
      <w:r>
        <w:rPr>
          <w:rFonts w:hint="eastAsia" w:ascii="仿宋_GB2312" w:hAnsi="宋体" w:eastAsia="仿宋_GB2312" w:cs="Times New Roman"/>
          <w:kern w:val="2"/>
          <w:sz w:val="28"/>
          <w:szCs w:val="28"/>
          <w:lang w:val="en-US" w:eastAsia="zh-CN" w:bidi="ar-SA"/>
        </w:rPr>
        <w:t>评估方法</w:t>
      </w:r>
      <w:r>
        <w:rPr>
          <w:rFonts w:hint="eastAsia" w:ascii="仿宋_GB2312" w:hAnsi="宋体" w:eastAsia="仿宋_GB2312" w:cs="Times New Roman"/>
          <w:kern w:val="2"/>
          <w:sz w:val="28"/>
          <w:szCs w:val="28"/>
          <w:lang w:val="en-US" w:eastAsia="zh-CN" w:bidi="ar-SA"/>
        </w:rPr>
        <w:fldChar w:fldCharType="end"/>
      </w:r>
      <w:r>
        <w:rPr>
          <w:rFonts w:hint="eastAsia" w:ascii="仿宋_GB2312" w:hAnsi="宋体" w:eastAsia="仿宋_GB2312" w:cs="Times New Roman"/>
          <w:kern w:val="2"/>
          <w:sz w:val="28"/>
          <w:szCs w:val="28"/>
          <w:lang w:val="en-US" w:eastAsia="zh-CN" w:bidi="ar-SA"/>
        </w:rPr>
        <w:t>。首先选取同一区域的三个交易实例，与待估对象通过区域因素、个别因素的比较，并进行价格增减调整，估算被评估对象的市场价格。</w:t>
      </w:r>
    </w:p>
    <w:p>
      <w:pPr>
        <w:ind w:firstLine="560" w:firstLineChars="200"/>
        <w:rPr>
          <w:rFonts w:hint="eastAsia" w:ascii="仿宋_GB2312" w:hAnsi="仿宋" w:eastAsia="仿宋_GB2312"/>
          <w:b/>
          <w:sz w:val="28"/>
          <w:szCs w:val="28"/>
          <w:lang w:val="en-US" w:eastAsia="zh-CN"/>
        </w:rPr>
      </w:pPr>
      <w:r>
        <w:rPr>
          <w:rFonts w:hint="eastAsia" w:ascii="仿宋_GB2312" w:hAnsi="宋体" w:eastAsia="仿宋_GB2312" w:cs="Times New Roman"/>
          <w:kern w:val="2"/>
          <w:sz w:val="28"/>
          <w:szCs w:val="28"/>
          <w:lang w:val="en-US" w:eastAsia="zh-CN" w:bidi="ar-SA"/>
        </w:rPr>
        <w:t xml:space="preserve">评估值（比准价格）=可比实例价格×交易情况修正×市场状况调整×房地产状况调整 </w:t>
      </w:r>
      <w:r>
        <w:rPr>
          <w:rFonts w:hint="eastAsia" w:ascii="仿宋_GB2312" w:hAnsi="仿宋" w:eastAsia="仿宋_GB2312"/>
          <w:b/>
          <w:sz w:val="28"/>
          <w:szCs w:val="28"/>
          <w:lang w:val="en-US" w:eastAsia="zh-CN"/>
        </w:rPr>
        <w:t xml:space="preserve">  </w:t>
      </w:r>
    </w:p>
    <w:p>
      <w:pPr>
        <w:rPr>
          <w:rFonts w:hint="eastAsia" w:ascii="仿宋_GB2312" w:hAnsi="仿宋" w:eastAsia="仿宋_GB2312"/>
          <w:b/>
          <w:sz w:val="28"/>
          <w:szCs w:val="28"/>
        </w:rPr>
      </w:pPr>
      <w:r>
        <w:rPr>
          <w:rFonts w:hint="eastAsia" w:ascii="仿宋_GB2312" w:hAnsi="仿宋" w:eastAsia="仿宋_GB2312"/>
          <w:b/>
          <w:sz w:val="28"/>
          <w:szCs w:val="28"/>
          <w:lang w:val="en-US" w:eastAsia="zh-CN"/>
        </w:rPr>
        <w:t xml:space="preserve">   </w:t>
      </w:r>
      <w:r>
        <w:rPr>
          <w:rFonts w:hint="eastAsia" w:ascii="仿宋_GB2312" w:hAnsi="仿宋" w:eastAsia="仿宋_GB2312"/>
          <w:b/>
          <w:sz w:val="28"/>
          <w:szCs w:val="28"/>
        </w:rPr>
        <w:t>（十）估价结果</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估价人员经过实地勘查和测算，确定估价对象在估价时点可能形成的市场价值为￥739334元(大写人民币柒拾叁万玖仟叁佰叁拾肆元整)。</w:t>
      </w:r>
    </w:p>
    <w:p>
      <w:pPr>
        <w:rPr>
          <w:rFonts w:hint="eastAsia" w:ascii="仿宋_GB2312" w:hAnsi="仿宋" w:eastAsia="仿宋_GB2312" w:cs="Times New Roman"/>
          <w:b/>
          <w:kern w:val="2"/>
          <w:sz w:val="28"/>
          <w:szCs w:val="28"/>
          <w:lang w:val="zh-CN" w:eastAsia="zh-CN" w:bidi="ar-SA"/>
        </w:rPr>
      </w:pPr>
      <w:r>
        <w:rPr>
          <w:rFonts w:hint="eastAsia" w:ascii="仿宋_GB2312" w:hAnsi="仿宋" w:eastAsia="仿宋_GB2312" w:cs="Times New Roman"/>
          <w:b/>
          <w:kern w:val="2"/>
          <w:sz w:val="28"/>
          <w:szCs w:val="28"/>
          <w:lang w:val="en-US" w:eastAsia="zh-CN" w:bidi="ar-SA"/>
        </w:rPr>
        <w:t xml:space="preserve">   </w:t>
      </w:r>
      <w:r>
        <w:rPr>
          <w:rFonts w:hint="eastAsia" w:ascii="仿宋_GB2312" w:hAnsi="仿宋" w:eastAsia="仿宋_GB2312" w:cs="Times New Roman"/>
          <w:b/>
          <w:kern w:val="2"/>
          <w:sz w:val="28"/>
          <w:szCs w:val="28"/>
          <w:lang w:val="zh-CN" w:eastAsia="zh-CN" w:bidi="ar-SA"/>
        </w:rPr>
        <w:t>（十一）价格评估机构</w:t>
      </w:r>
    </w:p>
    <w:p>
      <w:pPr>
        <w:pStyle w:val="4"/>
        <w:spacing w:line="600" w:lineRule="exact"/>
        <w:ind w:firstLine="560" w:firstLineChars="200"/>
        <w:jc w:val="both"/>
        <w:rPr>
          <w:rFonts w:hint="eastAsia" w:ascii="仿宋_GB2312" w:hAnsi="仿宋" w:eastAsia="仿宋_GB2312" w:cs="Times New Roman"/>
          <w:kern w:val="2"/>
          <w:sz w:val="28"/>
          <w:szCs w:val="28"/>
          <w:lang w:val="zh-CN" w:eastAsia="zh-CN" w:bidi="ar-SA"/>
        </w:rPr>
      </w:pPr>
      <w:r>
        <w:rPr>
          <w:rFonts w:hint="eastAsia" w:ascii="仿宋_GB2312" w:hAnsi="仿宋" w:eastAsia="仿宋_GB2312" w:cs="Times New Roman"/>
          <w:kern w:val="2"/>
          <w:sz w:val="28"/>
          <w:szCs w:val="28"/>
          <w:lang w:val="zh-CN" w:eastAsia="zh-CN" w:bidi="ar-SA"/>
        </w:rPr>
        <w:t>机构名称：湖北循其本价格鉴定评估有限公司</w:t>
      </w:r>
    </w:p>
    <w:p>
      <w:pPr>
        <w:pStyle w:val="4"/>
        <w:tabs>
          <w:tab w:val="left" w:pos="900"/>
          <w:tab w:val="left" w:pos="1820"/>
          <w:tab w:val="left" w:pos="2740"/>
          <w:tab w:val="left" w:pos="3660"/>
          <w:tab w:val="left" w:pos="5480"/>
          <w:tab w:val="left" w:pos="6400"/>
          <w:tab w:val="left" w:pos="7320"/>
          <w:tab w:val="left" w:pos="8240"/>
          <w:tab w:val="left" w:pos="10060"/>
          <w:tab w:val="left" w:pos="10980"/>
          <w:tab w:val="left" w:pos="11900"/>
          <w:tab w:val="left" w:pos="12820"/>
          <w:tab w:val="left" w:pos="1464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600" w:lineRule="exact"/>
        <w:ind w:firstLine="560" w:firstLineChars="200"/>
        <w:jc w:val="both"/>
        <w:rPr>
          <w:rFonts w:hint="eastAsia" w:ascii="仿宋_GB2312" w:hAnsi="仿宋" w:eastAsia="仿宋_GB2312" w:cs="Times New Roman"/>
          <w:kern w:val="2"/>
          <w:sz w:val="28"/>
          <w:szCs w:val="28"/>
          <w:lang w:val="en-US" w:eastAsia="zh-CN" w:bidi="ar-SA"/>
        </w:rPr>
      </w:pPr>
      <w:r>
        <w:rPr>
          <w:rFonts w:hint="eastAsia" w:ascii="仿宋_GB2312" w:hAnsi="仿宋" w:eastAsia="仿宋_GB2312" w:cs="Times New Roman"/>
          <w:kern w:val="2"/>
          <w:sz w:val="28"/>
          <w:szCs w:val="28"/>
          <w:lang w:val="zh-CN" w:eastAsia="zh-CN" w:bidi="ar-SA"/>
        </w:rPr>
        <w:t>机构资质证号：中</w:t>
      </w:r>
      <w:r>
        <w:rPr>
          <w:rFonts w:hint="eastAsia" w:ascii="仿宋_GB2312" w:hAnsi="仿宋" w:eastAsia="仿宋_GB2312" w:cs="Times New Roman"/>
          <w:kern w:val="2"/>
          <w:sz w:val="28"/>
          <w:szCs w:val="28"/>
          <w:lang w:val="en-US" w:eastAsia="zh-CN" w:bidi="ar-SA"/>
        </w:rPr>
        <w:t>J</w:t>
      </w:r>
      <w:r>
        <w:rPr>
          <w:rFonts w:hint="eastAsia" w:ascii="仿宋_GB2312" w:hAnsi="仿宋" w:eastAsia="仿宋_GB2312" w:cs="Times New Roman"/>
          <w:kern w:val="2"/>
          <w:sz w:val="28"/>
          <w:szCs w:val="28"/>
          <w:lang w:val="zh-CN" w:eastAsia="zh-CN" w:bidi="ar-SA"/>
        </w:rPr>
        <w:t>1</w:t>
      </w:r>
      <w:r>
        <w:rPr>
          <w:rFonts w:hint="eastAsia" w:ascii="仿宋_GB2312" w:hAnsi="仿宋" w:eastAsia="仿宋_GB2312" w:cs="Times New Roman"/>
          <w:kern w:val="2"/>
          <w:sz w:val="28"/>
          <w:szCs w:val="28"/>
          <w:lang w:val="en-US" w:eastAsia="zh-CN" w:bidi="ar-SA"/>
        </w:rPr>
        <w:t>7</w:t>
      </w:r>
      <w:r>
        <w:rPr>
          <w:rFonts w:hint="eastAsia" w:ascii="仿宋_GB2312" w:hAnsi="仿宋" w:eastAsia="仿宋_GB2312" w:cs="Times New Roman"/>
          <w:kern w:val="2"/>
          <w:sz w:val="28"/>
          <w:szCs w:val="28"/>
          <w:lang w:val="zh-CN" w:eastAsia="zh-CN" w:bidi="ar-SA"/>
        </w:rPr>
        <w:t>000</w:t>
      </w:r>
      <w:r>
        <w:rPr>
          <w:rFonts w:hint="eastAsia" w:ascii="仿宋_GB2312" w:hAnsi="仿宋" w:eastAsia="仿宋_GB2312" w:cs="Times New Roman"/>
          <w:kern w:val="2"/>
          <w:sz w:val="28"/>
          <w:szCs w:val="28"/>
          <w:lang w:val="en-US" w:eastAsia="zh-CN" w:bidi="ar-SA"/>
        </w:rPr>
        <w:t>4</w:t>
      </w:r>
    </w:p>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b/>
          <w:bCs/>
          <w:sz w:val="30"/>
          <w:szCs w:val="30"/>
          <w:lang w:val="en-US" w:eastAsia="zh-CN"/>
        </w:rPr>
        <w:t xml:space="preserve">   （十二）估价专业人员</w:t>
      </w:r>
      <w:r>
        <w:rPr>
          <w:rFonts w:hint="eastAsia" w:ascii="仿宋_GB2312" w:hAnsi="宋体" w:eastAsia="仿宋_GB2312" w:cs="Times New Roman"/>
          <w:kern w:val="2"/>
          <w:sz w:val="28"/>
          <w:szCs w:val="28"/>
          <w:lang w:val="en-US" w:eastAsia="zh-CN" w:bidi="ar-SA"/>
        </w:rPr>
        <w:t xml:space="preserve">   </w:t>
      </w:r>
    </w:p>
    <w:tbl>
      <w:tblPr>
        <w:tblStyle w:val="8"/>
        <w:tblpPr w:leftFromText="180" w:rightFromText="180" w:vertAnchor="text" w:horzAnchor="page" w:tblpXSpec="center" w:tblpY="81"/>
        <w:tblOverlap w:val="never"/>
        <w:tblW w:w="79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2017"/>
        <w:gridCol w:w="1919"/>
        <w:gridCol w:w="2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23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姓　名</w:t>
            </w:r>
          </w:p>
        </w:tc>
        <w:tc>
          <w:tcPr>
            <w:tcW w:w="2017"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资格证名称</w:t>
            </w:r>
          </w:p>
        </w:tc>
        <w:tc>
          <w:tcPr>
            <w:tcW w:w="1919"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资格证号</w:t>
            </w:r>
          </w:p>
        </w:tc>
        <w:tc>
          <w:tcPr>
            <w:tcW w:w="276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8" w:hRule="atLeast"/>
          <w:jc w:val="center"/>
        </w:trPr>
        <w:tc>
          <w:tcPr>
            <w:tcW w:w="123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孙 坚</w:t>
            </w:r>
          </w:p>
        </w:tc>
        <w:tc>
          <w:tcPr>
            <w:tcW w:w="2017"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价格鉴证师</w:t>
            </w:r>
          </w:p>
        </w:tc>
        <w:tc>
          <w:tcPr>
            <w:tcW w:w="1919"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rPr>
              <w:t>0003035</w:t>
            </w:r>
          </w:p>
        </w:tc>
        <w:tc>
          <w:tcPr>
            <w:tcW w:w="276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sz w:val="28"/>
                <w:szCs w:val="28"/>
              </w:rPr>
              <w:drawing>
                <wp:anchor distT="0" distB="0" distL="114300" distR="114300" simplePos="0" relativeHeight="251671552" behindDoc="1" locked="0" layoutInCell="1" allowOverlap="1">
                  <wp:simplePos x="0" y="0"/>
                  <wp:positionH relativeFrom="column">
                    <wp:posOffset>154940</wp:posOffset>
                  </wp:positionH>
                  <wp:positionV relativeFrom="paragraph">
                    <wp:posOffset>254000</wp:posOffset>
                  </wp:positionV>
                  <wp:extent cx="1273810" cy="491490"/>
                  <wp:effectExtent l="0" t="0" r="2540" b="3810"/>
                  <wp:wrapNone/>
                  <wp:docPr id="2" name="图片 2" descr="孙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孙坚"/>
                          <pic:cNvPicPr>
                            <a:picLocks noChangeAspect="1"/>
                          </pic:cNvPicPr>
                        </pic:nvPicPr>
                        <pic:blipFill>
                          <a:blip r:embed="rId7"/>
                          <a:stretch>
                            <a:fillRect/>
                          </a:stretch>
                        </pic:blipFill>
                        <pic:spPr>
                          <a:xfrm>
                            <a:off x="0" y="0"/>
                            <a:ext cx="1273810" cy="491490"/>
                          </a:xfrm>
                          <a:prstGeom prst="rect">
                            <a:avLst/>
                          </a:prstGeom>
                          <a:noFill/>
                          <a:ln w="9525">
                            <a:noFill/>
                            <a:miter/>
                          </a:ln>
                          <a:effectLst/>
                        </pic:spPr>
                      </pic:pic>
                    </a:graphicData>
                  </a:graphic>
                </wp:anchor>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jc w:val="center"/>
        </w:trPr>
        <w:tc>
          <w:tcPr>
            <w:tcW w:w="1236"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华文仿宋" w:eastAsia="仿宋_GB2312" w:cs="Times New Roman"/>
                <w:kern w:val="2"/>
                <w:sz w:val="30"/>
                <w:szCs w:val="30"/>
                <w:highlight w:val="none"/>
                <w:lang w:val="zh-CN" w:eastAsia="zh-CN" w:bidi="ar-SA"/>
              </w:rPr>
              <w:t>刘汉生</w:t>
            </w:r>
          </w:p>
        </w:tc>
        <w:tc>
          <w:tcPr>
            <w:tcW w:w="2017"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华文仿宋" w:eastAsia="仿宋_GB2312" w:cs="Times New Roman"/>
                <w:kern w:val="2"/>
                <w:sz w:val="30"/>
                <w:szCs w:val="30"/>
                <w:highlight w:val="none"/>
                <w:lang w:val="zh-CN" w:eastAsia="zh-CN" w:bidi="ar-SA"/>
              </w:rPr>
              <w:t>价格鉴证师</w:t>
            </w:r>
          </w:p>
        </w:tc>
        <w:tc>
          <w:tcPr>
            <w:tcW w:w="1919"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华文仿宋" w:eastAsia="仿宋_GB2312" w:cs="Times New Roman"/>
                <w:kern w:val="2"/>
                <w:sz w:val="30"/>
                <w:szCs w:val="30"/>
                <w:highlight w:val="none"/>
                <w:lang w:val="zh-CN" w:eastAsia="zh-CN" w:bidi="ar-SA"/>
              </w:rPr>
              <w:t>0017039</w:t>
            </w:r>
          </w:p>
        </w:tc>
        <w:tc>
          <w:tcPr>
            <w:tcW w:w="2765" w:type="dxa"/>
            <w:vAlign w:val="center"/>
          </w:tcPr>
          <w:p>
            <w:pPr>
              <w:pStyle w:val="4"/>
              <w:keepNext w:val="0"/>
              <w:keepLines w:val="0"/>
              <w:pageBreakBefore w:val="0"/>
              <w:kinsoku/>
              <w:wordWrap/>
              <w:overflowPunct/>
              <w:topLinePunct w:val="0"/>
              <w:autoSpaceDE/>
              <w:autoSpaceDN/>
              <w:bidi w:val="0"/>
              <w:spacing w:line="520" w:lineRule="exact"/>
              <w:jc w:val="center"/>
              <w:textAlignment w:val="auto"/>
              <w:outlineLvl w:val="9"/>
              <w:rPr>
                <w:rFonts w:hint="eastAsia" w:ascii="仿宋_GB2312" w:hAnsi="仿宋_GB2312" w:eastAsia="仿宋_GB2312" w:cs="仿宋_GB2312"/>
                <w:color w:val="000000"/>
                <w:sz w:val="28"/>
                <w:szCs w:val="28"/>
                <w:lang w:val="zh-CN"/>
              </w:rPr>
            </w:pPr>
            <w:r>
              <w:rPr>
                <w:rFonts w:hint="eastAsia" w:ascii="仿宋_GB2312" w:hAnsi="仿宋_GB2312" w:eastAsia="仿宋_GB2312" w:cs="仿宋_GB2312"/>
                <w:color w:val="000000"/>
                <w:sz w:val="28"/>
                <w:szCs w:val="28"/>
                <w:lang w:val="zh-CN" w:eastAsia="zh-CN"/>
              </w:rPr>
              <w:drawing>
                <wp:anchor distT="0" distB="0" distL="114300" distR="114300" simplePos="0" relativeHeight="251673600" behindDoc="0" locked="0" layoutInCell="1" allowOverlap="1">
                  <wp:simplePos x="0" y="0"/>
                  <wp:positionH relativeFrom="column">
                    <wp:posOffset>2540</wp:posOffset>
                  </wp:positionH>
                  <wp:positionV relativeFrom="paragraph">
                    <wp:posOffset>105410</wp:posOffset>
                  </wp:positionV>
                  <wp:extent cx="1494790" cy="1033780"/>
                  <wp:effectExtent l="0" t="0" r="10795" b="0"/>
                  <wp:wrapNone/>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8"/>
                          <a:stretch>
                            <a:fillRect/>
                          </a:stretch>
                        </pic:blipFill>
                        <pic:spPr>
                          <a:xfrm>
                            <a:off x="0" y="0"/>
                            <a:ext cx="1494790" cy="1033780"/>
                          </a:xfrm>
                          <a:prstGeom prst="rect">
                            <a:avLst/>
                          </a:prstGeom>
                          <a:noFill/>
                          <a:ln w="9525">
                            <a:noFill/>
                            <a:miter/>
                          </a:ln>
                        </pic:spPr>
                      </pic:pic>
                    </a:graphicData>
                  </a:graphic>
                </wp:anchor>
              </w:drawing>
            </w:r>
          </w:p>
        </w:tc>
      </w:tr>
    </w:tbl>
    <w:p>
      <w:pPr>
        <w:numPr>
          <w:ilvl w:val="0"/>
          <w:numId w:val="0"/>
        </w:numPr>
        <w:rPr>
          <w:rStyle w:val="11"/>
          <w:rFonts w:hint="eastAsia" w:ascii="仿宋_GB2312" w:hAnsi="仿宋" w:eastAsia="仿宋_GB2312" w:cs="宋体"/>
          <w:b/>
          <w:sz w:val="28"/>
          <w:szCs w:val="28"/>
          <w:highlight w:val="none"/>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b/>
          <w:bCs/>
          <w:sz w:val="30"/>
          <w:szCs w:val="30"/>
          <w:highlight w:val="none"/>
          <w:lang w:val="en-US" w:eastAsia="zh-CN"/>
        </w:rPr>
        <w:t>（十三）</w:t>
      </w:r>
      <w:r>
        <w:rPr>
          <w:rFonts w:hint="eastAsia" w:ascii="仿宋_GB2312" w:hAnsi="仿宋" w:eastAsia="仿宋_GB2312"/>
          <w:b/>
          <w:sz w:val="28"/>
          <w:szCs w:val="28"/>
          <w:highlight w:val="none"/>
        </w:rPr>
        <w:t>评估报告日</w:t>
      </w:r>
      <w:r>
        <w:rPr>
          <w:rStyle w:val="11"/>
          <w:rFonts w:hint="eastAsia" w:ascii="仿宋" w:hAnsi="仿宋" w:eastAsia="仿宋_GB2312" w:cs="宋体"/>
          <w:b/>
          <w:sz w:val="28"/>
          <w:szCs w:val="28"/>
          <w:highlight w:val="none"/>
        </w:rPr>
        <w:t> </w:t>
      </w:r>
    </w:p>
    <w:p>
      <w:pPr>
        <w:ind w:firstLine="560" w:firstLineChars="200"/>
        <w:rPr>
          <w:rFonts w:hint="eastAsia" w:ascii="仿宋_GB2312" w:hAnsi="宋体" w:eastAsia="仿宋_GB2312" w:cs="Times New Roman"/>
          <w:kern w:val="2"/>
          <w:sz w:val="28"/>
          <w:szCs w:val="28"/>
          <w:highlight w:val="none"/>
          <w:lang w:val="en-US" w:eastAsia="zh-CN" w:bidi="ar-SA"/>
        </w:rPr>
      </w:pPr>
      <w:r>
        <w:rPr>
          <w:rStyle w:val="11"/>
          <w:rFonts w:hint="eastAsia" w:ascii="仿宋_GB2312" w:hAnsi="仿宋" w:eastAsia="仿宋_GB2312" w:cs="宋体"/>
          <w:sz w:val="28"/>
          <w:szCs w:val="28"/>
          <w:highlight w:val="none"/>
        </w:rPr>
        <w:t>本次出具评估报告日期为20</w:t>
      </w:r>
      <w:r>
        <w:rPr>
          <w:rStyle w:val="11"/>
          <w:rFonts w:hint="eastAsia" w:ascii="仿宋_GB2312" w:hAnsi="仿宋" w:eastAsia="仿宋_GB2312" w:cs="宋体"/>
          <w:sz w:val="28"/>
          <w:szCs w:val="28"/>
          <w:highlight w:val="none"/>
          <w:lang w:val="en-US" w:eastAsia="zh-CN"/>
        </w:rPr>
        <w:t>21</w:t>
      </w:r>
      <w:r>
        <w:rPr>
          <w:rStyle w:val="11"/>
          <w:rFonts w:hint="eastAsia" w:ascii="仿宋_GB2312" w:hAnsi="仿宋" w:eastAsia="仿宋_GB2312" w:cs="宋体"/>
          <w:sz w:val="28"/>
          <w:szCs w:val="28"/>
          <w:highlight w:val="none"/>
        </w:rPr>
        <w:t>年</w:t>
      </w:r>
      <w:r>
        <w:rPr>
          <w:rStyle w:val="11"/>
          <w:rFonts w:hint="eastAsia" w:ascii="仿宋_GB2312" w:hAnsi="仿宋" w:eastAsia="仿宋_GB2312" w:cs="宋体"/>
          <w:sz w:val="28"/>
          <w:szCs w:val="28"/>
          <w:highlight w:val="none"/>
          <w:lang w:val="en-US" w:eastAsia="zh-CN"/>
        </w:rPr>
        <w:t>05</w:t>
      </w:r>
      <w:r>
        <w:rPr>
          <w:rStyle w:val="11"/>
          <w:rFonts w:hint="eastAsia" w:ascii="仿宋_GB2312" w:hAnsi="仿宋" w:eastAsia="仿宋_GB2312" w:cs="宋体"/>
          <w:sz w:val="28"/>
          <w:szCs w:val="28"/>
          <w:highlight w:val="none"/>
        </w:rPr>
        <w:t>月</w:t>
      </w:r>
      <w:r>
        <w:rPr>
          <w:rStyle w:val="11"/>
          <w:rFonts w:hint="eastAsia" w:ascii="仿宋_GB2312" w:hAnsi="仿宋" w:eastAsia="仿宋_GB2312" w:cs="宋体"/>
          <w:sz w:val="28"/>
          <w:szCs w:val="28"/>
          <w:highlight w:val="none"/>
          <w:lang w:val="en-US" w:eastAsia="zh-CN"/>
        </w:rPr>
        <w:t>31</w:t>
      </w:r>
      <w:r>
        <w:rPr>
          <w:rStyle w:val="11"/>
          <w:rFonts w:hint="eastAsia" w:ascii="仿宋_GB2312" w:hAnsi="仿宋" w:eastAsia="仿宋_GB2312" w:cs="宋体"/>
          <w:sz w:val="28"/>
          <w:szCs w:val="28"/>
          <w:highlight w:val="none"/>
        </w:rPr>
        <w:t>日。</w:t>
      </w:r>
      <w:r>
        <w:rPr>
          <w:rFonts w:hint="eastAsia" w:ascii="仿宋_GB2312" w:hAnsi="宋体" w:eastAsia="仿宋_GB2312" w:cs="Times New Roman"/>
          <w:kern w:val="2"/>
          <w:sz w:val="28"/>
          <w:szCs w:val="28"/>
          <w:highlight w:val="none"/>
          <w:lang w:val="en-US" w:eastAsia="zh-CN" w:bidi="ar-SA"/>
        </w:rPr>
        <w:t xml:space="preserve"> </w:t>
      </w:r>
    </w:p>
    <w:p>
      <w:pPr>
        <w:rPr>
          <w:rFonts w:hint="eastAsia" w:ascii="仿宋_GB2312" w:hAnsi="仿宋" w:eastAsia="仿宋_GB2312"/>
          <w:b/>
          <w:sz w:val="28"/>
          <w:szCs w:val="28"/>
          <w:lang w:val="en-US" w:eastAsia="zh-CN"/>
        </w:rPr>
      </w:pPr>
      <w:r>
        <w:rPr>
          <w:rFonts w:hint="eastAsia" w:ascii="仿宋_GB2312" w:hAnsi="仿宋" w:eastAsia="仿宋_GB2312"/>
          <w:b/>
          <w:sz w:val="28"/>
          <w:szCs w:val="28"/>
          <w:lang w:val="en-US" w:eastAsia="zh-CN"/>
        </w:rPr>
        <w:t xml:space="preserve">   （十四）估价报告应用的有效期</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若无特别约定，估价结论有效期为从估价报告完成之日起壹年。超过有效期后需重新估价方可使用。                             </w:t>
      </w:r>
    </w:p>
    <w:p>
      <w:pPr>
        <w:rPr>
          <w:rFonts w:hint="eastAsia" w:ascii="仿宋_GB2312" w:hAnsi="宋体" w:eastAsia="仿宋_GB2312" w:cs="Times New Roman"/>
          <w:kern w:val="2"/>
          <w:sz w:val="28"/>
          <w:szCs w:val="28"/>
          <w:lang w:val="en-US" w:eastAsia="zh-CN" w:bidi="ar-SA"/>
        </w:rPr>
      </w:pP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jc w:val="both"/>
        <w:rPr>
          <w:rFonts w:hint="eastAsia" w:ascii="仿宋" w:hAnsi="仿宋" w:eastAsia="仿宋"/>
          <w:b/>
          <w:bCs/>
          <w:sz w:val="36"/>
          <w:szCs w:val="36"/>
          <w:highlight w:val="none"/>
          <w:lang w:eastAsia="zh-CN"/>
        </w:rPr>
      </w:pPr>
      <w:r>
        <w:rPr>
          <w:rFonts w:hint="eastAsia" w:ascii="仿宋_GB2312" w:hAnsi="宋体" w:eastAsia="仿宋_GB2312" w:cs="Times New Roman"/>
          <w:kern w:val="2"/>
          <w:sz w:val="28"/>
          <w:szCs w:val="28"/>
          <w:lang w:val="en-US" w:eastAsia="zh-CN" w:bidi="ar-SA"/>
        </w:rPr>
        <w:t xml:space="preserve">                             </w:t>
      </w:r>
      <w:r>
        <w:rPr>
          <w:rFonts w:hint="eastAsia" w:ascii="仿宋_GB2312" w:hAnsi="宋体" w:eastAsia="仿宋_GB2312" w:cs="Times New Roman"/>
          <w:kern w:val="2"/>
          <w:sz w:val="28"/>
          <w:szCs w:val="28"/>
          <w:highlight w:val="none"/>
          <w:lang w:val="en-US" w:eastAsia="zh-CN" w:bidi="ar-SA"/>
        </w:rPr>
        <w:t xml:space="preserve">      二0二一年五月三十一日</w:t>
      </w:r>
    </w:p>
    <w:p>
      <w:pPr>
        <w:jc w:val="center"/>
        <w:rPr>
          <w:rFonts w:hint="eastAsia" w:ascii="仿宋" w:hAnsi="仿宋" w:eastAsia="仿宋"/>
          <w:b/>
          <w:bCs/>
          <w:sz w:val="36"/>
          <w:szCs w:val="36"/>
          <w:lang w:eastAsia="zh-CN"/>
        </w:rPr>
      </w:pPr>
    </w:p>
    <w:p>
      <w:pPr>
        <w:jc w:val="center"/>
        <w:rPr>
          <w:rFonts w:hint="eastAsia" w:ascii="仿宋" w:hAnsi="仿宋" w:eastAsia="仿宋"/>
          <w:b/>
          <w:bCs/>
          <w:sz w:val="36"/>
          <w:szCs w:val="36"/>
          <w:lang w:eastAsia="zh-CN"/>
        </w:rPr>
      </w:pPr>
    </w:p>
    <w:p>
      <w:pPr>
        <w:jc w:val="center"/>
        <w:rPr>
          <w:rFonts w:hint="default" w:ascii="仿宋" w:hAnsi="仿宋" w:eastAsia="仿宋"/>
          <w:b/>
          <w:bCs/>
          <w:sz w:val="36"/>
          <w:szCs w:val="36"/>
          <w:lang w:val="en-US" w:eastAsia="zh-CN"/>
        </w:rPr>
      </w:pPr>
      <w:r>
        <w:rPr>
          <w:rFonts w:hint="eastAsia" w:ascii="仿宋" w:hAnsi="仿宋" w:eastAsia="仿宋"/>
          <w:b/>
          <w:bCs/>
          <w:sz w:val="36"/>
          <w:szCs w:val="36"/>
          <w:lang w:eastAsia="zh-CN"/>
        </w:rPr>
        <w:t>孝感市天河路</w:t>
      </w:r>
      <w:r>
        <w:rPr>
          <w:rFonts w:hint="eastAsia" w:ascii="仿宋" w:hAnsi="仿宋" w:eastAsia="仿宋"/>
          <w:b/>
          <w:bCs/>
          <w:sz w:val="36"/>
          <w:szCs w:val="36"/>
          <w:lang w:val="en-US" w:eastAsia="zh-CN"/>
        </w:rPr>
        <w:t>3号迎宾花城2期1幢22层2206室</w:t>
      </w:r>
    </w:p>
    <w:p>
      <w:pPr>
        <w:jc w:val="center"/>
        <w:rPr>
          <w:rFonts w:hint="eastAsia" w:ascii="仿宋" w:hAnsi="仿宋" w:eastAsia="仿宋"/>
          <w:b/>
          <w:bCs/>
          <w:sz w:val="36"/>
          <w:szCs w:val="36"/>
        </w:rPr>
      </w:pPr>
      <w:r>
        <w:rPr>
          <w:rFonts w:hint="eastAsia" w:ascii="仿宋" w:hAnsi="仿宋" w:eastAsia="仿宋"/>
          <w:b/>
          <w:bCs/>
          <w:sz w:val="36"/>
          <w:szCs w:val="36"/>
          <w:lang w:eastAsia="zh-CN"/>
        </w:rPr>
        <w:t>房地产</w:t>
      </w:r>
      <w:r>
        <w:rPr>
          <w:rFonts w:hint="eastAsia" w:ascii="仿宋" w:hAnsi="仿宋" w:eastAsia="仿宋"/>
          <w:b/>
          <w:bCs/>
          <w:sz w:val="36"/>
          <w:szCs w:val="36"/>
        </w:rPr>
        <w:t>估价技术报告</w:t>
      </w:r>
    </w:p>
    <w:p>
      <w:pPr>
        <w:jc w:val="center"/>
        <w:rPr>
          <w:rFonts w:hint="eastAsia" w:ascii="仿宋" w:hAnsi="仿宋" w:eastAsia="仿宋"/>
          <w:b/>
          <w:bCs/>
          <w:sz w:val="32"/>
          <w:szCs w:val="32"/>
        </w:rPr>
      </w:pPr>
    </w:p>
    <w:p>
      <w:pPr>
        <w:jc w:val="both"/>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一、估价对象实物状况描述与分析</w:t>
      </w:r>
    </w:p>
    <w:p>
      <w:pPr>
        <w:ind w:firstLine="560" w:firstLineChars="20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估价对象座落</w:t>
      </w:r>
      <w:r>
        <w:rPr>
          <w:rFonts w:hint="eastAsia" w:ascii="仿宋_GB2312" w:hAnsi="宋体" w:eastAsia="仿宋_GB2312" w:cs="Times New Roman"/>
          <w:kern w:val="2"/>
          <w:sz w:val="28"/>
          <w:szCs w:val="28"/>
          <w:lang w:val="en-US" w:eastAsia="zh-CN" w:bidi="ar-SA"/>
        </w:rPr>
        <w:t>孝感市天河路3号迎宾花城2期1幢22层2206室，房屋权利</w:t>
      </w:r>
      <w:r>
        <w:rPr>
          <w:rFonts w:hint="eastAsia" w:ascii="仿宋_GB2312" w:hAnsi="宋体" w:eastAsia="仿宋_GB2312" w:cs="Times New Roman"/>
          <w:kern w:val="2"/>
          <w:sz w:val="28"/>
          <w:szCs w:val="28"/>
          <w:highlight w:val="none"/>
          <w:lang w:val="en-US" w:eastAsia="zh-CN" w:bidi="ar-SA"/>
        </w:rPr>
        <w:t>人为黄祥波，所在层数/总层数为22层/30层，</w:t>
      </w:r>
      <w:r>
        <w:rPr>
          <w:rFonts w:hint="eastAsia" w:ascii="仿宋_GB2312" w:hAnsi="宋体" w:eastAsia="仿宋_GB2312" w:cs="Times New Roman"/>
          <w:kern w:val="2"/>
          <w:sz w:val="28"/>
          <w:szCs w:val="28"/>
          <w:lang w:val="en-US" w:eastAsia="zh-CN" w:bidi="ar-SA"/>
        </w:rPr>
        <w:t>建筑面积为113.36平方米，</w:t>
      </w:r>
      <w:r>
        <w:rPr>
          <w:rFonts w:hint="eastAsia" w:ascii="仿宋_GB2312" w:hAnsi="宋体" w:eastAsia="仿宋_GB2312" w:cs="Times New Roman"/>
          <w:kern w:val="2"/>
          <w:sz w:val="28"/>
          <w:szCs w:val="28"/>
          <w:highlight w:val="none"/>
          <w:lang w:val="en-US" w:eastAsia="zh-CN" w:bidi="ar-SA"/>
        </w:rPr>
        <w:t>不动产登记证明号为孝感市房预字第2015003230号，登记时间为2015年03月20日。</w:t>
      </w:r>
    </w:p>
    <w:p>
      <w:pPr>
        <w:ind w:firstLine="560"/>
        <w:rPr>
          <w:rFonts w:hint="default"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经现场勘验和调查，估价对象房屋位于交通大道迎宾花城小区2期1幢22层2206室，建成于2015年，现状用途为成套住宅，每单元三电梯六住户，户型为二厅三室一厨一卫，南北朝向。房屋外墙铺贴墙砖，室内装修情况因多种原因未能勘验。据相关当事人反映，室内为普通装修，维护保养一般。</w:t>
      </w:r>
    </w:p>
    <w:p>
      <w:pPr>
        <w:numPr>
          <w:ilvl w:val="0"/>
          <w:numId w:val="2"/>
        </w:numPr>
        <w:ind w:left="562" w:leftChars="0" w:firstLine="0" w:firstLineChars="0"/>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估价对象区域因素分析</w:t>
      </w:r>
    </w:p>
    <w:p>
      <w:pPr>
        <w:keepNext w:val="0"/>
        <w:keepLines w:val="0"/>
        <w:widowControl/>
        <w:suppressLineNumbers w:val="0"/>
        <w:wordWrap w:val="0"/>
        <w:jc w:val="left"/>
        <w:rPr>
          <w:rFonts w:hint="eastAsia" w:ascii="仿宋" w:hAnsi="仿宋" w:eastAsia="仿宋" w:cs="仿宋"/>
          <w:kern w:val="2"/>
          <w:sz w:val="28"/>
          <w:szCs w:val="28"/>
          <w:lang w:val="en-US" w:eastAsia="zh-CN" w:bidi="ar-SA"/>
        </w:rPr>
      </w:pPr>
      <w:r>
        <w:rPr>
          <w:rFonts w:hint="eastAsia" w:ascii="宋体" w:hAnsi="宋体" w:cs="宋体"/>
          <w:i w:val="0"/>
          <w:kern w:val="0"/>
          <w:sz w:val="24"/>
          <w:szCs w:val="24"/>
          <w:lang w:val="en-US" w:eastAsia="zh-CN" w:bidi="ar"/>
        </w:rPr>
        <w:t xml:space="preserve">  </w:t>
      </w:r>
      <w:r>
        <w:rPr>
          <w:rFonts w:hint="eastAsia" w:ascii="宋体" w:hAnsi="宋体" w:cs="宋体"/>
          <w:i w:val="0"/>
          <w:kern w:val="0"/>
          <w:sz w:val="28"/>
          <w:szCs w:val="28"/>
          <w:lang w:val="en-US" w:eastAsia="zh-CN" w:bidi="ar"/>
        </w:rPr>
        <w:t xml:space="preserve">  </w:t>
      </w:r>
      <w:r>
        <w:rPr>
          <w:rFonts w:hint="eastAsia" w:ascii="仿宋" w:hAnsi="仿宋" w:eastAsia="仿宋" w:cs="仿宋"/>
          <w:kern w:val="2"/>
          <w:sz w:val="28"/>
          <w:szCs w:val="28"/>
          <w:highlight w:val="none"/>
          <w:lang w:val="en-US" w:eastAsia="zh-CN" w:bidi="ar-SA"/>
        </w:rPr>
        <w:t>估价对象位于</w:t>
      </w:r>
      <w:r>
        <w:rPr>
          <w:rFonts w:hint="eastAsia" w:ascii="仿宋_GB2312" w:hAnsi="宋体" w:eastAsia="仿宋_GB2312" w:cs="Times New Roman"/>
          <w:kern w:val="2"/>
          <w:sz w:val="28"/>
          <w:szCs w:val="28"/>
          <w:lang w:val="en-US" w:eastAsia="zh-CN" w:bidi="ar-SA"/>
        </w:rPr>
        <w:t>孝感市交通大道迎宾花城</w:t>
      </w:r>
      <w:r>
        <w:rPr>
          <w:rFonts w:hint="eastAsia" w:ascii="仿宋" w:hAnsi="仿宋" w:eastAsia="仿宋" w:cs="仿宋"/>
          <w:kern w:val="2"/>
          <w:sz w:val="28"/>
          <w:szCs w:val="28"/>
          <w:lang w:val="en-US" w:eastAsia="zh-CN" w:bidi="ar-SA"/>
        </w:rPr>
        <w:t>小区。</w:t>
      </w:r>
      <w:bookmarkStart w:id="0" w:name="_GoBack"/>
      <w:r>
        <w:rPr>
          <w:rFonts w:hint="eastAsia" w:ascii="仿宋" w:hAnsi="仿宋" w:eastAsia="仿宋" w:cs="仿宋"/>
          <w:kern w:val="2"/>
          <w:sz w:val="28"/>
          <w:szCs w:val="28"/>
          <w:lang w:val="en-US" w:eastAsia="zh-CN" w:bidi="ar-SA"/>
        </w:rPr>
        <w:t>该小区绿化环境卫生不佳，物业管理差；</w:t>
      </w:r>
      <w:r>
        <w:rPr>
          <w:rFonts w:hint="eastAsia" w:ascii="仿宋_GB2312" w:hAnsi="宋体" w:eastAsia="仿宋_GB2312" w:cs="Times New Roman"/>
          <w:kern w:val="2"/>
          <w:sz w:val="28"/>
          <w:szCs w:val="28"/>
          <w:lang w:val="en-US" w:eastAsia="zh-CN" w:bidi="ar-SA"/>
        </w:rPr>
        <w:t>所在区域为孝感市中心城区，银泰城核心商圈，附近是孝感市委市政府、孝感市文化中心及孝感市市民之家，周边</w:t>
      </w:r>
      <w:r>
        <w:rPr>
          <w:rFonts w:hint="eastAsia" w:ascii="仿宋" w:hAnsi="仿宋" w:eastAsia="仿宋" w:cs="仿宋"/>
          <w:i w:val="0"/>
          <w:kern w:val="0"/>
          <w:sz w:val="28"/>
          <w:szCs w:val="28"/>
          <w:lang w:val="en-US" w:eastAsia="zh-CN" w:bidi="ar"/>
        </w:rPr>
        <w:t>生活、公共配套完善齐全；交通便利快捷，多路公交车通达，距孝感东站1000米左右；有银泰城等大型购物商场、娱乐商街、美食街等商业群；旁边还有槐荫生态公园。居住环境、购物、交通、学校、医疗等各方面功能较为齐全、完善、成熟。</w:t>
      </w:r>
    </w:p>
    <w:bookmarkEnd w:id="0"/>
    <w:p>
      <w:pPr>
        <w:numPr>
          <w:ilvl w:val="0"/>
          <w:numId w:val="0"/>
        </w:numPr>
        <w:rPr>
          <w:rFonts w:ascii="仿宋" w:hAnsi="仿宋" w:eastAsia="仿宋"/>
          <w:sz w:val="30"/>
          <w:szCs w:val="30"/>
        </w:rPr>
      </w:pPr>
      <w:r>
        <w:rPr>
          <w:rFonts w:hint="eastAsia" w:ascii="仿宋_GB2312" w:hAnsi="宋体" w:eastAsia="仿宋_GB2312" w:cs="Times New Roman"/>
          <w:b/>
          <w:bCs/>
          <w:kern w:val="2"/>
          <w:sz w:val="28"/>
          <w:szCs w:val="28"/>
          <w:lang w:val="en-US" w:eastAsia="zh-CN" w:bidi="ar-SA"/>
        </w:rPr>
        <w:t xml:space="preserve">    三、最高最佳使用分析</w:t>
      </w:r>
    </w:p>
    <w:p>
      <w:pPr>
        <w:ind w:firstLine="560" w:firstLineChars="200"/>
        <w:rPr>
          <w:rFonts w:ascii="仿宋" w:hAnsi="仿宋" w:eastAsia="仿宋"/>
          <w:sz w:val="30"/>
          <w:szCs w:val="30"/>
        </w:rPr>
      </w:pPr>
      <w:r>
        <w:rPr>
          <w:rFonts w:hint="eastAsia" w:ascii="仿宋_GB2312" w:hAnsi="宋体" w:eastAsia="仿宋_GB2312" w:cs="Times New Roman"/>
          <w:kern w:val="2"/>
          <w:sz w:val="28"/>
          <w:szCs w:val="28"/>
          <w:lang w:val="en-US" w:eastAsia="zh-CN" w:bidi="ar-SA"/>
        </w:rPr>
        <w:t>最高最佳使用是估价对象的一种最可能的使用，这种最可能的使用方法是法律上允许、技术上可行、经济上合理，经过充分合理的论证，并能给估价对象带来最高价值的使用，它的一种具体表现是以使估价对象获利最多的用途和形式来衡量，也就是说评估价值应当是在合法使用方式下，各种可能的使用方式中，能够获得最大收益的使用方式的估价结果。根据估价对象的个别因素和区位条件，我们认为估价对象的规划用途为其最佳用途，估价对象用途为住宅房地产，并保持其实体现状、持续使用为前提。</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四、估价方法的选用</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在认真分析所掌握的资料，并对估价对象进行实地勘查以及对周边房地产市场进行调查后，根据估价规范要求以及估价对象的特点、评估目的及宗地所处区域因素等，遵照国家法律、法规和估价技术标准，针对估价对象是住宅房屋，调查房地产中介机构有类似房地产交易案例，并对估价对象进行现场勘验，经过反复研究，我们采用了市场法综合测算估价对象的公开市场价值。</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市场法是指通过比较被评估资产与最近售出类似资产的异同，并将类似的市场价格进行调整，从而确定被评估资产价值的一种</w:t>
      </w:r>
      <w:r>
        <w:rPr>
          <w:rFonts w:hint="eastAsia" w:ascii="仿宋_GB2312" w:hAnsi="宋体" w:eastAsia="仿宋_GB2312" w:cs="Times New Roman"/>
          <w:kern w:val="2"/>
          <w:sz w:val="28"/>
          <w:szCs w:val="28"/>
          <w:lang w:val="en-US" w:eastAsia="zh-CN" w:bidi="ar-SA"/>
        </w:rPr>
        <w:fldChar w:fldCharType="begin"/>
      </w:r>
      <w:r>
        <w:rPr>
          <w:rFonts w:hint="eastAsia" w:ascii="仿宋_GB2312" w:hAnsi="宋体" w:eastAsia="仿宋_GB2312" w:cs="Times New Roman"/>
          <w:kern w:val="2"/>
          <w:sz w:val="28"/>
          <w:szCs w:val="28"/>
          <w:lang w:val="en-US" w:eastAsia="zh-CN" w:bidi="ar-SA"/>
        </w:rPr>
        <w:instrText xml:space="preserve"> HYPERLINK "https://baike.so.com/doc/5779526-5992308.html" \t "_blank" </w:instrText>
      </w:r>
      <w:r>
        <w:rPr>
          <w:rFonts w:hint="eastAsia" w:ascii="仿宋_GB2312" w:hAnsi="宋体" w:eastAsia="仿宋_GB2312" w:cs="Times New Roman"/>
          <w:kern w:val="2"/>
          <w:sz w:val="28"/>
          <w:szCs w:val="28"/>
          <w:lang w:val="en-US" w:eastAsia="zh-CN" w:bidi="ar-SA"/>
        </w:rPr>
        <w:fldChar w:fldCharType="separate"/>
      </w:r>
      <w:r>
        <w:rPr>
          <w:rFonts w:hint="eastAsia" w:ascii="仿宋_GB2312" w:hAnsi="宋体" w:eastAsia="仿宋_GB2312" w:cs="Times New Roman"/>
          <w:kern w:val="2"/>
          <w:sz w:val="28"/>
          <w:szCs w:val="28"/>
          <w:lang w:val="en-US" w:eastAsia="zh-CN" w:bidi="ar-SA"/>
        </w:rPr>
        <w:t>评估方法</w:t>
      </w:r>
      <w:r>
        <w:rPr>
          <w:rFonts w:hint="eastAsia" w:ascii="仿宋_GB2312" w:hAnsi="宋体" w:eastAsia="仿宋_GB2312" w:cs="Times New Roman"/>
          <w:kern w:val="2"/>
          <w:sz w:val="28"/>
          <w:szCs w:val="28"/>
          <w:lang w:val="en-US" w:eastAsia="zh-CN" w:bidi="ar-SA"/>
        </w:rPr>
        <w:fldChar w:fldCharType="end"/>
      </w:r>
      <w:r>
        <w:rPr>
          <w:rFonts w:hint="eastAsia" w:ascii="仿宋_GB2312" w:hAnsi="宋体" w:eastAsia="仿宋_GB2312" w:cs="Times New Roman"/>
          <w:kern w:val="2"/>
          <w:sz w:val="28"/>
          <w:szCs w:val="28"/>
          <w:lang w:val="en-US" w:eastAsia="zh-CN" w:bidi="ar-SA"/>
        </w:rPr>
        <w:t>。首先选取同一区域的三个交易实例，与待估对象通过区域因素、个别因素的比较，并进行价格增减调整，估算被评估对象的市场价格。</w:t>
      </w:r>
    </w:p>
    <w:p>
      <w:pPr>
        <w:numPr>
          <w:ilvl w:val="0"/>
          <w:numId w:val="0"/>
        </w:numPr>
        <w:ind w:firstLine="560"/>
        <w:rPr>
          <w:rFonts w:hint="eastAsia"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评估值（比准价格）=可比实例价格×交易情况修正×市场状况调整×房地产状况调整</w:t>
      </w:r>
      <w:r>
        <w:rPr>
          <w:rFonts w:hint="eastAsia" w:ascii="仿宋_GB2312" w:hAnsi="宋体" w:eastAsia="仿宋_GB2312" w:cs="Times New Roman"/>
          <w:b/>
          <w:bCs/>
          <w:kern w:val="2"/>
          <w:sz w:val="28"/>
          <w:szCs w:val="28"/>
          <w:highlight w:val="none"/>
          <w:lang w:val="en-US" w:eastAsia="zh-CN" w:bidi="ar-SA"/>
        </w:rPr>
        <w:t xml:space="preserve">    </w:t>
      </w:r>
    </w:p>
    <w:p>
      <w:pPr>
        <w:numPr>
          <w:ilvl w:val="0"/>
          <w:numId w:val="0"/>
        </w:numPr>
        <w:ind w:firstLine="560"/>
        <w:rPr>
          <w:rFonts w:hint="eastAsia" w:ascii="仿宋_GB2312" w:hAnsi="宋体" w:eastAsia="仿宋_GB2312" w:cs="Times New Roman"/>
          <w:b/>
          <w:bCs/>
          <w:kern w:val="2"/>
          <w:sz w:val="28"/>
          <w:szCs w:val="28"/>
          <w:highlight w:val="none"/>
          <w:lang w:val="en-US" w:eastAsia="zh-CN" w:bidi="ar-SA"/>
        </w:rPr>
      </w:pPr>
      <w:r>
        <w:rPr>
          <w:rFonts w:hint="eastAsia" w:ascii="仿宋_GB2312" w:hAnsi="宋体" w:eastAsia="仿宋_GB2312" w:cs="Times New Roman"/>
          <w:b/>
          <w:bCs/>
          <w:kern w:val="2"/>
          <w:sz w:val="28"/>
          <w:szCs w:val="28"/>
          <w:highlight w:val="none"/>
          <w:lang w:val="en-US" w:eastAsia="zh-CN" w:bidi="ar-SA"/>
        </w:rPr>
        <w:t>五、估价过程</w:t>
      </w:r>
    </w:p>
    <w:p>
      <w:p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接受委托后，我们对估价对象进行了实地勘查，随后开展了广泛的市场调查，并采用市场法进行了估价测算，确定估价结果。</w:t>
      </w:r>
    </w:p>
    <w:p>
      <w:pPr>
        <w:numPr>
          <w:ilvl w:val="0"/>
          <w:numId w:val="0"/>
        </w:numPr>
        <w:ind w:firstLine="560"/>
        <w:rPr>
          <w:rFonts w:hint="eastAsia"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1、比较实例选择</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针对估价对象的功能和特点，根据替代原则，按用途相同、土地级别相同、价格类型相同等特点，对与估价对象同一区域内的类似住宅房屋价格进行了市场调查和比较分析，按照估价要求，筛选三个可比实例。</w:t>
      </w:r>
    </w:p>
    <w:p>
      <w:pPr>
        <w:numPr>
          <w:ilvl w:val="0"/>
          <w:numId w:val="0"/>
        </w:numPr>
        <w:ind w:firstLine="560"/>
        <w:rPr>
          <w:rFonts w:hint="default"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lang w:val="en-US" w:eastAsia="zh-CN" w:bidi="ar-SA"/>
        </w:rPr>
        <w:t>实例A：迎宾花城小区住宅</w:t>
      </w:r>
      <w:r>
        <w:rPr>
          <w:rFonts w:hint="eastAsia" w:ascii="仿宋_GB2312" w:hAnsi="宋体" w:eastAsia="仿宋_GB2312" w:cs="Times New Roman"/>
          <w:kern w:val="2"/>
          <w:sz w:val="28"/>
          <w:szCs w:val="28"/>
          <w:highlight w:val="none"/>
          <w:lang w:val="en-US" w:eastAsia="zh-CN" w:bidi="ar-SA"/>
        </w:rPr>
        <w:t>，2016年建成，总层数30层，所在层9层，南北朝向，精装，建筑面积130平米，三室二厅二卫，拟交易总价86万，折合单价约6615元/㎡，拟交易日期2021年04月份。</w:t>
      </w:r>
    </w:p>
    <w:p>
      <w:pPr>
        <w:numPr>
          <w:ilvl w:val="0"/>
          <w:numId w:val="0"/>
        </w:numPr>
        <w:ind w:firstLine="560"/>
        <w:rPr>
          <w:rFonts w:hint="default"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实例B：</w:t>
      </w:r>
      <w:r>
        <w:rPr>
          <w:rFonts w:hint="eastAsia" w:ascii="仿宋_GB2312" w:hAnsi="宋体" w:eastAsia="仿宋_GB2312" w:cs="Times New Roman"/>
          <w:kern w:val="2"/>
          <w:sz w:val="28"/>
          <w:szCs w:val="28"/>
          <w:lang w:val="en-US" w:eastAsia="zh-CN" w:bidi="ar-SA"/>
        </w:rPr>
        <w:t>迎宾花城小区住宅</w:t>
      </w:r>
      <w:r>
        <w:rPr>
          <w:rFonts w:hint="eastAsia" w:ascii="仿宋_GB2312" w:hAnsi="宋体" w:eastAsia="仿宋_GB2312" w:cs="Times New Roman"/>
          <w:kern w:val="2"/>
          <w:sz w:val="28"/>
          <w:szCs w:val="28"/>
          <w:highlight w:val="none"/>
          <w:lang w:val="en-US" w:eastAsia="zh-CN" w:bidi="ar-SA"/>
        </w:rPr>
        <w:t>，2015年建成，总层数30层，所在层12层，南北朝向，精装，建筑面积80.5平米，二室二厅二卫，拟交易总价53万，折合单价约6584元/㎡，拟交易日期2021年03月份。</w:t>
      </w:r>
    </w:p>
    <w:p>
      <w:pPr>
        <w:numPr>
          <w:ilvl w:val="0"/>
          <w:numId w:val="0"/>
        </w:numPr>
        <w:ind w:firstLine="560"/>
        <w:rPr>
          <w:rFonts w:hint="default" w:ascii="仿宋_GB2312" w:hAnsi="宋体" w:eastAsia="仿宋_GB2312" w:cs="Times New Roman"/>
          <w:kern w:val="2"/>
          <w:sz w:val="28"/>
          <w:szCs w:val="28"/>
          <w:highlight w:val="none"/>
          <w:lang w:val="en-US" w:eastAsia="zh-CN" w:bidi="ar-SA"/>
        </w:rPr>
      </w:pPr>
      <w:r>
        <w:rPr>
          <w:rFonts w:hint="eastAsia" w:ascii="仿宋_GB2312" w:hAnsi="宋体" w:eastAsia="仿宋_GB2312" w:cs="Times New Roman"/>
          <w:kern w:val="2"/>
          <w:sz w:val="28"/>
          <w:szCs w:val="28"/>
          <w:highlight w:val="none"/>
          <w:lang w:val="en-US" w:eastAsia="zh-CN" w:bidi="ar-SA"/>
        </w:rPr>
        <w:t>实例C：</w:t>
      </w:r>
      <w:r>
        <w:rPr>
          <w:rFonts w:hint="eastAsia" w:ascii="仿宋_GB2312" w:hAnsi="宋体" w:eastAsia="仿宋_GB2312" w:cs="Times New Roman"/>
          <w:kern w:val="2"/>
          <w:sz w:val="28"/>
          <w:szCs w:val="28"/>
          <w:lang w:val="en-US" w:eastAsia="zh-CN" w:bidi="ar-SA"/>
        </w:rPr>
        <w:t>迎宾花城小区住宅</w:t>
      </w:r>
      <w:r>
        <w:rPr>
          <w:rFonts w:hint="eastAsia" w:ascii="仿宋_GB2312" w:hAnsi="宋体" w:eastAsia="仿宋_GB2312" w:cs="Times New Roman"/>
          <w:kern w:val="2"/>
          <w:sz w:val="28"/>
          <w:szCs w:val="28"/>
          <w:highlight w:val="none"/>
          <w:lang w:val="en-US" w:eastAsia="zh-CN" w:bidi="ar-SA"/>
        </w:rPr>
        <w:t>，2014年建成，总层数26层，所在层22层，南北朝向，精装，建筑面积80平米，二室二厅二卫，拟交易总价53万，折合单价约6625元/㎡，拟交易日期2021年04月份。</w:t>
      </w:r>
    </w:p>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2、比较因素条件说明</w:t>
      </w:r>
    </w:p>
    <w:p>
      <w:pPr>
        <w:numPr>
          <w:ilvl w:val="0"/>
          <w:numId w:val="0"/>
        </w:numPr>
        <w:ind w:firstLine="560"/>
        <w:rPr>
          <w:rFonts w:hint="default" w:ascii="仿宋" w:hAnsi="仿宋" w:eastAsia="仿宋" w:cs="仿宋"/>
          <w:sz w:val="30"/>
          <w:szCs w:val="30"/>
          <w:lang w:val="en-US" w:eastAsia="zh-CN"/>
        </w:rPr>
      </w:pPr>
      <w:r>
        <w:rPr>
          <w:rFonts w:hint="eastAsia" w:ascii="仿宋_GB2312" w:hAnsi="宋体" w:eastAsia="仿宋_GB2312" w:cs="Times New Roman"/>
          <w:kern w:val="2"/>
          <w:sz w:val="28"/>
          <w:szCs w:val="28"/>
          <w:lang w:val="en-US" w:eastAsia="zh-CN" w:bidi="ar-SA"/>
        </w:rPr>
        <w:t>估价对象和比较实例的比较因素条件说明见表1。</w:t>
      </w:r>
    </w:p>
    <w:p>
      <w:pPr>
        <w:numPr>
          <w:ilvl w:val="0"/>
          <w:numId w:val="0"/>
        </w:numPr>
        <w:jc w:val="center"/>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比较因素条件说明表1</w:t>
      </w:r>
    </w:p>
    <w:tbl>
      <w:tblPr>
        <w:tblStyle w:val="9"/>
        <w:tblW w:w="95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2054"/>
        <w:gridCol w:w="1446"/>
        <w:gridCol w:w="1567"/>
        <w:gridCol w:w="155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321" w:type="dxa"/>
            <w:gridSpan w:val="2"/>
            <w:vAlign w:val="top"/>
          </w:tcPr>
          <w:p>
            <w:pPr>
              <w:snapToGrid w:val="0"/>
              <w:spacing w:line="24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因素内容/</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估价对象与案例</w:t>
            </w:r>
          </w:p>
        </w:tc>
        <w:tc>
          <w:tcPr>
            <w:tcW w:w="1446"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对象</w:t>
            </w:r>
          </w:p>
        </w:tc>
        <w:tc>
          <w:tcPr>
            <w:tcW w:w="1567"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A </w:t>
            </w:r>
          </w:p>
        </w:tc>
        <w:tc>
          <w:tcPr>
            <w:tcW w:w="1550"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B </w:t>
            </w:r>
          </w:p>
        </w:tc>
        <w:tc>
          <w:tcPr>
            <w:tcW w:w="1633"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atLeast"/>
        </w:trPr>
        <w:tc>
          <w:tcPr>
            <w:tcW w:w="3321" w:type="dxa"/>
            <w:gridSpan w:val="2"/>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座 落</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8"/>
                <w:szCs w:val="28"/>
                <w:vertAlign w:val="baseline"/>
                <w:lang w:val="en-US" w:eastAsia="zh-CN"/>
              </w:rPr>
              <w:t>位 置</w:t>
            </w:r>
          </w:p>
        </w:tc>
        <w:tc>
          <w:tcPr>
            <w:tcW w:w="1446" w:type="dxa"/>
            <w:vAlign w:val="top"/>
          </w:tcPr>
          <w:p>
            <w:pPr>
              <w:numPr>
                <w:ilvl w:val="0"/>
                <w:numId w:val="0"/>
              </w:numPr>
              <w:ind w:left="0" w:leftChars="0" w:firstLine="0" w:firstLineChars="0"/>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迎宾花城</w:t>
            </w:r>
          </w:p>
          <w:p>
            <w:pPr>
              <w:numPr>
                <w:ilvl w:val="0"/>
                <w:numId w:val="0"/>
              </w:numPr>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color w:val="auto"/>
                <w:sz w:val="24"/>
                <w:szCs w:val="24"/>
                <w:lang w:val="en-US" w:eastAsia="zh-CN"/>
              </w:rPr>
              <w:t>2期1幢22层2206室</w:t>
            </w:r>
          </w:p>
        </w:tc>
        <w:tc>
          <w:tcPr>
            <w:tcW w:w="1567" w:type="dxa"/>
            <w:vAlign w:val="top"/>
          </w:tcPr>
          <w:p>
            <w:pPr>
              <w:numPr>
                <w:ilvl w:val="0"/>
                <w:numId w:val="0"/>
              </w:numPr>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color w:val="auto"/>
                <w:sz w:val="28"/>
                <w:szCs w:val="28"/>
                <w:lang w:val="en-US" w:eastAsia="zh-CN"/>
              </w:rPr>
              <w:t>迎宾花城小区</w:t>
            </w:r>
          </w:p>
        </w:tc>
        <w:tc>
          <w:tcPr>
            <w:tcW w:w="1550" w:type="dxa"/>
            <w:vAlign w:val="top"/>
          </w:tcPr>
          <w:p>
            <w:pPr>
              <w:numPr>
                <w:ilvl w:val="0"/>
                <w:numId w:val="0"/>
              </w:numPr>
              <w:ind w:left="0" w:leftChars="0" w:firstLine="0" w:firstLineChars="0"/>
              <w:jc w:val="center"/>
              <w:rPr>
                <w:rFonts w:hint="default" w:ascii="仿宋" w:hAnsi="仿宋" w:eastAsia="仿宋" w:cs="仿宋"/>
                <w:color w:val="auto"/>
                <w:sz w:val="24"/>
                <w:szCs w:val="24"/>
                <w:lang w:val="en-US" w:eastAsia="zh-CN"/>
              </w:rPr>
            </w:pPr>
            <w:r>
              <w:rPr>
                <w:rFonts w:hint="eastAsia" w:ascii="仿宋" w:hAnsi="仿宋" w:eastAsia="仿宋" w:cs="仿宋"/>
                <w:color w:val="auto"/>
                <w:sz w:val="28"/>
                <w:szCs w:val="28"/>
                <w:lang w:val="en-US" w:eastAsia="zh-CN"/>
              </w:rPr>
              <w:t>迎宾花城小区</w:t>
            </w:r>
          </w:p>
        </w:tc>
        <w:tc>
          <w:tcPr>
            <w:tcW w:w="1633" w:type="dxa"/>
            <w:vAlign w:val="top"/>
          </w:tcPr>
          <w:p>
            <w:pPr>
              <w:numPr>
                <w:ilvl w:val="0"/>
                <w:numId w:val="0"/>
              </w:numPr>
              <w:ind w:left="0" w:leftChars="0" w:firstLine="0" w:firstLineChars="0"/>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迎宾花城</w:t>
            </w:r>
          </w:p>
          <w:p>
            <w:pPr>
              <w:numPr>
                <w:ilvl w:val="0"/>
                <w:numId w:val="0"/>
              </w:numPr>
              <w:ind w:left="0" w:leftChars="0" w:firstLine="0" w:firstLineChars="0"/>
              <w:jc w:val="center"/>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楼盘名称</w:t>
            </w:r>
          </w:p>
        </w:tc>
        <w:tc>
          <w:tcPr>
            <w:tcW w:w="1446" w:type="dxa"/>
            <w:vAlign w:val="top"/>
          </w:tcPr>
          <w:p>
            <w:pPr>
              <w:numPr>
                <w:ilvl w:val="0"/>
                <w:numId w:val="0"/>
              </w:numPr>
              <w:ind w:left="0" w:leftChars="0" w:firstLine="0" w:firstLineChars="0"/>
              <w:jc w:val="center"/>
              <w:rPr>
                <w:rFonts w:hint="default" w:ascii="仿宋" w:hAnsi="仿宋" w:eastAsia="仿宋" w:cs="仿宋"/>
                <w:sz w:val="24"/>
                <w:szCs w:val="24"/>
                <w:vertAlign w:val="baseline"/>
                <w:lang w:val="en-US" w:eastAsia="zh-CN"/>
              </w:rPr>
            </w:pPr>
            <w:r>
              <w:rPr>
                <w:rFonts w:hint="eastAsia" w:ascii="仿宋" w:hAnsi="仿宋" w:eastAsia="仿宋" w:cs="仿宋"/>
                <w:color w:val="auto"/>
                <w:sz w:val="28"/>
                <w:szCs w:val="28"/>
                <w:lang w:val="en-US" w:eastAsia="zh-CN"/>
              </w:rPr>
              <w:t>迎宾花城</w:t>
            </w:r>
          </w:p>
        </w:tc>
        <w:tc>
          <w:tcPr>
            <w:tcW w:w="1567" w:type="dxa"/>
            <w:vAlign w:val="top"/>
          </w:tcPr>
          <w:p>
            <w:pPr>
              <w:numPr>
                <w:ilvl w:val="0"/>
                <w:numId w:val="0"/>
              </w:num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color w:val="auto"/>
                <w:sz w:val="28"/>
                <w:szCs w:val="28"/>
                <w:lang w:val="en-US" w:eastAsia="zh-CN"/>
              </w:rPr>
              <w:t>迎宾花城</w:t>
            </w:r>
          </w:p>
        </w:tc>
        <w:tc>
          <w:tcPr>
            <w:tcW w:w="1550" w:type="dxa"/>
            <w:vAlign w:val="top"/>
          </w:tcPr>
          <w:p>
            <w:pPr>
              <w:numPr>
                <w:ilvl w:val="0"/>
                <w:numId w:val="0"/>
              </w:num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color w:val="auto"/>
                <w:sz w:val="28"/>
                <w:szCs w:val="28"/>
                <w:lang w:val="en-US" w:eastAsia="zh-CN"/>
              </w:rPr>
              <w:t>迎宾花城</w:t>
            </w:r>
          </w:p>
        </w:tc>
        <w:tc>
          <w:tcPr>
            <w:tcW w:w="1633" w:type="dxa"/>
            <w:vAlign w:val="top"/>
          </w:tcPr>
          <w:p>
            <w:pPr>
              <w:numPr>
                <w:ilvl w:val="0"/>
                <w:numId w:val="0"/>
              </w:numPr>
              <w:ind w:left="0" w:leftChars="0" w:firstLine="0" w:firstLineChars="0"/>
              <w:jc w:val="center"/>
              <w:rPr>
                <w:rFonts w:hint="eastAsia" w:ascii="仿宋" w:hAnsi="仿宋" w:eastAsia="仿宋" w:cs="仿宋"/>
                <w:sz w:val="24"/>
                <w:szCs w:val="24"/>
                <w:vertAlign w:val="baseline"/>
                <w:lang w:val="en-US" w:eastAsia="zh-CN"/>
              </w:rPr>
            </w:pPr>
            <w:r>
              <w:rPr>
                <w:rFonts w:hint="eastAsia" w:ascii="仿宋" w:hAnsi="仿宋" w:eastAsia="仿宋" w:cs="仿宋"/>
                <w:color w:val="auto"/>
                <w:sz w:val="28"/>
                <w:szCs w:val="28"/>
                <w:lang w:val="en-US" w:eastAsia="zh-CN"/>
              </w:rPr>
              <w:t>迎宾花城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成交单价（元/</w:t>
            </w:r>
            <w:r>
              <w:rPr>
                <w:rFonts w:hint="eastAsia" w:ascii="仿宋" w:hAnsi="仿宋" w:eastAsia="仿宋" w:cs="仿宋"/>
                <w:color w:val="auto"/>
                <w:sz w:val="30"/>
                <w:szCs w:val="30"/>
                <w:lang w:val="en-US" w:eastAsia="zh-CN"/>
              </w:rPr>
              <w:t>M</w:t>
            </w:r>
            <w:r>
              <w:rPr>
                <w:rFonts w:hint="eastAsia" w:ascii="仿宋" w:hAnsi="仿宋" w:eastAsia="仿宋" w:cs="仿宋"/>
                <w:color w:val="auto"/>
                <w:sz w:val="30"/>
                <w:szCs w:val="30"/>
                <w:vertAlign w:val="superscript"/>
                <w:lang w:val="en-US" w:eastAsia="zh-CN"/>
              </w:rPr>
              <w:t>2</w:t>
            </w:r>
            <w:r>
              <w:rPr>
                <w:rFonts w:hint="eastAsia" w:ascii="仿宋" w:hAnsi="仿宋" w:eastAsia="仿宋" w:cs="仿宋"/>
                <w:sz w:val="30"/>
                <w:szCs w:val="30"/>
                <w:vertAlign w:val="baseline"/>
                <w:lang w:val="en-US" w:eastAsia="zh-CN"/>
              </w:rPr>
              <w:t>)</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567" w:type="dxa"/>
            <w:vAlign w:val="top"/>
          </w:tcPr>
          <w:p>
            <w:pPr>
              <w:jc w:val="center"/>
              <w:rPr>
                <w:rFonts w:hint="default"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6615</w:t>
            </w:r>
          </w:p>
        </w:tc>
        <w:tc>
          <w:tcPr>
            <w:tcW w:w="1550" w:type="dxa"/>
            <w:vAlign w:val="top"/>
          </w:tcPr>
          <w:p>
            <w:pPr>
              <w:jc w:val="center"/>
              <w:rPr>
                <w:rFonts w:hint="default"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6584</w:t>
            </w:r>
          </w:p>
        </w:tc>
        <w:tc>
          <w:tcPr>
            <w:tcW w:w="1633" w:type="dxa"/>
            <w:vAlign w:val="top"/>
          </w:tcPr>
          <w:p>
            <w:pPr>
              <w:jc w:val="center"/>
              <w:rPr>
                <w:rFonts w:hint="default"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6625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情况</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交易情况</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类型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二手房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市场</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状况</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交易日期</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2021.05</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202.04</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2021.03</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2021.04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both"/>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区域繁华程度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繁华</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繁华</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繁华</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繁华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交通便捷程度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便捷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公共设施配套</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完备程度</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完善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区域环境景观</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绿地覆盖度</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城市规划</w:t>
            </w:r>
          </w:p>
        </w:tc>
        <w:tc>
          <w:tcPr>
            <w:tcW w:w="1446"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567"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550"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c>
          <w:tcPr>
            <w:tcW w:w="1633"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居住、</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商业区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权益状况说明</w:t>
            </w: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房产类型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商品房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权属清晰情况</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restart"/>
            <w:vAlign w:val="top"/>
          </w:tcPr>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实物</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0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建筑结构</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临街状态</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不临街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28"/>
                <w:szCs w:val="28"/>
                <w:vertAlign w:val="baseline"/>
                <w:lang w:val="en-US" w:eastAsia="zh-CN"/>
              </w:rPr>
              <w:t>所在层/总层数</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22/30</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9/30</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12/30</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22/26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面积大小</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适中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布局户型</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三室二厅</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三室二厅</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二室二厅</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二室二厅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highlight w:val="none"/>
                <w:vertAlign w:val="baseline"/>
                <w:lang w:val="en-US" w:eastAsia="zh-CN"/>
              </w:rPr>
            </w:pPr>
            <w:r>
              <w:rPr>
                <w:rFonts w:hint="eastAsia" w:ascii="仿宋" w:hAnsi="仿宋" w:eastAsia="仿宋" w:cs="仿宋"/>
                <w:sz w:val="30"/>
                <w:szCs w:val="30"/>
                <w:highlight w:val="none"/>
                <w:vertAlign w:val="baseline"/>
                <w:lang w:val="en-US" w:eastAsia="zh-CN"/>
              </w:rPr>
              <w:t>装修情况</w:t>
            </w:r>
          </w:p>
        </w:tc>
        <w:tc>
          <w:tcPr>
            <w:tcW w:w="1446" w:type="dxa"/>
            <w:vAlign w:val="top"/>
          </w:tcPr>
          <w:p>
            <w:pPr>
              <w:jc w:val="center"/>
              <w:rPr>
                <w:rFonts w:hint="default" w:ascii="仿宋" w:hAnsi="仿宋" w:eastAsia="仿宋" w:cs="仿宋"/>
                <w:color w:val="000000" w:themeColor="text1"/>
                <w:sz w:val="30"/>
                <w:szCs w:val="30"/>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30"/>
                <w:szCs w:val="30"/>
                <w:highlight w:val="none"/>
                <w:vertAlign w:val="baseline"/>
                <w:lang w:val="en-US" w:eastAsia="zh-CN"/>
                <w14:textFill>
                  <w14:solidFill>
                    <w14:schemeClr w14:val="tx1"/>
                  </w14:solidFill>
                </w14:textFill>
              </w:rPr>
              <w:t>普通装修</w:t>
            </w:r>
          </w:p>
        </w:tc>
        <w:tc>
          <w:tcPr>
            <w:tcW w:w="1567" w:type="dxa"/>
            <w:vAlign w:val="top"/>
          </w:tcPr>
          <w:p>
            <w:pPr>
              <w:jc w:val="center"/>
              <w:rPr>
                <w:rFonts w:hint="eastAsia" w:ascii="仿宋" w:hAnsi="仿宋" w:eastAsia="仿宋" w:cs="仿宋"/>
                <w:color w:val="000000" w:themeColor="text1"/>
                <w:sz w:val="30"/>
                <w:szCs w:val="30"/>
                <w:highlight w:val="none"/>
                <w:vertAlign w:val="baseline"/>
                <w:lang w:val="en-US" w:eastAsia="zh-CN"/>
                <w14:textFill>
                  <w14:solidFill>
                    <w14:schemeClr w14:val="tx1"/>
                  </w14:solidFill>
                </w14:textFill>
              </w:rPr>
            </w:pPr>
            <w:r>
              <w:rPr>
                <w:rFonts w:hint="eastAsia" w:ascii="仿宋" w:hAnsi="仿宋" w:eastAsia="仿宋" w:cs="仿宋"/>
                <w:color w:val="000000" w:themeColor="text1"/>
                <w:sz w:val="30"/>
                <w:szCs w:val="30"/>
                <w:highlight w:val="none"/>
                <w:vertAlign w:val="baseline"/>
                <w:lang w:val="en-US" w:eastAsia="zh-CN"/>
                <w14:textFill>
                  <w14:solidFill>
                    <w14:schemeClr w14:val="tx1"/>
                  </w14:solidFill>
                </w14:textFill>
              </w:rPr>
              <w:t>精装修</w:t>
            </w:r>
          </w:p>
        </w:tc>
        <w:tc>
          <w:tcPr>
            <w:tcW w:w="1550" w:type="dxa"/>
            <w:vAlign w:val="top"/>
          </w:tcPr>
          <w:p>
            <w:pPr>
              <w:jc w:val="center"/>
              <w:rPr>
                <w:rFonts w:hint="default" w:ascii="仿宋" w:hAnsi="仿宋" w:eastAsia="仿宋" w:cs="仿宋"/>
                <w:color w:val="000000" w:themeColor="text1"/>
                <w:sz w:val="30"/>
                <w:szCs w:val="30"/>
                <w:vertAlign w:val="baseline"/>
                <w:lang w:val="en-US" w:eastAsia="zh-CN"/>
                <w14:textFill>
                  <w14:solidFill>
                    <w14:schemeClr w14:val="tx1"/>
                  </w14:solidFill>
                </w14:textFill>
              </w:rPr>
            </w:pPr>
            <w:r>
              <w:rPr>
                <w:rFonts w:hint="eastAsia" w:ascii="仿宋" w:hAnsi="仿宋" w:eastAsia="仿宋" w:cs="仿宋"/>
                <w:color w:val="000000" w:themeColor="text1"/>
                <w:sz w:val="30"/>
                <w:szCs w:val="30"/>
                <w:highlight w:val="none"/>
                <w:vertAlign w:val="baseline"/>
                <w:lang w:val="en-US" w:eastAsia="zh-CN"/>
                <w14:textFill>
                  <w14:solidFill>
                    <w14:schemeClr w14:val="tx1"/>
                  </w14:solidFill>
                </w14:textFill>
              </w:rPr>
              <w:t>精装修</w:t>
            </w:r>
          </w:p>
        </w:tc>
        <w:tc>
          <w:tcPr>
            <w:tcW w:w="1633" w:type="dxa"/>
            <w:vAlign w:val="top"/>
          </w:tcPr>
          <w:p>
            <w:pPr>
              <w:jc w:val="center"/>
              <w:rPr>
                <w:rFonts w:hint="eastAsia" w:ascii="仿宋" w:hAnsi="仿宋" w:eastAsia="仿宋" w:cs="仿宋"/>
                <w:color w:val="000000" w:themeColor="text1"/>
                <w:sz w:val="30"/>
                <w:szCs w:val="30"/>
                <w:vertAlign w:val="baseline"/>
                <w:lang w:val="en-US" w:eastAsia="zh-CN"/>
                <w14:textFill>
                  <w14:solidFill>
                    <w14:schemeClr w14:val="tx1"/>
                  </w14:solidFill>
                </w14:textFill>
              </w:rPr>
            </w:pPr>
            <w:r>
              <w:rPr>
                <w:rFonts w:hint="eastAsia" w:ascii="仿宋" w:hAnsi="仿宋" w:eastAsia="仿宋" w:cs="仿宋"/>
                <w:color w:val="000000" w:themeColor="text1"/>
                <w:sz w:val="30"/>
                <w:szCs w:val="30"/>
                <w:highlight w:val="none"/>
                <w:vertAlign w:val="baseline"/>
                <w:lang w:val="en-US" w:eastAsia="zh-CN"/>
                <w14:textFill>
                  <w14:solidFill>
                    <w14:schemeClr w14:val="tx1"/>
                  </w14:solidFill>
                </w14:textFill>
              </w:rPr>
              <w:t>精装修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朝向及采光</w:t>
            </w:r>
            <w:r>
              <w:rPr>
                <w:rFonts w:hint="eastAsia" w:ascii="仿宋" w:hAnsi="仿宋" w:eastAsia="仿宋" w:cs="仿宋"/>
                <w:sz w:val="30"/>
                <w:szCs w:val="30"/>
                <w:vertAlign w:val="baseline"/>
                <w:lang w:val="en-US" w:eastAsia="zh-CN"/>
              </w:rPr>
              <w:t>通风</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南北，好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层高</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标准层高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新旧程度</w:t>
            </w:r>
          </w:p>
        </w:tc>
        <w:tc>
          <w:tcPr>
            <w:tcW w:w="14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90%</w:t>
            </w:r>
          </w:p>
        </w:tc>
        <w:tc>
          <w:tcPr>
            <w:tcW w:w="15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91.7%</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90%</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物业管理</w:t>
            </w:r>
          </w:p>
        </w:tc>
        <w:tc>
          <w:tcPr>
            <w:tcW w:w="14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较差</w:t>
            </w:r>
          </w:p>
        </w:tc>
        <w:tc>
          <w:tcPr>
            <w:tcW w:w="15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较差</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较差</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67" w:type="dxa"/>
            <w:vMerge w:val="continue"/>
            <w:vAlign w:val="top"/>
          </w:tcPr>
          <w:p>
            <w:pPr>
              <w:jc w:val="center"/>
              <w:rPr>
                <w:rFonts w:hint="eastAsia" w:ascii="仿宋" w:hAnsi="仿宋" w:eastAsia="仿宋" w:cs="仿宋"/>
                <w:sz w:val="30"/>
                <w:szCs w:val="30"/>
                <w:vertAlign w:val="baseline"/>
                <w:lang w:val="en-US" w:eastAsia="zh-CN"/>
              </w:rPr>
            </w:pPr>
          </w:p>
        </w:tc>
        <w:tc>
          <w:tcPr>
            <w:tcW w:w="2054" w:type="dxa"/>
            <w:vAlign w:val="top"/>
          </w:tcPr>
          <w:p>
            <w:pPr>
              <w:ind w:firstLine="300" w:firstLineChars="100"/>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噪 音</w:t>
            </w:r>
          </w:p>
        </w:tc>
        <w:tc>
          <w:tcPr>
            <w:tcW w:w="14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lang w:val="en-US" w:eastAsia="zh-CN"/>
              </w:rPr>
              <w:t>安静</w:t>
            </w:r>
          </w:p>
        </w:tc>
        <w:tc>
          <w:tcPr>
            <w:tcW w:w="15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lang w:val="en-US" w:eastAsia="zh-CN"/>
              </w:rPr>
              <w:t>安静</w:t>
            </w:r>
          </w:p>
        </w:tc>
        <w:tc>
          <w:tcPr>
            <w:tcW w:w="1550"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lang w:val="en-US" w:eastAsia="zh-CN"/>
              </w:rPr>
              <w:t>安静</w:t>
            </w:r>
          </w:p>
        </w:tc>
        <w:tc>
          <w:tcPr>
            <w:tcW w:w="1633"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lang w:val="en-US" w:eastAsia="zh-CN"/>
              </w:rPr>
              <w:t>安静</w:t>
            </w:r>
          </w:p>
        </w:tc>
      </w:tr>
    </w:tbl>
    <w:p>
      <w:pPr>
        <w:numPr>
          <w:ilvl w:val="0"/>
          <w:numId w:val="0"/>
        </w:numPr>
        <w:ind w:firstLine="56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3、编制比较因素修正指数表</w:t>
      </w:r>
    </w:p>
    <w:p>
      <w:pPr>
        <w:numPr>
          <w:ilvl w:val="0"/>
          <w:numId w:val="0"/>
        </w:numPr>
        <w:ind w:firstLine="560"/>
        <w:rPr>
          <w:rFonts w:hint="default" w:ascii="仿宋" w:hAnsi="仿宋" w:eastAsia="仿宋" w:cs="仿宋"/>
          <w:sz w:val="30"/>
          <w:szCs w:val="30"/>
          <w:lang w:val="en-US" w:eastAsia="zh-CN"/>
        </w:rPr>
      </w:pPr>
      <w:r>
        <w:rPr>
          <w:rFonts w:hint="eastAsia" w:ascii="仿宋_GB2312" w:hAnsi="宋体" w:eastAsia="仿宋_GB2312" w:cs="Times New Roman"/>
          <w:kern w:val="2"/>
          <w:sz w:val="28"/>
          <w:szCs w:val="28"/>
          <w:lang w:val="en-US" w:eastAsia="zh-CN" w:bidi="ar-SA"/>
        </w:rPr>
        <w:t>根据估价对象与比较实例各种因素具体情况，编制比较因素修正指数表，见表2。</w:t>
      </w:r>
    </w:p>
    <w:p>
      <w:pPr>
        <w:jc w:val="center"/>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lang w:eastAsia="zh-CN"/>
        </w:rPr>
        <w:t>比较因素条件指数表</w:t>
      </w:r>
      <w:r>
        <w:rPr>
          <w:rFonts w:hint="eastAsia" w:ascii="仿宋" w:hAnsi="仿宋" w:eastAsia="仿宋" w:cs="仿宋"/>
          <w:sz w:val="30"/>
          <w:szCs w:val="30"/>
          <w:highlight w:val="none"/>
          <w:lang w:val="en-US" w:eastAsia="zh-CN"/>
        </w:rPr>
        <w:t>2</w:t>
      </w:r>
    </w:p>
    <w:tbl>
      <w:tblPr>
        <w:tblStyle w:val="9"/>
        <w:tblW w:w="95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54"/>
        <w:gridCol w:w="1146"/>
        <w:gridCol w:w="1867"/>
        <w:gridCol w:w="1550"/>
        <w:gridCol w:w="1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3321" w:type="dxa"/>
            <w:gridSpan w:val="2"/>
            <w:vAlign w:val="top"/>
          </w:tcPr>
          <w:p>
            <w:pPr>
              <w:snapToGrid w:val="0"/>
              <w:spacing w:line="240" w:lineRule="auto"/>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因素内容/</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估价对象与案例</w:t>
            </w:r>
          </w:p>
        </w:tc>
        <w:tc>
          <w:tcPr>
            <w:tcW w:w="1146"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估价</w:t>
            </w:r>
          </w:p>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对象</w:t>
            </w:r>
          </w:p>
        </w:tc>
        <w:tc>
          <w:tcPr>
            <w:tcW w:w="1867"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A </w:t>
            </w:r>
          </w:p>
        </w:tc>
        <w:tc>
          <w:tcPr>
            <w:tcW w:w="1550"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 xml:space="preserve">可比案例B </w:t>
            </w:r>
          </w:p>
        </w:tc>
        <w:tc>
          <w:tcPr>
            <w:tcW w:w="1633" w:type="dxa"/>
            <w:vAlign w:val="top"/>
          </w:tcPr>
          <w:p>
            <w:pPr>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可比案例</w:t>
            </w:r>
          </w:p>
          <w:p>
            <w:pPr>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成交单价（元/平米）</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w:t>
            </w:r>
          </w:p>
        </w:tc>
        <w:tc>
          <w:tcPr>
            <w:tcW w:w="1867"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highlight w:val="none"/>
                <w:vertAlign w:val="baseline"/>
                <w:lang w:val="en-US" w:eastAsia="zh-CN"/>
              </w:rPr>
              <w:t>6615</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highlight w:val="none"/>
                <w:vertAlign w:val="baseline"/>
                <w:lang w:val="en-US" w:eastAsia="zh-CN"/>
              </w:rPr>
              <w:t>6584</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highlight w:val="none"/>
                <w:vertAlign w:val="baseline"/>
                <w:lang w:val="en-US" w:eastAsia="zh-CN"/>
              </w:rPr>
              <w:t>6625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情况</w:t>
            </w: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交易情况</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类型</w:t>
            </w:r>
          </w:p>
        </w:tc>
        <w:tc>
          <w:tcPr>
            <w:tcW w:w="1146"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市场状况</w:t>
            </w:r>
          </w:p>
        </w:tc>
        <w:tc>
          <w:tcPr>
            <w:tcW w:w="1146"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p>
          <w:p>
            <w:pPr>
              <w:ind w:firstLine="300" w:firstLineChars="1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区域繁华程度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交通便捷程度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公共设施配套</w:t>
            </w: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24"/>
                <w:szCs w:val="24"/>
                <w:vertAlign w:val="baseline"/>
                <w:lang w:val="en-US" w:eastAsia="zh-CN"/>
              </w:rPr>
              <w:t>完备程度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区域环境景观</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绿地覆盖度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城市规划</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小计</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67" w:type="dxa"/>
            <w:vMerge w:val="restart"/>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权益状况说明</w:t>
            </w: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房产类型</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权属清晰情况</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30"/>
                <w:szCs w:val="30"/>
                <w:vertAlign w:val="baseline"/>
                <w:lang w:val="en-US" w:eastAsia="zh-CN"/>
              </w:rPr>
            </w:pPr>
          </w:p>
          <w:p>
            <w:pPr>
              <w:jc w:val="both"/>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实物</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状况</w:t>
            </w:r>
          </w:p>
          <w:p>
            <w:pPr>
              <w:jc w:val="center"/>
              <w:rPr>
                <w:rFonts w:hint="eastAsia" w:ascii="仿宋" w:hAnsi="仿宋" w:eastAsia="仿宋" w:cs="仿宋"/>
                <w:sz w:val="30"/>
                <w:szCs w:val="30"/>
                <w:vertAlign w:val="baseline"/>
                <w:lang w:val="en-US" w:eastAsia="zh-CN"/>
              </w:rPr>
            </w:pPr>
          </w:p>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说明</w:t>
            </w:r>
          </w:p>
        </w:tc>
        <w:tc>
          <w:tcPr>
            <w:tcW w:w="2154" w:type="dxa"/>
            <w:vAlign w:val="top"/>
          </w:tcPr>
          <w:p>
            <w:pPr>
              <w:jc w:val="center"/>
              <w:rPr>
                <w:rFonts w:hint="default"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建筑结构</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临街状态</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所在楼层</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97</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98</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面积大小</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布局户型</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装修情况</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103</w:t>
            </w:r>
          </w:p>
        </w:tc>
        <w:tc>
          <w:tcPr>
            <w:tcW w:w="1550"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103</w:t>
            </w:r>
          </w:p>
        </w:tc>
        <w:tc>
          <w:tcPr>
            <w:tcW w:w="1633" w:type="dxa"/>
            <w:vAlign w:val="top"/>
          </w:tcPr>
          <w:p>
            <w:pPr>
              <w:jc w:val="center"/>
              <w:rPr>
                <w:rFonts w:hint="default" w:ascii="仿宋" w:hAnsi="仿宋" w:eastAsia="仿宋" w:cs="仿宋"/>
                <w:color w:val="auto"/>
                <w:sz w:val="30"/>
                <w:szCs w:val="30"/>
                <w:highlight w:val="none"/>
                <w:vertAlign w:val="baseline"/>
                <w:lang w:val="en-US" w:eastAsia="zh-CN"/>
              </w:rPr>
            </w:pPr>
            <w:r>
              <w:rPr>
                <w:rFonts w:hint="eastAsia" w:ascii="仿宋" w:hAnsi="仿宋" w:eastAsia="仿宋" w:cs="仿宋"/>
                <w:color w:val="auto"/>
                <w:sz w:val="30"/>
                <w:szCs w:val="30"/>
                <w:highlight w:val="none"/>
                <w:vertAlign w:val="baseline"/>
                <w:lang w:val="en-US" w:eastAsia="zh-CN"/>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朝向</w:t>
            </w:r>
            <w:r>
              <w:rPr>
                <w:rFonts w:hint="eastAsia" w:ascii="仿宋" w:hAnsi="仿宋" w:eastAsia="仿宋" w:cs="仿宋"/>
                <w:sz w:val="24"/>
                <w:szCs w:val="24"/>
                <w:vertAlign w:val="baseline"/>
                <w:lang w:val="en-US" w:eastAsia="zh-CN"/>
              </w:rPr>
              <w:t>及采光</w:t>
            </w:r>
            <w:r>
              <w:rPr>
                <w:rFonts w:hint="eastAsia" w:ascii="仿宋" w:hAnsi="仿宋" w:eastAsia="仿宋" w:cs="仿宋"/>
                <w:sz w:val="30"/>
                <w:szCs w:val="30"/>
                <w:vertAlign w:val="baseline"/>
                <w:lang w:val="en-US" w:eastAsia="zh-CN"/>
              </w:rPr>
              <w:t>通风</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层高</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jc w:val="center"/>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新旧程度</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300" w:firstLineChars="1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物业管理</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600" w:firstLineChars="2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噪音</w:t>
            </w:r>
          </w:p>
        </w:tc>
        <w:tc>
          <w:tcPr>
            <w:tcW w:w="1146"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633" w:type="dxa"/>
            <w:vAlign w:val="top"/>
          </w:tcPr>
          <w:p>
            <w:pPr>
              <w:jc w:val="center"/>
              <w:rPr>
                <w:rFonts w:hint="eastAsia"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30"/>
                <w:szCs w:val="30"/>
                <w:vertAlign w:val="baseline"/>
                <w:lang w:val="en-US" w:eastAsia="zh-CN"/>
              </w:rPr>
            </w:pPr>
          </w:p>
        </w:tc>
        <w:tc>
          <w:tcPr>
            <w:tcW w:w="2154" w:type="dxa"/>
            <w:vAlign w:val="top"/>
          </w:tcPr>
          <w:p>
            <w:pPr>
              <w:ind w:firstLine="600" w:firstLineChars="200"/>
              <w:jc w:val="both"/>
              <w:rPr>
                <w:rFonts w:hint="eastAsia" w:ascii="仿宋" w:hAnsi="仿宋" w:eastAsia="仿宋" w:cs="仿宋"/>
                <w:sz w:val="30"/>
                <w:szCs w:val="30"/>
                <w:vertAlign w:val="baseline"/>
                <w:lang w:val="en-US" w:eastAsia="zh-CN"/>
              </w:rPr>
            </w:pPr>
            <w:r>
              <w:rPr>
                <w:rFonts w:hint="eastAsia" w:ascii="仿宋" w:hAnsi="仿宋" w:eastAsia="仿宋" w:cs="仿宋"/>
                <w:sz w:val="30"/>
                <w:szCs w:val="30"/>
                <w:vertAlign w:val="baseline"/>
                <w:lang w:val="en-US" w:eastAsia="zh-CN"/>
              </w:rPr>
              <w:t>小计</w:t>
            </w:r>
          </w:p>
        </w:tc>
        <w:tc>
          <w:tcPr>
            <w:tcW w:w="1146"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867"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100</w:t>
            </w:r>
          </w:p>
        </w:tc>
        <w:tc>
          <w:tcPr>
            <w:tcW w:w="1550"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101</w:t>
            </w:r>
          </w:p>
        </w:tc>
        <w:tc>
          <w:tcPr>
            <w:tcW w:w="1633" w:type="dxa"/>
            <w:vAlign w:val="top"/>
          </w:tcPr>
          <w:p>
            <w:pPr>
              <w:jc w:val="center"/>
              <w:rPr>
                <w:rFonts w:hint="default" w:ascii="仿宋" w:hAnsi="仿宋" w:eastAsia="仿宋" w:cs="仿宋"/>
                <w:color w:val="auto"/>
                <w:sz w:val="30"/>
                <w:szCs w:val="30"/>
                <w:vertAlign w:val="baseline"/>
                <w:lang w:val="en-US" w:eastAsia="zh-CN"/>
              </w:rPr>
            </w:pPr>
            <w:r>
              <w:rPr>
                <w:rFonts w:hint="eastAsia" w:ascii="仿宋" w:hAnsi="仿宋" w:eastAsia="仿宋" w:cs="仿宋"/>
                <w:color w:val="auto"/>
                <w:sz w:val="30"/>
                <w:szCs w:val="30"/>
                <w:vertAlign w:val="baseline"/>
                <w:lang w:val="en-US" w:eastAsia="zh-CN"/>
              </w:rPr>
              <w:t>103</w:t>
            </w:r>
          </w:p>
        </w:tc>
      </w:tr>
    </w:tbl>
    <w:p>
      <w:pPr>
        <w:numPr>
          <w:ilvl w:val="0"/>
          <w:numId w:val="0"/>
        </w:num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4、比较因素修正系数确定</w:t>
      </w:r>
    </w:p>
    <w:p>
      <w:pPr>
        <w:numPr>
          <w:ilvl w:val="0"/>
          <w:numId w:val="0"/>
        </w:numPr>
        <w:ind w:firstLine="560"/>
        <w:rPr>
          <w:rFonts w:hint="default"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在因素条件指数表的基础上，将估价对象的因素条件指数与可比实例的因素条件指数进行比较，得到比较因素修正系数，见表3。</w:t>
      </w:r>
    </w:p>
    <w:p>
      <w:pPr>
        <w:jc w:val="center"/>
        <w:rPr>
          <w:rFonts w:hint="eastAsia" w:ascii="仿宋" w:hAnsi="仿宋" w:eastAsia="仿宋" w:cs="仿宋"/>
          <w:sz w:val="30"/>
          <w:szCs w:val="30"/>
          <w:lang w:eastAsia="zh-CN"/>
        </w:rPr>
      </w:pPr>
    </w:p>
    <w:p>
      <w:pPr>
        <w:jc w:val="center"/>
        <w:rPr>
          <w:rFonts w:hint="default" w:ascii="仿宋" w:hAnsi="仿宋" w:eastAsia="仿宋" w:cs="仿宋"/>
          <w:sz w:val="30"/>
          <w:szCs w:val="30"/>
          <w:lang w:val="en-US" w:eastAsia="zh-CN"/>
        </w:rPr>
      </w:pPr>
      <w:r>
        <w:rPr>
          <w:rFonts w:hint="eastAsia" w:ascii="仿宋" w:hAnsi="仿宋" w:eastAsia="仿宋" w:cs="仿宋"/>
          <w:sz w:val="30"/>
          <w:szCs w:val="30"/>
          <w:lang w:eastAsia="zh-CN"/>
        </w:rPr>
        <w:t>比较因素修正系数表</w:t>
      </w:r>
      <w:r>
        <w:rPr>
          <w:rFonts w:hint="eastAsia" w:ascii="仿宋" w:hAnsi="仿宋" w:eastAsia="仿宋" w:cs="仿宋"/>
          <w:sz w:val="30"/>
          <w:szCs w:val="30"/>
          <w:lang w:val="en-US" w:eastAsia="zh-CN"/>
        </w:rPr>
        <w:t>3</w:t>
      </w:r>
    </w:p>
    <w:tbl>
      <w:tblPr>
        <w:tblStyle w:val="9"/>
        <w:tblW w:w="9717"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7"/>
        <w:gridCol w:w="2154"/>
        <w:gridCol w:w="1146"/>
        <w:gridCol w:w="1867"/>
        <w:gridCol w:w="1550"/>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7" w:hRule="atLeast"/>
        </w:trPr>
        <w:tc>
          <w:tcPr>
            <w:tcW w:w="3321" w:type="dxa"/>
            <w:gridSpan w:val="2"/>
            <w:vAlign w:val="top"/>
          </w:tcPr>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因素</w:t>
            </w:r>
          </w:p>
          <w:p>
            <w:pPr>
              <w:snapToGrid w:val="0"/>
              <w:spacing w:line="240" w:lineRule="auto"/>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内容</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估价对象与案例</w:t>
            </w:r>
          </w:p>
        </w:tc>
        <w:tc>
          <w:tcPr>
            <w:tcW w:w="1146"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估价</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对象</w:t>
            </w:r>
          </w:p>
        </w:tc>
        <w:tc>
          <w:tcPr>
            <w:tcW w:w="1867" w:type="dxa"/>
            <w:vAlign w:val="top"/>
          </w:tcPr>
          <w:p>
            <w:pPr>
              <w:spacing w:line="720" w:lineRule="auto"/>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可比案例A</w:t>
            </w:r>
          </w:p>
        </w:tc>
        <w:tc>
          <w:tcPr>
            <w:tcW w:w="1550" w:type="dxa"/>
            <w:vAlign w:val="top"/>
          </w:tcPr>
          <w:p>
            <w:pPr>
              <w:spacing w:line="720" w:lineRule="auto"/>
              <w:jc w:val="both"/>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可比案例B</w:t>
            </w:r>
          </w:p>
        </w:tc>
        <w:tc>
          <w:tcPr>
            <w:tcW w:w="1833" w:type="dxa"/>
            <w:vAlign w:val="top"/>
          </w:tcPr>
          <w:p>
            <w:pPr>
              <w:spacing w:line="720" w:lineRule="auto"/>
              <w:jc w:val="both"/>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可比案例C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default"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成交单价（元/平米）</w:t>
            </w:r>
          </w:p>
        </w:tc>
        <w:tc>
          <w:tcPr>
            <w:tcW w:w="1146"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w:t>
            </w:r>
          </w:p>
        </w:tc>
        <w:tc>
          <w:tcPr>
            <w:tcW w:w="1867"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sz w:val="24"/>
                <w:szCs w:val="24"/>
                <w:highlight w:val="none"/>
                <w:vertAlign w:val="baseline"/>
                <w:lang w:val="en-US" w:eastAsia="zh-CN"/>
              </w:rPr>
              <w:t>6615</w:t>
            </w:r>
          </w:p>
        </w:tc>
        <w:tc>
          <w:tcPr>
            <w:tcW w:w="1550"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sz w:val="24"/>
                <w:szCs w:val="24"/>
                <w:highlight w:val="none"/>
                <w:vertAlign w:val="baseline"/>
                <w:lang w:val="en-US" w:eastAsia="zh-CN"/>
              </w:rPr>
              <w:t>6584</w:t>
            </w:r>
          </w:p>
        </w:tc>
        <w:tc>
          <w:tcPr>
            <w:tcW w:w="1833"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sz w:val="24"/>
                <w:szCs w:val="24"/>
                <w:highlight w:val="none"/>
                <w:vertAlign w:val="baseline"/>
                <w:lang w:val="en-US" w:eastAsia="zh-CN"/>
              </w:rPr>
              <w:t>6625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restart"/>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交易</w:t>
            </w:r>
          </w:p>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情况</w:t>
            </w:r>
          </w:p>
        </w:tc>
        <w:tc>
          <w:tcPr>
            <w:tcW w:w="21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交易情况</w:t>
            </w:r>
          </w:p>
        </w:tc>
        <w:tc>
          <w:tcPr>
            <w:tcW w:w="1146"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550"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33"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7" w:type="dxa"/>
            <w:vMerge w:val="continue"/>
            <w:vAlign w:val="top"/>
          </w:tcPr>
          <w:p>
            <w:pPr>
              <w:jc w:val="center"/>
              <w:rPr>
                <w:rFonts w:hint="eastAsia" w:ascii="仿宋" w:hAnsi="仿宋" w:eastAsia="仿宋" w:cs="仿宋"/>
                <w:sz w:val="24"/>
                <w:szCs w:val="24"/>
                <w:vertAlign w:val="baseline"/>
                <w:lang w:val="en-US" w:eastAsia="zh-CN"/>
              </w:rPr>
            </w:pPr>
          </w:p>
        </w:tc>
        <w:tc>
          <w:tcPr>
            <w:tcW w:w="2154" w:type="dxa"/>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类型</w:t>
            </w:r>
          </w:p>
        </w:tc>
        <w:tc>
          <w:tcPr>
            <w:tcW w:w="1146"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550"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33"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市场状况调整系数</w:t>
            </w:r>
          </w:p>
        </w:tc>
        <w:tc>
          <w:tcPr>
            <w:tcW w:w="1146"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550"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33"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t>区域状况调整系数</w:t>
            </w:r>
          </w:p>
        </w:tc>
        <w:tc>
          <w:tcPr>
            <w:tcW w:w="1146" w:type="dxa"/>
            <w:vAlign w:val="top"/>
          </w:tcPr>
          <w:p>
            <w:pPr>
              <w:jc w:val="center"/>
              <w:rPr>
                <w:rFonts w:hint="eastAsia"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550"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33" w:type="dxa"/>
            <w:vAlign w:val="top"/>
          </w:tcPr>
          <w:p>
            <w:pPr>
              <w:jc w:val="center"/>
              <w:rPr>
                <w:rFonts w:hint="default" w:ascii="仿宋" w:hAnsi="仿宋" w:eastAsia="仿宋" w:cs="仿宋"/>
                <w:color w:val="auto"/>
                <w:sz w:val="24"/>
                <w:szCs w:val="24"/>
                <w:vertAlign w:val="baseline"/>
                <w:lang w:val="en-US" w:eastAsia="zh-CN"/>
              </w:rPr>
            </w:pPr>
            <w:r>
              <w:rPr>
                <w:rFonts w:hint="eastAsia" w:ascii="仿宋" w:hAnsi="仿宋" w:eastAsia="仿宋" w:cs="仿宋"/>
                <w:color w:val="auto"/>
                <w:sz w:val="24"/>
                <w:szCs w:val="24"/>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权益状况调整系数</w:t>
            </w:r>
          </w:p>
        </w:tc>
        <w:tc>
          <w:tcPr>
            <w:tcW w:w="1146" w:type="dxa"/>
            <w:vAlign w:val="top"/>
          </w:tcPr>
          <w:p>
            <w:pPr>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100</w:t>
            </w:r>
          </w:p>
        </w:tc>
        <w:tc>
          <w:tcPr>
            <w:tcW w:w="1867" w:type="dxa"/>
            <w:vAlign w:val="top"/>
          </w:tcPr>
          <w:p>
            <w:pPr>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100</w:t>
            </w:r>
          </w:p>
        </w:tc>
        <w:tc>
          <w:tcPr>
            <w:tcW w:w="1550" w:type="dxa"/>
            <w:vAlign w:val="top"/>
          </w:tcPr>
          <w:p>
            <w:pPr>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100</w:t>
            </w:r>
          </w:p>
        </w:tc>
        <w:tc>
          <w:tcPr>
            <w:tcW w:w="1833" w:type="dxa"/>
            <w:vAlign w:val="top"/>
          </w:tcPr>
          <w:p>
            <w:pPr>
              <w:jc w:val="center"/>
              <w:rPr>
                <w:rFonts w:hint="eastAsia"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实物状况调整系数</w:t>
            </w:r>
          </w:p>
        </w:tc>
        <w:tc>
          <w:tcPr>
            <w:tcW w:w="1146"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867"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vertAlign w:val="baseline"/>
                <w:lang w:val="en-US" w:eastAsia="zh-CN"/>
              </w:rPr>
              <w:t>100</w:t>
            </w:r>
          </w:p>
        </w:tc>
        <w:tc>
          <w:tcPr>
            <w:tcW w:w="1550"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vertAlign w:val="baseline"/>
                <w:lang w:val="en-US" w:eastAsia="zh-CN"/>
              </w:rPr>
              <w:t>101</w:t>
            </w:r>
          </w:p>
        </w:tc>
        <w:tc>
          <w:tcPr>
            <w:tcW w:w="1833"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vertAlign w:val="baseline"/>
                <w:lang w:val="en-US" w:eastAsia="zh-CN"/>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21" w:type="dxa"/>
            <w:gridSpan w:val="2"/>
            <w:vAlign w:val="top"/>
          </w:tcPr>
          <w:p>
            <w:pPr>
              <w:jc w:val="center"/>
              <w:rPr>
                <w:rFonts w:hint="eastAsia" w:ascii="仿宋" w:hAnsi="仿宋" w:eastAsia="仿宋" w:cs="仿宋"/>
                <w:sz w:val="24"/>
                <w:szCs w:val="24"/>
                <w:highlight w:val="none"/>
                <w:vertAlign w:val="baseline"/>
                <w:lang w:val="en-US" w:eastAsia="zh-CN"/>
              </w:rPr>
            </w:pPr>
            <w:r>
              <w:rPr>
                <w:rFonts w:hint="eastAsia" w:ascii="仿宋" w:hAnsi="仿宋" w:eastAsia="仿宋" w:cs="仿宋"/>
                <w:sz w:val="24"/>
                <w:szCs w:val="24"/>
                <w:highlight w:val="none"/>
                <w:vertAlign w:val="baseline"/>
                <w:lang w:val="en-US" w:eastAsia="zh-CN"/>
              </w:rPr>
              <w:t>比准价格（元/平米）</w:t>
            </w:r>
          </w:p>
        </w:tc>
        <w:tc>
          <w:tcPr>
            <w:tcW w:w="1146"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w:t>
            </w:r>
          </w:p>
        </w:tc>
        <w:tc>
          <w:tcPr>
            <w:tcW w:w="1867"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6615</w:t>
            </w:r>
          </w:p>
        </w:tc>
        <w:tc>
          <w:tcPr>
            <w:tcW w:w="1550"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6519</w:t>
            </w:r>
          </w:p>
        </w:tc>
        <w:tc>
          <w:tcPr>
            <w:tcW w:w="1833" w:type="dxa"/>
            <w:vAlign w:val="top"/>
          </w:tcPr>
          <w:p>
            <w:pPr>
              <w:jc w:val="center"/>
              <w:rPr>
                <w:rFonts w:hint="default" w:ascii="仿宋" w:hAnsi="仿宋" w:eastAsia="仿宋" w:cs="仿宋"/>
                <w:color w:val="auto"/>
                <w:sz w:val="24"/>
                <w:szCs w:val="24"/>
                <w:highlight w:val="none"/>
                <w:vertAlign w:val="baseline"/>
                <w:lang w:val="en-US" w:eastAsia="zh-CN"/>
              </w:rPr>
            </w:pPr>
            <w:r>
              <w:rPr>
                <w:rFonts w:hint="eastAsia" w:ascii="仿宋" w:hAnsi="仿宋" w:eastAsia="仿宋" w:cs="仿宋"/>
                <w:color w:val="auto"/>
                <w:sz w:val="24"/>
                <w:szCs w:val="24"/>
                <w:highlight w:val="none"/>
                <w:vertAlign w:val="baseline"/>
                <w:lang w:val="en-US" w:eastAsia="zh-CN"/>
              </w:rPr>
              <w:t>6432</w:t>
            </w:r>
          </w:p>
        </w:tc>
      </w:tr>
    </w:tbl>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5、求取估价对象价值</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由于可比实例A、B、C与估价对象条件因素相当类似，比准价格相差不远，因此采取算数平均值的求取方法：</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评估单价=（6615+6519+6432）</w:t>
      </w:r>
      <w:r>
        <w:rPr>
          <w:rFonts w:hint="default" w:ascii="仿宋_GB2312" w:hAnsi="宋体" w:eastAsia="仿宋_GB2312" w:cs="Times New Roman"/>
          <w:kern w:val="2"/>
          <w:sz w:val="28"/>
          <w:szCs w:val="28"/>
          <w:lang w:val="en-US" w:eastAsia="zh-CN" w:bidi="ar-SA"/>
        </w:rPr>
        <w:t>÷</w:t>
      </w:r>
      <w:r>
        <w:rPr>
          <w:rFonts w:hint="eastAsia" w:ascii="仿宋_GB2312" w:hAnsi="宋体" w:eastAsia="仿宋_GB2312" w:cs="Times New Roman"/>
          <w:kern w:val="2"/>
          <w:sz w:val="28"/>
          <w:szCs w:val="28"/>
          <w:lang w:val="en-US" w:eastAsia="zh-CN" w:bidi="ar-SA"/>
        </w:rPr>
        <w:t>3=6522(元/平米)</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评估总值=6522×113.36≈739334(元)</w:t>
      </w:r>
    </w:p>
    <w:p>
      <w:pPr>
        <w:rPr>
          <w:rFonts w:hint="eastAsia" w:ascii="仿宋_GB2312" w:hAnsi="宋体" w:eastAsia="仿宋_GB2312" w:cs="Times New Roman"/>
          <w:b/>
          <w:bCs/>
          <w:kern w:val="2"/>
          <w:sz w:val="28"/>
          <w:szCs w:val="28"/>
          <w:lang w:val="en-US" w:eastAsia="zh-CN" w:bidi="ar-SA"/>
        </w:rPr>
      </w:pPr>
      <w:r>
        <w:rPr>
          <w:rFonts w:hint="eastAsia" w:ascii="仿宋_GB2312" w:hAnsi="宋体" w:eastAsia="仿宋_GB2312" w:cs="Times New Roman"/>
          <w:b/>
          <w:bCs/>
          <w:kern w:val="2"/>
          <w:sz w:val="28"/>
          <w:szCs w:val="28"/>
          <w:lang w:val="en-US" w:eastAsia="zh-CN" w:bidi="ar-SA"/>
        </w:rPr>
        <w:t xml:space="preserve">    六、估价结果确定</w:t>
      </w:r>
    </w:p>
    <w:p>
      <w:pPr>
        <w:ind w:firstLine="560" w:firstLineChars="200"/>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估价人员根据估价目的，遵循估价原则，按照规定的估价程序和估价方法，经过具体测算，确定估价对象在估价时点可能形成的市场价值为￥739334元(大写人民币柒拾叁万玖仟叁佰叁拾肆元整)。</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w:t>
      </w:r>
    </w:p>
    <w:p>
      <w:pPr>
        <w:rPr>
          <w:rFonts w:hint="eastAsia" w:ascii="仿宋_GB2312" w:hAnsi="宋体" w:eastAsia="仿宋_GB2312" w:cs="Times New Roman"/>
          <w:kern w:val="2"/>
          <w:sz w:val="28"/>
          <w:szCs w:val="28"/>
          <w:lang w:val="en-US" w:eastAsia="zh-CN" w:bidi="ar-SA"/>
        </w:rPr>
      </w:pPr>
      <w:r>
        <w:rPr>
          <w:rFonts w:hint="eastAsia" w:ascii="仿宋_GB2312" w:hAnsi="宋体" w:eastAsia="仿宋_GB2312" w:cs="Times New Roman"/>
          <w:kern w:val="2"/>
          <w:sz w:val="28"/>
          <w:szCs w:val="28"/>
          <w:lang w:val="en-US" w:eastAsia="zh-CN" w:bidi="ar-SA"/>
        </w:rPr>
        <w:t xml:space="preserve">                               湖北循其本价格鉴定评估有限公司</w:t>
      </w:r>
    </w:p>
    <w:p>
      <w:pPr>
        <w:jc w:val="both"/>
        <w:rPr>
          <w:highlight w:val="none"/>
        </w:rPr>
      </w:pPr>
      <w:r>
        <w:rPr>
          <w:rFonts w:hint="eastAsia" w:ascii="仿宋_GB2312" w:hAnsi="宋体" w:eastAsia="仿宋_GB2312" w:cs="Times New Roman"/>
          <w:kern w:val="2"/>
          <w:sz w:val="28"/>
          <w:szCs w:val="28"/>
          <w:highlight w:val="none"/>
          <w:lang w:val="en-US" w:eastAsia="zh-CN" w:bidi="ar-SA"/>
        </w:rPr>
        <w:t xml:space="preserve">                                   二0二一年五月三十一日</w:t>
      </w:r>
    </w:p>
    <w:sectPr>
      <w:headerReference r:id="rId3" w:type="default"/>
      <w:footerReference r:id="rId4" w:type="default"/>
      <w:footerReference r:id="rId5" w:type="even"/>
      <w:pgSz w:w="11906" w:h="16838"/>
      <w:pgMar w:top="1644" w:right="1520" w:bottom="1361" w:left="15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001010101"/>
    <w:charset w:val="86"/>
    <w:family w:val="roma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20106090300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001010101"/>
    <w:charset w:val="86"/>
    <w:family w:val="swiss"/>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001010101"/>
    <w:charset w:val="86"/>
    <w:family w:val="decorative"/>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swiss"/>
    <w:pitch w:val="default"/>
    <w:sig w:usb0="00000000" w:usb1="00000000" w:usb2="00000010" w:usb3="00000000" w:csb0="00040000" w:csb1="00000000"/>
  </w:font>
  <w:font w:name="Courier New">
    <w:panose1 w:val="02070309020205020404"/>
    <w:charset w:val="00"/>
    <w:family w:val="swiss"/>
    <w:pitch w:val="default"/>
    <w:sig w:usb0="E0002AFF" w:usb1="C0007843" w:usb2="00000009" w:usb3="00000000" w:csb0="400001FF" w:csb1="FFFF0000"/>
  </w:font>
  <w:font w:name="仿宋_GB2312">
    <w:altName w:val="仿宋"/>
    <w:panose1 w:val="02010609030101010101"/>
    <w:charset w:val="86"/>
    <w:family w:val="decorative"/>
    <w:pitch w:val="default"/>
    <w:sig w:usb0="00000000" w:usb1="00000000" w:usb2="00000010" w:usb3="00000000" w:csb0="00040000" w:csb1="00000000"/>
  </w:font>
  <w:font w:name="仿宋">
    <w:panose1 w:val="02010609060101010101"/>
    <w:charset w:val="7A"/>
    <w:family w:val="decorative"/>
    <w:pitch w:val="default"/>
    <w:sig w:usb0="800002BF" w:usb1="38CF7CFA" w:usb2="00000016" w:usb3="00000000" w:csb0="00040001" w:csb1="00000000"/>
  </w:font>
  <w:font w:name="Courier New">
    <w:panose1 w:val="02070309020205020404"/>
    <w:charset w:val="00"/>
    <w:family w:val="decorative"/>
    <w:pitch w:val="default"/>
    <w:sig w:usb0="E0002AFF" w:usb1="C0007843" w:usb2="00000009" w:usb3="00000000" w:csb0="400001FF" w:csb1="FFFF0000"/>
  </w:font>
  <w:font w:name="仿宋_GB2312">
    <w:altName w:val="仿宋"/>
    <w:panose1 w:val="02010609030101010101"/>
    <w:charset w:val="86"/>
    <w:family w:val="roman"/>
    <w:pitch w:val="default"/>
    <w:sig w:usb0="00000000" w:usb1="00000000" w:usb2="00000010" w:usb3="00000000" w:csb0="00040000" w:csb1="00000000"/>
  </w:font>
  <w:font w:name="仿宋">
    <w:panose1 w:val="02010609060101010101"/>
    <w:charset w:val="7A"/>
    <w:family w:val="roman"/>
    <w:pitch w:val="default"/>
    <w:sig w:usb0="800002BF" w:usb1="38CF7CFA" w:usb2="00000016" w:usb3="00000000" w:csb0="00040001" w:csb1="00000000"/>
  </w:font>
  <w:font w:name="Courier New">
    <w:panose1 w:val="02070309020205020404"/>
    <w:charset w:val="00"/>
    <w:family w:val="roma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7A"/>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7A"/>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Pr>
        <w:rFonts w:hint="eastAsia" w:ascii="宋体" w:hAnsi="宋体"/>
        <w:color w:val="000000"/>
        <w:sz w:val="18"/>
        <w:szCs w:val="18"/>
      </w:rPr>
    </w:pPr>
    <w:r>
      <w:rPr>
        <w:rFonts w:hint="eastAsia"/>
        <w:u w:val="single"/>
      </w:rPr>
      <w:t xml:space="preserve">                                                                                            </w:t>
    </w:r>
    <w:r>
      <w:rPr>
        <w:rFonts w:hint="eastAsia" w:ascii="宋体" w:hAnsi="宋体"/>
        <w:sz w:val="18"/>
        <w:szCs w:val="18"/>
      </w:rPr>
      <w:t>公司名称：</w:t>
    </w:r>
    <w:r>
      <w:rPr>
        <w:rFonts w:hint="eastAsia" w:ascii="宋体" w:hAnsi="宋体"/>
        <w:color w:val="000000"/>
        <w:sz w:val="18"/>
        <w:szCs w:val="18"/>
      </w:rPr>
      <w:t>湖北循其本价格鉴定评估有限公司</w:t>
    </w:r>
  </w:p>
  <w:p>
    <w:pPr/>
    <w:r>
      <w:rPr>
        <w:rFonts w:hint="eastAsia" w:ascii="宋体" w:hAnsi="宋体"/>
        <w:sz w:val="18"/>
        <w:szCs w:val="18"/>
      </w:rPr>
      <w:t>网址：</w:t>
    </w:r>
    <w:r>
      <w:rPr>
        <w:rFonts w:ascii="宋体" w:hAnsi="宋体"/>
        <w:sz w:val="18"/>
        <w:szCs w:val="18"/>
      </w:rPr>
      <w:fldChar w:fldCharType="begin"/>
    </w:r>
    <w:r>
      <w:rPr>
        <w:rFonts w:ascii="宋体" w:hAnsi="宋体"/>
        <w:sz w:val="18"/>
        <w:szCs w:val="18"/>
      </w:rPr>
      <w:instrText xml:space="preserve"> HYPERLINK "http://</w:instrText>
    </w:r>
    <w:r>
      <w:rPr>
        <w:rFonts w:hint="eastAsia" w:ascii="宋体" w:hAnsi="宋体"/>
        <w:sz w:val="18"/>
        <w:szCs w:val="18"/>
      </w:rPr>
      <w:instrText xml:space="preserve">www.xqb.cn.com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www.xqb.cn.com</w:t>
    </w:r>
    <w:r>
      <w:rPr>
        <w:rFonts w:ascii="宋体" w:hAnsi="宋体"/>
        <w:sz w:val="18"/>
        <w:szCs w:val="18"/>
      </w:rPr>
      <w:fldChar w:fldCharType="end"/>
    </w:r>
    <w:r>
      <w:rPr>
        <w:rFonts w:hint="eastAsia" w:ascii="宋体" w:hAnsi="宋体"/>
        <w:sz w:val="18"/>
        <w:szCs w:val="18"/>
      </w:rPr>
      <w:t xml:space="preserve">   邮箱：</w:t>
    </w:r>
    <w:r>
      <w:rPr>
        <w:rFonts w:ascii="宋体" w:hAnsi="宋体"/>
        <w:sz w:val="18"/>
        <w:szCs w:val="18"/>
      </w:rPr>
      <w:fldChar w:fldCharType="begin"/>
    </w:r>
    <w:r>
      <w:rPr>
        <w:rFonts w:ascii="宋体" w:hAnsi="宋体"/>
        <w:sz w:val="18"/>
        <w:szCs w:val="18"/>
      </w:rPr>
      <w:instrText xml:space="preserve"> HYPERLINK "mailto:</w:instrText>
    </w:r>
    <w:r>
      <w:rPr>
        <w:rFonts w:hint="eastAsia" w:ascii="宋体" w:hAnsi="宋体"/>
        <w:sz w:val="18"/>
        <w:szCs w:val="18"/>
      </w:rPr>
      <w:instrText xml:space="preserve">boss@xqb.cn.com</w:instrText>
    </w:r>
    <w:r>
      <w:rPr>
        <w:rFonts w:ascii="宋体" w:hAnsi="宋体"/>
        <w:sz w:val="18"/>
        <w:szCs w:val="18"/>
      </w:rPr>
      <w:instrText xml:space="preserve">" </w:instrText>
    </w:r>
    <w:r>
      <w:rPr>
        <w:rFonts w:ascii="宋体" w:hAnsi="宋体"/>
        <w:sz w:val="18"/>
        <w:szCs w:val="18"/>
      </w:rPr>
      <w:fldChar w:fldCharType="separate"/>
    </w:r>
    <w:r>
      <w:rPr>
        <w:rStyle w:val="7"/>
        <w:rFonts w:hint="eastAsia" w:ascii="宋体" w:hAnsi="宋体"/>
        <w:sz w:val="18"/>
        <w:szCs w:val="18"/>
      </w:rPr>
      <w:t>boss@xqb.cn.com</w:t>
    </w:r>
    <w:r>
      <w:rPr>
        <w:rFonts w:ascii="宋体" w:hAnsi="宋体"/>
        <w:sz w:val="18"/>
        <w:szCs w:val="18"/>
      </w:rPr>
      <w:fldChar w:fldCharType="end"/>
    </w:r>
    <w:r>
      <w:rPr>
        <w:rFonts w:hint="eastAsia" w:ascii="宋体" w:hAnsi="宋体"/>
        <w:sz w:val="18"/>
        <w:szCs w:val="18"/>
      </w:rPr>
      <w:t>　　</w:t>
    </w:r>
    <w:r>
      <w:rPr>
        <w:rFonts w:hint="eastAsia"/>
      </w:rPr>
      <w:t>　               　　　　</w:t>
    </w:r>
    <w:r>
      <w:rPr>
        <w:rFonts w:hint="eastAsia"/>
        <w:lang w:val="en-US" w:eastAsia="zh-CN"/>
      </w:rPr>
      <w:t xml:space="preserve">  </w:t>
    </w:r>
    <w:r>
      <w:rPr>
        <w:rFonts w:hint="eastAsia"/>
      </w:rPr>
      <w:t>　第</w:t>
    </w:r>
    <w:r>
      <w:rPr>
        <w:sz w:val="18"/>
        <w:szCs w:val="18"/>
      </w:rPr>
      <w:fldChar w:fldCharType="begin"/>
    </w:r>
    <w:r>
      <w:rPr>
        <w:rStyle w:val="6"/>
        <w:sz w:val="18"/>
        <w:szCs w:val="18"/>
      </w:rPr>
      <w:instrText xml:space="preserve"> PAGE </w:instrText>
    </w:r>
    <w:r>
      <w:rPr>
        <w:sz w:val="18"/>
        <w:szCs w:val="18"/>
      </w:rPr>
      <w:fldChar w:fldCharType="separate"/>
    </w:r>
    <w:r>
      <w:rPr>
        <w:rStyle w:val="6"/>
        <w:sz w:val="18"/>
        <w:szCs w:val="18"/>
      </w:rPr>
      <w:t>1</w:t>
    </w:r>
    <w:r>
      <w:rPr>
        <w:sz w:val="18"/>
        <w:szCs w:val="18"/>
      </w:rPr>
      <w:fldChar w:fldCharType="end"/>
    </w:r>
    <w:r>
      <w:rPr>
        <w:rStyle w:val="6"/>
        <w:rFonts w:hint="eastAsia"/>
        <w:sz w:val="18"/>
        <w:szCs w:val="18"/>
      </w:rPr>
      <w:t>页  共</w:t>
    </w:r>
    <w:r>
      <w:rPr>
        <w:rStyle w:val="6"/>
        <w:rFonts w:hint="eastAsia"/>
        <w:sz w:val="18"/>
        <w:szCs w:val="18"/>
        <w:lang w:val="en-US" w:eastAsia="zh-CN"/>
      </w:rPr>
      <w:t>19</w:t>
    </w:r>
    <w:r>
      <w:rPr>
        <w:rStyle w:val="6"/>
        <w:rFonts w:hint="eastAsia"/>
        <w:sz w:val="18"/>
        <w:szCs w:val="18"/>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Bdr>
        <w:bottom w:val="none" w:color="auto" w:sz="0" w:space="0"/>
      </w:pBdr>
      <w:rPr>
        <w:rFonts w:hint="eastAsia"/>
      </w:rPr>
    </w:pPr>
  </w:p>
  <w:p>
    <w:pPr>
      <w:rPr>
        <w:rFonts w:hint="eastAsia" w:ascii="宋体" w:hAnsi="宋体"/>
        <w:color w:val="000000"/>
        <w:sz w:val="18"/>
        <w:szCs w:val="18"/>
        <w:u w:val="single"/>
      </w:rPr>
    </w:pPr>
    <w:r>
      <w:rPr>
        <w:rFonts w:hint="eastAsia" w:ascii="宋体" w:hAnsi="宋体"/>
        <w:sz w:val="18"/>
        <w:szCs w:val="18"/>
        <w:u w:val="single"/>
      </w:rPr>
      <w:t>公正　 公平　 公开        　　　　　　　　　　　　　　</w:t>
    </w:r>
    <w:r>
      <w:rPr>
        <w:rFonts w:hint="eastAsia" w:ascii="宋体" w:hAnsi="宋体"/>
        <w:sz w:val="18"/>
        <w:szCs w:val="18"/>
        <w:u w:val="single"/>
        <w:lang w:val="en-US" w:eastAsia="zh-CN"/>
      </w:rPr>
      <w:t xml:space="preserve">                     房地产市场价值</w:t>
    </w:r>
    <w:r>
      <w:rPr>
        <w:rFonts w:hint="eastAsia" w:ascii="宋体" w:hAnsi="宋体"/>
        <w:sz w:val="18"/>
        <w:szCs w:val="18"/>
        <w:u w:val="single"/>
      </w:rPr>
      <w:t>评估报告</w:t>
    </w:r>
  </w:p>
  <w:p>
    <w:pPr>
      <w:widowControl/>
      <w:jc w:val="lef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28329504">
    <w:nsid w:val="37552F20"/>
    <w:multiLevelType w:val="singleLevel"/>
    <w:tmpl w:val="37552F20"/>
    <w:lvl w:ilvl="0" w:tentative="1">
      <w:start w:val="2"/>
      <w:numFmt w:val="chineseCounting"/>
      <w:suff w:val="nothing"/>
      <w:lvlText w:val="%1、"/>
      <w:lvlJc w:val="left"/>
      <w:pPr>
        <w:ind w:left="562" w:leftChars="0" w:firstLine="0" w:firstLineChars="0"/>
      </w:pPr>
      <w:rPr>
        <w:rFonts w:hint="eastAsia"/>
      </w:rPr>
    </w:lvl>
  </w:abstractNum>
  <w:abstractNum w:abstractNumId="1578213565">
    <w:nsid w:val="5E11A0BD"/>
    <w:multiLevelType w:val="singleLevel"/>
    <w:tmpl w:val="5E11A0BD"/>
    <w:lvl w:ilvl="0" w:tentative="1">
      <w:start w:val="1"/>
      <w:numFmt w:val="decimal"/>
      <w:suff w:val="space"/>
      <w:lvlText w:val="%1."/>
      <w:lvlJc w:val="left"/>
    </w:lvl>
  </w:abstractNum>
  <w:num w:numId="1">
    <w:abstractNumId w:val="1578213565"/>
  </w:num>
  <w:num w:numId="2">
    <w:abstractNumId w:val="9283295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D097F"/>
    <w:rsid w:val="00004B8F"/>
    <w:rsid w:val="00DB0AB5"/>
    <w:rsid w:val="03AD097F"/>
    <w:rsid w:val="14DB16C5"/>
    <w:rsid w:val="1B2E1125"/>
    <w:rsid w:val="1C512181"/>
    <w:rsid w:val="217C217E"/>
    <w:rsid w:val="24364576"/>
    <w:rsid w:val="26D71646"/>
    <w:rsid w:val="27E61803"/>
    <w:rsid w:val="28EF7AB7"/>
    <w:rsid w:val="2AE71DF0"/>
    <w:rsid w:val="2C486535"/>
    <w:rsid w:val="2E9C5704"/>
    <w:rsid w:val="3B0C672D"/>
    <w:rsid w:val="409D4A4A"/>
    <w:rsid w:val="422F22A3"/>
    <w:rsid w:val="43E715F4"/>
    <w:rsid w:val="5492094F"/>
    <w:rsid w:val="561F5B57"/>
    <w:rsid w:val="57D961AD"/>
    <w:rsid w:val="6637243F"/>
    <w:rsid w:val="6E8354DD"/>
    <w:rsid w:val="72697041"/>
    <w:rsid w:val="75761242"/>
    <w:rsid w:val="77997C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styleId="6">
    <w:name w:val="page number"/>
    <w:basedOn w:val="5"/>
    <w:qFormat/>
    <w:uiPriority w:val="0"/>
    <w:rPr>
      <w:rFonts w:ascii="Times New Roman" w:hAnsi="Times New Roman" w:eastAsia="宋体" w:cs="Times New Roman"/>
    </w:rPr>
  </w:style>
  <w:style w:type="character" w:styleId="7">
    <w:name w:val="Hyperlink"/>
    <w:basedOn w:val="5"/>
    <w:qFormat/>
    <w:uiPriority w:val="0"/>
    <w:rPr>
      <w:rFonts w:ascii="Times New Roman" w:hAnsi="Times New Roman" w:eastAsia="宋体" w:cs="Times New Roman"/>
      <w:color w:val="0000FF"/>
      <w:u w:val="singl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List Paragraph"/>
    <w:basedOn w:val="1"/>
    <w:qFormat/>
    <w:uiPriority w:val="34"/>
    <w:pPr>
      <w:ind w:firstLine="420" w:firstLineChars="200"/>
    </w:pPr>
  </w:style>
  <w:style w:type="character" w:customStyle="1" w:styleId="11">
    <w:name w:val="apple-converted-space"/>
    <w:basedOn w:val="5"/>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2021-05-27T02:17:00Z</dcterms:created>
  <dc:creator>Administrator</dc:creator>
  <cp:lastModifiedBy>Administrator</cp:lastModifiedBy>
  <dcterms:modified xsi:type="dcterms:W3CDTF">2021-06-01T01:41:08Z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