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bookmarkStart w:id="0" w:name="_GoBack"/>
      <w:bookmarkEnd w:id="0"/>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 w:hAnsi="仿宋" w:eastAsia="仿宋"/>
          <w:sz w:val="28"/>
          <w:szCs w:val="28"/>
        </w:rPr>
      </w:pPr>
      <w:r>
        <w:rPr>
          <w:rFonts w:hint="eastAsia" w:ascii="仿宋_GB2312" w:hAnsi="宋体" w:eastAsia="仿宋_GB2312" w:cs="Times New Roman"/>
          <w:kern w:val="2"/>
          <w:sz w:val="28"/>
          <w:szCs w:val="28"/>
          <w:lang w:val="en-US" w:eastAsia="zh-CN" w:bidi="ar-SA"/>
        </w:rPr>
        <w:t xml:space="preserve">    </w:t>
      </w:r>
      <w:r>
        <w:rPr>
          <w:rFonts w:hint="eastAsia" w:ascii="仿宋" w:hAnsi="仿宋" w:eastAsia="仿宋"/>
          <w:sz w:val="28"/>
          <w:szCs w:val="28"/>
        </w:rPr>
        <w:t>受贵方（以下简称委托方）的委托，本公司于20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日派员对委托方列明的</w:t>
      </w:r>
      <w:r>
        <w:rPr>
          <w:rFonts w:hint="eastAsia" w:ascii="仿宋" w:hAnsi="仿宋" w:eastAsia="仿宋"/>
          <w:sz w:val="28"/>
          <w:szCs w:val="28"/>
          <w:lang w:eastAsia="zh-CN"/>
        </w:rPr>
        <w:t>李志立、周再珍共同所有、</w:t>
      </w:r>
      <w:r>
        <w:rPr>
          <w:rFonts w:hint="eastAsia" w:ascii="仿宋" w:hAnsi="仿宋" w:eastAsia="仿宋"/>
          <w:sz w:val="28"/>
          <w:szCs w:val="28"/>
        </w:rPr>
        <w:t>位于</w:t>
      </w:r>
      <w:r>
        <w:rPr>
          <w:rFonts w:hint="eastAsia" w:ascii="仿宋" w:hAnsi="仿宋" w:eastAsia="仿宋"/>
          <w:sz w:val="28"/>
          <w:szCs w:val="28"/>
          <w:lang w:eastAsia="zh-CN"/>
        </w:rPr>
        <w:t>孝感市孝南区三汊镇兴业路侨兴园小区</w:t>
      </w:r>
      <w:r>
        <w:rPr>
          <w:rFonts w:hint="eastAsia" w:ascii="仿宋" w:hAnsi="仿宋" w:eastAsia="仿宋"/>
          <w:sz w:val="28"/>
          <w:szCs w:val="28"/>
          <w:lang w:val="en-US" w:eastAsia="zh-CN"/>
        </w:rPr>
        <w:t>4栋606室</w:t>
      </w:r>
      <w:r>
        <w:rPr>
          <w:rFonts w:hint="eastAsia" w:ascii="仿宋" w:hAnsi="仿宋" w:eastAsia="仿宋"/>
          <w:sz w:val="28"/>
          <w:szCs w:val="28"/>
        </w:rPr>
        <w:t>，建筑面积</w:t>
      </w:r>
      <w:r>
        <w:rPr>
          <w:rFonts w:hint="eastAsia" w:ascii="仿宋" w:hAnsi="仿宋" w:eastAsia="仿宋"/>
          <w:sz w:val="28"/>
          <w:szCs w:val="28"/>
          <w:lang w:eastAsia="zh-CN"/>
        </w:rPr>
        <w:t>为</w:t>
      </w:r>
      <w:r>
        <w:rPr>
          <w:rFonts w:hint="eastAsia" w:ascii="仿宋" w:hAnsi="仿宋" w:eastAsia="仿宋"/>
          <w:sz w:val="28"/>
          <w:szCs w:val="28"/>
          <w:lang w:val="en-US" w:eastAsia="zh-CN"/>
        </w:rPr>
        <w:t>130.79平方米</w:t>
      </w:r>
      <w:r>
        <w:rPr>
          <w:rFonts w:hint="eastAsia" w:ascii="仿宋" w:hAnsi="仿宋" w:eastAsia="仿宋"/>
          <w:sz w:val="28"/>
          <w:szCs w:val="28"/>
        </w:rPr>
        <w:t>的住宅</w:t>
      </w:r>
      <w:r>
        <w:rPr>
          <w:rFonts w:hint="eastAsia" w:ascii="仿宋" w:hAnsi="仿宋" w:eastAsia="仿宋"/>
          <w:sz w:val="28"/>
          <w:szCs w:val="28"/>
          <w:lang w:eastAsia="zh-CN"/>
        </w:rPr>
        <w:t>房屋</w:t>
      </w:r>
      <w:r>
        <w:rPr>
          <w:rFonts w:hint="eastAsia" w:ascii="仿宋" w:hAnsi="仿宋" w:eastAsia="仿宋"/>
          <w:sz w:val="28"/>
          <w:szCs w:val="28"/>
        </w:rPr>
        <w:t>（含相关权益）进行了现场实地查勘，并对估价对象房地产于估价时点20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日的市场价值进行了估价，</w:t>
      </w:r>
      <w:r>
        <w:rPr>
          <w:rFonts w:hint="eastAsia" w:ascii="仿宋" w:hAnsi="仿宋" w:eastAsia="仿宋"/>
          <w:sz w:val="28"/>
          <w:szCs w:val="28"/>
          <w:lang w:val="en-US" w:eastAsia="zh-CN"/>
        </w:rPr>
        <w:t>为委托方处理案件确定财产处置参考价提供价格咨询参考依据。</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在整个估价过程中，估价人员本着独立、客观、公正的原则，根据估价目的，收集有关资料，按照估价程序，选择市场法对估价对象进行了评估。经实地勘察和测算，确定估价对象在估价时点</w:t>
      </w:r>
      <w:r>
        <w:rPr>
          <w:rFonts w:hint="eastAsia" w:ascii="仿宋" w:hAnsi="仿宋" w:eastAsia="仿宋"/>
          <w:sz w:val="28"/>
          <w:szCs w:val="28"/>
          <w:lang w:eastAsia="zh-CN"/>
        </w:rPr>
        <w:t>可能形成</w:t>
      </w:r>
      <w:r>
        <w:rPr>
          <w:rFonts w:hint="eastAsia" w:ascii="仿宋" w:hAnsi="仿宋" w:eastAsia="仿宋"/>
          <w:sz w:val="28"/>
          <w:szCs w:val="28"/>
        </w:rPr>
        <w:t>的市场总价值</w:t>
      </w:r>
      <w:r>
        <w:rPr>
          <w:rFonts w:hint="eastAsia" w:ascii="仿宋" w:hAnsi="仿宋" w:eastAsia="仿宋"/>
          <w:sz w:val="28"/>
          <w:szCs w:val="28"/>
          <w:lang w:val="en-US" w:eastAsia="zh-CN"/>
        </w:rPr>
        <w:t>为￥362811元(大写人民币叁拾陆万贰仟捌佰壹拾壹元整)。</w:t>
      </w:r>
    </w:p>
    <w:p>
      <w:pPr>
        <w:ind w:firstLine="560" w:firstLineChars="200"/>
        <w:rPr>
          <w:rFonts w:hint="eastAsia" w:ascii="仿宋" w:hAnsi="仿宋" w:eastAsia="仿宋"/>
          <w:color w:val="auto"/>
          <w:sz w:val="28"/>
          <w:szCs w:val="28"/>
          <w:lang w:eastAsia="zh-CN"/>
        </w:rPr>
      </w:pPr>
    </w:p>
    <w:p>
      <w:pPr>
        <w:rPr>
          <w:rFonts w:hint="eastAsia" w:ascii="仿宋" w:hAnsi="仿宋" w:eastAsia="仿宋"/>
          <w:sz w:val="28"/>
          <w:szCs w:val="28"/>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二○二一年四月二十七日</w:t>
      </w: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w:t>
      </w:r>
      <w:r>
        <w:rPr>
          <w:rFonts w:hint="eastAsia" w:ascii="仿宋_GB2312" w:hAnsi="仿宋" w:eastAsia="仿宋_GB2312"/>
          <w:b w:val="0"/>
          <w:bCs/>
          <w:sz w:val="28"/>
          <w:szCs w:val="28"/>
          <w:lang w:val="en-US" w:eastAsia="zh-CN"/>
        </w:rPr>
        <w:t>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4、估价结果是根据估价对象的使用年限，以及现场实物勘查情况，结合市场实际交易实例，采用市场法进行综合估算的。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5、评估过程中，没有考虑该房屋产权抵押、查封后对估价结果的影响。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二○二一年四月二十七日</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346075</wp:posOffset>
                </wp:positionV>
                <wp:extent cx="55530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3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27.25pt;height:0.05pt;width:437.25pt;z-index:251660288;mso-width-relative:page;mso-height-relative:page;" filled="f" stroked="t" coordsize="21600,21600" o:gfxdata="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wDw6NgAAAAJAQAADwAAAAAA&#10;AAABACAAAAAiAAAAZHJzL2Rvd25yZXYueG1sUEsBAhQAFAAAAAgAh07iQHPpizfaAQAAmAMAAA4A&#10;AAAAAAAAAQAgAAAAJwEAAGRycy9lMm9Eb2MueG1sUEsFBgAAAAAGAAYAWQEAAHMFA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21</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71063</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李志立、周再珍共同所有的</w:t>
      </w:r>
    </w:p>
    <w:p>
      <w:pPr>
        <w:jc w:val="cente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位于孝感市孝南区三汊镇兴业路侨兴园4栋606室</w:t>
      </w:r>
    </w:p>
    <w:p>
      <w:pPr>
        <w:jc w:val="center"/>
        <w:rPr>
          <w:rFonts w:ascii="仿宋" w:hAnsi="仿宋" w:eastAsia="仿宋"/>
          <w:b/>
          <w:bCs/>
          <w:sz w:val="32"/>
          <w:szCs w:val="32"/>
        </w:rPr>
      </w:pPr>
      <w:r>
        <w:rPr>
          <w:rFonts w:hint="eastAsia" w:ascii="仿宋" w:hAnsi="仿宋" w:eastAsia="仿宋"/>
          <w:b/>
          <w:bCs/>
          <w:sz w:val="32"/>
          <w:szCs w:val="32"/>
        </w:rPr>
        <w:t>房地产估价结果报告</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0"/>
        </w:numP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2. 住所：</w:t>
      </w:r>
      <w:r>
        <w:rPr>
          <w:rFonts w:hint="eastAsia" w:ascii="仿宋_GB2312" w:hAnsi="宋体" w:eastAsia="仿宋_GB2312" w:cs="Times New Roman"/>
          <w:kern w:val="2"/>
          <w:sz w:val="28"/>
          <w:szCs w:val="28"/>
          <w:highlight w:val="none"/>
          <w:lang w:val="en-US" w:eastAsia="zh-CN" w:bidi="ar-SA"/>
        </w:rPr>
        <w:t>湖北省孝感市孝南区黄花路38号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w:t>
      </w:r>
      <w:r>
        <w:rPr>
          <w:rFonts w:hint="eastAsia" w:ascii="仿宋" w:hAnsi="仿宋" w:eastAsia="仿宋"/>
          <w:sz w:val="28"/>
          <w:szCs w:val="28"/>
          <w:lang w:eastAsia="zh-CN"/>
        </w:rPr>
        <w:t>李志立、周再珍共同所有、</w:t>
      </w:r>
      <w:r>
        <w:rPr>
          <w:rFonts w:hint="eastAsia" w:ascii="仿宋" w:hAnsi="仿宋" w:eastAsia="仿宋"/>
          <w:sz w:val="28"/>
          <w:szCs w:val="28"/>
        </w:rPr>
        <w:t>位于</w:t>
      </w:r>
      <w:r>
        <w:rPr>
          <w:rFonts w:hint="eastAsia" w:ascii="仿宋" w:hAnsi="仿宋" w:eastAsia="仿宋"/>
          <w:sz w:val="28"/>
          <w:szCs w:val="28"/>
          <w:lang w:eastAsia="zh-CN"/>
        </w:rPr>
        <w:t>孝感市孝南区三汊镇兴业路侨兴园小区</w:t>
      </w:r>
      <w:r>
        <w:rPr>
          <w:rFonts w:hint="eastAsia" w:ascii="仿宋" w:hAnsi="仿宋" w:eastAsia="仿宋"/>
          <w:sz w:val="28"/>
          <w:szCs w:val="28"/>
          <w:lang w:val="en-US" w:eastAsia="zh-CN"/>
        </w:rPr>
        <w:t>4栋606室</w:t>
      </w:r>
      <w:r>
        <w:rPr>
          <w:rFonts w:hint="eastAsia" w:ascii="仿宋" w:hAnsi="仿宋" w:eastAsia="仿宋"/>
          <w:sz w:val="28"/>
          <w:szCs w:val="28"/>
        </w:rPr>
        <w:t>，建筑面积</w:t>
      </w:r>
      <w:r>
        <w:rPr>
          <w:rFonts w:hint="eastAsia" w:ascii="仿宋" w:hAnsi="仿宋" w:eastAsia="仿宋"/>
          <w:sz w:val="28"/>
          <w:szCs w:val="28"/>
          <w:lang w:eastAsia="zh-CN"/>
        </w:rPr>
        <w:t>为</w:t>
      </w:r>
      <w:r>
        <w:rPr>
          <w:rFonts w:hint="eastAsia" w:ascii="仿宋" w:hAnsi="仿宋" w:eastAsia="仿宋"/>
          <w:sz w:val="28"/>
          <w:szCs w:val="28"/>
          <w:lang w:val="en-US" w:eastAsia="zh-CN"/>
        </w:rPr>
        <w:t>130.79平方米</w:t>
      </w:r>
      <w:r>
        <w:rPr>
          <w:rFonts w:hint="eastAsia" w:ascii="仿宋" w:hAnsi="仿宋" w:eastAsia="仿宋"/>
          <w:sz w:val="28"/>
          <w:szCs w:val="28"/>
        </w:rPr>
        <w:t>的住宅</w:t>
      </w:r>
      <w:r>
        <w:rPr>
          <w:rFonts w:hint="eastAsia" w:ascii="仿宋" w:hAnsi="仿宋" w:eastAsia="仿宋"/>
          <w:sz w:val="28"/>
          <w:szCs w:val="28"/>
          <w:lang w:eastAsia="zh-CN"/>
        </w:rPr>
        <w:t>房地产</w:t>
      </w:r>
      <w:r>
        <w:rPr>
          <w:rFonts w:hint="eastAsia" w:ascii="仿宋_GB2312" w:hAnsi="宋体" w:eastAsia="仿宋_GB2312" w:cs="Times New Roman"/>
          <w:kern w:val="2"/>
          <w:sz w:val="28"/>
          <w:szCs w:val="28"/>
          <w:lang w:val="en-US" w:eastAsia="zh-CN" w:bidi="ar-SA"/>
        </w:rPr>
        <w:t>。</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经本机构人员的实地勘查和委托方提供的委托书及房地产权登记信息等资料，可知估价对象实体状况如下：</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房地产权登记信息记载，估价对象位于孝感市孝南区三汊镇兴业路侨兴园小区4栋606室，建筑面积为130.79平方米，权利人为李志立、周再珍，共同共有，分摊土地面积为21.65平方米，土地使用期限为2012年5月16日起至2082年5月15日止；规划用途为住宅，房屋性质为市场化商品房，房屋结构为混合结构，所在层/总层数为6层/6层，竣工日期为2012年12月16日，不动产权证书号为鄂（2019）孝南区不动产权第0002406号。</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经现场实物勘验，并调查相关当事人得知，估价对象房屋坐落于孝感市</w:t>
      </w:r>
      <w:r>
        <w:rPr>
          <w:rFonts w:hint="eastAsia" w:ascii="仿宋" w:hAnsi="仿宋" w:eastAsia="仿宋"/>
          <w:sz w:val="28"/>
          <w:szCs w:val="28"/>
          <w:lang w:eastAsia="zh-CN"/>
        </w:rPr>
        <w:t>孝南区三汊镇兴业路侨兴园小区，编号为</w:t>
      </w:r>
      <w:r>
        <w:rPr>
          <w:rFonts w:hint="eastAsia" w:ascii="仿宋" w:hAnsi="仿宋" w:eastAsia="仿宋"/>
          <w:sz w:val="28"/>
          <w:szCs w:val="28"/>
          <w:lang w:val="en-US" w:eastAsia="zh-CN"/>
        </w:rPr>
        <w:t>4栋2单元601室</w:t>
      </w:r>
      <w:r>
        <w:rPr>
          <w:rFonts w:hint="eastAsia"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highlight w:val="none"/>
          <w:lang w:val="en-US" w:eastAsia="zh-CN" w:bidi="ar-SA"/>
        </w:rPr>
        <w:t>总层数为6层，所在层为第6层，为步梯房屋，用途为成套住宅，户型三室二厅，南北朝向，外墙水泥砂浆粉刷，室内装修情况因多种原因未能勘验。据相关当事人反映，室内为精装修，维护保养一般。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二0二一年四月十五日。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spacing w:beforeLines="0" w:afterLines="0"/>
        <w:jc w:val="lef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我们按照《房地产估价规范》的规定，遵循估价行业公认的估价工作原则，对估价对象进行独立、客观、科学的评价，并遵守国家保密规定。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估价人员经过实地勘查和测算，确定估价对象在估价时点的市场价值为￥362811元(大写人民币叁拾陆万贰仟捌佰壹拾壹元整)。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017"/>
        <w:gridCol w:w="1919"/>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姓　名</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资格证名称</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资格证号</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孙 坚</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价格鉴证师</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0003035</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sz w:val="28"/>
                <w:szCs w:val="28"/>
              </w:rPr>
              <w:drawing>
                <wp:anchor distT="0" distB="0" distL="114300" distR="114300" simplePos="0" relativeHeight="251664384" behindDoc="1" locked="0" layoutInCell="1" allowOverlap="1">
                  <wp:simplePos x="0" y="0"/>
                  <wp:positionH relativeFrom="column">
                    <wp:posOffset>154940</wp:posOffset>
                  </wp:positionH>
                  <wp:positionV relativeFrom="paragraph">
                    <wp:posOffset>248285</wp:posOffset>
                  </wp:positionV>
                  <wp:extent cx="1273810" cy="491490"/>
                  <wp:effectExtent l="0" t="0" r="2540" b="3810"/>
                  <wp:wrapNone/>
                  <wp:docPr id="2"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刘汉生</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价格鉴证师</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0017039</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eastAsia="zh-CN"/>
              </w:rPr>
              <w:drawing>
                <wp:anchor distT="0" distB="0" distL="114300" distR="114300" simplePos="0" relativeHeight="251666432" behindDoc="0" locked="0" layoutInCell="1" allowOverlap="1">
                  <wp:simplePos x="0" y="0"/>
                  <wp:positionH relativeFrom="column">
                    <wp:posOffset>40640</wp:posOffset>
                  </wp:positionH>
                  <wp:positionV relativeFrom="paragraph">
                    <wp:posOffset>137795</wp:posOffset>
                  </wp:positionV>
                  <wp:extent cx="1494790" cy="1033780"/>
                  <wp:effectExtent l="0" t="0" r="10795" b="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8"/>
                          <a:stretch>
                            <a:fillRect/>
                          </a:stretch>
                        </pic:blipFill>
                        <pic:spPr>
                          <a:xfrm>
                            <a:off x="0" y="0"/>
                            <a:ext cx="1494790" cy="1033780"/>
                          </a:xfrm>
                          <a:prstGeom prst="rect">
                            <a:avLst/>
                          </a:prstGeom>
                          <a:noFill/>
                          <a:ln w="9525">
                            <a:noFill/>
                            <a:miter/>
                          </a:ln>
                        </pic:spPr>
                      </pic:pic>
                    </a:graphicData>
                  </a:graphic>
                </wp:anchor>
              </w:drawing>
            </w:r>
          </w:p>
        </w:tc>
      </w:tr>
    </w:tbl>
    <w:p>
      <w:pPr>
        <w:numPr>
          <w:ilvl w:val="0"/>
          <w:numId w:val="0"/>
        </w:numPr>
        <w:rPr>
          <w:rFonts w:hint="eastAsia" w:ascii="仿宋_GB2312" w:hAnsi="宋体" w:eastAsia="仿宋_GB2312"/>
          <w:b/>
          <w:bCs/>
          <w:sz w:val="30"/>
          <w:szCs w:val="30"/>
          <w:highlight w:val="none"/>
          <w:lang w:val="en-US" w:eastAsia="zh-CN"/>
        </w:rPr>
      </w:pPr>
      <w:r>
        <w:rPr>
          <w:rFonts w:hint="eastAsia" w:ascii="仿宋_GB2312" w:hAnsi="宋体" w:eastAsia="仿宋_GB2312" w:cs="Times New Roman"/>
          <w:kern w:val="2"/>
          <w:sz w:val="28"/>
          <w:szCs w:val="28"/>
          <w:lang w:val="en-US" w:eastAsia="zh-CN" w:bidi="ar-SA"/>
        </w:rPr>
        <w:t xml:space="preserve">   评估参加人员：谭思敏    </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b/>
          <w:bCs/>
          <w:sz w:val="30"/>
          <w:szCs w:val="30"/>
          <w:highlight w:val="none"/>
          <w:lang w:val="en-US" w:eastAsia="zh-CN"/>
        </w:rPr>
        <w:t xml:space="preserve">   （十三）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color w:val="000000"/>
          <w:sz w:val="28"/>
          <w:szCs w:val="28"/>
        </w:rPr>
        <w:t>评估报告日为评估人员专业意见形成日</w:t>
      </w:r>
      <w:r>
        <w:rPr>
          <w:rStyle w:val="11"/>
          <w:rFonts w:hint="eastAsia" w:ascii="仿宋_GB2312" w:hAnsi="仿宋" w:eastAsia="仿宋_GB2312" w:cs="宋体"/>
          <w:color w:val="000000"/>
          <w:sz w:val="28"/>
          <w:szCs w:val="28"/>
          <w:lang w:eastAsia="zh-CN"/>
        </w:rPr>
        <w:t>，</w:t>
      </w: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21</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04</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27</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若无特别约定，估价结论有效期为从估价报告完成之日起壹年。超过有效期后需重新估价方可使用。</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6"/>
          <w:szCs w:val="36"/>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二○二一年四月二十七日</w:t>
      </w: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both"/>
        <w:rPr>
          <w:rFonts w:hint="eastAsia" w:ascii="仿宋" w:hAnsi="仿宋" w:eastAsia="仿宋"/>
          <w:b/>
          <w:bCs/>
          <w:sz w:val="32"/>
          <w:szCs w:val="32"/>
          <w:lang w:val="en-US" w:eastAsia="zh-CN"/>
        </w:rPr>
      </w:pPr>
    </w:p>
    <w:p>
      <w:pPr>
        <w:jc w:val="both"/>
        <w:rPr>
          <w:rFonts w:hint="eastAsia" w:ascii="仿宋" w:hAnsi="仿宋" w:eastAsia="仿宋"/>
          <w:b/>
          <w:bCs/>
          <w:sz w:val="36"/>
          <w:szCs w:val="36"/>
          <w:lang w:val="en-US" w:eastAsia="zh-CN"/>
        </w:rPr>
      </w:pPr>
    </w:p>
    <w:p>
      <w:pPr>
        <w:jc w:val="center"/>
        <w:rPr>
          <w:rFonts w:hint="eastAsia" w:ascii="仿宋" w:hAnsi="仿宋" w:eastAsia="仿宋"/>
          <w:b/>
          <w:bCs/>
          <w:sz w:val="36"/>
          <w:szCs w:val="36"/>
          <w:lang w:val="en-US" w:eastAsia="zh-CN"/>
        </w:rPr>
      </w:pPr>
    </w:p>
    <w:p>
      <w:pPr>
        <w:jc w:val="center"/>
        <w:rPr>
          <w:rFonts w:hint="eastAsia" w:ascii="仿宋" w:hAnsi="仿宋" w:eastAsia="仿宋"/>
          <w:b/>
          <w:bCs/>
          <w:sz w:val="36"/>
          <w:szCs w:val="36"/>
          <w:lang w:val="en-US" w:eastAsia="zh-CN"/>
        </w:rPr>
      </w:pPr>
    </w:p>
    <w:p>
      <w:pPr>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李志立、周再珍共同所有的</w:t>
      </w:r>
    </w:p>
    <w:p>
      <w:pPr>
        <w:jc w:val="center"/>
        <w:rPr>
          <w:rFonts w:hint="default" w:ascii="仿宋" w:hAnsi="仿宋" w:eastAsia="仿宋"/>
          <w:b/>
          <w:bCs/>
          <w:sz w:val="36"/>
          <w:szCs w:val="36"/>
          <w:lang w:val="en-US" w:eastAsia="zh-CN"/>
        </w:rPr>
      </w:pPr>
      <w:r>
        <w:rPr>
          <w:rFonts w:hint="eastAsia" w:ascii="仿宋" w:hAnsi="仿宋" w:eastAsia="仿宋"/>
          <w:b/>
          <w:bCs/>
          <w:sz w:val="36"/>
          <w:szCs w:val="36"/>
          <w:lang w:val="en-US" w:eastAsia="zh-CN"/>
        </w:rPr>
        <w:t>位于孝感市孝南区三汊镇兴业路侨兴园4栋606室</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房地产权登记信息记载，估价对象位于</w:t>
      </w:r>
      <w:r>
        <w:rPr>
          <w:rFonts w:hint="eastAsia" w:ascii="仿宋" w:hAnsi="仿宋" w:eastAsia="仿宋"/>
          <w:sz w:val="28"/>
          <w:szCs w:val="28"/>
          <w:lang w:eastAsia="zh-CN"/>
        </w:rPr>
        <w:t>孝感市孝南区三汊镇兴业路侨兴园小区</w:t>
      </w:r>
      <w:r>
        <w:rPr>
          <w:rFonts w:hint="eastAsia" w:ascii="仿宋" w:hAnsi="仿宋" w:eastAsia="仿宋"/>
          <w:sz w:val="28"/>
          <w:szCs w:val="28"/>
          <w:lang w:val="en-US" w:eastAsia="zh-CN"/>
        </w:rPr>
        <w:t>4栋606室</w:t>
      </w:r>
      <w:r>
        <w:rPr>
          <w:rFonts w:hint="eastAsia" w:ascii="仿宋_GB2312" w:hAnsi="宋体" w:eastAsia="仿宋_GB2312" w:cs="Times New Roman"/>
          <w:kern w:val="2"/>
          <w:sz w:val="28"/>
          <w:szCs w:val="28"/>
          <w:lang w:val="en-US" w:eastAsia="zh-CN" w:bidi="ar-SA"/>
        </w:rPr>
        <w:t>，建筑面积为130.79平方米</w:t>
      </w:r>
      <w:r>
        <w:rPr>
          <w:rFonts w:hint="eastAsia" w:ascii="仿宋_GB2312" w:hAnsi="宋体" w:eastAsia="仿宋_GB2312" w:cs="Times New Roman"/>
          <w:kern w:val="2"/>
          <w:sz w:val="28"/>
          <w:szCs w:val="28"/>
          <w:highlight w:val="none"/>
          <w:lang w:val="en-US" w:eastAsia="zh-CN" w:bidi="ar-SA"/>
        </w:rPr>
        <w:t>，权利人为李志立、周再珍，共同共有，分摊土地面积为21.65平方米，土地使用期限为2012年5月16日起至2082年5月15日止；规划用途为住宅，房屋性质为市场化商品房，房屋结构为混合结构，所在层/总层数为6层/6层，竣工日期为2012年12月16日，不动产权证书号为鄂（2019）孝南区不动产权第0002406号。</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经现场实物勘验，并调查相关当事人得知，估价对象房屋坐落于孝感市</w:t>
      </w:r>
      <w:r>
        <w:rPr>
          <w:rFonts w:hint="eastAsia" w:ascii="仿宋" w:hAnsi="仿宋" w:eastAsia="仿宋"/>
          <w:sz w:val="28"/>
          <w:szCs w:val="28"/>
          <w:lang w:eastAsia="zh-CN"/>
        </w:rPr>
        <w:t>孝南区三汊镇兴业路侨兴园小区，编号为</w:t>
      </w:r>
      <w:r>
        <w:rPr>
          <w:rFonts w:hint="eastAsia" w:ascii="仿宋" w:hAnsi="仿宋" w:eastAsia="仿宋"/>
          <w:sz w:val="28"/>
          <w:szCs w:val="28"/>
          <w:lang w:val="en-US" w:eastAsia="zh-CN"/>
        </w:rPr>
        <w:t>4栋2单元601室</w:t>
      </w:r>
      <w:r>
        <w:rPr>
          <w:rFonts w:hint="eastAsia"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highlight w:val="none"/>
          <w:lang w:val="en-US" w:eastAsia="zh-CN" w:bidi="ar-SA"/>
        </w:rPr>
        <w:t>总层数为6层，所在层为第6层，为步梯房屋，用途为成套住宅，户型三室二厅，南北朝向，外墙水泥砂浆粉刷，室内装修情况因多种原因未能勘验。据相关当事人反映，室内为精装修，维护保养一般。</w:t>
      </w:r>
    </w:p>
    <w:p>
      <w:pPr>
        <w:numPr>
          <w:ilvl w:val="0"/>
          <w:numId w:val="0"/>
        </w:numPr>
        <w:ind w:firstLine="562"/>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二、估价对象区域因素分析</w:t>
      </w:r>
    </w:p>
    <w:p>
      <w:pPr>
        <w:keepNext w:val="0"/>
        <w:keepLines w:val="0"/>
        <w:widowControl/>
        <w:suppressLineNumbers w:val="0"/>
        <w:ind w:firstLine="560" w:firstLineChars="200"/>
        <w:jc w:val="left"/>
        <w:rPr>
          <w:rFonts w:ascii="仿宋" w:hAnsi="仿宋" w:eastAsia="仿宋"/>
          <w:sz w:val="28"/>
          <w:szCs w:val="28"/>
        </w:rPr>
      </w:pPr>
      <w:r>
        <w:rPr>
          <w:rFonts w:hint="eastAsia" w:ascii="仿宋" w:hAnsi="仿宋" w:eastAsia="仿宋"/>
          <w:sz w:val="28"/>
          <w:szCs w:val="28"/>
        </w:rPr>
        <w:t>估价对象位于</w:t>
      </w:r>
      <w:r>
        <w:rPr>
          <w:rFonts w:hint="eastAsia" w:ascii="仿宋" w:hAnsi="仿宋" w:eastAsia="仿宋"/>
          <w:sz w:val="28"/>
          <w:szCs w:val="28"/>
          <w:lang w:val="en-US" w:eastAsia="zh-CN"/>
        </w:rPr>
        <w:t>孝感市孝南区三汊镇兴业路侨兴园小区</w:t>
      </w:r>
      <w:r>
        <w:rPr>
          <w:rFonts w:hint="eastAsia" w:ascii="仿宋" w:hAnsi="仿宋" w:eastAsia="仿宋"/>
          <w:sz w:val="28"/>
          <w:szCs w:val="28"/>
        </w:rPr>
        <w:t>。</w:t>
      </w:r>
      <w:r>
        <w:rPr>
          <w:rFonts w:hint="eastAsia" w:ascii="仿宋" w:hAnsi="仿宋" w:eastAsia="仿宋"/>
          <w:sz w:val="28"/>
          <w:szCs w:val="28"/>
          <w:lang w:eastAsia="zh-CN"/>
        </w:rPr>
        <w:t>该区域属于三汊镇中心区域，镇域经济核心圈，成熟商业旺区，附近设有学校、幼儿园、超市、菜场、银行和医院，人口较稠密，商业较为繁华，</w:t>
      </w:r>
      <w:r>
        <w:rPr>
          <w:rFonts w:hint="eastAsia" w:ascii="仿宋" w:hAnsi="仿宋" w:eastAsia="仿宋"/>
          <w:sz w:val="28"/>
          <w:szCs w:val="28"/>
          <w:lang w:val="en-US" w:eastAsia="zh-CN"/>
        </w:rPr>
        <w:t>8</w:t>
      </w:r>
      <w:r>
        <w:rPr>
          <w:rFonts w:hint="eastAsia" w:ascii="仿宋" w:hAnsi="仿宋" w:eastAsia="仿宋"/>
          <w:sz w:val="28"/>
          <w:szCs w:val="28"/>
          <w:lang w:eastAsia="zh-CN"/>
        </w:rPr>
        <w:t>路公共汽车相通，交通方便，周边供水、排水、供电、通信等市政配套基础设施完备。</w:t>
      </w:r>
      <w:r>
        <w:rPr>
          <w:rFonts w:hint="eastAsia" w:ascii="仿宋" w:hAnsi="仿宋" w:eastAsia="仿宋"/>
          <w:sz w:val="28"/>
          <w:szCs w:val="28"/>
        </w:rPr>
        <w:t>该</w:t>
      </w:r>
      <w:r>
        <w:rPr>
          <w:rFonts w:hint="eastAsia" w:ascii="仿宋" w:hAnsi="仿宋" w:eastAsia="仿宋"/>
          <w:sz w:val="28"/>
          <w:szCs w:val="28"/>
          <w:lang w:eastAsia="zh-CN"/>
        </w:rPr>
        <w:t>小区规模大，绿化、环境、卫生、物业管理一般。</w:t>
      </w:r>
    </w:p>
    <w:p>
      <w:pPr>
        <w:numPr>
          <w:ilvl w:val="0"/>
          <w:numId w:val="0"/>
        </w:numPr>
        <w:ind w:firstLine="562" w:firstLineChars="200"/>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ind w:firstLine="562" w:firstLineChars="200"/>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w:t>
      </w:r>
    </w:p>
    <w:p>
      <w:pPr>
        <w:numPr>
          <w:ilvl w:val="0"/>
          <w:numId w:val="0"/>
        </w:numPr>
        <w:jc w:val="lef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接受委托后，我们会同委托人及相关当事人对估价对象进行了实地勘查，随后开展了广泛的市场调查，并采用市场法进行了估价测算，确定估价结果。</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在同一区域内的类似住宅进行了市场调查和比较分析，按照估价要求，筛选侨兴园小区及与其相邻京珠小区的三个可比实例。</w:t>
      </w:r>
    </w:p>
    <w:p>
      <w:pPr>
        <w:ind w:firstLine="6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实例A：侨兴园小区住宅，2012年建成，总层数7层，所在层2层，2室2厅1卫，南北朝向，精装修，建筑面积97.04平米，拟交易总价28万，折合单价约为2885元/平米，拟交易日期2021年4月份。</w:t>
      </w:r>
    </w:p>
    <w:p>
      <w:pPr>
        <w:ind w:firstLine="6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实例B：京珠小区住宅，2014年建成，总层数7层，所在层5层，3室2厅2卫，南北朝向，精装修，建筑面积127平米，拟交易总价35万，折合单价约为2756元/平米，拟交易日期2021年3月份。</w:t>
      </w:r>
    </w:p>
    <w:p>
      <w:pPr>
        <w:ind w:firstLine="600"/>
        <w:jc w:val="both"/>
        <w:rPr>
          <w:rFonts w:hint="default" w:ascii="仿宋" w:hAnsi="仿宋" w:eastAsia="仿宋" w:cs="仿宋"/>
          <w:sz w:val="28"/>
          <w:szCs w:val="28"/>
          <w:vertAlign w:val="superscript"/>
          <w:lang w:val="en-US" w:eastAsia="zh-CN"/>
        </w:rPr>
      </w:pPr>
      <w:r>
        <w:rPr>
          <w:rFonts w:hint="eastAsia" w:ascii="仿宋" w:hAnsi="仿宋" w:eastAsia="仿宋" w:cs="仿宋"/>
          <w:color w:val="auto"/>
          <w:sz w:val="28"/>
          <w:szCs w:val="28"/>
          <w:lang w:val="en-US" w:eastAsia="zh-CN"/>
        </w:rPr>
        <w:t>实例C京珠小区住宅，2011年建成，总层数7层，所在层3层，3室2厅1卫，南北朝向，毛坯，建筑面积109平米，拟交易总价28万，折合单价约为2569元/平米，拟交易日期2021年4月份。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w:t>
            </w:r>
            <w:r>
              <w:rPr>
                <w:rFonts w:hint="eastAsia" w:ascii="仿宋" w:hAnsi="仿宋" w:eastAsia="仿宋" w:cs="仿宋"/>
                <w:sz w:val="24"/>
                <w:szCs w:val="24"/>
                <w:vertAlign w:val="baseline"/>
                <w:lang w:val="en-US" w:eastAsia="zh-CN"/>
              </w:rPr>
              <w:t>案例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位 置</w:t>
            </w:r>
          </w:p>
        </w:tc>
        <w:tc>
          <w:tcPr>
            <w:tcW w:w="1446" w:type="dxa"/>
            <w:vAlign w:val="top"/>
          </w:tcPr>
          <w:p>
            <w:pPr>
              <w:numPr>
                <w:ilvl w:val="0"/>
                <w:numId w:val="0"/>
              </w:numPr>
              <w:ind w:left="0" w:leftChars="0" w:firstLine="0" w:firstLineChars="0"/>
              <w:jc w:val="both"/>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侨兴园4栋6068室</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侨兴园</w:t>
            </w:r>
          </w:p>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京珠</w:t>
            </w:r>
          </w:p>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京珠</w:t>
            </w:r>
          </w:p>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侨兴园</w:t>
            </w:r>
          </w:p>
        </w:tc>
        <w:tc>
          <w:tcPr>
            <w:tcW w:w="1567"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侨兴园</w:t>
            </w:r>
          </w:p>
        </w:tc>
        <w:tc>
          <w:tcPr>
            <w:tcW w:w="1550"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京珠小区</w:t>
            </w:r>
          </w:p>
        </w:tc>
        <w:tc>
          <w:tcPr>
            <w:tcW w:w="1633" w:type="dxa"/>
            <w:vAlign w:val="top"/>
          </w:tcPr>
          <w:p>
            <w:pPr>
              <w:numPr>
                <w:ilvl w:val="0"/>
                <w:numId w:val="0"/>
              </w:numPr>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京珠小区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2885</w:t>
            </w:r>
          </w:p>
        </w:tc>
        <w:tc>
          <w:tcPr>
            <w:tcW w:w="1550"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2756</w:t>
            </w:r>
          </w:p>
        </w:tc>
        <w:tc>
          <w:tcPr>
            <w:tcW w:w="1633"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2021.4</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2021.4</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2021.3</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6/6</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2/7</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5/7</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三房二厅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二房二厅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三房二厅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三房二厅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86.7%</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86.7%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88.3%</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2885</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2756</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102</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92</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2885</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2756</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67"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550"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33"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67"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550"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33"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67"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550"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33"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67"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550"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33" w:type="dxa"/>
            <w:vAlign w:val="top"/>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550" w:type="dxa"/>
            <w:vAlign w:val="top"/>
          </w:tcPr>
          <w:p>
            <w:pPr>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c>
          <w:tcPr>
            <w:tcW w:w="1833" w:type="dxa"/>
            <w:vAlign w:val="top"/>
          </w:tcPr>
          <w:p>
            <w:pPr>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102</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102</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2828</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2702</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2792</w:t>
            </w:r>
          </w:p>
        </w:tc>
      </w:tr>
    </w:tbl>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5、求取估价对象价值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评估单价=（2828+2702+2792）</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3=2774(元/平米)</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评估总值=2774×130.79≈362811(元)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估价人员根据估价目的，遵循估价原则，按照规定估价程序和方法，经过具体测算，确定估价对象在估价时点的市场价值为￥362811元(大写人民币叁拾陆万贰仟捌佰壹拾壹元整)。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二○二一年四月二十七日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decorative"/>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7A"/>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14FF8"/>
    <w:rsid w:val="00FE7031"/>
    <w:rsid w:val="07FA5C24"/>
    <w:rsid w:val="0C014FF8"/>
    <w:rsid w:val="0C51001F"/>
    <w:rsid w:val="0C7634FF"/>
    <w:rsid w:val="189B0DEC"/>
    <w:rsid w:val="1A9234A5"/>
    <w:rsid w:val="1BCE542B"/>
    <w:rsid w:val="1EF27252"/>
    <w:rsid w:val="33F31A49"/>
    <w:rsid w:val="3E1614B4"/>
    <w:rsid w:val="495751DE"/>
    <w:rsid w:val="5472041A"/>
    <w:rsid w:val="564B3523"/>
    <w:rsid w:val="78D51B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2021-04-26T01:02:00Z</dcterms:created>
  <dc:creator>Administrator</dc:creator>
  <cp:lastModifiedBy>Administrator</cp:lastModifiedBy>
  <dcterms:modified xsi:type="dcterms:W3CDTF">2021-04-27T01:50:45Z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