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.........................14-25</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.................................15</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.............................15</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（四）估价方法的选用.............................15-16</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（五）估价测算过程...............................16-25</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（六）估价结果确定..................................25</w:t>
      </w:r>
      <w:bookmarkStart w:id="0" w:name="_GoBack"/>
      <w:bookmarkEnd w:id="0"/>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孝感市孝南区人民法院：</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受贵方（以下简称委托方）的委托，本公司于2021年08月02日派员对委托方列明的刘松、徐亚星共有的、位于孝感市中建·国际花园D6幢1层105室，建筑面积为186.55㎡的住宅及建筑面积分别为68.03㎡、20.53㎡的地下室和车库（含相关权益）进行了现场实地查勘，并对估价对象房地产于估价时点2021年8月2日的市场价值进行了估价，为委托方处理案件确定房地产处置参考价提供价格咨询参考依据。</w:t>
      </w:r>
    </w:p>
    <w:p>
      <w:p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整个估价过程中，估价人员本着独立、客观、公正的原则，根据估价目的，收集有关资料，按照估价程序，选择市场法、成本法对估价对象进行了评估。估价人员经过实地勘察和测算，确定估价对象在估价时点可能形成的市场价值为￥2709818元(大写人民币贰佰柒拾万零玖仟捌佰壹拾捌元整)。其中：住宅房屋评估值为2481675元，地下室评估值为122250元，车库评估值为105893元。</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eastAsia="仿宋" w:cs="仿宋"/>
          <w:sz w:val="30"/>
          <w:szCs w:val="30"/>
          <w:lang w:val="en-US" w:eastAsia="zh-CN"/>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 w:hAnsi="仿宋" w:eastAsia="仿宋"/>
          <w:b/>
          <w:bCs/>
          <w:sz w:val="44"/>
          <w:szCs w:val="44"/>
          <w:highlight w:val="none"/>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二○二一年八月四日</w:t>
      </w:r>
    </w:p>
    <w:p>
      <w:pPr>
        <w:jc w:val="center"/>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 w:hAnsi="仿宋" w:eastAsia="仿宋"/>
          <w:b/>
          <w:bCs/>
          <w:sz w:val="44"/>
          <w:szCs w:val="44"/>
          <w:lang w:val="en-US" w:eastAsia="zh-CN"/>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仿宋" w:eastAsia="仿宋_GB2312"/>
          <w:b w:val="0"/>
          <w:bCs/>
          <w:sz w:val="28"/>
          <w:szCs w:val="28"/>
          <w:lang w:val="en-US" w:eastAsia="zh-CN"/>
        </w:rPr>
        <w:t>3、当事人或其他利害关系人对本估价报告如有异议，可以在收到估价报告10日内以书面形式向人民法院提出。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4、估价结果是根据估价对象使用年限、现场勘查情况，结合市场实际交易实例，采用市场法进行综合估算。</w:t>
      </w:r>
    </w:p>
    <w:p>
      <w:pPr>
        <w:numPr>
          <w:ilvl w:val="0"/>
          <w:numId w:val="0"/>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4、估价对象中地下室和车库的建筑面积是根据孝感市宏浩测绘有限公司测量的数量确定，建议其面积的确定最终以有权机关确认为准。若有差异，本公司可对评估结论作相应调整。</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5、评估过程中未考虑该房屋产权抵押、查封后对估价结果的影响。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 w:hAnsi="仿宋"/>
          <w:b/>
          <w:w w:val="40"/>
          <w:sz w:val="140"/>
          <w:szCs w:val="140"/>
          <w:highlight w:val="none"/>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二○二一年八月四日</w:t>
      </w: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1312" behindDoc="0" locked="0" layoutInCell="1" allowOverlap="1">
                <wp:simplePos x="0" y="0"/>
                <wp:positionH relativeFrom="column">
                  <wp:posOffset>80010</wp:posOffset>
                </wp:positionH>
                <wp:positionV relativeFrom="paragraph">
                  <wp:posOffset>346075</wp:posOffset>
                </wp:positionV>
                <wp:extent cx="5511800" cy="15240"/>
                <wp:effectExtent l="0" t="4445" r="12700" b="8890"/>
                <wp:wrapNone/>
                <wp:docPr id="1" name="直接连接符 1"/>
                <wp:cNvGraphicFramePr/>
                <a:graphic xmlns:a="http://schemas.openxmlformats.org/drawingml/2006/main">
                  <a:graphicData uri="http://schemas.microsoft.com/office/word/2010/wordprocessingShape">
                    <wps:wsp>
                      <wps:cNvCnPr/>
                      <wps:spPr>
                        <a:xfrm>
                          <a:off x="0" y="0"/>
                          <a:ext cx="5511800" cy="15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3pt;margin-top:27.25pt;height:1.2pt;width:434pt;z-index:251661312;mso-width-relative:page;mso-height-relative:page;" filled="f" stroked="t" coordsize="21600,21600" o:gfxdata="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dG5bvVAAAACAEAAA8AAAAA&#10;AAAAAQAgAAAAIgAAAGRycy9kb3ducmV2LnhtbFBLAQIUABQAAAAIAIdO4kAwEdxg3gEAAJoDAAAO&#10;AAAAAAAAAAEAIAAAACQBAABkcnMvZTJvRG9jLnhtbFBLBQYAAAAABgAGAFkBAAB0BQ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21</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71106</w:t>
      </w:r>
      <w:r>
        <w:rPr>
          <w:rFonts w:hint="eastAsia" w:ascii="仿宋_GB2312" w:hAnsi="仿宋" w:eastAsia="仿宋_GB2312"/>
          <w:kern w:val="13"/>
          <w:sz w:val="28"/>
          <w:szCs w:val="28"/>
          <w:highlight w:val="none"/>
        </w:rPr>
        <w:t>号</w:t>
      </w:r>
    </w:p>
    <w:p>
      <w:pPr>
        <w:jc w:val="center"/>
        <w:rPr>
          <w:rFonts w:hint="eastAsia" w:ascii="仿宋" w:hAnsi="仿宋" w:eastAsia="仿宋"/>
          <w:b/>
          <w:bCs/>
          <w:sz w:val="32"/>
          <w:szCs w:val="32"/>
          <w:lang w:eastAsia="zh-CN"/>
        </w:rPr>
      </w:pPr>
      <w:r>
        <w:rPr>
          <w:rFonts w:hint="eastAsia" w:ascii="仿宋" w:hAnsi="仿宋" w:eastAsia="仿宋"/>
          <w:b/>
          <w:bCs/>
          <w:sz w:val="32"/>
          <w:szCs w:val="32"/>
          <w:lang w:eastAsia="zh-CN"/>
        </w:rPr>
        <w:t>刘松、徐亚星共有的</w:t>
      </w:r>
    </w:p>
    <w:p>
      <w:pPr>
        <w:jc w:val="center"/>
        <w:rPr>
          <w:rFonts w:hint="eastAsia" w:ascii="仿宋" w:hAnsi="仿宋" w:eastAsia="仿宋"/>
          <w:b/>
          <w:bCs/>
          <w:color w:val="auto"/>
          <w:sz w:val="32"/>
          <w:szCs w:val="32"/>
          <w:lang w:val="en-US" w:eastAsia="zh-CN"/>
        </w:rPr>
      </w:pPr>
      <w:r>
        <w:rPr>
          <w:rFonts w:hint="eastAsia" w:ascii="仿宋" w:hAnsi="仿宋" w:eastAsia="仿宋"/>
          <w:b/>
          <w:bCs/>
          <w:sz w:val="32"/>
          <w:szCs w:val="32"/>
          <w:lang w:eastAsia="zh-CN"/>
        </w:rPr>
        <w:t>位于孝感市</w:t>
      </w:r>
      <w:r>
        <w:rPr>
          <w:rFonts w:hint="eastAsia" w:ascii="仿宋" w:hAnsi="仿宋" w:eastAsia="仿宋"/>
          <w:b/>
          <w:bCs/>
          <w:sz w:val="32"/>
          <w:szCs w:val="32"/>
          <w:lang w:val="en-US" w:eastAsia="zh-CN"/>
        </w:rPr>
        <w:t>中建</w:t>
      </w:r>
      <w:r>
        <w:rPr>
          <w:rFonts w:hint="eastAsia" w:ascii="仿宋" w:hAnsi="仿宋" w:eastAsia="仿宋" w:cs="仿宋"/>
          <w:b/>
          <w:bCs/>
          <w:sz w:val="32"/>
          <w:szCs w:val="32"/>
          <w:lang w:val="en-US" w:eastAsia="zh-CN"/>
        </w:rPr>
        <w:t>·</w:t>
      </w:r>
      <w:r>
        <w:rPr>
          <w:rFonts w:hint="eastAsia" w:ascii="仿宋" w:hAnsi="仿宋" w:eastAsia="仿宋"/>
          <w:b/>
          <w:bCs/>
          <w:sz w:val="32"/>
          <w:szCs w:val="32"/>
          <w:lang w:val="en-US" w:eastAsia="zh-CN"/>
        </w:rPr>
        <w:t>国际花园D6幢1层105</w:t>
      </w:r>
      <w:r>
        <w:rPr>
          <w:rFonts w:hint="eastAsia" w:ascii="仿宋" w:hAnsi="仿宋" w:eastAsia="仿宋"/>
          <w:b/>
          <w:bCs/>
          <w:color w:val="auto"/>
          <w:sz w:val="32"/>
          <w:szCs w:val="32"/>
          <w:lang w:val="en-US" w:eastAsia="zh-CN"/>
        </w:rPr>
        <w:t>室及车库</w:t>
      </w:r>
    </w:p>
    <w:p>
      <w:pPr>
        <w:jc w:val="center"/>
        <w:rPr>
          <w:rFonts w:ascii="仿宋" w:hAnsi="仿宋" w:eastAsia="仿宋"/>
          <w:b/>
          <w:bCs/>
          <w:sz w:val="36"/>
          <w:szCs w:val="36"/>
        </w:rPr>
      </w:pPr>
      <w:r>
        <w:rPr>
          <w:rFonts w:hint="eastAsia" w:ascii="仿宋" w:hAnsi="仿宋" w:eastAsia="仿宋"/>
          <w:b/>
          <w:bCs/>
          <w:sz w:val="32"/>
          <w:szCs w:val="32"/>
        </w:rPr>
        <w:t>房地产估价结果报告</w:t>
      </w:r>
    </w:p>
    <w:p>
      <w:pPr>
        <w:jc w:val="cente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委托方：孝感市孝南区人民法院</w:t>
      </w:r>
    </w:p>
    <w:p>
      <w:pPr>
        <w:numPr>
          <w:ilvl w:val="0"/>
          <w:numId w:val="1"/>
        </w:numPr>
        <w:ind w:left="0" w:leftChars="0"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住所：孝感市孝南区黄花路38号</w:t>
      </w:r>
    </w:p>
    <w:p>
      <w:pPr>
        <w:numPr>
          <w:ilvl w:val="0"/>
          <w:numId w:val="0"/>
        </w:num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住所：咸宁市长江产业园（书苑小区）3栋1单元12层1201号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本次估价对象范围为刘松、徐亚星共有的、位于孝感市董永路东侧中建·国际花园D6幢1层105室，建筑面积为186.55㎡的住宅及建筑面积分别为68.03㎡、20.53㎡的地下室和车库</w:t>
      </w:r>
      <w:r>
        <w:rPr>
          <w:rFonts w:hint="eastAsia" w:ascii="仿宋" w:hAnsi="仿宋" w:eastAsia="仿宋"/>
          <w:color w:val="auto"/>
          <w:sz w:val="30"/>
          <w:szCs w:val="30"/>
          <w:lang w:eastAsia="zh-CN"/>
        </w:rPr>
        <w:t>。</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根据委托方提供的司法鉴定委托书和不动产权利及其他事项登记信息等</w:t>
      </w:r>
      <w:r>
        <w:rPr>
          <w:rFonts w:hint="eastAsia" w:ascii="仿宋" w:hAnsi="仿宋" w:eastAsia="仿宋" w:cs="Arial"/>
          <w:color w:val="000000"/>
          <w:sz w:val="30"/>
          <w:szCs w:val="30"/>
          <w:lang w:eastAsia="zh-CN"/>
        </w:rPr>
        <w:t>资料</w:t>
      </w:r>
      <w:r>
        <w:rPr>
          <w:rFonts w:hint="eastAsia" w:ascii="仿宋_GB2312" w:hAnsi="宋体" w:eastAsia="仿宋_GB2312" w:cs="Times New Roman"/>
          <w:kern w:val="2"/>
          <w:sz w:val="28"/>
          <w:szCs w:val="28"/>
          <w:lang w:val="en-US" w:eastAsia="zh-CN" w:bidi="ar-SA"/>
        </w:rPr>
        <w:t>，可知估价对象实体状况如下：</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估价对象座落于孝感市董永路东侧中建·国际花园D6幢1层105室，建筑面积为186.55㎡，房屋所有权人为刘松、徐亚星，共同共有，分摊土地面积为52.2㎡，土地使用期限至2079年09月30日止，规划用途为住宅，房屋性质为市场化商品房，房屋结构为钢筋混凝土结构，所在层/总层数分别为1层/2层，不动产权证为鄂（2017）孝感市不动产权第0007057号，首次登记时间2013年01月25日，转移登记时间2017年08月17日</w:t>
      </w:r>
      <w:r>
        <w:rPr>
          <w:rFonts w:hint="eastAsia" w:ascii="仿宋_GB2312" w:hAnsi="宋体" w:eastAsia="仿宋_GB2312" w:cs="Times New Roman"/>
          <w:kern w:val="2"/>
          <w:sz w:val="28"/>
          <w:szCs w:val="28"/>
          <w:highlight w:val="none"/>
          <w:lang w:val="en-US" w:eastAsia="zh-CN" w:bidi="ar-SA"/>
        </w:rPr>
        <w:t>。</w:t>
      </w:r>
    </w:p>
    <w:p>
      <w:pPr>
        <w:ind w:firstLine="560" w:firstLineChars="20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经估价人员现场实物勘验和调查，估价对象于2010年竣工完成，位于孝感市董永路东侧中建·国际花园小区D幢，属联排别墅住宅房屋，南北朝向，总层数为3层，其中地下室一层，证载面积为地上一、二层，外观一般，室内为高档装修。第一层二室二厅一卫，二层为二室一厅一卫，客厅铺贴地板砖、墙砖，卧室铺贴木地板、墙纸，造型吊顶，安装全屋中央空调，维护保养较好。地下室位于本栋楼房底下，经测量净空高为2.45米，建筑面积为68.03㎡，室内简单装修，无房产手续；车库位于本栋楼房西北侧，经测量净高2.25米，库内水泥砂浆地面，墙面、顶棚白色乳胶漆粉刷，无房产手续</w:t>
      </w:r>
      <w:r>
        <w:rPr>
          <w:rFonts w:hint="eastAsia" w:ascii="仿宋" w:hAnsi="仿宋" w:eastAsia="仿宋"/>
          <w:sz w:val="30"/>
          <w:szCs w:val="30"/>
          <w:lang w:val="en-US" w:eastAsia="zh-CN"/>
        </w:rPr>
        <w:t>。</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highlight w:val="none"/>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二0二一年八月二日。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ind w:firstLine="280" w:firstLineChars="100"/>
        <w:jc w:val="left"/>
        <w:rPr>
          <w:rFonts w:hint="eastAsia" w:ascii="仿宋" w:hAnsi="仿宋" w:eastAsia="仿宋"/>
          <w:sz w:val="28"/>
          <w:szCs w:val="28"/>
        </w:rPr>
      </w:pP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成本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成本法是首先估算重新建造全新状态估价对象所需的</w:t>
      </w:r>
      <w:r>
        <w:rPr>
          <w:rFonts w:hint="eastAsia" w:ascii="仿宋" w:hAnsi="仿宋" w:eastAsia="仿宋" w:cs="仿宋"/>
          <w:sz w:val="28"/>
          <w:szCs w:val="28"/>
          <w:lang w:eastAsia="zh-CN"/>
        </w:rPr>
        <w:t>土地取得费用、开发成本、管理</w:t>
      </w:r>
      <w:r>
        <w:rPr>
          <w:rFonts w:hint="eastAsia" w:ascii="仿宋" w:hAnsi="仿宋" w:eastAsia="仿宋" w:cs="仿宋"/>
          <w:sz w:val="28"/>
          <w:szCs w:val="28"/>
        </w:rPr>
        <w:t>费用、</w:t>
      </w:r>
      <w:r>
        <w:rPr>
          <w:rFonts w:hint="eastAsia" w:ascii="仿宋" w:hAnsi="仿宋" w:eastAsia="仿宋" w:cs="仿宋"/>
          <w:sz w:val="28"/>
          <w:szCs w:val="28"/>
          <w:lang w:eastAsia="zh-CN"/>
        </w:rPr>
        <w:t>投资利息、</w:t>
      </w:r>
      <w:r>
        <w:rPr>
          <w:rFonts w:hint="eastAsia" w:ascii="仿宋" w:hAnsi="仿宋" w:eastAsia="仿宋" w:cs="仿宋"/>
          <w:sz w:val="28"/>
          <w:szCs w:val="28"/>
        </w:rPr>
        <w:t>应纳税金和正常开发利润求和，</w:t>
      </w:r>
      <w:r>
        <w:rPr>
          <w:rFonts w:hint="eastAsia" w:ascii="仿宋" w:hAnsi="仿宋" w:eastAsia="仿宋" w:cs="仿宋"/>
          <w:sz w:val="28"/>
          <w:szCs w:val="28"/>
          <w:lang w:eastAsia="zh-CN"/>
        </w:rPr>
        <w:t>求取估价时点的重新建造价格，</w:t>
      </w:r>
      <w:r>
        <w:rPr>
          <w:rFonts w:hint="eastAsia" w:ascii="仿宋" w:hAnsi="仿宋" w:eastAsia="仿宋" w:cs="仿宋"/>
          <w:sz w:val="28"/>
          <w:szCs w:val="28"/>
        </w:rPr>
        <w:t>再结合成新率估算出估价对象的市场价格。</w:t>
      </w:r>
    </w:p>
    <w:p>
      <w:pPr>
        <w:ind w:firstLine="560" w:firstLineChars="200"/>
        <w:rPr>
          <w:rFonts w:hint="eastAsia" w:ascii="仿宋_GB2312" w:hAnsi="仿宋" w:eastAsia="仿宋_GB2312"/>
          <w:b/>
          <w:sz w:val="28"/>
          <w:szCs w:val="28"/>
          <w:lang w:val="en-US" w:eastAsia="zh-CN"/>
        </w:rPr>
      </w:pPr>
      <w:r>
        <w:rPr>
          <w:rFonts w:hint="eastAsia" w:ascii="仿宋" w:hAnsi="仿宋" w:eastAsia="仿宋" w:cs="仿宋"/>
          <w:sz w:val="28"/>
          <w:szCs w:val="28"/>
        </w:rPr>
        <w:t>评估值=重新购建价格×成新率</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估价人员经过实地勘查和测算，确定估价对象在估价时点可能形成的市场价值为</w:t>
      </w:r>
      <w:r>
        <w:rPr>
          <w:rFonts w:hint="eastAsia" w:ascii="仿宋_GB2312" w:hAnsi="宋体" w:eastAsia="仿宋_GB2312" w:cs="Times New Roman"/>
          <w:kern w:val="2"/>
          <w:sz w:val="28"/>
          <w:szCs w:val="28"/>
          <w:highlight w:val="none"/>
          <w:lang w:val="en-US" w:eastAsia="zh-CN" w:bidi="ar-SA"/>
        </w:rPr>
        <w:t>￥2709818元</w:t>
      </w:r>
      <w:r>
        <w:rPr>
          <w:rFonts w:hint="eastAsia" w:ascii="仿宋_GB2312" w:hAnsi="宋体" w:eastAsia="仿宋_GB2312" w:cs="Times New Roman"/>
          <w:kern w:val="2"/>
          <w:sz w:val="28"/>
          <w:szCs w:val="28"/>
          <w:lang w:val="en-US" w:eastAsia="zh-CN" w:bidi="ar-SA"/>
        </w:rPr>
        <w:t>(大</w:t>
      </w:r>
      <w:r>
        <w:rPr>
          <w:rFonts w:hint="eastAsia" w:ascii="仿宋_GB2312" w:hAnsi="宋体" w:eastAsia="仿宋_GB2312" w:cs="Times New Roman"/>
          <w:kern w:val="2"/>
          <w:sz w:val="28"/>
          <w:szCs w:val="28"/>
          <w:highlight w:val="none"/>
          <w:lang w:val="en-US" w:eastAsia="zh-CN" w:bidi="ar-SA"/>
        </w:rPr>
        <w:t>写人民币贰佰柒拾万零玖仟捌佰壹拾捌元整)。其中：住宅房屋评估值为2481675元，地下室评估值为122250元，车库评估值为105893元。</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（十二）估价专业人员</w:t>
      </w:r>
      <w:r>
        <w:rPr>
          <w:rFonts w:hint="eastAsia" w:ascii="仿宋_GB2312" w:hAnsi="宋体" w:eastAsia="仿宋_GB2312" w:cs="Times New Roman"/>
          <w:kern w:val="2"/>
          <w:sz w:val="28"/>
          <w:szCs w:val="28"/>
          <w:lang w:val="en-US" w:eastAsia="zh-CN" w:bidi="ar-SA"/>
        </w:rPr>
        <w:t xml:space="preserve">   </w:t>
      </w:r>
    </w:p>
    <w:tbl>
      <w:tblPr>
        <w:tblStyle w:val="8"/>
        <w:tblpPr w:leftFromText="180" w:rightFromText="180" w:vertAnchor="text" w:horzAnchor="page" w:tblpXSpec="center" w:tblpY="81"/>
        <w:tblOverlap w:val="never"/>
        <w:tblW w:w="7722" w:type="dxa"/>
        <w:jc w:val="center"/>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875"/>
        <w:gridCol w:w="1625"/>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姓  名</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资格证名号</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资格证号</w:t>
            </w:r>
          </w:p>
        </w:tc>
        <w:tc>
          <w:tcPr>
            <w:tcW w:w="2765" w:type="dxa"/>
            <w:vAlign w:val="center"/>
          </w:tcPr>
          <w:p>
            <w:pPr>
              <w:spacing w:line="600" w:lineRule="exact"/>
              <w:jc w:val="center"/>
              <w:rPr>
                <w:rFonts w:hint="eastAsia" w:ascii="仿宋_GB2312" w:hAnsi="仿宋_GB2312" w:eastAsia="仿宋_GB2312" w:cs="仿宋_GB2312"/>
                <w:color w:val="000000"/>
                <w:sz w:val="24"/>
                <w:szCs w:val="24"/>
                <w:lang w:val="zh-CN"/>
              </w:rPr>
            </w:pPr>
            <w:r>
              <w:rPr>
                <w:rStyle w:val="11"/>
                <w:rFonts w:hint="eastAsia" w:ascii="仿宋" w:hAnsi="仿宋" w:eastAsia="仿宋" w:cs="宋体"/>
                <w:color w:val="000000"/>
                <w:sz w:val="30"/>
                <w:szCs w:val="30"/>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0"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孙  坚</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0003035</w:t>
            </w:r>
          </w:p>
        </w:tc>
        <w:tc>
          <w:tcPr>
            <w:tcW w:w="2765" w:type="dxa"/>
            <w:vAlign w:val="center"/>
          </w:tcPr>
          <w:p>
            <w:pPr>
              <w:pStyle w:val="4"/>
              <w:spacing w:line="600" w:lineRule="exact"/>
              <w:jc w:val="center"/>
              <w:rPr>
                <w:rFonts w:hint="eastAsia" w:ascii="仿宋_GB2312" w:hAnsi="仿宋_GB2312" w:eastAsia="仿宋_GB2312" w:cs="仿宋_GB2312"/>
                <w:color w:val="000000"/>
                <w:sz w:val="24"/>
                <w:szCs w:val="24"/>
                <w:lang w:val="zh-CN"/>
              </w:rPr>
            </w:pPr>
            <w:r>
              <w:rPr>
                <w:rFonts w:hint="eastAsia" w:ascii="仿宋" w:hAnsi="仿宋" w:eastAsia="仿宋" w:cs="仿宋"/>
                <w:sz w:val="32"/>
                <w:szCs w:val="32"/>
              </w:rPr>
              <w:drawing>
                <wp:anchor distT="0" distB="0" distL="114300" distR="114300" simplePos="0" relativeHeight="251718656" behindDoc="1" locked="0" layoutInCell="1" allowOverlap="1">
                  <wp:simplePos x="0" y="0"/>
                  <wp:positionH relativeFrom="column">
                    <wp:posOffset>19050</wp:posOffset>
                  </wp:positionH>
                  <wp:positionV relativeFrom="paragraph">
                    <wp:posOffset>145415</wp:posOffset>
                  </wp:positionV>
                  <wp:extent cx="1273810" cy="491490"/>
                  <wp:effectExtent l="0" t="0" r="2540" b="3810"/>
                  <wp:wrapNone/>
                  <wp:docPr id="2" name="图片 7"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3"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刘汉生</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0017039</w:t>
            </w:r>
          </w:p>
        </w:tc>
        <w:tc>
          <w:tcPr>
            <w:tcW w:w="2765" w:type="dxa"/>
            <w:vAlign w:val="center"/>
          </w:tcPr>
          <w:p>
            <w:pPr>
              <w:pStyle w:val="4"/>
              <w:rPr>
                <w:rFonts w:hint="eastAsia" w:ascii="仿宋" w:hAnsi="仿宋" w:eastAsia="仿宋"/>
                <w:color w:val="000000"/>
                <w:sz w:val="32"/>
                <w:szCs w:val="32"/>
              </w:rPr>
            </w:pPr>
            <w:r>
              <w:rPr>
                <w:lang w:val="zh-CN" w:eastAsia="zh-CN"/>
              </w:rPr>
              <w:drawing>
                <wp:anchor distT="0" distB="0" distL="114300" distR="114300" simplePos="0" relativeHeight="251720704" behindDoc="0" locked="0" layoutInCell="1" allowOverlap="1">
                  <wp:simplePos x="0" y="0"/>
                  <wp:positionH relativeFrom="column">
                    <wp:posOffset>-141605</wp:posOffset>
                  </wp:positionH>
                  <wp:positionV relativeFrom="paragraph">
                    <wp:posOffset>14605</wp:posOffset>
                  </wp:positionV>
                  <wp:extent cx="1494790" cy="1033780"/>
                  <wp:effectExtent l="0" t="0" r="10795" b="0"/>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8"/>
                          <a:stretch>
                            <a:fillRect/>
                          </a:stretch>
                        </pic:blipFill>
                        <pic:spPr>
                          <a:xfrm>
                            <a:off x="0" y="0"/>
                            <a:ext cx="1494790" cy="1033780"/>
                          </a:xfrm>
                          <a:prstGeom prst="rect">
                            <a:avLst/>
                          </a:prstGeom>
                          <a:noFill/>
                          <a:ln w="9525">
                            <a:noFill/>
                            <a:miter/>
                          </a:ln>
                          <a:effectLst/>
                        </pic:spPr>
                      </pic:pic>
                    </a:graphicData>
                  </a:graphic>
                </wp:anchor>
              </w:drawing>
            </w:r>
            <w:r>
              <w:rPr>
                <w:rFonts w:hint="eastAsia" w:ascii="仿宋" w:hAnsi="仿宋" w:eastAsia="仿宋"/>
                <w:color w:val="000000"/>
                <w:sz w:val="32"/>
                <w:szCs w:val="32"/>
              </w:rPr>
              <w:drawing>
                <wp:anchor distT="0" distB="0" distL="114300" distR="114300" simplePos="0" relativeHeight="251721728" behindDoc="0" locked="0" layoutInCell="1" allowOverlap="1">
                  <wp:simplePos x="0" y="0"/>
                  <wp:positionH relativeFrom="column">
                    <wp:posOffset>158115</wp:posOffset>
                  </wp:positionH>
                  <wp:positionV relativeFrom="page">
                    <wp:posOffset>209550</wp:posOffset>
                  </wp:positionV>
                  <wp:extent cx="635" cy="635"/>
                  <wp:effectExtent l="0" t="0" r="0" b="0"/>
                  <wp:wrapNone/>
                  <wp:docPr id="5" name="图片 5"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a:effectLst/>
                        </pic:spPr>
                      </pic:pic>
                    </a:graphicData>
                  </a:graphic>
                </wp:anchor>
              </w:drawing>
            </w:r>
          </w:p>
          <w:p>
            <w:pPr>
              <w:pStyle w:val="4"/>
              <w:rPr>
                <w:rFonts w:hint="eastAsia" w:ascii="仿宋_GB2312" w:hAnsi="仿宋_GB2312" w:eastAsia="仿宋_GB2312" w:cs="仿宋_GB2312"/>
                <w:color w:val="000000"/>
                <w:sz w:val="24"/>
                <w:szCs w:val="24"/>
                <w:lang w:val="zh-CN"/>
              </w:rPr>
            </w:pP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Style w:val="11"/>
          <w:rFonts w:hint="eastAsia" w:ascii="仿宋_GB2312" w:hAnsi="仿宋" w:eastAsia="仿宋_GB2312" w:cs="宋体"/>
          <w:b/>
          <w:sz w:val="28"/>
          <w:szCs w:val="28"/>
          <w:highlight w:val="none"/>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highlight w:val="none"/>
          <w:lang w:val="en-US" w:eastAsia="zh-CN"/>
        </w:rPr>
        <w:t>（十三）</w:t>
      </w:r>
      <w:r>
        <w:rPr>
          <w:rFonts w:hint="eastAsia" w:ascii="仿宋_GB2312" w:hAnsi="仿宋" w:eastAsia="仿宋_GB2312"/>
          <w:b/>
          <w:sz w:val="28"/>
          <w:szCs w:val="28"/>
          <w:highlight w:val="none"/>
        </w:rPr>
        <w:t>评估报告日</w:t>
      </w:r>
      <w:r>
        <w:rPr>
          <w:rStyle w:val="11"/>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1"/>
          <w:rFonts w:hint="eastAsia" w:ascii="仿宋_GB2312" w:hAnsi="仿宋" w:eastAsia="仿宋_GB2312" w:cs="宋体"/>
          <w:sz w:val="28"/>
          <w:szCs w:val="28"/>
          <w:highlight w:val="none"/>
        </w:rPr>
        <w:t>本次出具评估报告日期为20</w:t>
      </w:r>
      <w:r>
        <w:rPr>
          <w:rStyle w:val="11"/>
          <w:rFonts w:hint="eastAsia" w:ascii="仿宋_GB2312" w:hAnsi="仿宋" w:eastAsia="仿宋_GB2312" w:cs="宋体"/>
          <w:sz w:val="28"/>
          <w:szCs w:val="28"/>
          <w:highlight w:val="none"/>
          <w:lang w:val="en-US" w:eastAsia="zh-CN"/>
        </w:rPr>
        <w:t>21</w:t>
      </w:r>
      <w:r>
        <w:rPr>
          <w:rStyle w:val="11"/>
          <w:rFonts w:hint="eastAsia" w:ascii="仿宋_GB2312" w:hAnsi="仿宋" w:eastAsia="仿宋_GB2312" w:cs="宋体"/>
          <w:sz w:val="28"/>
          <w:szCs w:val="28"/>
          <w:highlight w:val="none"/>
        </w:rPr>
        <w:t>年</w:t>
      </w:r>
      <w:r>
        <w:rPr>
          <w:rStyle w:val="11"/>
          <w:rFonts w:hint="eastAsia" w:ascii="仿宋_GB2312" w:hAnsi="仿宋" w:eastAsia="仿宋_GB2312" w:cs="宋体"/>
          <w:sz w:val="28"/>
          <w:szCs w:val="28"/>
          <w:highlight w:val="none"/>
          <w:lang w:val="en-US" w:eastAsia="zh-CN"/>
        </w:rPr>
        <w:t>08</w:t>
      </w:r>
      <w:r>
        <w:rPr>
          <w:rStyle w:val="11"/>
          <w:rFonts w:hint="eastAsia" w:ascii="仿宋_GB2312" w:hAnsi="仿宋" w:eastAsia="仿宋_GB2312" w:cs="宋体"/>
          <w:sz w:val="28"/>
          <w:szCs w:val="28"/>
          <w:highlight w:val="none"/>
        </w:rPr>
        <w:t>月</w:t>
      </w:r>
      <w:r>
        <w:rPr>
          <w:rStyle w:val="11"/>
          <w:rFonts w:hint="eastAsia" w:ascii="仿宋_GB2312" w:hAnsi="仿宋" w:eastAsia="仿宋_GB2312" w:cs="宋体"/>
          <w:sz w:val="28"/>
          <w:szCs w:val="28"/>
          <w:highlight w:val="none"/>
          <w:lang w:val="en-US" w:eastAsia="zh-CN"/>
        </w:rPr>
        <w:t>04</w:t>
      </w:r>
      <w:r>
        <w:rPr>
          <w:rStyle w:val="11"/>
          <w:rFonts w:hint="eastAsia" w:ascii="仿宋_GB2312" w:hAnsi="仿宋" w:eastAsia="仿宋_GB2312" w:cs="宋体"/>
          <w:sz w:val="28"/>
          <w:szCs w:val="28"/>
          <w:highlight w:val="none"/>
        </w:rPr>
        <w:t>日</w:t>
      </w:r>
      <w:r>
        <w:rPr>
          <w:rStyle w:val="11"/>
          <w:rFonts w:hint="eastAsia" w:ascii="仿宋_GB2312" w:hAnsi="仿宋" w:eastAsia="仿宋_GB2312" w:cs="宋体"/>
          <w:sz w:val="28"/>
          <w:szCs w:val="28"/>
          <w:highlight w:val="none"/>
        </w:rPr>
        <w:t>。</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若无特别约定，估价结论有效期为从估价报告完成之日起壹年。超过有效期后需重新估价方可使用。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6"/>
          <w:szCs w:val="36"/>
          <w:highlight w:val="none"/>
          <w:lang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二0二一年八月四日</w:t>
      </w: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r>
        <w:rPr>
          <w:rFonts w:hint="eastAsia" w:ascii="仿宋" w:hAnsi="仿宋" w:eastAsia="仿宋"/>
          <w:b/>
          <w:bCs/>
          <w:sz w:val="36"/>
          <w:szCs w:val="36"/>
          <w:lang w:eastAsia="zh-CN"/>
        </w:rPr>
        <w:t>刘松、徐亚星共有的</w:t>
      </w:r>
    </w:p>
    <w:p>
      <w:pPr>
        <w:jc w:val="center"/>
        <w:rPr>
          <w:rFonts w:hint="eastAsia" w:ascii="仿宋" w:hAnsi="仿宋" w:eastAsia="仿宋"/>
          <w:b/>
          <w:bCs/>
          <w:color w:val="auto"/>
          <w:sz w:val="36"/>
          <w:szCs w:val="36"/>
          <w:lang w:val="en-US" w:eastAsia="zh-CN"/>
        </w:rPr>
      </w:pPr>
      <w:r>
        <w:rPr>
          <w:rFonts w:hint="eastAsia" w:ascii="仿宋" w:hAnsi="仿宋" w:eastAsia="仿宋"/>
          <w:b/>
          <w:bCs/>
          <w:sz w:val="36"/>
          <w:szCs w:val="36"/>
          <w:lang w:eastAsia="zh-CN"/>
        </w:rPr>
        <w:t>位于孝感市</w:t>
      </w:r>
      <w:r>
        <w:rPr>
          <w:rFonts w:hint="eastAsia" w:ascii="仿宋" w:hAnsi="仿宋" w:eastAsia="仿宋"/>
          <w:b/>
          <w:bCs/>
          <w:sz w:val="36"/>
          <w:szCs w:val="36"/>
          <w:lang w:val="en-US" w:eastAsia="zh-CN"/>
        </w:rPr>
        <w:t>中建</w:t>
      </w:r>
      <w:r>
        <w:rPr>
          <w:rFonts w:hint="eastAsia" w:ascii="仿宋" w:hAnsi="仿宋" w:eastAsia="仿宋" w:cs="仿宋"/>
          <w:b/>
          <w:bCs/>
          <w:sz w:val="36"/>
          <w:szCs w:val="36"/>
          <w:lang w:val="en-US" w:eastAsia="zh-CN"/>
        </w:rPr>
        <w:t>·</w:t>
      </w:r>
      <w:r>
        <w:rPr>
          <w:rFonts w:hint="eastAsia" w:ascii="仿宋" w:hAnsi="仿宋" w:eastAsia="仿宋"/>
          <w:b/>
          <w:bCs/>
          <w:sz w:val="36"/>
          <w:szCs w:val="36"/>
          <w:lang w:val="en-US" w:eastAsia="zh-CN"/>
        </w:rPr>
        <w:t>国际花园D6幢1层105</w:t>
      </w:r>
      <w:r>
        <w:rPr>
          <w:rFonts w:hint="eastAsia" w:ascii="仿宋" w:hAnsi="仿宋" w:eastAsia="仿宋"/>
          <w:b/>
          <w:bCs/>
          <w:color w:val="auto"/>
          <w:sz w:val="36"/>
          <w:szCs w:val="36"/>
          <w:lang w:val="en-US" w:eastAsia="zh-CN"/>
        </w:rPr>
        <w:t>室及车库</w:t>
      </w:r>
    </w:p>
    <w:p>
      <w:pPr>
        <w:jc w:val="center"/>
        <w:rPr>
          <w:rFonts w:hint="eastAsia" w:ascii="仿宋" w:hAnsi="仿宋" w:eastAsia="仿宋"/>
          <w:b/>
          <w:bCs/>
          <w:sz w:val="36"/>
          <w:szCs w:val="36"/>
        </w:rPr>
      </w:pPr>
      <w:r>
        <w:rPr>
          <w:rFonts w:hint="eastAsia" w:ascii="仿宋" w:hAnsi="仿宋" w:eastAsia="仿宋"/>
          <w:b/>
          <w:bCs/>
          <w:sz w:val="36"/>
          <w:szCs w:val="36"/>
        </w:rPr>
        <w:t>房地产估价技术报告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估价对象座落于孝感市董永路东侧中建·国际花园D6幢1层105室，建筑面积为186.55㎡，房屋所有权人为刘松、徐亚星，共同共有，分摊土地面积为52.2㎡，土地使用期限至2079年09月30日止，规划用途为住宅，房屋性质为市场化商品房，房屋结构为钢筋混凝土结构，所在层/总层数分别为1层/2层，不动产权证为鄂（2017）孝感市不动产权第0007057号，首次登记时间2013年01月25日，转移登记时间2017年08月17日</w:t>
      </w:r>
      <w:r>
        <w:rPr>
          <w:rFonts w:hint="eastAsia" w:ascii="仿宋_GB2312" w:hAnsi="宋体" w:eastAsia="仿宋_GB2312" w:cs="Times New Roman"/>
          <w:kern w:val="2"/>
          <w:sz w:val="28"/>
          <w:szCs w:val="28"/>
          <w:highlight w:val="none"/>
          <w:lang w:val="en-US" w:eastAsia="zh-CN" w:bidi="ar-SA"/>
        </w:rPr>
        <w:t>。</w:t>
      </w:r>
    </w:p>
    <w:p>
      <w:pPr>
        <w:ind w:firstLine="560" w:firstLineChars="20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经估价人员现场实物勘验和调查，估价对象于2010年竣工完成，位于孝感市董永路东侧中建·国际花园小区D幢，属联排别墅住宅房屋，南北朝向，总层数为3层，其中地下室一层，证载面积为地上一、二层，外观一般，室内为高档装修。第一层二室二厅一卫，二层为二室一厅一卫，客厅铺贴地板砖、墙砖，卧室铺贴木地板、墙纸，造型吊顶，安装全屋中央空调，维护保养较好。地下室位于本栋楼房底下，经测量净空高为2.45米，建筑面积为68.03㎡，室内简单装修，无房产手续；车库位于本栋楼房西北侧，经测量净高2.25米，库内水泥砂浆地面，墙面、顶棚白色乳胶漆粉刷，无房产手续</w:t>
      </w:r>
      <w:r>
        <w:rPr>
          <w:rFonts w:hint="eastAsia" w:ascii="仿宋" w:hAnsi="仿宋" w:eastAsia="仿宋"/>
          <w:sz w:val="30"/>
          <w:szCs w:val="30"/>
          <w:lang w:val="en-US" w:eastAsia="zh-CN"/>
        </w:rPr>
        <w:t>。</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二、估价对象区域因素分析</w:t>
      </w:r>
    </w:p>
    <w:p>
      <w:p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对象座落于孝感市董永路东侧中建·国际花园小区。该小区规模大，绿化率高，居住环境尚可，物业管理好，24小时保安值守；处于孝感市东城核心区、政治文化中心，属于商业转旺区；配套学校有城际小学、黄香学校及其他民营艺术培训学校，孝感市委、市政府、市民之家、文化中心、人社局等机关、团体遍布周围，附近还有槐荫公园、各类专业银行、菜市场，多路公交通达，且距孝感东站千米左右，周边基础设施、生活配套设施较为完善齐全，交通便利，居住氛围较好</w:t>
      </w:r>
      <w:r>
        <w:rPr>
          <w:rFonts w:hint="eastAsia" w:ascii="仿宋_GB2312" w:hAnsi="宋体" w:eastAsia="仿宋_GB2312" w:cs="Times New Roman"/>
          <w:kern w:val="2"/>
          <w:sz w:val="28"/>
          <w:szCs w:val="28"/>
          <w:lang w:val="en-US" w:eastAsia="zh-CN" w:bidi="ar-SA"/>
        </w:rPr>
        <w:t>。</w:t>
      </w:r>
    </w:p>
    <w:p>
      <w:pPr>
        <w:numPr>
          <w:ilvl w:val="0"/>
          <w:numId w:val="0"/>
        </w:numPr>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 xml:space="preserve">    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四、估价方法的选用</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的特点，调查房地产中介机构有类似房地产交易案例，并对估价对象进行现场勘验，经过反复研究，我们采用了市场法评估住宅房屋和车库，采用成本法评估地下室，最后综合测算估价对象的公开市场价值。</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市场法是指通过比较被评估资产与最近售出类似资产的异同，并将类似的市场价格进行调整，从而确定被评估资产价值的一种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宋体" w:eastAsia="仿宋_GB2312" w:cs="Times New Roman"/>
          <w:b/>
          <w:bCs/>
          <w:kern w:val="2"/>
          <w:sz w:val="28"/>
          <w:szCs w:val="28"/>
          <w:highlight w:val="none"/>
          <w:lang w:val="en-US" w:eastAsia="zh-CN" w:bidi="ar-SA"/>
        </w:rPr>
        <w:t xml:space="preserve">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成本法是首先估算重新建造全新状态估价对象所需的</w:t>
      </w:r>
      <w:r>
        <w:rPr>
          <w:rFonts w:hint="eastAsia" w:ascii="仿宋" w:hAnsi="仿宋" w:eastAsia="仿宋" w:cs="仿宋"/>
          <w:sz w:val="28"/>
          <w:szCs w:val="28"/>
          <w:lang w:eastAsia="zh-CN"/>
        </w:rPr>
        <w:t>土地取得费用、开发成本、管理</w:t>
      </w:r>
      <w:r>
        <w:rPr>
          <w:rFonts w:hint="eastAsia" w:ascii="仿宋" w:hAnsi="仿宋" w:eastAsia="仿宋" w:cs="仿宋"/>
          <w:sz w:val="28"/>
          <w:szCs w:val="28"/>
        </w:rPr>
        <w:t>费用、</w:t>
      </w:r>
      <w:r>
        <w:rPr>
          <w:rFonts w:hint="eastAsia" w:ascii="仿宋" w:hAnsi="仿宋" w:eastAsia="仿宋" w:cs="仿宋"/>
          <w:sz w:val="28"/>
          <w:szCs w:val="28"/>
          <w:lang w:eastAsia="zh-CN"/>
        </w:rPr>
        <w:t>投资利息、</w:t>
      </w:r>
      <w:r>
        <w:rPr>
          <w:rFonts w:hint="eastAsia" w:ascii="仿宋" w:hAnsi="仿宋" w:eastAsia="仿宋" w:cs="仿宋"/>
          <w:sz w:val="28"/>
          <w:szCs w:val="28"/>
        </w:rPr>
        <w:t>应纳税金和正常开发利润求和，</w:t>
      </w:r>
      <w:r>
        <w:rPr>
          <w:rFonts w:hint="eastAsia" w:ascii="仿宋" w:hAnsi="仿宋" w:eastAsia="仿宋" w:cs="仿宋"/>
          <w:sz w:val="28"/>
          <w:szCs w:val="28"/>
          <w:lang w:eastAsia="zh-CN"/>
        </w:rPr>
        <w:t>求取估价时点的重新建造价格，</w:t>
      </w:r>
      <w:r>
        <w:rPr>
          <w:rFonts w:hint="eastAsia" w:ascii="仿宋" w:hAnsi="仿宋" w:eastAsia="仿宋" w:cs="仿宋"/>
          <w:sz w:val="28"/>
          <w:szCs w:val="28"/>
        </w:rPr>
        <w:t>再结合成新率估算出估价对象的市场价格。</w:t>
      </w:r>
    </w:p>
    <w:p>
      <w:pPr>
        <w:ind w:firstLine="560" w:firstLineChars="200"/>
        <w:rPr>
          <w:rFonts w:hint="eastAsia" w:ascii="仿宋_GB2312" w:hAnsi="宋体" w:eastAsia="仿宋_GB2312" w:cs="Times New Roman"/>
          <w:b/>
          <w:bCs/>
          <w:kern w:val="2"/>
          <w:sz w:val="28"/>
          <w:szCs w:val="28"/>
          <w:highlight w:val="none"/>
          <w:lang w:val="en-US" w:eastAsia="zh-CN" w:bidi="ar-SA"/>
        </w:rPr>
      </w:pPr>
      <w:r>
        <w:rPr>
          <w:rFonts w:hint="eastAsia" w:ascii="仿宋" w:hAnsi="仿宋" w:eastAsia="仿宋" w:cs="仿宋"/>
          <w:sz w:val="28"/>
          <w:szCs w:val="28"/>
        </w:rPr>
        <w:t>评估值=重新购建价格×成新率</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接受委托后，我们会同委托人及相关当事人对估价对象进行了实地勘查，随后开展了广泛的市场调查，确定</w:t>
      </w:r>
      <w:r>
        <w:rPr>
          <w:rFonts w:hint="eastAsia" w:ascii="仿宋" w:hAnsi="仿宋" w:eastAsia="仿宋"/>
          <w:sz w:val="28"/>
          <w:szCs w:val="28"/>
        </w:rPr>
        <w:t>采用</w:t>
      </w:r>
      <w:r>
        <w:rPr>
          <w:rFonts w:hint="eastAsia" w:ascii="仿宋_GB2312" w:hAnsi="宋体" w:eastAsia="仿宋_GB2312" w:cs="Times New Roman"/>
          <w:kern w:val="2"/>
          <w:sz w:val="28"/>
          <w:szCs w:val="28"/>
          <w:lang w:val="en-US" w:eastAsia="zh-CN" w:bidi="ar-SA"/>
        </w:rPr>
        <w:t>市场法、成本法分别进行了估价测算。</w:t>
      </w:r>
    </w:p>
    <w:p>
      <w:pPr>
        <w:numPr>
          <w:ilvl w:val="0"/>
          <w:numId w:val="2"/>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住宅房屋价格的评估</w:t>
      </w:r>
    </w:p>
    <w:p>
      <w:p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估价对象座中的住宅房屋位于</w:t>
      </w:r>
      <w:r>
        <w:rPr>
          <w:rFonts w:hint="eastAsia" w:ascii="仿宋" w:hAnsi="仿宋" w:eastAsia="仿宋"/>
          <w:color w:val="auto"/>
          <w:sz w:val="30"/>
          <w:szCs w:val="30"/>
          <w:lang w:eastAsia="zh-CN"/>
        </w:rPr>
        <w:t>孝感市董永路东侧中建</w:t>
      </w:r>
      <w:r>
        <w:rPr>
          <w:rFonts w:hint="eastAsia" w:ascii="仿宋" w:hAnsi="仿宋" w:eastAsia="仿宋" w:cs="仿宋"/>
          <w:color w:val="auto"/>
          <w:sz w:val="30"/>
          <w:szCs w:val="30"/>
          <w:lang w:eastAsia="zh-CN"/>
        </w:rPr>
        <w:t>·</w:t>
      </w:r>
      <w:r>
        <w:rPr>
          <w:rFonts w:hint="eastAsia" w:ascii="仿宋" w:hAnsi="仿宋" w:eastAsia="仿宋"/>
          <w:color w:val="auto"/>
          <w:sz w:val="30"/>
          <w:szCs w:val="30"/>
          <w:lang w:eastAsia="zh-CN"/>
        </w:rPr>
        <w:t>国际花园</w:t>
      </w:r>
      <w:r>
        <w:rPr>
          <w:rFonts w:hint="eastAsia" w:ascii="仿宋" w:hAnsi="仿宋" w:eastAsia="仿宋"/>
          <w:color w:val="auto"/>
          <w:sz w:val="30"/>
          <w:szCs w:val="30"/>
          <w:lang w:val="en-US" w:eastAsia="zh-CN"/>
        </w:rPr>
        <w:t>D6幢1层105室</w:t>
      </w:r>
      <w:r>
        <w:rPr>
          <w:rFonts w:hint="eastAsia" w:ascii="仿宋" w:hAnsi="仿宋" w:eastAsia="仿宋"/>
          <w:color w:val="auto"/>
          <w:sz w:val="30"/>
          <w:szCs w:val="30"/>
        </w:rPr>
        <w:t>，建筑面积为</w:t>
      </w:r>
      <w:r>
        <w:rPr>
          <w:rFonts w:hint="eastAsia" w:ascii="仿宋" w:hAnsi="仿宋" w:eastAsia="仿宋"/>
          <w:color w:val="auto"/>
          <w:sz w:val="30"/>
          <w:szCs w:val="30"/>
          <w:lang w:val="en-US" w:eastAsia="zh-CN"/>
        </w:rPr>
        <w:t>186.55㎡，</w:t>
      </w:r>
      <w:r>
        <w:rPr>
          <w:rFonts w:hint="eastAsia" w:ascii="仿宋" w:hAnsi="仿宋" w:eastAsia="仿宋"/>
          <w:sz w:val="28"/>
          <w:szCs w:val="28"/>
          <w:lang w:val="en-US" w:eastAsia="zh-CN"/>
        </w:rPr>
        <w:t>估价人员采用市场法进行评估测算。</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针对估价对象的功能和特点，根据替代原则，按用途相同、土地级别相同、价格类型相同等特点，对与估价对象同一区域内的类似住宅房屋价格进行了市场调查和比较分析，按照估价要求，筛选三个可比实例。</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实例A：中建</w:t>
      </w:r>
      <w:r>
        <w:rPr>
          <w:rFonts w:hint="eastAsia" w:ascii="仿宋" w:hAnsi="仿宋" w:eastAsia="仿宋" w:cs="仿宋"/>
          <w:kern w:val="2"/>
          <w:sz w:val="28"/>
          <w:szCs w:val="28"/>
          <w:lang w:val="en-US" w:eastAsia="zh-CN" w:bidi="ar-SA"/>
        </w:rPr>
        <w:t>·</w:t>
      </w:r>
      <w:r>
        <w:rPr>
          <w:rFonts w:hint="eastAsia" w:ascii="仿宋_GB2312" w:hAnsi="宋体" w:eastAsia="仿宋_GB2312" w:cs="Times New Roman"/>
          <w:kern w:val="2"/>
          <w:sz w:val="28"/>
          <w:szCs w:val="28"/>
          <w:lang w:val="en-US" w:eastAsia="zh-CN" w:bidi="ar-SA"/>
        </w:rPr>
        <w:t>国际花园小区别墅住宅，2013年建成，总层数2层，所在层1-2层，南北朝向，高档装修，建筑面积187.69㎡，四室二厅，拟交易总价272万，折合单价约为</w:t>
      </w:r>
      <w:r>
        <w:rPr>
          <w:rFonts w:hint="eastAsia" w:ascii="仿宋" w:hAnsi="仿宋" w:eastAsia="仿宋" w:cs="仿宋"/>
          <w:sz w:val="30"/>
          <w:szCs w:val="30"/>
          <w:vertAlign w:val="baseline"/>
          <w:lang w:val="en-US" w:eastAsia="zh-CN"/>
        </w:rPr>
        <w:t>14492</w:t>
      </w:r>
      <w:r>
        <w:rPr>
          <w:rFonts w:hint="eastAsia" w:ascii="仿宋_GB2312" w:hAnsi="宋体" w:eastAsia="仿宋_GB2312" w:cs="Times New Roman"/>
          <w:kern w:val="2"/>
          <w:sz w:val="28"/>
          <w:szCs w:val="28"/>
          <w:lang w:val="en-US" w:eastAsia="zh-CN" w:bidi="ar-SA"/>
        </w:rPr>
        <w:t>元/㎡，拟交易日期2021年05月份。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实例B：湾流汇铜雀台宜居小区别墅住宅，2010年建成，总层数3层，所在层1--3层，南北朝向，中档装修，建筑面积180㎡，四室三厅，拟交易总价210万，折合单价约为11667元/㎡，拟交易日期2021年05月份。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实例C：湾流汇铜雀台宜居小区别墅住宅，2010年建成，总层数3层，所在层1-3层，南北朝向，中档装修，建筑面积166.47㎡，四室二厅，拟交易总价210万，折合单价约为12615元/㎡，拟交易日期2021年4月份。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46"/>
        <w:gridCol w:w="15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A </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B </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3" w:hRule="atLeast"/>
        </w:trPr>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座 落</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位 置</w:t>
            </w:r>
          </w:p>
        </w:tc>
        <w:tc>
          <w:tcPr>
            <w:tcW w:w="1446" w:type="dxa"/>
            <w:vAlign w:val="top"/>
          </w:tcPr>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中建·国际花园小区</w:t>
            </w:r>
          </w:p>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D6幢1层</w:t>
            </w:r>
          </w:p>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color w:val="auto"/>
                <w:sz w:val="24"/>
                <w:szCs w:val="24"/>
                <w:lang w:val="en-US" w:eastAsia="zh-CN"/>
              </w:rPr>
              <w:t>105室</w:t>
            </w:r>
          </w:p>
        </w:tc>
        <w:tc>
          <w:tcPr>
            <w:tcW w:w="1567" w:type="dxa"/>
            <w:vAlign w:val="top"/>
          </w:tcPr>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中建·国际花园小区</w:t>
            </w:r>
          </w:p>
        </w:tc>
        <w:tc>
          <w:tcPr>
            <w:tcW w:w="1550" w:type="dxa"/>
            <w:vAlign w:val="top"/>
          </w:tcPr>
          <w:p>
            <w:pPr>
              <w:numPr>
                <w:ilvl w:val="0"/>
                <w:numId w:val="0"/>
              </w:numPr>
              <w:ind w:left="0" w:leftChars="0" w:firstLine="0" w:firstLineChars="0"/>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铜雀台</w:t>
            </w:r>
          </w:p>
          <w:p>
            <w:pPr>
              <w:numPr>
                <w:ilvl w:val="0"/>
                <w:numId w:val="0"/>
              </w:numPr>
              <w:ind w:left="0" w:leftChars="0" w:firstLine="0" w:firstLineChars="0"/>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宜居小区</w:t>
            </w:r>
          </w:p>
        </w:tc>
        <w:tc>
          <w:tcPr>
            <w:tcW w:w="1633" w:type="dxa"/>
            <w:vAlign w:val="top"/>
          </w:tcPr>
          <w:p>
            <w:pPr>
              <w:numPr>
                <w:ilvl w:val="0"/>
                <w:numId w:val="0"/>
              </w:numPr>
              <w:ind w:left="0" w:leftChars="0" w:firstLine="0" w:firstLineChars="0"/>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铜雀台</w:t>
            </w:r>
          </w:p>
          <w:p>
            <w:pPr>
              <w:numPr>
                <w:ilvl w:val="0"/>
                <w:numId w:val="0"/>
              </w:numPr>
              <w:ind w:left="0" w:leftChars="0" w:firstLine="0" w:firstLineChars="0"/>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宜居小区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楼盘名称</w:t>
            </w:r>
          </w:p>
        </w:tc>
        <w:tc>
          <w:tcPr>
            <w:tcW w:w="1446" w:type="dxa"/>
            <w:vAlign w:val="top"/>
          </w:tcPr>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中建·</w:t>
            </w:r>
          </w:p>
          <w:p>
            <w:pPr>
              <w:numPr>
                <w:ilvl w:val="0"/>
                <w:numId w:val="0"/>
              </w:numPr>
              <w:ind w:left="0" w:leftChars="0" w:firstLine="0" w:firstLineChars="0"/>
              <w:jc w:val="center"/>
              <w:rPr>
                <w:rFonts w:hint="default" w:ascii="仿宋" w:hAnsi="仿宋" w:eastAsia="仿宋" w:cs="仿宋"/>
                <w:sz w:val="30"/>
                <w:szCs w:val="30"/>
                <w:vertAlign w:val="baseline"/>
                <w:lang w:val="en-US" w:eastAsia="zh-CN"/>
              </w:rPr>
            </w:pPr>
            <w:r>
              <w:rPr>
                <w:rFonts w:hint="eastAsia" w:ascii="仿宋" w:hAnsi="仿宋" w:eastAsia="仿宋" w:cs="仿宋"/>
                <w:color w:val="auto"/>
                <w:sz w:val="24"/>
                <w:szCs w:val="24"/>
                <w:lang w:val="en-US" w:eastAsia="zh-CN"/>
              </w:rPr>
              <w:t>国际花园</w:t>
            </w:r>
          </w:p>
        </w:tc>
        <w:tc>
          <w:tcPr>
            <w:tcW w:w="1567" w:type="dxa"/>
            <w:vAlign w:val="top"/>
          </w:tcPr>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中建·</w:t>
            </w:r>
          </w:p>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国际花园</w:t>
            </w:r>
          </w:p>
        </w:tc>
        <w:tc>
          <w:tcPr>
            <w:tcW w:w="1550" w:type="dxa"/>
            <w:vAlign w:val="top"/>
          </w:tcPr>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铜雀台</w:t>
            </w:r>
          </w:p>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宜居小区</w:t>
            </w:r>
          </w:p>
        </w:tc>
        <w:tc>
          <w:tcPr>
            <w:tcW w:w="1633" w:type="dxa"/>
            <w:vAlign w:val="top"/>
          </w:tcPr>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铜雀台</w:t>
            </w:r>
          </w:p>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宜居小区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w:t>
            </w:r>
            <w:r>
              <w:rPr>
                <w:rFonts w:hint="eastAsia" w:ascii="仿宋" w:hAnsi="仿宋" w:eastAsia="仿宋" w:cs="仿宋"/>
                <w:color w:val="auto"/>
                <w:sz w:val="28"/>
                <w:szCs w:val="28"/>
                <w:lang w:val="en-US" w:eastAsia="zh-CN"/>
              </w:rPr>
              <w:t>M</w:t>
            </w:r>
            <w:r>
              <w:rPr>
                <w:rFonts w:hint="eastAsia" w:ascii="仿宋" w:hAnsi="仿宋" w:eastAsia="仿宋" w:cs="仿宋"/>
                <w:color w:val="auto"/>
                <w:sz w:val="28"/>
                <w:szCs w:val="28"/>
                <w:vertAlign w:val="superscript"/>
                <w:lang w:val="en-US" w:eastAsia="zh-CN"/>
              </w:rPr>
              <w:t>2</w:t>
            </w:r>
            <w:r>
              <w:rPr>
                <w:rFonts w:hint="eastAsia" w:ascii="仿宋" w:hAnsi="仿宋" w:eastAsia="仿宋" w:cs="仿宋"/>
                <w:sz w:val="28"/>
                <w:szCs w:val="28"/>
                <w:vertAlign w:val="baseline"/>
                <w:lang w:val="en-US" w:eastAsia="zh-CN"/>
              </w:rPr>
              <w:t>)</w:t>
            </w:r>
          </w:p>
        </w:tc>
        <w:tc>
          <w:tcPr>
            <w:tcW w:w="1446"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567"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14492</w:t>
            </w:r>
          </w:p>
        </w:tc>
        <w:tc>
          <w:tcPr>
            <w:tcW w:w="155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11667</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12615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446"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状况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交易日期</w:t>
            </w:r>
          </w:p>
        </w:tc>
        <w:tc>
          <w:tcPr>
            <w:tcW w:w="1446"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2021.08</w:t>
            </w:r>
          </w:p>
        </w:tc>
        <w:tc>
          <w:tcPr>
            <w:tcW w:w="1567"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2021.07</w:t>
            </w:r>
          </w:p>
        </w:tc>
        <w:tc>
          <w:tcPr>
            <w:tcW w:w="1550"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2021.07</w:t>
            </w:r>
          </w:p>
        </w:tc>
        <w:tc>
          <w:tcPr>
            <w:tcW w:w="1633"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2021.06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较繁华</w:t>
            </w:r>
          </w:p>
        </w:tc>
        <w:tc>
          <w:tcPr>
            <w:tcW w:w="1567"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较繁华</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较繁华</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较繁华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完善</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完善</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完善</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446"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67"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5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4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5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6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权益状况说明</w:t>
            </w: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房产类型</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权属清晰情况</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46"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3/1-2</w:t>
            </w:r>
          </w:p>
        </w:tc>
        <w:tc>
          <w:tcPr>
            <w:tcW w:w="1567"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1-2/2</w:t>
            </w:r>
          </w:p>
        </w:tc>
        <w:tc>
          <w:tcPr>
            <w:tcW w:w="155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1-3/3</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面积大小</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布局户型</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四室三厅</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四室二厅</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四室三厅</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四室二厅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装修情况</w:t>
            </w:r>
          </w:p>
        </w:tc>
        <w:tc>
          <w:tcPr>
            <w:tcW w:w="1446" w:type="dxa"/>
            <w:vAlign w:val="top"/>
          </w:tcPr>
          <w:p>
            <w:pPr>
              <w:jc w:val="center"/>
              <w:rPr>
                <w:rFonts w:hint="default" w:ascii="仿宋" w:hAnsi="仿宋" w:eastAsia="仿宋" w:cs="仿宋"/>
                <w:color w:val="000000" w:themeColor="text1"/>
                <w:sz w:val="28"/>
                <w:szCs w:val="28"/>
                <w:vertAlign w:val="baseline"/>
                <w:lang w:val="en-US" w:eastAsia="zh-CN"/>
                <w14:textFill>
                  <w14:solidFill>
                    <w14:schemeClr w14:val="tx1"/>
                  </w14:solidFill>
                </w14:textFill>
              </w:rPr>
            </w:pPr>
            <w:r>
              <w:rPr>
                <w:rFonts w:hint="eastAsia" w:ascii="仿宋" w:hAnsi="仿宋" w:eastAsia="仿宋" w:cs="仿宋"/>
                <w:color w:val="000000" w:themeColor="text1"/>
                <w:sz w:val="28"/>
                <w:szCs w:val="28"/>
                <w:vertAlign w:val="baseline"/>
                <w:lang w:val="en-US" w:eastAsia="zh-CN"/>
                <w14:textFill>
                  <w14:solidFill>
                    <w14:schemeClr w14:val="tx1"/>
                  </w14:solidFill>
                </w14:textFill>
              </w:rPr>
              <w:t>高档装修</w:t>
            </w:r>
          </w:p>
        </w:tc>
        <w:tc>
          <w:tcPr>
            <w:tcW w:w="1567" w:type="dxa"/>
            <w:vAlign w:val="top"/>
          </w:tcPr>
          <w:p>
            <w:pPr>
              <w:jc w:val="center"/>
              <w:rPr>
                <w:rFonts w:hint="eastAsia" w:ascii="仿宋" w:hAnsi="仿宋" w:eastAsia="仿宋" w:cs="仿宋"/>
                <w:color w:val="000000" w:themeColor="text1"/>
                <w:sz w:val="28"/>
                <w:szCs w:val="28"/>
                <w:vertAlign w:val="baseline"/>
                <w:lang w:val="en-US" w:eastAsia="zh-CN"/>
                <w14:textFill>
                  <w14:solidFill>
                    <w14:schemeClr w14:val="tx1"/>
                  </w14:solidFill>
                </w14:textFill>
              </w:rPr>
            </w:pPr>
            <w:r>
              <w:rPr>
                <w:rFonts w:hint="eastAsia" w:ascii="仿宋" w:hAnsi="仿宋" w:eastAsia="仿宋" w:cs="仿宋"/>
                <w:color w:val="000000" w:themeColor="text1"/>
                <w:sz w:val="28"/>
                <w:szCs w:val="28"/>
                <w:vertAlign w:val="baseline"/>
                <w:lang w:val="en-US" w:eastAsia="zh-CN"/>
                <w14:textFill>
                  <w14:solidFill>
                    <w14:schemeClr w14:val="tx1"/>
                  </w14:solidFill>
                </w14:textFill>
              </w:rPr>
              <w:t>高档装修</w:t>
            </w:r>
          </w:p>
        </w:tc>
        <w:tc>
          <w:tcPr>
            <w:tcW w:w="1550" w:type="dxa"/>
            <w:vAlign w:val="top"/>
          </w:tcPr>
          <w:p>
            <w:pPr>
              <w:jc w:val="center"/>
              <w:rPr>
                <w:rFonts w:hint="default" w:ascii="仿宋" w:hAnsi="仿宋" w:eastAsia="仿宋" w:cs="仿宋"/>
                <w:color w:val="000000" w:themeColor="text1"/>
                <w:sz w:val="28"/>
                <w:szCs w:val="28"/>
                <w:vertAlign w:val="baseline"/>
                <w:lang w:val="en-US" w:eastAsia="zh-CN"/>
                <w14:textFill>
                  <w14:solidFill>
                    <w14:schemeClr w14:val="tx1"/>
                  </w14:solidFill>
                </w14:textFill>
              </w:rPr>
            </w:pPr>
            <w:r>
              <w:rPr>
                <w:rFonts w:hint="eastAsia" w:ascii="仿宋" w:hAnsi="仿宋" w:eastAsia="仿宋" w:cs="仿宋"/>
                <w:color w:val="000000" w:themeColor="text1"/>
                <w:sz w:val="28"/>
                <w:szCs w:val="28"/>
                <w:vertAlign w:val="baseline"/>
                <w:lang w:val="en-US" w:eastAsia="zh-CN"/>
                <w14:textFill>
                  <w14:solidFill>
                    <w14:schemeClr w14:val="tx1"/>
                  </w14:solidFill>
                </w14:textFill>
              </w:rPr>
              <w:t>中档装修</w:t>
            </w:r>
          </w:p>
        </w:tc>
        <w:tc>
          <w:tcPr>
            <w:tcW w:w="1633" w:type="dxa"/>
            <w:vAlign w:val="top"/>
          </w:tcPr>
          <w:p>
            <w:pPr>
              <w:jc w:val="center"/>
              <w:rPr>
                <w:rFonts w:hint="eastAsia" w:ascii="仿宋" w:hAnsi="仿宋" w:eastAsia="仿宋" w:cs="仿宋"/>
                <w:color w:val="000000" w:themeColor="text1"/>
                <w:sz w:val="28"/>
                <w:szCs w:val="28"/>
                <w:vertAlign w:val="baseline"/>
                <w:lang w:val="en-US" w:eastAsia="zh-CN"/>
                <w14:textFill>
                  <w14:solidFill>
                    <w14:schemeClr w14:val="tx1"/>
                  </w14:solidFill>
                </w14:textFill>
              </w:rPr>
            </w:pPr>
            <w:r>
              <w:rPr>
                <w:rFonts w:hint="eastAsia" w:ascii="仿宋" w:hAnsi="仿宋" w:eastAsia="仿宋" w:cs="仿宋"/>
                <w:color w:val="000000" w:themeColor="text1"/>
                <w:sz w:val="28"/>
                <w:szCs w:val="28"/>
                <w:vertAlign w:val="baseline"/>
                <w:lang w:val="en-US" w:eastAsia="zh-CN"/>
                <w14:textFill>
                  <w14:solidFill>
                    <w14:schemeClr w14:val="tx1"/>
                  </w14:solidFill>
                </w14:textFill>
              </w:rPr>
              <w:t>中档装修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朝向及采光</w:t>
            </w:r>
            <w:r>
              <w:rPr>
                <w:rFonts w:hint="eastAsia" w:ascii="仿宋" w:hAnsi="仿宋" w:eastAsia="仿宋" w:cs="仿宋"/>
                <w:sz w:val="30"/>
                <w:szCs w:val="30"/>
                <w:vertAlign w:val="baseline"/>
                <w:lang w:val="en-US" w:eastAsia="zh-CN"/>
              </w:rPr>
              <w:t>通风</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南北，好</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南北，好</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南北，好</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层高</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新旧程度</w:t>
            </w:r>
          </w:p>
        </w:tc>
        <w:tc>
          <w:tcPr>
            <w:tcW w:w="14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81.7%</w:t>
            </w:r>
          </w:p>
        </w:tc>
        <w:tc>
          <w:tcPr>
            <w:tcW w:w="1567"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86.7%</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81.7%</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物业管理</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好</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好</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好</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280" w:firstLineChars="10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噪 音</w:t>
            </w:r>
          </w:p>
        </w:tc>
        <w:tc>
          <w:tcPr>
            <w:tcW w:w="1446"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lang w:val="en-US" w:eastAsia="zh-CN"/>
              </w:rPr>
              <w:t>安静</w:t>
            </w:r>
          </w:p>
        </w:tc>
        <w:tc>
          <w:tcPr>
            <w:tcW w:w="1567"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lang w:val="en-US" w:eastAsia="zh-CN"/>
              </w:rPr>
              <w:t>安静</w:t>
            </w:r>
          </w:p>
        </w:tc>
        <w:tc>
          <w:tcPr>
            <w:tcW w:w="155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lang w:val="en-US" w:eastAsia="zh-CN"/>
              </w:rPr>
              <w:t>安静</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lang w:val="en-US" w:eastAsia="zh-CN"/>
              </w:rPr>
              <w:t>安静</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比较因素条件指数表</w:t>
      </w:r>
      <w:r>
        <w:rPr>
          <w:rFonts w:hint="eastAsia" w:ascii="仿宋" w:hAnsi="仿宋" w:eastAsia="仿宋" w:cs="仿宋"/>
          <w:sz w:val="30"/>
          <w:szCs w:val="30"/>
          <w:lang w:val="en-US" w:eastAsia="zh-CN"/>
        </w:rPr>
        <w:t>2</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1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8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A </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可比案例B </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成交单价（元/平米）</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8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14492</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11667</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12615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市场状况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所在楼层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95</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朝向</w:t>
            </w:r>
            <w:r>
              <w:rPr>
                <w:rFonts w:hint="eastAsia" w:ascii="仿宋" w:hAnsi="仿宋" w:eastAsia="仿宋" w:cs="仿宋"/>
                <w:sz w:val="24"/>
                <w:szCs w:val="24"/>
                <w:vertAlign w:val="baseline"/>
                <w:lang w:val="en-US" w:eastAsia="zh-CN"/>
              </w:rPr>
              <w:t>及采光</w:t>
            </w:r>
            <w:r>
              <w:rPr>
                <w:rFonts w:hint="eastAsia" w:ascii="仿宋" w:hAnsi="仿宋" w:eastAsia="仿宋" w:cs="仿宋"/>
                <w:sz w:val="30"/>
                <w:szCs w:val="30"/>
                <w:vertAlign w:val="baseline"/>
                <w:lang w:val="en-US" w:eastAsia="zh-CN"/>
              </w:rPr>
              <w:t>通风</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新旧程度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101</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噪音</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101</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95</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95</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比较因素修正系数表</w:t>
      </w:r>
      <w:r>
        <w:rPr>
          <w:rFonts w:hint="eastAsia" w:ascii="仿宋" w:hAnsi="仿宋" w:eastAsia="仿宋" w:cs="仿宋"/>
          <w:sz w:val="30"/>
          <w:szCs w:val="30"/>
          <w:lang w:val="en-US" w:eastAsia="zh-CN"/>
        </w:rPr>
        <w:t>3</w:t>
      </w:r>
    </w:p>
    <w:tbl>
      <w:tblPr>
        <w:tblStyle w:val="9"/>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trPr>
        <w:tc>
          <w:tcPr>
            <w:tcW w:w="3321" w:type="dxa"/>
            <w:gridSpan w:val="2"/>
            <w:vAlign w:val="top"/>
          </w:tcPr>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w:t>
            </w:r>
          </w:p>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1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867" w:type="dxa"/>
            <w:vAlign w:val="top"/>
          </w:tcPr>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top"/>
          </w:tcPr>
          <w:p>
            <w:pPr>
              <w:spacing w:line="72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833" w:type="dxa"/>
            <w:vAlign w:val="top"/>
          </w:tcPr>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成交单价（元/平米）</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14492</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11667</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12615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146"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市场状况调整系数</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区域状况调整系数</w:t>
            </w:r>
          </w:p>
        </w:tc>
        <w:tc>
          <w:tcPr>
            <w:tcW w:w="1146"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权益状况调整系数</w:t>
            </w:r>
          </w:p>
        </w:tc>
        <w:tc>
          <w:tcPr>
            <w:tcW w:w="1146"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867"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550"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833"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实物状况调整系数</w:t>
            </w:r>
          </w:p>
        </w:tc>
        <w:tc>
          <w:tcPr>
            <w:tcW w:w="1146"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28"/>
                <w:szCs w:val="28"/>
                <w:highlight w:val="yellow"/>
                <w:vertAlign w:val="baseline"/>
                <w:lang w:val="en-US" w:eastAsia="zh-CN"/>
              </w:rPr>
            </w:pPr>
            <w:r>
              <w:rPr>
                <w:rFonts w:hint="eastAsia" w:ascii="仿宋" w:hAnsi="仿宋" w:eastAsia="仿宋" w:cs="仿宋"/>
                <w:sz w:val="30"/>
                <w:szCs w:val="30"/>
                <w:vertAlign w:val="baseline"/>
                <w:lang w:val="en-US" w:eastAsia="zh-CN"/>
              </w:rPr>
              <w:t>101</w:t>
            </w:r>
          </w:p>
        </w:tc>
        <w:tc>
          <w:tcPr>
            <w:tcW w:w="1550" w:type="dxa"/>
            <w:vAlign w:val="top"/>
          </w:tcPr>
          <w:p>
            <w:pPr>
              <w:jc w:val="center"/>
              <w:rPr>
                <w:rFonts w:hint="default" w:ascii="仿宋" w:hAnsi="仿宋" w:eastAsia="仿宋" w:cs="仿宋"/>
                <w:color w:val="auto"/>
                <w:sz w:val="28"/>
                <w:szCs w:val="28"/>
                <w:highlight w:val="yellow"/>
                <w:vertAlign w:val="baseline"/>
                <w:lang w:val="en-US" w:eastAsia="zh-CN"/>
              </w:rPr>
            </w:pPr>
            <w:r>
              <w:rPr>
                <w:rFonts w:hint="eastAsia" w:ascii="仿宋" w:hAnsi="仿宋" w:eastAsia="仿宋" w:cs="仿宋"/>
                <w:color w:val="auto"/>
                <w:sz w:val="30"/>
                <w:szCs w:val="30"/>
                <w:vertAlign w:val="baseline"/>
                <w:lang w:val="en-US" w:eastAsia="zh-CN"/>
              </w:rPr>
              <w:t>95</w:t>
            </w:r>
          </w:p>
        </w:tc>
        <w:tc>
          <w:tcPr>
            <w:tcW w:w="1833" w:type="dxa"/>
            <w:vAlign w:val="top"/>
          </w:tcPr>
          <w:p>
            <w:pPr>
              <w:jc w:val="center"/>
              <w:rPr>
                <w:rFonts w:hint="default" w:ascii="仿宋" w:hAnsi="仿宋" w:eastAsia="仿宋" w:cs="仿宋"/>
                <w:color w:val="auto"/>
                <w:sz w:val="28"/>
                <w:szCs w:val="28"/>
                <w:highlight w:val="yellow"/>
                <w:vertAlign w:val="baseline"/>
                <w:lang w:val="en-US" w:eastAsia="zh-CN"/>
              </w:rPr>
            </w:pPr>
            <w:r>
              <w:rPr>
                <w:rFonts w:hint="eastAsia" w:ascii="仿宋" w:hAnsi="仿宋" w:eastAsia="仿宋" w:cs="仿宋"/>
                <w:color w:val="auto"/>
                <w:sz w:val="30"/>
                <w:szCs w:val="30"/>
                <w:vertAlign w:val="baseli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比准价格（元/平米）</w:t>
            </w:r>
          </w:p>
        </w:tc>
        <w:tc>
          <w:tcPr>
            <w:tcW w:w="1146"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w:t>
            </w:r>
          </w:p>
        </w:tc>
        <w:tc>
          <w:tcPr>
            <w:tcW w:w="1867"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14349</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12281</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13279</w:t>
            </w:r>
          </w:p>
        </w:tc>
      </w:tr>
    </w:tbl>
    <w:p>
      <w:pPr>
        <w:numPr>
          <w:ilvl w:val="0"/>
          <w:numId w:val="0"/>
        </w:numPr>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5、求取估价对象价值</w:t>
      </w:r>
    </w:p>
    <w:p>
      <w:pPr>
        <w:numPr>
          <w:ilvl w:val="0"/>
          <w:numId w:val="0"/>
        </w:numPr>
        <w:ind w:firstLine="560" w:firstLineChars="200"/>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由于可比实例A、B、C与估价对象条件因素相当类似，且比准价格相差不大，因此采取算数平均值的求取方法，估算估价对象的评估价格。</w:t>
      </w:r>
    </w:p>
    <w:p>
      <w:pPr>
        <w:numPr>
          <w:ilvl w:val="0"/>
          <w:numId w:val="0"/>
        </w:numPr>
        <w:ind w:left="600" w:left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评估单价=（14349+12281+13279）÷3=13303(元/平米)</w:t>
      </w:r>
    </w:p>
    <w:p>
      <w:pPr>
        <w:numPr>
          <w:ilvl w:val="0"/>
          <w:numId w:val="0"/>
        </w:numPr>
        <w:ind w:firstLine="560" w:firstLineChars="200"/>
        <w:jc w:val="both"/>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评估值=13303</w:t>
      </w:r>
      <w:r>
        <w:rPr>
          <w:rFonts w:hint="eastAsia" w:ascii="仿宋" w:hAnsi="仿宋" w:eastAsia="仿宋" w:cs="仿宋"/>
          <w:sz w:val="28"/>
          <w:szCs w:val="28"/>
          <w:lang w:val="en-US" w:eastAsia="zh-CN"/>
        </w:rPr>
        <w:t>×</w:t>
      </w:r>
      <w:r>
        <w:rPr>
          <w:rFonts w:hint="eastAsia" w:ascii="仿宋" w:hAnsi="仿宋" w:eastAsia="仿宋"/>
          <w:color w:val="auto"/>
          <w:sz w:val="28"/>
          <w:szCs w:val="28"/>
          <w:lang w:val="en-US" w:eastAsia="zh-CN"/>
        </w:rPr>
        <w:t>186.55</w:t>
      </w:r>
      <w:r>
        <w:rPr>
          <w:rFonts w:hint="eastAsia" w:ascii="仿宋" w:hAnsi="仿宋" w:eastAsia="仿宋" w:cs="仿宋"/>
          <w:sz w:val="28"/>
          <w:szCs w:val="28"/>
          <w:lang w:val="en-US" w:eastAsia="zh-CN"/>
        </w:rPr>
        <w:t>≈</w:t>
      </w:r>
      <w:r>
        <w:rPr>
          <w:rFonts w:hint="eastAsia" w:ascii="仿宋" w:hAnsi="仿宋" w:eastAsia="仿宋" w:cs="仿宋"/>
          <w:sz w:val="28"/>
          <w:szCs w:val="28"/>
          <w:highlight w:val="none"/>
          <w:lang w:val="en-US" w:eastAsia="zh-CN"/>
        </w:rPr>
        <w:t>2481675(元)</w:t>
      </w:r>
    </w:p>
    <w:p>
      <w:pPr>
        <w:numPr>
          <w:ilvl w:val="0"/>
          <w:numId w:val="0"/>
        </w:numPr>
        <w:ind w:firstLine="560" w:firstLineChars="200"/>
        <w:jc w:val="both"/>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（二）地下室价格的评估</w:t>
      </w:r>
    </w:p>
    <w:p>
      <w:pPr>
        <w:ind w:firstLine="560" w:firstLineChars="200"/>
        <w:rPr>
          <w:rFonts w:hint="eastAsia" w:ascii="仿宋" w:hAnsi="仿宋" w:eastAsia="仿宋"/>
          <w:sz w:val="28"/>
          <w:szCs w:val="28"/>
          <w:lang w:val="en-US"/>
        </w:rPr>
      </w:pPr>
      <w:r>
        <w:rPr>
          <w:rFonts w:hint="eastAsia" w:ascii="仿宋" w:hAnsi="仿宋" w:eastAsia="仿宋"/>
          <w:sz w:val="28"/>
          <w:szCs w:val="28"/>
          <w:lang w:val="en-US" w:eastAsia="zh-CN"/>
        </w:rPr>
        <w:t>估价对象中的</w:t>
      </w:r>
      <w:r>
        <w:rPr>
          <w:rFonts w:hint="eastAsia" w:ascii="仿宋_GB2312" w:hAnsi="宋体" w:eastAsia="仿宋_GB2312" w:cs="Times New Roman"/>
          <w:kern w:val="2"/>
          <w:sz w:val="28"/>
          <w:szCs w:val="28"/>
          <w:lang w:val="en-US" w:eastAsia="zh-CN" w:bidi="ar-SA"/>
        </w:rPr>
        <w:t>地下室</w:t>
      </w:r>
      <w:r>
        <w:rPr>
          <w:rFonts w:hint="eastAsia" w:ascii="仿宋" w:hAnsi="仿宋" w:eastAsia="仿宋"/>
          <w:sz w:val="28"/>
          <w:szCs w:val="28"/>
          <w:lang w:val="en-US" w:eastAsia="zh-CN"/>
        </w:rPr>
        <w:t>建筑面积为68.03平米，估价人员采用成本法进行评估测算。</w:t>
      </w:r>
    </w:p>
    <w:p>
      <w:pPr>
        <w:ind w:firstLine="560" w:firstLineChars="200"/>
        <w:rPr>
          <w:rFonts w:ascii="仿宋" w:hAnsi="仿宋" w:eastAsia="仿宋"/>
          <w:sz w:val="28"/>
          <w:szCs w:val="28"/>
        </w:rPr>
      </w:pPr>
      <w:r>
        <w:rPr>
          <w:rFonts w:hint="eastAsia" w:ascii="仿宋" w:hAnsi="仿宋" w:eastAsia="仿宋"/>
          <w:sz w:val="28"/>
          <w:szCs w:val="28"/>
        </w:rPr>
        <w:t>1、重新购建价格的确定</w:t>
      </w:r>
    </w:p>
    <w:p>
      <w:pPr>
        <w:ind w:firstLine="560" w:firstLineChars="200"/>
        <w:rPr>
          <w:rFonts w:ascii="仿宋" w:hAnsi="仿宋" w:eastAsia="仿宋"/>
          <w:sz w:val="28"/>
          <w:szCs w:val="28"/>
        </w:rPr>
      </w:pPr>
      <w:r>
        <w:rPr>
          <w:rFonts w:hint="eastAsia" w:ascii="仿宋" w:hAnsi="仿宋" w:eastAsia="仿宋"/>
          <w:sz w:val="28"/>
          <w:szCs w:val="28"/>
        </w:rPr>
        <w:t>由于土地取得和开发成本及开发过成中的其他相关费用资料难以获得，估价人员以区域</w:t>
      </w:r>
      <w:r>
        <w:rPr>
          <w:rFonts w:hint="eastAsia" w:ascii="仿宋" w:hAnsi="仿宋" w:eastAsia="仿宋"/>
          <w:sz w:val="28"/>
          <w:szCs w:val="28"/>
          <w:lang w:eastAsia="zh-CN"/>
        </w:rPr>
        <w:t>类似建筑的</w:t>
      </w:r>
      <w:r>
        <w:rPr>
          <w:rFonts w:hint="eastAsia" w:ascii="仿宋" w:hAnsi="仿宋" w:eastAsia="仿宋"/>
          <w:sz w:val="28"/>
          <w:szCs w:val="28"/>
        </w:rPr>
        <w:t>当前市场价格作为估价对象重新购建价格。经过市场调查，</w:t>
      </w:r>
      <w:r>
        <w:rPr>
          <w:rFonts w:hint="eastAsia" w:ascii="仿宋" w:hAnsi="仿宋" w:eastAsia="仿宋"/>
          <w:sz w:val="28"/>
          <w:szCs w:val="28"/>
          <w:lang w:eastAsia="zh-CN"/>
        </w:rPr>
        <w:t>建造类似地下室单方造价为</w:t>
      </w:r>
      <w:r>
        <w:rPr>
          <w:rFonts w:hint="eastAsia" w:ascii="仿宋" w:hAnsi="仿宋" w:eastAsia="仿宋"/>
          <w:sz w:val="28"/>
          <w:szCs w:val="28"/>
          <w:lang w:val="en-US" w:eastAsia="zh-CN"/>
        </w:rPr>
        <w:t>2000-2400元/㎡</w:t>
      </w:r>
      <w:r>
        <w:rPr>
          <w:rFonts w:hint="eastAsia" w:ascii="仿宋" w:hAnsi="仿宋" w:eastAsia="仿宋"/>
          <w:sz w:val="30"/>
          <w:szCs w:val="30"/>
        </w:rPr>
        <w:t>，考虑</w:t>
      </w:r>
      <w:r>
        <w:rPr>
          <w:rFonts w:hint="eastAsia" w:ascii="仿宋" w:hAnsi="仿宋" w:eastAsia="仿宋"/>
          <w:sz w:val="28"/>
          <w:szCs w:val="28"/>
        </w:rPr>
        <w:t>区位状况、供应市场情况及</w:t>
      </w:r>
      <w:r>
        <w:rPr>
          <w:rFonts w:hint="eastAsia" w:ascii="仿宋" w:hAnsi="仿宋" w:eastAsia="仿宋"/>
          <w:sz w:val="28"/>
          <w:szCs w:val="28"/>
          <w:lang w:eastAsia="zh-CN"/>
        </w:rPr>
        <w:t>估价对象总楼层、装修等</w:t>
      </w:r>
      <w:r>
        <w:rPr>
          <w:rFonts w:hint="eastAsia" w:ascii="仿宋" w:hAnsi="仿宋" w:eastAsia="仿宋"/>
          <w:sz w:val="28"/>
          <w:szCs w:val="28"/>
        </w:rPr>
        <w:t>实际情况，综合确定</w:t>
      </w:r>
      <w:r>
        <w:rPr>
          <w:rFonts w:hint="eastAsia" w:ascii="仿宋" w:hAnsi="仿宋" w:eastAsia="仿宋"/>
          <w:sz w:val="28"/>
          <w:szCs w:val="28"/>
          <w:lang w:eastAsia="zh-CN"/>
        </w:rPr>
        <w:t>其</w:t>
      </w:r>
      <w:r>
        <w:rPr>
          <w:rFonts w:hint="eastAsia" w:ascii="仿宋" w:hAnsi="仿宋" w:eastAsia="仿宋"/>
          <w:sz w:val="28"/>
          <w:szCs w:val="28"/>
        </w:rPr>
        <w:t>重新购建价格为</w:t>
      </w:r>
      <w:r>
        <w:rPr>
          <w:rFonts w:hint="eastAsia" w:ascii="仿宋" w:hAnsi="仿宋" w:eastAsia="仿宋"/>
          <w:sz w:val="28"/>
          <w:szCs w:val="28"/>
          <w:lang w:val="en-US" w:eastAsia="zh-CN"/>
        </w:rPr>
        <w:t>22</w:t>
      </w:r>
      <w:r>
        <w:rPr>
          <w:rFonts w:hint="eastAsia" w:ascii="仿宋" w:hAnsi="仿宋" w:eastAsia="仿宋"/>
          <w:sz w:val="28"/>
          <w:szCs w:val="28"/>
        </w:rPr>
        <w:t>00元/</w:t>
      </w:r>
      <w:r>
        <w:rPr>
          <w:rFonts w:hint="eastAsia" w:ascii="仿宋" w:hAnsi="仿宋" w:eastAsia="仿宋"/>
          <w:sz w:val="28"/>
          <w:szCs w:val="28"/>
          <w:lang w:val="en-US" w:eastAsia="zh-CN"/>
        </w:rPr>
        <w:t>㎡</w:t>
      </w:r>
      <w:r>
        <w:rPr>
          <w:rFonts w:hint="eastAsia" w:ascii="仿宋" w:hAnsi="仿宋" w:eastAsia="仿宋"/>
          <w:sz w:val="28"/>
          <w:szCs w:val="28"/>
        </w:rPr>
        <w:t>。</w:t>
      </w:r>
    </w:p>
    <w:p>
      <w:pPr>
        <w:ind w:firstLine="560" w:firstLineChars="200"/>
        <w:rPr>
          <w:rFonts w:ascii="仿宋" w:hAnsi="仿宋" w:eastAsia="仿宋"/>
          <w:sz w:val="28"/>
          <w:szCs w:val="28"/>
        </w:rPr>
      </w:pPr>
      <w:r>
        <w:rPr>
          <w:rFonts w:hint="eastAsia" w:ascii="仿宋" w:hAnsi="仿宋" w:eastAsia="仿宋"/>
          <w:sz w:val="28"/>
          <w:szCs w:val="28"/>
        </w:rPr>
        <w:t>2、成新率的确定</w:t>
      </w:r>
    </w:p>
    <w:p>
      <w:pPr>
        <w:ind w:firstLine="560" w:firstLineChars="200"/>
        <w:rPr>
          <w:rFonts w:ascii="仿宋" w:hAnsi="仿宋" w:eastAsia="仿宋"/>
          <w:sz w:val="28"/>
          <w:szCs w:val="28"/>
        </w:rPr>
      </w:pPr>
      <w:r>
        <w:rPr>
          <w:rFonts w:hint="eastAsia" w:ascii="仿宋" w:hAnsi="仿宋" w:eastAsia="仿宋"/>
          <w:sz w:val="28"/>
          <w:szCs w:val="28"/>
        </w:rPr>
        <w:t>根据国家有关规定，</w:t>
      </w:r>
      <w:r>
        <w:rPr>
          <w:rFonts w:hint="eastAsia" w:ascii="仿宋" w:hAnsi="仿宋" w:eastAsia="仿宋"/>
          <w:sz w:val="28"/>
          <w:szCs w:val="28"/>
          <w:lang w:eastAsia="zh-CN"/>
        </w:rPr>
        <w:t>钢</w:t>
      </w:r>
      <w:r>
        <w:rPr>
          <w:rFonts w:hint="eastAsia" w:ascii="仿宋" w:hAnsi="仿宋" w:eastAsia="仿宋"/>
          <w:sz w:val="28"/>
          <w:szCs w:val="28"/>
        </w:rPr>
        <w:t>混结构房屋的经济</w:t>
      </w:r>
      <w:r>
        <w:rPr>
          <w:rFonts w:hint="eastAsia" w:ascii="仿宋" w:hAnsi="仿宋" w:eastAsia="仿宋"/>
          <w:sz w:val="28"/>
          <w:szCs w:val="28"/>
          <w:lang w:eastAsia="zh-CN"/>
        </w:rPr>
        <w:t>耐用</w:t>
      </w:r>
      <w:r>
        <w:rPr>
          <w:rFonts w:hint="eastAsia" w:ascii="仿宋" w:hAnsi="仿宋" w:eastAsia="仿宋"/>
          <w:sz w:val="28"/>
          <w:szCs w:val="28"/>
        </w:rPr>
        <w:t>年限为</w:t>
      </w:r>
      <w:r>
        <w:rPr>
          <w:rFonts w:hint="eastAsia" w:ascii="仿宋" w:hAnsi="仿宋" w:eastAsia="仿宋"/>
          <w:sz w:val="28"/>
          <w:szCs w:val="28"/>
          <w:lang w:val="en-US" w:eastAsia="zh-CN"/>
        </w:rPr>
        <w:t>6</w:t>
      </w:r>
      <w:r>
        <w:rPr>
          <w:rFonts w:hint="eastAsia" w:ascii="仿宋" w:hAnsi="仿宋" w:eastAsia="仿宋"/>
          <w:sz w:val="28"/>
          <w:szCs w:val="28"/>
        </w:rPr>
        <w:t>0年，残值率为</w:t>
      </w:r>
      <w:r>
        <w:rPr>
          <w:rFonts w:hint="eastAsia" w:ascii="仿宋" w:hAnsi="仿宋" w:eastAsia="仿宋"/>
          <w:sz w:val="28"/>
          <w:szCs w:val="28"/>
          <w:lang w:val="en-US" w:eastAsia="zh-CN"/>
        </w:rPr>
        <w:t>0</w:t>
      </w:r>
      <w:r>
        <w:rPr>
          <w:rFonts w:hint="eastAsia" w:ascii="仿宋" w:hAnsi="仿宋" w:eastAsia="仿宋"/>
          <w:sz w:val="28"/>
          <w:szCs w:val="28"/>
        </w:rPr>
        <w:t>%。</w:t>
      </w:r>
      <w:r>
        <w:rPr>
          <w:rFonts w:hint="eastAsia" w:ascii="仿宋" w:hAnsi="仿宋" w:eastAsia="仿宋"/>
          <w:sz w:val="28"/>
          <w:szCs w:val="28"/>
          <w:lang w:eastAsia="zh-CN"/>
        </w:rPr>
        <w:t>经过调查，待估</w:t>
      </w:r>
      <w:r>
        <w:rPr>
          <w:rFonts w:hint="eastAsia" w:ascii="仿宋" w:hAnsi="仿宋" w:eastAsia="仿宋"/>
          <w:sz w:val="28"/>
          <w:szCs w:val="28"/>
        </w:rPr>
        <w:t>房</w:t>
      </w:r>
      <w:r>
        <w:rPr>
          <w:rFonts w:hint="eastAsia" w:ascii="仿宋" w:hAnsi="仿宋" w:eastAsia="仿宋"/>
          <w:sz w:val="28"/>
          <w:szCs w:val="28"/>
          <w:lang w:eastAsia="zh-CN"/>
        </w:rPr>
        <w:t>屋竣工时间为</w:t>
      </w:r>
      <w:r>
        <w:rPr>
          <w:rFonts w:hint="eastAsia" w:ascii="仿宋" w:hAnsi="仿宋" w:eastAsia="仿宋"/>
          <w:sz w:val="28"/>
          <w:szCs w:val="28"/>
          <w:lang w:val="en-US" w:eastAsia="zh-CN"/>
        </w:rPr>
        <w:t>2010年</w:t>
      </w:r>
      <w:r>
        <w:rPr>
          <w:rFonts w:hint="eastAsia" w:ascii="仿宋" w:hAnsi="仿宋" w:eastAsia="仿宋"/>
          <w:sz w:val="28"/>
          <w:szCs w:val="28"/>
          <w:lang w:eastAsia="zh-CN"/>
        </w:rPr>
        <w:t>，钢</w:t>
      </w:r>
      <w:r>
        <w:rPr>
          <w:rFonts w:hint="eastAsia" w:ascii="仿宋" w:hAnsi="仿宋" w:eastAsia="仿宋"/>
          <w:sz w:val="28"/>
          <w:szCs w:val="28"/>
        </w:rPr>
        <w:t>混结构，规定使用年限为</w:t>
      </w:r>
      <w:r>
        <w:rPr>
          <w:rFonts w:hint="eastAsia" w:ascii="仿宋" w:hAnsi="仿宋" w:eastAsia="仿宋"/>
          <w:sz w:val="28"/>
          <w:szCs w:val="28"/>
          <w:lang w:val="en-US" w:eastAsia="zh-CN"/>
        </w:rPr>
        <w:t>6</w:t>
      </w:r>
      <w:r>
        <w:rPr>
          <w:rFonts w:hint="eastAsia" w:ascii="仿宋" w:hAnsi="仿宋" w:eastAsia="仿宋"/>
          <w:sz w:val="28"/>
          <w:szCs w:val="28"/>
        </w:rPr>
        <w:t>0年，至估价时点，已经使用年限</w:t>
      </w:r>
      <w:r>
        <w:rPr>
          <w:rFonts w:hint="eastAsia" w:ascii="仿宋" w:hAnsi="仿宋" w:eastAsia="仿宋"/>
          <w:sz w:val="28"/>
          <w:szCs w:val="28"/>
          <w:lang w:val="en-US" w:eastAsia="zh-CN"/>
        </w:rPr>
        <w:t>11</w:t>
      </w:r>
      <w:r>
        <w:rPr>
          <w:rFonts w:hint="eastAsia" w:ascii="仿宋" w:hAnsi="仿宋" w:eastAsia="仿宋"/>
          <w:sz w:val="28"/>
          <w:szCs w:val="28"/>
        </w:rPr>
        <w:t>年</w:t>
      </w:r>
      <w:r>
        <w:rPr>
          <w:rFonts w:hint="eastAsia" w:ascii="仿宋" w:hAnsi="仿宋" w:eastAsia="仿宋"/>
          <w:sz w:val="28"/>
          <w:szCs w:val="28"/>
          <w:lang w:val="en-US" w:eastAsia="zh-CN"/>
        </w:rPr>
        <w:t>。</w:t>
      </w:r>
      <w:r>
        <w:rPr>
          <w:rFonts w:hint="eastAsia" w:ascii="仿宋" w:hAnsi="仿宋" w:eastAsia="仿宋"/>
          <w:sz w:val="28"/>
          <w:szCs w:val="28"/>
        </w:rPr>
        <w:t>采用年限法成新率计算估价对象的成新率。</w:t>
      </w:r>
    </w:p>
    <w:p>
      <w:pPr>
        <w:ind w:firstLine="560" w:firstLineChars="200"/>
        <w:rPr>
          <w:rFonts w:ascii="仿宋" w:hAnsi="仿宋" w:eastAsia="仿宋"/>
          <w:sz w:val="28"/>
          <w:szCs w:val="28"/>
        </w:rPr>
      </w:pPr>
      <w:r>
        <w:rPr>
          <w:rFonts w:hint="eastAsia" w:ascii="仿宋" w:hAnsi="仿宋" w:eastAsia="仿宋"/>
          <w:sz w:val="28"/>
          <w:szCs w:val="28"/>
        </w:rPr>
        <w:t>成新率=1-（1-残值率）×已使用年限/规定使用年限</w:t>
      </w:r>
    </w:p>
    <w:p>
      <w:pPr>
        <w:ind w:firstLine="1400" w:firstLineChars="500"/>
        <w:rPr>
          <w:rFonts w:ascii="仿宋" w:hAnsi="仿宋" w:eastAsia="仿宋"/>
          <w:sz w:val="28"/>
          <w:szCs w:val="28"/>
        </w:rPr>
      </w:pPr>
      <w:r>
        <w:rPr>
          <w:rFonts w:hint="eastAsia" w:ascii="仿宋" w:hAnsi="仿宋" w:eastAsia="仿宋"/>
          <w:sz w:val="28"/>
          <w:szCs w:val="28"/>
        </w:rPr>
        <w:t>=1-（1-</w:t>
      </w:r>
      <w:r>
        <w:rPr>
          <w:rFonts w:hint="eastAsia" w:ascii="仿宋" w:hAnsi="仿宋" w:eastAsia="仿宋"/>
          <w:sz w:val="28"/>
          <w:szCs w:val="28"/>
          <w:lang w:val="en-US" w:eastAsia="zh-CN"/>
        </w:rPr>
        <w:t>0</w:t>
      </w:r>
      <w:r>
        <w:rPr>
          <w:rFonts w:hint="eastAsia" w:ascii="仿宋" w:hAnsi="仿宋" w:eastAsia="仿宋"/>
          <w:sz w:val="28"/>
          <w:szCs w:val="28"/>
        </w:rPr>
        <w:t>%）×</w:t>
      </w:r>
      <w:r>
        <w:rPr>
          <w:rFonts w:hint="eastAsia" w:ascii="仿宋" w:hAnsi="仿宋" w:eastAsia="仿宋"/>
          <w:sz w:val="28"/>
          <w:szCs w:val="28"/>
          <w:lang w:val="en-US" w:eastAsia="zh-CN"/>
        </w:rPr>
        <w:t>11</w:t>
      </w:r>
      <w:r>
        <w:rPr>
          <w:rFonts w:hint="eastAsia" w:ascii="仿宋" w:hAnsi="仿宋" w:eastAsia="仿宋"/>
          <w:sz w:val="28"/>
          <w:szCs w:val="28"/>
        </w:rPr>
        <w:t>/</w:t>
      </w:r>
      <w:r>
        <w:rPr>
          <w:rFonts w:hint="eastAsia" w:ascii="仿宋" w:hAnsi="仿宋" w:eastAsia="仿宋"/>
          <w:sz w:val="28"/>
          <w:szCs w:val="28"/>
          <w:lang w:val="en-US" w:eastAsia="zh-CN"/>
        </w:rPr>
        <w:t>60</w:t>
      </w:r>
      <w:r>
        <w:rPr>
          <w:rFonts w:hint="eastAsia" w:ascii="仿宋" w:hAnsi="仿宋" w:eastAsia="仿宋"/>
          <w:sz w:val="28"/>
          <w:szCs w:val="28"/>
        </w:rPr>
        <w:t>=</w:t>
      </w:r>
      <w:r>
        <w:rPr>
          <w:rFonts w:hint="eastAsia" w:ascii="仿宋" w:hAnsi="仿宋" w:eastAsia="仿宋"/>
          <w:sz w:val="28"/>
          <w:szCs w:val="28"/>
          <w:lang w:val="en-US" w:eastAsia="zh-CN"/>
        </w:rPr>
        <w:t>81.67</w:t>
      </w:r>
      <w:r>
        <w:rPr>
          <w:rFonts w:hint="eastAsia" w:ascii="仿宋" w:hAnsi="仿宋" w:eastAsia="仿宋"/>
          <w:sz w:val="28"/>
          <w:szCs w:val="28"/>
        </w:rPr>
        <w:t>%</w:t>
      </w:r>
    </w:p>
    <w:p>
      <w:pPr>
        <w:ind w:firstLine="560" w:firstLineChars="200"/>
        <w:rPr>
          <w:rFonts w:ascii="仿宋" w:hAnsi="仿宋" w:eastAsia="仿宋"/>
          <w:sz w:val="28"/>
          <w:szCs w:val="28"/>
        </w:rPr>
      </w:pPr>
      <w:r>
        <w:rPr>
          <w:rFonts w:hint="eastAsia" w:ascii="仿宋" w:hAnsi="仿宋" w:eastAsia="仿宋"/>
          <w:sz w:val="28"/>
          <w:szCs w:val="28"/>
        </w:rPr>
        <w:t>3、评估价值的确定</w:t>
      </w:r>
    </w:p>
    <w:p>
      <w:pPr>
        <w:ind w:firstLine="560" w:firstLineChars="200"/>
        <w:rPr>
          <w:rFonts w:ascii="仿宋" w:hAnsi="仿宋" w:eastAsia="仿宋"/>
          <w:sz w:val="28"/>
          <w:szCs w:val="28"/>
        </w:rPr>
      </w:pPr>
      <w:r>
        <w:rPr>
          <w:rFonts w:hint="eastAsia" w:ascii="仿宋" w:hAnsi="仿宋" w:eastAsia="仿宋"/>
          <w:sz w:val="28"/>
          <w:szCs w:val="28"/>
          <w:lang w:val="en-US" w:eastAsia="zh-CN"/>
        </w:rPr>
        <w:t>评估单价=重新购建价格×成新率</w:t>
      </w:r>
      <w:r>
        <w:rPr>
          <w:rFonts w:hint="eastAsia" w:ascii="仿宋" w:hAnsi="仿宋" w:eastAsia="仿宋"/>
          <w:sz w:val="28"/>
          <w:szCs w:val="28"/>
        </w:rPr>
        <w:t>=</w:t>
      </w:r>
      <w:r>
        <w:rPr>
          <w:rFonts w:hint="eastAsia" w:ascii="仿宋" w:hAnsi="仿宋" w:eastAsia="仿宋"/>
          <w:sz w:val="28"/>
          <w:szCs w:val="28"/>
          <w:lang w:val="en-US" w:eastAsia="zh-CN"/>
        </w:rPr>
        <w:t>22</w:t>
      </w:r>
      <w:r>
        <w:rPr>
          <w:rFonts w:hint="eastAsia" w:ascii="仿宋" w:hAnsi="仿宋" w:eastAsia="仿宋"/>
          <w:sz w:val="28"/>
          <w:szCs w:val="28"/>
        </w:rPr>
        <w:t>00×</w:t>
      </w:r>
      <w:r>
        <w:rPr>
          <w:rFonts w:hint="eastAsia" w:ascii="仿宋" w:hAnsi="仿宋" w:eastAsia="仿宋"/>
          <w:sz w:val="28"/>
          <w:szCs w:val="28"/>
          <w:lang w:val="en-US" w:eastAsia="zh-CN"/>
        </w:rPr>
        <w:t>81.67</w:t>
      </w:r>
      <w:r>
        <w:rPr>
          <w:rFonts w:hint="eastAsia" w:ascii="仿宋" w:hAnsi="仿宋" w:eastAsia="仿宋"/>
          <w:sz w:val="28"/>
          <w:szCs w:val="28"/>
        </w:rPr>
        <w:t>%=</w:t>
      </w:r>
      <w:r>
        <w:rPr>
          <w:rFonts w:hint="eastAsia" w:ascii="仿宋" w:hAnsi="仿宋" w:eastAsia="仿宋"/>
          <w:sz w:val="28"/>
          <w:szCs w:val="28"/>
          <w:lang w:val="en-US" w:eastAsia="zh-CN"/>
        </w:rPr>
        <w:t>1797</w:t>
      </w:r>
      <w:r>
        <w:rPr>
          <w:rFonts w:hint="eastAsia" w:ascii="仿宋" w:hAnsi="仿宋" w:eastAsia="仿宋"/>
          <w:sz w:val="28"/>
          <w:szCs w:val="28"/>
        </w:rPr>
        <w:t>（元/</w:t>
      </w:r>
      <w:r>
        <w:rPr>
          <w:rFonts w:hint="eastAsia" w:ascii="仿宋" w:hAnsi="仿宋" w:eastAsia="仿宋"/>
          <w:sz w:val="28"/>
          <w:szCs w:val="28"/>
          <w:lang w:val="en-US" w:eastAsia="zh-CN"/>
        </w:rPr>
        <w:t>㎡</w:t>
      </w:r>
      <w:r>
        <w:rPr>
          <w:rFonts w:hint="eastAsia" w:ascii="仿宋" w:hAnsi="仿宋" w:eastAsia="仿宋"/>
          <w:sz w:val="28"/>
          <w:szCs w:val="28"/>
        </w:rPr>
        <w:t>）</w:t>
      </w:r>
    </w:p>
    <w:p>
      <w:pPr>
        <w:ind w:firstLine="560" w:firstLineChars="200"/>
        <w:rPr>
          <w:rFonts w:ascii="仿宋" w:hAnsi="仿宋" w:eastAsia="仿宋"/>
          <w:sz w:val="28"/>
          <w:szCs w:val="28"/>
        </w:rPr>
      </w:pPr>
      <w:r>
        <w:rPr>
          <w:rFonts w:hint="eastAsia" w:ascii="仿宋" w:hAnsi="仿宋" w:eastAsia="仿宋"/>
          <w:sz w:val="28"/>
          <w:szCs w:val="28"/>
        </w:rPr>
        <w:t>评估值=</w:t>
      </w:r>
      <w:r>
        <w:rPr>
          <w:rFonts w:hint="eastAsia" w:ascii="仿宋" w:hAnsi="仿宋" w:eastAsia="仿宋"/>
          <w:sz w:val="28"/>
          <w:szCs w:val="28"/>
          <w:lang w:val="en-US" w:eastAsia="zh-CN"/>
        </w:rPr>
        <w:t>1797</w:t>
      </w:r>
      <w:r>
        <w:rPr>
          <w:rFonts w:hint="eastAsia" w:ascii="仿宋" w:hAnsi="仿宋" w:eastAsia="仿宋"/>
          <w:sz w:val="28"/>
          <w:szCs w:val="28"/>
        </w:rPr>
        <w:t>×</w:t>
      </w:r>
      <w:r>
        <w:rPr>
          <w:rFonts w:hint="eastAsia" w:ascii="仿宋" w:hAnsi="仿宋" w:eastAsia="仿宋"/>
          <w:sz w:val="28"/>
          <w:szCs w:val="28"/>
          <w:lang w:val="en-US" w:eastAsia="zh-CN"/>
        </w:rPr>
        <w:t>68.03</w:t>
      </w:r>
      <w:r>
        <w:rPr>
          <w:rFonts w:hint="eastAsia" w:ascii="仿宋" w:hAnsi="仿宋" w:eastAsia="仿宋"/>
          <w:sz w:val="28"/>
          <w:szCs w:val="28"/>
        </w:rPr>
        <w:t>=</w:t>
      </w:r>
      <w:r>
        <w:rPr>
          <w:rFonts w:hint="eastAsia" w:ascii="仿宋" w:hAnsi="仿宋" w:eastAsia="仿宋"/>
          <w:sz w:val="28"/>
          <w:szCs w:val="28"/>
          <w:lang w:val="en-US" w:eastAsia="zh-CN"/>
        </w:rPr>
        <w:t>122250</w:t>
      </w:r>
      <w:r>
        <w:rPr>
          <w:rFonts w:hint="eastAsia" w:ascii="仿宋" w:hAnsi="仿宋" w:eastAsia="仿宋"/>
          <w:sz w:val="28"/>
          <w:szCs w:val="28"/>
        </w:rPr>
        <w:t>（元）</w:t>
      </w:r>
    </w:p>
    <w:p>
      <w:pPr>
        <w:numPr>
          <w:ilvl w:val="0"/>
          <w:numId w:val="2"/>
        </w:numPr>
        <w:ind w:left="0" w:leftChars="0" w:firstLine="560" w:firstLineChars="200"/>
        <w:rPr>
          <w:rFonts w:hint="eastAsia" w:ascii="仿宋_GB2312" w:hAnsi="宋体" w:eastAsia="仿宋_GB2312" w:cs="Times New Roman"/>
          <w:b w:val="0"/>
          <w:bCs w:val="0"/>
          <w:kern w:val="2"/>
          <w:sz w:val="28"/>
          <w:szCs w:val="28"/>
          <w:lang w:val="en-US" w:eastAsia="zh-CN" w:bidi="ar-SA"/>
        </w:rPr>
      </w:pPr>
      <w:r>
        <w:rPr>
          <w:rFonts w:hint="eastAsia" w:ascii="仿宋_GB2312" w:hAnsi="宋体" w:eastAsia="仿宋_GB2312" w:cs="Times New Roman"/>
          <w:b w:val="0"/>
          <w:bCs w:val="0"/>
          <w:kern w:val="2"/>
          <w:sz w:val="28"/>
          <w:szCs w:val="28"/>
          <w:lang w:val="en-US" w:eastAsia="zh-CN" w:bidi="ar-SA"/>
        </w:rPr>
        <w:t>车库价格的评估</w:t>
      </w:r>
    </w:p>
    <w:p>
      <w:pPr>
        <w:ind w:firstLine="560" w:firstLineChars="200"/>
        <w:rPr>
          <w:rFonts w:hint="eastAsia" w:ascii="仿宋" w:hAnsi="仿宋" w:eastAsia="仿宋"/>
          <w:sz w:val="28"/>
          <w:szCs w:val="28"/>
          <w:lang w:val="en-US"/>
        </w:rPr>
      </w:pPr>
      <w:r>
        <w:rPr>
          <w:rFonts w:hint="eastAsia" w:ascii="仿宋_GB2312" w:hAnsi="宋体" w:eastAsia="仿宋_GB2312" w:cs="Times New Roman"/>
          <w:b w:val="0"/>
          <w:bCs w:val="0"/>
          <w:kern w:val="2"/>
          <w:sz w:val="28"/>
          <w:szCs w:val="28"/>
          <w:lang w:val="en-US" w:eastAsia="zh-CN" w:bidi="ar-SA"/>
        </w:rPr>
        <w:t xml:space="preserve">  </w:t>
      </w:r>
      <w:r>
        <w:rPr>
          <w:rFonts w:hint="eastAsia" w:ascii="仿宋" w:hAnsi="仿宋" w:eastAsia="仿宋"/>
          <w:sz w:val="28"/>
          <w:szCs w:val="28"/>
          <w:lang w:val="en-US" w:eastAsia="zh-CN"/>
        </w:rPr>
        <w:t>估价对象中的车库建筑面积为20.53平米，估价人员采用市场法进行评估测算</w:t>
      </w:r>
      <w:r>
        <w:rPr>
          <w:rFonts w:hint="eastAsia" w:ascii="仿宋" w:hAnsi="仿宋" w:eastAsia="仿宋"/>
          <w:sz w:val="28"/>
          <w:szCs w:val="28"/>
          <w:lang w:val="en-US" w:eastAsia="zh-CN"/>
        </w:rPr>
        <w:t>。</w:t>
      </w:r>
    </w:p>
    <w:p>
      <w:pPr>
        <w:ind w:firstLine="6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1、比较实例选择</w:t>
      </w:r>
    </w:p>
    <w:p>
      <w:pPr>
        <w:ind w:firstLine="6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针对估价对象的功能和特点，根据替代原则，按用途相同、土地级别相同、价格类型相同等特点，对与估价对象在同一区域内的类似住宅进行了市场调查和比较分析，按照估价要求，筛选三个可比实例。</w:t>
      </w:r>
    </w:p>
    <w:p>
      <w:pPr>
        <w:ind w:firstLine="600"/>
        <w:jc w:val="both"/>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实例A：湾流汇-铜雀台小区车位，2013年建成，建筑面积15平米，拟交易总价6.8万，折合单价约为4533元/平米，拟交易日期2021年7月份。</w:t>
      </w:r>
    </w:p>
    <w:p>
      <w:pPr>
        <w:ind w:firstLine="600"/>
        <w:jc w:val="both"/>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实例B：乾坤豪府小区车位，2012年建成，建筑面积20平米，拟交易总价9万，折合单价约为4500元/平米，拟交易日期2021年7月份。</w:t>
      </w:r>
    </w:p>
    <w:p>
      <w:pPr>
        <w:ind w:firstLine="600"/>
        <w:jc w:val="both"/>
        <w:rPr>
          <w:rFonts w:hint="default" w:ascii="仿宋" w:hAnsi="仿宋" w:eastAsia="仿宋" w:cs="仿宋"/>
          <w:sz w:val="28"/>
          <w:szCs w:val="28"/>
          <w:vertAlign w:val="superscript"/>
          <w:lang w:val="en-US" w:eastAsia="zh-CN"/>
        </w:rPr>
      </w:pPr>
      <w:r>
        <w:rPr>
          <w:rFonts w:hint="eastAsia" w:ascii="仿宋" w:hAnsi="仿宋" w:eastAsia="仿宋" w:cs="仿宋"/>
          <w:color w:val="auto"/>
          <w:sz w:val="28"/>
          <w:szCs w:val="28"/>
          <w:lang w:val="en-US" w:eastAsia="zh-CN"/>
        </w:rPr>
        <w:t>实例C：湾流汇-铜雀台小区车位，2013年建成，建筑面积15平米，拟交易总价7.8万，折合单价约为5200元/平米，拟交易日期2021年6月份。</w:t>
      </w:r>
    </w:p>
    <w:p>
      <w:pPr>
        <w:numPr>
          <w:ilvl w:val="0"/>
          <w:numId w:val="3"/>
        </w:numPr>
        <w:ind w:firstLine="6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比较因素条件说明</w:t>
      </w:r>
    </w:p>
    <w:p>
      <w:pPr>
        <w:numPr>
          <w:ilvl w:val="0"/>
          <w:numId w:val="0"/>
        </w:numPr>
        <w:ind w:firstLine="6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估价对象和比较实例的比较因素条件说明见表1。</w:t>
      </w:r>
    </w:p>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比较因素条件说明表1</w:t>
      </w:r>
    </w:p>
    <w:tbl>
      <w:tblPr>
        <w:tblStyle w:val="9"/>
        <w:tblW w:w="10380" w:type="dxa"/>
        <w:tblInd w:w="-6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2200"/>
        <w:gridCol w:w="1920"/>
        <w:gridCol w:w="1920"/>
        <w:gridCol w:w="1875"/>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0" w:type="dxa"/>
            <w:gridSpan w:val="2"/>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比较因素</w:t>
            </w:r>
          </w:p>
        </w:tc>
        <w:tc>
          <w:tcPr>
            <w:tcW w:w="1920"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w:t>
            </w:r>
          </w:p>
        </w:tc>
        <w:tc>
          <w:tcPr>
            <w:tcW w:w="1920"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可比实例A</w:t>
            </w:r>
          </w:p>
        </w:tc>
        <w:tc>
          <w:tcPr>
            <w:tcW w:w="1875" w:type="dxa"/>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可比实例B</w:t>
            </w:r>
          </w:p>
        </w:tc>
        <w:tc>
          <w:tcPr>
            <w:tcW w:w="1815" w:type="dxa"/>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可比实例C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0" w:type="dxa"/>
            <w:gridSpan w:val="2"/>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交易单价（元/</w:t>
            </w:r>
            <w:r>
              <w:rPr>
                <w:rFonts w:hint="eastAsia" w:ascii="宋体" w:hAnsi="宋体" w:eastAsia="宋体" w:cs="宋体"/>
                <w:sz w:val="28"/>
                <w:szCs w:val="28"/>
                <w:vertAlign w:val="baseline"/>
                <w:lang w:val="en-US" w:eastAsia="zh-CN"/>
              </w:rPr>
              <w:t>㎡</w:t>
            </w:r>
            <w:r>
              <w:rPr>
                <w:rFonts w:hint="eastAsia" w:ascii="仿宋" w:hAnsi="仿宋" w:eastAsia="仿宋" w:cs="仿宋"/>
                <w:sz w:val="28"/>
                <w:szCs w:val="28"/>
                <w:vertAlign w:val="baseline"/>
                <w:lang w:val="en-US" w:eastAsia="zh-CN"/>
              </w:rPr>
              <w:t>）</w:t>
            </w:r>
          </w:p>
        </w:tc>
        <w:tc>
          <w:tcPr>
            <w:tcW w:w="1920" w:type="dxa"/>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920" w:type="dxa"/>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4533</w:t>
            </w:r>
          </w:p>
        </w:tc>
        <w:tc>
          <w:tcPr>
            <w:tcW w:w="1875" w:type="dxa"/>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4500</w:t>
            </w:r>
          </w:p>
        </w:tc>
        <w:tc>
          <w:tcPr>
            <w:tcW w:w="1815" w:type="dxa"/>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5200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0" w:type="dxa"/>
            <w:gridSpan w:val="2"/>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交易日期</w:t>
            </w:r>
          </w:p>
        </w:tc>
        <w:tc>
          <w:tcPr>
            <w:tcW w:w="1920" w:type="dxa"/>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2021.7</w:t>
            </w:r>
          </w:p>
        </w:tc>
        <w:tc>
          <w:tcPr>
            <w:tcW w:w="1920"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2021.7</w:t>
            </w:r>
          </w:p>
        </w:tc>
        <w:tc>
          <w:tcPr>
            <w:tcW w:w="1875"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2021.7</w:t>
            </w:r>
          </w:p>
        </w:tc>
        <w:tc>
          <w:tcPr>
            <w:tcW w:w="1815" w:type="dxa"/>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0" w:type="dxa"/>
            <w:gridSpan w:val="2"/>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920"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c>
          <w:tcPr>
            <w:tcW w:w="1920"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c>
          <w:tcPr>
            <w:tcW w:w="1875"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c>
          <w:tcPr>
            <w:tcW w:w="1815"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0" w:type="dxa"/>
            <w:gridSpan w:val="2"/>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区位状况</w:t>
            </w:r>
          </w:p>
        </w:tc>
        <w:tc>
          <w:tcPr>
            <w:tcW w:w="1920"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较好</w:t>
            </w:r>
          </w:p>
        </w:tc>
        <w:tc>
          <w:tcPr>
            <w:tcW w:w="1920"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较好</w:t>
            </w:r>
          </w:p>
        </w:tc>
        <w:tc>
          <w:tcPr>
            <w:tcW w:w="1875"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较好</w:t>
            </w:r>
          </w:p>
        </w:tc>
        <w:tc>
          <w:tcPr>
            <w:tcW w:w="1815"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0" w:type="dxa"/>
            <w:vMerge w:val="restart"/>
          </w:tcPr>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p>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实物状况</w:t>
            </w:r>
          </w:p>
        </w:tc>
        <w:tc>
          <w:tcPr>
            <w:tcW w:w="2200"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业主消费层次</w:t>
            </w:r>
          </w:p>
        </w:tc>
        <w:tc>
          <w:tcPr>
            <w:tcW w:w="1920"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平均中高档</w:t>
            </w:r>
          </w:p>
        </w:tc>
        <w:tc>
          <w:tcPr>
            <w:tcW w:w="1920"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平均中档</w:t>
            </w:r>
          </w:p>
        </w:tc>
        <w:tc>
          <w:tcPr>
            <w:tcW w:w="1875"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平均中高档</w:t>
            </w:r>
          </w:p>
        </w:tc>
        <w:tc>
          <w:tcPr>
            <w:tcW w:w="1815"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平均中档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0" w:type="dxa"/>
            <w:vMerge w:val="continue"/>
          </w:tcPr>
          <w:p>
            <w:pPr>
              <w:jc w:val="center"/>
              <w:rPr>
                <w:rFonts w:hint="eastAsia" w:ascii="仿宋" w:hAnsi="仿宋" w:eastAsia="仿宋" w:cs="仿宋"/>
                <w:sz w:val="28"/>
                <w:szCs w:val="28"/>
                <w:vertAlign w:val="baseline"/>
                <w:lang w:val="en-US" w:eastAsia="zh-CN"/>
              </w:rPr>
            </w:pPr>
          </w:p>
        </w:tc>
        <w:tc>
          <w:tcPr>
            <w:tcW w:w="2200" w:type="dxa"/>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住宅数/车位数</w:t>
            </w:r>
          </w:p>
        </w:tc>
        <w:tc>
          <w:tcPr>
            <w:tcW w:w="1920" w:type="dxa"/>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1.1：1</w:t>
            </w:r>
          </w:p>
        </w:tc>
        <w:tc>
          <w:tcPr>
            <w:tcW w:w="1920" w:type="dxa"/>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1：1.2</w:t>
            </w:r>
          </w:p>
        </w:tc>
        <w:tc>
          <w:tcPr>
            <w:tcW w:w="1875" w:type="dxa"/>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1：2</w:t>
            </w:r>
          </w:p>
        </w:tc>
        <w:tc>
          <w:tcPr>
            <w:tcW w:w="1815" w:type="dxa"/>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0" w:type="dxa"/>
            <w:vMerge w:val="continue"/>
          </w:tcPr>
          <w:p>
            <w:pPr>
              <w:jc w:val="center"/>
              <w:rPr>
                <w:rFonts w:hint="eastAsia" w:ascii="仿宋" w:hAnsi="仿宋" w:eastAsia="仿宋" w:cs="仿宋"/>
                <w:sz w:val="30"/>
                <w:szCs w:val="30"/>
                <w:vertAlign w:val="baseline"/>
                <w:lang w:val="en-US" w:eastAsia="zh-CN"/>
              </w:rPr>
            </w:pPr>
          </w:p>
        </w:tc>
        <w:tc>
          <w:tcPr>
            <w:tcW w:w="2200"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公共交通种类</w:t>
            </w:r>
          </w:p>
        </w:tc>
        <w:tc>
          <w:tcPr>
            <w:tcW w:w="1920"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出租车、</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公交车</w:t>
            </w:r>
          </w:p>
        </w:tc>
        <w:tc>
          <w:tcPr>
            <w:tcW w:w="1920"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出租车、</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公交车、轻轨</w:t>
            </w:r>
          </w:p>
        </w:tc>
        <w:tc>
          <w:tcPr>
            <w:tcW w:w="1875"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出租车、</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公交车</w:t>
            </w:r>
          </w:p>
        </w:tc>
        <w:tc>
          <w:tcPr>
            <w:tcW w:w="1815"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出租车、</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公交车、轻轨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0" w:type="dxa"/>
            <w:vMerge w:val="continue"/>
          </w:tcPr>
          <w:p>
            <w:pPr>
              <w:jc w:val="center"/>
              <w:rPr>
                <w:rFonts w:hint="eastAsia" w:ascii="仿宋" w:hAnsi="仿宋" w:eastAsia="仿宋" w:cs="仿宋"/>
                <w:sz w:val="30"/>
                <w:szCs w:val="30"/>
                <w:vertAlign w:val="baseline"/>
                <w:lang w:val="en-US" w:eastAsia="zh-CN"/>
              </w:rPr>
            </w:pPr>
          </w:p>
        </w:tc>
        <w:tc>
          <w:tcPr>
            <w:tcW w:w="2200"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公交线路密度</w:t>
            </w:r>
          </w:p>
        </w:tc>
        <w:tc>
          <w:tcPr>
            <w:tcW w:w="1920"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较高</w:t>
            </w:r>
          </w:p>
        </w:tc>
        <w:tc>
          <w:tcPr>
            <w:tcW w:w="1920"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较高</w:t>
            </w:r>
          </w:p>
        </w:tc>
        <w:tc>
          <w:tcPr>
            <w:tcW w:w="1875"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较高</w:t>
            </w:r>
          </w:p>
        </w:tc>
        <w:tc>
          <w:tcPr>
            <w:tcW w:w="1815"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0" w:type="dxa"/>
            <w:vMerge w:val="continue"/>
          </w:tcPr>
          <w:p>
            <w:pPr>
              <w:jc w:val="center"/>
              <w:rPr>
                <w:rFonts w:hint="eastAsia" w:ascii="仿宋" w:hAnsi="仿宋" w:eastAsia="仿宋" w:cs="仿宋"/>
                <w:sz w:val="30"/>
                <w:szCs w:val="30"/>
                <w:vertAlign w:val="baseline"/>
                <w:lang w:val="en-US" w:eastAsia="zh-CN"/>
              </w:rPr>
            </w:pPr>
          </w:p>
        </w:tc>
        <w:tc>
          <w:tcPr>
            <w:tcW w:w="2200"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公共交通便捷度</w:t>
            </w:r>
          </w:p>
        </w:tc>
        <w:tc>
          <w:tcPr>
            <w:tcW w:w="1920"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距站点较近</w:t>
            </w:r>
          </w:p>
        </w:tc>
        <w:tc>
          <w:tcPr>
            <w:tcW w:w="1920"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距站点较近</w:t>
            </w:r>
          </w:p>
        </w:tc>
        <w:tc>
          <w:tcPr>
            <w:tcW w:w="1875"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距站点较近</w:t>
            </w:r>
          </w:p>
        </w:tc>
        <w:tc>
          <w:tcPr>
            <w:tcW w:w="1815"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距站点较近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0" w:type="dxa"/>
            <w:vMerge w:val="continue"/>
          </w:tcPr>
          <w:p>
            <w:pPr>
              <w:jc w:val="center"/>
              <w:rPr>
                <w:rFonts w:hint="eastAsia" w:ascii="仿宋" w:hAnsi="仿宋" w:eastAsia="仿宋" w:cs="仿宋"/>
                <w:sz w:val="30"/>
                <w:szCs w:val="30"/>
                <w:vertAlign w:val="baseline"/>
                <w:lang w:val="en-US" w:eastAsia="zh-CN"/>
              </w:rPr>
            </w:pPr>
          </w:p>
        </w:tc>
        <w:tc>
          <w:tcPr>
            <w:tcW w:w="2200"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生活配套设施</w:t>
            </w:r>
          </w:p>
        </w:tc>
        <w:tc>
          <w:tcPr>
            <w:tcW w:w="1920"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近</w:t>
            </w:r>
          </w:p>
        </w:tc>
        <w:tc>
          <w:tcPr>
            <w:tcW w:w="1920"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近</w:t>
            </w:r>
          </w:p>
        </w:tc>
        <w:tc>
          <w:tcPr>
            <w:tcW w:w="1875"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815"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0" w:type="dxa"/>
            <w:vMerge w:val="continue"/>
          </w:tcPr>
          <w:p>
            <w:pPr>
              <w:jc w:val="center"/>
              <w:rPr>
                <w:rFonts w:hint="eastAsia" w:ascii="仿宋" w:hAnsi="仿宋" w:eastAsia="仿宋" w:cs="仿宋"/>
                <w:sz w:val="30"/>
                <w:szCs w:val="30"/>
                <w:vertAlign w:val="baseline"/>
                <w:lang w:val="en-US" w:eastAsia="zh-CN"/>
              </w:rPr>
            </w:pPr>
          </w:p>
        </w:tc>
        <w:tc>
          <w:tcPr>
            <w:tcW w:w="2200"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小区住宅均价</w:t>
            </w:r>
          </w:p>
        </w:tc>
        <w:tc>
          <w:tcPr>
            <w:tcW w:w="1920" w:type="dxa"/>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8855元/</w:t>
            </w:r>
            <w:r>
              <w:rPr>
                <w:rFonts w:hint="eastAsia" w:ascii="宋体" w:hAnsi="宋体" w:eastAsia="宋体" w:cs="宋体"/>
                <w:sz w:val="28"/>
                <w:szCs w:val="28"/>
                <w:vertAlign w:val="baseline"/>
                <w:lang w:val="en-US" w:eastAsia="zh-CN"/>
              </w:rPr>
              <w:t>㎡</w:t>
            </w:r>
          </w:p>
        </w:tc>
        <w:tc>
          <w:tcPr>
            <w:tcW w:w="1920"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8184元/</w:t>
            </w:r>
            <w:r>
              <w:rPr>
                <w:rFonts w:hint="eastAsia" w:ascii="宋体" w:hAnsi="宋体" w:eastAsia="宋体" w:cs="宋体"/>
                <w:sz w:val="28"/>
                <w:szCs w:val="28"/>
                <w:vertAlign w:val="baseline"/>
                <w:lang w:val="en-US" w:eastAsia="zh-CN"/>
              </w:rPr>
              <w:t>㎡</w:t>
            </w:r>
          </w:p>
        </w:tc>
        <w:tc>
          <w:tcPr>
            <w:tcW w:w="1875"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10282元/</w:t>
            </w:r>
            <w:r>
              <w:rPr>
                <w:rFonts w:hint="eastAsia" w:ascii="宋体" w:hAnsi="宋体" w:eastAsia="宋体" w:cs="宋体"/>
                <w:sz w:val="28"/>
                <w:szCs w:val="28"/>
                <w:vertAlign w:val="baseline"/>
                <w:lang w:val="en-US" w:eastAsia="zh-CN"/>
              </w:rPr>
              <w:t>㎡</w:t>
            </w:r>
          </w:p>
        </w:tc>
        <w:tc>
          <w:tcPr>
            <w:tcW w:w="1815"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8184元/</w:t>
            </w:r>
            <w:r>
              <w:rPr>
                <w:rFonts w:hint="eastAsia" w:ascii="宋体" w:hAnsi="宋体" w:eastAsia="宋体" w:cs="宋体"/>
                <w:sz w:val="28"/>
                <w:szCs w:val="2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0" w:type="dxa"/>
            <w:vMerge w:val="continue"/>
          </w:tcPr>
          <w:p>
            <w:pPr>
              <w:jc w:val="center"/>
              <w:rPr>
                <w:rFonts w:hint="eastAsia" w:ascii="仿宋" w:hAnsi="仿宋" w:eastAsia="仿宋" w:cs="仿宋"/>
                <w:sz w:val="30"/>
                <w:szCs w:val="30"/>
                <w:vertAlign w:val="baseline"/>
                <w:lang w:val="en-US" w:eastAsia="zh-CN"/>
              </w:rPr>
            </w:pPr>
          </w:p>
        </w:tc>
        <w:tc>
          <w:tcPr>
            <w:tcW w:w="2200"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周边公共停车场</w:t>
            </w:r>
          </w:p>
        </w:tc>
        <w:tc>
          <w:tcPr>
            <w:tcW w:w="1920"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小区内路边</w:t>
            </w:r>
          </w:p>
        </w:tc>
        <w:tc>
          <w:tcPr>
            <w:tcW w:w="1920"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小区内路边</w:t>
            </w:r>
          </w:p>
        </w:tc>
        <w:tc>
          <w:tcPr>
            <w:tcW w:w="1875"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小区内路边</w:t>
            </w:r>
          </w:p>
        </w:tc>
        <w:tc>
          <w:tcPr>
            <w:tcW w:w="1815" w:type="dxa"/>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小区内路边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0" w:type="dxa"/>
            <w:vMerge w:val="continue"/>
          </w:tcPr>
          <w:p>
            <w:pPr>
              <w:jc w:val="center"/>
              <w:rPr>
                <w:rFonts w:hint="eastAsia" w:ascii="仿宋" w:hAnsi="仿宋" w:eastAsia="仿宋" w:cs="仿宋"/>
                <w:sz w:val="30"/>
                <w:szCs w:val="30"/>
                <w:vertAlign w:val="baseline"/>
                <w:lang w:val="en-US" w:eastAsia="zh-CN"/>
              </w:rPr>
            </w:pPr>
          </w:p>
        </w:tc>
        <w:tc>
          <w:tcPr>
            <w:tcW w:w="2200"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周</w:t>
            </w:r>
            <w:r>
              <w:rPr>
                <w:rFonts w:hint="eastAsia" w:ascii="仿宋" w:hAnsi="仿宋" w:eastAsia="仿宋" w:cs="仿宋"/>
                <w:sz w:val="24"/>
                <w:szCs w:val="24"/>
                <w:vertAlign w:val="baseline"/>
                <w:lang w:val="en-US" w:eastAsia="zh-CN"/>
              </w:rPr>
              <w:t>边居住小区状况</w:t>
            </w:r>
          </w:p>
        </w:tc>
        <w:tc>
          <w:tcPr>
            <w:tcW w:w="1920"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高档、普通</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均有</w:t>
            </w:r>
          </w:p>
        </w:tc>
        <w:tc>
          <w:tcPr>
            <w:tcW w:w="1920"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高档、普通</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均有</w:t>
            </w:r>
          </w:p>
        </w:tc>
        <w:tc>
          <w:tcPr>
            <w:tcW w:w="1875"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高档、普通均有</w:t>
            </w:r>
          </w:p>
        </w:tc>
        <w:tc>
          <w:tcPr>
            <w:tcW w:w="1815"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高档、普通均有</w:t>
            </w:r>
          </w:p>
        </w:tc>
      </w:tr>
    </w:tbl>
    <w:p>
      <w:pPr>
        <w:numPr>
          <w:ilvl w:val="0"/>
          <w:numId w:val="0"/>
        </w:numPr>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3、编制比较因素修正指数表</w:t>
      </w:r>
    </w:p>
    <w:p>
      <w:pPr>
        <w:numPr>
          <w:ilvl w:val="0"/>
          <w:numId w:val="0"/>
        </w:numPr>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根据估价对象与比较实例各种因素具体情况，编制比较因素修正指数表，见表2。</w:t>
      </w:r>
    </w:p>
    <w:p>
      <w:p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比较因素条件指数及系数修正表2</w:t>
      </w:r>
    </w:p>
    <w:tbl>
      <w:tblPr>
        <w:tblStyle w:val="9"/>
        <w:tblW w:w="9833" w:type="dxa"/>
        <w:tblInd w:w="-6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2200"/>
        <w:gridCol w:w="1717"/>
        <w:gridCol w:w="1850"/>
        <w:gridCol w:w="1683"/>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0" w:type="dxa"/>
            <w:gridSpan w:val="2"/>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比较因素</w:t>
            </w:r>
          </w:p>
        </w:tc>
        <w:tc>
          <w:tcPr>
            <w:tcW w:w="1717"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估价对象</w:t>
            </w:r>
          </w:p>
        </w:tc>
        <w:tc>
          <w:tcPr>
            <w:tcW w:w="1850" w:type="dxa"/>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可比实例A</w:t>
            </w:r>
          </w:p>
        </w:tc>
        <w:tc>
          <w:tcPr>
            <w:tcW w:w="1683" w:type="dxa"/>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可比实例B</w:t>
            </w:r>
          </w:p>
        </w:tc>
        <w:tc>
          <w:tcPr>
            <w:tcW w:w="1733" w:type="dxa"/>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可比实例C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0" w:type="dxa"/>
            <w:gridSpan w:val="2"/>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交易单价（元/</w:t>
            </w:r>
            <w:r>
              <w:rPr>
                <w:rFonts w:hint="eastAsia" w:ascii="宋体" w:hAnsi="宋体" w:eastAsia="宋体" w:cs="宋体"/>
                <w:sz w:val="30"/>
                <w:szCs w:val="30"/>
                <w:vertAlign w:val="baseline"/>
                <w:lang w:val="en-US" w:eastAsia="zh-CN"/>
              </w:rPr>
              <w:t>㎡</w:t>
            </w:r>
            <w:r>
              <w:rPr>
                <w:rFonts w:hint="eastAsia" w:ascii="仿宋" w:hAnsi="仿宋" w:eastAsia="仿宋" w:cs="仿宋"/>
                <w:sz w:val="30"/>
                <w:szCs w:val="30"/>
                <w:vertAlign w:val="baseline"/>
                <w:lang w:val="en-US" w:eastAsia="zh-CN"/>
              </w:rPr>
              <w:t>）</w:t>
            </w:r>
          </w:p>
        </w:tc>
        <w:tc>
          <w:tcPr>
            <w:tcW w:w="1717" w:type="dxa"/>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8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4533</w:t>
            </w:r>
          </w:p>
        </w:tc>
        <w:tc>
          <w:tcPr>
            <w:tcW w:w="168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4500</w:t>
            </w:r>
          </w:p>
        </w:tc>
        <w:tc>
          <w:tcPr>
            <w:tcW w:w="17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5200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0" w:type="dxa"/>
            <w:gridSpan w:val="2"/>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交易日期</w:t>
            </w:r>
          </w:p>
        </w:tc>
        <w:tc>
          <w:tcPr>
            <w:tcW w:w="1717" w:type="dxa"/>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50" w:type="dxa"/>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83" w:type="dxa"/>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733" w:type="dxa"/>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0" w:type="dxa"/>
            <w:gridSpan w:val="2"/>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71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8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7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0" w:type="dxa"/>
            <w:gridSpan w:val="2"/>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区位状况</w:t>
            </w:r>
          </w:p>
        </w:tc>
        <w:tc>
          <w:tcPr>
            <w:tcW w:w="1717" w:type="dxa"/>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50"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83"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733"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0" w:type="dxa"/>
            <w:vMerge w:val="restart"/>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实物状况</w:t>
            </w:r>
          </w:p>
        </w:tc>
        <w:tc>
          <w:tcPr>
            <w:tcW w:w="2200"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业主消费层次</w:t>
            </w:r>
          </w:p>
        </w:tc>
        <w:tc>
          <w:tcPr>
            <w:tcW w:w="1717" w:type="dxa"/>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50" w:type="dxa"/>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95</w:t>
            </w:r>
          </w:p>
        </w:tc>
        <w:tc>
          <w:tcPr>
            <w:tcW w:w="1683"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733" w:type="dxa"/>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0" w:type="dxa"/>
            <w:vMerge w:val="continue"/>
          </w:tcPr>
          <w:p>
            <w:pPr>
              <w:jc w:val="center"/>
              <w:rPr>
                <w:rFonts w:hint="eastAsia" w:ascii="仿宋" w:hAnsi="仿宋" w:eastAsia="仿宋" w:cs="仿宋"/>
                <w:sz w:val="30"/>
                <w:szCs w:val="30"/>
                <w:vertAlign w:val="baseline"/>
                <w:lang w:val="en-US" w:eastAsia="zh-CN"/>
              </w:rPr>
            </w:pPr>
          </w:p>
        </w:tc>
        <w:tc>
          <w:tcPr>
            <w:tcW w:w="2200" w:type="dxa"/>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住宅数/车位数</w:t>
            </w:r>
          </w:p>
        </w:tc>
        <w:tc>
          <w:tcPr>
            <w:tcW w:w="1717"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50" w:type="dxa"/>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97</w:t>
            </w:r>
          </w:p>
        </w:tc>
        <w:tc>
          <w:tcPr>
            <w:tcW w:w="1683" w:type="dxa"/>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95</w:t>
            </w:r>
          </w:p>
        </w:tc>
        <w:tc>
          <w:tcPr>
            <w:tcW w:w="1733" w:type="dxa"/>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0" w:type="dxa"/>
            <w:vMerge w:val="continue"/>
          </w:tcPr>
          <w:p>
            <w:pPr>
              <w:jc w:val="center"/>
              <w:rPr>
                <w:rFonts w:hint="eastAsia" w:ascii="仿宋" w:hAnsi="仿宋" w:eastAsia="仿宋" w:cs="仿宋"/>
                <w:sz w:val="30"/>
                <w:szCs w:val="30"/>
                <w:vertAlign w:val="baseline"/>
                <w:lang w:val="en-US" w:eastAsia="zh-CN"/>
              </w:rPr>
            </w:pPr>
          </w:p>
        </w:tc>
        <w:tc>
          <w:tcPr>
            <w:tcW w:w="2200"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公共交通种类</w:t>
            </w:r>
          </w:p>
        </w:tc>
        <w:tc>
          <w:tcPr>
            <w:tcW w:w="1717"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30"/>
                <w:szCs w:val="30"/>
                <w:vertAlign w:val="baseline"/>
                <w:lang w:val="en-US" w:eastAsia="zh-CN"/>
              </w:rPr>
              <w:t>100</w:t>
            </w:r>
          </w:p>
        </w:tc>
        <w:tc>
          <w:tcPr>
            <w:tcW w:w="1850" w:type="dxa"/>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30"/>
                <w:szCs w:val="30"/>
                <w:vertAlign w:val="baseline"/>
                <w:lang w:val="en-US" w:eastAsia="zh-CN"/>
              </w:rPr>
              <w:t>103</w:t>
            </w:r>
          </w:p>
        </w:tc>
        <w:tc>
          <w:tcPr>
            <w:tcW w:w="168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30"/>
                <w:szCs w:val="30"/>
                <w:vertAlign w:val="baseline"/>
                <w:lang w:val="en-US" w:eastAsia="zh-CN"/>
              </w:rPr>
              <w:t>100</w:t>
            </w:r>
          </w:p>
        </w:tc>
        <w:tc>
          <w:tcPr>
            <w:tcW w:w="1733" w:type="dxa"/>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30"/>
                <w:szCs w:val="30"/>
                <w:vertAlign w:val="baseline"/>
                <w:lang w:val="en-US" w:eastAsia="zh-CN"/>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0" w:type="dxa"/>
            <w:vMerge w:val="continue"/>
          </w:tcPr>
          <w:p>
            <w:pPr>
              <w:jc w:val="center"/>
              <w:rPr>
                <w:rFonts w:hint="eastAsia" w:ascii="仿宋" w:hAnsi="仿宋" w:eastAsia="仿宋" w:cs="仿宋"/>
                <w:sz w:val="30"/>
                <w:szCs w:val="30"/>
                <w:vertAlign w:val="baseline"/>
                <w:lang w:val="en-US" w:eastAsia="zh-CN"/>
              </w:rPr>
            </w:pPr>
          </w:p>
        </w:tc>
        <w:tc>
          <w:tcPr>
            <w:tcW w:w="2200"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公交线路密度</w:t>
            </w:r>
          </w:p>
        </w:tc>
        <w:tc>
          <w:tcPr>
            <w:tcW w:w="1717"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50"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83"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733"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0" w:type="dxa"/>
            <w:vMerge w:val="continue"/>
          </w:tcPr>
          <w:p>
            <w:pPr>
              <w:jc w:val="center"/>
              <w:rPr>
                <w:rFonts w:hint="eastAsia" w:ascii="仿宋" w:hAnsi="仿宋" w:eastAsia="仿宋" w:cs="仿宋"/>
                <w:sz w:val="30"/>
                <w:szCs w:val="30"/>
                <w:vertAlign w:val="baseline"/>
                <w:lang w:val="en-US" w:eastAsia="zh-CN"/>
              </w:rPr>
            </w:pPr>
          </w:p>
        </w:tc>
        <w:tc>
          <w:tcPr>
            <w:tcW w:w="2200"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公共交通</w:t>
            </w:r>
            <w:r>
              <w:rPr>
                <w:rFonts w:hint="eastAsia" w:ascii="仿宋" w:hAnsi="仿宋" w:eastAsia="仿宋" w:cs="仿宋"/>
                <w:sz w:val="30"/>
                <w:szCs w:val="30"/>
                <w:vertAlign w:val="baseline"/>
                <w:lang w:val="en-US" w:eastAsia="zh-CN"/>
              </w:rPr>
              <w:t>便捷度</w:t>
            </w:r>
          </w:p>
        </w:tc>
        <w:tc>
          <w:tcPr>
            <w:tcW w:w="1717"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50"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83"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733"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0" w:type="dxa"/>
            <w:vMerge w:val="continue"/>
          </w:tcPr>
          <w:p>
            <w:pPr>
              <w:jc w:val="center"/>
              <w:rPr>
                <w:rFonts w:hint="eastAsia" w:ascii="仿宋" w:hAnsi="仿宋" w:eastAsia="仿宋" w:cs="仿宋"/>
                <w:sz w:val="30"/>
                <w:szCs w:val="30"/>
                <w:vertAlign w:val="baseline"/>
                <w:lang w:val="en-US" w:eastAsia="zh-CN"/>
              </w:rPr>
            </w:pPr>
          </w:p>
        </w:tc>
        <w:tc>
          <w:tcPr>
            <w:tcW w:w="2200"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生活配套设施</w:t>
            </w:r>
          </w:p>
        </w:tc>
        <w:tc>
          <w:tcPr>
            <w:tcW w:w="1717"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50"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83" w:type="dxa"/>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99</w:t>
            </w:r>
          </w:p>
        </w:tc>
        <w:tc>
          <w:tcPr>
            <w:tcW w:w="1733"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0" w:type="dxa"/>
            <w:vMerge w:val="continue"/>
          </w:tcPr>
          <w:p>
            <w:pPr>
              <w:jc w:val="center"/>
              <w:rPr>
                <w:rFonts w:hint="eastAsia" w:ascii="仿宋" w:hAnsi="仿宋" w:eastAsia="仿宋" w:cs="仿宋"/>
                <w:sz w:val="30"/>
                <w:szCs w:val="30"/>
                <w:vertAlign w:val="baseline"/>
                <w:lang w:val="en-US" w:eastAsia="zh-CN"/>
              </w:rPr>
            </w:pPr>
          </w:p>
        </w:tc>
        <w:tc>
          <w:tcPr>
            <w:tcW w:w="2200"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小区住宅均价</w:t>
            </w:r>
          </w:p>
        </w:tc>
        <w:tc>
          <w:tcPr>
            <w:tcW w:w="1717"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50"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83"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733"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0" w:type="dxa"/>
            <w:vMerge w:val="continue"/>
          </w:tcPr>
          <w:p>
            <w:pPr>
              <w:jc w:val="center"/>
              <w:rPr>
                <w:rFonts w:hint="eastAsia" w:ascii="仿宋" w:hAnsi="仿宋" w:eastAsia="仿宋" w:cs="仿宋"/>
                <w:sz w:val="30"/>
                <w:szCs w:val="30"/>
                <w:vertAlign w:val="baseline"/>
                <w:lang w:val="en-US" w:eastAsia="zh-CN"/>
              </w:rPr>
            </w:pPr>
          </w:p>
        </w:tc>
        <w:tc>
          <w:tcPr>
            <w:tcW w:w="2200"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周边</w:t>
            </w:r>
            <w:r>
              <w:rPr>
                <w:rFonts w:hint="eastAsia" w:ascii="仿宋" w:hAnsi="仿宋" w:eastAsia="仿宋" w:cs="仿宋"/>
                <w:sz w:val="30"/>
                <w:szCs w:val="30"/>
                <w:vertAlign w:val="baseline"/>
                <w:lang w:val="en-US" w:eastAsia="zh-CN"/>
              </w:rPr>
              <w:t>公共停车场</w:t>
            </w:r>
          </w:p>
        </w:tc>
        <w:tc>
          <w:tcPr>
            <w:tcW w:w="1717"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50"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83"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733"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0" w:type="dxa"/>
            <w:vMerge w:val="continue"/>
          </w:tcPr>
          <w:p>
            <w:pPr>
              <w:jc w:val="center"/>
              <w:rPr>
                <w:rFonts w:hint="eastAsia" w:ascii="仿宋" w:hAnsi="仿宋" w:eastAsia="仿宋" w:cs="仿宋"/>
                <w:sz w:val="30"/>
                <w:szCs w:val="30"/>
                <w:vertAlign w:val="baseline"/>
                <w:lang w:val="en-US" w:eastAsia="zh-CN"/>
              </w:rPr>
            </w:pPr>
          </w:p>
        </w:tc>
        <w:tc>
          <w:tcPr>
            <w:tcW w:w="2200"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周</w:t>
            </w:r>
            <w:r>
              <w:rPr>
                <w:rFonts w:hint="eastAsia" w:ascii="仿宋" w:hAnsi="仿宋" w:eastAsia="仿宋" w:cs="仿宋"/>
                <w:sz w:val="24"/>
                <w:szCs w:val="24"/>
                <w:vertAlign w:val="baseline"/>
                <w:lang w:val="en-US" w:eastAsia="zh-CN"/>
              </w:rPr>
              <w:t>边居住小区状况</w:t>
            </w:r>
          </w:p>
        </w:tc>
        <w:tc>
          <w:tcPr>
            <w:tcW w:w="1717"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50"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83"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733"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0" w:type="dxa"/>
            <w:gridSpan w:val="2"/>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修正系数</w:t>
            </w:r>
          </w:p>
        </w:tc>
        <w:tc>
          <w:tcPr>
            <w:tcW w:w="1717" w:type="dxa"/>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50" w:type="dxa"/>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92</w:t>
            </w:r>
          </w:p>
        </w:tc>
        <w:tc>
          <w:tcPr>
            <w:tcW w:w="1683" w:type="dxa"/>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94</w:t>
            </w:r>
          </w:p>
        </w:tc>
        <w:tc>
          <w:tcPr>
            <w:tcW w:w="1733" w:type="dxa"/>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0" w:type="dxa"/>
            <w:gridSpan w:val="2"/>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比准价格（元/</w:t>
            </w:r>
            <w:r>
              <w:rPr>
                <w:rFonts w:hint="eastAsia" w:ascii="宋体" w:hAnsi="宋体" w:eastAsia="宋体" w:cs="宋体"/>
                <w:sz w:val="30"/>
                <w:szCs w:val="30"/>
                <w:vertAlign w:val="baseline"/>
                <w:lang w:val="en-US" w:eastAsia="zh-CN"/>
              </w:rPr>
              <w:t>㎡</w:t>
            </w:r>
            <w:r>
              <w:rPr>
                <w:rFonts w:hint="eastAsia" w:ascii="仿宋" w:hAnsi="仿宋" w:eastAsia="仿宋" w:cs="仿宋"/>
                <w:sz w:val="30"/>
                <w:szCs w:val="30"/>
                <w:vertAlign w:val="baseline"/>
                <w:lang w:val="en-US" w:eastAsia="zh-CN"/>
              </w:rPr>
              <w:t>）</w:t>
            </w:r>
          </w:p>
        </w:tc>
        <w:tc>
          <w:tcPr>
            <w:tcW w:w="1717" w:type="dxa"/>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8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4927</w:t>
            </w:r>
          </w:p>
        </w:tc>
        <w:tc>
          <w:tcPr>
            <w:tcW w:w="168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4787</w:t>
            </w:r>
          </w:p>
        </w:tc>
        <w:tc>
          <w:tcPr>
            <w:tcW w:w="17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5761</w:t>
            </w:r>
          </w:p>
        </w:tc>
      </w:tr>
    </w:tbl>
    <w:p>
      <w:pPr>
        <w:numPr>
          <w:ilvl w:val="0"/>
          <w:numId w:val="0"/>
        </w:numPr>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4、求取估价对象价值</w:t>
      </w:r>
    </w:p>
    <w:p>
      <w:pPr>
        <w:numPr>
          <w:ilvl w:val="0"/>
          <w:numId w:val="0"/>
        </w:numPr>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28"/>
          <w:szCs w:val="28"/>
          <w:lang w:val="en-US" w:eastAsia="zh-CN"/>
        </w:rPr>
        <w:t>由于可比实例A、B、C与估价对象条件因素相当类似，且比准价格相差不远，因此采取算数平均值的求取方法</w:t>
      </w:r>
      <w:r>
        <w:rPr>
          <w:rFonts w:hint="eastAsia" w:ascii="仿宋" w:hAnsi="仿宋" w:eastAsia="仿宋" w:cs="仿宋"/>
          <w:sz w:val="30"/>
          <w:szCs w:val="30"/>
          <w:lang w:val="en-US" w:eastAsia="zh-CN"/>
        </w:rPr>
        <w:t>。</w:t>
      </w:r>
    </w:p>
    <w:p>
      <w:pPr>
        <w:numPr>
          <w:ilvl w:val="0"/>
          <w:numId w:val="0"/>
        </w:numPr>
        <w:ind w:firstLine="60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评估单价=（4927+4787+5761）</w:t>
      </w:r>
      <w:r>
        <w:rPr>
          <w:rFonts w:hint="default" w:ascii="仿宋" w:hAnsi="仿宋" w:eastAsia="仿宋" w:cs="仿宋"/>
          <w:sz w:val="28"/>
          <w:szCs w:val="28"/>
          <w:lang w:val="en-US" w:eastAsia="zh-CN"/>
        </w:rPr>
        <w:t>÷</w:t>
      </w:r>
      <w:r>
        <w:rPr>
          <w:rFonts w:hint="eastAsia" w:ascii="仿宋" w:hAnsi="仿宋" w:eastAsia="仿宋" w:cs="仿宋"/>
          <w:sz w:val="28"/>
          <w:szCs w:val="28"/>
          <w:lang w:val="en-US" w:eastAsia="zh-CN"/>
        </w:rPr>
        <w:t>3≈5158（元/平米）</w:t>
      </w:r>
    </w:p>
    <w:p>
      <w:pPr>
        <w:numPr>
          <w:ilvl w:val="0"/>
          <w:numId w:val="0"/>
        </w:numPr>
        <w:ind w:firstLine="60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评估值=5158×20.53≈105893（元）</w:t>
      </w:r>
    </w:p>
    <w:p>
      <w:pPr>
        <w:numPr>
          <w:ilvl w:val="0"/>
          <w:numId w:val="0"/>
        </w:numPr>
        <w:ind w:firstLine="600" w:firstLineChars="200"/>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估价对象评估总值=2481675+122250+105893=2709818（元）</w:t>
      </w:r>
    </w:p>
    <w:p>
      <w:pPr>
        <w:ind w:firstLine="562" w:firstLineChars="200"/>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六、估价结果确定</w:t>
      </w:r>
    </w:p>
    <w:p>
      <w:pPr>
        <w:numPr>
          <w:ilvl w:val="0"/>
          <w:numId w:val="0"/>
        </w:numPr>
        <w:ind w:firstLine="600" w:firstLineChars="200"/>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估价人员根据估价目的，遵循估价原则，按照规定估价程序和估价方法，经过具体测算，确定估价对象在估价时点可能形成的市场价值为￥2709818元(大写人民币贰佰柒拾万零玖仟捌佰壹拾捌元整)。其中：住宅房屋评估值为2481675元，地下室评估值为122250元，车库评估值为105893元。</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p>
    <w:p>
      <w:pPr>
        <w:ind w:firstLine="3920" w:firstLineChars="14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highlight w:val="none"/>
        </w:rPr>
      </w:pPr>
      <w:r>
        <w:rPr>
          <w:rFonts w:hint="eastAsia" w:ascii="仿宋_GB2312" w:hAnsi="宋体" w:eastAsia="仿宋_GB2312" w:cs="Times New Roman"/>
          <w:kern w:val="2"/>
          <w:sz w:val="28"/>
          <w:szCs w:val="28"/>
          <w:highlight w:val="none"/>
          <w:lang w:val="en-US" w:eastAsia="zh-CN" w:bidi="ar-SA"/>
        </w:rPr>
        <w:t xml:space="preserve">                                   二0二一年八月四日</w:t>
      </w:r>
    </w:p>
    <w:p>
      <w:pPr/>
    </w:p>
    <w:p>
      <w:pPr/>
    </w:p>
    <w:p>
      <w:pPr/>
    </w:p>
    <w:p>
      <w:pP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仿宋">
    <w:panose1 w:val="02010609060101010101"/>
    <w:charset w:val="86"/>
    <w:family w:val="roman"/>
    <w:pitch w:val="default"/>
    <w:sig w:usb0="800002BF" w:usb1="38CF7CFA" w:usb2="00000016" w:usb3="00000000" w:csb0="00040001" w:csb1="00000000"/>
  </w:font>
  <w:font w:name="仿宋_GB2312">
    <w:altName w:val="仿宋"/>
    <w:panose1 w:val="02010609030001010101"/>
    <w:charset w:val="86"/>
    <w:family w:val="swiss"/>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swiss"/>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001010101"/>
    <w:charset w:val="86"/>
    <w:family w:val="decorative"/>
    <w:pitch w:val="default"/>
    <w:sig w:usb0="00000000" w:usb1="00000000" w:usb2="00000010" w:usb3="00000000" w:csb0="00040000" w:csb1="00000000"/>
  </w:font>
  <w:font w:name="仿宋">
    <w:panose1 w:val="02010609060101010101"/>
    <w:charset w:val="86"/>
    <w:family w:val="decorative"/>
    <w:pitch w:val="default"/>
    <w:sig w:usb0="800002BF" w:usb1="38CF7CFA" w:usb2="00000016" w:usb3="00000000" w:csb0="00040001" w:csb1="00000000"/>
  </w:font>
  <w:font w:name="仿宋">
    <w:panose1 w:val="02010609060101010101"/>
    <w:charset w:val="86"/>
    <w:family w:val="decorative"/>
    <w:pitch w:val="default"/>
    <w:sig w:usb0="800002BF" w:usb1="38CF7CFA" w:usb2="00000016" w:usb3="00000000" w:csb0="00040001"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仿宋_GB2312">
    <w:altName w:val="仿宋"/>
    <w:panose1 w:val="02010609030001010101"/>
    <w:charset w:val="86"/>
    <w:family w:val="roma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0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 w:name="创艺简仿宋">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6"/>
        <w:sz w:val="18"/>
        <w:szCs w:val="18"/>
      </w:rPr>
      <w:instrText xml:space="preserve"> PAGE </w:instrText>
    </w:r>
    <w:r>
      <w:rPr>
        <w:sz w:val="18"/>
        <w:szCs w:val="18"/>
      </w:rPr>
      <w:fldChar w:fldCharType="separate"/>
    </w:r>
    <w:r>
      <w:rPr>
        <w:rStyle w:val="6"/>
        <w:sz w:val="18"/>
        <w:szCs w:val="18"/>
      </w:rPr>
      <w:t>1</w:t>
    </w:r>
    <w:r>
      <w:rPr>
        <w:sz w:val="18"/>
        <w:szCs w:val="18"/>
      </w:rPr>
      <w:fldChar w:fldCharType="end"/>
    </w:r>
    <w:r>
      <w:rPr>
        <w:rStyle w:val="6"/>
        <w:rFonts w:hint="eastAsia"/>
        <w:sz w:val="18"/>
        <w:szCs w:val="18"/>
      </w:rPr>
      <w:t>页  共</w:t>
    </w:r>
    <w:r>
      <w:rPr>
        <w:rStyle w:val="6"/>
        <w:rFonts w:hint="eastAsia"/>
        <w:sz w:val="18"/>
        <w:szCs w:val="18"/>
        <w:lang w:val="en-US" w:eastAsia="zh-CN"/>
      </w:rPr>
      <w:t>25</w:t>
    </w:r>
    <w:r>
      <w:rPr>
        <w:rStyle w:val="6"/>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6"/>
      </w:rPr>
    </w:pPr>
    <w:r>
      <w:fldChar w:fldCharType="begin"/>
    </w:r>
    <w:r>
      <w:rPr>
        <w:rStyle w:val="6"/>
      </w:rPr>
      <w:instrText xml:space="preserve">PAGE  </w:instrText>
    </w:r>
    <w:r>
      <w:fldChar w:fldCharType="separate"/>
    </w:r>
    <w:r>
      <w:rPr>
        <w:rStyle w:val="6"/>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039546153">
    <w:nsid w:val="3DF63729"/>
    <w:multiLevelType w:val="singleLevel"/>
    <w:tmpl w:val="3DF63729"/>
    <w:lvl w:ilvl="0" w:tentative="1">
      <w:start w:val="1"/>
      <w:numFmt w:val="chineseCounting"/>
      <w:suff w:val="nothing"/>
      <w:lvlText w:val="（%1）"/>
      <w:lvlJc w:val="left"/>
      <w:rPr>
        <w:rFonts w:hint="eastAsia"/>
      </w:rPr>
    </w:lvl>
  </w:abstractNum>
  <w:abstractNum w:abstractNumId="1266983075">
    <w:nsid w:val="4B84A0A3"/>
    <w:multiLevelType w:val="singleLevel"/>
    <w:tmpl w:val="4B84A0A3"/>
    <w:lvl w:ilvl="0" w:tentative="1">
      <w:start w:val="2"/>
      <w:numFmt w:val="decimal"/>
      <w:suff w:val="nothing"/>
      <w:lvlText w:val="%1、"/>
      <w:lvlJc w:val="left"/>
    </w:lvl>
  </w:abstractNum>
  <w:abstractNum w:abstractNumId="1578213565">
    <w:nsid w:val="5E11A0BD"/>
    <w:multiLevelType w:val="singleLevel"/>
    <w:tmpl w:val="5E11A0BD"/>
    <w:lvl w:ilvl="0" w:tentative="1">
      <w:start w:val="1"/>
      <w:numFmt w:val="decimal"/>
      <w:suff w:val="space"/>
      <w:lvlText w:val="%1."/>
      <w:lvlJc w:val="left"/>
    </w:lvl>
  </w:abstractNum>
  <w:num w:numId="1">
    <w:abstractNumId w:val="1578213565"/>
  </w:num>
  <w:num w:numId="2">
    <w:abstractNumId w:val="1039546153"/>
  </w:num>
  <w:num w:numId="3">
    <w:abstractNumId w:val="12669830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315795"/>
    <w:rsid w:val="05FF5EE3"/>
    <w:rsid w:val="07315795"/>
    <w:rsid w:val="0781725F"/>
    <w:rsid w:val="07F4121E"/>
    <w:rsid w:val="09D5642F"/>
    <w:rsid w:val="10E62DCA"/>
    <w:rsid w:val="1890085C"/>
    <w:rsid w:val="25463F74"/>
    <w:rsid w:val="27EC118E"/>
    <w:rsid w:val="2C6C3271"/>
    <w:rsid w:val="2C9B053D"/>
    <w:rsid w:val="4204145F"/>
    <w:rsid w:val="4F3B460A"/>
    <w:rsid w:val="5E6956F1"/>
    <w:rsid w:val="62583769"/>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6">
    <w:name w:val="page number"/>
    <w:basedOn w:val="5"/>
    <w:qFormat/>
    <w:uiPriority w:val="0"/>
    <w:rPr>
      <w:rFonts w:ascii="Times New Roman" w:hAnsi="Times New Roman" w:eastAsia="宋体" w:cs="Times New Roman"/>
    </w:rPr>
  </w:style>
  <w:style w:type="character" w:styleId="7">
    <w:name w:val="Hyperlink"/>
    <w:basedOn w:val="5"/>
    <w:qFormat/>
    <w:uiPriority w:val="0"/>
    <w:rPr>
      <w:rFonts w:ascii="Times New Roman" w:hAnsi="Times New Roman" w:eastAsia="宋体" w:cs="Times New Roman"/>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List Paragraph"/>
    <w:basedOn w:val="1"/>
    <w:qFormat/>
    <w:uiPriority w:val="34"/>
    <w:pPr>
      <w:ind w:firstLine="420" w:firstLineChars="200"/>
    </w:pPr>
  </w:style>
  <w:style w:type="character" w:customStyle="1" w:styleId="11">
    <w:name w:val="apple-converted-space"/>
    <w:basedOn w:val="5"/>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2021-06-15T02:14:00Z</dcterms:created>
  <dc:creator>Administrator</dc:creator>
  <cp:lastModifiedBy>Administrator</cp:lastModifiedBy>
  <dcterms:modified xsi:type="dcterms:W3CDTF">2021-08-04T01:35:14Z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818F3EBFA4914493951486B76B8E035D</vt:lpwstr>
  </property>
</Properties>
</file>