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color w:val="000000"/>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铁岭市银州区人民法院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董连江</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21</w:t>
      </w:r>
      <w:r>
        <w:rPr>
          <w:rFonts w:hint="eastAsia" w:ascii="仿宋_GB2312" w:eastAsia="仿宋_GB2312"/>
          <w:bCs/>
          <w:color w:val="000000"/>
          <w:lang w:eastAsia="zh-CN"/>
        </w:rPr>
        <w:t>］</w:t>
      </w:r>
      <w:r>
        <w:rPr>
          <w:rFonts w:hint="eastAsia" w:ascii="仿宋_GB2312" w:eastAsia="仿宋_GB2312"/>
          <w:bCs/>
          <w:color w:val="000000"/>
          <w:lang w:val="en-US" w:eastAsia="zh-CN"/>
        </w:rPr>
        <w:t>087</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sz w:val="36"/>
        </w:rPr>
      </w:pPr>
      <w:r>
        <w:rPr>
          <w:rFonts w:hint="eastAsia"/>
          <w:sz w:val="36"/>
        </w:rPr>
        <w:t>关于</w:t>
      </w:r>
      <w:r>
        <w:rPr>
          <w:rFonts w:hint="eastAsia" w:ascii="黑体"/>
          <w:sz w:val="36"/>
          <w:lang w:eastAsia="zh-CN"/>
        </w:rPr>
        <w:t>铁岭市银州区人民法院</w:t>
      </w:r>
      <w:r>
        <w:rPr>
          <w:rFonts w:hint="eastAsia" w:ascii="黑体"/>
          <w:sz w:val="36"/>
        </w:rPr>
        <w:t>执行</w:t>
      </w:r>
      <w:r>
        <w:rPr>
          <w:rFonts w:hint="eastAsia" w:ascii="黑体"/>
          <w:sz w:val="36"/>
          <w:lang w:eastAsia="zh-CN"/>
        </w:rPr>
        <w:t>董连江</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087</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600" w:firstLineChars="200"/>
        <w:rPr>
          <w:rFonts w:ascii="仿宋_GB2312" w:eastAsia="仿宋_GB2312"/>
          <w:color w:val="000000"/>
          <w:spacing w:val="-1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二〇二一年六月二十三日</w:t>
      </w:r>
    </w:p>
    <w:p>
      <w:pPr>
        <w:pStyle w:val="2"/>
        <w:jc w:val="center"/>
        <w:rPr>
          <w:sz w:val="36"/>
        </w:rPr>
      </w:pPr>
      <w:r>
        <w:rPr>
          <w:rFonts w:hint="eastAsia"/>
          <w:sz w:val="36"/>
        </w:rPr>
        <w:t>关于</w:t>
      </w:r>
      <w:r>
        <w:rPr>
          <w:rFonts w:hint="eastAsia" w:ascii="黑体"/>
          <w:sz w:val="36"/>
          <w:lang w:eastAsia="zh-CN"/>
        </w:rPr>
        <w:t>铁岭市银州区人民法院</w:t>
      </w:r>
      <w:r>
        <w:rPr>
          <w:rFonts w:hint="eastAsia" w:ascii="黑体"/>
          <w:sz w:val="36"/>
        </w:rPr>
        <w:t>执行</w:t>
      </w:r>
      <w:r>
        <w:rPr>
          <w:rFonts w:hint="eastAsia" w:ascii="黑体"/>
          <w:sz w:val="36"/>
          <w:lang w:eastAsia="zh-CN"/>
        </w:rPr>
        <w:t>董连江</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087</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铁岭市银州区人民法院</w:t>
      </w:r>
      <w:r>
        <w:rPr>
          <w:rFonts w:hint="eastAsia" w:ascii="仿宋_GB2312" w:hAnsi="宋体" w:eastAsia="仿宋_GB2312"/>
          <w:sz w:val="32"/>
        </w:rPr>
        <w:t>执行</w:t>
      </w:r>
      <w:r>
        <w:rPr>
          <w:rFonts w:hint="eastAsia" w:ascii="仿宋_GB2312" w:hAnsi="宋体" w:eastAsia="仿宋_GB2312"/>
          <w:sz w:val="32"/>
          <w:lang w:eastAsia="zh-CN"/>
        </w:rPr>
        <w:t>董连江</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713.22</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eastAsia="zh-CN"/>
        </w:rPr>
        <w:t>肆佰贰拾柒万玖仟叁佰元整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4,279</w:t>
      </w:r>
      <w:r>
        <w:rPr>
          <w:rFonts w:ascii="仿宋_GB2312" w:eastAsia="仿宋_GB2312"/>
          <w:sz w:val="32"/>
        </w:rPr>
        <w:t>,</w:t>
      </w:r>
      <w:r>
        <w:rPr>
          <w:rFonts w:hint="eastAsia" w:ascii="仿宋_GB2312" w:eastAsia="仿宋_GB2312"/>
          <w:sz w:val="32"/>
          <w:lang w:val="en-US" w:eastAsia="zh-CN"/>
        </w:rPr>
        <w:t>300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23</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二〇二一年六月二十三日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087</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铁岭市银州区人民法院</w:t>
      </w:r>
      <w:r>
        <w:rPr>
          <w:rFonts w:hint="eastAsia" w:ascii="黑体"/>
          <w:sz w:val="36"/>
        </w:rPr>
        <w:t>执行</w:t>
      </w:r>
      <w:r>
        <w:rPr>
          <w:rFonts w:hint="eastAsia" w:ascii="黑体"/>
          <w:sz w:val="36"/>
          <w:lang w:eastAsia="zh-CN"/>
        </w:rPr>
        <w:t>董连江</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铁岭市银州区人民法院</w:t>
      </w:r>
      <w:r>
        <w:rPr>
          <w:rFonts w:hint="eastAsia" w:eastAsia="仿宋_GB2312"/>
          <w:sz w:val="32"/>
        </w:rPr>
        <w:t>执行</w:t>
      </w:r>
      <w:r>
        <w:rPr>
          <w:rFonts w:hint="eastAsia" w:eastAsia="仿宋_GB2312"/>
          <w:sz w:val="32"/>
          <w:lang w:eastAsia="zh-CN"/>
        </w:rPr>
        <w:t>董连江</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董连江</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铁岭市银州区人民法院</w:t>
      </w:r>
      <w:r>
        <w:rPr>
          <w:rFonts w:hint="eastAsia" w:ascii="仿宋_GB2312" w:hAnsi="宋体" w:eastAsia="仿宋_GB2312"/>
          <w:sz w:val="32"/>
        </w:rPr>
        <w:t>执行</w:t>
      </w:r>
      <w:r>
        <w:rPr>
          <w:rFonts w:hint="eastAsia" w:ascii="仿宋_GB2312" w:hAnsi="宋体" w:eastAsia="仿宋_GB2312"/>
          <w:sz w:val="32"/>
          <w:lang w:eastAsia="zh-CN"/>
        </w:rPr>
        <w:t>董连江</w:t>
      </w:r>
      <w:r>
        <w:rPr>
          <w:rFonts w:hint="eastAsia" w:ascii="仿宋_GB2312" w:hAnsi="宋体" w:eastAsia="仿宋_GB2312"/>
          <w:sz w:val="32"/>
        </w:rPr>
        <w:t>案件涉及的座落在</w:t>
      </w:r>
      <w:r>
        <w:rPr>
          <w:rFonts w:hint="eastAsia" w:ascii="仿宋_GB2312" w:hAnsi="宋体" w:eastAsia="仿宋_GB2312"/>
          <w:sz w:val="32"/>
          <w:lang w:eastAsia="zh-CN"/>
        </w:rPr>
        <w:t>铁岭市银州区辽海街道长青路</w:t>
      </w:r>
      <w:r>
        <w:rPr>
          <w:rFonts w:hint="eastAsia" w:ascii="仿宋_GB2312" w:hAnsi="宋体" w:eastAsia="仿宋_GB2312"/>
          <w:sz w:val="32"/>
          <w:lang w:val="en-US" w:eastAsia="zh-CN"/>
        </w:rPr>
        <w:t>38-5号1-1-2（嘉和城小区5幢1-1-2）的房屋1处，</w:t>
      </w:r>
      <w:r>
        <w:rPr>
          <w:rFonts w:hint="eastAsia" w:ascii="仿宋_GB2312" w:hAnsi="宋体" w:eastAsia="仿宋_GB2312"/>
          <w:sz w:val="32"/>
        </w:rPr>
        <w:t>建筑面积为</w:t>
      </w:r>
      <w:r>
        <w:rPr>
          <w:rFonts w:hint="eastAsia" w:ascii="仿宋_GB2312" w:hAnsi="宋体" w:eastAsia="仿宋_GB2312"/>
          <w:sz w:val="32"/>
          <w:lang w:val="en-US" w:eastAsia="zh-CN"/>
        </w:rPr>
        <w:t>713.22</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eastAsia="zh-CN"/>
        </w:rPr>
        <w:t>肆佰贰拾柒万玖仟叁佰元整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4,279</w:t>
      </w:r>
      <w:r>
        <w:rPr>
          <w:rFonts w:ascii="仿宋_GB2312" w:eastAsia="仿宋_GB2312"/>
          <w:sz w:val="32"/>
        </w:rPr>
        <w:t>,</w:t>
      </w:r>
      <w:r>
        <w:rPr>
          <w:rFonts w:hint="eastAsia" w:ascii="仿宋_GB2312" w:eastAsia="仿宋_GB2312"/>
          <w:sz w:val="32"/>
          <w:lang w:val="en-US" w:eastAsia="zh-CN"/>
        </w:rPr>
        <w:t>300</w:t>
      </w:r>
      <w:r>
        <w:rPr>
          <w:rFonts w:ascii="仿宋_GB2312" w:eastAsia="仿宋_GB2312"/>
          <w:sz w:val="32"/>
        </w:rPr>
        <w:t>.00)</w:t>
      </w:r>
      <w:bookmarkStart w:id="0" w:name="_GoBack"/>
      <w:bookmarkEnd w:id="0"/>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23</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二〇二一年六月二十三日</w:t>
      </w:r>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41730"/>
    <w:rsid w:val="1ED41730"/>
    <w:rsid w:val="6CD55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2021-06-23T01:33:00Z</dcterms:created>
  <dc:creator>Administrator</dc:creator>
  <cp:lastModifiedBy>Administrator</cp:lastModifiedBy>
  <dcterms:modified xsi:type="dcterms:W3CDTF">2021-06-23T01:53:20Z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C9555F4589C24E4AB664C42F45A3AAB3</vt:lpwstr>
  </property>
</Properties>
</file>