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rPr>
          <w:rFonts w:cs="Times New Roman"/>
        </w:rPr>
      </w:pPr>
    </w:p>
    <w:p>
      <w:pPr>
        <w:widowControl/>
        <w:spacing w:line="360" w:lineRule="auto"/>
        <w:ind w:firstLine="520" w:firstLineChars="200"/>
        <w:rPr>
          <w:rFonts w:ascii="宋体"/>
          <w:spacing w:val="10"/>
          <w:sz w:val="24"/>
          <w:szCs w:val="24"/>
        </w:rPr>
      </w:pPr>
    </w:p>
    <w:p>
      <w:pPr>
        <w:widowControl/>
        <w:spacing w:line="360" w:lineRule="auto"/>
        <w:ind w:firstLine="520" w:firstLineChars="200"/>
        <w:rPr>
          <w:rFonts w:ascii="宋体"/>
          <w:spacing w:val="10"/>
          <w:sz w:val="24"/>
          <w:szCs w:val="24"/>
        </w:rPr>
      </w:pPr>
    </w:p>
    <w:p>
      <w:pPr>
        <w:widowControl/>
        <w:spacing w:line="360" w:lineRule="auto"/>
        <w:ind w:firstLine="520" w:firstLineChars="200"/>
        <w:rPr>
          <w:rFonts w:ascii="宋体"/>
          <w:spacing w:val="10"/>
          <w:sz w:val="24"/>
          <w:szCs w:val="24"/>
        </w:rPr>
      </w:pPr>
    </w:p>
    <w:p>
      <w:pPr>
        <w:widowControl/>
        <w:tabs>
          <w:tab w:val="center" w:pos="3713"/>
          <w:tab w:val="left" w:pos="4935"/>
        </w:tabs>
        <w:spacing w:line="360" w:lineRule="auto"/>
        <w:jc w:val="center"/>
        <w:rPr>
          <w:rFonts w:ascii="宋体"/>
          <w:spacing w:val="10"/>
          <w:sz w:val="24"/>
          <w:szCs w:val="24"/>
        </w:rPr>
      </w:pPr>
      <w:r>
        <w:rPr>
          <w:rFonts w:hint="eastAsia" w:ascii="黑体" w:hAnsi="宋体" w:eastAsia="黑体" w:cs="黑体"/>
          <w:b/>
          <w:bCs/>
          <w:spacing w:val="10"/>
          <w:sz w:val="72"/>
          <w:szCs w:val="72"/>
        </w:rPr>
        <w:t>房地产司法估价报告</w:t>
      </w:r>
    </w:p>
    <w:p>
      <w:pPr>
        <w:widowControl/>
        <w:tabs>
          <w:tab w:val="center" w:pos="3713"/>
          <w:tab w:val="left" w:pos="4935"/>
        </w:tabs>
        <w:spacing w:line="360" w:lineRule="auto"/>
        <w:ind w:firstLine="520" w:firstLineChars="200"/>
        <w:rPr>
          <w:rFonts w:ascii="宋体"/>
          <w:spacing w:val="10"/>
          <w:sz w:val="24"/>
          <w:szCs w:val="24"/>
        </w:rPr>
      </w:pPr>
    </w:p>
    <w:p>
      <w:pPr>
        <w:widowControl/>
        <w:tabs>
          <w:tab w:val="center" w:pos="3713"/>
          <w:tab w:val="left" w:pos="4935"/>
        </w:tabs>
        <w:spacing w:line="360" w:lineRule="auto"/>
        <w:ind w:firstLine="520" w:firstLineChars="200"/>
        <w:jc w:val="left"/>
        <w:rPr>
          <w:rFonts w:ascii="宋体"/>
          <w:spacing w:val="10"/>
          <w:sz w:val="24"/>
          <w:szCs w:val="24"/>
        </w:rPr>
      </w:pPr>
    </w:p>
    <w:p>
      <w:pPr>
        <w:widowControl/>
        <w:tabs>
          <w:tab w:val="center" w:pos="3713"/>
          <w:tab w:val="left" w:pos="4935"/>
        </w:tabs>
        <w:spacing w:line="360" w:lineRule="auto"/>
        <w:ind w:firstLine="520" w:firstLineChars="200"/>
        <w:rPr>
          <w:rFonts w:ascii="宋体"/>
          <w:spacing w:val="10"/>
          <w:sz w:val="24"/>
          <w:szCs w:val="24"/>
        </w:rPr>
      </w:pPr>
    </w:p>
    <w:p>
      <w:pPr>
        <w:widowControl/>
        <w:tabs>
          <w:tab w:val="center" w:pos="3713"/>
          <w:tab w:val="left" w:pos="4935"/>
        </w:tabs>
        <w:spacing w:line="360" w:lineRule="auto"/>
        <w:ind w:firstLine="520" w:firstLineChars="200"/>
        <w:rPr>
          <w:rFonts w:ascii="宋体"/>
          <w:spacing w:val="10"/>
          <w:sz w:val="24"/>
          <w:szCs w:val="24"/>
        </w:rPr>
      </w:pPr>
    </w:p>
    <w:p>
      <w:pPr>
        <w:widowControl/>
        <w:tabs>
          <w:tab w:val="center" w:pos="3713"/>
          <w:tab w:val="left" w:pos="4935"/>
        </w:tabs>
        <w:spacing w:line="360" w:lineRule="auto"/>
        <w:ind w:firstLine="520" w:firstLineChars="200"/>
        <w:rPr>
          <w:rFonts w:ascii="宋体"/>
          <w:spacing w:val="10"/>
          <w:sz w:val="24"/>
          <w:szCs w:val="24"/>
        </w:rPr>
      </w:pPr>
    </w:p>
    <w:p>
      <w:pPr>
        <w:widowControl/>
        <w:tabs>
          <w:tab w:val="center" w:pos="3713"/>
          <w:tab w:val="left" w:pos="4935"/>
        </w:tabs>
        <w:spacing w:line="360" w:lineRule="auto"/>
        <w:ind w:firstLine="520" w:firstLineChars="200"/>
        <w:rPr>
          <w:rFonts w:ascii="宋体"/>
          <w:spacing w:val="10"/>
          <w:sz w:val="24"/>
          <w:szCs w:val="24"/>
        </w:rPr>
      </w:pPr>
    </w:p>
    <w:p>
      <w:pPr>
        <w:widowControl/>
        <w:tabs>
          <w:tab w:val="center" w:pos="3713"/>
          <w:tab w:val="left" w:pos="4935"/>
        </w:tabs>
        <w:spacing w:line="360" w:lineRule="auto"/>
        <w:ind w:firstLine="520" w:firstLineChars="200"/>
        <w:rPr>
          <w:rFonts w:ascii="宋体"/>
          <w:spacing w:val="10"/>
          <w:sz w:val="24"/>
          <w:szCs w:val="24"/>
        </w:rPr>
      </w:pPr>
    </w:p>
    <w:p>
      <w:pPr>
        <w:widowControl/>
        <w:tabs>
          <w:tab w:val="left" w:pos="6135"/>
        </w:tabs>
        <w:spacing w:line="360" w:lineRule="auto"/>
        <w:ind w:firstLine="520" w:firstLineChars="200"/>
        <w:jc w:val="left"/>
        <w:rPr>
          <w:rFonts w:ascii="宋体"/>
          <w:spacing w:val="10"/>
          <w:sz w:val="24"/>
          <w:szCs w:val="24"/>
        </w:rPr>
      </w:pPr>
    </w:p>
    <w:p>
      <w:pPr>
        <w:widowControl/>
        <w:tabs>
          <w:tab w:val="center" w:pos="3713"/>
          <w:tab w:val="left" w:pos="4935"/>
        </w:tabs>
        <w:spacing w:line="360" w:lineRule="auto"/>
        <w:ind w:firstLine="520" w:firstLineChars="200"/>
        <w:rPr>
          <w:rFonts w:ascii="宋体"/>
          <w:spacing w:val="10"/>
          <w:sz w:val="24"/>
          <w:szCs w:val="24"/>
        </w:rPr>
      </w:pPr>
    </w:p>
    <w:p>
      <w:pPr>
        <w:widowControl/>
        <w:tabs>
          <w:tab w:val="center" w:pos="3713"/>
          <w:tab w:val="left" w:pos="4935"/>
        </w:tabs>
        <w:spacing w:line="360" w:lineRule="auto"/>
        <w:ind w:firstLine="520" w:firstLineChars="200"/>
        <w:rPr>
          <w:rFonts w:ascii="宋体"/>
          <w:spacing w:val="10"/>
          <w:sz w:val="24"/>
          <w:szCs w:val="24"/>
        </w:rPr>
      </w:pPr>
    </w:p>
    <w:p>
      <w:pPr>
        <w:widowControl/>
        <w:tabs>
          <w:tab w:val="center" w:pos="3713"/>
          <w:tab w:val="left" w:pos="4935"/>
        </w:tabs>
        <w:spacing w:line="360" w:lineRule="auto"/>
        <w:rPr>
          <w:rFonts w:ascii="宋体"/>
          <w:spacing w:val="10"/>
          <w:sz w:val="24"/>
          <w:szCs w:val="24"/>
        </w:rPr>
      </w:pPr>
    </w:p>
    <w:p>
      <w:pPr>
        <w:widowControl/>
        <w:tabs>
          <w:tab w:val="center" w:pos="3713"/>
          <w:tab w:val="left" w:pos="4935"/>
        </w:tabs>
        <w:spacing w:line="360" w:lineRule="auto"/>
        <w:rPr>
          <w:rFonts w:ascii="宋体"/>
          <w:spacing w:val="10"/>
          <w:sz w:val="24"/>
          <w:szCs w:val="24"/>
        </w:rPr>
      </w:pPr>
    </w:p>
    <w:p>
      <w:pPr>
        <w:widowControl/>
        <w:tabs>
          <w:tab w:val="left" w:pos="1596"/>
        </w:tabs>
        <w:spacing w:line="360" w:lineRule="auto"/>
        <w:ind w:firstLine="681" w:firstLineChars="261"/>
        <w:rPr>
          <w:rFonts w:ascii="宋体" w:cs="宋体"/>
          <w:color w:val="000000" w:themeColor="text1"/>
          <w:spacing w:val="10"/>
          <w:sz w:val="24"/>
          <w:szCs w:val="24"/>
        </w:rPr>
      </w:pPr>
      <w:r>
        <w:rPr>
          <w:rFonts w:hint="eastAsia" w:ascii="宋体" w:hAnsi="宋体" w:cs="宋体"/>
          <w:b/>
          <w:bCs/>
          <w:color w:val="000000" w:themeColor="text1"/>
          <w:spacing w:val="10"/>
          <w:sz w:val="24"/>
          <w:szCs w:val="24"/>
        </w:rPr>
        <w:t>估价报告编号</w:t>
      </w:r>
      <w:r>
        <w:rPr>
          <w:rFonts w:hint="eastAsia" w:ascii="宋体" w:hAnsi="宋体" w:cs="宋体"/>
          <w:color w:val="000000" w:themeColor="text1"/>
          <w:spacing w:val="10"/>
          <w:sz w:val="24"/>
          <w:szCs w:val="24"/>
        </w:rPr>
        <w:t>：湘经典</w:t>
      </w:r>
      <w:r>
        <w:rPr>
          <w:rFonts w:ascii="宋体" w:hAnsi="宋体" w:cs="宋体"/>
          <w:color w:val="000000" w:themeColor="text1"/>
          <w:spacing w:val="10"/>
          <w:sz w:val="24"/>
          <w:szCs w:val="24"/>
        </w:rPr>
        <w:t>(2</w:t>
      </w:r>
      <w:r>
        <w:rPr>
          <w:rFonts w:hint="eastAsia" w:ascii="宋体" w:hAnsi="宋体" w:cs="宋体"/>
          <w:color w:val="000000" w:themeColor="text1"/>
          <w:spacing w:val="10"/>
          <w:sz w:val="24"/>
          <w:szCs w:val="24"/>
        </w:rPr>
        <w:t>021</w:t>
      </w:r>
      <w:r>
        <w:rPr>
          <w:rFonts w:ascii="宋体" w:hAnsi="宋体" w:cs="宋体"/>
          <w:color w:val="000000" w:themeColor="text1"/>
          <w:spacing w:val="10"/>
          <w:sz w:val="24"/>
          <w:szCs w:val="24"/>
        </w:rPr>
        <w:t>)</w:t>
      </w:r>
      <w:r>
        <w:rPr>
          <w:rFonts w:hint="eastAsia" w:ascii="宋体" w:hAnsi="宋体" w:cs="宋体"/>
          <w:color w:val="000000" w:themeColor="text1"/>
          <w:spacing w:val="10"/>
          <w:sz w:val="24"/>
          <w:szCs w:val="24"/>
        </w:rPr>
        <w:t>怀房</w:t>
      </w:r>
      <w:r>
        <w:rPr>
          <w:rFonts w:ascii="宋体" w:hAnsi="宋体" w:cs="宋体"/>
          <w:color w:val="000000" w:themeColor="text1"/>
          <w:spacing w:val="10"/>
          <w:sz w:val="24"/>
          <w:szCs w:val="24"/>
        </w:rPr>
        <w:t>000</w:t>
      </w:r>
      <w:r>
        <w:rPr>
          <w:rFonts w:hint="eastAsia" w:ascii="宋体" w:hAnsi="宋体" w:cs="宋体"/>
          <w:color w:val="000000" w:themeColor="text1"/>
          <w:spacing w:val="10"/>
          <w:sz w:val="24"/>
          <w:szCs w:val="24"/>
          <w:lang w:val="en-US" w:eastAsia="zh-CN"/>
        </w:rPr>
        <w:t>7</w:t>
      </w:r>
      <w:r>
        <w:rPr>
          <w:rFonts w:hint="eastAsia" w:ascii="宋体" w:hAnsi="宋体" w:cs="宋体"/>
          <w:color w:val="000000" w:themeColor="text1"/>
          <w:spacing w:val="10"/>
          <w:sz w:val="24"/>
          <w:szCs w:val="24"/>
        </w:rPr>
        <w:t>07</w:t>
      </w:r>
      <w:r>
        <w:rPr>
          <w:rFonts w:ascii="宋体" w:hAnsi="宋体" w:cs="宋体"/>
          <w:color w:val="000000" w:themeColor="text1"/>
          <w:spacing w:val="10"/>
          <w:sz w:val="24"/>
          <w:szCs w:val="24"/>
        </w:rPr>
        <w:t>D</w:t>
      </w:r>
      <w:r>
        <w:rPr>
          <w:rFonts w:hint="eastAsia" w:ascii="宋体" w:hAnsi="宋体" w:cs="宋体"/>
          <w:color w:val="000000" w:themeColor="text1"/>
          <w:spacing w:val="10"/>
          <w:sz w:val="24"/>
          <w:szCs w:val="24"/>
        </w:rPr>
        <w:t>号</w:t>
      </w:r>
    </w:p>
    <w:p>
      <w:pPr>
        <w:widowControl/>
        <w:tabs>
          <w:tab w:val="center" w:pos="3713"/>
          <w:tab w:val="left" w:pos="4935"/>
        </w:tabs>
        <w:spacing w:line="360" w:lineRule="auto"/>
        <w:ind w:left="2475" w:leftChars="337" w:hanging="1767" w:hangingChars="677"/>
        <w:rPr>
          <w:rFonts w:ascii="宋体"/>
          <w:spacing w:val="10"/>
          <w:sz w:val="24"/>
          <w:szCs w:val="24"/>
        </w:rPr>
      </w:pPr>
      <w:r>
        <w:rPr>
          <w:rFonts w:hint="eastAsia" w:ascii="宋体" w:hAnsi="宋体" w:cs="宋体"/>
          <w:b/>
          <w:bCs/>
          <w:color w:val="000000" w:themeColor="text1"/>
          <w:spacing w:val="10"/>
          <w:sz w:val="24"/>
          <w:szCs w:val="24"/>
        </w:rPr>
        <w:t>估价项目名称：</w:t>
      </w:r>
      <w:r>
        <w:rPr>
          <w:rFonts w:hint="eastAsia" w:ascii="宋体" w:hAnsi="宋体" w:cs="宋体"/>
          <w:color w:val="000000" w:themeColor="text1"/>
          <w:spacing w:val="10"/>
          <w:sz w:val="24"/>
          <w:szCs w:val="24"/>
          <w:lang w:val="zh-CN"/>
        </w:rPr>
        <w:t>湖南省新晃侗族自治县人民法院委</w:t>
      </w:r>
      <w:r>
        <w:rPr>
          <w:rFonts w:hint="eastAsia" w:ascii="宋体" w:hAnsi="宋体" w:cs="宋体"/>
          <w:spacing w:val="10"/>
          <w:sz w:val="24"/>
          <w:szCs w:val="24"/>
          <w:lang w:val="zh-CN"/>
        </w:rPr>
        <w:t>托评估的杨顺钊、田冬竹单独所有的位于</w:t>
      </w:r>
      <w:r>
        <w:rPr>
          <w:rFonts w:hint="eastAsia" w:ascii="宋体" w:hAnsi="宋体"/>
          <w:spacing w:val="10"/>
          <w:sz w:val="24"/>
          <w:szCs w:val="24"/>
        </w:rPr>
        <w:t>新晃县农业综合办背后503号住宅</w:t>
      </w:r>
      <w:r>
        <w:rPr>
          <w:rFonts w:hint="eastAsia" w:ascii="宋体" w:hAnsi="宋体" w:cs="宋体"/>
          <w:spacing w:val="10"/>
          <w:sz w:val="24"/>
          <w:szCs w:val="24"/>
        </w:rPr>
        <w:t>房地产市场价值评估</w:t>
      </w:r>
    </w:p>
    <w:p>
      <w:pPr>
        <w:widowControl/>
        <w:tabs>
          <w:tab w:val="left" w:pos="1155"/>
        </w:tabs>
        <w:spacing w:line="360" w:lineRule="auto"/>
        <w:ind w:left="2623" w:leftChars="337" w:right="-150" w:hanging="1915" w:hangingChars="628"/>
        <w:rPr>
          <w:rFonts w:ascii="宋体"/>
          <w:spacing w:val="10"/>
          <w:sz w:val="24"/>
          <w:szCs w:val="24"/>
        </w:rPr>
      </w:pPr>
      <w:r>
        <w:rPr>
          <w:rFonts w:hint="eastAsia" w:ascii="宋体" w:hAnsi="宋体" w:cs="宋体"/>
          <w:b/>
          <w:bCs/>
          <w:spacing w:val="32"/>
          <w:sz w:val="24"/>
          <w:szCs w:val="24"/>
        </w:rPr>
        <w:t>估价委托人：</w:t>
      </w:r>
      <w:r>
        <w:rPr>
          <w:rFonts w:hint="eastAsia" w:ascii="宋体" w:hAnsi="宋体" w:cs="宋体"/>
          <w:spacing w:val="10"/>
          <w:sz w:val="24"/>
          <w:szCs w:val="24"/>
          <w:lang w:val="zh-CN"/>
        </w:rPr>
        <w:t>湖南省新晃侗族自治县人民法院</w:t>
      </w:r>
    </w:p>
    <w:p>
      <w:pPr>
        <w:widowControl/>
        <w:tabs>
          <w:tab w:val="left" w:pos="1596"/>
        </w:tabs>
        <w:spacing w:line="360" w:lineRule="auto"/>
        <w:ind w:left="2347" w:leftChars="337" w:hanging="1639" w:hangingChars="628"/>
        <w:rPr>
          <w:rFonts w:ascii="宋体"/>
          <w:spacing w:val="10"/>
          <w:sz w:val="24"/>
          <w:szCs w:val="24"/>
        </w:rPr>
      </w:pPr>
      <w:r>
        <w:rPr>
          <w:rFonts w:hint="eastAsia" w:ascii="宋体" w:hAnsi="宋体" w:cs="宋体"/>
          <w:b/>
          <w:bCs/>
          <w:spacing w:val="10"/>
          <w:sz w:val="24"/>
          <w:szCs w:val="24"/>
        </w:rPr>
        <w:t>房地产估价机构：</w:t>
      </w:r>
      <w:r>
        <w:rPr>
          <w:rFonts w:hint="eastAsia" w:ascii="宋体" w:hAnsi="宋体" w:cs="宋体"/>
          <w:spacing w:val="10"/>
          <w:sz w:val="24"/>
          <w:szCs w:val="24"/>
        </w:rPr>
        <w:t>湖南经典房地产评估咨询有限公司</w:t>
      </w:r>
    </w:p>
    <w:p>
      <w:pPr>
        <w:widowControl/>
        <w:tabs>
          <w:tab w:val="left" w:pos="1596"/>
        </w:tabs>
        <w:spacing w:line="360" w:lineRule="auto"/>
        <w:rPr>
          <w:rFonts w:ascii="宋体"/>
          <w:spacing w:val="10"/>
          <w:sz w:val="24"/>
          <w:szCs w:val="24"/>
        </w:rPr>
      </w:pPr>
      <w:r>
        <w:rPr>
          <w:rFonts w:hint="eastAsia" w:ascii="宋体" w:hAnsi="宋体" w:cs="宋体"/>
          <w:b/>
          <w:bCs/>
          <w:spacing w:val="10"/>
          <w:sz w:val="24"/>
          <w:szCs w:val="24"/>
        </w:rPr>
        <w:t xml:space="preserve">     注册房地产估价师： </w:t>
      </w:r>
      <w:r>
        <w:rPr>
          <w:rFonts w:hint="eastAsia" w:ascii="宋体" w:hAnsi="宋体" w:cs="宋体"/>
          <w:spacing w:val="10"/>
          <w:sz w:val="24"/>
          <w:szCs w:val="24"/>
        </w:rPr>
        <w:t>张剑</w:t>
      </w:r>
      <w:r>
        <w:rPr>
          <w:rFonts w:hint="eastAsia" w:ascii="宋体" w:hAnsi="宋体" w:cs="宋体"/>
          <w:spacing w:val="10"/>
          <w:sz w:val="24"/>
          <w:szCs w:val="24"/>
          <w:lang w:val="zh-CN"/>
        </w:rPr>
        <w:t>注册号：</w:t>
      </w:r>
      <w:r>
        <w:rPr>
          <w:rFonts w:ascii="宋体" w:hAnsi="宋体" w:cs="宋体"/>
          <w:spacing w:val="10"/>
          <w:sz w:val="24"/>
          <w:szCs w:val="24"/>
        </w:rPr>
        <w:t>4320130025</w:t>
      </w:r>
    </w:p>
    <w:p>
      <w:pPr>
        <w:widowControl/>
        <w:tabs>
          <w:tab w:val="left" w:pos="1596"/>
        </w:tabs>
        <w:spacing w:line="360" w:lineRule="auto"/>
        <w:ind w:firstLine="3250" w:firstLineChars="1250"/>
        <w:rPr>
          <w:rFonts w:ascii="宋体" w:hAnsi="宋体" w:cs="宋体"/>
          <w:spacing w:val="10"/>
          <w:sz w:val="24"/>
          <w:szCs w:val="24"/>
        </w:rPr>
      </w:pPr>
      <w:r>
        <w:rPr>
          <w:rFonts w:hint="eastAsia" w:ascii="宋体" w:hAnsi="宋体" w:cs="宋体"/>
          <w:spacing w:val="10"/>
          <w:sz w:val="24"/>
          <w:szCs w:val="24"/>
          <w:lang w:val="zh-CN"/>
        </w:rPr>
        <w:t>李叶注册号：</w:t>
      </w:r>
      <w:r>
        <w:rPr>
          <w:rFonts w:ascii="宋体" w:hAnsi="宋体" w:cs="宋体"/>
          <w:spacing w:val="10"/>
          <w:sz w:val="24"/>
          <w:szCs w:val="24"/>
        </w:rPr>
        <w:t>4320110041</w:t>
      </w:r>
    </w:p>
    <w:p>
      <w:pPr>
        <w:widowControl/>
        <w:tabs>
          <w:tab w:val="left" w:pos="1596"/>
        </w:tabs>
        <w:spacing w:line="360" w:lineRule="auto"/>
        <w:ind w:firstLine="681" w:firstLineChars="261"/>
        <w:rPr>
          <w:rFonts w:ascii="宋体"/>
          <w:color w:val="FF0000"/>
          <w:spacing w:val="10"/>
          <w:sz w:val="24"/>
          <w:szCs w:val="24"/>
        </w:rPr>
      </w:pPr>
      <w:r>
        <w:rPr>
          <w:rFonts w:hint="eastAsia" w:ascii="宋体" w:hAnsi="宋体" w:cs="宋体"/>
          <w:b/>
          <w:bCs/>
          <w:spacing w:val="10"/>
          <w:sz w:val="24"/>
          <w:szCs w:val="24"/>
        </w:rPr>
        <w:t>估价报告出具日期：</w:t>
      </w:r>
      <w:bookmarkStart w:id="0" w:name="OLE_LINK1"/>
      <w:bookmarkStart w:id="1" w:name="OLE_LINK2"/>
      <w:r>
        <w:rPr>
          <w:rFonts w:hint="eastAsia" w:ascii="宋体" w:hAnsi="宋体" w:cs="宋体"/>
          <w:spacing w:val="10"/>
          <w:sz w:val="24"/>
          <w:szCs w:val="24"/>
          <w:lang w:val="zh-CN"/>
        </w:rPr>
        <w:t>2021年</w:t>
      </w:r>
      <w:r>
        <w:rPr>
          <w:rFonts w:hint="eastAsia" w:ascii="宋体" w:hAnsi="宋体" w:cs="宋体"/>
          <w:spacing w:val="10"/>
          <w:sz w:val="24"/>
          <w:szCs w:val="24"/>
        </w:rPr>
        <w:t>7</w:t>
      </w:r>
      <w:r>
        <w:rPr>
          <w:rFonts w:hint="eastAsia" w:ascii="宋体" w:hAnsi="宋体" w:cs="宋体"/>
          <w:spacing w:val="10"/>
          <w:sz w:val="24"/>
          <w:szCs w:val="24"/>
          <w:lang w:val="zh-CN"/>
        </w:rPr>
        <w:t>月</w:t>
      </w:r>
      <w:r>
        <w:rPr>
          <w:rFonts w:hint="eastAsia" w:ascii="宋体" w:hAnsi="宋体" w:cs="宋体"/>
          <w:spacing w:val="10"/>
          <w:sz w:val="24"/>
          <w:szCs w:val="24"/>
        </w:rPr>
        <w:t>30</w:t>
      </w:r>
      <w:r>
        <w:rPr>
          <w:rFonts w:hint="eastAsia" w:ascii="宋体" w:hAnsi="宋体" w:cs="宋体"/>
          <w:spacing w:val="10"/>
          <w:sz w:val="24"/>
          <w:szCs w:val="24"/>
          <w:lang w:val="zh-CN"/>
        </w:rPr>
        <w:t>日</w:t>
      </w:r>
      <w:bookmarkEnd w:id="0"/>
      <w:bookmarkEnd w:id="1"/>
      <w:bookmarkStart w:id="2" w:name="_Toc30139"/>
    </w:p>
    <w:p>
      <w:pPr>
        <w:widowControl/>
        <w:tabs>
          <w:tab w:val="left" w:pos="1596"/>
        </w:tabs>
        <w:spacing w:line="360" w:lineRule="auto"/>
        <w:ind w:firstLine="678" w:firstLineChars="261"/>
        <w:rPr>
          <w:rFonts w:ascii="宋体"/>
          <w:spacing w:val="10"/>
          <w:sz w:val="24"/>
          <w:szCs w:val="24"/>
        </w:rPr>
      </w:pPr>
    </w:p>
    <w:p>
      <w:pPr>
        <w:widowControl/>
        <w:tabs>
          <w:tab w:val="left" w:pos="1596"/>
        </w:tabs>
        <w:spacing w:line="360" w:lineRule="auto"/>
        <w:ind w:firstLine="678" w:firstLineChars="261"/>
        <w:rPr>
          <w:rFonts w:ascii="宋体"/>
          <w:spacing w:val="10"/>
          <w:sz w:val="24"/>
          <w:szCs w:val="24"/>
        </w:rPr>
      </w:pPr>
    </w:p>
    <w:p>
      <w:pPr>
        <w:widowControl/>
        <w:tabs>
          <w:tab w:val="left" w:pos="1596"/>
        </w:tabs>
        <w:spacing w:line="360" w:lineRule="auto"/>
        <w:ind w:firstLine="678" w:firstLineChars="261"/>
        <w:rPr>
          <w:rFonts w:ascii="宋体"/>
          <w:spacing w:val="10"/>
          <w:sz w:val="24"/>
          <w:szCs w:val="24"/>
        </w:rPr>
      </w:pPr>
    </w:p>
    <w:p>
      <w:pPr>
        <w:widowControl/>
        <w:tabs>
          <w:tab w:val="left" w:pos="1596"/>
        </w:tabs>
        <w:spacing w:line="360" w:lineRule="auto"/>
        <w:ind w:firstLine="678" w:firstLineChars="261"/>
        <w:rPr>
          <w:rFonts w:ascii="宋体"/>
          <w:spacing w:val="10"/>
          <w:sz w:val="24"/>
          <w:szCs w:val="24"/>
        </w:rPr>
      </w:pPr>
    </w:p>
    <w:p>
      <w:pPr>
        <w:widowControl/>
        <w:tabs>
          <w:tab w:val="left" w:pos="1596"/>
        </w:tabs>
        <w:spacing w:line="360" w:lineRule="auto"/>
        <w:ind w:firstLine="838" w:firstLineChars="261"/>
        <w:jc w:val="center"/>
        <w:rPr>
          <w:rFonts w:ascii="宋体"/>
          <w:spacing w:val="10"/>
          <w:sz w:val="24"/>
          <w:szCs w:val="24"/>
        </w:rPr>
      </w:pPr>
      <w:r>
        <w:rPr>
          <w:rFonts w:hint="eastAsia" w:ascii="黑体" w:eastAsia="黑体" w:cs="黑体"/>
          <w:b/>
          <w:bCs/>
          <w:sz w:val="32"/>
          <w:szCs w:val="32"/>
        </w:rPr>
        <w:t>致估价委托人函</w:t>
      </w:r>
      <w:bookmarkEnd w:id="2"/>
    </w:p>
    <w:p>
      <w:pPr>
        <w:spacing w:line="360" w:lineRule="auto"/>
        <w:jc w:val="center"/>
      </w:pPr>
    </w:p>
    <w:p>
      <w:pPr>
        <w:widowControl/>
        <w:spacing w:line="360" w:lineRule="auto"/>
        <w:rPr>
          <w:rFonts w:ascii="宋体"/>
          <w:b/>
          <w:bCs/>
          <w:spacing w:val="10"/>
          <w:sz w:val="24"/>
          <w:szCs w:val="24"/>
        </w:rPr>
      </w:pPr>
      <w:r>
        <w:rPr>
          <w:rFonts w:hint="eastAsia" w:ascii="宋体" w:hAnsi="宋体" w:cs="宋体"/>
          <w:b/>
          <w:spacing w:val="10"/>
          <w:sz w:val="24"/>
          <w:szCs w:val="24"/>
          <w:lang w:val="zh-CN"/>
        </w:rPr>
        <w:t>湖南省新晃侗族自治县人民法院</w:t>
      </w:r>
      <w:r>
        <w:rPr>
          <w:rFonts w:hint="eastAsia" w:ascii="宋体" w:hAnsi="宋体" w:cs="宋体"/>
          <w:b/>
          <w:bCs/>
          <w:spacing w:val="10"/>
          <w:sz w:val="24"/>
          <w:szCs w:val="24"/>
        </w:rPr>
        <w:t>：</w:t>
      </w:r>
    </w:p>
    <w:p>
      <w:pPr>
        <w:spacing w:line="360" w:lineRule="auto"/>
        <w:ind w:firstLine="570"/>
        <w:rPr>
          <w:rFonts w:ascii="宋体"/>
          <w:spacing w:val="10"/>
          <w:sz w:val="24"/>
          <w:szCs w:val="24"/>
        </w:rPr>
      </w:pPr>
      <w:r>
        <w:rPr>
          <w:rFonts w:hint="eastAsia" w:ascii="宋体" w:hAnsi="宋体" w:cs="宋体"/>
          <w:spacing w:val="10"/>
          <w:sz w:val="24"/>
          <w:szCs w:val="24"/>
        </w:rPr>
        <w:t>承蒙贵院委托，我公司秉着客观、公正、科学、独立的原则，对</w:t>
      </w:r>
      <w:r>
        <w:rPr>
          <w:rFonts w:hint="eastAsia" w:ascii="宋体" w:hAnsi="宋体" w:cs="宋体"/>
          <w:spacing w:val="10"/>
          <w:sz w:val="24"/>
          <w:szCs w:val="24"/>
          <w:lang w:val="zh-CN"/>
        </w:rPr>
        <w:t>杨顺钊、田冬竹单独所有的</w:t>
      </w:r>
      <w:r>
        <w:rPr>
          <w:rFonts w:hint="eastAsia" w:ascii="宋体" w:hAnsi="宋体"/>
          <w:spacing w:val="10"/>
          <w:sz w:val="24"/>
          <w:szCs w:val="24"/>
        </w:rPr>
        <w:t>位于新晃县农业综合办背后503号住宅</w:t>
      </w:r>
      <w:r>
        <w:rPr>
          <w:rFonts w:hint="eastAsia" w:ascii="宋体" w:hAnsi="宋体" w:cs="宋体"/>
          <w:spacing w:val="10"/>
          <w:sz w:val="24"/>
          <w:szCs w:val="24"/>
        </w:rPr>
        <w:t>用房进行了评估。</w:t>
      </w:r>
    </w:p>
    <w:p>
      <w:pPr>
        <w:widowControl/>
        <w:spacing w:line="360" w:lineRule="auto"/>
        <w:ind w:firstLine="520" w:firstLineChars="200"/>
        <w:rPr>
          <w:rFonts w:ascii="宋体" w:hAnsi="宋体" w:cs="宋体"/>
          <w:spacing w:val="10"/>
          <w:sz w:val="24"/>
          <w:szCs w:val="24"/>
        </w:rPr>
      </w:pPr>
      <w:r>
        <w:rPr>
          <w:rFonts w:hint="eastAsia" w:ascii="宋体" w:hAnsi="宋体" w:cs="宋体"/>
          <w:spacing w:val="10"/>
          <w:sz w:val="24"/>
          <w:szCs w:val="24"/>
        </w:rPr>
        <w:t>估价目的：为估价委托人司法办案提供价格参考依据而评估房地产市场价值。</w:t>
      </w:r>
    </w:p>
    <w:p>
      <w:pPr>
        <w:widowControl/>
        <w:spacing w:line="360" w:lineRule="auto"/>
        <w:ind w:firstLine="520" w:firstLineChars="200"/>
        <w:rPr>
          <w:rFonts w:ascii="宋体"/>
          <w:spacing w:val="10"/>
          <w:sz w:val="24"/>
          <w:szCs w:val="24"/>
        </w:rPr>
      </w:pPr>
      <w:r>
        <w:rPr>
          <w:rFonts w:hint="eastAsia" w:ascii="宋体" w:hAnsi="宋体" w:cs="宋体"/>
          <w:spacing w:val="10"/>
          <w:sz w:val="24"/>
          <w:szCs w:val="24"/>
        </w:rPr>
        <w:t>估价方法：收益法、比较法</w:t>
      </w:r>
    </w:p>
    <w:p>
      <w:pPr>
        <w:spacing w:line="360" w:lineRule="auto"/>
        <w:jc w:val="center"/>
        <w:rPr>
          <w:rFonts w:ascii="宋体"/>
          <w:spacing w:val="10"/>
          <w:sz w:val="24"/>
          <w:szCs w:val="24"/>
        </w:rPr>
      </w:pPr>
      <w:r>
        <w:rPr>
          <w:rFonts w:hint="eastAsia" w:ascii="宋体" w:hAnsi="宋体" w:cs="宋体"/>
          <w:spacing w:val="10"/>
          <w:sz w:val="24"/>
          <w:szCs w:val="24"/>
        </w:rPr>
        <w:t>估价对象基本情况一览表</w:t>
      </w:r>
    </w:p>
    <w:tbl>
      <w:tblPr>
        <w:tblStyle w:val="41"/>
        <w:tblW w:w="9229" w:type="dxa"/>
        <w:tblInd w:w="93" w:type="dxa"/>
        <w:tblLayout w:type="autofit"/>
        <w:tblCellMar>
          <w:top w:w="0" w:type="dxa"/>
          <w:left w:w="108" w:type="dxa"/>
          <w:bottom w:w="0" w:type="dxa"/>
          <w:right w:w="108" w:type="dxa"/>
        </w:tblCellMar>
      </w:tblPr>
      <w:tblGrid>
        <w:gridCol w:w="1080"/>
        <w:gridCol w:w="1080"/>
        <w:gridCol w:w="1541"/>
        <w:gridCol w:w="574"/>
        <w:gridCol w:w="1080"/>
        <w:gridCol w:w="930"/>
        <w:gridCol w:w="1080"/>
        <w:gridCol w:w="872"/>
        <w:gridCol w:w="992"/>
      </w:tblGrid>
      <w:tr>
        <w:tblPrEx>
          <w:tblCellMar>
            <w:top w:w="0" w:type="dxa"/>
            <w:left w:w="108" w:type="dxa"/>
            <w:bottom w:w="0" w:type="dxa"/>
            <w:right w:w="108" w:type="dxa"/>
          </w:tblCellMar>
        </w:tblPrEx>
        <w:trPr>
          <w:trHeight w:val="6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坐落</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估价对象范围</w:t>
            </w: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房号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规模（所在层次</w:t>
            </w:r>
            <w:r>
              <w:rPr>
                <w:rStyle w:val="81"/>
              </w:rPr>
              <w:t>/总层数）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规划用途</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建筑面积（</w:t>
            </w:r>
            <w:r>
              <w:rPr>
                <w:rStyle w:val="81"/>
              </w:rPr>
              <w:t>m</w:t>
            </w:r>
            <w:r>
              <w:rPr>
                <w:rStyle w:val="83"/>
              </w:rPr>
              <w:t>2</w:t>
            </w:r>
            <w:r>
              <w:rPr>
                <w:rStyle w:val="81"/>
              </w:rPr>
              <w:t>）</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结构</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建成时间</w:t>
            </w:r>
          </w:p>
        </w:tc>
      </w:tr>
      <w:tr>
        <w:tblPrEx>
          <w:tblCellMar>
            <w:top w:w="0" w:type="dxa"/>
            <w:left w:w="108" w:type="dxa"/>
            <w:bottom w:w="0" w:type="dxa"/>
            <w:right w:w="108"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杨顺钊、田冬竹单独所有的住宅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新晃县农业综合办背后503号</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估价对象房屋及其占用范围内的土地使用权（含房屋室内装修）</w:t>
            </w: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503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住宅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121.73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混合</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2012年</w:t>
            </w:r>
          </w:p>
        </w:tc>
      </w:tr>
    </w:tbl>
    <w:p>
      <w:pPr>
        <w:widowControl/>
        <w:spacing w:line="360" w:lineRule="auto"/>
        <w:ind w:firstLine="480" w:firstLineChars="200"/>
        <w:rPr>
          <w:rFonts w:ascii="宋体" w:hAnsi="宋体" w:cs="宋体"/>
          <w:sz w:val="24"/>
          <w:szCs w:val="24"/>
        </w:rPr>
      </w:pPr>
      <w:r>
        <w:rPr>
          <w:rFonts w:hint="eastAsia" w:ascii="宋体" w:hAnsi="宋体" w:cs="宋体"/>
          <w:sz w:val="24"/>
          <w:szCs w:val="24"/>
        </w:rPr>
        <w:t>价值时点：</w:t>
      </w:r>
      <w:r>
        <w:rPr>
          <w:rFonts w:hint="eastAsia" w:ascii="宋体" w:hAnsi="宋体"/>
          <w:sz w:val="24"/>
          <w:szCs w:val="24"/>
        </w:rPr>
        <w:t>20</w:t>
      </w:r>
      <w:r>
        <w:rPr>
          <w:rFonts w:ascii="宋体" w:hAnsi="宋体"/>
          <w:sz w:val="24"/>
          <w:szCs w:val="24"/>
        </w:rPr>
        <w:t>20</w:t>
      </w:r>
      <w:r>
        <w:rPr>
          <w:rFonts w:hint="eastAsia" w:ascii="宋体" w:hAnsi="宋体"/>
          <w:sz w:val="24"/>
          <w:szCs w:val="24"/>
        </w:rPr>
        <w:t>年</w:t>
      </w:r>
      <w:r>
        <w:rPr>
          <w:rFonts w:hint="eastAsia" w:ascii="宋体" w:hAnsi="宋体" w:cs="宋体"/>
          <w:sz w:val="24"/>
          <w:szCs w:val="24"/>
        </w:rPr>
        <w:t>7月7日。</w:t>
      </w:r>
    </w:p>
    <w:p>
      <w:pPr>
        <w:widowControl/>
        <w:spacing w:line="360" w:lineRule="auto"/>
        <w:ind w:firstLine="520" w:firstLineChars="200"/>
        <w:rPr>
          <w:sz w:val="24"/>
          <w:szCs w:val="24"/>
        </w:rPr>
      </w:pPr>
      <w:r>
        <w:rPr>
          <w:rFonts w:hint="eastAsia" w:ascii="宋体" w:hAnsi="宋体" w:cs="宋体"/>
          <w:spacing w:val="10"/>
          <w:sz w:val="24"/>
          <w:szCs w:val="24"/>
        </w:rPr>
        <w:t>价值类型：</w:t>
      </w:r>
      <w:r>
        <w:rPr>
          <w:rFonts w:hint="eastAsia" w:cs="宋体"/>
          <w:sz w:val="24"/>
          <w:szCs w:val="24"/>
        </w:rPr>
        <w:t>市场价值</w:t>
      </w:r>
    </w:p>
    <w:p>
      <w:pPr>
        <w:widowControl/>
        <w:spacing w:line="460" w:lineRule="exact"/>
        <w:ind w:firstLine="360" w:firstLineChars="150"/>
        <w:rPr>
          <w:rFonts w:ascii="宋体" w:hAnsi="宋体"/>
          <w:spacing w:val="10"/>
          <w:sz w:val="24"/>
          <w:szCs w:val="24"/>
        </w:rPr>
      </w:pPr>
      <w:r>
        <w:rPr>
          <w:rFonts w:hint="eastAsia" w:ascii="宋体" w:hAnsi="宋体" w:cs="宋体"/>
          <w:kern w:val="0"/>
          <w:sz w:val="24"/>
          <w:szCs w:val="24"/>
        </w:rPr>
        <w:t>本次估价，</w:t>
      </w:r>
      <w:r>
        <w:rPr>
          <w:rFonts w:hint="eastAsia" w:ascii="宋体" w:hAnsi="宋体" w:cs="宋体"/>
          <w:spacing w:val="10"/>
          <w:sz w:val="24"/>
          <w:szCs w:val="24"/>
        </w:rPr>
        <w:t>根据估价目的，遵循估价原则，采用科学合理的估价方法，在认真分析现有资料的基础上，经过测算，结合估价经验与对影响房地产市场价格因素进行分析，在估价对象未设定法定优先受偿权利下，于市场上有足够的买方和卖方，并且进入市场无障碍的条件下，</w:t>
      </w:r>
      <w:r>
        <w:rPr>
          <w:rFonts w:hint="eastAsia" w:ascii="宋体" w:hAnsi="宋体"/>
          <w:spacing w:val="10"/>
          <w:sz w:val="24"/>
          <w:szCs w:val="24"/>
        </w:rPr>
        <w:t>于价值时点的假定未设立法定优先受偿权下市场单价为</w:t>
      </w:r>
      <w:r>
        <w:rPr>
          <w:rFonts w:hint="eastAsia" w:ascii="宋体" w:hAnsi="宋体"/>
          <w:spacing w:val="10"/>
          <w:sz w:val="24"/>
          <w:szCs w:val="24"/>
          <w:lang w:val="en-US" w:eastAsia="zh-CN"/>
        </w:rPr>
        <w:t>3295</w:t>
      </w:r>
      <w:r>
        <w:rPr>
          <w:rFonts w:hint="eastAsia" w:ascii="宋体" w:hAnsi="宋体"/>
          <w:spacing w:val="10"/>
          <w:sz w:val="24"/>
          <w:szCs w:val="24"/>
        </w:rPr>
        <w:t>元/平方米，市场总价为</w:t>
      </w:r>
      <w:r>
        <w:rPr>
          <w:rFonts w:hint="eastAsia" w:ascii="宋体" w:hAnsi="宋体"/>
          <w:spacing w:val="10"/>
          <w:sz w:val="24"/>
          <w:szCs w:val="24"/>
          <w:lang w:val="en-US" w:eastAsia="zh-CN"/>
        </w:rPr>
        <w:t>40.11</w:t>
      </w:r>
      <w:r>
        <w:rPr>
          <w:rFonts w:hint="eastAsia" w:ascii="宋体" w:hAnsi="宋体"/>
          <w:spacing w:val="10"/>
          <w:sz w:val="24"/>
          <w:szCs w:val="24"/>
        </w:rPr>
        <w:t>万元</w:t>
      </w:r>
      <w:r>
        <w:rPr>
          <w:rFonts w:ascii="宋体" w:hAnsi="宋体"/>
          <w:spacing w:val="10"/>
          <w:sz w:val="24"/>
          <w:szCs w:val="24"/>
        </w:rPr>
        <w:t xml:space="preserve"> (</w:t>
      </w:r>
      <w:r>
        <w:rPr>
          <w:rFonts w:hint="eastAsia" w:ascii="宋体" w:hAnsi="宋体"/>
          <w:spacing w:val="10"/>
          <w:sz w:val="24"/>
          <w:szCs w:val="24"/>
        </w:rPr>
        <w:t>大写：</w:t>
      </w:r>
      <w:r>
        <w:rPr>
          <w:rFonts w:hint="eastAsia" w:ascii="宋体" w:hAnsi="宋体" w:cs="宋体"/>
          <w:spacing w:val="10"/>
          <w:sz w:val="24"/>
          <w:szCs w:val="24"/>
        </w:rPr>
        <w:t>人民币</w:t>
      </w:r>
      <w:r>
        <w:rPr>
          <w:rFonts w:hint="eastAsia" w:ascii="宋体" w:hAnsi="宋体" w:cs="宋体"/>
          <w:spacing w:val="10"/>
          <w:sz w:val="24"/>
          <w:szCs w:val="24"/>
          <w:lang w:val="en-US" w:eastAsia="zh-CN"/>
        </w:rPr>
        <w:t>肆</w:t>
      </w:r>
      <w:r>
        <w:rPr>
          <w:rFonts w:hint="eastAsia" w:ascii="宋体" w:hAnsi="宋体"/>
          <w:spacing w:val="10"/>
          <w:sz w:val="24"/>
          <w:szCs w:val="24"/>
        </w:rPr>
        <w:t>拾万</w:t>
      </w:r>
      <w:r>
        <w:rPr>
          <w:rFonts w:hint="eastAsia" w:ascii="宋体" w:hAnsi="宋体"/>
          <w:spacing w:val="10"/>
          <w:sz w:val="24"/>
          <w:szCs w:val="24"/>
          <w:lang w:val="en-US" w:eastAsia="zh-CN"/>
        </w:rPr>
        <w:t>零壹</w:t>
      </w:r>
      <w:r>
        <w:rPr>
          <w:rFonts w:hint="eastAsia" w:ascii="宋体" w:hAnsi="宋体"/>
          <w:spacing w:val="10"/>
          <w:sz w:val="24"/>
          <w:szCs w:val="24"/>
        </w:rPr>
        <w:t>仟</w:t>
      </w:r>
      <w:r>
        <w:rPr>
          <w:rFonts w:hint="eastAsia" w:ascii="宋体" w:hAnsi="宋体"/>
          <w:spacing w:val="10"/>
          <w:sz w:val="24"/>
          <w:szCs w:val="24"/>
          <w:lang w:val="en-US" w:eastAsia="zh-CN"/>
        </w:rPr>
        <w:t>壹佰</w:t>
      </w:r>
      <w:r>
        <w:rPr>
          <w:rFonts w:hint="eastAsia" w:ascii="宋体" w:hAnsi="宋体"/>
          <w:spacing w:val="10"/>
          <w:sz w:val="24"/>
          <w:szCs w:val="24"/>
        </w:rPr>
        <w:t>元整</w:t>
      </w:r>
      <w:r>
        <w:rPr>
          <w:rFonts w:ascii="宋体" w:hAnsi="宋体"/>
          <w:spacing w:val="10"/>
          <w:sz w:val="24"/>
          <w:szCs w:val="24"/>
        </w:rPr>
        <w:t>)</w:t>
      </w:r>
      <w:r>
        <w:rPr>
          <w:rFonts w:hint="eastAsia" w:ascii="宋体" w:hAnsi="宋体"/>
          <w:spacing w:val="10"/>
          <w:sz w:val="24"/>
          <w:szCs w:val="24"/>
        </w:rPr>
        <w:t>。</w:t>
      </w:r>
      <w:r>
        <w:rPr>
          <w:rFonts w:hint="eastAsia" w:ascii="宋体" w:hAnsi="宋体" w:cs="宋体"/>
          <w:spacing w:val="10"/>
          <w:sz w:val="24"/>
          <w:szCs w:val="24"/>
        </w:rPr>
        <w:t>估价结果汇总如下表所示</w:t>
      </w:r>
      <w:r>
        <w:rPr>
          <w:rFonts w:hint="eastAsia" w:ascii="宋体" w:hAnsi="宋体"/>
          <w:spacing w:val="10"/>
          <w:sz w:val="24"/>
          <w:szCs w:val="24"/>
        </w:rPr>
        <w:t>。</w:t>
      </w:r>
    </w:p>
    <w:p>
      <w:pPr>
        <w:widowControl/>
        <w:spacing w:line="360" w:lineRule="auto"/>
        <w:ind w:firstLine="522" w:firstLineChars="200"/>
        <w:jc w:val="center"/>
        <w:rPr>
          <w:rFonts w:ascii="宋体"/>
          <w:spacing w:val="10"/>
          <w:sz w:val="24"/>
          <w:szCs w:val="24"/>
        </w:rPr>
      </w:pPr>
      <w:r>
        <w:rPr>
          <w:rFonts w:hint="eastAsia" w:ascii="宋体" w:hAnsi="宋体" w:cs="宋体"/>
          <w:b/>
          <w:bCs/>
          <w:color w:val="000000"/>
          <w:spacing w:val="10"/>
          <w:sz w:val="24"/>
          <w:szCs w:val="24"/>
        </w:rPr>
        <w:t>估价结果汇总表</w:t>
      </w:r>
    </w:p>
    <w:tbl>
      <w:tblPr>
        <w:tblStyle w:val="41"/>
        <w:tblW w:w="9420" w:type="dxa"/>
        <w:tblInd w:w="93" w:type="dxa"/>
        <w:tblLayout w:type="autofit"/>
        <w:tblCellMar>
          <w:top w:w="0" w:type="dxa"/>
          <w:left w:w="108" w:type="dxa"/>
          <w:bottom w:w="0" w:type="dxa"/>
          <w:right w:w="108" w:type="dxa"/>
        </w:tblCellMar>
      </w:tblPr>
      <w:tblGrid>
        <w:gridCol w:w="1110"/>
        <w:gridCol w:w="810"/>
        <w:gridCol w:w="1320"/>
        <w:gridCol w:w="705"/>
        <w:gridCol w:w="675"/>
        <w:gridCol w:w="1080"/>
        <w:gridCol w:w="795"/>
        <w:gridCol w:w="1005"/>
        <w:gridCol w:w="1005"/>
        <w:gridCol w:w="915"/>
      </w:tblGrid>
      <w:tr>
        <w:tblPrEx>
          <w:tblCellMar>
            <w:top w:w="0" w:type="dxa"/>
            <w:left w:w="108" w:type="dxa"/>
            <w:bottom w:w="0" w:type="dxa"/>
            <w:right w:w="108" w:type="dxa"/>
          </w:tblCellMar>
        </w:tblPrEx>
        <w:trPr>
          <w:trHeight w:val="315" w:hRule="atLeast"/>
        </w:trPr>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权证号</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所有权人</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房屋坐落</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结构</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户号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所在层数</w:t>
            </w:r>
            <w:r>
              <w:rPr>
                <w:rFonts w:ascii="宋体" w:hAnsi="宋体" w:cs="宋体"/>
                <w:b/>
                <w:bCs/>
                <w:color w:val="000000"/>
                <w:kern w:val="0"/>
                <w:sz w:val="20"/>
              </w:rPr>
              <w:t>/总层数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用途</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建筑面积（㎡）</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评估单价（元</w:t>
            </w:r>
            <w:r>
              <w:rPr>
                <w:rFonts w:ascii="宋体" w:hAnsi="宋体" w:cs="宋体"/>
                <w:b/>
                <w:bCs/>
                <w:color w:val="000000"/>
                <w:kern w:val="0"/>
                <w:sz w:val="20"/>
              </w:rPr>
              <w:t>/㎡）</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评估总价（万元）</w:t>
            </w:r>
          </w:p>
        </w:tc>
      </w:tr>
      <w:tr>
        <w:tblPrEx>
          <w:tblCellMar>
            <w:top w:w="0" w:type="dxa"/>
            <w:left w:w="108" w:type="dxa"/>
            <w:bottom w:w="0" w:type="dxa"/>
            <w:right w:w="108" w:type="dxa"/>
          </w:tblCellMar>
        </w:tblPrEx>
        <w:trPr>
          <w:trHeight w:val="420" w:hRule="atLeast"/>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10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10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96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晃房权证新晃字第00033255号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杨顺钊、田冬竹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新晃县农业综合办背后</w:t>
            </w:r>
            <w:r>
              <w:rPr>
                <w:color w:val="000000"/>
                <w:kern w:val="0"/>
                <w:sz w:val="18"/>
                <w:szCs w:val="18"/>
              </w:rPr>
              <w:t>503</w:t>
            </w:r>
            <w:r>
              <w:rPr>
                <w:rFonts w:ascii="宋体" w:hAnsi="宋体" w:cs="宋体"/>
                <w:color w:val="000000"/>
                <w:kern w:val="0"/>
                <w:sz w:val="18"/>
                <w:szCs w:val="18"/>
              </w:rPr>
              <w:t>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混合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住宅</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121.73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40.11</w:t>
            </w:r>
          </w:p>
        </w:tc>
      </w:tr>
      <w:tr>
        <w:tblPrEx>
          <w:tblCellMar>
            <w:top w:w="0" w:type="dxa"/>
            <w:left w:w="108" w:type="dxa"/>
            <w:bottom w:w="0" w:type="dxa"/>
            <w:right w:w="108" w:type="dxa"/>
          </w:tblCellMar>
        </w:tblPrEx>
        <w:trPr>
          <w:trHeight w:val="285" w:hRule="atLeast"/>
        </w:trPr>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121.73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0"/>
                <w:szCs w:val="20"/>
                <w:lang w:val="en-US" w:eastAsia="zh-CN"/>
              </w:rPr>
              <w:t>40.11</w:t>
            </w:r>
          </w:p>
        </w:tc>
      </w:tr>
    </w:tbl>
    <w:p>
      <w:pPr>
        <w:widowControl/>
        <w:spacing w:line="360" w:lineRule="auto"/>
        <w:ind w:firstLine="522" w:firstLineChars="200"/>
        <w:rPr>
          <w:rFonts w:ascii="宋体"/>
          <w:b/>
          <w:bCs/>
          <w:spacing w:val="10"/>
          <w:sz w:val="24"/>
          <w:szCs w:val="24"/>
        </w:rPr>
      </w:pPr>
      <w:r>
        <w:rPr>
          <w:rFonts w:hint="eastAsia" w:ascii="宋体" w:hAnsi="宋体" w:cs="宋体"/>
          <w:b/>
          <w:bCs/>
          <w:spacing w:val="10"/>
          <w:sz w:val="24"/>
          <w:szCs w:val="24"/>
        </w:rPr>
        <w:t>特别提示：</w:t>
      </w:r>
    </w:p>
    <w:p>
      <w:pPr>
        <w:widowControl/>
        <w:spacing w:line="440" w:lineRule="exact"/>
        <w:ind w:firstLine="512" w:firstLineChars="200"/>
        <w:rPr>
          <w:rFonts w:ascii="宋体" w:hAnsi="宋体" w:cs="宋体"/>
          <w:spacing w:val="8"/>
          <w:sz w:val="24"/>
          <w:szCs w:val="24"/>
        </w:rPr>
      </w:pPr>
      <w:r>
        <w:rPr>
          <w:rFonts w:hint="eastAsia" w:ascii="宋体" w:hAnsi="宋体" w:cs="宋体"/>
          <w:spacing w:val="8"/>
          <w:sz w:val="24"/>
          <w:szCs w:val="24"/>
        </w:rPr>
        <w:t>1</w:t>
      </w:r>
      <w:r>
        <w:rPr>
          <w:rFonts w:ascii="宋体" w:hAnsi="宋体" w:cs="宋体"/>
          <w:spacing w:val="8"/>
          <w:sz w:val="24"/>
          <w:szCs w:val="24"/>
        </w:rPr>
        <w:t>.</w:t>
      </w:r>
      <w:r>
        <w:rPr>
          <w:rFonts w:hint="eastAsia" w:ascii="宋体" w:hAnsi="宋体" w:cs="宋体"/>
          <w:spacing w:val="8"/>
          <w:sz w:val="24"/>
          <w:szCs w:val="24"/>
        </w:rPr>
        <w:t>本报告仅适用于委托方司法办案而了解房地产市场价值提供价格参考。</w:t>
      </w:r>
    </w:p>
    <w:p>
      <w:pPr>
        <w:widowControl/>
        <w:spacing w:line="440" w:lineRule="exact"/>
        <w:ind w:firstLine="512" w:firstLineChars="200"/>
        <w:rPr>
          <w:rFonts w:ascii="宋体"/>
          <w:spacing w:val="10"/>
          <w:sz w:val="24"/>
          <w:szCs w:val="24"/>
        </w:rPr>
      </w:pPr>
      <w:r>
        <w:rPr>
          <w:rFonts w:hint="eastAsia" w:ascii="宋体" w:hAnsi="宋体" w:cs="宋体"/>
          <w:spacing w:val="8"/>
          <w:sz w:val="24"/>
          <w:szCs w:val="24"/>
        </w:rPr>
        <w:t>2.</w:t>
      </w:r>
      <w:r>
        <w:rPr>
          <w:rFonts w:hint="eastAsia" w:ascii="宋体" w:hAnsi="宋体" w:cs="宋体"/>
          <w:spacing w:val="10"/>
          <w:sz w:val="24"/>
          <w:szCs w:val="24"/>
        </w:rPr>
        <w:t>估价委托人提供了估价对象的《房屋所有权证》、《国有土地使用</w:t>
      </w:r>
      <w:r>
        <w:rPr>
          <w:rFonts w:hint="eastAsia" w:ascii="宋体" w:hAnsi="宋体" w:cs="宋体"/>
          <w:spacing w:val="10"/>
          <w:sz w:val="24"/>
          <w:szCs w:val="24"/>
          <w:lang w:val="en-US" w:eastAsia="zh-CN"/>
        </w:rPr>
        <w:t>权</w:t>
      </w:r>
      <w:r>
        <w:rPr>
          <w:rFonts w:hint="eastAsia" w:ascii="宋体" w:hAnsi="宋体" w:cs="宋体"/>
          <w:spacing w:val="10"/>
          <w:sz w:val="24"/>
          <w:szCs w:val="24"/>
        </w:rPr>
        <w:t>证》，本次估价结论以提供的权属复印件与原件一致为估价前提，如有不符，本估价结论无效；</w:t>
      </w:r>
    </w:p>
    <w:p>
      <w:pPr>
        <w:widowControl/>
        <w:spacing w:line="440" w:lineRule="exact"/>
        <w:ind w:firstLine="512" w:firstLineChars="200"/>
        <w:rPr>
          <w:rFonts w:ascii="宋体" w:hAnsi="宋体" w:cs="宋体"/>
          <w:spacing w:val="8"/>
          <w:sz w:val="24"/>
          <w:szCs w:val="24"/>
        </w:rPr>
      </w:pPr>
      <w:r>
        <w:rPr>
          <w:rFonts w:hint="eastAsia" w:ascii="宋体" w:hAnsi="宋体" w:cs="宋体"/>
          <w:spacing w:val="8"/>
          <w:sz w:val="24"/>
          <w:szCs w:val="24"/>
        </w:rPr>
        <w:t>3</w:t>
      </w:r>
      <w:r>
        <w:rPr>
          <w:rFonts w:ascii="宋体" w:hAnsi="宋体" w:cs="宋体"/>
          <w:spacing w:val="8"/>
          <w:sz w:val="24"/>
          <w:szCs w:val="24"/>
        </w:rPr>
        <w:t>.</w:t>
      </w:r>
      <w:r>
        <w:rPr>
          <w:rFonts w:hint="eastAsia" w:ascii="宋体" w:hAnsi="宋体" w:cs="宋体"/>
          <w:spacing w:val="8"/>
          <w:sz w:val="24"/>
          <w:szCs w:val="24"/>
        </w:rPr>
        <w:t>本次估价的估价范围为：估价对象房屋及其占用范围内的土地，且含</w:t>
      </w:r>
      <w:r>
        <w:rPr>
          <w:rFonts w:hint="eastAsia" w:ascii="宋体" w:hAnsi="宋体" w:cs="宋体"/>
          <w:spacing w:val="8"/>
          <w:sz w:val="24"/>
          <w:szCs w:val="24"/>
          <w:lang w:val="en-US" w:eastAsia="zh-CN"/>
        </w:rPr>
        <w:t>房屋</w:t>
      </w:r>
      <w:r>
        <w:rPr>
          <w:rFonts w:hint="eastAsia" w:ascii="宋体" w:hAnsi="宋体" w:cs="宋体"/>
          <w:spacing w:val="8"/>
          <w:sz w:val="24"/>
          <w:szCs w:val="24"/>
        </w:rPr>
        <w:t>室内装修。</w:t>
      </w:r>
    </w:p>
    <w:p>
      <w:pPr>
        <w:widowControl/>
        <w:tabs>
          <w:tab w:val="center" w:pos="3713"/>
          <w:tab w:val="left" w:pos="4935"/>
        </w:tabs>
        <w:spacing w:line="500" w:lineRule="exact"/>
        <w:ind w:firstLine="520" w:firstLineChars="200"/>
        <w:rPr>
          <w:rFonts w:ascii="宋体" w:hAnsi="宋体" w:cs="宋体"/>
          <w:spacing w:val="10"/>
          <w:sz w:val="24"/>
          <w:szCs w:val="24"/>
        </w:rPr>
      </w:pPr>
      <w:r>
        <w:rPr>
          <w:rFonts w:hint="eastAsia" w:ascii="宋体" w:hAnsi="宋体"/>
          <w:spacing w:val="10"/>
          <w:sz w:val="24"/>
          <w:szCs w:val="24"/>
        </w:rPr>
        <w:t>4.</w:t>
      </w:r>
      <w:r>
        <w:rPr>
          <w:rFonts w:hint="eastAsia" w:ascii="宋体" w:hAnsi="宋体" w:cs="宋体"/>
          <w:spacing w:val="10"/>
          <w:sz w:val="24"/>
          <w:szCs w:val="24"/>
        </w:rPr>
        <w:t>本次</w:t>
      </w:r>
      <w:r>
        <w:rPr>
          <w:rFonts w:hint="eastAsia" w:ascii="宋体" w:hAnsi="宋体" w:cs="宋体"/>
          <w:color w:val="000000"/>
          <w:spacing w:val="10"/>
          <w:sz w:val="24"/>
          <w:szCs w:val="24"/>
        </w:rPr>
        <w:t>估价对估价对象外勘之前已通知双方当事人，且外勘是</w:t>
      </w:r>
      <w:r>
        <w:rPr>
          <w:rFonts w:hint="eastAsia" w:ascii="宋体" w:hAnsi="宋体" w:cs="宋体"/>
          <w:spacing w:val="10"/>
          <w:sz w:val="24"/>
          <w:szCs w:val="24"/>
        </w:rPr>
        <w:t>在双方当事人和无利害关系法官易琳杰的陪同下进行现场查勘，双方均在现场勘验笔录上签字；</w:t>
      </w:r>
    </w:p>
    <w:p>
      <w:pPr>
        <w:widowControl/>
        <w:spacing w:line="360" w:lineRule="auto"/>
        <w:ind w:firstLine="520" w:firstLineChars="200"/>
        <w:rPr>
          <w:rFonts w:ascii="宋体" w:hAnsi="宋体" w:cs="宋体"/>
          <w:spacing w:val="10"/>
          <w:sz w:val="24"/>
          <w:szCs w:val="24"/>
        </w:rPr>
      </w:pPr>
      <w:r>
        <w:rPr>
          <w:rFonts w:hint="eastAsia" w:ascii="宋体" w:hAnsi="宋体"/>
          <w:spacing w:val="10"/>
          <w:sz w:val="24"/>
          <w:szCs w:val="24"/>
        </w:rPr>
        <w:t>5</w:t>
      </w:r>
      <w:r>
        <w:rPr>
          <w:rFonts w:hint="eastAsia" w:ascii="宋体" w:hAnsi="宋体" w:cs="宋体"/>
          <w:spacing w:val="10"/>
          <w:sz w:val="24"/>
          <w:szCs w:val="24"/>
        </w:rPr>
        <w:t>.当事人接到本报告书次日起</w:t>
      </w:r>
      <w:r>
        <w:rPr>
          <w:rFonts w:ascii="宋体" w:hAnsi="宋体" w:cs="宋体"/>
          <w:spacing w:val="10"/>
          <w:sz w:val="24"/>
          <w:szCs w:val="24"/>
        </w:rPr>
        <w:t>10</w:t>
      </w:r>
      <w:r>
        <w:rPr>
          <w:rFonts w:hint="eastAsia" w:ascii="宋体" w:hAnsi="宋体" w:cs="宋体"/>
          <w:spacing w:val="10"/>
          <w:sz w:val="24"/>
          <w:szCs w:val="24"/>
        </w:rPr>
        <w:t>日内，如对评估结果有异议，应书面提出并提交相应依据，逾期不提出，本评估报告生效。</w:t>
      </w:r>
    </w:p>
    <w:p>
      <w:pPr>
        <w:widowControl/>
        <w:tabs>
          <w:tab w:val="center" w:pos="3713"/>
          <w:tab w:val="left" w:pos="4935"/>
        </w:tabs>
        <w:spacing w:line="500" w:lineRule="exact"/>
        <w:ind w:firstLine="520" w:firstLineChars="200"/>
        <w:rPr>
          <w:rFonts w:ascii="宋体" w:hAnsi="宋体" w:cs="宋体"/>
          <w:spacing w:val="10"/>
          <w:sz w:val="24"/>
          <w:szCs w:val="24"/>
        </w:rPr>
      </w:pPr>
    </w:p>
    <w:p>
      <w:pPr>
        <w:widowControl/>
        <w:spacing w:line="440" w:lineRule="exact"/>
        <w:ind w:firstLine="520" w:firstLineChars="200"/>
        <w:rPr>
          <w:rFonts w:ascii="宋体" w:hAnsi="宋体" w:cs="宋体"/>
          <w:spacing w:val="10"/>
          <w:sz w:val="24"/>
          <w:szCs w:val="24"/>
        </w:rPr>
      </w:pPr>
    </w:p>
    <w:p>
      <w:pPr>
        <w:widowControl/>
        <w:spacing w:line="440" w:lineRule="exact"/>
        <w:ind w:firstLine="520" w:firstLineChars="200"/>
        <w:rPr>
          <w:rFonts w:ascii="宋体" w:hAnsi="宋体" w:cs="宋体"/>
          <w:spacing w:val="10"/>
          <w:sz w:val="24"/>
          <w:szCs w:val="24"/>
        </w:rPr>
      </w:pPr>
    </w:p>
    <w:p>
      <w:pPr>
        <w:widowControl/>
        <w:spacing w:line="440" w:lineRule="exact"/>
        <w:ind w:firstLine="520" w:firstLineChars="200"/>
        <w:rPr>
          <w:rFonts w:ascii="宋体" w:hAnsi="宋体" w:cs="宋体"/>
          <w:spacing w:val="10"/>
          <w:sz w:val="24"/>
          <w:szCs w:val="24"/>
        </w:rPr>
      </w:pPr>
    </w:p>
    <w:p>
      <w:pPr>
        <w:widowControl/>
        <w:spacing w:line="480" w:lineRule="auto"/>
        <w:ind w:firstLine="522" w:firstLineChars="200"/>
        <w:jc w:val="right"/>
        <w:rPr>
          <w:rFonts w:ascii="宋体" w:hAnsi="宋体" w:cs="宋体"/>
          <w:b/>
          <w:bCs/>
          <w:spacing w:val="10"/>
          <w:sz w:val="24"/>
          <w:szCs w:val="24"/>
        </w:rPr>
      </w:pPr>
    </w:p>
    <w:p>
      <w:pPr>
        <w:widowControl/>
        <w:spacing w:line="480" w:lineRule="auto"/>
        <w:ind w:firstLine="522" w:firstLineChars="200"/>
        <w:jc w:val="right"/>
        <w:rPr>
          <w:rFonts w:ascii="宋体"/>
          <w:b/>
          <w:bCs/>
          <w:spacing w:val="10"/>
          <w:sz w:val="24"/>
          <w:szCs w:val="24"/>
        </w:rPr>
      </w:pPr>
      <w:r>
        <w:rPr>
          <w:rFonts w:hint="eastAsia" w:ascii="宋体" w:hAnsi="宋体" w:cs="宋体"/>
          <w:b/>
          <w:bCs/>
          <w:spacing w:val="10"/>
          <w:sz w:val="24"/>
          <w:szCs w:val="24"/>
        </w:rPr>
        <w:t>湖南经典房地产评估咨询有限公司</w:t>
      </w:r>
    </w:p>
    <w:p>
      <w:pPr>
        <w:widowControl/>
        <w:spacing w:line="480" w:lineRule="auto"/>
        <w:ind w:right="520" w:firstLine="5480" w:firstLineChars="2100"/>
        <w:rPr>
          <w:rFonts w:ascii="宋体"/>
          <w:b/>
          <w:bCs/>
          <w:spacing w:val="10"/>
          <w:sz w:val="24"/>
          <w:szCs w:val="24"/>
        </w:rPr>
      </w:pPr>
      <w:r>
        <w:rPr>
          <w:rFonts w:hint="eastAsia" w:ascii="宋体" w:hAnsi="宋体" w:cs="宋体"/>
          <w:b/>
          <w:bCs/>
          <w:spacing w:val="10"/>
          <w:sz w:val="24"/>
          <w:szCs w:val="24"/>
        </w:rPr>
        <w:t>法定代表人：</w:t>
      </w:r>
    </w:p>
    <w:p>
      <w:pPr>
        <w:widowControl/>
        <w:spacing w:line="480" w:lineRule="auto"/>
        <w:ind w:left="4849" w:leftChars="2309" w:right="46" w:firstLine="479" w:firstLineChars="199"/>
        <w:rPr>
          <w:rFonts w:ascii="宋体"/>
          <w:b/>
          <w:bCs/>
          <w:spacing w:val="10"/>
          <w:sz w:val="24"/>
          <w:szCs w:val="24"/>
        </w:rPr>
      </w:pPr>
      <w:r>
        <w:rPr>
          <w:rFonts w:hint="eastAsia" w:ascii="Tahoma" w:hAnsi="Tahoma" w:cs="宋体"/>
          <w:b/>
          <w:bCs/>
          <w:kern w:val="0"/>
          <w:sz w:val="24"/>
          <w:szCs w:val="24"/>
        </w:rPr>
        <w:t>二〇二一年七月三十日</w:t>
      </w:r>
      <w:bookmarkStart w:id="3" w:name="_Toc12177"/>
      <w:bookmarkStart w:id="4" w:name="_Toc319660472"/>
    </w:p>
    <w:p>
      <w:pPr>
        <w:widowControl/>
        <w:spacing w:line="480" w:lineRule="auto"/>
        <w:ind w:right="46"/>
        <w:rPr>
          <w:rFonts w:ascii="宋体"/>
          <w:b/>
          <w:bCs/>
          <w:sz w:val="24"/>
          <w:szCs w:val="24"/>
        </w:rPr>
      </w:pPr>
    </w:p>
    <w:p>
      <w:pPr>
        <w:widowControl/>
        <w:spacing w:line="480" w:lineRule="auto"/>
        <w:ind w:right="46"/>
        <w:rPr>
          <w:rFonts w:ascii="宋体"/>
          <w:b/>
          <w:bCs/>
          <w:sz w:val="24"/>
          <w:szCs w:val="24"/>
        </w:rPr>
      </w:pPr>
    </w:p>
    <w:p>
      <w:pPr>
        <w:widowControl/>
        <w:spacing w:line="480" w:lineRule="auto"/>
        <w:ind w:right="46"/>
        <w:rPr>
          <w:rFonts w:ascii="宋体"/>
          <w:b/>
          <w:bCs/>
          <w:sz w:val="24"/>
          <w:szCs w:val="24"/>
        </w:rPr>
      </w:pPr>
    </w:p>
    <w:p>
      <w:pPr>
        <w:widowControl/>
        <w:spacing w:line="480" w:lineRule="auto"/>
        <w:ind w:right="46"/>
        <w:rPr>
          <w:rFonts w:ascii="宋体"/>
          <w:b/>
          <w:bCs/>
          <w:sz w:val="24"/>
          <w:szCs w:val="24"/>
        </w:rPr>
      </w:pPr>
    </w:p>
    <w:p>
      <w:pPr>
        <w:pStyle w:val="75"/>
        <w:spacing w:before="0" w:line="360" w:lineRule="auto"/>
        <w:jc w:val="center"/>
        <w:rPr>
          <w:rFonts w:cs="Times New Roman"/>
          <w:color w:val="auto"/>
        </w:rPr>
      </w:pPr>
      <w:r>
        <w:rPr>
          <w:rFonts w:hint="eastAsia" w:ascii="黑体" w:hAnsi="黑体" w:eastAsia="黑体" w:cs="黑体"/>
          <w:color w:val="auto"/>
          <w:sz w:val="32"/>
          <w:szCs w:val="32"/>
          <w:lang w:val="zh-CN"/>
        </w:rPr>
        <w:t>目录</w:t>
      </w:r>
    </w:p>
    <w:p>
      <w:pPr>
        <w:widowControl/>
        <w:numPr>
          <w:ilvl w:val="0"/>
          <w:numId w:val="3"/>
        </w:numPr>
        <w:tabs>
          <w:tab w:val="left" w:pos="3150"/>
          <w:tab w:val="center" w:pos="3713"/>
          <w:tab w:val="left" w:pos="4935"/>
          <w:tab w:val="right" w:leader="dot" w:pos="8400"/>
        </w:tabs>
        <w:spacing w:line="360" w:lineRule="auto"/>
        <w:rPr>
          <w:rFonts w:ascii="宋体"/>
          <w:sz w:val="24"/>
          <w:szCs w:val="24"/>
        </w:rPr>
      </w:pPr>
      <w:r>
        <w:rPr>
          <w:rFonts w:hint="eastAsia" w:ascii="宋体" w:hAnsi="宋体" w:cs="宋体"/>
          <w:sz w:val="24"/>
          <w:szCs w:val="24"/>
        </w:rPr>
        <w:t>估价师声明</w:t>
      </w:r>
      <w:r>
        <w:rPr>
          <w:rFonts w:ascii="宋体" w:hAnsi="宋体" w:cs="宋体"/>
          <w:sz w:val="24"/>
          <w:szCs w:val="24"/>
        </w:rPr>
        <w:t>....................................................</w:t>
      </w:r>
      <w:r>
        <w:rPr>
          <w:rFonts w:hint="eastAsia" w:ascii="宋体" w:hAnsi="宋体" w:cs="宋体"/>
          <w:sz w:val="24"/>
          <w:szCs w:val="24"/>
        </w:rPr>
        <w:t>4</w:t>
      </w:r>
    </w:p>
    <w:p>
      <w:pPr>
        <w:widowControl/>
        <w:numPr>
          <w:ilvl w:val="0"/>
          <w:numId w:val="3"/>
        </w:numPr>
        <w:tabs>
          <w:tab w:val="left" w:pos="3150"/>
          <w:tab w:val="center" w:pos="3713"/>
          <w:tab w:val="left" w:pos="4935"/>
          <w:tab w:val="right" w:leader="dot" w:pos="8400"/>
        </w:tabs>
        <w:spacing w:line="360" w:lineRule="auto"/>
        <w:rPr>
          <w:rFonts w:ascii="宋体"/>
          <w:sz w:val="24"/>
          <w:szCs w:val="24"/>
        </w:rPr>
      </w:pPr>
      <w:r>
        <w:rPr>
          <w:rFonts w:hint="eastAsia" w:ascii="宋体" w:hAnsi="宋体" w:cs="宋体"/>
          <w:sz w:val="24"/>
          <w:szCs w:val="24"/>
        </w:rPr>
        <w:t>估价假设和限制条件</w:t>
      </w:r>
      <w:r>
        <w:rPr>
          <w:rFonts w:ascii="宋体" w:hAnsi="宋体" w:cs="宋体"/>
          <w:sz w:val="24"/>
          <w:szCs w:val="24"/>
        </w:rPr>
        <w:t>............................................</w:t>
      </w:r>
      <w:r>
        <w:rPr>
          <w:rFonts w:hint="eastAsia" w:ascii="宋体" w:hAnsi="宋体" w:cs="宋体"/>
          <w:sz w:val="24"/>
          <w:szCs w:val="24"/>
        </w:rPr>
        <w:t>5</w:t>
      </w:r>
    </w:p>
    <w:p>
      <w:pPr>
        <w:widowControl/>
        <w:numPr>
          <w:ilvl w:val="0"/>
          <w:numId w:val="3"/>
        </w:numPr>
        <w:tabs>
          <w:tab w:val="left" w:pos="3150"/>
          <w:tab w:val="center" w:pos="3713"/>
          <w:tab w:val="left" w:pos="4935"/>
          <w:tab w:val="right" w:leader="dot" w:pos="8400"/>
        </w:tabs>
        <w:spacing w:line="360" w:lineRule="auto"/>
        <w:rPr>
          <w:rFonts w:ascii="宋体"/>
          <w:sz w:val="24"/>
          <w:szCs w:val="24"/>
        </w:rPr>
      </w:pPr>
      <w:r>
        <w:rPr>
          <w:rFonts w:hint="eastAsia" w:ascii="宋体" w:hAnsi="宋体" w:cs="宋体"/>
          <w:sz w:val="24"/>
          <w:szCs w:val="24"/>
        </w:rPr>
        <w:t>估价结果报告</w:t>
      </w:r>
      <w:r>
        <w:rPr>
          <w:rFonts w:ascii="宋体" w:hAnsi="宋体" w:cs="宋体"/>
          <w:sz w:val="24"/>
          <w:szCs w:val="24"/>
        </w:rPr>
        <w:t>..................................................</w:t>
      </w:r>
      <w:r>
        <w:rPr>
          <w:rFonts w:hint="eastAsia" w:ascii="宋体" w:hAnsi="宋体" w:cs="宋体"/>
          <w:sz w:val="24"/>
          <w:szCs w:val="24"/>
        </w:rPr>
        <w:t>8</w:t>
      </w:r>
    </w:p>
    <w:p>
      <w:pPr>
        <w:widowControl/>
        <w:tabs>
          <w:tab w:val="left" w:pos="3150"/>
          <w:tab w:val="center" w:pos="3713"/>
          <w:tab w:val="left" w:pos="4935"/>
          <w:tab w:val="right" w:leader="dot" w:pos="8400"/>
        </w:tabs>
        <w:spacing w:line="360" w:lineRule="auto"/>
        <w:rPr>
          <w:rFonts w:ascii="宋体"/>
          <w:sz w:val="24"/>
          <w:szCs w:val="24"/>
        </w:rPr>
      </w:pPr>
      <w:r>
        <w:rPr>
          <w:rFonts w:ascii="宋体" w:hAnsi="宋体" w:cs="宋体"/>
          <w:sz w:val="24"/>
          <w:szCs w:val="24"/>
        </w:rPr>
        <w:t xml:space="preserve">     1.</w:t>
      </w:r>
      <w:r>
        <w:rPr>
          <w:rFonts w:hint="eastAsia" w:ascii="宋体" w:hAnsi="宋体" w:cs="宋体"/>
          <w:sz w:val="24"/>
          <w:szCs w:val="24"/>
        </w:rPr>
        <w:t>估价委托人</w:t>
      </w:r>
      <w:r>
        <w:rPr>
          <w:rFonts w:ascii="宋体" w:hAnsi="宋体" w:cs="宋体"/>
          <w:sz w:val="24"/>
          <w:szCs w:val="24"/>
        </w:rPr>
        <w:t>.................................................</w:t>
      </w:r>
      <w:r>
        <w:rPr>
          <w:rFonts w:hint="eastAsia" w:ascii="宋体" w:hAnsi="宋体" w:cs="宋体"/>
          <w:sz w:val="24"/>
          <w:szCs w:val="24"/>
        </w:rPr>
        <w:t>8</w:t>
      </w:r>
    </w:p>
    <w:p>
      <w:pPr>
        <w:widowControl/>
        <w:tabs>
          <w:tab w:val="left" w:pos="3150"/>
          <w:tab w:val="center" w:pos="3713"/>
          <w:tab w:val="left" w:pos="4935"/>
          <w:tab w:val="right" w:leader="dot" w:pos="8400"/>
        </w:tabs>
        <w:spacing w:line="360" w:lineRule="auto"/>
        <w:rPr>
          <w:rFonts w:ascii="宋体"/>
          <w:sz w:val="24"/>
          <w:szCs w:val="24"/>
        </w:rPr>
      </w:pPr>
      <w:r>
        <w:rPr>
          <w:rFonts w:ascii="宋体" w:hAnsi="宋体" w:cs="宋体"/>
          <w:sz w:val="24"/>
          <w:szCs w:val="24"/>
        </w:rPr>
        <w:t xml:space="preserve">     2.</w:t>
      </w:r>
      <w:r>
        <w:rPr>
          <w:rFonts w:hint="eastAsia" w:ascii="宋体" w:hAnsi="宋体" w:cs="宋体"/>
          <w:sz w:val="24"/>
          <w:szCs w:val="24"/>
        </w:rPr>
        <w:t>房地产估价机构</w:t>
      </w:r>
      <w:r>
        <w:rPr>
          <w:rFonts w:ascii="宋体" w:hAnsi="宋体" w:cs="宋体"/>
          <w:sz w:val="24"/>
          <w:szCs w:val="24"/>
        </w:rPr>
        <w:t>.............................................</w:t>
      </w:r>
      <w:r>
        <w:rPr>
          <w:rFonts w:hint="eastAsia" w:ascii="宋体" w:hAnsi="宋体" w:cs="宋体"/>
          <w:sz w:val="24"/>
          <w:szCs w:val="24"/>
        </w:rPr>
        <w:t>8</w:t>
      </w:r>
    </w:p>
    <w:p>
      <w:pPr>
        <w:widowControl/>
        <w:tabs>
          <w:tab w:val="left" w:pos="3150"/>
          <w:tab w:val="center" w:pos="3713"/>
          <w:tab w:val="left" w:pos="4935"/>
          <w:tab w:val="right" w:leader="dot" w:pos="8400"/>
        </w:tabs>
        <w:spacing w:line="360" w:lineRule="auto"/>
        <w:rPr>
          <w:rFonts w:ascii="宋体"/>
          <w:sz w:val="24"/>
          <w:szCs w:val="24"/>
        </w:rPr>
      </w:pPr>
      <w:r>
        <w:rPr>
          <w:rFonts w:ascii="宋体" w:hAnsi="宋体" w:cs="宋体"/>
          <w:sz w:val="24"/>
          <w:szCs w:val="24"/>
        </w:rPr>
        <w:t xml:space="preserve">     3.</w:t>
      </w:r>
      <w:r>
        <w:rPr>
          <w:rFonts w:hint="eastAsia" w:ascii="宋体" w:hAnsi="宋体" w:cs="宋体"/>
          <w:sz w:val="24"/>
          <w:szCs w:val="24"/>
        </w:rPr>
        <w:t>估价目的</w:t>
      </w:r>
      <w:r>
        <w:rPr>
          <w:rFonts w:ascii="宋体" w:hAnsi="宋体" w:cs="宋体"/>
          <w:sz w:val="24"/>
          <w:szCs w:val="24"/>
        </w:rPr>
        <w:t>...................................................</w:t>
      </w:r>
      <w:r>
        <w:rPr>
          <w:rFonts w:hint="eastAsia" w:ascii="宋体" w:hAnsi="宋体" w:cs="宋体"/>
          <w:sz w:val="24"/>
          <w:szCs w:val="24"/>
        </w:rPr>
        <w:t>8</w:t>
      </w:r>
    </w:p>
    <w:p>
      <w:pPr>
        <w:widowControl/>
        <w:tabs>
          <w:tab w:val="left" w:pos="3150"/>
          <w:tab w:val="center" w:pos="3713"/>
          <w:tab w:val="left" w:pos="4935"/>
          <w:tab w:val="right" w:leader="dot" w:pos="8400"/>
        </w:tabs>
        <w:spacing w:line="360" w:lineRule="auto"/>
        <w:rPr>
          <w:rFonts w:ascii="宋体"/>
          <w:sz w:val="24"/>
          <w:szCs w:val="24"/>
        </w:rPr>
      </w:pPr>
      <w:r>
        <w:rPr>
          <w:rFonts w:ascii="宋体" w:hAnsi="宋体" w:cs="宋体"/>
          <w:sz w:val="24"/>
          <w:szCs w:val="24"/>
        </w:rPr>
        <w:t xml:space="preserve">     4.</w:t>
      </w:r>
      <w:r>
        <w:rPr>
          <w:rFonts w:hint="eastAsia" w:ascii="宋体" w:hAnsi="宋体" w:cs="宋体"/>
          <w:sz w:val="24"/>
          <w:szCs w:val="24"/>
        </w:rPr>
        <w:t>估价对象</w:t>
      </w:r>
      <w:r>
        <w:rPr>
          <w:rFonts w:ascii="宋体" w:cs="宋体"/>
          <w:sz w:val="24"/>
          <w:szCs w:val="24"/>
        </w:rPr>
        <w:t>.....</w:t>
      </w:r>
      <w:r>
        <w:rPr>
          <w:rFonts w:ascii="宋体" w:hAnsi="宋体" w:cs="宋体"/>
          <w:sz w:val="24"/>
          <w:szCs w:val="24"/>
        </w:rPr>
        <w:t>..............................................</w:t>
      </w:r>
      <w:r>
        <w:rPr>
          <w:rFonts w:hint="eastAsia" w:ascii="宋体" w:hAnsi="宋体" w:cs="宋体"/>
          <w:sz w:val="24"/>
          <w:szCs w:val="24"/>
        </w:rPr>
        <w:t>8</w:t>
      </w:r>
    </w:p>
    <w:p>
      <w:pPr>
        <w:widowControl/>
        <w:tabs>
          <w:tab w:val="left" w:pos="3150"/>
          <w:tab w:val="center" w:pos="3713"/>
          <w:tab w:val="left" w:pos="4935"/>
          <w:tab w:val="right" w:leader="dot" w:pos="8400"/>
        </w:tabs>
        <w:spacing w:line="360" w:lineRule="auto"/>
        <w:rPr>
          <w:rFonts w:hint="eastAsia" w:ascii="宋体" w:eastAsia="宋体"/>
          <w:sz w:val="24"/>
          <w:szCs w:val="24"/>
          <w:lang w:eastAsia="zh-CN"/>
        </w:rPr>
      </w:pPr>
      <w:r>
        <w:rPr>
          <w:rFonts w:ascii="宋体" w:hAnsi="宋体" w:cs="宋体"/>
          <w:sz w:val="24"/>
          <w:szCs w:val="24"/>
        </w:rPr>
        <w:t xml:space="preserve">     5.</w:t>
      </w:r>
      <w:r>
        <w:rPr>
          <w:rFonts w:hint="eastAsia" w:ascii="宋体" w:hAnsi="宋体" w:cs="宋体"/>
          <w:sz w:val="24"/>
          <w:szCs w:val="24"/>
        </w:rPr>
        <w:t>价值时点</w:t>
      </w:r>
      <w:r>
        <w:rPr>
          <w:rFonts w:ascii="宋体" w:hAnsi="宋体" w:cs="宋体"/>
          <w:sz w:val="24"/>
          <w:szCs w:val="24"/>
        </w:rPr>
        <w:t>..................................................</w:t>
      </w:r>
      <w:r>
        <w:rPr>
          <w:rFonts w:hint="eastAsia" w:ascii="宋体" w:hAnsi="宋体" w:cs="宋体"/>
          <w:sz w:val="24"/>
          <w:szCs w:val="24"/>
        </w:rPr>
        <w:t>1</w:t>
      </w:r>
      <w:r>
        <w:rPr>
          <w:rFonts w:hint="eastAsia" w:ascii="宋体" w:hAnsi="宋体" w:cs="宋体"/>
          <w:sz w:val="24"/>
          <w:szCs w:val="24"/>
          <w:lang w:val="en-US" w:eastAsia="zh-CN"/>
        </w:rPr>
        <w:t>0</w:t>
      </w:r>
    </w:p>
    <w:p>
      <w:pPr>
        <w:widowControl/>
        <w:tabs>
          <w:tab w:val="left" w:pos="3150"/>
          <w:tab w:val="center" w:pos="3713"/>
          <w:tab w:val="left" w:pos="4935"/>
          <w:tab w:val="right" w:leader="dot" w:pos="8400"/>
        </w:tabs>
        <w:spacing w:line="360" w:lineRule="auto"/>
        <w:rPr>
          <w:rFonts w:hint="eastAsia" w:ascii="宋体" w:eastAsia="宋体"/>
          <w:sz w:val="24"/>
          <w:szCs w:val="24"/>
          <w:lang w:eastAsia="zh-CN"/>
        </w:rPr>
      </w:pPr>
      <w:r>
        <w:rPr>
          <w:rFonts w:ascii="宋体" w:hAnsi="宋体" w:cs="宋体"/>
          <w:sz w:val="24"/>
          <w:szCs w:val="24"/>
        </w:rPr>
        <w:t xml:space="preserve">     6.</w:t>
      </w:r>
      <w:r>
        <w:rPr>
          <w:rFonts w:hint="eastAsia" w:ascii="宋体" w:hAnsi="宋体" w:cs="宋体"/>
          <w:sz w:val="24"/>
          <w:szCs w:val="24"/>
        </w:rPr>
        <w:t>价值类型</w:t>
      </w:r>
      <w:r>
        <w:rPr>
          <w:rFonts w:ascii="宋体" w:hAnsi="宋体" w:cs="宋体"/>
          <w:sz w:val="24"/>
          <w:szCs w:val="24"/>
        </w:rPr>
        <w:t>..................................................</w:t>
      </w:r>
      <w:r>
        <w:rPr>
          <w:rFonts w:hint="eastAsia" w:ascii="宋体" w:hAnsi="宋体" w:cs="宋体"/>
          <w:sz w:val="24"/>
          <w:szCs w:val="24"/>
        </w:rPr>
        <w:t>1</w:t>
      </w:r>
      <w:r>
        <w:rPr>
          <w:rFonts w:hint="eastAsia" w:ascii="宋体" w:hAnsi="宋体" w:cs="宋体"/>
          <w:sz w:val="24"/>
          <w:szCs w:val="24"/>
          <w:lang w:val="en-US" w:eastAsia="zh-CN"/>
        </w:rPr>
        <w:t>0</w:t>
      </w:r>
    </w:p>
    <w:p>
      <w:pPr>
        <w:widowControl/>
        <w:tabs>
          <w:tab w:val="left" w:pos="3150"/>
          <w:tab w:val="center" w:pos="3713"/>
          <w:tab w:val="left" w:pos="4935"/>
          <w:tab w:val="right" w:leader="dot" w:pos="8400"/>
        </w:tabs>
        <w:spacing w:line="360" w:lineRule="auto"/>
        <w:rPr>
          <w:rFonts w:hint="eastAsia" w:ascii="宋体" w:eastAsia="宋体"/>
          <w:sz w:val="24"/>
          <w:szCs w:val="24"/>
          <w:lang w:eastAsia="zh-CN"/>
        </w:rPr>
      </w:pPr>
      <w:r>
        <w:rPr>
          <w:rFonts w:ascii="宋体" w:hAnsi="宋体" w:cs="宋体"/>
          <w:sz w:val="24"/>
          <w:szCs w:val="24"/>
        </w:rPr>
        <w:t xml:space="preserve">     7.</w:t>
      </w:r>
      <w:r>
        <w:rPr>
          <w:rFonts w:hint="eastAsia" w:ascii="宋体" w:hAnsi="宋体" w:cs="宋体"/>
          <w:sz w:val="24"/>
          <w:szCs w:val="24"/>
        </w:rPr>
        <w:t>估价原则</w:t>
      </w:r>
      <w:r>
        <w:rPr>
          <w:rFonts w:ascii="宋体" w:hAnsi="宋体" w:cs="宋体"/>
          <w:sz w:val="24"/>
          <w:szCs w:val="24"/>
        </w:rPr>
        <w:t>..................................................</w:t>
      </w:r>
      <w:r>
        <w:rPr>
          <w:rFonts w:hint="eastAsia" w:ascii="宋体" w:hAnsi="宋体" w:cs="宋体"/>
          <w:sz w:val="24"/>
          <w:szCs w:val="24"/>
        </w:rPr>
        <w:t>1</w:t>
      </w:r>
      <w:r>
        <w:rPr>
          <w:rFonts w:hint="eastAsia" w:ascii="宋体" w:hAnsi="宋体" w:cs="宋体"/>
          <w:sz w:val="24"/>
          <w:szCs w:val="24"/>
          <w:lang w:val="en-US" w:eastAsia="zh-CN"/>
        </w:rPr>
        <w:t>0</w:t>
      </w:r>
    </w:p>
    <w:p>
      <w:pPr>
        <w:widowControl/>
        <w:tabs>
          <w:tab w:val="left" w:pos="3150"/>
          <w:tab w:val="center" w:pos="3713"/>
          <w:tab w:val="left" w:pos="4935"/>
          <w:tab w:val="right" w:leader="dot" w:pos="8400"/>
        </w:tabs>
        <w:spacing w:line="360" w:lineRule="auto"/>
        <w:rPr>
          <w:rFonts w:ascii="宋体"/>
          <w:sz w:val="24"/>
          <w:szCs w:val="24"/>
        </w:rPr>
      </w:pPr>
      <w:r>
        <w:rPr>
          <w:rFonts w:ascii="宋体" w:hAnsi="宋体" w:cs="宋体"/>
          <w:sz w:val="24"/>
          <w:szCs w:val="24"/>
        </w:rPr>
        <w:t xml:space="preserve">     8.</w:t>
      </w:r>
      <w:r>
        <w:rPr>
          <w:rFonts w:hint="eastAsia" w:ascii="宋体" w:hAnsi="宋体" w:cs="宋体"/>
          <w:sz w:val="24"/>
          <w:szCs w:val="24"/>
        </w:rPr>
        <w:t>估价依据</w:t>
      </w:r>
      <w:r>
        <w:rPr>
          <w:rFonts w:ascii="宋体" w:cs="宋体"/>
          <w:sz w:val="24"/>
          <w:szCs w:val="24"/>
        </w:rPr>
        <w:t>.....</w:t>
      </w:r>
      <w:r>
        <w:rPr>
          <w:rFonts w:ascii="宋体" w:hAnsi="宋体" w:cs="宋体"/>
          <w:sz w:val="24"/>
          <w:szCs w:val="24"/>
        </w:rPr>
        <w:t>.............................................</w:t>
      </w:r>
      <w:r>
        <w:rPr>
          <w:rFonts w:hint="eastAsia" w:ascii="宋体" w:hAnsi="宋体" w:cs="宋体"/>
          <w:sz w:val="24"/>
          <w:szCs w:val="24"/>
        </w:rPr>
        <w:t>11</w:t>
      </w:r>
    </w:p>
    <w:p>
      <w:pPr>
        <w:widowControl/>
        <w:tabs>
          <w:tab w:val="left" w:pos="3150"/>
          <w:tab w:val="center" w:pos="3713"/>
          <w:tab w:val="left" w:pos="4935"/>
          <w:tab w:val="right" w:leader="dot" w:pos="8400"/>
        </w:tabs>
        <w:spacing w:line="360" w:lineRule="auto"/>
        <w:rPr>
          <w:rFonts w:hint="eastAsia" w:ascii="宋体" w:eastAsia="宋体"/>
          <w:sz w:val="24"/>
          <w:szCs w:val="24"/>
          <w:lang w:eastAsia="zh-CN"/>
        </w:rPr>
      </w:pPr>
      <w:r>
        <w:rPr>
          <w:rFonts w:ascii="宋体" w:hAnsi="宋体" w:cs="宋体"/>
          <w:sz w:val="24"/>
          <w:szCs w:val="24"/>
        </w:rPr>
        <w:t xml:space="preserve">     9.</w:t>
      </w:r>
      <w:r>
        <w:rPr>
          <w:rFonts w:hint="eastAsia" w:ascii="宋体" w:hAnsi="宋体" w:cs="宋体"/>
          <w:sz w:val="24"/>
          <w:szCs w:val="24"/>
        </w:rPr>
        <w:t>估价方法</w:t>
      </w:r>
      <w:r>
        <w:rPr>
          <w:rFonts w:ascii="宋体" w:hAnsi="宋体" w:cs="宋体"/>
          <w:sz w:val="24"/>
          <w:szCs w:val="24"/>
        </w:rPr>
        <w:t>..................................................</w:t>
      </w:r>
      <w:r>
        <w:rPr>
          <w:rFonts w:hint="eastAsia" w:ascii="宋体" w:hAnsi="宋体" w:cs="宋体"/>
          <w:sz w:val="24"/>
          <w:szCs w:val="24"/>
        </w:rPr>
        <w:t>1</w:t>
      </w:r>
      <w:r>
        <w:rPr>
          <w:rFonts w:hint="eastAsia" w:ascii="宋体" w:hAnsi="宋体" w:cs="宋体"/>
          <w:sz w:val="24"/>
          <w:szCs w:val="24"/>
          <w:lang w:val="en-US" w:eastAsia="zh-CN"/>
        </w:rPr>
        <w:t>2</w:t>
      </w:r>
    </w:p>
    <w:p>
      <w:pPr>
        <w:widowControl/>
        <w:tabs>
          <w:tab w:val="left" w:pos="3150"/>
          <w:tab w:val="center" w:pos="3713"/>
          <w:tab w:val="left" w:pos="4935"/>
          <w:tab w:val="right" w:leader="dot" w:pos="8400"/>
        </w:tabs>
        <w:spacing w:line="360" w:lineRule="auto"/>
        <w:rPr>
          <w:rFonts w:ascii="宋体"/>
          <w:sz w:val="24"/>
          <w:szCs w:val="24"/>
        </w:rPr>
      </w:pPr>
      <w:r>
        <w:rPr>
          <w:rFonts w:ascii="宋体" w:hAnsi="宋体" w:cs="宋体"/>
          <w:sz w:val="24"/>
          <w:szCs w:val="24"/>
        </w:rPr>
        <w:t xml:space="preserve">     10.</w:t>
      </w:r>
      <w:r>
        <w:rPr>
          <w:rFonts w:hint="eastAsia" w:ascii="宋体" w:hAnsi="宋体" w:cs="宋体"/>
          <w:sz w:val="24"/>
          <w:szCs w:val="24"/>
        </w:rPr>
        <w:t>估价结果</w:t>
      </w:r>
      <w:r>
        <w:rPr>
          <w:rFonts w:ascii="宋体" w:hAnsi="宋体" w:cs="宋体"/>
          <w:sz w:val="24"/>
          <w:szCs w:val="24"/>
        </w:rPr>
        <w:t>.................................................1</w:t>
      </w:r>
      <w:r>
        <w:rPr>
          <w:rFonts w:hint="eastAsia" w:ascii="宋体" w:hAnsi="宋体" w:cs="宋体"/>
          <w:sz w:val="24"/>
          <w:szCs w:val="24"/>
        </w:rPr>
        <w:t>5</w:t>
      </w:r>
    </w:p>
    <w:p>
      <w:pPr>
        <w:widowControl/>
        <w:tabs>
          <w:tab w:val="left" w:pos="3150"/>
          <w:tab w:val="center" w:pos="3713"/>
          <w:tab w:val="left" w:pos="4935"/>
          <w:tab w:val="right" w:leader="dot" w:pos="8400"/>
        </w:tabs>
        <w:spacing w:line="360" w:lineRule="auto"/>
        <w:rPr>
          <w:rFonts w:hint="eastAsia" w:ascii="宋体" w:eastAsia="宋体"/>
          <w:sz w:val="24"/>
          <w:szCs w:val="24"/>
          <w:lang w:eastAsia="zh-CN"/>
        </w:rPr>
      </w:pPr>
      <w:r>
        <w:rPr>
          <w:rFonts w:ascii="宋体" w:hAnsi="宋体" w:cs="宋体"/>
          <w:sz w:val="24"/>
          <w:szCs w:val="24"/>
        </w:rPr>
        <w:t xml:space="preserve">     11.</w:t>
      </w:r>
      <w:r>
        <w:rPr>
          <w:rFonts w:hint="eastAsia" w:ascii="宋体" w:hAnsi="宋体" w:cs="宋体"/>
          <w:sz w:val="24"/>
          <w:szCs w:val="24"/>
        </w:rPr>
        <w:t>注册房地产估价师签字</w:t>
      </w:r>
      <w:r>
        <w:rPr>
          <w:rFonts w:ascii="宋体" w:hAnsi="宋体" w:cs="宋体"/>
          <w:sz w:val="24"/>
          <w:szCs w:val="24"/>
        </w:rPr>
        <w:t>.....................................</w:t>
      </w:r>
      <w:r>
        <w:rPr>
          <w:rFonts w:hint="eastAsia" w:ascii="宋体" w:hAnsi="宋体" w:cs="宋体"/>
          <w:sz w:val="24"/>
          <w:szCs w:val="24"/>
        </w:rPr>
        <w:t>1</w:t>
      </w:r>
      <w:r>
        <w:rPr>
          <w:rFonts w:hint="eastAsia" w:ascii="宋体" w:hAnsi="宋体" w:cs="宋体"/>
          <w:sz w:val="24"/>
          <w:szCs w:val="24"/>
          <w:lang w:val="en-US" w:eastAsia="zh-CN"/>
        </w:rPr>
        <w:t>5</w:t>
      </w:r>
    </w:p>
    <w:p>
      <w:pPr>
        <w:widowControl/>
        <w:tabs>
          <w:tab w:val="left" w:pos="3150"/>
          <w:tab w:val="center" w:pos="3713"/>
          <w:tab w:val="left" w:pos="4935"/>
          <w:tab w:val="right" w:leader="dot" w:pos="8400"/>
        </w:tabs>
        <w:spacing w:line="360" w:lineRule="auto"/>
        <w:rPr>
          <w:rFonts w:hint="eastAsia" w:ascii="宋体" w:eastAsia="宋体"/>
          <w:sz w:val="24"/>
          <w:szCs w:val="24"/>
          <w:lang w:eastAsia="zh-CN"/>
        </w:rPr>
      </w:pPr>
      <w:r>
        <w:rPr>
          <w:rFonts w:ascii="宋体" w:hAnsi="宋体" w:cs="宋体"/>
          <w:sz w:val="24"/>
          <w:szCs w:val="24"/>
        </w:rPr>
        <w:t xml:space="preserve">     12.</w:t>
      </w:r>
      <w:r>
        <w:rPr>
          <w:rFonts w:hint="eastAsia" w:ascii="宋体" w:hAnsi="宋体" w:cs="宋体"/>
          <w:sz w:val="24"/>
          <w:szCs w:val="24"/>
        </w:rPr>
        <w:t>实地勘察期</w:t>
      </w:r>
      <w:r>
        <w:rPr>
          <w:rFonts w:ascii="宋体" w:cs="宋体"/>
          <w:sz w:val="24"/>
          <w:szCs w:val="24"/>
        </w:rPr>
        <w:t>.....</w:t>
      </w:r>
      <w:r>
        <w:rPr>
          <w:rFonts w:ascii="宋体" w:hAnsi="宋体" w:cs="宋体"/>
          <w:sz w:val="24"/>
          <w:szCs w:val="24"/>
        </w:rPr>
        <w:t>..........................................</w:t>
      </w:r>
      <w:r>
        <w:rPr>
          <w:rFonts w:hint="eastAsia" w:ascii="宋体" w:hAnsi="宋体" w:cs="宋体"/>
          <w:sz w:val="24"/>
          <w:szCs w:val="24"/>
        </w:rPr>
        <w:t>1</w:t>
      </w:r>
      <w:r>
        <w:rPr>
          <w:rFonts w:hint="eastAsia" w:ascii="宋体" w:hAnsi="宋体" w:cs="宋体"/>
          <w:sz w:val="24"/>
          <w:szCs w:val="24"/>
          <w:lang w:val="en-US" w:eastAsia="zh-CN"/>
        </w:rPr>
        <w:t>5</w:t>
      </w:r>
    </w:p>
    <w:p>
      <w:pPr>
        <w:widowControl/>
        <w:tabs>
          <w:tab w:val="left" w:pos="3150"/>
          <w:tab w:val="center" w:pos="3713"/>
          <w:tab w:val="left" w:pos="4935"/>
          <w:tab w:val="right" w:leader="dot" w:pos="8400"/>
        </w:tabs>
        <w:spacing w:line="360" w:lineRule="auto"/>
        <w:rPr>
          <w:rFonts w:hint="eastAsia" w:ascii="宋体" w:eastAsia="宋体"/>
          <w:sz w:val="24"/>
          <w:szCs w:val="24"/>
          <w:lang w:eastAsia="zh-CN"/>
        </w:rPr>
      </w:pPr>
      <w:r>
        <w:rPr>
          <w:rFonts w:ascii="宋体" w:hAnsi="宋体" w:cs="宋体"/>
          <w:sz w:val="24"/>
          <w:szCs w:val="24"/>
        </w:rPr>
        <w:t xml:space="preserve">     13.</w:t>
      </w:r>
      <w:r>
        <w:rPr>
          <w:rFonts w:hint="eastAsia" w:ascii="宋体" w:hAnsi="宋体" w:cs="宋体"/>
          <w:sz w:val="24"/>
          <w:szCs w:val="24"/>
        </w:rPr>
        <w:t>估价作业期</w:t>
      </w:r>
      <w:r>
        <w:rPr>
          <w:rFonts w:ascii="宋体" w:hAnsi="宋体" w:cs="宋体"/>
          <w:sz w:val="24"/>
          <w:szCs w:val="24"/>
        </w:rPr>
        <w:t>...............................................</w:t>
      </w:r>
      <w:r>
        <w:rPr>
          <w:rFonts w:hint="eastAsia" w:ascii="宋体" w:hAnsi="宋体" w:cs="宋体"/>
          <w:sz w:val="24"/>
          <w:szCs w:val="24"/>
        </w:rPr>
        <w:t>1</w:t>
      </w:r>
      <w:r>
        <w:rPr>
          <w:rFonts w:hint="eastAsia" w:ascii="宋体" w:hAnsi="宋体" w:cs="宋体"/>
          <w:sz w:val="24"/>
          <w:szCs w:val="24"/>
          <w:lang w:val="en-US" w:eastAsia="zh-CN"/>
        </w:rPr>
        <w:t>5</w:t>
      </w:r>
    </w:p>
    <w:p>
      <w:pPr>
        <w:widowControl/>
        <w:numPr>
          <w:ilvl w:val="0"/>
          <w:numId w:val="3"/>
        </w:numPr>
        <w:tabs>
          <w:tab w:val="left" w:pos="3150"/>
          <w:tab w:val="center" w:pos="3713"/>
          <w:tab w:val="left" w:pos="4935"/>
          <w:tab w:val="right" w:leader="dot" w:pos="8400"/>
        </w:tabs>
        <w:spacing w:line="360" w:lineRule="auto"/>
        <w:rPr>
          <w:rFonts w:ascii="宋体"/>
          <w:sz w:val="24"/>
          <w:szCs w:val="24"/>
        </w:rPr>
      </w:pPr>
      <w:r>
        <w:rPr>
          <w:rFonts w:hint="eastAsia" w:ascii="宋体" w:hAnsi="宋体" w:cs="宋体"/>
          <w:sz w:val="24"/>
          <w:szCs w:val="24"/>
        </w:rPr>
        <w:t>附件</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1</w:t>
      </w:r>
      <w:r>
        <w:rPr>
          <w:rFonts w:hint="eastAsia" w:ascii="宋体" w:hAnsi="宋体" w:cs="宋体"/>
          <w:sz w:val="24"/>
          <w:szCs w:val="24"/>
          <w:lang w:val="en-US" w:eastAsia="zh-CN"/>
        </w:rPr>
        <w:t>6</w:t>
      </w:r>
    </w:p>
    <w:p>
      <w:pPr>
        <w:widowControl/>
        <w:tabs>
          <w:tab w:val="left" w:pos="3150"/>
          <w:tab w:val="center" w:pos="3713"/>
          <w:tab w:val="left" w:pos="4935"/>
          <w:tab w:val="right" w:leader="dot" w:pos="8400"/>
        </w:tabs>
        <w:spacing w:line="360" w:lineRule="auto"/>
        <w:rPr>
          <w:rFonts w:ascii="宋体"/>
          <w:sz w:val="24"/>
          <w:szCs w:val="24"/>
        </w:rPr>
      </w:pPr>
    </w:p>
    <w:p>
      <w:pPr>
        <w:widowControl/>
        <w:tabs>
          <w:tab w:val="left" w:pos="3150"/>
          <w:tab w:val="center" w:pos="3713"/>
          <w:tab w:val="left" w:pos="4935"/>
          <w:tab w:val="right" w:leader="dot" w:pos="8400"/>
        </w:tabs>
        <w:spacing w:line="360" w:lineRule="auto"/>
        <w:rPr>
          <w:rFonts w:ascii="宋体"/>
          <w:sz w:val="24"/>
          <w:szCs w:val="24"/>
        </w:rPr>
      </w:pPr>
    </w:p>
    <w:p>
      <w:pPr>
        <w:widowControl/>
        <w:tabs>
          <w:tab w:val="left" w:pos="3150"/>
          <w:tab w:val="center" w:pos="3713"/>
          <w:tab w:val="left" w:pos="4935"/>
          <w:tab w:val="right" w:leader="dot" w:pos="8400"/>
        </w:tabs>
        <w:spacing w:line="360" w:lineRule="auto"/>
        <w:rPr>
          <w:rFonts w:ascii="宋体"/>
          <w:sz w:val="24"/>
          <w:szCs w:val="24"/>
        </w:rPr>
      </w:pPr>
    </w:p>
    <w:p>
      <w:pPr>
        <w:widowControl/>
        <w:tabs>
          <w:tab w:val="left" w:pos="3150"/>
          <w:tab w:val="center" w:pos="3713"/>
          <w:tab w:val="left" w:pos="4935"/>
          <w:tab w:val="right" w:leader="dot" w:pos="8400"/>
        </w:tabs>
        <w:spacing w:line="360" w:lineRule="auto"/>
        <w:rPr>
          <w:rFonts w:ascii="宋体"/>
          <w:sz w:val="24"/>
          <w:szCs w:val="24"/>
        </w:rPr>
      </w:pPr>
    </w:p>
    <w:p>
      <w:pPr>
        <w:widowControl/>
        <w:tabs>
          <w:tab w:val="left" w:pos="3150"/>
          <w:tab w:val="center" w:pos="3713"/>
          <w:tab w:val="left" w:pos="4935"/>
          <w:tab w:val="right" w:leader="dot" w:pos="8400"/>
        </w:tabs>
        <w:spacing w:line="360" w:lineRule="auto"/>
        <w:rPr>
          <w:rFonts w:hint="eastAsia" w:ascii="宋体"/>
          <w:sz w:val="24"/>
          <w:szCs w:val="24"/>
        </w:rPr>
      </w:pPr>
    </w:p>
    <w:p>
      <w:pPr>
        <w:widowControl/>
        <w:tabs>
          <w:tab w:val="left" w:pos="3150"/>
          <w:tab w:val="center" w:pos="3713"/>
          <w:tab w:val="left" w:pos="4935"/>
          <w:tab w:val="right" w:leader="dot" w:pos="8400"/>
        </w:tabs>
        <w:spacing w:line="360" w:lineRule="auto"/>
        <w:rPr>
          <w:rFonts w:hint="eastAsia" w:ascii="宋体"/>
          <w:sz w:val="24"/>
          <w:szCs w:val="24"/>
        </w:rPr>
      </w:pPr>
    </w:p>
    <w:p>
      <w:pPr>
        <w:widowControl/>
        <w:tabs>
          <w:tab w:val="left" w:pos="3150"/>
          <w:tab w:val="center" w:pos="3713"/>
          <w:tab w:val="left" w:pos="4935"/>
          <w:tab w:val="right" w:leader="dot" w:pos="8400"/>
        </w:tabs>
        <w:spacing w:line="360" w:lineRule="auto"/>
        <w:rPr>
          <w:rFonts w:hint="eastAsia" w:ascii="宋体"/>
          <w:sz w:val="24"/>
          <w:szCs w:val="24"/>
        </w:rPr>
      </w:pPr>
    </w:p>
    <w:p>
      <w:pPr>
        <w:widowControl/>
        <w:tabs>
          <w:tab w:val="left" w:pos="3150"/>
          <w:tab w:val="center" w:pos="3713"/>
          <w:tab w:val="left" w:pos="4935"/>
          <w:tab w:val="right" w:leader="dot" w:pos="8400"/>
        </w:tabs>
        <w:spacing w:line="360" w:lineRule="auto"/>
        <w:rPr>
          <w:rFonts w:hint="eastAsia" w:ascii="宋体"/>
          <w:sz w:val="24"/>
          <w:szCs w:val="24"/>
        </w:rPr>
      </w:pPr>
    </w:p>
    <w:p>
      <w:pPr>
        <w:widowControl/>
        <w:tabs>
          <w:tab w:val="left" w:pos="3150"/>
          <w:tab w:val="center" w:pos="3713"/>
          <w:tab w:val="left" w:pos="4935"/>
          <w:tab w:val="right" w:leader="dot" w:pos="8400"/>
        </w:tabs>
        <w:spacing w:line="360" w:lineRule="auto"/>
        <w:rPr>
          <w:rFonts w:ascii="宋体"/>
          <w:sz w:val="24"/>
          <w:szCs w:val="24"/>
        </w:rPr>
      </w:pPr>
    </w:p>
    <w:p>
      <w:pPr>
        <w:pStyle w:val="2"/>
        <w:spacing w:line="360" w:lineRule="auto"/>
        <w:rPr>
          <w:rFonts w:ascii="宋体" w:hAnsi="宋体" w:eastAsia="宋体" w:cs="Times New Roman"/>
          <w:b/>
          <w:bCs/>
          <w:color w:val="000000"/>
        </w:rPr>
      </w:pPr>
      <w:r>
        <w:rPr>
          <w:rFonts w:hint="eastAsia" w:ascii="宋体" w:hAnsi="宋体" w:eastAsia="宋体" w:cs="宋体"/>
          <w:b/>
          <w:bCs/>
          <w:color w:val="000000"/>
        </w:rPr>
        <w:t>估价师声明</w:t>
      </w:r>
      <w:bookmarkEnd w:id="3"/>
      <w:bookmarkEnd w:id="4"/>
    </w:p>
    <w:p>
      <w:pPr>
        <w:widowControl/>
        <w:spacing w:line="360" w:lineRule="auto"/>
        <w:rPr>
          <w:rFonts w:ascii="宋体"/>
          <w:b/>
          <w:bCs/>
          <w:color w:val="000000"/>
          <w:spacing w:val="10"/>
          <w:sz w:val="24"/>
          <w:szCs w:val="24"/>
        </w:rPr>
      </w:pPr>
      <w:r>
        <w:rPr>
          <w:rFonts w:hint="eastAsia" w:ascii="宋体" w:hAnsi="宋体" w:cs="宋体"/>
          <w:b/>
          <w:bCs/>
          <w:color w:val="000000"/>
          <w:spacing w:val="10"/>
          <w:sz w:val="24"/>
          <w:szCs w:val="24"/>
        </w:rPr>
        <w:t>我们郑重声明：</w:t>
      </w:r>
    </w:p>
    <w:p>
      <w:pPr>
        <w:widowControl/>
        <w:numPr>
          <w:ilvl w:val="1"/>
          <w:numId w:val="4"/>
        </w:numPr>
        <w:tabs>
          <w:tab w:val="left" w:pos="945"/>
          <w:tab w:val="left" w:pos="5949"/>
        </w:tabs>
        <w:spacing w:line="360" w:lineRule="auto"/>
        <w:ind w:left="0" w:firstLine="525"/>
        <w:rPr>
          <w:rFonts w:ascii="宋体"/>
          <w:color w:val="000000"/>
          <w:spacing w:val="10"/>
          <w:sz w:val="24"/>
          <w:szCs w:val="24"/>
        </w:rPr>
      </w:pPr>
      <w:r>
        <w:rPr>
          <w:rFonts w:hint="eastAsia" w:ascii="宋体" w:hAnsi="宋体" w:cs="宋体"/>
          <w:color w:val="000000"/>
          <w:spacing w:val="10"/>
          <w:sz w:val="24"/>
          <w:szCs w:val="24"/>
        </w:rPr>
        <w:t>注册房地产估价师在估价报告中对事实的说明是真实和准确的，没有虚假记载、误导性陈述和重大遗漏；</w:t>
      </w:r>
    </w:p>
    <w:p>
      <w:pPr>
        <w:widowControl/>
        <w:numPr>
          <w:ilvl w:val="1"/>
          <w:numId w:val="4"/>
        </w:numPr>
        <w:tabs>
          <w:tab w:val="left" w:pos="945"/>
          <w:tab w:val="left" w:pos="5949"/>
        </w:tabs>
        <w:spacing w:line="360" w:lineRule="auto"/>
        <w:ind w:left="0" w:firstLine="525"/>
        <w:rPr>
          <w:rFonts w:ascii="宋体"/>
          <w:color w:val="000000"/>
          <w:spacing w:val="10"/>
          <w:sz w:val="24"/>
          <w:szCs w:val="24"/>
        </w:rPr>
      </w:pPr>
      <w:r>
        <w:rPr>
          <w:rFonts w:hint="eastAsia" w:ascii="宋体" w:hAnsi="宋体" w:cs="宋体"/>
          <w:color w:val="000000"/>
          <w:spacing w:val="10"/>
          <w:sz w:val="24"/>
          <w:szCs w:val="24"/>
        </w:rPr>
        <w:t>估价报告中的分析、意见和结论是注册房地产估价师独立、客观、公正的专业分析、意见和结论，但受到估价报告中已说明的估价假设和限制条件的限制；</w:t>
      </w:r>
    </w:p>
    <w:p>
      <w:pPr>
        <w:widowControl/>
        <w:numPr>
          <w:ilvl w:val="1"/>
          <w:numId w:val="4"/>
        </w:numPr>
        <w:tabs>
          <w:tab w:val="left" w:pos="945"/>
          <w:tab w:val="left" w:pos="5949"/>
        </w:tabs>
        <w:spacing w:line="360" w:lineRule="auto"/>
        <w:ind w:left="0" w:firstLine="525"/>
        <w:rPr>
          <w:rFonts w:ascii="宋体"/>
          <w:color w:val="000000"/>
          <w:spacing w:val="10"/>
          <w:sz w:val="24"/>
          <w:szCs w:val="24"/>
        </w:rPr>
      </w:pPr>
      <w:r>
        <w:rPr>
          <w:rFonts w:hint="eastAsia" w:ascii="宋体" w:hAnsi="宋体" w:cs="宋体"/>
          <w:color w:val="000000"/>
          <w:spacing w:val="10"/>
          <w:sz w:val="24"/>
          <w:szCs w:val="24"/>
        </w:rPr>
        <w:t>注册房地产估价师与估价报告中的估价对象没有现实或潜在的利益，与估价委托人及估价利害关系人没有利害关系，也对估价对象、估价委托人及估价利害关系人没有偏见。</w:t>
      </w:r>
    </w:p>
    <w:p>
      <w:pPr>
        <w:widowControl/>
        <w:tabs>
          <w:tab w:val="left" w:pos="945"/>
          <w:tab w:val="left" w:pos="1360"/>
          <w:tab w:val="left" w:pos="1460"/>
          <w:tab w:val="left" w:pos="5949"/>
        </w:tabs>
        <w:spacing w:line="360" w:lineRule="auto"/>
        <w:ind w:firstLine="520" w:firstLineChars="200"/>
        <w:rPr>
          <w:rFonts w:ascii="宋体"/>
          <w:color w:val="000000"/>
          <w:spacing w:val="10"/>
          <w:sz w:val="24"/>
          <w:szCs w:val="24"/>
        </w:rPr>
      </w:pPr>
      <w:r>
        <w:rPr>
          <w:rFonts w:ascii="宋体" w:hAnsi="宋体" w:cs="宋体"/>
          <w:color w:val="000000"/>
          <w:spacing w:val="10"/>
          <w:sz w:val="24"/>
          <w:szCs w:val="24"/>
        </w:rPr>
        <w:t>4.</w:t>
      </w:r>
      <w:r>
        <w:rPr>
          <w:rFonts w:hint="eastAsia" w:ascii="宋体" w:hAnsi="宋体" w:cs="宋体"/>
          <w:spacing w:val="10"/>
          <w:sz w:val="24"/>
          <w:szCs w:val="24"/>
        </w:rPr>
        <w:t>注册房地产估价师是按照中华人民共和国住房和城乡建设部、中华人民共和国国家质量监督检验检疫总局2015年4月8 日联合发布的中华人民共和国国家标准GB/T50291-2015《房地产估价规范》，中华人民共和国住房和城乡建设部、中华人民共和国国家质量监督检验检疫总局2013年6月26日联合发布的</w:t>
      </w:r>
      <w:r>
        <w:rPr>
          <w:rFonts w:hint="eastAsia" w:ascii="宋体" w:hAnsi="宋体"/>
          <w:sz w:val="24"/>
        </w:rPr>
        <w:t>(GB/T 50899</w:t>
      </w:r>
      <w:r>
        <w:rPr>
          <w:rFonts w:ascii="宋体" w:hAnsi="宋体"/>
          <w:sz w:val="24"/>
        </w:rPr>
        <w:t>—</w:t>
      </w:r>
      <w:r>
        <w:rPr>
          <w:rFonts w:hint="eastAsia" w:ascii="宋体" w:hAnsi="宋体"/>
          <w:sz w:val="24"/>
        </w:rPr>
        <w:t>2013)</w:t>
      </w:r>
      <w:r>
        <w:rPr>
          <w:rFonts w:hint="eastAsia" w:ascii="宋体" w:hAnsi="宋体" w:cs="宋体"/>
          <w:spacing w:val="10"/>
          <w:sz w:val="24"/>
          <w:szCs w:val="24"/>
        </w:rPr>
        <w:t>《房地产估价基本术语标准》，撰写估价报告。</w:t>
      </w:r>
    </w:p>
    <w:p>
      <w:pPr>
        <w:widowControl/>
        <w:tabs>
          <w:tab w:val="left" w:pos="945"/>
          <w:tab w:val="left" w:pos="5949"/>
        </w:tabs>
        <w:spacing w:line="360" w:lineRule="auto"/>
        <w:ind w:firstLine="520" w:firstLineChars="200"/>
        <w:rPr>
          <w:rFonts w:ascii="宋体"/>
          <w:spacing w:val="10"/>
          <w:sz w:val="24"/>
          <w:szCs w:val="24"/>
        </w:rPr>
      </w:pPr>
      <w:r>
        <w:rPr>
          <w:rFonts w:ascii="宋体" w:hAnsi="宋体" w:cs="宋体"/>
          <w:spacing w:val="10"/>
          <w:sz w:val="24"/>
          <w:szCs w:val="24"/>
        </w:rPr>
        <w:t>5.</w:t>
      </w:r>
      <w:r>
        <w:rPr>
          <w:rFonts w:hint="eastAsia" w:ascii="宋体" w:hAnsi="宋体" w:cs="宋体"/>
          <w:sz w:val="24"/>
          <w:szCs w:val="24"/>
        </w:rPr>
        <w:t xml:space="preserve"> 本估价报告由我们独立完成，</w:t>
      </w:r>
      <w:r>
        <w:rPr>
          <w:rFonts w:hint="eastAsia" w:ascii="宋体" w:hAnsi="宋体" w:cs="宋体"/>
          <w:spacing w:val="10"/>
          <w:sz w:val="24"/>
          <w:szCs w:val="24"/>
        </w:rPr>
        <w:t>没有外部专家和单位对估价报告提供重要专业帮助。</w:t>
      </w:r>
    </w:p>
    <w:p>
      <w:pPr>
        <w:widowControl/>
        <w:tabs>
          <w:tab w:val="left" w:pos="1596"/>
        </w:tabs>
        <w:spacing w:line="360" w:lineRule="auto"/>
        <w:rPr>
          <w:rFonts w:ascii="宋体"/>
          <w:sz w:val="24"/>
          <w:szCs w:val="24"/>
        </w:rPr>
      </w:pPr>
    </w:p>
    <w:p>
      <w:pPr>
        <w:widowControl/>
        <w:tabs>
          <w:tab w:val="left" w:pos="1596"/>
        </w:tabs>
        <w:spacing w:line="360" w:lineRule="auto"/>
        <w:ind w:firstLine="472" w:firstLineChars="196"/>
        <w:rPr>
          <w:rFonts w:ascii="宋体"/>
          <w:color w:val="000000"/>
          <w:spacing w:val="10"/>
          <w:sz w:val="24"/>
          <w:szCs w:val="24"/>
        </w:rPr>
      </w:pPr>
      <w:r>
        <w:rPr>
          <w:rFonts w:hint="eastAsia" w:ascii="宋体" w:hAnsi="宋体" w:cs="宋体"/>
          <w:b/>
          <w:bCs/>
          <w:sz w:val="24"/>
          <w:szCs w:val="24"/>
        </w:rPr>
        <w:t xml:space="preserve">注册房地产估价师：  </w:t>
      </w:r>
      <w:r>
        <w:rPr>
          <w:rFonts w:hint="eastAsia" w:ascii="宋体" w:hAnsi="宋体" w:cs="宋体"/>
          <w:sz w:val="24"/>
          <w:szCs w:val="24"/>
        </w:rPr>
        <w:t>注册号：</w:t>
      </w:r>
      <w:r>
        <w:rPr>
          <w:rFonts w:ascii="宋体" w:hAnsi="宋体" w:cs="宋体"/>
          <w:sz w:val="24"/>
          <w:szCs w:val="24"/>
        </w:rPr>
        <w:t>4320130025</w:t>
      </w:r>
    </w:p>
    <w:p>
      <w:pPr>
        <w:widowControl/>
        <w:tabs>
          <w:tab w:val="left" w:pos="1596"/>
        </w:tabs>
        <w:spacing w:line="360" w:lineRule="auto"/>
        <w:rPr>
          <w:rFonts w:ascii="宋体"/>
          <w:sz w:val="24"/>
          <w:szCs w:val="24"/>
        </w:rPr>
      </w:pPr>
    </w:p>
    <w:p>
      <w:pPr>
        <w:widowControl/>
        <w:tabs>
          <w:tab w:val="left" w:pos="1596"/>
        </w:tabs>
        <w:spacing w:line="360" w:lineRule="auto"/>
        <w:rPr>
          <w:rFonts w:ascii="宋体"/>
          <w:sz w:val="24"/>
          <w:szCs w:val="24"/>
        </w:rPr>
      </w:pPr>
    </w:p>
    <w:p>
      <w:pPr>
        <w:widowControl/>
        <w:tabs>
          <w:tab w:val="left" w:pos="1596"/>
        </w:tabs>
        <w:spacing w:line="360" w:lineRule="auto"/>
        <w:ind w:firstLine="482" w:firstLineChars="200"/>
        <w:rPr>
          <w:rFonts w:ascii="宋体"/>
          <w:sz w:val="24"/>
          <w:szCs w:val="24"/>
        </w:rPr>
      </w:pPr>
      <w:r>
        <w:rPr>
          <w:rFonts w:hint="eastAsia" w:ascii="宋体" w:hAnsi="宋体" w:cs="宋体"/>
          <w:b/>
          <w:bCs/>
          <w:sz w:val="24"/>
          <w:szCs w:val="24"/>
        </w:rPr>
        <w:t xml:space="preserve">注册房地产估价师：  </w:t>
      </w:r>
      <w:r>
        <w:rPr>
          <w:rFonts w:hint="eastAsia" w:ascii="宋体" w:hAnsi="宋体" w:cs="宋体"/>
          <w:sz w:val="24"/>
          <w:szCs w:val="24"/>
        </w:rPr>
        <w:t>注册号：</w:t>
      </w:r>
      <w:r>
        <w:rPr>
          <w:rFonts w:ascii="宋体" w:hAnsi="宋体" w:cs="宋体"/>
          <w:sz w:val="24"/>
          <w:szCs w:val="24"/>
        </w:rPr>
        <w:t>4320110041</w:t>
      </w:r>
    </w:p>
    <w:p>
      <w:pPr>
        <w:widowControl/>
        <w:tabs>
          <w:tab w:val="left" w:pos="1596"/>
        </w:tabs>
        <w:spacing w:line="360" w:lineRule="auto"/>
        <w:ind w:firstLine="509" w:firstLineChars="196"/>
        <w:rPr>
          <w:rFonts w:ascii="宋体"/>
          <w:color w:val="000000"/>
          <w:spacing w:val="10"/>
          <w:sz w:val="24"/>
          <w:szCs w:val="24"/>
        </w:rPr>
      </w:pPr>
    </w:p>
    <w:p>
      <w:pPr>
        <w:pStyle w:val="2"/>
        <w:spacing w:line="360" w:lineRule="auto"/>
        <w:rPr>
          <w:rFonts w:ascii="宋体" w:hAnsi="宋体" w:eastAsia="宋体" w:cs="宋体"/>
          <w:b/>
          <w:bCs/>
        </w:rPr>
      </w:pPr>
      <w:bookmarkStart w:id="5" w:name="_Toc319660473"/>
      <w:bookmarkStart w:id="6" w:name="_Toc16643"/>
    </w:p>
    <w:p/>
    <w:p/>
    <w:p/>
    <w:p>
      <w:pPr>
        <w:pStyle w:val="2"/>
        <w:spacing w:line="360" w:lineRule="auto"/>
        <w:rPr>
          <w:rFonts w:ascii="宋体" w:hAnsi="宋体" w:eastAsia="宋体" w:cs="Times New Roman"/>
          <w:b/>
          <w:bCs/>
        </w:rPr>
      </w:pPr>
      <w:r>
        <w:rPr>
          <w:rFonts w:hint="eastAsia" w:ascii="宋体" w:hAnsi="宋体" w:eastAsia="宋体" w:cs="宋体"/>
          <w:b/>
          <w:bCs/>
        </w:rPr>
        <w:t>估价的假设和限制条件</w:t>
      </w:r>
      <w:bookmarkEnd w:id="5"/>
      <w:bookmarkEnd w:id="6"/>
    </w:p>
    <w:p>
      <w:pPr>
        <w:widowControl/>
        <w:tabs>
          <w:tab w:val="center" w:pos="3713"/>
          <w:tab w:val="left" w:pos="4935"/>
        </w:tabs>
        <w:spacing w:line="440" w:lineRule="exact"/>
        <w:rPr>
          <w:rFonts w:ascii="宋体"/>
          <w:b/>
          <w:bCs/>
          <w:spacing w:val="10"/>
          <w:sz w:val="24"/>
          <w:szCs w:val="24"/>
        </w:rPr>
      </w:pPr>
      <w:r>
        <w:rPr>
          <w:rFonts w:hint="eastAsia" w:ascii="宋体" w:hAnsi="宋体" w:cs="宋体"/>
          <w:b/>
          <w:bCs/>
          <w:spacing w:val="10"/>
          <w:sz w:val="24"/>
          <w:szCs w:val="24"/>
        </w:rPr>
        <w:t>一、估价的假设条件</w:t>
      </w:r>
    </w:p>
    <w:p>
      <w:pPr>
        <w:widowControl/>
        <w:spacing w:line="360" w:lineRule="auto"/>
        <w:rPr>
          <w:rFonts w:ascii="宋体" w:hAnsi="宋体" w:cs="宋体"/>
          <w:sz w:val="24"/>
          <w:szCs w:val="24"/>
        </w:rPr>
      </w:pPr>
      <w:r>
        <w:rPr>
          <w:rFonts w:hint="eastAsia" w:ascii="宋体" w:hAnsi="宋体" w:cs="宋体"/>
          <w:sz w:val="24"/>
          <w:szCs w:val="24"/>
        </w:rPr>
        <w:t>（一）一般假设</w:t>
      </w:r>
    </w:p>
    <w:p>
      <w:pPr>
        <w:widowControl/>
        <w:spacing w:line="360" w:lineRule="auto"/>
        <w:ind w:firstLine="480" w:firstLineChars="200"/>
        <w:rPr>
          <w:rFonts w:ascii="宋体" w:hAnsi="宋体"/>
          <w:sz w:val="24"/>
        </w:rPr>
      </w:pPr>
      <w:r>
        <w:rPr>
          <w:rFonts w:hint="eastAsia" w:ascii="宋体" w:hAnsi="宋体" w:cs="宋体"/>
          <w:sz w:val="24"/>
          <w:szCs w:val="24"/>
        </w:rPr>
        <w:t>1.资料核实情况：本估价报告依据了产权人提供的相关资料，产权人对资料的合法性、真实性、准确性和完整性负责（因上述原因造成估价结果有误的，评估机构和估价人员不承担相应的责任）。我们对估价委托人所提供的估价对象的相关资料中的面积、用途等资料进行了</w:t>
      </w:r>
      <w:r>
        <w:rPr>
          <w:rFonts w:hint="eastAsia" w:ascii="宋体" w:hAnsi="宋体"/>
          <w:sz w:val="24"/>
        </w:rPr>
        <w:t>原件核对，但未向政府有关部门进行核实，在无理由怀疑其合法性、真实性和完整性的情况下，假定估价委托人提供的资料合法、真实、准确、完整。</w:t>
      </w:r>
    </w:p>
    <w:p>
      <w:pPr>
        <w:widowControl/>
        <w:spacing w:line="360" w:lineRule="auto"/>
        <w:ind w:firstLine="480" w:firstLineChars="200"/>
        <w:rPr>
          <w:rFonts w:ascii="宋体" w:hAnsi="宋体"/>
          <w:sz w:val="24"/>
        </w:rPr>
      </w:pPr>
      <w:r>
        <w:rPr>
          <w:rFonts w:hint="eastAsia" w:ascii="宋体" w:hAnsi="宋体"/>
          <w:sz w:val="24"/>
        </w:rPr>
        <w:t>2. 房屋安全、环境污染等因素的合理假定：注册房地产估价师已对房屋安全、环境污染等影响估价对象价值的重大因素给予了关注，在无理由怀疑估价对象存在安全隐患且无相应的专业机构进行鉴定、检测的情况下，假定估价对象能正常安全使用。</w:t>
      </w:r>
    </w:p>
    <w:p>
      <w:pPr>
        <w:widowControl/>
        <w:spacing w:line="360" w:lineRule="auto"/>
        <w:ind w:firstLine="480" w:firstLineChars="200"/>
        <w:rPr>
          <w:rFonts w:ascii="宋体" w:hAnsi="宋体"/>
          <w:sz w:val="24"/>
        </w:rPr>
      </w:pPr>
      <w:r>
        <w:rPr>
          <w:rFonts w:hint="eastAsia" w:ascii="宋体" w:hAnsi="宋体"/>
          <w:sz w:val="24"/>
        </w:rPr>
        <w:t>3.注册房地产估价师未对房屋建筑面积进行专业测量，经现场查勘观察，估价对象房屋建筑面积与提供的测绘资料中记载的建筑面积大体相当。</w:t>
      </w:r>
    </w:p>
    <w:p>
      <w:pPr>
        <w:widowControl/>
        <w:spacing w:line="360" w:lineRule="auto"/>
        <w:ind w:firstLine="480" w:firstLineChars="200"/>
        <w:rPr>
          <w:rFonts w:ascii="宋体" w:hAnsi="宋体"/>
          <w:sz w:val="24"/>
        </w:rPr>
      </w:pPr>
      <w:r>
        <w:rPr>
          <w:rFonts w:ascii="宋体" w:hAnsi="宋体"/>
          <w:sz w:val="24"/>
        </w:rPr>
        <w:t>4.估价对象在价值时点的房地产市场为公开</w:t>
      </w:r>
      <w:r>
        <w:rPr>
          <w:rFonts w:hint="eastAsia" w:ascii="宋体" w:hAnsi="宋体"/>
          <w:sz w:val="24"/>
        </w:rPr>
        <w:t>、</w:t>
      </w:r>
      <w:r>
        <w:rPr>
          <w:rFonts w:ascii="宋体" w:hAnsi="宋体"/>
          <w:sz w:val="24"/>
        </w:rPr>
        <w:t>平等</w:t>
      </w:r>
      <w:r>
        <w:rPr>
          <w:rFonts w:hint="eastAsia" w:ascii="宋体" w:hAnsi="宋体"/>
          <w:sz w:val="24"/>
        </w:rPr>
        <w:t>、</w:t>
      </w:r>
      <w:r>
        <w:rPr>
          <w:rFonts w:ascii="宋体" w:hAnsi="宋体"/>
          <w:sz w:val="24"/>
        </w:rPr>
        <w:t>自愿的交易市场</w:t>
      </w:r>
      <w:r>
        <w:rPr>
          <w:rFonts w:hint="eastAsia" w:ascii="宋体" w:hAnsi="宋体"/>
          <w:sz w:val="24"/>
        </w:rPr>
        <w:t>，</w:t>
      </w:r>
      <w:r>
        <w:rPr>
          <w:rFonts w:ascii="宋体" w:hAnsi="宋体"/>
          <w:sz w:val="24"/>
        </w:rPr>
        <w:t>即能满足以下条件</w:t>
      </w:r>
      <w:r>
        <w:rPr>
          <w:rFonts w:hint="eastAsia" w:ascii="宋体" w:hAnsi="宋体"/>
          <w:sz w:val="24"/>
        </w:rPr>
        <w:t>：</w:t>
      </w:r>
    </w:p>
    <w:p>
      <w:pPr>
        <w:widowControl/>
        <w:spacing w:line="360" w:lineRule="auto"/>
        <w:ind w:firstLine="480" w:firstLineChars="200"/>
        <w:rPr>
          <w:rFonts w:ascii="宋体" w:hAnsi="宋体"/>
          <w:sz w:val="24"/>
        </w:rPr>
      </w:pPr>
      <w:r>
        <w:rPr>
          <w:rFonts w:hint="eastAsia" w:ascii="宋体" w:hAnsi="宋体"/>
          <w:sz w:val="24"/>
        </w:rPr>
        <w:t>（1）交易双方自愿地进行交易；</w:t>
      </w:r>
    </w:p>
    <w:p>
      <w:pPr>
        <w:widowControl/>
        <w:spacing w:line="360" w:lineRule="auto"/>
        <w:ind w:firstLine="480" w:firstLineChars="200"/>
        <w:rPr>
          <w:rFonts w:ascii="宋体" w:hAnsi="宋体"/>
          <w:sz w:val="24"/>
        </w:rPr>
      </w:pPr>
      <w:r>
        <w:rPr>
          <w:rFonts w:hint="eastAsia" w:ascii="宋体" w:hAnsi="宋体"/>
          <w:sz w:val="24"/>
        </w:rPr>
        <w:t>（2）交易双方处于利己动机进行交易；</w:t>
      </w:r>
    </w:p>
    <w:p>
      <w:pPr>
        <w:widowControl/>
        <w:spacing w:line="360" w:lineRule="auto"/>
        <w:ind w:firstLine="480" w:firstLineChars="200"/>
        <w:rPr>
          <w:rFonts w:ascii="宋体" w:hAnsi="宋体"/>
          <w:sz w:val="24"/>
        </w:rPr>
      </w:pPr>
      <w:r>
        <w:rPr>
          <w:rFonts w:hint="eastAsia" w:ascii="宋体" w:hAnsi="宋体"/>
          <w:sz w:val="24"/>
        </w:rPr>
        <w:t>（3）交易双方精明、谨慎行事，并了解交易对象、知晓市场行情；</w:t>
      </w:r>
    </w:p>
    <w:p>
      <w:pPr>
        <w:widowControl/>
        <w:spacing w:line="360" w:lineRule="auto"/>
        <w:ind w:firstLine="480" w:firstLineChars="200"/>
        <w:rPr>
          <w:rFonts w:ascii="宋体" w:hAnsi="宋体"/>
          <w:sz w:val="24"/>
        </w:rPr>
      </w:pPr>
      <w:r>
        <w:rPr>
          <w:rFonts w:hint="eastAsia" w:ascii="宋体" w:hAnsi="宋体"/>
          <w:sz w:val="24"/>
        </w:rPr>
        <w:t>（4）交易双方有较充裕的时间进行交易；</w:t>
      </w:r>
    </w:p>
    <w:p>
      <w:pPr>
        <w:widowControl/>
        <w:spacing w:line="360" w:lineRule="auto"/>
        <w:ind w:firstLine="480" w:firstLineChars="200"/>
        <w:rPr>
          <w:rFonts w:ascii="宋体" w:hAnsi="宋体"/>
          <w:sz w:val="24"/>
        </w:rPr>
      </w:pPr>
      <w:r>
        <w:rPr>
          <w:rFonts w:hint="eastAsia" w:ascii="宋体" w:hAnsi="宋体"/>
          <w:sz w:val="24"/>
        </w:rPr>
        <w:t>（5）不存在买者因特殊兴趣而给予附加出价；</w:t>
      </w:r>
    </w:p>
    <w:p>
      <w:pPr>
        <w:widowControl/>
        <w:spacing w:line="360" w:lineRule="auto"/>
        <w:ind w:firstLine="480" w:firstLineChars="200"/>
        <w:rPr>
          <w:rFonts w:ascii="宋体" w:hAnsi="宋体"/>
          <w:sz w:val="24"/>
        </w:rPr>
      </w:pPr>
      <w:r>
        <w:rPr>
          <w:rFonts w:hint="eastAsia" w:ascii="宋体" w:hAnsi="宋体"/>
          <w:sz w:val="24"/>
        </w:rPr>
        <w:t>5.估价对象享有公共部位的通行权及水电等共用设施的使用权。</w:t>
      </w:r>
    </w:p>
    <w:p>
      <w:pPr>
        <w:widowControl/>
        <w:spacing w:line="360" w:lineRule="auto"/>
        <w:ind w:firstLine="480" w:firstLineChars="200"/>
        <w:rPr>
          <w:rFonts w:ascii="宋体" w:hAnsi="宋体"/>
          <w:sz w:val="24"/>
        </w:rPr>
      </w:pPr>
      <w:r>
        <w:rPr>
          <w:rFonts w:hint="eastAsia" w:ascii="宋体" w:hAnsi="宋体"/>
          <w:sz w:val="24"/>
        </w:rPr>
        <w:t>6.产权人拥有估价对象的合法产权和绝对处置权。</w:t>
      </w:r>
    </w:p>
    <w:p>
      <w:pPr>
        <w:widowControl/>
        <w:spacing w:line="360" w:lineRule="auto"/>
        <w:ind w:firstLine="480" w:firstLineChars="200"/>
        <w:rPr>
          <w:rFonts w:ascii="宋体" w:hAnsi="宋体"/>
          <w:sz w:val="24"/>
        </w:rPr>
      </w:pPr>
      <w:r>
        <w:rPr>
          <w:rFonts w:hint="eastAsia" w:ascii="宋体" w:hAnsi="宋体"/>
          <w:sz w:val="24"/>
        </w:rPr>
        <w:t>7.估价对象无司法机关、行政机关查封等禁止转让、抵押情形，房地产权属无纠纷，出让土地使用权符合法定的转让条件（划拨土地使用权转让、抵押能获得有批准权的人民政府或政府有关部门的批准）等为假设前提，即以估价对象拥有合法产权、属于合法使用、可以在公开市场上自由转让、抵押等处分为假设前提。假设估价对象经适当营销后，由熟悉情况、谨慎行事且不受强迫的交易双方，以公平交易方式在价值时点自愿进行交易。</w:t>
      </w:r>
    </w:p>
    <w:p>
      <w:pPr>
        <w:widowControl/>
        <w:tabs>
          <w:tab w:val="left" w:pos="945"/>
        </w:tabs>
        <w:spacing w:line="360" w:lineRule="auto"/>
        <w:ind w:firstLine="480" w:firstLineChars="200"/>
        <w:rPr>
          <w:rFonts w:ascii="宋体" w:hAnsi="宋体"/>
          <w:sz w:val="24"/>
        </w:rPr>
      </w:pPr>
      <w:r>
        <w:rPr>
          <w:rFonts w:hint="eastAsia" w:ascii="宋体" w:hAnsi="宋体" w:cs="宋体"/>
          <w:sz w:val="24"/>
          <w:szCs w:val="24"/>
        </w:rPr>
        <w:t>8.我公司已对估价对象进行了实地查勘，将估价对象现状与相关权属证明文件上记载的内容进行了逐一对照，全面、仔细地了解了估价对象相关情况，并做好了实地查勘记录，拍摄了能够反映估价对象外观、内部状况及周边环境、景观的照片及影像资料。我们对勘察的客观性、真实性、公正性承担责任，但对估价对象的现实勘察仅限于其外观和使用状况，对被遮盖、未暴露及难以接触到的部分，依据产权人提供的资料进行评估，我们不承担对估价对象建筑结构质量、是否存在</w:t>
      </w:r>
      <w:r>
        <w:rPr>
          <w:rFonts w:hint="eastAsia" w:ascii="宋体" w:hAnsi="宋体"/>
          <w:sz w:val="24"/>
        </w:rPr>
        <w:t>环境污染等情况</w:t>
      </w:r>
      <w:r>
        <w:rPr>
          <w:rFonts w:hint="eastAsia" w:ascii="宋体" w:hAnsi="宋体" w:cs="宋体"/>
          <w:sz w:val="24"/>
          <w:szCs w:val="24"/>
        </w:rPr>
        <w:t>进行调查的责任，也未考虑资料中未提及的结构质量异常对房地产价值造成的影响。本次评估以</w:t>
      </w:r>
      <w:r>
        <w:rPr>
          <w:rFonts w:hint="eastAsia" w:ascii="宋体" w:hAnsi="宋体"/>
          <w:sz w:val="24"/>
        </w:rPr>
        <w:t>估价对象权益、实物状况无缺陷、估价对象在价值时点不存在房屋结构问题与安全隐患为假设前提。</w:t>
      </w:r>
    </w:p>
    <w:p>
      <w:pPr>
        <w:widowControl/>
        <w:spacing w:line="440" w:lineRule="exact"/>
        <w:ind w:firstLine="520" w:firstLineChars="200"/>
        <w:jc w:val="left"/>
        <w:rPr>
          <w:rFonts w:ascii="宋体" w:hAnsi="宋体" w:cs="宋体"/>
          <w:color w:val="000000"/>
          <w:spacing w:val="10"/>
          <w:sz w:val="24"/>
          <w:szCs w:val="24"/>
        </w:rPr>
      </w:pPr>
      <w:r>
        <w:rPr>
          <w:rFonts w:hint="eastAsia" w:ascii="宋体" w:hAnsi="宋体" w:cs="宋体"/>
          <w:color w:val="000000"/>
          <w:spacing w:val="10"/>
          <w:sz w:val="24"/>
          <w:szCs w:val="24"/>
        </w:rPr>
        <w:t>（二）未定事项假设</w:t>
      </w:r>
    </w:p>
    <w:p>
      <w:pPr>
        <w:widowControl/>
        <w:spacing w:line="440" w:lineRule="exact"/>
        <w:ind w:firstLine="520" w:firstLineChars="200"/>
        <w:jc w:val="left"/>
        <w:rPr>
          <w:rFonts w:ascii="宋体" w:hAnsi="宋体"/>
          <w:spacing w:val="10"/>
          <w:sz w:val="24"/>
        </w:rPr>
      </w:pPr>
      <w:r>
        <w:rPr>
          <w:rFonts w:hint="eastAsia" w:ascii="宋体" w:hAnsi="宋体" w:cs="宋体"/>
          <w:spacing w:val="10"/>
          <w:sz w:val="24"/>
          <w:szCs w:val="24"/>
        </w:rPr>
        <w:t>未定事项假设是指对估价所必需的尚未明确或不够明确的事项所做的合理的、最可能的假定。</w:t>
      </w:r>
    </w:p>
    <w:p>
      <w:pPr>
        <w:widowControl/>
        <w:spacing w:line="360" w:lineRule="auto"/>
        <w:ind w:firstLine="480" w:firstLineChars="200"/>
        <w:rPr>
          <w:rFonts w:ascii="宋体" w:hAnsi="宋体"/>
          <w:sz w:val="24"/>
        </w:rPr>
      </w:pPr>
      <w:r>
        <w:rPr>
          <w:rFonts w:hint="eastAsia"/>
          <w:sz w:val="24"/>
          <w:szCs w:val="24"/>
        </w:rPr>
        <w:t>本次</w:t>
      </w:r>
      <w:r>
        <w:rPr>
          <w:rFonts w:hint="eastAsia" w:ascii="宋体" w:hAnsi="宋体" w:cs="宋体"/>
          <w:sz w:val="24"/>
          <w:szCs w:val="24"/>
        </w:rPr>
        <w:t>估价无尚未明确或不够明确的事项，故</w:t>
      </w:r>
      <w:r>
        <w:rPr>
          <w:rFonts w:hint="eastAsia"/>
          <w:sz w:val="24"/>
          <w:szCs w:val="24"/>
        </w:rPr>
        <w:t>本次估价无未定事项假设。</w:t>
      </w:r>
    </w:p>
    <w:p>
      <w:pPr>
        <w:widowControl/>
        <w:spacing w:line="440" w:lineRule="exact"/>
        <w:ind w:firstLine="520" w:firstLineChars="200"/>
        <w:jc w:val="left"/>
        <w:rPr>
          <w:rFonts w:ascii="宋体"/>
          <w:color w:val="000000"/>
          <w:spacing w:val="10"/>
          <w:sz w:val="24"/>
          <w:szCs w:val="24"/>
        </w:rPr>
      </w:pPr>
      <w:r>
        <w:rPr>
          <w:rFonts w:hint="eastAsia" w:ascii="宋体" w:hAnsi="宋体" w:cs="宋体"/>
          <w:color w:val="000000"/>
          <w:spacing w:val="10"/>
          <w:sz w:val="24"/>
          <w:szCs w:val="24"/>
        </w:rPr>
        <w:t>（三）背离事实假设</w:t>
      </w:r>
    </w:p>
    <w:p>
      <w:pPr>
        <w:spacing w:line="440" w:lineRule="exact"/>
        <w:ind w:firstLine="520" w:firstLineChars="200"/>
        <w:rPr>
          <w:rFonts w:ascii="宋体" w:hAnsi="宋体" w:cs="宋体"/>
          <w:spacing w:val="10"/>
          <w:sz w:val="24"/>
          <w:szCs w:val="24"/>
        </w:rPr>
      </w:pPr>
      <w:r>
        <w:rPr>
          <w:rFonts w:hint="eastAsia" w:ascii="宋体" w:hAnsi="宋体" w:cs="宋体"/>
          <w:spacing w:val="10"/>
          <w:sz w:val="24"/>
          <w:szCs w:val="24"/>
        </w:rPr>
        <w:t>背离事实假设是指因估价目的的特殊需要、交易条件设定或约定，对估价对象状况所做的与估价对象的实际情况不一致的合理假定。</w:t>
      </w:r>
    </w:p>
    <w:p>
      <w:pPr>
        <w:spacing w:line="440" w:lineRule="exact"/>
        <w:ind w:firstLine="520" w:firstLineChars="200"/>
        <w:rPr>
          <w:rFonts w:ascii="宋体" w:hAnsi="宋体" w:cs="宋体"/>
          <w:spacing w:val="10"/>
          <w:sz w:val="24"/>
          <w:szCs w:val="24"/>
        </w:rPr>
      </w:pPr>
      <w:r>
        <w:rPr>
          <w:rFonts w:hint="eastAsia" w:ascii="宋体" w:hAnsi="宋体" w:cs="宋体"/>
          <w:spacing w:val="10"/>
          <w:sz w:val="24"/>
          <w:szCs w:val="24"/>
        </w:rPr>
        <w:t>本次估价目的为</w:t>
      </w:r>
      <w:r>
        <w:rPr>
          <w:rFonts w:hint="eastAsia" w:ascii="宋体" w:hAnsi="宋体" w:cs="宋体"/>
          <w:spacing w:val="8"/>
          <w:sz w:val="24"/>
          <w:szCs w:val="24"/>
        </w:rPr>
        <w:t>委托方司法办案而了解房地产市场价值提供价格参考依据，</w:t>
      </w:r>
      <w:r>
        <w:rPr>
          <w:rFonts w:hint="eastAsia" w:ascii="宋体" w:hAnsi="宋体" w:cs="宋体"/>
          <w:spacing w:val="10"/>
          <w:sz w:val="24"/>
          <w:szCs w:val="24"/>
        </w:rPr>
        <w:t xml:space="preserve">本次估价结果未考虑估价对象抵押、诉讼、查封对其价值的影响。 </w:t>
      </w:r>
    </w:p>
    <w:p>
      <w:pPr>
        <w:widowControl/>
        <w:spacing w:line="440" w:lineRule="exact"/>
        <w:ind w:firstLine="520" w:firstLineChars="200"/>
        <w:jc w:val="left"/>
        <w:rPr>
          <w:rFonts w:ascii="宋体" w:hAnsi="宋体" w:cs="宋体"/>
          <w:color w:val="000000"/>
          <w:spacing w:val="10"/>
          <w:sz w:val="24"/>
          <w:szCs w:val="24"/>
        </w:rPr>
      </w:pPr>
      <w:r>
        <w:rPr>
          <w:rFonts w:hint="eastAsia" w:ascii="宋体" w:hAnsi="宋体" w:cs="宋体"/>
          <w:color w:val="000000"/>
          <w:spacing w:val="10"/>
          <w:sz w:val="24"/>
          <w:szCs w:val="24"/>
        </w:rPr>
        <w:t>（四）不相一致假设</w:t>
      </w:r>
    </w:p>
    <w:p>
      <w:pPr>
        <w:widowControl/>
        <w:spacing w:line="360" w:lineRule="auto"/>
        <w:ind w:firstLine="480" w:firstLineChars="200"/>
        <w:rPr>
          <w:rFonts w:ascii="宋体" w:hAnsi="宋体" w:cs="宋体"/>
          <w:sz w:val="24"/>
          <w:szCs w:val="24"/>
        </w:rPr>
      </w:pPr>
      <w:r>
        <w:rPr>
          <w:rFonts w:ascii="宋体" w:hAnsi="宋体" w:cs="宋体"/>
          <w:sz w:val="24"/>
          <w:szCs w:val="24"/>
        </w:rPr>
        <w:t>不相一致假设是指估价对象的用途</w:t>
      </w:r>
      <w:r>
        <w:rPr>
          <w:rFonts w:hint="eastAsia" w:ascii="宋体" w:hAnsi="宋体" w:cs="宋体"/>
          <w:sz w:val="24"/>
          <w:szCs w:val="24"/>
        </w:rPr>
        <w:t>、</w:t>
      </w:r>
      <w:r>
        <w:rPr>
          <w:rFonts w:ascii="宋体" w:hAnsi="宋体" w:cs="宋体"/>
          <w:sz w:val="24"/>
          <w:szCs w:val="24"/>
        </w:rPr>
        <w:t>权利人</w:t>
      </w:r>
      <w:r>
        <w:rPr>
          <w:rFonts w:hint="eastAsia" w:ascii="宋体" w:hAnsi="宋体" w:cs="宋体"/>
          <w:sz w:val="24"/>
          <w:szCs w:val="24"/>
        </w:rPr>
        <w:t>、</w:t>
      </w:r>
      <w:r>
        <w:rPr>
          <w:rFonts w:ascii="宋体" w:hAnsi="宋体" w:cs="宋体"/>
          <w:sz w:val="24"/>
          <w:szCs w:val="24"/>
        </w:rPr>
        <w:t>名称</w:t>
      </w:r>
      <w:r>
        <w:rPr>
          <w:rFonts w:hint="eastAsia" w:ascii="宋体" w:hAnsi="宋体" w:cs="宋体"/>
          <w:sz w:val="24"/>
          <w:szCs w:val="24"/>
        </w:rPr>
        <w:t>、</w:t>
      </w:r>
      <w:r>
        <w:rPr>
          <w:rFonts w:ascii="宋体" w:hAnsi="宋体" w:cs="宋体"/>
          <w:sz w:val="24"/>
          <w:szCs w:val="24"/>
        </w:rPr>
        <w:t>地址等存在不一致情况下</w:t>
      </w:r>
      <w:r>
        <w:rPr>
          <w:rFonts w:hint="eastAsia" w:ascii="宋体" w:hAnsi="宋体" w:cs="宋体"/>
          <w:sz w:val="24"/>
          <w:szCs w:val="24"/>
        </w:rPr>
        <w:t>，</w:t>
      </w:r>
      <w:r>
        <w:rPr>
          <w:rFonts w:ascii="宋体" w:hAnsi="宋体" w:cs="宋体"/>
          <w:sz w:val="24"/>
          <w:szCs w:val="24"/>
        </w:rPr>
        <w:t>对估价所依据的用途或权利人</w:t>
      </w:r>
      <w:r>
        <w:rPr>
          <w:rFonts w:hint="eastAsia" w:ascii="宋体" w:hAnsi="宋体" w:cs="宋体"/>
          <w:sz w:val="24"/>
          <w:szCs w:val="24"/>
        </w:rPr>
        <w:t>、</w:t>
      </w:r>
      <w:r>
        <w:rPr>
          <w:rFonts w:ascii="宋体" w:hAnsi="宋体" w:cs="宋体"/>
          <w:sz w:val="24"/>
          <w:szCs w:val="24"/>
        </w:rPr>
        <w:t>名称</w:t>
      </w:r>
      <w:r>
        <w:rPr>
          <w:rFonts w:hint="eastAsia" w:ascii="宋体" w:hAnsi="宋体" w:cs="宋体"/>
          <w:sz w:val="24"/>
          <w:szCs w:val="24"/>
        </w:rPr>
        <w:t>、</w:t>
      </w:r>
      <w:r>
        <w:rPr>
          <w:rFonts w:ascii="宋体" w:hAnsi="宋体" w:cs="宋体"/>
          <w:sz w:val="24"/>
          <w:szCs w:val="24"/>
        </w:rPr>
        <w:t>地址等的合理假定</w:t>
      </w:r>
      <w:r>
        <w:rPr>
          <w:rFonts w:hint="eastAsia" w:ascii="宋体" w:hAnsi="宋体" w:cs="宋体"/>
          <w:sz w:val="24"/>
          <w:szCs w:val="24"/>
        </w:rPr>
        <w:t>。</w:t>
      </w:r>
    </w:p>
    <w:p>
      <w:pPr>
        <w:widowControl/>
        <w:spacing w:line="360" w:lineRule="auto"/>
        <w:ind w:firstLine="480" w:firstLineChars="200"/>
        <w:rPr>
          <w:rFonts w:ascii="宋体" w:hAnsi="宋体" w:cs="宋体"/>
          <w:sz w:val="24"/>
          <w:szCs w:val="24"/>
        </w:rPr>
      </w:pPr>
      <w:r>
        <w:rPr>
          <w:rFonts w:ascii="宋体" w:hAnsi="宋体" w:cs="宋体"/>
          <w:sz w:val="24"/>
          <w:szCs w:val="24"/>
        </w:rPr>
        <w:t>估价对象的用途</w:t>
      </w:r>
      <w:r>
        <w:rPr>
          <w:rFonts w:hint="eastAsia" w:ascii="宋体" w:hAnsi="宋体" w:cs="宋体"/>
          <w:sz w:val="24"/>
          <w:szCs w:val="24"/>
        </w:rPr>
        <w:t>、</w:t>
      </w:r>
      <w:r>
        <w:rPr>
          <w:rFonts w:ascii="宋体" w:hAnsi="宋体" w:cs="宋体"/>
          <w:sz w:val="24"/>
          <w:szCs w:val="24"/>
        </w:rPr>
        <w:t>权利人</w:t>
      </w:r>
      <w:r>
        <w:rPr>
          <w:rFonts w:hint="eastAsia" w:ascii="宋体" w:hAnsi="宋体" w:cs="宋体"/>
          <w:sz w:val="24"/>
          <w:szCs w:val="24"/>
        </w:rPr>
        <w:t>、</w:t>
      </w:r>
      <w:r>
        <w:rPr>
          <w:rFonts w:ascii="宋体" w:hAnsi="宋体" w:cs="宋体"/>
          <w:sz w:val="24"/>
          <w:szCs w:val="24"/>
        </w:rPr>
        <w:t>名称</w:t>
      </w:r>
      <w:r>
        <w:rPr>
          <w:rFonts w:hint="eastAsia" w:ascii="宋体" w:hAnsi="宋体" w:cs="宋体"/>
          <w:sz w:val="24"/>
          <w:szCs w:val="24"/>
        </w:rPr>
        <w:t>、</w:t>
      </w:r>
      <w:r>
        <w:rPr>
          <w:rFonts w:ascii="宋体" w:hAnsi="宋体" w:cs="宋体"/>
          <w:sz w:val="24"/>
          <w:szCs w:val="24"/>
        </w:rPr>
        <w:t>地址等不存在不一致情况</w:t>
      </w:r>
      <w:r>
        <w:rPr>
          <w:rFonts w:hint="eastAsia" w:ascii="宋体" w:hAnsi="宋体" w:cs="宋体"/>
          <w:sz w:val="24"/>
          <w:szCs w:val="24"/>
        </w:rPr>
        <w:t>，</w:t>
      </w:r>
      <w:r>
        <w:rPr>
          <w:rFonts w:ascii="宋体" w:hAnsi="宋体" w:cs="宋体"/>
          <w:sz w:val="24"/>
          <w:szCs w:val="24"/>
        </w:rPr>
        <w:t>故</w:t>
      </w:r>
      <w:r>
        <w:rPr>
          <w:rFonts w:hint="eastAsia" w:ascii="宋体" w:hAnsi="宋体" w:cs="宋体"/>
          <w:sz w:val="24"/>
          <w:szCs w:val="24"/>
        </w:rPr>
        <w:t>本次评估无不相一致假设。</w:t>
      </w:r>
    </w:p>
    <w:p>
      <w:pPr>
        <w:widowControl/>
        <w:spacing w:line="440" w:lineRule="exact"/>
        <w:ind w:firstLine="520" w:firstLineChars="200"/>
        <w:jc w:val="left"/>
        <w:rPr>
          <w:rFonts w:ascii="宋体"/>
          <w:color w:val="000000"/>
          <w:spacing w:val="10"/>
          <w:sz w:val="24"/>
          <w:szCs w:val="24"/>
        </w:rPr>
      </w:pPr>
      <w:r>
        <w:rPr>
          <w:rFonts w:hint="eastAsia" w:ascii="宋体" w:hAnsi="宋体" w:cs="宋体"/>
          <w:color w:val="000000"/>
          <w:spacing w:val="10"/>
          <w:sz w:val="24"/>
          <w:szCs w:val="24"/>
        </w:rPr>
        <w:t>（五）依据不足假设</w:t>
      </w:r>
    </w:p>
    <w:p>
      <w:pPr>
        <w:spacing w:line="360" w:lineRule="auto"/>
        <w:ind w:firstLine="480" w:firstLineChars="200"/>
        <w:rPr>
          <w:rFonts w:ascii="宋体" w:hAnsi="宋体" w:cs="宋体"/>
          <w:sz w:val="24"/>
          <w:szCs w:val="24"/>
        </w:rPr>
      </w:pPr>
      <w:r>
        <w:rPr>
          <w:rFonts w:hint="eastAsia" w:ascii="宋体" w:hAnsi="宋体" w:cs="宋体"/>
          <w:sz w:val="24"/>
          <w:szCs w:val="24"/>
        </w:rPr>
        <w:t>依据不足假设是指在估价委托人无法提供估价所必需的反映估价对象状况的资料及注册房地产估价师进行了尽职调查仍然难以取得该资料的情况下，缺少该资料及对相应的估价对象状况的合理假定。</w:t>
      </w:r>
    </w:p>
    <w:p>
      <w:pPr>
        <w:widowControl/>
        <w:spacing w:line="440" w:lineRule="exact"/>
        <w:ind w:firstLine="520" w:firstLineChars="200"/>
        <w:rPr>
          <w:rFonts w:ascii="宋体"/>
          <w:spacing w:val="10"/>
          <w:sz w:val="24"/>
          <w:szCs w:val="24"/>
        </w:rPr>
      </w:pPr>
      <w:r>
        <w:rPr>
          <w:rFonts w:hint="eastAsia" w:ascii="宋体" w:hAnsi="宋体" w:cs="宋体"/>
          <w:spacing w:val="10"/>
          <w:sz w:val="24"/>
          <w:szCs w:val="24"/>
        </w:rPr>
        <w:t>估价委托人提供了估价对象的《房屋所有权证》、《国有土地使用</w:t>
      </w:r>
      <w:r>
        <w:rPr>
          <w:rFonts w:hint="eastAsia" w:ascii="宋体" w:hAnsi="宋体" w:cs="宋体"/>
          <w:spacing w:val="10"/>
          <w:sz w:val="24"/>
          <w:szCs w:val="24"/>
          <w:lang w:val="en-US" w:eastAsia="zh-CN"/>
        </w:rPr>
        <w:t>权</w:t>
      </w:r>
      <w:r>
        <w:rPr>
          <w:rFonts w:hint="eastAsia" w:ascii="宋体" w:hAnsi="宋体" w:cs="宋体"/>
          <w:spacing w:val="10"/>
          <w:sz w:val="24"/>
          <w:szCs w:val="24"/>
        </w:rPr>
        <w:t>证》，本次估价结论以提供的权属复印件与原件一致为估价前提，如有不符，本估价结论无效。</w:t>
      </w:r>
    </w:p>
    <w:p>
      <w:pPr>
        <w:widowControl/>
        <w:tabs>
          <w:tab w:val="center" w:pos="3713"/>
          <w:tab w:val="left" w:pos="4935"/>
        </w:tabs>
        <w:spacing w:line="440" w:lineRule="exact"/>
        <w:rPr>
          <w:rFonts w:ascii="宋体"/>
          <w:b/>
          <w:bCs/>
          <w:color w:val="000000"/>
          <w:spacing w:val="10"/>
          <w:sz w:val="24"/>
          <w:szCs w:val="24"/>
        </w:rPr>
      </w:pPr>
      <w:r>
        <w:rPr>
          <w:rFonts w:hint="eastAsia" w:ascii="宋体" w:hAnsi="宋体" w:cs="宋体"/>
          <w:b/>
          <w:bCs/>
          <w:color w:val="000000"/>
          <w:spacing w:val="10"/>
          <w:sz w:val="24"/>
          <w:szCs w:val="24"/>
        </w:rPr>
        <w:t>二、估价的限制条件</w:t>
      </w:r>
    </w:p>
    <w:p>
      <w:pPr>
        <w:widowControl/>
        <w:spacing w:line="360" w:lineRule="auto"/>
        <w:ind w:firstLine="480" w:firstLineChars="200"/>
        <w:rPr>
          <w:rFonts w:ascii="宋体" w:hAnsi="宋体"/>
          <w:sz w:val="24"/>
          <w:szCs w:val="24"/>
        </w:rPr>
      </w:pPr>
      <w:r>
        <w:rPr>
          <w:rFonts w:hint="eastAsia" w:ascii="宋体" w:hAnsi="宋体"/>
          <w:sz w:val="24"/>
        </w:rPr>
        <w:t>1.</w:t>
      </w:r>
      <w:r>
        <w:rPr>
          <w:rFonts w:hint="eastAsia" w:ascii="宋体" w:hAnsi="宋体" w:cs="宋体"/>
          <w:spacing w:val="10"/>
          <w:sz w:val="24"/>
          <w:szCs w:val="24"/>
        </w:rPr>
        <w:t>本估价报告估价结果为市场价值，按照既定目的提供给湖南省新晃县侗族自治县人民法院使用，</w:t>
      </w:r>
      <w:r>
        <w:rPr>
          <w:rFonts w:hint="eastAsia" w:ascii="宋体" w:hAnsi="宋体" w:cs="宋体"/>
          <w:sz w:val="24"/>
          <w:szCs w:val="24"/>
        </w:rPr>
        <w:t>不得用做除本次目的之外的其他用途。</w:t>
      </w:r>
      <w:r>
        <w:rPr>
          <w:rFonts w:hint="eastAsia" w:ascii="宋体" w:hAnsi="宋体" w:cs="宋体"/>
          <w:spacing w:val="10"/>
          <w:sz w:val="24"/>
          <w:szCs w:val="24"/>
        </w:rPr>
        <w:t>若改变估价目的及使用条件，需向本公司咨询后作必要调整甚至重新估价。</w:t>
      </w:r>
      <w:r>
        <w:rPr>
          <w:rFonts w:hint="eastAsia" w:ascii="宋体" w:hAnsi="宋体"/>
          <w:sz w:val="24"/>
          <w:szCs w:val="24"/>
        </w:rPr>
        <w:t>凡因估价委托人使用估价报告不当而引起的后果，评估机构和估价人员不承担相应的责任。</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2.评估报告结论系为估价委托人提供专业化估价意见，这个意见本身并无强制执行的效力，评估者只对结论本身合乎规范要求负责，而不对资产业务的定价决策负责。报告使用人应详细阅读报告全部内容，对报告整体使用。</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3. 报告使用者应合理使用评估价值。本次评估结论为价值时点的价值，假设在此期间房地产市场价格保持持续稳定，且未考虑国家宏观经济政策发生重大变化以及遇有自然力和其他不可抗力对估价结论的影响。价值时点后，估价报告有效期内，如果估价对象的质量及价格标准发生变化，或房地产市场变化较大并对估价对象产生明显影响时，不能直接使用本估价结论。</w:t>
      </w:r>
    </w:p>
    <w:p>
      <w:pPr>
        <w:widowControl/>
        <w:spacing w:line="360" w:lineRule="auto"/>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.本报告估价报告使用期限(估价报告应用的有效期)自本</w:t>
      </w:r>
      <w:r>
        <w:rPr>
          <w:rFonts w:ascii="宋体" w:hAnsi="宋体" w:cs="宋体"/>
          <w:sz w:val="24"/>
          <w:szCs w:val="24"/>
        </w:rPr>
        <w:t>估价报告出具之日</w:t>
      </w:r>
      <w:r>
        <w:rPr>
          <w:rFonts w:hint="eastAsia" w:ascii="宋体" w:hAnsi="宋体" w:cs="宋体"/>
          <w:sz w:val="24"/>
          <w:szCs w:val="24"/>
        </w:rPr>
        <w:t>起计算一年。如果使用本估价结果报告的时间超过了估价报告使用期限(估价报告应用的有效期)，我们对此结果造成的损失不承担责任。建议报告使用人在房地产市场变化较大情况下适时对委评房地产进行再评估。</w:t>
      </w:r>
    </w:p>
    <w:p>
      <w:pPr>
        <w:widowControl/>
        <w:spacing w:line="360" w:lineRule="auto"/>
        <w:ind w:firstLine="480" w:firstLineChars="200"/>
        <w:rPr>
          <w:rFonts w:hint="eastAsia" w:ascii="宋体" w:hAnsi="宋体" w:cs="宋体"/>
          <w:sz w:val="24"/>
          <w:szCs w:val="24"/>
        </w:rPr>
      </w:pPr>
      <w:r>
        <w:rPr>
          <w:rFonts w:hint="eastAsia" w:ascii="宋体" w:hAnsi="宋体" w:cs="宋体"/>
          <w:sz w:val="24"/>
          <w:szCs w:val="24"/>
        </w:rPr>
        <w:t>5.未经本评估机构和估价人员的同意，估价报告不得向估价委托人及报告审查部门以外的单位及个人提供，本估价报告的全部或其部分内容不得发表于任何公开媒体上，凡因估价委托人使用估价报告不当而引起的后果，评估机构和估价人员不承担相应的责任。报告解释权为本评估机构所有。</w:t>
      </w:r>
      <w:bookmarkStart w:id="7" w:name="_Toc28221"/>
    </w:p>
    <w:p>
      <w:pPr>
        <w:widowControl/>
        <w:spacing w:line="360" w:lineRule="auto"/>
        <w:ind w:firstLine="480" w:firstLineChars="200"/>
        <w:rPr>
          <w:rFonts w:hint="eastAsia" w:ascii="宋体" w:hAnsi="宋体" w:cs="宋体"/>
          <w:sz w:val="24"/>
          <w:szCs w:val="24"/>
        </w:rPr>
      </w:pPr>
    </w:p>
    <w:p>
      <w:pPr>
        <w:widowControl/>
        <w:spacing w:line="360" w:lineRule="auto"/>
        <w:ind w:firstLine="480" w:firstLineChars="200"/>
        <w:rPr>
          <w:rFonts w:hint="eastAsia" w:ascii="宋体" w:hAnsi="宋体" w:cs="宋体"/>
          <w:sz w:val="24"/>
          <w:szCs w:val="24"/>
        </w:rPr>
      </w:pPr>
    </w:p>
    <w:p>
      <w:pPr>
        <w:pStyle w:val="2"/>
        <w:spacing w:line="360" w:lineRule="auto"/>
        <w:ind w:firstLine="2233" w:firstLineChars="695"/>
        <w:jc w:val="both"/>
        <w:rPr>
          <w:rFonts w:ascii="黑体" w:hAnsi="宋体" w:eastAsia="黑体" w:cs="Times New Roman"/>
          <w:b/>
          <w:bCs/>
          <w:sz w:val="32"/>
          <w:szCs w:val="32"/>
        </w:rPr>
      </w:pPr>
      <w:r>
        <w:rPr>
          <w:rFonts w:hint="eastAsia" w:ascii="黑体" w:hAnsi="宋体" w:eastAsia="黑体" w:cs="黑体"/>
          <w:b/>
          <w:bCs/>
          <w:sz w:val="32"/>
          <w:szCs w:val="32"/>
        </w:rPr>
        <w:t>房地产估价结果报告</w:t>
      </w:r>
      <w:bookmarkEnd w:id="7"/>
    </w:p>
    <w:p>
      <w:pPr>
        <w:pStyle w:val="3"/>
        <w:snapToGrid/>
        <w:spacing w:line="360" w:lineRule="auto"/>
        <w:rPr>
          <w:rFonts w:hint="eastAsia" w:ascii="宋体" w:hAnsi="宋体" w:eastAsia="宋体" w:cs="宋体"/>
          <w:spacing w:val="10"/>
          <w:sz w:val="24"/>
          <w:szCs w:val="24"/>
        </w:rPr>
      </w:pPr>
      <w:bookmarkStart w:id="8" w:name="_Toc256000004"/>
      <w:bookmarkStart w:id="9" w:name="_Toc9867"/>
    </w:p>
    <w:p>
      <w:pPr>
        <w:pStyle w:val="3"/>
        <w:snapToGrid/>
        <w:spacing w:line="360" w:lineRule="auto"/>
        <w:rPr>
          <w:rFonts w:ascii="宋体" w:hAnsi="宋体" w:eastAsia="宋体" w:cs="宋体"/>
          <w:b w:val="0"/>
          <w:bCs w:val="0"/>
          <w:spacing w:val="10"/>
          <w:sz w:val="24"/>
          <w:szCs w:val="24"/>
          <w:lang w:val="zh-CN"/>
        </w:rPr>
      </w:pPr>
      <w:r>
        <w:rPr>
          <w:rFonts w:hint="eastAsia" w:ascii="宋体" w:hAnsi="宋体" w:eastAsia="宋体" w:cs="宋体"/>
          <w:spacing w:val="10"/>
          <w:sz w:val="24"/>
          <w:szCs w:val="24"/>
        </w:rPr>
        <w:t>一、估价委托人</w:t>
      </w:r>
      <w:bookmarkEnd w:id="8"/>
      <w:r>
        <w:rPr>
          <w:rFonts w:hint="eastAsia" w:ascii="宋体" w:hAnsi="宋体" w:eastAsia="宋体" w:cs="宋体"/>
          <w:spacing w:val="10"/>
          <w:sz w:val="24"/>
          <w:szCs w:val="24"/>
        </w:rPr>
        <w:t>：</w:t>
      </w:r>
      <w:bookmarkEnd w:id="9"/>
      <w:r>
        <w:rPr>
          <w:rFonts w:hint="eastAsia" w:ascii="宋体" w:hAnsi="宋体" w:eastAsia="宋体" w:cs="宋体"/>
          <w:b w:val="0"/>
          <w:bCs w:val="0"/>
          <w:spacing w:val="10"/>
          <w:sz w:val="24"/>
          <w:szCs w:val="24"/>
          <w:lang w:val="zh-CN"/>
        </w:rPr>
        <w:t>湖南省新晃侗族自治县人民法院</w:t>
      </w:r>
    </w:p>
    <w:p>
      <w:pPr>
        <w:pStyle w:val="18"/>
        <w:spacing w:line="360" w:lineRule="auto"/>
        <w:ind w:firstLine="555"/>
        <w:rPr>
          <w:rFonts w:hAnsi="宋体"/>
          <w:spacing w:val="10"/>
          <w:sz w:val="24"/>
          <w:szCs w:val="24"/>
          <w:lang w:val="zh-CN"/>
        </w:rPr>
      </w:pPr>
      <w:r>
        <w:rPr>
          <w:rFonts w:hint="eastAsia" w:hAnsi="宋体"/>
          <w:b/>
          <w:bCs/>
          <w:spacing w:val="10"/>
          <w:sz w:val="24"/>
          <w:szCs w:val="24"/>
        </w:rPr>
        <w:t>地址：</w:t>
      </w:r>
      <w:r>
        <w:rPr>
          <w:rFonts w:hint="eastAsia" w:hAnsi="宋体"/>
          <w:spacing w:val="10"/>
          <w:sz w:val="24"/>
          <w:szCs w:val="24"/>
        </w:rPr>
        <w:t>新晃侗族自治县新晃镇人民路108号</w:t>
      </w:r>
    </w:p>
    <w:p>
      <w:pPr>
        <w:widowControl/>
        <w:spacing w:line="360" w:lineRule="auto"/>
        <w:ind w:firstLine="519" w:firstLineChars="199"/>
        <w:rPr>
          <w:rFonts w:ascii="宋体" w:hAnsi="宋体" w:cs="宋体"/>
          <w:spacing w:val="10"/>
          <w:sz w:val="24"/>
          <w:szCs w:val="24"/>
          <w:lang w:val="zh-CN"/>
        </w:rPr>
      </w:pPr>
      <w:r>
        <w:rPr>
          <w:rFonts w:hint="eastAsia" w:ascii="宋体" w:hAnsi="宋体" w:cs="宋体"/>
          <w:b/>
          <w:bCs/>
          <w:spacing w:val="10"/>
          <w:sz w:val="24"/>
          <w:szCs w:val="24"/>
        </w:rPr>
        <w:t xml:space="preserve">联系人： </w:t>
      </w:r>
      <w:r>
        <w:rPr>
          <w:rFonts w:hint="eastAsia" w:ascii="宋体" w:hAnsi="宋体" w:cs="宋体"/>
          <w:spacing w:val="10"/>
          <w:sz w:val="24"/>
          <w:szCs w:val="24"/>
          <w:lang w:val="zh-CN"/>
        </w:rPr>
        <w:t xml:space="preserve">易琳杰 </w:t>
      </w:r>
    </w:p>
    <w:p>
      <w:pPr>
        <w:pStyle w:val="18"/>
        <w:spacing w:line="360" w:lineRule="auto"/>
        <w:ind w:left="552" w:leftChars="263"/>
        <w:rPr>
          <w:rFonts w:hAnsi="宋体"/>
          <w:spacing w:val="10"/>
          <w:sz w:val="24"/>
          <w:szCs w:val="24"/>
          <w:lang w:val="zh-CN"/>
        </w:rPr>
      </w:pPr>
      <w:r>
        <w:rPr>
          <w:rFonts w:hint="eastAsia" w:hAnsi="宋体"/>
          <w:b/>
          <w:bCs/>
          <w:spacing w:val="10"/>
          <w:sz w:val="24"/>
          <w:szCs w:val="24"/>
        </w:rPr>
        <w:t xml:space="preserve">联系电话： </w:t>
      </w:r>
      <w:r>
        <w:rPr>
          <w:rFonts w:hint="eastAsia" w:hAnsi="宋体"/>
          <w:spacing w:val="10"/>
          <w:sz w:val="24"/>
          <w:szCs w:val="24"/>
          <w:lang w:val="zh-CN"/>
        </w:rPr>
        <w:t xml:space="preserve">13787555859 </w:t>
      </w:r>
    </w:p>
    <w:p>
      <w:pPr>
        <w:pStyle w:val="3"/>
        <w:snapToGrid/>
        <w:spacing w:line="360" w:lineRule="auto"/>
        <w:rPr>
          <w:rFonts w:ascii="宋体" w:hAnsi="宋体" w:eastAsia="宋体"/>
          <w:b w:val="0"/>
          <w:bCs w:val="0"/>
          <w:spacing w:val="10"/>
          <w:sz w:val="24"/>
          <w:szCs w:val="24"/>
        </w:rPr>
      </w:pPr>
      <w:bookmarkStart w:id="10" w:name="_Toc256000006"/>
      <w:bookmarkStart w:id="11" w:name="_Toc26782"/>
      <w:r>
        <w:rPr>
          <w:rFonts w:hint="eastAsia" w:ascii="宋体" w:hAnsi="宋体" w:eastAsia="宋体" w:cs="宋体"/>
          <w:spacing w:val="10"/>
          <w:sz w:val="24"/>
          <w:szCs w:val="24"/>
        </w:rPr>
        <w:t>二、房地产估价机构</w:t>
      </w:r>
      <w:r>
        <w:rPr>
          <w:rFonts w:hint="eastAsia" w:ascii="宋体" w:hAnsi="宋体"/>
          <w:spacing w:val="10"/>
          <w:sz w:val="24"/>
          <w:szCs w:val="24"/>
        </w:rPr>
        <w:t>：</w:t>
      </w:r>
    </w:p>
    <w:p>
      <w:pPr>
        <w:widowControl/>
        <w:snapToGrid w:val="0"/>
        <w:spacing w:line="360" w:lineRule="auto"/>
        <w:ind w:firstLine="470" w:firstLineChars="196"/>
        <w:rPr>
          <w:rFonts w:ascii="宋体" w:hAnsi="宋体"/>
          <w:bCs/>
          <w:sz w:val="24"/>
          <w:szCs w:val="24"/>
        </w:rPr>
      </w:pPr>
      <w:r>
        <w:rPr>
          <w:rFonts w:hint="eastAsia" w:ascii="宋体" w:hAnsi="宋体"/>
          <w:bCs/>
          <w:sz w:val="24"/>
          <w:szCs w:val="24"/>
        </w:rPr>
        <w:t>机构</w:t>
      </w:r>
      <w:r>
        <w:rPr>
          <w:rFonts w:ascii="宋体" w:hAnsi="宋体"/>
          <w:bCs/>
          <w:sz w:val="24"/>
          <w:szCs w:val="24"/>
        </w:rPr>
        <w:t>名称</w:t>
      </w:r>
      <w:r>
        <w:rPr>
          <w:rFonts w:hint="eastAsia" w:ascii="宋体" w:hAnsi="宋体"/>
          <w:bCs/>
          <w:sz w:val="24"/>
          <w:szCs w:val="24"/>
        </w:rPr>
        <w:t>：湖南经典房地产评估咨询有限公司</w:t>
      </w:r>
    </w:p>
    <w:p>
      <w:pPr>
        <w:widowControl/>
        <w:snapToGrid w:val="0"/>
        <w:spacing w:line="360" w:lineRule="auto"/>
        <w:ind w:firstLine="470" w:firstLineChars="196"/>
        <w:rPr>
          <w:rFonts w:ascii="宋体" w:hAnsi="宋体"/>
          <w:sz w:val="24"/>
          <w:szCs w:val="24"/>
        </w:rPr>
      </w:pPr>
      <w:r>
        <w:rPr>
          <w:rFonts w:hint="eastAsia" w:ascii="宋体" w:hAnsi="宋体"/>
          <w:bCs/>
          <w:sz w:val="24"/>
          <w:szCs w:val="24"/>
        </w:rPr>
        <w:t>法定代表人：</w:t>
      </w:r>
      <w:r>
        <w:rPr>
          <w:rFonts w:hint="eastAsia" w:ascii="宋体" w:hAnsi="宋体"/>
          <w:sz w:val="24"/>
          <w:szCs w:val="24"/>
        </w:rPr>
        <w:t>罗峰</w:t>
      </w:r>
    </w:p>
    <w:p>
      <w:pPr>
        <w:widowControl/>
        <w:snapToGrid w:val="0"/>
        <w:spacing w:line="360" w:lineRule="auto"/>
        <w:ind w:firstLine="470" w:firstLineChars="196"/>
        <w:rPr>
          <w:rFonts w:ascii="宋体" w:hAnsi="宋体"/>
          <w:sz w:val="24"/>
          <w:szCs w:val="24"/>
        </w:rPr>
      </w:pPr>
      <w:r>
        <w:rPr>
          <w:rFonts w:hint="eastAsia" w:ascii="宋体" w:hAnsi="宋体"/>
          <w:bCs/>
          <w:sz w:val="24"/>
          <w:szCs w:val="24"/>
        </w:rPr>
        <w:t>住所：</w:t>
      </w:r>
      <w:r>
        <w:rPr>
          <w:rFonts w:hint="eastAsia" w:ascii="宋体" w:hAnsi="宋体"/>
          <w:sz w:val="24"/>
          <w:szCs w:val="24"/>
        </w:rPr>
        <w:t>长沙市芙蓉区芙蓉中路80号顺天财富中心</w:t>
      </w:r>
    </w:p>
    <w:p>
      <w:pPr>
        <w:widowControl/>
        <w:snapToGrid w:val="0"/>
        <w:spacing w:line="360" w:lineRule="auto"/>
        <w:ind w:firstLine="470" w:firstLineChars="196"/>
        <w:rPr>
          <w:rFonts w:ascii="宋体" w:hAnsi="宋体"/>
          <w:sz w:val="24"/>
          <w:szCs w:val="24"/>
        </w:rPr>
      </w:pPr>
      <w:r>
        <w:rPr>
          <w:rFonts w:hint="eastAsia" w:ascii="宋体" w:hAnsi="宋体"/>
          <w:sz w:val="24"/>
          <w:szCs w:val="24"/>
        </w:rPr>
        <w:t>备案等级：原一级</w:t>
      </w:r>
    </w:p>
    <w:p>
      <w:pPr>
        <w:widowControl/>
        <w:snapToGrid w:val="0"/>
        <w:spacing w:line="360" w:lineRule="auto"/>
        <w:ind w:firstLine="470" w:firstLineChars="196"/>
        <w:rPr>
          <w:rFonts w:ascii="宋体" w:hAnsi="宋体"/>
          <w:sz w:val="24"/>
          <w:szCs w:val="24"/>
        </w:rPr>
      </w:pPr>
      <w:r>
        <w:rPr>
          <w:rFonts w:hint="eastAsia" w:ascii="宋体" w:hAnsi="宋体"/>
          <w:bCs/>
          <w:sz w:val="24"/>
          <w:szCs w:val="24"/>
        </w:rPr>
        <w:t>备案证书编号：</w:t>
      </w:r>
      <w:r>
        <w:rPr>
          <w:rFonts w:hint="eastAsia" w:ascii="宋体" w:hAnsi="宋体"/>
          <w:sz w:val="24"/>
          <w:szCs w:val="24"/>
        </w:rPr>
        <w:t>湘建房估（长）字第0110008号</w:t>
      </w:r>
    </w:p>
    <w:p>
      <w:pPr>
        <w:widowControl/>
        <w:snapToGrid w:val="0"/>
        <w:spacing w:line="360" w:lineRule="auto"/>
        <w:ind w:firstLine="470" w:firstLineChars="196"/>
        <w:rPr>
          <w:rFonts w:ascii="宋体" w:hAnsi="宋体"/>
          <w:sz w:val="24"/>
          <w:szCs w:val="24"/>
        </w:rPr>
      </w:pPr>
      <w:r>
        <w:rPr>
          <w:rFonts w:hint="eastAsia" w:ascii="宋体" w:hAnsi="宋体"/>
          <w:sz w:val="24"/>
          <w:szCs w:val="24"/>
        </w:rPr>
        <w:t>有效期限：2018年5月7日至2021年5月6日</w:t>
      </w:r>
    </w:p>
    <w:p>
      <w:pPr>
        <w:widowControl/>
        <w:snapToGrid w:val="0"/>
        <w:spacing w:line="360" w:lineRule="auto"/>
        <w:ind w:firstLine="470" w:firstLineChars="196"/>
        <w:rPr>
          <w:rFonts w:ascii="宋体" w:hAnsi="宋体"/>
          <w:sz w:val="24"/>
          <w:szCs w:val="24"/>
        </w:rPr>
      </w:pPr>
      <w:r>
        <w:rPr>
          <w:rFonts w:hint="eastAsia" w:ascii="宋体" w:hAnsi="宋体"/>
          <w:bCs/>
          <w:sz w:val="24"/>
          <w:szCs w:val="24"/>
        </w:rPr>
        <w:t>营业执照统一社会信用代码</w:t>
      </w:r>
      <w:r>
        <w:rPr>
          <w:rFonts w:hint="eastAsia" w:ascii="宋体" w:hAnsi="宋体"/>
          <w:sz w:val="24"/>
          <w:szCs w:val="24"/>
        </w:rPr>
        <w:t>：914301027808945858</w:t>
      </w:r>
    </w:p>
    <w:p>
      <w:pPr>
        <w:spacing w:line="360" w:lineRule="auto"/>
        <w:ind w:firstLine="480" w:firstLineChars="200"/>
        <w:rPr>
          <w:rFonts w:ascii="宋体" w:hAnsi="宋体"/>
          <w:sz w:val="24"/>
          <w:szCs w:val="24"/>
        </w:rPr>
      </w:pPr>
      <w:r>
        <w:rPr>
          <w:rFonts w:hint="eastAsia" w:ascii="宋体" w:hAnsi="宋体"/>
          <w:sz w:val="24"/>
          <w:szCs w:val="24"/>
        </w:rPr>
        <w:t>联系电话：0731-82255674、84455233</w:t>
      </w:r>
    </w:p>
    <w:p>
      <w:pPr>
        <w:pStyle w:val="3"/>
        <w:snapToGrid/>
        <w:spacing w:line="360" w:lineRule="auto"/>
        <w:rPr>
          <w:rFonts w:ascii="宋体" w:hAnsi="宋体" w:eastAsia="宋体" w:cs="宋体"/>
          <w:b w:val="0"/>
          <w:spacing w:val="10"/>
          <w:sz w:val="24"/>
          <w:szCs w:val="24"/>
        </w:rPr>
      </w:pPr>
      <w:r>
        <w:rPr>
          <w:rFonts w:hint="eastAsia" w:ascii="宋体" w:hAnsi="宋体" w:eastAsia="宋体" w:cs="宋体"/>
          <w:spacing w:val="10"/>
          <w:sz w:val="24"/>
          <w:szCs w:val="24"/>
        </w:rPr>
        <w:t>三、估价目的</w:t>
      </w:r>
      <w:bookmarkEnd w:id="10"/>
      <w:bookmarkEnd w:id="11"/>
      <w:r>
        <w:rPr>
          <w:rFonts w:hint="eastAsia" w:ascii="宋体" w:hAnsi="宋体" w:eastAsia="宋体" w:cs="宋体"/>
          <w:spacing w:val="10"/>
          <w:sz w:val="24"/>
          <w:szCs w:val="24"/>
        </w:rPr>
        <w:t>：</w:t>
      </w:r>
      <w:r>
        <w:rPr>
          <w:rFonts w:hint="eastAsia" w:ascii="宋体" w:hAnsi="宋体" w:eastAsia="宋体" w:cs="宋体"/>
          <w:b w:val="0"/>
          <w:spacing w:val="10"/>
          <w:sz w:val="24"/>
          <w:szCs w:val="24"/>
        </w:rPr>
        <w:t>为估价委托人司法办案提供价格参考依据而评估房地产市场价值。</w:t>
      </w:r>
    </w:p>
    <w:p>
      <w:pPr>
        <w:pStyle w:val="3"/>
        <w:snapToGrid/>
        <w:spacing w:line="360" w:lineRule="auto"/>
        <w:rPr>
          <w:rFonts w:ascii="宋体" w:eastAsia="宋体" w:cs="Times New Roman"/>
          <w:b w:val="0"/>
          <w:bCs w:val="0"/>
          <w:spacing w:val="10"/>
          <w:sz w:val="24"/>
          <w:szCs w:val="24"/>
        </w:rPr>
      </w:pPr>
      <w:bookmarkStart w:id="12" w:name="_Toc609"/>
      <w:bookmarkStart w:id="13" w:name="_Toc256000007"/>
      <w:r>
        <w:rPr>
          <w:rFonts w:hint="eastAsia" w:ascii="宋体" w:hAnsi="宋体" w:eastAsia="宋体" w:cs="宋体"/>
          <w:spacing w:val="10"/>
          <w:sz w:val="24"/>
          <w:szCs w:val="24"/>
        </w:rPr>
        <w:t>四、估价对象</w:t>
      </w:r>
      <w:bookmarkEnd w:id="12"/>
      <w:bookmarkEnd w:id="13"/>
    </w:p>
    <w:p>
      <w:pPr>
        <w:widowControl/>
        <w:tabs>
          <w:tab w:val="center" w:pos="3713"/>
          <w:tab w:val="left" w:pos="4935"/>
        </w:tabs>
        <w:spacing w:line="360" w:lineRule="auto"/>
        <w:ind w:firstLine="520" w:firstLineChars="200"/>
        <w:rPr>
          <w:rFonts w:ascii="宋体" w:hAnsi="宋体"/>
          <w:spacing w:val="10"/>
          <w:sz w:val="24"/>
          <w:szCs w:val="24"/>
        </w:rPr>
      </w:pPr>
      <w:bookmarkStart w:id="14" w:name="_Toc25215"/>
      <w:bookmarkStart w:id="15" w:name="_Toc256000008"/>
      <w:r>
        <w:rPr>
          <w:rFonts w:ascii="宋体" w:hAnsi="宋体"/>
          <w:spacing w:val="10"/>
          <w:sz w:val="24"/>
          <w:szCs w:val="24"/>
        </w:rPr>
        <w:t>1</w:t>
      </w:r>
      <w:r>
        <w:rPr>
          <w:rFonts w:hint="eastAsia" w:ascii="宋体" w:hAnsi="宋体"/>
          <w:spacing w:val="10"/>
          <w:sz w:val="24"/>
          <w:szCs w:val="24"/>
        </w:rPr>
        <w:t>、估价对象财产范围</w:t>
      </w:r>
    </w:p>
    <w:p>
      <w:pPr>
        <w:tabs>
          <w:tab w:val="left" w:pos="0"/>
        </w:tabs>
        <w:spacing w:line="360" w:lineRule="auto"/>
        <w:ind w:left="107" w:leftChars="51" w:firstLine="522" w:firstLineChars="201"/>
        <w:rPr>
          <w:rFonts w:ascii="宋体" w:hAnsi="宋体"/>
          <w:sz w:val="24"/>
        </w:rPr>
      </w:pPr>
      <w:r>
        <w:rPr>
          <w:rFonts w:hint="eastAsia" w:ascii="宋体" w:hAnsi="宋体"/>
          <w:spacing w:val="10"/>
          <w:sz w:val="24"/>
          <w:szCs w:val="24"/>
        </w:rPr>
        <w:t>估价对象位于新晃县农业综合办背后503号,住宅建筑面积共121.73平方米</w:t>
      </w:r>
      <w:r>
        <w:rPr>
          <w:rFonts w:hint="eastAsia" w:ascii="宋体" w:hAnsi="宋体" w:cs="宋体"/>
          <w:bCs/>
          <w:sz w:val="24"/>
          <w:szCs w:val="24"/>
        </w:rPr>
        <w:t>，财产</w:t>
      </w:r>
      <w:r>
        <w:rPr>
          <w:rFonts w:hint="eastAsia"/>
          <w:sz w:val="24"/>
          <w:szCs w:val="24"/>
        </w:rPr>
        <w:t>范围包括委估房屋(含房屋室内装修)及其占用范围内的土地使用权。</w:t>
      </w:r>
    </w:p>
    <w:p>
      <w:pPr>
        <w:widowControl/>
        <w:spacing w:line="360" w:lineRule="auto"/>
        <w:ind w:firstLine="480" w:firstLineChars="200"/>
        <w:rPr>
          <w:rFonts w:ascii="宋体" w:hAnsi="宋体"/>
          <w:sz w:val="24"/>
        </w:rPr>
      </w:pPr>
      <w:r>
        <w:rPr>
          <w:rFonts w:hint="eastAsia" w:ascii="宋体" w:hAnsi="宋体"/>
          <w:sz w:val="24"/>
        </w:rPr>
        <w:t>2、估价对象基本状况</w:t>
      </w:r>
    </w:p>
    <w:p>
      <w:pPr>
        <w:tabs>
          <w:tab w:val="left" w:pos="0"/>
        </w:tabs>
        <w:spacing w:line="360" w:lineRule="auto"/>
        <w:ind w:firstLine="480" w:firstLineChars="200"/>
        <w:rPr>
          <w:rFonts w:ascii="宋体" w:hAnsi="宋体"/>
          <w:spacing w:val="10"/>
          <w:sz w:val="24"/>
          <w:szCs w:val="24"/>
        </w:rPr>
      </w:pPr>
      <w:r>
        <w:rPr>
          <w:rFonts w:hint="eastAsia" w:ascii="宋体" w:hAnsi="宋体"/>
          <w:sz w:val="24"/>
        </w:rPr>
        <w:t>（1）名称：</w:t>
      </w:r>
      <w:r>
        <w:rPr>
          <w:rFonts w:hint="eastAsia" w:ascii="宋体" w:hAnsi="宋体"/>
          <w:spacing w:val="10"/>
          <w:sz w:val="24"/>
          <w:szCs w:val="24"/>
        </w:rPr>
        <w:t>杨顺钊、田冬竹单独所有的住宅</w:t>
      </w:r>
    </w:p>
    <w:p>
      <w:pPr>
        <w:tabs>
          <w:tab w:val="left" w:pos="0"/>
        </w:tabs>
        <w:spacing w:line="360" w:lineRule="auto"/>
        <w:ind w:firstLine="480" w:firstLineChars="200"/>
        <w:rPr>
          <w:rFonts w:ascii="宋体" w:hAnsi="宋体"/>
          <w:sz w:val="24"/>
        </w:rPr>
      </w:pPr>
      <w:r>
        <w:rPr>
          <w:rFonts w:hint="eastAsia" w:ascii="宋体" w:hAnsi="宋体"/>
          <w:sz w:val="24"/>
        </w:rPr>
        <w:t>（2）坐落：</w:t>
      </w:r>
      <w:r>
        <w:rPr>
          <w:rFonts w:hint="eastAsia" w:ascii="宋体" w:hAnsi="宋体"/>
          <w:spacing w:val="10"/>
          <w:sz w:val="24"/>
          <w:szCs w:val="24"/>
        </w:rPr>
        <w:t>新晃县农业综合办背后503号</w:t>
      </w:r>
    </w:p>
    <w:p>
      <w:pPr>
        <w:tabs>
          <w:tab w:val="left" w:pos="0"/>
        </w:tabs>
        <w:spacing w:line="360" w:lineRule="auto"/>
        <w:ind w:firstLine="480" w:firstLineChars="200"/>
        <w:rPr>
          <w:rFonts w:ascii="宋体" w:hAnsi="宋体"/>
          <w:spacing w:val="10"/>
          <w:sz w:val="24"/>
          <w:szCs w:val="24"/>
        </w:rPr>
      </w:pPr>
      <w:r>
        <w:rPr>
          <w:rFonts w:hint="eastAsia" w:ascii="宋体" w:hAnsi="宋体"/>
          <w:sz w:val="24"/>
        </w:rPr>
        <w:t>（3）规模：</w:t>
      </w:r>
      <w:r>
        <w:rPr>
          <w:rFonts w:hint="eastAsia" w:ascii="宋体" w:hAnsi="宋体"/>
          <w:spacing w:val="10"/>
          <w:sz w:val="24"/>
          <w:szCs w:val="24"/>
        </w:rPr>
        <w:t>建筑面积121.73平方米；层数：估价对象所在楼栋总层数5层，估价对象房地产位于第5层；层高2.8米。</w:t>
      </w:r>
    </w:p>
    <w:p>
      <w:pPr>
        <w:tabs>
          <w:tab w:val="left" w:pos="0"/>
        </w:tabs>
        <w:spacing w:line="360" w:lineRule="auto"/>
        <w:ind w:firstLine="480" w:firstLineChars="200"/>
        <w:rPr>
          <w:rFonts w:ascii="宋体" w:hAnsi="宋体"/>
          <w:sz w:val="24"/>
        </w:rPr>
      </w:pPr>
      <w:r>
        <w:rPr>
          <w:rFonts w:hint="eastAsia" w:ascii="宋体" w:hAnsi="宋体"/>
          <w:sz w:val="24"/>
        </w:rPr>
        <w:t>（4）用途：规划用途为住宅</w:t>
      </w:r>
    </w:p>
    <w:p>
      <w:pPr>
        <w:spacing w:line="360" w:lineRule="auto"/>
        <w:ind w:firstLine="480" w:firstLineChars="200"/>
        <w:rPr>
          <w:rFonts w:ascii="宋体" w:hAnsi="宋体"/>
          <w:sz w:val="24"/>
        </w:rPr>
      </w:pPr>
      <w:r>
        <w:rPr>
          <w:rFonts w:hint="eastAsia" w:ascii="宋体" w:hAnsi="宋体"/>
          <w:sz w:val="24"/>
        </w:rPr>
        <w:t>（5）权属：</w:t>
      </w:r>
    </w:p>
    <w:p>
      <w:pPr>
        <w:spacing w:line="360" w:lineRule="auto"/>
        <w:ind w:firstLine="480" w:firstLineChars="200"/>
        <w:rPr>
          <w:rFonts w:ascii="宋体" w:hAnsi="宋体"/>
          <w:sz w:val="24"/>
        </w:rPr>
      </w:pPr>
      <w:r>
        <w:rPr>
          <w:rFonts w:hint="eastAsia" w:ascii="宋体" w:hAnsi="宋体"/>
          <w:sz w:val="24"/>
        </w:rPr>
        <w:t>估价对象已办理</w:t>
      </w:r>
      <w:r>
        <w:rPr>
          <w:rFonts w:hint="eastAsia" w:ascii="宋体" w:hAnsi="宋体" w:cs="宋体"/>
          <w:spacing w:val="10"/>
          <w:sz w:val="24"/>
          <w:szCs w:val="24"/>
        </w:rPr>
        <w:t>房屋所有权证、国有土地使用权证，</w:t>
      </w:r>
      <w:r>
        <w:rPr>
          <w:rFonts w:hint="eastAsia" w:ascii="宋体" w:hAnsi="宋体"/>
          <w:sz w:val="24"/>
        </w:rPr>
        <w:t>房屋规划用途为住宅，房屋所有权人为杨顺钊、田冬竹，</w:t>
      </w:r>
      <w:r>
        <w:rPr>
          <w:rFonts w:hint="eastAsia" w:ascii="宋体" w:hAnsi="宋体" w:cs="宋体"/>
          <w:spacing w:val="10"/>
          <w:sz w:val="24"/>
          <w:szCs w:val="24"/>
        </w:rPr>
        <w:t>房屋所有权证、国有土地使用权证登记情况</w:t>
      </w:r>
      <w:r>
        <w:rPr>
          <w:rFonts w:hint="eastAsia" w:ascii="宋体" w:hAnsi="宋体"/>
          <w:sz w:val="24"/>
        </w:rPr>
        <w:t>具体如下：</w:t>
      </w:r>
    </w:p>
    <w:p>
      <w:pPr>
        <w:spacing w:line="360" w:lineRule="auto"/>
        <w:ind w:firstLine="480" w:firstLineChars="200"/>
        <w:rPr>
          <w:rFonts w:ascii="宋体" w:hAnsi="宋体"/>
          <w:sz w:val="24"/>
        </w:rPr>
      </w:pPr>
      <w:r>
        <w:rPr>
          <w:rFonts w:hint="eastAsia" w:ascii="宋体" w:hAnsi="宋体"/>
          <w:sz w:val="24"/>
        </w:rPr>
        <w:t>房屋所有权证证号：晃房权证新晃字第00033255号；房屋所有权人：杨顺钊、田冬竹；共有情况：单独所有；房屋坐落：新晃县农业综合办背后503房；规划用途：住宅；房号：503；结构：混合；层数：5；层次：5层；建筑面积：121.73平方米；登记日期：2013年7月2号；附记：抵押权登记:2019.12.31</w:t>
      </w:r>
    </w:p>
    <w:p>
      <w:pPr>
        <w:spacing w:line="360" w:lineRule="auto"/>
        <w:ind w:firstLine="480" w:firstLineChars="200"/>
        <w:rPr>
          <w:rFonts w:hint="eastAsia" w:ascii="宋体" w:hAnsi="宋体"/>
          <w:sz w:val="24"/>
        </w:rPr>
      </w:pPr>
      <w:r>
        <w:rPr>
          <w:rFonts w:hint="eastAsia" w:ascii="宋体" w:hAnsi="宋体"/>
          <w:sz w:val="24"/>
        </w:rPr>
        <w:t>土地使用证证号：晃国用（2013）第767号；土地使用权人：杨顺钊、田冬竹；坐落：新晃县</w:t>
      </w:r>
      <w:r>
        <w:rPr>
          <w:rFonts w:hint="eastAsia" w:ascii="宋体" w:hAnsi="宋体"/>
          <w:sz w:val="24"/>
          <w:lang w:val="en-US" w:eastAsia="zh-CN"/>
        </w:rPr>
        <w:t>城</w:t>
      </w:r>
      <w:r>
        <w:rPr>
          <w:rFonts w:hint="eastAsia" w:ascii="宋体" w:hAnsi="宋体"/>
          <w:sz w:val="24"/>
        </w:rPr>
        <w:t>农业综合</w:t>
      </w:r>
      <w:r>
        <w:rPr>
          <w:rFonts w:hint="eastAsia" w:ascii="宋体" w:hAnsi="宋体"/>
          <w:sz w:val="24"/>
          <w:lang w:val="en-US" w:eastAsia="zh-CN"/>
        </w:rPr>
        <w:t>开发</w:t>
      </w:r>
      <w:r>
        <w:rPr>
          <w:rFonts w:hint="eastAsia" w:ascii="宋体" w:hAnsi="宋体"/>
          <w:sz w:val="24"/>
        </w:rPr>
        <w:t>办背后；</w:t>
      </w:r>
      <w:r>
        <w:rPr>
          <w:rFonts w:hint="eastAsia" w:ascii="宋体" w:hAnsi="宋体"/>
          <w:sz w:val="24"/>
          <w:lang w:val="en-US" w:eastAsia="zh-CN"/>
        </w:rPr>
        <w:t>地号：036-0009；图号：3027.00-565.75；</w:t>
      </w:r>
      <w:r>
        <w:rPr>
          <w:rFonts w:hint="eastAsia" w:ascii="宋体" w:hAnsi="宋体"/>
          <w:sz w:val="24"/>
        </w:rPr>
        <w:t>地类（用途）：城镇住宅</w:t>
      </w:r>
      <w:r>
        <w:rPr>
          <w:rFonts w:hint="eastAsia" w:ascii="宋体" w:hAnsi="宋体"/>
          <w:sz w:val="24"/>
          <w:lang w:val="en-US" w:eastAsia="zh-CN"/>
        </w:rPr>
        <w:t>用地</w:t>
      </w:r>
      <w:r>
        <w:rPr>
          <w:rFonts w:hint="eastAsia" w:ascii="宋体" w:hAnsi="宋体"/>
          <w:sz w:val="24"/>
        </w:rPr>
        <w:t>；使用权类型：出让；使用权面积：395.61平方米，其中分摊使用面积：27.05平方米</w:t>
      </w:r>
    </w:p>
    <w:p>
      <w:pPr>
        <w:spacing w:line="360" w:lineRule="auto"/>
        <w:ind w:firstLine="480" w:firstLineChars="200"/>
        <w:rPr>
          <w:rFonts w:ascii="宋体" w:hAnsi="宋体"/>
          <w:sz w:val="24"/>
        </w:rPr>
      </w:pPr>
      <w:r>
        <w:rPr>
          <w:rFonts w:hint="eastAsia" w:ascii="宋体" w:hAnsi="宋体"/>
          <w:sz w:val="24"/>
        </w:rPr>
        <w:t>他项权利情况:</w:t>
      </w:r>
    </w:p>
    <w:p>
      <w:pPr>
        <w:widowControl/>
        <w:spacing w:line="360" w:lineRule="auto"/>
        <w:ind w:firstLine="480" w:firstLineChars="200"/>
        <w:jc w:val="left"/>
        <w:rPr>
          <w:rFonts w:ascii="宋体" w:hAnsi="宋体" w:cs="宋体"/>
          <w:spacing w:val="10"/>
          <w:sz w:val="24"/>
          <w:szCs w:val="24"/>
        </w:rPr>
      </w:pPr>
      <w:r>
        <w:rPr>
          <w:rFonts w:hint="eastAsia" w:ascii="宋体" w:hAnsi="宋体"/>
          <w:sz w:val="24"/>
        </w:rPr>
        <w:t>根据估价人员调查获悉，至估价时点，待估房地产已设立</w:t>
      </w:r>
      <w:r>
        <w:rPr>
          <w:rFonts w:ascii="宋体" w:hAnsi="宋体"/>
          <w:sz w:val="24"/>
        </w:rPr>
        <w:t>抵押权</w:t>
      </w:r>
      <w:r>
        <w:rPr>
          <w:rFonts w:hint="eastAsia" w:ascii="宋体" w:hAnsi="宋体"/>
          <w:sz w:val="24"/>
        </w:rPr>
        <w:t>，抵押权证号：湘（2018）新晃县不动产证明第0003904号；权利人：湖南新晃农村商业银行股份有限公司；义务人：杨顺钊、田冬竹；债权数额：21万元；债务人：杨顺钊、田冬竹：债务履行期限：2019年12月24日至2022年12月24日；登记日期：:2019.12.31；根据本次估价目的，</w:t>
      </w:r>
      <w:r>
        <w:rPr>
          <w:rFonts w:hint="eastAsia" w:ascii="宋体" w:hAnsi="宋体" w:cs="宋体"/>
          <w:spacing w:val="10"/>
          <w:sz w:val="24"/>
          <w:szCs w:val="24"/>
        </w:rPr>
        <w:t xml:space="preserve">本次估价结果不考虑其抵押、查封对价值的影响。 </w:t>
      </w:r>
    </w:p>
    <w:p>
      <w:pPr>
        <w:widowControl/>
        <w:spacing w:line="360" w:lineRule="auto"/>
        <w:ind w:firstLine="480" w:firstLineChars="200"/>
        <w:jc w:val="left"/>
        <w:rPr>
          <w:rFonts w:ascii="宋体" w:hAnsi="宋体"/>
          <w:sz w:val="24"/>
          <w:szCs w:val="24"/>
        </w:rPr>
      </w:pPr>
      <w:r>
        <w:rPr>
          <w:rFonts w:ascii="宋体" w:hAnsi="宋体"/>
          <w:sz w:val="24"/>
          <w:szCs w:val="24"/>
        </w:rPr>
        <w:t>3.土地基本状况</w:t>
      </w:r>
      <w:r>
        <w:rPr>
          <w:rFonts w:hint="eastAsia" w:ascii="宋体" w:hAnsi="宋体"/>
          <w:sz w:val="24"/>
          <w:szCs w:val="24"/>
        </w:rPr>
        <w:t>：</w:t>
      </w:r>
    </w:p>
    <w:p>
      <w:pPr>
        <w:widowControl/>
        <w:spacing w:line="360" w:lineRule="auto"/>
        <w:ind w:firstLine="520" w:firstLineChars="200"/>
        <w:rPr>
          <w:rFonts w:ascii="宋体" w:hAnsi="宋体"/>
          <w:sz w:val="24"/>
        </w:rPr>
      </w:pPr>
      <w:r>
        <w:rPr>
          <w:rFonts w:hint="eastAsia" w:ascii="宋体" w:hAnsi="宋体"/>
          <w:spacing w:val="10"/>
          <w:sz w:val="24"/>
          <w:szCs w:val="24"/>
        </w:rPr>
        <w:t>（1）土地四至</w:t>
      </w:r>
      <w:r>
        <w:rPr>
          <w:rFonts w:hint="eastAsia" w:ascii="宋体" w:hAnsi="宋体"/>
          <w:sz w:val="24"/>
        </w:rPr>
        <w:t>：东临山地，南临山地，西临山地，北临塘湾路。</w:t>
      </w:r>
    </w:p>
    <w:p>
      <w:pPr>
        <w:widowControl/>
        <w:spacing w:line="360" w:lineRule="auto"/>
        <w:ind w:firstLine="520" w:firstLineChars="200"/>
        <w:rPr>
          <w:rFonts w:ascii="宋体" w:hAnsi="宋体"/>
          <w:spacing w:val="10"/>
          <w:sz w:val="24"/>
          <w:szCs w:val="24"/>
        </w:rPr>
      </w:pPr>
      <w:r>
        <w:rPr>
          <w:rFonts w:hint="eastAsia" w:ascii="宋体" w:hAnsi="宋体"/>
          <w:spacing w:val="10"/>
          <w:sz w:val="24"/>
          <w:szCs w:val="24"/>
        </w:rPr>
        <w:t>（2）土地形状：宗地形状较规则。</w:t>
      </w:r>
    </w:p>
    <w:p>
      <w:pPr>
        <w:widowControl/>
        <w:spacing w:line="360" w:lineRule="auto"/>
        <w:ind w:firstLine="520" w:firstLineChars="200"/>
        <w:rPr>
          <w:rFonts w:ascii="宋体" w:hAnsi="宋体"/>
          <w:spacing w:val="10"/>
          <w:sz w:val="24"/>
          <w:szCs w:val="24"/>
        </w:rPr>
      </w:pPr>
      <w:r>
        <w:rPr>
          <w:rFonts w:hint="eastAsia" w:ascii="宋体" w:hAnsi="宋体"/>
          <w:spacing w:val="10"/>
          <w:sz w:val="24"/>
          <w:szCs w:val="24"/>
        </w:rPr>
        <w:t>（3）开发程度：该区域基础配套设施为“五通”（通路、通电、供水、排水、通讯），不受水文状况影响、地基承载力达到规定要求，符合规划限制条件。</w:t>
      </w:r>
    </w:p>
    <w:p>
      <w:pPr>
        <w:widowControl/>
        <w:spacing w:line="360" w:lineRule="auto"/>
        <w:ind w:firstLine="520" w:firstLineChars="200"/>
        <w:rPr>
          <w:rFonts w:ascii="宋体" w:hAnsi="宋体"/>
          <w:spacing w:val="10"/>
          <w:sz w:val="24"/>
          <w:szCs w:val="24"/>
        </w:rPr>
      </w:pPr>
      <w:r>
        <w:rPr>
          <w:rFonts w:hint="eastAsia" w:ascii="宋体" w:hAnsi="宋体"/>
          <w:spacing w:val="10"/>
          <w:sz w:val="24"/>
          <w:szCs w:val="24"/>
        </w:rPr>
        <w:t>（4）土地使用期限：</w:t>
      </w:r>
      <w:r>
        <w:rPr>
          <w:rFonts w:hint="eastAsia" w:ascii="宋体" w:hAnsi="宋体"/>
          <w:spacing w:val="10"/>
          <w:sz w:val="24"/>
          <w:szCs w:val="24"/>
          <w:highlight w:val="none"/>
        </w:rPr>
        <w:t>土地使用权终止日期为</w:t>
      </w:r>
      <w:r>
        <w:rPr>
          <w:rFonts w:hint="eastAsia" w:ascii="宋体" w:hAnsi="宋体"/>
          <w:spacing w:val="10"/>
          <w:sz w:val="24"/>
          <w:szCs w:val="24"/>
          <w:highlight w:val="none"/>
          <w:lang w:val="en-US" w:eastAsia="zh-CN"/>
        </w:rPr>
        <w:t>2056</w:t>
      </w:r>
      <w:r>
        <w:rPr>
          <w:rFonts w:hint="eastAsia" w:ascii="宋体" w:hAnsi="宋体"/>
          <w:spacing w:val="10"/>
          <w:sz w:val="24"/>
          <w:szCs w:val="24"/>
          <w:highlight w:val="none"/>
        </w:rPr>
        <w:t>年</w:t>
      </w:r>
      <w:r>
        <w:rPr>
          <w:rFonts w:hint="eastAsia" w:ascii="宋体" w:hAnsi="宋体"/>
          <w:spacing w:val="10"/>
          <w:sz w:val="24"/>
          <w:szCs w:val="24"/>
          <w:highlight w:val="none"/>
          <w:lang w:val="en-US" w:eastAsia="zh-CN"/>
        </w:rPr>
        <w:t>07</w:t>
      </w:r>
      <w:r>
        <w:rPr>
          <w:rFonts w:hint="eastAsia" w:ascii="宋体" w:hAnsi="宋体"/>
          <w:spacing w:val="10"/>
          <w:sz w:val="24"/>
          <w:szCs w:val="24"/>
          <w:highlight w:val="none"/>
        </w:rPr>
        <w:t>月</w:t>
      </w:r>
      <w:r>
        <w:rPr>
          <w:rFonts w:hint="eastAsia" w:ascii="宋体" w:hAnsi="宋体"/>
          <w:spacing w:val="10"/>
          <w:sz w:val="24"/>
          <w:szCs w:val="24"/>
          <w:highlight w:val="none"/>
          <w:lang w:val="en-US" w:eastAsia="zh-CN"/>
        </w:rPr>
        <w:t>01</w:t>
      </w:r>
      <w:r>
        <w:rPr>
          <w:rFonts w:hint="eastAsia" w:ascii="宋体" w:hAnsi="宋体"/>
          <w:spacing w:val="10"/>
          <w:sz w:val="24"/>
          <w:szCs w:val="24"/>
          <w:highlight w:val="none"/>
        </w:rPr>
        <w:t>日。</w:t>
      </w:r>
    </w:p>
    <w:p>
      <w:pPr>
        <w:widowControl/>
        <w:spacing w:line="360" w:lineRule="auto"/>
        <w:ind w:firstLine="480" w:firstLineChars="200"/>
        <w:rPr>
          <w:rFonts w:ascii="宋体" w:hAnsi="宋体"/>
          <w:sz w:val="24"/>
          <w:szCs w:val="24"/>
        </w:rPr>
      </w:pPr>
      <w:r>
        <w:rPr>
          <w:rFonts w:hint="eastAsia" w:ascii="宋体" w:hAnsi="宋体"/>
          <w:sz w:val="24"/>
          <w:szCs w:val="24"/>
        </w:rPr>
        <w:t>4. 建筑物基本状况：</w:t>
      </w:r>
    </w:p>
    <w:p>
      <w:pPr>
        <w:widowControl/>
        <w:spacing w:line="360" w:lineRule="auto"/>
        <w:ind w:firstLine="520" w:firstLineChars="200"/>
        <w:rPr>
          <w:rFonts w:ascii="宋体" w:hAnsi="宋体"/>
          <w:spacing w:val="10"/>
          <w:sz w:val="24"/>
          <w:szCs w:val="24"/>
        </w:rPr>
      </w:pPr>
      <w:r>
        <w:rPr>
          <w:rFonts w:hint="eastAsia" w:ascii="宋体" w:hAnsi="宋体"/>
          <w:spacing w:val="10"/>
          <w:sz w:val="24"/>
          <w:szCs w:val="24"/>
        </w:rPr>
        <w:t>（1）建筑结构情况：估价对象为混合结构，建筑外观简洁、色彩明快，建筑群体组合关系比较和谐。估价对象为多层住宅楼，坐南朝北，层高为2.8米，户型为四房二厅二卫一厨，套内功能齐全，空间布局比较合理，通风采光良好。</w:t>
      </w:r>
    </w:p>
    <w:p>
      <w:pPr>
        <w:widowControl/>
        <w:spacing w:line="360" w:lineRule="auto"/>
        <w:ind w:firstLine="520" w:firstLineChars="200"/>
        <w:rPr>
          <w:rFonts w:ascii="宋体" w:hAnsi="宋体"/>
          <w:spacing w:val="10"/>
          <w:sz w:val="24"/>
          <w:szCs w:val="24"/>
        </w:rPr>
      </w:pPr>
      <w:r>
        <w:rPr>
          <w:rFonts w:hint="eastAsia" w:ascii="宋体" w:hAnsi="宋体"/>
          <w:spacing w:val="10"/>
          <w:sz w:val="24"/>
          <w:szCs w:val="24"/>
        </w:rPr>
        <w:t>（2）设施设备情况：估价对象为楼梯房，供水、排水、供电、照明、通讯等设施齐全且均能正常使用，室外公共配套设施完备程度较高。</w:t>
      </w:r>
    </w:p>
    <w:p>
      <w:pPr>
        <w:widowControl/>
        <w:spacing w:line="360" w:lineRule="auto"/>
        <w:ind w:firstLine="520" w:firstLineChars="200"/>
        <w:rPr>
          <w:rFonts w:ascii="宋体" w:hAnsi="宋体"/>
          <w:spacing w:val="10"/>
          <w:sz w:val="24"/>
          <w:szCs w:val="24"/>
        </w:rPr>
      </w:pPr>
      <w:r>
        <w:rPr>
          <w:rFonts w:hint="eastAsia" w:ascii="宋体" w:hAnsi="宋体"/>
          <w:spacing w:val="10"/>
          <w:sz w:val="24"/>
          <w:szCs w:val="24"/>
        </w:rPr>
        <w:t>（3）装饰装修情况：入户门为防盗门，室内为双包木门；室内客餐厅地面铺地板砖，主卧室地面铺木地板，厨卫地面为防滑地砖；内墙刷双飞粉部分刷墙漆，厨卫为</w:t>
      </w:r>
      <w:r>
        <w:rPr>
          <w:rFonts w:ascii="宋体" w:hAnsi="宋体"/>
          <w:spacing w:val="10"/>
          <w:sz w:val="24"/>
          <w:szCs w:val="24"/>
        </w:rPr>
        <w:t>墙面</w:t>
      </w:r>
      <w:r>
        <w:rPr>
          <w:rFonts w:hint="eastAsia" w:ascii="宋体" w:hAnsi="宋体"/>
          <w:spacing w:val="10"/>
          <w:sz w:val="24"/>
          <w:szCs w:val="24"/>
        </w:rPr>
        <w:t>砖到顶；天棚刷双飞粉，厨卫为扣板吊顶；外窗为铝合金窗。</w:t>
      </w:r>
    </w:p>
    <w:p>
      <w:pPr>
        <w:widowControl/>
        <w:spacing w:line="360" w:lineRule="auto"/>
        <w:ind w:firstLine="520" w:firstLineChars="200"/>
      </w:pPr>
      <w:r>
        <w:rPr>
          <w:rFonts w:hint="eastAsia" w:ascii="宋体" w:hAnsi="宋体"/>
          <w:spacing w:val="10"/>
          <w:sz w:val="24"/>
          <w:szCs w:val="24"/>
        </w:rPr>
        <w:t>（4</w:t>
      </w:r>
      <w:r>
        <w:rPr>
          <w:rFonts w:ascii="宋体" w:hAnsi="宋体"/>
          <w:spacing w:val="10"/>
          <w:sz w:val="24"/>
          <w:szCs w:val="24"/>
        </w:rPr>
        <w:t>）</w:t>
      </w:r>
      <w:r>
        <w:rPr>
          <w:rFonts w:hint="eastAsia" w:ascii="宋体" w:hAnsi="宋体"/>
          <w:spacing w:val="10"/>
          <w:sz w:val="24"/>
          <w:szCs w:val="24"/>
        </w:rPr>
        <w:t>使用及</w:t>
      </w:r>
      <w:r>
        <w:rPr>
          <w:rFonts w:ascii="宋体" w:hAnsi="宋体"/>
          <w:spacing w:val="10"/>
          <w:sz w:val="24"/>
          <w:szCs w:val="24"/>
        </w:rPr>
        <w:t>维护状况</w:t>
      </w:r>
      <w:r>
        <w:rPr>
          <w:rFonts w:hint="eastAsia" w:ascii="宋体" w:hAnsi="宋体"/>
          <w:spacing w:val="10"/>
          <w:sz w:val="24"/>
          <w:szCs w:val="24"/>
        </w:rPr>
        <w:t>（</w:t>
      </w:r>
      <w:r>
        <w:rPr>
          <w:rFonts w:ascii="宋体" w:hAnsi="宋体"/>
          <w:spacing w:val="10"/>
          <w:sz w:val="24"/>
          <w:szCs w:val="24"/>
        </w:rPr>
        <w:t>新旧程度</w:t>
      </w:r>
      <w:r>
        <w:rPr>
          <w:rFonts w:hint="eastAsia" w:ascii="宋体" w:hAnsi="宋体"/>
          <w:spacing w:val="10"/>
          <w:sz w:val="24"/>
          <w:szCs w:val="24"/>
        </w:rPr>
        <w:t>）</w:t>
      </w:r>
      <w:r>
        <w:rPr>
          <w:rFonts w:ascii="宋体" w:hAnsi="宋体"/>
          <w:spacing w:val="10"/>
          <w:sz w:val="24"/>
          <w:szCs w:val="24"/>
        </w:rPr>
        <w:t>：</w:t>
      </w:r>
      <w:r>
        <w:rPr>
          <w:rFonts w:hint="eastAsia" w:ascii="宋体" w:hAnsi="宋体"/>
          <w:spacing w:val="10"/>
          <w:sz w:val="24"/>
          <w:szCs w:val="24"/>
        </w:rPr>
        <w:t>估价对象为已通过综合验收的房屋，工程质量优。</w:t>
      </w:r>
      <w:r>
        <w:rPr>
          <w:rFonts w:ascii="宋体" w:hAnsi="宋体"/>
          <w:spacing w:val="10"/>
          <w:sz w:val="24"/>
          <w:szCs w:val="24"/>
        </w:rPr>
        <w:t>估价对象现状用途为住宅，至</w:t>
      </w:r>
      <w:r>
        <w:rPr>
          <w:rFonts w:hint="eastAsia" w:ascii="宋体" w:hAnsi="宋体"/>
          <w:spacing w:val="10"/>
          <w:sz w:val="24"/>
          <w:szCs w:val="24"/>
        </w:rPr>
        <w:t>价值</w:t>
      </w:r>
      <w:r>
        <w:rPr>
          <w:rFonts w:ascii="宋体" w:hAnsi="宋体"/>
          <w:spacing w:val="10"/>
          <w:sz w:val="24"/>
          <w:szCs w:val="24"/>
        </w:rPr>
        <w:t>时点的</w:t>
      </w:r>
      <w:r>
        <w:rPr>
          <w:rFonts w:hint="eastAsia" w:ascii="宋体" w:hAnsi="宋体"/>
          <w:spacing w:val="10"/>
          <w:sz w:val="24"/>
          <w:szCs w:val="24"/>
        </w:rPr>
        <w:t>使用状况为自用。使用及维护状况优，完损程度为一般完好房。</w:t>
      </w:r>
    </w:p>
    <w:p>
      <w:pPr>
        <w:pStyle w:val="3"/>
        <w:tabs>
          <w:tab w:val="left" w:pos="142"/>
          <w:tab w:val="left" w:pos="284"/>
          <w:tab w:val="left" w:pos="426"/>
        </w:tabs>
        <w:snapToGrid/>
        <w:spacing w:line="360" w:lineRule="auto"/>
        <w:rPr>
          <w:rFonts w:ascii="宋体" w:hAnsi="宋体" w:eastAsia="宋体" w:cs="Times New Roman"/>
          <w:b w:val="0"/>
          <w:bCs w:val="0"/>
          <w:spacing w:val="10"/>
          <w:sz w:val="24"/>
          <w:szCs w:val="24"/>
        </w:rPr>
      </w:pPr>
      <w:r>
        <w:rPr>
          <w:rFonts w:hint="eastAsia" w:ascii="宋体" w:hAnsi="宋体" w:eastAsia="宋体" w:cs="宋体"/>
          <w:spacing w:val="10"/>
          <w:sz w:val="24"/>
          <w:szCs w:val="24"/>
        </w:rPr>
        <w:t>五、价值时点</w:t>
      </w:r>
      <w:bookmarkEnd w:id="14"/>
      <w:bookmarkEnd w:id="15"/>
      <w:bookmarkStart w:id="16" w:name="_Toc256000009"/>
      <w:bookmarkStart w:id="17" w:name="_Toc26338"/>
    </w:p>
    <w:p>
      <w:pPr>
        <w:spacing w:line="360" w:lineRule="auto"/>
        <w:ind w:firstLine="480" w:firstLineChars="200"/>
        <w:rPr>
          <w:color w:val="FF0000"/>
        </w:rPr>
      </w:pPr>
      <w:r>
        <w:rPr>
          <w:rFonts w:hint="eastAsia" w:ascii="宋体" w:hAnsi="宋体"/>
          <w:sz w:val="24"/>
          <w:szCs w:val="24"/>
        </w:rPr>
        <w:t>根据本次评估目的，确定价值时点为委托书填发之日：2021年</w:t>
      </w:r>
      <w:r>
        <w:rPr>
          <w:rFonts w:hint="eastAsia" w:ascii="宋体" w:hAnsi="宋体" w:cs="宋体"/>
          <w:sz w:val="24"/>
          <w:szCs w:val="24"/>
        </w:rPr>
        <w:t>7月7日</w:t>
      </w:r>
      <w:r>
        <w:rPr>
          <w:rFonts w:hint="eastAsia" w:ascii="宋体" w:hAnsi="宋体"/>
          <w:sz w:val="24"/>
          <w:szCs w:val="24"/>
        </w:rPr>
        <w:t>。</w:t>
      </w:r>
    </w:p>
    <w:p>
      <w:pPr>
        <w:pStyle w:val="3"/>
        <w:tabs>
          <w:tab w:val="left" w:pos="142"/>
          <w:tab w:val="left" w:pos="284"/>
          <w:tab w:val="left" w:pos="426"/>
        </w:tabs>
        <w:snapToGrid/>
        <w:spacing w:line="360" w:lineRule="auto"/>
        <w:rPr>
          <w:rFonts w:ascii="宋体" w:eastAsia="宋体" w:cs="Times New Roman"/>
          <w:spacing w:val="10"/>
          <w:sz w:val="24"/>
          <w:szCs w:val="24"/>
        </w:rPr>
      </w:pPr>
      <w:r>
        <w:rPr>
          <w:rFonts w:hint="eastAsia" w:ascii="宋体" w:hAnsi="宋体" w:eastAsia="宋体" w:cs="宋体"/>
          <w:spacing w:val="10"/>
          <w:sz w:val="24"/>
          <w:szCs w:val="24"/>
        </w:rPr>
        <w:t>六、价值类型</w:t>
      </w:r>
      <w:bookmarkEnd w:id="16"/>
      <w:bookmarkEnd w:id="17"/>
    </w:p>
    <w:p>
      <w:pPr>
        <w:widowControl/>
        <w:spacing w:line="360" w:lineRule="auto"/>
        <w:ind w:firstLine="520" w:firstLineChars="200"/>
        <w:rPr>
          <w:rFonts w:ascii="宋体"/>
          <w:spacing w:val="10"/>
          <w:sz w:val="24"/>
          <w:szCs w:val="24"/>
        </w:rPr>
      </w:pPr>
      <w:r>
        <w:rPr>
          <w:rFonts w:hint="eastAsia" w:ascii="宋体" w:hAnsi="宋体" w:cs="宋体"/>
          <w:spacing w:val="10"/>
          <w:sz w:val="24"/>
          <w:szCs w:val="24"/>
        </w:rPr>
        <w:t>本次评估为估价对象房地产市场价值。是指估价对象经适当营销，由熟悉情况、谨慎行事且没有被迫的交易双方，以公平交易方式在价值日期自愿进行交易的金额。</w:t>
      </w:r>
    </w:p>
    <w:p>
      <w:pPr>
        <w:pStyle w:val="3"/>
        <w:snapToGrid/>
        <w:spacing w:line="360" w:lineRule="auto"/>
        <w:rPr>
          <w:rFonts w:ascii="宋体" w:hAnsi="宋体" w:eastAsia="宋体" w:cs="Times New Roman"/>
          <w:spacing w:val="10"/>
          <w:sz w:val="24"/>
          <w:szCs w:val="24"/>
        </w:rPr>
      </w:pPr>
      <w:bookmarkStart w:id="18" w:name="_Toc256000010"/>
      <w:bookmarkStart w:id="19" w:name="_Toc9397"/>
      <w:r>
        <w:rPr>
          <w:rFonts w:hint="eastAsia" w:ascii="宋体" w:hAnsi="宋体" w:eastAsia="宋体" w:cs="宋体"/>
          <w:spacing w:val="10"/>
          <w:sz w:val="24"/>
          <w:szCs w:val="24"/>
        </w:rPr>
        <w:t>七、估价原则</w:t>
      </w:r>
      <w:bookmarkEnd w:id="18"/>
      <w:bookmarkEnd w:id="19"/>
    </w:p>
    <w:p>
      <w:pPr>
        <w:widowControl/>
        <w:spacing w:line="360" w:lineRule="auto"/>
        <w:ind w:firstLine="520" w:firstLineChars="200"/>
        <w:rPr>
          <w:rFonts w:ascii="宋体" w:hAnsi="宋体" w:cs="宋体"/>
          <w:spacing w:val="10"/>
          <w:sz w:val="24"/>
          <w:szCs w:val="24"/>
        </w:rPr>
      </w:pPr>
      <w:bookmarkStart w:id="20" w:name="_Toc7868"/>
      <w:bookmarkStart w:id="21" w:name="_Toc256000011"/>
      <w:r>
        <w:rPr>
          <w:rFonts w:hint="eastAsia" w:ascii="宋体" w:hAnsi="宋体" w:cs="宋体"/>
          <w:spacing w:val="10"/>
          <w:sz w:val="24"/>
          <w:szCs w:val="24"/>
        </w:rPr>
        <w:t>房地产估价遵循独立、客观、公正、合法等。具体有如下几点：</w:t>
      </w:r>
    </w:p>
    <w:p>
      <w:pPr>
        <w:widowControl/>
        <w:spacing w:line="360" w:lineRule="auto"/>
        <w:ind w:firstLine="520" w:firstLineChars="200"/>
        <w:rPr>
          <w:rFonts w:ascii="宋体"/>
          <w:spacing w:val="10"/>
          <w:sz w:val="24"/>
          <w:szCs w:val="24"/>
        </w:rPr>
      </w:pPr>
      <w:r>
        <w:rPr>
          <w:rFonts w:ascii="宋体" w:hAnsi="宋体" w:cs="宋体"/>
          <w:spacing w:val="10"/>
          <w:sz w:val="24"/>
          <w:szCs w:val="24"/>
        </w:rPr>
        <w:t>1.</w:t>
      </w:r>
      <w:r>
        <w:rPr>
          <w:rFonts w:hint="eastAsia" w:ascii="宋体" w:hAnsi="宋体" w:cs="宋体"/>
          <w:spacing w:val="10"/>
          <w:sz w:val="24"/>
          <w:szCs w:val="24"/>
        </w:rPr>
        <w:t>独立、客观、公正原则：要求注册房地产估价师和房地产估价机构站在中立的立场上，实事求是、公平正直地评估出对各方估价利害关系人均是公平合理的价值或价格的原则。</w:t>
      </w:r>
    </w:p>
    <w:p>
      <w:pPr>
        <w:widowControl/>
        <w:spacing w:line="360" w:lineRule="auto"/>
        <w:ind w:firstLine="520" w:firstLineChars="200"/>
        <w:rPr>
          <w:rFonts w:ascii="宋体"/>
          <w:spacing w:val="10"/>
          <w:sz w:val="24"/>
          <w:szCs w:val="24"/>
        </w:rPr>
      </w:pPr>
      <w:r>
        <w:rPr>
          <w:rFonts w:ascii="宋体" w:hAnsi="宋体" w:cs="宋体"/>
          <w:spacing w:val="10"/>
          <w:sz w:val="24"/>
          <w:szCs w:val="24"/>
        </w:rPr>
        <w:t>2.</w:t>
      </w:r>
      <w:r>
        <w:rPr>
          <w:rFonts w:hint="eastAsia" w:ascii="宋体" w:hAnsi="宋体" w:cs="宋体"/>
          <w:spacing w:val="10"/>
          <w:sz w:val="24"/>
          <w:szCs w:val="24"/>
        </w:rPr>
        <w:t>合法原则：要求估价结果是在依法判定的估价对象状况下的价值或价格的原则。</w:t>
      </w:r>
    </w:p>
    <w:p>
      <w:pPr>
        <w:widowControl/>
        <w:spacing w:line="360" w:lineRule="auto"/>
        <w:ind w:firstLine="520" w:firstLineChars="200"/>
        <w:rPr>
          <w:rFonts w:ascii="宋体"/>
          <w:spacing w:val="10"/>
          <w:sz w:val="24"/>
          <w:szCs w:val="24"/>
        </w:rPr>
      </w:pPr>
      <w:r>
        <w:rPr>
          <w:rFonts w:ascii="宋体" w:hAnsi="宋体" w:cs="宋体"/>
          <w:spacing w:val="10"/>
          <w:sz w:val="24"/>
          <w:szCs w:val="24"/>
        </w:rPr>
        <w:t>3.</w:t>
      </w:r>
      <w:r>
        <w:rPr>
          <w:rFonts w:hint="eastAsia" w:ascii="宋体" w:hAnsi="宋体" w:cs="宋体"/>
          <w:spacing w:val="10"/>
          <w:sz w:val="24"/>
          <w:szCs w:val="24"/>
        </w:rPr>
        <w:t>价值时点原则：要求估价结果是在根据估价目的确定的某一特定时间的价值或价格的原则。</w:t>
      </w:r>
    </w:p>
    <w:p>
      <w:pPr>
        <w:widowControl/>
        <w:spacing w:line="360" w:lineRule="auto"/>
        <w:ind w:left="2" w:leftChars="1" w:firstLine="520" w:firstLineChars="200"/>
        <w:rPr>
          <w:rFonts w:ascii="宋体"/>
          <w:spacing w:val="10"/>
          <w:sz w:val="24"/>
          <w:szCs w:val="24"/>
        </w:rPr>
      </w:pPr>
      <w:r>
        <w:rPr>
          <w:rFonts w:ascii="宋体" w:hAnsi="宋体" w:cs="宋体"/>
          <w:spacing w:val="10"/>
          <w:sz w:val="24"/>
          <w:szCs w:val="24"/>
        </w:rPr>
        <w:t>4.</w:t>
      </w:r>
      <w:r>
        <w:rPr>
          <w:rFonts w:hint="eastAsia" w:ascii="宋体" w:hAnsi="宋体" w:cs="宋体"/>
          <w:spacing w:val="10"/>
          <w:sz w:val="24"/>
          <w:szCs w:val="24"/>
        </w:rPr>
        <w:t>替代原则：要求估价结果与估价对象的类似房地产在同等条件下的价值或价格偏差在合理范围内的原则。</w:t>
      </w:r>
    </w:p>
    <w:p>
      <w:pPr>
        <w:widowControl/>
        <w:spacing w:line="360" w:lineRule="auto"/>
        <w:ind w:firstLine="520" w:firstLineChars="200"/>
        <w:rPr>
          <w:rFonts w:ascii="宋体" w:hAnsi="宋体" w:cs="宋体"/>
          <w:spacing w:val="10"/>
          <w:sz w:val="24"/>
          <w:szCs w:val="24"/>
        </w:rPr>
      </w:pPr>
      <w:r>
        <w:rPr>
          <w:rFonts w:ascii="宋体" w:hAnsi="宋体" w:cs="宋体"/>
          <w:spacing w:val="10"/>
          <w:sz w:val="24"/>
          <w:szCs w:val="24"/>
        </w:rPr>
        <w:t>5.</w:t>
      </w:r>
      <w:r>
        <w:rPr>
          <w:rFonts w:hint="eastAsia" w:ascii="宋体" w:hAnsi="宋体" w:cs="宋体"/>
          <w:spacing w:val="10"/>
          <w:sz w:val="24"/>
          <w:szCs w:val="24"/>
        </w:rPr>
        <w:t>最高最佳利用原则：要求估价结果是在估价对象最高最佳利用状况下的价值或价格的原则，最高最佳利用是指房地产在法律上允许、技术上可能、财务上可行并使价值最大的合理、可能的利用，包括最佳的用途、规模和档次等。</w:t>
      </w:r>
    </w:p>
    <w:p>
      <w:pPr>
        <w:pStyle w:val="3"/>
        <w:snapToGrid/>
        <w:spacing w:line="360" w:lineRule="auto"/>
        <w:rPr>
          <w:rFonts w:ascii="宋体" w:hAnsi="宋体" w:eastAsia="宋体" w:cs="Times New Roman"/>
          <w:b w:val="0"/>
          <w:bCs w:val="0"/>
          <w:spacing w:val="10"/>
          <w:sz w:val="24"/>
          <w:szCs w:val="24"/>
        </w:rPr>
      </w:pPr>
      <w:r>
        <w:rPr>
          <w:rFonts w:hint="eastAsia" w:ascii="宋体" w:hAnsi="宋体" w:eastAsia="宋体" w:cs="宋体"/>
          <w:spacing w:val="10"/>
          <w:sz w:val="24"/>
          <w:szCs w:val="24"/>
        </w:rPr>
        <w:t>八、估价依据</w:t>
      </w:r>
      <w:bookmarkEnd w:id="20"/>
      <w:bookmarkEnd w:id="21"/>
    </w:p>
    <w:p>
      <w:pPr>
        <w:pStyle w:val="11"/>
        <w:widowControl/>
        <w:spacing w:line="360" w:lineRule="auto"/>
        <w:rPr>
          <w:rFonts w:ascii="宋体" w:hAnsi="宋体" w:eastAsia="宋体" w:cs="Times New Roman"/>
          <w:sz w:val="24"/>
          <w:szCs w:val="24"/>
        </w:rPr>
      </w:pPr>
      <w:r>
        <w:rPr>
          <w:rFonts w:hint="eastAsia" w:ascii="宋体" w:hAnsi="宋体" w:eastAsia="宋体" w:cs="宋体"/>
          <w:sz w:val="24"/>
          <w:szCs w:val="24"/>
        </w:rPr>
        <w:t>（一）法律、法规和政策性文件</w:t>
      </w:r>
    </w:p>
    <w:p>
      <w:pPr>
        <w:pStyle w:val="11"/>
        <w:widowControl/>
        <w:spacing w:line="360" w:lineRule="auto"/>
        <w:ind w:firstLine="480" w:firstLineChars="200"/>
        <w:rPr>
          <w:rFonts w:ascii="宋体" w:hAnsi="宋体" w:eastAsia="宋体"/>
          <w:sz w:val="24"/>
          <w:szCs w:val="24"/>
        </w:rPr>
      </w:pPr>
      <w:r>
        <w:rPr>
          <w:rFonts w:hint="eastAsia" w:ascii="宋体" w:hAnsi="宋体" w:eastAsia="宋体"/>
          <w:sz w:val="24"/>
          <w:szCs w:val="24"/>
        </w:rPr>
        <w:t>1.《中华人民共和国资产评估法》（中华人民共和国主席令第46号）</w:t>
      </w:r>
    </w:p>
    <w:p>
      <w:pPr>
        <w:pStyle w:val="11"/>
        <w:widowControl/>
        <w:spacing w:line="360" w:lineRule="auto"/>
        <w:ind w:firstLine="480" w:firstLineChars="200"/>
        <w:rPr>
          <w:rFonts w:ascii="宋体" w:hAnsi="宋体" w:eastAsia="宋体"/>
          <w:sz w:val="24"/>
          <w:szCs w:val="24"/>
        </w:rPr>
      </w:pPr>
      <w:r>
        <w:rPr>
          <w:rFonts w:hint="eastAsia" w:ascii="宋体" w:hAnsi="宋体" w:eastAsia="宋体"/>
          <w:sz w:val="24"/>
          <w:szCs w:val="24"/>
        </w:rPr>
        <w:t>2.《中华人民共和国城市房地产管理法》（中华人民共和国主席令第</w:t>
      </w:r>
      <w:r>
        <w:rPr>
          <w:rFonts w:ascii="宋体" w:hAnsi="宋体" w:eastAsia="宋体"/>
          <w:sz w:val="24"/>
          <w:szCs w:val="24"/>
        </w:rPr>
        <w:t>32</w:t>
      </w:r>
      <w:r>
        <w:rPr>
          <w:rFonts w:hint="eastAsia" w:ascii="宋体" w:hAnsi="宋体" w:eastAsia="宋体"/>
          <w:sz w:val="24"/>
          <w:szCs w:val="24"/>
        </w:rPr>
        <w:t>号）</w:t>
      </w:r>
    </w:p>
    <w:p>
      <w:pPr>
        <w:pStyle w:val="11"/>
        <w:widowControl/>
        <w:spacing w:line="360" w:lineRule="auto"/>
        <w:ind w:firstLine="480" w:firstLineChars="200"/>
        <w:rPr>
          <w:rFonts w:ascii="宋体" w:hAnsi="宋体" w:eastAsia="宋体"/>
          <w:sz w:val="24"/>
          <w:szCs w:val="24"/>
        </w:rPr>
      </w:pPr>
      <w:r>
        <w:rPr>
          <w:rFonts w:hint="eastAsia" w:ascii="宋体" w:hAnsi="宋体" w:eastAsia="宋体"/>
          <w:sz w:val="24"/>
          <w:szCs w:val="24"/>
        </w:rPr>
        <w:t>3.《中华人民共和国土地管理法》</w:t>
      </w:r>
      <w:r>
        <w:rPr>
          <w:rFonts w:ascii="宋体" w:hAnsi="宋体" w:eastAsia="宋体"/>
          <w:sz w:val="24"/>
          <w:szCs w:val="24"/>
        </w:rPr>
        <w:t>（</w:t>
      </w:r>
      <w:r>
        <w:rPr>
          <w:rFonts w:hint="eastAsia" w:ascii="宋体" w:hAnsi="宋体" w:eastAsia="宋体"/>
          <w:sz w:val="24"/>
          <w:szCs w:val="24"/>
        </w:rPr>
        <w:t>中华人民共和国</w:t>
      </w:r>
      <w:r>
        <w:rPr>
          <w:rFonts w:ascii="宋体" w:hAnsi="宋体" w:eastAsia="宋体"/>
          <w:sz w:val="24"/>
          <w:szCs w:val="24"/>
        </w:rPr>
        <w:t>主席令第32号）</w:t>
      </w:r>
    </w:p>
    <w:p>
      <w:pPr>
        <w:pStyle w:val="11"/>
        <w:widowControl/>
        <w:spacing w:line="360" w:lineRule="auto"/>
        <w:ind w:firstLine="480" w:firstLineChars="200"/>
        <w:rPr>
          <w:rFonts w:ascii="宋体" w:hAnsi="宋体" w:eastAsia="宋体" w:cs="Times New Roman"/>
          <w:sz w:val="24"/>
          <w:szCs w:val="24"/>
        </w:rPr>
      </w:pPr>
      <w:r>
        <w:rPr>
          <w:rFonts w:ascii="宋体" w:hAnsi="宋体" w:eastAsia="宋体" w:cs="宋体"/>
          <w:sz w:val="24"/>
          <w:szCs w:val="24"/>
        </w:rPr>
        <w:t xml:space="preserve">4. </w:t>
      </w:r>
      <w:r>
        <w:rPr>
          <w:rFonts w:hint="eastAsia" w:ascii="宋体" w:hAnsi="宋体" w:eastAsia="宋体" w:cs="宋体"/>
          <w:sz w:val="24"/>
          <w:szCs w:val="24"/>
        </w:rPr>
        <w:t>《中华人民共和国土地管理法实施条例》（国务院令第</w:t>
      </w:r>
      <w:r>
        <w:rPr>
          <w:rFonts w:ascii="宋体" w:hAnsi="宋体" w:eastAsia="宋体" w:cs="宋体"/>
          <w:sz w:val="24"/>
          <w:szCs w:val="24"/>
        </w:rPr>
        <w:t>256</w:t>
      </w:r>
      <w:r>
        <w:rPr>
          <w:rFonts w:hint="eastAsia" w:ascii="宋体" w:hAnsi="宋体" w:eastAsia="宋体" w:cs="宋体"/>
          <w:sz w:val="24"/>
          <w:szCs w:val="24"/>
        </w:rPr>
        <w:t>号）</w:t>
      </w:r>
    </w:p>
    <w:p>
      <w:pPr>
        <w:ind w:firstLine="480" w:firstLineChars="200"/>
      </w:pPr>
      <w:r>
        <w:rPr>
          <w:rFonts w:hint="eastAsia" w:ascii="宋体" w:hAnsi="宋体" w:cs="宋体"/>
          <w:sz w:val="24"/>
          <w:szCs w:val="24"/>
        </w:rPr>
        <w:t>5</w:t>
      </w:r>
      <w:r>
        <w:rPr>
          <w:rFonts w:ascii="宋体" w:hAnsi="宋体" w:cs="宋体"/>
          <w:sz w:val="24"/>
          <w:szCs w:val="24"/>
        </w:rPr>
        <w:t xml:space="preserve">. </w:t>
      </w:r>
      <w:r>
        <w:rPr>
          <w:rFonts w:hint="eastAsia" w:ascii="宋体" w:hAnsi="宋体"/>
          <w:sz w:val="24"/>
          <w:szCs w:val="24"/>
        </w:rPr>
        <w:t>《中华人民共和国民法典》（第十三届全国人民代表大会第三次会议通过）</w:t>
      </w:r>
    </w:p>
    <w:p>
      <w:pPr>
        <w:pStyle w:val="11"/>
        <w:widowControl/>
        <w:spacing w:line="360" w:lineRule="auto"/>
        <w:ind w:firstLine="480" w:firstLineChars="200"/>
        <w:rPr>
          <w:rFonts w:ascii="宋体" w:hAnsi="宋体" w:eastAsia="宋体"/>
          <w:sz w:val="24"/>
          <w:szCs w:val="24"/>
        </w:rPr>
      </w:pPr>
      <w:r>
        <w:rPr>
          <w:rFonts w:hint="eastAsia" w:ascii="宋体" w:hAnsi="宋体" w:eastAsia="宋体"/>
          <w:sz w:val="24"/>
          <w:szCs w:val="24"/>
        </w:rPr>
        <w:t>6.《中华人民共和国城市房屋权属登记管理办法》（中华人民共和国建设部令第168号）</w:t>
      </w:r>
    </w:p>
    <w:p>
      <w:pPr>
        <w:pStyle w:val="11"/>
        <w:widowControl/>
        <w:spacing w:line="360" w:lineRule="auto"/>
        <w:ind w:firstLine="480" w:firstLineChars="200"/>
        <w:rPr>
          <w:rFonts w:ascii="宋体" w:hAnsi="宋体" w:eastAsia="宋体"/>
          <w:sz w:val="24"/>
          <w:szCs w:val="24"/>
        </w:rPr>
      </w:pPr>
      <w:r>
        <w:rPr>
          <w:rFonts w:hint="eastAsia" w:ascii="宋体" w:hAnsi="宋体" w:eastAsia="宋体"/>
          <w:sz w:val="24"/>
          <w:szCs w:val="24"/>
        </w:rPr>
        <w:t>7.《不动产登记暂行条例》（国务院令第656号发布）</w:t>
      </w:r>
    </w:p>
    <w:p>
      <w:pPr>
        <w:pStyle w:val="11"/>
        <w:widowControl/>
        <w:spacing w:line="360" w:lineRule="auto"/>
        <w:ind w:firstLine="480" w:firstLineChars="200"/>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w:t>
      </w:r>
      <w:r>
        <w:rPr>
          <w:rFonts w:hint="eastAsia" w:ascii="宋体" w:hAnsi="宋体" w:eastAsia="宋体"/>
          <w:sz w:val="24"/>
          <w:szCs w:val="24"/>
        </w:rPr>
        <w:t>《不动产登记暂行条例实施细则》（中华人民共和国国土资源部令第63号）</w:t>
      </w:r>
    </w:p>
    <w:p>
      <w:pPr>
        <w:spacing w:line="360" w:lineRule="auto"/>
        <w:ind w:firstLine="424" w:firstLineChars="177"/>
        <w:rPr>
          <w:rFonts w:ascii="宋体" w:hAnsi="宋体"/>
          <w:sz w:val="24"/>
          <w:szCs w:val="24"/>
        </w:rPr>
      </w:pPr>
      <w:r>
        <w:rPr>
          <w:rFonts w:hint="eastAsia" w:ascii="宋体" w:hAnsi="宋体"/>
          <w:sz w:val="24"/>
          <w:szCs w:val="24"/>
        </w:rPr>
        <w:t>9.《湖南省城市房屋产权产籍管理条例》（湖南省第九届人民代表大会常务委员会第5公告）</w:t>
      </w:r>
    </w:p>
    <w:p>
      <w:pPr>
        <w:spacing w:line="360" w:lineRule="auto"/>
        <w:ind w:firstLine="424" w:firstLineChars="177"/>
        <w:rPr>
          <w:rFonts w:ascii="宋体" w:hAnsi="宋体"/>
          <w:sz w:val="24"/>
          <w:szCs w:val="24"/>
        </w:rPr>
      </w:pPr>
      <w:r>
        <w:rPr>
          <w:rFonts w:ascii="宋体" w:hAnsi="宋体"/>
          <w:sz w:val="24"/>
          <w:szCs w:val="24"/>
        </w:rPr>
        <w:t>1</w:t>
      </w:r>
      <w:r>
        <w:rPr>
          <w:rFonts w:hint="eastAsia" w:ascii="宋体" w:hAnsi="宋体"/>
          <w:sz w:val="24"/>
          <w:szCs w:val="24"/>
        </w:rPr>
        <w:t>0</w:t>
      </w:r>
      <w:r>
        <w:rPr>
          <w:rFonts w:ascii="宋体" w:hAnsi="宋体"/>
          <w:sz w:val="24"/>
          <w:szCs w:val="24"/>
        </w:rPr>
        <w:t>.</w:t>
      </w:r>
      <w:r>
        <w:rPr>
          <w:rFonts w:hint="eastAsia" w:ascii="宋体" w:hAnsi="宋体"/>
          <w:sz w:val="24"/>
          <w:szCs w:val="24"/>
        </w:rPr>
        <w:t>《财政部、国家税务总局关于廉租住房、经济适用住房和住房租赁有关税收政策的通知》（财税[</w:t>
      </w:r>
      <w:r>
        <w:rPr>
          <w:rFonts w:ascii="宋体" w:hAnsi="宋体"/>
          <w:sz w:val="24"/>
          <w:szCs w:val="24"/>
        </w:rPr>
        <w:t>2008]24号</w:t>
      </w:r>
      <w:r>
        <w:rPr>
          <w:rFonts w:hint="eastAsia" w:ascii="宋体" w:hAnsi="宋体"/>
          <w:sz w:val="24"/>
          <w:szCs w:val="24"/>
        </w:rPr>
        <w:t>）</w:t>
      </w:r>
    </w:p>
    <w:p>
      <w:pPr>
        <w:spacing w:line="360" w:lineRule="auto"/>
        <w:ind w:firstLine="424" w:firstLineChars="177"/>
        <w:rPr>
          <w:rFonts w:ascii="宋体" w:hAnsi="宋体"/>
          <w:sz w:val="24"/>
          <w:szCs w:val="24"/>
        </w:rPr>
      </w:pPr>
      <w:r>
        <w:rPr>
          <w:rFonts w:ascii="宋体" w:hAnsi="宋体"/>
          <w:sz w:val="24"/>
          <w:szCs w:val="24"/>
        </w:rPr>
        <w:t>1</w:t>
      </w:r>
      <w:r>
        <w:rPr>
          <w:rFonts w:hint="eastAsia" w:ascii="宋体" w:hAnsi="宋体"/>
          <w:sz w:val="24"/>
          <w:szCs w:val="24"/>
        </w:rPr>
        <w:t>1</w:t>
      </w:r>
      <w:r>
        <w:rPr>
          <w:rFonts w:ascii="宋体" w:hAnsi="宋体"/>
          <w:sz w:val="24"/>
          <w:szCs w:val="24"/>
        </w:rPr>
        <w:t>.</w:t>
      </w:r>
      <w:r>
        <w:rPr>
          <w:rFonts w:hint="eastAsia" w:ascii="宋体" w:hAnsi="宋体"/>
          <w:sz w:val="24"/>
          <w:szCs w:val="24"/>
        </w:rPr>
        <w:t xml:space="preserve"> 《国家税务总局关于发布&lt;</w:t>
      </w:r>
      <w:r>
        <w:rPr>
          <w:rFonts w:ascii="宋体" w:hAnsi="宋体"/>
          <w:sz w:val="24"/>
          <w:szCs w:val="24"/>
        </w:rPr>
        <w:t>纳税人提供不动产经营租赁服务增值税征收管理暂行办法</w:t>
      </w:r>
      <w:r>
        <w:rPr>
          <w:rFonts w:hint="eastAsia" w:ascii="宋体" w:hAnsi="宋体"/>
          <w:sz w:val="24"/>
          <w:szCs w:val="24"/>
        </w:rPr>
        <w:t>&gt;的公告》（国家税务总局公告2016年第16号）</w:t>
      </w:r>
    </w:p>
    <w:p>
      <w:pPr>
        <w:spacing w:line="360" w:lineRule="auto"/>
        <w:ind w:firstLine="424" w:firstLineChars="177"/>
        <w:rPr>
          <w:rFonts w:ascii="宋体" w:hAnsi="宋体"/>
          <w:sz w:val="24"/>
          <w:szCs w:val="24"/>
        </w:rPr>
      </w:pPr>
      <w:r>
        <w:rPr>
          <w:rFonts w:hint="eastAsia" w:ascii="宋体" w:hAnsi="宋体"/>
          <w:sz w:val="24"/>
          <w:szCs w:val="24"/>
        </w:rPr>
        <w:t>12</w:t>
      </w:r>
      <w:r>
        <w:rPr>
          <w:rFonts w:ascii="宋体" w:hAnsi="宋体"/>
          <w:sz w:val="24"/>
          <w:szCs w:val="24"/>
        </w:rPr>
        <w:t>.</w:t>
      </w:r>
      <w:r>
        <w:rPr>
          <w:rFonts w:hint="eastAsia" w:ascii="宋体" w:hAnsi="宋体"/>
          <w:sz w:val="24"/>
          <w:szCs w:val="24"/>
        </w:rPr>
        <w:t xml:space="preserve"> 《财政部、国家税务总局关于全面推开营业税改征增值税试点的通知》（财税[</w:t>
      </w:r>
      <w:r>
        <w:rPr>
          <w:rFonts w:ascii="宋体" w:hAnsi="宋体"/>
          <w:sz w:val="24"/>
          <w:szCs w:val="24"/>
        </w:rPr>
        <w:t>2016</w:t>
      </w:r>
      <w:r>
        <w:rPr>
          <w:rFonts w:hint="eastAsia" w:ascii="宋体" w:hAnsi="宋体"/>
          <w:sz w:val="24"/>
          <w:szCs w:val="24"/>
        </w:rPr>
        <w:t>]</w:t>
      </w:r>
      <w:r>
        <w:rPr>
          <w:rFonts w:ascii="宋体" w:hAnsi="宋体"/>
          <w:sz w:val="24"/>
          <w:szCs w:val="24"/>
        </w:rPr>
        <w:t>36号</w:t>
      </w:r>
      <w:r>
        <w:rPr>
          <w:rFonts w:hint="eastAsia" w:ascii="宋体" w:hAnsi="宋体"/>
          <w:sz w:val="24"/>
          <w:szCs w:val="24"/>
        </w:rPr>
        <w:t>）</w:t>
      </w:r>
    </w:p>
    <w:p>
      <w:pPr>
        <w:spacing w:line="360" w:lineRule="auto"/>
        <w:ind w:firstLine="424" w:firstLineChars="177"/>
        <w:rPr>
          <w:rFonts w:ascii="宋体" w:hAnsi="宋体"/>
          <w:sz w:val="24"/>
          <w:szCs w:val="24"/>
        </w:rPr>
      </w:pPr>
      <w:r>
        <w:rPr>
          <w:rFonts w:hint="eastAsia" w:ascii="宋体" w:hAnsi="宋体"/>
          <w:sz w:val="24"/>
          <w:szCs w:val="24"/>
        </w:rPr>
        <w:t>13</w:t>
      </w:r>
      <w:r>
        <w:rPr>
          <w:rFonts w:ascii="宋体" w:hAnsi="宋体"/>
          <w:sz w:val="24"/>
          <w:szCs w:val="24"/>
        </w:rPr>
        <w:t xml:space="preserve">. </w:t>
      </w:r>
      <w:r>
        <w:rPr>
          <w:rFonts w:hint="eastAsia" w:ascii="宋体" w:hAnsi="宋体"/>
          <w:sz w:val="24"/>
          <w:szCs w:val="24"/>
        </w:rPr>
        <w:t>《关于营改增后契税、房产税、土地增值税、个人所得税计税依据问题的通知》（财税[</w:t>
      </w:r>
      <w:r>
        <w:rPr>
          <w:rFonts w:ascii="宋体" w:hAnsi="宋体"/>
          <w:sz w:val="24"/>
          <w:szCs w:val="24"/>
        </w:rPr>
        <w:t>2016</w:t>
      </w:r>
      <w:r>
        <w:rPr>
          <w:rFonts w:hint="eastAsia" w:ascii="宋体" w:hAnsi="宋体"/>
          <w:sz w:val="24"/>
          <w:szCs w:val="24"/>
        </w:rPr>
        <w:t>]</w:t>
      </w:r>
      <w:r>
        <w:rPr>
          <w:rFonts w:ascii="宋体" w:hAnsi="宋体"/>
          <w:sz w:val="24"/>
          <w:szCs w:val="24"/>
        </w:rPr>
        <w:t>43号</w:t>
      </w:r>
      <w:r>
        <w:rPr>
          <w:rFonts w:hint="eastAsia" w:ascii="宋体" w:hAnsi="宋体"/>
          <w:sz w:val="24"/>
          <w:szCs w:val="24"/>
        </w:rPr>
        <w:t>）</w:t>
      </w:r>
    </w:p>
    <w:p>
      <w:pPr>
        <w:spacing w:line="360" w:lineRule="auto"/>
        <w:ind w:firstLine="424" w:firstLineChars="177"/>
        <w:rPr>
          <w:rFonts w:ascii="宋体" w:hAnsi="宋体"/>
          <w:sz w:val="24"/>
          <w:szCs w:val="24"/>
        </w:rPr>
      </w:pPr>
      <w:r>
        <w:rPr>
          <w:rFonts w:hint="eastAsia" w:ascii="宋体" w:hAnsi="宋体"/>
          <w:sz w:val="24"/>
          <w:szCs w:val="24"/>
        </w:rPr>
        <w:t>14</w:t>
      </w:r>
      <w:r>
        <w:rPr>
          <w:rFonts w:ascii="宋体" w:hAnsi="宋体"/>
          <w:sz w:val="24"/>
          <w:szCs w:val="24"/>
        </w:rPr>
        <w:t xml:space="preserve">. </w:t>
      </w:r>
      <w:r>
        <w:rPr>
          <w:rFonts w:hint="eastAsia" w:ascii="宋体" w:hAnsi="宋体"/>
          <w:sz w:val="24"/>
          <w:szCs w:val="24"/>
        </w:rPr>
        <w:t>《财政部、国家税务总局关于调整增值税税率的通知》（财税[</w:t>
      </w:r>
      <w:r>
        <w:rPr>
          <w:rFonts w:ascii="宋体" w:hAnsi="宋体"/>
          <w:sz w:val="24"/>
          <w:szCs w:val="24"/>
        </w:rPr>
        <w:t>2018</w:t>
      </w:r>
      <w:r>
        <w:rPr>
          <w:rFonts w:hint="eastAsia" w:ascii="宋体" w:hAnsi="宋体"/>
          <w:sz w:val="24"/>
          <w:szCs w:val="24"/>
        </w:rPr>
        <w:t>]</w:t>
      </w:r>
      <w:r>
        <w:rPr>
          <w:rFonts w:ascii="宋体" w:hAnsi="宋体"/>
          <w:sz w:val="24"/>
          <w:szCs w:val="24"/>
        </w:rPr>
        <w:t>32号</w:t>
      </w:r>
      <w:r>
        <w:rPr>
          <w:rFonts w:hint="eastAsia" w:ascii="宋体" w:hAnsi="宋体"/>
          <w:sz w:val="24"/>
          <w:szCs w:val="24"/>
        </w:rPr>
        <w:t>）</w:t>
      </w:r>
    </w:p>
    <w:p>
      <w:pPr>
        <w:pStyle w:val="11"/>
        <w:widowControl/>
        <w:tabs>
          <w:tab w:val="left" w:pos="420"/>
          <w:tab w:val="left" w:pos="945"/>
        </w:tabs>
        <w:spacing w:line="360" w:lineRule="auto"/>
        <w:ind w:left="426"/>
        <w:rPr>
          <w:rFonts w:ascii="宋体" w:hAnsi="宋体" w:eastAsia="宋体" w:cs="Times New Roman"/>
          <w:spacing w:val="10"/>
          <w:sz w:val="24"/>
          <w:szCs w:val="24"/>
        </w:rPr>
      </w:pPr>
      <w:r>
        <w:rPr>
          <w:rFonts w:hint="eastAsia" w:ascii="宋体" w:hAnsi="宋体" w:eastAsia="宋体" w:cs="宋体"/>
          <w:spacing w:val="10"/>
          <w:sz w:val="24"/>
          <w:szCs w:val="24"/>
        </w:rPr>
        <w:t>15</w:t>
      </w:r>
      <w:r>
        <w:rPr>
          <w:rFonts w:ascii="宋体" w:hAnsi="宋体" w:eastAsia="宋体" w:cs="宋体"/>
          <w:spacing w:val="10"/>
          <w:sz w:val="24"/>
          <w:szCs w:val="24"/>
        </w:rPr>
        <w:t>.</w:t>
      </w:r>
      <w:r>
        <w:rPr>
          <w:rFonts w:hint="eastAsia" w:ascii="宋体" w:hAnsi="宋体" w:eastAsia="宋体" w:cs="宋体"/>
          <w:spacing w:val="10"/>
          <w:sz w:val="24"/>
          <w:szCs w:val="24"/>
        </w:rPr>
        <w:t>人民法院司法鉴定工作暂行规定</w:t>
      </w:r>
    </w:p>
    <w:p>
      <w:pPr>
        <w:pStyle w:val="11"/>
        <w:widowControl/>
        <w:tabs>
          <w:tab w:val="left" w:pos="420"/>
          <w:tab w:val="left" w:pos="945"/>
        </w:tabs>
        <w:spacing w:line="360" w:lineRule="auto"/>
        <w:ind w:left="426"/>
        <w:rPr>
          <w:rFonts w:ascii="宋体" w:hAnsi="宋体" w:eastAsia="宋体" w:cs="Times New Roman"/>
          <w:spacing w:val="10"/>
          <w:sz w:val="24"/>
          <w:szCs w:val="24"/>
        </w:rPr>
      </w:pPr>
      <w:r>
        <w:rPr>
          <w:rFonts w:hint="eastAsia" w:ascii="宋体" w:hAnsi="宋体" w:eastAsia="宋体" w:cs="宋体"/>
          <w:spacing w:val="10"/>
          <w:sz w:val="24"/>
          <w:szCs w:val="24"/>
        </w:rPr>
        <w:t>16</w:t>
      </w:r>
      <w:r>
        <w:rPr>
          <w:rFonts w:ascii="宋体" w:hAnsi="宋体" w:eastAsia="宋体" w:cs="宋体"/>
          <w:spacing w:val="10"/>
          <w:sz w:val="24"/>
          <w:szCs w:val="24"/>
        </w:rPr>
        <w:t>.</w:t>
      </w:r>
      <w:r>
        <w:rPr>
          <w:rFonts w:hint="eastAsia" w:ascii="宋体" w:hAnsi="宋体" w:eastAsia="宋体" w:cs="宋体"/>
          <w:spacing w:val="10"/>
          <w:sz w:val="24"/>
          <w:szCs w:val="24"/>
        </w:rPr>
        <w:t>最高人民法院关于人民法院委托评估、拍卖和变卖工作的若干规定</w:t>
      </w:r>
      <w:r>
        <w:rPr>
          <w:rFonts w:ascii="宋体" w:hAnsi="宋体" w:eastAsia="宋体" w:cs="宋体"/>
          <w:spacing w:val="10"/>
          <w:sz w:val="24"/>
          <w:szCs w:val="24"/>
        </w:rPr>
        <w:t>---</w:t>
      </w:r>
      <w:r>
        <w:rPr>
          <w:rFonts w:hint="eastAsia" w:ascii="宋体" w:hAnsi="宋体" w:eastAsia="宋体" w:cs="宋体"/>
          <w:spacing w:val="10"/>
          <w:sz w:val="24"/>
          <w:szCs w:val="24"/>
        </w:rPr>
        <w:t>法释</w:t>
      </w:r>
      <w:r>
        <w:rPr>
          <w:rFonts w:ascii="宋体" w:hAnsi="宋体" w:eastAsia="宋体" w:cs="宋体"/>
          <w:spacing w:val="10"/>
          <w:sz w:val="24"/>
          <w:szCs w:val="24"/>
        </w:rPr>
        <w:t>[2009]16</w:t>
      </w:r>
      <w:r>
        <w:rPr>
          <w:rFonts w:hint="eastAsia" w:ascii="宋体" w:hAnsi="宋体" w:eastAsia="宋体" w:cs="宋体"/>
          <w:spacing w:val="10"/>
          <w:sz w:val="24"/>
          <w:szCs w:val="24"/>
        </w:rPr>
        <w:t>号</w:t>
      </w:r>
    </w:p>
    <w:p>
      <w:pPr>
        <w:pStyle w:val="11"/>
        <w:widowControl/>
        <w:tabs>
          <w:tab w:val="left" w:pos="420"/>
          <w:tab w:val="left" w:pos="945"/>
        </w:tabs>
        <w:spacing w:line="360" w:lineRule="auto"/>
        <w:ind w:left="426"/>
        <w:rPr>
          <w:rFonts w:ascii="宋体" w:hAnsi="宋体" w:eastAsia="宋体" w:cs="Times New Roman"/>
          <w:spacing w:val="10"/>
          <w:sz w:val="24"/>
          <w:szCs w:val="24"/>
        </w:rPr>
      </w:pPr>
      <w:r>
        <w:rPr>
          <w:rFonts w:hint="eastAsia" w:ascii="宋体" w:hAnsi="宋体" w:eastAsia="宋体" w:cs="宋体"/>
          <w:spacing w:val="10"/>
          <w:sz w:val="24"/>
          <w:szCs w:val="24"/>
        </w:rPr>
        <w:t>17</w:t>
      </w:r>
      <w:r>
        <w:rPr>
          <w:rFonts w:ascii="宋体" w:hAnsi="宋体" w:eastAsia="宋体" w:cs="宋体"/>
          <w:spacing w:val="10"/>
          <w:sz w:val="24"/>
          <w:szCs w:val="24"/>
        </w:rPr>
        <w:t>.</w:t>
      </w:r>
      <w:r>
        <w:rPr>
          <w:rFonts w:hint="eastAsia" w:ascii="宋体" w:hAnsi="宋体" w:eastAsia="宋体" w:cs="宋体"/>
          <w:spacing w:val="10"/>
          <w:sz w:val="24"/>
          <w:szCs w:val="24"/>
        </w:rPr>
        <w:t>人民法院司法鉴定工作暂行规定</w:t>
      </w:r>
    </w:p>
    <w:p>
      <w:pPr>
        <w:pStyle w:val="11"/>
        <w:widowControl/>
        <w:tabs>
          <w:tab w:val="left" w:pos="420"/>
          <w:tab w:val="left" w:pos="945"/>
        </w:tabs>
        <w:spacing w:line="360" w:lineRule="auto"/>
        <w:ind w:left="426"/>
        <w:rPr>
          <w:rFonts w:ascii="宋体" w:hAnsi="宋体" w:eastAsia="宋体" w:cs="宋体"/>
          <w:spacing w:val="10"/>
          <w:sz w:val="24"/>
          <w:szCs w:val="24"/>
        </w:rPr>
      </w:pPr>
      <w:r>
        <w:rPr>
          <w:rFonts w:hint="eastAsia" w:ascii="宋体" w:hAnsi="宋体" w:eastAsia="宋体" w:cs="宋体"/>
          <w:spacing w:val="10"/>
          <w:sz w:val="24"/>
          <w:szCs w:val="24"/>
        </w:rPr>
        <w:t>18</w:t>
      </w:r>
      <w:r>
        <w:rPr>
          <w:rFonts w:ascii="宋体" w:hAnsi="宋体" w:eastAsia="宋体" w:cs="宋体"/>
          <w:spacing w:val="10"/>
          <w:sz w:val="24"/>
          <w:szCs w:val="24"/>
        </w:rPr>
        <w:t>.</w:t>
      </w:r>
      <w:r>
        <w:rPr>
          <w:rFonts w:hint="eastAsia" w:ascii="宋体" w:hAnsi="宋体" w:eastAsia="宋体" w:cs="宋体"/>
          <w:spacing w:val="10"/>
          <w:sz w:val="24"/>
          <w:szCs w:val="24"/>
        </w:rPr>
        <w:t>湖南省法院系统对外委托社会机构鉴定、审计、评估、拍卖等工作实施细则</w:t>
      </w:r>
    </w:p>
    <w:p>
      <w:pPr>
        <w:spacing w:line="360" w:lineRule="auto"/>
        <w:ind w:firstLine="424" w:firstLineChars="177"/>
        <w:rPr>
          <w:rFonts w:ascii="宋体" w:hAnsi="宋体"/>
          <w:sz w:val="24"/>
          <w:szCs w:val="24"/>
        </w:rPr>
      </w:pPr>
      <w:r>
        <w:rPr>
          <w:rFonts w:hint="eastAsia" w:ascii="宋体" w:hAnsi="宋体"/>
          <w:sz w:val="24"/>
          <w:szCs w:val="24"/>
        </w:rPr>
        <w:t>19</w:t>
      </w:r>
      <w:r>
        <w:rPr>
          <w:rFonts w:ascii="宋体" w:hAnsi="宋体"/>
          <w:sz w:val="24"/>
          <w:szCs w:val="24"/>
        </w:rPr>
        <w:t>. 湖南省人民政府相关部门颁布的其他有关政策</w:t>
      </w:r>
      <w:r>
        <w:rPr>
          <w:rFonts w:hint="eastAsia" w:ascii="宋体" w:hAnsi="宋体"/>
          <w:sz w:val="24"/>
          <w:szCs w:val="24"/>
        </w:rPr>
        <w:t>、</w:t>
      </w:r>
      <w:r>
        <w:rPr>
          <w:rFonts w:ascii="宋体" w:hAnsi="宋体"/>
          <w:sz w:val="24"/>
          <w:szCs w:val="24"/>
        </w:rPr>
        <w:t>规定</w:t>
      </w:r>
      <w:r>
        <w:rPr>
          <w:rFonts w:hint="eastAsia" w:ascii="宋体" w:hAnsi="宋体"/>
          <w:sz w:val="24"/>
          <w:szCs w:val="24"/>
        </w:rPr>
        <w:t>、</w:t>
      </w:r>
      <w:r>
        <w:rPr>
          <w:rFonts w:ascii="宋体" w:hAnsi="宋体"/>
          <w:sz w:val="24"/>
          <w:szCs w:val="24"/>
        </w:rPr>
        <w:t>实施办法</w:t>
      </w:r>
      <w:r>
        <w:rPr>
          <w:rFonts w:hint="eastAsia" w:ascii="宋体" w:hAnsi="宋体"/>
          <w:sz w:val="24"/>
          <w:szCs w:val="24"/>
        </w:rPr>
        <w:t>、</w:t>
      </w:r>
      <w:r>
        <w:rPr>
          <w:rFonts w:ascii="宋体" w:hAnsi="宋体"/>
          <w:sz w:val="24"/>
          <w:szCs w:val="24"/>
        </w:rPr>
        <w:t>通知文件等</w:t>
      </w:r>
      <w:r>
        <w:rPr>
          <w:rFonts w:hint="eastAsia" w:ascii="宋体" w:hAnsi="宋体"/>
          <w:sz w:val="24"/>
          <w:szCs w:val="24"/>
        </w:rPr>
        <w:t>。</w:t>
      </w:r>
    </w:p>
    <w:p>
      <w:pPr>
        <w:spacing w:line="360" w:lineRule="auto"/>
        <w:rPr>
          <w:rFonts w:ascii="宋体"/>
          <w:spacing w:val="10"/>
          <w:sz w:val="24"/>
          <w:szCs w:val="24"/>
        </w:rPr>
      </w:pPr>
      <w:r>
        <w:rPr>
          <w:rFonts w:hint="eastAsia" w:ascii="宋体" w:hAnsi="宋体" w:cs="宋体"/>
          <w:spacing w:val="10"/>
          <w:sz w:val="24"/>
          <w:szCs w:val="24"/>
        </w:rPr>
        <w:t>（二）技术标准</w:t>
      </w:r>
    </w:p>
    <w:p>
      <w:pPr>
        <w:pStyle w:val="11"/>
        <w:widowControl/>
        <w:tabs>
          <w:tab w:val="left" w:pos="945"/>
        </w:tabs>
        <w:spacing w:line="360" w:lineRule="auto"/>
        <w:ind w:firstLine="520" w:firstLineChars="200"/>
        <w:rPr>
          <w:rFonts w:ascii="宋体" w:hAnsi="宋体" w:eastAsia="宋体" w:cs="Times New Roman"/>
          <w:spacing w:val="10"/>
          <w:sz w:val="24"/>
          <w:szCs w:val="24"/>
        </w:rPr>
      </w:pPr>
      <w:r>
        <w:rPr>
          <w:rFonts w:hint="eastAsia" w:ascii="宋体" w:hAnsi="宋体" w:eastAsia="宋体" w:cs="Times New Roman"/>
          <w:spacing w:val="10"/>
          <w:sz w:val="24"/>
          <w:szCs w:val="24"/>
        </w:rPr>
        <w:t>1.《房地产估价规范》（国标GB/T50291-2015）</w:t>
      </w:r>
    </w:p>
    <w:p>
      <w:pPr>
        <w:pStyle w:val="11"/>
        <w:widowControl/>
        <w:tabs>
          <w:tab w:val="left" w:pos="945"/>
        </w:tabs>
        <w:spacing w:line="360" w:lineRule="auto"/>
        <w:ind w:firstLine="520" w:firstLineChars="200"/>
        <w:rPr>
          <w:rFonts w:ascii="宋体" w:hAnsi="宋体" w:eastAsia="宋体" w:cs="Times New Roman"/>
          <w:spacing w:val="10"/>
          <w:sz w:val="24"/>
          <w:szCs w:val="24"/>
        </w:rPr>
      </w:pPr>
      <w:r>
        <w:rPr>
          <w:rFonts w:ascii="宋体" w:hAnsi="宋体" w:eastAsia="宋体" w:cs="Times New Roman"/>
          <w:spacing w:val="10"/>
          <w:sz w:val="24"/>
          <w:szCs w:val="24"/>
        </w:rPr>
        <w:t>2.</w:t>
      </w:r>
      <w:r>
        <w:rPr>
          <w:rFonts w:hint="eastAsia" w:ascii="宋体" w:hAnsi="宋体" w:eastAsia="宋体" w:cs="Times New Roman"/>
          <w:spacing w:val="10"/>
          <w:sz w:val="24"/>
          <w:szCs w:val="24"/>
        </w:rPr>
        <w:t>《房地产估价基本术语标准》（国标GB/T50899-2013）</w:t>
      </w:r>
    </w:p>
    <w:p>
      <w:pPr>
        <w:pStyle w:val="11"/>
        <w:widowControl/>
        <w:tabs>
          <w:tab w:val="left" w:pos="945"/>
        </w:tabs>
        <w:spacing w:line="360" w:lineRule="auto"/>
        <w:ind w:firstLine="520" w:firstLineChars="200"/>
        <w:rPr>
          <w:rFonts w:ascii="宋体" w:hAnsi="宋体" w:eastAsia="宋体" w:cs="Times New Roman"/>
          <w:spacing w:val="10"/>
          <w:sz w:val="24"/>
          <w:szCs w:val="24"/>
        </w:rPr>
      </w:pPr>
      <w:r>
        <w:rPr>
          <w:rFonts w:ascii="宋体" w:hAnsi="宋体" w:eastAsia="宋体" w:cs="宋体"/>
          <w:spacing w:val="10"/>
          <w:sz w:val="24"/>
          <w:szCs w:val="24"/>
        </w:rPr>
        <w:t>3.</w:t>
      </w:r>
      <w:r>
        <w:rPr>
          <w:rFonts w:hint="eastAsia" w:ascii="宋体" w:hAnsi="宋体" w:eastAsia="宋体" w:cs="宋体"/>
          <w:spacing w:val="10"/>
          <w:sz w:val="24"/>
          <w:szCs w:val="24"/>
        </w:rPr>
        <w:t>《城镇土地估价规程》（国标</w:t>
      </w:r>
      <w:r>
        <w:rPr>
          <w:rFonts w:ascii="宋体" w:hAnsi="宋体" w:eastAsia="宋体" w:cs="宋体"/>
          <w:spacing w:val="10"/>
          <w:sz w:val="24"/>
          <w:szCs w:val="24"/>
        </w:rPr>
        <w:t>GB/T 18508</w:t>
      </w:r>
      <w:r>
        <w:rPr>
          <w:rFonts w:hint="eastAsia" w:ascii="宋体" w:hAnsi="宋体" w:eastAsia="宋体" w:cs="宋体"/>
          <w:spacing w:val="10"/>
          <w:sz w:val="24"/>
          <w:szCs w:val="24"/>
        </w:rPr>
        <w:t>－</w:t>
      </w:r>
      <w:r>
        <w:rPr>
          <w:rFonts w:ascii="宋体" w:hAnsi="宋体" w:eastAsia="宋体" w:cs="宋体"/>
          <w:spacing w:val="10"/>
          <w:sz w:val="24"/>
          <w:szCs w:val="24"/>
        </w:rPr>
        <w:t>2014</w:t>
      </w:r>
      <w:r>
        <w:rPr>
          <w:rFonts w:hint="eastAsia" w:ascii="宋体" w:hAnsi="宋体" w:eastAsia="宋体" w:cs="宋体"/>
          <w:spacing w:val="10"/>
          <w:sz w:val="24"/>
          <w:szCs w:val="24"/>
        </w:rPr>
        <w:t>）</w:t>
      </w:r>
    </w:p>
    <w:p>
      <w:pPr>
        <w:pStyle w:val="11"/>
        <w:widowControl/>
        <w:tabs>
          <w:tab w:val="left" w:pos="945"/>
        </w:tabs>
        <w:spacing w:line="360" w:lineRule="auto"/>
        <w:rPr>
          <w:rFonts w:ascii="宋体" w:hAnsi="宋体" w:eastAsia="宋体" w:cs="Times New Roman"/>
          <w:spacing w:val="10"/>
          <w:sz w:val="24"/>
          <w:szCs w:val="24"/>
        </w:rPr>
      </w:pPr>
      <w:r>
        <w:rPr>
          <w:rFonts w:hint="eastAsia" w:ascii="宋体" w:hAnsi="宋体" w:eastAsia="宋体" w:cs="宋体"/>
          <w:spacing w:val="10"/>
          <w:sz w:val="24"/>
          <w:szCs w:val="24"/>
        </w:rPr>
        <w:t>（三）估价委托人提供的相关资料</w:t>
      </w:r>
    </w:p>
    <w:p>
      <w:pPr>
        <w:pStyle w:val="11"/>
        <w:widowControl/>
        <w:tabs>
          <w:tab w:val="left" w:pos="945"/>
        </w:tabs>
        <w:spacing w:line="360" w:lineRule="auto"/>
        <w:ind w:firstLine="520" w:firstLineChars="200"/>
        <w:rPr>
          <w:rFonts w:ascii="宋体" w:hAnsi="宋体" w:eastAsia="宋体"/>
          <w:spacing w:val="10"/>
          <w:sz w:val="24"/>
          <w:szCs w:val="24"/>
        </w:rPr>
      </w:pPr>
      <w:r>
        <w:rPr>
          <w:rFonts w:hint="eastAsia" w:ascii="宋体" w:hAnsi="宋体" w:eastAsia="宋体"/>
          <w:spacing w:val="10"/>
          <w:sz w:val="24"/>
          <w:szCs w:val="24"/>
        </w:rPr>
        <w:t>1.估价委托书</w:t>
      </w:r>
    </w:p>
    <w:p>
      <w:pPr>
        <w:pStyle w:val="11"/>
        <w:widowControl/>
        <w:tabs>
          <w:tab w:val="left" w:pos="420"/>
          <w:tab w:val="left" w:pos="846"/>
          <w:tab w:val="left" w:pos="945"/>
        </w:tabs>
        <w:spacing w:line="360" w:lineRule="auto"/>
        <w:ind w:firstLine="520" w:firstLineChars="200"/>
        <w:rPr>
          <w:rFonts w:ascii="宋体" w:hAnsi="宋体" w:eastAsia="宋体" w:cs="Times New Roman"/>
          <w:spacing w:val="10"/>
          <w:sz w:val="24"/>
          <w:szCs w:val="24"/>
        </w:rPr>
      </w:pPr>
      <w:r>
        <w:rPr>
          <w:rFonts w:hint="eastAsia" w:ascii="宋体" w:hAnsi="宋体" w:eastAsia="宋体" w:cs="宋体"/>
          <w:spacing w:val="10"/>
          <w:sz w:val="24"/>
          <w:szCs w:val="24"/>
        </w:rPr>
        <w:t>2.估价委托人提供的估价对象权属证明等相关资料</w:t>
      </w:r>
    </w:p>
    <w:p>
      <w:pPr>
        <w:pStyle w:val="11"/>
        <w:widowControl/>
        <w:tabs>
          <w:tab w:val="left" w:pos="420"/>
          <w:tab w:val="left" w:pos="846"/>
          <w:tab w:val="left" w:pos="945"/>
        </w:tabs>
        <w:spacing w:line="360" w:lineRule="auto"/>
        <w:ind w:firstLine="520" w:firstLineChars="200"/>
        <w:rPr>
          <w:rFonts w:ascii="宋体" w:hAnsi="宋体" w:eastAsia="宋体" w:cs="Times New Roman"/>
          <w:spacing w:val="10"/>
          <w:sz w:val="24"/>
          <w:szCs w:val="24"/>
        </w:rPr>
      </w:pPr>
      <w:r>
        <w:rPr>
          <w:rFonts w:hint="eastAsia" w:ascii="宋体" w:hAnsi="宋体" w:eastAsia="宋体" w:cs="宋体"/>
          <w:spacing w:val="10"/>
          <w:sz w:val="24"/>
          <w:szCs w:val="24"/>
        </w:rPr>
        <w:t>3.受托估价方实地勘察获取的资料及收集的价格信息</w:t>
      </w:r>
    </w:p>
    <w:p>
      <w:pPr>
        <w:pStyle w:val="11"/>
        <w:widowControl/>
        <w:tabs>
          <w:tab w:val="left" w:pos="945"/>
        </w:tabs>
        <w:spacing w:line="360" w:lineRule="auto"/>
        <w:rPr>
          <w:rFonts w:ascii="宋体" w:hAnsi="宋体" w:eastAsia="宋体" w:cs="Times New Roman"/>
          <w:spacing w:val="10"/>
          <w:sz w:val="24"/>
          <w:szCs w:val="24"/>
        </w:rPr>
      </w:pPr>
      <w:r>
        <w:rPr>
          <w:rFonts w:hint="eastAsia" w:ascii="宋体" w:hAnsi="宋体" w:eastAsia="宋体" w:cs="宋体"/>
          <w:spacing w:val="10"/>
          <w:sz w:val="24"/>
          <w:szCs w:val="24"/>
        </w:rPr>
        <w:t>（四）注册房地产估价师收集、掌握的有关资料以及实地查勘所获取的资料</w:t>
      </w:r>
    </w:p>
    <w:p>
      <w:pPr>
        <w:pStyle w:val="11"/>
        <w:widowControl/>
        <w:tabs>
          <w:tab w:val="left" w:pos="945"/>
        </w:tabs>
        <w:spacing w:line="360" w:lineRule="auto"/>
        <w:ind w:firstLine="520" w:firstLineChars="200"/>
        <w:rPr>
          <w:rFonts w:ascii="宋体" w:hAnsi="宋体" w:eastAsia="宋体" w:cs="Times New Roman"/>
          <w:spacing w:val="10"/>
          <w:sz w:val="24"/>
          <w:szCs w:val="24"/>
        </w:rPr>
      </w:pPr>
      <w:r>
        <w:rPr>
          <w:rFonts w:ascii="宋体" w:hAnsi="宋体" w:eastAsia="宋体" w:cs="宋体"/>
          <w:spacing w:val="10"/>
          <w:sz w:val="24"/>
          <w:szCs w:val="24"/>
        </w:rPr>
        <w:t>1.</w:t>
      </w:r>
      <w:r>
        <w:rPr>
          <w:rFonts w:hint="eastAsia" w:ascii="宋体" w:hAnsi="宋体" w:eastAsia="宋体" w:cs="宋体"/>
          <w:spacing w:val="10"/>
          <w:sz w:val="24"/>
          <w:szCs w:val="24"/>
        </w:rPr>
        <w:t>怀化市新晃县社会经济统计资料</w:t>
      </w:r>
    </w:p>
    <w:p>
      <w:pPr>
        <w:pStyle w:val="11"/>
        <w:widowControl/>
        <w:tabs>
          <w:tab w:val="left" w:pos="945"/>
        </w:tabs>
        <w:spacing w:line="360" w:lineRule="auto"/>
        <w:ind w:firstLine="520" w:firstLineChars="200"/>
        <w:rPr>
          <w:rFonts w:ascii="宋体" w:hAnsi="宋体" w:eastAsia="宋体" w:cs="Times New Roman"/>
          <w:spacing w:val="10"/>
          <w:sz w:val="24"/>
          <w:szCs w:val="24"/>
        </w:rPr>
      </w:pPr>
      <w:r>
        <w:rPr>
          <w:rFonts w:ascii="宋体" w:hAnsi="宋体" w:eastAsia="宋体" w:cs="宋体"/>
          <w:spacing w:val="10"/>
          <w:sz w:val="24"/>
          <w:szCs w:val="24"/>
        </w:rPr>
        <w:t>2.</w:t>
      </w:r>
      <w:r>
        <w:rPr>
          <w:rFonts w:hint="eastAsia" w:ascii="宋体" w:hAnsi="宋体" w:eastAsia="宋体" w:cs="宋体"/>
          <w:spacing w:val="10"/>
          <w:sz w:val="24"/>
          <w:szCs w:val="24"/>
        </w:rPr>
        <w:t>怀化市新晃县总体规划资料</w:t>
      </w:r>
    </w:p>
    <w:p>
      <w:pPr>
        <w:pStyle w:val="11"/>
        <w:widowControl/>
        <w:tabs>
          <w:tab w:val="left" w:pos="945"/>
        </w:tabs>
        <w:spacing w:line="360" w:lineRule="auto"/>
        <w:ind w:firstLine="520" w:firstLineChars="200"/>
        <w:rPr>
          <w:rFonts w:ascii="宋体" w:hAnsi="宋体" w:eastAsia="宋体" w:cs="Times New Roman"/>
          <w:spacing w:val="10"/>
          <w:sz w:val="24"/>
          <w:szCs w:val="24"/>
        </w:rPr>
      </w:pPr>
      <w:r>
        <w:rPr>
          <w:rFonts w:ascii="宋体" w:hAnsi="宋体" w:eastAsia="宋体" w:cs="宋体"/>
          <w:spacing w:val="10"/>
          <w:sz w:val="24"/>
          <w:szCs w:val="24"/>
        </w:rPr>
        <w:t>3.</w:t>
      </w:r>
      <w:r>
        <w:rPr>
          <w:rFonts w:hint="eastAsia" w:ascii="宋体" w:hAnsi="宋体" w:eastAsia="宋体" w:cs="宋体"/>
          <w:spacing w:val="10"/>
          <w:sz w:val="24"/>
          <w:szCs w:val="24"/>
        </w:rPr>
        <w:t>怀化市新晃县房地产交易统计资料</w:t>
      </w:r>
    </w:p>
    <w:p>
      <w:pPr>
        <w:pStyle w:val="11"/>
        <w:widowControl/>
        <w:tabs>
          <w:tab w:val="left" w:pos="945"/>
        </w:tabs>
        <w:spacing w:line="360" w:lineRule="auto"/>
        <w:ind w:firstLine="520" w:firstLineChars="200"/>
        <w:rPr>
          <w:rFonts w:ascii="宋体" w:hAnsi="宋体" w:eastAsia="宋体" w:cs="Times New Roman"/>
          <w:spacing w:val="10"/>
          <w:sz w:val="24"/>
          <w:szCs w:val="24"/>
        </w:rPr>
      </w:pPr>
      <w:r>
        <w:rPr>
          <w:rFonts w:ascii="宋体" w:hAnsi="宋体" w:eastAsia="宋体" w:cs="宋体"/>
          <w:spacing w:val="10"/>
          <w:sz w:val="24"/>
          <w:szCs w:val="24"/>
        </w:rPr>
        <w:t>4.</w:t>
      </w:r>
      <w:r>
        <w:rPr>
          <w:rFonts w:hint="eastAsia" w:ascii="宋体" w:hAnsi="宋体" w:eastAsia="宋体" w:cs="宋体"/>
          <w:spacing w:val="10"/>
          <w:sz w:val="24"/>
          <w:szCs w:val="24"/>
        </w:rPr>
        <w:t>估价对象项目整体状况资料</w:t>
      </w:r>
    </w:p>
    <w:p>
      <w:pPr>
        <w:pStyle w:val="3"/>
        <w:snapToGrid/>
        <w:spacing w:line="360" w:lineRule="auto"/>
        <w:rPr>
          <w:rFonts w:ascii="宋体" w:hAnsi="宋体" w:eastAsia="宋体" w:cs="Times New Roman"/>
          <w:spacing w:val="10"/>
          <w:sz w:val="24"/>
          <w:szCs w:val="24"/>
        </w:rPr>
      </w:pPr>
      <w:bookmarkStart w:id="22" w:name="_Toc256000012"/>
      <w:bookmarkStart w:id="23" w:name="_Toc6355"/>
      <w:r>
        <w:rPr>
          <w:rFonts w:hint="eastAsia" w:ascii="宋体" w:hAnsi="宋体" w:eastAsia="宋体" w:cs="宋体"/>
          <w:spacing w:val="10"/>
          <w:sz w:val="24"/>
          <w:szCs w:val="24"/>
        </w:rPr>
        <w:t>九、估价方法</w:t>
      </w:r>
      <w:bookmarkEnd w:id="22"/>
      <w:bookmarkEnd w:id="23"/>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房地产估价应当采用科学的估价方法进行严谨的测算，常用的估价方法有比较法、收益法、成本法、假设开发法等，对估价对象宜同时选用所有适用的估价方法进行估价。</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（一）估价方法选择的原则：</w:t>
      </w:r>
    </w:p>
    <w:p>
      <w:pPr>
        <w:widowControl/>
        <w:spacing w:line="360" w:lineRule="auto"/>
        <w:ind w:firstLine="520" w:firstLineChars="200"/>
        <w:rPr>
          <w:rFonts w:ascii="宋体" w:hAnsi="宋体" w:cs="宋体"/>
          <w:color w:val="000000"/>
          <w:spacing w:val="10"/>
          <w:sz w:val="24"/>
          <w:szCs w:val="24"/>
        </w:rPr>
      </w:pPr>
      <w:r>
        <w:rPr>
          <w:rFonts w:ascii="宋体" w:hAnsi="宋体" w:cs="宋体"/>
          <w:color w:val="000000"/>
          <w:spacing w:val="10"/>
          <w:sz w:val="24"/>
          <w:szCs w:val="24"/>
        </w:rPr>
        <w:t>估价对象的同类房地产有较多交易的</w:t>
      </w:r>
      <w:r>
        <w:rPr>
          <w:rFonts w:hint="eastAsia" w:ascii="宋体" w:hAnsi="宋体" w:cs="宋体"/>
          <w:color w:val="000000"/>
          <w:spacing w:val="10"/>
          <w:sz w:val="24"/>
          <w:szCs w:val="24"/>
        </w:rPr>
        <w:t>，</w:t>
      </w:r>
      <w:r>
        <w:rPr>
          <w:rFonts w:ascii="宋体" w:hAnsi="宋体" w:cs="宋体"/>
          <w:color w:val="000000"/>
          <w:spacing w:val="10"/>
          <w:sz w:val="24"/>
          <w:szCs w:val="24"/>
        </w:rPr>
        <w:t>应选用</w:t>
      </w:r>
      <w:r>
        <w:rPr>
          <w:rFonts w:hint="eastAsia" w:ascii="宋体" w:hAnsi="宋体" w:cs="宋体"/>
          <w:color w:val="000000"/>
          <w:spacing w:val="10"/>
          <w:sz w:val="24"/>
          <w:szCs w:val="24"/>
        </w:rPr>
        <w:t>比较法为主要的估价方法；估价对象或其同类房地产通常有租金等经济收入的，应选用收益法；估价对象具有投资开发或再开发潜力且开发完成后的价值可采用除成本法以外的方法测算的，应选用假设开发法；估价对象可假定未独立的开发建设项目进行重新开发建设的，可采用成本法。</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1.比较法就是选取一定数量的可比实例，将它们与估价对象进行比较，根据其间的差异对可比实例的成交价格进行处理后得到估价对象价值或价格的方法。</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2.收益法是预测估价对象的未来收益，利用报酬率或资本化率、收益乘数将未来收益转换为价值来求取估价对象价值或价格的方法。</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3.成本法，是求取估价对象在估价时点的重置成本或重建成本和折旧，将重置成本或重建成本减去折旧来求取估价对象价值或价格的方法。</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4.假设开发法，是求得估价对象后续开发的必要支出及折现率或后续开发的必要支出及应得利润和开发完成后的价值，将开发完成后的价值和后续开发的必要支出折现到价值时点后相减，或将开发完成后价值减去后续开发的必要支出及应得利润得到估价对象价值或价格的方法。</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（二）</w:t>
      </w:r>
      <w:r>
        <w:rPr>
          <w:rFonts w:ascii="宋体" w:hAnsi="宋体" w:cs="宋体"/>
          <w:color w:val="000000"/>
          <w:spacing w:val="10"/>
          <w:sz w:val="24"/>
          <w:szCs w:val="24"/>
        </w:rPr>
        <w:t>估价方法选用的理由</w:t>
      </w:r>
      <w:r>
        <w:rPr>
          <w:rFonts w:hint="eastAsia" w:ascii="宋体" w:hAnsi="宋体" w:cs="宋体"/>
          <w:color w:val="000000"/>
          <w:spacing w:val="10"/>
          <w:sz w:val="24"/>
          <w:szCs w:val="24"/>
        </w:rPr>
        <w:t>：</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（1）选用比较法的理由：</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根据现行《房地产估价规范》，</w:t>
      </w:r>
      <w:r>
        <w:rPr>
          <w:rFonts w:ascii="宋体" w:hAnsi="宋体" w:cs="宋体"/>
          <w:color w:val="000000"/>
          <w:spacing w:val="10"/>
          <w:sz w:val="24"/>
          <w:szCs w:val="24"/>
        </w:rPr>
        <w:t>“</w:t>
      </w:r>
      <w:r>
        <w:rPr>
          <w:rFonts w:hint="eastAsia" w:ascii="宋体" w:hAnsi="宋体" w:cs="宋体"/>
          <w:color w:val="000000"/>
          <w:spacing w:val="10"/>
          <w:sz w:val="24"/>
          <w:szCs w:val="24"/>
        </w:rPr>
        <w:t>有条件选用比较法进行估价的，应以比较法作为主要估价方法</w:t>
      </w:r>
      <w:r>
        <w:rPr>
          <w:rFonts w:ascii="宋体" w:hAnsi="宋体" w:cs="宋体"/>
          <w:color w:val="000000"/>
          <w:spacing w:val="10"/>
          <w:sz w:val="24"/>
          <w:szCs w:val="24"/>
        </w:rPr>
        <w:t>”</w:t>
      </w:r>
      <w:r>
        <w:rPr>
          <w:rFonts w:hint="eastAsia" w:ascii="宋体" w:hAnsi="宋体" w:cs="宋体"/>
          <w:color w:val="000000"/>
          <w:spacing w:val="10"/>
          <w:sz w:val="24"/>
          <w:szCs w:val="24"/>
        </w:rPr>
        <w:t>， 由于估价对象房地产位于</w:t>
      </w:r>
      <w:r>
        <w:rPr>
          <w:rFonts w:hint="eastAsia" w:ascii="宋体" w:hAnsi="宋体" w:cs="宋体"/>
          <w:spacing w:val="10"/>
          <w:sz w:val="24"/>
          <w:szCs w:val="24"/>
        </w:rPr>
        <w:t>新晃县农业综合办背后503号房，其所在区域为新晃镇较成熟的住宅小区</w:t>
      </w:r>
      <w:r>
        <w:rPr>
          <w:rFonts w:hint="eastAsia" w:ascii="宋体" w:hAnsi="宋体" w:cs="宋体"/>
          <w:color w:val="FF0000"/>
          <w:spacing w:val="10"/>
          <w:sz w:val="24"/>
          <w:szCs w:val="24"/>
        </w:rPr>
        <w:t>，</w:t>
      </w:r>
      <w:r>
        <w:rPr>
          <w:rFonts w:hint="eastAsia" w:ascii="宋体" w:hAnsi="宋体" w:cs="宋体"/>
          <w:color w:val="000000"/>
          <w:spacing w:val="10"/>
          <w:sz w:val="24"/>
          <w:szCs w:val="24"/>
        </w:rPr>
        <w:t>房地产交易活跃，住宅用房的市场交易案例较多且容易收集，故可选用比较法进行评估。</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（2）选用收益法的理由</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根据现行《房地产估价规范》，</w:t>
      </w:r>
      <w:r>
        <w:rPr>
          <w:rFonts w:ascii="宋体" w:hAnsi="宋体" w:cs="宋体"/>
          <w:color w:val="000000"/>
          <w:spacing w:val="10"/>
          <w:sz w:val="24"/>
          <w:szCs w:val="24"/>
        </w:rPr>
        <w:t>“</w:t>
      </w:r>
      <w:r>
        <w:rPr>
          <w:rFonts w:hint="eastAsia" w:ascii="宋体" w:hAnsi="宋体" w:cs="宋体"/>
          <w:color w:val="000000"/>
          <w:spacing w:val="10"/>
          <w:sz w:val="24"/>
          <w:szCs w:val="24"/>
        </w:rPr>
        <w:t>收益性房地产的估价，应选用收益法作为其中的一种估价方法</w:t>
      </w:r>
      <w:r>
        <w:rPr>
          <w:rFonts w:ascii="宋体" w:hAnsi="宋体" w:cs="宋体"/>
          <w:color w:val="000000"/>
          <w:spacing w:val="10"/>
          <w:sz w:val="24"/>
          <w:szCs w:val="24"/>
        </w:rPr>
        <w:t>”</w:t>
      </w:r>
      <w:r>
        <w:rPr>
          <w:rFonts w:hint="eastAsia" w:ascii="宋体" w:hAnsi="宋体" w:cs="宋体"/>
          <w:color w:val="000000"/>
          <w:spacing w:val="10"/>
          <w:sz w:val="24"/>
          <w:szCs w:val="24"/>
        </w:rPr>
        <w:t>，估价对象为可取得收益的住宅房地产，其收益情况具有可预测性和持续性，且该区域租赁市场成熟，房地产租赁市场较活跃，住宅出租的租金标准、租金构成及租赁费用等情况易于收集，符合收益法的应用条件及适用范围，可选用收益法。</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估价人员认真分析所掌握的资料，根据估价对象的特点及估价目的，综合考虑，最后决定选用比较法和收益法作为本次评估的估价方法。</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估价人员认真分析所掌握的资料，根据估价对象的特点及估价目的，综合考虑，最后决定选用比较法和收益法作为本次评估的估价方法。</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（三）所选用的估价方法的基本原理及公式：</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1.比较法定义：比较法是根据与估价对象相似的房地产的成交价格来求取估价对象价格的方法，适用的估价对象是同类型数量较多且在价值时点的近期有较多类似房地产交易的房地产。</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 xml:space="preserve">测算步骤：首先遵循比较法可比实例的选取原则，根据估价人员掌握的房地产交易市场资料，选择一定数量与估价对象区位相近、用途相同、权利性质相同、档次相当、规模相当、建筑结构相同的近期交易实例作为可比实例，对影响价格的各项因素及其影响程度进行分析，建立估价对象与可比实例的价格比较基础，并分别进行交易情况修正、市场状况调整、房地产状况调整，求取估价对象房地产的比准价格。 </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公式：估价对象价格=可比实例价格×交易情况修正系数×市场状况调</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整系数×房地产状况调整系数</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2.收益法定义：是根据估价对象预期收益来求取估价对象价值或价格的方法。适用的估价对象是收益性房地产，是预测估价对象的未来收益，利用报酬率或资本化率、收益乘数将未来收益转换为价值得到估价对象收益价值的方法。</w:t>
      </w:r>
    </w:p>
    <w:p>
      <w:pPr>
        <w:widowControl/>
        <w:spacing w:line="360" w:lineRule="auto"/>
        <w:ind w:firstLine="520" w:firstLineChars="200"/>
        <w:rPr>
          <w:rFonts w:ascii="宋体" w:hAnsi="宋体" w:cs="宋体"/>
          <w:color w:val="000000"/>
          <w:spacing w:val="10"/>
          <w:sz w:val="24"/>
          <w:szCs w:val="24"/>
        </w:rPr>
      </w:pPr>
      <w:r>
        <w:rPr>
          <w:rFonts w:hint="eastAsia" w:ascii="宋体" w:hAnsi="宋体" w:cs="宋体"/>
          <w:color w:val="000000"/>
          <w:spacing w:val="10"/>
          <w:sz w:val="24"/>
          <w:szCs w:val="24"/>
        </w:rPr>
        <w:t>测算步骤：首先搜集有关收入和费用资料，再估计未来收益期或持有期，预测未来净收益或期末转售收益，求取报酬率或资本化率，最后选用收益法公式计算收益价值。</w:t>
      </w:r>
    </w:p>
    <w:p>
      <w:pPr>
        <w:widowControl/>
        <w:spacing w:line="500" w:lineRule="exact"/>
        <w:ind w:firstLine="520" w:firstLineChars="200"/>
        <w:rPr>
          <w:rFonts w:ascii="宋体" w:hAnsi="宋体"/>
          <w:sz w:val="24"/>
          <w:szCs w:val="24"/>
        </w:rPr>
      </w:pPr>
      <w:r>
        <w:rPr>
          <w:rFonts w:hint="eastAsia" w:ascii="宋体" w:hAnsi="宋体" w:cs="宋体"/>
          <w:color w:val="000000"/>
          <w:spacing w:val="10"/>
          <w:sz w:val="24"/>
          <w:szCs w:val="24"/>
        </w:rPr>
        <w:t>收益法公式：</w:t>
      </w:r>
      <w:bookmarkStart w:id="24" w:name="_Toc256000013"/>
      <w:bookmarkStart w:id="25" w:name="_Toc4230"/>
      <w:r>
        <w:rPr>
          <w:rFonts w:hint="eastAsia" w:ascii="宋体" w:hAnsi="宋体"/>
          <w:sz w:val="24"/>
          <w:szCs w:val="24"/>
        </w:rPr>
        <w:t>P= A/(Y-g)×{1-[(1+g)/（1+Y）]</w:t>
      </w:r>
      <w:r>
        <w:rPr>
          <w:rFonts w:hint="eastAsia" w:ascii="宋体" w:hAnsi="宋体"/>
          <w:sz w:val="24"/>
          <w:szCs w:val="24"/>
          <w:vertAlign w:val="superscript"/>
        </w:rPr>
        <w:t>N</w:t>
      </w:r>
      <w:r>
        <w:rPr>
          <w:rFonts w:hint="eastAsia" w:ascii="宋体" w:hAnsi="宋体"/>
          <w:sz w:val="24"/>
          <w:szCs w:val="24"/>
        </w:rPr>
        <w:t>}</w:t>
      </w:r>
    </w:p>
    <w:p>
      <w:pPr>
        <w:widowControl/>
        <w:spacing w:line="500" w:lineRule="exact"/>
        <w:ind w:firstLine="480" w:firstLineChars="200"/>
        <w:rPr>
          <w:rFonts w:hint="eastAsia" w:ascii="宋体" w:hAnsi="宋体"/>
          <w:sz w:val="24"/>
          <w:szCs w:val="24"/>
        </w:rPr>
      </w:pPr>
      <w:r>
        <w:rPr>
          <w:rFonts w:hint="eastAsia" w:ascii="宋体" w:hAnsi="宋体"/>
          <w:sz w:val="24"/>
          <w:szCs w:val="24"/>
        </w:rPr>
        <w:t>式中：P ---房地产价格</w:t>
      </w:r>
    </w:p>
    <w:p>
      <w:pPr>
        <w:widowControl/>
        <w:spacing w:line="500" w:lineRule="exact"/>
        <w:rPr>
          <w:rFonts w:hint="eastAsia" w:ascii="宋体" w:hAnsi="宋体"/>
          <w:sz w:val="24"/>
          <w:szCs w:val="24"/>
        </w:rPr>
      </w:pPr>
      <w:r>
        <w:rPr>
          <w:rFonts w:hint="eastAsia" w:ascii="宋体" w:hAnsi="宋体"/>
          <w:sz w:val="24"/>
          <w:szCs w:val="24"/>
        </w:rPr>
        <w:t xml:space="preserve">          A ---房地产年净收益</w:t>
      </w:r>
    </w:p>
    <w:p>
      <w:pPr>
        <w:widowControl/>
        <w:spacing w:line="500" w:lineRule="exact"/>
        <w:ind w:firstLine="1200" w:firstLineChars="500"/>
        <w:rPr>
          <w:rFonts w:hint="eastAsia" w:ascii="宋体" w:hAnsi="宋体"/>
          <w:sz w:val="24"/>
          <w:szCs w:val="24"/>
        </w:rPr>
      </w:pPr>
      <w:r>
        <w:rPr>
          <w:rFonts w:hint="eastAsia" w:ascii="宋体" w:hAnsi="宋体"/>
          <w:sz w:val="24"/>
          <w:szCs w:val="24"/>
        </w:rPr>
        <w:t>Y ---报酬率</w:t>
      </w:r>
    </w:p>
    <w:p>
      <w:pPr>
        <w:widowControl/>
        <w:spacing w:line="500" w:lineRule="exact"/>
        <w:rPr>
          <w:rFonts w:hint="eastAsia" w:ascii="宋体" w:hAnsi="宋体"/>
          <w:sz w:val="24"/>
          <w:szCs w:val="24"/>
        </w:rPr>
      </w:pPr>
      <w:r>
        <w:rPr>
          <w:rFonts w:hint="eastAsia" w:ascii="宋体" w:hAnsi="宋体"/>
          <w:sz w:val="24"/>
          <w:szCs w:val="24"/>
        </w:rPr>
        <w:t xml:space="preserve">          g ---上涨率</w:t>
      </w:r>
    </w:p>
    <w:p>
      <w:pPr>
        <w:widowControl/>
        <w:spacing w:line="360" w:lineRule="auto"/>
        <w:ind w:firstLine="1200" w:firstLineChars="500"/>
        <w:rPr>
          <w:rFonts w:hint="eastAsia" w:ascii="宋体" w:hAnsi="宋体"/>
          <w:b/>
          <w:sz w:val="24"/>
          <w:szCs w:val="24"/>
        </w:rPr>
      </w:pPr>
      <w:r>
        <w:rPr>
          <w:rFonts w:hint="eastAsia" w:ascii="宋体" w:hAnsi="宋体"/>
          <w:sz w:val="24"/>
          <w:szCs w:val="24"/>
        </w:rPr>
        <w:t>N ---收益年限</w:t>
      </w:r>
      <w:r>
        <w:rPr>
          <w:rFonts w:hint="eastAsia" w:ascii="宋体" w:hAnsi="宋体"/>
          <w:b/>
          <w:sz w:val="24"/>
          <w:szCs w:val="24"/>
        </w:rPr>
        <w:t xml:space="preserve"> </w:t>
      </w:r>
    </w:p>
    <w:p>
      <w:pPr>
        <w:widowControl/>
        <w:spacing w:line="360" w:lineRule="auto"/>
        <w:ind w:firstLine="520" w:firstLineChars="200"/>
        <w:rPr>
          <w:rFonts w:ascii="宋体" w:hAnsi="宋体"/>
          <w:spacing w:val="10"/>
          <w:sz w:val="24"/>
          <w:szCs w:val="24"/>
        </w:rPr>
      </w:pPr>
      <w:r>
        <w:rPr>
          <w:rFonts w:hint="eastAsia" w:ascii="宋体" w:hAnsi="宋体" w:cs="宋体"/>
          <w:spacing w:val="10"/>
          <w:sz w:val="24"/>
          <w:szCs w:val="24"/>
        </w:rPr>
        <w:t>十、估价结果</w:t>
      </w:r>
      <w:bookmarkEnd w:id="24"/>
      <w:bookmarkEnd w:id="25"/>
    </w:p>
    <w:p>
      <w:pPr>
        <w:widowControl/>
        <w:spacing w:line="460" w:lineRule="exact"/>
        <w:ind w:firstLine="360" w:firstLineChars="150"/>
        <w:rPr>
          <w:rFonts w:ascii="宋体" w:hAnsi="宋体"/>
          <w:spacing w:val="10"/>
          <w:sz w:val="24"/>
          <w:szCs w:val="24"/>
        </w:rPr>
      </w:pPr>
      <w:bookmarkStart w:id="26" w:name="_Toc256000014"/>
      <w:bookmarkStart w:id="27" w:name="_Toc1633"/>
      <w:r>
        <w:rPr>
          <w:rFonts w:hint="eastAsia" w:ascii="宋体" w:hAnsi="宋体" w:cs="宋体"/>
          <w:kern w:val="0"/>
          <w:sz w:val="24"/>
          <w:szCs w:val="24"/>
        </w:rPr>
        <w:t>本次估价，</w:t>
      </w:r>
      <w:r>
        <w:rPr>
          <w:rFonts w:hint="eastAsia" w:ascii="宋体" w:hAnsi="宋体" w:cs="宋体"/>
          <w:spacing w:val="10"/>
          <w:sz w:val="24"/>
          <w:szCs w:val="24"/>
        </w:rPr>
        <w:t>根据估价目的，遵循估价原则，采用科学合理的估价方法，在认真分析现有资料的基础上，经过测算，结合估价经验与对影响房地产市场价格因素进行分析，在估价对象未设定法定优先受偿权利下，于市场上有足够的买方和卖方，并且进入市场无障碍的条件下，</w:t>
      </w:r>
      <w:r>
        <w:rPr>
          <w:rFonts w:hint="eastAsia" w:ascii="宋体" w:hAnsi="宋体"/>
          <w:spacing w:val="10"/>
          <w:sz w:val="24"/>
          <w:szCs w:val="24"/>
        </w:rPr>
        <w:t>于价值时点的假定未设立法定优先受偿权下市场单价为</w:t>
      </w:r>
      <w:r>
        <w:rPr>
          <w:rFonts w:hint="eastAsia" w:ascii="宋体" w:hAnsi="宋体"/>
          <w:spacing w:val="10"/>
          <w:sz w:val="24"/>
          <w:szCs w:val="24"/>
          <w:lang w:val="en-US" w:eastAsia="zh-CN"/>
        </w:rPr>
        <w:t>3295</w:t>
      </w:r>
      <w:r>
        <w:rPr>
          <w:rFonts w:hint="eastAsia" w:ascii="宋体" w:hAnsi="宋体"/>
          <w:spacing w:val="10"/>
          <w:sz w:val="24"/>
          <w:szCs w:val="24"/>
        </w:rPr>
        <w:t>元/平方米，市场总价为</w:t>
      </w:r>
      <w:r>
        <w:rPr>
          <w:rFonts w:hint="eastAsia" w:ascii="宋体" w:hAnsi="宋体"/>
          <w:spacing w:val="10"/>
          <w:sz w:val="24"/>
          <w:szCs w:val="24"/>
          <w:lang w:val="en-US" w:eastAsia="zh-CN"/>
        </w:rPr>
        <w:t>40.11</w:t>
      </w:r>
      <w:r>
        <w:rPr>
          <w:rFonts w:hint="eastAsia" w:ascii="宋体" w:hAnsi="宋体"/>
          <w:spacing w:val="10"/>
          <w:sz w:val="24"/>
          <w:szCs w:val="24"/>
        </w:rPr>
        <w:t>万元</w:t>
      </w:r>
      <w:r>
        <w:rPr>
          <w:rFonts w:ascii="宋体" w:hAnsi="宋体"/>
          <w:spacing w:val="10"/>
          <w:sz w:val="24"/>
          <w:szCs w:val="24"/>
        </w:rPr>
        <w:t xml:space="preserve"> (</w:t>
      </w:r>
      <w:r>
        <w:rPr>
          <w:rFonts w:hint="eastAsia" w:ascii="宋体" w:hAnsi="宋体"/>
          <w:spacing w:val="10"/>
          <w:sz w:val="24"/>
          <w:szCs w:val="24"/>
        </w:rPr>
        <w:t>大写：</w:t>
      </w:r>
      <w:r>
        <w:rPr>
          <w:rFonts w:hint="eastAsia" w:ascii="宋体" w:hAnsi="宋体" w:cs="宋体"/>
          <w:spacing w:val="10"/>
          <w:sz w:val="24"/>
          <w:szCs w:val="24"/>
        </w:rPr>
        <w:t>人民币</w:t>
      </w:r>
      <w:r>
        <w:rPr>
          <w:rFonts w:hint="eastAsia" w:ascii="宋体" w:hAnsi="宋体" w:cs="宋体"/>
          <w:spacing w:val="10"/>
          <w:sz w:val="24"/>
          <w:szCs w:val="24"/>
          <w:lang w:val="en-US" w:eastAsia="zh-CN"/>
        </w:rPr>
        <w:t>肆</w:t>
      </w:r>
      <w:r>
        <w:rPr>
          <w:rFonts w:hint="eastAsia" w:ascii="宋体" w:hAnsi="宋体"/>
          <w:spacing w:val="10"/>
          <w:sz w:val="24"/>
          <w:szCs w:val="24"/>
        </w:rPr>
        <w:t>拾万</w:t>
      </w:r>
      <w:r>
        <w:rPr>
          <w:rFonts w:hint="eastAsia" w:ascii="宋体" w:hAnsi="宋体"/>
          <w:spacing w:val="10"/>
          <w:sz w:val="24"/>
          <w:szCs w:val="24"/>
          <w:lang w:val="en-US" w:eastAsia="zh-CN"/>
        </w:rPr>
        <w:t>零壹</w:t>
      </w:r>
      <w:r>
        <w:rPr>
          <w:rFonts w:hint="eastAsia" w:ascii="宋体" w:hAnsi="宋体"/>
          <w:spacing w:val="10"/>
          <w:sz w:val="24"/>
          <w:szCs w:val="24"/>
        </w:rPr>
        <w:t>仟</w:t>
      </w:r>
      <w:r>
        <w:rPr>
          <w:rFonts w:hint="eastAsia" w:ascii="宋体" w:hAnsi="宋体"/>
          <w:spacing w:val="10"/>
          <w:sz w:val="24"/>
          <w:szCs w:val="24"/>
          <w:lang w:val="en-US" w:eastAsia="zh-CN"/>
        </w:rPr>
        <w:t>壹佰</w:t>
      </w:r>
      <w:r>
        <w:rPr>
          <w:rFonts w:hint="eastAsia" w:ascii="宋体" w:hAnsi="宋体"/>
          <w:spacing w:val="10"/>
          <w:sz w:val="24"/>
          <w:szCs w:val="24"/>
        </w:rPr>
        <w:t>元整</w:t>
      </w:r>
      <w:r>
        <w:rPr>
          <w:rFonts w:ascii="宋体" w:hAnsi="宋体"/>
          <w:spacing w:val="10"/>
          <w:sz w:val="24"/>
          <w:szCs w:val="24"/>
        </w:rPr>
        <w:t>)</w:t>
      </w:r>
      <w:r>
        <w:rPr>
          <w:rFonts w:hint="eastAsia" w:ascii="宋体" w:hAnsi="宋体"/>
          <w:spacing w:val="10"/>
          <w:sz w:val="24"/>
          <w:szCs w:val="24"/>
        </w:rPr>
        <w:t>。</w:t>
      </w:r>
      <w:r>
        <w:rPr>
          <w:rFonts w:hint="eastAsia" w:ascii="宋体" w:hAnsi="宋体" w:cs="宋体"/>
          <w:spacing w:val="10"/>
          <w:sz w:val="24"/>
          <w:szCs w:val="24"/>
        </w:rPr>
        <w:t>估价结果汇总如下表所示</w:t>
      </w:r>
      <w:r>
        <w:rPr>
          <w:rFonts w:hint="eastAsia" w:ascii="宋体" w:hAnsi="宋体"/>
          <w:spacing w:val="10"/>
          <w:sz w:val="24"/>
          <w:szCs w:val="24"/>
        </w:rPr>
        <w:t>。</w:t>
      </w:r>
    </w:p>
    <w:p>
      <w:pPr>
        <w:widowControl/>
        <w:spacing w:line="360" w:lineRule="auto"/>
        <w:ind w:firstLine="522" w:firstLineChars="200"/>
        <w:jc w:val="center"/>
        <w:rPr>
          <w:rFonts w:ascii="宋体"/>
          <w:spacing w:val="10"/>
          <w:sz w:val="24"/>
          <w:szCs w:val="24"/>
        </w:rPr>
      </w:pPr>
      <w:r>
        <w:rPr>
          <w:rFonts w:hint="eastAsia" w:ascii="宋体" w:hAnsi="宋体" w:cs="宋体"/>
          <w:b/>
          <w:bCs/>
          <w:color w:val="000000"/>
          <w:spacing w:val="10"/>
          <w:sz w:val="24"/>
          <w:szCs w:val="24"/>
        </w:rPr>
        <w:t>估价结果汇总表</w:t>
      </w:r>
    </w:p>
    <w:tbl>
      <w:tblPr>
        <w:tblStyle w:val="41"/>
        <w:tblW w:w="9420" w:type="dxa"/>
        <w:tblInd w:w="93" w:type="dxa"/>
        <w:tblLayout w:type="autofit"/>
        <w:tblCellMar>
          <w:top w:w="0" w:type="dxa"/>
          <w:left w:w="108" w:type="dxa"/>
          <w:bottom w:w="0" w:type="dxa"/>
          <w:right w:w="108" w:type="dxa"/>
        </w:tblCellMar>
      </w:tblPr>
      <w:tblGrid>
        <w:gridCol w:w="1110"/>
        <w:gridCol w:w="810"/>
        <w:gridCol w:w="1320"/>
        <w:gridCol w:w="705"/>
        <w:gridCol w:w="675"/>
        <w:gridCol w:w="1080"/>
        <w:gridCol w:w="795"/>
        <w:gridCol w:w="1005"/>
        <w:gridCol w:w="1005"/>
        <w:gridCol w:w="915"/>
      </w:tblGrid>
      <w:tr>
        <w:tblPrEx>
          <w:tblCellMar>
            <w:top w:w="0" w:type="dxa"/>
            <w:left w:w="108" w:type="dxa"/>
            <w:bottom w:w="0" w:type="dxa"/>
            <w:right w:w="108" w:type="dxa"/>
          </w:tblCellMar>
        </w:tblPrEx>
        <w:trPr>
          <w:trHeight w:val="315" w:hRule="atLeast"/>
        </w:trPr>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权证号</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所有权人</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房屋坐落</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结构</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户号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所在层数</w:t>
            </w:r>
            <w:r>
              <w:rPr>
                <w:rFonts w:ascii="宋体" w:hAnsi="宋体" w:cs="宋体"/>
                <w:b/>
                <w:bCs/>
                <w:color w:val="000000"/>
                <w:kern w:val="0"/>
                <w:sz w:val="20"/>
              </w:rPr>
              <w:t>/总层数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用途</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建筑面积（㎡）</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评估单价（元</w:t>
            </w:r>
            <w:r>
              <w:rPr>
                <w:rFonts w:ascii="宋体" w:hAnsi="宋体" w:cs="宋体"/>
                <w:b/>
                <w:bCs/>
                <w:color w:val="000000"/>
                <w:kern w:val="0"/>
                <w:sz w:val="20"/>
              </w:rPr>
              <w:t>/㎡）</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评估总价（万元）</w:t>
            </w:r>
          </w:p>
        </w:tc>
      </w:tr>
      <w:tr>
        <w:tblPrEx>
          <w:tblCellMar>
            <w:top w:w="0" w:type="dxa"/>
            <w:left w:w="108" w:type="dxa"/>
            <w:bottom w:w="0" w:type="dxa"/>
            <w:right w:w="108" w:type="dxa"/>
          </w:tblCellMar>
        </w:tblPrEx>
        <w:trPr>
          <w:trHeight w:val="420" w:hRule="atLeast"/>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10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10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96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晃房权证新晃字第00033255号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杨顺钊、田冬竹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新晃县农业综合办背后</w:t>
            </w:r>
            <w:r>
              <w:rPr>
                <w:color w:val="000000"/>
                <w:kern w:val="0"/>
                <w:sz w:val="18"/>
                <w:szCs w:val="18"/>
              </w:rPr>
              <w:t>503</w:t>
            </w:r>
            <w:r>
              <w:rPr>
                <w:rFonts w:ascii="宋体" w:hAnsi="宋体" w:cs="宋体"/>
                <w:color w:val="000000"/>
                <w:kern w:val="0"/>
                <w:sz w:val="18"/>
                <w:szCs w:val="18"/>
              </w:rPr>
              <w:t>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混合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住宅</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121.73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40.11</w:t>
            </w:r>
          </w:p>
        </w:tc>
      </w:tr>
      <w:tr>
        <w:tblPrEx>
          <w:tblCellMar>
            <w:top w:w="0" w:type="dxa"/>
            <w:left w:w="108" w:type="dxa"/>
            <w:bottom w:w="0" w:type="dxa"/>
            <w:right w:w="108" w:type="dxa"/>
          </w:tblCellMar>
        </w:tblPrEx>
        <w:trPr>
          <w:trHeight w:val="285" w:hRule="atLeast"/>
        </w:trPr>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121.73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0"/>
                <w:szCs w:val="20"/>
                <w:lang w:val="en-US" w:eastAsia="zh-CN"/>
              </w:rPr>
              <w:t>40.11</w:t>
            </w:r>
          </w:p>
        </w:tc>
      </w:tr>
    </w:tbl>
    <w:p>
      <w:pPr>
        <w:widowControl/>
        <w:spacing w:line="440" w:lineRule="exact"/>
        <w:rPr>
          <w:rFonts w:ascii="宋体" w:hAnsi="宋体"/>
          <w:b/>
          <w:kern w:val="0"/>
          <w:sz w:val="24"/>
          <w:szCs w:val="24"/>
        </w:rPr>
      </w:pPr>
      <w:r>
        <w:rPr>
          <w:rFonts w:hint="eastAsia" w:ascii="宋体" w:hAnsi="宋体" w:cs="宋体"/>
          <w:b/>
          <w:kern w:val="0"/>
          <w:sz w:val="24"/>
          <w:szCs w:val="24"/>
        </w:rPr>
        <w:t>十一、</w:t>
      </w:r>
      <w:bookmarkEnd w:id="26"/>
      <w:bookmarkEnd w:id="27"/>
      <w:r>
        <w:rPr>
          <w:rFonts w:hint="eastAsia" w:ascii="宋体" w:hAnsi="宋体" w:cs="宋体"/>
          <w:b/>
          <w:kern w:val="0"/>
          <w:sz w:val="24"/>
          <w:szCs w:val="24"/>
        </w:rPr>
        <w:t>注册房地产估价师签字</w:t>
      </w:r>
    </w:p>
    <w:p>
      <w:pPr>
        <w:widowControl/>
        <w:spacing w:line="360" w:lineRule="auto"/>
        <w:ind w:firstLine="2938" w:firstLineChars="1130"/>
        <w:rPr>
          <w:rFonts w:ascii="宋体"/>
          <w:color w:val="000000"/>
          <w:spacing w:val="10"/>
          <w:sz w:val="24"/>
          <w:szCs w:val="24"/>
        </w:rPr>
      </w:pPr>
      <w:r>
        <w:rPr>
          <w:rFonts w:hint="eastAsia" w:ascii="宋体" w:hAnsi="宋体" w:cs="宋体"/>
          <w:color w:val="000000"/>
          <w:spacing w:val="10"/>
          <w:sz w:val="24"/>
          <w:szCs w:val="24"/>
        </w:rPr>
        <w:t>参加估价的注册房地产估价师</w:t>
      </w:r>
    </w:p>
    <w:tbl>
      <w:tblPr>
        <w:tblStyle w:val="41"/>
        <w:tblW w:w="871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6"/>
        <w:gridCol w:w="2156"/>
        <w:gridCol w:w="2157"/>
        <w:gridCol w:w="2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56" w:type="dxa"/>
            <w:vAlign w:val="center"/>
          </w:tcPr>
          <w:p>
            <w:pPr>
              <w:widowControl/>
              <w:spacing w:line="360" w:lineRule="auto"/>
              <w:jc w:val="center"/>
              <w:rPr>
                <w:rFonts w:ascii="宋体"/>
                <w:color w:val="000000"/>
                <w:spacing w:val="10"/>
                <w:sz w:val="24"/>
                <w:szCs w:val="24"/>
              </w:rPr>
            </w:pPr>
            <w:r>
              <w:rPr>
                <w:rFonts w:hint="eastAsia" w:ascii="宋体" w:hAnsi="宋体" w:cs="宋体"/>
                <w:color w:val="000000"/>
                <w:spacing w:val="10"/>
                <w:sz w:val="24"/>
                <w:szCs w:val="24"/>
              </w:rPr>
              <w:t>姓名</w:t>
            </w:r>
          </w:p>
        </w:tc>
        <w:tc>
          <w:tcPr>
            <w:tcW w:w="2156" w:type="dxa"/>
            <w:vAlign w:val="center"/>
          </w:tcPr>
          <w:p>
            <w:pPr>
              <w:widowControl/>
              <w:spacing w:line="360" w:lineRule="auto"/>
              <w:jc w:val="center"/>
              <w:rPr>
                <w:rFonts w:ascii="宋体"/>
                <w:color w:val="000000"/>
                <w:spacing w:val="10"/>
                <w:sz w:val="24"/>
                <w:szCs w:val="24"/>
              </w:rPr>
            </w:pPr>
            <w:r>
              <w:rPr>
                <w:rFonts w:hint="eastAsia" w:ascii="宋体" w:hAnsi="宋体" w:cs="宋体"/>
                <w:color w:val="000000"/>
                <w:spacing w:val="10"/>
                <w:sz w:val="24"/>
                <w:szCs w:val="24"/>
              </w:rPr>
              <w:t>注册号</w:t>
            </w:r>
          </w:p>
        </w:tc>
        <w:tc>
          <w:tcPr>
            <w:tcW w:w="2157" w:type="dxa"/>
            <w:vAlign w:val="center"/>
          </w:tcPr>
          <w:p>
            <w:pPr>
              <w:widowControl/>
              <w:spacing w:line="360" w:lineRule="auto"/>
              <w:jc w:val="center"/>
              <w:rPr>
                <w:rFonts w:ascii="宋体"/>
                <w:color w:val="000000"/>
                <w:spacing w:val="10"/>
                <w:sz w:val="24"/>
                <w:szCs w:val="24"/>
              </w:rPr>
            </w:pPr>
            <w:r>
              <w:rPr>
                <w:rFonts w:hint="eastAsia" w:ascii="宋体" w:hAnsi="宋体" w:cs="宋体"/>
                <w:color w:val="000000"/>
                <w:spacing w:val="10"/>
                <w:sz w:val="24"/>
                <w:szCs w:val="24"/>
              </w:rPr>
              <w:t>签名</w:t>
            </w:r>
          </w:p>
        </w:tc>
        <w:tc>
          <w:tcPr>
            <w:tcW w:w="2250" w:type="dxa"/>
            <w:vAlign w:val="center"/>
          </w:tcPr>
          <w:p>
            <w:pPr>
              <w:widowControl/>
              <w:spacing w:line="360" w:lineRule="auto"/>
              <w:jc w:val="center"/>
              <w:rPr>
                <w:rFonts w:ascii="宋体"/>
                <w:color w:val="000000"/>
                <w:spacing w:val="10"/>
                <w:sz w:val="24"/>
                <w:szCs w:val="24"/>
              </w:rPr>
            </w:pPr>
            <w:r>
              <w:rPr>
                <w:rFonts w:hint="eastAsia" w:ascii="宋体" w:hAnsi="宋体" w:cs="宋体"/>
                <w:color w:val="000000"/>
                <w:spacing w:val="10"/>
                <w:sz w:val="24"/>
                <w:szCs w:val="24"/>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156" w:type="dxa"/>
            <w:vAlign w:val="center"/>
          </w:tcPr>
          <w:p>
            <w:pPr>
              <w:widowControl/>
              <w:spacing w:line="360" w:lineRule="auto"/>
              <w:jc w:val="center"/>
              <w:rPr>
                <w:rFonts w:ascii="宋体" w:hAnsi="宋体" w:cs="宋体"/>
                <w:color w:val="000000"/>
                <w:spacing w:val="10"/>
                <w:sz w:val="24"/>
                <w:szCs w:val="24"/>
              </w:rPr>
            </w:pPr>
            <w:r>
              <w:rPr>
                <w:rFonts w:hint="eastAsia" w:ascii="宋体" w:hAnsi="宋体" w:cs="宋体"/>
                <w:color w:val="000000"/>
                <w:spacing w:val="10"/>
                <w:sz w:val="24"/>
                <w:szCs w:val="24"/>
              </w:rPr>
              <w:t>张剑</w:t>
            </w:r>
          </w:p>
        </w:tc>
        <w:tc>
          <w:tcPr>
            <w:tcW w:w="2156" w:type="dxa"/>
            <w:vAlign w:val="center"/>
          </w:tcPr>
          <w:p>
            <w:pPr>
              <w:widowControl/>
              <w:spacing w:line="360" w:lineRule="auto"/>
              <w:jc w:val="center"/>
              <w:rPr>
                <w:rFonts w:ascii="宋体" w:hAnsi="宋体" w:cs="宋体"/>
                <w:color w:val="000000"/>
                <w:spacing w:val="10"/>
                <w:sz w:val="24"/>
                <w:szCs w:val="24"/>
              </w:rPr>
            </w:pPr>
            <w:r>
              <w:rPr>
                <w:rFonts w:ascii="宋体" w:hAnsi="宋体" w:cs="宋体"/>
                <w:color w:val="000000"/>
                <w:spacing w:val="10"/>
                <w:sz w:val="24"/>
                <w:szCs w:val="24"/>
              </w:rPr>
              <w:t>4320130025</w:t>
            </w:r>
          </w:p>
        </w:tc>
        <w:tc>
          <w:tcPr>
            <w:tcW w:w="2157" w:type="dxa"/>
            <w:vAlign w:val="center"/>
          </w:tcPr>
          <w:p>
            <w:pPr>
              <w:widowControl/>
              <w:spacing w:line="360" w:lineRule="auto"/>
              <w:jc w:val="center"/>
              <w:rPr>
                <w:rFonts w:ascii="宋体"/>
                <w:color w:val="000000"/>
                <w:spacing w:val="10"/>
                <w:sz w:val="24"/>
                <w:szCs w:val="24"/>
              </w:rPr>
            </w:pPr>
          </w:p>
          <w:p>
            <w:pPr>
              <w:widowControl/>
              <w:spacing w:line="360" w:lineRule="auto"/>
              <w:jc w:val="center"/>
              <w:rPr>
                <w:rFonts w:ascii="宋体"/>
                <w:color w:val="000000"/>
                <w:spacing w:val="10"/>
                <w:sz w:val="24"/>
                <w:szCs w:val="24"/>
              </w:rPr>
            </w:pPr>
          </w:p>
          <w:p>
            <w:pPr>
              <w:widowControl/>
              <w:spacing w:line="360" w:lineRule="auto"/>
              <w:jc w:val="center"/>
              <w:rPr>
                <w:rFonts w:ascii="宋体"/>
                <w:color w:val="000000"/>
                <w:spacing w:val="10"/>
                <w:sz w:val="24"/>
                <w:szCs w:val="24"/>
              </w:rPr>
            </w:pPr>
          </w:p>
        </w:tc>
        <w:tc>
          <w:tcPr>
            <w:tcW w:w="2250" w:type="dxa"/>
            <w:vAlign w:val="center"/>
          </w:tcPr>
          <w:p>
            <w:pPr>
              <w:widowControl/>
              <w:spacing w:line="360" w:lineRule="auto"/>
              <w:ind w:firstLine="650" w:firstLineChars="250"/>
              <w:rPr>
                <w:rFonts w:ascii="宋体"/>
                <w:color w:val="000000"/>
                <w:spacing w:val="10"/>
                <w:sz w:val="24"/>
                <w:szCs w:val="24"/>
              </w:rPr>
            </w:pPr>
            <w:r>
              <w:rPr>
                <w:rFonts w:hint="eastAsia" w:ascii="宋体" w:hAnsi="宋体" w:cs="宋体"/>
                <w:color w:val="000000"/>
                <w:spacing w:val="10"/>
                <w:sz w:val="24"/>
                <w:szCs w:val="24"/>
              </w:rPr>
              <w:t>年</w:t>
            </w:r>
            <w:r>
              <w:rPr>
                <w:rFonts w:hint="eastAsia" w:ascii="宋体" w:hAnsi="宋体" w:cs="宋体"/>
                <w:color w:val="000000"/>
                <w:spacing w:val="10"/>
                <w:sz w:val="24"/>
                <w:szCs w:val="24"/>
                <w:lang w:val="en-US" w:eastAsia="zh-CN"/>
              </w:rPr>
              <w:t xml:space="preserve">  </w:t>
            </w:r>
            <w:r>
              <w:rPr>
                <w:rFonts w:hint="eastAsia" w:ascii="宋体" w:hAnsi="宋体" w:cs="宋体"/>
                <w:color w:val="000000"/>
                <w:spacing w:val="10"/>
                <w:sz w:val="24"/>
                <w:szCs w:val="24"/>
              </w:rPr>
              <w:t>月</w:t>
            </w:r>
            <w:r>
              <w:rPr>
                <w:rFonts w:hint="eastAsia" w:ascii="宋体" w:hAnsi="宋体" w:cs="宋体"/>
                <w:color w:val="000000"/>
                <w:spacing w:val="10"/>
                <w:sz w:val="24"/>
                <w:szCs w:val="24"/>
                <w:lang w:val="en-US" w:eastAsia="zh-CN"/>
              </w:rPr>
              <w:t xml:space="preserve">  </w:t>
            </w:r>
            <w:r>
              <w:rPr>
                <w:rFonts w:hint="eastAsia" w:ascii="宋体" w:hAnsi="宋体" w:cs="宋体"/>
                <w:color w:val="000000"/>
                <w:spacing w:val="10"/>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2156" w:type="dxa"/>
            <w:vAlign w:val="center"/>
          </w:tcPr>
          <w:p>
            <w:pPr>
              <w:widowControl/>
              <w:spacing w:line="360" w:lineRule="auto"/>
              <w:jc w:val="center"/>
              <w:rPr>
                <w:rFonts w:ascii="宋体"/>
                <w:color w:val="000000"/>
                <w:spacing w:val="10"/>
                <w:sz w:val="24"/>
                <w:szCs w:val="24"/>
              </w:rPr>
            </w:pPr>
            <w:r>
              <w:rPr>
                <w:rFonts w:hint="eastAsia" w:ascii="宋体" w:hAnsi="宋体" w:cs="宋体"/>
                <w:color w:val="000000"/>
                <w:spacing w:val="10"/>
                <w:sz w:val="24"/>
                <w:szCs w:val="24"/>
              </w:rPr>
              <w:t>李叶</w:t>
            </w:r>
          </w:p>
        </w:tc>
        <w:tc>
          <w:tcPr>
            <w:tcW w:w="2156" w:type="dxa"/>
            <w:vAlign w:val="center"/>
          </w:tcPr>
          <w:p>
            <w:pPr>
              <w:widowControl/>
              <w:spacing w:line="360" w:lineRule="auto"/>
              <w:jc w:val="center"/>
              <w:rPr>
                <w:rFonts w:ascii="宋体"/>
                <w:color w:val="000000"/>
                <w:spacing w:val="10"/>
                <w:sz w:val="24"/>
                <w:szCs w:val="24"/>
              </w:rPr>
            </w:pPr>
            <w:r>
              <w:rPr>
                <w:rFonts w:ascii="宋体" w:hAnsi="宋体" w:cs="宋体"/>
                <w:color w:val="000000"/>
                <w:spacing w:val="10"/>
                <w:sz w:val="24"/>
                <w:szCs w:val="24"/>
              </w:rPr>
              <w:t>4320110041</w:t>
            </w:r>
          </w:p>
        </w:tc>
        <w:tc>
          <w:tcPr>
            <w:tcW w:w="2157" w:type="dxa"/>
            <w:vAlign w:val="center"/>
          </w:tcPr>
          <w:p>
            <w:pPr>
              <w:widowControl/>
              <w:spacing w:line="360" w:lineRule="auto"/>
              <w:jc w:val="center"/>
              <w:rPr>
                <w:rFonts w:ascii="宋体"/>
                <w:color w:val="000000"/>
                <w:spacing w:val="10"/>
                <w:sz w:val="24"/>
                <w:szCs w:val="24"/>
              </w:rPr>
            </w:pPr>
          </w:p>
          <w:p>
            <w:pPr>
              <w:widowControl/>
              <w:spacing w:line="360" w:lineRule="auto"/>
              <w:jc w:val="center"/>
              <w:rPr>
                <w:rFonts w:ascii="宋体"/>
                <w:color w:val="000000"/>
                <w:spacing w:val="10"/>
                <w:sz w:val="24"/>
                <w:szCs w:val="24"/>
              </w:rPr>
            </w:pPr>
          </w:p>
          <w:p>
            <w:pPr>
              <w:widowControl/>
              <w:spacing w:line="360" w:lineRule="auto"/>
              <w:jc w:val="center"/>
              <w:rPr>
                <w:rFonts w:ascii="宋体"/>
                <w:color w:val="000000"/>
                <w:spacing w:val="10"/>
                <w:sz w:val="24"/>
                <w:szCs w:val="24"/>
              </w:rPr>
            </w:pPr>
          </w:p>
        </w:tc>
        <w:tc>
          <w:tcPr>
            <w:tcW w:w="2250" w:type="dxa"/>
            <w:vAlign w:val="center"/>
          </w:tcPr>
          <w:p>
            <w:pPr>
              <w:widowControl/>
              <w:spacing w:line="360" w:lineRule="auto"/>
              <w:ind w:firstLine="520" w:firstLineChars="200"/>
              <w:jc w:val="both"/>
              <w:rPr>
                <w:rFonts w:ascii="宋体"/>
                <w:color w:val="000000"/>
                <w:spacing w:val="10"/>
                <w:sz w:val="24"/>
                <w:szCs w:val="24"/>
              </w:rPr>
            </w:pPr>
            <w:r>
              <w:rPr>
                <w:rFonts w:hint="eastAsia" w:ascii="宋体" w:hAnsi="宋体" w:cs="宋体"/>
                <w:color w:val="000000"/>
                <w:spacing w:val="10"/>
                <w:sz w:val="24"/>
                <w:szCs w:val="24"/>
              </w:rPr>
              <w:t>年</w:t>
            </w:r>
            <w:r>
              <w:rPr>
                <w:rFonts w:hint="eastAsia" w:ascii="宋体" w:hAnsi="宋体" w:cs="宋体"/>
                <w:color w:val="000000"/>
                <w:spacing w:val="10"/>
                <w:sz w:val="24"/>
                <w:szCs w:val="24"/>
                <w:lang w:val="en-US" w:eastAsia="zh-CN"/>
              </w:rPr>
              <w:t xml:space="preserve">  </w:t>
            </w:r>
            <w:r>
              <w:rPr>
                <w:rFonts w:hint="eastAsia" w:ascii="宋体" w:hAnsi="宋体" w:cs="宋体"/>
                <w:color w:val="000000"/>
                <w:spacing w:val="10"/>
                <w:sz w:val="24"/>
                <w:szCs w:val="24"/>
              </w:rPr>
              <w:t>月</w:t>
            </w:r>
            <w:r>
              <w:rPr>
                <w:rFonts w:hint="eastAsia" w:ascii="宋体" w:hAnsi="宋体" w:cs="宋体"/>
                <w:color w:val="000000"/>
                <w:spacing w:val="10"/>
                <w:sz w:val="24"/>
                <w:szCs w:val="24"/>
                <w:lang w:val="en-US" w:eastAsia="zh-CN"/>
              </w:rPr>
              <w:t xml:space="preserve">  </w:t>
            </w:r>
            <w:r>
              <w:rPr>
                <w:rFonts w:hint="eastAsia" w:ascii="宋体" w:hAnsi="宋体" w:cs="宋体"/>
                <w:color w:val="000000"/>
                <w:spacing w:val="10"/>
                <w:sz w:val="24"/>
                <w:szCs w:val="24"/>
              </w:rPr>
              <w:t>日</w:t>
            </w:r>
          </w:p>
        </w:tc>
      </w:tr>
    </w:tbl>
    <w:p>
      <w:pPr>
        <w:pStyle w:val="3"/>
        <w:snapToGrid/>
        <w:spacing w:line="360" w:lineRule="auto"/>
        <w:rPr>
          <w:rFonts w:ascii="宋体" w:hAnsi="宋体" w:eastAsia="宋体" w:cs="Times New Roman"/>
          <w:kern w:val="0"/>
          <w:sz w:val="24"/>
          <w:szCs w:val="24"/>
        </w:rPr>
      </w:pPr>
      <w:bookmarkStart w:id="28" w:name="_Toc478"/>
      <w:bookmarkStart w:id="29" w:name="_Toc256000015"/>
      <w:r>
        <w:rPr>
          <w:rFonts w:hint="eastAsia" w:ascii="宋体" w:hAnsi="宋体" w:eastAsia="宋体" w:cs="宋体"/>
          <w:kern w:val="0"/>
          <w:sz w:val="24"/>
          <w:szCs w:val="24"/>
        </w:rPr>
        <w:t>十二、实地查勘期</w:t>
      </w:r>
      <w:bookmarkEnd w:id="28"/>
      <w:bookmarkEnd w:id="29"/>
    </w:p>
    <w:p>
      <w:pPr>
        <w:spacing w:line="360" w:lineRule="auto"/>
        <w:ind w:firstLine="480" w:firstLineChars="200"/>
        <w:rPr>
          <w:rFonts w:ascii="宋体" w:hAnsi="宋体" w:cs="宋体"/>
          <w:sz w:val="24"/>
          <w:szCs w:val="24"/>
        </w:rPr>
      </w:pPr>
      <w:r>
        <w:rPr>
          <w:rFonts w:hint="eastAsia" w:ascii="宋体" w:hAnsi="宋体" w:cs="宋体"/>
          <w:sz w:val="24"/>
          <w:szCs w:val="24"/>
        </w:rPr>
        <w:t>2021年7月19日</w:t>
      </w:r>
      <w:bookmarkStart w:id="30" w:name="_Toc256000016"/>
      <w:bookmarkStart w:id="31" w:name="_Toc11047"/>
      <w:r>
        <w:rPr>
          <w:rFonts w:hint="eastAsia" w:ascii="宋体" w:hAnsi="宋体" w:cs="宋体"/>
          <w:sz w:val="24"/>
          <w:szCs w:val="24"/>
        </w:rPr>
        <w:t>，查勘于当日完成。</w:t>
      </w:r>
    </w:p>
    <w:p>
      <w:pPr>
        <w:spacing w:line="360" w:lineRule="auto"/>
        <w:rPr>
          <w:rFonts w:ascii="宋体"/>
          <w:b/>
          <w:bCs/>
          <w:kern w:val="0"/>
          <w:sz w:val="24"/>
          <w:szCs w:val="24"/>
        </w:rPr>
      </w:pPr>
      <w:r>
        <w:rPr>
          <w:rFonts w:hint="eastAsia" w:ascii="宋体" w:hAnsi="宋体" w:cs="宋体"/>
          <w:b/>
          <w:kern w:val="0"/>
          <w:sz w:val="24"/>
          <w:szCs w:val="24"/>
        </w:rPr>
        <w:t>十三、估价作业期</w:t>
      </w:r>
      <w:bookmarkEnd w:id="30"/>
      <w:bookmarkEnd w:id="31"/>
    </w:p>
    <w:p>
      <w:pPr>
        <w:spacing w:line="360" w:lineRule="auto"/>
        <w:ind w:firstLine="480" w:firstLineChars="200"/>
        <w:rPr>
          <w:rFonts w:ascii="宋体"/>
          <w:sz w:val="24"/>
          <w:szCs w:val="24"/>
        </w:rPr>
      </w:pPr>
      <w:r>
        <w:rPr>
          <w:rFonts w:hint="eastAsia" w:ascii="宋体" w:hAnsi="宋体" w:cs="宋体"/>
          <w:sz w:val="24"/>
          <w:szCs w:val="24"/>
        </w:rPr>
        <w:t>2021年7月7日</w:t>
      </w:r>
      <w:r>
        <w:rPr>
          <w:rFonts w:ascii="宋体" w:cs="宋体"/>
          <w:sz w:val="24"/>
          <w:szCs w:val="24"/>
        </w:rPr>
        <w:t>-</w:t>
      </w:r>
      <w:r>
        <w:rPr>
          <w:rFonts w:hint="eastAsia" w:ascii="宋体" w:hAnsi="宋体" w:cs="宋体"/>
          <w:sz w:val="24"/>
          <w:szCs w:val="24"/>
        </w:rPr>
        <w:t>2021年7月30日</w:t>
      </w:r>
    </w:p>
    <w:p>
      <w:pPr>
        <w:rPr>
          <w:rFonts w:ascii="宋体"/>
          <w:kern w:val="0"/>
          <w:sz w:val="24"/>
          <w:szCs w:val="24"/>
        </w:rPr>
      </w:pPr>
    </w:p>
    <w:p>
      <w:pPr>
        <w:spacing w:line="480" w:lineRule="auto"/>
        <w:rPr>
          <w:rFonts w:ascii="黑体" w:hAnsi="宋体" w:eastAsia="黑体"/>
          <w:b/>
          <w:bCs/>
          <w:sz w:val="32"/>
          <w:szCs w:val="32"/>
        </w:rPr>
      </w:pPr>
    </w:p>
    <w:p>
      <w:pPr>
        <w:pStyle w:val="2"/>
        <w:spacing w:line="360" w:lineRule="auto"/>
        <w:ind w:firstLine="3855" w:firstLineChars="1200"/>
        <w:jc w:val="both"/>
        <w:rPr>
          <w:rFonts w:ascii="黑体" w:hAnsi="宋体" w:eastAsia="黑体" w:cs="Times New Roman"/>
          <w:b/>
          <w:bCs/>
          <w:sz w:val="32"/>
          <w:szCs w:val="32"/>
        </w:rPr>
      </w:pPr>
      <w:r>
        <w:rPr>
          <w:rFonts w:hint="eastAsia" w:ascii="黑体" w:hAnsi="宋体" w:eastAsia="黑体" w:cs="黑体"/>
          <w:b/>
          <w:bCs/>
          <w:sz w:val="32"/>
          <w:szCs w:val="32"/>
        </w:rPr>
        <w:t>附件</w:t>
      </w:r>
    </w:p>
    <w:p>
      <w:pPr>
        <w:spacing w:line="360" w:lineRule="auto"/>
      </w:pPr>
    </w:p>
    <w:p>
      <w:pPr>
        <w:widowControl/>
        <w:numPr>
          <w:ilvl w:val="0"/>
          <w:numId w:val="5"/>
        </w:numPr>
        <w:spacing w:line="480" w:lineRule="auto"/>
        <w:rPr>
          <w:rFonts w:ascii="宋体"/>
          <w:spacing w:val="10"/>
          <w:sz w:val="24"/>
          <w:szCs w:val="24"/>
        </w:rPr>
      </w:pPr>
      <w:r>
        <w:rPr>
          <w:rFonts w:hint="eastAsia" w:ascii="宋体" w:hAnsi="宋体" w:cs="宋体"/>
          <w:spacing w:val="10"/>
          <w:sz w:val="24"/>
          <w:szCs w:val="24"/>
        </w:rPr>
        <w:t>委托书[（2021）湘1227法鉴字017号]</w:t>
      </w:r>
    </w:p>
    <w:p>
      <w:pPr>
        <w:widowControl/>
        <w:numPr>
          <w:ilvl w:val="0"/>
          <w:numId w:val="5"/>
        </w:numPr>
        <w:spacing w:line="480" w:lineRule="auto"/>
        <w:rPr>
          <w:rFonts w:ascii="宋体"/>
          <w:spacing w:val="10"/>
          <w:sz w:val="24"/>
          <w:szCs w:val="24"/>
        </w:rPr>
      </w:pPr>
      <w:r>
        <w:rPr>
          <w:rFonts w:hint="eastAsia" w:ascii="宋体" w:hAnsi="宋体" w:cs="宋体"/>
          <w:spacing w:val="10"/>
          <w:sz w:val="24"/>
          <w:szCs w:val="24"/>
        </w:rPr>
        <w:t>估价对象</w:t>
      </w:r>
      <w:r>
        <w:rPr>
          <w:rFonts w:hint="eastAsia" w:ascii="宋体" w:hAnsi="宋体" w:cs="宋体"/>
          <w:color w:val="000000"/>
          <w:spacing w:val="10"/>
          <w:sz w:val="24"/>
          <w:szCs w:val="24"/>
        </w:rPr>
        <w:t>权属证书复印件</w:t>
      </w:r>
    </w:p>
    <w:p>
      <w:pPr>
        <w:widowControl/>
        <w:numPr>
          <w:ilvl w:val="0"/>
          <w:numId w:val="5"/>
        </w:numPr>
        <w:spacing w:line="480" w:lineRule="auto"/>
        <w:rPr>
          <w:rFonts w:ascii="宋体"/>
          <w:spacing w:val="10"/>
          <w:sz w:val="24"/>
          <w:szCs w:val="24"/>
        </w:rPr>
      </w:pPr>
      <w:r>
        <w:rPr>
          <w:rFonts w:hint="eastAsia" w:ascii="宋体" w:hAnsi="宋体" w:cs="宋体"/>
          <w:spacing w:val="10"/>
          <w:sz w:val="24"/>
          <w:szCs w:val="24"/>
        </w:rPr>
        <w:t>估价对象位置示意图</w:t>
      </w:r>
    </w:p>
    <w:p>
      <w:pPr>
        <w:widowControl/>
        <w:numPr>
          <w:ilvl w:val="0"/>
          <w:numId w:val="5"/>
        </w:numPr>
        <w:spacing w:line="480" w:lineRule="auto"/>
        <w:rPr>
          <w:rFonts w:ascii="宋体"/>
          <w:spacing w:val="10"/>
          <w:sz w:val="24"/>
          <w:szCs w:val="24"/>
        </w:rPr>
      </w:pPr>
      <w:r>
        <w:rPr>
          <w:rFonts w:hint="eastAsia" w:ascii="宋体" w:hAnsi="宋体" w:cs="宋体"/>
          <w:spacing w:val="10"/>
          <w:sz w:val="24"/>
          <w:szCs w:val="24"/>
        </w:rPr>
        <w:t>估价对象相关照片及查勘记录</w:t>
      </w:r>
    </w:p>
    <w:p>
      <w:pPr>
        <w:widowControl/>
        <w:numPr>
          <w:ilvl w:val="0"/>
          <w:numId w:val="5"/>
        </w:numPr>
        <w:spacing w:line="480" w:lineRule="auto"/>
        <w:rPr>
          <w:rFonts w:ascii="宋体"/>
          <w:spacing w:val="10"/>
          <w:sz w:val="24"/>
          <w:szCs w:val="24"/>
        </w:rPr>
      </w:pPr>
      <w:r>
        <w:rPr>
          <w:rFonts w:hint="eastAsia" w:ascii="宋体" w:hAnsi="宋体" w:cs="宋体"/>
          <w:spacing w:val="10"/>
          <w:sz w:val="24"/>
          <w:szCs w:val="24"/>
        </w:rPr>
        <w:t>房地产估价机构营业执照复印件</w:t>
      </w:r>
    </w:p>
    <w:p>
      <w:pPr>
        <w:widowControl/>
        <w:numPr>
          <w:ilvl w:val="0"/>
          <w:numId w:val="5"/>
        </w:numPr>
        <w:spacing w:line="480" w:lineRule="auto"/>
        <w:rPr>
          <w:rFonts w:ascii="宋体"/>
          <w:spacing w:val="10"/>
          <w:sz w:val="24"/>
          <w:szCs w:val="24"/>
        </w:rPr>
      </w:pPr>
      <w:r>
        <w:rPr>
          <w:rFonts w:hint="eastAsia" w:ascii="宋体" w:hAnsi="宋体" w:cs="宋体"/>
          <w:spacing w:val="10"/>
          <w:sz w:val="24"/>
          <w:szCs w:val="24"/>
        </w:rPr>
        <w:t>房地产价格评估机构资格证书复印件</w:t>
      </w:r>
    </w:p>
    <w:p>
      <w:pPr>
        <w:widowControl/>
        <w:numPr>
          <w:ilvl w:val="0"/>
          <w:numId w:val="5"/>
        </w:numPr>
        <w:spacing w:line="480" w:lineRule="auto"/>
        <w:rPr>
          <w:rFonts w:ascii="宋体"/>
          <w:spacing w:val="10"/>
          <w:sz w:val="24"/>
          <w:szCs w:val="24"/>
        </w:rPr>
      </w:pPr>
      <w:r>
        <w:rPr>
          <w:rFonts w:hint="eastAsia" w:ascii="宋体" w:hAnsi="宋体" w:cs="宋体"/>
          <w:spacing w:val="10"/>
          <w:sz w:val="24"/>
          <w:szCs w:val="24"/>
        </w:rPr>
        <w:t>注册房地产估价师注册证书复印件</w:t>
      </w:r>
    </w:p>
    <w:p>
      <w:pPr>
        <w:rPr>
          <w:rFonts w:ascii="宋体"/>
          <w:b/>
          <w:bCs/>
          <w:spacing w:val="10"/>
          <w:sz w:val="24"/>
          <w:szCs w:val="24"/>
        </w:rPr>
      </w:pPr>
    </w:p>
    <w:p>
      <w:pPr>
        <w:spacing w:line="480" w:lineRule="auto"/>
        <w:rPr>
          <w:rFonts w:ascii="黑体" w:hAnsi="宋体" w:eastAsia="黑体"/>
          <w:b/>
          <w:bCs/>
          <w:sz w:val="32"/>
          <w:szCs w:val="32"/>
        </w:rPr>
      </w:pPr>
    </w:p>
    <w:p>
      <w:pPr>
        <w:spacing w:line="480" w:lineRule="auto"/>
        <w:rPr>
          <w:rFonts w:ascii="黑体" w:hAnsi="宋体" w:eastAsia="黑体"/>
          <w:b/>
          <w:bCs/>
          <w:sz w:val="32"/>
          <w:szCs w:val="32"/>
        </w:rPr>
      </w:pPr>
    </w:p>
    <w:p>
      <w:pPr>
        <w:spacing w:line="480" w:lineRule="auto"/>
        <w:rPr>
          <w:rFonts w:ascii="黑体" w:hAnsi="宋体" w:eastAsia="黑体"/>
          <w:b/>
          <w:bCs/>
          <w:sz w:val="32"/>
          <w:szCs w:val="32"/>
        </w:rPr>
      </w:pPr>
    </w:p>
    <w:p>
      <w:pPr>
        <w:spacing w:line="480" w:lineRule="auto"/>
        <w:rPr>
          <w:rFonts w:ascii="黑体" w:hAnsi="宋体" w:eastAsia="黑体"/>
          <w:b/>
          <w:bCs/>
          <w:sz w:val="32"/>
          <w:szCs w:val="32"/>
        </w:rPr>
      </w:pPr>
    </w:p>
    <w:p>
      <w:pPr>
        <w:spacing w:line="480" w:lineRule="auto"/>
        <w:rPr>
          <w:rFonts w:ascii="黑体" w:hAnsi="宋体" w:eastAsia="黑体"/>
          <w:b/>
          <w:bCs/>
          <w:sz w:val="32"/>
          <w:szCs w:val="32"/>
        </w:rPr>
      </w:pPr>
    </w:p>
    <w:p>
      <w:pPr>
        <w:spacing w:line="480" w:lineRule="auto"/>
        <w:rPr>
          <w:rFonts w:ascii="黑体" w:hAnsi="宋体" w:eastAsia="黑体"/>
          <w:b/>
          <w:bCs/>
          <w:sz w:val="32"/>
          <w:szCs w:val="32"/>
        </w:rPr>
      </w:pPr>
    </w:p>
    <w:p>
      <w:pPr>
        <w:spacing w:line="480" w:lineRule="auto"/>
        <w:rPr>
          <w:rFonts w:ascii="黑体" w:hAnsi="宋体" w:eastAsia="黑体"/>
          <w:b/>
          <w:bCs/>
          <w:sz w:val="32"/>
          <w:szCs w:val="32"/>
        </w:rPr>
      </w:pPr>
    </w:p>
    <w:p>
      <w:pPr>
        <w:spacing w:line="480" w:lineRule="auto"/>
        <w:rPr>
          <w:rFonts w:ascii="黑体" w:hAnsi="宋体" w:eastAsia="黑体"/>
          <w:b/>
          <w:bCs/>
          <w:sz w:val="32"/>
          <w:szCs w:val="32"/>
        </w:rPr>
      </w:pPr>
    </w:p>
    <w:p>
      <w:bookmarkStart w:id="32" w:name="_Toc534375909"/>
      <w:bookmarkStart w:id="33" w:name="_Toc534364760"/>
      <w:bookmarkStart w:id="34" w:name="_Toc16605858"/>
      <w:bookmarkStart w:id="35" w:name="_Toc534728225"/>
      <w:bookmarkStart w:id="36" w:name="_Toc520108631"/>
      <w:bookmarkStart w:id="37" w:name="_Toc527378082"/>
      <w:bookmarkStart w:id="38" w:name="_Toc529366188"/>
      <w:bookmarkStart w:id="39" w:name="_Toc519002421"/>
      <w:bookmarkStart w:id="40" w:name="_Toc534375941"/>
      <w:bookmarkStart w:id="41" w:name="_Toc16605862"/>
      <w:bookmarkStart w:id="42" w:name="_Toc520108635"/>
      <w:bookmarkStart w:id="43" w:name="_Toc527378086"/>
      <w:bookmarkStart w:id="44" w:name="_Toc529366192"/>
      <w:bookmarkStart w:id="45" w:name="_Toc534364764"/>
      <w:bookmarkStart w:id="46" w:name="_Toc534375945"/>
      <w:bookmarkStart w:id="47" w:name="_Toc534375913"/>
      <w:bookmarkStart w:id="48" w:name="_Toc534728229"/>
      <w:bookmarkStart w:id="49" w:name="_Toc828"/>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Pr>
        <w:rPr>
          <w:rFonts w:ascii="黑体" w:hAnsi="宋体" w:eastAsia="黑体" w:cs="黑体"/>
          <w:b/>
          <w:bCs/>
          <w:sz w:val="32"/>
          <w:szCs w:val="32"/>
        </w:rPr>
      </w:pPr>
    </w:p>
    <w:p>
      <w:pPr>
        <w:rPr>
          <w:rFonts w:ascii="黑体" w:hAnsi="宋体" w:eastAsia="黑体" w:cs="黑体"/>
          <w:b/>
          <w:bCs/>
          <w:sz w:val="32"/>
          <w:szCs w:val="32"/>
        </w:rPr>
      </w:pPr>
      <w:bookmarkStart w:id="50" w:name="_GoBack"/>
      <w:bookmarkEnd w:id="50"/>
    </w:p>
    <w:bookmarkEnd w:id="49"/>
    <w:p>
      <w:pPr>
        <w:rPr>
          <w:rFonts w:ascii="宋体"/>
          <w:b/>
          <w:bCs/>
          <w:spacing w:val="10"/>
          <w:sz w:val="24"/>
          <w:szCs w:val="24"/>
        </w:rPr>
      </w:pPr>
    </w:p>
    <w:sectPr>
      <w:headerReference r:id="rId4" w:type="first"/>
      <w:headerReference r:id="rId3" w:type="default"/>
      <w:footerReference r:id="rId5" w:type="default"/>
      <w:pgSz w:w="11907" w:h="16840"/>
      <w:pgMar w:top="1254" w:right="1512" w:bottom="1474" w:left="1985" w:header="855" w:footer="551" w:gutter="0"/>
      <w:pgNumType w:start="0"/>
      <w:cols w:space="72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page" w:x="6126" w:y="581"/>
      <w:rPr>
        <w:rStyle w:val="47"/>
      </w:rPr>
    </w:pPr>
    <w:r>
      <w:rPr>
        <w:rStyle w:val="47"/>
      </w:rPr>
      <w:fldChar w:fldCharType="begin"/>
    </w:r>
    <w:r>
      <w:rPr>
        <w:rStyle w:val="47"/>
      </w:rPr>
      <w:instrText xml:space="preserve">PAGE  </w:instrText>
    </w:r>
    <w:r>
      <w:rPr>
        <w:rStyle w:val="47"/>
      </w:rPr>
      <w:fldChar w:fldCharType="separate"/>
    </w:r>
    <w:r>
      <w:rPr>
        <w:rStyle w:val="47"/>
      </w:rPr>
      <w:t>29</w:t>
    </w:r>
    <w:r>
      <w:rPr>
        <w:rStyle w:val="47"/>
      </w:rPr>
      <w:fldChar w:fldCharType="end"/>
    </w:r>
  </w:p>
  <w:p>
    <w:pPr>
      <w:widowControl/>
      <w:tabs>
        <w:tab w:val="center" w:pos="3713"/>
        <w:tab w:val="left" w:pos="4935"/>
      </w:tabs>
      <w:spacing w:line="360" w:lineRule="auto"/>
      <w:rPr>
        <w:rFonts w:ascii="幼圆" w:eastAsia="幼圆" w:cs="幼圆"/>
        <w:color w:val="808080"/>
        <w:sz w:val="15"/>
        <w:szCs w:val="15"/>
        <w:u w:val="single"/>
      </w:rPr>
    </w:pPr>
  </w:p>
  <w:p>
    <w:pPr>
      <w:widowControl/>
      <w:tabs>
        <w:tab w:val="center" w:pos="3713"/>
        <w:tab w:val="left" w:pos="4935"/>
      </w:tabs>
      <w:spacing w:line="360" w:lineRule="auto"/>
      <w:rPr>
        <w:rFonts w:ascii="幼圆" w:eastAsia="幼圆" w:cs="幼圆"/>
        <w:color w:val="808080"/>
        <w:sz w:val="15"/>
        <w:szCs w:val="15"/>
        <w:u w:val="single"/>
      </w:rPr>
    </w:pPr>
    <w:r>
      <w:rPr>
        <w:rFonts w:hint="eastAsia" w:ascii="幼圆" w:eastAsia="幼圆" w:cs="幼圆"/>
        <w:color w:val="808080"/>
        <w:sz w:val="15"/>
        <w:szCs w:val="15"/>
        <w:u w:val="single"/>
      </w:rPr>
      <w:t>项目名称：</w:t>
    </w:r>
    <w:r>
      <w:rPr>
        <w:rFonts w:hint="eastAsia" w:ascii="幼圆" w:eastAsia="幼圆" w:cs="幼圆"/>
        <w:color w:val="808080"/>
        <w:sz w:val="15"/>
        <w:szCs w:val="15"/>
        <w:u w:val="single"/>
        <w:lang w:val="en-US" w:eastAsia="zh-CN"/>
      </w:rPr>
      <w:t>位于新晃县农业综合办背后503号</w:t>
    </w:r>
    <w:r>
      <w:rPr>
        <w:rFonts w:hint="eastAsia" w:ascii="幼圆" w:eastAsia="幼圆" w:cs="幼圆"/>
        <w:color w:val="808080"/>
        <w:sz w:val="15"/>
        <w:szCs w:val="15"/>
        <w:u w:val="single"/>
      </w:rPr>
      <w:t>住宅房地产市场价值评估</w:t>
    </w:r>
  </w:p>
  <w:p>
    <w:pPr>
      <w:widowControl/>
      <w:tabs>
        <w:tab w:val="center" w:pos="3713"/>
        <w:tab w:val="left" w:pos="4935"/>
      </w:tabs>
      <w:spacing w:line="360" w:lineRule="auto"/>
      <w:rPr>
        <w:rFonts w:ascii="幼圆" w:eastAsia="幼圆" w:cs="幼圆"/>
        <w:color w:val="808080"/>
        <w:sz w:val="15"/>
        <w:szCs w:val="15"/>
        <w:u w:val="single"/>
      </w:rPr>
    </w:pPr>
    <w:r>
      <w:rPr>
        <w:rFonts w:hint="eastAsia" w:ascii="幼圆" w:eastAsia="幼圆" w:cs="幼圆"/>
        <w:color w:val="808080"/>
        <w:sz w:val="15"/>
        <w:szCs w:val="15"/>
        <w:u w:val="single"/>
      </w:rPr>
      <w:t>地址：长沙市芙蓉中路二段</w:t>
    </w:r>
    <w:r>
      <w:rPr>
        <w:rFonts w:ascii="幼圆" w:eastAsia="幼圆" w:cs="幼圆"/>
        <w:color w:val="808080"/>
        <w:sz w:val="15"/>
        <w:szCs w:val="15"/>
        <w:u w:val="single"/>
      </w:rPr>
      <w:t>80</w:t>
    </w:r>
    <w:r>
      <w:rPr>
        <w:rFonts w:hint="eastAsia" w:ascii="幼圆" w:eastAsia="幼圆" w:cs="幼圆"/>
        <w:color w:val="808080"/>
        <w:sz w:val="15"/>
        <w:szCs w:val="15"/>
        <w:u w:val="single"/>
      </w:rPr>
      <w:t>号顺天国际财富中心</w:t>
    </w:r>
    <w:r>
      <w:rPr>
        <w:rFonts w:ascii="幼圆" w:eastAsia="幼圆" w:cs="幼圆"/>
        <w:color w:val="808080"/>
        <w:sz w:val="15"/>
        <w:szCs w:val="15"/>
        <w:u w:val="single"/>
      </w:rPr>
      <w:t>16</w:t>
    </w:r>
    <w:r>
      <w:rPr>
        <w:rFonts w:hint="eastAsia" w:ascii="幼圆" w:eastAsia="幼圆" w:cs="幼圆"/>
        <w:color w:val="808080"/>
        <w:sz w:val="15"/>
        <w:szCs w:val="15"/>
        <w:u w:val="single"/>
      </w:rPr>
      <w:t>层</w:t>
    </w:r>
  </w:p>
  <w:p>
    <w:pPr>
      <w:pStyle w:val="24"/>
      <w:tabs>
        <w:tab w:val="left" w:pos="1470"/>
        <w:tab w:val="right" w:pos="8364"/>
        <w:tab w:val="clear" w:pos="8306"/>
      </w:tabs>
      <w:ind w:right="29" w:rightChars="14"/>
      <w:rPr>
        <w:rFonts w:ascii="幼圆" w:eastAsia="幼圆"/>
        <w:color w:val="808080"/>
        <w:sz w:val="15"/>
        <w:szCs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p>
    <w:pPr>
      <w:pStyle w:val="25"/>
      <w:pBdr>
        <w:bottom w:val="none" w:color="auto" w:sz="0" w:space="0"/>
      </w:pBdr>
    </w:pPr>
  </w:p>
  <w:p>
    <w:pPr>
      <w:pStyle w:val="25"/>
      <w:pBdr>
        <w:bottom w:val="none" w:color="auto" w:sz="0" w:space="0"/>
      </w:pBdr>
    </w:pPr>
  </w:p>
  <w:p>
    <w:pPr>
      <w:pStyle w:val="25"/>
      <w:pBdr>
        <w:bottom w:val="none" w:color="auto" w:sz="0" w:space="0"/>
      </w:pBdr>
    </w:pPr>
    <w:r>
      <w:pict>
        <v:shape id="PowerPlusWaterMarkObject1" o:spid="_x0000_s4099" o:spt="136" type="#_x0000_t136" style="position:absolute;left:0pt;margin-left:132.75pt;margin-top:58.15pt;height:8.95pt;width:128.5pt;mso-position-horizontal-relative:page;mso-position-vertical-relative:page;z-index:251659264;mso-width-relative:page;mso-height-relative:page;" fillcolor="#969696" filled="t" stroked="f" coordsize="21600,21600">
          <v:path/>
          <v:fill on="t" focussize="0,0"/>
          <v:stroke on="f"/>
          <v:imagedata o:title=""/>
          <o:lock v:ext="edit" text="f"/>
          <v:textpath on="t" fitshape="t" fitpath="t" trim="t" xscale="f" string="湖南经典房地产评估咨询有限公司" style="font-family:幼圆;font-size:8pt;v-text-align:center;"/>
        </v:shape>
      </w:pict>
    </w:r>
    <w:r>
      <w:pict>
        <v:shape id="图片 1" o:spid="_x0000_s4101" o:spt="75" alt="徽标ok1 副本" type="#_x0000_t75" style="position:absolute;left:0pt;margin-left:93.25pt;margin-top:41.3pt;height:39.25pt;width:42.3pt;mso-position-horizontal-relative:page;mso-position-vertical-relative:page;z-index:251659264;mso-width-relative:page;mso-height-relative:page;" filled="f" o:preferrelative="t" stroked="f" coordsize="21600,21600">
          <v:path/>
          <v:fill on="f" focussize="0,0"/>
          <v:stroke on="f" joinstyle="miter"/>
          <v:imagedata r:id="rId1" gain="69719f" blacklevel="9175f" o:title="徽标ok1 副本"/>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r>
      <w:pict>
        <v:shape id="_x0000_s4097" o:spid="_x0000_s4097" o:spt="136" type="#_x0000_t136" style="position:absolute;left:0pt;margin-left:133.5pt;margin-top:55.9pt;height:8.95pt;width:128.5pt;mso-position-horizontal-relative:page;mso-position-vertical-relative:page;z-index:251659264;mso-width-relative:page;mso-height-relative:page;" fillcolor="#969696" filled="t" stroked="f" coordsize="21600,21600">
          <v:path/>
          <v:fill on="t" focussize="0,0"/>
          <v:stroke on="f"/>
          <v:imagedata o:title=""/>
          <o:lock v:ext="edit" text="f"/>
          <v:textpath on="t" fitshape="t" fitpath="t" trim="t" xscale="f" string="湖南经典房地产评估咨询有限公司" style="font-family:幼圆;font-size:8pt;v-text-align:center;"/>
        </v:shape>
      </w:pict>
    </w:r>
    <w:r>
      <w:pict>
        <v:shape id="图片 1026" o:spid="_x0000_s4100" o:spt="75" alt="徽标ok1 副本" type="#_x0000_t75" style="position:absolute;left:0pt;margin-left:91.75pt;margin-top:39.05pt;height:39.25pt;width:42.3pt;mso-position-horizontal-relative:page;mso-position-vertical-relative:page;z-index:251659264;mso-width-relative:page;mso-height-relative:page;" filled="f" o:preferrelative="t" stroked="f" coordsize="21600,21600">
          <v:path/>
          <v:fill on="f" focussize="0,0"/>
          <v:stroke on="f" joinstyle="miter"/>
          <v:imagedata r:id="rId1" gain="69719f" blacklevel="9175f" o:title="徽标ok1 副本"/>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3F6952"/>
    <w:multiLevelType w:val="multilevel"/>
    <w:tmpl w:val="313F6952"/>
    <w:lvl w:ilvl="0" w:tentative="0">
      <w:start w:val="1"/>
      <w:numFmt w:val="chineseCountingThousand"/>
      <w:pStyle w:val="26"/>
      <w:lvlText w:val="%1."/>
      <w:lvlJc w:val="left"/>
      <w:pPr>
        <w:tabs>
          <w:tab w:val="left" w:pos="562"/>
        </w:tabs>
        <w:ind w:left="562" w:hanging="420"/>
      </w:pPr>
      <w:rPr>
        <w:rFonts w:hint="eastAsia"/>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66A5806"/>
    <w:multiLevelType w:val="singleLevel"/>
    <w:tmpl w:val="566A5806"/>
    <w:lvl w:ilvl="0" w:tentative="0">
      <w:start w:val="1"/>
      <w:numFmt w:val="chineseCounting"/>
      <w:suff w:val="nothing"/>
      <w:lvlText w:val="%1、"/>
      <w:lvlJc w:val="left"/>
    </w:lvl>
  </w:abstractNum>
  <w:abstractNum w:abstractNumId="2">
    <w:nsid w:val="610A1554"/>
    <w:multiLevelType w:val="multilevel"/>
    <w:tmpl w:val="610A1554"/>
    <w:lvl w:ilvl="0" w:tentative="0">
      <w:start w:val="1"/>
      <w:numFmt w:val="decimal"/>
      <w:lvlText w:val="%1."/>
      <w:lvlJc w:val="left"/>
      <w:pPr>
        <w:tabs>
          <w:tab w:val="left" w:pos="1460"/>
        </w:tabs>
        <w:ind w:left="1460" w:hanging="420"/>
      </w:pPr>
      <w:rPr>
        <w:rFonts w:hint="eastAsia"/>
      </w:rPr>
    </w:lvl>
    <w:lvl w:ilvl="1" w:tentative="0">
      <w:start w:val="1"/>
      <w:numFmt w:val="decimal"/>
      <w:lvlText w:val="%2."/>
      <w:lvlJc w:val="left"/>
      <w:pPr>
        <w:tabs>
          <w:tab w:val="left" w:pos="1360"/>
        </w:tabs>
        <w:ind w:left="1360" w:hanging="420"/>
      </w:pPr>
      <w:rPr>
        <w:rFonts w:hint="eastAsia"/>
      </w:rPr>
    </w:lvl>
    <w:lvl w:ilvl="2" w:tentative="0">
      <w:start w:val="1"/>
      <w:numFmt w:val="lowerRoman"/>
      <w:lvlText w:val="%3."/>
      <w:lvlJc w:val="right"/>
      <w:pPr>
        <w:tabs>
          <w:tab w:val="left" w:pos="1780"/>
        </w:tabs>
        <w:ind w:left="1780" w:hanging="420"/>
      </w:pPr>
    </w:lvl>
    <w:lvl w:ilvl="3" w:tentative="0">
      <w:start w:val="1"/>
      <w:numFmt w:val="decimal"/>
      <w:lvlText w:val="%4."/>
      <w:lvlJc w:val="left"/>
      <w:pPr>
        <w:tabs>
          <w:tab w:val="left" w:pos="2200"/>
        </w:tabs>
        <w:ind w:left="2200" w:hanging="420"/>
      </w:pPr>
    </w:lvl>
    <w:lvl w:ilvl="4" w:tentative="0">
      <w:start w:val="1"/>
      <w:numFmt w:val="lowerLetter"/>
      <w:lvlText w:val="%5)"/>
      <w:lvlJc w:val="left"/>
      <w:pPr>
        <w:tabs>
          <w:tab w:val="left" w:pos="2620"/>
        </w:tabs>
        <w:ind w:left="2620" w:hanging="420"/>
      </w:pPr>
    </w:lvl>
    <w:lvl w:ilvl="5" w:tentative="0">
      <w:start w:val="1"/>
      <w:numFmt w:val="lowerRoman"/>
      <w:lvlText w:val="%6."/>
      <w:lvlJc w:val="right"/>
      <w:pPr>
        <w:tabs>
          <w:tab w:val="left" w:pos="3040"/>
        </w:tabs>
        <w:ind w:left="3040" w:hanging="420"/>
      </w:pPr>
    </w:lvl>
    <w:lvl w:ilvl="6" w:tentative="0">
      <w:start w:val="1"/>
      <w:numFmt w:val="decimal"/>
      <w:lvlText w:val="%7."/>
      <w:lvlJc w:val="left"/>
      <w:pPr>
        <w:tabs>
          <w:tab w:val="left" w:pos="3460"/>
        </w:tabs>
        <w:ind w:left="3460" w:hanging="420"/>
      </w:pPr>
    </w:lvl>
    <w:lvl w:ilvl="7" w:tentative="0">
      <w:start w:val="1"/>
      <w:numFmt w:val="lowerLetter"/>
      <w:lvlText w:val="%8)"/>
      <w:lvlJc w:val="left"/>
      <w:pPr>
        <w:tabs>
          <w:tab w:val="left" w:pos="3880"/>
        </w:tabs>
        <w:ind w:left="3880" w:hanging="420"/>
      </w:pPr>
    </w:lvl>
    <w:lvl w:ilvl="8" w:tentative="0">
      <w:start w:val="1"/>
      <w:numFmt w:val="lowerRoman"/>
      <w:lvlText w:val="%9."/>
      <w:lvlJc w:val="right"/>
      <w:pPr>
        <w:tabs>
          <w:tab w:val="left" w:pos="4300"/>
        </w:tabs>
        <w:ind w:left="4300" w:hanging="420"/>
      </w:pPr>
    </w:lvl>
  </w:abstractNum>
  <w:abstractNum w:abstractNumId="3">
    <w:nsid w:val="70827890"/>
    <w:multiLevelType w:val="multilevel"/>
    <w:tmpl w:val="70827890"/>
    <w:lvl w:ilvl="0" w:tentative="0">
      <w:start w:val="1"/>
      <w:numFmt w:val="chineseCountingThousand"/>
      <w:pStyle w:val="17"/>
      <w:lvlText w:val="%1."/>
      <w:lvlJc w:val="left"/>
      <w:pPr>
        <w:tabs>
          <w:tab w:val="left" w:pos="1260"/>
        </w:tabs>
        <w:ind w:left="1260" w:hanging="420"/>
      </w:pPr>
      <w:rPr>
        <w:rFonts w:hint="eastAsia" w:eastAsia="宋体"/>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
    <w:nsid w:val="7B234629"/>
    <w:multiLevelType w:val="multilevel"/>
    <w:tmpl w:val="7B234629"/>
    <w:lvl w:ilvl="0" w:tentative="0">
      <w:start w:val="1"/>
      <w:numFmt w:val="chineseCountingThousand"/>
      <w:suff w:val="nothing"/>
      <w:lvlText w:val="%1、"/>
      <w:lvlJc w:val="left"/>
      <w:pPr>
        <w:ind w:left="1271" w:hanging="420"/>
      </w:pPr>
      <w:rPr>
        <w:rFonts w:hint="eastAsia"/>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hideSpellingErrors/>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27AD"/>
    <w:rsid w:val="00010143"/>
    <w:rsid w:val="0002286E"/>
    <w:rsid w:val="0002531B"/>
    <w:rsid w:val="000270C5"/>
    <w:rsid w:val="0002780C"/>
    <w:rsid w:val="00030FB6"/>
    <w:rsid w:val="000316B1"/>
    <w:rsid w:val="00031B9F"/>
    <w:rsid w:val="00035D27"/>
    <w:rsid w:val="00036F1A"/>
    <w:rsid w:val="0004088D"/>
    <w:rsid w:val="00042D7C"/>
    <w:rsid w:val="00042DC0"/>
    <w:rsid w:val="00053727"/>
    <w:rsid w:val="00057072"/>
    <w:rsid w:val="000602B4"/>
    <w:rsid w:val="00060DFB"/>
    <w:rsid w:val="000658A5"/>
    <w:rsid w:val="00065C61"/>
    <w:rsid w:val="000672D3"/>
    <w:rsid w:val="00070358"/>
    <w:rsid w:val="00074FE3"/>
    <w:rsid w:val="0007565C"/>
    <w:rsid w:val="000809DE"/>
    <w:rsid w:val="00087E70"/>
    <w:rsid w:val="0009278C"/>
    <w:rsid w:val="00095735"/>
    <w:rsid w:val="00095E75"/>
    <w:rsid w:val="00096A35"/>
    <w:rsid w:val="000A06DE"/>
    <w:rsid w:val="000A2BD6"/>
    <w:rsid w:val="000A49BF"/>
    <w:rsid w:val="000A5A54"/>
    <w:rsid w:val="000A77B8"/>
    <w:rsid w:val="000A7FB6"/>
    <w:rsid w:val="000C0C63"/>
    <w:rsid w:val="000C1A03"/>
    <w:rsid w:val="000C495B"/>
    <w:rsid w:val="000C6813"/>
    <w:rsid w:val="000D226D"/>
    <w:rsid w:val="000E364C"/>
    <w:rsid w:val="000E61CA"/>
    <w:rsid w:val="000F4B1A"/>
    <w:rsid w:val="000F56F2"/>
    <w:rsid w:val="0010443A"/>
    <w:rsid w:val="0010489E"/>
    <w:rsid w:val="00110E30"/>
    <w:rsid w:val="001136E8"/>
    <w:rsid w:val="00117052"/>
    <w:rsid w:val="00121C37"/>
    <w:rsid w:val="0012286E"/>
    <w:rsid w:val="0013096F"/>
    <w:rsid w:val="00142C75"/>
    <w:rsid w:val="00145EF0"/>
    <w:rsid w:val="00147086"/>
    <w:rsid w:val="001479E8"/>
    <w:rsid w:val="00147A69"/>
    <w:rsid w:val="001547DF"/>
    <w:rsid w:val="00155E6B"/>
    <w:rsid w:val="00156B40"/>
    <w:rsid w:val="00160972"/>
    <w:rsid w:val="00162F08"/>
    <w:rsid w:val="00165D87"/>
    <w:rsid w:val="001662DF"/>
    <w:rsid w:val="00166CA6"/>
    <w:rsid w:val="00167CB9"/>
    <w:rsid w:val="00172528"/>
    <w:rsid w:val="0017442C"/>
    <w:rsid w:val="0017533B"/>
    <w:rsid w:val="00175BD3"/>
    <w:rsid w:val="001774A3"/>
    <w:rsid w:val="001800B4"/>
    <w:rsid w:val="00187CF9"/>
    <w:rsid w:val="00187EE4"/>
    <w:rsid w:val="00190443"/>
    <w:rsid w:val="00192C02"/>
    <w:rsid w:val="00195A81"/>
    <w:rsid w:val="001A1365"/>
    <w:rsid w:val="001A1D21"/>
    <w:rsid w:val="001A6BDC"/>
    <w:rsid w:val="001B01ED"/>
    <w:rsid w:val="001B0D7E"/>
    <w:rsid w:val="001B1E04"/>
    <w:rsid w:val="001B2339"/>
    <w:rsid w:val="001B328C"/>
    <w:rsid w:val="001B4EA9"/>
    <w:rsid w:val="001B686D"/>
    <w:rsid w:val="001C1EC7"/>
    <w:rsid w:val="001C551A"/>
    <w:rsid w:val="001D075A"/>
    <w:rsid w:val="001D11E4"/>
    <w:rsid w:val="001D4D3C"/>
    <w:rsid w:val="001E47D5"/>
    <w:rsid w:val="001E5C53"/>
    <w:rsid w:val="001F1B31"/>
    <w:rsid w:val="0020247E"/>
    <w:rsid w:val="00202504"/>
    <w:rsid w:val="0020502B"/>
    <w:rsid w:val="00206BB9"/>
    <w:rsid w:val="002077AF"/>
    <w:rsid w:val="00213C43"/>
    <w:rsid w:val="00214512"/>
    <w:rsid w:val="0021533C"/>
    <w:rsid w:val="00216F5D"/>
    <w:rsid w:val="0021776F"/>
    <w:rsid w:val="00221A78"/>
    <w:rsid w:val="00223BD2"/>
    <w:rsid w:val="00231E37"/>
    <w:rsid w:val="00233F0C"/>
    <w:rsid w:val="00235DD3"/>
    <w:rsid w:val="00240876"/>
    <w:rsid w:val="00245E59"/>
    <w:rsid w:val="002520F2"/>
    <w:rsid w:val="002526B9"/>
    <w:rsid w:val="00254F41"/>
    <w:rsid w:val="002559E8"/>
    <w:rsid w:val="002578D2"/>
    <w:rsid w:val="00260446"/>
    <w:rsid w:val="00260C2C"/>
    <w:rsid w:val="00261F83"/>
    <w:rsid w:val="0026207B"/>
    <w:rsid w:val="00266A96"/>
    <w:rsid w:val="00273EE0"/>
    <w:rsid w:val="00274043"/>
    <w:rsid w:val="00274FCA"/>
    <w:rsid w:val="002800CC"/>
    <w:rsid w:val="002802D2"/>
    <w:rsid w:val="0029182F"/>
    <w:rsid w:val="0029290D"/>
    <w:rsid w:val="00295CDF"/>
    <w:rsid w:val="002A424E"/>
    <w:rsid w:val="002A48D4"/>
    <w:rsid w:val="002A519A"/>
    <w:rsid w:val="002B3189"/>
    <w:rsid w:val="002B4EC3"/>
    <w:rsid w:val="002B5ECB"/>
    <w:rsid w:val="002C08FE"/>
    <w:rsid w:val="002C4530"/>
    <w:rsid w:val="002C756B"/>
    <w:rsid w:val="002C7820"/>
    <w:rsid w:val="002C7E5E"/>
    <w:rsid w:val="002D40D2"/>
    <w:rsid w:val="002E75E6"/>
    <w:rsid w:val="002F45B2"/>
    <w:rsid w:val="002F4F3E"/>
    <w:rsid w:val="002F712D"/>
    <w:rsid w:val="003004DF"/>
    <w:rsid w:val="00306135"/>
    <w:rsid w:val="00324B28"/>
    <w:rsid w:val="00325DCB"/>
    <w:rsid w:val="00325FA1"/>
    <w:rsid w:val="00333EDC"/>
    <w:rsid w:val="003349D2"/>
    <w:rsid w:val="00334C28"/>
    <w:rsid w:val="003369ED"/>
    <w:rsid w:val="003403B7"/>
    <w:rsid w:val="00340ED2"/>
    <w:rsid w:val="00342EA1"/>
    <w:rsid w:val="00343E36"/>
    <w:rsid w:val="00344247"/>
    <w:rsid w:val="003448EE"/>
    <w:rsid w:val="0034535A"/>
    <w:rsid w:val="003479C0"/>
    <w:rsid w:val="00350ADD"/>
    <w:rsid w:val="003530C8"/>
    <w:rsid w:val="00356FEA"/>
    <w:rsid w:val="003613B4"/>
    <w:rsid w:val="003627CE"/>
    <w:rsid w:val="00366EC4"/>
    <w:rsid w:val="00370C53"/>
    <w:rsid w:val="003736BE"/>
    <w:rsid w:val="00374F32"/>
    <w:rsid w:val="003760DD"/>
    <w:rsid w:val="003804AF"/>
    <w:rsid w:val="00380ED2"/>
    <w:rsid w:val="00384695"/>
    <w:rsid w:val="00386229"/>
    <w:rsid w:val="003912CD"/>
    <w:rsid w:val="003938F5"/>
    <w:rsid w:val="00394466"/>
    <w:rsid w:val="003944FA"/>
    <w:rsid w:val="00394A53"/>
    <w:rsid w:val="003A1999"/>
    <w:rsid w:val="003A300D"/>
    <w:rsid w:val="003A6456"/>
    <w:rsid w:val="003A7046"/>
    <w:rsid w:val="003B081A"/>
    <w:rsid w:val="003B0E9D"/>
    <w:rsid w:val="003B5A64"/>
    <w:rsid w:val="003B6B2A"/>
    <w:rsid w:val="003C2CED"/>
    <w:rsid w:val="003D0A7B"/>
    <w:rsid w:val="003E2146"/>
    <w:rsid w:val="003E6BC3"/>
    <w:rsid w:val="003E77E2"/>
    <w:rsid w:val="003E7F0D"/>
    <w:rsid w:val="003F0E1D"/>
    <w:rsid w:val="003F2FD0"/>
    <w:rsid w:val="003F31BF"/>
    <w:rsid w:val="003F3319"/>
    <w:rsid w:val="003F3BBE"/>
    <w:rsid w:val="003F50C8"/>
    <w:rsid w:val="00401574"/>
    <w:rsid w:val="0041537A"/>
    <w:rsid w:val="00420805"/>
    <w:rsid w:val="00425B12"/>
    <w:rsid w:val="004303AB"/>
    <w:rsid w:val="00430ECA"/>
    <w:rsid w:val="004337AD"/>
    <w:rsid w:val="00434325"/>
    <w:rsid w:val="004344CB"/>
    <w:rsid w:val="00436C18"/>
    <w:rsid w:val="004406AE"/>
    <w:rsid w:val="00441A73"/>
    <w:rsid w:val="004461E6"/>
    <w:rsid w:val="004474D1"/>
    <w:rsid w:val="00450D68"/>
    <w:rsid w:val="0045137E"/>
    <w:rsid w:val="00451E53"/>
    <w:rsid w:val="004524E8"/>
    <w:rsid w:val="004533C0"/>
    <w:rsid w:val="00454AF0"/>
    <w:rsid w:val="00455109"/>
    <w:rsid w:val="00455F72"/>
    <w:rsid w:val="00457D3B"/>
    <w:rsid w:val="00460DFE"/>
    <w:rsid w:val="004665EF"/>
    <w:rsid w:val="004704AE"/>
    <w:rsid w:val="0047174E"/>
    <w:rsid w:val="004753A4"/>
    <w:rsid w:val="004757BE"/>
    <w:rsid w:val="00480F1F"/>
    <w:rsid w:val="004925DB"/>
    <w:rsid w:val="0049416F"/>
    <w:rsid w:val="00494ABC"/>
    <w:rsid w:val="00495E05"/>
    <w:rsid w:val="00495EB1"/>
    <w:rsid w:val="004A030E"/>
    <w:rsid w:val="004A475E"/>
    <w:rsid w:val="004A5793"/>
    <w:rsid w:val="004B3040"/>
    <w:rsid w:val="004B6FD5"/>
    <w:rsid w:val="004C3936"/>
    <w:rsid w:val="004C6016"/>
    <w:rsid w:val="004D0195"/>
    <w:rsid w:val="004D6FEB"/>
    <w:rsid w:val="004E02CD"/>
    <w:rsid w:val="004E17F3"/>
    <w:rsid w:val="004E2307"/>
    <w:rsid w:val="004F158D"/>
    <w:rsid w:val="004F1DDB"/>
    <w:rsid w:val="00500432"/>
    <w:rsid w:val="0050720E"/>
    <w:rsid w:val="00517040"/>
    <w:rsid w:val="00526507"/>
    <w:rsid w:val="00527617"/>
    <w:rsid w:val="00527C4C"/>
    <w:rsid w:val="005315FE"/>
    <w:rsid w:val="0054052F"/>
    <w:rsid w:val="005415E2"/>
    <w:rsid w:val="0054271B"/>
    <w:rsid w:val="00544A6D"/>
    <w:rsid w:val="00546BA2"/>
    <w:rsid w:val="00551553"/>
    <w:rsid w:val="00552FCA"/>
    <w:rsid w:val="0056684C"/>
    <w:rsid w:val="00566AE5"/>
    <w:rsid w:val="00567C52"/>
    <w:rsid w:val="0057093C"/>
    <w:rsid w:val="0057332A"/>
    <w:rsid w:val="005767B9"/>
    <w:rsid w:val="00577AD2"/>
    <w:rsid w:val="00581EC2"/>
    <w:rsid w:val="00584727"/>
    <w:rsid w:val="005861F9"/>
    <w:rsid w:val="00593596"/>
    <w:rsid w:val="00595963"/>
    <w:rsid w:val="00597119"/>
    <w:rsid w:val="005973DB"/>
    <w:rsid w:val="005A5C7F"/>
    <w:rsid w:val="005A79A0"/>
    <w:rsid w:val="005B1284"/>
    <w:rsid w:val="005B2AE8"/>
    <w:rsid w:val="005C19DB"/>
    <w:rsid w:val="005E3558"/>
    <w:rsid w:val="005F064D"/>
    <w:rsid w:val="005F19D6"/>
    <w:rsid w:val="005F6322"/>
    <w:rsid w:val="00611536"/>
    <w:rsid w:val="00612FFF"/>
    <w:rsid w:val="00613167"/>
    <w:rsid w:val="006131D0"/>
    <w:rsid w:val="006131D6"/>
    <w:rsid w:val="0061444A"/>
    <w:rsid w:val="006147EF"/>
    <w:rsid w:val="00615365"/>
    <w:rsid w:val="006175D4"/>
    <w:rsid w:val="00620E95"/>
    <w:rsid w:val="00620EE4"/>
    <w:rsid w:val="00624339"/>
    <w:rsid w:val="00624F33"/>
    <w:rsid w:val="00631306"/>
    <w:rsid w:val="006332E1"/>
    <w:rsid w:val="0063361A"/>
    <w:rsid w:val="006348AB"/>
    <w:rsid w:val="00637A99"/>
    <w:rsid w:val="006445B2"/>
    <w:rsid w:val="00646EDF"/>
    <w:rsid w:val="00650AC8"/>
    <w:rsid w:val="00654175"/>
    <w:rsid w:val="00654EBD"/>
    <w:rsid w:val="00657FC4"/>
    <w:rsid w:val="00662E03"/>
    <w:rsid w:val="00663EF2"/>
    <w:rsid w:val="0066589A"/>
    <w:rsid w:val="00670179"/>
    <w:rsid w:val="0067216C"/>
    <w:rsid w:val="0067402C"/>
    <w:rsid w:val="00674952"/>
    <w:rsid w:val="006753C1"/>
    <w:rsid w:val="0068276A"/>
    <w:rsid w:val="00684414"/>
    <w:rsid w:val="00684A9F"/>
    <w:rsid w:val="00690AA6"/>
    <w:rsid w:val="006956E2"/>
    <w:rsid w:val="006974D9"/>
    <w:rsid w:val="006A264C"/>
    <w:rsid w:val="006A3D7D"/>
    <w:rsid w:val="006A4B6C"/>
    <w:rsid w:val="006B0CDA"/>
    <w:rsid w:val="006C2F02"/>
    <w:rsid w:val="006C5CE8"/>
    <w:rsid w:val="006C69F7"/>
    <w:rsid w:val="006C7CA2"/>
    <w:rsid w:val="006D0926"/>
    <w:rsid w:val="006D408A"/>
    <w:rsid w:val="006D6B25"/>
    <w:rsid w:val="006D7E82"/>
    <w:rsid w:val="006E3374"/>
    <w:rsid w:val="006E756C"/>
    <w:rsid w:val="006F4E89"/>
    <w:rsid w:val="007037A3"/>
    <w:rsid w:val="007037A9"/>
    <w:rsid w:val="00712D58"/>
    <w:rsid w:val="00723061"/>
    <w:rsid w:val="00724A2E"/>
    <w:rsid w:val="007252C9"/>
    <w:rsid w:val="0073280C"/>
    <w:rsid w:val="007344D0"/>
    <w:rsid w:val="00740787"/>
    <w:rsid w:val="0074656A"/>
    <w:rsid w:val="00746A17"/>
    <w:rsid w:val="00752773"/>
    <w:rsid w:val="0075507B"/>
    <w:rsid w:val="00757DDB"/>
    <w:rsid w:val="007622C8"/>
    <w:rsid w:val="007637FB"/>
    <w:rsid w:val="00766AF2"/>
    <w:rsid w:val="0077405E"/>
    <w:rsid w:val="007741E5"/>
    <w:rsid w:val="007750B3"/>
    <w:rsid w:val="00777040"/>
    <w:rsid w:val="007812F6"/>
    <w:rsid w:val="007830EF"/>
    <w:rsid w:val="00785FFD"/>
    <w:rsid w:val="0079474B"/>
    <w:rsid w:val="007966E8"/>
    <w:rsid w:val="007A6ADA"/>
    <w:rsid w:val="007A6F0A"/>
    <w:rsid w:val="007A7A6B"/>
    <w:rsid w:val="007B04E8"/>
    <w:rsid w:val="007B1AFF"/>
    <w:rsid w:val="007B283D"/>
    <w:rsid w:val="007B46AD"/>
    <w:rsid w:val="007B6263"/>
    <w:rsid w:val="007B6BEB"/>
    <w:rsid w:val="007B7C40"/>
    <w:rsid w:val="007C7081"/>
    <w:rsid w:val="007D127A"/>
    <w:rsid w:val="007D1945"/>
    <w:rsid w:val="007D586A"/>
    <w:rsid w:val="007D6305"/>
    <w:rsid w:val="007D6DEA"/>
    <w:rsid w:val="007E10C2"/>
    <w:rsid w:val="007E66A0"/>
    <w:rsid w:val="00802F25"/>
    <w:rsid w:val="00803E64"/>
    <w:rsid w:val="0080610A"/>
    <w:rsid w:val="008067FA"/>
    <w:rsid w:val="00814EAD"/>
    <w:rsid w:val="00816078"/>
    <w:rsid w:val="00822086"/>
    <w:rsid w:val="00822ACD"/>
    <w:rsid w:val="00822D95"/>
    <w:rsid w:val="00823937"/>
    <w:rsid w:val="00824D93"/>
    <w:rsid w:val="00825810"/>
    <w:rsid w:val="00825DEA"/>
    <w:rsid w:val="0083033B"/>
    <w:rsid w:val="008359F1"/>
    <w:rsid w:val="0083787C"/>
    <w:rsid w:val="00840885"/>
    <w:rsid w:val="00846781"/>
    <w:rsid w:val="0085045C"/>
    <w:rsid w:val="0085469B"/>
    <w:rsid w:val="0086065F"/>
    <w:rsid w:val="00863D04"/>
    <w:rsid w:val="00866594"/>
    <w:rsid w:val="0086692F"/>
    <w:rsid w:val="00875A91"/>
    <w:rsid w:val="008814F8"/>
    <w:rsid w:val="00881D32"/>
    <w:rsid w:val="008822D7"/>
    <w:rsid w:val="008924A1"/>
    <w:rsid w:val="008929DC"/>
    <w:rsid w:val="008948B1"/>
    <w:rsid w:val="008A2134"/>
    <w:rsid w:val="008A2DC5"/>
    <w:rsid w:val="008A452D"/>
    <w:rsid w:val="008A4BD1"/>
    <w:rsid w:val="008A6FB7"/>
    <w:rsid w:val="008B0A81"/>
    <w:rsid w:val="008B3254"/>
    <w:rsid w:val="008B47CE"/>
    <w:rsid w:val="008C0D2B"/>
    <w:rsid w:val="008C3C7E"/>
    <w:rsid w:val="008D433E"/>
    <w:rsid w:val="008D4FFB"/>
    <w:rsid w:val="008E12EB"/>
    <w:rsid w:val="008E13E3"/>
    <w:rsid w:val="008E39C8"/>
    <w:rsid w:val="008E4006"/>
    <w:rsid w:val="008F1505"/>
    <w:rsid w:val="008F5DB4"/>
    <w:rsid w:val="00902A3A"/>
    <w:rsid w:val="00902B94"/>
    <w:rsid w:val="00902F12"/>
    <w:rsid w:val="009050AD"/>
    <w:rsid w:val="009053FB"/>
    <w:rsid w:val="00911CF2"/>
    <w:rsid w:val="009127AD"/>
    <w:rsid w:val="009155CB"/>
    <w:rsid w:val="00916140"/>
    <w:rsid w:val="009168A1"/>
    <w:rsid w:val="00923710"/>
    <w:rsid w:val="00925E09"/>
    <w:rsid w:val="00932EEE"/>
    <w:rsid w:val="00942D82"/>
    <w:rsid w:val="00945403"/>
    <w:rsid w:val="009454F9"/>
    <w:rsid w:val="00945E0C"/>
    <w:rsid w:val="00947A4A"/>
    <w:rsid w:val="00951D8C"/>
    <w:rsid w:val="00956EBC"/>
    <w:rsid w:val="009619C6"/>
    <w:rsid w:val="009627DA"/>
    <w:rsid w:val="00962A6B"/>
    <w:rsid w:val="009636BE"/>
    <w:rsid w:val="0096523B"/>
    <w:rsid w:val="009673C1"/>
    <w:rsid w:val="00971A05"/>
    <w:rsid w:val="00971F4D"/>
    <w:rsid w:val="009721CE"/>
    <w:rsid w:val="009844F2"/>
    <w:rsid w:val="00986972"/>
    <w:rsid w:val="00986D4E"/>
    <w:rsid w:val="00986DA5"/>
    <w:rsid w:val="009902C3"/>
    <w:rsid w:val="00993D2A"/>
    <w:rsid w:val="009956F9"/>
    <w:rsid w:val="009A0FBD"/>
    <w:rsid w:val="009A19A1"/>
    <w:rsid w:val="009A373A"/>
    <w:rsid w:val="009A407D"/>
    <w:rsid w:val="009A4CA8"/>
    <w:rsid w:val="009A7301"/>
    <w:rsid w:val="009B123A"/>
    <w:rsid w:val="009B1BF5"/>
    <w:rsid w:val="009B6F2A"/>
    <w:rsid w:val="009C4007"/>
    <w:rsid w:val="009C6E6A"/>
    <w:rsid w:val="009C7683"/>
    <w:rsid w:val="009E1681"/>
    <w:rsid w:val="009F1448"/>
    <w:rsid w:val="009F4608"/>
    <w:rsid w:val="009F576A"/>
    <w:rsid w:val="009F72DE"/>
    <w:rsid w:val="00A00C03"/>
    <w:rsid w:val="00A0126A"/>
    <w:rsid w:val="00A02AC5"/>
    <w:rsid w:val="00A06B44"/>
    <w:rsid w:val="00A116FC"/>
    <w:rsid w:val="00A127C6"/>
    <w:rsid w:val="00A12B44"/>
    <w:rsid w:val="00A20634"/>
    <w:rsid w:val="00A23B68"/>
    <w:rsid w:val="00A27C29"/>
    <w:rsid w:val="00A3029D"/>
    <w:rsid w:val="00A303D7"/>
    <w:rsid w:val="00A3418B"/>
    <w:rsid w:val="00A37826"/>
    <w:rsid w:val="00A37C00"/>
    <w:rsid w:val="00A42758"/>
    <w:rsid w:val="00A4380E"/>
    <w:rsid w:val="00A60E01"/>
    <w:rsid w:val="00A67952"/>
    <w:rsid w:val="00A70029"/>
    <w:rsid w:val="00A707AC"/>
    <w:rsid w:val="00A71B20"/>
    <w:rsid w:val="00A73FA7"/>
    <w:rsid w:val="00A849D2"/>
    <w:rsid w:val="00A8657B"/>
    <w:rsid w:val="00A86612"/>
    <w:rsid w:val="00A90179"/>
    <w:rsid w:val="00A915C0"/>
    <w:rsid w:val="00A919E2"/>
    <w:rsid w:val="00A930CE"/>
    <w:rsid w:val="00A94AE0"/>
    <w:rsid w:val="00A97185"/>
    <w:rsid w:val="00AA057C"/>
    <w:rsid w:val="00AA2825"/>
    <w:rsid w:val="00AA444E"/>
    <w:rsid w:val="00AA6830"/>
    <w:rsid w:val="00AB2D59"/>
    <w:rsid w:val="00AB463A"/>
    <w:rsid w:val="00AB5B98"/>
    <w:rsid w:val="00AC6917"/>
    <w:rsid w:val="00AC6B7E"/>
    <w:rsid w:val="00AD1003"/>
    <w:rsid w:val="00AD2FE6"/>
    <w:rsid w:val="00AD62C7"/>
    <w:rsid w:val="00AD6356"/>
    <w:rsid w:val="00AD6AF0"/>
    <w:rsid w:val="00AD79D2"/>
    <w:rsid w:val="00AE648A"/>
    <w:rsid w:val="00AE771A"/>
    <w:rsid w:val="00AF03C2"/>
    <w:rsid w:val="00AF1099"/>
    <w:rsid w:val="00AF1153"/>
    <w:rsid w:val="00AF5828"/>
    <w:rsid w:val="00AF5CA4"/>
    <w:rsid w:val="00AF7431"/>
    <w:rsid w:val="00B03323"/>
    <w:rsid w:val="00B037D3"/>
    <w:rsid w:val="00B04A3B"/>
    <w:rsid w:val="00B0788F"/>
    <w:rsid w:val="00B1161E"/>
    <w:rsid w:val="00B13388"/>
    <w:rsid w:val="00B2040C"/>
    <w:rsid w:val="00B206F8"/>
    <w:rsid w:val="00B22EE7"/>
    <w:rsid w:val="00B34BE2"/>
    <w:rsid w:val="00B61D0D"/>
    <w:rsid w:val="00B66465"/>
    <w:rsid w:val="00B66A90"/>
    <w:rsid w:val="00B723E9"/>
    <w:rsid w:val="00B75867"/>
    <w:rsid w:val="00B75924"/>
    <w:rsid w:val="00B8380C"/>
    <w:rsid w:val="00B8700E"/>
    <w:rsid w:val="00B87D4C"/>
    <w:rsid w:val="00B973F2"/>
    <w:rsid w:val="00BA191C"/>
    <w:rsid w:val="00BA2184"/>
    <w:rsid w:val="00BA3420"/>
    <w:rsid w:val="00BB1373"/>
    <w:rsid w:val="00BB59C2"/>
    <w:rsid w:val="00BB72DB"/>
    <w:rsid w:val="00BC18F6"/>
    <w:rsid w:val="00BC392E"/>
    <w:rsid w:val="00BD38E3"/>
    <w:rsid w:val="00BD3952"/>
    <w:rsid w:val="00BD431D"/>
    <w:rsid w:val="00BD4A25"/>
    <w:rsid w:val="00BD7B81"/>
    <w:rsid w:val="00BE2E47"/>
    <w:rsid w:val="00BE54C4"/>
    <w:rsid w:val="00BF15C4"/>
    <w:rsid w:val="00BF475F"/>
    <w:rsid w:val="00C040A2"/>
    <w:rsid w:val="00C04647"/>
    <w:rsid w:val="00C10135"/>
    <w:rsid w:val="00C13609"/>
    <w:rsid w:val="00C1462C"/>
    <w:rsid w:val="00C215DF"/>
    <w:rsid w:val="00C27726"/>
    <w:rsid w:val="00C32F44"/>
    <w:rsid w:val="00C35D91"/>
    <w:rsid w:val="00C37381"/>
    <w:rsid w:val="00C43CF7"/>
    <w:rsid w:val="00C57CC0"/>
    <w:rsid w:val="00C61F20"/>
    <w:rsid w:val="00C6688F"/>
    <w:rsid w:val="00C730BE"/>
    <w:rsid w:val="00C746A1"/>
    <w:rsid w:val="00C8072B"/>
    <w:rsid w:val="00C80ECF"/>
    <w:rsid w:val="00C877B5"/>
    <w:rsid w:val="00C945FB"/>
    <w:rsid w:val="00C9469E"/>
    <w:rsid w:val="00C96337"/>
    <w:rsid w:val="00C97A8D"/>
    <w:rsid w:val="00CA329F"/>
    <w:rsid w:val="00CA65A4"/>
    <w:rsid w:val="00CB3AF8"/>
    <w:rsid w:val="00CB617C"/>
    <w:rsid w:val="00CB760A"/>
    <w:rsid w:val="00CC3300"/>
    <w:rsid w:val="00CC6727"/>
    <w:rsid w:val="00CC7AFC"/>
    <w:rsid w:val="00CC7E1F"/>
    <w:rsid w:val="00CE0ED4"/>
    <w:rsid w:val="00CE3658"/>
    <w:rsid w:val="00CE576A"/>
    <w:rsid w:val="00CF3726"/>
    <w:rsid w:val="00CF3B5F"/>
    <w:rsid w:val="00CF49BC"/>
    <w:rsid w:val="00CF5F27"/>
    <w:rsid w:val="00CF7A5E"/>
    <w:rsid w:val="00CF7C9D"/>
    <w:rsid w:val="00D0427C"/>
    <w:rsid w:val="00D05B2B"/>
    <w:rsid w:val="00D132E0"/>
    <w:rsid w:val="00D163F3"/>
    <w:rsid w:val="00D27CB5"/>
    <w:rsid w:val="00D30842"/>
    <w:rsid w:val="00D35786"/>
    <w:rsid w:val="00D35975"/>
    <w:rsid w:val="00D61FD5"/>
    <w:rsid w:val="00D6284D"/>
    <w:rsid w:val="00D64B42"/>
    <w:rsid w:val="00D66E7F"/>
    <w:rsid w:val="00D67690"/>
    <w:rsid w:val="00D6775D"/>
    <w:rsid w:val="00D733C8"/>
    <w:rsid w:val="00D82E37"/>
    <w:rsid w:val="00D85D56"/>
    <w:rsid w:val="00D86C80"/>
    <w:rsid w:val="00D95407"/>
    <w:rsid w:val="00DA04D5"/>
    <w:rsid w:val="00DA588A"/>
    <w:rsid w:val="00DA5E17"/>
    <w:rsid w:val="00DB1E6C"/>
    <w:rsid w:val="00DB4F49"/>
    <w:rsid w:val="00DC02F7"/>
    <w:rsid w:val="00DC1192"/>
    <w:rsid w:val="00DC124D"/>
    <w:rsid w:val="00DC4C90"/>
    <w:rsid w:val="00DD1008"/>
    <w:rsid w:val="00DE17E9"/>
    <w:rsid w:val="00DE432D"/>
    <w:rsid w:val="00DE572D"/>
    <w:rsid w:val="00DE7D01"/>
    <w:rsid w:val="00DF049E"/>
    <w:rsid w:val="00DF12D8"/>
    <w:rsid w:val="00DF15BD"/>
    <w:rsid w:val="00E026F5"/>
    <w:rsid w:val="00E02C14"/>
    <w:rsid w:val="00E1042C"/>
    <w:rsid w:val="00E114C6"/>
    <w:rsid w:val="00E207F1"/>
    <w:rsid w:val="00E22303"/>
    <w:rsid w:val="00E22599"/>
    <w:rsid w:val="00E22A08"/>
    <w:rsid w:val="00E27854"/>
    <w:rsid w:val="00E35084"/>
    <w:rsid w:val="00E41F94"/>
    <w:rsid w:val="00E41FCB"/>
    <w:rsid w:val="00E44876"/>
    <w:rsid w:val="00E4748D"/>
    <w:rsid w:val="00E512A9"/>
    <w:rsid w:val="00E519C2"/>
    <w:rsid w:val="00E5225D"/>
    <w:rsid w:val="00E54406"/>
    <w:rsid w:val="00E54678"/>
    <w:rsid w:val="00E61CCB"/>
    <w:rsid w:val="00E6402C"/>
    <w:rsid w:val="00E64E2E"/>
    <w:rsid w:val="00E658FB"/>
    <w:rsid w:val="00E7289E"/>
    <w:rsid w:val="00E72BC7"/>
    <w:rsid w:val="00E75647"/>
    <w:rsid w:val="00E7773B"/>
    <w:rsid w:val="00E83B73"/>
    <w:rsid w:val="00E85AAC"/>
    <w:rsid w:val="00E8638F"/>
    <w:rsid w:val="00E92DFF"/>
    <w:rsid w:val="00E933BE"/>
    <w:rsid w:val="00E957AB"/>
    <w:rsid w:val="00E95D17"/>
    <w:rsid w:val="00E96CBC"/>
    <w:rsid w:val="00EA0B49"/>
    <w:rsid w:val="00EA2153"/>
    <w:rsid w:val="00EA3A1C"/>
    <w:rsid w:val="00EA7CB0"/>
    <w:rsid w:val="00EB50BE"/>
    <w:rsid w:val="00EB60D4"/>
    <w:rsid w:val="00EC0F3C"/>
    <w:rsid w:val="00EC4E1F"/>
    <w:rsid w:val="00EC6077"/>
    <w:rsid w:val="00EC7002"/>
    <w:rsid w:val="00EC74AB"/>
    <w:rsid w:val="00EC76D1"/>
    <w:rsid w:val="00EC76F0"/>
    <w:rsid w:val="00ED0186"/>
    <w:rsid w:val="00ED0F1B"/>
    <w:rsid w:val="00ED33B6"/>
    <w:rsid w:val="00ED7677"/>
    <w:rsid w:val="00ED7EC9"/>
    <w:rsid w:val="00EE4205"/>
    <w:rsid w:val="00EE75A3"/>
    <w:rsid w:val="00F053FB"/>
    <w:rsid w:val="00F06C40"/>
    <w:rsid w:val="00F1409D"/>
    <w:rsid w:val="00F16A8B"/>
    <w:rsid w:val="00F20A2C"/>
    <w:rsid w:val="00F20E9B"/>
    <w:rsid w:val="00F21E27"/>
    <w:rsid w:val="00F22C15"/>
    <w:rsid w:val="00F24453"/>
    <w:rsid w:val="00F30A1A"/>
    <w:rsid w:val="00F317F2"/>
    <w:rsid w:val="00F32BA7"/>
    <w:rsid w:val="00F336EE"/>
    <w:rsid w:val="00F3674E"/>
    <w:rsid w:val="00F40986"/>
    <w:rsid w:val="00F42BD8"/>
    <w:rsid w:val="00F43C59"/>
    <w:rsid w:val="00F53FE8"/>
    <w:rsid w:val="00F55B05"/>
    <w:rsid w:val="00F63037"/>
    <w:rsid w:val="00F63680"/>
    <w:rsid w:val="00F66BBE"/>
    <w:rsid w:val="00F7320A"/>
    <w:rsid w:val="00F748D1"/>
    <w:rsid w:val="00F76168"/>
    <w:rsid w:val="00F80638"/>
    <w:rsid w:val="00F824B2"/>
    <w:rsid w:val="00F84EDA"/>
    <w:rsid w:val="00F917A1"/>
    <w:rsid w:val="00F9486B"/>
    <w:rsid w:val="00F95C20"/>
    <w:rsid w:val="00F95E83"/>
    <w:rsid w:val="00F96C61"/>
    <w:rsid w:val="00FA7F9B"/>
    <w:rsid w:val="00FC0AE3"/>
    <w:rsid w:val="00FC39BD"/>
    <w:rsid w:val="00FC7770"/>
    <w:rsid w:val="00FD168E"/>
    <w:rsid w:val="00FD652B"/>
    <w:rsid w:val="00FD78D8"/>
    <w:rsid w:val="00FE19CF"/>
    <w:rsid w:val="00FE2907"/>
    <w:rsid w:val="00FE3E00"/>
    <w:rsid w:val="00FE799F"/>
    <w:rsid w:val="00FF0169"/>
    <w:rsid w:val="00FF064A"/>
    <w:rsid w:val="00FF53EE"/>
    <w:rsid w:val="011640EA"/>
    <w:rsid w:val="01BA1962"/>
    <w:rsid w:val="01BD5305"/>
    <w:rsid w:val="01CA1DF8"/>
    <w:rsid w:val="0252665D"/>
    <w:rsid w:val="02672D80"/>
    <w:rsid w:val="026929FF"/>
    <w:rsid w:val="02C63699"/>
    <w:rsid w:val="038D2B62"/>
    <w:rsid w:val="03D32443"/>
    <w:rsid w:val="044C333D"/>
    <w:rsid w:val="0451595C"/>
    <w:rsid w:val="0462740C"/>
    <w:rsid w:val="04893F11"/>
    <w:rsid w:val="04E32999"/>
    <w:rsid w:val="052139F6"/>
    <w:rsid w:val="058A4BA6"/>
    <w:rsid w:val="05BA412D"/>
    <w:rsid w:val="060175B5"/>
    <w:rsid w:val="065C61FB"/>
    <w:rsid w:val="0662781C"/>
    <w:rsid w:val="06646A88"/>
    <w:rsid w:val="06E573E1"/>
    <w:rsid w:val="06F05772"/>
    <w:rsid w:val="078A686A"/>
    <w:rsid w:val="07993E80"/>
    <w:rsid w:val="07EA5563"/>
    <w:rsid w:val="08093ADA"/>
    <w:rsid w:val="084C43AA"/>
    <w:rsid w:val="0857273B"/>
    <w:rsid w:val="09053C27"/>
    <w:rsid w:val="09BF0AC4"/>
    <w:rsid w:val="0C281202"/>
    <w:rsid w:val="0C747FFC"/>
    <w:rsid w:val="0D006F78"/>
    <w:rsid w:val="0D2C77AB"/>
    <w:rsid w:val="0D8559F1"/>
    <w:rsid w:val="0DE66BD9"/>
    <w:rsid w:val="0DFA735F"/>
    <w:rsid w:val="0E263246"/>
    <w:rsid w:val="0E523D0A"/>
    <w:rsid w:val="0E786388"/>
    <w:rsid w:val="0E7D3C55"/>
    <w:rsid w:val="0EF82415"/>
    <w:rsid w:val="0F581B32"/>
    <w:rsid w:val="0FAD6EED"/>
    <w:rsid w:val="0FB748D6"/>
    <w:rsid w:val="10944D55"/>
    <w:rsid w:val="10C37DB5"/>
    <w:rsid w:val="11472BD3"/>
    <w:rsid w:val="116230AD"/>
    <w:rsid w:val="11A021F8"/>
    <w:rsid w:val="11C76D54"/>
    <w:rsid w:val="11DD74B9"/>
    <w:rsid w:val="12386EF3"/>
    <w:rsid w:val="12435284"/>
    <w:rsid w:val="126F15CC"/>
    <w:rsid w:val="130D6482"/>
    <w:rsid w:val="131C7166"/>
    <w:rsid w:val="13612891"/>
    <w:rsid w:val="13935EAB"/>
    <w:rsid w:val="13CF6CC6"/>
    <w:rsid w:val="14BE28F7"/>
    <w:rsid w:val="151218BB"/>
    <w:rsid w:val="152C585B"/>
    <w:rsid w:val="153C209A"/>
    <w:rsid w:val="155861E6"/>
    <w:rsid w:val="155B0D1A"/>
    <w:rsid w:val="156565EC"/>
    <w:rsid w:val="167F610F"/>
    <w:rsid w:val="16815279"/>
    <w:rsid w:val="16A06B9C"/>
    <w:rsid w:val="17AE1BEE"/>
    <w:rsid w:val="17BA1AFE"/>
    <w:rsid w:val="189268E4"/>
    <w:rsid w:val="19632DB3"/>
    <w:rsid w:val="1A065E3F"/>
    <w:rsid w:val="1A1455B6"/>
    <w:rsid w:val="1A264176"/>
    <w:rsid w:val="1A581B0A"/>
    <w:rsid w:val="1C9A00B3"/>
    <w:rsid w:val="1C9D344F"/>
    <w:rsid w:val="1CFD009B"/>
    <w:rsid w:val="1D746DE1"/>
    <w:rsid w:val="1E3B6CA0"/>
    <w:rsid w:val="1EB67129"/>
    <w:rsid w:val="1ED0129B"/>
    <w:rsid w:val="1EEB16E3"/>
    <w:rsid w:val="1F053CF4"/>
    <w:rsid w:val="1F4D5C3B"/>
    <w:rsid w:val="1F996C9E"/>
    <w:rsid w:val="1FBC3DB5"/>
    <w:rsid w:val="203D58D3"/>
    <w:rsid w:val="20413A7B"/>
    <w:rsid w:val="20B54ACD"/>
    <w:rsid w:val="20C82B86"/>
    <w:rsid w:val="20EE1616"/>
    <w:rsid w:val="210E5037"/>
    <w:rsid w:val="21BD09EA"/>
    <w:rsid w:val="21BD287B"/>
    <w:rsid w:val="21C60014"/>
    <w:rsid w:val="22353B2B"/>
    <w:rsid w:val="225A444E"/>
    <w:rsid w:val="22750919"/>
    <w:rsid w:val="22AB6FED"/>
    <w:rsid w:val="22CB5324"/>
    <w:rsid w:val="231C2924"/>
    <w:rsid w:val="23395957"/>
    <w:rsid w:val="233C3628"/>
    <w:rsid w:val="2359040B"/>
    <w:rsid w:val="247D056D"/>
    <w:rsid w:val="2483798D"/>
    <w:rsid w:val="2485472C"/>
    <w:rsid w:val="24917DC3"/>
    <w:rsid w:val="24D54E1E"/>
    <w:rsid w:val="254C7941"/>
    <w:rsid w:val="25586002"/>
    <w:rsid w:val="25633CE3"/>
    <w:rsid w:val="25761DE6"/>
    <w:rsid w:val="257E6637"/>
    <w:rsid w:val="25AE66E1"/>
    <w:rsid w:val="26D32C40"/>
    <w:rsid w:val="27355263"/>
    <w:rsid w:val="27E22DFD"/>
    <w:rsid w:val="27F856F6"/>
    <w:rsid w:val="285A17C2"/>
    <w:rsid w:val="287A4275"/>
    <w:rsid w:val="28920928"/>
    <w:rsid w:val="28C668F3"/>
    <w:rsid w:val="28E848A9"/>
    <w:rsid w:val="293B1350"/>
    <w:rsid w:val="2980256C"/>
    <w:rsid w:val="29CC3CA8"/>
    <w:rsid w:val="2A1F0445"/>
    <w:rsid w:val="2A477EA1"/>
    <w:rsid w:val="2AAD3069"/>
    <w:rsid w:val="2AF04C7E"/>
    <w:rsid w:val="2B703E77"/>
    <w:rsid w:val="2BA8442D"/>
    <w:rsid w:val="2C357514"/>
    <w:rsid w:val="2C6B2D06"/>
    <w:rsid w:val="2CA92052"/>
    <w:rsid w:val="2CDA2A91"/>
    <w:rsid w:val="2CF66AC8"/>
    <w:rsid w:val="2D2F2FAF"/>
    <w:rsid w:val="2D4F12E5"/>
    <w:rsid w:val="2D8F0ED5"/>
    <w:rsid w:val="2DC67193"/>
    <w:rsid w:val="2EDC5924"/>
    <w:rsid w:val="2FD82314"/>
    <w:rsid w:val="2FFC43C7"/>
    <w:rsid w:val="300F04CF"/>
    <w:rsid w:val="30110AE9"/>
    <w:rsid w:val="30536CBC"/>
    <w:rsid w:val="30560421"/>
    <w:rsid w:val="30D15868"/>
    <w:rsid w:val="31637F7F"/>
    <w:rsid w:val="31AD0012"/>
    <w:rsid w:val="31E12C11"/>
    <w:rsid w:val="321B43C1"/>
    <w:rsid w:val="323B26F8"/>
    <w:rsid w:val="32776A72"/>
    <w:rsid w:val="332D3E7A"/>
    <w:rsid w:val="334A28B5"/>
    <w:rsid w:val="338B331E"/>
    <w:rsid w:val="338F0BB8"/>
    <w:rsid w:val="33BC0B21"/>
    <w:rsid w:val="33BF23AF"/>
    <w:rsid w:val="33F76B5C"/>
    <w:rsid w:val="341C352C"/>
    <w:rsid w:val="34382847"/>
    <w:rsid w:val="344B76F1"/>
    <w:rsid w:val="347801DC"/>
    <w:rsid w:val="348205F2"/>
    <w:rsid w:val="349C0CAD"/>
    <w:rsid w:val="350E57A6"/>
    <w:rsid w:val="35D973C0"/>
    <w:rsid w:val="35F21EE1"/>
    <w:rsid w:val="35F55D16"/>
    <w:rsid w:val="362134F1"/>
    <w:rsid w:val="366D0E58"/>
    <w:rsid w:val="368F6E0E"/>
    <w:rsid w:val="37064C8D"/>
    <w:rsid w:val="3730221B"/>
    <w:rsid w:val="373C0DB5"/>
    <w:rsid w:val="375B35BF"/>
    <w:rsid w:val="382B7916"/>
    <w:rsid w:val="38604B0B"/>
    <w:rsid w:val="38A20DF8"/>
    <w:rsid w:val="393E3DEB"/>
    <w:rsid w:val="39440601"/>
    <w:rsid w:val="39820AC4"/>
    <w:rsid w:val="3A4F53F1"/>
    <w:rsid w:val="3A781EDA"/>
    <w:rsid w:val="3AC3188F"/>
    <w:rsid w:val="3ACB7183"/>
    <w:rsid w:val="3B961D3F"/>
    <w:rsid w:val="3BDB644F"/>
    <w:rsid w:val="3BE8156A"/>
    <w:rsid w:val="3C3A691D"/>
    <w:rsid w:val="3C587F4F"/>
    <w:rsid w:val="3C926AEF"/>
    <w:rsid w:val="3CB44AA5"/>
    <w:rsid w:val="3CEB428E"/>
    <w:rsid w:val="3DD61F39"/>
    <w:rsid w:val="3DDA1F01"/>
    <w:rsid w:val="3E872422"/>
    <w:rsid w:val="3E9167B3"/>
    <w:rsid w:val="3EFA7F3F"/>
    <w:rsid w:val="3F0D31E1"/>
    <w:rsid w:val="3F15253C"/>
    <w:rsid w:val="3F496B59"/>
    <w:rsid w:val="3F8A1D64"/>
    <w:rsid w:val="3FE24C5D"/>
    <w:rsid w:val="40051935"/>
    <w:rsid w:val="400D1324"/>
    <w:rsid w:val="403B6BDC"/>
    <w:rsid w:val="40631D33"/>
    <w:rsid w:val="406E00C4"/>
    <w:rsid w:val="40B232D6"/>
    <w:rsid w:val="40BA2742"/>
    <w:rsid w:val="40DB4E75"/>
    <w:rsid w:val="41313CF6"/>
    <w:rsid w:val="414067E1"/>
    <w:rsid w:val="41C45E15"/>
    <w:rsid w:val="420D2926"/>
    <w:rsid w:val="429359DA"/>
    <w:rsid w:val="42A864DC"/>
    <w:rsid w:val="42D9273C"/>
    <w:rsid w:val="43006151"/>
    <w:rsid w:val="43056A83"/>
    <w:rsid w:val="43921DE1"/>
    <w:rsid w:val="43FF6C9B"/>
    <w:rsid w:val="4409502C"/>
    <w:rsid w:val="45832CC1"/>
    <w:rsid w:val="472D6E53"/>
    <w:rsid w:val="47F00216"/>
    <w:rsid w:val="481C65D1"/>
    <w:rsid w:val="487D32FD"/>
    <w:rsid w:val="48927A1F"/>
    <w:rsid w:val="4899712D"/>
    <w:rsid w:val="49825129"/>
    <w:rsid w:val="49B83F7E"/>
    <w:rsid w:val="49B87801"/>
    <w:rsid w:val="49C6669A"/>
    <w:rsid w:val="4A3F2C92"/>
    <w:rsid w:val="4AE91B36"/>
    <w:rsid w:val="4B4B707E"/>
    <w:rsid w:val="4B6404D2"/>
    <w:rsid w:val="4BCB5F67"/>
    <w:rsid w:val="4C1543CF"/>
    <w:rsid w:val="4CFE4C6C"/>
    <w:rsid w:val="4D2607A2"/>
    <w:rsid w:val="4DA34583"/>
    <w:rsid w:val="4DF17BB4"/>
    <w:rsid w:val="4E1622A9"/>
    <w:rsid w:val="4E634927"/>
    <w:rsid w:val="4E6D2CB8"/>
    <w:rsid w:val="4EBF0AB8"/>
    <w:rsid w:val="4F30407B"/>
    <w:rsid w:val="4F506B2E"/>
    <w:rsid w:val="4F801883"/>
    <w:rsid w:val="4FE05C5F"/>
    <w:rsid w:val="4FFF7BCB"/>
    <w:rsid w:val="50095F5C"/>
    <w:rsid w:val="509C065C"/>
    <w:rsid w:val="509C0B30"/>
    <w:rsid w:val="50CC3A9C"/>
    <w:rsid w:val="51E754ED"/>
    <w:rsid w:val="526F4E33"/>
    <w:rsid w:val="5295690B"/>
    <w:rsid w:val="53AE4E59"/>
    <w:rsid w:val="53DA754F"/>
    <w:rsid w:val="543D55CB"/>
    <w:rsid w:val="548825BE"/>
    <w:rsid w:val="5492094F"/>
    <w:rsid w:val="54B70E16"/>
    <w:rsid w:val="56462A2C"/>
    <w:rsid w:val="5669119C"/>
    <w:rsid w:val="56B474B2"/>
    <w:rsid w:val="56BC6CDA"/>
    <w:rsid w:val="57AD21A3"/>
    <w:rsid w:val="58293CE9"/>
    <w:rsid w:val="58D036DD"/>
    <w:rsid w:val="59273D6B"/>
    <w:rsid w:val="59317A63"/>
    <w:rsid w:val="59D450D8"/>
    <w:rsid w:val="5A0563A8"/>
    <w:rsid w:val="5B5220A1"/>
    <w:rsid w:val="5B872136"/>
    <w:rsid w:val="5B913D4A"/>
    <w:rsid w:val="5BB96155"/>
    <w:rsid w:val="5C4A34F9"/>
    <w:rsid w:val="5C6C33C1"/>
    <w:rsid w:val="5C767840"/>
    <w:rsid w:val="5CB0472B"/>
    <w:rsid w:val="5CB8155B"/>
    <w:rsid w:val="5D9D03CC"/>
    <w:rsid w:val="5DD9788A"/>
    <w:rsid w:val="5DF25520"/>
    <w:rsid w:val="5E336DDF"/>
    <w:rsid w:val="5E4951BD"/>
    <w:rsid w:val="5E53354E"/>
    <w:rsid w:val="5EC94BF2"/>
    <w:rsid w:val="5F3673C4"/>
    <w:rsid w:val="5F3B3161"/>
    <w:rsid w:val="5F4D01E1"/>
    <w:rsid w:val="5F573677"/>
    <w:rsid w:val="5F8D7DD2"/>
    <w:rsid w:val="5FFA4B83"/>
    <w:rsid w:val="61775374"/>
    <w:rsid w:val="617D3E11"/>
    <w:rsid w:val="61997133"/>
    <w:rsid w:val="61B561E1"/>
    <w:rsid w:val="620B7F11"/>
    <w:rsid w:val="621409C5"/>
    <w:rsid w:val="62343265"/>
    <w:rsid w:val="629B1C54"/>
    <w:rsid w:val="62D27BAF"/>
    <w:rsid w:val="63130619"/>
    <w:rsid w:val="63867BC6"/>
    <w:rsid w:val="63CD322B"/>
    <w:rsid w:val="64075446"/>
    <w:rsid w:val="64172445"/>
    <w:rsid w:val="642207D6"/>
    <w:rsid w:val="648803EF"/>
    <w:rsid w:val="649A3A1C"/>
    <w:rsid w:val="649A7980"/>
    <w:rsid w:val="64B60010"/>
    <w:rsid w:val="650700D4"/>
    <w:rsid w:val="65135935"/>
    <w:rsid w:val="655E27D8"/>
    <w:rsid w:val="659132B0"/>
    <w:rsid w:val="65930ADD"/>
    <w:rsid w:val="659F5BD5"/>
    <w:rsid w:val="65B12EC4"/>
    <w:rsid w:val="665D7604"/>
    <w:rsid w:val="66833C23"/>
    <w:rsid w:val="671513DE"/>
    <w:rsid w:val="672542C6"/>
    <w:rsid w:val="678E528F"/>
    <w:rsid w:val="679466CB"/>
    <w:rsid w:val="679B69CE"/>
    <w:rsid w:val="67C33F5A"/>
    <w:rsid w:val="682734FA"/>
    <w:rsid w:val="68A04E37"/>
    <w:rsid w:val="68A6296F"/>
    <w:rsid w:val="68AB31C8"/>
    <w:rsid w:val="68C2756A"/>
    <w:rsid w:val="68E62B38"/>
    <w:rsid w:val="6A204916"/>
    <w:rsid w:val="6ABB287D"/>
    <w:rsid w:val="6AF57307"/>
    <w:rsid w:val="6B665CD2"/>
    <w:rsid w:val="6C3C665E"/>
    <w:rsid w:val="6D7C7BA2"/>
    <w:rsid w:val="6D814635"/>
    <w:rsid w:val="6E423D13"/>
    <w:rsid w:val="6EA50F15"/>
    <w:rsid w:val="6ED253C1"/>
    <w:rsid w:val="6EEA4E73"/>
    <w:rsid w:val="6EFC35FF"/>
    <w:rsid w:val="6F062717"/>
    <w:rsid w:val="6F285C6B"/>
    <w:rsid w:val="6F877C4A"/>
    <w:rsid w:val="702F6959"/>
    <w:rsid w:val="704F4FF7"/>
    <w:rsid w:val="70536FF5"/>
    <w:rsid w:val="708304A5"/>
    <w:rsid w:val="70E164EC"/>
    <w:rsid w:val="70EF031B"/>
    <w:rsid w:val="70F42FD3"/>
    <w:rsid w:val="713118C3"/>
    <w:rsid w:val="713826F5"/>
    <w:rsid w:val="71691EC8"/>
    <w:rsid w:val="719A4701"/>
    <w:rsid w:val="71CA038B"/>
    <w:rsid w:val="71D538AB"/>
    <w:rsid w:val="7200054E"/>
    <w:rsid w:val="72055D6C"/>
    <w:rsid w:val="723C415D"/>
    <w:rsid w:val="72B80445"/>
    <w:rsid w:val="730124EF"/>
    <w:rsid w:val="730F0E54"/>
    <w:rsid w:val="73585890"/>
    <w:rsid w:val="73DD49A4"/>
    <w:rsid w:val="743453B3"/>
    <w:rsid w:val="743F3EE0"/>
    <w:rsid w:val="74E267D1"/>
    <w:rsid w:val="751D328D"/>
    <w:rsid w:val="755A00A6"/>
    <w:rsid w:val="759A5F7F"/>
    <w:rsid w:val="75C25117"/>
    <w:rsid w:val="75EB1129"/>
    <w:rsid w:val="76171E73"/>
    <w:rsid w:val="766B7C88"/>
    <w:rsid w:val="77055D1D"/>
    <w:rsid w:val="77CA30D3"/>
    <w:rsid w:val="77F96D63"/>
    <w:rsid w:val="785C5783"/>
    <w:rsid w:val="792324DB"/>
    <w:rsid w:val="79294ED6"/>
    <w:rsid w:val="796507C1"/>
    <w:rsid w:val="796A3D8A"/>
    <w:rsid w:val="7975415E"/>
    <w:rsid w:val="797D740A"/>
    <w:rsid w:val="79804A75"/>
    <w:rsid w:val="79971C87"/>
    <w:rsid w:val="79B274E9"/>
    <w:rsid w:val="79B77FBE"/>
    <w:rsid w:val="79D4245B"/>
    <w:rsid w:val="79E34305"/>
    <w:rsid w:val="79FF7895"/>
    <w:rsid w:val="7A445F25"/>
    <w:rsid w:val="7A550D8C"/>
    <w:rsid w:val="7A6873E3"/>
    <w:rsid w:val="7B0674AB"/>
    <w:rsid w:val="7B2727DB"/>
    <w:rsid w:val="7B355148"/>
    <w:rsid w:val="7B9F58E0"/>
    <w:rsid w:val="7BD21F0D"/>
    <w:rsid w:val="7BE54561"/>
    <w:rsid w:val="7C356EE0"/>
    <w:rsid w:val="7C547091"/>
    <w:rsid w:val="7C8D136B"/>
    <w:rsid w:val="7D5052A6"/>
    <w:rsid w:val="7E4465BC"/>
    <w:rsid w:val="7E813419"/>
    <w:rsid w:val="7EE221B9"/>
    <w:rsid w:val="7FA57762"/>
    <w:rsid w:val="7FE32146"/>
    <w:rsid w:val="7FF165D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ocked="1"/>
    <w:lsdException w:uiPriority="99" w:name="footnote text" w:locked="1"/>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qFormat="1" w:unhideWhenUsed="0" w:uiPriority="0" w:semiHidden="0" w:name="Closing"/>
    <w:lsdException w:uiPriority="99" w:name="Signature" w:locked="1"/>
    <w:lsdException w:uiPriority="1" w:semiHidden="0"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qFormat="1" w:unhideWhenUsed="0" w:uiPriority="0" w:semiHidden="0" w:name="Salutation"/>
    <w:lsdException w:qFormat="1" w:unhideWhenUsed="0" w:uiPriority="0" w:semiHidden="0" w:name="Date"/>
    <w:lsdException w:uiPriority="99" w:name="Body Text First Indent" w:locked="1"/>
    <w:lsdException w:uiPriority="99" w:name="Body Text First Indent 2" w:locked="1"/>
    <w:lsdException w:uiPriority="99" w:name="Note Heading" w:locked="1"/>
    <w:lsdException w:qFormat="1" w:unhideWhenUsed="0" w:uiPriority="0" w:semiHidden="0" w:name="Body Text 2"/>
    <w:lsdException w:uiPriority="99" w:name="Body Text 3" w:locked="1"/>
    <w:lsdException w:qFormat="1" w:unhideWhenUsed="0" w:uiPriority="0" w:semiHidden="0" w:name="Body Text Indent 2"/>
    <w:lsdException w:qFormat="1" w:unhideWhenUsed="0" w:uiPriority="0" w:semiHidden="0" w:name="Body Text Indent 3"/>
    <w:lsdException w:uiPriority="99" w:name="Block Text" w:locked="1"/>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qFormat="1" w:unhideWhenUsed="0" w:uiPriority="0" w:semiHidden="0" w:name="Table Colorful 3"/>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0"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1"/>
    <w:qFormat/>
    <w:uiPriority w:val="0"/>
    <w:pPr>
      <w:keepNext/>
      <w:spacing w:line="440" w:lineRule="exact"/>
      <w:jc w:val="center"/>
      <w:outlineLvl w:val="0"/>
    </w:pPr>
    <w:rPr>
      <w:rFonts w:ascii="仿宋_GB2312" w:eastAsia="仿宋_GB2312" w:cs="仿宋_GB2312"/>
      <w:sz w:val="28"/>
      <w:szCs w:val="28"/>
    </w:rPr>
  </w:style>
  <w:style w:type="paragraph" w:styleId="3">
    <w:name w:val="heading 2"/>
    <w:basedOn w:val="1"/>
    <w:next w:val="1"/>
    <w:link w:val="52"/>
    <w:qFormat/>
    <w:uiPriority w:val="0"/>
    <w:pPr>
      <w:keepNext/>
      <w:adjustRightInd w:val="0"/>
      <w:snapToGrid w:val="0"/>
      <w:outlineLvl w:val="1"/>
    </w:pPr>
    <w:rPr>
      <w:rFonts w:ascii="仿宋_GB2312" w:eastAsia="仿宋_GB2312" w:cs="仿宋_GB2312"/>
      <w:b/>
      <w:bCs/>
      <w:sz w:val="28"/>
      <w:szCs w:val="28"/>
    </w:rPr>
  </w:style>
  <w:style w:type="paragraph" w:styleId="4">
    <w:name w:val="heading 3"/>
    <w:basedOn w:val="1"/>
    <w:next w:val="1"/>
    <w:link w:val="53"/>
    <w:qFormat/>
    <w:uiPriority w:val="0"/>
    <w:pPr>
      <w:keepNext/>
      <w:keepLines/>
      <w:spacing w:before="260" w:after="260" w:line="416" w:lineRule="auto"/>
      <w:outlineLvl w:val="2"/>
    </w:pPr>
    <w:rPr>
      <w:b/>
      <w:bCs/>
      <w:sz w:val="32"/>
      <w:szCs w:val="32"/>
    </w:rPr>
  </w:style>
  <w:style w:type="character" w:default="1" w:styleId="46">
    <w:name w:val="Default Paragraph Font"/>
    <w:unhideWhenUsed/>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rFonts w:ascii="Calibri" w:hAnsi="Calibri" w:cs="Calibri"/>
      <w:sz w:val="18"/>
      <w:szCs w:val="18"/>
    </w:rPr>
  </w:style>
  <w:style w:type="paragraph" w:styleId="6">
    <w:name w:val="index 8"/>
    <w:basedOn w:val="1"/>
    <w:next w:val="1"/>
    <w:semiHidden/>
    <w:qFormat/>
    <w:uiPriority w:val="0"/>
    <w:pPr>
      <w:ind w:left="1400" w:leftChars="1400"/>
    </w:pPr>
  </w:style>
  <w:style w:type="paragraph" w:styleId="7">
    <w:name w:val="index 5"/>
    <w:basedOn w:val="1"/>
    <w:next w:val="1"/>
    <w:semiHidden/>
    <w:qFormat/>
    <w:uiPriority w:val="0"/>
    <w:pPr>
      <w:ind w:left="800" w:leftChars="800"/>
    </w:pPr>
  </w:style>
  <w:style w:type="paragraph" w:styleId="8">
    <w:name w:val="Document Map"/>
    <w:basedOn w:val="1"/>
    <w:link w:val="56"/>
    <w:semiHidden/>
    <w:qFormat/>
    <w:uiPriority w:val="0"/>
    <w:pPr>
      <w:shd w:val="clear" w:color="auto" w:fill="000080"/>
    </w:pPr>
  </w:style>
  <w:style w:type="paragraph" w:styleId="9">
    <w:name w:val="annotation text"/>
    <w:basedOn w:val="1"/>
    <w:link w:val="54"/>
    <w:semiHidden/>
    <w:qFormat/>
    <w:uiPriority w:val="0"/>
    <w:pPr>
      <w:jc w:val="left"/>
    </w:pPr>
  </w:style>
  <w:style w:type="paragraph" w:styleId="10">
    <w:name w:val="index 6"/>
    <w:basedOn w:val="1"/>
    <w:next w:val="1"/>
    <w:semiHidden/>
    <w:qFormat/>
    <w:uiPriority w:val="0"/>
    <w:pPr>
      <w:ind w:left="1000" w:leftChars="1000"/>
    </w:pPr>
  </w:style>
  <w:style w:type="paragraph" w:styleId="11">
    <w:name w:val="Salutation"/>
    <w:basedOn w:val="1"/>
    <w:next w:val="1"/>
    <w:link w:val="57"/>
    <w:qFormat/>
    <w:uiPriority w:val="0"/>
    <w:rPr>
      <w:rFonts w:ascii="仿宋_GB2312" w:eastAsia="仿宋_GB2312" w:cs="仿宋_GB2312"/>
      <w:sz w:val="28"/>
      <w:szCs w:val="28"/>
    </w:rPr>
  </w:style>
  <w:style w:type="paragraph" w:styleId="12">
    <w:name w:val="Closing"/>
    <w:basedOn w:val="1"/>
    <w:next w:val="1"/>
    <w:link w:val="58"/>
    <w:qFormat/>
    <w:uiPriority w:val="0"/>
    <w:pPr>
      <w:ind w:left="4320"/>
    </w:pPr>
    <w:rPr>
      <w:rFonts w:ascii="仿宋_GB2312" w:eastAsia="仿宋_GB2312" w:cs="仿宋_GB2312"/>
      <w:sz w:val="28"/>
      <w:szCs w:val="28"/>
    </w:rPr>
  </w:style>
  <w:style w:type="paragraph" w:styleId="13">
    <w:name w:val="Body Text"/>
    <w:basedOn w:val="1"/>
    <w:link w:val="59"/>
    <w:qFormat/>
    <w:uiPriority w:val="0"/>
    <w:pPr>
      <w:spacing w:line="560" w:lineRule="exact"/>
    </w:pPr>
    <w:rPr>
      <w:rFonts w:ascii="仿宋_GB2312" w:eastAsia="仿宋_GB2312" w:cs="仿宋_GB2312"/>
      <w:sz w:val="28"/>
      <w:szCs w:val="28"/>
    </w:rPr>
  </w:style>
  <w:style w:type="paragraph" w:styleId="14">
    <w:name w:val="Body Text Indent"/>
    <w:basedOn w:val="1"/>
    <w:link w:val="60"/>
    <w:qFormat/>
    <w:uiPriority w:val="0"/>
    <w:pPr>
      <w:spacing w:line="600" w:lineRule="exact"/>
      <w:ind w:right="-150" w:firstLine="520" w:firstLineChars="200"/>
    </w:pPr>
    <w:rPr>
      <w:rFonts w:ascii="仿宋_GB2312" w:eastAsia="仿宋_GB2312" w:cs="仿宋_GB2312"/>
      <w:color w:val="FF0000"/>
      <w:spacing w:val="10"/>
      <w:sz w:val="24"/>
      <w:szCs w:val="24"/>
    </w:rPr>
  </w:style>
  <w:style w:type="paragraph" w:styleId="15">
    <w:name w:val="index 4"/>
    <w:basedOn w:val="1"/>
    <w:next w:val="1"/>
    <w:semiHidden/>
    <w:qFormat/>
    <w:uiPriority w:val="0"/>
    <w:pPr>
      <w:ind w:left="600" w:leftChars="600"/>
    </w:pPr>
  </w:style>
  <w:style w:type="paragraph" w:styleId="16">
    <w:name w:val="toc 5"/>
    <w:basedOn w:val="1"/>
    <w:next w:val="1"/>
    <w:semiHidden/>
    <w:qFormat/>
    <w:uiPriority w:val="0"/>
    <w:pPr>
      <w:ind w:left="840"/>
      <w:jc w:val="left"/>
    </w:pPr>
    <w:rPr>
      <w:rFonts w:ascii="Calibri" w:hAnsi="Calibri" w:cs="Calibri"/>
      <w:sz w:val="18"/>
      <w:szCs w:val="18"/>
    </w:rPr>
  </w:style>
  <w:style w:type="paragraph" w:styleId="17">
    <w:name w:val="toc 3"/>
    <w:basedOn w:val="1"/>
    <w:next w:val="1"/>
    <w:semiHidden/>
    <w:qFormat/>
    <w:uiPriority w:val="0"/>
    <w:pPr>
      <w:numPr>
        <w:ilvl w:val="0"/>
        <w:numId w:val="1"/>
      </w:numPr>
      <w:ind w:left="420"/>
      <w:jc w:val="left"/>
    </w:pPr>
    <w:rPr>
      <w:rFonts w:ascii="Calibri" w:hAnsi="Calibri" w:cs="Calibri"/>
      <w:i/>
      <w:iCs/>
      <w:sz w:val="20"/>
      <w:szCs w:val="20"/>
    </w:rPr>
  </w:style>
  <w:style w:type="paragraph" w:styleId="18">
    <w:name w:val="Plain Text"/>
    <w:basedOn w:val="1"/>
    <w:link w:val="61"/>
    <w:qFormat/>
    <w:uiPriority w:val="0"/>
    <w:rPr>
      <w:rFonts w:ascii="宋体" w:hAnsi="Courier New" w:cs="宋体"/>
    </w:rPr>
  </w:style>
  <w:style w:type="paragraph" w:styleId="19">
    <w:name w:val="toc 8"/>
    <w:basedOn w:val="1"/>
    <w:next w:val="1"/>
    <w:semiHidden/>
    <w:qFormat/>
    <w:uiPriority w:val="0"/>
    <w:pPr>
      <w:ind w:left="1470"/>
      <w:jc w:val="left"/>
    </w:pPr>
    <w:rPr>
      <w:rFonts w:ascii="Calibri" w:hAnsi="Calibri" w:cs="Calibri"/>
      <w:sz w:val="18"/>
      <w:szCs w:val="18"/>
    </w:rPr>
  </w:style>
  <w:style w:type="paragraph" w:styleId="20">
    <w:name w:val="index 3"/>
    <w:basedOn w:val="1"/>
    <w:next w:val="1"/>
    <w:semiHidden/>
    <w:qFormat/>
    <w:uiPriority w:val="0"/>
    <w:pPr>
      <w:ind w:left="400" w:leftChars="400"/>
    </w:pPr>
  </w:style>
  <w:style w:type="paragraph" w:styleId="21">
    <w:name w:val="Date"/>
    <w:basedOn w:val="1"/>
    <w:next w:val="1"/>
    <w:link w:val="62"/>
    <w:qFormat/>
    <w:uiPriority w:val="0"/>
    <w:rPr>
      <w:rFonts w:ascii="仿宋_GB2312" w:eastAsia="仿宋_GB2312" w:cs="仿宋_GB2312"/>
      <w:sz w:val="28"/>
      <w:szCs w:val="28"/>
    </w:rPr>
  </w:style>
  <w:style w:type="paragraph" w:styleId="22">
    <w:name w:val="Body Text Indent 2"/>
    <w:basedOn w:val="1"/>
    <w:link w:val="63"/>
    <w:qFormat/>
    <w:uiPriority w:val="0"/>
    <w:pPr>
      <w:spacing w:line="560" w:lineRule="exact"/>
      <w:ind w:left="-105" w:firstLine="629" w:firstLineChars="242"/>
    </w:pPr>
    <w:rPr>
      <w:rFonts w:ascii="仿宋_GB2312" w:eastAsia="仿宋_GB2312" w:cs="仿宋_GB2312"/>
      <w:spacing w:val="10"/>
      <w:sz w:val="24"/>
      <w:szCs w:val="24"/>
    </w:rPr>
  </w:style>
  <w:style w:type="paragraph" w:styleId="23">
    <w:name w:val="Balloon Text"/>
    <w:basedOn w:val="1"/>
    <w:link w:val="64"/>
    <w:semiHidden/>
    <w:qFormat/>
    <w:uiPriority w:val="0"/>
    <w:rPr>
      <w:sz w:val="18"/>
      <w:szCs w:val="18"/>
    </w:rPr>
  </w:style>
  <w:style w:type="paragraph" w:styleId="24">
    <w:name w:val="footer"/>
    <w:basedOn w:val="1"/>
    <w:link w:val="65"/>
    <w:qFormat/>
    <w:uiPriority w:val="0"/>
    <w:pPr>
      <w:tabs>
        <w:tab w:val="center" w:pos="4153"/>
        <w:tab w:val="right" w:pos="8306"/>
      </w:tabs>
      <w:snapToGrid w:val="0"/>
      <w:jc w:val="left"/>
    </w:pPr>
    <w:rPr>
      <w:sz w:val="18"/>
      <w:szCs w:val="18"/>
    </w:rPr>
  </w:style>
  <w:style w:type="paragraph" w:styleId="25">
    <w:name w:val="header"/>
    <w:basedOn w:val="1"/>
    <w:link w:val="66"/>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semiHidden/>
    <w:qFormat/>
    <w:uiPriority w:val="0"/>
    <w:pPr>
      <w:numPr>
        <w:ilvl w:val="0"/>
        <w:numId w:val="2"/>
      </w:numPr>
      <w:spacing w:before="120" w:after="120"/>
      <w:jc w:val="left"/>
    </w:pPr>
    <w:rPr>
      <w:rFonts w:ascii="Calibri" w:hAnsi="Calibri" w:cs="Calibri"/>
      <w:b/>
      <w:bCs/>
      <w:caps/>
      <w:sz w:val="20"/>
      <w:szCs w:val="20"/>
    </w:rPr>
  </w:style>
  <w:style w:type="paragraph" w:styleId="27">
    <w:name w:val="toc 4"/>
    <w:basedOn w:val="1"/>
    <w:next w:val="1"/>
    <w:semiHidden/>
    <w:qFormat/>
    <w:uiPriority w:val="0"/>
    <w:pPr>
      <w:ind w:left="630"/>
      <w:jc w:val="left"/>
    </w:pPr>
    <w:rPr>
      <w:rFonts w:ascii="Calibri" w:hAnsi="Calibri" w:cs="Calibri"/>
      <w:sz w:val="18"/>
      <w:szCs w:val="18"/>
    </w:rPr>
  </w:style>
  <w:style w:type="paragraph" w:styleId="28">
    <w:name w:val="index heading"/>
    <w:basedOn w:val="1"/>
    <w:next w:val="29"/>
    <w:semiHidden/>
    <w:qFormat/>
    <w:uiPriority w:val="0"/>
  </w:style>
  <w:style w:type="paragraph" w:styleId="29">
    <w:name w:val="index 1"/>
    <w:basedOn w:val="1"/>
    <w:next w:val="1"/>
    <w:semiHidden/>
    <w:qFormat/>
    <w:uiPriority w:val="0"/>
  </w:style>
  <w:style w:type="paragraph" w:styleId="30">
    <w:name w:val="toc 6"/>
    <w:basedOn w:val="1"/>
    <w:next w:val="1"/>
    <w:semiHidden/>
    <w:qFormat/>
    <w:uiPriority w:val="0"/>
    <w:pPr>
      <w:ind w:left="1050"/>
      <w:jc w:val="left"/>
    </w:pPr>
    <w:rPr>
      <w:rFonts w:ascii="Calibri" w:hAnsi="Calibri" w:cs="Calibri"/>
      <w:sz w:val="18"/>
      <w:szCs w:val="18"/>
    </w:rPr>
  </w:style>
  <w:style w:type="paragraph" w:styleId="31">
    <w:name w:val="Body Text Indent 3"/>
    <w:basedOn w:val="1"/>
    <w:link w:val="67"/>
    <w:qFormat/>
    <w:uiPriority w:val="0"/>
    <w:pPr>
      <w:spacing w:line="560" w:lineRule="exact"/>
      <w:ind w:firstLine="520" w:firstLineChars="200"/>
    </w:pPr>
    <w:rPr>
      <w:rFonts w:ascii="仿宋_GB2312" w:eastAsia="仿宋_GB2312" w:cs="仿宋_GB2312"/>
      <w:spacing w:val="10"/>
      <w:sz w:val="24"/>
      <w:szCs w:val="24"/>
    </w:rPr>
  </w:style>
  <w:style w:type="paragraph" w:styleId="32">
    <w:name w:val="index 7"/>
    <w:basedOn w:val="1"/>
    <w:next w:val="1"/>
    <w:semiHidden/>
    <w:qFormat/>
    <w:uiPriority w:val="0"/>
    <w:pPr>
      <w:ind w:left="1200" w:leftChars="1200"/>
    </w:pPr>
  </w:style>
  <w:style w:type="paragraph" w:styleId="33">
    <w:name w:val="index 9"/>
    <w:basedOn w:val="1"/>
    <w:next w:val="1"/>
    <w:semiHidden/>
    <w:qFormat/>
    <w:uiPriority w:val="0"/>
    <w:pPr>
      <w:ind w:left="1600" w:leftChars="1600"/>
    </w:pPr>
  </w:style>
  <w:style w:type="paragraph" w:styleId="34">
    <w:name w:val="toc 2"/>
    <w:basedOn w:val="1"/>
    <w:next w:val="1"/>
    <w:semiHidden/>
    <w:qFormat/>
    <w:uiPriority w:val="0"/>
    <w:pPr>
      <w:ind w:left="210"/>
      <w:jc w:val="left"/>
    </w:pPr>
    <w:rPr>
      <w:rFonts w:ascii="Calibri" w:hAnsi="Calibri" w:cs="Calibri"/>
      <w:smallCaps/>
      <w:sz w:val="20"/>
      <w:szCs w:val="20"/>
    </w:rPr>
  </w:style>
  <w:style w:type="paragraph" w:styleId="35">
    <w:name w:val="toc 9"/>
    <w:basedOn w:val="1"/>
    <w:next w:val="1"/>
    <w:semiHidden/>
    <w:qFormat/>
    <w:uiPriority w:val="0"/>
    <w:pPr>
      <w:ind w:left="1680"/>
      <w:jc w:val="left"/>
    </w:pPr>
    <w:rPr>
      <w:rFonts w:ascii="Calibri" w:hAnsi="Calibri" w:cs="Calibri"/>
      <w:sz w:val="18"/>
      <w:szCs w:val="18"/>
    </w:rPr>
  </w:style>
  <w:style w:type="paragraph" w:styleId="36">
    <w:name w:val="Body Text 2"/>
    <w:basedOn w:val="1"/>
    <w:link w:val="68"/>
    <w:qFormat/>
    <w:uiPriority w:val="0"/>
    <w:pPr>
      <w:spacing w:line="600" w:lineRule="exact"/>
      <w:ind w:right="-150"/>
    </w:pPr>
    <w:rPr>
      <w:rFonts w:ascii="仿宋_GB2312" w:eastAsia="仿宋_GB2312" w:cs="仿宋_GB2312"/>
      <w:spacing w:val="10"/>
      <w:sz w:val="24"/>
      <w:szCs w:val="24"/>
    </w:rPr>
  </w:style>
  <w:style w:type="paragraph" w:styleId="37">
    <w:name w:val="Normal (Web)"/>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styleId="38">
    <w:name w:val="index 2"/>
    <w:basedOn w:val="1"/>
    <w:next w:val="1"/>
    <w:semiHidden/>
    <w:qFormat/>
    <w:uiPriority w:val="0"/>
    <w:pPr>
      <w:ind w:left="200" w:leftChars="200"/>
    </w:pPr>
  </w:style>
  <w:style w:type="paragraph" w:styleId="39">
    <w:name w:val="Title"/>
    <w:basedOn w:val="1"/>
    <w:next w:val="1"/>
    <w:link w:val="91"/>
    <w:qFormat/>
    <w:uiPriority w:val="0"/>
    <w:pPr>
      <w:spacing w:before="240" w:after="60"/>
      <w:jc w:val="center"/>
      <w:outlineLvl w:val="0"/>
    </w:pPr>
    <w:rPr>
      <w:rFonts w:ascii="Cambria" w:hAnsi="Cambria"/>
      <w:b/>
      <w:bCs/>
      <w:sz w:val="32"/>
      <w:szCs w:val="32"/>
    </w:rPr>
  </w:style>
  <w:style w:type="paragraph" w:styleId="40">
    <w:name w:val="annotation subject"/>
    <w:basedOn w:val="9"/>
    <w:next w:val="9"/>
    <w:link w:val="55"/>
    <w:semiHidden/>
    <w:qFormat/>
    <w:uiPriority w:val="0"/>
    <w:rPr>
      <w:b/>
      <w:bCs/>
    </w:rPr>
  </w:style>
  <w:style w:type="table" w:styleId="42">
    <w:name w:val="Table Grid"/>
    <w:basedOn w:val="4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3">
    <w:name w:val="Table Theme"/>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4">
    <w:name w:val="Table Colorful 3"/>
    <w:basedOn w:val="41"/>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45">
    <w:name w:val="Table Elegant"/>
    <w:basedOn w:val="41"/>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character" w:styleId="47">
    <w:name w:val="page number"/>
    <w:basedOn w:val="46"/>
    <w:qFormat/>
    <w:uiPriority w:val="0"/>
  </w:style>
  <w:style w:type="character" w:styleId="48">
    <w:name w:val="FollowedHyperlink"/>
    <w:basedOn w:val="46"/>
    <w:qFormat/>
    <w:uiPriority w:val="0"/>
    <w:rPr>
      <w:color w:val="800080"/>
      <w:u w:val="single"/>
    </w:rPr>
  </w:style>
  <w:style w:type="character" w:styleId="49">
    <w:name w:val="Hyperlink"/>
    <w:basedOn w:val="46"/>
    <w:qFormat/>
    <w:uiPriority w:val="0"/>
    <w:rPr>
      <w:color w:val="0000FF"/>
      <w:u w:val="single"/>
    </w:rPr>
  </w:style>
  <w:style w:type="character" w:styleId="50">
    <w:name w:val="annotation reference"/>
    <w:basedOn w:val="46"/>
    <w:semiHidden/>
    <w:qFormat/>
    <w:uiPriority w:val="0"/>
    <w:rPr>
      <w:sz w:val="21"/>
      <w:szCs w:val="21"/>
    </w:rPr>
  </w:style>
  <w:style w:type="character" w:customStyle="1" w:styleId="51">
    <w:name w:val="标题 1 Char"/>
    <w:basedOn w:val="46"/>
    <w:link w:val="2"/>
    <w:qFormat/>
    <w:locked/>
    <w:uiPriority w:val="0"/>
    <w:rPr>
      <w:rFonts w:ascii="仿宋_GB2312" w:hAnsi="Times New Roman" w:eastAsia="仿宋_GB2312" w:cs="仿宋_GB2312"/>
      <w:sz w:val="20"/>
      <w:szCs w:val="20"/>
    </w:rPr>
  </w:style>
  <w:style w:type="character" w:customStyle="1" w:styleId="52">
    <w:name w:val="标题 2 Char"/>
    <w:basedOn w:val="46"/>
    <w:link w:val="3"/>
    <w:qFormat/>
    <w:locked/>
    <w:uiPriority w:val="0"/>
    <w:rPr>
      <w:rFonts w:ascii="仿宋_GB2312" w:hAnsi="Times New Roman" w:eastAsia="仿宋_GB2312" w:cs="仿宋_GB2312"/>
      <w:b/>
      <w:bCs/>
      <w:sz w:val="20"/>
      <w:szCs w:val="20"/>
    </w:rPr>
  </w:style>
  <w:style w:type="character" w:customStyle="1" w:styleId="53">
    <w:name w:val="标题 3 Char"/>
    <w:basedOn w:val="46"/>
    <w:link w:val="4"/>
    <w:qFormat/>
    <w:locked/>
    <w:uiPriority w:val="0"/>
    <w:rPr>
      <w:rFonts w:ascii="Times New Roman" w:hAnsi="Times New Roman" w:eastAsia="宋体" w:cs="Times New Roman"/>
      <w:b/>
      <w:bCs/>
      <w:sz w:val="32"/>
      <w:szCs w:val="32"/>
    </w:rPr>
  </w:style>
  <w:style w:type="character" w:customStyle="1" w:styleId="54">
    <w:name w:val="批注文字 Char"/>
    <w:basedOn w:val="46"/>
    <w:link w:val="9"/>
    <w:qFormat/>
    <w:locked/>
    <w:uiPriority w:val="0"/>
    <w:rPr>
      <w:rFonts w:ascii="Times New Roman" w:hAnsi="Times New Roman" w:eastAsia="宋体" w:cs="Times New Roman"/>
      <w:sz w:val="20"/>
      <w:szCs w:val="20"/>
    </w:rPr>
  </w:style>
  <w:style w:type="character" w:customStyle="1" w:styleId="55">
    <w:name w:val="批注主题 Char"/>
    <w:basedOn w:val="54"/>
    <w:link w:val="40"/>
    <w:qFormat/>
    <w:locked/>
    <w:uiPriority w:val="0"/>
    <w:rPr>
      <w:b/>
      <w:bCs/>
    </w:rPr>
  </w:style>
  <w:style w:type="character" w:customStyle="1" w:styleId="56">
    <w:name w:val="文档结构图 Char"/>
    <w:basedOn w:val="46"/>
    <w:link w:val="8"/>
    <w:semiHidden/>
    <w:qFormat/>
    <w:locked/>
    <w:uiPriority w:val="0"/>
    <w:rPr>
      <w:rFonts w:ascii="Times New Roman" w:hAnsi="Times New Roman" w:eastAsia="宋体" w:cs="Times New Roman"/>
      <w:sz w:val="20"/>
      <w:szCs w:val="20"/>
      <w:shd w:val="clear" w:color="auto" w:fill="000080"/>
    </w:rPr>
  </w:style>
  <w:style w:type="character" w:customStyle="1" w:styleId="57">
    <w:name w:val="称呼 Char"/>
    <w:basedOn w:val="46"/>
    <w:link w:val="11"/>
    <w:qFormat/>
    <w:locked/>
    <w:uiPriority w:val="0"/>
    <w:rPr>
      <w:rFonts w:ascii="仿宋_GB2312" w:hAnsi="Times New Roman" w:eastAsia="仿宋_GB2312" w:cs="仿宋_GB2312"/>
      <w:sz w:val="20"/>
      <w:szCs w:val="20"/>
    </w:rPr>
  </w:style>
  <w:style w:type="character" w:customStyle="1" w:styleId="58">
    <w:name w:val="结束语 Char"/>
    <w:basedOn w:val="46"/>
    <w:link w:val="12"/>
    <w:qFormat/>
    <w:locked/>
    <w:uiPriority w:val="0"/>
    <w:rPr>
      <w:rFonts w:ascii="仿宋_GB2312" w:hAnsi="Times New Roman" w:eastAsia="仿宋_GB2312" w:cs="仿宋_GB2312"/>
      <w:sz w:val="20"/>
      <w:szCs w:val="20"/>
    </w:rPr>
  </w:style>
  <w:style w:type="character" w:customStyle="1" w:styleId="59">
    <w:name w:val="正文文本 Char"/>
    <w:basedOn w:val="46"/>
    <w:link w:val="13"/>
    <w:qFormat/>
    <w:locked/>
    <w:uiPriority w:val="0"/>
    <w:rPr>
      <w:rFonts w:ascii="仿宋_GB2312" w:hAnsi="Times New Roman" w:eastAsia="仿宋_GB2312" w:cs="仿宋_GB2312"/>
      <w:sz w:val="20"/>
      <w:szCs w:val="20"/>
    </w:rPr>
  </w:style>
  <w:style w:type="character" w:customStyle="1" w:styleId="60">
    <w:name w:val="正文文本缩进 Char"/>
    <w:basedOn w:val="46"/>
    <w:link w:val="14"/>
    <w:qFormat/>
    <w:locked/>
    <w:uiPriority w:val="0"/>
    <w:rPr>
      <w:rFonts w:ascii="仿宋_GB2312" w:hAnsi="Times New Roman" w:eastAsia="仿宋_GB2312" w:cs="仿宋_GB2312"/>
      <w:color w:val="FF0000"/>
      <w:spacing w:val="10"/>
      <w:sz w:val="20"/>
      <w:szCs w:val="20"/>
    </w:rPr>
  </w:style>
  <w:style w:type="character" w:customStyle="1" w:styleId="61">
    <w:name w:val="纯文本 Char"/>
    <w:basedOn w:val="46"/>
    <w:link w:val="18"/>
    <w:qFormat/>
    <w:locked/>
    <w:uiPriority w:val="0"/>
    <w:rPr>
      <w:rFonts w:ascii="宋体" w:hAnsi="Courier New" w:eastAsia="宋体" w:cs="宋体"/>
      <w:sz w:val="20"/>
      <w:szCs w:val="20"/>
    </w:rPr>
  </w:style>
  <w:style w:type="character" w:customStyle="1" w:styleId="62">
    <w:name w:val="日期 Char"/>
    <w:basedOn w:val="46"/>
    <w:link w:val="21"/>
    <w:qFormat/>
    <w:locked/>
    <w:uiPriority w:val="0"/>
    <w:rPr>
      <w:rFonts w:ascii="仿宋_GB2312" w:hAnsi="Times New Roman" w:eastAsia="仿宋_GB2312" w:cs="仿宋_GB2312"/>
      <w:sz w:val="20"/>
      <w:szCs w:val="20"/>
    </w:rPr>
  </w:style>
  <w:style w:type="character" w:customStyle="1" w:styleId="63">
    <w:name w:val="正文文本缩进 2 Char"/>
    <w:basedOn w:val="46"/>
    <w:link w:val="22"/>
    <w:qFormat/>
    <w:locked/>
    <w:uiPriority w:val="0"/>
    <w:rPr>
      <w:rFonts w:ascii="仿宋_GB2312" w:hAnsi="Times New Roman" w:eastAsia="仿宋_GB2312" w:cs="仿宋_GB2312"/>
      <w:spacing w:val="10"/>
      <w:sz w:val="20"/>
      <w:szCs w:val="20"/>
    </w:rPr>
  </w:style>
  <w:style w:type="character" w:customStyle="1" w:styleId="64">
    <w:name w:val="批注框文本 Char"/>
    <w:basedOn w:val="46"/>
    <w:link w:val="23"/>
    <w:qFormat/>
    <w:locked/>
    <w:uiPriority w:val="0"/>
    <w:rPr>
      <w:rFonts w:ascii="Times New Roman" w:hAnsi="Times New Roman" w:eastAsia="宋体" w:cs="Times New Roman"/>
      <w:sz w:val="18"/>
      <w:szCs w:val="18"/>
    </w:rPr>
  </w:style>
  <w:style w:type="character" w:customStyle="1" w:styleId="65">
    <w:name w:val="页脚 Char"/>
    <w:basedOn w:val="46"/>
    <w:link w:val="24"/>
    <w:qFormat/>
    <w:locked/>
    <w:uiPriority w:val="0"/>
    <w:rPr>
      <w:sz w:val="18"/>
      <w:szCs w:val="18"/>
    </w:rPr>
  </w:style>
  <w:style w:type="character" w:customStyle="1" w:styleId="66">
    <w:name w:val="页眉 Char"/>
    <w:basedOn w:val="46"/>
    <w:link w:val="25"/>
    <w:qFormat/>
    <w:locked/>
    <w:uiPriority w:val="0"/>
    <w:rPr>
      <w:sz w:val="18"/>
      <w:szCs w:val="18"/>
    </w:rPr>
  </w:style>
  <w:style w:type="character" w:customStyle="1" w:styleId="67">
    <w:name w:val="正文文本缩进 3 Char1"/>
    <w:basedOn w:val="46"/>
    <w:link w:val="31"/>
    <w:qFormat/>
    <w:locked/>
    <w:uiPriority w:val="0"/>
    <w:rPr>
      <w:rFonts w:ascii="仿宋_GB2312" w:hAnsi="Times New Roman" w:eastAsia="仿宋_GB2312" w:cs="仿宋_GB2312"/>
      <w:spacing w:val="10"/>
      <w:sz w:val="20"/>
      <w:szCs w:val="20"/>
    </w:rPr>
  </w:style>
  <w:style w:type="character" w:customStyle="1" w:styleId="68">
    <w:name w:val="正文文本 2 Char"/>
    <w:basedOn w:val="46"/>
    <w:link w:val="36"/>
    <w:qFormat/>
    <w:locked/>
    <w:uiPriority w:val="0"/>
    <w:rPr>
      <w:rFonts w:ascii="仿宋_GB2312" w:hAnsi="Times New Roman" w:eastAsia="仿宋_GB2312" w:cs="仿宋_GB2312"/>
      <w:spacing w:val="10"/>
      <w:sz w:val="20"/>
      <w:szCs w:val="20"/>
    </w:rPr>
  </w:style>
  <w:style w:type="paragraph" w:customStyle="1" w:styleId="69">
    <w:name w:val="默认段落字体 Para Char Char Char Char Char Char Char"/>
    <w:basedOn w:val="1"/>
    <w:qFormat/>
    <w:uiPriority w:val="0"/>
    <w:rPr>
      <w:rFonts w:ascii="Tahoma" w:hAnsi="Tahoma" w:cs="Tahoma"/>
      <w:sz w:val="24"/>
      <w:szCs w:val="24"/>
    </w:rPr>
  </w:style>
  <w:style w:type="paragraph" w:customStyle="1" w:styleId="70">
    <w:name w:val="图表名"/>
    <w:basedOn w:val="1"/>
    <w:qFormat/>
    <w:uiPriority w:val="0"/>
    <w:pPr>
      <w:ind w:firstLine="422" w:firstLineChars="200"/>
      <w:jc w:val="center"/>
    </w:pPr>
    <w:rPr>
      <w:rFonts w:ascii="宋体" w:hAnsi="宋体" w:cs="宋体"/>
      <w:b/>
      <w:bCs/>
    </w:rPr>
  </w:style>
  <w:style w:type="paragraph" w:customStyle="1" w:styleId="71">
    <w:name w:val="ZW"/>
    <w:basedOn w:val="1"/>
    <w:qFormat/>
    <w:uiPriority w:val="0"/>
    <w:pPr>
      <w:adjustRightInd w:val="0"/>
      <w:spacing w:line="440" w:lineRule="atLeast"/>
      <w:ind w:firstLine="601"/>
      <w:textAlignment w:val="baseline"/>
    </w:pPr>
    <w:rPr>
      <w:rFonts w:ascii="Arial Narrow" w:eastAsia="昆仑楷体" w:cs="Arial Narrow"/>
      <w:kern w:val="0"/>
      <w:sz w:val="28"/>
      <w:szCs w:val="28"/>
    </w:rPr>
  </w:style>
  <w:style w:type="paragraph" w:customStyle="1" w:styleId="72">
    <w:name w:val="zw"/>
    <w:basedOn w:val="71"/>
    <w:qFormat/>
    <w:uiPriority w:val="0"/>
    <w:pPr>
      <w:spacing w:line="360" w:lineRule="auto"/>
      <w:ind w:firstLine="482"/>
    </w:pPr>
    <w:rPr>
      <w:rFonts w:hAnsi="Arial Narrow" w:eastAsia="楷体_GB2312"/>
      <w:sz w:val="24"/>
      <w:szCs w:val="24"/>
    </w:rPr>
  </w:style>
  <w:style w:type="paragraph" w:customStyle="1" w:styleId="73">
    <w:name w:val="正文1"/>
    <w:link w:val="88"/>
    <w:qFormat/>
    <w:uiPriority w:val="0"/>
    <w:pPr>
      <w:widowControl w:val="0"/>
      <w:adjustRightInd w:val="0"/>
      <w:spacing w:line="315" w:lineRule="atLeast"/>
      <w:jc w:val="both"/>
      <w:textAlignment w:val="baseline"/>
    </w:pPr>
    <w:rPr>
      <w:rFonts w:ascii="宋体" w:hAnsi="Times New Roman" w:eastAsia="宋体" w:cs="宋体"/>
      <w:sz w:val="21"/>
      <w:szCs w:val="21"/>
      <w:lang w:val="en-US" w:eastAsia="zh-CN" w:bidi="ar-SA"/>
    </w:rPr>
  </w:style>
  <w:style w:type="paragraph" w:customStyle="1" w:styleId="74">
    <w:name w:val="标题4"/>
    <w:basedOn w:val="1"/>
    <w:next w:val="1"/>
    <w:qFormat/>
    <w:uiPriority w:val="0"/>
    <w:pPr>
      <w:jc w:val="left"/>
    </w:pPr>
    <w:rPr>
      <w:rFonts w:eastAsia="黑体"/>
      <w:b/>
      <w:bCs/>
      <w:sz w:val="24"/>
      <w:szCs w:val="24"/>
    </w:rPr>
  </w:style>
  <w:style w:type="paragraph" w:customStyle="1" w:styleId="75">
    <w:name w:val="TOC Heading1"/>
    <w:basedOn w:val="2"/>
    <w:next w:val="1"/>
    <w:qFormat/>
    <w:uiPriority w:val="0"/>
    <w:pPr>
      <w:keepLines/>
      <w:widowControl/>
      <w:spacing w:before="480" w:line="276" w:lineRule="auto"/>
      <w:jc w:val="left"/>
      <w:outlineLvl w:val="9"/>
    </w:pPr>
    <w:rPr>
      <w:rFonts w:ascii="Cambria" w:hAnsi="Cambria" w:eastAsia="宋体" w:cs="Cambria"/>
      <w:b/>
      <w:bCs/>
      <w:color w:val="365F91"/>
      <w:kern w:val="0"/>
    </w:rPr>
  </w:style>
  <w:style w:type="paragraph" w:customStyle="1" w:styleId="76">
    <w:name w:val="List Paragraph1"/>
    <w:basedOn w:val="1"/>
    <w:qFormat/>
    <w:uiPriority w:val="0"/>
    <w:pPr>
      <w:ind w:firstLine="420" w:firstLineChars="200"/>
    </w:pPr>
  </w:style>
  <w:style w:type="character" w:customStyle="1" w:styleId="77">
    <w:name w:val="apple-converted-space"/>
    <w:qFormat/>
    <w:uiPriority w:val="0"/>
  </w:style>
  <w:style w:type="character" w:customStyle="1" w:styleId="78">
    <w:name w:val="font31"/>
    <w:basedOn w:val="46"/>
    <w:qFormat/>
    <w:uiPriority w:val="0"/>
    <w:rPr>
      <w:rFonts w:ascii="宋体" w:hAnsi="宋体" w:eastAsia="宋体" w:cs="宋体"/>
      <w:color w:val="000000"/>
      <w:sz w:val="20"/>
      <w:szCs w:val="20"/>
      <w:u w:val="none"/>
    </w:rPr>
  </w:style>
  <w:style w:type="character" w:customStyle="1" w:styleId="79">
    <w:name w:val="正文文本缩进 3 Char"/>
    <w:qFormat/>
    <w:uiPriority w:val="0"/>
    <w:rPr>
      <w:rFonts w:ascii="仿宋_GB2312" w:eastAsia="仿宋_GB2312" w:cs="仿宋_GB2312"/>
      <w:spacing w:val="10"/>
      <w:kern w:val="2"/>
      <w:sz w:val="24"/>
      <w:szCs w:val="24"/>
    </w:rPr>
  </w:style>
  <w:style w:type="character" w:customStyle="1" w:styleId="80">
    <w:name w:val="font51"/>
    <w:basedOn w:val="46"/>
    <w:qFormat/>
    <w:uiPriority w:val="0"/>
    <w:rPr>
      <w:rFonts w:ascii="宋体" w:hAnsi="宋体" w:eastAsia="宋体" w:cs="宋体"/>
      <w:color w:val="000000"/>
      <w:sz w:val="20"/>
      <w:szCs w:val="20"/>
      <w:u w:val="none"/>
    </w:rPr>
  </w:style>
  <w:style w:type="character" w:customStyle="1" w:styleId="81">
    <w:name w:val="font21"/>
    <w:basedOn w:val="46"/>
    <w:qFormat/>
    <w:uiPriority w:val="0"/>
    <w:rPr>
      <w:rFonts w:ascii="宋体" w:hAnsi="宋体" w:eastAsia="宋体" w:cs="宋体"/>
      <w:color w:val="000000"/>
      <w:sz w:val="20"/>
      <w:szCs w:val="20"/>
      <w:u w:val="none"/>
    </w:rPr>
  </w:style>
  <w:style w:type="character" w:customStyle="1" w:styleId="82">
    <w:name w:val="font41"/>
    <w:basedOn w:val="46"/>
    <w:qFormat/>
    <w:uiPriority w:val="0"/>
    <w:rPr>
      <w:rFonts w:ascii="宋体" w:hAnsi="宋体" w:eastAsia="宋体" w:cs="宋体"/>
      <w:color w:val="000000"/>
      <w:sz w:val="20"/>
      <w:szCs w:val="20"/>
      <w:u w:val="none"/>
      <w:vertAlign w:val="superscript"/>
    </w:rPr>
  </w:style>
  <w:style w:type="character" w:customStyle="1" w:styleId="83">
    <w:name w:val="font01"/>
    <w:basedOn w:val="46"/>
    <w:qFormat/>
    <w:uiPriority w:val="0"/>
    <w:rPr>
      <w:rFonts w:ascii="宋体" w:hAnsi="宋体" w:eastAsia="宋体" w:cs="宋体"/>
      <w:color w:val="000000"/>
      <w:sz w:val="20"/>
      <w:szCs w:val="20"/>
      <w:u w:val="none"/>
      <w:vertAlign w:val="superscript"/>
    </w:rPr>
  </w:style>
  <w:style w:type="character" w:customStyle="1" w:styleId="84">
    <w:name w:val="font61"/>
    <w:basedOn w:val="46"/>
    <w:qFormat/>
    <w:uiPriority w:val="0"/>
    <w:rPr>
      <w:rFonts w:ascii="宋体" w:hAnsi="宋体" w:eastAsia="宋体" w:cs="宋体"/>
      <w:color w:val="000000"/>
      <w:sz w:val="20"/>
      <w:szCs w:val="20"/>
      <w:u w:val="none"/>
      <w:vertAlign w:val="superscript"/>
    </w:rPr>
  </w:style>
  <w:style w:type="character" w:customStyle="1" w:styleId="85">
    <w:name w:val="img_wrapper_img_descr"/>
    <w:basedOn w:val="46"/>
    <w:qFormat/>
    <w:uiPriority w:val="0"/>
  </w:style>
  <w:style w:type="character" w:customStyle="1" w:styleId="86">
    <w:name w:val="font11"/>
    <w:basedOn w:val="46"/>
    <w:qFormat/>
    <w:uiPriority w:val="0"/>
    <w:rPr>
      <w:rFonts w:ascii="宋体" w:hAnsi="宋体" w:eastAsia="宋体" w:cs="宋体"/>
      <w:color w:val="000000"/>
      <w:sz w:val="20"/>
      <w:szCs w:val="20"/>
      <w:u w:val="none"/>
    </w:rPr>
  </w:style>
  <w:style w:type="character" w:customStyle="1" w:styleId="87">
    <w:name w:val="Char Char3"/>
    <w:qFormat/>
    <w:uiPriority w:val="0"/>
    <w:rPr>
      <w:rFonts w:ascii="宋体" w:hAnsi="Courier New" w:eastAsia="宋体" w:cs="宋体"/>
      <w:sz w:val="20"/>
      <w:szCs w:val="20"/>
    </w:rPr>
  </w:style>
  <w:style w:type="character" w:customStyle="1" w:styleId="88">
    <w:name w:val="正文1 Char"/>
    <w:basedOn w:val="46"/>
    <w:link w:val="73"/>
    <w:qFormat/>
    <w:locked/>
    <w:uiPriority w:val="0"/>
    <w:rPr>
      <w:rFonts w:ascii="宋体" w:cs="宋体"/>
      <w:sz w:val="21"/>
      <w:szCs w:val="21"/>
      <w:lang w:val="en-US" w:eastAsia="zh-CN" w:bidi="ar-SA"/>
    </w:rPr>
  </w:style>
  <w:style w:type="table" w:customStyle="1" w:styleId="89">
    <w:name w:val="样式1"/>
    <w:qFormat/>
    <w:uiPriority w:val="0"/>
    <w:tblPr>
      <w:tblCellMar>
        <w:top w:w="0" w:type="dxa"/>
        <w:left w:w="108" w:type="dxa"/>
        <w:bottom w:w="0" w:type="dxa"/>
        <w:right w:w="108" w:type="dxa"/>
      </w:tblCellMar>
    </w:tblPr>
    <w:tcPr>
      <w:shd w:val="clear" w:color="auto" w:fill="BFBFBF"/>
    </w:tcPr>
  </w:style>
  <w:style w:type="character" w:customStyle="1" w:styleId="90">
    <w:name w:val="标题 Char"/>
    <w:basedOn w:val="46"/>
    <w:link w:val="39"/>
    <w:qFormat/>
    <w:locked/>
    <w:uiPriority w:val="0"/>
    <w:rPr>
      <w:rFonts w:ascii="Cambria" w:hAnsi="Cambria"/>
      <w:b/>
      <w:bCs/>
      <w:kern w:val="2"/>
      <w:sz w:val="32"/>
      <w:szCs w:val="32"/>
    </w:rPr>
  </w:style>
  <w:style w:type="character" w:customStyle="1" w:styleId="91">
    <w:name w:val="标题 Char1"/>
    <w:basedOn w:val="46"/>
    <w:link w:val="39"/>
    <w:qFormat/>
    <w:uiPriority w:val="10"/>
    <w:rPr>
      <w:rFonts w:ascii="Cambria" w:hAnsi="Cambria" w:cs="Times New Roman"/>
      <w:b/>
      <w:bCs/>
      <w:kern w:val="2"/>
      <w:sz w:val="32"/>
      <w:szCs w:val="32"/>
    </w:rPr>
  </w:style>
  <w:style w:type="paragraph" w:styleId="92">
    <w:name w:val="List Paragraph"/>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101"/>
    <customShpInfo spid="_x0000_s4097"/>
    <customShpInfo spid="_x0000_s4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B8F31E-5E4A-441C-9D48-447279F72FB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43</Pages>
  <Words>4798</Words>
  <Characters>27355</Characters>
  <Lines>227</Lines>
  <Paragraphs>64</Paragraphs>
  <TotalTime>19</TotalTime>
  <ScaleCrop>false</ScaleCrop>
  <LinksUpToDate>false</LinksUpToDate>
  <CharactersWithSpaces>32089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2017-11-15T03:01:00Z</dcterms:created>
  <dc:creator>龚嫦娥 </dc:creator>
  <cp:lastModifiedBy>Administrator</cp:lastModifiedBy>
  <cp:lastPrinted>2015-11-12T01:12:00Z</cp:lastPrinted>
  <dcterms:modified xsi:type="dcterms:W3CDTF">2021-08-31T08:17:16Z</dcterms:modified>
  <dc:title>房地产估价报告</dc:title>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8D5F4991B3B143DF8EB47E0B621448F0</vt:lpwstr>
  </property>
</Properties>
</file>