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ind w:firstLine="420" w:firstLineChars="0"/>
        <w:jc w:val="center"/>
        <w:rPr>
          <w:rFonts w:ascii="仿宋" w:hAnsi="仿宋" w:eastAsia="仿宋"/>
          <w:sz w:val="36"/>
          <w:szCs w:val="36"/>
        </w:rPr>
      </w:pPr>
      <w:r>
        <w:rPr>
          <w:rFonts w:hint="eastAsia" w:ascii="仿宋" w:hAnsi="仿宋" w:eastAsia="仿宋"/>
          <w:b/>
          <w:bCs/>
          <w:sz w:val="36"/>
          <w:szCs w:val="36"/>
        </w:rPr>
        <w:t>目    录</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一、致委托方函....................</w:t>
      </w:r>
      <w:r>
        <w:rPr>
          <w:rFonts w:hint="eastAsia" w:ascii="仿宋_GB2312" w:hAnsi="宋体" w:eastAsia="仿宋_GB2312"/>
          <w:sz w:val="28"/>
          <w:szCs w:val="28"/>
          <w:lang w:val="en-US" w:eastAsia="zh-CN"/>
        </w:rPr>
        <w:t>...................3</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二、估价师声明</w:t>
      </w:r>
      <w:r>
        <w:rPr>
          <w:rFonts w:hint="eastAsia" w:ascii="仿宋_GB2312" w:hAnsi="宋体" w:eastAsia="仿宋_GB2312"/>
          <w:sz w:val="28"/>
          <w:szCs w:val="28"/>
          <w:lang w:val="en-US" w:eastAsia="zh-CN"/>
        </w:rPr>
        <w:t xml:space="preserve"> ......................................4</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三、估价的假设和限制条件</w:t>
      </w:r>
      <w:r>
        <w:rPr>
          <w:rFonts w:hint="eastAsia" w:ascii="仿宋_GB2312" w:hAnsi="宋体" w:eastAsia="仿宋_GB2312"/>
          <w:sz w:val="28"/>
          <w:szCs w:val="28"/>
          <w:lang w:val="en-US" w:eastAsia="zh-CN"/>
        </w:rPr>
        <w:t xml:space="preserve"> ..........................5-7</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四、房地产估价结果报告</w:t>
      </w:r>
      <w:r>
        <w:rPr>
          <w:rFonts w:hint="eastAsia" w:ascii="仿宋_GB2312" w:hAnsi="宋体" w:eastAsia="仿宋_GB2312"/>
          <w:sz w:val="28"/>
          <w:szCs w:val="28"/>
          <w:lang w:val="en-US" w:eastAsia="zh-CN"/>
        </w:rPr>
        <w:t xml:space="preserve"> ...........................8-12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（一）委托方........................................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（二）估价方.........................................8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（三）估价对象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（四）估价目的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（五）估价时点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（六）价值定义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（七）估价依据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（八）估价原则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（九）估价方法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（十）估价结果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（十一）评估机构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（十二）评估人员....................................12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（十三）报告出具日期................................12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（十四）估价报告应用的有效期 .......................12</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五、房地产估价技术报告</w:t>
      </w:r>
      <w:r>
        <w:rPr>
          <w:rFonts w:hint="eastAsia" w:ascii="仿宋_GB2312" w:hAnsi="宋体" w:eastAsia="仿宋_GB2312"/>
          <w:sz w:val="28"/>
          <w:szCs w:val="28"/>
          <w:lang w:val="en-US" w:eastAsia="zh-CN"/>
        </w:rPr>
        <w:t xml:space="preserve"> .........................13-19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（一）估价对象实物分析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（二）区域因素分析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（三）最高最佳使用分析 .............................14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（四）估价方法的选用................................14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（五）估价测算过程...............................15-19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（六）估价结果确定..................................19</w:t>
      </w:r>
    </w:p>
    <w:p>
      <w:pPr>
        <w:jc w:val="both"/>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六、附件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（一）孝感市孝南区人民法院司法鉴定委托书复印件；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（二）价格评估机构资质证书复印件；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（三）评估机构法人营业执照副本复印件；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（四）价格评估人员资格证书复印件；</w:t>
      </w:r>
    </w:p>
    <w:p>
      <w:pPr>
        <w:ind w:firstLine="560" w:firstLineChars="200"/>
        <w:rPr>
          <w:rFonts w:hint="eastAsia" w:ascii="仿宋" w:hAnsi="仿宋" w:eastAsia="仿宋"/>
          <w:b/>
          <w:bCs/>
          <w:sz w:val="44"/>
          <w:szCs w:val="44"/>
        </w:rPr>
      </w:pPr>
      <w:r>
        <w:rPr>
          <w:rFonts w:hint="eastAsia" w:ascii="仿宋_GB2312" w:hAnsi="宋体" w:eastAsia="仿宋_GB2312"/>
          <w:sz w:val="28"/>
          <w:szCs w:val="28"/>
          <w:lang w:val="en-US" w:eastAsia="zh-CN"/>
        </w:rPr>
        <w:t xml:space="preserve"> （五）现场勘验估价对象有关照片。</w:t>
      </w:r>
    </w:p>
    <w:p>
      <w:pPr>
        <w:jc w:val="center"/>
        <w:rPr>
          <w:rFonts w:hint="eastAsia" w:ascii="仿宋" w:hAnsi="仿宋" w:eastAsia="仿宋"/>
          <w:b/>
          <w:bCs/>
          <w:sz w:val="44"/>
          <w:szCs w:val="44"/>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rPr>
      </w:pPr>
    </w:p>
    <w:p>
      <w:pPr>
        <w:jc w:val="center"/>
        <w:rPr>
          <w:rFonts w:hint="eastAsia" w:ascii="仿宋" w:hAnsi="仿宋" w:eastAsia="仿宋"/>
          <w:b/>
          <w:bCs/>
          <w:sz w:val="44"/>
          <w:szCs w:val="44"/>
        </w:rPr>
      </w:pPr>
    </w:p>
    <w:p>
      <w:pPr>
        <w:jc w:val="center"/>
        <w:rPr>
          <w:rFonts w:hint="eastAsia" w:ascii="仿宋" w:hAnsi="仿宋" w:eastAsia="仿宋"/>
          <w:b/>
          <w:bCs/>
          <w:sz w:val="44"/>
          <w:szCs w:val="44"/>
        </w:rPr>
      </w:pP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致委托方函</w:t>
      </w:r>
    </w:p>
    <w:p>
      <w:pPr>
        <w:rPr>
          <w:rFonts w:hint="eastAsia" w:ascii="仿宋" w:hAnsi="仿宋" w:eastAsia="仿宋"/>
          <w:sz w:val="30"/>
          <w:szCs w:val="30"/>
        </w:rPr>
      </w:pPr>
    </w:p>
    <w:p>
      <w:pPr>
        <w:rPr>
          <w:rFonts w:ascii="仿宋" w:hAnsi="仿宋" w:eastAsia="仿宋"/>
          <w:sz w:val="28"/>
          <w:szCs w:val="28"/>
        </w:rPr>
      </w:pPr>
      <w:r>
        <w:rPr>
          <w:rFonts w:hint="eastAsia" w:ascii="仿宋" w:hAnsi="仿宋" w:eastAsia="仿宋"/>
          <w:sz w:val="28"/>
          <w:szCs w:val="28"/>
          <w:lang w:val="en-US" w:eastAsia="zh-CN"/>
        </w:rPr>
        <w:t>孝感市孝南区</w:t>
      </w:r>
      <w:r>
        <w:rPr>
          <w:rFonts w:hint="eastAsia" w:ascii="仿宋" w:hAnsi="仿宋" w:eastAsia="仿宋"/>
          <w:sz w:val="28"/>
          <w:szCs w:val="28"/>
        </w:rPr>
        <w:t>人民法院：</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受贵方（以下简称委托方）的委托，本公司于2021年07月30日派员对委托方列明的肖常文所有的、位于孝感市长征路3号1幢1层101室，建筑面积为98.28㎡的住宅房地产（含相关权益）进行了现场实地查勘，并对估价对象房地产于估价时点2021年07月26日的市场价值进行了估价，为委托方处理案件确定房地产处置参考价提供价格咨询参考依据。</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在整个估价过程中，估价人员本着独立、客观、公正的原则，根据估价目的，收集有关资料，按照估价程序，选择市场法对估价对象进行了评估。估价人员经过实</w:t>
      </w:r>
      <w:r>
        <w:rPr>
          <w:rFonts w:hint="eastAsia" w:ascii="仿宋" w:hAnsi="仿宋" w:eastAsia="仿宋"/>
          <w:sz w:val="28"/>
          <w:szCs w:val="28"/>
        </w:rPr>
        <w:t>地勘察和测算，确定估价对象在估价时点</w:t>
      </w:r>
      <w:r>
        <w:rPr>
          <w:rFonts w:hint="eastAsia" w:ascii="仿宋" w:hAnsi="仿宋" w:eastAsia="仿宋"/>
          <w:sz w:val="28"/>
          <w:szCs w:val="28"/>
          <w:lang w:eastAsia="zh-CN"/>
        </w:rPr>
        <w:t>可能形成</w:t>
      </w:r>
      <w:r>
        <w:rPr>
          <w:rFonts w:hint="eastAsia" w:ascii="仿宋" w:hAnsi="仿宋" w:eastAsia="仿宋"/>
          <w:sz w:val="28"/>
          <w:szCs w:val="28"/>
        </w:rPr>
        <w:t>的</w:t>
      </w:r>
      <w:r>
        <w:rPr>
          <w:rFonts w:hint="eastAsia" w:ascii="仿宋" w:hAnsi="仿宋" w:eastAsia="仿宋"/>
          <w:sz w:val="28"/>
          <w:szCs w:val="28"/>
          <w:highlight w:val="none"/>
        </w:rPr>
        <w:t>市</w:t>
      </w:r>
      <w:r>
        <w:rPr>
          <w:rFonts w:hint="eastAsia" w:ascii="仿宋" w:hAnsi="仿宋" w:eastAsia="仿宋" w:cs="仿宋"/>
          <w:sz w:val="28"/>
          <w:szCs w:val="28"/>
          <w:highlight w:val="none"/>
        </w:rPr>
        <w:t>场总价值为</w:t>
      </w:r>
      <w:r>
        <w:rPr>
          <w:rFonts w:hint="eastAsia" w:ascii="仿宋_GB2312" w:hAnsi="宋体" w:eastAsia="仿宋_GB2312" w:cs="Times New Roman"/>
          <w:kern w:val="2"/>
          <w:sz w:val="28"/>
          <w:szCs w:val="28"/>
          <w:highlight w:val="none"/>
          <w:lang w:val="en-US" w:eastAsia="zh-CN" w:bidi="ar-SA"/>
        </w:rPr>
        <w:t>￥417493元(大写人民币肆拾壹万柒仟肆佰玖拾叁元整)。</w:t>
      </w:r>
    </w:p>
    <w:p>
      <w:pPr>
        <w:rPr>
          <w:rFonts w:hint="eastAsia" w:ascii="仿宋_GB2312" w:hAnsi="宋体" w:eastAsia="仿宋_GB2312" w:cs="Times New Roman"/>
          <w:kern w:val="2"/>
          <w:sz w:val="28"/>
          <w:szCs w:val="28"/>
          <w:lang w:val="en-US" w:eastAsia="zh-CN" w:bidi="ar-SA"/>
        </w:rPr>
      </w:pPr>
    </w:p>
    <w:p>
      <w:pPr>
        <w:ind w:firstLine="4200" w:firstLineChars="1500"/>
        <w:rPr>
          <w:rFonts w:hint="eastAsia" w:ascii="仿宋_GB2312" w:hAnsi="宋体" w:eastAsia="仿宋_GB2312" w:cs="Times New Roman"/>
          <w:kern w:val="2"/>
          <w:sz w:val="28"/>
          <w:szCs w:val="28"/>
          <w:lang w:val="en-US" w:eastAsia="zh-CN" w:bidi="ar-SA"/>
        </w:rPr>
      </w:pPr>
    </w:p>
    <w:p>
      <w:pPr>
        <w:ind w:firstLine="4200" w:firstLineChars="15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湖北循其本价格鉴定评估有限公司</w:t>
      </w:r>
    </w:p>
    <w:p>
      <w:pPr>
        <w:jc w:val="both"/>
        <w:rPr>
          <w:highlight w:val="none"/>
        </w:rPr>
      </w:pPr>
      <w:r>
        <w:rPr>
          <w:rFonts w:hint="eastAsia" w:ascii="仿宋_GB2312" w:hAnsi="宋体" w:eastAsia="仿宋_GB2312" w:cs="Times New Roman"/>
          <w:kern w:val="2"/>
          <w:sz w:val="28"/>
          <w:szCs w:val="28"/>
          <w:highlight w:val="none"/>
          <w:lang w:val="en-US" w:eastAsia="zh-CN" w:bidi="ar-SA"/>
        </w:rPr>
        <w:t xml:space="preserve">                                    二0二一年八月三日</w:t>
      </w:r>
    </w:p>
    <w:p>
      <w:pPr>
        <w:jc w:val="center"/>
        <w:rPr>
          <w:rFonts w:hint="eastAsia" w:ascii="仿宋" w:hAnsi="仿宋" w:eastAsia="仿宋"/>
          <w:color w:val="auto"/>
          <w:sz w:val="28"/>
          <w:szCs w:val="28"/>
          <w:lang w:eastAsia="zh-CN"/>
        </w:rPr>
      </w:pPr>
    </w:p>
    <w:p>
      <w:pPr>
        <w:jc w:val="both"/>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ascii="仿宋" w:hAnsi="仿宋" w:eastAsia="仿宋"/>
          <w:b/>
          <w:bCs/>
          <w:sz w:val="30"/>
          <w:szCs w:val="30"/>
        </w:rPr>
      </w:pPr>
      <w:r>
        <w:rPr>
          <w:rFonts w:hint="eastAsia" w:ascii="仿宋" w:hAnsi="仿宋" w:eastAsia="仿宋"/>
          <w:b/>
          <w:bCs/>
          <w:sz w:val="44"/>
          <w:szCs w:val="44"/>
          <w:lang w:val="en-US" w:eastAsia="zh-CN"/>
        </w:rPr>
        <w:t>估价师声明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我们根据自己的专业知识和职业道德，在此郑重声明：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1、我们所提供的估价服务是依据《房地产估价规范》进行的，估价报告中陈述事实是真实和准确的，请仔细阅读本估价报告及有关附件。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2、估价报告中的分析、意见和结论，是我们自己公正的专业分析、意见和结论，但受到估价报告中已说明的假设和限制条件的限制。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3、我们与本估价报告中的估价对象没有任何利害关系；对相关各方的当事人没有任何偏见，也没有任何个人利害关系。</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4、我们依照中华人民共和国国家标准《房地产估价规范》等有关法律法规的规定进行分析，形成意见和结论，撰写本估价报告。</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我们仅对委托方指定的估价对象范围进行了实地勘查，估价过程中，未能取得资产占有方有关书面或口头情况说明，我们仅依据所取得的产权资料估算；相关权属资料仅以委托方提供的复印件为依据，我们不对其建筑结构质量、数量等内容的准确性及相关权益负责。</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6、由于估价人员的专业限制，本次估价过程中没有其他专业人员及机构对本估价报告提供诸如结构安全、环境保护、规划控制、产权设定与登记、装修及配套设施设备的权属等方面的专业支持和帮助。</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7、其他声明事项：出于职业责任，我们与委托方进行必要沟通，避免对本估价报告使用不当的情况发生，提示估价报告使用者合理并恰当使用估价报告，并声明不承担相关当事人决策的责任。</w:t>
      </w: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估价的假设和限制条件</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（一）本次估价假设条件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1、估价对象产权手续齐全，房屋产权明确清晰，可在公开市场上自由转让交易。</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次估价对象以估价时点的权属实物存量——包括商品房买卖合同记载范围内的建筑物为前提，本报告所称“估价结果”是指对估价对象在现有用途、状态不变的前提下，为本报告书所列明的目的和假设限制条件下的现行公开市场价值的估计值，无特殊指定情况下，计价金额以人民币元为单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3、不考虑特殊买家或关联方交易，也不考虑估价对象合并、分割等特殊交易；交易双方所获信息是平等或对称的，并谨慎对待估价对象。</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4、在本估价报告书有效期内估价对象存量及相关影响因素、评估所遵循的合法、最高最佳使用原则等不发生变化，估价时点房地产市场为公开公平的均衡市场；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估价结果的有效性依赖于本次估价的前提、假设限制以及遵循的经济原则，这些条件是由本公司估价人员根据估价对象实际情况并结合估价相关规定综合提出的，具有客观性和合理性，以上条件若不成立，本估价结果无效。</w:t>
      </w:r>
    </w:p>
    <w:p>
      <w:pPr>
        <w:rPr>
          <w:rFonts w:ascii="仿宋" w:hAnsi="仿宋" w:eastAsia="仿宋"/>
          <w:sz w:val="30"/>
          <w:szCs w:val="30"/>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（二）估价限制条件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次估价中运用的法律权属及其证明资料均由委托方提供（复印件），本公司估价人员未能见原件，也未向政府有关部门核实，委托方和相关当事方对其所提供全部资料的真实性、合法性及合理使用估价报告负责；建议有关法律权属及其证明资料的确定最终以有权机关确认为准，若与委托方向我们提供的资料存在差异，本公司保留对报告书的修正权；</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2、本估价报告书及列明结论仅对本次估价目的，其他用途的运用均属无效；</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3、本估价报告及附件须同时完整使用方为有效，本公司不对仅使用报告中部分内容或不同时使用所可能导致的任何损失承担责任。</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本次估价中所运用的资料数据均来自委托方提供的复印件，对超出估价师专业范围之外的其他专业问题未作任何结论和说明，现场工作人员对因遮盖、未暴露、预埋设施及其它人为阻碍难于触及到的部分未进行检验，有关这部分事项请向其他专业工程师、律师及相关政府主管部门询及。</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5、本估价报告书自估价报告完成之日起壹年内有效。在有效期内使用本报告时，应充分考虑房地产市场可能的变化情况及未来发展状况，并随时与本公司联系，以达到有效使用之目的。</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6、本估价报告及相关部分的解释权属湖北循其本价格鉴定评估有限公司，未经本公司书面同意，有关本估价报告的全部或部分内容不得传阅给除使用人以及估价行业管理部门以外的第三者，亦不可公布于任何公开媒体。  </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 xml:space="preserve">（三）特别事项说明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1、本报告是根据人民法院及相关当事人提供的资料和信息出具，资料和信息的真实性、完整性、合法性对评估结论构成影响，依据同一标的资产的其他资料或者信息可能得出与本报告不一致的评估结论。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2、本评估报告使用人须正确理解和使用评估结论，评估结论不等同于评估对象可实现价格，评估结论不应当被认为是对评估对象可实现价格的保证。</w:t>
      </w:r>
    </w:p>
    <w:p>
      <w:pPr>
        <w:numPr>
          <w:ilvl w:val="0"/>
          <w:numId w:val="0"/>
        </w:num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仿宋" w:eastAsia="仿宋_GB2312"/>
          <w:b w:val="0"/>
          <w:bCs/>
          <w:sz w:val="28"/>
          <w:szCs w:val="28"/>
          <w:lang w:val="en-US" w:eastAsia="zh-CN"/>
        </w:rPr>
        <w:t>3、当事人或其他利害关系人对本估价报告如有异议，可以在收到本估价报告10日内以书面形式向人民法院提出。</w:t>
      </w:r>
    </w:p>
    <w:p>
      <w:pPr>
        <w:ind w:firstLine="560" w:firstLineChars="200"/>
        <w:rPr>
          <w:rFonts w:hint="default" w:ascii="仿宋" w:hAnsi="仿宋" w:eastAsia="仿宋"/>
          <w:color w:val="auto"/>
          <w:sz w:val="30"/>
          <w:szCs w:val="30"/>
          <w:lang w:val="en-US" w:eastAsia="zh-CN"/>
        </w:rPr>
      </w:pPr>
      <w:r>
        <w:rPr>
          <w:rFonts w:hint="eastAsia" w:ascii="仿宋_GB2312" w:hAnsi="宋体" w:eastAsia="仿宋_GB2312" w:cs="Times New Roman"/>
          <w:kern w:val="2"/>
          <w:sz w:val="28"/>
          <w:szCs w:val="28"/>
          <w:lang w:val="en-US" w:eastAsia="zh-CN" w:bidi="ar-SA"/>
        </w:rPr>
        <w:t>4、评估过程中，没有考虑估价对象产权抵押、查封后对估价结果的影响。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3920" w:firstLineChars="1400"/>
        <w:rPr>
          <w:rFonts w:hint="eastAsia" w:ascii="仿宋" w:hAnsi="仿宋" w:eastAsia="仿宋"/>
          <w:b/>
          <w:bCs/>
          <w:sz w:val="44"/>
          <w:szCs w:val="44"/>
          <w:highlight w:val="none"/>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w:t>
      </w:r>
      <w:r>
        <w:rPr>
          <w:rFonts w:hint="eastAsia" w:ascii="仿宋" w:hAnsi="仿宋" w:eastAsia="仿宋"/>
          <w:sz w:val="30"/>
          <w:szCs w:val="30"/>
          <w:highlight w:val="none"/>
        </w:rPr>
        <w:t>二</w:t>
      </w:r>
      <w:r>
        <w:rPr>
          <w:rFonts w:hint="eastAsia" w:ascii="仿宋" w:hAnsi="仿宋" w:eastAsia="仿宋"/>
          <w:sz w:val="30"/>
          <w:szCs w:val="30"/>
          <w:highlight w:val="none"/>
          <w:lang w:val="en-US" w:eastAsia="zh-CN"/>
        </w:rPr>
        <w:t>0二一</w:t>
      </w:r>
      <w:r>
        <w:rPr>
          <w:rFonts w:hint="eastAsia" w:ascii="仿宋" w:hAnsi="仿宋" w:eastAsia="仿宋"/>
          <w:sz w:val="30"/>
          <w:szCs w:val="30"/>
          <w:highlight w:val="none"/>
        </w:rPr>
        <w:t>年</w:t>
      </w:r>
      <w:r>
        <w:rPr>
          <w:rFonts w:hint="eastAsia" w:ascii="仿宋" w:hAnsi="仿宋" w:eastAsia="仿宋"/>
          <w:sz w:val="30"/>
          <w:szCs w:val="30"/>
          <w:highlight w:val="none"/>
          <w:lang w:eastAsia="zh-CN"/>
        </w:rPr>
        <w:t>八</w:t>
      </w:r>
      <w:r>
        <w:rPr>
          <w:rFonts w:hint="eastAsia" w:ascii="仿宋" w:hAnsi="仿宋" w:eastAsia="仿宋"/>
          <w:sz w:val="30"/>
          <w:szCs w:val="30"/>
          <w:highlight w:val="none"/>
        </w:rPr>
        <w:t>月</w:t>
      </w:r>
      <w:r>
        <w:rPr>
          <w:rFonts w:hint="eastAsia" w:ascii="仿宋" w:hAnsi="仿宋" w:eastAsia="仿宋"/>
          <w:sz w:val="30"/>
          <w:szCs w:val="30"/>
          <w:highlight w:val="none"/>
          <w:lang w:eastAsia="zh-CN"/>
        </w:rPr>
        <w:t>三</w:t>
      </w:r>
      <w:r>
        <w:rPr>
          <w:rFonts w:hint="eastAsia" w:ascii="仿宋" w:hAnsi="仿宋" w:eastAsia="仿宋"/>
          <w:sz w:val="30"/>
          <w:szCs w:val="30"/>
          <w:highlight w:val="none"/>
        </w:rPr>
        <w:t>日</w:t>
      </w:r>
    </w:p>
    <w:p>
      <w:pPr>
        <w:ind w:firstLine="560" w:firstLineChars="200"/>
        <w:rPr>
          <w:rFonts w:hint="eastAsia" w:ascii="仿宋_GB2312" w:hAnsi="宋体" w:eastAsia="仿宋_GB2312" w:cs="Times New Roman"/>
          <w:kern w:val="2"/>
          <w:sz w:val="28"/>
          <w:szCs w:val="28"/>
          <w:highlight w:val="none"/>
          <w:lang w:val="en-US" w:eastAsia="zh-CN" w:bidi="ar-SA"/>
        </w:rPr>
      </w:pPr>
    </w:p>
    <w:p>
      <w:pPr>
        <w:rPr>
          <w:rFonts w:hint="eastAsia" w:ascii="仿宋_GB2312" w:hAnsi="宋体" w:eastAsia="仿宋_GB2312" w:cs="Times New Roman"/>
          <w:kern w:val="2"/>
          <w:sz w:val="28"/>
          <w:szCs w:val="28"/>
          <w:highlight w:val="none"/>
          <w:lang w:val="en-US" w:eastAsia="zh-CN" w:bidi="ar-SA"/>
        </w:rPr>
      </w:pP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p>
    <w:p>
      <w:pPr>
        <w:rPr>
          <w:rFonts w:hint="eastAsia" w:ascii="仿宋" w:hAnsi="仿宋"/>
          <w:b/>
          <w:w w:val="40"/>
          <w:sz w:val="140"/>
          <w:szCs w:val="140"/>
        </w:rPr>
      </w:pPr>
      <w:r>
        <w:rPr>
          <w:rFonts w:hint="eastAsia" w:ascii="仿宋" w:hAnsi="仿宋"/>
          <w:b/>
          <w:w w:val="40"/>
          <w:sz w:val="140"/>
          <w:szCs w:val="140"/>
          <w:lang w:val="en-US" w:eastAsia="zh-CN"/>
        </w:rPr>
        <w:t xml:space="preserve"> </w:t>
      </w:r>
      <w:r>
        <w:rPr>
          <w:rFonts w:hint="eastAsia" w:ascii="仿宋" w:hAnsi="仿宋"/>
          <w:b/>
          <w:w w:val="40"/>
          <w:sz w:val="140"/>
          <w:szCs w:val="140"/>
        </w:rPr>
        <w:t>湖北循其本价格鉴定评估有限公司</w:t>
      </w:r>
    </w:p>
    <w:p>
      <w:pPr>
        <w:ind w:left="-92" w:leftChars="-85" w:right="-147" w:rightChars="-70" w:hanging="86" w:hangingChars="31"/>
        <w:jc w:val="center"/>
        <w:rPr>
          <w:rFonts w:hint="eastAsia" w:ascii="仿宋_GB2312" w:hAnsi="仿宋" w:eastAsia="仿宋_GB2312"/>
          <w:kern w:val="13"/>
          <w:sz w:val="28"/>
          <w:szCs w:val="28"/>
          <w:highlight w:val="none"/>
        </w:rPr>
      </w:pPr>
      <w:r>
        <w:rPr>
          <w:sz w:val="28"/>
          <w:highlight w:val="none"/>
        </w:rPr>
        <mc:AlternateContent>
          <mc:Choice Requires="wps">
            <w:drawing>
              <wp:anchor distT="0" distB="0" distL="114300" distR="114300" simplePos="0" relativeHeight="251661312" behindDoc="0" locked="0" layoutInCell="1" allowOverlap="1">
                <wp:simplePos x="0" y="0"/>
                <wp:positionH relativeFrom="column">
                  <wp:posOffset>-100965</wp:posOffset>
                </wp:positionH>
                <wp:positionV relativeFrom="paragraph">
                  <wp:posOffset>346075</wp:posOffset>
                </wp:positionV>
                <wp:extent cx="5553075" cy="635"/>
                <wp:effectExtent l="0" t="0" r="0" b="0"/>
                <wp:wrapNone/>
                <wp:docPr id="1" name="直接连接符 1"/>
                <wp:cNvGraphicFramePr/>
                <a:graphic xmlns:a="http://schemas.openxmlformats.org/drawingml/2006/main">
                  <a:graphicData uri="http://schemas.microsoft.com/office/word/2010/wordprocessingShape">
                    <wps:wsp>
                      <wps:cNvCnPr/>
                      <wps:spPr>
                        <a:xfrm>
                          <a:off x="0" y="0"/>
                          <a:ext cx="55530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95pt;margin-top:27.25pt;height:0.05pt;width:437.25pt;z-index:251661312;mso-width-relative:page;mso-height-relative:page;" filled="f" stroked="t" coordsize="21600,21600" o:gfxdata="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wDw6NgAAAAJAQAADwAAAAAA&#10;AAABACAAAAAiAAAAZHJzL2Rvd25yZXYueG1sUEsBAhQAFAAAAAgAh07iQHPpizfaAQAAmAMAAA4A&#10;AAAAAAAAAQAgAAAAJwEAAGRycy9lMm9Eb2MueG1sUEsFBgAAAAAGAAYAWQEAAHMFAAAAAA==&#10;">
                <v:fill on="f" focussize="0,0"/>
                <v:stroke color="#000000" joinstyle="round"/>
                <v:imagedata o:title=""/>
                <o:lock v:ext="edit" aspectratio="f"/>
              </v:line>
            </w:pict>
          </mc:Fallback>
        </mc:AlternateContent>
      </w:r>
      <w:r>
        <w:rPr>
          <w:rFonts w:hint="eastAsia" w:ascii="仿宋_GB2312" w:hAnsi="仿宋" w:eastAsia="仿宋_GB2312"/>
          <w:kern w:val="13"/>
          <w:sz w:val="28"/>
          <w:szCs w:val="28"/>
          <w:highlight w:val="none"/>
        </w:rPr>
        <w:t>鄂循价鉴[20</w:t>
      </w:r>
      <w:r>
        <w:rPr>
          <w:rFonts w:hint="eastAsia" w:ascii="仿宋_GB2312" w:hAnsi="仿宋" w:eastAsia="仿宋_GB2312"/>
          <w:kern w:val="13"/>
          <w:sz w:val="28"/>
          <w:szCs w:val="28"/>
          <w:highlight w:val="none"/>
          <w:lang w:val="en-US" w:eastAsia="zh-CN"/>
        </w:rPr>
        <w:t>21</w:t>
      </w:r>
      <w:r>
        <w:rPr>
          <w:rFonts w:hint="eastAsia" w:ascii="仿宋_GB2312" w:hAnsi="仿宋" w:eastAsia="仿宋_GB2312"/>
          <w:kern w:val="13"/>
          <w:sz w:val="28"/>
          <w:szCs w:val="28"/>
          <w:highlight w:val="none"/>
        </w:rPr>
        <w:t>]第</w:t>
      </w:r>
      <w:r>
        <w:rPr>
          <w:rFonts w:hint="eastAsia" w:ascii="仿宋_GB2312" w:hAnsi="仿宋" w:eastAsia="仿宋_GB2312"/>
          <w:kern w:val="13"/>
          <w:sz w:val="28"/>
          <w:szCs w:val="28"/>
          <w:highlight w:val="none"/>
          <w:lang w:val="en-US" w:eastAsia="zh-CN"/>
        </w:rPr>
        <w:t>71105</w:t>
      </w:r>
      <w:r>
        <w:rPr>
          <w:rFonts w:hint="eastAsia" w:ascii="仿宋_GB2312" w:hAnsi="仿宋" w:eastAsia="仿宋_GB2312"/>
          <w:kern w:val="13"/>
          <w:sz w:val="28"/>
          <w:szCs w:val="28"/>
          <w:highlight w:val="none"/>
        </w:rPr>
        <w:t>号</w:t>
      </w:r>
    </w:p>
    <w:p>
      <w:pPr>
        <w:jc w:val="center"/>
        <w:rPr>
          <w:rFonts w:hint="eastAsia" w:ascii="仿宋" w:hAnsi="仿宋" w:eastAsia="仿宋"/>
          <w:b/>
          <w:bCs/>
          <w:sz w:val="32"/>
          <w:szCs w:val="32"/>
          <w:lang w:eastAsia="zh-CN"/>
        </w:rPr>
      </w:pPr>
      <w:r>
        <w:rPr>
          <w:rFonts w:hint="eastAsia" w:ascii="仿宋" w:hAnsi="仿宋" w:eastAsia="仿宋"/>
          <w:b/>
          <w:bCs/>
          <w:sz w:val="32"/>
          <w:szCs w:val="32"/>
          <w:lang w:eastAsia="zh-CN"/>
        </w:rPr>
        <w:t>肖常文所有的</w:t>
      </w:r>
    </w:p>
    <w:p>
      <w:pPr>
        <w:jc w:val="center"/>
        <w:rPr>
          <w:rFonts w:hint="eastAsia" w:ascii="仿宋" w:hAnsi="仿宋" w:eastAsia="仿宋"/>
          <w:b/>
          <w:bCs/>
          <w:sz w:val="32"/>
          <w:szCs w:val="32"/>
          <w:lang w:val="en-US" w:eastAsia="zh-CN"/>
        </w:rPr>
      </w:pPr>
      <w:r>
        <w:rPr>
          <w:rFonts w:hint="eastAsia" w:ascii="仿宋" w:hAnsi="仿宋" w:eastAsia="仿宋"/>
          <w:b/>
          <w:bCs/>
          <w:sz w:val="32"/>
          <w:szCs w:val="32"/>
          <w:lang w:eastAsia="zh-CN"/>
        </w:rPr>
        <w:t>位于孝感市长征路</w:t>
      </w:r>
      <w:r>
        <w:rPr>
          <w:rFonts w:hint="eastAsia" w:ascii="仿宋" w:hAnsi="仿宋" w:eastAsia="仿宋"/>
          <w:b/>
          <w:bCs/>
          <w:sz w:val="32"/>
          <w:szCs w:val="32"/>
          <w:lang w:val="en-US" w:eastAsia="zh-CN"/>
        </w:rPr>
        <w:t>3号1幢1层101室</w:t>
      </w:r>
    </w:p>
    <w:p>
      <w:pPr>
        <w:jc w:val="center"/>
        <w:rPr>
          <w:rFonts w:hint="eastAsia" w:ascii="仿宋" w:hAnsi="仿宋" w:eastAsia="仿宋"/>
          <w:b/>
          <w:bCs/>
          <w:sz w:val="36"/>
          <w:szCs w:val="36"/>
        </w:rPr>
      </w:pPr>
      <w:r>
        <w:rPr>
          <w:rFonts w:hint="eastAsia" w:ascii="仿宋" w:hAnsi="仿宋" w:eastAsia="仿宋"/>
          <w:b/>
          <w:bCs/>
          <w:sz w:val="32"/>
          <w:szCs w:val="32"/>
        </w:rPr>
        <w:t>房地产估价结果报告</w:t>
      </w:r>
    </w:p>
    <w:p>
      <w:pPr>
        <w:jc w:val="center"/>
        <w:rPr>
          <w:rFonts w:hint="eastAsia" w:ascii="仿宋_GB2312" w:hAnsi="宋体" w:eastAsia="仿宋_GB2312" w:cs="Times New Roman"/>
          <w:kern w:val="2"/>
          <w:sz w:val="32"/>
          <w:szCs w:val="32"/>
          <w:lang w:val="en-US" w:eastAsia="zh-CN" w:bidi="ar-SA"/>
        </w:rPr>
      </w:pPr>
    </w:p>
    <w:p>
      <w:pPr>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lang w:val="en-US" w:eastAsia="zh-CN"/>
        </w:rPr>
        <w:t>（一）委托方</w:t>
      </w:r>
    </w:p>
    <w:p>
      <w:pPr>
        <w:numPr>
          <w:ilvl w:val="0"/>
          <w:numId w:val="1"/>
        </w:num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委托方：孝感市孝南区人民法院</w:t>
      </w:r>
    </w:p>
    <w:p>
      <w:pPr>
        <w:numPr>
          <w:ilvl w:val="0"/>
          <w:numId w:val="0"/>
        </w:numPr>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2. 住所：湖北省孝感市孝南区黄花路38号</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（二）估价方：</w:t>
      </w:r>
      <w:r>
        <w:rPr>
          <w:rFonts w:hint="eastAsia" w:ascii="仿宋_GB2312" w:hAnsi="宋体" w:eastAsia="仿宋_GB2312" w:cs="Times New Roman"/>
          <w:kern w:val="2"/>
          <w:sz w:val="28"/>
          <w:szCs w:val="28"/>
          <w:lang w:val="en-US" w:eastAsia="zh-CN" w:bidi="ar-SA"/>
        </w:rPr>
        <w:t>湖北循其本价格鉴定评估有限公司</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cs="Times New Roman"/>
          <w:kern w:val="2"/>
          <w:sz w:val="28"/>
          <w:szCs w:val="28"/>
          <w:lang w:val="en-US" w:eastAsia="zh-CN" w:bidi="ar-SA"/>
        </w:rPr>
        <w:t>1. 法定代表人：</w:t>
      </w:r>
      <w:r>
        <w:rPr>
          <w:rFonts w:hint="eastAsia" w:ascii="仿宋_GB2312" w:hAnsi="宋体" w:eastAsia="仿宋_GB2312"/>
          <w:sz w:val="28"/>
          <w:szCs w:val="28"/>
          <w:lang w:val="en-US" w:eastAsia="zh-CN"/>
        </w:rPr>
        <w:t>魏胜凯</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 住所：咸宁市长江产业园（书苑小区）3栋1单元12层1201号</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（三）估价对象</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1、估价对象范围</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本次估价对象范围为肖常文所有的、位于孝感市长征路3号1幢1层101室，建筑面积为98.28㎡的住宅房地产。</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2、估价对象基本情况</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经本机构人员的实地勘查和委托方提供的委托书及房地产权登记信息等有关资料，可知估价对象实体状况如下：</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估价对象位于孝感市长征路3号1幢1层101室，房屋所有权人为肖常文，单独所有，房屋结构为混合结构，所在层/总层数为1层/5层，建筑面积为98.28㎡，不动产权证书号为00037479号。</w:t>
      </w:r>
    </w:p>
    <w:p>
      <w:p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经现场勘验和调查，估价对象位于孝感市长征路4号、孝南区人社局宿舍1栋2单元1层101室，于1992年建成，所在层/总层数为1层/5层，为多层步梯住宅房屋，户型为三室两厅，南北朝向，房屋结构为混合结构，外墙为水泥砂浆粉刷，因多种原因估价人员未能进入屋内现场勘验装修情况。据相关当事人反映，室内为简单装修，维护保养欠佳。</w:t>
      </w:r>
    </w:p>
    <w:p>
      <w:pPr>
        <w:jc w:val="both"/>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（四）估价目的</w:t>
      </w:r>
    </w:p>
    <w:p>
      <w:pPr>
        <w:ind w:firstLine="560"/>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lang w:val="en-US" w:eastAsia="zh-CN" w:bidi="ar-SA"/>
        </w:rPr>
        <w:t>为委托方处理案件提供价格咨询参考依据而评估该房产市场价格，供委托方及相关当事方咨询参考。</w:t>
      </w:r>
      <w:r>
        <w:rPr>
          <w:rFonts w:hint="eastAsia" w:ascii="仿宋_GB2312" w:hAnsi="宋体" w:eastAsia="仿宋_GB2312"/>
          <w:b/>
          <w:bCs/>
          <w:sz w:val="30"/>
          <w:szCs w:val="30"/>
          <w:highlight w:val="none"/>
          <w:lang w:val="en-US" w:eastAsia="zh-CN"/>
        </w:rPr>
        <w:t xml:space="preserve"> </w:t>
      </w:r>
      <w:r>
        <w:rPr>
          <w:rFonts w:hint="eastAsia" w:ascii="仿宋_GB2312" w:hAnsi="宋体" w:eastAsia="仿宋_GB2312"/>
          <w:b/>
          <w:bCs/>
          <w:sz w:val="30"/>
          <w:szCs w:val="30"/>
          <w:lang w:val="en-US" w:eastAsia="zh-CN"/>
        </w:rPr>
        <w:t xml:space="preserve">  </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（五）估价时点</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二0二一年七月二十六日。</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（六）价值定义</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本次评估价格是指对估价对象在现有用途、状态不变的前提下，采用公开市场价值标准，为本报告书所列明的目的和假设限制条件下的现行公开市场价值的估计值。</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（七）估价依据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1、法律法规依据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（1）《中华人民共和国价格法》；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w:t>
      </w:r>
      <w:r>
        <w:rPr>
          <w:rFonts w:hint="default" w:ascii="仿宋_GB2312" w:hAnsi="宋体" w:eastAsia="仿宋_GB2312" w:cs="Times New Roman"/>
          <w:kern w:val="2"/>
          <w:sz w:val="28"/>
          <w:szCs w:val="28"/>
          <w:lang w:val="en-US" w:eastAsia="zh-CN" w:bidi="ar-SA"/>
        </w:rPr>
        <w:t>《中华人民共和国</w:t>
      </w:r>
      <w:r>
        <w:rPr>
          <w:rFonts w:hint="eastAsia" w:ascii="仿宋_GB2312" w:hAnsi="宋体" w:eastAsia="仿宋_GB2312" w:cs="Times New Roman"/>
          <w:kern w:val="2"/>
          <w:sz w:val="28"/>
          <w:szCs w:val="28"/>
          <w:lang w:val="en-US" w:eastAsia="zh-CN" w:bidi="ar-SA"/>
        </w:rPr>
        <w:t>资产评估</w:t>
      </w:r>
      <w:r>
        <w:rPr>
          <w:rFonts w:hint="default" w:ascii="仿宋_GB2312" w:hAnsi="宋体" w:eastAsia="仿宋_GB2312" w:cs="Times New Roman"/>
          <w:kern w:val="2"/>
          <w:sz w:val="28"/>
          <w:szCs w:val="28"/>
          <w:lang w:val="en-US" w:eastAsia="zh-CN" w:bidi="ar-SA"/>
        </w:rPr>
        <w:t>法》</w:t>
      </w:r>
      <w:r>
        <w:rPr>
          <w:rFonts w:hint="eastAsia" w:ascii="仿宋_GB2312" w:hAnsi="宋体" w:eastAsia="仿宋_GB2312" w:cs="Times New Roman"/>
          <w:kern w:val="2"/>
          <w:sz w:val="28"/>
          <w:szCs w:val="28"/>
          <w:lang w:val="en-US" w:eastAsia="zh-CN" w:bidi="ar-SA"/>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（3）《中华人民共和国城市房地产管理法》；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（4）《中华人民共和国土地管理法》；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（5）中华人民共和国国家标准《房地产估价规范》；</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6</w:t>
      </w:r>
      <w:r>
        <w:rPr>
          <w:rFonts w:hint="eastAsia" w:ascii="仿宋" w:hAnsi="仿宋" w:eastAsia="仿宋"/>
          <w:sz w:val="28"/>
          <w:szCs w:val="28"/>
          <w:lang w:eastAsia="zh-CN"/>
        </w:rPr>
        <w:t>）</w:t>
      </w:r>
      <w:r>
        <w:rPr>
          <w:rFonts w:hint="eastAsia" w:ascii="仿宋" w:hAnsi="仿宋" w:eastAsia="仿宋"/>
          <w:sz w:val="28"/>
          <w:szCs w:val="28"/>
        </w:rPr>
        <w:t>《价格评估执业规范》</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7</w:t>
      </w:r>
      <w:r>
        <w:rPr>
          <w:rFonts w:hint="eastAsia" w:ascii="仿宋" w:hAnsi="仿宋" w:eastAsia="仿宋"/>
          <w:sz w:val="28"/>
          <w:szCs w:val="28"/>
          <w:lang w:eastAsia="zh-CN"/>
        </w:rPr>
        <w:t>）</w:t>
      </w:r>
      <w:r>
        <w:rPr>
          <w:rFonts w:hint="eastAsia" w:ascii="仿宋" w:hAnsi="仿宋" w:eastAsia="仿宋"/>
          <w:sz w:val="28"/>
          <w:szCs w:val="28"/>
        </w:rPr>
        <w:t>《价格评估人员自律守则》</w:t>
      </w:r>
      <w:r>
        <w:rPr>
          <w:rFonts w:hint="eastAsia" w:ascii="仿宋" w:hAnsi="仿宋" w:eastAsia="仿宋"/>
          <w:sz w:val="28"/>
          <w:szCs w:val="28"/>
          <w:lang w:eastAsia="zh-CN"/>
        </w:rPr>
        <w:t>；</w:t>
      </w:r>
    </w:p>
    <w:p>
      <w:pPr>
        <w:spacing w:beforeLines="0" w:afterLines="0"/>
        <w:jc w:val="left"/>
        <w:rPr>
          <w:rFonts w:hint="eastAsia" w:ascii="仿宋_GB2312" w:hAnsi="宋体" w:eastAsia="仿宋_GB2312" w:cs="Times New Roman"/>
          <w:kern w:val="2"/>
          <w:sz w:val="28"/>
          <w:szCs w:val="28"/>
          <w:lang w:val="en-US" w:eastAsia="zh-CN" w:bidi="ar-SA"/>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8</w:t>
      </w:r>
      <w:r>
        <w:rPr>
          <w:rFonts w:hint="eastAsia" w:ascii="仿宋" w:hAnsi="仿宋" w:eastAsia="仿宋"/>
          <w:sz w:val="28"/>
          <w:szCs w:val="28"/>
          <w:lang w:eastAsia="zh-CN"/>
        </w:rPr>
        <w:t>）</w:t>
      </w:r>
      <w:r>
        <w:rPr>
          <w:rFonts w:hint="eastAsia" w:ascii="仿宋" w:hAnsi="仿宋" w:eastAsia="仿宋"/>
          <w:sz w:val="28"/>
          <w:szCs w:val="28"/>
        </w:rPr>
        <w:t>《价格评估行业职业操守》</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2、委托方提供的有关资料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（1）委托方提供的价格评估鉴定委托书；</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（2）委托方提供的相关权属资料复印件及其他资料复印件。</w:t>
      </w:r>
    </w:p>
    <w:p>
      <w:pPr>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3、估价机构和估价人员现场查勘、调查所得的资料；掌握和收集的其它询价资料、参数资料和国家有关部门发布的统计资料和技术标准资料。</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（八）估价原则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我们按照《房地产估价规范》的规定，遵循估价行业公认的估价工作原则，对估价对象进行独立、客观、科学的评价，并遵守国家保密规定。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本次估价中我们还特别遵循以下估价经济原则：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独立、客观、公正原则：我们进行估价的最高行为准则。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合法原则：在本次估价时其应当符合国家的法律、法规有关规定，以估价对象的合法权益为前提；本次评估以委托方提供的相关权属资料载明事项体现合法原则。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最高最佳使用原则：能给估价对象带来最高收益的使用，这种使用是法律上允许、技术上可能、财务上可行，本次估价中以其按现状使用为最高最佳使用。</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时点原则：由于房地产市场是不断变化的，在不同的估价时点，同一宗房地产往往具有不同的价格水平。估价时点原则是指求取某一时点的价格，所以在评估一宗房地产价格时，必须假定市场停止在估价时点上，同时对估价对象的房地产市场情况及自身情况的界定，也是以在估价时点的状况为准。</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（九）估价方法</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根据估价规范要求和评估人员现场踏勘，以及对估价对象的使用年限、周边类似房地产交易实例和宗地所处区域因素等资料进行收集、分析和整理，结合评估目的，本次估价采用了市场法测算估价对象的公开市场价值。</w:t>
      </w:r>
    </w:p>
    <w:p>
      <w:pPr>
        <w:ind w:firstLine="560" w:firstLineChars="200"/>
        <w:rPr>
          <w:rFonts w:ascii="仿宋" w:hAnsi="仿宋" w:eastAsia="仿宋" w:cs="Arial"/>
          <w:color w:val="333333"/>
          <w:sz w:val="30"/>
          <w:szCs w:val="30"/>
          <w:shd w:val="clear" w:color="auto" w:fill="FFFFFF"/>
        </w:rPr>
      </w:pPr>
      <w:r>
        <w:rPr>
          <w:rFonts w:hint="eastAsia" w:ascii="仿宋_GB2312" w:hAnsi="宋体" w:eastAsia="仿宋_GB2312" w:cs="Times New Roman"/>
          <w:kern w:val="2"/>
          <w:sz w:val="28"/>
          <w:szCs w:val="28"/>
          <w:lang w:val="en-US" w:eastAsia="zh-CN" w:bidi="ar-SA"/>
        </w:rPr>
        <w:t>市场法也称市场价格比较法，是指通过比较被评估资产与最近售出类似资产的异同，并将类似的市场价格进行调整，从而确定被评估资产价值的一种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ind w:firstLine="560" w:firstLineChars="200"/>
        <w:rPr>
          <w:rFonts w:hint="eastAsia" w:ascii="仿宋_GB2312" w:hAnsi="仿宋" w:eastAsia="仿宋_GB2312"/>
          <w:b/>
          <w:sz w:val="28"/>
          <w:szCs w:val="28"/>
          <w:lang w:val="en-US" w:eastAsia="zh-CN"/>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r>
        <w:rPr>
          <w:rFonts w:hint="eastAsia" w:ascii="仿宋_GB2312" w:hAnsi="仿宋" w:eastAsia="仿宋_GB2312"/>
          <w:b/>
          <w:sz w:val="28"/>
          <w:szCs w:val="28"/>
          <w:lang w:val="en-US" w:eastAsia="zh-CN"/>
        </w:rPr>
        <w:t xml:space="preserve">  </w:t>
      </w:r>
    </w:p>
    <w:p>
      <w:pPr>
        <w:rPr>
          <w:rFonts w:hint="eastAsia" w:ascii="仿宋_GB2312" w:hAnsi="仿宋" w:eastAsia="仿宋_GB2312"/>
          <w:b/>
          <w:sz w:val="28"/>
          <w:szCs w:val="28"/>
        </w:rPr>
      </w:pPr>
      <w:r>
        <w:rPr>
          <w:rFonts w:hint="eastAsia" w:ascii="仿宋_GB2312" w:hAnsi="仿宋" w:eastAsia="仿宋_GB2312"/>
          <w:b/>
          <w:sz w:val="28"/>
          <w:szCs w:val="28"/>
          <w:lang w:val="en-US" w:eastAsia="zh-CN"/>
        </w:rPr>
        <w:t xml:space="preserve">   </w:t>
      </w:r>
      <w:r>
        <w:rPr>
          <w:rFonts w:hint="eastAsia" w:ascii="仿宋_GB2312" w:hAnsi="仿宋" w:eastAsia="仿宋_GB2312"/>
          <w:b/>
          <w:sz w:val="28"/>
          <w:szCs w:val="28"/>
        </w:rPr>
        <w:t>（十）估价结果</w:t>
      </w:r>
    </w:p>
    <w:p>
      <w:p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估价人员经过实地勘查和测算，确定估价对象在估价时点可能形成的</w:t>
      </w:r>
      <w:r>
        <w:rPr>
          <w:rFonts w:hint="eastAsia" w:ascii="仿宋_GB2312" w:hAnsi="宋体" w:eastAsia="仿宋_GB2312" w:cs="Times New Roman"/>
          <w:kern w:val="2"/>
          <w:sz w:val="28"/>
          <w:szCs w:val="28"/>
          <w:highlight w:val="none"/>
          <w:lang w:val="en-US" w:eastAsia="zh-CN" w:bidi="ar-SA"/>
        </w:rPr>
        <w:t xml:space="preserve">市场价值为￥417493元(大写人民币肆拾壹万柒仟肆佰玖拾叁元整)。    </w:t>
      </w:r>
      <w:r>
        <w:rPr>
          <w:rFonts w:hint="eastAsia" w:ascii="仿宋_GB2312" w:hAnsi="宋体" w:eastAsia="仿宋_GB2312" w:cs="Times New Roman"/>
          <w:kern w:val="2"/>
          <w:sz w:val="28"/>
          <w:szCs w:val="28"/>
          <w:lang w:val="en-US" w:eastAsia="zh-CN" w:bidi="ar-SA"/>
        </w:rPr>
        <w:t xml:space="preserve">                                             </w:t>
      </w:r>
    </w:p>
    <w:p>
      <w:pPr>
        <w:rPr>
          <w:rFonts w:hint="eastAsia" w:ascii="仿宋_GB2312" w:hAnsi="仿宋" w:eastAsia="仿宋_GB2312" w:cs="Times New Roman"/>
          <w:b/>
          <w:kern w:val="2"/>
          <w:sz w:val="28"/>
          <w:szCs w:val="28"/>
          <w:lang w:val="zh-CN" w:eastAsia="zh-CN" w:bidi="ar-SA"/>
        </w:rPr>
      </w:pPr>
      <w:r>
        <w:rPr>
          <w:rFonts w:hint="eastAsia" w:ascii="仿宋_GB2312" w:hAnsi="仿宋" w:eastAsia="仿宋_GB2312" w:cs="Times New Roman"/>
          <w:b/>
          <w:kern w:val="2"/>
          <w:sz w:val="28"/>
          <w:szCs w:val="28"/>
          <w:lang w:val="en-US" w:eastAsia="zh-CN" w:bidi="ar-SA"/>
        </w:rPr>
        <w:t xml:space="preserve">   </w:t>
      </w:r>
      <w:r>
        <w:rPr>
          <w:rFonts w:hint="eastAsia" w:ascii="仿宋_GB2312" w:hAnsi="仿宋" w:eastAsia="仿宋_GB2312" w:cs="Times New Roman"/>
          <w:b/>
          <w:kern w:val="2"/>
          <w:sz w:val="28"/>
          <w:szCs w:val="28"/>
          <w:lang w:val="zh-CN" w:eastAsia="zh-CN" w:bidi="ar-SA"/>
        </w:rPr>
        <w:t>（十一）价格评估机构</w:t>
      </w:r>
    </w:p>
    <w:p>
      <w:pPr>
        <w:pStyle w:val="4"/>
        <w:spacing w:line="600" w:lineRule="exact"/>
        <w:ind w:firstLine="560" w:firstLineChars="200"/>
        <w:jc w:val="both"/>
        <w:rPr>
          <w:rFonts w:hint="eastAsia" w:ascii="仿宋_GB2312" w:hAnsi="仿宋" w:eastAsia="仿宋_GB2312" w:cs="Times New Roman"/>
          <w:kern w:val="2"/>
          <w:sz w:val="28"/>
          <w:szCs w:val="28"/>
          <w:lang w:val="zh-CN" w:eastAsia="zh-CN" w:bidi="ar-SA"/>
        </w:rPr>
      </w:pPr>
      <w:r>
        <w:rPr>
          <w:rFonts w:hint="eastAsia" w:ascii="仿宋_GB2312" w:hAnsi="仿宋" w:eastAsia="仿宋_GB2312" w:cs="Times New Roman"/>
          <w:kern w:val="2"/>
          <w:sz w:val="28"/>
          <w:szCs w:val="28"/>
          <w:lang w:val="zh-CN" w:eastAsia="zh-CN" w:bidi="ar-SA"/>
        </w:rPr>
        <w:t>机构名称：湖北循其本价格鉴定评估有限公司</w:t>
      </w:r>
    </w:p>
    <w:p>
      <w:pPr>
        <w:pStyle w:val="4"/>
        <w:tabs>
          <w:tab w:val="left" w:pos="900"/>
          <w:tab w:val="left" w:pos="1820"/>
          <w:tab w:val="left" w:pos="2740"/>
          <w:tab w:val="left" w:pos="3660"/>
          <w:tab w:val="left" w:pos="5480"/>
          <w:tab w:val="left" w:pos="6400"/>
          <w:tab w:val="left" w:pos="7320"/>
          <w:tab w:val="left" w:pos="8240"/>
          <w:tab w:val="left" w:pos="10060"/>
          <w:tab w:val="left" w:pos="10980"/>
          <w:tab w:val="left" w:pos="11900"/>
          <w:tab w:val="left" w:pos="12820"/>
          <w:tab w:val="left" w:pos="1464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600" w:lineRule="exact"/>
        <w:ind w:firstLine="560" w:firstLineChars="200"/>
        <w:jc w:val="both"/>
        <w:rPr>
          <w:rFonts w:hint="eastAsia" w:ascii="仿宋_GB2312" w:hAnsi="仿宋" w:eastAsia="仿宋_GB2312" w:cs="Times New Roman"/>
          <w:kern w:val="2"/>
          <w:sz w:val="28"/>
          <w:szCs w:val="28"/>
          <w:lang w:val="en-US" w:eastAsia="zh-CN" w:bidi="ar-SA"/>
        </w:rPr>
      </w:pPr>
      <w:r>
        <w:rPr>
          <w:rFonts w:hint="eastAsia" w:ascii="仿宋_GB2312" w:hAnsi="仿宋" w:eastAsia="仿宋_GB2312" w:cs="Times New Roman"/>
          <w:kern w:val="2"/>
          <w:sz w:val="28"/>
          <w:szCs w:val="28"/>
          <w:lang w:val="zh-CN" w:eastAsia="zh-CN" w:bidi="ar-SA"/>
        </w:rPr>
        <w:t>机构资质证号：中</w:t>
      </w:r>
      <w:r>
        <w:rPr>
          <w:rFonts w:hint="eastAsia" w:ascii="仿宋_GB2312" w:hAnsi="仿宋" w:eastAsia="仿宋_GB2312" w:cs="Times New Roman"/>
          <w:kern w:val="2"/>
          <w:sz w:val="28"/>
          <w:szCs w:val="28"/>
          <w:lang w:val="en-US" w:eastAsia="zh-CN" w:bidi="ar-SA"/>
        </w:rPr>
        <w:t>J</w:t>
      </w:r>
      <w:r>
        <w:rPr>
          <w:rFonts w:hint="eastAsia" w:ascii="仿宋_GB2312" w:hAnsi="仿宋" w:eastAsia="仿宋_GB2312" w:cs="Times New Roman"/>
          <w:kern w:val="2"/>
          <w:sz w:val="28"/>
          <w:szCs w:val="28"/>
          <w:lang w:val="zh-CN" w:eastAsia="zh-CN" w:bidi="ar-SA"/>
        </w:rPr>
        <w:t>1</w:t>
      </w:r>
      <w:r>
        <w:rPr>
          <w:rFonts w:hint="eastAsia" w:ascii="仿宋_GB2312" w:hAnsi="仿宋" w:eastAsia="仿宋_GB2312" w:cs="Times New Roman"/>
          <w:kern w:val="2"/>
          <w:sz w:val="28"/>
          <w:szCs w:val="28"/>
          <w:lang w:val="en-US" w:eastAsia="zh-CN" w:bidi="ar-SA"/>
        </w:rPr>
        <w:t>7</w:t>
      </w:r>
      <w:r>
        <w:rPr>
          <w:rFonts w:hint="eastAsia" w:ascii="仿宋_GB2312" w:hAnsi="仿宋" w:eastAsia="仿宋_GB2312" w:cs="Times New Roman"/>
          <w:kern w:val="2"/>
          <w:sz w:val="28"/>
          <w:szCs w:val="28"/>
          <w:lang w:val="zh-CN" w:eastAsia="zh-CN" w:bidi="ar-SA"/>
        </w:rPr>
        <w:t>000</w:t>
      </w:r>
      <w:r>
        <w:rPr>
          <w:rFonts w:hint="eastAsia" w:ascii="仿宋_GB2312" w:hAnsi="仿宋" w:eastAsia="仿宋_GB2312" w:cs="Times New Roman"/>
          <w:kern w:val="2"/>
          <w:sz w:val="28"/>
          <w:szCs w:val="28"/>
          <w:lang w:val="en-US" w:eastAsia="zh-CN" w:bidi="ar-SA"/>
        </w:rPr>
        <w:t>4</w:t>
      </w: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b/>
          <w:bCs/>
          <w:sz w:val="30"/>
          <w:szCs w:val="30"/>
          <w:lang w:val="en-US" w:eastAsia="zh-CN"/>
        </w:rPr>
        <w:t xml:space="preserve">   （十二）估价专业人员</w:t>
      </w:r>
      <w:r>
        <w:rPr>
          <w:rFonts w:hint="eastAsia" w:ascii="仿宋_GB2312" w:hAnsi="宋体" w:eastAsia="仿宋_GB2312" w:cs="Times New Roman"/>
          <w:kern w:val="2"/>
          <w:sz w:val="28"/>
          <w:szCs w:val="28"/>
          <w:lang w:val="en-US" w:eastAsia="zh-CN" w:bidi="ar-SA"/>
        </w:rPr>
        <w:t xml:space="preserve">   </w:t>
      </w:r>
    </w:p>
    <w:tbl>
      <w:tblPr>
        <w:tblStyle w:val="8"/>
        <w:tblpPr w:leftFromText="180" w:rightFromText="180" w:vertAnchor="text" w:horzAnchor="page" w:tblpXSpec="center" w:tblpY="81"/>
        <w:tblOverlap w:val="never"/>
        <w:tblW w:w="7722" w:type="dxa"/>
        <w:jc w:val="center"/>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1875"/>
        <w:gridCol w:w="1625"/>
        <w:gridCol w:w="2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姓  名</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资格证名号</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资格证号</w:t>
            </w:r>
          </w:p>
        </w:tc>
        <w:tc>
          <w:tcPr>
            <w:tcW w:w="2765" w:type="dxa"/>
            <w:vAlign w:val="center"/>
          </w:tcPr>
          <w:p>
            <w:pPr>
              <w:spacing w:line="600" w:lineRule="exact"/>
              <w:jc w:val="center"/>
              <w:rPr>
                <w:rFonts w:hint="eastAsia" w:ascii="仿宋_GB2312" w:hAnsi="仿宋_GB2312" w:eastAsia="仿宋_GB2312" w:cs="仿宋_GB2312"/>
                <w:color w:val="000000"/>
                <w:sz w:val="24"/>
                <w:szCs w:val="24"/>
                <w:lang w:val="zh-CN"/>
              </w:rPr>
            </w:pPr>
            <w:r>
              <w:rPr>
                <w:rStyle w:val="11"/>
                <w:rFonts w:hint="eastAsia" w:ascii="仿宋" w:hAnsi="仿宋" w:eastAsia="仿宋" w:cs="宋体"/>
                <w:color w:val="000000"/>
                <w:sz w:val="30"/>
                <w:szCs w:val="30"/>
              </w:rPr>
              <w:t>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0"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孙  坚</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价格鉴证师</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0003035</w:t>
            </w:r>
          </w:p>
        </w:tc>
        <w:tc>
          <w:tcPr>
            <w:tcW w:w="2765" w:type="dxa"/>
            <w:vAlign w:val="center"/>
          </w:tcPr>
          <w:p>
            <w:pPr>
              <w:pStyle w:val="4"/>
              <w:spacing w:line="600" w:lineRule="exact"/>
              <w:jc w:val="center"/>
              <w:rPr>
                <w:rFonts w:hint="eastAsia" w:ascii="仿宋_GB2312" w:hAnsi="仿宋_GB2312" w:eastAsia="仿宋_GB2312" w:cs="仿宋_GB2312"/>
                <w:color w:val="000000"/>
                <w:sz w:val="24"/>
                <w:szCs w:val="24"/>
                <w:lang w:val="zh-CN"/>
              </w:rPr>
            </w:pPr>
            <w:r>
              <w:rPr>
                <w:rFonts w:hint="eastAsia" w:ascii="仿宋" w:hAnsi="仿宋" w:eastAsia="仿宋" w:cs="仿宋"/>
                <w:sz w:val="32"/>
                <w:szCs w:val="32"/>
              </w:rPr>
              <w:drawing>
                <wp:anchor distT="0" distB="0" distL="114300" distR="114300" simplePos="0" relativeHeight="251714560" behindDoc="1" locked="0" layoutInCell="1" allowOverlap="1">
                  <wp:simplePos x="0" y="0"/>
                  <wp:positionH relativeFrom="column">
                    <wp:posOffset>19050</wp:posOffset>
                  </wp:positionH>
                  <wp:positionV relativeFrom="paragraph">
                    <wp:posOffset>145415</wp:posOffset>
                  </wp:positionV>
                  <wp:extent cx="1273810" cy="491490"/>
                  <wp:effectExtent l="0" t="0" r="2540" b="3810"/>
                  <wp:wrapNone/>
                  <wp:docPr id="2" name="图片 7" descr="孙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孙坚"/>
                          <pic:cNvPicPr>
                            <a:picLocks noChangeAspect="1"/>
                          </pic:cNvPicPr>
                        </pic:nvPicPr>
                        <pic:blipFill>
                          <a:blip r:embed="rId7"/>
                          <a:stretch>
                            <a:fillRect/>
                          </a:stretch>
                        </pic:blipFill>
                        <pic:spPr>
                          <a:xfrm>
                            <a:off x="0" y="0"/>
                            <a:ext cx="1273810" cy="491490"/>
                          </a:xfrm>
                          <a:prstGeom prst="rect">
                            <a:avLst/>
                          </a:prstGeom>
                          <a:noFill/>
                          <a:ln w="9525">
                            <a:noFill/>
                            <a:miter/>
                          </a:ln>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3"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刘汉生</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价格鉴证师</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0017039</w:t>
            </w:r>
          </w:p>
        </w:tc>
        <w:tc>
          <w:tcPr>
            <w:tcW w:w="2765" w:type="dxa"/>
            <w:vAlign w:val="center"/>
          </w:tcPr>
          <w:p>
            <w:pPr>
              <w:pStyle w:val="4"/>
              <w:rPr>
                <w:rFonts w:hint="eastAsia" w:ascii="仿宋" w:hAnsi="仿宋" w:eastAsia="仿宋"/>
                <w:color w:val="000000"/>
                <w:sz w:val="32"/>
                <w:szCs w:val="32"/>
              </w:rPr>
            </w:pPr>
            <w:r>
              <w:rPr>
                <w:lang w:val="zh-CN" w:eastAsia="zh-CN"/>
              </w:rPr>
              <w:drawing>
                <wp:anchor distT="0" distB="0" distL="114300" distR="114300" simplePos="0" relativeHeight="251716608" behindDoc="0" locked="0" layoutInCell="1" allowOverlap="1">
                  <wp:simplePos x="0" y="0"/>
                  <wp:positionH relativeFrom="column">
                    <wp:posOffset>-141605</wp:posOffset>
                  </wp:positionH>
                  <wp:positionV relativeFrom="paragraph">
                    <wp:posOffset>14605</wp:posOffset>
                  </wp:positionV>
                  <wp:extent cx="1494790" cy="1033780"/>
                  <wp:effectExtent l="0" t="0" r="10795" b="0"/>
                  <wp:wrapNone/>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8"/>
                          <a:stretch>
                            <a:fillRect/>
                          </a:stretch>
                        </pic:blipFill>
                        <pic:spPr>
                          <a:xfrm>
                            <a:off x="0" y="0"/>
                            <a:ext cx="1494790" cy="1033780"/>
                          </a:xfrm>
                          <a:prstGeom prst="rect">
                            <a:avLst/>
                          </a:prstGeom>
                          <a:noFill/>
                          <a:ln w="9525">
                            <a:noFill/>
                            <a:miter/>
                          </a:ln>
                          <a:effectLst/>
                        </pic:spPr>
                      </pic:pic>
                    </a:graphicData>
                  </a:graphic>
                </wp:anchor>
              </w:drawing>
            </w:r>
            <w:r>
              <w:rPr>
                <w:rFonts w:hint="eastAsia" w:ascii="仿宋" w:hAnsi="仿宋" w:eastAsia="仿宋"/>
                <w:color w:val="000000"/>
                <w:sz w:val="32"/>
                <w:szCs w:val="32"/>
              </w:rPr>
              <w:drawing>
                <wp:anchor distT="0" distB="0" distL="114300" distR="114300" simplePos="0" relativeHeight="251717632" behindDoc="0" locked="0" layoutInCell="1" allowOverlap="1">
                  <wp:simplePos x="0" y="0"/>
                  <wp:positionH relativeFrom="column">
                    <wp:posOffset>158115</wp:posOffset>
                  </wp:positionH>
                  <wp:positionV relativeFrom="page">
                    <wp:posOffset>209550</wp:posOffset>
                  </wp:positionV>
                  <wp:extent cx="635" cy="635"/>
                  <wp:effectExtent l="0" t="0" r="0" b="0"/>
                  <wp:wrapNone/>
                  <wp:docPr id="5" name="图片 5" descr="Screenshot_20210124-14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creenshot_20210124-145428"/>
                          <pic:cNvPicPr>
                            <a:picLocks noChangeAspect="1"/>
                          </pic:cNvPicPr>
                        </pic:nvPicPr>
                        <pic:blipFill>
                          <a:blip r:embed="rId9"/>
                          <a:srcRect l="18570" t="17889" r="23581" b="11664"/>
                          <a:stretch>
                            <a:fillRect/>
                          </a:stretch>
                        </pic:blipFill>
                        <pic:spPr>
                          <a:xfrm>
                            <a:off x="0" y="0"/>
                            <a:ext cx="635" cy="635"/>
                          </a:xfrm>
                          <a:prstGeom prst="rect">
                            <a:avLst/>
                          </a:prstGeom>
                          <a:noFill/>
                          <a:ln w="9525">
                            <a:noFill/>
                            <a:miter/>
                          </a:ln>
                          <a:effectLst/>
                        </pic:spPr>
                      </pic:pic>
                    </a:graphicData>
                  </a:graphic>
                </wp:anchor>
              </w:drawing>
            </w:r>
          </w:p>
          <w:p>
            <w:pPr>
              <w:pStyle w:val="4"/>
              <w:rPr>
                <w:rFonts w:hint="eastAsia" w:ascii="仿宋_GB2312" w:hAnsi="仿宋_GB2312" w:eastAsia="仿宋_GB2312" w:cs="仿宋_GB2312"/>
                <w:color w:val="000000"/>
                <w:sz w:val="24"/>
                <w:szCs w:val="24"/>
                <w:lang w:val="zh-CN"/>
              </w:rPr>
            </w:pP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Style w:val="11"/>
          <w:rFonts w:hint="eastAsia" w:ascii="仿宋_GB2312" w:hAnsi="仿宋" w:eastAsia="仿宋_GB2312" w:cs="宋体"/>
          <w:b/>
          <w:sz w:val="28"/>
          <w:szCs w:val="28"/>
          <w:highlight w:val="none"/>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highlight w:val="none"/>
          <w:lang w:val="en-US" w:eastAsia="zh-CN"/>
        </w:rPr>
        <w:t>（十三）</w:t>
      </w:r>
      <w:r>
        <w:rPr>
          <w:rFonts w:hint="eastAsia" w:ascii="仿宋_GB2312" w:hAnsi="仿宋" w:eastAsia="仿宋_GB2312"/>
          <w:b/>
          <w:sz w:val="28"/>
          <w:szCs w:val="28"/>
          <w:highlight w:val="none"/>
        </w:rPr>
        <w:t>评估报告日</w:t>
      </w:r>
      <w:r>
        <w:rPr>
          <w:rStyle w:val="11"/>
          <w:rFonts w:hint="eastAsia" w:ascii="仿宋" w:hAnsi="仿宋" w:eastAsia="仿宋_GB2312" w:cs="宋体"/>
          <w:b/>
          <w:sz w:val="28"/>
          <w:szCs w:val="28"/>
          <w:highlight w:val="none"/>
        </w:rPr>
        <w:t> </w:t>
      </w:r>
    </w:p>
    <w:p>
      <w:pPr>
        <w:ind w:firstLine="560" w:firstLineChars="200"/>
        <w:rPr>
          <w:rFonts w:hint="eastAsia" w:ascii="仿宋_GB2312" w:hAnsi="宋体" w:eastAsia="仿宋_GB2312" w:cs="Times New Roman"/>
          <w:kern w:val="2"/>
          <w:sz w:val="28"/>
          <w:szCs w:val="28"/>
          <w:highlight w:val="none"/>
          <w:lang w:val="en-US" w:eastAsia="zh-CN" w:bidi="ar-SA"/>
        </w:rPr>
      </w:pPr>
      <w:r>
        <w:rPr>
          <w:rStyle w:val="11"/>
          <w:rFonts w:hint="eastAsia" w:ascii="仿宋_GB2312" w:hAnsi="仿宋" w:eastAsia="仿宋_GB2312" w:cs="宋体"/>
          <w:sz w:val="28"/>
          <w:szCs w:val="28"/>
          <w:highlight w:val="none"/>
        </w:rPr>
        <w:t>本次出具评估报告日期为20</w:t>
      </w:r>
      <w:r>
        <w:rPr>
          <w:rStyle w:val="11"/>
          <w:rFonts w:hint="eastAsia" w:ascii="仿宋_GB2312" w:hAnsi="仿宋" w:eastAsia="仿宋_GB2312" w:cs="宋体"/>
          <w:sz w:val="28"/>
          <w:szCs w:val="28"/>
          <w:highlight w:val="none"/>
          <w:lang w:val="en-US" w:eastAsia="zh-CN"/>
        </w:rPr>
        <w:t>21</w:t>
      </w:r>
      <w:r>
        <w:rPr>
          <w:rStyle w:val="11"/>
          <w:rFonts w:hint="eastAsia" w:ascii="仿宋_GB2312" w:hAnsi="仿宋" w:eastAsia="仿宋_GB2312" w:cs="宋体"/>
          <w:sz w:val="28"/>
          <w:szCs w:val="28"/>
          <w:highlight w:val="none"/>
        </w:rPr>
        <w:t>年</w:t>
      </w:r>
      <w:r>
        <w:rPr>
          <w:rStyle w:val="11"/>
          <w:rFonts w:hint="eastAsia" w:ascii="仿宋_GB2312" w:hAnsi="仿宋" w:eastAsia="仿宋_GB2312" w:cs="宋体"/>
          <w:sz w:val="28"/>
          <w:szCs w:val="28"/>
          <w:highlight w:val="none"/>
          <w:lang w:val="en-US" w:eastAsia="zh-CN"/>
        </w:rPr>
        <w:t>08</w:t>
      </w:r>
      <w:r>
        <w:rPr>
          <w:rStyle w:val="11"/>
          <w:rFonts w:hint="eastAsia" w:ascii="仿宋_GB2312" w:hAnsi="仿宋" w:eastAsia="仿宋_GB2312" w:cs="宋体"/>
          <w:sz w:val="28"/>
          <w:szCs w:val="28"/>
          <w:highlight w:val="none"/>
        </w:rPr>
        <w:t>月</w:t>
      </w:r>
      <w:r>
        <w:rPr>
          <w:rStyle w:val="11"/>
          <w:rFonts w:hint="eastAsia" w:ascii="仿宋_GB2312" w:hAnsi="仿宋" w:eastAsia="仿宋_GB2312" w:cs="宋体"/>
          <w:sz w:val="28"/>
          <w:szCs w:val="28"/>
          <w:highlight w:val="none"/>
          <w:lang w:val="en-US" w:eastAsia="zh-CN"/>
        </w:rPr>
        <w:t>03</w:t>
      </w:r>
      <w:r>
        <w:rPr>
          <w:rStyle w:val="11"/>
          <w:rFonts w:hint="eastAsia" w:ascii="仿宋_GB2312" w:hAnsi="仿宋" w:eastAsia="仿宋_GB2312" w:cs="宋体"/>
          <w:sz w:val="28"/>
          <w:szCs w:val="28"/>
          <w:highlight w:val="none"/>
        </w:rPr>
        <w:t>日。</w:t>
      </w:r>
      <w:r>
        <w:rPr>
          <w:rFonts w:hint="eastAsia" w:ascii="仿宋_GB2312" w:hAnsi="宋体" w:eastAsia="仿宋_GB2312" w:cs="Times New Roman"/>
          <w:kern w:val="2"/>
          <w:sz w:val="28"/>
          <w:szCs w:val="28"/>
          <w:highlight w:val="none"/>
          <w:lang w:val="en-US" w:eastAsia="zh-CN" w:bidi="ar-SA"/>
        </w:rPr>
        <w:t xml:space="preserve"> </w:t>
      </w:r>
    </w:p>
    <w:p>
      <w:pPr>
        <w:rPr>
          <w:rFonts w:hint="eastAsia" w:ascii="仿宋_GB2312" w:hAnsi="仿宋" w:eastAsia="仿宋_GB2312"/>
          <w:b/>
          <w:sz w:val="28"/>
          <w:szCs w:val="28"/>
          <w:lang w:val="en-US" w:eastAsia="zh-CN"/>
        </w:rPr>
      </w:pPr>
      <w:r>
        <w:rPr>
          <w:rFonts w:hint="eastAsia" w:ascii="仿宋_GB2312" w:hAnsi="仿宋" w:eastAsia="仿宋_GB2312"/>
          <w:b/>
          <w:sz w:val="28"/>
          <w:szCs w:val="28"/>
          <w:lang w:val="en-US" w:eastAsia="zh-CN"/>
        </w:rPr>
        <w:t xml:space="preserve">   （十四）估价报告应用的有效期</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若无特别约定，估价结论有效期为从估价报告完成之日起壹年。超过有效期后需重新估价方可使用。</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rFonts w:hint="eastAsia" w:ascii="仿宋" w:hAnsi="仿宋" w:eastAsia="仿宋"/>
          <w:b/>
          <w:bCs/>
          <w:sz w:val="36"/>
          <w:szCs w:val="36"/>
          <w:highlight w:val="none"/>
          <w:lang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二○二一年八月三日</w:t>
      </w: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r>
        <w:rPr>
          <w:rFonts w:hint="eastAsia" w:ascii="仿宋" w:hAnsi="仿宋" w:eastAsia="仿宋"/>
          <w:b/>
          <w:bCs/>
          <w:sz w:val="36"/>
          <w:szCs w:val="36"/>
          <w:lang w:eastAsia="zh-CN"/>
        </w:rPr>
        <w:t>肖常文所有的</w:t>
      </w:r>
    </w:p>
    <w:p>
      <w:pPr>
        <w:jc w:val="center"/>
        <w:rPr>
          <w:rFonts w:hint="eastAsia" w:ascii="仿宋" w:hAnsi="仿宋" w:eastAsia="仿宋"/>
          <w:b/>
          <w:bCs/>
          <w:sz w:val="36"/>
          <w:szCs w:val="36"/>
          <w:lang w:val="en-US" w:eastAsia="zh-CN"/>
        </w:rPr>
      </w:pPr>
      <w:r>
        <w:rPr>
          <w:rFonts w:hint="eastAsia" w:ascii="仿宋" w:hAnsi="仿宋" w:eastAsia="仿宋"/>
          <w:b/>
          <w:bCs/>
          <w:sz w:val="36"/>
          <w:szCs w:val="36"/>
          <w:lang w:eastAsia="zh-CN"/>
        </w:rPr>
        <w:t>位于孝感市长征路</w:t>
      </w:r>
      <w:r>
        <w:rPr>
          <w:rFonts w:hint="eastAsia" w:ascii="仿宋" w:hAnsi="仿宋" w:eastAsia="仿宋"/>
          <w:b/>
          <w:bCs/>
          <w:sz w:val="36"/>
          <w:szCs w:val="36"/>
          <w:lang w:val="en-US" w:eastAsia="zh-CN"/>
        </w:rPr>
        <w:t>3号1幢1层101室</w:t>
      </w:r>
    </w:p>
    <w:p>
      <w:pPr>
        <w:jc w:val="center"/>
        <w:rPr>
          <w:rFonts w:hint="eastAsia" w:ascii="仿宋" w:hAnsi="仿宋" w:eastAsia="仿宋"/>
          <w:b/>
          <w:bCs/>
          <w:sz w:val="32"/>
          <w:szCs w:val="32"/>
        </w:rPr>
      </w:pPr>
      <w:r>
        <w:rPr>
          <w:rFonts w:hint="eastAsia" w:ascii="仿宋" w:hAnsi="仿宋" w:eastAsia="仿宋"/>
          <w:b/>
          <w:bCs/>
          <w:sz w:val="36"/>
          <w:szCs w:val="36"/>
        </w:rPr>
        <w:t>房地产估价技术报告</w:t>
      </w:r>
    </w:p>
    <w:p>
      <w:pPr>
        <w:jc w:val="center"/>
        <w:rPr>
          <w:rFonts w:hint="eastAsia" w:ascii="仿宋" w:hAnsi="仿宋" w:eastAsia="仿宋"/>
          <w:b/>
          <w:bCs/>
          <w:sz w:val="32"/>
          <w:szCs w:val="32"/>
        </w:rPr>
      </w:pPr>
    </w:p>
    <w:p>
      <w:pPr>
        <w:jc w:val="both"/>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一、估价对象实物状况描述与分析</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估价对象位于孝感市长征路3号1幢1层101室，房屋所有权人为肖常文，单独所有，房屋结构为混合结构，所在层/总层数为1层/5层，建筑面积为98.28㎡，不动产权证书号为00037479号。</w:t>
      </w:r>
    </w:p>
    <w:p>
      <w:pPr>
        <w:ind w:firstLine="560" w:firstLineChars="200"/>
        <w:rPr>
          <w:rFonts w:hint="default" w:ascii="仿宋" w:hAnsi="仿宋" w:eastAsia="仿宋"/>
          <w:sz w:val="28"/>
          <w:szCs w:val="28"/>
          <w:lang w:val="en-US" w:eastAsia="zh-CN"/>
        </w:rPr>
      </w:pPr>
      <w:r>
        <w:rPr>
          <w:rFonts w:hint="eastAsia" w:ascii="仿宋_GB2312" w:hAnsi="宋体" w:eastAsia="仿宋_GB2312" w:cs="Times New Roman"/>
          <w:kern w:val="2"/>
          <w:sz w:val="28"/>
          <w:szCs w:val="28"/>
          <w:lang w:val="en-US" w:eastAsia="zh-CN" w:bidi="ar-SA"/>
        </w:rPr>
        <w:t>经现场勘验和调查，估价对象位于孝感市长征路4号、孝南区人社局宿舍1栋2单元1层101室，于1992年建成，所在层/总层数为1层/5层，为多层步梯住宅房屋，南北朝向，户型为三室两厅，房屋结构为混合结构，外墙为水泥砂浆粉刷，因多种原因估价人员未能进入屋内现场勘验装修情况。据相关当事人反映，室内为简单装修，维护保养欠佳。</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二、估价对象区域因素分析</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对象位于孝感市长征路4号孝南区人社局宿舍。该宿舍区建有一栋三个单元宿舍楼，院落狭小窄长，物业管理一般，出口东临长征路。估价对象所在区域是孝感市中心城区经济核心圈，周边聚集众多孝南区及广场街道办事处的党政机关、职能部门，附近设有孝感市楚澴中学、玉泉小学、文化路小学、孝感市财贸幼儿园、各类银行、孝感市第三医院、口腔医院、中百、沃尔玛、孝武电器等大中型超市及保丽购物广场，人口稠密，商业繁华，多路公交车通达，交通便捷，各种生活、公共设施齐全完善，城市功能成熟，出行、上学、就医、购物、游玩等极为方便。</w:t>
      </w:r>
    </w:p>
    <w:p>
      <w:pPr>
        <w:numPr>
          <w:ilvl w:val="0"/>
          <w:numId w:val="0"/>
        </w:numPr>
        <w:rPr>
          <w:rFonts w:ascii="仿宋" w:hAnsi="仿宋" w:eastAsia="仿宋"/>
          <w:sz w:val="30"/>
          <w:szCs w:val="30"/>
        </w:rPr>
      </w:pPr>
      <w:r>
        <w:rPr>
          <w:rFonts w:hint="eastAsia" w:ascii="仿宋_GB2312" w:hAnsi="宋体" w:eastAsia="仿宋_GB2312" w:cs="Times New Roman"/>
          <w:b/>
          <w:bCs/>
          <w:kern w:val="2"/>
          <w:sz w:val="28"/>
          <w:szCs w:val="28"/>
          <w:lang w:val="en-US" w:eastAsia="zh-CN" w:bidi="ar-SA"/>
        </w:rPr>
        <w:t xml:space="preserve">    三、最高最佳使用分析</w:t>
      </w:r>
    </w:p>
    <w:p>
      <w:pPr>
        <w:ind w:firstLine="560" w:firstLineChars="200"/>
        <w:rPr>
          <w:rFonts w:ascii="仿宋" w:hAnsi="仿宋" w:eastAsia="仿宋"/>
          <w:sz w:val="30"/>
          <w:szCs w:val="30"/>
        </w:rPr>
      </w:pPr>
      <w:r>
        <w:rPr>
          <w:rFonts w:hint="eastAsia" w:ascii="仿宋_GB2312" w:hAnsi="宋体" w:eastAsia="仿宋_GB2312" w:cs="Times New Roman"/>
          <w:kern w:val="2"/>
          <w:sz w:val="28"/>
          <w:szCs w:val="28"/>
          <w:lang w:val="en-US" w:eastAsia="zh-CN" w:bidi="ar-SA"/>
        </w:rPr>
        <w:t>最高最佳使用是估价对象的一种最可能的使用，这种最可能的使用方法是法律上允许、技术上可行、经济上合理，经过充分合理的论证，并能给估价对象带来最高价值的使用，它的一种具体表现是以使估价对象获利最多的用途和形式来衡量，也就是说评估价值应当是在合法使用方式下，各种可能的使用方式中，能够获得最大收益的使用方式的估价结果。根据估价对象的个别因素和区位条件，我们认为估价对象的规划用途为其最佳用途，估价对象用</w:t>
      </w:r>
      <w:bookmarkStart w:id="0" w:name="_GoBack"/>
      <w:bookmarkEnd w:id="0"/>
      <w:r>
        <w:rPr>
          <w:rFonts w:hint="eastAsia" w:ascii="仿宋_GB2312" w:hAnsi="宋体" w:eastAsia="仿宋_GB2312" w:cs="Times New Roman"/>
          <w:kern w:val="2"/>
          <w:sz w:val="28"/>
          <w:szCs w:val="28"/>
          <w:lang w:val="en-US" w:eastAsia="zh-CN" w:bidi="ar-SA"/>
        </w:rPr>
        <w:t>途为住宅，并保持其实体现状、持续使用为前提。</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四、估价方法的选用</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在认真分析所掌握的资料，并对估价对象进行实地勘查以及对周边房地产市场进行调查后，根据估价规范要求以及估价对象的特点、评估目的及宗地所处区域因素等，遵照国家法律、法规和估价技术标准，针对估价对象是住宅房屋，调查房地产中介机构等有类似房地产交易案例，并对估价对象进行现场勘验，经过反复研究，我们确定采用市场法测算估价对象的公开市场价值。</w:t>
      </w:r>
    </w:p>
    <w:p>
      <w:pPr>
        <w:ind w:firstLine="560" w:firstLineChars="200"/>
        <w:rPr>
          <w:rFonts w:ascii="仿宋" w:hAnsi="仿宋" w:eastAsia="仿宋" w:cs="Arial"/>
          <w:color w:val="333333"/>
          <w:sz w:val="28"/>
          <w:szCs w:val="28"/>
          <w:shd w:val="clear" w:color="auto" w:fill="FFFFFF"/>
        </w:rPr>
      </w:pPr>
      <w:r>
        <w:rPr>
          <w:rFonts w:hint="eastAsia" w:ascii="仿宋_GB2312" w:hAnsi="宋体" w:eastAsia="仿宋_GB2312" w:cs="Times New Roman"/>
          <w:kern w:val="2"/>
          <w:sz w:val="28"/>
          <w:szCs w:val="28"/>
          <w:lang w:val="en-US" w:eastAsia="zh-CN" w:bidi="ar-SA"/>
        </w:rPr>
        <w:t>市场法也称市场价格比较法，是指通过比较被评估资产与最近售出类似资产的异同，并将类似的市场价格进行调整，从而确定被评估资产价值的一种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ind w:firstLine="560" w:firstLineChars="200"/>
        <w:rPr>
          <w:rFonts w:hint="eastAsia" w:ascii="仿宋_GB2312" w:hAnsi="仿宋" w:eastAsia="仿宋_GB2312"/>
          <w:b/>
          <w:sz w:val="28"/>
          <w:szCs w:val="28"/>
          <w:lang w:val="en-US" w:eastAsia="zh-CN"/>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r>
        <w:rPr>
          <w:rFonts w:hint="eastAsia" w:ascii="仿宋_GB2312" w:hAnsi="仿宋" w:eastAsia="仿宋_GB2312"/>
          <w:b/>
          <w:sz w:val="28"/>
          <w:szCs w:val="28"/>
          <w:lang w:val="en-US" w:eastAsia="zh-CN"/>
        </w:rPr>
        <w:t xml:space="preserve">  </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b/>
          <w:bCs/>
          <w:kern w:val="2"/>
          <w:sz w:val="28"/>
          <w:szCs w:val="28"/>
          <w:highlight w:val="none"/>
          <w:lang w:val="en-US" w:eastAsia="zh-CN" w:bidi="ar-SA"/>
        </w:rPr>
        <w:t>五、估价过程</w:t>
      </w:r>
    </w:p>
    <w:p>
      <w:pPr>
        <w:ind w:firstLine="560" w:firstLineChars="200"/>
        <w:rPr>
          <w:rFonts w:hint="default" w:ascii="仿宋" w:hAnsi="仿宋" w:eastAsia="仿宋"/>
          <w:sz w:val="28"/>
          <w:szCs w:val="28"/>
          <w:lang w:val="en-US" w:eastAsia="zh-CN"/>
        </w:rPr>
      </w:pPr>
      <w:r>
        <w:rPr>
          <w:rFonts w:hint="eastAsia" w:ascii="仿宋_GB2312" w:hAnsi="宋体" w:eastAsia="仿宋_GB2312" w:cs="Times New Roman"/>
          <w:kern w:val="2"/>
          <w:sz w:val="28"/>
          <w:szCs w:val="28"/>
          <w:lang w:val="en-US" w:eastAsia="zh-CN" w:bidi="ar-SA"/>
        </w:rPr>
        <w:t>接受委托后，我们会同委托人及相关当事人对估价对象进行了实地勘查，随后开展了广泛的市场调查。经调查研究，</w:t>
      </w:r>
      <w:r>
        <w:rPr>
          <w:rFonts w:hint="eastAsia" w:ascii="仿宋" w:hAnsi="仿宋" w:eastAsia="仿宋"/>
          <w:sz w:val="28"/>
          <w:szCs w:val="28"/>
          <w:lang w:eastAsia="zh-CN"/>
        </w:rPr>
        <w:t>估价人员确定采用市场法进行评估</w:t>
      </w:r>
      <w:r>
        <w:rPr>
          <w:rFonts w:hint="eastAsia" w:ascii="仿宋" w:hAnsi="仿宋" w:eastAsia="仿宋"/>
          <w:sz w:val="28"/>
          <w:szCs w:val="28"/>
        </w:rPr>
        <w:t>测算</w:t>
      </w:r>
      <w:r>
        <w:rPr>
          <w:rFonts w:hint="eastAsia" w:ascii="仿宋" w:hAnsi="仿宋" w:eastAsia="仿宋"/>
          <w:sz w:val="28"/>
          <w:szCs w:val="28"/>
          <w:lang w:val="en-US" w:eastAsia="zh-CN"/>
        </w:rPr>
        <w:t>。</w:t>
      </w:r>
    </w:p>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1、比较实例选择</w:t>
      </w:r>
    </w:p>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针对估价对象的功能和特点，根据替代原则，按照用途相同、土地级别相同、价格类型相同等特点，对与估价对象在同一区域内的类似住宅进行了市场调查和比较分析，按照估价要求，</w:t>
      </w:r>
      <w:r>
        <w:rPr>
          <w:rFonts w:hint="eastAsia" w:ascii="仿宋_GB2312" w:hAnsi="宋体" w:eastAsia="仿宋_GB2312" w:cs="Times New Roman"/>
          <w:kern w:val="2"/>
          <w:sz w:val="28"/>
          <w:szCs w:val="28"/>
          <w:highlight w:val="none"/>
          <w:lang w:val="en-US" w:eastAsia="zh-CN" w:bidi="ar-SA"/>
        </w:rPr>
        <w:t>筛选距估价对象500米内的三个可比实例。</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highlight w:val="none"/>
          <w:lang w:val="en-US" w:eastAsia="zh-CN" w:bidi="ar-SA"/>
        </w:rPr>
        <w:t>实例A：</w:t>
      </w:r>
      <w:r>
        <w:rPr>
          <w:rFonts w:hint="eastAsia" w:ascii="仿宋_GB2312" w:hAnsi="宋体" w:eastAsia="仿宋_GB2312" w:cs="Times New Roman"/>
          <w:kern w:val="2"/>
          <w:sz w:val="28"/>
          <w:szCs w:val="28"/>
          <w:lang w:val="en-US" w:eastAsia="zh-CN" w:bidi="ar-SA"/>
        </w:rPr>
        <w:t>槐荫小区住宅，2009年建成，总层数6层，所在层5层，户型为三室二厅，南北朝向，普装，建筑面积98平米，拟交易总价45万，折合单价约为4592元/平米，拟交易日期2021年7月份。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实例B：槐荫小区住宅，2008年建成，总层数8层，所在层6层，户型为三室二厅，南北朝向，精装，建筑面积99.5平米，拟交易总价49万，折合单价约为4925元/平米，拟交易日期2021年7月份。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实例C：长征佳园小区住宅，2004年建成，总层数7层，所在层6层，户型为二室二厅，南北朝向，精装，建筑面积85平米，拟交易总价43万，折合单价约为5059元/平米，拟交易日期2021年7月份。</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2、比较因素条件说明</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估价对象和比较实例的比较因素条件说明见表1。</w:t>
      </w:r>
    </w:p>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比较因素条件说明表1</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2054"/>
        <w:gridCol w:w="1446"/>
        <w:gridCol w:w="1567"/>
        <w:gridCol w:w="1778"/>
        <w:gridCol w:w="1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2" w:hRule="atLeast"/>
        </w:trPr>
        <w:tc>
          <w:tcPr>
            <w:tcW w:w="3321" w:type="dxa"/>
            <w:gridSpan w:val="2"/>
            <w:vAlign w:val="top"/>
          </w:tcPr>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因素</w:t>
            </w:r>
          </w:p>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8"/>
                <w:szCs w:val="28"/>
                <w:vertAlign w:val="baseline"/>
                <w:lang w:val="en-US" w:eastAsia="zh-CN"/>
              </w:rPr>
              <w:t>估价对象与</w:t>
            </w:r>
            <w:r>
              <w:rPr>
                <w:rFonts w:hint="eastAsia" w:ascii="仿宋" w:hAnsi="仿宋" w:eastAsia="仿宋" w:cs="仿宋"/>
                <w:sz w:val="24"/>
                <w:szCs w:val="24"/>
                <w:vertAlign w:val="baseline"/>
                <w:lang w:val="en-US" w:eastAsia="zh-CN"/>
              </w:rPr>
              <w:t>案例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估价</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对象</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A </w:t>
            </w:r>
          </w:p>
        </w:tc>
        <w:tc>
          <w:tcPr>
            <w:tcW w:w="1778"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B </w:t>
            </w:r>
          </w:p>
        </w:tc>
        <w:tc>
          <w:tcPr>
            <w:tcW w:w="140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7" w:hRule="atLeast"/>
        </w:trPr>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座 落位 置</w:t>
            </w:r>
          </w:p>
        </w:tc>
        <w:tc>
          <w:tcPr>
            <w:tcW w:w="1446" w:type="dxa"/>
            <w:vAlign w:val="top"/>
          </w:tcPr>
          <w:p>
            <w:pPr>
              <w:numPr>
                <w:ilvl w:val="0"/>
                <w:numId w:val="0"/>
              </w:numPr>
              <w:ind w:left="0" w:leftChars="0" w:firstLine="0" w:firstLineChars="0"/>
              <w:jc w:val="both"/>
              <w:rPr>
                <w:rFonts w:hint="default" w:ascii="仿宋" w:hAnsi="仿宋" w:eastAsia="仿宋" w:cs="仿宋"/>
                <w:sz w:val="24"/>
                <w:szCs w:val="24"/>
                <w:vertAlign w:val="baseline"/>
                <w:lang w:val="en-US" w:eastAsia="zh-CN"/>
              </w:rPr>
            </w:pPr>
            <w:r>
              <w:rPr>
                <w:rFonts w:hint="eastAsia" w:ascii="仿宋" w:hAnsi="仿宋" w:eastAsia="仿宋" w:cs="仿宋"/>
                <w:sz w:val="21"/>
                <w:szCs w:val="21"/>
                <w:vertAlign w:val="baseline"/>
                <w:lang w:val="en-US" w:eastAsia="zh-CN"/>
              </w:rPr>
              <w:t>长征路3号1幢1层101室</w:t>
            </w:r>
          </w:p>
        </w:tc>
        <w:tc>
          <w:tcPr>
            <w:tcW w:w="1567" w:type="dxa"/>
            <w:vAlign w:val="top"/>
          </w:tcPr>
          <w:p>
            <w:pPr>
              <w:numPr>
                <w:ilvl w:val="0"/>
                <w:numId w:val="0"/>
              </w:numPr>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lang w:val="en-US" w:eastAsia="zh-CN"/>
              </w:rPr>
              <w:t>槐荫小区</w:t>
            </w:r>
          </w:p>
        </w:tc>
        <w:tc>
          <w:tcPr>
            <w:tcW w:w="1778" w:type="dxa"/>
            <w:vAlign w:val="top"/>
          </w:tcPr>
          <w:p>
            <w:pPr>
              <w:numPr>
                <w:ilvl w:val="0"/>
                <w:numId w:val="0"/>
              </w:numPr>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lang w:val="en-US" w:eastAsia="zh-CN"/>
              </w:rPr>
              <w:t>槐荫小区</w:t>
            </w:r>
          </w:p>
        </w:tc>
        <w:tc>
          <w:tcPr>
            <w:tcW w:w="1405"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长征佳园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楼盘名称</w:t>
            </w:r>
          </w:p>
        </w:tc>
        <w:tc>
          <w:tcPr>
            <w:tcW w:w="1446" w:type="dxa"/>
            <w:vAlign w:val="top"/>
          </w:tcPr>
          <w:p>
            <w:pPr>
              <w:numPr>
                <w:ilvl w:val="0"/>
                <w:numId w:val="0"/>
              </w:numP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区人社局</w:t>
            </w:r>
          </w:p>
          <w:p>
            <w:pPr>
              <w:numPr>
                <w:ilvl w:val="0"/>
                <w:numId w:val="0"/>
              </w:numPr>
              <w:ind w:left="0" w:leftChars="0" w:firstLine="0" w:firstLineChars="0"/>
              <w:jc w:val="center"/>
              <w:rPr>
                <w:rFonts w:hint="default" w:ascii="仿宋" w:hAnsi="仿宋" w:eastAsia="仿宋" w:cs="仿宋"/>
                <w:sz w:val="30"/>
                <w:szCs w:val="30"/>
                <w:vertAlign w:val="baseline"/>
                <w:lang w:val="en-US" w:eastAsia="zh-CN"/>
              </w:rPr>
            </w:pPr>
            <w:r>
              <w:rPr>
                <w:rFonts w:hint="eastAsia" w:ascii="仿宋" w:hAnsi="仿宋" w:eastAsia="仿宋" w:cs="仿宋"/>
                <w:color w:val="auto"/>
                <w:sz w:val="24"/>
                <w:szCs w:val="24"/>
                <w:lang w:val="en-US" w:eastAsia="zh-CN"/>
              </w:rPr>
              <w:t>宿舍</w:t>
            </w:r>
          </w:p>
        </w:tc>
        <w:tc>
          <w:tcPr>
            <w:tcW w:w="1567" w:type="dxa"/>
            <w:vAlign w:val="top"/>
          </w:tcPr>
          <w:p>
            <w:pPr>
              <w:numPr>
                <w:ilvl w:val="0"/>
                <w:numId w:val="0"/>
              </w:numPr>
              <w:ind w:left="0" w:leftChars="0" w:firstLine="0" w:firstLineChars="0"/>
              <w:jc w:val="both"/>
              <w:rPr>
                <w:rFonts w:hint="eastAsia"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槐荫小区</w:t>
            </w:r>
          </w:p>
        </w:tc>
        <w:tc>
          <w:tcPr>
            <w:tcW w:w="1778" w:type="dxa"/>
            <w:vAlign w:val="top"/>
          </w:tcPr>
          <w:p>
            <w:pPr>
              <w:numPr>
                <w:ilvl w:val="0"/>
                <w:numId w:val="0"/>
              </w:numPr>
              <w:ind w:left="0" w:leftChars="0" w:firstLine="0" w:firstLineChars="0"/>
              <w:jc w:val="center"/>
              <w:rPr>
                <w:rFonts w:hint="eastAsia" w:ascii="仿宋" w:hAnsi="仿宋" w:eastAsia="仿宋" w:cs="仿宋"/>
                <w:sz w:val="30"/>
                <w:szCs w:val="30"/>
                <w:vertAlign w:val="baseline"/>
                <w:lang w:val="en-US" w:eastAsia="zh-CN"/>
              </w:rPr>
            </w:pPr>
            <w:r>
              <w:rPr>
                <w:rFonts w:hint="eastAsia" w:ascii="仿宋" w:hAnsi="仿宋" w:eastAsia="仿宋" w:cs="仿宋"/>
                <w:color w:val="auto"/>
                <w:sz w:val="28"/>
                <w:szCs w:val="28"/>
                <w:lang w:val="en-US" w:eastAsia="zh-CN"/>
              </w:rPr>
              <w:t>槐荫小区</w:t>
            </w:r>
          </w:p>
        </w:tc>
        <w:tc>
          <w:tcPr>
            <w:tcW w:w="1405"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长征佳园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w:t>
            </w:r>
            <w:r>
              <w:rPr>
                <w:rFonts w:hint="eastAsia" w:ascii="仿宋" w:hAnsi="仿宋" w:eastAsia="仿宋" w:cs="仿宋"/>
                <w:color w:val="auto"/>
                <w:sz w:val="30"/>
                <w:szCs w:val="30"/>
                <w:lang w:val="en-US" w:eastAsia="zh-CN"/>
              </w:rPr>
              <w:t>M</w:t>
            </w:r>
            <w:r>
              <w:rPr>
                <w:rFonts w:hint="eastAsia" w:ascii="仿宋" w:hAnsi="仿宋" w:eastAsia="仿宋" w:cs="仿宋"/>
                <w:color w:val="auto"/>
                <w:sz w:val="30"/>
                <w:szCs w:val="30"/>
                <w:vertAlign w:val="superscript"/>
                <w:lang w:val="en-US" w:eastAsia="zh-CN"/>
              </w:rPr>
              <w:t>2</w:t>
            </w:r>
            <w:r>
              <w:rPr>
                <w:rFonts w:hint="eastAsia" w:ascii="仿宋" w:hAnsi="仿宋" w:eastAsia="仿宋" w:cs="仿宋"/>
                <w:sz w:val="30"/>
                <w:szCs w:val="30"/>
                <w:vertAlign w:val="baseline"/>
                <w:lang w:val="en-US" w:eastAsia="zh-CN"/>
              </w:rPr>
              <w:t>)</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highlight w:val="none"/>
                <w:vertAlign w:val="baseline"/>
                <w:lang w:val="en-US" w:eastAsia="zh-CN"/>
              </w:rPr>
              <w:t>4592</w:t>
            </w:r>
          </w:p>
        </w:tc>
        <w:tc>
          <w:tcPr>
            <w:tcW w:w="1778"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4925</w:t>
            </w:r>
          </w:p>
        </w:tc>
        <w:tc>
          <w:tcPr>
            <w:tcW w:w="1405"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5059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778"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40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778"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40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市场</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状况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交易日期</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2021.7</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2021.7</w:t>
            </w:r>
          </w:p>
        </w:tc>
        <w:tc>
          <w:tcPr>
            <w:tcW w:w="1778"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2021.7</w:t>
            </w:r>
          </w:p>
        </w:tc>
        <w:tc>
          <w:tcPr>
            <w:tcW w:w="1405"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both"/>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区域繁华程度</w:t>
            </w:r>
          </w:p>
        </w:tc>
        <w:tc>
          <w:tcPr>
            <w:tcW w:w="1446"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较高</w:t>
            </w:r>
          </w:p>
        </w:tc>
        <w:tc>
          <w:tcPr>
            <w:tcW w:w="1567"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较高</w:t>
            </w:r>
          </w:p>
        </w:tc>
        <w:tc>
          <w:tcPr>
            <w:tcW w:w="1778"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较高</w:t>
            </w:r>
          </w:p>
        </w:tc>
        <w:tc>
          <w:tcPr>
            <w:tcW w:w="1405"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较高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交通便捷程度</w:t>
            </w:r>
          </w:p>
        </w:tc>
        <w:tc>
          <w:tcPr>
            <w:tcW w:w="1446"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便捷</w:t>
            </w:r>
          </w:p>
        </w:tc>
        <w:tc>
          <w:tcPr>
            <w:tcW w:w="1567"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便捷</w:t>
            </w:r>
          </w:p>
        </w:tc>
        <w:tc>
          <w:tcPr>
            <w:tcW w:w="1778"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便捷</w:t>
            </w:r>
          </w:p>
        </w:tc>
        <w:tc>
          <w:tcPr>
            <w:tcW w:w="1405"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便捷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公共设施配套</w:t>
            </w:r>
          </w:p>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24"/>
                <w:szCs w:val="24"/>
                <w:highlight w:val="none"/>
                <w:vertAlign w:val="baseline"/>
                <w:lang w:val="en-US" w:eastAsia="zh-CN"/>
              </w:rPr>
              <w:t>完备程度</w:t>
            </w:r>
          </w:p>
        </w:tc>
        <w:tc>
          <w:tcPr>
            <w:tcW w:w="1446"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完善</w:t>
            </w:r>
          </w:p>
        </w:tc>
        <w:tc>
          <w:tcPr>
            <w:tcW w:w="1567"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完善</w:t>
            </w:r>
          </w:p>
        </w:tc>
        <w:tc>
          <w:tcPr>
            <w:tcW w:w="1778"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完善</w:t>
            </w:r>
          </w:p>
        </w:tc>
        <w:tc>
          <w:tcPr>
            <w:tcW w:w="1405"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区域环境景观</w:t>
            </w:r>
          </w:p>
        </w:tc>
        <w:tc>
          <w:tcPr>
            <w:tcW w:w="1446"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567"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778"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405"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绿地覆盖度</w:t>
            </w:r>
          </w:p>
        </w:tc>
        <w:tc>
          <w:tcPr>
            <w:tcW w:w="1446"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567"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778"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405"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446"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778"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405"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778"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40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778"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40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权属清晰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778"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40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778"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40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所在层/总层数</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1/5</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5/6</w:t>
            </w:r>
          </w:p>
        </w:tc>
        <w:tc>
          <w:tcPr>
            <w:tcW w:w="1778"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6/8</w:t>
            </w:r>
          </w:p>
        </w:tc>
        <w:tc>
          <w:tcPr>
            <w:tcW w:w="1405"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面积大小</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778"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40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三室二厅</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三室二厅</w:t>
            </w:r>
          </w:p>
        </w:tc>
        <w:tc>
          <w:tcPr>
            <w:tcW w:w="1778"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三室二厅</w:t>
            </w:r>
          </w:p>
        </w:tc>
        <w:tc>
          <w:tcPr>
            <w:tcW w:w="140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二室二厅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446" w:type="dxa"/>
            <w:vAlign w:val="top"/>
          </w:tcPr>
          <w:p>
            <w:pPr>
              <w:jc w:val="center"/>
              <w:rPr>
                <w:rFonts w:hint="default" w:ascii="仿宋" w:hAnsi="仿宋" w:eastAsia="仿宋" w:cs="仿宋"/>
                <w:color w:val="FF0000"/>
                <w:sz w:val="30"/>
                <w:szCs w:val="30"/>
                <w:vertAlign w:val="baseline"/>
                <w:lang w:val="en-US" w:eastAsia="zh-CN"/>
              </w:rPr>
            </w:pPr>
            <w:r>
              <w:rPr>
                <w:rFonts w:hint="eastAsia" w:ascii="仿宋" w:hAnsi="仿宋" w:eastAsia="仿宋" w:cs="仿宋"/>
                <w:color w:val="auto"/>
                <w:sz w:val="30"/>
                <w:szCs w:val="30"/>
                <w:vertAlign w:val="baseline"/>
                <w:lang w:val="en-US" w:eastAsia="zh-CN"/>
              </w:rPr>
              <w:t>简装</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color w:val="auto"/>
                <w:sz w:val="30"/>
                <w:szCs w:val="30"/>
                <w:vertAlign w:val="baseline"/>
                <w:lang w:val="en-US" w:eastAsia="zh-CN"/>
              </w:rPr>
              <w:t>普装</w:t>
            </w:r>
          </w:p>
        </w:tc>
        <w:tc>
          <w:tcPr>
            <w:tcW w:w="1778"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color w:val="auto"/>
                <w:sz w:val="30"/>
                <w:szCs w:val="30"/>
                <w:vertAlign w:val="baseline"/>
                <w:lang w:val="en-US" w:eastAsia="zh-CN"/>
              </w:rPr>
              <w:t>精装</w:t>
            </w:r>
          </w:p>
        </w:tc>
        <w:tc>
          <w:tcPr>
            <w:tcW w:w="140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color w:val="auto"/>
                <w:sz w:val="30"/>
                <w:szCs w:val="30"/>
                <w:vertAlign w:val="baseline"/>
                <w:lang w:val="en-US" w:eastAsia="zh-CN"/>
              </w:rPr>
              <w:t>精装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朝向及采光</w:t>
            </w:r>
            <w:r>
              <w:rPr>
                <w:rFonts w:hint="eastAsia" w:ascii="仿宋" w:hAnsi="仿宋" w:eastAsia="仿宋" w:cs="仿宋"/>
                <w:sz w:val="30"/>
                <w:szCs w:val="30"/>
                <w:vertAlign w:val="baseline"/>
                <w:lang w:val="en-US" w:eastAsia="zh-CN"/>
              </w:rPr>
              <w:t>通风</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vertAlign w:val="baseline"/>
                <w:lang w:val="en-US" w:eastAsia="zh-CN"/>
              </w:rPr>
              <w:t>南北，好</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vertAlign w:val="baseline"/>
                <w:lang w:val="en-US" w:eastAsia="zh-CN"/>
              </w:rPr>
              <w:t>南北，好</w:t>
            </w:r>
          </w:p>
        </w:tc>
        <w:tc>
          <w:tcPr>
            <w:tcW w:w="1778"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vertAlign w:val="baseline"/>
                <w:lang w:val="en-US" w:eastAsia="zh-CN"/>
              </w:rPr>
              <w:t>南北，好</w:t>
            </w:r>
          </w:p>
        </w:tc>
        <w:tc>
          <w:tcPr>
            <w:tcW w:w="140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vertAlign w:val="baseline"/>
                <w:lang w:val="en-US" w:eastAsia="zh-CN"/>
              </w:rPr>
              <w:t>南北，好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778"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40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标准层高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新旧程度</w:t>
            </w:r>
          </w:p>
        </w:tc>
        <w:tc>
          <w:tcPr>
            <w:tcW w:w="14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51.7%</w:t>
            </w:r>
          </w:p>
        </w:tc>
        <w:tc>
          <w:tcPr>
            <w:tcW w:w="15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80%</w:t>
            </w:r>
          </w:p>
        </w:tc>
        <w:tc>
          <w:tcPr>
            <w:tcW w:w="1778"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78.3%</w:t>
            </w:r>
          </w:p>
        </w:tc>
        <w:tc>
          <w:tcPr>
            <w:tcW w:w="1405"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778"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40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ind w:firstLine="300" w:firstLineChars="100"/>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封闭院落</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有</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有</w:t>
            </w:r>
          </w:p>
        </w:tc>
        <w:tc>
          <w:tcPr>
            <w:tcW w:w="1778"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有</w:t>
            </w:r>
          </w:p>
        </w:tc>
        <w:tc>
          <w:tcPr>
            <w:tcW w:w="140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有</w:t>
            </w:r>
          </w:p>
        </w:tc>
      </w:tr>
    </w:tbl>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3、编制比较因素修正指数表</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根据估价对象与比较实例各种因素具体情况，编制比较因素修正指数表，见表2。</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比较因素条件指数表</w:t>
      </w:r>
      <w:r>
        <w:rPr>
          <w:rFonts w:hint="eastAsia" w:ascii="仿宋" w:hAnsi="仿宋" w:eastAsia="仿宋" w:cs="仿宋"/>
          <w:sz w:val="30"/>
          <w:szCs w:val="30"/>
          <w:lang w:val="en-US" w:eastAsia="zh-CN"/>
        </w:rPr>
        <w:t>2</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因素</w:t>
            </w:r>
          </w:p>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估价对象与案例</w:t>
            </w:r>
          </w:p>
        </w:tc>
        <w:tc>
          <w:tcPr>
            <w:tcW w:w="11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估价</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对象</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A </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可比案例B </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成交单价（元/平米）</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highlight w:val="none"/>
                <w:vertAlign w:val="baseline"/>
                <w:lang w:val="en-US" w:eastAsia="zh-CN"/>
              </w:rPr>
              <w:t>4592</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4925</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5059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1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市场状况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146"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所在楼层</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101</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101</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面积大小</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105</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110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朝向</w:t>
            </w:r>
            <w:r>
              <w:rPr>
                <w:rFonts w:hint="eastAsia" w:ascii="仿宋" w:hAnsi="仿宋" w:eastAsia="仿宋" w:cs="仿宋"/>
                <w:sz w:val="24"/>
                <w:szCs w:val="24"/>
                <w:vertAlign w:val="baseline"/>
                <w:lang w:val="en-US" w:eastAsia="zh-CN"/>
              </w:rPr>
              <w:t>及采光</w:t>
            </w:r>
            <w:r>
              <w:rPr>
                <w:rFonts w:hint="eastAsia" w:ascii="仿宋" w:hAnsi="仿宋" w:eastAsia="仿宋" w:cs="仿宋"/>
                <w:sz w:val="30"/>
                <w:szCs w:val="30"/>
                <w:vertAlign w:val="baseline"/>
                <w:lang w:val="en-US" w:eastAsia="zh-CN"/>
              </w:rPr>
              <w:t>通风</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新旧程度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106</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105</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146"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封闭院落</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112</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116</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115</w:t>
            </w: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4、比较因素修正系数确定</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在因素条件指数表的基础上，将估价对象的因素条件指数与可比实例的因素条件指数进行比较，得到比较因素修正系数，见表3。</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比较因素修正系数表</w:t>
      </w:r>
      <w:r>
        <w:rPr>
          <w:rFonts w:hint="eastAsia" w:ascii="仿宋" w:hAnsi="仿宋" w:eastAsia="仿宋" w:cs="仿宋"/>
          <w:sz w:val="30"/>
          <w:szCs w:val="30"/>
          <w:lang w:val="en-US" w:eastAsia="zh-CN"/>
        </w:rPr>
        <w:t>3</w:t>
      </w:r>
    </w:p>
    <w:tbl>
      <w:tblPr>
        <w:tblStyle w:val="9"/>
        <w:tblW w:w="97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4" w:hRule="atLeast"/>
        </w:trPr>
        <w:tc>
          <w:tcPr>
            <w:tcW w:w="3321" w:type="dxa"/>
            <w:gridSpan w:val="2"/>
            <w:vAlign w:val="top"/>
          </w:tcPr>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因素</w:t>
            </w:r>
          </w:p>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估价对象与案例</w:t>
            </w:r>
          </w:p>
        </w:tc>
        <w:tc>
          <w:tcPr>
            <w:tcW w:w="1146"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估价</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对象</w:t>
            </w:r>
          </w:p>
        </w:tc>
        <w:tc>
          <w:tcPr>
            <w:tcW w:w="1867" w:type="dxa"/>
            <w:vAlign w:val="top"/>
          </w:tcPr>
          <w:p>
            <w:pPr>
              <w:spacing w:line="72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可比案例A</w:t>
            </w:r>
          </w:p>
        </w:tc>
        <w:tc>
          <w:tcPr>
            <w:tcW w:w="1550" w:type="dxa"/>
            <w:vAlign w:val="top"/>
          </w:tcPr>
          <w:p>
            <w:pPr>
              <w:spacing w:line="72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可比案例B</w:t>
            </w:r>
          </w:p>
        </w:tc>
        <w:tc>
          <w:tcPr>
            <w:tcW w:w="1833" w:type="dxa"/>
            <w:vAlign w:val="top"/>
          </w:tcPr>
          <w:p>
            <w:pPr>
              <w:spacing w:line="72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成交单价（元/平米）</w:t>
            </w:r>
          </w:p>
        </w:tc>
        <w:tc>
          <w:tcPr>
            <w:tcW w:w="1146"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w:t>
            </w:r>
          </w:p>
        </w:tc>
        <w:tc>
          <w:tcPr>
            <w:tcW w:w="1867"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sz w:val="24"/>
                <w:szCs w:val="24"/>
                <w:highlight w:val="none"/>
                <w:vertAlign w:val="baseline"/>
                <w:lang w:val="en-US" w:eastAsia="zh-CN"/>
              </w:rPr>
              <w:t>4592</w:t>
            </w:r>
          </w:p>
        </w:tc>
        <w:tc>
          <w:tcPr>
            <w:tcW w:w="1550"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sz w:val="24"/>
                <w:szCs w:val="24"/>
                <w:vertAlign w:val="baseline"/>
                <w:lang w:val="en-US" w:eastAsia="zh-CN"/>
              </w:rPr>
              <w:t>4925</w:t>
            </w:r>
          </w:p>
        </w:tc>
        <w:tc>
          <w:tcPr>
            <w:tcW w:w="1833"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sz w:val="24"/>
                <w:szCs w:val="24"/>
                <w:vertAlign w:val="baseline"/>
                <w:lang w:val="en-US" w:eastAsia="zh-CN"/>
              </w:rPr>
              <w:t>5059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交易</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情况</w:t>
            </w: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交易情况</w:t>
            </w:r>
          </w:p>
        </w:tc>
        <w:tc>
          <w:tcPr>
            <w:tcW w:w="1146"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67"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550"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33"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4"/>
                <w:szCs w:val="24"/>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类型</w:t>
            </w:r>
          </w:p>
        </w:tc>
        <w:tc>
          <w:tcPr>
            <w:tcW w:w="1146"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67"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550"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33"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市场状况调整系数</w:t>
            </w:r>
          </w:p>
        </w:tc>
        <w:tc>
          <w:tcPr>
            <w:tcW w:w="1146"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67"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550"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33"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区域状况调整系数</w:t>
            </w:r>
          </w:p>
        </w:tc>
        <w:tc>
          <w:tcPr>
            <w:tcW w:w="1146" w:type="dxa"/>
            <w:vAlign w:val="top"/>
          </w:tcPr>
          <w:p>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67" w:type="dxa"/>
            <w:vAlign w:val="top"/>
          </w:tcPr>
          <w:p>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550" w:type="dxa"/>
            <w:vAlign w:val="top"/>
          </w:tcPr>
          <w:p>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33" w:type="dxa"/>
            <w:vAlign w:val="top"/>
          </w:tcPr>
          <w:p>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权益状况调整系数</w:t>
            </w:r>
          </w:p>
        </w:tc>
        <w:tc>
          <w:tcPr>
            <w:tcW w:w="1146" w:type="dxa"/>
            <w:vAlign w:val="top"/>
          </w:tcPr>
          <w:p>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67" w:type="dxa"/>
            <w:vAlign w:val="top"/>
          </w:tcPr>
          <w:p>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550" w:type="dxa"/>
            <w:vAlign w:val="top"/>
          </w:tcPr>
          <w:p>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33"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实物状况调整系数</w:t>
            </w:r>
          </w:p>
        </w:tc>
        <w:tc>
          <w:tcPr>
            <w:tcW w:w="1146"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100</w:t>
            </w:r>
          </w:p>
        </w:tc>
        <w:tc>
          <w:tcPr>
            <w:tcW w:w="1867"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112</w:t>
            </w:r>
          </w:p>
        </w:tc>
        <w:tc>
          <w:tcPr>
            <w:tcW w:w="1550"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116</w:t>
            </w:r>
          </w:p>
        </w:tc>
        <w:tc>
          <w:tcPr>
            <w:tcW w:w="1833"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比准价格（元/平米）</w:t>
            </w:r>
          </w:p>
        </w:tc>
        <w:tc>
          <w:tcPr>
            <w:tcW w:w="1146"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w:t>
            </w:r>
          </w:p>
        </w:tc>
        <w:tc>
          <w:tcPr>
            <w:tcW w:w="1867"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4100</w:t>
            </w:r>
          </w:p>
        </w:tc>
        <w:tc>
          <w:tcPr>
            <w:tcW w:w="1550"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4246</w:t>
            </w:r>
          </w:p>
        </w:tc>
        <w:tc>
          <w:tcPr>
            <w:tcW w:w="1833"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4399</w:t>
            </w:r>
          </w:p>
        </w:tc>
      </w:tr>
    </w:tbl>
    <w:p>
      <w:pPr>
        <w:numPr>
          <w:ilvl w:val="0"/>
          <w:numId w:val="0"/>
        </w:numPr>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5、求取估价对象价值</w:t>
      </w:r>
    </w:p>
    <w:p>
      <w:pPr>
        <w:numPr>
          <w:ilvl w:val="0"/>
          <w:numId w:val="0"/>
        </w:numPr>
        <w:ind w:firstLine="560" w:firstLineChars="200"/>
        <w:jc w:val="left"/>
        <w:rPr>
          <w:rFonts w:hint="default" w:ascii="仿宋" w:hAnsi="仿宋" w:eastAsia="仿宋" w:cs="仿宋"/>
          <w:color w:val="auto"/>
          <w:sz w:val="28"/>
          <w:szCs w:val="28"/>
          <w:lang w:val="en-US" w:eastAsia="zh-CN"/>
        </w:rPr>
      </w:pPr>
      <w:r>
        <w:rPr>
          <w:rFonts w:hint="eastAsia" w:ascii="仿宋" w:hAnsi="仿宋" w:eastAsia="仿宋" w:cs="仿宋"/>
          <w:sz w:val="28"/>
          <w:szCs w:val="28"/>
          <w:lang w:val="en-US" w:eastAsia="zh-CN"/>
        </w:rPr>
        <w:t>由于可比实例A、B、C与估价对象条件类似，比准价格相差不大，因此采取算数平均值的求取方法，</w:t>
      </w:r>
      <w:r>
        <w:rPr>
          <w:rFonts w:hint="eastAsia" w:ascii="仿宋" w:hAnsi="仿宋" w:eastAsia="仿宋" w:cs="仿宋"/>
          <w:color w:val="auto"/>
          <w:sz w:val="28"/>
          <w:szCs w:val="28"/>
          <w:lang w:val="en-US" w:eastAsia="zh-CN"/>
        </w:rPr>
        <w:t>计算出估价对象评估价格。</w:t>
      </w:r>
    </w:p>
    <w:p>
      <w:pPr>
        <w:numPr>
          <w:ilvl w:val="0"/>
          <w:numId w:val="0"/>
        </w:numPr>
        <w:ind w:left="1718" w:leftChars="285" w:hanging="1120" w:hangingChars="4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评估单价=（4100+4246+4399）÷3≈4248(元/平米)</w:t>
      </w:r>
    </w:p>
    <w:p>
      <w:pPr>
        <w:numPr>
          <w:ilvl w:val="0"/>
          <w:numId w:val="0"/>
        </w:numPr>
        <w:ind w:left="1718" w:leftChars="285" w:hanging="1120" w:hangingChars="4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评估值=4248×98.28≈417493（元）</w:t>
      </w:r>
    </w:p>
    <w:p>
      <w:pPr>
        <w:numPr>
          <w:ilvl w:val="0"/>
          <w:numId w:val="0"/>
        </w:numPr>
        <w:ind w:left="1722" w:leftChars="285" w:hanging="1124" w:hangingChars="400"/>
        <w:jc w:val="both"/>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六、估价结果确定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估价人员根据估价目的，遵循估价原则，按照规定估价程序和估价方法，经过具体测算，确定估价对象在估价时点可能形成的市场价值为</w:t>
      </w:r>
      <w:r>
        <w:rPr>
          <w:rFonts w:hint="eastAsia" w:ascii="仿宋_GB2312" w:hAnsi="宋体" w:eastAsia="仿宋_GB2312" w:cs="Times New Roman"/>
          <w:kern w:val="2"/>
          <w:sz w:val="28"/>
          <w:szCs w:val="28"/>
          <w:highlight w:val="none"/>
          <w:lang w:val="en-US" w:eastAsia="zh-CN" w:bidi="ar-SA"/>
        </w:rPr>
        <w:t>￥417493元</w:t>
      </w:r>
      <w:r>
        <w:rPr>
          <w:rFonts w:hint="eastAsia" w:ascii="仿宋_GB2312" w:hAnsi="宋体" w:eastAsia="仿宋_GB2312" w:cs="Times New Roman"/>
          <w:kern w:val="2"/>
          <w:sz w:val="28"/>
          <w:szCs w:val="28"/>
          <w:lang w:val="en-US" w:eastAsia="zh-CN" w:bidi="ar-SA"/>
        </w:rPr>
        <w:t xml:space="preserve">(大写人民币肆拾壹万柒仟肆佰玖拾叁元整)。                        </w:t>
      </w:r>
    </w:p>
    <w:p>
      <w:pPr>
        <w:ind w:firstLine="4200" w:firstLineChars="1500"/>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pPr>
      <w:r>
        <w:rPr>
          <w:rFonts w:hint="eastAsia" w:ascii="仿宋_GB2312" w:hAnsi="宋体" w:eastAsia="仿宋_GB2312" w:cs="Times New Roman"/>
          <w:kern w:val="2"/>
          <w:sz w:val="28"/>
          <w:szCs w:val="28"/>
          <w:highlight w:val="none"/>
          <w:lang w:val="en-US" w:eastAsia="zh-CN" w:bidi="ar-SA"/>
        </w:rPr>
        <w:t xml:space="preserve">                                     二0二一年八月三日</w:t>
      </w:r>
    </w:p>
    <w:sectPr>
      <w:headerReference r:id="rId3" w:type="default"/>
      <w:footerReference r:id="rId4" w:type="default"/>
      <w:footerReference r:id="rId5" w:type="even"/>
      <w:pgSz w:w="11906" w:h="16838"/>
      <w:pgMar w:top="1644" w:right="1520" w:bottom="1361" w:left="15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10002FF" w:usb1="4000ACFF" w:usb2="00000009"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001010101"/>
    <w:charset w:val="86"/>
    <w:family w:val="decorative"/>
    <w:pitch w:val="default"/>
    <w:sig w:usb0="00000000" w:usb1="00000000" w:usb2="00000010" w:usb3="00000000" w:csb0="00040000" w:csb1="00000000"/>
  </w:font>
  <w:font w:name="仿宋">
    <w:panose1 w:val="02010609060101010101"/>
    <w:charset w:val="86"/>
    <w:family w:val="decorative"/>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10002FF" w:usb1="4000ACFF" w:usb2="00000009"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仿宋">
    <w:panose1 w:val="02010609060101010101"/>
    <w:charset w:val="86"/>
    <w:family w:val="swiss"/>
    <w:pitch w:val="default"/>
    <w:sig w:usb0="800002BF" w:usb1="38CF7CFA" w:usb2="00000016" w:usb3="00000000" w:csb0="00040001" w:csb1="00000000"/>
  </w:font>
  <w:font w:name="仿宋_GB2312">
    <w:altName w:val="仿宋"/>
    <w:panose1 w:val="02010609030001010101"/>
    <w:charset w:val="86"/>
    <w:family w:val="roman"/>
    <w:pitch w:val="default"/>
    <w:sig w:usb0="00000000" w:usb1="00000000" w:usb2="00000010" w:usb3="00000000" w:csb0="00040000" w:csb1="00000000"/>
  </w:font>
  <w:font w:name="仿宋">
    <w:panose1 w:val="02010609060101010101"/>
    <w:charset w:val="86"/>
    <w:family w:val="roma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001010101"/>
    <w:charset w:val="86"/>
    <w:family w:val="modern"/>
    <w:pitch w:val="default"/>
    <w:sig w:usb0="00000000" w:usb1="00000000" w:usb2="00000010" w:usb3="00000000" w:csb0="00040000" w:csb1="00000000"/>
  </w:font>
  <w:font w:name="仿宋_GB2312">
    <w:altName w:val="仿宋"/>
    <w:panose1 w:val="02010609030001010101"/>
    <w:charset w:val="86"/>
    <w:family w:val="swiss"/>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 w:name="仿宋_GB2312">
    <w:altName w:val="仿宋"/>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创艺简仿宋">
    <w:altName w:val="宋体"/>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decorative"/>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rPr>
        <w:rFonts w:hint="eastAsia" w:ascii="宋体" w:hAnsi="宋体"/>
        <w:color w:val="000000"/>
        <w:sz w:val="18"/>
        <w:szCs w:val="18"/>
      </w:rPr>
    </w:pPr>
    <w:r>
      <w:rPr>
        <w:rFonts w:hint="eastAsia"/>
        <w:u w:val="single"/>
      </w:rPr>
      <w:t xml:space="preserve">                                                                                            </w:t>
    </w:r>
    <w:r>
      <w:rPr>
        <w:rFonts w:hint="eastAsia" w:ascii="宋体" w:hAnsi="宋体"/>
        <w:sz w:val="18"/>
        <w:szCs w:val="18"/>
      </w:rPr>
      <w:t>公司名称：</w:t>
    </w:r>
    <w:r>
      <w:rPr>
        <w:rFonts w:hint="eastAsia" w:ascii="宋体" w:hAnsi="宋体"/>
        <w:color w:val="000000"/>
        <w:sz w:val="18"/>
        <w:szCs w:val="18"/>
      </w:rPr>
      <w:t>湖北循其本价格鉴定评估有限公司</w:t>
    </w:r>
  </w:p>
  <w:p>
    <w:pPr/>
    <w:r>
      <w:rPr>
        <w:rFonts w:hint="eastAsia" w:ascii="宋体" w:hAnsi="宋体"/>
        <w:sz w:val="18"/>
        <w:szCs w:val="18"/>
      </w:rPr>
      <w:t>网址：</w:t>
    </w:r>
    <w:r>
      <w:rPr>
        <w:rFonts w:ascii="宋体" w:hAnsi="宋体"/>
        <w:sz w:val="18"/>
        <w:szCs w:val="18"/>
      </w:rPr>
      <w:fldChar w:fldCharType="begin"/>
    </w:r>
    <w:r>
      <w:rPr>
        <w:rFonts w:ascii="宋体" w:hAnsi="宋体"/>
        <w:sz w:val="18"/>
        <w:szCs w:val="18"/>
      </w:rPr>
      <w:instrText xml:space="preserve"> HYPERLINK "http://</w:instrText>
    </w:r>
    <w:r>
      <w:rPr>
        <w:rFonts w:hint="eastAsia" w:ascii="宋体" w:hAnsi="宋体"/>
        <w:sz w:val="18"/>
        <w:szCs w:val="18"/>
      </w:rPr>
      <w:instrText xml:space="preserve">www.xqb.cn.com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www.xqb.cn.com</w:t>
    </w:r>
    <w:r>
      <w:rPr>
        <w:rFonts w:ascii="宋体" w:hAnsi="宋体"/>
        <w:sz w:val="18"/>
        <w:szCs w:val="18"/>
      </w:rPr>
      <w:fldChar w:fldCharType="end"/>
    </w:r>
    <w:r>
      <w:rPr>
        <w:rFonts w:hint="eastAsia" w:ascii="宋体" w:hAnsi="宋体"/>
        <w:sz w:val="18"/>
        <w:szCs w:val="18"/>
      </w:rPr>
      <w:t xml:space="preserve">   邮箱：</w:t>
    </w:r>
    <w:r>
      <w:rPr>
        <w:rFonts w:ascii="宋体" w:hAnsi="宋体"/>
        <w:sz w:val="18"/>
        <w:szCs w:val="18"/>
      </w:rPr>
      <w:fldChar w:fldCharType="begin"/>
    </w:r>
    <w:r>
      <w:rPr>
        <w:rFonts w:ascii="宋体" w:hAnsi="宋体"/>
        <w:sz w:val="18"/>
        <w:szCs w:val="18"/>
      </w:rPr>
      <w:instrText xml:space="preserve"> HYPERLINK "mailto:</w:instrText>
    </w:r>
    <w:r>
      <w:rPr>
        <w:rFonts w:hint="eastAsia" w:ascii="宋体" w:hAnsi="宋体"/>
        <w:sz w:val="18"/>
        <w:szCs w:val="18"/>
      </w:rPr>
      <w:instrText xml:space="preserve">boss@xqb.cn.com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boss@xqb.cn.com</w:t>
    </w:r>
    <w:r>
      <w:rPr>
        <w:rFonts w:ascii="宋体" w:hAnsi="宋体"/>
        <w:sz w:val="18"/>
        <w:szCs w:val="18"/>
      </w:rPr>
      <w:fldChar w:fldCharType="end"/>
    </w:r>
    <w:r>
      <w:rPr>
        <w:rFonts w:hint="eastAsia" w:ascii="宋体" w:hAnsi="宋体"/>
        <w:sz w:val="18"/>
        <w:szCs w:val="18"/>
      </w:rPr>
      <w:t>　　</w:t>
    </w:r>
    <w:r>
      <w:rPr>
        <w:rFonts w:hint="eastAsia"/>
      </w:rPr>
      <w:t>　               　　　　</w:t>
    </w:r>
    <w:r>
      <w:rPr>
        <w:rFonts w:hint="eastAsia"/>
        <w:lang w:val="en-US" w:eastAsia="zh-CN"/>
      </w:rPr>
      <w:t xml:space="preserve">  </w:t>
    </w:r>
    <w:r>
      <w:rPr>
        <w:rFonts w:hint="eastAsia"/>
      </w:rPr>
      <w:t>　第</w:t>
    </w:r>
    <w:r>
      <w:rPr>
        <w:sz w:val="18"/>
        <w:szCs w:val="18"/>
      </w:rPr>
      <w:fldChar w:fldCharType="begin"/>
    </w:r>
    <w:r>
      <w:rPr>
        <w:rStyle w:val="6"/>
        <w:sz w:val="18"/>
        <w:szCs w:val="18"/>
      </w:rPr>
      <w:instrText xml:space="preserve"> PAGE </w:instrText>
    </w:r>
    <w:r>
      <w:rPr>
        <w:sz w:val="18"/>
        <w:szCs w:val="18"/>
      </w:rPr>
      <w:fldChar w:fldCharType="separate"/>
    </w:r>
    <w:r>
      <w:rPr>
        <w:rStyle w:val="6"/>
        <w:sz w:val="18"/>
        <w:szCs w:val="18"/>
      </w:rPr>
      <w:t>1</w:t>
    </w:r>
    <w:r>
      <w:rPr>
        <w:sz w:val="18"/>
        <w:szCs w:val="18"/>
      </w:rPr>
      <w:fldChar w:fldCharType="end"/>
    </w:r>
    <w:r>
      <w:rPr>
        <w:rStyle w:val="6"/>
        <w:rFonts w:hint="eastAsia"/>
        <w:sz w:val="18"/>
        <w:szCs w:val="18"/>
      </w:rPr>
      <w:t>页  共</w:t>
    </w:r>
    <w:r>
      <w:rPr>
        <w:rStyle w:val="6"/>
        <w:rFonts w:hint="eastAsia"/>
        <w:sz w:val="18"/>
        <w:szCs w:val="18"/>
        <w:lang w:val="en-US" w:eastAsia="zh-CN"/>
      </w:rPr>
      <w:t>19</w:t>
    </w:r>
    <w:r>
      <w:rPr>
        <w:rStyle w:val="6"/>
        <w:rFonts w:hint="eastAsia"/>
        <w:sz w:val="18"/>
        <w:szCs w:val="18"/>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2"/>
      <w:framePr w:wrap="around" w:vAnchor="text" w:hAnchor="margin" w:xAlign="center" w:y="1"/>
      <w:rPr>
        <w:rStyle w:val="6"/>
      </w:rPr>
    </w:pPr>
    <w:r>
      <w:fldChar w:fldCharType="begin"/>
    </w:r>
    <w:r>
      <w:rPr>
        <w:rStyle w:val="6"/>
      </w:rPr>
      <w:instrText xml:space="preserve">PAGE  </w:instrText>
    </w:r>
    <w:r>
      <w:fldChar w:fldCharType="separate"/>
    </w:r>
    <w:r>
      <w:rPr>
        <w:rStyle w:val="6"/>
      </w:rPr>
      <w:t>5</w:t>
    </w:r>
    <w: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Bdr>
        <w:bottom w:val="none" w:color="auto" w:sz="0" w:space="0"/>
      </w:pBdr>
      <w:rPr>
        <w:rFonts w:hint="eastAsia"/>
      </w:rPr>
    </w:pPr>
  </w:p>
  <w:p>
    <w:pPr>
      <w:rPr>
        <w:rFonts w:hint="eastAsia" w:ascii="宋体" w:hAnsi="宋体"/>
        <w:color w:val="000000"/>
        <w:sz w:val="18"/>
        <w:szCs w:val="18"/>
        <w:u w:val="single"/>
      </w:rPr>
    </w:pPr>
    <w:r>
      <w:rPr>
        <w:rFonts w:hint="eastAsia" w:ascii="宋体" w:hAnsi="宋体"/>
        <w:sz w:val="18"/>
        <w:szCs w:val="18"/>
        <w:u w:val="single"/>
      </w:rPr>
      <w:t>公正　 公平　 公开        　　　　　　　　　　　　　　</w:t>
    </w:r>
    <w:r>
      <w:rPr>
        <w:rFonts w:hint="eastAsia" w:ascii="宋体" w:hAnsi="宋体"/>
        <w:sz w:val="18"/>
        <w:szCs w:val="18"/>
        <w:u w:val="single"/>
        <w:lang w:val="en-US" w:eastAsia="zh-CN"/>
      </w:rPr>
      <w:t xml:space="preserve">                     房地产市场价值</w:t>
    </w:r>
    <w:r>
      <w:rPr>
        <w:rFonts w:hint="eastAsia" w:ascii="宋体" w:hAnsi="宋体"/>
        <w:sz w:val="18"/>
        <w:szCs w:val="18"/>
        <w:u w:val="single"/>
      </w:rPr>
      <w:t>评估报告</w:t>
    </w:r>
  </w:p>
  <w:p>
    <w:pPr>
      <w:widowControl/>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578213565">
    <w:nsid w:val="5E11A0BD"/>
    <w:multiLevelType w:val="singleLevel"/>
    <w:tmpl w:val="5E11A0BD"/>
    <w:lvl w:ilvl="0" w:tentative="1">
      <w:start w:val="1"/>
      <w:numFmt w:val="decimal"/>
      <w:suff w:val="space"/>
      <w:lvlText w:val="%1."/>
      <w:lvlJc w:val="left"/>
    </w:lvl>
  </w:abstractNum>
  <w:num w:numId="1">
    <w:abstractNumId w:val="15782135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DE6F23"/>
    <w:rsid w:val="14B43A04"/>
    <w:rsid w:val="169C38A4"/>
    <w:rsid w:val="208244E5"/>
    <w:rsid w:val="22FC38F4"/>
    <w:rsid w:val="24072546"/>
    <w:rsid w:val="27C2034A"/>
    <w:rsid w:val="28DC0A97"/>
    <w:rsid w:val="29F74A66"/>
    <w:rsid w:val="39DE6F23"/>
    <w:rsid w:val="3AA31842"/>
    <w:rsid w:val="402740CC"/>
    <w:rsid w:val="465374F0"/>
    <w:rsid w:val="48BD40E6"/>
    <w:rsid w:val="4C787385"/>
    <w:rsid w:val="51534CF3"/>
    <w:rsid w:val="5C0A490D"/>
    <w:rsid w:val="60106D27"/>
    <w:rsid w:val="6BF770CD"/>
    <w:rsid w:val="6F45301C"/>
    <w:rsid w:val="7DDA520A"/>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character" w:styleId="6">
    <w:name w:val="page number"/>
    <w:basedOn w:val="5"/>
    <w:qFormat/>
    <w:uiPriority w:val="0"/>
    <w:rPr>
      <w:rFonts w:ascii="Times New Roman" w:hAnsi="Times New Roman" w:eastAsia="宋体" w:cs="Times New Roman"/>
    </w:rPr>
  </w:style>
  <w:style w:type="character" w:styleId="7">
    <w:name w:val="Hyperlink"/>
    <w:basedOn w:val="5"/>
    <w:qFormat/>
    <w:uiPriority w:val="0"/>
    <w:rPr>
      <w:rFonts w:ascii="Times New Roman" w:hAnsi="Times New Roman" w:eastAsia="宋体" w:cs="Times New Roman"/>
      <w:color w:val="0000FF"/>
      <w:u w:val="single"/>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0">
    <w:name w:val="List Paragraph"/>
    <w:basedOn w:val="1"/>
    <w:qFormat/>
    <w:uiPriority w:val="34"/>
    <w:pPr>
      <w:ind w:firstLine="420" w:firstLineChars="200"/>
    </w:pPr>
  </w:style>
  <w:style w:type="character" w:customStyle="1" w:styleId="11">
    <w:name w:val="apple-converted-space"/>
    <w:basedOn w:val="5"/>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2021-07-30T02:59:00Z</dcterms:created>
  <dc:creator>Administrator</dc:creator>
  <cp:lastModifiedBy>Administrator</cp:lastModifiedBy>
  <cp:lastPrinted>2021-08-03T08:05:53Z</cp:lastPrinted>
  <dcterms:modified xsi:type="dcterms:W3CDTF">2021-08-03T08:06:08Z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ies>
</file>