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240" w:lineRule="auto"/>
        <w:jc w:val="center"/>
        <w:textAlignment w:val="bottom"/>
        <w:rPr>
          <w:rFonts w:hint="eastAsia" w:ascii="宋体" w:hAnsi="宋体" w:cs="宋体"/>
          <w:bCs/>
          <w:sz w:val="36"/>
          <w:szCs w:val="36"/>
          <w:lang w:eastAsia="zh-CN"/>
        </w:rPr>
      </w:pPr>
      <w:r>
        <w:rPr>
          <w:rFonts w:hint="eastAsia" w:ascii="宋体" w:hAnsi="宋体" w:cs="宋体"/>
          <w:bCs/>
          <w:sz w:val="36"/>
          <w:szCs w:val="36"/>
          <w:lang w:eastAsia="zh-CN"/>
        </w:rPr>
        <w:t>白日名下所有坐落于辽宁省灯塔市佟二堡镇前八家子村</w:t>
      </w:r>
    </w:p>
    <w:p>
      <w:pPr>
        <w:keepNext w:val="0"/>
        <w:keepLines w:val="0"/>
        <w:pageBreakBefore w:val="0"/>
        <w:widowControl/>
        <w:kinsoku/>
        <w:wordWrap/>
        <w:overflowPunct/>
        <w:topLinePunct w:val="0"/>
        <w:autoSpaceDE w:val="0"/>
        <w:autoSpaceDN w:val="0"/>
        <w:bidi w:val="0"/>
        <w:adjustRightInd/>
        <w:snapToGrid/>
        <w:spacing w:before="40" w:after="40" w:line="240" w:lineRule="auto"/>
        <w:jc w:val="center"/>
        <w:textAlignment w:val="bottom"/>
        <w:rPr>
          <w:rFonts w:hint="eastAsia" w:ascii="宋体" w:hAnsi="宋体" w:cs="宋体"/>
          <w:bCs/>
          <w:sz w:val="36"/>
          <w:szCs w:val="36"/>
          <w:lang w:eastAsia="zh-CN"/>
        </w:rPr>
      </w:pPr>
      <w:r>
        <w:rPr>
          <w:rFonts w:hint="eastAsia" w:ascii="宋体" w:hAnsi="宋体" w:cs="宋体"/>
          <w:bCs/>
          <w:sz w:val="36"/>
          <w:szCs w:val="36"/>
          <w:lang w:eastAsia="zh-CN"/>
        </w:rPr>
        <w:t>农房一处（灯字第佟92147号）及院内附属设施市场价值</w:t>
      </w:r>
    </w:p>
    <w:p>
      <w:pPr>
        <w:keepNext w:val="0"/>
        <w:keepLines w:val="0"/>
        <w:pageBreakBefore w:val="0"/>
        <w:widowControl/>
        <w:kinsoku/>
        <w:wordWrap/>
        <w:overflowPunct/>
        <w:topLinePunct w:val="0"/>
        <w:autoSpaceDE w:val="0"/>
        <w:autoSpaceDN w:val="0"/>
        <w:bidi w:val="0"/>
        <w:adjustRightInd/>
        <w:snapToGrid/>
        <w:spacing w:before="40" w:after="40" w:line="240" w:lineRule="auto"/>
        <w:jc w:val="center"/>
        <w:textAlignment w:val="bottom"/>
        <w:rPr>
          <w:rFonts w:ascii="宋体" w:cs="宋体"/>
          <w:sz w:val="40"/>
          <w:szCs w:val="40"/>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240" w:lineRule="auto"/>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050</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240" w:lineRule="auto"/>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240" w:lineRule="auto"/>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委托，根据国家有关的评估规定，本着独立、客观、公正的原则，按照国家标准的评估方法，对委估的</w:t>
      </w:r>
      <w:r>
        <w:rPr>
          <w:rFonts w:hint="eastAsia" w:ascii="仿宋" w:hAnsi="仿宋" w:eastAsia="仿宋" w:cs="仿宋"/>
          <w:sz w:val="28"/>
          <w:szCs w:val="28"/>
          <w:lang w:eastAsia="zh-CN"/>
        </w:rPr>
        <w:t>白日名下所有坐落于辽宁省灯塔市佟二堡镇前八家子村农房一处（灯字第佟92147号）及院内附属设施</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白日名下所有坐落于辽宁省灯塔市佟二堡镇前八家子村农房一处（灯字第佟92147号）及院内附属设施</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240" w:lineRule="auto"/>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lang w:val="en-US" w:eastAsia="zh-CN"/>
        </w:rPr>
        <w:t>灯塔市人民法院</w:t>
      </w:r>
      <w:r>
        <w:rPr>
          <w:rFonts w:hint="eastAsia" w:ascii="仿宋" w:hAnsi="仿宋" w:eastAsia="仿宋" w:cs="仿宋"/>
          <w:b w:val="0"/>
          <w:bCs w:val="0"/>
          <w:sz w:val="28"/>
          <w:lang w:eastAsia="zh-CN"/>
        </w:rPr>
        <w:t>。</w:t>
      </w:r>
    </w:p>
    <w:p>
      <w:pPr>
        <w:keepNext w:val="0"/>
        <w:keepLines w:val="0"/>
        <w:pageBreakBefore w:val="0"/>
        <w:kinsoku/>
        <w:wordWrap/>
        <w:overflowPunct/>
        <w:topLinePunct w:val="0"/>
        <w:bidi w:val="0"/>
        <w:adjustRightInd/>
        <w:snapToGrid/>
        <w:spacing w:line="240" w:lineRule="auto"/>
        <w:ind w:firstLine="528" w:firstLineChars="188"/>
        <w:outlineLvl w:val="0"/>
        <w:rPr>
          <w:rFonts w:hint="eastAsia" w:ascii="仿宋" w:hAnsi="仿宋" w:eastAsia="仿宋" w:cs="仿宋"/>
          <w:sz w:val="28"/>
          <w:szCs w:val="28"/>
          <w:lang w:eastAsia="zh-CN"/>
        </w:rPr>
      </w:pPr>
      <w:r>
        <w:rPr>
          <w:rFonts w:hint="eastAsia" w:ascii="仿宋" w:hAnsi="仿宋" w:eastAsia="仿宋" w:cs="仿宋"/>
          <w:b/>
          <w:bCs/>
          <w:sz w:val="28"/>
          <w:szCs w:val="28"/>
        </w:rPr>
        <w:t>二、评估目</w:t>
      </w:r>
      <w:r>
        <w:rPr>
          <w:rFonts w:hint="eastAsia" w:ascii="仿宋" w:hAnsi="仿宋" w:eastAsia="仿宋" w:cs="仿宋"/>
          <w:b/>
          <w:bCs/>
          <w:color w:val="auto"/>
          <w:sz w:val="28"/>
          <w:szCs w:val="28"/>
        </w:rPr>
        <w:t>的：</w:t>
      </w:r>
      <w:r>
        <w:rPr>
          <w:rFonts w:hint="eastAsia" w:ascii="仿宋" w:hAnsi="仿宋" w:eastAsia="仿宋" w:cs="仿宋"/>
          <w:color w:val="auto"/>
          <w:sz w:val="28"/>
          <w:lang w:eastAsia="zh-CN"/>
        </w:rPr>
        <w:t>为人民法院确定财产处置参考价提供服务</w:t>
      </w:r>
      <w:r>
        <w:rPr>
          <w:rFonts w:hint="eastAsia" w:ascii="仿宋" w:hAnsi="仿宋" w:eastAsia="仿宋" w:cs="仿宋"/>
          <w:b w:val="0"/>
          <w:bCs w:val="0"/>
          <w:color w:val="auto"/>
          <w:sz w:val="28"/>
          <w:szCs w:val="28"/>
          <w:lang w:eastAsia="zh-CN"/>
        </w:rPr>
        <w:t>。</w:t>
      </w:r>
    </w:p>
    <w:p>
      <w:pPr>
        <w:keepNext w:val="0"/>
        <w:keepLines w:val="0"/>
        <w:pageBreakBefore w:val="0"/>
        <w:kinsoku/>
        <w:wordWrap/>
        <w:overflowPunct/>
        <w:topLinePunct w:val="0"/>
        <w:bidi w:val="0"/>
        <w:adjustRightInd/>
        <w:snapToGrid/>
        <w:spacing w:line="240" w:lineRule="auto"/>
        <w:ind w:firstLine="528" w:firstLineChars="188"/>
        <w:outlineLvl w:val="0"/>
        <w:rPr>
          <w:rFonts w:ascii="仿宋" w:hAnsi="仿宋" w:eastAsia="仿宋" w:cs="仿宋"/>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评估对象为白日名下所有坐落于辽宁省灯塔市佟二堡镇前八家子村农房一处（灯字第佟92147号）及院内附属设施，评估范围包括房屋及附属设施等，详见《资产评估明细表》</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24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240" w:lineRule="auto"/>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240" w:lineRule="auto"/>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240" w:lineRule="auto"/>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rPr>
        <w:t>。</w:t>
      </w:r>
    </w:p>
    <w:p>
      <w:pPr>
        <w:keepNext w:val="0"/>
        <w:keepLines w:val="0"/>
        <w:pageBreakBefore w:val="0"/>
        <w:numPr>
          <w:ilvl w:val="0"/>
          <w:numId w:val="2"/>
        </w:numPr>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240" w:lineRule="auto"/>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color w:val="FF0000"/>
          <w:sz w:val="28"/>
          <w:szCs w:val="28"/>
          <w:lang w:eastAsia="zh-CN"/>
        </w:rPr>
        <w:t>、成本法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根据评估目的和委估对象的特点，评估人员对委估</w:t>
      </w:r>
      <w:r>
        <w:rPr>
          <w:rFonts w:hint="eastAsia" w:ascii="仿宋" w:hAnsi="仿宋" w:eastAsia="仿宋" w:cs="仿宋"/>
          <w:sz w:val="28"/>
          <w:szCs w:val="28"/>
          <w:lang w:val="en-US" w:eastAsia="zh-CN"/>
        </w:rPr>
        <w:t>牛奶果树</w:t>
      </w:r>
      <w:r>
        <w:rPr>
          <w:rFonts w:hint="eastAsia" w:ascii="仿宋" w:hAnsi="仿宋" w:eastAsia="仿宋" w:cs="仿宋"/>
          <w:sz w:val="28"/>
          <w:szCs w:val="28"/>
        </w:rPr>
        <w:t>采用市场法进行评估</w:t>
      </w:r>
      <w:r>
        <w:rPr>
          <w:rFonts w:hint="eastAsia" w:ascii="仿宋" w:hAnsi="仿宋" w:eastAsia="仿宋" w:cs="仿宋"/>
          <w:sz w:val="28"/>
          <w:szCs w:val="28"/>
          <w:lang w:eastAsia="zh-CN"/>
        </w:rPr>
        <w:t>，对委估</w:t>
      </w:r>
      <w:r>
        <w:rPr>
          <w:rFonts w:hint="eastAsia" w:ascii="仿宋" w:hAnsi="仿宋" w:eastAsia="仿宋" w:cs="仿宋"/>
          <w:sz w:val="28"/>
          <w:szCs w:val="28"/>
          <w:lang w:val="en-US" w:eastAsia="zh-CN"/>
        </w:rPr>
        <w:t>建筑物及附属设施</w:t>
      </w:r>
      <w:r>
        <w:rPr>
          <w:rFonts w:hint="eastAsia" w:ascii="仿宋" w:hAnsi="仿宋" w:eastAsia="仿宋" w:cs="仿宋"/>
          <w:sz w:val="28"/>
          <w:szCs w:val="28"/>
          <w:lang w:eastAsia="zh-CN"/>
        </w:rPr>
        <w:t>采用成本法进行评估</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24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kinsoku/>
        <w:wordWrap/>
        <w:overflowPunct/>
        <w:topLinePunct w:val="0"/>
        <w:bidi w:val="0"/>
        <w:adjustRightInd/>
        <w:snapToGrid/>
        <w:spacing w:line="24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成本法公式：</w:t>
      </w:r>
    </w:p>
    <w:p>
      <w:pPr>
        <w:keepNext w:val="0"/>
        <w:keepLines w:val="0"/>
        <w:pageBreakBefore w:val="0"/>
        <w:kinsoku/>
        <w:wordWrap/>
        <w:overflowPunct/>
        <w:topLinePunct w:val="0"/>
        <w:bidi w:val="0"/>
        <w:adjustRightInd/>
        <w:snapToGrid/>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评估值</w:t>
      </w:r>
      <w:r>
        <w:rPr>
          <w:rFonts w:hint="eastAsia" w:ascii="仿宋" w:hAnsi="仿宋" w:eastAsia="仿宋" w:cs="仿宋"/>
          <w:sz w:val="28"/>
          <w:szCs w:val="28"/>
          <w:lang w:val="en-US" w:eastAsia="zh-CN"/>
        </w:rPr>
        <w:t>=重置成本*综合成新率</w:t>
      </w:r>
    </w:p>
    <w:p>
      <w:pPr>
        <w:keepNext w:val="0"/>
        <w:keepLines w:val="0"/>
        <w:pageBreakBefore w:val="0"/>
        <w:kinsoku/>
        <w:wordWrap/>
        <w:overflowPunct/>
        <w:topLinePunct w:val="0"/>
        <w:bidi w:val="0"/>
        <w:adjustRightInd/>
        <w:snapToGrid/>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综合成新率=勘察成新率*权重+年限折旧*权重</w:t>
      </w:r>
    </w:p>
    <w:p>
      <w:pPr>
        <w:keepNext w:val="0"/>
        <w:keepLines w:val="0"/>
        <w:pageBreakBefore w:val="0"/>
        <w:kinsoku/>
        <w:wordWrap/>
        <w:overflowPunct/>
        <w:topLinePunct w:val="0"/>
        <w:bidi w:val="0"/>
        <w:adjustRightInd/>
        <w:snapToGrid/>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树木采用市场法评估理由：</w:t>
      </w:r>
    </w:p>
    <w:p>
      <w:pPr>
        <w:keepNext w:val="0"/>
        <w:keepLines w:val="0"/>
        <w:pageBreakBefore w:val="0"/>
        <w:numPr>
          <w:ilvl w:val="0"/>
          <w:numId w:val="3"/>
        </w:numPr>
        <w:kinsoku/>
        <w:wordWrap/>
        <w:overflowPunct/>
        <w:topLinePunct w:val="0"/>
        <w:bidi w:val="0"/>
        <w:adjustRightInd/>
        <w:snapToGrid/>
        <w:spacing w:line="240" w:lineRule="auto"/>
        <w:ind w:firstLine="560" w:firstLineChars="200"/>
        <w:jc w:val="left"/>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因当事人/委托方未能提供委估标的原始购入材料，且未能提供委估标的具体培育投入，故无法采用成本法；2、因当事人/委托方未能提供委估标的相关的收益材料，其相关收益材料获取困难且不单独具备收益能力，不具备使用收益法的前提，故无法采用收益法；3、综上所述，故采用市场法进行评估。</w:t>
      </w:r>
    </w:p>
    <w:p>
      <w:pPr>
        <w:keepNext w:val="0"/>
        <w:keepLines w:val="0"/>
        <w:pageBreakBefore w:val="0"/>
        <w:numPr>
          <w:ilvl w:val="0"/>
          <w:numId w:val="0"/>
        </w:numPr>
        <w:kinsoku/>
        <w:wordWrap/>
        <w:overflowPunct/>
        <w:topLinePunct w:val="0"/>
        <w:bidi w:val="0"/>
        <w:adjustRightInd/>
        <w:snapToGrid/>
        <w:spacing w:line="240" w:lineRule="auto"/>
        <w:jc w:val="left"/>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 xml:space="preserve">    建构筑物采用成本法的理由：</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因委估标的为农村民用住宅，无法获得可比交易案例，故无法采用市场法；2、因当事人/委托方未能提供委估标的相关的收益材料，其相关收益材料获取困难且不单独具备收益能力，不具备使用收益法的前提，故无法采用收益法。3、委估标的重置成本及综合成新率均可获得，故采用成本法进行评估。</w:t>
      </w:r>
    </w:p>
    <w:p>
      <w:pPr>
        <w:keepNext w:val="0"/>
        <w:keepLines w:val="0"/>
        <w:pageBreakBefore w:val="0"/>
        <w:numPr>
          <w:ilvl w:val="0"/>
          <w:numId w:val="4"/>
        </w:numPr>
        <w:kinsoku/>
        <w:wordWrap/>
        <w:overflowPunct/>
        <w:topLinePunct w:val="0"/>
        <w:bidi w:val="0"/>
        <w:adjustRightInd/>
        <w:snapToGrid/>
        <w:spacing w:line="240" w:lineRule="auto"/>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240" w:lineRule="auto"/>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numPr>
          <w:ilvl w:val="0"/>
          <w:numId w:val="5"/>
        </w:numPr>
        <w:kinsoku/>
        <w:wordWrap/>
        <w:overflowPunct/>
        <w:topLinePunct w:val="0"/>
        <w:bidi w:val="0"/>
        <w:adjustRightInd/>
        <w:snapToGrid/>
        <w:spacing w:line="240" w:lineRule="auto"/>
        <w:ind w:firstLine="618"/>
        <w:jc w:val="left"/>
        <w:rPr>
          <w:rFonts w:ascii="仿宋" w:hAnsi="仿宋" w:eastAsia="仿宋" w:cs="仿宋"/>
          <w:color w:val="FF0000"/>
          <w:sz w:val="28"/>
          <w:szCs w:val="28"/>
        </w:rPr>
      </w:pP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sz w:val="28"/>
          <w:lang w:eastAsia="zh-CN"/>
        </w:rPr>
        <w:t>核实资产价值为委托方提供价值参考</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color w:val="FF0000"/>
          <w:sz w:val="28"/>
          <w:szCs w:val="28"/>
        </w:rPr>
        <w:t>，</w:t>
      </w:r>
      <w:r>
        <w:rPr>
          <w:rFonts w:hint="eastAsia" w:ascii="仿宋" w:hAnsi="仿宋" w:eastAsia="仿宋" w:cs="仿宋"/>
          <w:sz w:val="28"/>
          <w:lang w:eastAsia="zh-CN"/>
        </w:rPr>
        <w:t>评估对象为白日名下所有坐落于辽宁省灯塔市佟二堡镇前八家子村农房一处（灯字第佟92147号）及院内附属设施，评估范围包括房屋及附属设施等（详见《资产评估明细表》）</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lang w:val="en-US" w:eastAsia="zh-CN"/>
        </w:rPr>
        <w:t>2021年04月23日，</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在勘察现场经评估人员现场勘查，评估范围经申请方当事人签字确认，事先征得人民法院同意按照此办法确认评估范围，当事方未能提供任何购置发票或购买合同</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240" w:lineRule="auto"/>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240" w:lineRule="auto"/>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240" w:lineRule="auto"/>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240" w:lineRule="auto"/>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240" w:lineRule="auto"/>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w:t>
      </w:r>
      <w:r>
        <w:rPr>
          <w:rFonts w:hint="eastAsia" w:ascii="仿宋" w:hAnsi="仿宋" w:eastAsia="仿宋" w:cs="仿宋"/>
          <w:sz w:val="28"/>
          <w:szCs w:val="28"/>
          <w:lang w:eastAsia="zh-CN"/>
        </w:rPr>
        <w:t>及技术进步因素</w:t>
      </w:r>
      <w:r>
        <w:rPr>
          <w:rFonts w:hint="eastAsia" w:ascii="仿宋" w:hAnsi="仿宋" w:eastAsia="仿宋" w:cs="仿宋"/>
          <w:sz w:val="28"/>
          <w:szCs w:val="28"/>
        </w:rPr>
        <w:t>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240" w:lineRule="auto"/>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240" w:lineRule="auto"/>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w:t>
      </w:r>
      <w:r>
        <w:rPr>
          <w:rFonts w:hint="eastAsia" w:ascii="仿宋" w:hAnsi="仿宋" w:eastAsia="仿宋" w:cs="仿宋"/>
          <w:sz w:val="28"/>
        </w:rPr>
        <w:t>评估</w:t>
      </w:r>
      <w:r>
        <w:rPr>
          <w:rFonts w:hint="eastAsia" w:ascii="仿宋" w:hAnsi="仿宋" w:eastAsia="仿宋" w:cs="仿宋"/>
          <w:sz w:val="28"/>
          <w:lang w:eastAsia="zh-CN"/>
        </w:rPr>
        <w:t>的白日名下所有坐落于辽宁省灯塔市佟二堡镇前八家子村农房一处（灯字第佟92147号）及院内附属设施</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155,465.87</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壹拾伍万伍仟肆佰陆拾伍元捌角柒分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240" w:lineRule="auto"/>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240" w:lineRule="auto"/>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36"/>
        <w:rPr>
          <w:rFonts w:hint="eastAsia" w:ascii="仿宋_GB2312" w:eastAsia="仿宋_GB2312"/>
          <w:color w:val="FF0000"/>
          <w:sz w:val="30"/>
          <w:szCs w:val="30"/>
        </w:rPr>
      </w:pPr>
      <w:r>
        <w:rPr>
          <w:rFonts w:hint="eastAsia" w:ascii="仿宋_GB2312" w:eastAsia="仿宋_GB2312"/>
          <w:color w:val="FF0000"/>
          <w:sz w:val="30"/>
          <w:szCs w:val="30"/>
          <w:lang w:val="en-US" w:eastAsia="zh-CN"/>
        </w:rPr>
        <w:t>4、</w:t>
      </w:r>
      <w:r>
        <w:rPr>
          <w:rFonts w:hint="eastAsia" w:ascii="仿宋_GB2312" w:eastAsia="仿宋_GB2312"/>
          <w:sz w:val="30"/>
          <w:szCs w:val="30"/>
          <w:lang w:eastAsia="zh-CN"/>
        </w:rPr>
        <w:t>本次评估对象及范围内标的数量</w:t>
      </w:r>
      <w:r>
        <w:rPr>
          <w:rFonts w:hint="eastAsia" w:ascii="仿宋_GB2312" w:eastAsia="仿宋_GB2312"/>
          <w:sz w:val="30"/>
          <w:szCs w:val="30"/>
          <w:lang w:val="en-US" w:eastAsia="zh-CN"/>
        </w:rPr>
        <w:t>及型号由申请方当事人签字确认</w:t>
      </w:r>
      <w:r>
        <w:rPr>
          <w:rFonts w:hint="eastAsia" w:ascii="仿宋_GB2312" w:eastAsia="仿宋_GB2312"/>
          <w:sz w:val="30"/>
          <w:szCs w:val="30"/>
          <w:lang w:eastAsia="zh-CN"/>
        </w:rPr>
        <w:t>。</w:t>
      </w:r>
      <w:r>
        <w:rPr>
          <w:rFonts w:hint="eastAsia" w:ascii="仿宋_GB2312" w:eastAsia="仿宋_GB2312"/>
          <w:sz w:val="30"/>
          <w:szCs w:val="30"/>
          <w:lang w:val="en-US" w:eastAsia="zh-CN"/>
        </w:rPr>
        <w:t>因委估对象所占用土地的使用权性质及权属不详，经委托方同意本次未对委估对象所占用土地使用权进行评估</w:t>
      </w:r>
      <w:r>
        <w:rPr>
          <w:rFonts w:hint="eastAsia" w:ascii="仿宋_GB2312" w:eastAsia="仿宋_GB2312"/>
          <w:color w:val="FF0000"/>
          <w:sz w:val="30"/>
          <w:szCs w:val="30"/>
          <w:lang w:val="en-US" w:eastAsia="zh-CN"/>
        </w:rPr>
        <w:t>。</w:t>
      </w:r>
    </w:p>
    <w:p>
      <w:pPr>
        <w:keepNext w:val="0"/>
        <w:keepLines w:val="0"/>
        <w:pageBreakBefore w:val="0"/>
        <w:kinsoku/>
        <w:wordWrap/>
        <w:overflowPunct/>
        <w:topLinePunct w:val="0"/>
        <w:bidi w:val="0"/>
        <w:adjustRightInd/>
        <w:snapToGrid/>
        <w:spacing w:line="240" w:lineRule="auto"/>
        <w:ind w:firstLine="636"/>
        <w:rPr>
          <w:rFonts w:hint="eastAsia" w:ascii="仿宋_GB2312" w:eastAsia="仿宋_GB2312"/>
          <w:color w:val="FF0000"/>
          <w:sz w:val="30"/>
          <w:szCs w:val="30"/>
        </w:rPr>
      </w:pPr>
      <w:r>
        <w:rPr>
          <w:rFonts w:hint="eastAsia" w:ascii="仿宋_GB2312" w:eastAsia="仿宋_GB2312"/>
          <w:color w:val="FF0000"/>
          <w:sz w:val="30"/>
          <w:szCs w:val="30"/>
          <w:lang w:val="en-US" w:eastAsia="zh-CN"/>
        </w:rPr>
        <w:t>5、在履行评估程序过程中，评估人员依据评估的有关规定对被评估单位提供的评估对象的相关文件、资料进行了必要的查验，对其真实性进行了关注，但对委估资产项目的真实性鉴定工作超出了评估工作的范围我们不对委估资产项目的真实性发表意见。</w:t>
      </w:r>
    </w:p>
    <w:p>
      <w:pPr>
        <w:keepNext w:val="0"/>
        <w:keepLines w:val="0"/>
        <w:pageBreakBefore w:val="0"/>
        <w:kinsoku/>
        <w:wordWrap/>
        <w:overflowPunct/>
        <w:topLinePunct w:val="0"/>
        <w:bidi w:val="0"/>
        <w:adjustRightInd/>
        <w:snapToGrid/>
        <w:spacing w:line="240" w:lineRule="auto"/>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bookmarkStart w:id="0" w:name="_GoBack"/>
      <w:bookmarkEnd w:id="0"/>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240" w:lineRule="auto"/>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240" w:lineRule="auto"/>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240" w:lineRule="auto"/>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17</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ind w:firstLine="562" w:firstLineChars="200"/>
        <w:rPr>
          <w:rFonts w:ascii="仿宋_GB2312" w:hAnsi="Arial Narrow" w:eastAsia="仿宋_GB2312"/>
          <w:sz w:val="28"/>
        </w:rPr>
      </w:pPr>
      <w:r>
        <w:rPr>
          <w:rFonts w:hint="eastAsia" w:ascii="仿宋" w:hAnsi="仿宋" w:eastAsia="仿宋" w:cs="仿宋"/>
          <w:b/>
          <w:bCs/>
          <w:sz w:val="28"/>
          <w:lang w:eastAsia="zh-CN"/>
        </w:rPr>
        <w:t>十四、资产评估专业人员签名和资产评估机构印章</w:t>
      </w:r>
    </w:p>
    <w:p>
      <w:pPr>
        <w:keepNext w:val="0"/>
        <w:keepLines w:val="0"/>
        <w:pageBreakBefore w:val="0"/>
        <w:kinsoku/>
        <w:wordWrap/>
        <w:overflowPunct/>
        <w:topLinePunct w:val="0"/>
        <w:bidi w:val="0"/>
        <w:adjustRightInd/>
        <w:snapToGrid/>
        <w:spacing w:line="240" w:lineRule="auto"/>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240" w:lineRule="auto"/>
        <w:rPr>
          <w:rFonts w:ascii="仿宋_GB2312" w:hAnsi="Arial Narrow" w:eastAsia="仿宋_GB2312"/>
          <w:sz w:val="28"/>
        </w:rPr>
      </w:pPr>
    </w:p>
    <w:p>
      <w:pPr>
        <w:keepNext w:val="0"/>
        <w:keepLines w:val="0"/>
        <w:pageBreakBefore w:val="0"/>
        <w:kinsoku/>
        <w:wordWrap/>
        <w:overflowPunct/>
        <w:topLinePunct w:val="0"/>
        <w:bidi w:val="0"/>
        <w:adjustRightInd/>
        <w:snapToGrid/>
        <w:spacing w:line="240" w:lineRule="auto"/>
        <w:rPr>
          <w:rFonts w:ascii="仿宋_GB2312" w:hAnsi="Arial Narrow" w:eastAsia="仿宋_GB2312"/>
          <w:sz w:val="28"/>
        </w:rPr>
      </w:pPr>
    </w:p>
    <w:p>
      <w:pPr>
        <w:keepNext w:val="0"/>
        <w:keepLines w:val="0"/>
        <w:pageBreakBefore w:val="0"/>
        <w:kinsoku/>
        <w:wordWrap/>
        <w:overflowPunct/>
        <w:topLinePunct w:val="0"/>
        <w:bidi w:val="0"/>
        <w:adjustRightInd/>
        <w:snapToGrid/>
        <w:spacing w:line="240" w:lineRule="auto"/>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240" w:lineRule="auto"/>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240" w:lineRule="auto"/>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240" w:lineRule="auto"/>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kinsoku/>
        <w:wordWrap/>
        <w:overflowPunct/>
        <w:topLinePunct w:val="0"/>
        <w:bidi w:val="0"/>
        <w:adjustRightInd/>
        <w:snapToGrid/>
        <w:spacing w:line="240" w:lineRule="auto"/>
        <w:rPr>
          <w:rFonts w:ascii="仿宋" w:hAnsi="仿宋" w:eastAsia="仿宋" w:cs="仿宋"/>
          <w:sz w:val="28"/>
          <w:szCs w:val="28"/>
        </w:rPr>
      </w:pPr>
    </w:p>
    <w:p>
      <w:pPr>
        <w:keepNext w:val="0"/>
        <w:keepLines w:val="0"/>
        <w:pageBreakBefore w:val="0"/>
        <w:kinsoku/>
        <w:wordWrap/>
        <w:overflowPunct/>
        <w:topLinePunct w:val="0"/>
        <w:bidi w:val="0"/>
        <w:adjustRightInd/>
        <w:snapToGrid/>
        <w:spacing w:line="240" w:lineRule="auto"/>
        <w:ind w:left="0" w:leftChars="0" w:firstLine="5896" w:firstLineChars="2106"/>
        <w:jc w:val="both"/>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240" w:lineRule="auto"/>
        <w:ind w:left="0" w:leftChars="0" w:firstLine="6020" w:firstLineChars="2150"/>
        <w:jc w:val="both"/>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w:t>
      </w:r>
      <w:r>
        <w:rPr>
          <w:rFonts w:hint="eastAsia" w:ascii="仿宋" w:hAnsi="仿宋" w:eastAsia="仿宋" w:cs="仿宋"/>
          <w:sz w:val="28"/>
          <w:szCs w:val="28"/>
          <w:lang w:val="en-US" w:eastAsia="zh-CN"/>
        </w:rPr>
        <w:t>一</w:t>
      </w:r>
      <w:r>
        <w:rPr>
          <w:rFonts w:hint="eastAsia" w:ascii="仿宋" w:hAnsi="仿宋" w:eastAsia="仿宋" w:cs="仿宋"/>
          <w:sz w:val="28"/>
          <w:szCs w:val="28"/>
        </w:rPr>
        <w:t>年</w:t>
      </w:r>
      <w:r>
        <w:rPr>
          <w:rFonts w:hint="eastAsia" w:ascii="仿宋" w:hAnsi="仿宋" w:eastAsia="仿宋" w:cs="仿宋"/>
          <w:sz w:val="28"/>
          <w:szCs w:val="28"/>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5"/>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DC7E8"/>
    <w:multiLevelType w:val="singleLevel"/>
    <w:tmpl w:val="4E0DC7E8"/>
    <w:lvl w:ilvl="0" w:tentative="0">
      <w:start w:val="1"/>
      <w:numFmt w:val="decimal"/>
      <w:suff w:val="nothing"/>
      <w:lvlText w:val="%1、"/>
      <w:lvlJc w:val="left"/>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83B8C9F"/>
    <w:multiLevelType w:val="singleLevel"/>
    <w:tmpl w:val="583B8C9F"/>
    <w:lvl w:ilvl="0" w:tentative="0">
      <w:start w:val="1"/>
      <w:numFmt w:val="decimal"/>
      <w:suff w:val="nothing"/>
      <w:lvlText w:val="%1、"/>
      <w:lvlJc w:val="left"/>
      <w:rPr>
        <w:rFonts w:cs="Times New Roman"/>
      </w:rPr>
    </w:lvl>
  </w:abstractNum>
  <w:abstractNum w:abstractNumId="4">
    <w:nsid w:val="59A4E1FD"/>
    <w:multiLevelType w:val="singleLevel"/>
    <w:tmpl w:val="59A4E1FD"/>
    <w:lvl w:ilvl="0" w:tentative="0">
      <w:start w:val="1"/>
      <w:numFmt w:val="chineseCounting"/>
      <w:suff w:val="nothing"/>
      <w:lvlText w:val="%1、"/>
      <w:lvlJc w:val="left"/>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5C35E44"/>
    <w:rsid w:val="064E506A"/>
    <w:rsid w:val="073B4463"/>
    <w:rsid w:val="0835486F"/>
    <w:rsid w:val="08F8732A"/>
    <w:rsid w:val="091B6FD7"/>
    <w:rsid w:val="09E0062B"/>
    <w:rsid w:val="0C8A0E24"/>
    <w:rsid w:val="0DC12621"/>
    <w:rsid w:val="0F2645D9"/>
    <w:rsid w:val="1030163C"/>
    <w:rsid w:val="118966D7"/>
    <w:rsid w:val="11D53FDF"/>
    <w:rsid w:val="125251B9"/>
    <w:rsid w:val="13554513"/>
    <w:rsid w:val="166E640A"/>
    <w:rsid w:val="18855149"/>
    <w:rsid w:val="1B8C46C2"/>
    <w:rsid w:val="1E2A2256"/>
    <w:rsid w:val="1F5C6FDD"/>
    <w:rsid w:val="1FC55626"/>
    <w:rsid w:val="22165BBC"/>
    <w:rsid w:val="222979F6"/>
    <w:rsid w:val="25C1461B"/>
    <w:rsid w:val="260A6A61"/>
    <w:rsid w:val="26E2648B"/>
    <w:rsid w:val="28D34FF4"/>
    <w:rsid w:val="2A8D057C"/>
    <w:rsid w:val="302B5BE2"/>
    <w:rsid w:val="31FB2D3A"/>
    <w:rsid w:val="33567171"/>
    <w:rsid w:val="348D5424"/>
    <w:rsid w:val="362C55C4"/>
    <w:rsid w:val="373E7904"/>
    <w:rsid w:val="37B773A5"/>
    <w:rsid w:val="380D4CEE"/>
    <w:rsid w:val="387205DE"/>
    <w:rsid w:val="3E534DBE"/>
    <w:rsid w:val="3FC15D1D"/>
    <w:rsid w:val="409B3272"/>
    <w:rsid w:val="4169624A"/>
    <w:rsid w:val="417A7066"/>
    <w:rsid w:val="41DA4FC7"/>
    <w:rsid w:val="41EA2C57"/>
    <w:rsid w:val="435A5422"/>
    <w:rsid w:val="43883599"/>
    <w:rsid w:val="43ED3569"/>
    <w:rsid w:val="43F225DE"/>
    <w:rsid w:val="45990FA1"/>
    <w:rsid w:val="470433BF"/>
    <w:rsid w:val="47484342"/>
    <w:rsid w:val="47FE48D6"/>
    <w:rsid w:val="488B42F0"/>
    <w:rsid w:val="49207BB9"/>
    <w:rsid w:val="49DC01B9"/>
    <w:rsid w:val="4DA57F3C"/>
    <w:rsid w:val="4DAA3E95"/>
    <w:rsid w:val="4F1749F5"/>
    <w:rsid w:val="5388044E"/>
    <w:rsid w:val="548B089A"/>
    <w:rsid w:val="55FC1070"/>
    <w:rsid w:val="56933EC8"/>
    <w:rsid w:val="57E22F8C"/>
    <w:rsid w:val="57F05858"/>
    <w:rsid w:val="593F60E9"/>
    <w:rsid w:val="598840A0"/>
    <w:rsid w:val="598A2807"/>
    <w:rsid w:val="5A507BA8"/>
    <w:rsid w:val="5BFB6AB3"/>
    <w:rsid w:val="5E487AFF"/>
    <w:rsid w:val="5E8524CC"/>
    <w:rsid w:val="5E876CD2"/>
    <w:rsid w:val="62243142"/>
    <w:rsid w:val="62A15628"/>
    <w:rsid w:val="63332F0D"/>
    <w:rsid w:val="663C75A9"/>
    <w:rsid w:val="69E31FCD"/>
    <w:rsid w:val="6A0045D8"/>
    <w:rsid w:val="6BC75A59"/>
    <w:rsid w:val="6BDE2E19"/>
    <w:rsid w:val="6E2D6583"/>
    <w:rsid w:val="6E7B4D56"/>
    <w:rsid w:val="6ECD1175"/>
    <w:rsid w:val="700A40B4"/>
    <w:rsid w:val="72276DC6"/>
    <w:rsid w:val="726E2225"/>
    <w:rsid w:val="763E01DD"/>
    <w:rsid w:val="76641205"/>
    <w:rsid w:val="766E18E8"/>
    <w:rsid w:val="7C020E6D"/>
    <w:rsid w:val="7E717373"/>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2021-05-25T07:40:04Z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A873ADC3E58C464AA5FA830D17D59510</vt:lpwstr>
  </property>
</Properties>
</file>