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Fonts w:hint="eastAsia"/>
          <w:sz w:val="44"/>
          <w:szCs w:val="44"/>
        </w:rPr>
      </w:pPr>
      <w:r>
        <w:rPr>
          <w:rFonts w:hint="eastAsia"/>
        </w:rPr>
        <w:t>房地产估价报告</w:t>
      </w:r>
    </w:p>
    <w:p>
      <w:pPr>
        <w:tabs>
          <w:tab w:val="left" w:pos="2340"/>
        </w:tabs>
        <w:spacing w:line="360" w:lineRule="auto"/>
        <w:ind w:left="1954" w:hanging="1954" w:hangingChars="695"/>
        <w:rPr>
          <w:rFonts w:hint="eastAsia" w:ascii="仿宋" w:hAnsi="仿宋" w:eastAsia="仿宋"/>
          <w:b/>
          <w:sz w:val="28"/>
          <w:szCs w:val="28"/>
        </w:rPr>
      </w:pPr>
    </w:p>
    <w:p>
      <w:pPr>
        <w:tabs>
          <w:tab w:val="left" w:pos="2340"/>
        </w:tabs>
        <w:ind w:left="2233" w:hanging="1954" w:hangingChars="695"/>
        <w:rPr>
          <w:rFonts w:hint="eastAsia" w:ascii="仿宋" w:hAnsi="仿宋" w:eastAsia="仿宋"/>
          <w:spacing w:val="-8"/>
          <w:sz w:val="28"/>
          <w:szCs w:val="28"/>
          <w:lang w:eastAsia="zh-CN"/>
        </w:rPr>
      </w:pPr>
      <w:r>
        <w:rPr>
          <w:rFonts w:hint="eastAsia" w:ascii="仿宋" w:hAnsi="仿宋" w:eastAsia="仿宋"/>
          <w:b/>
          <w:sz w:val="28"/>
          <w:szCs w:val="28"/>
        </w:rPr>
        <w:t>估价项目名称：</w:t>
      </w:r>
      <w:r>
        <w:rPr>
          <w:rFonts w:hint="eastAsia" w:ascii="仿宋" w:hAnsi="仿宋" w:eastAsia="仿宋"/>
          <w:spacing w:val="-8"/>
          <w:sz w:val="28"/>
          <w:szCs w:val="28"/>
          <w:lang w:eastAsia="zh-CN"/>
        </w:rPr>
        <w:t>襄阳市樊城区人民法院委托评估的位于谷城县黄岗村面积113.8平方米的宅基地及地上房屋价值进行评估</w:t>
      </w:r>
    </w:p>
    <w:p>
      <w:pPr>
        <w:tabs>
          <w:tab w:val="left" w:pos="2340"/>
        </w:tabs>
        <w:spacing w:line="360" w:lineRule="auto"/>
        <w:ind w:left="1954" w:hanging="1946" w:hangingChars="695"/>
        <w:rPr>
          <w:rFonts w:hint="eastAsia" w:ascii="仿宋" w:hAnsi="仿宋" w:eastAsia="仿宋"/>
          <w:sz w:val="28"/>
          <w:szCs w:val="28"/>
        </w:rPr>
      </w:pPr>
    </w:p>
    <w:p>
      <w:pPr>
        <w:tabs>
          <w:tab w:val="left" w:pos="2340"/>
        </w:tabs>
        <w:spacing w:line="360" w:lineRule="auto"/>
        <w:rPr>
          <w:rFonts w:hint="eastAsia" w:ascii="仿宋" w:hAnsi="仿宋" w:eastAsia="仿宋"/>
          <w:b/>
          <w:sz w:val="28"/>
          <w:szCs w:val="28"/>
          <w:lang w:eastAsia="zh-CN"/>
        </w:rPr>
      </w:pPr>
      <w:r>
        <w:rPr>
          <w:rFonts w:hint="eastAsia" w:ascii="仿宋" w:hAnsi="仿宋" w:eastAsia="仿宋"/>
          <w:b/>
          <w:sz w:val="28"/>
          <w:szCs w:val="28"/>
        </w:rPr>
        <w:t>委   托   方：</w:t>
      </w:r>
      <w:r>
        <w:rPr>
          <w:rFonts w:hint="eastAsia" w:ascii="仿宋" w:hAnsi="仿宋" w:eastAsia="仿宋"/>
          <w:spacing w:val="-8"/>
          <w:sz w:val="28"/>
          <w:szCs w:val="28"/>
          <w:lang w:eastAsia="zh-CN"/>
        </w:rPr>
        <w:t>襄阳市樊城区人民法院</w:t>
      </w:r>
    </w:p>
    <w:p>
      <w:pPr>
        <w:tabs>
          <w:tab w:val="left" w:pos="2160"/>
          <w:tab w:val="left" w:pos="2340"/>
          <w:tab w:val="left" w:pos="2520"/>
        </w:tabs>
        <w:spacing w:line="360" w:lineRule="auto"/>
        <w:rPr>
          <w:rFonts w:hint="eastAsia" w:ascii="仿宋" w:hAnsi="仿宋" w:eastAsia="仿宋"/>
          <w:b/>
          <w:sz w:val="28"/>
          <w:szCs w:val="28"/>
        </w:rPr>
      </w:pPr>
    </w:p>
    <w:p>
      <w:pPr>
        <w:tabs>
          <w:tab w:val="left" w:pos="2160"/>
          <w:tab w:val="left" w:pos="2340"/>
          <w:tab w:val="left" w:pos="2520"/>
        </w:tabs>
        <w:spacing w:line="360" w:lineRule="auto"/>
        <w:rPr>
          <w:rFonts w:hint="eastAsia" w:ascii="仿宋" w:hAnsi="仿宋" w:eastAsia="仿宋"/>
          <w:b/>
          <w:sz w:val="28"/>
          <w:szCs w:val="28"/>
        </w:rPr>
      </w:pPr>
    </w:p>
    <w:p>
      <w:pPr>
        <w:tabs>
          <w:tab w:val="left" w:pos="2160"/>
          <w:tab w:val="left" w:pos="2340"/>
          <w:tab w:val="left" w:pos="2520"/>
        </w:tabs>
        <w:spacing w:line="360" w:lineRule="auto"/>
        <w:rPr>
          <w:rFonts w:hint="eastAsia" w:ascii="仿宋" w:hAnsi="仿宋" w:eastAsia="仿宋"/>
          <w:sz w:val="28"/>
          <w:szCs w:val="28"/>
        </w:rPr>
      </w:pPr>
      <w:r>
        <w:rPr>
          <w:rFonts w:hint="eastAsia" w:ascii="仿宋" w:hAnsi="仿宋" w:eastAsia="仿宋"/>
          <w:b/>
          <w:sz w:val="28"/>
          <w:szCs w:val="28"/>
        </w:rPr>
        <w:t>估   价   方：</w:t>
      </w:r>
      <w:r>
        <w:rPr>
          <w:rFonts w:hint="eastAsia" w:ascii="仿宋" w:hAnsi="仿宋" w:eastAsia="仿宋"/>
          <w:sz w:val="28"/>
          <w:szCs w:val="28"/>
        </w:rPr>
        <w:t>湖北点石房地产评估咨询有限公司</w:t>
      </w:r>
    </w:p>
    <w:p>
      <w:pPr>
        <w:spacing w:line="360" w:lineRule="auto"/>
        <w:rPr>
          <w:rFonts w:hint="eastAsia" w:ascii="仿宋" w:hAnsi="仿宋" w:eastAsia="仿宋"/>
          <w:b/>
          <w:sz w:val="28"/>
          <w:szCs w:val="28"/>
        </w:rPr>
      </w:pPr>
    </w:p>
    <w:p>
      <w:pPr>
        <w:spacing w:line="360" w:lineRule="auto"/>
        <w:rPr>
          <w:rFonts w:hint="eastAsia" w:ascii="仿宋" w:hAnsi="仿宋" w:eastAsia="仿宋"/>
          <w:b/>
          <w:sz w:val="28"/>
          <w:szCs w:val="28"/>
        </w:rPr>
      </w:pPr>
    </w:p>
    <w:p>
      <w:pPr>
        <w:spacing w:line="360" w:lineRule="auto"/>
        <w:rPr>
          <w:rFonts w:hint="eastAsia" w:ascii="仿宋" w:hAnsi="仿宋" w:eastAsia="仿宋"/>
          <w:sz w:val="28"/>
          <w:szCs w:val="28"/>
        </w:rPr>
      </w:pPr>
      <w:r>
        <w:rPr>
          <w:rFonts w:hint="eastAsia" w:ascii="仿宋" w:hAnsi="仿宋" w:eastAsia="仿宋"/>
          <w:b/>
          <w:sz w:val="28"/>
          <w:szCs w:val="28"/>
        </w:rPr>
        <w:t>估  价 人 员：</w:t>
      </w:r>
      <w:r>
        <w:rPr>
          <w:rFonts w:hint="eastAsia" w:ascii="仿宋" w:hAnsi="仿宋" w:eastAsia="仿宋"/>
          <w:sz w:val="28"/>
          <w:szCs w:val="28"/>
        </w:rPr>
        <w:t>注册房地产估价师：张方明(4220100008)</w:t>
      </w:r>
    </w:p>
    <w:p>
      <w:pPr>
        <w:ind w:firstLine="2100" w:firstLineChars="700"/>
        <w:rPr>
          <w:rFonts w:hint="eastAsia" w:ascii="仿宋" w:hAnsi="仿宋" w:eastAsia="仿宋" w:cs="仿宋"/>
          <w:sz w:val="30"/>
          <w:szCs w:val="30"/>
        </w:rPr>
      </w:pPr>
      <w:r>
        <w:rPr>
          <w:rFonts w:hint="eastAsia" w:ascii="仿宋" w:hAnsi="仿宋" w:eastAsia="仿宋" w:cs="仿宋"/>
          <w:sz w:val="30"/>
          <w:szCs w:val="30"/>
        </w:rPr>
        <w:t>注册房地产估价师：</w:t>
      </w:r>
      <w:r>
        <w:rPr>
          <w:rFonts w:hint="eastAsia" w:ascii="仿宋" w:hAnsi="仿宋" w:eastAsia="仿宋" w:cs="仿宋"/>
          <w:sz w:val="30"/>
          <w:szCs w:val="30"/>
          <w:lang w:eastAsia="zh-CN"/>
        </w:rPr>
        <w:t>汤磊</w:t>
      </w:r>
      <w:r>
        <w:rPr>
          <w:rFonts w:hint="eastAsia" w:ascii="仿宋" w:hAnsi="仿宋" w:eastAsia="仿宋" w:cs="仿宋"/>
          <w:sz w:val="30"/>
          <w:szCs w:val="30"/>
        </w:rPr>
        <w:t>(</w:t>
      </w:r>
      <w:r>
        <w:rPr>
          <w:rFonts w:ascii="仿宋" w:hAnsi="仿宋" w:eastAsia="仿宋" w:cs="仿宋"/>
          <w:sz w:val="30"/>
          <w:szCs w:val="30"/>
        </w:rPr>
        <w:t>4220190078</w:t>
      </w:r>
      <w:r>
        <w:rPr>
          <w:rFonts w:hint="eastAsia" w:ascii="仿宋" w:hAnsi="仿宋" w:eastAsia="仿宋" w:cs="仿宋"/>
          <w:sz w:val="30"/>
          <w:szCs w:val="30"/>
        </w:rPr>
        <w:t>)</w:t>
      </w:r>
    </w:p>
    <w:p>
      <w:pPr>
        <w:ind w:firstLine="2100" w:firstLineChars="700"/>
        <w:rPr>
          <w:rFonts w:hint="eastAsia" w:ascii="仿宋" w:hAnsi="仿宋" w:eastAsia="仿宋" w:cs="仿宋"/>
          <w:sz w:val="30"/>
          <w:szCs w:val="30"/>
        </w:rPr>
      </w:pPr>
    </w:p>
    <w:p>
      <w:pPr>
        <w:spacing w:line="360" w:lineRule="auto"/>
        <w:rPr>
          <w:rFonts w:hint="eastAsia" w:ascii="仿宋" w:hAnsi="仿宋" w:eastAsia="仿宋"/>
          <w:b/>
          <w:sz w:val="28"/>
          <w:szCs w:val="28"/>
        </w:rPr>
      </w:pPr>
    </w:p>
    <w:p>
      <w:pPr>
        <w:spacing w:line="360" w:lineRule="auto"/>
        <w:rPr>
          <w:rFonts w:hint="eastAsia" w:ascii="仿宋" w:hAnsi="仿宋" w:eastAsia="仿宋"/>
          <w:b/>
          <w:sz w:val="28"/>
          <w:szCs w:val="28"/>
        </w:rPr>
      </w:pPr>
      <w:r>
        <w:rPr>
          <w:rFonts w:hint="eastAsia" w:ascii="仿宋" w:hAnsi="仿宋" w:eastAsia="仿宋"/>
          <w:b/>
          <w:sz w:val="28"/>
          <w:szCs w:val="28"/>
        </w:rPr>
        <w:t>估价出具日期：</w:t>
      </w:r>
      <w:r>
        <w:rPr>
          <w:rFonts w:hint="eastAsia" w:ascii="仿宋" w:hAnsi="仿宋" w:eastAsia="仿宋"/>
          <w:sz w:val="28"/>
          <w:szCs w:val="28"/>
        </w:rPr>
        <w:t xml:space="preserve"> </w:t>
      </w:r>
      <w:r>
        <w:rPr>
          <w:rFonts w:hint="eastAsia" w:ascii="仿宋" w:hAnsi="仿宋" w:eastAsia="仿宋"/>
          <w:sz w:val="28"/>
          <w:szCs w:val="28"/>
          <w:lang w:eastAsia="zh-CN"/>
        </w:rPr>
        <w:t>2021年03月2</w:t>
      </w:r>
      <w:r>
        <w:rPr>
          <w:rFonts w:hint="eastAsia" w:ascii="仿宋" w:hAnsi="仿宋" w:eastAsia="仿宋"/>
          <w:sz w:val="28"/>
          <w:szCs w:val="28"/>
          <w:lang w:val="en-US" w:eastAsia="zh-CN"/>
        </w:rPr>
        <w:t>5</w:t>
      </w:r>
      <w:r>
        <w:rPr>
          <w:rFonts w:hint="eastAsia" w:ascii="仿宋" w:hAnsi="仿宋" w:eastAsia="仿宋"/>
          <w:sz w:val="28"/>
          <w:szCs w:val="28"/>
          <w:lang w:eastAsia="zh-CN"/>
        </w:rPr>
        <w:t>日</w:t>
      </w:r>
    </w:p>
    <w:p>
      <w:pPr>
        <w:spacing w:line="360" w:lineRule="auto"/>
        <w:rPr>
          <w:rFonts w:hint="eastAsia" w:ascii="仿宋" w:hAnsi="仿宋" w:eastAsia="仿宋"/>
          <w:b/>
          <w:bCs/>
          <w:sz w:val="28"/>
          <w:szCs w:val="28"/>
        </w:rPr>
      </w:pPr>
    </w:p>
    <w:p>
      <w:pPr>
        <w:spacing w:line="360" w:lineRule="auto"/>
        <w:rPr>
          <w:rFonts w:hint="eastAsia" w:ascii="仿宋" w:hAnsi="仿宋" w:eastAsia="仿宋"/>
          <w:b/>
          <w:bCs/>
          <w:sz w:val="28"/>
          <w:szCs w:val="28"/>
        </w:rPr>
      </w:pPr>
    </w:p>
    <w:p>
      <w:pPr>
        <w:spacing w:line="360" w:lineRule="auto"/>
        <w:rPr>
          <w:rFonts w:hint="eastAsia" w:ascii="仿宋" w:hAnsi="仿宋" w:eastAsia="仿宋"/>
          <w:sz w:val="28"/>
          <w:szCs w:val="28"/>
        </w:rPr>
      </w:pPr>
      <w:r>
        <w:rPr>
          <w:rFonts w:hint="eastAsia" w:ascii="仿宋" w:hAnsi="仿宋" w:eastAsia="仿宋"/>
          <w:b/>
          <w:bCs/>
          <w:sz w:val="28"/>
          <w:szCs w:val="28"/>
        </w:rPr>
        <w:t>估价报告编号：</w:t>
      </w:r>
      <w:r>
        <w:rPr>
          <w:rFonts w:hint="eastAsia" w:ascii="仿宋" w:hAnsi="仿宋" w:eastAsia="仿宋"/>
          <w:sz w:val="28"/>
          <w:szCs w:val="28"/>
        </w:rPr>
        <w:t>湖北点石[</w:t>
      </w:r>
      <w:r>
        <w:rPr>
          <w:rFonts w:hint="eastAsia" w:ascii="仿宋" w:hAnsi="仿宋" w:eastAsia="仿宋"/>
          <w:sz w:val="28"/>
          <w:szCs w:val="28"/>
          <w:lang w:val="en-US" w:eastAsia="zh-CN"/>
        </w:rPr>
        <w:t>2021</w:t>
      </w:r>
      <w:r>
        <w:rPr>
          <w:rFonts w:hint="eastAsia" w:ascii="仿宋" w:hAnsi="仿宋" w:eastAsia="仿宋"/>
          <w:sz w:val="28"/>
          <w:szCs w:val="28"/>
        </w:rPr>
        <w:t>]房评</w:t>
      </w:r>
      <w:r>
        <w:rPr>
          <w:rFonts w:hint="eastAsia" w:ascii="仿宋" w:hAnsi="仿宋" w:eastAsia="仿宋"/>
          <w:sz w:val="28"/>
          <w:szCs w:val="28"/>
          <w:lang w:eastAsia="zh-CN"/>
        </w:rPr>
        <w:t>法</w:t>
      </w:r>
      <w:r>
        <w:rPr>
          <w:rFonts w:hint="eastAsia" w:ascii="仿宋" w:hAnsi="仿宋" w:eastAsia="仿宋"/>
          <w:sz w:val="28"/>
          <w:szCs w:val="28"/>
        </w:rPr>
        <w:t>字第</w:t>
      </w:r>
      <w:r>
        <w:rPr>
          <w:rFonts w:hint="eastAsia" w:ascii="仿宋" w:hAnsi="仿宋" w:eastAsia="仿宋"/>
          <w:sz w:val="28"/>
          <w:szCs w:val="28"/>
          <w:lang w:val="en-US" w:eastAsia="zh-CN"/>
        </w:rPr>
        <w:t>2</w:t>
      </w:r>
      <w:r>
        <w:rPr>
          <w:rFonts w:hint="eastAsia" w:ascii="仿宋" w:hAnsi="仿宋" w:eastAsia="仿宋"/>
          <w:sz w:val="28"/>
          <w:szCs w:val="28"/>
        </w:rPr>
        <w:t>号</w:t>
      </w: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sectPr>
          <w:headerReference r:id="rId3" w:type="default"/>
          <w:footerReference r:id="rId4" w:type="default"/>
          <w:footerReference r:id="rId5" w:type="even"/>
          <w:pgSz w:w="11906" w:h="16838"/>
          <w:pgMar w:top="1091" w:right="1286" w:bottom="468" w:left="1620" w:header="851" w:footer="992" w:gutter="0"/>
          <w:pgNumType w:start="1"/>
          <w:cols w:space="720" w:num="1"/>
          <w:docGrid w:type="lines" w:linePitch="312" w:charSpace="0"/>
        </w:sectPr>
      </w:pPr>
    </w:p>
    <w:p>
      <w:pPr>
        <w:spacing w:line="560" w:lineRule="exact"/>
        <w:jc w:val="center"/>
        <w:rPr>
          <w:rFonts w:hint="eastAsia" w:ascii="仿宋" w:hAnsi="仿宋" w:eastAsia="仿宋"/>
          <w:b/>
          <w:sz w:val="36"/>
          <w:szCs w:val="36"/>
        </w:rPr>
      </w:pPr>
      <w:r>
        <w:rPr>
          <w:rFonts w:hint="eastAsia" w:ascii="仿宋" w:hAnsi="仿宋" w:eastAsia="仿宋"/>
          <w:b/>
          <w:sz w:val="36"/>
          <w:szCs w:val="36"/>
        </w:rPr>
        <w:t>目      录</w:t>
      </w:r>
    </w:p>
    <w:p>
      <w:pPr>
        <w:numPr>
          <w:ilvl w:val="0"/>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致估价委托人函……………………………………3</w:t>
      </w:r>
    </w:p>
    <w:p>
      <w:pPr>
        <w:numPr>
          <w:ilvl w:val="0"/>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注册房地产估价师声明……………………………5</w:t>
      </w:r>
    </w:p>
    <w:p>
      <w:pPr>
        <w:numPr>
          <w:ilvl w:val="0"/>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估价假设和限制件…………………………………6</w:t>
      </w:r>
    </w:p>
    <w:p>
      <w:pPr>
        <w:numPr>
          <w:ilvl w:val="0"/>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房地产估价结果报告…………………………8</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委托方…………………………………………8</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估价方……………………………………………8</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估价目的…………………………………………8</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估价对象………………………………………8</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估价时点………………………………………9</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价值定义………………………………………9</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估价依据………………………………………10</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估价原则………………………………………12</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估价方法………………………………………12</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估价结果…………………………………12</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估价人员……………………………11</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实际查勘期……………………………11</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估价作业日期……………………………11</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估价报告应用的有效期…………………11</w:t>
      </w:r>
    </w:p>
    <w:p>
      <w:pPr>
        <w:numPr>
          <w:ilvl w:val="0"/>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房地产估价技术报告 …………………………12</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估价对象描述与分析………………………12</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市场背景描述与分析…………………………………12</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最高最佳利用分析……………………………………15</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估价方法适用性分析…………………………………</w:t>
      </w:r>
      <w:r>
        <w:rPr>
          <w:rFonts w:hint="eastAsia" w:ascii="仿宋" w:hAnsi="仿宋" w:eastAsia="仿宋"/>
          <w:bCs/>
          <w:sz w:val="28"/>
          <w:szCs w:val="28"/>
          <w:lang w:val="en-US" w:eastAsia="zh-CN"/>
        </w:rPr>
        <w:t>16</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估价测算过程…………………………………………</w:t>
      </w:r>
      <w:r>
        <w:rPr>
          <w:rFonts w:hint="eastAsia" w:ascii="仿宋" w:hAnsi="仿宋" w:eastAsia="仿宋"/>
          <w:bCs/>
          <w:sz w:val="28"/>
          <w:szCs w:val="28"/>
          <w:lang w:val="en-US" w:eastAsia="zh-CN"/>
        </w:rPr>
        <w:t>18</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估价结果确定…………………………………………</w:t>
      </w:r>
      <w:r>
        <w:rPr>
          <w:rFonts w:hint="eastAsia" w:ascii="仿宋" w:hAnsi="仿宋" w:eastAsia="仿宋"/>
          <w:bCs/>
          <w:sz w:val="28"/>
          <w:szCs w:val="28"/>
          <w:lang w:val="en-US" w:eastAsia="zh-CN"/>
        </w:rPr>
        <w:t>30</w:t>
      </w:r>
    </w:p>
    <w:p>
      <w:pPr>
        <w:numPr>
          <w:ilvl w:val="1"/>
          <w:numId w:val="1"/>
        </w:numPr>
        <w:spacing w:line="560" w:lineRule="exact"/>
        <w:ind w:left="980" w:hanging="420"/>
        <w:jc w:val="distribute"/>
        <w:rPr>
          <w:rFonts w:hint="eastAsia" w:ascii="仿宋" w:hAnsi="仿宋" w:eastAsia="仿宋"/>
          <w:bCs/>
          <w:sz w:val="28"/>
          <w:szCs w:val="28"/>
        </w:rPr>
      </w:pPr>
      <w:r>
        <w:rPr>
          <w:rFonts w:hint="eastAsia" w:ascii="仿宋" w:hAnsi="仿宋" w:eastAsia="仿宋"/>
          <w:bCs/>
          <w:sz w:val="28"/>
          <w:szCs w:val="28"/>
        </w:rPr>
        <w:t>附件 ……………………………………………………</w:t>
      </w:r>
      <w:r>
        <w:rPr>
          <w:rFonts w:hint="eastAsia" w:ascii="仿宋" w:hAnsi="仿宋" w:eastAsia="仿宋"/>
          <w:bCs/>
          <w:sz w:val="28"/>
          <w:szCs w:val="28"/>
          <w:lang w:val="en-US" w:eastAsia="zh-CN"/>
        </w:rPr>
        <w:t>33</w:t>
      </w:r>
    </w:p>
    <w:p>
      <w:pPr>
        <w:spacing w:line="560" w:lineRule="exact"/>
        <w:ind w:firstLine="700" w:firstLineChars="250"/>
        <w:rPr>
          <w:rFonts w:hint="eastAsia" w:ascii="仿宋" w:hAnsi="仿宋" w:eastAsia="仿宋"/>
          <w:bCs/>
          <w:sz w:val="28"/>
          <w:szCs w:val="28"/>
        </w:rPr>
      </w:pPr>
      <w:r>
        <w:rPr>
          <w:rFonts w:hint="eastAsia" w:ascii="仿宋" w:hAnsi="仿宋" w:eastAsia="仿宋"/>
          <w:bCs/>
          <w:sz w:val="28"/>
          <w:szCs w:val="28"/>
        </w:rPr>
        <w:t>1</w:t>
      </w:r>
      <w:r>
        <w:rPr>
          <w:rFonts w:hint="eastAsia" w:ascii="仿宋" w:hAnsi="仿宋" w:eastAsia="仿宋"/>
          <w:sz w:val="28"/>
          <w:szCs w:val="28"/>
        </w:rPr>
        <w:t>、</w:t>
      </w:r>
      <w:r>
        <w:rPr>
          <w:rFonts w:hint="eastAsia" w:ascii="仿宋" w:hAnsi="仿宋" w:eastAsia="仿宋"/>
          <w:bCs/>
          <w:sz w:val="28"/>
          <w:szCs w:val="28"/>
        </w:rPr>
        <w:t>估价委托书复印件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rPr>
        <w:t>2</w:t>
      </w:r>
      <w:r>
        <w:rPr>
          <w:rFonts w:hint="eastAsia" w:ascii="仿宋" w:hAnsi="仿宋" w:eastAsia="仿宋"/>
          <w:sz w:val="28"/>
          <w:szCs w:val="28"/>
        </w:rPr>
        <w:t>、</w:t>
      </w:r>
      <w:r>
        <w:rPr>
          <w:rFonts w:hint="eastAsia" w:ascii="仿宋" w:hAnsi="仿宋" w:eastAsia="仿宋"/>
          <w:bCs/>
          <w:sz w:val="28"/>
          <w:szCs w:val="28"/>
        </w:rPr>
        <w:t>估价对象内外部状况照片</w:t>
      </w:r>
    </w:p>
    <w:p>
      <w:pPr>
        <w:spacing w:line="560" w:lineRule="exact"/>
        <w:ind w:firstLine="700" w:firstLineChars="250"/>
        <w:rPr>
          <w:rFonts w:hint="eastAsia" w:ascii="仿宋" w:hAnsi="仿宋" w:eastAsia="仿宋"/>
          <w:bCs/>
          <w:sz w:val="28"/>
          <w:szCs w:val="28"/>
        </w:rPr>
      </w:pPr>
      <w:r>
        <w:rPr>
          <w:rFonts w:hint="eastAsia" w:ascii="仿宋" w:hAnsi="仿宋" w:eastAsia="仿宋"/>
          <w:bCs/>
          <w:sz w:val="28"/>
          <w:szCs w:val="28"/>
        </w:rPr>
        <w:t>3、</w:t>
      </w:r>
      <w:r>
        <w:rPr>
          <w:rFonts w:hint="eastAsia" w:ascii="仿宋" w:hAnsi="仿宋" w:eastAsia="仿宋"/>
          <w:bCs/>
          <w:sz w:val="28"/>
          <w:szCs w:val="28"/>
          <w:lang w:eastAsia="zh-CN"/>
        </w:rPr>
        <w:t>执行裁定书</w:t>
      </w:r>
      <w:r>
        <w:rPr>
          <w:rFonts w:hint="eastAsia" w:ascii="仿宋" w:hAnsi="仿宋" w:eastAsia="仿宋"/>
          <w:bCs/>
          <w:sz w:val="28"/>
          <w:szCs w:val="28"/>
        </w:rPr>
        <w:t>复印件</w:t>
      </w:r>
    </w:p>
    <w:p>
      <w:pPr>
        <w:spacing w:line="560" w:lineRule="exact"/>
        <w:ind w:left="720"/>
        <w:rPr>
          <w:rFonts w:hint="eastAsia" w:ascii="仿宋" w:hAnsi="仿宋" w:eastAsia="仿宋"/>
          <w:bCs/>
          <w:sz w:val="28"/>
          <w:szCs w:val="28"/>
          <w:highlight w:val="red"/>
        </w:rPr>
      </w:pPr>
      <w:r>
        <w:rPr>
          <w:rFonts w:hint="eastAsia" w:ascii="仿宋" w:hAnsi="仿宋" w:eastAsia="仿宋"/>
          <w:bCs/>
          <w:sz w:val="28"/>
          <w:szCs w:val="28"/>
        </w:rPr>
        <w:t>4</w:t>
      </w:r>
      <w:r>
        <w:rPr>
          <w:rFonts w:hint="eastAsia" w:ascii="仿宋" w:hAnsi="仿宋" w:eastAsia="仿宋"/>
          <w:sz w:val="28"/>
          <w:szCs w:val="28"/>
        </w:rPr>
        <w:t>、</w:t>
      </w:r>
      <w:r>
        <w:rPr>
          <w:rFonts w:hint="eastAsia" w:ascii="仿宋" w:hAnsi="仿宋" w:eastAsia="仿宋"/>
          <w:bCs/>
          <w:sz w:val="28"/>
          <w:szCs w:val="28"/>
          <w:lang w:eastAsia="zh-CN"/>
        </w:rPr>
        <w:t>公证书</w:t>
      </w:r>
      <w:r>
        <w:rPr>
          <w:rFonts w:hint="eastAsia" w:ascii="仿宋" w:hAnsi="仿宋" w:eastAsia="仿宋"/>
          <w:bCs/>
          <w:sz w:val="28"/>
          <w:szCs w:val="28"/>
        </w:rPr>
        <w:t>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sz w:val="28"/>
          <w:szCs w:val="28"/>
        </w:rPr>
        <w:t>、</w:t>
      </w:r>
      <w:r>
        <w:rPr>
          <w:rFonts w:hint="eastAsia" w:ascii="仿宋" w:hAnsi="仿宋" w:eastAsia="仿宋"/>
          <w:bCs/>
          <w:sz w:val="28"/>
          <w:szCs w:val="28"/>
          <w:lang w:eastAsia="zh-CN"/>
        </w:rPr>
        <w:t>现场勘查表</w:t>
      </w:r>
      <w:r>
        <w:rPr>
          <w:rFonts w:hint="eastAsia" w:ascii="仿宋" w:hAnsi="仿宋" w:eastAsia="仿宋"/>
          <w:bCs/>
          <w:sz w:val="28"/>
          <w:szCs w:val="28"/>
        </w:rPr>
        <w:t>复印件</w:t>
      </w:r>
    </w:p>
    <w:p>
      <w:pPr>
        <w:spacing w:line="560" w:lineRule="exact"/>
        <w:ind w:left="720"/>
        <w:rPr>
          <w:rFonts w:ascii="仿宋" w:hAnsi="仿宋" w:eastAsia="仿宋"/>
          <w:bCs/>
          <w:sz w:val="28"/>
          <w:szCs w:val="28"/>
        </w:rPr>
      </w:pPr>
      <w:r>
        <w:rPr>
          <w:rFonts w:hint="eastAsia" w:ascii="仿宋" w:hAnsi="仿宋" w:eastAsia="仿宋"/>
          <w:bCs/>
          <w:sz w:val="28"/>
          <w:szCs w:val="28"/>
          <w:lang w:val="en-US" w:eastAsia="zh-CN"/>
        </w:rPr>
        <w:t>6</w:t>
      </w:r>
      <w:r>
        <w:rPr>
          <w:rFonts w:hint="eastAsia" w:ascii="仿宋" w:hAnsi="仿宋" w:eastAsia="仿宋"/>
          <w:bCs/>
          <w:sz w:val="28"/>
          <w:szCs w:val="28"/>
        </w:rPr>
        <w:t>、估价对象位置示意图</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7</w:t>
      </w:r>
      <w:r>
        <w:rPr>
          <w:rFonts w:hint="eastAsia" w:ascii="仿宋" w:hAnsi="仿宋" w:eastAsia="仿宋"/>
          <w:sz w:val="28"/>
          <w:szCs w:val="28"/>
        </w:rPr>
        <w:t>、</w:t>
      </w:r>
      <w:r>
        <w:rPr>
          <w:rFonts w:hint="eastAsia" w:ascii="仿宋" w:hAnsi="仿宋" w:eastAsia="仿宋"/>
          <w:bCs/>
          <w:sz w:val="28"/>
          <w:szCs w:val="28"/>
        </w:rPr>
        <w:t>湖北点石房地产评估咨询有限公司营业执照复印件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8</w:t>
      </w:r>
      <w:r>
        <w:rPr>
          <w:rFonts w:hint="eastAsia" w:ascii="仿宋" w:hAnsi="仿宋" w:eastAsia="仿宋"/>
          <w:sz w:val="28"/>
          <w:szCs w:val="28"/>
        </w:rPr>
        <w:t>、</w:t>
      </w:r>
      <w:r>
        <w:rPr>
          <w:rFonts w:hint="eastAsia" w:ascii="仿宋" w:hAnsi="仿宋" w:eastAsia="仿宋"/>
          <w:bCs/>
          <w:sz w:val="28"/>
          <w:szCs w:val="28"/>
        </w:rPr>
        <w:t>湖北点石房地产评估咨询有限公司资质证书复印件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9</w:t>
      </w:r>
      <w:r>
        <w:rPr>
          <w:rFonts w:hint="eastAsia" w:ascii="仿宋" w:hAnsi="仿宋" w:eastAsia="仿宋"/>
          <w:sz w:val="28"/>
          <w:szCs w:val="28"/>
        </w:rPr>
        <w:t>、</w:t>
      </w:r>
      <w:r>
        <w:rPr>
          <w:rFonts w:hint="eastAsia" w:ascii="仿宋" w:hAnsi="仿宋" w:eastAsia="仿宋"/>
          <w:bCs/>
          <w:sz w:val="28"/>
          <w:szCs w:val="28"/>
        </w:rPr>
        <w:t>注册房地产估价师注册证书复印件</w:t>
      </w:r>
    </w:p>
    <w:p>
      <w:pPr>
        <w:spacing w:line="560" w:lineRule="exact"/>
        <w:rPr>
          <w:rFonts w:hint="eastAsia" w:ascii="仿宋" w:hAnsi="仿宋" w:eastAsia="仿宋"/>
          <w:bCs/>
          <w:sz w:val="28"/>
          <w:szCs w:val="28"/>
        </w:rPr>
      </w:pPr>
    </w:p>
    <w:p>
      <w:pPr>
        <w:spacing w:line="560" w:lineRule="exact"/>
        <w:rPr>
          <w:rFonts w:hint="eastAsia" w:ascii="仿宋" w:hAnsi="仿宋" w:eastAsia="仿宋"/>
          <w:b/>
          <w:sz w:val="28"/>
          <w:szCs w:val="28"/>
        </w:rPr>
      </w:pPr>
    </w:p>
    <w:p>
      <w:pPr>
        <w:spacing w:line="560" w:lineRule="exact"/>
        <w:rPr>
          <w:rFonts w:hint="eastAsia" w:ascii="仿宋" w:hAnsi="仿宋" w:eastAsia="仿宋"/>
          <w:b/>
          <w:sz w:val="28"/>
          <w:szCs w:val="28"/>
        </w:rPr>
      </w:pPr>
    </w:p>
    <w:p>
      <w:pPr>
        <w:spacing w:line="560" w:lineRule="exact"/>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36"/>
          <w:szCs w:val="36"/>
        </w:rPr>
      </w:pPr>
      <w:r>
        <w:rPr>
          <w:rFonts w:hint="eastAsia" w:ascii="仿宋" w:hAnsi="仿宋" w:eastAsia="仿宋"/>
          <w:b/>
          <w:sz w:val="36"/>
          <w:szCs w:val="36"/>
        </w:rPr>
        <w:t>致 委 托 方 函</w:t>
      </w:r>
    </w:p>
    <w:p>
      <w:pPr>
        <w:tabs>
          <w:tab w:val="left" w:pos="2340"/>
        </w:tabs>
        <w:spacing w:line="560" w:lineRule="exact"/>
        <w:rPr>
          <w:rFonts w:hint="eastAsia" w:ascii="仿宋" w:hAnsi="仿宋" w:eastAsia="仿宋"/>
          <w:b/>
          <w:sz w:val="28"/>
          <w:szCs w:val="28"/>
        </w:rPr>
      </w:pPr>
      <w:r>
        <w:rPr>
          <w:rFonts w:hint="eastAsia" w:ascii="仿宋" w:hAnsi="仿宋" w:eastAsia="仿宋"/>
          <w:b/>
          <w:spacing w:val="-8"/>
          <w:sz w:val="28"/>
          <w:szCs w:val="28"/>
          <w:lang w:eastAsia="zh-CN"/>
        </w:rPr>
        <w:t>襄阳市樊城区人民法院</w:t>
      </w:r>
      <w:r>
        <w:rPr>
          <w:rFonts w:hint="eastAsia" w:ascii="仿宋" w:hAnsi="仿宋" w:eastAsia="仿宋"/>
          <w:b/>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受贵</w:t>
      </w:r>
      <w:r>
        <w:rPr>
          <w:rFonts w:hint="eastAsia" w:ascii="仿宋" w:hAnsi="仿宋" w:eastAsia="仿宋"/>
          <w:sz w:val="28"/>
          <w:szCs w:val="28"/>
          <w:lang w:eastAsia="zh-CN"/>
        </w:rPr>
        <w:t>单位</w:t>
      </w:r>
      <w:r>
        <w:rPr>
          <w:rFonts w:hint="eastAsia" w:ascii="仿宋" w:hAnsi="仿宋" w:eastAsia="仿宋"/>
          <w:sz w:val="28"/>
          <w:szCs w:val="28"/>
        </w:rPr>
        <w:t>的委托，我们对位于</w:t>
      </w:r>
      <w:r>
        <w:rPr>
          <w:rFonts w:hint="eastAsia" w:ascii="仿宋" w:hAnsi="仿宋" w:eastAsia="仿宋"/>
          <w:spacing w:val="-8"/>
          <w:sz w:val="28"/>
          <w:szCs w:val="28"/>
          <w:lang w:eastAsia="zh-CN"/>
        </w:rPr>
        <w:t>谷城县黄岗村的土地面积113.8平方米的宅基地及地上房屋</w:t>
      </w:r>
      <w:r>
        <w:rPr>
          <w:rFonts w:hint="eastAsia" w:ascii="仿宋" w:hAnsi="仿宋" w:eastAsia="仿宋"/>
          <w:sz w:val="28"/>
          <w:szCs w:val="28"/>
        </w:rPr>
        <w:t>价值进行了评估。委评</w:t>
      </w:r>
      <w:r>
        <w:rPr>
          <w:rFonts w:hint="eastAsia" w:ascii="仿宋" w:hAnsi="仿宋" w:eastAsia="仿宋"/>
          <w:sz w:val="28"/>
          <w:szCs w:val="28"/>
          <w:lang w:eastAsia="zh-CN"/>
        </w:rPr>
        <w:t>明细见下表。估</w:t>
      </w:r>
      <w:r>
        <w:rPr>
          <w:rFonts w:hint="eastAsia" w:ascii="仿宋" w:hAnsi="仿宋" w:eastAsia="仿宋"/>
          <w:sz w:val="28"/>
          <w:szCs w:val="28"/>
        </w:rPr>
        <w:t>价目的是为司法拍卖提供价值参考依据而评估房地产价值。估价时点是</w:t>
      </w:r>
      <w:r>
        <w:rPr>
          <w:rFonts w:hint="eastAsia" w:ascii="仿宋" w:hAnsi="仿宋" w:eastAsia="仿宋"/>
          <w:sz w:val="28"/>
          <w:szCs w:val="28"/>
          <w:lang w:eastAsia="zh-CN"/>
        </w:rPr>
        <w:t>20</w:t>
      </w:r>
      <w:r>
        <w:rPr>
          <w:rFonts w:hint="eastAsia" w:ascii="仿宋" w:hAnsi="仿宋" w:eastAsia="仿宋"/>
          <w:sz w:val="28"/>
          <w:szCs w:val="28"/>
          <w:lang w:val="en-US" w:eastAsia="zh-CN"/>
        </w:rPr>
        <w:t>21</w:t>
      </w:r>
      <w:r>
        <w:rPr>
          <w:rFonts w:hint="eastAsia" w:ascii="仿宋" w:hAnsi="仿宋" w:eastAsia="仿宋"/>
          <w:sz w:val="28"/>
          <w:szCs w:val="28"/>
          <w:lang w:eastAsia="zh-CN"/>
        </w:rPr>
        <w:t>年</w:t>
      </w:r>
      <w:r>
        <w:rPr>
          <w:rFonts w:hint="eastAsia" w:ascii="仿宋" w:hAnsi="仿宋" w:eastAsia="仿宋"/>
          <w:sz w:val="28"/>
          <w:szCs w:val="28"/>
          <w:lang w:val="en-US" w:eastAsia="zh-CN"/>
        </w:rPr>
        <w:t>03</w:t>
      </w:r>
      <w:r>
        <w:rPr>
          <w:rFonts w:hint="eastAsia" w:ascii="仿宋" w:hAnsi="仿宋" w:eastAsia="仿宋"/>
          <w:sz w:val="28"/>
          <w:szCs w:val="28"/>
          <w:lang w:eastAsia="zh-CN"/>
        </w:rPr>
        <w:t>月</w:t>
      </w:r>
      <w:r>
        <w:rPr>
          <w:rFonts w:hint="eastAsia" w:ascii="仿宋" w:hAnsi="仿宋" w:eastAsia="仿宋"/>
          <w:sz w:val="28"/>
          <w:szCs w:val="28"/>
          <w:lang w:val="en-US" w:eastAsia="zh-CN"/>
        </w:rPr>
        <w:t>23</w:t>
      </w:r>
      <w:r>
        <w:rPr>
          <w:rFonts w:hint="eastAsia" w:ascii="仿宋" w:hAnsi="仿宋" w:eastAsia="仿宋"/>
          <w:sz w:val="28"/>
          <w:szCs w:val="28"/>
          <w:lang w:eastAsia="zh-CN"/>
        </w:rPr>
        <w:t>日</w:t>
      </w:r>
      <w:r>
        <w:rPr>
          <w:rFonts w:hint="eastAsia" w:ascii="仿宋" w:hAnsi="仿宋" w:eastAsia="仿宋"/>
          <w:sz w:val="28"/>
          <w:szCs w:val="28"/>
        </w:rPr>
        <w:t>。经过实地查看和市场调查，遵照《中华人民共和国城市房地产管理法》、国家标准《房地产估价规范等法律、法规和技术标准，遵循独立、客观、公正、合法，</w:t>
      </w:r>
      <w:r>
        <w:rPr>
          <w:rFonts w:hint="eastAsia" w:ascii="仿宋" w:hAnsi="仿宋" w:eastAsia="仿宋"/>
          <w:sz w:val="28"/>
          <w:szCs w:val="28"/>
          <w:lang w:eastAsia="zh-CN"/>
        </w:rPr>
        <w:t>土地</w:t>
      </w:r>
      <w:r>
        <w:rPr>
          <w:rFonts w:hint="eastAsia" w:ascii="仿宋" w:hAnsi="仿宋" w:eastAsia="仿宋"/>
          <w:sz w:val="28"/>
          <w:szCs w:val="28"/>
        </w:rPr>
        <w:t>选用</w:t>
      </w:r>
      <w:r>
        <w:rPr>
          <w:rFonts w:hint="eastAsia" w:ascii="仿宋" w:hAnsi="仿宋" w:eastAsia="仿宋"/>
          <w:sz w:val="28"/>
          <w:szCs w:val="28"/>
          <w:lang w:eastAsia="zh-CN"/>
        </w:rPr>
        <w:t>成本法，房屋估价采用成本法</w:t>
      </w:r>
      <w:r>
        <w:rPr>
          <w:rFonts w:hint="eastAsia" w:ascii="仿宋" w:hAnsi="仿宋" w:eastAsia="仿宋"/>
          <w:sz w:val="28"/>
          <w:szCs w:val="28"/>
        </w:rPr>
        <w:t xml:space="preserve">进行了分析、测算和判断，确定市场价值为: </w:t>
      </w:r>
    </w:p>
    <w:p>
      <w:pPr>
        <w:keepNext w:val="0"/>
        <w:keepLines w:val="0"/>
        <w:pageBreakBefore w:val="0"/>
        <w:widowControl w:val="0"/>
        <w:kinsoku/>
        <w:wordWrap/>
        <w:overflowPunct/>
        <w:topLinePunct w:val="0"/>
        <w:autoSpaceDE/>
        <w:autoSpaceDN/>
        <w:bidi w:val="0"/>
        <w:adjustRightInd/>
        <w:snapToGrid/>
        <w:spacing w:line="52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总价值为：195842元</w:t>
      </w:r>
    </w:p>
    <w:p>
      <w:pPr>
        <w:keepNext w:val="0"/>
        <w:keepLines w:val="0"/>
        <w:pageBreakBefore w:val="0"/>
        <w:widowControl w:val="0"/>
        <w:kinsoku/>
        <w:wordWrap/>
        <w:overflowPunct/>
        <w:topLinePunct w:val="0"/>
        <w:autoSpaceDE/>
        <w:autoSpaceDN/>
        <w:bidi w:val="0"/>
        <w:adjustRightInd/>
        <w:snapToGrid/>
        <w:spacing w:line="52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大    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195842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壹拾玖万伍仟捌佰肆拾贰</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元整</w:t>
      </w:r>
    </w:p>
    <w:p>
      <w:pPr>
        <w:keepNext w:val="0"/>
        <w:keepLines w:val="0"/>
        <w:pageBreakBefore w:val="0"/>
        <w:widowControl w:val="0"/>
        <w:kinsoku/>
        <w:wordWrap/>
        <w:overflowPunct/>
        <w:topLinePunct w:val="0"/>
        <w:autoSpaceDE/>
        <w:autoSpaceDN/>
        <w:bidi w:val="0"/>
        <w:adjustRightInd/>
        <w:snapToGrid/>
        <w:spacing w:line="52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（其中：地上无证房产价值为152152元，大写：人民币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152152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壹拾伍万贰仟壹佰伍拾贰</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元；钢棚价值22296元，大写：人民币</w:t>
      </w:r>
      <w:r>
        <w:rPr>
          <w:rFonts w:hint="eastAsia" w:ascii="仿宋" w:hAnsi="仿宋" w:eastAsia="仿宋"/>
          <w:sz w:val="28"/>
          <w:szCs w:val="28"/>
          <w:lang w:val="en-US" w:eastAsia="zh-CN"/>
        </w:rPr>
        <w:fldChar w:fldCharType="begin"/>
      </w:r>
      <m:oMath>
        <m:r>
          <m:rPr>
            <m:sty m:val="p"/>
          </m:rPr>
          <w:rPr>
            <w:rFonts w:hint="eastAsia" w:ascii="仿宋" w:hAnsi="仿宋" w:eastAsia="仿宋"/>
            <w:sz w:val="28"/>
            <w:szCs w:val="28"/>
            <w:lang w:val="en-US" w:eastAsia="zh-CN"/>
          </w:rPr>
          <m:t xml:space="preserve"> = 22296 \* CHINESENUM2 \* MERGEFORMAT </m:t>
        </m:r>
      </m:oMath>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贰万贰仟贰佰玖拾陆</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元；土地价值：21394元，大写：人民币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21394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贰万壹仟叁佰玖拾肆</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Times New Roman"/>
          <w:color w:val="000000"/>
          <w:kern w:val="2"/>
          <w:sz w:val="28"/>
          <w:szCs w:val="22"/>
          <w:lang w:val="en-US" w:eastAsia="zh-CN" w:bidi="ar-SA"/>
        </w:rPr>
      </w:pPr>
      <w:r>
        <w:rPr>
          <w:rFonts w:hint="eastAsia" w:ascii="仿宋" w:hAnsi="仿宋" w:eastAsia="仿宋" w:cs="Times New Roman"/>
          <w:color w:val="000000"/>
          <w:kern w:val="2"/>
          <w:sz w:val="28"/>
          <w:szCs w:val="22"/>
          <w:lang w:val="en-US" w:eastAsia="zh-CN" w:bidi="ar-SA"/>
        </w:rPr>
        <w:t>（一）地上建筑物价值明细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1482"/>
        <w:gridCol w:w="1409"/>
        <w:gridCol w:w="1216"/>
        <w:gridCol w:w="1916"/>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8" w:type="dxa"/>
            <w:noWrap w:val="0"/>
            <w:vAlign w:val="center"/>
          </w:tcPr>
          <w:p>
            <w:pPr>
              <w:spacing w:line="400" w:lineRule="exact"/>
              <w:jc w:val="center"/>
              <w:rPr>
                <w:rFonts w:hint="eastAsia" w:ascii="宋体" w:hAnsi="宋体" w:eastAsia="宋体"/>
                <w:b/>
                <w:bCs/>
                <w:color w:val="000000"/>
                <w:kern w:val="0"/>
                <w:sz w:val="20"/>
              </w:rPr>
            </w:pPr>
            <w:r>
              <w:rPr>
                <w:rFonts w:hint="eastAsia" w:ascii="宋体" w:hAnsi="宋体" w:eastAsia="宋体"/>
                <w:b/>
                <w:bCs/>
                <w:color w:val="000000"/>
                <w:kern w:val="0"/>
                <w:sz w:val="20"/>
              </w:rPr>
              <w:t>序号</w:t>
            </w:r>
          </w:p>
        </w:tc>
        <w:tc>
          <w:tcPr>
            <w:tcW w:w="1482" w:type="dxa"/>
            <w:noWrap w:val="0"/>
            <w:vAlign w:val="center"/>
          </w:tcPr>
          <w:p>
            <w:pPr>
              <w:spacing w:line="400" w:lineRule="exact"/>
              <w:jc w:val="center"/>
              <w:rPr>
                <w:rFonts w:hint="eastAsia" w:ascii="宋体" w:hAnsi="宋体" w:eastAsia="宋体"/>
                <w:b/>
                <w:bCs/>
                <w:color w:val="000000"/>
                <w:kern w:val="0"/>
                <w:sz w:val="20"/>
                <w:lang w:eastAsia="zh-CN"/>
              </w:rPr>
            </w:pPr>
            <w:r>
              <w:rPr>
                <w:rFonts w:hint="eastAsia" w:ascii="宋体" w:hAnsi="宋体"/>
                <w:b/>
                <w:bCs/>
                <w:color w:val="000000"/>
                <w:kern w:val="0"/>
                <w:sz w:val="20"/>
                <w:lang w:eastAsia="zh-CN"/>
              </w:rPr>
              <w:t>层数</w:t>
            </w:r>
          </w:p>
        </w:tc>
        <w:tc>
          <w:tcPr>
            <w:tcW w:w="1409" w:type="dxa"/>
            <w:noWrap w:val="0"/>
            <w:vAlign w:val="center"/>
          </w:tcPr>
          <w:p>
            <w:pPr>
              <w:spacing w:line="400" w:lineRule="exact"/>
              <w:jc w:val="center"/>
              <w:rPr>
                <w:rFonts w:hint="eastAsia" w:ascii="宋体" w:hAnsi="宋体" w:eastAsia="宋体"/>
                <w:b/>
                <w:bCs/>
                <w:color w:val="000000"/>
                <w:kern w:val="0"/>
                <w:sz w:val="20"/>
              </w:rPr>
            </w:pPr>
            <w:r>
              <w:rPr>
                <w:rFonts w:hint="eastAsia" w:ascii="宋体" w:hAnsi="宋体" w:eastAsia="宋体"/>
                <w:b/>
                <w:bCs/>
                <w:color w:val="000000"/>
                <w:kern w:val="0"/>
                <w:sz w:val="20"/>
              </w:rPr>
              <w:t>结构</w:t>
            </w:r>
          </w:p>
        </w:tc>
        <w:tc>
          <w:tcPr>
            <w:tcW w:w="1216" w:type="dxa"/>
            <w:noWrap w:val="0"/>
            <w:vAlign w:val="center"/>
          </w:tcPr>
          <w:p>
            <w:pPr>
              <w:spacing w:line="400" w:lineRule="exact"/>
              <w:jc w:val="center"/>
              <w:rPr>
                <w:rFonts w:hint="eastAsia" w:ascii="宋体" w:hAnsi="宋体" w:eastAsia="宋体"/>
                <w:b/>
                <w:bCs/>
                <w:color w:val="000000"/>
                <w:kern w:val="0"/>
                <w:sz w:val="20"/>
              </w:rPr>
            </w:pPr>
            <w:r>
              <w:rPr>
                <w:rFonts w:hint="eastAsia" w:ascii="宋体" w:hAnsi="宋体" w:eastAsia="宋体"/>
                <w:b/>
                <w:bCs/>
                <w:color w:val="000000"/>
                <w:kern w:val="0"/>
                <w:sz w:val="20"/>
              </w:rPr>
              <w:t>面积（㎡）</w:t>
            </w:r>
          </w:p>
        </w:tc>
        <w:tc>
          <w:tcPr>
            <w:tcW w:w="1916" w:type="dxa"/>
            <w:noWrap w:val="0"/>
            <w:vAlign w:val="center"/>
          </w:tcPr>
          <w:p>
            <w:pPr>
              <w:spacing w:line="400" w:lineRule="exact"/>
              <w:jc w:val="center"/>
              <w:rPr>
                <w:rFonts w:hint="eastAsia" w:ascii="宋体" w:hAnsi="宋体" w:eastAsia="宋体"/>
                <w:b/>
                <w:bCs/>
                <w:color w:val="000000"/>
                <w:kern w:val="0"/>
                <w:sz w:val="20"/>
                <w:lang w:eastAsia="zh-CN"/>
              </w:rPr>
            </w:pPr>
            <w:r>
              <w:rPr>
                <w:rFonts w:hint="eastAsia" w:ascii="宋体" w:hAnsi="宋体"/>
                <w:b/>
                <w:bCs/>
                <w:color w:val="000000"/>
                <w:kern w:val="0"/>
                <w:sz w:val="20"/>
                <w:lang w:eastAsia="zh-CN"/>
              </w:rPr>
              <w:t>单价（元</w:t>
            </w:r>
            <w:r>
              <w:rPr>
                <w:rFonts w:hint="eastAsia" w:ascii="宋体" w:hAnsi="宋体"/>
                <w:b/>
                <w:bCs/>
                <w:color w:val="000000"/>
                <w:kern w:val="0"/>
                <w:sz w:val="20"/>
                <w:lang w:val="en-US" w:eastAsia="zh-CN"/>
              </w:rPr>
              <w:t>/平方米</w:t>
            </w:r>
            <w:r>
              <w:rPr>
                <w:rFonts w:hint="eastAsia" w:ascii="宋体" w:hAnsi="宋体"/>
                <w:b/>
                <w:bCs/>
                <w:color w:val="000000"/>
                <w:kern w:val="0"/>
                <w:sz w:val="20"/>
                <w:lang w:eastAsia="zh-CN"/>
              </w:rPr>
              <w:t>）</w:t>
            </w:r>
          </w:p>
        </w:tc>
        <w:tc>
          <w:tcPr>
            <w:tcW w:w="1159" w:type="dxa"/>
            <w:noWrap w:val="0"/>
            <w:vAlign w:val="center"/>
          </w:tcPr>
          <w:p>
            <w:pPr>
              <w:spacing w:line="400" w:lineRule="exact"/>
              <w:jc w:val="center"/>
              <w:rPr>
                <w:rFonts w:hint="eastAsia" w:ascii="宋体" w:hAnsi="宋体" w:eastAsia="宋体"/>
                <w:b/>
                <w:bCs/>
                <w:color w:val="000000"/>
                <w:kern w:val="0"/>
                <w:sz w:val="20"/>
                <w:lang w:eastAsia="zh-CN"/>
              </w:rPr>
            </w:pPr>
            <w:r>
              <w:rPr>
                <w:rFonts w:hint="eastAsia" w:ascii="宋体" w:hAnsi="宋体"/>
                <w:b/>
                <w:bCs/>
                <w:color w:val="000000"/>
                <w:kern w:val="0"/>
                <w:sz w:val="20"/>
                <w:lang w:eastAsia="zh-CN"/>
              </w:rPr>
              <w:t>总价</w:t>
            </w:r>
            <w:r>
              <w:rPr>
                <w:rFonts w:hint="eastAsia" w:ascii="仿宋" w:hAnsi="仿宋" w:eastAsia="仿宋" w:cs="仿宋"/>
                <w:b/>
                <w:bCs/>
                <w:i w:val="0"/>
                <w:color w:val="000000"/>
                <w:kern w:val="0"/>
                <w:sz w:val="18"/>
                <w:szCs w:val="18"/>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8"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1</w:t>
            </w:r>
          </w:p>
        </w:tc>
        <w:tc>
          <w:tcPr>
            <w:tcW w:w="1482"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1-3/3</w:t>
            </w:r>
          </w:p>
        </w:tc>
        <w:tc>
          <w:tcPr>
            <w:tcW w:w="1409"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砖混</w:t>
            </w:r>
            <w:r>
              <w:rPr>
                <w:rFonts w:hint="eastAsia" w:ascii="宋体" w:hAnsi="宋体" w:eastAsia="宋体"/>
                <w:color w:val="000000"/>
                <w:kern w:val="0"/>
                <w:sz w:val="20"/>
                <w:lang w:eastAsia="zh-CN"/>
              </w:rPr>
              <w:t>乙</w:t>
            </w:r>
            <w:r>
              <w:rPr>
                <w:rFonts w:hint="eastAsia" w:ascii="宋体" w:hAnsi="宋体" w:eastAsia="宋体"/>
                <w:color w:val="000000"/>
                <w:kern w:val="0"/>
                <w:sz w:val="20"/>
              </w:rPr>
              <w:t>级</w:t>
            </w:r>
          </w:p>
        </w:tc>
        <w:tc>
          <w:tcPr>
            <w:tcW w:w="1216"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302.49</w:t>
            </w:r>
          </w:p>
        </w:tc>
        <w:tc>
          <w:tcPr>
            <w:tcW w:w="1916"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503</w:t>
            </w:r>
          </w:p>
        </w:tc>
        <w:tc>
          <w:tcPr>
            <w:tcW w:w="1159"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152152</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Times New Roman"/>
          <w:color w:val="000000"/>
          <w:kern w:val="2"/>
          <w:sz w:val="28"/>
          <w:szCs w:val="22"/>
          <w:lang w:val="en-US" w:eastAsia="zh-CN" w:bidi="ar-SA"/>
        </w:rPr>
      </w:pPr>
      <w:r>
        <w:rPr>
          <w:rFonts w:hint="eastAsia" w:ascii="仿宋" w:hAnsi="仿宋" w:eastAsia="仿宋" w:cs="Times New Roman"/>
          <w:color w:val="000000"/>
          <w:kern w:val="2"/>
          <w:sz w:val="28"/>
          <w:szCs w:val="22"/>
          <w:lang w:val="en-US" w:eastAsia="zh-CN" w:bidi="ar-SA"/>
        </w:rPr>
        <w:t>（二）钢棚价值明细</w:t>
      </w:r>
    </w:p>
    <w:tbl>
      <w:tblPr>
        <w:tblStyle w:val="9"/>
        <w:tblW w:w="4997" w:type="pct"/>
        <w:tblInd w:w="0" w:type="dxa"/>
        <w:tblLayout w:type="autofit"/>
        <w:tblCellMar>
          <w:top w:w="0" w:type="dxa"/>
          <w:left w:w="0" w:type="dxa"/>
          <w:bottom w:w="0" w:type="dxa"/>
          <w:right w:w="0" w:type="dxa"/>
        </w:tblCellMar>
      </w:tblPr>
      <w:tblGrid>
        <w:gridCol w:w="1327"/>
        <w:gridCol w:w="1887"/>
        <w:gridCol w:w="1223"/>
        <w:gridCol w:w="1311"/>
        <w:gridCol w:w="1738"/>
        <w:gridCol w:w="1539"/>
      </w:tblGrid>
      <w:tr>
        <w:tblPrEx>
          <w:tblCellMar>
            <w:top w:w="0" w:type="dxa"/>
            <w:left w:w="0" w:type="dxa"/>
            <w:bottom w:w="0" w:type="dxa"/>
            <w:right w:w="0" w:type="dxa"/>
          </w:tblCellMar>
        </w:tblPrEx>
        <w:trPr>
          <w:trHeight w:val="360" w:hRule="atLeast"/>
        </w:trPr>
        <w:tc>
          <w:tcPr>
            <w:tcW w:w="7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序号</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名称</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单位</w:t>
            </w:r>
          </w:p>
        </w:tc>
        <w:tc>
          <w:tcPr>
            <w:tcW w:w="7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数量</w:t>
            </w:r>
          </w:p>
        </w:tc>
        <w:tc>
          <w:tcPr>
            <w:tcW w:w="8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单价</w:t>
            </w:r>
            <w:r>
              <w:rPr>
                <w:rFonts w:hint="eastAsia" w:ascii="宋体" w:hAnsi="宋体" w:eastAsia="宋体"/>
                <w:b/>
                <w:bCs/>
                <w:color w:val="000000"/>
                <w:kern w:val="0"/>
                <w:sz w:val="20"/>
                <w:lang w:eastAsia="zh-CN"/>
              </w:rPr>
              <w:t>（元</w:t>
            </w:r>
            <w:r>
              <w:rPr>
                <w:rFonts w:hint="eastAsia" w:ascii="宋体" w:hAnsi="宋体" w:eastAsia="宋体"/>
                <w:b/>
                <w:bCs/>
                <w:color w:val="000000"/>
                <w:kern w:val="0"/>
                <w:sz w:val="20"/>
                <w:lang w:val="en-US" w:eastAsia="zh-CN"/>
              </w:rPr>
              <w:t>/平方米</w:t>
            </w:r>
            <w:r>
              <w:rPr>
                <w:rFonts w:hint="eastAsia" w:ascii="宋体" w:hAnsi="宋体" w:eastAsia="宋体"/>
                <w:b/>
                <w:bCs/>
                <w:color w:val="000000"/>
                <w:kern w:val="0"/>
                <w:sz w:val="20"/>
                <w:lang w:eastAsia="zh-CN"/>
              </w:rPr>
              <w:t>）</w:t>
            </w:r>
          </w:p>
        </w:tc>
        <w:tc>
          <w:tcPr>
            <w:tcW w:w="87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总价（元）</w:t>
            </w:r>
          </w:p>
        </w:tc>
      </w:tr>
      <w:tr>
        <w:tblPrEx>
          <w:tblCellMar>
            <w:top w:w="0" w:type="dxa"/>
            <w:left w:w="0" w:type="dxa"/>
            <w:bottom w:w="0" w:type="dxa"/>
            <w:right w:w="0" w:type="dxa"/>
          </w:tblCellMar>
        </w:tblPrEx>
        <w:trPr>
          <w:trHeight w:val="360" w:hRule="atLeast"/>
        </w:trPr>
        <w:tc>
          <w:tcPr>
            <w:tcW w:w="7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钢棚</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w:t>
            </w:r>
          </w:p>
        </w:tc>
        <w:tc>
          <w:tcPr>
            <w:tcW w:w="7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148.64</w:t>
            </w:r>
          </w:p>
        </w:tc>
        <w:tc>
          <w:tcPr>
            <w:tcW w:w="8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150</w:t>
            </w:r>
          </w:p>
        </w:tc>
        <w:tc>
          <w:tcPr>
            <w:tcW w:w="87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22296</w:t>
            </w:r>
          </w:p>
        </w:tc>
      </w:tr>
    </w:tbl>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三</w:t>
      </w:r>
      <w:r>
        <w:rPr>
          <w:rFonts w:hint="eastAsia" w:ascii="仿宋" w:hAnsi="仿宋" w:eastAsia="仿宋"/>
          <w:sz w:val="28"/>
          <w:szCs w:val="28"/>
          <w:lang w:eastAsia="zh-CN"/>
        </w:rPr>
        <w:t>）土地价值</w:t>
      </w:r>
    </w:p>
    <w:tbl>
      <w:tblPr>
        <w:tblStyle w:val="10"/>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128"/>
        <w:gridCol w:w="687"/>
        <w:gridCol w:w="1808"/>
        <w:gridCol w:w="1808"/>
        <w:gridCol w:w="919"/>
        <w:gridCol w:w="1301"/>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宗地编号</w:t>
            </w:r>
          </w:p>
        </w:tc>
        <w:tc>
          <w:tcPr>
            <w:tcW w:w="1128"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估价期日的土地使用者</w:t>
            </w:r>
          </w:p>
        </w:tc>
        <w:tc>
          <w:tcPr>
            <w:tcW w:w="687"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土地性质</w:t>
            </w:r>
          </w:p>
        </w:tc>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估价基准日实际土地开发程度</w:t>
            </w:r>
          </w:p>
        </w:tc>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估价设定开发程度</w:t>
            </w:r>
          </w:p>
        </w:tc>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土地面积㎡</w:t>
            </w:r>
          </w:p>
        </w:tc>
        <w:tc>
          <w:tcPr>
            <w:tcW w:w="1301"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单位面积单价（元/㎡）</w:t>
            </w:r>
          </w:p>
        </w:tc>
        <w:tc>
          <w:tcPr>
            <w:tcW w:w="794"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宗地价元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0" w:type="auto"/>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方文志</w:t>
            </w:r>
          </w:p>
        </w:tc>
        <w:tc>
          <w:tcPr>
            <w:tcW w:w="687"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宅基地</w:t>
            </w:r>
          </w:p>
        </w:tc>
        <w:tc>
          <w:tcPr>
            <w:tcW w:w="0" w:type="auto"/>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红线外“五通一平”及红线内场地平整</w:t>
            </w:r>
          </w:p>
        </w:tc>
        <w:tc>
          <w:tcPr>
            <w:tcW w:w="0" w:type="auto"/>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红线外“五通一平”及红线内场地平整</w:t>
            </w:r>
          </w:p>
        </w:tc>
        <w:tc>
          <w:tcPr>
            <w:tcW w:w="0" w:type="auto"/>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113.8</w:t>
            </w:r>
          </w:p>
        </w:tc>
        <w:tc>
          <w:tcPr>
            <w:tcW w:w="1301" w:type="dxa"/>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188</w:t>
            </w:r>
          </w:p>
        </w:tc>
        <w:tc>
          <w:tcPr>
            <w:tcW w:w="794" w:type="dxa"/>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21394</w:t>
            </w:r>
          </w:p>
        </w:tc>
      </w:tr>
    </w:tbl>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报告使用人在使用报告之前须对报告全文，特别是“估价的假设和限制条件”认真阅读，以免使用不当，造成损失！估价的详细结果、过程及有关说明，请见附后的估价报告。本估价报告应用的有效期限为报告出具之日起6个月。另请特别关注本估价报告中的价值内涵和估价假设。</w:t>
      </w:r>
    </w:p>
    <w:p>
      <w:pPr>
        <w:spacing w:line="560" w:lineRule="exact"/>
        <w:ind w:left="540" w:leftChars="257" w:firstLine="19" w:firstLineChars="7"/>
        <w:rPr>
          <w:rFonts w:hint="eastAsia" w:ascii="仿宋" w:hAnsi="仿宋" w:eastAsia="仿宋"/>
          <w:sz w:val="28"/>
          <w:szCs w:val="28"/>
        </w:rPr>
      </w:pPr>
      <w:r>
        <w:rPr>
          <w:rFonts w:hint="eastAsia" w:ascii="仿宋" w:hAnsi="仿宋" w:eastAsia="仿宋"/>
          <w:sz w:val="28"/>
          <w:szCs w:val="28"/>
        </w:rPr>
        <w:t>此致</w:t>
      </w:r>
    </w:p>
    <w:p>
      <w:pPr>
        <w:spacing w:line="560" w:lineRule="exact"/>
        <w:jc w:val="right"/>
        <w:rPr>
          <w:rFonts w:hint="eastAsia" w:ascii="仿宋" w:hAnsi="仿宋" w:eastAsia="仿宋"/>
          <w:sz w:val="28"/>
          <w:szCs w:val="28"/>
        </w:rPr>
      </w:pPr>
      <w:r>
        <w:rPr>
          <w:rFonts w:hint="eastAsia" w:ascii="仿宋" w:hAnsi="仿宋" w:eastAsia="仿宋"/>
          <w:sz w:val="28"/>
          <w:szCs w:val="28"/>
        </w:rPr>
        <w:t xml:space="preserve">          湖北点石房地产评估咨询有限公司</w:t>
      </w:r>
    </w:p>
    <w:p>
      <w:pPr>
        <w:spacing w:line="560" w:lineRule="exact"/>
        <w:ind w:right="560"/>
        <w:jc w:val="center"/>
        <w:rPr>
          <w:rFonts w:hint="eastAsia" w:ascii="仿宋" w:hAnsi="仿宋" w:eastAsia="仿宋"/>
          <w:sz w:val="28"/>
          <w:szCs w:val="28"/>
        </w:rPr>
      </w:pPr>
      <w:r>
        <w:rPr>
          <w:rFonts w:hint="eastAsia" w:ascii="仿宋" w:hAnsi="仿宋" w:eastAsia="仿宋"/>
          <w:sz w:val="28"/>
          <w:szCs w:val="28"/>
        </w:rPr>
        <w:t xml:space="preserve">                                  法人代表：张方明</w:t>
      </w:r>
    </w:p>
    <w:p>
      <w:pPr>
        <w:spacing w:line="560" w:lineRule="exact"/>
        <w:ind w:right="560"/>
        <w:jc w:val="center"/>
        <w:rPr>
          <w:rFonts w:hint="eastAsia"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z w:val="28"/>
          <w:szCs w:val="28"/>
          <w:lang w:eastAsia="zh-CN"/>
        </w:rPr>
        <w:t>2021年03月</w:t>
      </w:r>
      <w:r>
        <w:rPr>
          <w:rFonts w:hint="eastAsia" w:ascii="仿宋" w:hAnsi="仿宋" w:eastAsia="仿宋"/>
          <w:sz w:val="28"/>
          <w:szCs w:val="28"/>
          <w:lang w:val="en-US" w:eastAsia="zh-CN"/>
        </w:rPr>
        <w:t>25</w:t>
      </w:r>
      <w:r>
        <w:rPr>
          <w:rFonts w:hint="eastAsia" w:ascii="仿宋" w:hAnsi="仿宋" w:eastAsia="仿宋"/>
          <w:sz w:val="28"/>
          <w:szCs w:val="28"/>
          <w:lang w:eastAsia="zh-CN"/>
        </w:rPr>
        <w:t>日</w:t>
      </w: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60" w:lineRule="exact"/>
        <w:jc w:val="center"/>
        <w:rPr>
          <w:rFonts w:hint="eastAsia" w:ascii="仿宋" w:hAnsi="仿宋" w:eastAsia="仿宋"/>
          <w:b/>
          <w:sz w:val="36"/>
          <w:szCs w:val="36"/>
        </w:rPr>
      </w:pPr>
    </w:p>
    <w:p>
      <w:pPr>
        <w:spacing w:line="504" w:lineRule="auto"/>
        <w:jc w:val="center"/>
        <w:rPr>
          <w:rFonts w:hint="eastAsia" w:ascii="宋体" w:hAnsi="宋体"/>
          <w:b/>
          <w:sz w:val="44"/>
          <w:szCs w:val="36"/>
        </w:rPr>
      </w:pPr>
      <w:r>
        <w:rPr>
          <w:rFonts w:hint="eastAsia" w:ascii="宋体" w:hAnsi="宋体"/>
          <w:b/>
          <w:sz w:val="44"/>
          <w:szCs w:val="36"/>
        </w:rPr>
        <w:t>注册房地产估价师声明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sz w:val="28"/>
          <w:szCs w:val="28"/>
        </w:rPr>
      </w:pPr>
      <w:r>
        <w:rPr>
          <w:rFonts w:hint="eastAsia" w:ascii="仿宋" w:hAnsi="仿宋" w:eastAsia="仿宋" w:cs="仿宋"/>
          <w:b/>
          <w:sz w:val="28"/>
          <w:szCs w:val="28"/>
        </w:rPr>
        <w:t>我们郑重声明：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1、我们在本估价报告中陈述的事实是真实的和准确的。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2、本估价报告中的分析、意见和结论是我们自己公正的专业分析、意见和结论，但受本估价报告中已说明的假设和限制条件的限制。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4、我们依照中华人民共和国国家标准《房地产估价规范》（GB/T50291-2015）、《房地产估价基本术语标准》（GB/T50899—2013）进行分析，形成意见和结论，撰写本估价报告。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5、注册房地产估价师张方明、汤磊于202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03</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对本估价报告中的估价对象进行了实地查勘，对本估价报告中的估价对象的建筑结构、室内外状况进行了实地查看并进行记录，但仅限于估价对象的外观与目前维护管理状况，尤其因提供的资料有限，我们不承担对估价对象建筑结构质量、建筑面积数量准确性和相应权益的责任，也不承担其它被遮盖、未暴露及难于接触到的部分进行检视的责任，我们不承担对建筑物结构质量进行调查的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6、我们力求在专业知识和业务能力范围内努力做到估价报告的准确性，没有人对本估价报告提供重要专业帮助。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7、本报告中所依据的有关估价对象</w:t>
      </w:r>
      <w:r>
        <w:rPr>
          <w:rFonts w:hint="eastAsia" w:ascii="仿宋" w:hAnsi="仿宋" w:eastAsia="仿宋" w:cs="仿宋"/>
          <w:sz w:val="28"/>
          <w:szCs w:val="28"/>
          <w:lang w:eastAsia="zh-CN"/>
        </w:rPr>
        <w:t>土地面积</w:t>
      </w:r>
      <w:r>
        <w:rPr>
          <w:rFonts w:hint="eastAsia" w:ascii="仿宋" w:hAnsi="仿宋" w:eastAsia="仿宋" w:cs="仿宋"/>
          <w:sz w:val="28"/>
          <w:szCs w:val="28"/>
        </w:rPr>
        <w:t>和</w:t>
      </w:r>
      <w:r>
        <w:rPr>
          <w:rFonts w:hint="eastAsia" w:ascii="仿宋" w:hAnsi="仿宋" w:eastAsia="仿宋" w:cs="仿宋"/>
          <w:sz w:val="28"/>
          <w:szCs w:val="28"/>
          <w:lang w:eastAsia="zh-CN"/>
        </w:rPr>
        <w:t>相关</w:t>
      </w:r>
      <w:r>
        <w:rPr>
          <w:rFonts w:hint="eastAsia" w:ascii="仿宋" w:hAnsi="仿宋" w:eastAsia="仿宋" w:cs="仿宋"/>
          <w:sz w:val="28"/>
          <w:szCs w:val="28"/>
        </w:rPr>
        <w:t>权益资料由委托方提供，委托人应对资料的真实性、可靠性负责。</w:t>
      </w:r>
    </w:p>
    <w:p>
      <w:pPr>
        <w:keepNext w:val="0"/>
        <w:keepLines w:val="0"/>
        <w:pageBreakBefore w:val="0"/>
        <w:widowControl w:val="0"/>
        <w:kinsoku/>
        <w:wordWrap/>
        <w:overflowPunct/>
        <w:topLinePunct w:val="0"/>
        <w:autoSpaceDE/>
        <w:autoSpaceDN/>
        <w:bidi w:val="0"/>
        <w:adjustRightInd/>
        <w:snapToGrid/>
        <w:spacing w:line="460" w:lineRule="exact"/>
        <w:ind w:firstLine="537" w:firstLineChars="192"/>
        <w:textAlignment w:val="auto"/>
        <w:rPr>
          <w:rFonts w:hint="eastAsia" w:ascii="仿宋" w:hAnsi="仿宋" w:eastAsia="仿宋" w:cs="仿宋"/>
          <w:sz w:val="28"/>
          <w:szCs w:val="28"/>
        </w:rPr>
      </w:pPr>
      <w:r>
        <w:rPr>
          <w:rFonts w:hint="eastAsia" w:ascii="仿宋" w:hAnsi="仿宋" w:eastAsia="仿宋" w:cs="仿宋"/>
          <w:sz w:val="28"/>
          <w:szCs w:val="28"/>
        </w:rPr>
        <w:t>8、本估价报告仅作为委托方在本次估价目的下使用，不得做其他用途。报告中对估价对象权属情况的披露不能作为对其权属确认的依据，估价对象权属界定以有权管理部门认定为准。</w:t>
      </w:r>
    </w:p>
    <w:p>
      <w:pPr>
        <w:keepNext w:val="0"/>
        <w:keepLines w:val="0"/>
        <w:pageBreakBefore w:val="0"/>
        <w:widowControl w:val="0"/>
        <w:kinsoku/>
        <w:wordWrap/>
        <w:overflowPunct/>
        <w:topLinePunct w:val="0"/>
        <w:autoSpaceDE/>
        <w:autoSpaceDN/>
        <w:bidi w:val="0"/>
        <w:adjustRightInd/>
        <w:snapToGrid/>
        <w:spacing w:line="460" w:lineRule="exact"/>
        <w:ind w:firstLine="537" w:firstLineChars="192"/>
        <w:textAlignment w:val="auto"/>
        <w:rPr>
          <w:rFonts w:hint="eastAsia" w:ascii="仿宋" w:hAnsi="仿宋" w:eastAsia="仿宋" w:cs="仿宋"/>
          <w:sz w:val="28"/>
          <w:szCs w:val="28"/>
        </w:rPr>
      </w:pPr>
      <w:r>
        <w:rPr>
          <w:rFonts w:hint="eastAsia" w:ascii="仿宋" w:hAnsi="仿宋" w:eastAsia="仿宋" w:cs="仿宋"/>
          <w:sz w:val="28"/>
          <w:szCs w:val="28"/>
        </w:rPr>
        <w:t>9、没有人对本估价报告提供重要专业帮助。</w:t>
      </w:r>
    </w:p>
    <w:p>
      <w:pPr>
        <w:keepNext w:val="0"/>
        <w:keepLines w:val="0"/>
        <w:pageBreakBefore w:val="0"/>
        <w:widowControl w:val="0"/>
        <w:kinsoku/>
        <w:wordWrap/>
        <w:overflowPunct/>
        <w:topLinePunct w:val="0"/>
        <w:autoSpaceDE/>
        <w:autoSpaceDN/>
        <w:bidi w:val="0"/>
        <w:adjustRightInd/>
        <w:snapToGrid/>
        <w:spacing w:line="460" w:lineRule="exact"/>
        <w:ind w:firstLine="537" w:firstLineChars="192"/>
        <w:jc w:val="center"/>
        <w:textAlignment w:val="auto"/>
        <w:rPr>
          <w:rFonts w:hint="eastAsia" w:ascii="仿宋" w:hAnsi="仿宋" w:eastAsia="仿宋" w:cs="仿宋"/>
          <w:sz w:val="28"/>
          <w:szCs w:val="28"/>
        </w:rPr>
      </w:pPr>
      <w:r>
        <w:rPr>
          <w:rFonts w:hint="eastAsia" w:ascii="仿宋" w:hAnsi="仿宋" w:eastAsia="仿宋" w:cs="仿宋"/>
          <w:sz w:val="28"/>
          <w:szCs w:val="28"/>
        </w:rPr>
        <w:t>注册房地产估价师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2835"/>
        <w:gridCol w:w="1843"/>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92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仿宋" w:hAnsi="仿宋" w:eastAsia="仿宋" w:cs="仿宋"/>
                <w:b/>
                <w:sz w:val="24"/>
              </w:rPr>
            </w:pPr>
            <w:r>
              <w:rPr>
                <w:rFonts w:hint="eastAsia" w:ascii="仿宋" w:hAnsi="仿宋" w:eastAsia="仿宋" w:cs="仿宋"/>
                <w:b/>
                <w:sz w:val="24"/>
              </w:rPr>
              <w:t>姓名</w:t>
            </w:r>
          </w:p>
        </w:tc>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firstLine="723" w:firstLineChars="300"/>
              <w:jc w:val="left"/>
              <w:textAlignment w:val="auto"/>
              <w:rPr>
                <w:rFonts w:hint="eastAsia" w:ascii="仿宋" w:hAnsi="仿宋" w:eastAsia="仿宋" w:cs="仿宋"/>
                <w:b/>
                <w:sz w:val="24"/>
              </w:rPr>
            </w:pPr>
            <w:r>
              <w:rPr>
                <w:rFonts w:hint="eastAsia" w:ascii="仿宋" w:hAnsi="仿宋" w:eastAsia="仿宋" w:cs="仿宋"/>
                <w:b/>
                <w:sz w:val="24"/>
              </w:rPr>
              <w:t>注册号</w:t>
            </w:r>
          </w:p>
        </w:tc>
        <w:tc>
          <w:tcPr>
            <w:tcW w:w="184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仿宋" w:hAnsi="仿宋" w:eastAsia="仿宋" w:cs="仿宋"/>
                <w:b/>
                <w:sz w:val="24"/>
              </w:rPr>
            </w:pPr>
            <w:r>
              <w:rPr>
                <w:rFonts w:hint="eastAsia" w:ascii="仿宋" w:hAnsi="仿宋" w:eastAsia="仿宋" w:cs="仿宋"/>
                <w:b/>
                <w:sz w:val="24"/>
              </w:rPr>
              <w:t>签名</w:t>
            </w:r>
          </w:p>
        </w:tc>
        <w:tc>
          <w:tcPr>
            <w:tcW w:w="256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firstLine="964" w:firstLineChars="400"/>
              <w:jc w:val="left"/>
              <w:textAlignment w:val="auto"/>
              <w:rPr>
                <w:rFonts w:hint="eastAsia" w:ascii="仿宋" w:hAnsi="仿宋" w:eastAsia="仿宋" w:cs="仿宋"/>
                <w:b/>
                <w:sz w:val="24"/>
              </w:rPr>
            </w:pPr>
            <w:r>
              <w:rPr>
                <w:rFonts w:hint="eastAsia" w:ascii="仿宋" w:hAnsi="仿宋" w:eastAsia="仿宋" w:cs="仿宋"/>
                <w:b/>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92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sz w:val="24"/>
              </w:rPr>
            </w:pPr>
            <w:r>
              <w:rPr>
                <w:rFonts w:hint="eastAsia" w:ascii="仿宋" w:hAnsi="仿宋" w:eastAsia="仿宋" w:cs="仿宋"/>
                <w:b/>
                <w:sz w:val="24"/>
              </w:rPr>
              <w:t>张方明</w:t>
            </w:r>
          </w:p>
        </w:tc>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sz w:val="24"/>
              </w:rPr>
            </w:pPr>
            <w:r>
              <w:rPr>
                <w:rFonts w:hint="eastAsia" w:ascii="仿宋" w:hAnsi="仿宋" w:eastAsia="仿宋" w:cs="仿宋"/>
                <w:sz w:val="24"/>
              </w:rPr>
              <w:t>4220100008</w:t>
            </w:r>
          </w:p>
        </w:tc>
        <w:tc>
          <w:tcPr>
            <w:tcW w:w="184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sz w:val="24"/>
              </w:rPr>
            </w:pPr>
          </w:p>
        </w:tc>
        <w:tc>
          <w:tcPr>
            <w:tcW w:w="256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sz w:val="24"/>
              </w:rPr>
            </w:pPr>
            <w:r>
              <w:rPr>
                <w:rFonts w:hint="eastAsia" w:ascii="仿宋" w:hAnsi="仿宋" w:eastAsia="仿宋" w:cs="仿宋"/>
                <w:b/>
                <w:sz w:val="24"/>
              </w:rPr>
              <w:t>202</w:t>
            </w:r>
            <w:r>
              <w:rPr>
                <w:rFonts w:hint="eastAsia" w:ascii="仿宋" w:hAnsi="仿宋" w:eastAsia="仿宋" w:cs="仿宋"/>
                <w:b/>
                <w:sz w:val="24"/>
                <w:lang w:val="en-US" w:eastAsia="zh-CN"/>
              </w:rPr>
              <w:t>1</w:t>
            </w:r>
            <w:r>
              <w:rPr>
                <w:rFonts w:hint="eastAsia" w:ascii="仿宋" w:hAnsi="仿宋" w:eastAsia="仿宋" w:cs="仿宋"/>
                <w:b/>
                <w:sz w:val="24"/>
              </w:rPr>
              <w:t>年</w:t>
            </w:r>
            <w:r>
              <w:rPr>
                <w:rFonts w:hint="eastAsia" w:ascii="仿宋" w:hAnsi="仿宋" w:eastAsia="仿宋" w:cs="仿宋"/>
                <w:b/>
                <w:sz w:val="24"/>
                <w:lang w:val="en-US" w:eastAsia="zh-CN"/>
              </w:rPr>
              <w:t>03</w:t>
            </w:r>
            <w:r>
              <w:rPr>
                <w:rFonts w:hint="eastAsia" w:ascii="仿宋" w:hAnsi="仿宋" w:eastAsia="仿宋" w:cs="仿宋"/>
                <w:b/>
                <w:sz w:val="24"/>
              </w:rPr>
              <w:t>月</w:t>
            </w:r>
            <w:r>
              <w:rPr>
                <w:rFonts w:hint="eastAsia" w:ascii="仿宋" w:hAnsi="仿宋" w:eastAsia="仿宋" w:cs="仿宋"/>
                <w:b/>
                <w:sz w:val="24"/>
                <w:lang w:val="en-US" w:eastAsia="zh-CN"/>
              </w:rPr>
              <w:t>25</w:t>
            </w:r>
            <w:r>
              <w:rPr>
                <w:rFonts w:hint="eastAsia" w:ascii="仿宋" w:hAnsi="仿宋" w:eastAsia="仿宋" w:cs="仿宋"/>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92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sz w:val="24"/>
              </w:rPr>
            </w:pPr>
            <w:r>
              <w:rPr>
                <w:rFonts w:hint="eastAsia" w:ascii="仿宋" w:hAnsi="仿宋" w:eastAsia="仿宋" w:cs="仿宋"/>
                <w:b/>
                <w:sz w:val="24"/>
              </w:rPr>
              <w:t xml:space="preserve">汤磊 </w:t>
            </w:r>
          </w:p>
        </w:tc>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4"/>
              </w:rPr>
            </w:pPr>
            <w:r>
              <w:rPr>
                <w:rFonts w:hint="eastAsia" w:ascii="仿宋" w:hAnsi="仿宋" w:eastAsia="仿宋" w:cs="仿宋"/>
                <w:sz w:val="24"/>
              </w:rPr>
              <w:t>4220190078</w:t>
            </w:r>
          </w:p>
        </w:tc>
        <w:tc>
          <w:tcPr>
            <w:tcW w:w="184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sz w:val="24"/>
              </w:rPr>
            </w:pPr>
          </w:p>
        </w:tc>
        <w:tc>
          <w:tcPr>
            <w:tcW w:w="2564"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sz w:val="24"/>
              </w:rPr>
            </w:pPr>
            <w:r>
              <w:rPr>
                <w:rFonts w:hint="eastAsia" w:ascii="仿宋" w:hAnsi="仿宋" w:eastAsia="仿宋" w:cs="仿宋"/>
                <w:b/>
                <w:sz w:val="24"/>
              </w:rPr>
              <w:t>202</w:t>
            </w:r>
            <w:r>
              <w:rPr>
                <w:rFonts w:hint="eastAsia" w:ascii="仿宋" w:hAnsi="仿宋" w:eastAsia="仿宋" w:cs="仿宋"/>
                <w:b/>
                <w:sz w:val="24"/>
                <w:lang w:val="en-US" w:eastAsia="zh-CN"/>
              </w:rPr>
              <w:t>1</w:t>
            </w:r>
            <w:r>
              <w:rPr>
                <w:rFonts w:hint="eastAsia" w:ascii="仿宋" w:hAnsi="仿宋" w:eastAsia="仿宋" w:cs="仿宋"/>
                <w:b/>
                <w:sz w:val="24"/>
              </w:rPr>
              <w:t>年</w:t>
            </w:r>
            <w:r>
              <w:rPr>
                <w:rFonts w:hint="eastAsia" w:ascii="仿宋" w:hAnsi="仿宋" w:eastAsia="仿宋" w:cs="仿宋"/>
                <w:b/>
                <w:sz w:val="24"/>
                <w:lang w:val="en-US" w:eastAsia="zh-CN"/>
              </w:rPr>
              <w:t>03</w:t>
            </w:r>
            <w:r>
              <w:rPr>
                <w:rFonts w:hint="eastAsia" w:ascii="仿宋" w:hAnsi="仿宋" w:eastAsia="仿宋" w:cs="仿宋"/>
                <w:b/>
                <w:sz w:val="24"/>
              </w:rPr>
              <w:t>月</w:t>
            </w:r>
            <w:r>
              <w:rPr>
                <w:rFonts w:hint="eastAsia" w:ascii="仿宋" w:hAnsi="仿宋" w:eastAsia="仿宋" w:cs="仿宋"/>
                <w:b/>
                <w:sz w:val="24"/>
                <w:lang w:val="en-US" w:eastAsia="zh-CN"/>
              </w:rPr>
              <w:t>25</w:t>
            </w:r>
            <w:r>
              <w:rPr>
                <w:rFonts w:hint="eastAsia" w:ascii="仿宋" w:hAnsi="仿宋" w:eastAsia="仿宋" w:cs="仿宋"/>
                <w:b/>
                <w:sz w:val="24"/>
              </w:rPr>
              <w:t>日</w:t>
            </w:r>
          </w:p>
        </w:tc>
      </w:tr>
    </w:tbl>
    <w:p>
      <w:pPr>
        <w:spacing w:line="560" w:lineRule="exact"/>
        <w:ind w:firstLine="562" w:firstLineChars="200"/>
        <w:jc w:val="center"/>
        <w:rPr>
          <w:rFonts w:hint="eastAsia" w:ascii="仿宋" w:hAnsi="仿宋" w:eastAsia="仿宋"/>
          <w:b/>
          <w:sz w:val="28"/>
          <w:szCs w:val="28"/>
        </w:rPr>
      </w:pPr>
    </w:p>
    <w:p>
      <w:pPr>
        <w:spacing w:line="500" w:lineRule="exact"/>
        <w:ind w:firstLine="883" w:firstLineChars="200"/>
        <w:jc w:val="center"/>
        <w:rPr>
          <w:rFonts w:hint="eastAsia" w:ascii="宋体" w:hAnsi="宋体"/>
          <w:b/>
          <w:sz w:val="44"/>
          <w:szCs w:val="32"/>
        </w:rPr>
      </w:pPr>
      <w:r>
        <w:rPr>
          <w:rFonts w:hint="eastAsia" w:ascii="宋体" w:hAnsi="宋体"/>
          <w:b/>
          <w:sz w:val="44"/>
          <w:szCs w:val="32"/>
        </w:rPr>
        <w:t>估价的假设和限制条件</w:t>
      </w:r>
    </w:p>
    <w:p>
      <w:pPr>
        <w:spacing w:line="500" w:lineRule="exact"/>
        <w:rPr>
          <w:rFonts w:hint="eastAsia" w:ascii="仿宋" w:hAnsi="仿宋" w:eastAsia="仿宋"/>
          <w:sz w:val="28"/>
          <w:szCs w:val="28"/>
        </w:rPr>
      </w:pPr>
      <w:r>
        <w:rPr>
          <w:rFonts w:hint="eastAsia" w:ascii="仿宋" w:hAnsi="仿宋" w:eastAsia="仿宋"/>
          <w:sz w:val="28"/>
          <w:szCs w:val="28"/>
        </w:rPr>
        <w:t>1、本次估价的假设前提</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(1)估价对象产权明晰，手续齐全，可在公开市场上自由转让。</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(2)市场供应关系、市场结构保持稳定、未发生重大变化或实质性改变。</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(3)交易双方都具有完全市场信息，对交易对象具有必要的专业知识。</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(4)不考虑特殊买家的附加出价。</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(5)以估价对象不存在欠缴税费为假设前提。</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(6)估价人员对估价对象现场察看仅限于估价对象在查看之日的外观使用状况，并未对其结构、设备及装修等内在质量进行测试，故不能确定其有无内部缺陷，本报告假设估价对象符合国家有关技术、质量、验收规范，其质量足以维持正常的使用寿命。</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估价结果未考虑估价对象所有权人已承担的债务、或有债务及经营决策失误及市场运作失当对其房地产价值的影响。</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本次估价结果未考虑相关司法诉讼费用、拖欠物业费及水电费、变现费用、不可预见费等对估价对象结果的影响。</w:t>
      </w:r>
    </w:p>
    <w:p>
      <w:pPr>
        <w:spacing w:line="500" w:lineRule="exact"/>
        <w:ind w:firstLine="560" w:firstLineChars="200"/>
        <w:jc w:val="left"/>
        <w:rPr>
          <w:rFonts w:hint="eastAsia" w:ascii="仿宋" w:hAnsi="仿宋" w:eastAsia="仿宋"/>
          <w:sz w:val="28"/>
          <w:szCs w:val="28"/>
        </w:rPr>
      </w:pPr>
    </w:p>
    <w:p>
      <w:pPr>
        <w:numPr>
          <w:ilvl w:val="0"/>
          <w:numId w:val="2"/>
        </w:numPr>
        <w:spacing w:line="500" w:lineRule="exact"/>
        <w:rPr>
          <w:rFonts w:hint="eastAsia" w:ascii="仿宋" w:hAnsi="仿宋" w:eastAsia="仿宋"/>
          <w:sz w:val="28"/>
          <w:szCs w:val="28"/>
        </w:rPr>
      </w:pPr>
      <w:r>
        <w:rPr>
          <w:rFonts w:hint="eastAsia" w:ascii="仿宋" w:hAnsi="仿宋" w:eastAsia="仿宋"/>
          <w:sz w:val="28"/>
          <w:szCs w:val="28"/>
        </w:rPr>
        <w:t>估价中未能考虑的因素及一些特殊处理</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(1)估价结果是反映估价对象在本次估价目的下的价格参考，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当上述条件发生变化时，评估结果一般亦会发生变化。</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(2)估价结果未考虑未来处置风险。</w:t>
      </w:r>
    </w:p>
    <w:p>
      <w:pPr>
        <w:spacing w:line="500" w:lineRule="exact"/>
        <w:ind w:firstLine="560" w:firstLineChars="200"/>
        <w:rPr>
          <w:rFonts w:hint="eastAsia" w:ascii="仿宋" w:hAnsi="仿宋" w:eastAsia="宋体"/>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估价委托人提供的估价对象权属证书不完整</w:t>
      </w:r>
      <w:r>
        <w:rPr>
          <w:rFonts w:hint="eastAsia" w:ascii="仿宋" w:hAnsi="仿宋" w:eastAsia="仿宋"/>
          <w:sz w:val="28"/>
          <w:szCs w:val="28"/>
          <w:lang w:eastAsia="zh-CN"/>
        </w:rPr>
        <w:t>，</w:t>
      </w:r>
      <w:r>
        <w:rPr>
          <w:rFonts w:hint="eastAsia" w:ascii="仿宋" w:hAnsi="仿宋" w:eastAsia="仿宋"/>
          <w:sz w:val="28"/>
          <w:szCs w:val="28"/>
        </w:rPr>
        <w:t>估价师</w:t>
      </w:r>
      <w:r>
        <w:rPr>
          <w:rFonts w:hint="eastAsia" w:ascii="仿宋" w:hAnsi="仿宋" w:eastAsia="仿宋"/>
          <w:sz w:val="28"/>
          <w:szCs w:val="28"/>
          <w:lang w:eastAsia="zh-CN"/>
        </w:rPr>
        <w:t>根据委托方提供证明的</w:t>
      </w:r>
      <w:r>
        <w:rPr>
          <w:rFonts w:hint="eastAsia" w:ascii="仿宋" w:hAnsi="仿宋" w:eastAsia="仿宋"/>
          <w:sz w:val="28"/>
          <w:szCs w:val="28"/>
        </w:rPr>
        <w:t>其相关信息已得到估价委托人及本案原告确认，本次评估以此为估价假设前提。</w:t>
      </w:r>
    </w:p>
    <w:p>
      <w:pPr>
        <w:numPr>
          <w:ilvl w:val="0"/>
          <w:numId w:val="2"/>
        </w:numPr>
        <w:spacing w:line="500" w:lineRule="exact"/>
        <w:rPr>
          <w:rFonts w:hint="eastAsia" w:ascii="仿宋" w:hAnsi="仿宋" w:eastAsia="仿宋"/>
          <w:sz w:val="28"/>
          <w:szCs w:val="28"/>
        </w:rPr>
      </w:pPr>
      <w:r>
        <w:rPr>
          <w:rFonts w:hint="eastAsia" w:ascii="仿宋" w:hAnsi="仿宋" w:eastAsia="仿宋"/>
          <w:sz w:val="28"/>
          <w:szCs w:val="28"/>
        </w:rPr>
        <w:t>本报告使用的限制条件</w:t>
      </w:r>
    </w:p>
    <w:p>
      <w:pPr>
        <w:spacing w:line="500" w:lineRule="exact"/>
        <w:ind w:firstLine="420" w:firstLineChars="150"/>
        <w:rPr>
          <w:rFonts w:hint="eastAsia" w:ascii="仿宋" w:hAnsi="仿宋" w:eastAsia="仿宋"/>
          <w:sz w:val="28"/>
          <w:szCs w:val="28"/>
        </w:rPr>
      </w:pPr>
      <w:r>
        <w:rPr>
          <w:rFonts w:hint="eastAsia" w:ascii="仿宋" w:hAnsi="仿宋" w:eastAsia="仿宋"/>
          <w:sz w:val="28"/>
          <w:szCs w:val="28"/>
        </w:rPr>
        <w:t>（1）本次评估仅 为司法拍卖提供价值参考依据而评估房地产市场价值，不做它用。</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(2)本估价报告的有效期限为自出具报告之日起6个月。如超过有效期,或估价时点之后、有效期之内估价对象或国家经济形势、城市规划、房地产税费政策等发生变化，对估价结果产生明显影响时，委托方应及时聘请房地产评估机构对估价结果作相应调整或重新估价。</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(3)本报告专为委托人所使用，未经本公司同意，不得向委托人和估价报告审查部门之外的单位和个人提供。报告的全部或部分内容不得发表于任何公开媒体上。</w:t>
      </w:r>
    </w:p>
    <w:p>
      <w:pPr>
        <w:spacing w:line="500" w:lineRule="exact"/>
        <w:ind w:firstLine="700" w:firstLineChars="250"/>
        <w:rPr>
          <w:rFonts w:hint="eastAsia" w:ascii="仿宋" w:hAnsi="仿宋" w:eastAsia="仿宋"/>
          <w:sz w:val="28"/>
          <w:szCs w:val="28"/>
        </w:rPr>
      </w:pPr>
      <w:r>
        <w:rPr>
          <w:rFonts w:hint="eastAsia" w:ascii="仿宋" w:hAnsi="仿宋" w:eastAsia="仿宋"/>
          <w:sz w:val="28"/>
          <w:szCs w:val="28"/>
        </w:rPr>
        <w:t>(4)本估价报告分为“估价结果报告”和“估价技术报告”两部分。“估价结果报告”提供给委托方，“估价技术报告”根据有关规定由估价机构存档。</w:t>
      </w:r>
    </w:p>
    <w:p>
      <w:pPr>
        <w:spacing w:line="500" w:lineRule="exact"/>
        <w:ind w:firstLine="700" w:firstLineChars="250"/>
        <w:rPr>
          <w:rFonts w:hint="eastAsia" w:ascii="仿宋" w:hAnsi="仿宋" w:eastAsia="仿宋"/>
          <w:sz w:val="28"/>
          <w:szCs w:val="28"/>
        </w:rPr>
      </w:pPr>
      <w:r>
        <w:rPr>
          <w:rFonts w:hint="eastAsia" w:ascii="仿宋" w:hAnsi="仿宋" w:eastAsia="仿宋"/>
          <w:sz w:val="28"/>
          <w:szCs w:val="28"/>
        </w:rPr>
        <w:t>(5)如发现本估价报告文字或数字因校对或其他类似原因出现差错时，请通知本所进行更正。</w:t>
      </w:r>
    </w:p>
    <w:p>
      <w:pPr>
        <w:spacing w:line="500" w:lineRule="exact"/>
        <w:ind w:firstLine="700" w:firstLineChars="250"/>
        <w:rPr>
          <w:rFonts w:hint="eastAsia"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本报告仅供估价委托人和相关当事人使用，非为法律规定的情况，未经估价机构许可，不得提供给除政府主管部门以外的任何单位和个人，其全部或部分内容不得刊载于任何文件、公告或公开媒体上</w:t>
      </w:r>
      <w:r>
        <w:rPr>
          <w:rFonts w:hint="eastAsia" w:ascii="仿宋" w:hAnsi="仿宋" w:eastAsia="仿宋"/>
          <w:sz w:val="28"/>
          <w:szCs w:val="28"/>
          <w:lang w:val="en-US" w:eastAsia="zh-CN"/>
        </w:rPr>
        <w:t>.</w:t>
      </w:r>
    </w:p>
    <w:p>
      <w:pPr>
        <w:spacing w:line="500" w:lineRule="exact"/>
        <w:ind w:firstLine="700" w:firstLineChars="250"/>
        <w:rPr>
          <w:rFonts w:hint="default"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）本次评估土地用途为宅基地，宅基地面积为</w:t>
      </w:r>
      <w:r>
        <w:rPr>
          <w:rFonts w:hint="eastAsia" w:ascii="仿宋" w:hAnsi="仿宋" w:eastAsia="仿宋"/>
          <w:sz w:val="28"/>
          <w:szCs w:val="28"/>
          <w:lang w:val="en-US" w:eastAsia="zh-CN"/>
        </w:rPr>
        <w:t>113.8平方米，一层建筑占地面积为145.02平方米，建筑基地面积超宅基地面积，特别提醒报告使用者。</w:t>
      </w:r>
    </w:p>
    <w:p>
      <w:pPr>
        <w:spacing w:line="500" w:lineRule="exact"/>
        <w:ind w:firstLine="700" w:firstLineChars="25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本报告由湖北点石房地产评估咨询有限公司负责解释。</w:t>
      </w: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28"/>
          <w:szCs w:val="28"/>
        </w:rPr>
      </w:pPr>
    </w:p>
    <w:p>
      <w:pPr>
        <w:spacing w:line="560" w:lineRule="exact"/>
        <w:jc w:val="center"/>
        <w:rPr>
          <w:rFonts w:hint="eastAsia" w:ascii="仿宋" w:hAnsi="仿宋" w:eastAsia="仿宋"/>
          <w:b/>
          <w:sz w:val="36"/>
          <w:szCs w:val="36"/>
        </w:rPr>
      </w:pPr>
      <w:r>
        <w:rPr>
          <w:rFonts w:hint="eastAsia" w:ascii="仿宋" w:hAnsi="仿宋" w:eastAsia="仿宋"/>
          <w:b/>
          <w:sz w:val="36"/>
          <w:szCs w:val="36"/>
        </w:rPr>
        <w:t>房地产估价结果报告</w:t>
      </w:r>
    </w:p>
    <w:p>
      <w:pPr>
        <w:keepNext w:val="0"/>
        <w:keepLines w:val="0"/>
        <w:pageBreakBefore w:val="0"/>
        <w:widowControl w:val="0"/>
        <w:kinsoku/>
        <w:wordWrap/>
        <w:overflowPunct/>
        <w:topLinePunct w:val="0"/>
        <w:autoSpaceDE/>
        <w:autoSpaceDN/>
        <w:bidi w:val="0"/>
        <w:adjustRightInd/>
        <w:snapToGrid/>
        <w:spacing w:line="540" w:lineRule="exact"/>
        <w:ind w:firstLine="472" w:firstLineChars="168"/>
        <w:textAlignment w:val="auto"/>
        <w:rPr>
          <w:rFonts w:hint="eastAsia" w:ascii="仿宋" w:hAnsi="仿宋" w:eastAsia="仿宋"/>
          <w:b/>
          <w:sz w:val="28"/>
          <w:szCs w:val="28"/>
        </w:rPr>
      </w:pPr>
      <w:r>
        <w:rPr>
          <w:rFonts w:hint="eastAsia" w:ascii="仿宋" w:hAnsi="仿宋" w:eastAsia="仿宋"/>
          <w:b/>
          <w:sz w:val="28"/>
          <w:szCs w:val="28"/>
        </w:rPr>
        <w:t>一、委托方</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textAlignment w:val="auto"/>
        <w:rPr>
          <w:rFonts w:hint="eastAsia" w:ascii="仿宋" w:hAnsi="仿宋" w:eastAsia="仿宋"/>
          <w:sz w:val="28"/>
          <w:szCs w:val="28"/>
          <w:lang w:eastAsia="zh-CN"/>
        </w:rPr>
      </w:pPr>
      <w:r>
        <w:rPr>
          <w:rFonts w:hint="eastAsia" w:ascii="仿宋" w:hAnsi="仿宋" w:eastAsia="仿宋"/>
          <w:sz w:val="28"/>
          <w:szCs w:val="28"/>
        </w:rPr>
        <w:t>名称：</w:t>
      </w:r>
      <w:r>
        <w:rPr>
          <w:rFonts w:hint="eastAsia" w:ascii="仿宋" w:hAnsi="仿宋" w:eastAsia="仿宋"/>
          <w:sz w:val="28"/>
          <w:szCs w:val="28"/>
          <w:lang w:eastAsia="zh-CN"/>
        </w:rPr>
        <w:t>襄阳市樊城区人民法院</w:t>
      </w:r>
    </w:p>
    <w:p>
      <w:pPr>
        <w:keepNext w:val="0"/>
        <w:keepLines w:val="0"/>
        <w:pageBreakBefore w:val="0"/>
        <w:widowControl w:val="0"/>
        <w:kinsoku/>
        <w:wordWrap/>
        <w:overflowPunct/>
        <w:topLinePunct w:val="0"/>
        <w:autoSpaceDE/>
        <w:autoSpaceDN/>
        <w:bidi w:val="0"/>
        <w:adjustRightInd/>
        <w:snapToGrid/>
        <w:spacing w:line="540" w:lineRule="exact"/>
        <w:ind w:firstLine="540" w:firstLineChars="192"/>
        <w:textAlignment w:val="auto"/>
        <w:rPr>
          <w:rFonts w:hint="eastAsia" w:ascii="仿宋" w:hAnsi="仿宋" w:eastAsia="仿宋"/>
          <w:b/>
          <w:sz w:val="28"/>
          <w:szCs w:val="28"/>
        </w:rPr>
      </w:pPr>
      <w:r>
        <w:rPr>
          <w:rFonts w:hint="eastAsia" w:ascii="仿宋" w:hAnsi="仿宋" w:eastAsia="仿宋"/>
          <w:b/>
          <w:sz w:val="28"/>
          <w:szCs w:val="28"/>
        </w:rPr>
        <w:t>二、估价方</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textAlignment w:val="auto"/>
        <w:rPr>
          <w:rFonts w:hint="eastAsia" w:ascii="仿宋" w:hAnsi="仿宋" w:eastAsia="仿宋"/>
          <w:sz w:val="28"/>
          <w:szCs w:val="28"/>
        </w:rPr>
      </w:pPr>
      <w:r>
        <w:rPr>
          <w:rFonts w:hint="eastAsia" w:ascii="仿宋" w:hAnsi="仿宋" w:eastAsia="仿宋"/>
          <w:sz w:val="28"/>
          <w:szCs w:val="28"/>
        </w:rPr>
        <w:t>机构名称：湖北点石房地产评估咨询有限公司</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textAlignment w:val="auto"/>
        <w:rPr>
          <w:rFonts w:hint="eastAsia" w:ascii="仿宋" w:hAnsi="仿宋" w:eastAsia="仿宋"/>
          <w:sz w:val="28"/>
          <w:szCs w:val="28"/>
        </w:rPr>
      </w:pPr>
      <w:r>
        <w:rPr>
          <w:rFonts w:hint="eastAsia" w:ascii="仿宋" w:hAnsi="仿宋" w:eastAsia="仿宋"/>
          <w:sz w:val="28"/>
          <w:szCs w:val="28"/>
        </w:rPr>
        <w:t>地    址：襄阳市襄城区荆州街工行三楼</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textAlignment w:val="auto"/>
        <w:rPr>
          <w:rFonts w:hint="eastAsia" w:ascii="仿宋" w:hAnsi="仿宋" w:eastAsia="仿宋"/>
          <w:sz w:val="28"/>
          <w:szCs w:val="28"/>
        </w:rPr>
      </w:pPr>
      <w:r>
        <w:rPr>
          <w:rFonts w:hint="eastAsia" w:ascii="仿宋" w:hAnsi="仿宋" w:eastAsia="仿宋"/>
          <w:sz w:val="28"/>
          <w:szCs w:val="28"/>
        </w:rPr>
        <w:t>法人代表：张方明</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textAlignment w:val="auto"/>
        <w:rPr>
          <w:rFonts w:hint="eastAsia" w:ascii="仿宋" w:hAnsi="仿宋" w:eastAsia="仿宋"/>
          <w:sz w:val="28"/>
          <w:szCs w:val="28"/>
        </w:rPr>
      </w:pPr>
      <w:r>
        <w:rPr>
          <w:rFonts w:hint="eastAsia" w:ascii="仿宋" w:hAnsi="仿宋" w:eastAsia="仿宋"/>
          <w:sz w:val="28"/>
          <w:szCs w:val="28"/>
        </w:rPr>
        <w:t>资质等级：二级</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textAlignment w:val="auto"/>
        <w:rPr>
          <w:rFonts w:hint="eastAsia" w:ascii="仿宋" w:hAnsi="仿宋" w:eastAsia="仿宋"/>
          <w:sz w:val="28"/>
          <w:szCs w:val="28"/>
        </w:rPr>
      </w:pPr>
      <w:r>
        <w:rPr>
          <w:rFonts w:hint="eastAsia" w:ascii="仿宋" w:hAnsi="仿宋" w:eastAsia="仿宋"/>
          <w:sz w:val="28"/>
          <w:szCs w:val="28"/>
        </w:rPr>
        <w:t>证书编号：襄住建估审字[2019]第10号</w:t>
      </w:r>
    </w:p>
    <w:p>
      <w:pPr>
        <w:keepNext w:val="0"/>
        <w:keepLines w:val="0"/>
        <w:pageBreakBefore w:val="0"/>
        <w:widowControl w:val="0"/>
        <w:kinsoku/>
        <w:wordWrap/>
        <w:overflowPunct/>
        <w:topLinePunct w:val="0"/>
        <w:autoSpaceDE/>
        <w:autoSpaceDN/>
        <w:bidi w:val="0"/>
        <w:adjustRightInd/>
        <w:snapToGrid/>
        <w:spacing w:line="540" w:lineRule="exact"/>
        <w:ind w:firstLine="540" w:firstLineChars="192"/>
        <w:textAlignment w:val="auto"/>
        <w:rPr>
          <w:rFonts w:hint="eastAsia" w:ascii="仿宋" w:hAnsi="仿宋" w:eastAsia="仿宋"/>
          <w:b/>
          <w:sz w:val="28"/>
          <w:szCs w:val="28"/>
        </w:rPr>
      </w:pPr>
      <w:r>
        <w:rPr>
          <w:rFonts w:hint="eastAsia" w:ascii="仿宋" w:hAnsi="仿宋" w:eastAsia="仿宋"/>
          <w:b/>
          <w:sz w:val="28"/>
          <w:szCs w:val="28"/>
        </w:rPr>
        <w:t>三、估价对象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1、估价对象区位状况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估价对象位于</w:t>
      </w:r>
      <w:r>
        <w:rPr>
          <w:rFonts w:hint="eastAsia" w:ascii="仿宋" w:hAnsi="仿宋" w:eastAsia="仿宋"/>
          <w:spacing w:val="-8"/>
          <w:sz w:val="28"/>
          <w:szCs w:val="28"/>
          <w:lang w:eastAsia="zh-CN"/>
        </w:rPr>
        <w:t>谷城县黄岗村</w:t>
      </w:r>
      <w:r>
        <w:rPr>
          <w:rFonts w:hint="eastAsia" w:ascii="仿宋" w:hAnsi="仿宋" w:eastAsia="仿宋"/>
          <w:sz w:val="28"/>
          <w:szCs w:val="28"/>
        </w:rPr>
        <w:t>，</w:t>
      </w:r>
      <w:r>
        <w:rPr>
          <w:rFonts w:hint="eastAsia" w:ascii="仿宋" w:hAnsi="仿宋" w:eastAsia="仿宋"/>
          <w:sz w:val="28"/>
          <w:szCs w:val="28"/>
          <w:lang w:val="en-US" w:eastAsia="zh-CN"/>
        </w:rPr>
        <w:t>东至空地，南至村路，西至S275，北至空地</w:t>
      </w:r>
      <w:r>
        <w:rPr>
          <w:rFonts w:hint="eastAsia" w:ascii="仿宋" w:hAnsi="仿宋" w:eastAsia="仿宋"/>
          <w:sz w:val="28"/>
          <w:szCs w:val="28"/>
        </w:rPr>
        <w:t>,估价对象周围道路交通</w:t>
      </w:r>
      <w:r>
        <w:rPr>
          <w:rFonts w:hint="eastAsia" w:ascii="仿宋" w:hAnsi="仿宋" w:eastAsia="仿宋"/>
          <w:sz w:val="28"/>
          <w:szCs w:val="28"/>
          <w:lang w:eastAsia="zh-CN"/>
        </w:rPr>
        <w:t>一般</w:t>
      </w:r>
      <w:r>
        <w:rPr>
          <w:rFonts w:hint="eastAsia" w:ascii="仿宋" w:hAnsi="仿宋" w:eastAsia="仿宋"/>
          <w:sz w:val="28"/>
          <w:szCs w:val="28"/>
        </w:rPr>
        <w:t>,没有交通管制，停车较为方便；区域内无大气、水等污染源，自然环境较好，所处区域人文环境较好；道路宽敞，视野较开阔，视觉效果较好</w:t>
      </w:r>
      <w:r>
        <w:rPr>
          <w:rFonts w:hint="eastAsia" w:ascii="仿宋" w:hAnsi="仿宋" w:eastAsia="仿宋"/>
          <w:sz w:val="28"/>
          <w:szCs w:val="28"/>
          <w:lang w:eastAsia="zh-CN"/>
        </w:rPr>
        <w:t>，周边有谷城县盛康镇黄岗中心小学，卫生所</w:t>
      </w:r>
      <w:r>
        <w:rPr>
          <w:rFonts w:hint="eastAsia" w:ascii="仿宋" w:hAnsi="仿宋" w:eastAsia="仿宋"/>
          <w:sz w:val="28"/>
          <w:szCs w:val="28"/>
        </w:rPr>
        <w:t>；估价对象所在地点基础设施已达到“</w:t>
      </w:r>
      <w:r>
        <w:rPr>
          <w:rFonts w:hint="eastAsia" w:ascii="仿宋" w:hAnsi="仿宋" w:eastAsia="仿宋"/>
          <w:sz w:val="28"/>
          <w:szCs w:val="28"/>
          <w:lang w:eastAsia="zh-CN"/>
        </w:rPr>
        <w:t>五</w:t>
      </w:r>
      <w:r>
        <w:rPr>
          <w:rFonts w:hint="eastAsia" w:ascii="仿宋" w:hAnsi="仿宋" w:eastAsia="仿宋"/>
          <w:sz w:val="28"/>
          <w:szCs w:val="28"/>
        </w:rPr>
        <w:t>通一平”，即通路、供水、排水、供电、通信、场地平整；</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估价对象实体状况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eastAsia="zh-CN"/>
        </w:rPr>
        <w:t>估价对象是</w:t>
      </w:r>
      <w:r>
        <w:rPr>
          <w:rFonts w:hint="eastAsia" w:ascii="仿宋" w:hAnsi="仿宋" w:eastAsia="仿宋"/>
          <w:sz w:val="28"/>
          <w:szCs w:val="28"/>
          <w:lang w:val="en-US" w:eastAsia="zh-CN"/>
        </w:rPr>
        <w:t>1994年左右建成，截止估价时点，估价对象已空置多年，外墙为小块瓷砖，内部为毛坯房，共三层，1-2层建筑面积290.04平方米，三层面积为12.45平方米，顶层钢棚面积148.64平方米。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(2)土地状况</w:t>
      </w:r>
    </w:p>
    <w:p>
      <w:pPr>
        <w:keepNext w:val="0"/>
        <w:keepLines w:val="0"/>
        <w:pageBreakBefore w:val="0"/>
        <w:widowControl w:val="0"/>
        <w:kinsoku/>
        <w:wordWrap/>
        <w:overflowPunct/>
        <w:topLinePunct w:val="0"/>
        <w:autoSpaceDE/>
        <w:autoSpaceDN/>
        <w:bidi w:val="0"/>
        <w:adjustRightInd/>
        <w:snapToGrid/>
        <w:spacing w:line="54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宗地所在区域交通条件便利，基础设施条件达到“</w:t>
      </w:r>
      <w:r>
        <w:rPr>
          <w:rFonts w:hint="eastAsia" w:ascii="仿宋" w:hAnsi="仿宋" w:eastAsia="仿宋"/>
          <w:sz w:val="28"/>
          <w:szCs w:val="28"/>
          <w:lang w:eastAsia="zh-CN"/>
        </w:rPr>
        <w:t>五</w:t>
      </w:r>
      <w:r>
        <w:rPr>
          <w:rFonts w:hint="eastAsia" w:ascii="仿宋" w:hAnsi="仿宋" w:eastAsia="仿宋"/>
          <w:sz w:val="28"/>
          <w:szCs w:val="28"/>
        </w:rPr>
        <w:t>通一平”（红线外通上水、通下水、通电、通路、通讯及红线内场地平整），环境质量较好，形状规则，地形平坦，宗地无坡度，地基地质条件适合于建筑，地下水水质尚未发现污染，也无不良地质现象,城市规划对其无特殊限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3、估价对象权益状况：</w:t>
      </w:r>
    </w:p>
    <w:p>
      <w:pPr>
        <w:keepNext w:val="0"/>
        <w:keepLines w:val="0"/>
        <w:pageBreakBefore w:val="0"/>
        <w:widowControl w:val="0"/>
        <w:kinsoku/>
        <w:wordWrap/>
        <w:overflowPunct/>
        <w:topLinePunct w:val="0"/>
        <w:autoSpaceDE/>
        <w:autoSpaceDN/>
        <w:bidi w:val="0"/>
        <w:adjustRightInd/>
        <w:snapToGrid/>
        <w:spacing w:line="530" w:lineRule="exact"/>
        <w:ind w:firstLine="420" w:firstLineChars="150"/>
        <w:textAlignment w:val="auto"/>
        <w:rPr>
          <w:rFonts w:hint="eastAsia" w:ascii="仿宋" w:hAnsi="仿宋" w:eastAsia="仿宋"/>
          <w:color w:val="000000"/>
          <w:sz w:val="28"/>
          <w:szCs w:val="28"/>
        </w:rPr>
      </w:pPr>
      <w:r>
        <w:rPr>
          <w:rFonts w:hint="eastAsia" w:ascii="仿宋" w:hAnsi="仿宋" w:eastAsia="仿宋"/>
          <w:color w:val="000000"/>
          <w:sz w:val="28"/>
          <w:szCs w:val="28"/>
        </w:rPr>
        <w:t>（1）建筑物权益状况: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eastAsia="zh-CN"/>
        </w:rPr>
      </w:pPr>
      <w:r>
        <w:rPr>
          <w:rFonts w:hint="eastAsia" w:ascii="仿宋" w:hAnsi="仿宋" w:eastAsia="仿宋"/>
          <w:color w:val="000000"/>
          <w:sz w:val="28"/>
          <w:szCs w:val="28"/>
        </w:rPr>
        <w:t>出租或者占用情况:</w:t>
      </w:r>
      <w:r>
        <w:rPr>
          <w:rFonts w:hint="eastAsia" w:ascii="仿宋" w:hAnsi="仿宋" w:eastAsia="仿宋"/>
          <w:sz w:val="28"/>
          <w:szCs w:val="28"/>
        </w:rPr>
        <w:t xml:space="preserve"> </w:t>
      </w:r>
      <w:r>
        <w:rPr>
          <w:rFonts w:hint="eastAsia" w:ascii="仿宋" w:hAnsi="仿宋" w:eastAsia="仿宋"/>
          <w:sz w:val="28"/>
          <w:szCs w:val="28"/>
          <w:lang w:eastAsia="zh-CN"/>
        </w:rPr>
        <w:t>空置</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eastAsia="zh-CN"/>
        </w:rPr>
        <w:t>权益状况</w:t>
      </w:r>
      <w:r>
        <w:rPr>
          <w:rFonts w:hint="eastAsia" w:ascii="仿宋" w:hAnsi="仿宋" w:eastAsia="仿宋"/>
          <w:color w:val="000000"/>
          <w:sz w:val="28"/>
          <w:szCs w:val="28"/>
        </w:rPr>
        <w:t>:在估价时点,</w:t>
      </w:r>
      <w:r>
        <w:rPr>
          <w:rFonts w:hint="eastAsia" w:ascii="仿宋" w:hAnsi="仿宋" w:eastAsia="仿宋"/>
          <w:color w:val="000000"/>
          <w:sz w:val="28"/>
          <w:szCs w:val="28"/>
          <w:lang w:val="en-US" w:eastAsia="zh-CN"/>
        </w:rPr>
        <w:t xml:space="preserve"> 根据襄阳市樊城区人民法院执行裁定书（2019）鄂06606执恢528号之一对方文志名下登记的位于谷城县盛康镇黄岗村面积113.8平方米的宅基地及地上房屋（地籍号082106021）进行查封，查封期为三年。</w:t>
      </w:r>
    </w:p>
    <w:p>
      <w:pPr>
        <w:keepNext w:val="0"/>
        <w:keepLines w:val="0"/>
        <w:pageBreakBefore w:val="0"/>
        <w:widowControl w:val="0"/>
        <w:tabs>
          <w:tab w:val="left" w:pos="7920"/>
        </w:tabs>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房屋所有权证：</w:t>
      </w:r>
      <w:r>
        <w:rPr>
          <w:rFonts w:hint="eastAsia" w:ascii="仿宋" w:hAnsi="仿宋" w:eastAsia="仿宋"/>
          <w:color w:val="000000"/>
          <w:sz w:val="28"/>
          <w:szCs w:val="28"/>
          <w:lang w:eastAsia="zh-CN"/>
        </w:rPr>
        <w:t>无</w:t>
      </w:r>
    </w:p>
    <w:p>
      <w:pPr>
        <w:keepNext w:val="0"/>
        <w:keepLines w:val="0"/>
        <w:pageBreakBefore w:val="0"/>
        <w:widowControl w:val="0"/>
        <w:tabs>
          <w:tab w:val="left" w:pos="7920"/>
        </w:tabs>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房屋所有权人：方文志</w:t>
      </w:r>
    </w:p>
    <w:p>
      <w:pPr>
        <w:keepNext w:val="0"/>
        <w:keepLines w:val="0"/>
        <w:pageBreakBefore w:val="0"/>
        <w:widowControl w:val="0"/>
        <w:tabs>
          <w:tab w:val="left" w:pos="7920"/>
        </w:tabs>
        <w:kinsoku/>
        <w:wordWrap/>
        <w:overflowPunct/>
        <w:topLinePunct w:val="0"/>
        <w:autoSpaceDE/>
        <w:autoSpaceDN/>
        <w:bidi w:val="0"/>
        <w:adjustRightInd/>
        <w:snapToGrid/>
        <w:spacing w:line="530" w:lineRule="exact"/>
        <w:ind w:firstLine="420" w:firstLineChars="150"/>
        <w:textAlignment w:val="auto"/>
        <w:rPr>
          <w:rFonts w:hint="eastAsia" w:ascii="仿宋" w:hAnsi="仿宋" w:eastAsia="仿宋"/>
          <w:color w:val="993300"/>
          <w:sz w:val="28"/>
          <w:szCs w:val="28"/>
        </w:rPr>
      </w:pPr>
      <w:r>
        <w:rPr>
          <w:rFonts w:hint="eastAsia" w:ascii="仿宋" w:hAnsi="仿宋" w:eastAsia="仿宋"/>
          <w:color w:val="000000"/>
          <w:sz w:val="28"/>
          <w:szCs w:val="28"/>
        </w:rPr>
        <w:t>（2）</w:t>
      </w:r>
      <w:r>
        <w:rPr>
          <w:rFonts w:hint="eastAsia" w:ascii="仿宋" w:hAnsi="仿宋" w:eastAsia="仿宋"/>
          <w:sz w:val="28"/>
          <w:szCs w:val="28"/>
        </w:rPr>
        <w:t>土地权益状况</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rPr>
        <w:t>土地所有权状况：</w:t>
      </w:r>
      <w:r>
        <w:rPr>
          <w:rFonts w:hint="eastAsia" w:ascii="仿宋" w:hAnsi="仿宋" w:eastAsia="仿宋"/>
          <w:color w:val="000000"/>
          <w:sz w:val="28"/>
          <w:szCs w:val="28"/>
          <w:lang w:eastAsia="zh-CN"/>
        </w:rPr>
        <w:t>宅基地</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坐落：</w:t>
      </w:r>
      <w:r>
        <w:rPr>
          <w:rFonts w:hint="eastAsia" w:ascii="仿宋" w:hAnsi="仿宋" w:eastAsia="仿宋"/>
          <w:spacing w:val="-8"/>
          <w:sz w:val="28"/>
          <w:szCs w:val="28"/>
          <w:lang w:eastAsia="zh-CN"/>
        </w:rPr>
        <w:t>谷城县黄岗村</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color w:val="000000"/>
          <w:sz w:val="28"/>
          <w:szCs w:val="28"/>
          <w:lang w:val="en-US" w:eastAsia="zh-CN"/>
        </w:rPr>
      </w:pPr>
      <w:r>
        <w:rPr>
          <w:rFonts w:hint="eastAsia" w:ascii="仿宋" w:hAnsi="仿宋" w:eastAsia="仿宋"/>
          <w:sz w:val="28"/>
          <w:szCs w:val="28"/>
          <w:lang w:val="en-US" w:eastAsia="zh-CN"/>
        </w:rPr>
        <w:t>使用者：</w:t>
      </w:r>
      <w:r>
        <w:rPr>
          <w:rFonts w:hint="eastAsia" w:ascii="仿宋" w:hAnsi="仿宋" w:eastAsia="仿宋"/>
          <w:color w:val="000000"/>
          <w:sz w:val="28"/>
          <w:szCs w:val="28"/>
          <w:lang w:val="en-US" w:eastAsia="zh-CN"/>
        </w:rPr>
        <w:t>方文志（依据盛康国土资源所证明）；</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地籍号：082106021号</w:t>
      </w:r>
    </w:p>
    <w:p>
      <w:pPr>
        <w:keepNext w:val="0"/>
        <w:keepLines w:val="0"/>
        <w:pageBreakBefore w:val="0"/>
        <w:widowControl w:val="0"/>
        <w:kinsoku/>
        <w:wordWrap/>
        <w:overflowPunct/>
        <w:topLinePunct w:val="0"/>
        <w:autoSpaceDE/>
        <w:autoSpaceDN/>
        <w:bidi w:val="0"/>
        <w:adjustRightInd/>
        <w:snapToGrid/>
        <w:spacing w:line="53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面积：113.8平方米；</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四、估价目的：</w:t>
      </w:r>
    </w:p>
    <w:p>
      <w:pPr>
        <w:keepNext w:val="0"/>
        <w:keepLines w:val="0"/>
        <w:pageBreakBefore w:val="0"/>
        <w:widowControl w:val="0"/>
        <w:kinsoku/>
        <w:wordWrap/>
        <w:overflowPunct/>
        <w:topLinePunct w:val="0"/>
        <w:autoSpaceDE/>
        <w:autoSpaceDN/>
        <w:bidi w:val="0"/>
        <w:adjustRightInd/>
        <w:snapToGrid/>
        <w:spacing w:line="540" w:lineRule="exact"/>
        <w:ind w:left="403" w:leftChars="192"/>
        <w:textAlignment w:val="auto"/>
        <w:rPr>
          <w:rFonts w:hint="eastAsia" w:ascii="仿宋" w:hAnsi="仿宋" w:eastAsia="仿宋"/>
          <w:sz w:val="28"/>
          <w:szCs w:val="28"/>
        </w:rPr>
      </w:pPr>
      <w:r>
        <w:rPr>
          <w:rFonts w:hint="eastAsia" w:ascii="仿宋" w:hAnsi="仿宋" w:eastAsia="仿宋"/>
          <w:sz w:val="28"/>
          <w:szCs w:val="28"/>
        </w:rPr>
        <w:t>为司法拍卖提供价值参考依据而评估房地产价值</w:t>
      </w:r>
    </w:p>
    <w:p>
      <w:pPr>
        <w:keepNext w:val="0"/>
        <w:keepLines w:val="0"/>
        <w:pageBreakBefore w:val="0"/>
        <w:widowControl w:val="0"/>
        <w:kinsoku/>
        <w:wordWrap/>
        <w:overflowPunct/>
        <w:topLinePunct w:val="0"/>
        <w:autoSpaceDE/>
        <w:autoSpaceDN/>
        <w:bidi w:val="0"/>
        <w:adjustRightInd/>
        <w:snapToGrid/>
        <w:spacing w:line="540" w:lineRule="exact"/>
        <w:ind w:left="403" w:leftChars="192"/>
        <w:textAlignment w:val="auto"/>
        <w:rPr>
          <w:rFonts w:hint="eastAsia" w:ascii="仿宋" w:hAnsi="仿宋" w:eastAsia="仿宋"/>
          <w:b/>
          <w:sz w:val="28"/>
          <w:szCs w:val="28"/>
        </w:rPr>
      </w:pPr>
      <w:r>
        <w:rPr>
          <w:rFonts w:hint="eastAsia" w:ascii="仿宋" w:hAnsi="仿宋" w:eastAsia="仿宋"/>
          <w:b/>
          <w:sz w:val="28"/>
          <w:szCs w:val="28"/>
        </w:rPr>
        <w:t>五、估价时点：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2021</w:t>
      </w:r>
      <w:r>
        <w:rPr>
          <w:rFonts w:hint="eastAsia" w:ascii="仿宋" w:hAnsi="仿宋" w:eastAsia="仿宋"/>
          <w:sz w:val="28"/>
          <w:szCs w:val="28"/>
          <w:lang w:eastAsia="zh-CN"/>
        </w:rPr>
        <w:t>年</w:t>
      </w:r>
      <w:r>
        <w:rPr>
          <w:rFonts w:hint="eastAsia" w:ascii="仿宋" w:hAnsi="仿宋" w:eastAsia="仿宋"/>
          <w:sz w:val="28"/>
          <w:szCs w:val="28"/>
          <w:lang w:val="en-US" w:eastAsia="zh-CN"/>
        </w:rPr>
        <w:t>03</w:t>
      </w:r>
      <w:r>
        <w:rPr>
          <w:rFonts w:hint="eastAsia" w:ascii="仿宋" w:hAnsi="仿宋" w:eastAsia="仿宋"/>
          <w:sz w:val="28"/>
          <w:szCs w:val="28"/>
          <w:lang w:eastAsia="zh-CN"/>
        </w:rPr>
        <w:t>月</w:t>
      </w:r>
      <w:r>
        <w:rPr>
          <w:rFonts w:hint="eastAsia" w:ascii="仿宋" w:hAnsi="仿宋" w:eastAsia="仿宋"/>
          <w:sz w:val="28"/>
          <w:szCs w:val="28"/>
          <w:lang w:val="en-US" w:eastAsia="zh-CN"/>
        </w:rPr>
        <w:t>23</w:t>
      </w:r>
      <w:r>
        <w:rPr>
          <w:rFonts w:hint="eastAsia" w:ascii="仿宋" w:hAnsi="仿宋" w:eastAsia="仿宋"/>
          <w:sz w:val="28"/>
          <w:szCs w:val="28"/>
          <w:lang w:eastAsia="zh-CN"/>
        </w:rPr>
        <w:t>日</w:t>
      </w:r>
      <w:r>
        <w:rPr>
          <w:rFonts w:hint="eastAsia" w:ascii="仿宋" w:hAnsi="仿宋" w:eastAsia="仿宋"/>
          <w:sz w:val="28"/>
          <w:szCs w:val="28"/>
        </w:rPr>
        <w:t>（实地查勘之日）</w:t>
      </w:r>
    </w:p>
    <w:p>
      <w:pPr>
        <w:keepNext w:val="0"/>
        <w:keepLines w:val="0"/>
        <w:pageBreakBefore w:val="0"/>
        <w:widowControl w:val="0"/>
        <w:kinsoku/>
        <w:wordWrap/>
        <w:overflowPunct/>
        <w:topLinePunct w:val="0"/>
        <w:autoSpaceDE/>
        <w:autoSpaceDN/>
        <w:bidi w:val="0"/>
        <w:adjustRightInd/>
        <w:snapToGrid/>
        <w:spacing w:line="540" w:lineRule="exact"/>
        <w:ind w:firstLine="540" w:firstLineChars="192"/>
        <w:textAlignment w:val="auto"/>
        <w:rPr>
          <w:rFonts w:hint="eastAsia" w:ascii="仿宋" w:hAnsi="仿宋" w:eastAsia="仿宋"/>
          <w:b/>
          <w:sz w:val="28"/>
          <w:szCs w:val="28"/>
        </w:rPr>
      </w:pPr>
      <w:r>
        <w:rPr>
          <w:rFonts w:hint="eastAsia" w:ascii="仿宋" w:hAnsi="仿宋" w:eastAsia="仿宋"/>
          <w:b/>
          <w:sz w:val="28"/>
          <w:szCs w:val="28"/>
        </w:rPr>
        <w:t>六、价值定义：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本次评估采用市场价值，为估价对象在价值时点完整权利状态下及满足各项假设限制条件的房地产市场价值</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sz w:val="28"/>
          <w:szCs w:val="28"/>
        </w:rPr>
      </w:pPr>
      <w:r>
        <w:rPr>
          <w:rFonts w:hint="eastAsia" w:ascii="仿宋" w:hAnsi="仿宋" w:eastAsia="仿宋"/>
          <w:b/>
          <w:sz w:val="28"/>
          <w:szCs w:val="28"/>
        </w:rPr>
        <w:t>七、估价依据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（一）本次估价所依据的有关法律、法规和部门规章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rPr>
        <w:t>《中华人民共和国城市房地产管理法》；</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rPr>
        <w:t>《中华人民共和国土地管理法》；</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rPr>
        <w:t>《中华人民共和国土地管理法实施条例》；</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rPr>
        <w:t>《中华人民共和国物权法》。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（二）本次估价采用的技术标准、规程、规范</w:t>
      </w:r>
    </w:p>
    <w:p>
      <w:pPr>
        <w:keepNext w:val="0"/>
        <w:keepLines w:val="0"/>
        <w:pageBreakBefore w:val="0"/>
        <w:widowControl w:val="0"/>
        <w:kinsoku/>
        <w:wordWrap/>
        <w:overflowPunct/>
        <w:topLinePunct w:val="0"/>
        <w:autoSpaceDE/>
        <w:autoSpaceDN/>
        <w:bidi w:val="0"/>
        <w:adjustRightInd/>
        <w:snapToGrid/>
        <w:spacing w:line="540" w:lineRule="exact"/>
        <w:ind w:left="560"/>
        <w:textAlignment w:val="auto"/>
        <w:rPr>
          <w:rFonts w:hint="eastAsia" w:ascii="仿宋" w:hAnsi="仿宋" w:eastAsia="仿宋"/>
          <w:sz w:val="28"/>
          <w:szCs w:val="28"/>
        </w:rPr>
      </w:pPr>
      <w:r>
        <w:rPr>
          <w:rFonts w:hint="eastAsia" w:ascii="仿宋" w:hAnsi="仿宋" w:eastAsia="仿宋"/>
          <w:sz w:val="28"/>
          <w:szCs w:val="28"/>
        </w:rPr>
        <w:t>1、中华人民共和国国家标准GB/T50291—2015《房地产估价规范》；</w:t>
      </w:r>
    </w:p>
    <w:p>
      <w:pPr>
        <w:keepNext w:val="0"/>
        <w:keepLines w:val="0"/>
        <w:pageBreakBefore w:val="0"/>
        <w:widowControl w:val="0"/>
        <w:kinsoku/>
        <w:wordWrap/>
        <w:overflowPunct/>
        <w:topLinePunct w:val="0"/>
        <w:autoSpaceDE/>
        <w:autoSpaceDN/>
        <w:bidi w:val="0"/>
        <w:adjustRightInd/>
        <w:snapToGrid/>
        <w:spacing w:line="540" w:lineRule="exact"/>
        <w:ind w:left="560"/>
        <w:textAlignment w:val="auto"/>
        <w:rPr>
          <w:rFonts w:hint="eastAsia" w:ascii="仿宋" w:hAnsi="仿宋" w:eastAsia="仿宋"/>
          <w:sz w:val="28"/>
          <w:szCs w:val="28"/>
        </w:rPr>
      </w:pPr>
      <w:r>
        <w:rPr>
          <w:rFonts w:hint="eastAsia" w:ascii="仿宋" w:hAnsi="仿宋" w:eastAsia="仿宋"/>
          <w:sz w:val="28"/>
          <w:szCs w:val="28"/>
        </w:rPr>
        <w:t>2、《房地产估价基本术语标准》</w:t>
      </w:r>
    </w:p>
    <w:p>
      <w:pPr>
        <w:keepNext w:val="0"/>
        <w:keepLines w:val="0"/>
        <w:pageBreakBefore w:val="0"/>
        <w:widowControl w:val="0"/>
        <w:kinsoku/>
        <w:wordWrap/>
        <w:overflowPunct/>
        <w:topLinePunct w:val="0"/>
        <w:autoSpaceDE/>
        <w:autoSpaceDN/>
        <w:bidi w:val="0"/>
        <w:adjustRightInd/>
        <w:snapToGrid/>
        <w:spacing w:line="540" w:lineRule="exact"/>
        <w:ind w:left="560"/>
        <w:textAlignment w:val="auto"/>
        <w:rPr>
          <w:rFonts w:hint="eastAsia" w:ascii="仿宋" w:hAnsi="仿宋" w:eastAsia="仿宋"/>
          <w:sz w:val="28"/>
          <w:szCs w:val="28"/>
        </w:rPr>
      </w:pPr>
      <w:r>
        <w:rPr>
          <w:rFonts w:hint="eastAsia" w:ascii="仿宋" w:hAnsi="仿宋" w:eastAsia="仿宋"/>
          <w:sz w:val="28"/>
          <w:szCs w:val="28"/>
        </w:rPr>
        <w:t>3、《城镇土地估价规程》（GB/T18508）</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（三）委托方提供的有关资料</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lang w:eastAsia="zh-CN"/>
        </w:rPr>
        <w:t>委托书（</w:t>
      </w:r>
      <w:r>
        <w:rPr>
          <w:rFonts w:hint="eastAsia" w:ascii="仿宋" w:hAnsi="仿宋" w:eastAsia="仿宋"/>
          <w:sz w:val="28"/>
          <w:szCs w:val="28"/>
          <w:lang w:val="en-US" w:eastAsia="zh-CN"/>
        </w:rPr>
        <w:t>2021</w:t>
      </w:r>
      <w:r>
        <w:rPr>
          <w:rFonts w:hint="eastAsia" w:ascii="仿宋" w:hAnsi="仿宋" w:eastAsia="仿宋"/>
          <w:sz w:val="28"/>
          <w:szCs w:val="28"/>
          <w:lang w:eastAsia="zh-CN"/>
        </w:rPr>
        <w:t>）鄂</w:t>
      </w:r>
      <w:r>
        <w:rPr>
          <w:rFonts w:hint="eastAsia" w:ascii="仿宋" w:hAnsi="仿宋" w:eastAsia="仿宋"/>
          <w:sz w:val="28"/>
          <w:szCs w:val="28"/>
          <w:lang w:val="en-US" w:eastAsia="zh-CN"/>
        </w:rPr>
        <w:t>0606执恢149号</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lang w:eastAsia="zh-CN"/>
        </w:rPr>
        <w:t>执行裁定书（</w:t>
      </w:r>
      <w:r>
        <w:rPr>
          <w:rFonts w:hint="eastAsia" w:ascii="仿宋" w:hAnsi="仿宋" w:eastAsia="仿宋"/>
          <w:color w:val="000000"/>
          <w:sz w:val="28"/>
          <w:szCs w:val="28"/>
          <w:lang w:val="en-US" w:eastAsia="zh-CN"/>
        </w:rPr>
        <w:t>（2019）鄂06606执恢528号</w:t>
      </w:r>
      <w:r>
        <w:rPr>
          <w:rFonts w:hint="eastAsia" w:ascii="仿宋" w:hAnsi="仿宋" w:eastAsia="仿宋"/>
          <w:sz w:val="28"/>
          <w:szCs w:val="28"/>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lang w:eastAsia="zh-CN"/>
        </w:rPr>
        <w:t>公证书</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textAlignment w:val="auto"/>
        <w:rPr>
          <w:rFonts w:hint="eastAsia" w:ascii="仿宋" w:hAnsi="仿宋" w:eastAsia="仿宋"/>
          <w:sz w:val="28"/>
          <w:szCs w:val="28"/>
        </w:rPr>
      </w:pPr>
      <w:r>
        <w:rPr>
          <w:rFonts w:hint="eastAsia" w:ascii="仿宋" w:hAnsi="仿宋" w:eastAsia="仿宋"/>
          <w:sz w:val="28"/>
          <w:szCs w:val="28"/>
          <w:lang w:eastAsia="zh-CN"/>
        </w:rPr>
        <w:t>现场勘查表</w:t>
      </w:r>
      <w:r>
        <w:rPr>
          <w:rFonts w:hint="eastAsia" w:ascii="仿宋" w:hAnsi="仿宋" w:eastAsia="仿宋"/>
          <w:sz w:val="28"/>
          <w:szCs w:val="28"/>
        </w:rPr>
        <w:t>复印件</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150"/>
        <w:textAlignment w:val="auto"/>
        <w:rPr>
          <w:rFonts w:hint="eastAsia" w:ascii="仿宋" w:hAnsi="仿宋" w:eastAsia="仿宋"/>
          <w:color w:val="000000"/>
          <w:sz w:val="28"/>
          <w:szCs w:val="28"/>
        </w:rPr>
      </w:pPr>
      <w:r>
        <w:rPr>
          <w:rFonts w:hint="eastAsia" w:ascii="仿宋" w:hAnsi="仿宋" w:eastAsia="仿宋"/>
          <w:color w:val="000000"/>
          <w:sz w:val="28"/>
          <w:szCs w:val="28"/>
        </w:rPr>
        <w:t>（四）估价机构和估价人员所搜集掌握的有关资料。</w:t>
      </w:r>
    </w:p>
    <w:p>
      <w:pPr>
        <w:pStyle w:val="5"/>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eastAsia" w:ascii="仿宋" w:hAnsi="仿宋" w:eastAsia="仿宋"/>
          <w:sz w:val="28"/>
          <w:szCs w:val="28"/>
        </w:rPr>
      </w:pPr>
      <w:r>
        <w:rPr>
          <w:rFonts w:hint="eastAsia" w:ascii="仿宋" w:hAnsi="仿宋" w:eastAsia="仿宋"/>
          <w:b/>
          <w:sz w:val="28"/>
          <w:szCs w:val="28"/>
        </w:rPr>
        <w:t>八、估价原则</w:t>
      </w:r>
      <w:r>
        <w:rPr>
          <w:rFonts w:hint="eastAsia" w:ascii="仿宋" w:hAnsi="仿宋" w:eastAsia="仿宋"/>
          <w:b/>
          <w:sz w:val="28"/>
          <w:szCs w:val="28"/>
        </w:rPr>
        <w:br w:type="textWrapping"/>
      </w:r>
      <w:r>
        <w:rPr>
          <w:rFonts w:hint="eastAsia" w:ascii="仿宋" w:hAnsi="仿宋" w:eastAsia="仿宋"/>
          <w:sz w:val="28"/>
          <w:szCs w:val="28"/>
        </w:rPr>
        <w:t xml:space="preserve">    本估价报告在遵循客观、公正、科学、合理的基本原则下，结合估价目的对估价对象进行评估。具体依据如下估价原则：</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sz w:val="28"/>
          <w:szCs w:val="28"/>
        </w:rPr>
      </w:pPr>
      <w:r>
        <w:rPr>
          <w:rFonts w:hint="eastAsia" w:ascii="仿宋" w:hAnsi="仿宋" w:eastAsia="仿宋"/>
          <w:sz w:val="28"/>
          <w:szCs w:val="28"/>
        </w:rPr>
        <w:t>1、合法原则要求房地产估价结果是在估价对象依法判定的合法权益下的价值,本次评估以估价对象的合法使用、合法处分为前提；</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sz w:val="28"/>
          <w:szCs w:val="28"/>
        </w:rPr>
      </w:pPr>
      <w:r>
        <w:rPr>
          <w:rFonts w:hint="eastAsia" w:ascii="仿宋" w:hAnsi="仿宋" w:eastAsia="仿宋"/>
          <w:sz w:val="28"/>
          <w:szCs w:val="28"/>
        </w:rPr>
        <w:t>2、最高最佳使用原则要求房地产估价结果是在估价对象最高最佳使用下的价值。最高最佳使用是指法律上许可、技术上可能、经济上可行，经过充分合理的论证，能使估价对象的价值达到最大的一种最可能的使用,本次评估以估价对象保持房屋权属证书用途继续使用为前提；</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sz w:val="28"/>
          <w:szCs w:val="28"/>
        </w:rPr>
      </w:pPr>
      <w:r>
        <w:rPr>
          <w:rFonts w:hint="eastAsia" w:ascii="仿宋" w:hAnsi="仿宋" w:eastAsia="仿宋"/>
          <w:sz w:val="28"/>
          <w:szCs w:val="28"/>
        </w:rPr>
        <w:t>3、替代原则要求房地产估价结果不得不合理地偏离类似房地产在同等条件下的正常价格,估价结果不明显偏离类似房地产在同等条件下的正常价格；</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sz w:val="28"/>
          <w:szCs w:val="28"/>
        </w:rPr>
      </w:pPr>
      <w:r>
        <w:rPr>
          <w:rFonts w:hint="eastAsia" w:ascii="仿宋" w:hAnsi="仿宋" w:eastAsia="仿宋"/>
          <w:sz w:val="28"/>
          <w:szCs w:val="28"/>
        </w:rPr>
        <w:t>4、估价时点原则要求房地产估价结果是在由估价目的的决定的某个特定时间的价值,本报告估价结果是估价对象在估价时的客观合理价值。</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sz w:val="28"/>
          <w:szCs w:val="28"/>
        </w:rPr>
      </w:pPr>
      <w:r>
        <w:rPr>
          <w:rFonts w:hint="eastAsia" w:ascii="仿宋" w:hAnsi="仿宋" w:eastAsia="仿宋"/>
          <w:sz w:val="28"/>
          <w:szCs w:val="28"/>
        </w:rPr>
        <w:t>5、独立、客观、公正原则</w:t>
      </w:r>
    </w:p>
    <w:p>
      <w:pPr>
        <w:pStyle w:val="5"/>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sz w:val="28"/>
          <w:szCs w:val="28"/>
        </w:rPr>
      </w:pPr>
      <w:r>
        <w:rPr>
          <w:rFonts w:hint="eastAsia" w:ascii="仿宋" w:hAnsi="仿宋" w:eastAsia="仿宋"/>
          <w:sz w:val="28"/>
          <w:szCs w:val="28"/>
        </w:rPr>
        <w:t>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九、估价方法</w:t>
      </w:r>
    </w:p>
    <w:p>
      <w:pPr>
        <w:keepNext w:val="0"/>
        <w:keepLines w:val="0"/>
        <w:pageBreakBefore w:val="0"/>
        <w:widowControl w:val="0"/>
        <w:kinsoku/>
        <w:wordWrap/>
        <w:overflowPunct/>
        <w:topLinePunct w:val="0"/>
        <w:autoSpaceDE/>
        <w:autoSpaceDN/>
        <w:bidi w:val="0"/>
        <w:adjustRightInd/>
        <w:snapToGrid/>
        <w:spacing w:line="540" w:lineRule="exact"/>
        <w:ind w:firstLine="537" w:firstLineChars="192"/>
        <w:textAlignment w:val="auto"/>
        <w:rPr>
          <w:rFonts w:hint="eastAsia" w:ascii="仿宋" w:hAnsi="仿宋" w:eastAsia="仿宋"/>
          <w:sz w:val="28"/>
          <w:szCs w:val="28"/>
        </w:rPr>
      </w:pPr>
      <w:r>
        <w:rPr>
          <w:rFonts w:hint="eastAsia" w:ascii="仿宋" w:hAnsi="仿宋" w:eastAsia="仿宋"/>
          <w:sz w:val="28"/>
          <w:szCs w:val="28"/>
        </w:rPr>
        <w:t>本评估中运用的估价方法在严格遵循估价原则的基础上，按照《房地产估价规程》和《城镇土地估价规程》的规定，结合估价机构掌握的有关资料和待估房地产的实际情况、估价目的以及待估房地产所在的房地产市场具有的特点来确定的。</w:t>
      </w:r>
      <w:r>
        <w:rPr>
          <w:rFonts w:hint="eastAsia" w:ascii="仿宋" w:hAnsi="仿宋" w:eastAsia="仿宋"/>
          <w:sz w:val="28"/>
          <w:szCs w:val="28"/>
          <w:lang w:eastAsia="zh-CN"/>
        </w:rPr>
        <w:t>本次评估房屋价值采取成本法，土地价值采用本法进行评估</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rPr>
        <w:t>十、估价结果</w:t>
      </w:r>
    </w:p>
    <w:p>
      <w:pPr>
        <w:keepNext w:val="0"/>
        <w:keepLines w:val="0"/>
        <w:pageBreakBefore w:val="0"/>
        <w:widowControl w:val="0"/>
        <w:kinsoku/>
        <w:wordWrap/>
        <w:overflowPunct/>
        <w:topLinePunct w:val="0"/>
        <w:autoSpaceDE/>
        <w:autoSpaceDN/>
        <w:bidi w:val="0"/>
        <w:adjustRightInd/>
        <w:snapToGrid/>
        <w:spacing w:line="540" w:lineRule="exact"/>
        <w:ind w:firstLine="700" w:firstLineChars="250"/>
        <w:jc w:val="left"/>
        <w:textAlignment w:val="auto"/>
        <w:rPr>
          <w:rFonts w:hint="eastAsia" w:ascii="仿宋" w:hAnsi="仿宋" w:eastAsia="仿宋"/>
          <w:sz w:val="28"/>
          <w:szCs w:val="28"/>
        </w:rPr>
      </w:pPr>
      <w:r>
        <w:rPr>
          <w:rFonts w:hint="eastAsia" w:ascii="仿宋" w:hAnsi="仿宋" w:eastAsia="仿宋"/>
          <w:sz w:val="28"/>
          <w:szCs w:val="28"/>
        </w:rPr>
        <w:t xml:space="preserve">估价人员根据估价目的，遵循估价原则，采用科学的估价方法，在认真分析所掌握资料与影响估价对象价值诸因素的基础上，最后确定估价对象在估价时点的价值为: </w:t>
      </w:r>
    </w:p>
    <w:p>
      <w:pPr>
        <w:keepNext w:val="0"/>
        <w:keepLines w:val="0"/>
        <w:pageBreakBefore w:val="0"/>
        <w:widowControl w:val="0"/>
        <w:kinsoku/>
        <w:wordWrap/>
        <w:overflowPunct/>
        <w:topLinePunct w:val="0"/>
        <w:autoSpaceDE/>
        <w:autoSpaceDN/>
        <w:bidi w:val="0"/>
        <w:adjustRightInd/>
        <w:snapToGrid/>
        <w:spacing w:line="54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总价值为：195842元</w:t>
      </w:r>
    </w:p>
    <w:p>
      <w:pPr>
        <w:keepNext w:val="0"/>
        <w:keepLines w:val="0"/>
        <w:pageBreakBefore w:val="0"/>
        <w:widowControl w:val="0"/>
        <w:kinsoku/>
        <w:wordWrap/>
        <w:overflowPunct/>
        <w:topLinePunct w:val="0"/>
        <w:autoSpaceDE/>
        <w:autoSpaceDN/>
        <w:bidi w:val="0"/>
        <w:adjustRightInd/>
        <w:snapToGrid/>
        <w:spacing w:line="54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大    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195842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壹拾玖万伍仟捌佰肆拾贰</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元整</w:t>
      </w:r>
    </w:p>
    <w:p>
      <w:pPr>
        <w:keepNext w:val="0"/>
        <w:keepLines w:val="0"/>
        <w:pageBreakBefore w:val="0"/>
        <w:widowControl w:val="0"/>
        <w:kinsoku/>
        <w:wordWrap/>
        <w:overflowPunct/>
        <w:topLinePunct w:val="0"/>
        <w:autoSpaceDE/>
        <w:autoSpaceDN/>
        <w:bidi w:val="0"/>
        <w:adjustRightInd/>
        <w:snapToGrid/>
        <w:spacing w:line="54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（其中：地上无证房产价值为152152元，大写：人民币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152152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壹拾伍万贰仟壹佰伍拾贰</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元；钢棚价值22296元，大写：人民币</w:t>
      </w:r>
      <w:r>
        <w:rPr>
          <w:rFonts w:hint="eastAsia" w:ascii="仿宋" w:hAnsi="仿宋" w:eastAsia="仿宋"/>
          <w:sz w:val="28"/>
          <w:szCs w:val="28"/>
          <w:lang w:val="en-US" w:eastAsia="zh-CN"/>
        </w:rPr>
        <w:fldChar w:fldCharType="begin"/>
      </w:r>
      <m:oMath>
        <m:r>
          <m:rPr>
            <m:sty m:val="p"/>
          </m:rPr>
          <w:rPr>
            <w:rFonts w:hint="eastAsia" w:ascii="仿宋" w:hAnsi="仿宋" w:eastAsia="仿宋"/>
            <w:sz w:val="28"/>
            <w:szCs w:val="28"/>
            <w:lang w:val="en-US" w:eastAsia="zh-CN"/>
          </w:rPr>
          <m:t xml:space="preserve"> = 22296 \* CHINESENUM2 \* MERGEFORMAT </m:t>
        </m:r>
      </m:oMath>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贰万贰仟贰佰玖拾陆</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元；土地价值：21394元，大写：人民币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21394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贰万壹仟叁佰玖拾肆</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80" w:firstLineChars="100"/>
        <w:textAlignment w:val="auto"/>
        <w:rPr>
          <w:rFonts w:hint="eastAsia" w:ascii="仿宋" w:hAnsi="仿宋" w:eastAsia="仿宋" w:cs="Times New Roman"/>
          <w:color w:val="000000"/>
          <w:kern w:val="2"/>
          <w:sz w:val="28"/>
          <w:szCs w:val="22"/>
          <w:lang w:val="en-US" w:eastAsia="zh-CN" w:bidi="ar-SA"/>
        </w:rPr>
      </w:pPr>
      <w:r>
        <w:rPr>
          <w:rFonts w:hint="eastAsia" w:ascii="仿宋" w:hAnsi="仿宋" w:eastAsia="仿宋" w:cs="Times New Roman"/>
          <w:color w:val="000000"/>
          <w:kern w:val="2"/>
          <w:sz w:val="28"/>
          <w:szCs w:val="22"/>
          <w:lang w:val="en-US" w:eastAsia="zh-CN" w:bidi="ar-SA"/>
        </w:rPr>
        <w:t>（一）地上建筑物价值明细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1482"/>
        <w:gridCol w:w="1409"/>
        <w:gridCol w:w="1216"/>
        <w:gridCol w:w="1916"/>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818" w:type="dxa"/>
            <w:noWrap w:val="0"/>
            <w:vAlign w:val="center"/>
          </w:tcPr>
          <w:p>
            <w:pPr>
              <w:spacing w:line="400" w:lineRule="exact"/>
              <w:jc w:val="center"/>
              <w:rPr>
                <w:rFonts w:hint="eastAsia" w:ascii="宋体" w:hAnsi="宋体" w:eastAsia="宋体"/>
                <w:b/>
                <w:bCs/>
                <w:color w:val="000000"/>
                <w:kern w:val="0"/>
                <w:sz w:val="20"/>
              </w:rPr>
            </w:pPr>
            <w:r>
              <w:rPr>
                <w:rFonts w:hint="eastAsia" w:ascii="宋体" w:hAnsi="宋体" w:eastAsia="宋体"/>
                <w:b/>
                <w:bCs/>
                <w:color w:val="000000"/>
                <w:kern w:val="0"/>
                <w:sz w:val="20"/>
              </w:rPr>
              <w:t>序号</w:t>
            </w:r>
          </w:p>
        </w:tc>
        <w:tc>
          <w:tcPr>
            <w:tcW w:w="1482" w:type="dxa"/>
            <w:noWrap w:val="0"/>
            <w:vAlign w:val="center"/>
          </w:tcPr>
          <w:p>
            <w:pPr>
              <w:spacing w:line="400" w:lineRule="exact"/>
              <w:jc w:val="center"/>
              <w:rPr>
                <w:rFonts w:hint="eastAsia" w:ascii="宋体" w:hAnsi="宋体" w:eastAsia="宋体"/>
                <w:b/>
                <w:bCs/>
                <w:color w:val="000000"/>
                <w:kern w:val="0"/>
                <w:sz w:val="20"/>
                <w:lang w:eastAsia="zh-CN"/>
              </w:rPr>
            </w:pPr>
            <w:r>
              <w:rPr>
                <w:rFonts w:hint="eastAsia" w:ascii="宋体" w:hAnsi="宋体"/>
                <w:b/>
                <w:bCs/>
                <w:color w:val="000000"/>
                <w:kern w:val="0"/>
                <w:sz w:val="20"/>
                <w:lang w:eastAsia="zh-CN"/>
              </w:rPr>
              <w:t>层数</w:t>
            </w:r>
          </w:p>
        </w:tc>
        <w:tc>
          <w:tcPr>
            <w:tcW w:w="1409" w:type="dxa"/>
            <w:noWrap w:val="0"/>
            <w:vAlign w:val="center"/>
          </w:tcPr>
          <w:p>
            <w:pPr>
              <w:spacing w:line="400" w:lineRule="exact"/>
              <w:jc w:val="center"/>
              <w:rPr>
                <w:rFonts w:hint="eastAsia" w:ascii="宋体" w:hAnsi="宋体" w:eastAsia="宋体"/>
                <w:b/>
                <w:bCs/>
                <w:color w:val="000000"/>
                <w:kern w:val="0"/>
                <w:sz w:val="20"/>
              </w:rPr>
            </w:pPr>
            <w:r>
              <w:rPr>
                <w:rFonts w:hint="eastAsia" w:ascii="宋体" w:hAnsi="宋体" w:eastAsia="宋体"/>
                <w:b/>
                <w:bCs/>
                <w:color w:val="000000"/>
                <w:kern w:val="0"/>
                <w:sz w:val="20"/>
              </w:rPr>
              <w:t>结构</w:t>
            </w:r>
          </w:p>
        </w:tc>
        <w:tc>
          <w:tcPr>
            <w:tcW w:w="1216" w:type="dxa"/>
            <w:noWrap w:val="0"/>
            <w:vAlign w:val="center"/>
          </w:tcPr>
          <w:p>
            <w:pPr>
              <w:spacing w:line="400" w:lineRule="exact"/>
              <w:jc w:val="center"/>
              <w:rPr>
                <w:rFonts w:hint="eastAsia" w:ascii="宋体" w:hAnsi="宋体" w:eastAsia="宋体"/>
                <w:b/>
                <w:bCs/>
                <w:color w:val="000000"/>
                <w:kern w:val="0"/>
                <w:sz w:val="20"/>
              </w:rPr>
            </w:pPr>
            <w:r>
              <w:rPr>
                <w:rFonts w:hint="eastAsia" w:ascii="宋体" w:hAnsi="宋体" w:eastAsia="宋体"/>
                <w:b/>
                <w:bCs/>
                <w:color w:val="000000"/>
                <w:kern w:val="0"/>
                <w:sz w:val="20"/>
              </w:rPr>
              <w:t>面积（㎡）</w:t>
            </w:r>
          </w:p>
        </w:tc>
        <w:tc>
          <w:tcPr>
            <w:tcW w:w="1916" w:type="dxa"/>
            <w:noWrap w:val="0"/>
            <w:vAlign w:val="center"/>
          </w:tcPr>
          <w:p>
            <w:pPr>
              <w:spacing w:line="400" w:lineRule="exact"/>
              <w:jc w:val="center"/>
              <w:rPr>
                <w:rFonts w:hint="eastAsia" w:ascii="宋体" w:hAnsi="宋体" w:eastAsia="宋体"/>
                <w:b/>
                <w:bCs/>
                <w:color w:val="000000"/>
                <w:kern w:val="0"/>
                <w:sz w:val="20"/>
                <w:lang w:eastAsia="zh-CN"/>
              </w:rPr>
            </w:pPr>
            <w:r>
              <w:rPr>
                <w:rFonts w:hint="eastAsia" w:ascii="宋体" w:hAnsi="宋体"/>
                <w:b/>
                <w:bCs/>
                <w:color w:val="000000"/>
                <w:kern w:val="0"/>
                <w:sz w:val="20"/>
                <w:lang w:eastAsia="zh-CN"/>
              </w:rPr>
              <w:t>单价（元</w:t>
            </w:r>
            <w:r>
              <w:rPr>
                <w:rFonts w:hint="eastAsia" w:ascii="宋体" w:hAnsi="宋体"/>
                <w:b/>
                <w:bCs/>
                <w:color w:val="000000"/>
                <w:kern w:val="0"/>
                <w:sz w:val="20"/>
                <w:lang w:val="en-US" w:eastAsia="zh-CN"/>
              </w:rPr>
              <w:t>/平方米</w:t>
            </w:r>
            <w:r>
              <w:rPr>
                <w:rFonts w:hint="eastAsia" w:ascii="宋体" w:hAnsi="宋体"/>
                <w:b/>
                <w:bCs/>
                <w:color w:val="000000"/>
                <w:kern w:val="0"/>
                <w:sz w:val="20"/>
                <w:lang w:eastAsia="zh-CN"/>
              </w:rPr>
              <w:t>）</w:t>
            </w:r>
          </w:p>
        </w:tc>
        <w:tc>
          <w:tcPr>
            <w:tcW w:w="1159" w:type="dxa"/>
            <w:noWrap w:val="0"/>
            <w:vAlign w:val="center"/>
          </w:tcPr>
          <w:p>
            <w:pPr>
              <w:spacing w:line="400" w:lineRule="exact"/>
              <w:jc w:val="center"/>
              <w:rPr>
                <w:rFonts w:hint="eastAsia" w:ascii="宋体" w:hAnsi="宋体" w:eastAsia="宋体"/>
                <w:b/>
                <w:bCs/>
                <w:color w:val="000000"/>
                <w:kern w:val="0"/>
                <w:sz w:val="20"/>
                <w:lang w:eastAsia="zh-CN"/>
              </w:rPr>
            </w:pPr>
            <w:r>
              <w:rPr>
                <w:rFonts w:hint="eastAsia" w:ascii="宋体" w:hAnsi="宋体"/>
                <w:b/>
                <w:bCs/>
                <w:color w:val="000000"/>
                <w:kern w:val="0"/>
                <w:sz w:val="20"/>
                <w:lang w:eastAsia="zh-CN"/>
              </w:rPr>
              <w:t>总价</w:t>
            </w:r>
            <w:r>
              <w:rPr>
                <w:rFonts w:hint="eastAsia" w:ascii="仿宋" w:hAnsi="仿宋" w:eastAsia="仿宋" w:cs="仿宋"/>
                <w:b/>
                <w:bCs/>
                <w:i w:val="0"/>
                <w:color w:val="000000"/>
                <w:kern w:val="0"/>
                <w:sz w:val="18"/>
                <w:szCs w:val="18"/>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818"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1</w:t>
            </w:r>
          </w:p>
        </w:tc>
        <w:tc>
          <w:tcPr>
            <w:tcW w:w="1482"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1-3/3</w:t>
            </w:r>
          </w:p>
        </w:tc>
        <w:tc>
          <w:tcPr>
            <w:tcW w:w="1409"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砖混</w:t>
            </w:r>
            <w:r>
              <w:rPr>
                <w:rFonts w:hint="eastAsia" w:ascii="宋体" w:hAnsi="宋体" w:eastAsia="宋体"/>
                <w:color w:val="000000"/>
                <w:kern w:val="0"/>
                <w:sz w:val="20"/>
                <w:lang w:eastAsia="zh-CN"/>
              </w:rPr>
              <w:t>乙</w:t>
            </w:r>
            <w:r>
              <w:rPr>
                <w:rFonts w:hint="eastAsia" w:ascii="宋体" w:hAnsi="宋体" w:eastAsia="宋体"/>
                <w:color w:val="000000"/>
                <w:kern w:val="0"/>
                <w:sz w:val="20"/>
              </w:rPr>
              <w:t>级</w:t>
            </w:r>
          </w:p>
        </w:tc>
        <w:tc>
          <w:tcPr>
            <w:tcW w:w="1216"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302.49</w:t>
            </w:r>
          </w:p>
        </w:tc>
        <w:tc>
          <w:tcPr>
            <w:tcW w:w="1916"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503</w:t>
            </w:r>
          </w:p>
        </w:tc>
        <w:tc>
          <w:tcPr>
            <w:tcW w:w="1159"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152152</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Times New Roman"/>
          <w:color w:val="000000"/>
          <w:kern w:val="2"/>
          <w:sz w:val="28"/>
          <w:szCs w:val="22"/>
          <w:lang w:val="en-US" w:eastAsia="zh-CN" w:bidi="ar-SA"/>
        </w:rPr>
      </w:pPr>
      <w:r>
        <w:rPr>
          <w:rFonts w:hint="eastAsia" w:ascii="仿宋" w:hAnsi="仿宋" w:eastAsia="仿宋" w:cs="Times New Roman"/>
          <w:color w:val="000000"/>
          <w:kern w:val="2"/>
          <w:sz w:val="28"/>
          <w:szCs w:val="22"/>
          <w:lang w:val="en-US" w:eastAsia="zh-CN" w:bidi="ar-SA"/>
        </w:rPr>
        <w:t>（二）钢棚价值明细</w:t>
      </w:r>
    </w:p>
    <w:tbl>
      <w:tblPr>
        <w:tblStyle w:val="9"/>
        <w:tblW w:w="4997" w:type="pct"/>
        <w:tblInd w:w="0" w:type="dxa"/>
        <w:tblLayout w:type="autofit"/>
        <w:tblCellMar>
          <w:top w:w="0" w:type="dxa"/>
          <w:left w:w="0" w:type="dxa"/>
          <w:bottom w:w="0" w:type="dxa"/>
          <w:right w:w="0" w:type="dxa"/>
        </w:tblCellMar>
      </w:tblPr>
      <w:tblGrid>
        <w:gridCol w:w="1327"/>
        <w:gridCol w:w="1887"/>
        <w:gridCol w:w="1223"/>
        <w:gridCol w:w="1311"/>
        <w:gridCol w:w="1738"/>
        <w:gridCol w:w="1539"/>
      </w:tblGrid>
      <w:tr>
        <w:tblPrEx>
          <w:tblCellMar>
            <w:top w:w="0" w:type="dxa"/>
            <w:left w:w="0" w:type="dxa"/>
            <w:bottom w:w="0" w:type="dxa"/>
            <w:right w:w="0" w:type="dxa"/>
          </w:tblCellMar>
        </w:tblPrEx>
        <w:trPr>
          <w:trHeight w:val="732" w:hRule="atLeast"/>
        </w:trPr>
        <w:tc>
          <w:tcPr>
            <w:tcW w:w="7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序号</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名称</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单位</w:t>
            </w:r>
          </w:p>
        </w:tc>
        <w:tc>
          <w:tcPr>
            <w:tcW w:w="7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数量</w:t>
            </w:r>
          </w:p>
        </w:tc>
        <w:tc>
          <w:tcPr>
            <w:tcW w:w="8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单价</w:t>
            </w:r>
            <w:r>
              <w:rPr>
                <w:rFonts w:hint="eastAsia" w:ascii="宋体" w:hAnsi="宋体" w:eastAsia="宋体"/>
                <w:b/>
                <w:bCs/>
                <w:color w:val="000000"/>
                <w:kern w:val="0"/>
                <w:sz w:val="20"/>
                <w:lang w:eastAsia="zh-CN"/>
              </w:rPr>
              <w:t>（元</w:t>
            </w:r>
            <w:r>
              <w:rPr>
                <w:rFonts w:hint="eastAsia" w:ascii="宋体" w:hAnsi="宋体" w:eastAsia="宋体"/>
                <w:b/>
                <w:bCs/>
                <w:color w:val="000000"/>
                <w:kern w:val="0"/>
                <w:sz w:val="20"/>
                <w:lang w:val="en-US" w:eastAsia="zh-CN"/>
              </w:rPr>
              <w:t>/平方米</w:t>
            </w:r>
            <w:r>
              <w:rPr>
                <w:rFonts w:hint="eastAsia" w:ascii="宋体" w:hAnsi="宋体" w:eastAsia="宋体"/>
                <w:b/>
                <w:bCs/>
                <w:color w:val="000000"/>
                <w:kern w:val="0"/>
                <w:sz w:val="20"/>
                <w:lang w:eastAsia="zh-CN"/>
              </w:rPr>
              <w:t>）</w:t>
            </w:r>
          </w:p>
        </w:tc>
        <w:tc>
          <w:tcPr>
            <w:tcW w:w="87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总价（元）</w:t>
            </w:r>
          </w:p>
        </w:tc>
      </w:tr>
      <w:tr>
        <w:tblPrEx>
          <w:tblCellMar>
            <w:top w:w="0" w:type="dxa"/>
            <w:left w:w="0" w:type="dxa"/>
            <w:bottom w:w="0" w:type="dxa"/>
            <w:right w:w="0" w:type="dxa"/>
          </w:tblCellMar>
        </w:tblPrEx>
        <w:trPr>
          <w:trHeight w:val="747" w:hRule="atLeast"/>
        </w:trPr>
        <w:tc>
          <w:tcPr>
            <w:tcW w:w="7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钢棚</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w:t>
            </w:r>
          </w:p>
        </w:tc>
        <w:tc>
          <w:tcPr>
            <w:tcW w:w="7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148.64</w:t>
            </w:r>
          </w:p>
        </w:tc>
        <w:tc>
          <w:tcPr>
            <w:tcW w:w="8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150</w:t>
            </w:r>
          </w:p>
        </w:tc>
        <w:tc>
          <w:tcPr>
            <w:tcW w:w="87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22296</w:t>
            </w:r>
          </w:p>
        </w:tc>
      </w:tr>
    </w:tbl>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三</w:t>
      </w:r>
      <w:r>
        <w:rPr>
          <w:rFonts w:hint="eastAsia" w:ascii="仿宋" w:hAnsi="仿宋" w:eastAsia="仿宋"/>
          <w:sz w:val="28"/>
          <w:szCs w:val="28"/>
          <w:lang w:eastAsia="zh-CN"/>
        </w:rPr>
        <w:t>）土地价值</w:t>
      </w:r>
    </w:p>
    <w:tbl>
      <w:tblPr>
        <w:tblStyle w:val="10"/>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128"/>
        <w:gridCol w:w="687"/>
        <w:gridCol w:w="1808"/>
        <w:gridCol w:w="1808"/>
        <w:gridCol w:w="919"/>
        <w:gridCol w:w="1301"/>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宗地编号</w:t>
            </w:r>
          </w:p>
        </w:tc>
        <w:tc>
          <w:tcPr>
            <w:tcW w:w="1128"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估价期日的土地使用者</w:t>
            </w:r>
          </w:p>
        </w:tc>
        <w:tc>
          <w:tcPr>
            <w:tcW w:w="687"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土地性质</w:t>
            </w:r>
          </w:p>
        </w:tc>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估价基准日实际土地开发程度</w:t>
            </w:r>
          </w:p>
        </w:tc>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估价设定开发程度</w:t>
            </w:r>
          </w:p>
        </w:tc>
        <w:tc>
          <w:tcPr>
            <w:tcW w:w="0" w:type="auto"/>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土地面积㎡</w:t>
            </w:r>
          </w:p>
        </w:tc>
        <w:tc>
          <w:tcPr>
            <w:tcW w:w="1301"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单位面积单价（元/㎡）</w:t>
            </w:r>
          </w:p>
        </w:tc>
        <w:tc>
          <w:tcPr>
            <w:tcW w:w="794" w:type="dxa"/>
            <w:noWrap w:val="0"/>
            <w:vAlign w:val="center"/>
          </w:tcPr>
          <w:p>
            <w:pPr>
              <w:spacing w:line="400" w:lineRule="exact"/>
              <w:jc w:val="center"/>
              <w:rPr>
                <w:rFonts w:hint="eastAsia" w:ascii="宋体" w:hAnsi="宋体" w:eastAsia="宋体"/>
                <w:b/>
                <w:bCs/>
                <w:color w:val="000000"/>
                <w:kern w:val="0"/>
                <w:sz w:val="20"/>
                <w:lang w:val="en-US" w:eastAsia="zh-CN"/>
              </w:rPr>
            </w:pPr>
            <w:r>
              <w:rPr>
                <w:rFonts w:hint="eastAsia" w:ascii="宋体" w:hAnsi="宋体" w:eastAsia="宋体"/>
                <w:b/>
                <w:bCs/>
                <w:color w:val="000000"/>
                <w:kern w:val="0"/>
                <w:sz w:val="20"/>
                <w:lang w:val="en-US" w:eastAsia="zh-CN"/>
              </w:rPr>
              <w:t>宗地价元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0" w:type="auto"/>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方文志</w:t>
            </w:r>
          </w:p>
        </w:tc>
        <w:tc>
          <w:tcPr>
            <w:tcW w:w="687"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宅基地</w:t>
            </w:r>
          </w:p>
        </w:tc>
        <w:tc>
          <w:tcPr>
            <w:tcW w:w="0" w:type="auto"/>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红线外“五通一平”及红线内场地平整</w:t>
            </w:r>
          </w:p>
        </w:tc>
        <w:tc>
          <w:tcPr>
            <w:tcW w:w="0" w:type="auto"/>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红线外“五通一平”及红线内场地平整</w:t>
            </w:r>
          </w:p>
        </w:tc>
        <w:tc>
          <w:tcPr>
            <w:tcW w:w="0" w:type="auto"/>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113.8</w:t>
            </w:r>
          </w:p>
        </w:tc>
        <w:tc>
          <w:tcPr>
            <w:tcW w:w="1301" w:type="dxa"/>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188</w:t>
            </w:r>
          </w:p>
        </w:tc>
        <w:tc>
          <w:tcPr>
            <w:tcW w:w="794" w:type="dxa"/>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21394</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sz w:val="28"/>
          <w:szCs w:val="28"/>
        </w:rPr>
      </w:pPr>
      <w:r>
        <w:rPr>
          <w:rFonts w:hint="eastAsia" w:ascii="仿宋" w:hAnsi="仿宋" w:eastAsia="仿宋"/>
          <w:b/>
          <w:sz w:val="28"/>
          <w:szCs w:val="28"/>
        </w:rPr>
        <w:t>十一、估价人员：</w:t>
      </w:r>
      <w:r>
        <w:rPr>
          <w:rFonts w:hint="eastAsia" w:ascii="仿宋" w:hAnsi="仿宋" w:eastAsia="仿宋"/>
          <w:sz w:val="28"/>
          <w:szCs w:val="28"/>
          <w:lang w:eastAsia="zh-CN"/>
        </w:rPr>
        <w:t>汤磊</w:t>
      </w:r>
      <w:r>
        <w:rPr>
          <w:rFonts w:hint="eastAsia" w:ascii="仿宋" w:hAnsi="仿宋" w:eastAsia="仿宋"/>
          <w:sz w:val="28"/>
          <w:szCs w:val="28"/>
        </w:rPr>
        <w:t xml:space="preserve">    张方明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b/>
          <w:sz w:val="28"/>
          <w:szCs w:val="28"/>
          <w:lang w:eastAsia="zh-CN"/>
        </w:rPr>
      </w:pPr>
      <w:r>
        <w:rPr>
          <w:rFonts w:hint="eastAsia" w:ascii="仿宋" w:hAnsi="仿宋" w:eastAsia="仿宋"/>
          <w:b/>
          <w:bCs/>
          <w:sz w:val="28"/>
          <w:szCs w:val="28"/>
        </w:rPr>
        <w:t>十二：实地查看日期</w:t>
      </w:r>
      <w:r>
        <w:rPr>
          <w:rFonts w:hint="eastAsia" w:ascii="仿宋" w:hAnsi="仿宋" w:eastAsia="仿宋"/>
          <w:sz w:val="28"/>
          <w:szCs w:val="28"/>
        </w:rPr>
        <w:t>：</w:t>
      </w: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lang w:eastAsia="zh-CN"/>
        </w:rPr>
        <w:t>年</w:t>
      </w:r>
      <w:r>
        <w:rPr>
          <w:rFonts w:hint="eastAsia" w:ascii="仿宋" w:hAnsi="仿宋" w:eastAsia="仿宋"/>
          <w:sz w:val="28"/>
          <w:szCs w:val="28"/>
          <w:lang w:val="en-US" w:eastAsia="zh-CN"/>
        </w:rPr>
        <w:t>03</w:t>
      </w:r>
      <w:r>
        <w:rPr>
          <w:rFonts w:hint="eastAsia" w:ascii="仿宋" w:hAnsi="仿宋" w:eastAsia="仿宋"/>
          <w:sz w:val="28"/>
          <w:szCs w:val="28"/>
          <w:lang w:eastAsia="zh-CN"/>
        </w:rPr>
        <w:t>月</w:t>
      </w:r>
      <w:r>
        <w:rPr>
          <w:rFonts w:hint="eastAsia" w:ascii="仿宋" w:hAnsi="仿宋" w:eastAsia="仿宋"/>
          <w:sz w:val="28"/>
          <w:szCs w:val="28"/>
          <w:lang w:val="en-US" w:eastAsia="zh-CN"/>
        </w:rPr>
        <w:t>23</w:t>
      </w:r>
      <w:r>
        <w:rPr>
          <w:rFonts w:hint="eastAsia" w:ascii="仿宋" w:hAnsi="仿宋" w:eastAsia="仿宋"/>
          <w:sz w:val="28"/>
          <w:szCs w:val="28"/>
          <w:lang w:eastAsia="zh-CN"/>
        </w:rPr>
        <w:t>日</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textAlignment w:val="auto"/>
        <w:rPr>
          <w:rFonts w:hint="eastAsia" w:ascii="仿宋" w:hAnsi="仿宋" w:eastAsia="仿宋"/>
          <w:sz w:val="28"/>
          <w:szCs w:val="28"/>
          <w:lang w:eastAsia="zh-CN"/>
        </w:rPr>
      </w:pPr>
      <w:r>
        <w:rPr>
          <w:rFonts w:hint="eastAsia" w:ascii="仿宋" w:hAnsi="仿宋" w:eastAsia="仿宋"/>
          <w:b/>
          <w:sz w:val="28"/>
          <w:szCs w:val="28"/>
        </w:rPr>
        <w:t>估价作业日期：</w:t>
      </w: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lang w:eastAsia="zh-CN"/>
        </w:rPr>
        <w:t>年</w:t>
      </w:r>
      <w:r>
        <w:rPr>
          <w:rFonts w:hint="eastAsia" w:ascii="仿宋" w:hAnsi="仿宋" w:eastAsia="仿宋"/>
          <w:sz w:val="28"/>
          <w:szCs w:val="28"/>
          <w:lang w:val="en-US" w:eastAsia="zh-CN"/>
        </w:rPr>
        <w:t>03</w:t>
      </w:r>
      <w:r>
        <w:rPr>
          <w:rFonts w:hint="eastAsia" w:ascii="仿宋" w:hAnsi="仿宋" w:eastAsia="仿宋"/>
          <w:sz w:val="28"/>
          <w:szCs w:val="28"/>
          <w:lang w:eastAsia="zh-CN"/>
        </w:rPr>
        <w:t>月</w:t>
      </w:r>
      <w:r>
        <w:rPr>
          <w:rFonts w:hint="eastAsia" w:ascii="仿宋" w:hAnsi="仿宋" w:eastAsia="仿宋"/>
          <w:sz w:val="28"/>
          <w:szCs w:val="28"/>
          <w:lang w:val="en-US" w:eastAsia="zh-CN"/>
        </w:rPr>
        <w:t>23</w:t>
      </w:r>
      <w:r>
        <w:rPr>
          <w:rFonts w:hint="eastAsia" w:ascii="仿宋" w:hAnsi="仿宋" w:eastAsia="仿宋"/>
          <w:sz w:val="28"/>
          <w:szCs w:val="28"/>
          <w:lang w:eastAsia="zh-CN"/>
        </w:rPr>
        <w:t>日</w:t>
      </w:r>
      <w:r>
        <w:rPr>
          <w:rFonts w:hint="eastAsia" w:ascii="仿宋" w:hAnsi="仿宋" w:eastAsia="仿宋"/>
          <w:sz w:val="28"/>
          <w:szCs w:val="28"/>
        </w:rPr>
        <w:t>至</w:t>
      </w:r>
      <w:r>
        <w:rPr>
          <w:rFonts w:hint="eastAsia" w:ascii="仿宋" w:hAnsi="仿宋" w:eastAsia="仿宋"/>
          <w:sz w:val="28"/>
          <w:szCs w:val="28"/>
          <w:lang w:eastAsia="zh-CN"/>
        </w:rPr>
        <w:t>2021年03月</w:t>
      </w:r>
      <w:r>
        <w:rPr>
          <w:rFonts w:hint="eastAsia" w:ascii="仿宋" w:hAnsi="仿宋" w:eastAsia="仿宋"/>
          <w:sz w:val="28"/>
          <w:szCs w:val="28"/>
          <w:lang w:val="en-US" w:eastAsia="zh-CN"/>
        </w:rPr>
        <w:t>25</w:t>
      </w:r>
      <w:r>
        <w:rPr>
          <w:rFonts w:hint="eastAsia" w:ascii="仿宋" w:hAnsi="仿宋" w:eastAsia="仿宋"/>
          <w:sz w:val="28"/>
          <w:szCs w:val="28"/>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sz w:val="28"/>
          <w:szCs w:val="28"/>
        </w:rPr>
      </w:pPr>
      <w:r>
        <w:rPr>
          <w:rFonts w:hint="eastAsia" w:ascii="仿宋" w:hAnsi="仿宋" w:eastAsia="仿宋"/>
          <w:b/>
          <w:sz w:val="28"/>
          <w:szCs w:val="28"/>
        </w:rPr>
        <w:t>十四、估价报告应用的有效期：</w:t>
      </w:r>
      <w:r>
        <w:rPr>
          <w:rFonts w:hint="eastAsia" w:ascii="仿宋" w:hAnsi="仿宋" w:eastAsia="仿宋"/>
          <w:sz w:val="28"/>
          <w:szCs w:val="28"/>
        </w:rPr>
        <w:br w:type="textWrapping"/>
      </w:r>
      <w:r>
        <w:rPr>
          <w:rFonts w:hint="eastAsia" w:ascii="仿宋" w:hAnsi="仿宋" w:eastAsia="仿宋"/>
          <w:sz w:val="28"/>
          <w:szCs w:val="28"/>
        </w:rPr>
        <w:t xml:space="preserve">   估价报告应用的有效期自</w:t>
      </w:r>
      <w:r>
        <w:rPr>
          <w:rFonts w:hint="eastAsia" w:ascii="仿宋" w:hAnsi="仿宋" w:eastAsia="仿宋"/>
          <w:sz w:val="28"/>
          <w:szCs w:val="28"/>
          <w:lang w:eastAsia="zh-CN"/>
        </w:rPr>
        <w:t>202</w:t>
      </w:r>
      <w:r>
        <w:rPr>
          <w:rFonts w:hint="eastAsia" w:ascii="仿宋" w:hAnsi="仿宋" w:eastAsia="仿宋"/>
          <w:sz w:val="28"/>
          <w:szCs w:val="28"/>
          <w:lang w:val="en-US" w:eastAsia="zh-CN"/>
        </w:rPr>
        <w:t>1</w:t>
      </w:r>
      <w:r>
        <w:rPr>
          <w:rFonts w:hint="eastAsia" w:ascii="仿宋" w:hAnsi="仿宋" w:eastAsia="仿宋"/>
          <w:sz w:val="28"/>
          <w:szCs w:val="28"/>
          <w:lang w:eastAsia="zh-CN"/>
        </w:rPr>
        <w:t>年</w:t>
      </w:r>
      <w:r>
        <w:rPr>
          <w:rFonts w:hint="eastAsia" w:ascii="仿宋" w:hAnsi="仿宋" w:eastAsia="仿宋"/>
          <w:sz w:val="28"/>
          <w:szCs w:val="28"/>
          <w:lang w:val="en-US" w:eastAsia="zh-CN"/>
        </w:rPr>
        <w:t>03</w:t>
      </w:r>
      <w:r>
        <w:rPr>
          <w:rFonts w:hint="eastAsia" w:ascii="仿宋" w:hAnsi="仿宋" w:eastAsia="仿宋"/>
          <w:sz w:val="28"/>
          <w:szCs w:val="28"/>
          <w:lang w:eastAsia="zh-CN"/>
        </w:rPr>
        <w:t>月</w:t>
      </w:r>
      <w:r>
        <w:rPr>
          <w:rFonts w:hint="eastAsia" w:ascii="仿宋" w:hAnsi="仿宋" w:eastAsia="仿宋"/>
          <w:sz w:val="28"/>
          <w:szCs w:val="28"/>
          <w:lang w:val="en-US" w:eastAsia="zh-CN"/>
        </w:rPr>
        <w:t>25</w:t>
      </w:r>
      <w:r>
        <w:rPr>
          <w:rFonts w:hint="eastAsia" w:ascii="仿宋" w:hAnsi="仿宋" w:eastAsia="仿宋"/>
          <w:sz w:val="28"/>
          <w:szCs w:val="28"/>
          <w:lang w:eastAsia="zh-CN"/>
        </w:rPr>
        <w:t>日</w:t>
      </w:r>
      <w:r>
        <w:rPr>
          <w:rFonts w:hint="eastAsia" w:ascii="仿宋" w:hAnsi="仿宋" w:eastAsia="仿宋"/>
          <w:sz w:val="28"/>
          <w:szCs w:val="28"/>
        </w:rPr>
        <w:t>起为半年。</w:t>
      </w:r>
    </w:p>
    <w:p>
      <w:pPr>
        <w:keepNext w:val="0"/>
        <w:keepLines w:val="0"/>
        <w:pageBreakBefore w:val="0"/>
        <w:widowControl w:val="0"/>
        <w:kinsoku/>
        <w:wordWrap/>
        <w:overflowPunct/>
        <w:topLinePunct w:val="0"/>
        <w:autoSpaceDE/>
        <w:autoSpaceDN/>
        <w:bidi w:val="0"/>
        <w:adjustRightInd/>
        <w:snapToGrid/>
        <w:spacing w:line="520" w:lineRule="exact"/>
        <w:ind w:firstLine="4060" w:firstLineChars="1450"/>
        <w:textAlignment w:val="auto"/>
        <w:rPr>
          <w:rFonts w:hint="eastAsia" w:ascii="仿宋" w:hAnsi="仿宋" w:eastAsia="仿宋"/>
          <w:sz w:val="28"/>
          <w:szCs w:val="28"/>
        </w:rPr>
      </w:pPr>
      <w:r>
        <w:rPr>
          <w:rFonts w:hint="eastAsia" w:ascii="仿宋" w:hAnsi="仿宋" w:eastAsia="仿宋"/>
          <w:sz w:val="28"/>
          <w:szCs w:val="28"/>
        </w:rPr>
        <w:t>湖北点石房地产评估咨询有限公司</w:t>
      </w:r>
    </w:p>
    <w:p>
      <w:pPr>
        <w:keepNext w:val="0"/>
        <w:keepLines w:val="0"/>
        <w:pageBreakBefore w:val="0"/>
        <w:widowControl w:val="0"/>
        <w:kinsoku/>
        <w:wordWrap/>
        <w:overflowPunct/>
        <w:topLinePunct w:val="0"/>
        <w:autoSpaceDE/>
        <w:autoSpaceDN/>
        <w:bidi w:val="0"/>
        <w:adjustRightInd/>
        <w:snapToGrid/>
        <w:spacing w:line="520" w:lineRule="exact"/>
        <w:ind w:right="580" w:firstLine="560" w:firstLineChars="200"/>
        <w:textAlignment w:val="auto"/>
        <w:rPr>
          <w:rFonts w:hint="eastAsia" w:ascii="仿宋" w:hAnsi="仿宋" w:eastAsia="仿宋"/>
          <w:sz w:val="28"/>
          <w:szCs w:val="28"/>
        </w:rPr>
      </w:pPr>
      <w:r>
        <w:rPr>
          <w:rFonts w:hint="eastAsia" w:ascii="仿宋" w:hAnsi="仿宋" w:eastAsia="仿宋"/>
          <w:sz w:val="28"/>
          <w:szCs w:val="28"/>
        </w:rPr>
        <w:t xml:space="preserve">                                法人代表：张方明</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textAlignment w:val="auto"/>
        <w:rPr>
          <w:rFonts w:hint="eastAsia"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z w:val="28"/>
          <w:szCs w:val="28"/>
          <w:lang w:eastAsia="zh-CN"/>
        </w:rPr>
        <w:t>2021年03月</w:t>
      </w:r>
      <w:r>
        <w:rPr>
          <w:rFonts w:hint="eastAsia" w:ascii="仿宋" w:hAnsi="仿宋" w:eastAsia="仿宋"/>
          <w:sz w:val="28"/>
          <w:szCs w:val="28"/>
          <w:lang w:val="en-US" w:eastAsia="zh-CN"/>
        </w:rPr>
        <w:t>25</w:t>
      </w:r>
      <w:r>
        <w:rPr>
          <w:rFonts w:hint="eastAsia" w:ascii="仿宋" w:hAnsi="仿宋" w:eastAsia="仿宋"/>
          <w:sz w:val="28"/>
          <w:szCs w:val="28"/>
          <w:lang w:eastAsia="zh-CN"/>
        </w:rPr>
        <w:t>日</w:t>
      </w: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p>
    <w:p>
      <w:pPr>
        <w:spacing w:line="560" w:lineRule="exact"/>
        <w:ind w:left="560"/>
        <w:jc w:val="center"/>
        <w:rPr>
          <w:rFonts w:hint="eastAsia" w:ascii="仿宋" w:hAnsi="仿宋" w:eastAsia="仿宋"/>
          <w:b/>
          <w:sz w:val="36"/>
          <w:szCs w:val="36"/>
        </w:rPr>
      </w:pPr>
      <w:r>
        <w:rPr>
          <w:rFonts w:hint="eastAsia" w:ascii="仿宋" w:hAnsi="仿宋" w:eastAsia="仿宋"/>
          <w:b/>
          <w:sz w:val="36"/>
          <w:szCs w:val="36"/>
        </w:rPr>
        <w:t>房地产估价技术报告</w:t>
      </w:r>
    </w:p>
    <w:p>
      <w:pPr>
        <w:numPr>
          <w:ilvl w:val="0"/>
          <w:numId w:val="7"/>
        </w:numPr>
        <w:spacing w:line="560" w:lineRule="exact"/>
        <w:rPr>
          <w:rFonts w:hint="eastAsia" w:ascii="仿宋" w:hAnsi="仿宋" w:eastAsia="仿宋"/>
          <w:b/>
          <w:sz w:val="28"/>
          <w:szCs w:val="28"/>
        </w:rPr>
      </w:pPr>
      <w:r>
        <w:rPr>
          <w:rFonts w:hint="eastAsia" w:ascii="仿宋" w:hAnsi="仿宋" w:eastAsia="仿宋"/>
          <w:b/>
          <w:sz w:val="28"/>
          <w:szCs w:val="28"/>
        </w:rPr>
        <w:t>估价对象描述与分析</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1、估价对象区位状况</w:t>
      </w:r>
      <w:r>
        <w:rPr>
          <w:rFonts w:hint="eastAsia" w:ascii="仿宋" w:hAnsi="仿宋" w:eastAsia="仿宋"/>
          <w:b/>
          <w:sz w:val="28"/>
          <w:szCs w:val="28"/>
        </w:rPr>
        <w:t>(见估价结果报告)</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2、估价对象实体状况</w:t>
      </w:r>
      <w:r>
        <w:rPr>
          <w:rFonts w:hint="eastAsia" w:ascii="仿宋" w:hAnsi="仿宋" w:eastAsia="仿宋"/>
          <w:b/>
          <w:sz w:val="28"/>
          <w:szCs w:val="28"/>
        </w:rPr>
        <w:t>(见估价结果报告)</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3、估价对象权益状况</w:t>
      </w:r>
      <w:r>
        <w:rPr>
          <w:rFonts w:hint="eastAsia" w:ascii="仿宋" w:hAnsi="仿宋" w:eastAsia="仿宋"/>
          <w:b/>
          <w:sz w:val="28"/>
          <w:szCs w:val="28"/>
        </w:rPr>
        <w:t>(见估价结果报告)</w:t>
      </w:r>
    </w:p>
    <w:p>
      <w:pPr>
        <w:spacing w:line="560" w:lineRule="exact"/>
        <w:ind w:firstLine="562" w:firstLineChars="200"/>
        <w:rPr>
          <w:rFonts w:hint="eastAsia" w:ascii="仿宋" w:hAnsi="仿宋" w:eastAsia="仿宋"/>
          <w:b/>
          <w:sz w:val="28"/>
          <w:szCs w:val="28"/>
        </w:rPr>
      </w:pPr>
      <w:r>
        <w:rPr>
          <w:rFonts w:hint="eastAsia" w:ascii="仿宋" w:hAnsi="仿宋" w:eastAsia="仿宋"/>
          <w:b/>
          <w:sz w:val="28"/>
          <w:szCs w:val="28"/>
        </w:rPr>
        <w:t>二、市场背景描述与分析</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房地产开发投资逐步回升。2020年襄阳市房地产开发投资随着改善型住房购房需求的增长和调控政策的出台，呈逐步回升态势，全年增长7.7%，增幅比一季度、上半年和三季度分别回升了83.5、41.2和15.1个百分点。其中，住宅投资增长7.8%，办公楼投资下降10.2%，商业营业用房投资下降42.%，其他房屋投资增长32.6%。</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、房屋施工销售不断向好。2020年全市房屋施工面积2570.7万平方米， 增长3.9%，本年新开工面积567.1万平方米，增长15.7%，房屋竣工面积312.9万平方米，增长21.9%，商品房销售面积498.6万平方米，下降25%，商品房待售面积43.7万平方米，下降61.2%。</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、资金到位情况不断改善。2020年全市房地产开发企业本年实际到位资金383亿元，增长5.3%，其中，国内贷款增长31.9%，自筹资金下降31.9%，其他到位资金增长46.7%。</w:t>
      </w:r>
    </w:p>
    <w:p>
      <w:pPr>
        <w:spacing w:line="540" w:lineRule="exact"/>
        <w:ind w:firstLine="562" w:firstLineChars="200"/>
        <w:rPr>
          <w:rFonts w:hint="eastAsia" w:ascii="仿宋" w:hAnsi="仿宋" w:eastAsia="仿宋"/>
          <w:b/>
          <w:sz w:val="28"/>
          <w:szCs w:val="28"/>
        </w:rPr>
      </w:pPr>
      <w:r>
        <w:rPr>
          <w:rFonts w:hint="eastAsia" w:ascii="仿宋" w:hAnsi="仿宋" w:eastAsia="仿宋"/>
          <w:b/>
          <w:sz w:val="28"/>
          <w:szCs w:val="28"/>
        </w:rPr>
        <w:t>三、最高最佳使用分析</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最高最佳利用是在合法的前提下，技术上可能、经济上可行，经过充分合理论证，能使估价对象的价值达到最大的一种最可能的使用。由于房地产具有用途的多样性，不同的利用方式能为权利人带来不同的收益量，且权利人都期望从所占有的房地产获得更多的收益，并能满足这一目的为确定其利用方式的依据。房屋设计用途为</w:t>
      </w:r>
      <w:r>
        <w:rPr>
          <w:rFonts w:hint="eastAsia" w:ascii="仿宋" w:hAnsi="仿宋" w:eastAsia="仿宋"/>
          <w:sz w:val="28"/>
          <w:szCs w:val="28"/>
          <w:lang w:eastAsia="zh-CN"/>
        </w:rPr>
        <w:t>非</w:t>
      </w:r>
      <w:r>
        <w:rPr>
          <w:rFonts w:hint="eastAsia" w:ascii="仿宋" w:hAnsi="仿宋" w:eastAsia="仿宋"/>
          <w:sz w:val="28"/>
          <w:szCs w:val="28"/>
        </w:rPr>
        <w:t>住宅，根据估价对象所处区位及区域上土地利用方向分析,若更新改造、改变用途或扩大规模重新开发再利用等情况均不能满足最为合理利用条件，所以估价对象按照维持现状用途利用符合最高最佳使用原则。</w:t>
      </w:r>
    </w:p>
    <w:p>
      <w:pPr>
        <w:spacing w:line="540" w:lineRule="exact"/>
        <w:ind w:firstLine="562" w:firstLineChars="200"/>
        <w:rPr>
          <w:rFonts w:hint="eastAsia" w:ascii="仿宋" w:hAnsi="仿宋" w:eastAsia="仿宋"/>
          <w:b/>
          <w:sz w:val="28"/>
          <w:szCs w:val="28"/>
        </w:rPr>
      </w:pPr>
      <w:r>
        <w:rPr>
          <w:rFonts w:hint="eastAsia" w:ascii="仿宋" w:hAnsi="仿宋" w:eastAsia="仿宋"/>
          <w:b/>
          <w:sz w:val="28"/>
          <w:szCs w:val="28"/>
        </w:rPr>
        <w:t>四、估价方法适用性分析</w:t>
      </w:r>
    </w:p>
    <w:p>
      <w:pPr>
        <w:spacing w:line="54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（一）房屋价值评估</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1、估价技术路线:</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估价人员在认真分析所掌握的资料并对该项目及邻近类似房地产进行实地查勘、调查，结合估价对象的特点，遵照国家有关法律、法规、估价技术标准等进行认真分析后决定采用成本法作为本次的评估方法，采用此种评估方法原因如下：</w:t>
      </w:r>
    </w:p>
    <w:p>
      <w:pPr>
        <w:numPr>
          <w:ilvl w:val="0"/>
          <w:numId w:val="0"/>
        </w:numPr>
        <w:spacing w:line="500" w:lineRule="exact"/>
        <w:ind w:firstLine="280" w:firstLineChars="1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成本法适用于新近开发建设、可以重新假设开发或计划开发建设的不动产，其特别适宜于那些既无收益又很少发生交易的不动产，如学校、图书馆、工业房产、部队营房等，估价对象为已建成的</w:t>
      </w:r>
      <w:r>
        <w:rPr>
          <w:rFonts w:hint="eastAsia" w:ascii="仿宋" w:hAnsi="仿宋" w:eastAsia="仿宋"/>
          <w:sz w:val="28"/>
          <w:szCs w:val="28"/>
          <w:lang w:eastAsia="zh-CN"/>
        </w:rPr>
        <w:t>宅基地上居住房屋</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rPr>
        <w:t>故采用成本法进行。</w:t>
      </w:r>
    </w:p>
    <w:p>
      <w:pPr>
        <w:numPr>
          <w:ilvl w:val="0"/>
          <w:numId w:val="0"/>
        </w:numPr>
        <w:spacing w:line="500" w:lineRule="exact"/>
        <w:ind w:leftChars="0" w:firstLine="280" w:firstLineChars="1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）该房屋为宅基地居住房屋</w:t>
      </w:r>
      <w:r>
        <w:rPr>
          <w:rFonts w:hint="eastAsia" w:ascii="仿宋" w:hAnsi="仿宋" w:eastAsia="仿宋"/>
          <w:sz w:val="28"/>
          <w:szCs w:val="28"/>
        </w:rPr>
        <w:t>，</w:t>
      </w:r>
      <w:r>
        <w:rPr>
          <w:rFonts w:hint="eastAsia" w:ascii="仿宋" w:hAnsi="仿宋" w:eastAsia="仿宋"/>
          <w:sz w:val="28"/>
          <w:szCs w:val="28"/>
          <w:lang w:eastAsia="zh-CN"/>
        </w:rPr>
        <w:t>房屋长期空置，且宅基地上</w:t>
      </w:r>
      <w:r>
        <w:rPr>
          <w:rFonts w:hint="eastAsia" w:ascii="仿宋" w:hAnsi="仿宋" w:eastAsia="仿宋"/>
          <w:sz w:val="28"/>
          <w:szCs w:val="28"/>
        </w:rPr>
        <w:t>租赁行为类似房产的租赁交易比较少，客观租金不易取得，故不适宜采用收益法。</w:t>
      </w:r>
    </w:p>
    <w:p>
      <w:pPr>
        <w:numPr>
          <w:ilvl w:val="0"/>
          <w:numId w:val="0"/>
        </w:numPr>
        <w:spacing w:line="500" w:lineRule="exact"/>
        <w:ind w:leftChars="0" w:firstLine="280" w:firstLineChars="1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估价对象</w:t>
      </w:r>
      <w:r>
        <w:rPr>
          <w:rFonts w:hint="eastAsia" w:ascii="仿宋" w:hAnsi="仿宋" w:eastAsia="仿宋"/>
          <w:sz w:val="28"/>
          <w:szCs w:val="28"/>
          <w:lang w:eastAsia="zh-CN"/>
        </w:rPr>
        <w:t>为宅基地上居住用房</w:t>
      </w:r>
      <w:r>
        <w:rPr>
          <w:rFonts w:hint="eastAsia" w:ascii="仿宋" w:hAnsi="仿宋" w:eastAsia="仿宋"/>
          <w:sz w:val="28"/>
          <w:szCs w:val="28"/>
        </w:rPr>
        <w:t>，类似房产交易案例较少，不宜估采用比较法进行估价。</w:t>
      </w:r>
    </w:p>
    <w:p>
      <w:pPr>
        <w:numPr>
          <w:ilvl w:val="0"/>
          <w:numId w:val="0"/>
        </w:numPr>
        <w:spacing w:line="540" w:lineRule="exact"/>
        <w:ind w:leftChars="0" w:firstLine="280" w:firstLineChars="1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假设开发法过用于对具有投资开发或不规则开发潜力的房地产的估价，特别是对在建工程和房地产开发项目评估，由于估价对象为已建成的用房，因此不适用假设开发法进行估价。</w:t>
      </w:r>
    </w:p>
    <w:p>
      <w:pPr>
        <w:numPr>
          <w:ilvl w:val="0"/>
          <w:numId w:val="0"/>
        </w:numPr>
        <w:spacing w:line="540" w:lineRule="exact"/>
        <w:rPr>
          <w:rFonts w:hint="eastAsia" w:ascii="仿宋" w:hAnsi="仿宋" w:eastAsia="仿宋"/>
          <w:sz w:val="28"/>
          <w:szCs w:val="28"/>
          <w:lang w:eastAsia="zh-CN"/>
        </w:rPr>
      </w:pPr>
      <w:r>
        <w:rPr>
          <w:rFonts w:hint="eastAsia" w:ascii="仿宋" w:hAnsi="仿宋" w:eastAsia="仿宋"/>
          <w:sz w:val="28"/>
          <w:szCs w:val="28"/>
          <w:lang w:eastAsia="zh-CN"/>
        </w:rPr>
        <w:t>（二）土地价值评估</w:t>
      </w:r>
    </w:p>
    <w:p>
      <w:pPr>
        <w:numPr>
          <w:ilvl w:val="0"/>
          <w:numId w:val="0"/>
        </w:numPr>
        <w:spacing w:line="540" w:lineRule="exact"/>
        <w:ind w:firstLine="280" w:firstLineChars="100"/>
        <w:rPr>
          <w:rFonts w:hint="eastAsia" w:ascii="仿宋" w:hAnsi="仿宋" w:eastAsia="仿宋"/>
          <w:sz w:val="28"/>
          <w:lang w:eastAsia="zh-CN"/>
        </w:rPr>
      </w:pPr>
      <w:r>
        <w:rPr>
          <w:rFonts w:hint="eastAsia" w:ascii="仿宋" w:hAnsi="仿宋" w:eastAsia="仿宋"/>
          <w:sz w:val="28"/>
          <w:lang w:eastAsia="zh-CN"/>
        </w:rPr>
        <w:t>（</w:t>
      </w:r>
      <w:r>
        <w:rPr>
          <w:rFonts w:hint="eastAsia" w:ascii="仿宋" w:hAnsi="仿宋" w:eastAsia="仿宋"/>
          <w:sz w:val="28"/>
          <w:lang w:val="en-US" w:eastAsia="zh-CN"/>
        </w:rPr>
        <w:t>1</w:t>
      </w:r>
      <w:r>
        <w:rPr>
          <w:rFonts w:hint="eastAsia" w:ascii="仿宋" w:hAnsi="仿宋" w:eastAsia="仿宋"/>
          <w:sz w:val="28"/>
          <w:lang w:eastAsia="zh-CN"/>
        </w:rPr>
        <w:t>）</w:t>
      </w:r>
      <w:r>
        <w:rPr>
          <w:rFonts w:hint="eastAsia" w:ascii="仿宋" w:hAnsi="仿宋" w:eastAsia="仿宋"/>
          <w:sz w:val="28"/>
        </w:rPr>
        <w:t>是</w:t>
      </w:r>
      <w:r>
        <w:rPr>
          <w:rFonts w:hint="eastAsia" w:ascii="仿宋" w:hAnsi="仿宋" w:eastAsia="仿宋"/>
          <w:sz w:val="28"/>
          <w:lang w:eastAsia="zh-CN"/>
        </w:rPr>
        <w:t>谷城县</w:t>
      </w:r>
      <w:r>
        <w:rPr>
          <w:rFonts w:ascii="仿宋" w:hAnsi="仿宋" w:eastAsia="仿宋"/>
          <w:sz w:val="28"/>
        </w:rPr>
        <w:t xml:space="preserve">政府已颁布 </w:t>
      </w:r>
      <w:r>
        <w:rPr>
          <w:rFonts w:hint="eastAsia" w:ascii="仿宋" w:hAnsi="仿宋" w:eastAsia="仿宋"/>
          <w:sz w:val="28"/>
          <w:lang w:val="en-US" w:eastAsia="zh-CN"/>
        </w:rPr>
        <w:t>2018</w:t>
      </w:r>
      <w:r>
        <w:rPr>
          <w:rFonts w:ascii="仿宋" w:hAnsi="仿宋" w:eastAsia="仿宋"/>
          <w:sz w:val="28"/>
        </w:rPr>
        <w:t xml:space="preserve"> 年</w:t>
      </w:r>
      <w:r>
        <w:rPr>
          <w:rFonts w:hint="eastAsia" w:ascii="仿宋" w:hAnsi="仿宋" w:eastAsia="仿宋"/>
          <w:sz w:val="28"/>
          <w:lang w:eastAsia="zh-CN"/>
        </w:rPr>
        <w:t>谷城县</w:t>
      </w:r>
      <w:r>
        <w:rPr>
          <w:rFonts w:ascii="仿宋" w:hAnsi="仿宋" w:eastAsia="仿宋"/>
          <w:sz w:val="28"/>
        </w:rPr>
        <w:t>城区基准地价标准其对应的估价基准日为 201</w:t>
      </w:r>
      <w:r>
        <w:rPr>
          <w:rFonts w:hint="eastAsia" w:ascii="仿宋" w:hAnsi="仿宋" w:eastAsia="仿宋"/>
          <w:sz w:val="28"/>
          <w:lang w:val="en-US" w:eastAsia="zh-CN"/>
        </w:rPr>
        <w:t>8</w:t>
      </w:r>
      <w:r>
        <w:rPr>
          <w:rFonts w:ascii="仿宋" w:hAnsi="仿宋" w:eastAsia="仿宋"/>
          <w:sz w:val="28"/>
        </w:rPr>
        <w:t xml:space="preserve">年 6 月 30 日，本次估价期日为 </w:t>
      </w:r>
      <w:r>
        <w:rPr>
          <w:rFonts w:hint="eastAsia" w:ascii="仿宋" w:hAnsi="仿宋" w:eastAsia="仿宋"/>
          <w:sz w:val="28"/>
          <w:lang w:val="en-US" w:eastAsia="zh-CN"/>
        </w:rPr>
        <w:t>2021</w:t>
      </w:r>
      <w:r>
        <w:rPr>
          <w:rFonts w:ascii="仿宋" w:hAnsi="仿宋" w:eastAsia="仿宋"/>
          <w:sz w:val="28"/>
        </w:rPr>
        <w:t>年</w:t>
      </w:r>
      <w:r>
        <w:rPr>
          <w:rFonts w:hint="eastAsia" w:ascii="仿宋" w:hAnsi="仿宋" w:eastAsia="仿宋"/>
          <w:sz w:val="28"/>
          <w:lang w:val="en-US" w:eastAsia="zh-CN"/>
        </w:rPr>
        <w:t>03</w:t>
      </w:r>
      <w:r>
        <w:rPr>
          <w:rFonts w:ascii="仿宋" w:hAnsi="仿宋" w:eastAsia="仿宋"/>
          <w:sz w:val="28"/>
        </w:rPr>
        <w:t xml:space="preserve">月 </w:t>
      </w:r>
      <w:r>
        <w:rPr>
          <w:rFonts w:hint="eastAsia" w:ascii="仿宋" w:hAnsi="仿宋" w:eastAsia="仿宋"/>
          <w:sz w:val="28"/>
          <w:lang w:val="en-US" w:eastAsia="zh-CN"/>
        </w:rPr>
        <w:t>23</w:t>
      </w:r>
      <w:r>
        <w:rPr>
          <w:rFonts w:ascii="仿宋" w:hAnsi="仿宋" w:eastAsia="仿宋"/>
          <w:sz w:val="28"/>
        </w:rPr>
        <w:t>日，</w:t>
      </w:r>
      <w:r>
        <w:rPr>
          <w:rFonts w:hint="eastAsia" w:ascii="仿宋" w:hAnsi="仿宋" w:eastAsia="仿宋"/>
          <w:sz w:val="28"/>
          <w:lang w:eastAsia="zh-CN"/>
        </w:rPr>
        <w:t>估价对象在基准地价以外，估价对象属于宅基地，不适用于基准地价评估。</w:t>
      </w:r>
    </w:p>
    <w:p>
      <w:pPr>
        <w:spacing w:line="520" w:lineRule="exact"/>
        <w:ind w:firstLine="280" w:firstLineChars="100"/>
        <w:rPr>
          <w:rFonts w:hint="eastAsia" w:ascii="仿宋" w:hAnsi="仿宋" w:eastAsia="仿宋"/>
          <w:sz w:val="28"/>
        </w:rPr>
      </w:pPr>
      <w:r>
        <w:rPr>
          <w:rFonts w:hint="eastAsia" w:ascii="仿宋" w:hAnsi="仿宋" w:eastAsia="仿宋"/>
          <w:sz w:val="28"/>
          <w:lang w:eastAsia="zh-CN"/>
        </w:rPr>
        <w:t>（</w:t>
      </w:r>
      <w:r>
        <w:rPr>
          <w:rFonts w:hint="eastAsia" w:ascii="仿宋" w:hAnsi="仿宋" w:eastAsia="仿宋"/>
          <w:sz w:val="28"/>
          <w:lang w:val="en-US" w:eastAsia="zh-CN"/>
        </w:rPr>
        <w:t>2</w:t>
      </w:r>
      <w:r>
        <w:rPr>
          <w:rFonts w:hint="eastAsia" w:ascii="仿宋" w:hAnsi="仿宋" w:eastAsia="仿宋"/>
          <w:sz w:val="28"/>
          <w:lang w:eastAsia="zh-CN"/>
        </w:rPr>
        <w:t>）估价对象属于宅基地，周边宅基地村内交易少</w:t>
      </w:r>
      <w:r>
        <w:rPr>
          <w:rFonts w:hint="eastAsia" w:ascii="仿宋" w:hAnsi="仿宋" w:eastAsia="仿宋"/>
          <w:sz w:val="28"/>
        </w:rPr>
        <w:t>，故</w:t>
      </w:r>
      <w:r>
        <w:rPr>
          <w:rFonts w:hint="eastAsia" w:ascii="仿宋" w:hAnsi="仿宋" w:eastAsia="仿宋"/>
          <w:sz w:val="28"/>
          <w:lang w:eastAsia="zh-CN"/>
        </w:rPr>
        <w:t>不</w:t>
      </w:r>
      <w:r>
        <w:rPr>
          <w:rFonts w:hint="eastAsia" w:ascii="仿宋" w:hAnsi="仿宋" w:eastAsia="仿宋"/>
          <w:sz w:val="28"/>
        </w:rPr>
        <w:t>采用市场比较法；</w:t>
      </w:r>
    </w:p>
    <w:p>
      <w:pPr>
        <w:spacing w:line="520" w:lineRule="exact"/>
        <w:ind w:firstLine="280" w:firstLineChars="100"/>
        <w:rPr>
          <w:rFonts w:hint="eastAsia" w:ascii="仿宋" w:hAnsi="仿宋" w:eastAsia="仿宋"/>
          <w:sz w:val="28"/>
        </w:rPr>
      </w:pPr>
      <w:r>
        <w:rPr>
          <w:rFonts w:hint="eastAsia" w:ascii="仿宋" w:hAnsi="仿宋" w:eastAsia="仿宋"/>
          <w:sz w:val="28"/>
          <w:lang w:eastAsia="zh-CN"/>
        </w:rPr>
        <w:t>（</w:t>
      </w:r>
      <w:r>
        <w:rPr>
          <w:rFonts w:hint="eastAsia" w:ascii="仿宋" w:hAnsi="仿宋" w:eastAsia="仿宋"/>
          <w:sz w:val="28"/>
          <w:lang w:val="en-US" w:eastAsia="zh-CN"/>
        </w:rPr>
        <w:t>3</w:t>
      </w:r>
      <w:r>
        <w:rPr>
          <w:rFonts w:hint="eastAsia" w:ascii="仿宋" w:hAnsi="仿宋" w:eastAsia="仿宋"/>
          <w:sz w:val="28"/>
          <w:lang w:eastAsia="zh-CN"/>
        </w:rPr>
        <w:t>）</w:t>
      </w:r>
      <w:r>
        <w:rPr>
          <w:rFonts w:hint="eastAsia" w:ascii="仿宋" w:hAnsi="仿宋" w:eastAsia="仿宋"/>
          <w:sz w:val="28"/>
        </w:rPr>
        <w:t>是收益还原法适用于有收益或潜在收益的土地，建筑物或房地产的估价。至估价基准日，估价对象目前为</w:t>
      </w:r>
      <w:r>
        <w:rPr>
          <w:rFonts w:hint="eastAsia" w:ascii="仿宋" w:hAnsi="仿宋" w:eastAsia="仿宋"/>
          <w:sz w:val="28"/>
          <w:lang w:eastAsia="zh-CN"/>
        </w:rPr>
        <w:t>空且周边类似出租案例少</w:t>
      </w:r>
      <w:r>
        <w:rPr>
          <w:rFonts w:hint="eastAsia" w:ascii="仿宋" w:hAnsi="仿宋" w:eastAsia="仿宋"/>
          <w:sz w:val="28"/>
        </w:rPr>
        <w:t>，故本次评估不宜采用收益还原法；</w:t>
      </w:r>
    </w:p>
    <w:p>
      <w:pPr>
        <w:spacing w:line="520" w:lineRule="exact"/>
        <w:ind w:firstLine="280" w:firstLineChars="100"/>
        <w:rPr>
          <w:rFonts w:hint="eastAsia" w:ascii="仿宋" w:hAnsi="仿宋" w:eastAsia="仿宋"/>
          <w:sz w:val="28"/>
        </w:rPr>
      </w:pPr>
      <w:r>
        <w:rPr>
          <w:rFonts w:hint="eastAsia" w:ascii="仿宋" w:hAnsi="仿宋" w:eastAsia="仿宋"/>
          <w:sz w:val="28"/>
          <w:lang w:eastAsia="zh-CN"/>
        </w:rPr>
        <w:t>（</w:t>
      </w:r>
      <w:r>
        <w:rPr>
          <w:rFonts w:hint="eastAsia" w:ascii="仿宋" w:hAnsi="仿宋" w:eastAsia="仿宋"/>
          <w:sz w:val="28"/>
          <w:lang w:val="en-US" w:eastAsia="zh-CN"/>
        </w:rPr>
        <w:t>4</w:t>
      </w:r>
      <w:r>
        <w:rPr>
          <w:rFonts w:hint="eastAsia" w:ascii="仿宋" w:hAnsi="仿宋" w:eastAsia="仿宋"/>
          <w:sz w:val="28"/>
          <w:lang w:eastAsia="zh-CN"/>
        </w:rPr>
        <w:t>）</w:t>
      </w:r>
      <w:r>
        <w:rPr>
          <w:rFonts w:hint="eastAsia" w:ascii="仿宋" w:hAnsi="仿宋" w:eastAsia="仿宋"/>
          <w:sz w:val="28"/>
        </w:rPr>
        <w:t>是估价对象宗地开发项目收益不容易取得，故不宜采用假设开发法；</w:t>
      </w:r>
    </w:p>
    <w:p>
      <w:pPr>
        <w:spacing w:line="520" w:lineRule="exact"/>
        <w:ind w:firstLine="280" w:firstLineChars="100"/>
        <w:rPr>
          <w:rFonts w:hint="eastAsia" w:ascii="仿宋" w:hAnsi="仿宋" w:eastAsia="仿宋"/>
          <w:sz w:val="28"/>
        </w:rPr>
      </w:pPr>
      <w:r>
        <w:rPr>
          <w:rFonts w:hint="eastAsia" w:ascii="仿宋" w:hAnsi="仿宋" w:eastAsia="仿宋"/>
          <w:sz w:val="28"/>
          <w:lang w:eastAsia="zh-CN"/>
        </w:rPr>
        <w:t>（</w:t>
      </w:r>
      <w:r>
        <w:rPr>
          <w:rFonts w:hint="eastAsia" w:ascii="仿宋" w:hAnsi="仿宋" w:eastAsia="仿宋"/>
          <w:sz w:val="28"/>
          <w:lang w:val="en-US" w:eastAsia="zh-CN"/>
        </w:rPr>
        <w:t>5</w:t>
      </w:r>
      <w:r>
        <w:rPr>
          <w:rFonts w:hint="eastAsia" w:ascii="仿宋" w:hAnsi="仿宋" w:eastAsia="仿宋"/>
          <w:sz w:val="28"/>
          <w:lang w:eastAsia="zh-CN"/>
        </w:rPr>
        <w:t>）</w:t>
      </w:r>
      <w:r>
        <w:rPr>
          <w:rFonts w:hint="eastAsia" w:ascii="仿宋" w:hAnsi="仿宋" w:eastAsia="仿宋"/>
          <w:sz w:val="28"/>
        </w:rPr>
        <w:t>是</w:t>
      </w:r>
      <w:r>
        <w:rPr>
          <w:rFonts w:ascii="仿宋" w:hAnsi="仿宋" w:eastAsia="仿宋"/>
          <w:sz w:val="28"/>
        </w:rPr>
        <w:t>估价对象周边征地案例较多，估价人员可以获取宗地区域周边土地各项征地及补偿开发费用，因此宜采用成本逼近法进行估价</w:t>
      </w:r>
      <w:r>
        <w:rPr>
          <w:rFonts w:hint="eastAsia" w:ascii="仿宋" w:hAnsi="仿宋" w:eastAsia="仿宋"/>
          <w:sz w:val="28"/>
        </w:rPr>
        <w:t>。</w:t>
      </w:r>
    </w:p>
    <w:p>
      <w:pPr>
        <w:spacing w:line="520" w:lineRule="exact"/>
        <w:ind w:firstLine="570"/>
        <w:rPr>
          <w:rFonts w:hint="eastAsia" w:ascii="FangSong_GB2312" w:eastAsia="FangSong_GB2312"/>
          <w:sz w:val="28"/>
          <w:szCs w:val="28"/>
        </w:rPr>
      </w:pPr>
      <w:r>
        <w:rPr>
          <w:rFonts w:hint="eastAsia" w:ascii="FangSong_GB2312" w:eastAsia="FangSong_GB2312"/>
          <w:sz w:val="28"/>
          <w:szCs w:val="28"/>
        </w:rPr>
        <w:t>综上所述，本次估价采用成本逼近法</w:t>
      </w:r>
    </w:p>
    <w:p>
      <w:pPr>
        <w:numPr>
          <w:ilvl w:val="0"/>
          <w:numId w:val="0"/>
        </w:numPr>
        <w:spacing w:line="540" w:lineRule="exact"/>
        <w:ind w:leftChars="0" w:firstLine="562" w:firstLineChars="200"/>
        <w:rPr>
          <w:rFonts w:hint="eastAsia" w:ascii="仿宋" w:hAnsi="仿宋" w:eastAsia="仿宋"/>
          <w:b/>
          <w:sz w:val="28"/>
          <w:szCs w:val="28"/>
        </w:rPr>
      </w:pPr>
      <w:r>
        <w:rPr>
          <w:rFonts w:hint="eastAsia" w:ascii="仿宋" w:hAnsi="仿宋" w:eastAsia="仿宋"/>
          <w:b/>
          <w:sz w:val="28"/>
          <w:szCs w:val="28"/>
        </w:rPr>
        <w:t>五、估价测算过程</w:t>
      </w:r>
    </w:p>
    <w:p>
      <w:pPr>
        <w:spacing w:line="520" w:lineRule="exact"/>
        <w:ind w:firstLine="557" w:firstLineChars="198"/>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A</w:t>
      </w:r>
      <w:r>
        <w:rPr>
          <w:rFonts w:hint="eastAsia" w:ascii="仿宋" w:hAnsi="仿宋" w:eastAsia="仿宋"/>
          <w:b/>
          <w:bCs/>
          <w:sz w:val="28"/>
          <w:szCs w:val="28"/>
        </w:rPr>
        <w:t>、</w:t>
      </w:r>
      <w:r>
        <w:rPr>
          <w:rFonts w:hint="eastAsia" w:ascii="仿宋" w:hAnsi="仿宋" w:eastAsia="仿宋"/>
          <w:b/>
          <w:bCs/>
          <w:sz w:val="28"/>
          <w:szCs w:val="28"/>
          <w:lang w:val="en-US" w:eastAsia="zh-CN"/>
        </w:rPr>
        <w:tab/>
      </w:r>
      <w:r>
        <w:rPr>
          <w:rFonts w:hint="eastAsia" w:ascii="仿宋" w:hAnsi="仿宋" w:eastAsia="仿宋"/>
          <w:b/>
          <w:bCs/>
          <w:sz w:val="28"/>
          <w:szCs w:val="28"/>
          <w:lang w:val="en-US" w:eastAsia="zh-CN"/>
        </w:rPr>
        <w:t>房屋价值测算</w:t>
      </w:r>
    </w:p>
    <w:p>
      <w:pPr>
        <w:spacing w:line="520" w:lineRule="exact"/>
        <w:ind w:firstLine="554" w:firstLineChars="198"/>
        <w:rPr>
          <w:rFonts w:hint="eastAsia" w:ascii="仿宋" w:hAnsi="仿宋" w:eastAsia="仿宋"/>
          <w:sz w:val="28"/>
          <w:szCs w:val="28"/>
        </w:rPr>
      </w:pPr>
      <w:r>
        <w:rPr>
          <w:rFonts w:hint="eastAsia" w:ascii="仿宋" w:hAnsi="仿宋" w:eastAsia="仿宋"/>
          <w:sz w:val="28"/>
          <w:szCs w:val="28"/>
        </w:rPr>
        <w:t>1、采用重置成本法测算估价对象房屋价格</w:t>
      </w:r>
    </w:p>
    <w:p>
      <w:pPr>
        <w:spacing w:line="520" w:lineRule="exact"/>
        <w:ind w:firstLine="554" w:firstLineChars="198"/>
        <w:rPr>
          <w:rFonts w:hint="eastAsia" w:ascii="仿宋" w:hAnsi="仿宋" w:eastAsia="仿宋"/>
          <w:sz w:val="28"/>
          <w:szCs w:val="28"/>
        </w:rPr>
      </w:pPr>
      <w:r>
        <w:rPr>
          <w:rFonts w:hint="eastAsia" w:ascii="仿宋" w:hAnsi="仿宋" w:eastAsia="仿宋"/>
          <w:sz w:val="28"/>
          <w:szCs w:val="28"/>
        </w:rPr>
        <w:t>成本法的基本原理：是求取估价对象在估价时点的重新购建价格，然后扣除折旧，以此估算估价对象的客观合理价格或价值。</w:t>
      </w:r>
    </w:p>
    <w:p>
      <w:pPr>
        <w:spacing w:line="480" w:lineRule="exact"/>
        <w:ind w:firstLine="554" w:firstLineChars="198"/>
        <w:rPr>
          <w:rFonts w:hint="eastAsia" w:ascii="仿宋" w:hAnsi="仿宋" w:eastAsia="仿宋"/>
          <w:sz w:val="28"/>
          <w:szCs w:val="28"/>
        </w:rPr>
      </w:pPr>
      <w:r>
        <w:rPr>
          <w:rFonts w:hint="eastAsia" w:ascii="仿宋" w:hAnsi="仿宋" w:eastAsia="仿宋"/>
          <w:sz w:val="28"/>
          <w:szCs w:val="28"/>
        </w:rPr>
        <w:t>成本法公式：房屋价格V=房屋重置价格（元/m2）×建筑面积（m2）×工程进度</w:t>
      </w:r>
    </w:p>
    <w:p>
      <w:pPr>
        <w:spacing w:line="520" w:lineRule="exact"/>
        <w:ind w:firstLine="554" w:firstLineChars="198"/>
        <w:rPr>
          <w:rFonts w:hint="eastAsia" w:ascii="仿宋" w:hAnsi="仿宋" w:eastAsia="仿宋"/>
          <w:sz w:val="28"/>
          <w:szCs w:val="28"/>
        </w:rPr>
      </w:pPr>
      <w:r>
        <w:rPr>
          <w:rFonts w:hint="eastAsia" w:ascii="仿宋" w:hAnsi="仿宋" w:eastAsia="仿宋"/>
          <w:sz w:val="28"/>
          <w:szCs w:val="28"/>
        </w:rPr>
        <w:t>2、估价对象房屋重置价格的确定</w:t>
      </w:r>
    </w:p>
    <w:p>
      <w:pPr>
        <w:spacing w:line="520" w:lineRule="exact"/>
        <w:ind w:firstLine="554" w:firstLineChars="198"/>
        <w:rPr>
          <w:rFonts w:hint="eastAsia" w:ascii="仿宋" w:hAnsi="仿宋" w:eastAsia="仿宋"/>
          <w:sz w:val="28"/>
          <w:szCs w:val="28"/>
        </w:rPr>
      </w:pPr>
      <w:r>
        <w:rPr>
          <w:rFonts w:hint="eastAsia" w:ascii="仿宋" w:hAnsi="仿宋" w:eastAsia="仿宋"/>
          <w:sz w:val="28"/>
        </w:rPr>
        <w:t>委评房产为</w:t>
      </w:r>
      <w:r>
        <w:rPr>
          <w:rFonts w:hint="eastAsia" w:ascii="仿宋" w:hAnsi="仿宋" w:eastAsia="仿宋"/>
          <w:sz w:val="28"/>
          <w:lang w:eastAsia="zh-CN"/>
        </w:rPr>
        <w:t>砖混二等</w:t>
      </w:r>
      <w:r>
        <w:rPr>
          <w:rFonts w:hint="eastAsia" w:ascii="仿宋" w:hAnsi="仿宋" w:eastAsia="仿宋"/>
          <w:sz w:val="28"/>
          <w:lang w:val="en-US" w:eastAsia="zh-CN"/>
        </w:rPr>
        <w:t>804元</w:t>
      </w:r>
      <w:r>
        <w:rPr>
          <w:rFonts w:hint="eastAsia" w:ascii="仿宋" w:hAnsi="仿宋" w:eastAsia="仿宋"/>
          <w:sz w:val="28"/>
        </w:rPr>
        <w:t>，</w:t>
      </w:r>
      <w:r>
        <w:rPr>
          <w:rFonts w:hint="eastAsia" w:ascii="仿宋" w:hAnsi="仿宋" w:eastAsia="仿宋"/>
          <w:sz w:val="28"/>
          <w:szCs w:val="28"/>
        </w:rPr>
        <w:t>房屋重置价格是采用估价期日的建筑材料和建筑技术，按照估价期日的价格水平，重新建设与估价对象具有同等功能效用、全新状态的房屋建筑物的正常价格。</w:t>
      </w:r>
    </w:p>
    <w:p>
      <w:pPr>
        <w:numPr>
          <w:ilvl w:val="0"/>
          <w:numId w:val="8"/>
        </w:numPr>
        <w:spacing w:line="520" w:lineRule="exact"/>
        <w:ind w:left="70" w:leftChars="0" w:firstLine="560" w:firstLineChars="0"/>
        <w:rPr>
          <w:rFonts w:hint="eastAsia" w:ascii="仿宋" w:hAnsi="仿宋" w:eastAsia="仿宋"/>
          <w:sz w:val="28"/>
          <w:szCs w:val="28"/>
          <w:lang w:eastAsia="zh-CN"/>
        </w:rPr>
      </w:pPr>
      <w:r>
        <w:rPr>
          <w:rFonts w:hint="eastAsia" w:ascii="仿宋" w:hAnsi="仿宋" w:eastAsia="仿宋"/>
          <w:sz w:val="28"/>
          <w:szCs w:val="28"/>
          <w:lang w:eastAsia="zh-CN"/>
        </w:rPr>
        <w:t>重置价格确定</w:t>
      </w:r>
    </w:p>
    <w:p>
      <w:pPr>
        <w:numPr>
          <w:ilvl w:val="0"/>
          <w:numId w:val="0"/>
        </w:num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谷城县上一轮房屋重置价标准内涵为房屋的建筑工程造价，本轮房屋重置价标准内涵也为房屋的建筑工程造价。本次确定其房屋重置价参考《湖北省 2017 年第三季度各地市城市住宅建筑工程造价指标》，结合建筑材料价格指数变化，修订得到谷城县城区房屋重置单价，重置价的时间为 2018 年 6 月 30 日</w:t>
      </w:r>
      <w:r>
        <w:rPr>
          <w:rFonts w:hint="eastAsia" w:ascii="仿宋" w:hAnsi="仿宋" w:eastAsia="仿宋"/>
          <w:sz w:val="28"/>
          <w:szCs w:val="28"/>
          <w:lang w:eastAsia="zh-CN"/>
        </w:rPr>
        <w:t>，本次评估房屋</w:t>
      </w:r>
      <w:r>
        <w:rPr>
          <w:rFonts w:hint="eastAsia" w:ascii="仿宋" w:hAnsi="仿宋" w:eastAsia="仿宋"/>
          <w:sz w:val="28"/>
        </w:rPr>
        <w:t>为</w:t>
      </w:r>
      <w:r>
        <w:rPr>
          <w:rFonts w:hint="eastAsia" w:ascii="仿宋" w:hAnsi="仿宋" w:eastAsia="仿宋"/>
          <w:sz w:val="28"/>
          <w:lang w:eastAsia="zh-CN"/>
        </w:rPr>
        <w:t>砖混二等</w:t>
      </w:r>
      <w:r>
        <w:rPr>
          <w:rFonts w:hint="eastAsia" w:ascii="仿宋" w:hAnsi="仿宋" w:eastAsia="仿宋"/>
          <w:sz w:val="28"/>
          <w:lang w:val="en-US" w:eastAsia="zh-CN"/>
        </w:rPr>
        <w:t>804元</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after="0" w:line="400" w:lineRule="exact"/>
        <w:ind w:right="948"/>
        <w:jc w:val="center"/>
        <w:textAlignment w:val="auto"/>
        <w:rPr>
          <w:rFonts w:hint="default" w:ascii="宋体" w:hAnsi="宋体" w:eastAsia="宋体" w:cs="宋体"/>
          <w:b/>
          <w:bCs/>
          <w:color w:val="auto"/>
          <w:w w:val="99"/>
          <w:sz w:val="24"/>
          <w:szCs w:val="24"/>
          <w:lang w:val="en-US" w:eastAsia="zh-CN"/>
        </w:rPr>
      </w:pPr>
      <w:r>
        <w:rPr>
          <w:rFonts w:hint="eastAsia" w:ascii="宋体" w:hAnsi="宋体" w:eastAsia="宋体" w:cs="宋体"/>
          <w:b/>
          <w:bCs/>
          <w:color w:val="auto"/>
          <w:w w:val="99"/>
          <w:sz w:val="24"/>
          <w:szCs w:val="24"/>
          <w:lang w:eastAsia="zh-CN"/>
        </w:rPr>
        <w:t>表</w:t>
      </w:r>
      <w:r>
        <w:rPr>
          <w:rFonts w:hint="eastAsia" w:ascii="宋体" w:hAnsi="宋体" w:eastAsia="宋体" w:cs="宋体"/>
          <w:b/>
          <w:bCs/>
          <w:color w:val="auto"/>
          <w:w w:val="99"/>
          <w:sz w:val="24"/>
          <w:szCs w:val="24"/>
          <w:lang w:val="en-US" w:eastAsia="zh-CN"/>
        </w:rPr>
        <w:t>1</w:t>
      </w:r>
      <w:r>
        <w:rPr>
          <w:rFonts w:hint="eastAsia" w:ascii="仿宋" w:hAnsi="仿宋" w:eastAsia="仿宋"/>
          <w:sz w:val="28"/>
          <w:szCs w:val="28"/>
        </w:rPr>
        <w:t>、</w:t>
      </w:r>
      <w:r>
        <w:rPr>
          <w:rFonts w:hint="eastAsia" w:ascii="宋体" w:hAnsi="宋体" w:eastAsia="宋体" w:cs="宋体"/>
          <w:b/>
          <w:bCs/>
          <w:color w:val="auto"/>
          <w:w w:val="99"/>
          <w:sz w:val="24"/>
          <w:szCs w:val="24"/>
          <w:lang w:val="en-US" w:eastAsia="zh-CN"/>
        </w:rPr>
        <w:t>房屋结构等级</w:t>
      </w:r>
    </w:p>
    <w:tbl>
      <w:tblPr>
        <w:tblStyle w:val="9"/>
        <w:tblW w:w="0" w:type="auto"/>
        <w:jc w:val="center"/>
        <w:tblLayout w:type="fixed"/>
        <w:tblCellMar>
          <w:top w:w="0" w:type="dxa"/>
          <w:left w:w="0" w:type="dxa"/>
          <w:bottom w:w="0" w:type="dxa"/>
          <w:right w:w="0" w:type="dxa"/>
        </w:tblCellMar>
      </w:tblPr>
      <w:tblGrid>
        <w:gridCol w:w="2987"/>
        <w:gridCol w:w="2920"/>
        <w:gridCol w:w="2780"/>
      </w:tblGrid>
      <w:tr>
        <w:tblPrEx>
          <w:tblCellMar>
            <w:top w:w="0" w:type="dxa"/>
            <w:left w:w="0" w:type="dxa"/>
            <w:bottom w:w="0" w:type="dxa"/>
            <w:right w:w="0" w:type="dxa"/>
          </w:tblCellMar>
        </w:tblPrEx>
        <w:trPr>
          <w:trHeight w:val="797" w:hRule="atLeast"/>
          <w:jc w:val="center"/>
        </w:trPr>
        <w:tc>
          <w:tcPr>
            <w:tcW w:w="2987"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color w:val="auto"/>
                <w:sz w:val="24"/>
                <w:szCs w:val="24"/>
              </w:rPr>
            </w:pPr>
            <w:r>
              <w:rPr>
                <w:rFonts w:ascii="宋体" w:hAnsi="宋体" w:eastAsia="宋体" w:cs="宋体"/>
                <w:b/>
                <w:bCs/>
                <w:color w:val="auto"/>
                <w:w w:val="99"/>
                <w:sz w:val="24"/>
                <w:szCs w:val="24"/>
              </w:rPr>
              <w:t>房屋结构</w:t>
            </w:r>
          </w:p>
        </w:tc>
        <w:tc>
          <w:tcPr>
            <w:tcW w:w="2920" w:type="dxa"/>
            <w:tcBorders>
              <w:top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ind w:right="948"/>
              <w:jc w:val="center"/>
              <w:textAlignment w:val="auto"/>
              <w:rPr>
                <w:color w:val="auto"/>
                <w:sz w:val="24"/>
                <w:szCs w:val="24"/>
              </w:rPr>
            </w:pPr>
            <w:r>
              <w:rPr>
                <w:rFonts w:ascii="宋体" w:hAnsi="宋体" w:eastAsia="宋体" w:cs="宋体"/>
                <w:b/>
                <w:bCs/>
                <w:color w:val="auto"/>
                <w:w w:val="99"/>
                <w:sz w:val="24"/>
                <w:szCs w:val="24"/>
              </w:rPr>
              <w:t>等级</w:t>
            </w:r>
          </w:p>
        </w:tc>
        <w:tc>
          <w:tcPr>
            <w:tcW w:w="2780"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color w:val="auto"/>
                <w:sz w:val="24"/>
                <w:szCs w:val="24"/>
              </w:rPr>
            </w:pPr>
            <w:r>
              <w:rPr>
                <w:rFonts w:ascii="宋体" w:hAnsi="宋体" w:eastAsia="宋体" w:cs="宋体"/>
                <w:b/>
                <w:bCs/>
                <w:color w:val="auto"/>
                <w:sz w:val="24"/>
                <w:szCs w:val="24"/>
              </w:rPr>
              <w:t>完全重置价格（元/㎡）</w:t>
            </w:r>
          </w:p>
        </w:tc>
      </w:tr>
      <w:tr>
        <w:tblPrEx>
          <w:tblCellMar>
            <w:top w:w="0" w:type="dxa"/>
            <w:left w:w="0" w:type="dxa"/>
            <w:bottom w:w="0" w:type="dxa"/>
            <w:right w:w="0" w:type="dxa"/>
          </w:tblCellMar>
        </w:tblPrEx>
        <w:trPr>
          <w:trHeight w:val="334" w:hRule="atLeast"/>
          <w:jc w:val="center"/>
        </w:trPr>
        <w:tc>
          <w:tcPr>
            <w:tcW w:w="29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9"/>
                <w:sz w:val="24"/>
                <w:szCs w:val="24"/>
              </w:rPr>
              <w:t>钢混</w:t>
            </w: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12 层以上（一等）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9"/>
                <w:sz w:val="24"/>
                <w:szCs w:val="24"/>
              </w:rPr>
              <w:t>1430～2000</w:t>
            </w:r>
          </w:p>
        </w:tc>
      </w:tr>
      <w:tr>
        <w:tblPrEx>
          <w:tblCellMar>
            <w:top w:w="0" w:type="dxa"/>
            <w:left w:w="0" w:type="dxa"/>
            <w:bottom w:w="0" w:type="dxa"/>
            <w:right w:w="0" w:type="dxa"/>
          </w:tblCellMar>
        </w:tblPrEx>
        <w:trPr>
          <w:trHeight w:val="330" w:hRule="atLeast"/>
          <w:jc w:val="center"/>
        </w:trPr>
        <w:tc>
          <w:tcPr>
            <w:tcW w:w="2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7"/>
                <w:sz w:val="24"/>
                <w:szCs w:val="24"/>
              </w:rPr>
              <w:t>7-12 层（二等）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9"/>
                <w:sz w:val="24"/>
                <w:szCs w:val="24"/>
              </w:rPr>
              <w:t>1430</w:t>
            </w:r>
          </w:p>
        </w:tc>
      </w:tr>
      <w:tr>
        <w:tblPrEx>
          <w:tblCellMar>
            <w:top w:w="0" w:type="dxa"/>
            <w:left w:w="0" w:type="dxa"/>
            <w:bottom w:w="0" w:type="dxa"/>
            <w:right w:w="0" w:type="dxa"/>
          </w:tblCellMar>
        </w:tblPrEx>
        <w:trPr>
          <w:trHeight w:val="355" w:hRule="atLeast"/>
          <w:jc w:val="center"/>
        </w:trPr>
        <w:tc>
          <w:tcPr>
            <w:tcW w:w="2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7"/>
                <w:sz w:val="24"/>
                <w:szCs w:val="24"/>
              </w:rPr>
              <w:t>6 层以下（三等）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9"/>
                <w:sz w:val="24"/>
                <w:szCs w:val="24"/>
              </w:rPr>
              <w:t>1320</w:t>
            </w:r>
          </w:p>
        </w:tc>
      </w:tr>
      <w:tr>
        <w:tblPrEx>
          <w:tblCellMar>
            <w:top w:w="0" w:type="dxa"/>
            <w:left w:w="0" w:type="dxa"/>
            <w:bottom w:w="0" w:type="dxa"/>
            <w:right w:w="0" w:type="dxa"/>
          </w:tblCellMar>
        </w:tblPrEx>
        <w:trPr>
          <w:trHeight w:val="412" w:hRule="atLeast"/>
          <w:jc w:val="center"/>
        </w:trPr>
        <w:tc>
          <w:tcPr>
            <w:tcW w:w="298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9"/>
                <w:sz w:val="24"/>
                <w:szCs w:val="24"/>
              </w:rPr>
              <w:t>砖混</w:t>
            </w: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ind w:right="948"/>
              <w:jc w:val="center"/>
              <w:textAlignment w:val="auto"/>
              <w:rPr>
                <w:color w:val="auto"/>
                <w:sz w:val="24"/>
                <w:szCs w:val="24"/>
              </w:rPr>
            </w:pPr>
            <w:r>
              <w:rPr>
                <w:rFonts w:ascii="宋体" w:hAnsi="宋体" w:eastAsia="宋体" w:cs="宋体"/>
                <w:color w:val="auto"/>
                <w:w w:val="99"/>
                <w:sz w:val="24"/>
                <w:szCs w:val="24"/>
              </w:rPr>
              <w:t>一等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893</w:t>
            </w:r>
          </w:p>
        </w:tc>
      </w:tr>
      <w:tr>
        <w:tblPrEx>
          <w:tblCellMar>
            <w:top w:w="0" w:type="dxa"/>
            <w:left w:w="0" w:type="dxa"/>
            <w:bottom w:w="0" w:type="dxa"/>
            <w:right w:w="0" w:type="dxa"/>
          </w:tblCellMar>
        </w:tblPrEx>
        <w:trPr>
          <w:trHeight w:val="376" w:hRule="atLeast"/>
          <w:jc w:val="center"/>
        </w:trPr>
        <w:tc>
          <w:tcPr>
            <w:tcW w:w="298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ind w:right="948"/>
              <w:jc w:val="center"/>
              <w:textAlignment w:val="auto"/>
              <w:rPr>
                <w:color w:val="auto"/>
                <w:sz w:val="24"/>
                <w:szCs w:val="24"/>
              </w:rPr>
            </w:pPr>
            <w:r>
              <w:rPr>
                <w:rFonts w:ascii="宋体" w:hAnsi="宋体" w:eastAsia="宋体" w:cs="宋体"/>
                <w:color w:val="auto"/>
                <w:w w:val="99"/>
                <w:sz w:val="24"/>
                <w:szCs w:val="24"/>
              </w:rPr>
              <w:t>二等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804</w:t>
            </w:r>
          </w:p>
        </w:tc>
      </w:tr>
      <w:tr>
        <w:tblPrEx>
          <w:tblCellMar>
            <w:top w:w="0" w:type="dxa"/>
            <w:left w:w="0" w:type="dxa"/>
            <w:bottom w:w="0" w:type="dxa"/>
            <w:right w:w="0" w:type="dxa"/>
          </w:tblCellMar>
        </w:tblPrEx>
        <w:trPr>
          <w:trHeight w:val="302" w:hRule="atLeast"/>
          <w:jc w:val="center"/>
        </w:trPr>
        <w:tc>
          <w:tcPr>
            <w:tcW w:w="298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ind w:right="948"/>
              <w:jc w:val="center"/>
              <w:textAlignment w:val="auto"/>
              <w:rPr>
                <w:color w:val="auto"/>
                <w:sz w:val="24"/>
                <w:szCs w:val="24"/>
              </w:rPr>
            </w:pPr>
            <w:r>
              <w:rPr>
                <w:rFonts w:ascii="宋体" w:hAnsi="宋体" w:eastAsia="宋体" w:cs="宋体"/>
                <w:color w:val="auto"/>
                <w:w w:val="99"/>
                <w:sz w:val="24"/>
                <w:szCs w:val="24"/>
              </w:rPr>
              <w:t>三等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723</w:t>
            </w:r>
          </w:p>
        </w:tc>
      </w:tr>
      <w:tr>
        <w:tblPrEx>
          <w:tblCellMar>
            <w:top w:w="0" w:type="dxa"/>
            <w:left w:w="0" w:type="dxa"/>
            <w:bottom w:w="0" w:type="dxa"/>
            <w:right w:w="0" w:type="dxa"/>
          </w:tblCellMar>
        </w:tblPrEx>
        <w:trPr>
          <w:trHeight w:val="312" w:hRule="atLeast"/>
          <w:jc w:val="center"/>
        </w:trPr>
        <w:tc>
          <w:tcPr>
            <w:tcW w:w="29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9"/>
                <w:sz w:val="24"/>
                <w:szCs w:val="24"/>
              </w:rPr>
              <w:t>砖木</w:t>
            </w: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ind w:right="948"/>
              <w:jc w:val="center"/>
              <w:textAlignment w:val="auto"/>
              <w:rPr>
                <w:color w:val="auto"/>
                <w:sz w:val="24"/>
                <w:szCs w:val="24"/>
              </w:rPr>
            </w:pPr>
            <w:r>
              <w:rPr>
                <w:rFonts w:ascii="宋体" w:hAnsi="宋体" w:eastAsia="宋体" w:cs="宋体"/>
                <w:color w:val="auto"/>
                <w:w w:val="99"/>
                <w:sz w:val="24"/>
                <w:szCs w:val="24"/>
              </w:rPr>
              <w:t>一等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650</w:t>
            </w:r>
          </w:p>
        </w:tc>
      </w:tr>
      <w:tr>
        <w:tblPrEx>
          <w:tblCellMar>
            <w:top w:w="0" w:type="dxa"/>
            <w:left w:w="0" w:type="dxa"/>
            <w:bottom w:w="0" w:type="dxa"/>
            <w:right w:w="0" w:type="dxa"/>
          </w:tblCellMar>
        </w:tblPrEx>
        <w:trPr>
          <w:trHeight w:val="312" w:hRule="atLeast"/>
          <w:jc w:val="center"/>
        </w:trPr>
        <w:tc>
          <w:tcPr>
            <w:tcW w:w="2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ind w:right="948"/>
              <w:jc w:val="center"/>
              <w:textAlignment w:val="auto"/>
              <w:rPr>
                <w:color w:val="auto"/>
                <w:sz w:val="24"/>
                <w:szCs w:val="24"/>
              </w:rPr>
            </w:pPr>
            <w:r>
              <w:rPr>
                <w:rFonts w:ascii="宋体" w:hAnsi="宋体" w:eastAsia="宋体" w:cs="宋体"/>
                <w:color w:val="auto"/>
                <w:w w:val="99"/>
                <w:sz w:val="24"/>
                <w:szCs w:val="24"/>
              </w:rPr>
              <w:t>二等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520</w:t>
            </w:r>
          </w:p>
        </w:tc>
      </w:tr>
      <w:tr>
        <w:tblPrEx>
          <w:tblCellMar>
            <w:top w:w="0" w:type="dxa"/>
            <w:left w:w="0" w:type="dxa"/>
            <w:bottom w:w="0" w:type="dxa"/>
            <w:right w:w="0" w:type="dxa"/>
          </w:tblCellMar>
        </w:tblPrEx>
        <w:trPr>
          <w:trHeight w:val="239" w:hRule="atLeast"/>
          <w:jc w:val="center"/>
        </w:trPr>
        <w:tc>
          <w:tcPr>
            <w:tcW w:w="29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ind w:right="948"/>
              <w:jc w:val="center"/>
              <w:textAlignment w:val="auto"/>
              <w:rPr>
                <w:color w:val="auto"/>
                <w:sz w:val="24"/>
                <w:szCs w:val="24"/>
              </w:rPr>
            </w:pPr>
            <w:r>
              <w:rPr>
                <w:rFonts w:ascii="宋体" w:hAnsi="宋体" w:eastAsia="宋体" w:cs="宋体"/>
                <w:color w:val="auto"/>
                <w:w w:val="99"/>
                <w:sz w:val="24"/>
                <w:szCs w:val="24"/>
              </w:rPr>
              <w:t>三等</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416</w:t>
            </w:r>
          </w:p>
        </w:tc>
      </w:tr>
      <w:tr>
        <w:tblPrEx>
          <w:tblCellMar>
            <w:top w:w="0" w:type="dxa"/>
            <w:left w:w="0" w:type="dxa"/>
            <w:bottom w:w="0" w:type="dxa"/>
            <w:right w:w="0" w:type="dxa"/>
          </w:tblCellMar>
        </w:tblPrEx>
        <w:trPr>
          <w:trHeight w:val="544" w:hRule="atLeast"/>
          <w:jc w:val="center"/>
        </w:trPr>
        <w:tc>
          <w:tcPr>
            <w:tcW w:w="2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9"/>
                <w:sz w:val="24"/>
                <w:szCs w:val="24"/>
              </w:rPr>
              <w:t>简易</w:t>
            </w: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ind w:right="948"/>
              <w:jc w:val="center"/>
              <w:textAlignment w:val="auto"/>
              <w:rPr>
                <w:color w:val="auto"/>
                <w:sz w:val="24"/>
                <w:szCs w:val="24"/>
              </w:rPr>
            </w:pPr>
            <w:r>
              <w:rPr>
                <w:rFonts w:ascii="Arial" w:hAnsi="Arial" w:eastAsia="Arial" w:cs="Arial"/>
                <w:color w:val="auto"/>
                <w:w w:val="99"/>
                <w:sz w:val="24"/>
                <w:szCs w:val="24"/>
              </w:rPr>
              <w:t>——</w:t>
            </w:r>
          </w:p>
        </w:tc>
        <w:tc>
          <w:tcPr>
            <w:tcW w:w="2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color w:val="auto"/>
                <w:sz w:val="24"/>
                <w:szCs w:val="24"/>
              </w:rPr>
            </w:pPr>
            <w:r>
              <w:rPr>
                <w:rFonts w:ascii="宋体" w:hAnsi="宋体" w:eastAsia="宋体" w:cs="宋体"/>
                <w:color w:val="auto"/>
                <w:w w:val="96"/>
                <w:sz w:val="24"/>
                <w:szCs w:val="24"/>
              </w:rPr>
              <w:t>200</w:t>
            </w:r>
          </w:p>
        </w:tc>
      </w:tr>
    </w:tbl>
    <w:p>
      <w:pPr>
        <w:numPr>
          <w:ilvl w:val="0"/>
          <w:numId w:val="0"/>
        </w:numPr>
        <w:spacing w:line="520" w:lineRule="exact"/>
        <w:ind w:firstLine="560" w:firstLineChars="200"/>
        <w:rPr>
          <w:rFonts w:hint="eastAsia" w:ascii="仿宋" w:hAnsi="仿宋" w:eastAsia="仿宋"/>
          <w:sz w:val="28"/>
        </w:rPr>
      </w:pPr>
      <w:r>
        <w:rPr>
          <w:rFonts w:hint="eastAsia" w:ascii="仿宋" w:hAnsi="仿宋" w:eastAsia="仿宋"/>
          <w:sz w:val="28"/>
          <w:lang w:eastAsia="zh-CN"/>
        </w:rPr>
        <w:t>（</w:t>
      </w:r>
      <w:r>
        <w:rPr>
          <w:rFonts w:hint="eastAsia" w:ascii="仿宋" w:hAnsi="仿宋" w:eastAsia="仿宋"/>
          <w:sz w:val="28"/>
          <w:lang w:val="en-US" w:eastAsia="zh-CN"/>
        </w:rPr>
        <w:t>2</w:t>
      </w:r>
      <w:r>
        <w:rPr>
          <w:rFonts w:hint="eastAsia" w:ascii="仿宋" w:hAnsi="仿宋" w:eastAsia="仿宋"/>
          <w:sz w:val="28"/>
          <w:lang w:eastAsia="zh-CN"/>
        </w:rPr>
        <w:t>）</w:t>
      </w:r>
      <w:r>
        <w:rPr>
          <w:rFonts w:hint="eastAsia" w:ascii="仿宋" w:hAnsi="仿宋" w:eastAsia="仿宋"/>
          <w:sz w:val="28"/>
        </w:rPr>
        <w:t>、高度不同对造价的影响参数</w:t>
      </w:r>
    </w:p>
    <w:p>
      <w:pPr>
        <w:spacing w:line="520" w:lineRule="exact"/>
        <w:ind w:firstLine="554" w:firstLineChars="198"/>
        <w:rPr>
          <w:rFonts w:hint="eastAsia" w:ascii="仿宋" w:hAnsi="仿宋" w:eastAsia="仿宋" w:cs="仿宋"/>
          <w:sz w:val="28"/>
          <w:szCs w:val="28"/>
        </w:rPr>
      </w:pPr>
      <w:r>
        <w:rPr>
          <w:rFonts w:hint="default" w:ascii="Calibri" w:hAnsi="Calibri" w:eastAsia="仿宋" w:cs="Calibri"/>
          <w:sz w:val="28"/>
        </w:rPr>
        <w:t>①</w:t>
      </w:r>
      <w:r>
        <w:rPr>
          <w:rFonts w:hint="eastAsia" w:ascii="仿宋" w:hAnsi="仿宋" w:eastAsia="仿宋" w:cs="仿宋"/>
          <w:sz w:val="28"/>
          <w:szCs w:val="28"/>
        </w:rPr>
        <w:t>非工业用房高度不同对造价的影响参数</w:t>
      </w:r>
    </w:p>
    <w:p>
      <w:pPr>
        <w:spacing w:line="500" w:lineRule="exact"/>
        <w:ind w:firstLine="554" w:firstLineChars="198"/>
        <w:rPr>
          <w:rFonts w:hint="eastAsia" w:ascii="仿宋" w:hAnsi="仿宋" w:eastAsia="仿宋" w:cs="仿宋"/>
          <w:sz w:val="28"/>
          <w:szCs w:val="28"/>
        </w:rPr>
      </w:pPr>
      <w:r>
        <w:rPr>
          <w:rFonts w:hint="eastAsia" w:ascii="仿宋" w:hAnsi="仿宋" w:eastAsia="仿宋" w:cs="仿宋"/>
          <w:sz w:val="28"/>
          <w:szCs w:val="28"/>
        </w:rPr>
        <w:t>根据《资产评估常用数据与参数手册》（2006-2007版）“高度不同对造价的影响”：</w:t>
      </w:r>
    </w:p>
    <w:p>
      <w:pPr>
        <w:keepNext w:val="0"/>
        <w:keepLines w:val="0"/>
        <w:pageBreakBefore w:val="0"/>
        <w:widowControl w:val="0"/>
        <w:kinsoku/>
        <w:wordWrap/>
        <w:overflowPunct/>
        <w:topLinePunct w:val="0"/>
        <w:autoSpaceDE/>
        <w:autoSpaceDN/>
        <w:bidi w:val="0"/>
        <w:adjustRightInd/>
        <w:snapToGrid/>
        <w:spacing w:after="0" w:line="400" w:lineRule="exact"/>
        <w:ind w:right="948" w:firstLine="2141" w:firstLineChars="900"/>
        <w:jc w:val="both"/>
        <w:textAlignment w:val="auto"/>
        <w:rPr>
          <w:rFonts w:hint="eastAsia" w:ascii="宋体" w:hAnsi="宋体" w:eastAsia="宋体" w:cs="宋体"/>
          <w:b/>
          <w:bCs/>
          <w:color w:val="auto"/>
          <w:w w:val="99"/>
          <w:sz w:val="24"/>
          <w:szCs w:val="24"/>
          <w:lang w:eastAsia="zh-CN"/>
        </w:rPr>
      </w:pPr>
      <w:r>
        <w:rPr>
          <w:rFonts w:hint="eastAsia" w:ascii="宋体" w:hAnsi="宋体" w:eastAsia="宋体" w:cs="宋体"/>
          <w:b/>
          <w:bCs/>
          <w:color w:val="auto"/>
          <w:w w:val="99"/>
          <w:sz w:val="24"/>
          <w:szCs w:val="24"/>
          <w:lang w:eastAsia="zh-CN"/>
        </w:rPr>
        <w:t>表</w:t>
      </w:r>
      <w:r>
        <w:rPr>
          <w:rFonts w:hint="eastAsia" w:ascii="宋体" w:hAnsi="宋体" w:eastAsia="宋体" w:cs="宋体"/>
          <w:b/>
          <w:bCs/>
          <w:color w:val="auto"/>
          <w:w w:val="99"/>
          <w:sz w:val="24"/>
          <w:szCs w:val="24"/>
          <w:lang w:val="en-US" w:eastAsia="zh-CN"/>
        </w:rPr>
        <w:t>2</w:t>
      </w:r>
      <w:r>
        <w:rPr>
          <w:rFonts w:hint="eastAsia" w:ascii="宋体" w:hAnsi="宋体" w:eastAsia="宋体" w:cs="宋体"/>
          <w:b/>
          <w:bCs/>
          <w:color w:val="auto"/>
          <w:w w:val="99"/>
          <w:sz w:val="24"/>
          <w:szCs w:val="24"/>
          <w:lang w:eastAsia="zh-CN"/>
        </w:rPr>
        <w:t>、民用建筑不同层高对造价的影响</w:t>
      </w: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3"/>
        <w:gridCol w:w="1230"/>
        <w:gridCol w:w="1340"/>
        <w:gridCol w:w="1340"/>
        <w:gridCol w:w="134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高度(m)</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2.8</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3</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3.2</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3.4</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3.6</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造价%</w:t>
            </w:r>
          </w:p>
        </w:tc>
        <w:tc>
          <w:tcPr>
            <w:tcW w:w="12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99</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100</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103</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107</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110</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rPr>
            </w:pPr>
            <w:r>
              <w:rPr>
                <w:rFonts w:hint="eastAsia"/>
              </w:rPr>
              <w:t>113</w:t>
            </w:r>
          </w:p>
        </w:tc>
      </w:tr>
    </w:tbl>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分析上表，造价随高度呈线性增长，高度每增加0.2米，造价增加3%。</w:t>
      </w:r>
    </w:p>
    <w:p>
      <w:pPr>
        <w:spacing w:line="480" w:lineRule="exact"/>
        <w:rPr>
          <w:rFonts w:hint="default" w:ascii="仿宋" w:hAnsi="仿宋" w:eastAsia="仿宋"/>
          <w:sz w:val="28"/>
          <w:lang w:val="en-US" w:eastAsia="zh-CN"/>
        </w:rPr>
      </w:pPr>
      <w:r>
        <w:rPr>
          <w:rFonts w:hint="eastAsia" w:ascii="仿宋" w:hAnsi="仿宋" w:eastAsia="仿宋"/>
          <w:sz w:val="28"/>
        </w:rPr>
        <w:t>通过计算，由此得如下修正结果：</w:t>
      </w:r>
      <w:r>
        <w:rPr>
          <w:rFonts w:hint="eastAsia" w:ascii="仿宋" w:hAnsi="仿宋" w:eastAsia="仿宋"/>
          <w:sz w:val="28"/>
          <w:lang w:val="en-US" w:eastAsia="zh-CN"/>
        </w:rPr>
        <w:t>100%。</w:t>
      </w:r>
    </w:p>
    <w:p>
      <w:pPr>
        <w:numPr>
          <w:ilvl w:val="0"/>
          <w:numId w:val="0"/>
        </w:numPr>
        <w:spacing w:line="500" w:lineRule="exact"/>
        <w:ind w:firstLine="420" w:firstLineChars="0"/>
        <w:rPr>
          <w:rFonts w:hint="eastAsia" w:ascii="仿宋" w:hAnsi="仿宋" w:eastAsia="仿宋"/>
          <w:sz w:val="28"/>
          <w:lang w:val="en-US" w:eastAsia="zh-CN"/>
        </w:rPr>
      </w:pPr>
      <w:r>
        <w:rPr>
          <w:rFonts w:hint="eastAsia" w:ascii="仿宋" w:hAnsi="仿宋" w:eastAsia="仿宋"/>
          <w:sz w:val="28"/>
          <w:lang w:val="en-US" w:eastAsia="zh-CN"/>
        </w:rPr>
        <w:t>（3）、成新率</w:t>
      </w:r>
    </w:p>
    <w:p>
      <w:pPr>
        <w:numPr>
          <w:ilvl w:val="0"/>
          <w:numId w:val="0"/>
        </w:numPr>
        <w:spacing w:line="500" w:lineRule="exact"/>
        <w:ind w:firstLine="420" w:firstLineChars="0"/>
        <w:rPr>
          <w:rFonts w:hint="eastAsia" w:ascii="仿宋" w:hAnsi="仿宋" w:eastAsia="仿宋"/>
          <w:sz w:val="28"/>
          <w:lang w:val="en-US" w:eastAsia="zh-CN"/>
        </w:rPr>
      </w:pPr>
      <w:r>
        <w:rPr>
          <w:rFonts w:hint="eastAsia" w:ascii="仿宋" w:hAnsi="仿宋" w:eastAsia="仿宋"/>
          <w:sz w:val="28"/>
          <w:lang w:val="en-US" w:eastAsia="zh-CN"/>
        </w:rPr>
        <w:t>①实际观察法</w:t>
      </w:r>
    </w:p>
    <w:p>
      <w:pPr>
        <w:numPr>
          <w:ilvl w:val="0"/>
          <w:numId w:val="0"/>
        </w:numPr>
        <w:spacing w:line="500" w:lineRule="exact"/>
        <w:ind w:firstLine="420" w:firstLineChars="0"/>
        <w:rPr>
          <w:rFonts w:hint="eastAsia" w:ascii="仿宋" w:hAnsi="仿宋" w:eastAsia="仿宋"/>
          <w:sz w:val="28"/>
          <w:lang w:val="en-US" w:eastAsia="zh-CN"/>
        </w:rPr>
      </w:pPr>
      <w:r>
        <w:rPr>
          <w:rFonts w:hint="eastAsia" w:ascii="仿宋" w:hAnsi="仿宋" w:eastAsia="仿宋"/>
          <w:sz w:val="28"/>
          <w:lang w:val="en-US" w:eastAsia="zh-CN"/>
        </w:rPr>
        <w:t>成新率=结构部分实际观察得分×A＋装修部分实际观察得分×B＋设备部分实际观察得分×C</w:t>
      </w:r>
    </w:p>
    <w:p>
      <w:pPr>
        <w:numPr>
          <w:ilvl w:val="0"/>
          <w:numId w:val="0"/>
        </w:numPr>
        <w:spacing w:line="500" w:lineRule="exact"/>
        <w:ind w:firstLine="420" w:firstLineChars="0"/>
        <w:rPr>
          <w:rFonts w:hint="eastAsia" w:ascii="仿宋" w:hAnsi="仿宋" w:eastAsia="仿宋"/>
          <w:sz w:val="28"/>
          <w:lang w:val="en-US" w:eastAsia="zh-CN"/>
        </w:rPr>
      </w:pPr>
      <w:r>
        <w:rPr>
          <w:rFonts w:hint="eastAsia" w:ascii="仿宋" w:hAnsi="仿宋" w:eastAsia="仿宋"/>
          <w:sz w:val="28"/>
          <w:lang w:val="en-US" w:eastAsia="zh-CN"/>
        </w:rPr>
        <w:t>A＋B＋C=100%</w:t>
      </w:r>
    </w:p>
    <w:p>
      <w:pPr>
        <w:numPr>
          <w:ilvl w:val="0"/>
          <w:numId w:val="0"/>
        </w:numPr>
        <w:spacing w:line="500" w:lineRule="exact"/>
        <w:ind w:firstLine="420" w:firstLineChars="0"/>
        <w:rPr>
          <w:rFonts w:hint="eastAsia" w:ascii="仿宋" w:hAnsi="仿宋" w:eastAsia="仿宋"/>
          <w:sz w:val="28"/>
          <w:lang w:val="en-US" w:eastAsia="zh-CN"/>
        </w:rPr>
      </w:pPr>
      <w:r>
        <w:rPr>
          <w:rFonts w:hint="eastAsia" w:ascii="仿宋" w:hAnsi="仿宋" w:eastAsia="仿宋"/>
          <w:sz w:val="28"/>
          <w:lang w:val="en-US" w:eastAsia="zh-CN"/>
        </w:rPr>
        <w:t>A、B、C权重值分别为50%、30%、20%。</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4"/>
        <w:gridCol w:w="1704"/>
        <w:gridCol w:w="2265"/>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noWrap w:val="0"/>
            <w:vAlign w:val="top"/>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幢号</w:t>
            </w:r>
          </w:p>
        </w:tc>
        <w:tc>
          <w:tcPr>
            <w:tcW w:w="1704" w:type="dxa"/>
            <w:noWrap w:val="0"/>
            <w:vAlign w:val="top"/>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结构</w:t>
            </w:r>
          </w:p>
        </w:tc>
        <w:tc>
          <w:tcPr>
            <w:tcW w:w="1704" w:type="dxa"/>
            <w:noWrap w:val="0"/>
            <w:vAlign w:val="top"/>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装修</w:t>
            </w:r>
          </w:p>
        </w:tc>
        <w:tc>
          <w:tcPr>
            <w:tcW w:w="2265" w:type="dxa"/>
            <w:noWrap w:val="0"/>
            <w:vAlign w:val="top"/>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设备</w:t>
            </w:r>
          </w:p>
        </w:tc>
        <w:tc>
          <w:tcPr>
            <w:tcW w:w="1822" w:type="dxa"/>
            <w:noWrap w:val="0"/>
            <w:vAlign w:val="top"/>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成新率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noWrap w:val="0"/>
            <w:vAlign w:val="top"/>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1</w:t>
            </w:r>
          </w:p>
        </w:tc>
        <w:tc>
          <w:tcPr>
            <w:tcW w:w="1704" w:type="dxa"/>
            <w:noWrap w:val="0"/>
            <w:vAlign w:val="top"/>
          </w:tcPr>
          <w:p>
            <w:pPr>
              <w:spacing w:line="400" w:lineRule="exact"/>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75</w:t>
            </w:r>
          </w:p>
        </w:tc>
        <w:tc>
          <w:tcPr>
            <w:tcW w:w="1704" w:type="dxa"/>
            <w:noWrap w:val="0"/>
            <w:vAlign w:val="top"/>
          </w:tcPr>
          <w:p>
            <w:pPr>
              <w:spacing w:line="400" w:lineRule="exact"/>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50</w:t>
            </w:r>
          </w:p>
        </w:tc>
        <w:tc>
          <w:tcPr>
            <w:tcW w:w="2265" w:type="dxa"/>
            <w:noWrap w:val="0"/>
            <w:vAlign w:val="top"/>
          </w:tcPr>
          <w:p>
            <w:pPr>
              <w:spacing w:line="400" w:lineRule="exact"/>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50</w:t>
            </w:r>
          </w:p>
        </w:tc>
        <w:tc>
          <w:tcPr>
            <w:tcW w:w="1822" w:type="dxa"/>
            <w:noWrap w:val="0"/>
            <w:vAlign w:val="top"/>
          </w:tcPr>
          <w:p>
            <w:pPr>
              <w:spacing w:line="400" w:lineRule="exact"/>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62.5</w:t>
            </w:r>
          </w:p>
        </w:tc>
      </w:tr>
    </w:tbl>
    <w:p>
      <w:pPr>
        <w:numPr>
          <w:ilvl w:val="0"/>
          <w:numId w:val="0"/>
        </w:numPr>
        <w:spacing w:line="500" w:lineRule="exact"/>
        <w:ind w:firstLine="420" w:firstLineChars="0"/>
        <w:rPr>
          <w:rFonts w:hint="eastAsia" w:ascii="仿宋" w:hAnsi="仿宋" w:eastAsia="仿宋"/>
          <w:sz w:val="28"/>
          <w:lang w:val="en-US" w:eastAsia="zh-CN"/>
        </w:rPr>
      </w:pPr>
      <w:r>
        <w:rPr>
          <w:rFonts w:hint="eastAsia" w:ascii="仿宋" w:hAnsi="仿宋" w:eastAsia="仿宋"/>
          <w:sz w:val="28"/>
          <w:lang w:val="en-US" w:eastAsia="zh-CN"/>
        </w:rPr>
        <w:t>（4）、房屋评估值的确定</w:t>
      </w:r>
    </w:p>
    <w:p>
      <w:pPr>
        <w:numPr>
          <w:ilvl w:val="0"/>
          <w:numId w:val="0"/>
        </w:numPr>
        <w:spacing w:line="500" w:lineRule="exact"/>
        <w:ind w:firstLine="420" w:firstLineChars="0"/>
        <w:rPr>
          <w:rFonts w:hint="eastAsia" w:ascii="仿宋" w:hAnsi="仿宋" w:eastAsia="仿宋"/>
          <w:sz w:val="28"/>
          <w:lang w:val="en-US" w:eastAsia="zh-CN"/>
        </w:rPr>
      </w:pPr>
      <w:r>
        <w:rPr>
          <w:rFonts w:hint="eastAsia" w:ascii="仿宋" w:hAnsi="仿宋" w:eastAsia="仿宋"/>
          <w:sz w:val="28"/>
          <w:lang w:val="en-US" w:eastAsia="zh-CN"/>
        </w:rPr>
        <w:t>房屋价格V=房屋重置价格（元/㎡）×建筑面积（㎡）×综合成新率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09"/>
        <w:gridCol w:w="1104"/>
        <w:gridCol w:w="1207"/>
        <w:gridCol w:w="1209"/>
        <w:gridCol w:w="982"/>
        <w:gridCol w:w="1135"/>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序号</w:t>
            </w:r>
          </w:p>
        </w:tc>
        <w:tc>
          <w:tcPr>
            <w:tcW w:w="909"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幢号</w:t>
            </w:r>
          </w:p>
        </w:tc>
        <w:tc>
          <w:tcPr>
            <w:tcW w:w="1104"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结构</w:t>
            </w:r>
          </w:p>
        </w:tc>
        <w:tc>
          <w:tcPr>
            <w:tcW w:w="1207"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面积（㎡）</w:t>
            </w:r>
          </w:p>
        </w:tc>
        <w:tc>
          <w:tcPr>
            <w:tcW w:w="1209"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重置价值</w:t>
            </w:r>
          </w:p>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（元/㎡）</w:t>
            </w:r>
          </w:p>
        </w:tc>
        <w:tc>
          <w:tcPr>
            <w:tcW w:w="982"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color w:val="000000"/>
                <w:kern w:val="0"/>
                <w:sz w:val="20"/>
                <w:lang w:eastAsia="zh-CN"/>
              </w:rPr>
              <w:t>层高</w:t>
            </w:r>
            <w:r>
              <w:rPr>
                <w:rFonts w:hint="eastAsia" w:ascii="宋体" w:hAnsi="宋体" w:eastAsia="宋体"/>
                <w:color w:val="000000"/>
                <w:kern w:val="0"/>
                <w:sz w:val="20"/>
              </w:rPr>
              <w:t>%</w:t>
            </w:r>
          </w:p>
        </w:tc>
        <w:tc>
          <w:tcPr>
            <w:tcW w:w="1135"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成新率%</w:t>
            </w:r>
          </w:p>
        </w:tc>
        <w:tc>
          <w:tcPr>
            <w:tcW w:w="1382"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评估值（元）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1</w:t>
            </w:r>
          </w:p>
        </w:tc>
        <w:tc>
          <w:tcPr>
            <w:tcW w:w="909" w:type="dxa"/>
            <w:noWrap w:val="0"/>
            <w:vAlign w:val="center"/>
          </w:tcPr>
          <w:p>
            <w:pPr>
              <w:jc w:val="center"/>
              <w:rPr>
                <w:rFonts w:hint="eastAsia" w:ascii="宋体" w:hAnsi="宋体" w:eastAsia="宋体"/>
                <w:color w:val="000000"/>
                <w:kern w:val="0"/>
                <w:sz w:val="20"/>
                <w:lang w:eastAsia="zh-CN"/>
              </w:rPr>
            </w:pPr>
            <w:r>
              <w:rPr>
                <w:rFonts w:hint="eastAsia" w:ascii="宋体" w:hAnsi="宋体" w:eastAsia="宋体"/>
                <w:color w:val="000000"/>
                <w:kern w:val="0"/>
                <w:sz w:val="20"/>
                <w:lang w:val="en-US" w:eastAsia="zh-CN"/>
              </w:rPr>
              <w:t>1</w:t>
            </w:r>
          </w:p>
        </w:tc>
        <w:tc>
          <w:tcPr>
            <w:tcW w:w="1104"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砖混</w:t>
            </w:r>
            <w:r>
              <w:rPr>
                <w:rFonts w:hint="eastAsia" w:ascii="宋体" w:hAnsi="宋体" w:eastAsia="宋体"/>
                <w:color w:val="000000"/>
                <w:kern w:val="0"/>
                <w:sz w:val="20"/>
                <w:lang w:eastAsia="zh-CN"/>
              </w:rPr>
              <w:t>乙</w:t>
            </w:r>
            <w:r>
              <w:rPr>
                <w:rFonts w:hint="eastAsia" w:ascii="宋体" w:hAnsi="宋体" w:eastAsia="宋体"/>
                <w:color w:val="000000"/>
                <w:kern w:val="0"/>
                <w:sz w:val="20"/>
              </w:rPr>
              <w:t>级</w:t>
            </w:r>
          </w:p>
        </w:tc>
        <w:tc>
          <w:tcPr>
            <w:tcW w:w="1207"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302.49</w:t>
            </w:r>
          </w:p>
        </w:tc>
        <w:tc>
          <w:tcPr>
            <w:tcW w:w="1209"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804</w:t>
            </w:r>
          </w:p>
        </w:tc>
        <w:tc>
          <w:tcPr>
            <w:tcW w:w="982"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100</w:t>
            </w:r>
          </w:p>
        </w:tc>
        <w:tc>
          <w:tcPr>
            <w:tcW w:w="1135"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62.5</w:t>
            </w:r>
          </w:p>
        </w:tc>
        <w:tc>
          <w:tcPr>
            <w:tcW w:w="1382"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152152</w:t>
            </w:r>
          </w:p>
        </w:tc>
      </w:tr>
    </w:tbl>
    <w:p>
      <w:pPr>
        <w:numPr>
          <w:ilvl w:val="0"/>
          <w:numId w:val="9"/>
        </w:numPr>
        <w:spacing w:line="520" w:lineRule="exact"/>
        <w:ind w:firstLine="557" w:firstLineChars="198"/>
        <w:rPr>
          <w:rFonts w:hint="eastAsia" w:ascii="仿宋" w:hAnsi="仿宋" w:eastAsia="仿宋"/>
          <w:b/>
          <w:bCs/>
          <w:sz w:val="28"/>
          <w:lang w:eastAsia="zh-CN"/>
        </w:rPr>
      </w:pPr>
      <w:r>
        <w:rPr>
          <w:rFonts w:hint="eastAsia" w:ascii="仿宋" w:hAnsi="仿宋" w:eastAsia="仿宋"/>
          <w:b/>
          <w:bCs/>
          <w:sz w:val="28"/>
          <w:lang w:eastAsia="zh-CN"/>
        </w:rPr>
        <w:t>附属物价值</w:t>
      </w:r>
    </w:p>
    <w:p>
      <w:pPr>
        <w:numPr>
          <w:ilvl w:val="0"/>
          <w:numId w:val="0"/>
        </w:numPr>
        <w:spacing w:line="520" w:lineRule="exact"/>
        <w:ind w:firstLine="560" w:firstLineChars="200"/>
        <w:rPr>
          <w:rFonts w:hint="default" w:ascii="仿宋" w:hAnsi="仿宋" w:eastAsia="仿宋"/>
          <w:sz w:val="28"/>
          <w:lang w:val="en-US" w:eastAsia="zh-CN"/>
        </w:rPr>
      </w:pPr>
      <w:r>
        <w:rPr>
          <w:rFonts w:hint="eastAsia" w:ascii="仿宋" w:hAnsi="仿宋" w:eastAsia="仿宋"/>
          <w:sz w:val="28"/>
          <w:lang w:val="en-US" w:eastAsia="zh-CN"/>
        </w:rPr>
        <w:t>附属物价值参照市人民政府办公室关于印发襄阳市市区集体所有土地上附着物征收补偿指导标准襄政办发〔2018〕41号.</w:t>
      </w:r>
    </w:p>
    <w:p>
      <w:pPr>
        <w:spacing w:line="520" w:lineRule="exact"/>
        <w:ind w:firstLine="557" w:firstLineChars="198"/>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C</w:t>
      </w:r>
      <w:r>
        <w:rPr>
          <w:rFonts w:hint="eastAsia" w:ascii="仿宋" w:hAnsi="仿宋" w:eastAsia="仿宋"/>
          <w:b/>
          <w:bCs/>
          <w:sz w:val="28"/>
        </w:rPr>
        <w:t>、</w:t>
      </w:r>
      <w:r>
        <w:rPr>
          <w:rFonts w:hint="eastAsia" w:ascii="仿宋" w:hAnsi="仿宋" w:eastAsia="仿宋"/>
          <w:b/>
          <w:bCs/>
          <w:sz w:val="28"/>
          <w:lang w:eastAsia="zh-CN"/>
        </w:rPr>
        <w:t>土地</w:t>
      </w:r>
      <w:r>
        <w:rPr>
          <w:rFonts w:hint="eastAsia" w:ascii="仿宋" w:hAnsi="仿宋" w:eastAsia="仿宋"/>
          <w:b/>
          <w:bCs/>
          <w:sz w:val="28"/>
          <w:szCs w:val="28"/>
          <w:lang w:val="en-US" w:eastAsia="zh-CN"/>
        </w:rPr>
        <w:t>价值测算</w:t>
      </w:r>
    </w:p>
    <w:p>
      <w:pPr>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一</w:t>
      </w:r>
      <w:r>
        <w:rPr>
          <w:rFonts w:hint="eastAsia" w:ascii="仿宋" w:hAnsi="仿宋" w:eastAsia="仿宋"/>
          <w:sz w:val="28"/>
          <w:szCs w:val="28"/>
          <w:lang w:eastAsia="zh-CN"/>
        </w:rPr>
        <w:t>）</w:t>
      </w:r>
      <w:r>
        <w:rPr>
          <w:rFonts w:hint="eastAsia" w:ascii="仿宋" w:hAnsi="仿宋" w:eastAsia="仿宋"/>
          <w:sz w:val="28"/>
          <w:szCs w:val="28"/>
        </w:rPr>
        <w:t>成本逼近法</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调查待估宗地所在区域周边的土地利用状况，现状均都为耕地，此次评估按照土地管理法的有关规定，并以湖北省和</w:t>
      </w:r>
      <w:r>
        <w:rPr>
          <w:rFonts w:hint="eastAsia" w:ascii="仿宋" w:hAnsi="仿宋" w:eastAsia="仿宋"/>
          <w:sz w:val="28"/>
          <w:szCs w:val="28"/>
          <w:lang w:eastAsia="zh-CN"/>
        </w:rPr>
        <w:t>谷城县</w:t>
      </w:r>
      <w:r>
        <w:rPr>
          <w:rFonts w:hint="eastAsia" w:ascii="仿宋" w:hAnsi="仿宋" w:eastAsia="仿宋"/>
          <w:sz w:val="28"/>
          <w:szCs w:val="28"/>
        </w:rPr>
        <w:t>颁布的相关文件为依据，根据成本逼近法测算地价的步骤，其费用如下：</w:t>
      </w:r>
    </w:p>
    <w:p>
      <w:pPr>
        <w:keepNext w:val="0"/>
        <w:keepLines w:val="0"/>
        <w:pageBreakBefore w:val="0"/>
        <w:widowControl w:val="0"/>
        <w:kinsoku/>
        <w:wordWrap/>
        <w:overflowPunct/>
        <w:topLinePunct w:val="0"/>
        <w:autoSpaceDE/>
        <w:autoSpaceDN/>
        <w:bidi w:val="0"/>
        <w:spacing w:line="50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a、综合地价土地补偿费和安置补助费</w:t>
      </w:r>
    </w:p>
    <w:p>
      <w:pPr>
        <w:keepNext w:val="0"/>
        <w:keepLines w:val="0"/>
        <w:pageBreakBefore w:val="0"/>
        <w:widowControl w:val="0"/>
        <w:kinsoku/>
        <w:wordWrap/>
        <w:overflowPunct/>
        <w:topLinePunct w:val="0"/>
        <w:autoSpaceDE/>
        <w:autoSpaceDN/>
        <w:bidi w:val="0"/>
        <w:spacing w:line="50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根据《中华人民共和国土地管理法》（1999年1月1日起施得）中第四十七条规定：“征用土地的补偿费用包括土地补偿费、安置补助费以及地上附着物和青苗补偿费，根据</w:t>
      </w:r>
      <w:bookmarkStart w:id="0" w:name="_Hlk24445232"/>
      <w:r>
        <w:rPr>
          <w:rFonts w:hint="eastAsia" w:ascii="仿宋" w:hAnsi="仿宋" w:eastAsia="仿宋"/>
          <w:sz w:val="28"/>
          <w:szCs w:val="28"/>
        </w:rPr>
        <w:t>《省人民政府关于公布实施湖北省征地区片综合地价标准的通知》（鄂政发（2019）22号）</w:t>
      </w:r>
      <w:bookmarkEnd w:id="0"/>
      <w:r>
        <w:rPr>
          <w:rFonts w:hint="eastAsia" w:ascii="仿宋" w:hAnsi="仿宋" w:eastAsia="仿宋"/>
          <w:sz w:val="28"/>
          <w:szCs w:val="28"/>
        </w:rPr>
        <w:t>，本征地区片综合地价标准由土地补偿费占40%，安置补助费占60%，估价对象属于</w:t>
      </w:r>
      <w:r>
        <w:rPr>
          <w:rFonts w:hint="eastAsia" w:ascii="仿宋" w:hAnsi="仿宋" w:eastAsia="仿宋"/>
          <w:sz w:val="28"/>
          <w:szCs w:val="28"/>
          <w:lang w:eastAsia="zh-CN"/>
        </w:rPr>
        <w:t>谷城县</w:t>
      </w:r>
      <w:r>
        <w:rPr>
          <w:rFonts w:hint="eastAsia" w:ascii="仿宋" w:hAnsi="仿宋" w:eastAsia="仿宋"/>
          <w:sz w:val="28"/>
          <w:szCs w:val="28"/>
        </w:rPr>
        <w:t>第</w:t>
      </w:r>
      <w:r>
        <w:rPr>
          <w:rFonts w:hint="eastAsia" w:ascii="仿宋" w:hAnsi="仿宋" w:eastAsia="仿宋"/>
          <w:sz w:val="28"/>
          <w:szCs w:val="28"/>
          <w:lang w:eastAsia="zh-CN"/>
        </w:rPr>
        <w:t>三</w:t>
      </w:r>
      <w:r>
        <w:rPr>
          <w:rFonts w:hint="eastAsia" w:ascii="仿宋" w:hAnsi="仿宋" w:eastAsia="仿宋"/>
          <w:sz w:val="28"/>
          <w:szCs w:val="28"/>
        </w:rPr>
        <w:t>级地段，征地片区综合地价为</w:t>
      </w:r>
      <w:r>
        <w:rPr>
          <w:rFonts w:hint="eastAsia" w:ascii="仿宋" w:hAnsi="仿宋" w:eastAsia="仿宋"/>
          <w:sz w:val="28"/>
          <w:szCs w:val="28"/>
          <w:lang w:val="en-US" w:eastAsia="zh-CN"/>
        </w:rPr>
        <w:t>44400</w:t>
      </w:r>
      <w:r>
        <w:rPr>
          <w:rFonts w:hint="eastAsia" w:ascii="仿宋" w:hAnsi="仿宋" w:eastAsia="仿宋"/>
          <w:sz w:val="28"/>
          <w:szCs w:val="28"/>
        </w:rPr>
        <w:t>元/亩（</w:t>
      </w:r>
      <w:r>
        <w:rPr>
          <w:rFonts w:hint="eastAsia" w:ascii="仿宋" w:hAnsi="仿宋" w:eastAsia="仿宋"/>
          <w:sz w:val="28"/>
          <w:szCs w:val="28"/>
          <w:lang w:val="en-US" w:eastAsia="zh-CN"/>
        </w:rPr>
        <w:t>66.60</w:t>
      </w:r>
      <w:r>
        <w:rPr>
          <w:rFonts w:hint="eastAsia" w:ascii="仿宋" w:hAnsi="仿宋" w:eastAsia="仿宋"/>
          <w:sz w:val="28"/>
          <w:szCs w:val="28"/>
        </w:rPr>
        <w:t>元/平方米）</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b、地上附着物及青苗补偿费</w:t>
      </w:r>
    </w:p>
    <w:p>
      <w:pPr>
        <w:keepNext w:val="0"/>
        <w:keepLines w:val="0"/>
        <w:pageBreakBefore w:val="0"/>
        <w:widowControl w:val="0"/>
        <w:kinsoku/>
        <w:wordWrap/>
        <w:overflowPunct/>
        <w:topLinePunct w:val="0"/>
        <w:autoSpaceDE/>
        <w:autoSpaceDN/>
        <w:bidi w:val="0"/>
        <w:spacing w:line="50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根据《中华人民共和国土地管理法》（1999年1月1日起施行）中第四十七条规定：“征用土地的补偿费用包括土地补偿费、安置补助费以及地上附着物和青苗补偿费”，结合</w:t>
      </w:r>
      <w:r>
        <w:rPr>
          <w:rFonts w:hint="eastAsia" w:ascii="仿宋" w:hAnsi="仿宋" w:eastAsia="仿宋"/>
          <w:sz w:val="28"/>
          <w:szCs w:val="28"/>
          <w:lang w:eastAsia="zh-CN"/>
        </w:rPr>
        <w:t>谷城县</w:t>
      </w:r>
      <w:r>
        <w:rPr>
          <w:rFonts w:hint="eastAsia" w:ascii="仿宋" w:hAnsi="仿宋" w:eastAsia="仿宋"/>
          <w:sz w:val="28"/>
          <w:szCs w:val="28"/>
        </w:rPr>
        <w:t>经济发展水平和实际情况进行调查，征用集体土地应缴纳青苗补偿费按</w:t>
      </w:r>
      <w:r>
        <w:rPr>
          <w:rFonts w:hint="eastAsia" w:ascii="仿宋" w:hAnsi="仿宋" w:eastAsia="仿宋"/>
          <w:sz w:val="28"/>
          <w:szCs w:val="28"/>
          <w:lang w:val="en-US" w:eastAsia="zh-CN"/>
        </w:rPr>
        <w:t>2000</w:t>
      </w:r>
      <w:r>
        <w:rPr>
          <w:rFonts w:hint="eastAsia" w:ascii="仿宋" w:hAnsi="仿宋" w:eastAsia="仿宋"/>
          <w:sz w:val="28"/>
          <w:szCs w:val="28"/>
        </w:rPr>
        <w:t>元/亩取值。合</w:t>
      </w:r>
      <w:r>
        <w:rPr>
          <w:rFonts w:hint="eastAsia" w:ascii="仿宋" w:hAnsi="仿宋" w:eastAsia="仿宋"/>
          <w:sz w:val="28"/>
          <w:szCs w:val="28"/>
          <w:lang w:val="en-US" w:eastAsia="zh-CN"/>
        </w:rPr>
        <w:t>3</w:t>
      </w:r>
      <w:r>
        <w:rPr>
          <w:rFonts w:hint="eastAsia" w:ascii="仿宋" w:hAnsi="仿宋" w:eastAsia="仿宋"/>
          <w:sz w:val="28"/>
          <w:szCs w:val="28"/>
        </w:rPr>
        <w:t>元/平方米</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Chars="0" w:firstLine="482"/>
        <w:textAlignment w:val="auto"/>
        <w:rPr>
          <w:rFonts w:hint="eastAsia" w:ascii="仿宋" w:hAnsi="仿宋" w:eastAsia="仿宋"/>
          <w:sz w:val="28"/>
        </w:rPr>
      </w:pPr>
      <w:r>
        <w:rPr>
          <w:rFonts w:hint="eastAsia" w:ascii="仿宋" w:hAnsi="仿宋" w:eastAsia="仿宋"/>
          <w:sz w:val="28"/>
        </w:rPr>
        <w:t>上述二项合计，则土地取得费为：a+b =</w:t>
      </w:r>
      <w:r>
        <w:rPr>
          <w:rFonts w:hint="eastAsia" w:ascii="仿宋" w:hAnsi="仿宋" w:eastAsia="仿宋"/>
          <w:sz w:val="28"/>
          <w:lang w:val="en-US" w:eastAsia="zh-CN"/>
        </w:rPr>
        <w:t>69.6</w:t>
      </w:r>
      <w:r>
        <w:rPr>
          <w:rFonts w:hint="eastAsia" w:ascii="仿宋" w:hAnsi="仿宋" w:eastAsia="仿宋"/>
          <w:sz w:val="28"/>
        </w:rPr>
        <w:t>元/平方米</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sz w:val="28"/>
          <w:szCs w:val="28"/>
        </w:rPr>
      </w:pPr>
      <w:r>
        <w:rPr>
          <w:rFonts w:hint="eastAsia" w:ascii="仿宋" w:hAnsi="仿宋" w:eastAsia="仿宋"/>
          <w:sz w:val="28"/>
          <w:szCs w:val="28"/>
        </w:rPr>
        <w:t>（2）相关税费</w:t>
      </w:r>
    </w:p>
    <w:p>
      <w:pPr>
        <w:keepNext w:val="0"/>
        <w:keepLines w:val="0"/>
        <w:pageBreakBefore w:val="0"/>
        <w:widowControl w:val="0"/>
        <w:kinsoku/>
        <w:wordWrap/>
        <w:overflowPunct/>
        <w:topLinePunct w:val="0"/>
        <w:autoSpaceDE/>
        <w:autoSpaceDN/>
        <w:bidi w:val="0"/>
        <w:spacing w:line="50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c、耕地占用税</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根据湖北省耕地占用税税额公告，2018 年 12 月 29 日第十三届全国人大常委会第七次会议通过了《中华人民共和国耕地占用税法》（以下简称耕地占用税法），自 2019 年 9 月 1 日起施行，征用</w:t>
      </w:r>
      <w:r>
        <w:rPr>
          <w:rFonts w:hint="eastAsia" w:ascii="仿宋" w:hAnsi="仿宋" w:eastAsia="仿宋" w:cs="仿宋"/>
          <w:sz w:val="28"/>
          <w:szCs w:val="28"/>
          <w:lang w:eastAsia="zh-CN"/>
        </w:rPr>
        <w:t>谷城县</w:t>
      </w:r>
      <w:r>
        <w:rPr>
          <w:rFonts w:hint="eastAsia" w:ascii="仿宋" w:hAnsi="仿宋" w:eastAsia="仿宋" w:cs="仿宋"/>
          <w:sz w:val="28"/>
          <w:szCs w:val="28"/>
        </w:rPr>
        <w:t>耕地应缴纳耕地占用税,耕地占用税按</w:t>
      </w:r>
      <w:r>
        <w:rPr>
          <w:rFonts w:hint="eastAsia" w:ascii="仿宋" w:hAnsi="仿宋" w:eastAsia="仿宋" w:cs="仿宋"/>
          <w:sz w:val="28"/>
          <w:szCs w:val="28"/>
          <w:lang w:val="en-US" w:eastAsia="zh-CN"/>
        </w:rPr>
        <w:t>22</w:t>
      </w:r>
      <w:r>
        <w:rPr>
          <w:rFonts w:hint="eastAsia" w:ascii="仿宋" w:hAnsi="仿宋" w:eastAsia="仿宋" w:cs="仿宋"/>
          <w:sz w:val="28"/>
          <w:szCs w:val="28"/>
        </w:rPr>
        <w:t>元/平方米计收。</w:t>
      </w:r>
    </w:p>
    <w:p>
      <w:pPr>
        <w:keepNext w:val="0"/>
        <w:keepLines w:val="0"/>
        <w:pageBreakBefore w:val="0"/>
        <w:widowControl w:val="0"/>
        <w:kinsoku/>
        <w:wordWrap/>
        <w:overflowPunct/>
        <w:topLinePunct w:val="0"/>
        <w:autoSpaceDE/>
        <w:autoSpaceDN/>
        <w:bidi w:val="0"/>
        <w:spacing w:line="50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d、耕地开垦费</w:t>
      </w:r>
    </w:p>
    <w:p>
      <w:pPr>
        <w:keepNext w:val="0"/>
        <w:keepLines w:val="0"/>
        <w:pageBreakBefore w:val="0"/>
        <w:widowControl w:val="0"/>
        <w:kinsoku/>
        <w:wordWrap/>
        <w:overflowPunct/>
        <w:topLinePunct w:val="0"/>
        <w:autoSpaceDE/>
        <w:autoSpaceDN/>
        <w:bidi w:val="0"/>
        <w:spacing w:line="500" w:lineRule="exact"/>
        <w:ind w:firstLine="420" w:firstLineChars="150"/>
        <w:textAlignment w:val="auto"/>
        <w:rPr>
          <w:rFonts w:hint="eastAsia" w:ascii="仿宋" w:hAnsi="仿宋" w:eastAsia="仿宋"/>
          <w:sz w:val="28"/>
          <w:szCs w:val="28"/>
        </w:rPr>
      </w:pPr>
      <w:r>
        <w:rPr>
          <w:rFonts w:hint="eastAsia" w:ascii="仿宋" w:hAnsi="仿宋" w:eastAsia="仿宋"/>
          <w:sz w:val="28"/>
          <w:szCs w:val="28"/>
        </w:rPr>
        <w:t>根据《中华人民共和国土地管理法》，结合襄政发[2005]21号文件《襄阳市人民政府关于印发&lt;襄阳市区征地补偿安置办法&gt;的通知》第三十一条规定：本次评估耕地开垦费取土地补偿费总额的1-2倍，结合待估宗地的实际情况，按1倍取值，即</w:t>
      </w:r>
      <w:r>
        <w:rPr>
          <w:rFonts w:hint="eastAsia" w:ascii="仿宋" w:hAnsi="仿宋" w:eastAsia="仿宋"/>
          <w:sz w:val="28"/>
          <w:szCs w:val="28"/>
          <w:lang w:val="en-US" w:eastAsia="zh-CN"/>
        </w:rPr>
        <w:t>26.64</w:t>
      </w:r>
      <w:r>
        <w:rPr>
          <w:rFonts w:hint="eastAsia" w:ascii="仿宋" w:hAnsi="仿宋" w:eastAsia="仿宋"/>
          <w:sz w:val="28"/>
          <w:szCs w:val="28"/>
        </w:rPr>
        <w:t>元/平方米。</w:t>
      </w:r>
    </w:p>
    <w:p>
      <w:pPr>
        <w:keepNext w:val="0"/>
        <w:keepLines w:val="0"/>
        <w:pageBreakBefore w:val="0"/>
        <w:widowControl w:val="0"/>
        <w:kinsoku/>
        <w:wordWrap/>
        <w:overflowPunct/>
        <w:topLinePunct w:val="0"/>
        <w:autoSpaceDE/>
        <w:autoSpaceDN/>
        <w:bidi w:val="0"/>
        <w:spacing w:line="500" w:lineRule="exact"/>
        <w:ind w:firstLine="280" w:firstLineChars="100"/>
        <w:textAlignment w:val="auto"/>
        <w:rPr>
          <w:rFonts w:hint="eastAsia" w:ascii="仿宋" w:hAnsi="仿宋" w:eastAsia="仿宋"/>
          <w:sz w:val="28"/>
          <w:szCs w:val="28"/>
        </w:rPr>
      </w:pPr>
      <w:r>
        <w:rPr>
          <w:rFonts w:hint="eastAsia" w:ascii="仿宋" w:hAnsi="仿宋" w:eastAsia="仿宋"/>
          <w:sz w:val="28"/>
          <w:szCs w:val="28"/>
        </w:rPr>
        <w:t>e、不可预见费</w:t>
      </w:r>
    </w:p>
    <w:p>
      <w:pPr>
        <w:keepNext w:val="0"/>
        <w:keepLines w:val="0"/>
        <w:pageBreakBefore w:val="0"/>
        <w:widowControl w:val="0"/>
        <w:kinsoku/>
        <w:wordWrap/>
        <w:overflowPunct/>
        <w:topLinePunct w:val="0"/>
        <w:autoSpaceDE/>
        <w:autoSpaceDN/>
        <w:bidi w:val="0"/>
        <w:spacing w:line="500" w:lineRule="exact"/>
        <w:ind w:firstLine="280" w:firstLineChars="100"/>
        <w:textAlignment w:val="auto"/>
        <w:rPr>
          <w:rFonts w:hint="eastAsia" w:ascii="仿宋" w:hAnsi="仿宋" w:eastAsia="仿宋"/>
          <w:sz w:val="28"/>
          <w:szCs w:val="28"/>
        </w:rPr>
      </w:pPr>
      <w:r>
        <w:rPr>
          <w:rFonts w:hint="eastAsia" w:ascii="仿宋" w:hAnsi="仿宋" w:eastAsia="仿宋"/>
          <w:sz w:val="28"/>
          <w:szCs w:val="28"/>
        </w:rPr>
        <w:t>根据湖北省物价局、湖北省财政厅《关于土地统征包干收取不可预见费的通知》（鄂价房地字[1996]403 号），“在征地过程中，由土地管理部门采取统征包干办法征地的，征地所发生的全部费用经确定认可后，可按征地费用总额2-4%收取不可预见费。征地费用一般由以下几种费用组成: 土地补偿费、安置补助费、青苗补偿费、地上地下附着物补偿费、拆迁补助费和新地开发建设基金（耕地开垦费）”。结合该宗地的实际情况取其中值为 3%，即</w:t>
      </w:r>
      <w:r>
        <w:rPr>
          <w:rFonts w:hint="eastAsia" w:ascii="仿宋" w:hAnsi="仿宋" w:eastAsia="仿宋"/>
          <w:sz w:val="28"/>
          <w:szCs w:val="28"/>
          <w:lang w:val="en-US" w:eastAsia="zh-CN"/>
        </w:rPr>
        <w:t>2.09</w:t>
      </w:r>
      <w:r>
        <w:rPr>
          <w:rFonts w:hint="eastAsia" w:ascii="仿宋" w:hAnsi="仿宋" w:eastAsia="仿宋"/>
          <w:sz w:val="28"/>
          <w:szCs w:val="28"/>
        </w:rPr>
        <w:t>元/平方米</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sz w:val="28"/>
          <w:szCs w:val="28"/>
        </w:rPr>
      </w:pPr>
      <w:r>
        <w:rPr>
          <w:rFonts w:hint="eastAsia" w:ascii="仿宋" w:hAnsi="仿宋" w:eastAsia="仿宋"/>
          <w:sz w:val="28"/>
          <w:szCs w:val="28"/>
        </w:rPr>
        <w:t>上述六项税费合计为：</w:t>
      </w:r>
    </w:p>
    <w:p>
      <w:pPr>
        <w:keepNext w:val="0"/>
        <w:keepLines w:val="0"/>
        <w:pageBreakBefore w:val="0"/>
        <w:widowControl w:val="0"/>
        <w:kinsoku/>
        <w:wordWrap/>
        <w:overflowPunct/>
        <w:topLinePunct w:val="0"/>
        <w:autoSpaceDE/>
        <w:autoSpaceDN/>
        <w:bidi w:val="0"/>
        <w:spacing w:line="500" w:lineRule="exact"/>
        <w:ind w:firstLine="1960" w:firstLineChars="700"/>
        <w:textAlignment w:val="auto"/>
        <w:rPr>
          <w:rFonts w:hint="eastAsia" w:ascii="仿宋" w:hAnsi="仿宋" w:eastAsia="仿宋"/>
          <w:sz w:val="28"/>
          <w:szCs w:val="28"/>
        </w:rPr>
      </w:pPr>
      <w:r>
        <w:rPr>
          <w:rFonts w:hint="eastAsia" w:ascii="仿宋" w:hAnsi="仿宋" w:eastAsia="仿宋"/>
          <w:sz w:val="28"/>
          <w:szCs w:val="28"/>
        </w:rPr>
        <w:t>c+d+e＝</w:t>
      </w:r>
      <w:r>
        <w:rPr>
          <w:rFonts w:hint="eastAsia" w:ascii="仿宋" w:hAnsi="仿宋" w:eastAsia="仿宋"/>
          <w:sz w:val="28"/>
          <w:szCs w:val="28"/>
          <w:lang w:val="en-US" w:eastAsia="zh-CN"/>
        </w:rPr>
        <w:t>50.73</w:t>
      </w:r>
      <w:r>
        <w:rPr>
          <w:rFonts w:hint="eastAsia" w:ascii="仿宋" w:hAnsi="仿宋" w:eastAsia="仿宋"/>
          <w:sz w:val="28"/>
          <w:szCs w:val="28"/>
        </w:rPr>
        <w:t>（元/平方米）</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sz w:val="28"/>
          <w:szCs w:val="28"/>
        </w:rPr>
      </w:pPr>
      <w:r>
        <w:rPr>
          <w:rFonts w:hint="eastAsia" w:ascii="仿宋" w:hAnsi="仿宋" w:eastAsia="仿宋"/>
          <w:sz w:val="28"/>
          <w:szCs w:val="28"/>
        </w:rPr>
        <w:t>（3）土地开发费</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根据有关土地开发基础设施配套情况的调查和土地开发成本的测算，咨询有关专家，结合土地开发基础调施配套情况，综合确定待估宗地的土地开发费为</w:t>
      </w:r>
      <w:r>
        <w:rPr>
          <w:rFonts w:hint="eastAsia" w:ascii="仿宋" w:hAnsi="仿宋" w:eastAsia="仿宋"/>
          <w:sz w:val="28"/>
          <w:szCs w:val="28"/>
          <w:lang w:val="en-US" w:eastAsia="zh-CN"/>
        </w:rPr>
        <w:t>61</w:t>
      </w:r>
      <w:r>
        <w:rPr>
          <w:rFonts w:hint="eastAsia" w:ascii="仿宋" w:hAnsi="仿宋" w:eastAsia="仿宋"/>
          <w:sz w:val="28"/>
          <w:szCs w:val="28"/>
        </w:rPr>
        <w:t>元/平方米。</w:t>
      </w:r>
    </w:p>
    <w:p>
      <w:pPr>
        <w:keepNext w:val="0"/>
        <w:keepLines w:val="0"/>
        <w:pageBreakBefore w:val="0"/>
        <w:widowControl w:val="0"/>
        <w:kinsoku/>
        <w:wordWrap/>
        <w:overflowPunct/>
        <w:topLinePunct w:val="0"/>
        <w:autoSpaceDE/>
        <w:autoSpaceDN/>
        <w:bidi w:val="0"/>
        <w:spacing w:after="0" w:line="500" w:lineRule="exact"/>
        <w:ind w:left="2660"/>
        <w:textAlignment w:val="auto"/>
        <w:rPr>
          <w:rFonts w:hint="eastAsia" w:ascii="仿宋" w:hAnsi="仿宋" w:eastAsia="仿宋"/>
          <w:sz w:val="24"/>
          <w:szCs w:val="24"/>
        </w:rPr>
      </w:pPr>
      <w:r>
        <w:rPr>
          <w:rFonts w:hint="eastAsia" w:ascii="仿宋" w:hAnsi="仿宋" w:eastAsia="仿宋"/>
          <w:sz w:val="24"/>
          <w:szCs w:val="24"/>
        </w:rPr>
        <w:t>表1、</w:t>
      </w:r>
      <w:r>
        <w:rPr>
          <w:rFonts w:ascii="仿宋" w:hAnsi="仿宋" w:eastAsia="仿宋" w:cs="仿宋"/>
          <w:color w:val="auto"/>
          <w:sz w:val="28"/>
          <w:szCs w:val="28"/>
        </w:rPr>
        <w:t>开发程度修正值范围表</w:t>
      </w:r>
    </w:p>
    <w:p>
      <w:pPr>
        <w:spacing w:line="520" w:lineRule="exact"/>
        <w:ind w:firstLine="4300" w:firstLineChars="2150"/>
        <w:jc w:val="right"/>
        <w:rPr>
          <w:rFonts w:hint="eastAsia" w:ascii="仿宋" w:hAnsi="仿宋" w:eastAsia="仿宋"/>
          <w:color w:val="000000"/>
          <w:sz w:val="20"/>
          <w:szCs w:val="28"/>
        </w:rPr>
      </w:pPr>
      <w:r>
        <w:rPr>
          <w:rFonts w:hint="eastAsia" w:ascii="仿宋" w:hAnsi="仿宋" w:eastAsia="仿宋"/>
          <w:color w:val="000000"/>
          <w:sz w:val="20"/>
          <w:szCs w:val="28"/>
        </w:rPr>
        <w:t>单位:元/平方米</w:t>
      </w:r>
    </w:p>
    <w:tbl>
      <w:tblPr>
        <w:tblStyle w:val="9"/>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866"/>
        <w:gridCol w:w="1083"/>
        <w:gridCol w:w="1083"/>
        <w:gridCol w:w="1218"/>
        <w:gridCol w:w="949"/>
        <w:gridCol w:w="133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b/>
                <w:color w:val="000000"/>
                <w:sz w:val="22"/>
                <w:szCs w:val="28"/>
              </w:rPr>
            </w:pPr>
            <w:r>
              <w:rPr>
                <w:rFonts w:hint="eastAsia" w:ascii="仿宋" w:hAnsi="仿宋" w:eastAsia="仿宋"/>
                <w:b/>
                <w:color w:val="000000"/>
                <w:sz w:val="22"/>
                <w:szCs w:val="28"/>
              </w:rPr>
              <w:t>开发程度费用</w:t>
            </w:r>
          </w:p>
        </w:tc>
        <w:tc>
          <w:tcPr>
            <w:tcW w:w="5199" w:type="dxa"/>
            <w:gridSpan w:val="5"/>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b/>
                <w:color w:val="000000"/>
                <w:sz w:val="22"/>
                <w:szCs w:val="28"/>
              </w:rPr>
            </w:pPr>
            <w:r>
              <w:rPr>
                <w:rFonts w:hint="eastAsia" w:ascii="仿宋" w:hAnsi="仿宋" w:eastAsia="仿宋"/>
                <w:b/>
                <w:color w:val="000000"/>
                <w:sz w:val="22"/>
                <w:szCs w:val="28"/>
              </w:rPr>
              <w:t>开发构成费用</w:t>
            </w:r>
          </w:p>
        </w:tc>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b/>
                <w:color w:val="000000"/>
                <w:sz w:val="22"/>
                <w:szCs w:val="28"/>
              </w:rPr>
            </w:pPr>
            <w:r>
              <w:rPr>
                <w:rFonts w:hint="eastAsia" w:ascii="仿宋" w:hAnsi="仿宋" w:eastAsia="仿宋"/>
                <w:b/>
                <w:color w:val="000000"/>
                <w:sz w:val="22"/>
                <w:szCs w:val="28"/>
              </w:rPr>
              <w:t>场地平整</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b/>
                <w:color w:val="000000"/>
                <w:sz w:val="22"/>
                <w:szCs w:val="28"/>
              </w:rPr>
            </w:pPr>
            <w:r>
              <w:rPr>
                <w:rFonts w:hint="eastAsia" w:ascii="仿宋" w:hAnsi="仿宋" w:eastAsia="仿宋"/>
                <w:b/>
                <w:color w:val="000000"/>
                <w:sz w:val="22"/>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2"/>
                <w:szCs w:val="28"/>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olor w:val="000000"/>
                <w:sz w:val="22"/>
                <w:szCs w:val="28"/>
              </w:rPr>
            </w:pPr>
            <w:r>
              <w:rPr>
                <w:rFonts w:hint="eastAsia" w:ascii="仿宋" w:hAnsi="仿宋" w:eastAsia="仿宋"/>
                <w:color w:val="000000"/>
                <w:sz w:val="22"/>
                <w:szCs w:val="28"/>
              </w:rPr>
              <w:t>通路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olor w:val="000000"/>
                <w:sz w:val="22"/>
                <w:szCs w:val="28"/>
              </w:rPr>
            </w:pPr>
            <w:r>
              <w:rPr>
                <w:rFonts w:hint="eastAsia" w:ascii="仿宋" w:hAnsi="仿宋" w:eastAsia="仿宋"/>
                <w:color w:val="000000"/>
                <w:sz w:val="22"/>
                <w:szCs w:val="28"/>
              </w:rPr>
              <w:t>供电</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olor w:val="000000"/>
                <w:sz w:val="22"/>
                <w:szCs w:val="28"/>
              </w:rPr>
            </w:pPr>
            <w:r>
              <w:rPr>
                <w:rFonts w:hint="eastAsia" w:ascii="仿宋" w:hAnsi="仿宋" w:eastAsia="仿宋"/>
                <w:color w:val="000000"/>
                <w:sz w:val="22"/>
                <w:szCs w:val="28"/>
              </w:rPr>
              <w:t>通上水</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olor w:val="000000"/>
                <w:sz w:val="22"/>
                <w:szCs w:val="28"/>
              </w:rPr>
            </w:pPr>
            <w:r>
              <w:rPr>
                <w:rFonts w:hint="eastAsia" w:ascii="仿宋" w:hAnsi="仿宋" w:eastAsia="仿宋"/>
                <w:color w:val="000000"/>
                <w:sz w:val="22"/>
                <w:szCs w:val="28"/>
              </w:rPr>
              <w:t>通下水</w:t>
            </w: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olor w:val="000000"/>
                <w:sz w:val="22"/>
                <w:szCs w:val="28"/>
              </w:rPr>
            </w:pPr>
            <w:r>
              <w:rPr>
                <w:rFonts w:hint="eastAsia" w:ascii="仿宋" w:hAnsi="仿宋" w:eastAsia="仿宋"/>
                <w:color w:val="000000"/>
                <w:sz w:val="22"/>
                <w:szCs w:val="28"/>
              </w:rPr>
              <w:t>通讯</w:t>
            </w:r>
          </w:p>
        </w:tc>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2"/>
                <w:szCs w:val="28"/>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color w:val="00000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olor w:val="000000"/>
                <w:sz w:val="22"/>
                <w:szCs w:val="28"/>
              </w:rPr>
            </w:pPr>
            <w:r>
              <w:rPr>
                <w:rFonts w:hint="eastAsia" w:ascii="仿宋" w:hAnsi="仿宋" w:eastAsia="仿宋"/>
                <w:color w:val="000000"/>
                <w:sz w:val="22"/>
                <w:szCs w:val="28"/>
              </w:rPr>
              <w:t>开发费用</w:t>
            </w: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仿宋" w:hAnsi="仿宋" w:eastAsia="仿宋"/>
                <w:color w:val="000000"/>
                <w:sz w:val="22"/>
                <w:szCs w:val="28"/>
                <w:lang w:val="en-US" w:eastAsia="zh-CN"/>
              </w:rPr>
            </w:pPr>
            <w:r>
              <w:rPr>
                <w:rFonts w:hint="eastAsia" w:ascii="仿宋" w:hAnsi="仿宋" w:eastAsia="仿宋"/>
                <w:color w:val="000000"/>
                <w:sz w:val="22"/>
                <w:szCs w:val="28"/>
                <w:lang w:val="en-US" w:eastAsia="zh-CN"/>
              </w:rPr>
              <w:t>10-25</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仿宋" w:hAnsi="仿宋" w:eastAsia="仿宋"/>
                <w:color w:val="000000"/>
                <w:sz w:val="22"/>
                <w:szCs w:val="28"/>
                <w:lang w:val="en-US" w:eastAsia="zh-CN"/>
              </w:rPr>
            </w:pPr>
            <w:r>
              <w:rPr>
                <w:rFonts w:hint="eastAsia" w:ascii="仿宋" w:hAnsi="仿宋" w:eastAsia="仿宋"/>
                <w:color w:val="000000"/>
                <w:sz w:val="22"/>
                <w:szCs w:val="28"/>
                <w:lang w:val="en-US" w:eastAsia="zh-CN"/>
              </w:rPr>
              <w:t>7-20</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仿宋" w:hAnsi="仿宋" w:eastAsia="仿宋"/>
                <w:color w:val="000000"/>
                <w:sz w:val="22"/>
                <w:szCs w:val="28"/>
                <w:lang w:val="en-US" w:eastAsia="zh-CN"/>
              </w:rPr>
            </w:pPr>
            <w:r>
              <w:rPr>
                <w:rFonts w:hint="eastAsia" w:ascii="仿宋" w:hAnsi="仿宋" w:eastAsia="仿宋"/>
                <w:color w:val="000000"/>
                <w:sz w:val="22"/>
                <w:szCs w:val="28"/>
                <w:lang w:val="en-US" w:eastAsia="zh-CN"/>
              </w:rPr>
              <w:t>8-20</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olor w:val="000000"/>
                <w:sz w:val="22"/>
                <w:szCs w:val="28"/>
              </w:rPr>
            </w:pPr>
            <w:r>
              <w:rPr>
                <w:rFonts w:hint="eastAsia" w:ascii="仿宋" w:hAnsi="仿宋" w:eastAsia="仿宋"/>
                <w:color w:val="000000"/>
                <w:sz w:val="22"/>
                <w:szCs w:val="28"/>
                <w:lang w:val="en-US" w:eastAsia="zh-CN"/>
              </w:rPr>
              <w:t>8-20</w:t>
            </w: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仿宋" w:hAnsi="仿宋" w:eastAsia="仿宋"/>
                <w:color w:val="000000"/>
                <w:sz w:val="22"/>
                <w:szCs w:val="28"/>
                <w:lang w:val="en-US" w:eastAsia="zh-CN"/>
              </w:rPr>
            </w:pPr>
            <w:r>
              <w:rPr>
                <w:rFonts w:hint="eastAsia" w:ascii="仿宋" w:hAnsi="仿宋" w:eastAsia="仿宋"/>
                <w:color w:val="000000"/>
                <w:sz w:val="22"/>
                <w:szCs w:val="28"/>
                <w:lang w:val="en-US" w:eastAsia="zh-CN"/>
              </w:rPr>
              <w:t>8-15</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仿宋" w:hAnsi="仿宋" w:eastAsia="仿宋"/>
                <w:color w:val="000000"/>
                <w:sz w:val="22"/>
                <w:szCs w:val="28"/>
                <w:lang w:val="en-US" w:eastAsia="zh-CN"/>
              </w:rPr>
            </w:pPr>
            <w:r>
              <w:rPr>
                <w:rFonts w:hint="eastAsia" w:ascii="仿宋" w:hAnsi="仿宋" w:eastAsia="仿宋"/>
                <w:color w:val="000000"/>
                <w:sz w:val="22"/>
                <w:szCs w:val="28"/>
                <w:lang w:val="en-US" w:eastAsia="zh-CN"/>
              </w:rPr>
              <w:t>20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default" w:ascii="仿宋" w:hAnsi="仿宋" w:eastAsia="仿宋"/>
                <w:color w:val="000000"/>
                <w:sz w:val="22"/>
                <w:szCs w:val="28"/>
                <w:lang w:val="en-US" w:eastAsia="zh-CN"/>
              </w:rPr>
            </w:pPr>
            <w:r>
              <w:rPr>
                <w:rFonts w:hint="eastAsia" w:ascii="仿宋" w:hAnsi="仿宋" w:eastAsia="仿宋"/>
                <w:color w:val="000000"/>
                <w:sz w:val="22"/>
                <w:szCs w:val="28"/>
                <w:lang w:val="en-US" w:eastAsia="zh-CN"/>
              </w:rPr>
              <w:t>61</w:t>
            </w:r>
          </w:p>
        </w:tc>
      </w:tr>
    </w:tbl>
    <w:p>
      <w:pPr>
        <w:keepNext w:val="0"/>
        <w:keepLines w:val="0"/>
        <w:pageBreakBefore w:val="0"/>
        <w:widowControl w:val="0"/>
        <w:kinsoku/>
        <w:wordWrap/>
        <w:overflowPunct/>
        <w:topLinePunct w:val="0"/>
        <w:autoSpaceDE/>
        <w:autoSpaceDN/>
        <w:bidi w:val="0"/>
        <w:spacing w:line="520" w:lineRule="exact"/>
        <w:textAlignment w:val="auto"/>
        <w:rPr>
          <w:rFonts w:hint="eastAsia" w:ascii="仿宋" w:hAnsi="仿宋" w:eastAsia="仿宋"/>
          <w:sz w:val="28"/>
        </w:rPr>
      </w:pPr>
      <w:r>
        <w:rPr>
          <w:rFonts w:hint="eastAsia" w:ascii="仿宋" w:hAnsi="仿宋" w:eastAsia="仿宋"/>
          <w:sz w:val="28"/>
        </w:rPr>
        <w:t>（4）投资利息</w:t>
      </w:r>
    </w:p>
    <w:p>
      <w:pPr>
        <w:keepNext w:val="0"/>
        <w:keepLines w:val="0"/>
        <w:pageBreakBefore w:val="0"/>
        <w:widowControl w:val="0"/>
        <w:kinsoku/>
        <w:wordWrap/>
        <w:overflowPunct/>
        <w:topLinePunct w:val="0"/>
        <w:autoSpaceDE/>
        <w:autoSpaceDN/>
        <w:bidi w:val="0"/>
        <w:spacing w:line="520" w:lineRule="exact"/>
        <w:ind w:firstLine="700" w:firstLineChars="250"/>
        <w:textAlignment w:val="auto"/>
        <w:rPr>
          <w:rFonts w:hint="eastAsia" w:ascii="仿宋" w:hAnsi="仿宋" w:eastAsia="仿宋"/>
          <w:sz w:val="28"/>
        </w:rPr>
      </w:pPr>
      <w:r>
        <w:rPr>
          <w:rFonts w:hint="eastAsia" w:ascii="仿宋" w:hAnsi="仿宋" w:eastAsia="仿宋"/>
          <w:sz w:val="28"/>
        </w:rPr>
        <w:t>根据待估宗地的规模及项目占地的特点，调查确定</w:t>
      </w:r>
      <w:r>
        <w:rPr>
          <w:rFonts w:hint="eastAsia" w:ascii="仿宋" w:hAnsi="仿宋" w:eastAsia="仿宋"/>
          <w:sz w:val="28"/>
          <w:lang w:eastAsia="zh-CN"/>
        </w:rPr>
        <w:t>谷城县</w:t>
      </w:r>
      <w:r>
        <w:rPr>
          <w:rFonts w:hint="eastAsia" w:ascii="仿宋" w:hAnsi="仿宋" w:eastAsia="仿宋"/>
          <w:sz w:val="28"/>
        </w:rPr>
        <w:t>土地开发周期为1年，投资利息率按估价基准日一年贷款利息率</w:t>
      </w:r>
      <w:r>
        <w:rPr>
          <w:rFonts w:hint="eastAsia" w:ascii="仿宋" w:hAnsi="仿宋" w:eastAsia="仿宋"/>
          <w:sz w:val="28"/>
          <w:lang w:val="en-US" w:eastAsia="zh-CN"/>
        </w:rPr>
        <w:t>4.35</w:t>
      </w:r>
      <w:r>
        <w:rPr>
          <w:rFonts w:hint="eastAsia" w:ascii="仿宋" w:hAnsi="仿宋" w:eastAsia="仿宋"/>
          <w:sz w:val="28"/>
        </w:rPr>
        <w:t>%计，土地取得费及税费在土地开发中均为一次性投入，土地开发费按平均投入。</w:t>
      </w:r>
    </w:p>
    <w:p>
      <w:pPr>
        <w:pStyle w:val="3"/>
        <w:keepNext w:val="0"/>
        <w:keepLines w:val="0"/>
        <w:pageBreakBefore w:val="0"/>
        <w:widowControl w:val="0"/>
        <w:kinsoku/>
        <w:wordWrap/>
        <w:overflowPunct/>
        <w:topLinePunct w:val="0"/>
        <w:autoSpaceDE/>
        <w:autoSpaceDN/>
        <w:bidi w:val="0"/>
        <w:adjustRightInd w:val="0"/>
        <w:snapToGrid w:val="0"/>
        <w:spacing w:line="520" w:lineRule="exact"/>
        <w:ind w:leftChars="0" w:firstLine="482"/>
        <w:textAlignment w:val="auto"/>
        <w:rPr>
          <w:rFonts w:hint="eastAsia" w:ascii="仿宋" w:hAnsi="仿宋" w:eastAsia="仿宋"/>
          <w:sz w:val="28"/>
        </w:rPr>
      </w:pPr>
      <w:r>
        <w:rPr>
          <w:rFonts w:hint="eastAsia" w:ascii="仿宋" w:hAnsi="仿宋" w:eastAsia="仿宋"/>
          <w:sz w:val="28"/>
        </w:rPr>
        <w:t>投资利息=土地取得费及税费×开发周期×</w:t>
      </w:r>
      <w:r>
        <w:rPr>
          <w:rFonts w:hint="eastAsia" w:ascii="仿宋" w:hAnsi="仿宋" w:eastAsia="仿宋"/>
          <w:sz w:val="28"/>
          <w:lang w:val="en-US" w:eastAsia="zh-CN"/>
        </w:rPr>
        <w:t>4.35</w:t>
      </w:r>
      <w:r>
        <w:rPr>
          <w:rFonts w:hint="eastAsia" w:ascii="仿宋" w:hAnsi="仿宋" w:eastAsia="仿宋"/>
          <w:sz w:val="28"/>
        </w:rPr>
        <w:t>%</w:t>
      </w:r>
    </w:p>
    <w:p>
      <w:pPr>
        <w:pStyle w:val="3"/>
        <w:keepNext w:val="0"/>
        <w:keepLines w:val="0"/>
        <w:pageBreakBefore w:val="0"/>
        <w:widowControl w:val="0"/>
        <w:kinsoku/>
        <w:wordWrap/>
        <w:overflowPunct/>
        <w:topLinePunct w:val="0"/>
        <w:autoSpaceDE/>
        <w:autoSpaceDN/>
        <w:bidi w:val="0"/>
        <w:adjustRightInd w:val="0"/>
        <w:snapToGrid w:val="0"/>
        <w:spacing w:line="520" w:lineRule="exact"/>
        <w:ind w:leftChars="0" w:firstLine="482"/>
        <w:textAlignment w:val="auto"/>
        <w:rPr>
          <w:rFonts w:hint="eastAsia" w:ascii="仿宋" w:hAnsi="仿宋" w:eastAsia="仿宋"/>
          <w:sz w:val="28"/>
        </w:rPr>
      </w:pPr>
      <w:r>
        <w:rPr>
          <w:rFonts w:hint="eastAsia" w:ascii="仿宋" w:hAnsi="仿宋" w:eastAsia="仿宋"/>
          <w:sz w:val="28"/>
        </w:rPr>
        <w:t xml:space="preserve">         +土地开发费×开发周期×1/2×</w:t>
      </w:r>
      <w:r>
        <w:rPr>
          <w:rFonts w:hint="eastAsia" w:ascii="仿宋" w:hAnsi="仿宋" w:eastAsia="仿宋"/>
          <w:sz w:val="28"/>
          <w:lang w:val="en-US" w:eastAsia="zh-CN"/>
        </w:rPr>
        <w:t>4.35</w:t>
      </w:r>
      <w:r>
        <w:rPr>
          <w:rFonts w:hint="eastAsia" w:ascii="仿宋" w:hAnsi="仿宋" w:eastAsia="仿宋"/>
          <w:sz w:val="28"/>
        </w:rPr>
        <w:t>%</w:t>
      </w:r>
    </w:p>
    <w:p>
      <w:pPr>
        <w:pStyle w:val="3"/>
        <w:keepNext w:val="0"/>
        <w:keepLines w:val="0"/>
        <w:pageBreakBefore w:val="0"/>
        <w:widowControl w:val="0"/>
        <w:kinsoku/>
        <w:wordWrap/>
        <w:overflowPunct/>
        <w:topLinePunct w:val="0"/>
        <w:autoSpaceDE/>
        <w:autoSpaceDN/>
        <w:bidi w:val="0"/>
        <w:adjustRightInd w:val="0"/>
        <w:snapToGrid w:val="0"/>
        <w:spacing w:line="520" w:lineRule="exact"/>
        <w:ind w:leftChars="0" w:firstLine="482"/>
        <w:textAlignment w:val="auto"/>
        <w:rPr>
          <w:rFonts w:hint="eastAsia" w:ascii="仿宋" w:hAnsi="仿宋" w:eastAsia="仿宋"/>
          <w:sz w:val="28"/>
        </w:rPr>
      </w:pPr>
      <w:r>
        <w:rPr>
          <w:rFonts w:hint="eastAsia" w:ascii="仿宋" w:hAnsi="仿宋" w:eastAsia="仿宋"/>
          <w:sz w:val="28"/>
        </w:rPr>
        <w:t xml:space="preserve">        =</w:t>
      </w:r>
      <w:r>
        <w:rPr>
          <w:rFonts w:hint="eastAsia" w:ascii="仿宋" w:hAnsi="仿宋" w:eastAsia="仿宋"/>
          <w:sz w:val="28"/>
          <w:lang w:val="en-US" w:eastAsia="zh-CN"/>
        </w:rPr>
        <w:t>7.88</w:t>
      </w:r>
      <w:r>
        <w:rPr>
          <w:rFonts w:hint="eastAsia" w:ascii="仿宋" w:hAnsi="仿宋" w:eastAsia="仿宋"/>
          <w:sz w:val="28"/>
        </w:rPr>
        <w:t>（元/平方米）</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 w:hAnsi="仿宋" w:eastAsia="仿宋"/>
          <w:sz w:val="28"/>
          <w:szCs w:val="28"/>
        </w:rPr>
      </w:pPr>
      <w:r>
        <w:rPr>
          <w:rFonts w:hint="eastAsia" w:ascii="仿宋" w:hAnsi="仿宋" w:eastAsia="仿宋"/>
          <w:sz w:val="28"/>
          <w:szCs w:val="28"/>
        </w:rPr>
        <w:t>（5）投资利润</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相关税费和土地开发费之和的一定比率。估价人员调查当</w:t>
      </w:r>
      <w:r>
        <w:rPr>
          <w:rFonts w:hint="eastAsia" w:ascii="仿宋" w:hAnsi="仿宋" w:eastAsia="仿宋"/>
          <w:sz w:val="28"/>
          <w:szCs w:val="28"/>
          <w:lang w:eastAsia="zh-CN"/>
        </w:rPr>
        <w:t>同类用途</w:t>
      </w:r>
      <w:r>
        <w:rPr>
          <w:rFonts w:hint="eastAsia" w:ascii="仿宋" w:hAnsi="仿宋" w:eastAsia="仿宋"/>
          <w:sz w:val="28"/>
          <w:szCs w:val="28"/>
        </w:rPr>
        <w:t>投资回报情况，参考现行社会平均投资收益率水平，确定本次评估的年投资利润率为</w:t>
      </w:r>
      <w:r>
        <w:rPr>
          <w:rFonts w:hint="eastAsia" w:ascii="仿宋" w:hAnsi="仿宋" w:eastAsia="仿宋"/>
          <w:sz w:val="28"/>
          <w:szCs w:val="28"/>
          <w:lang w:val="en-US" w:eastAsia="zh-CN"/>
        </w:rPr>
        <w:t>5</w:t>
      </w:r>
      <w:r>
        <w:rPr>
          <w:rFonts w:hint="eastAsia" w:ascii="仿宋" w:hAnsi="仿宋" w:eastAsia="仿宋"/>
          <w:sz w:val="28"/>
          <w:szCs w:val="28"/>
        </w:rPr>
        <w:t>％，则</w:t>
      </w:r>
    </w:p>
    <w:p>
      <w:pPr>
        <w:keepNext w:val="0"/>
        <w:keepLines w:val="0"/>
        <w:pageBreakBefore w:val="0"/>
        <w:widowControl w:val="0"/>
        <w:kinsoku/>
        <w:wordWrap/>
        <w:overflowPunct/>
        <w:topLinePunct w:val="0"/>
        <w:autoSpaceDE/>
        <w:autoSpaceDN/>
        <w:bidi w:val="0"/>
        <w:spacing w:line="520" w:lineRule="exact"/>
        <w:ind w:firstLine="280" w:firstLineChars="100"/>
        <w:textAlignment w:val="auto"/>
        <w:rPr>
          <w:rFonts w:hint="eastAsia" w:ascii="仿宋" w:hAnsi="仿宋" w:eastAsia="仿宋"/>
          <w:sz w:val="28"/>
          <w:szCs w:val="28"/>
        </w:rPr>
      </w:pPr>
      <w:r>
        <w:rPr>
          <w:rFonts w:hint="eastAsia" w:ascii="仿宋" w:hAnsi="仿宋" w:eastAsia="仿宋"/>
          <w:sz w:val="28"/>
          <w:szCs w:val="28"/>
        </w:rPr>
        <w:t>投资利润=（土地取得费及税费+土地开发费）×</w:t>
      </w:r>
      <w:r>
        <w:rPr>
          <w:rFonts w:hint="eastAsia" w:ascii="仿宋" w:hAnsi="仿宋" w:eastAsia="仿宋"/>
          <w:sz w:val="28"/>
          <w:szCs w:val="28"/>
          <w:lang w:val="en-US" w:eastAsia="zh-CN"/>
        </w:rPr>
        <w:t>5</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=9.07</w:t>
      </w:r>
      <w:r>
        <w:rPr>
          <w:rFonts w:hint="eastAsia" w:ascii="仿宋" w:hAnsi="仿宋" w:eastAsia="仿宋"/>
          <w:sz w:val="28"/>
          <w:szCs w:val="28"/>
        </w:rPr>
        <w:t>（元/平方米）</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 w:hAnsi="仿宋" w:eastAsia="仿宋"/>
          <w:sz w:val="28"/>
          <w:szCs w:val="28"/>
        </w:rPr>
      </w:pPr>
      <w:r>
        <w:rPr>
          <w:rFonts w:hint="eastAsia" w:ascii="仿宋" w:hAnsi="仿宋" w:eastAsia="仿宋"/>
          <w:sz w:val="28"/>
          <w:szCs w:val="28"/>
        </w:rPr>
        <w:t>（6）土地成本价格=1+2+3+4+5=</w:t>
      </w:r>
      <w:r>
        <w:rPr>
          <w:rFonts w:hint="eastAsia" w:ascii="仿宋" w:hAnsi="仿宋" w:eastAsia="仿宋"/>
          <w:sz w:val="28"/>
          <w:szCs w:val="28"/>
          <w:lang w:val="en-US" w:eastAsia="zh-CN"/>
        </w:rPr>
        <w:t>198.28</w:t>
      </w:r>
      <w:r>
        <w:rPr>
          <w:rFonts w:hint="eastAsia" w:ascii="仿宋" w:hAnsi="仿宋" w:eastAsia="仿宋"/>
          <w:sz w:val="28"/>
          <w:szCs w:val="28"/>
        </w:rPr>
        <w:t>（元/平方米）(取整)</w:t>
      </w:r>
    </w:p>
    <w:p>
      <w:pPr>
        <w:keepNext w:val="0"/>
        <w:keepLines w:val="0"/>
        <w:pageBreakBefore w:val="0"/>
        <w:widowControl w:val="0"/>
        <w:kinsoku/>
        <w:wordWrap/>
        <w:overflowPunct/>
        <w:topLinePunct w:val="0"/>
        <w:autoSpaceDE/>
        <w:autoSpaceDN/>
        <w:bidi w:val="0"/>
        <w:spacing w:line="520" w:lineRule="exact"/>
        <w:ind w:right="40"/>
        <w:textAlignment w:val="auto"/>
        <w:rPr>
          <w:rFonts w:hint="eastAsia" w:ascii="仿宋" w:hAnsi="仿宋" w:eastAsia="仿宋"/>
          <w:sz w:val="28"/>
        </w:rPr>
      </w:pPr>
      <w:r>
        <w:rPr>
          <w:rFonts w:hint="eastAsia" w:ascii="仿宋" w:hAnsi="仿宋" w:eastAsia="仿宋"/>
          <w:sz w:val="28"/>
          <w:szCs w:val="28"/>
          <w:lang w:eastAsia="zh-CN"/>
        </w:rPr>
        <w:t>（</w:t>
      </w:r>
      <w:r>
        <w:rPr>
          <w:rFonts w:hint="eastAsia" w:ascii="仿宋" w:hAnsi="仿宋" w:eastAsia="仿宋"/>
          <w:sz w:val="28"/>
          <w:szCs w:val="28"/>
        </w:rPr>
        <w:t>7</w:t>
      </w:r>
      <w:r>
        <w:rPr>
          <w:rFonts w:hint="eastAsia" w:ascii="仿宋" w:hAnsi="仿宋" w:eastAsia="仿宋"/>
          <w:sz w:val="28"/>
          <w:szCs w:val="28"/>
          <w:lang w:eastAsia="zh-CN"/>
        </w:rPr>
        <w:t>）</w:t>
      </w:r>
      <w:r>
        <w:rPr>
          <w:rFonts w:hint="eastAsia" w:ascii="仿宋" w:hAnsi="仿宋" w:eastAsia="仿宋"/>
          <w:sz w:val="28"/>
        </w:rPr>
        <w:t>根据《城镇土地估价规程》(GB/T18508-2014)，结合估价对象的实际情况，通过估价人员调查估价对象所在区域内的位置和宗地条件，其区域因素</w:t>
      </w:r>
      <w:r>
        <w:rPr>
          <w:rFonts w:hint="eastAsia" w:ascii="仿宋" w:hAnsi="仿宋" w:eastAsia="仿宋"/>
          <w:sz w:val="28"/>
          <w:lang w:eastAsia="zh-CN"/>
        </w:rPr>
        <w:t>，</w:t>
      </w:r>
      <w:r>
        <w:rPr>
          <w:rFonts w:hint="eastAsia" w:ascii="仿宋" w:hAnsi="仿宋" w:eastAsia="仿宋"/>
          <w:sz w:val="28"/>
        </w:rPr>
        <w:t>修正如下：</w:t>
      </w:r>
    </w:p>
    <w:p>
      <w:pPr>
        <w:keepNext w:val="0"/>
        <w:keepLines w:val="0"/>
        <w:pageBreakBefore w:val="0"/>
        <w:widowControl w:val="0"/>
        <w:kinsoku/>
        <w:wordWrap/>
        <w:overflowPunct/>
        <w:topLinePunct w:val="0"/>
        <w:autoSpaceDE/>
        <w:autoSpaceDN/>
        <w:bidi w:val="0"/>
        <w:spacing w:line="520" w:lineRule="exact"/>
        <w:ind w:firstLine="560" w:firstLineChars="200"/>
        <w:textAlignment w:val="auto"/>
        <w:rPr>
          <w:rFonts w:hint="eastAsia" w:ascii="仿宋" w:hAnsi="仿宋" w:eastAsia="仿宋"/>
          <w:sz w:val="28"/>
        </w:rPr>
      </w:pPr>
      <w:r>
        <w:rPr>
          <w:rFonts w:hint="eastAsia" w:ascii="仿宋" w:hAnsi="仿宋" w:eastAsia="仿宋"/>
          <w:sz w:val="28"/>
          <w:lang w:eastAsia="zh-CN"/>
        </w:rPr>
        <w:t>谷城县</w:t>
      </w:r>
      <w:r>
        <w:rPr>
          <w:rFonts w:hint="eastAsia" w:ascii="仿宋" w:hAnsi="仿宋" w:eastAsia="仿宋"/>
          <w:sz w:val="28"/>
        </w:rPr>
        <w:t>区住宅用地区域因素修正包括：繁华程度、交通条件、基础设施状况、环境条件、人口状况、城市规划。根据估价人员调查了解，估价对象区域因素中基础设施状况较优、估价对象位于黄</w:t>
      </w:r>
      <w:r>
        <w:rPr>
          <w:rFonts w:hint="eastAsia" w:ascii="仿宋" w:hAnsi="仿宋" w:eastAsia="仿宋"/>
          <w:sz w:val="28"/>
          <w:lang w:eastAsia="zh-CN"/>
        </w:rPr>
        <w:t>岗村</w:t>
      </w:r>
      <w:r>
        <w:rPr>
          <w:rFonts w:hint="eastAsia" w:ascii="仿宋" w:hAnsi="仿宋" w:eastAsia="仿宋"/>
          <w:sz w:val="28"/>
        </w:rPr>
        <w:t>。结合《</w:t>
      </w:r>
      <w:r>
        <w:rPr>
          <w:rFonts w:hint="eastAsia" w:ascii="仿宋" w:hAnsi="仿宋" w:eastAsia="仿宋"/>
          <w:sz w:val="28"/>
          <w:lang w:eastAsia="zh-CN"/>
        </w:rPr>
        <w:t>谷城县</w:t>
      </w:r>
      <w:r>
        <w:rPr>
          <w:rFonts w:hint="eastAsia" w:ascii="仿宋" w:hAnsi="仿宋" w:eastAsia="仿宋"/>
          <w:sz w:val="28"/>
        </w:rPr>
        <w:t>区土地级别与基准地价更新技术报告》中《住宅用地宗地地价区域因素修正系数指标说明表》、《住宅用地宗地地价区域因素修正系数表》，综合确定区域因素修正系数为</w:t>
      </w:r>
      <w:r>
        <w:rPr>
          <w:rFonts w:hint="eastAsia" w:ascii="仿宋" w:hAnsi="仿宋" w:eastAsia="仿宋"/>
          <w:sz w:val="28"/>
          <w:lang w:val="en-US" w:eastAsia="zh-CN"/>
        </w:rPr>
        <w:t>-4.9393</w:t>
      </w:r>
      <w:r>
        <w:rPr>
          <w:rFonts w:hint="eastAsia" w:ascii="仿宋" w:hAnsi="仿宋" w:eastAsia="仿宋"/>
          <w:sz w:val="28"/>
        </w:rPr>
        <w:t>。</w:t>
      </w:r>
    </w:p>
    <w:p>
      <w:pPr>
        <w:spacing w:after="0" w:line="206" w:lineRule="exact"/>
        <w:ind w:left="2420"/>
        <w:rPr>
          <w:color w:val="auto"/>
          <w:sz w:val="20"/>
          <w:szCs w:val="20"/>
        </w:rPr>
      </w:pPr>
      <w:r>
        <w:rPr>
          <w:rFonts w:ascii="宋体" w:hAnsi="宋体" w:eastAsia="宋体" w:cs="宋体"/>
          <w:b/>
          <w:bCs/>
          <w:color w:val="auto"/>
          <w:sz w:val="18"/>
          <w:szCs w:val="18"/>
        </w:rPr>
        <w:t>表</w:t>
      </w:r>
      <w:r>
        <w:rPr>
          <w:rFonts w:hint="eastAsia" w:ascii="宋体" w:hAnsi="宋体" w:cs="宋体"/>
          <w:b/>
          <w:bCs/>
          <w:color w:val="auto"/>
          <w:sz w:val="18"/>
          <w:szCs w:val="18"/>
          <w:lang w:val="en-US" w:eastAsia="zh-CN"/>
        </w:rPr>
        <w:t>2</w:t>
      </w:r>
      <w:r>
        <w:rPr>
          <w:rFonts w:ascii="宋体" w:hAnsi="宋体" w:eastAsia="宋体" w:cs="宋体"/>
          <w:b/>
          <w:bCs/>
          <w:color w:val="auto"/>
          <w:sz w:val="18"/>
          <w:szCs w:val="18"/>
        </w:rPr>
        <w:t xml:space="preserve"> </w:t>
      </w:r>
      <w:r>
        <w:rPr>
          <w:rFonts w:ascii="MS PGothic" w:hAnsi="MS PGothic" w:eastAsia="MS PGothic" w:cs="MS PGothic"/>
          <w:b/>
          <w:bCs/>
          <w:color w:val="auto"/>
          <w:sz w:val="18"/>
          <w:szCs w:val="18"/>
        </w:rPr>
        <w:t>Ⅴ</w:t>
      </w:r>
      <w:r>
        <w:rPr>
          <w:rFonts w:ascii="宋体" w:hAnsi="宋体" w:eastAsia="宋体" w:cs="宋体"/>
          <w:b/>
          <w:bCs/>
          <w:color w:val="auto"/>
          <w:sz w:val="18"/>
          <w:szCs w:val="18"/>
        </w:rPr>
        <w:t>级住宅用地宗地地价区域因素修正系数指标说明表</w:t>
      </w:r>
    </w:p>
    <w:p>
      <w:pPr>
        <w:spacing w:after="0" w:line="129" w:lineRule="exact"/>
        <w:rPr>
          <w:color w:val="auto"/>
          <w:sz w:val="20"/>
          <w:szCs w:val="20"/>
        </w:rPr>
      </w:pP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0"/>
        <w:gridCol w:w="1840"/>
        <w:gridCol w:w="1100"/>
        <w:gridCol w:w="1260"/>
        <w:gridCol w:w="1140"/>
        <w:gridCol w:w="184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420" w:type="dxa"/>
            <w:vAlign w:val="bottom"/>
          </w:tcPr>
          <w:p>
            <w:pPr>
              <w:spacing w:after="0" w:line="206" w:lineRule="exact"/>
              <w:ind w:left="20"/>
              <w:rPr>
                <w:color w:val="auto"/>
                <w:sz w:val="20"/>
                <w:szCs w:val="20"/>
              </w:rPr>
            </w:pPr>
            <w:r>
              <w:rPr>
                <w:rFonts w:ascii="宋体" w:hAnsi="宋体" w:eastAsia="宋体" w:cs="宋体"/>
                <w:color w:val="auto"/>
                <w:w w:val="99"/>
                <w:sz w:val="18"/>
                <w:szCs w:val="18"/>
              </w:rPr>
              <w:t>因素</w:t>
            </w:r>
          </w:p>
        </w:tc>
        <w:tc>
          <w:tcPr>
            <w:tcW w:w="184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区域修正因子</w:t>
            </w:r>
          </w:p>
        </w:tc>
        <w:tc>
          <w:tcPr>
            <w:tcW w:w="110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优</w:t>
            </w:r>
          </w:p>
        </w:tc>
        <w:tc>
          <w:tcPr>
            <w:tcW w:w="126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较优</w:t>
            </w:r>
          </w:p>
        </w:tc>
        <w:tc>
          <w:tcPr>
            <w:tcW w:w="114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一般</w:t>
            </w:r>
          </w:p>
        </w:tc>
        <w:tc>
          <w:tcPr>
            <w:tcW w:w="184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较劣</w:t>
            </w:r>
          </w:p>
        </w:tc>
        <w:tc>
          <w:tcPr>
            <w:tcW w:w="96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420" w:type="dxa"/>
            <w:vMerge w:val="restart"/>
            <w:vAlign w:val="bottom"/>
          </w:tcPr>
          <w:p>
            <w:pPr>
              <w:spacing w:after="0" w:line="198" w:lineRule="exact"/>
              <w:ind w:left="20"/>
              <w:rPr>
                <w:rFonts w:ascii="宋体" w:hAnsi="宋体" w:eastAsia="宋体" w:cs="宋体"/>
                <w:color w:val="auto"/>
                <w:w w:val="99"/>
                <w:sz w:val="18"/>
                <w:szCs w:val="18"/>
              </w:rPr>
            </w:pPr>
            <w:r>
              <w:rPr>
                <w:rFonts w:ascii="宋体" w:hAnsi="宋体" w:eastAsia="宋体" w:cs="宋体"/>
                <w:color w:val="auto"/>
                <w:w w:val="99"/>
                <w:sz w:val="18"/>
                <w:szCs w:val="18"/>
              </w:rPr>
              <w:t>繁华</w:t>
            </w:r>
          </w:p>
          <w:p>
            <w:pPr>
              <w:spacing w:after="0" w:line="189" w:lineRule="exact"/>
              <w:ind w:left="20"/>
              <w:rPr>
                <w:color w:val="auto"/>
                <w:sz w:val="20"/>
                <w:szCs w:val="20"/>
              </w:rPr>
            </w:pPr>
            <w:r>
              <w:rPr>
                <w:rFonts w:ascii="宋体" w:hAnsi="宋体" w:eastAsia="宋体" w:cs="宋体"/>
                <w:color w:val="auto"/>
                <w:w w:val="99"/>
                <w:sz w:val="18"/>
                <w:szCs w:val="18"/>
              </w:rPr>
              <w:t>程度</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距离商服中心距离(米)</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1000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(1000,1500]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(1500,2000]</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8"/>
                <w:sz w:val="18"/>
                <w:szCs w:val="18"/>
              </w:rPr>
              <w:t>(2000,2500]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420" w:type="dxa"/>
            <w:vMerge w:val="continue"/>
            <w:vAlign w:val="bottom"/>
          </w:tcPr>
          <w:p>
            <w:pPr>
              <w:spacing w:after="0"/>
              <w:rPr>
                <w:color w:val="auto"/>
                <w:sz w:val="2"/>
                <w:szCs w:val="2"/>
              </w:rPr>
            </w:pPr>
          </w:p>
        </w:tc>
        <w:tc>
          <w:tcPr>
            <w:tcW w:w="1840" w:type="dxa"/>
            <w:vMerge w:val="restart"/>
            <w:vAlign w:val="bottom"/>
          </w:tcPr>
          <w:p>
            <w:pPr>
              <w:spacing w:after="0" w:line="194" w:lineRule="exact"/>
              <w:ind w:right="10"/>
              <w:jc w:val="center"/>
              <w:rPr>
                <w:color w:val="auto"/>
                <w:sz w:val="20"/>
                <w:szCs w:val="20"/>
              </w:rPr>
            </w:pPr>
            <w:r>
              <w:rPr>
                <w:rFonts w:ascii="宋体" w:hAnsi="宋体" w:eastAsia="宋体" w:cs="宋体"/>
                <w:color w:val="auto"/>
                <w:w w:val="98"/>
                <w:sz w:val="18"/>
                <w:szCs w:val="18"/>
              </w:rPr>
              <w:t>商服网点密度（个/KM</w:t>
            </w:r>
            <w:r>
              <w:rPr>
                <w:rFonts w:ascii="宋体" w:hAnsi="宋体" w:eastAsia="宋体" w:cs="宋体"/>
                <w:color w:val="auto"/>
                <w:w w:val="98"/>
                <w:sz w:val="18"/>
                <w:szCs w:val="18"/>
                <w:vertAlign w:val="superscript"/>
              </w:rPr>
              <w:t>2</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60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[45,60)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[30,45)</w:t>
            </w:r>
          </w:p>
        </w:tc>
        <w:tc>
          <w:tcPr>
            <w:tcW w:w="1840" w:type="dxa"/>
            <w:vMerge w:val="restart"/>
            <w:vAlign w:val="bottom"/>
          </w:tcPr>
          <w:p>
            <w:pPr>
              <w:spacing w:after="0" w:line="194" w:lineRule="exact"/>
              <w:jc w:val="center"/>
              <w:rPr>
                <w:color w:val="auto"/>
                <w:sz w:val="20"/>
                <w:szCs w:val="20"/>
              </w:rPr>
            </w:pPr>
            <w:r>
              <w:rPr>
                <w:rFonts w:ascii="宋体" w:hAnsi="宋体" w:eastAsia="宋体" w:cs="宋体"/>
                <w:color w:val="auto"/>
                <w:w w:val="98"/>
                <w:sz w:val="18"/>
                <w:szCs w:val="18"/>
              </w:rPr>
              <w:t>[15,30)</w:t>
            </w:r>
          </w:p>
        </w:tc>
        <w:tc>
          <w:tcPr>
            <w:tcW w:w="960" w:type="dxa"/>
            <w:vMerge w:val="restart"/>
            <w:vAlign w:val="bottom"/>
          </w:tcPr>
          <w:p>
            <w:pPr>
              <w:spacing w:after="0" w:line="194" w:lineRule="exact"/>
              <w:jc w:val="center"/>
              <w:rPr>
                <w:color w:val="auto"/>
                <w:sz w:val="20"/>
                <w:szCs w:val="20"/>
              </w:rPr>
            </w:pPr>
            <w:r>
              <w:rPr>
                <w:rFonts w:ascii="宋体" w:hAnsi="宋体" w:eastAsia="宋体" w:cs="宋体"/>
                <w:color w:val="auto"/>
                <w:w w:val="99"/>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420" w:type="dxa"/>
            <w:vMerge w:val="restart"/>
            <w:vAlign w:val="bottom"/>
          </w:tcPr>
          <w:p>
            <w:pPr>
              <w:spacing w:after="0" w:line="206" w:lineRule="exact"/>
              <w:ind w:left="20"/>
              <w:rPr>
                <w:color w:val="auto"/>
                <w:sz w:val="20"/>
                <w:szCs w:val="20"/>
              </w:rPr>
            </w:pPr>
            <w:r>
              <w:rPr>
                <w:rFonts w:ascii="宋体" w:hAnsi="宋体" w:eastAsia="宋体" w:cs="宋体"/>
                <w:color w:val="auto"/>
                <w:w w:val="99"/>
                <w:sz w:val="18"/>
                <w:szCs w:val="18"/>
              </w:rPr>
              <w:t>交通</w:t>
            </w:r>
          </w:p>
          <w:p>
            <w:pPr>
              <w:spacing w:after="0" w:line="206" w:lineRule="exact"/>
              <w:ind w:left="20"/>
              <w:rPr>
                <w:color w:val="auto"/>
                <w:sz w:val="20"/>
                <w:szCs w:val="20"/>
              </w:rPr>
            </w:pPr>
            <w:r>
              <w:rPr>
                <w:rFonts w:ascii="宋体" w:hAnsi="宋体" w:eastAsia="宋体" w:cs="宋体"/>
                <w:color w:val="auto"/>
                <w:w w:val="99"/>
                <w:sz w:val="18"/>
                <w:szCs w:val="18"/>
              </w:rPr>
              <w:t>条件</w:t>
            </w:r>
          </w:p>
        </w:tc>
        <w:tc>
          <w:tcPr>
            <w:tcW w:w="184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临街道路类型</w:t>
            </w:r>
          </w:p>
        </w:tc>
        <w:tc>
          <w:tcPr>
            <w:tcW w:w="1100" w:type="dxa"/>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w w:val="99"/>
                <w:sz w:val="18"/>
                <w:szCs w:val="18"/>
              </w:rPr>
              <w:t>临生活型主</w:t>
            </w:r>
          </w:p>
          <w:p>
            <w:pPr>
              <w:spacing w:after="0" w:line="206" w:lineRule="exact"/>
              <w:jc w:val="center"/>
              <w:rPr>
                <w:color w:val="auto"/>
                <w:sz w:val="20"/>
                <w:szCs w:val="20"/>
              </w:rPr>
            </w:pPr>
            <w:r>
              <w:rPr>
                <w:rFonts w:ascii="宋体" w:hAnsi="宋体" w:eastAsia="宋体" w:cs="宋体"/>
                <w:color w:val="auto"/>
                <w:w w:val="99"/>
                <w:sz w:val="18"/>
                <w:szCs w:val="18"/>
              </w:rPr>
              <w:t>干道</w:t>
            </w:r>
          </w:p>
        </w:tc>
        <w:tc>
          <w:tcPr>
            <w:tcW w:w="1260" w:type="dxa"/>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w w:val="99"/>
                <w:sz w:val="18"/>
                <w:szCs w:val="18"/>
              </w:rPr>
              <w:t>临混合型主干</w:t>
            </w:r>
          </w:p>
          <w:p>
            <w:pPr>
              <w:spacing w:after="0" w:line="206" w:lineRule="exact"/>
              <w:jc w:val="center"/>
              <w:rPr>
                <w:color w:val="auto"/>
                <w:sz w:val="20"/>
                <w:szCs w:val="20"/>
              </w:rPr>
            </w:pPr>
            <w:r>
              <w:rPr>
                <w:rFonts w:ascii="宋体" w:hAnsi="宋体" w:eastAsia="宋体" w:cs="宋体"/>
                <w:color w:val="auto"/>
                <w:w w:val="99"/>
                <w:sz w:val="18"/>
                <w:szCs w:val="18"/>
              </w:rPr>
              <w:t>道</w:t>
            </w:r>
          </w:p>
        </w:tc>
        <w:tc>
          <w:tcPr>
            <w:tcW w:w="1140" w:type="dxa"/>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w w:val="99"/>
                <w:sz w:val="18"/>
                <w:szCs w:val="18"/>
              </w:rPr>
              <w:t>临交通型主</w:t>
            </w:r>
          </w:p>
          <w:p>
            <w:pPr>
              <w:spacing w:after="0" w:line="206" w:lineRule="exact"/>
              <w:jc w:val="center"/>
              <w:rPr>
                <w:color w:val="auto"/>
                <w:sz w:val="20"/>
                <w:szCs w:val="20"/>
              </w:rPr>
            </w:pPr>
            <w:r>
              <w:rPr>
                <w:rFonts w:ascii="宋体" w:hAnsi="宋体" w:eastAsia="宋体" w:cs="宋体"/>
                <w:color w:val="auto"/>
                <w:w w:val="99"/>
                <w:sz w:val="18"/>
                <w:szCs w:val="18"/>
              </w:rPr>
              <w:t>干道</w:t>
            </w:r>
          </w:p>
        </w:tc>
        <w:tc>
          <w:tcPr>
            <w:tcW w:w="184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临次干道</w:t>
            </w:r>
          </w:p>
        </w:tc>
        <w:tc>
          <w:tcPr>
            <w:tcW w:w="960" w:type="dxa"/>
            <w:vAlign w:val="bottom"/>
          </w:tcPr>
          <w:p>
            <w:pPr>
              <w:spacing w:after="0" w:line="206" w:lineRule="exact"/>
              <w:jc w:val="center"/>
              <w:rPr>
                <w:color w:val="auto"/>
                <w:sz w:val="20"/>
                <w:szCs w:val="20"/>
              </w:rPr>
            </w:pPr>
            <w:r>
              <w:rPr>
                <w:rFonts w:ascii="宋体" w:hAnsi="宋体" w:eastAsia="宋体" w:cs="宋体"/>
                <w:color w:val="auto"/>
                <w:w w:val="99"/>
                <w:sz w:val="18"/>
                <w:szCs w:val="18"/>
              </w:rPr>
              <w:t>临支路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420" w:type="dxa"/>
            <w:vMerge w:val="continue"/>
            <w:vAlign w:val="bottom"/>
          </w:tcPr>
          <w:p>
            <w:pPr>
              <w:spacing w:after="0"/>
              <w:rPr>
                <w:color w:val="auto"/>
                <w:sz w:val="7"/>
                <w:szCs w:val="7"/>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距公交站点状况(条)</w:t>
            </w:r>
          </w:p>
        </w:tc>
        <w:tc>
          <w:tcPr>
            <w:tcW w:w="1100" w:type="dxa"/>
            <w:vAlign w:val="bottom"/>
          </w:tcPr>
          <w:p>
            <w:pPr>
              <w:spacing w:after="0" w:line="194" w:lineRule="exact"/>
              <w:jc w:val="center"/>
              <w:rPr>
                <w:color w:val="auto"/>
                <w:sz w:val="20"/>
                <w:szCs w:val="20"/>
              </w:rPr>
            </w:pPr>
            <w:r>
              <w:rPr>
                <w:rFonts w:ascii="宋体" w:hAnsi="宋体" w:eastAsia="宋体" w:cs="宋体"/>
                <w:color w:val="auto"/>
                <w:sz w:val="18"/>
                <w:szCs w:val="18"/>
              </w:rPr>
              <w:t>4</w:t>
            </w:r>
          </w:p>
        </w:tc>
        <w:tc>
          <w:tcPr>
            <w:tcW w:w="1260" w:type="dxa"/>
            <w:vAlign w:val="bottom"/>
          </w:tcPr>
          <w:p>
            <w:pPr>
              <w:spacing w:after="0" w:line="194" w:lineRule="exact"/>
              <w:jc w:val="center"/>
              <w:rPr>
                <w:color w:val="auto"/>
                <w:sz w:val="20"/>
                <w:szCs w:val="20"/>
              </w:rPr>
            </w:pPr>
            <w:r>
              <w:rPr>
                <w:rFonts w:ascii="宋体" w:hAnsi="宋体" w:eastAsia="宋体" w:cs="宋体"/>
                <w:color w:val="auto"/>
                <w:w w:val="88"/>
                <w:sz w:val="18"/>
                <w:szCs w:val="18"/>
              </w:rPr>
              <w:t>3</w:t>
            </w:r>
          </w:p>
        </w:tc>
        <w:tc>
          <w:tcPr>
            <w:tcW w:w="1140" w:type="dxa"/>
            <w:vAlign w:val="bottom"/>
          </w:tcPr>
          <w:p>
            <w:pPr>
              <w:spacing w:after="0" w:line="194" w:lineRule="exact"/>
              <w:jc w:val="center"/>
              <w:rPr>
                <w:color w:val="auto"/>
                <w:sz w:val="20"/>
                <w:szCs w:val="20"/>
              </w:rPr>
            </w:pPr>
            <w:r>
              <w:rPr>
                <w:rFonts w:ascii="宋体" w:hAnsi="宋体" w:eastAsia="宋体" w:cs="宋体"/>
                <w:color w:val="auto"/>
                <w:w w:val="88"/>
                <w:sz w:val="18"/>
                <w:szCs w:val="18"/>
              </w:rPr>
              <w:t>2</w:t>
            </w:r>
          </w:p>
        </w:tc>
        <w:tc>
          <w:tcPr>
            <w:tcW w:w="1840" w:type="dxa"/>
            <w:vAlign w:val="bottom"/>
          </w:tcPr>
          <w:p>
            <w:pPr>
              <w:spacing w:after="0" w:line="194" w:lineRule="exact"/>
              <w:jc w:val="center"/>
              <w:rPr>
                <w:color w:val="auto"/>
                <w:sz w:val="20"/>
                <w:szCs w:val="20"/>
              </w:rPr>
            </w:pPr>
            <w:r>
              <w:rPr>
                <w:rFonts w:ascii="宋体" w:hAnsi="宋体" w:eastAsia="宋体" w:cs="宋体"/>
                <w:color w:val="auto"/>
                <w:sz w:val="18"/>
                <w:szCs w:val="18"/>
              </w:rPr>
              <w:t>1</w:t>
            </w:r>
          </w:p>
        </w:tc>
        <w:tc>
          <w:tcPr>
            <w:tcW w:w="960" w:type="dxa"/>
            <w:vAlign w:val="bottom"/>
          </w:tcPr>
          <w:p>
            <w:pPr>
              <w:spacing w:after="0" w:line="194" w:lineRule="exact"/>
              <w:jc w:val="center"/>
              <w:rPr>
                <w:color w:val="auto"/>
                <w:sz w:val="20"/>
                <w:szCs w:val="20"/>
              </w:rPr>
            </w:pPr>
            <w:r>
              <w:rPr>
                <w:rFonts w:ascii="宋体" w:hAnsi="宋体" w:eastAsia="宋体" w:cs="宋体"/>
                <w:color w:val="auto"/>
                <w:w w:val="88"/>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420" w:type="dxa"/>
            <w:vMerge w:val="continue"/>
            <w:vAlign w:val="bottom"/>
          </w:tcPr>
          <w:p>
            <w:pPr>
              <w:spacing w:after="0"/>
              <w:rPr>
                <w:color w:val="auto"/>
                <w:sz w:val="6"/>
                <w:szCs w:val="6"/>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距火车站距离(米)</w:t>
            </w:r>
          </w:p>
        </w:tc>
        <w:tc>
          <w:tcPr>
            <w:tcW w:w="110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(200,1500]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(1500,1800]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200</w:t>
            </w:r>
            <w:r>
              <w:rPr>
                <w:rFonts w:ascii="Arial" w:hAnsi="Arial" w:eastAsia="Arial" w:cs="Arial"/>
                <w:color w:val="auto"/>
                <w:sz w:val="18"/>
                <w:szCs w:val="18"/>
              </w:rPr>
              <w:t xml:space="preserve"> </w:t>
            </w:r>
            <w:r>
              <w:rPr>
                <w:rFonts w:ascii="宋体" w:hAnsi="宋体" w:eastAsia="宋体" w:cs="宋体"/>
                <w:color w:val="auto"/>
                <w:sz w:val="18"/>
                <w:szCs w:val="18"/>
              </w:rPr>
              <w:t>或(2100,2500]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20" w:type="dxa"/>
            <w:vMerge w:val="continue"/>
            <w:vAlign w:val="bottom"/>
          </w:tcPr>
          <w:p>
            <w:pPr>
              <w:spacing w:after="0"/>
              <w:rPr>
                <w:color w:val="auto"/>
                <w:sz w:val="16"/>
                <w:szCs w:val="16"/>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距长途汽车站距离(米)</w:t>
            </w:r>
          </w:p>
        </w:tc>
        <w:tc>
          <w:tcPr>
            <w:tcW w:w="110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(200,1500]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(1500,1800]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200</w:t>
            </w:r>
            <w:r>
              <w:rPr>
                <w:rFonts w:ascii="Arial" w:hAnsi="Arial" w:eastAsia="Arial" w:cs="Arial"/>
                <w:color w:val="auto"/>
                <w:sz w:val="18"/>
                <w:szCs w:val="18"/>
              </w:rPr>
              <w:t xml:space="preserve"> </w:t>
            </w:r>
            <w:r>
              <w:rPr>
                <w:rFonts w:ascii="宋体" w:hAnsi="宋体" w:eastAsia="宋体" w:cs="宋体"/>
                <w:color w:val="auto"/>
                <w:sz w:val="18"/>
                <w:szCs w:val="18"/>
              </w:rPr>
              <w:t>或(2100,2500]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trPr>
        <w:tc>
          <w:tcPr>
            <w:tcW w:w="420" w:type="dxa"/>
            <w:vMerge w:val="restart"/>
            <w:vAlign w:val="bottom"/>
          </w:tcPr>
          <w:p>
            <w:pPr>
              <w:spacing w:after="0" w:line="206" w:lineRule="exact"/>
              <w:ind w:left="20"/>
              <w:rPr>
                <w:color w:val="auto"/>
                <w:sz w:val="20"/>
                <w:szCs w:val="20"/>
              </w:rPr>
            </w:pPr>
            <w:r>
              <w:rPr>
                <w:rFonts w:ascii="宋体" w:hAnsi="宋体" w:eastAsia="宋体" w:cs="宋体"/>
                <w:color w:val="auto"/>
                <w:w w:val="99"/>
                <w:sz w:val="18"/>
                <w:szCs w:val="18"/>
              </w:rPr>
              <w:t>基础</w:t>
            </w:r>
          </w:p>
          <w:p>
            <w:pPr>
              <w:spacing w:after="0" w:line="206" w:lineRule="exact"/>
              <w:ind w:left="20"/>
              <w:rPr>
                <w:color w:val="auto"/>
                <w:sz w:val="20"/>
                <w:szCs w:val="20"/>
              </w:rPr>
            </w:pPr>
            <w:r>
              <w:rPr>
                <w:rFonts w:ascii="宋体" w:hAnsi="宋体" w:eastAsia="宋体" w:cs="宋体"/>
                <w:color w:val="auto"/>
                <w:w w:val="99"/>
                <w:sz w:val="18"/>
                <w:szCs w:val="18"/>
              </w:rPr>
              <w:t>公共</w:t>
            </w:r>
          </w:p>
          <w:p>
            <w:pPr>
              <w:spacing w:after="0" w:line="206" w:lineRule="exact"/>
              <w:ind w:left="20"/>
              <w:rPr>
                <w:color w:val="auto"/>
                <w:sz w:val="20"/>
                <w:szCs w:val="20"/>
              </w:rPr>
            </w:pPr>
            <w:r>
              <w:rPr>
                <w:rFonts w:ascii="宋体" w:hAnsi="宋体" w:eastAsia="宋体" w:cs="宋体"/>
                <w:color w:val="auto"/>
                <w:w w:val="99"/>
                <w:sz w:val="18"/>
                <w:szCs w:val="18"/>
              </w:rPr>
              <w:t>设施</w:t>
            </w:r>
          </w:p>
          <w:p>
            <w:pPr>
              <w:spacing w:after="0" w:line="206" w:lineRule="exact"/>
              <w:ind w:left="20"/>
              <w:rPr>
                <w:color w:val="auto"/>
                <w:sz w:val="20"/>
                <w:szCs w:val="20"/>
              </w:rPr>
            </w:pPr>
            <w:r>
              <w:rPr>
                <w:rFonts w:ascii="宋体" w:hAnsi="宋体" w:eastAsia="宋体" w:cs="宋体"/>
                <w:color w:val="auto"/>
                <w:w w:val="99"/>
                <w:sz w:val="18"/>
                <w:szCs w:val="18"/>
              </w:rPr>
              <w:t>状况</w:t>
            </w:r>
          </w:p>
        </w:tc>
        <w:tc>
          <w:tcPr>
            <w:tcW w:w="1840" w:type="dxa"/>
            <w:vAlign w:val="bottom"/>
          </w:tcPr>
          <w:p>
            <w:pPr>
              <w:spacing w:after="0" w:line="194" w:lineRule="exact"/>
              <w:jc w:val="center"/>
              <w:rPr>
                <w:color w:val="auto"/>
                <w:sz w:val="20"/>
                <w:szCs w:val="20"/>
              </w:rPr>
            </w:pPr>
            <w:r>
              <w:rPr>
                <w:rFonts w:ascii="宋体" w:hAnsi="宋体" w:eastAsia="宋体" w:cs="宋体"/>
                <w:color w:val="auto"/>
                <w:sz w:val="18"/>
                <w:szCs w:val="18"/>
              </w:rPr>
              <w:t>供电状况(%)</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99</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[98,99)</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[97,98)</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8"/>
                <w:sz w:val="18"/>
                <w:szCs w:val="18"/>
              </w:rPr>
              <w:t>[96,97)</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trPr>
        <w:tc>
          <w:tcPr>
            <w:tcW w:w="420" w:type="dxa"/>
            <w:vMerge w:val="continue"/>
            <w:vAlign w:val="bottom"/>
          </w:tcPr>
          <w:p>
            <w:pPr>
              <w:spacing w:after="0"/>
              <w:rPr>
                <w:color w:val="auto"/>
                <w:sz w:val="16"/>
                <w:szCs w:val="16"/>
              </w:rPr>
            </w:pPr>
          </w:p>
        </w:tc>
        <w:tc>
          <w:tcPr>
            <w:tcW w:w="1840" w:type="dxa"/>
            <w:vAlign w:val="bottom"/>
          </w:tcPr>
          <w:p>
            <w:pPr>
              <w:spacing w:after="0" w:line="194" w:lineRule="exact"/>
              <w:jc w:val="center"/>
              <w:rPr>
                <w:color w:val="auto"/>
                <w:sz w:val="20"/>
                <w:szCs w:val="20"/>
              </w:rPr>
            </w:pPr>
            <w:r>
              <w:rPr>
                <w:rFonts w:ascii="宋体" w:hAnsi="宋体" w:eastAsia="宋体" w:cs="宋体"/>
                <w:color w:val="auto"/>
                <w:sz w:val="18"/>
                <w:szCs w:val="18"/>
              </w:rPr>
              <w:t>供水状况(%)</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99</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[98,99)</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[97,98)</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8"/>
                <w:sz w:val="18"/>
                <w:szCs w:val="18"/>
              </w:rPr>
              <w:t>[96,97)</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 w:hRule="atLeast"/>
        </w:trPr>
        <w:tc>
          <w:tcPr>
            <w:tcW w:w="420" w:type="dxa"/>
            <w:vMerge w:val="continue"/>
            <w:vAlign w:val="bottom"/>
          </w:tcPr>
          <w:p>
            <w:pPr>
              <w:spacing w:after="0"/>
              <w:rPr>
                <w:color w:val="auto"/>
                <w:sz w:val="17"/>
                <w:szCs w:val="17"/>
              </w:rPr>
            </w:pPr>
          </w:p>
        </w:tc>
        <w:tc>
          <w:tcPr>
            <w:tcW w:w="1840" w:type="dxa"/>
            <w:vAlign w:val="bottom"/>
          </w:tcPr>
          <w:p>
            <w:pPr>
              <w:spacing w:after="0" w:line="196" w:lineRule="exact"/>
              <w:jc w:val="center"/>
              <w:rPr>
                <w:color w:val="auto"/>
                <w:sz w:val="20"/>
                <w:szCs w:val="20"/>
              </w:rPr>
            </w:pPr>
            <w:r>
              <w:rPr>
                <w:rFonts w:ascii="宋体" w:hAnsi="宋体" w:eastAsia="宋体" w:cs="宋体"/>
                <w:color w:val="auto"/>
                <w:sz w:val="18"/>
                <w:szCs w:val="18"/>
              </w:rPr>
              <w:t>排水状况(%)</w:t>
            </w:r>
          </w:p>
        </w:tc>
        <w:tc>
          <w:tcPr>
            <w:tcW w:w="1100" w:type="dxa"/>
            <w:vAlign w:val="bottom"/>
          </w:tcPr>
          <w:p>
            <w:pPr>
              <w:spacing w:after="0" w:line="196"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96</w:t>
            </w:r>
          </w:p>
        </w:tc>
        <w:tc>
          <w:tcPr>
            <w:tcW w:w="1260" w:type="dxa"/>
            <w:vAlign w:val="bottom"/>
          </w:tcPr>
          <w:p>
            <w:pPr>
              <w:spacing w:after="0" w:line="196" w:lineRule="exact"/>
              <w:jc w:val="center"/>
              <w:rPr>
                <w:color w:val="auto"/>
                <w:sz w:val="20"/>
                <w:szCs w:val="20"/>
              </w:rPr>
            </w:pPr>
            <w:r>
              <w:rPr>
                <w:rFonts w:ascii="宋体" w:hAnsi="宋体" w:eastAsia="宋体" w:cs="宋体"/>
                <w:color w:val="auto"/>
                <w:sz w:val="18"/>
                <w:szCs w:val="18"/>
              </w:rPr>
              <w:t>[92,96)</w:t>
            </w:r>
          </w:p>
        </w:tc>
        <w:tc>
          <w:tcPr>
            <w:tcW w:w="1140" w:type="dxa"/>
            <w:vAlign w:val="bottom"/>
          </w:tcPr>
          <w:p>
            <w:pPr>
              <w:spacing w:after="0" w:line="196" w:lineRule="exact"/>
              <w:jc w:val="center"/>
              <w:rPr>
                <w:color w:val="auto"/>
                <w:sz w:val="20"/>
                <w:szCs w:val="20"/>
              </w:rPr>
            </w:pPr>
            <w:r>
              <w:rPr>
                <w:rFonts w:ascii="宋体" w:hAnsi="宋体" w:eastAsia="宋体" w:cs="宋体"/>
                <w:color w:val="auto"/>
                <w:sz w:val="18"/>
                <w:szCs w:val="18"/>
              </w:rPr>
              <w:t>[88,92)</w:t>
            </w:r>
          </w:p>
        </w:tc>
        <w:tc>
          <w:tcPr>
            <w:tcW w:w="1840" w:type="dxa"/>
            <w:vAlign w:val="bottom"/>
          </w:tcPr>
          <w:p>
            <w:pPr>
              <w:spacing w:after="0" w:line="196" w:lineRule="exact"/>
              <w:jc w:val="center"/>
              <w:rPr>
                <w:color w:val="auto"/>
                <w:sz w:val="20"/>
                <w:szCs w:val="20"/>
              </w:rPr>
            </w:pPr>
            <w:r>
              <w:rPr>
                <w:rFonts w:ascii="宋体" w:hAnsi="宋体" w:eastAsia="宋体" w:cs="宋体"/>
                <w:color w:val="auto"/>
                <w:w w:val="98"/>
                <w:sz w:val="18"/>
                <w:szCs w:val="18"/>
              </w:rPr>
              <w:t>[84,88)</w:t>
            </w:r>
          </w:p>
        </w:tc>
        <w:tc>
          <w:tcPr>
            <w:tcW w:w="960" w:type="dxa"/>
            <w:vAlign w:val="bottom"/>
          </w:tcPr>
          <w:p>
            <w:pPr>
              <w:spacing w:after="0" w:line="196" w:lineRule="exact"/>
              <w:jc w:val="center"/>
              <w:rPr>
                <w:color w:val="auto"/>
                <w:sz w:val="20"/>
                <w:szCs w:val="20"/>
              </w:rPr>
            </w:pPr>
            <w:r>
              <w:rPr>
                <w:rFonts w:ascii="宋体" w:hAnsi="宋体" w:eastAsia="宋体" w:cs="宋体"/>
                <w:color w:val="auto"/>
                <w:w w:val="99"/>
                <w:sz w:val="18"/>
                <w:szCs w:val="1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trPr>
        <w:tc>
          <w:tcPr>
            <w:tcW w:w="420" w:type="dxa"/>
            <w:vMerge w:val="continue"/>
            <w:vAlign w:val="bottom"/>
          </w:tcPr>
          <w:p>
            <w:pPr>
              <w:spacing w:after="0"/>
              <w:rPr>
                <w:color w:val="auto"/>
                <w:sz w:val="19"/>
                <w:szCs w:val="19"/>
              </w:rPr>
            </w:pPr>
          </w:p>
        </w:tc>
        <w:tc>
          <w:tcPr>
            <w:tcW w:w="1840" w:type="dxa"/>
            <w:vAlign w:val="bottom"/>
          </w:tcPr>
          <w:p>
            <w:pPr>
              <w:spacing w:after="0" w:line="194" w:lineRule="exact"/>
              <w:jc w:val="center"/>
              <w:rPr>
                <w:color w:val="auto"/>
                <w:sz w:val="20"/>
                <w:szCs w:val="20"/>
              </w:rPr>
            </w:pPr>
            <w:r>
              <w:rPr>
                <w:rFonts w:ascii="宋体" w:hAnsi="宋体" w:eastAsia="宋体" w:cs="宋体"/>
                <w:color w:val="auto"/>
                <w:sz w:val="18"/>
                <w:szCs w:val="18"/>
              </w:rPr>
              <w:t>供气状况(%)</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99</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[98,99)</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[97,98)</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8"/>
                <w:sz w:val="18"/>
                <w:szCs w:val="18"/>
              </w:rPr>
              <w:t>[96,97)</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 w:hRule="atLeast"/>
        </w:trPr>
        <w:tc>
          <w:tcPr>
            <w:tcW w:w="420" w:type="dxa"/>
            <w:vMerge w:val="continue"/>
            <w:vAlign w:val="bottom"/>
          </w:tcPr>
          <w:p>
            <w:pPr>
              <w:spacing w:after="0" w:line="206" w:lineRule="exact"/>
              <w:ind w:left="20"/>
              <w:rPr>
                <w:color w:val="auto"/>
                <w:sz w:val="20"/>
                <w:szCs w:val="20"/>
              </w:rPr>
            </w:pPr>
          </w:p>
        </w:tc>
        <w:tc>
          <w:tcPr>
            <w:tcW w:w="1840" w:type="dxa"/>
            <w:vAlign w:val="bottom"/>
          </w:tcPr>
          <w:p>
            <w:pPr>
              <w:spacing w:after="0" w:line="196" w:lineRule="exact"/>
              <w:jc w:val="center"/>
              <w:rPr>
                <w:color w:val="auto"/>
                <w:sz w:val="20"/>
                <w:szCs w:val="20"/>
              </w:rPr>
            </w:pPr>
            <w:r>
              <w:rPr>
                <w:rFonts w:ascii="宋体" w:hAnsi="宋体" w:eastAsia="宋体" w:cs="宋体"/>
                <w:color w:val="auto"/>
                <w:w w:val="99"/>
                <w:sz w:val="18"/>
                <w:szCs w:val="18"/>
              </w:rPr>
              <w:t>距中学的距离(米)</w:t>
            </w:r>
          </w:p>
        </w:tc>
        <w:tc>
          <w:tcPr>
            <w:tcW w:w="1100" w:type="dxa"/>
            <w:vAlign w:val="bottom"/>
          </w:tcPr>
          <w:p>
            <w:pPr>
              <w:spacing w:after="0" w:line="196" w:lineRule="exact"/>
              <w:jc w:val="center"/>
              <w:rPr>
                <w:color w:val="auto"/>
                <w:sz w:val="20"/>
                <w:szCs w:val="20"/>
              </w:rPr>
            </w:pPr>
            <w:r>
              <w:rPr>
                <w:rFonts w:ascii="宋体" w:hAnsi="宋体" w:eastAsia="宋体" w:cs="宋体"/>
                <w:color w:val="auto"/>
                <w:w w:val="99"/>
                <w:sz w:val="18"/>
                <w:szCs w:val="18"/>
              </w:rPr>
              <w:t>(100,1600]</w:t>
            </w:r>
          </w:p>
        </w:tc>
        <w:tc>
          <w:tcPr>
            <w:tcW w:w="1260" w:type="dxa"/>
            <w:vAlign w:val="bottom"/>
          </w:tcPr>
          <w:p>
            <w:pPr>
              <w:spacing w:after="0" w:line="196" w:lineRule="exact"/>
              <w:jc w:val="center"/>
              <w:rPr>
                <w:color w:val="auto"/>
                <w:sz w:val="20"/>
                <w:szCs w:val="20"/>
              </w:rPr>
            </w:pPr>
            <w:r>
              <w:rPr>
                <w:rFonts w:ascii="宋体" w:hAnsi="宋体" w:eastAsia="宋体" w:cs="宋体"/>
                <w:color w:val="auto"/>
                <w:sz w:val="18"/>
                <w:szCs w:val="18"/>
              </w:rPr>
              <w:t>(1600,1800]</w:t>
            </w:r>
          </w:p>
        </w:tc>
        <w:tc>
          <w:tcPr>
            <w:tcW w:w="1140" w:type="dxa"/>
            <w:vAlign w:val="bottom"/>
          </w:tcPr>
          <w:p>
            <w:pPr>
              <w:spacing w:after="0" w:line="196"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6"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100</w:t>
            </w:r>
            <w:r>
              <w:rPr>
                <w:rFonts w:ascii="Arial" w:hAnsi="Arial" w:eastAsia="Arial" w:cs="Arial"/>
                <w:color w:val="auto"/>
                <w:sz w:val="18"/>
                <w:szCs w:val="18"/>
              </w:rPr>
              <w:t xml:space="preserve"> </w:t>
            </w:r>
            <w:r>
              <w:rPr>
                <w:rFonts w:ascii="宋体" w:hAnsi="宋体" w:eastAsia="宋体" w:cs="宋体"/>
                <w:color w:val="auto"/>
                <w:sz w:val="18"/>
                <w:szCs w:val="18"/>
              </w:rPr>
              <w:t>或(2100,2500]</w:t>
            </w:r>
          </w:p>
        </w:tc>
        <w:tc>
          <w:tcPr>
            <w:tcW w:w="960" w:type="dxa"/>
            <w:vAlign w:val="bottom"/>
          </w:tcPr>
          <w:p>
            <w:pPr>
              <w:spacing w:after="0" w:line="196"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20" w:type="dxa"/>
            <w:vMerge w:val="continue"/>
            <w:vAlign w:val="bottom"/>
          </w:tcPr>
          <w:p>
            <w:pPr>
              <w:spacing w:after="0"/>
              <w:rPr>
                <w:color w:val="auto"/>
                <w:sz w:val="7"/>
                <w:szCs w:val="7"/>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距小学的距离(米)</w:t>
            </w:r>
          </w:p>
        </w:tc>
        <w:tc>
          <w:tcPr>
            <w:tcW w:w="110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(100,1600]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(1600,1800]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100</w:t>
            </w:r>
            <w:r>
              <w:rPr>
                <w:rFonts w:ascii="Arial" w:hAnsi="Arial" w:eastAsia="Arial" w:cs="Arial"/>
                <w:color w:val="auto"/>
                <w:sz w:val="18"/>
                <w:szCs w:val="18"/>
              </w:rPr>
              <w:t xml:space="preserve"> </w:t>
            </w:r>
            <w:r>
              <w:rPr>
                <w:rFonts w:ascii="宋体" w:hAnsi="宋体" w:eastAsia="宋体" w:cs="宋体"/>
                <w:color w:val="auto"/>
                <w:sz w:val="18"/>
                <w:szCs w:val="18"/>
              </w:rPr>
              <w:t>或(2100,2500]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420" w:type="dxa"/>
            <w:vMerge w:val="continue"/>
            <w:vAlign w:val="bottom"/>
          </w:tcPr>
          <w:p>
            <w:pPr>
              <w:spacing w:after="0"/>
              <w:rPr>
                <w:color w:val="auto"/>
                <w:sz w:val="6"/>
                <w:szCs w:val="6"/>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距幼儿园的距离(米)</w:t>
            </w:r>
          </w:p>
        </w:tc>
        <w:tc>
          <w:tcPr>
            <w:tcW w:w="110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(100,1600]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(1600,1800]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100</w:t>
            </w:r>
            <w:r>
              <w:rPr>
                <w:rFonts w:ascii="Arial" w:hAnsi="Arial" w:eastAsia="Arial" w:cs="Arial"/>
                <w:color w:val="auto"/>
                <w:sz w:val="18"/>
                <w:szCs w:val="18"/>
              </w:rPr>
              <w:t xml:space="preserve"> </w:t>
            </w:r>
            <w:r>
              <w:rPr>
                <w:rFonts w:ascii="宋体" w:hAnsi="宋体" w:eastAsia="宋体" w:cs="宋体"/>
                <w:color w:val="auto"/>
                <w:sz w:val="18"/>
                <w:szCs w:val="18"/>
              </w:rPr>
              <w:t>或(2100,2500]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420" w:type="dxa"/>
            <w:vMerge w:val="continue"/>
            <w:vAlign w:val="bottom"/>
          </w:tcPr>
          <w:p>
            <w:pPr>
              <w:spacing w:after="0"/>
              <w:rPr>
                <w:color w:val="auto"/>
                <w:sz w:val="5"/>
                <w:szCs w:val="5"/>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距医院的距离(米)</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1600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(1600,1800]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8"/>
                <w:sz w:val="18"/>
                <w:szCs w:val="18"/>
              </w:rPr>
              <w:t>(2100,2500]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420" w:type="dxa"/>
            <w:vMerge w:val="continue"/>
            <w:vAlign w:val="bottom"/>
          </w:tcPr>
          <w:p>
            <w:pPr>
              <w:spacing w:after="0"/>
              <w:rPr>
                <w:color w:val="auto"/>
                <w:sz w:val="4"/>
                <w:szCs w:val="4"/>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距公园广场的距离(米)</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1600</w:t>
            </w:r>
          </w:p>
        </w:tc>
        <w:tc>
          <w:tcPr>
            <w:tcW w:w="1260" w:type="dxa"/>
            <w:vAlign w:val="bottom"/>
          </w:tcPr>
          <w:p>
            <w:pPr>
              <w:spacing w:after="0" w:line="194" w:lineRule="exact"/>
              <w:jc w:val="center"/>
              <w:rPr>
                <w:color w:val="auto"/>
                <w:sz w:val="20"/>
                <w:szCs w:val="20"/>
              </w:rPr>
            </w:pPr>
            <w:r>
              <w:rPr>
                <w:rFonts w:ascii="宋体" w:hAnsi="宋体" w:eastAsia="宋体" w:cs="宋体"/>
                <w:color w:val="auto"/>
                <w:sz w:val="18"/>
                <w:szCs w:val="18"/>
              </w:rPr>
              <w:t>(1600,1800]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8"/>
                <w:sz w:val="18"/>
                <w:szCs w:val="18"/>
              </w:rPr>
              <w:t>(2100,2500]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trPr>
        <w:tc>
          <w:tcPr>
            <w:tcW w:w="420" w:type="dxa"/>
            <w:vMerge w:val="continue"/>
            <w:vAlign w:val="bottom"/>
          </w:tcPr>
          <w:p>
            <w:pPr>
              <w:spacing w:after="0"/>
              <w:rPr>
                <w:color w:val="auto"/>
                <w:sz w:val="17"/>
                <w:szCs w:val="17"/>
              </w:rPr>
            </w:pPr>
          </w:p>
        </w:tc>
        <w:tc>
          <w:tcPr>
            <w:tcW w:w="1840" w:type="dxa"/>
            <w:vAlign w:val="bottom"/>
          </w:tcPr>
          <w:p>
            <w:pPr>
              <w:spacing w:after="0" w:line="196" w:lineRule="exact"/>
              <w:jc w:val="center"/>
              <w:rPr>
                <w:color w:val="auto"/>
                <w:sz w:val="20"/>
                <w:szCs w:val="20"/>
              </w:rPr>
            </w:pPr>
            <w:r>
              <w:rPr>
                <w:rFonts w:ascii="宋体" w:hAnsi="宋体" w:eastAsia="宋体" w:cs="宋体"/>
                <w:color w:val="auto"/>
                <w:w w:val="99"/>
                <w:sz w:val="18"/>
                <w:szCs w:val="18"/>
              </w:rPr>
              <w:t>距农贸市场的距离(米)</w:t>
            </w:r>
          </w:p>
        </w:tc>
        <w:tc>
          <w:tcPr>
            <w:tcW w:w="1100" w:type="dxa"/>
            <w:vAlign w:val="bottom"/>
          </w:tcPr>
          <w:p>
            <w:pPr>
              <w:spacing w:after="0" w:line="196" w:lineRule="exact"/>
              <w:jc w:val="center"/>
              <w:rPr>
                <w:color w:val="auto"/>
                <w:sz w:val="20"/>
                <w:szCs w:val="20"/>
              </w:rPr>
            </w:pPr>
            <w:r>
              <w:rPr>
                <w:rFonts w:ascii="宋体" w:hAnsi="宋体" w:eastAsia="宋体" w:cs="宋体"/>
                <w:color w:val="auto"/>
                <w:w w:val="99"/>
                <w:sz w:val="18"/>
                <w:szCs w:val="18"/>
              </w:rPr>
              <w:t>(100,1600]</w:t>
            </w:r>
          </w:p>
        </w:tc>
        <w:tc>
          <w:tcPr>
            <w:tcW w:w="1260" w:type="dxa"/>
            <w:vAlign w:val="bottom"/>
          </w:tcPr>
          <w:p>
            <w:pPr>
              <w:spacing w:after="0" w:line="196" w:lineRule="exact"/>
              <w:jc w:val="center"/>
              <w:rPr>
                <w:color w:val="auto"/>
                <w:sz w:val="20"/>
                <w:szCs w:val="20"/>
              </w:rPr>
            </w:pPr>
            <w:r>
              <w:rPr>
                <w:rFonts w:ascii="宋体" w:hAnsi="宋体" w:eastAsia="宋体" w:cs="宋体"/>
                <w:color w:val="auto"/>
                <w:sz w:val="18"/>
                <w:szCs w:val="18"/>
              </w:rPr>
              <w:t>(1600,1800]</w:t>
            </w:r>
          </w:p>
        </w:tc>
        <w:tc>
          <w:tcPr>
            <w:tcW w:w="1140" w:type="dxa"/>
            <w:vAlign w:val="bottom"/>
          </w:tcPr>
          <w:p>
            <w:pPr>
              <w:spacing w:after="0" w:line="196" w:lineRule="exact"/>
              <w:jc w:val="center"/>
              <w:rPr>
                <w:color w:val="auto"/>
                <w:sz w:val="20"/>
                <w:szCs w:val="20"/>
              </w:rPr>
            </w:pPr>
            <w:r>
              <w:rPr>
                <w:rFonts w:ascii="宋体" w:hAnsi="宋体" w:eastAsia="宋体" w:cs="宋体"/>
                <w:color w:val="auto"/>
                <w:sz w:val="18"/>
                <w:szCs w:val="18"/>
              </w:rPr>
              <w:t>(1800,2100]</w:t>
            </w:r>
          </w:p>
        </w:tc>
        <w:tc>
          <w:tcPr>
            <w:tcW w:w="1840" w:type="dxa"/>
            <w:vAlign w:val="bottom"/>
          </w:tcPr>
          <w:p>
            <w:pPr>
              <w:spacing w:after="0" w:line="196"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100</w:t>
            </w:r>
            <w:r>
              <w:rPr>
                <w:rFonts w:ascii="Arial" w:hAnsi="Arial" w:eastAsia="Arial" w:cs="Arial"/>
                <w:color w:val="auto"/>
                <w:sz w:val="18"/>
                <w:szCs w:val="18"/>
              </w:rPr>
              <w:t xml:space="preserve"> </w:t>
            </w:r>
            <w:r>
              <w:rPr>
                <w:rFonts w:ascii="宋体" w:hAnsi="宋体" w:eastAsia="宋体" w:cs="宋体"/>
                <w:color w:val="auto"/>
                <w:sz w:val="18"/>
                <w:szCs w:val="18"/>
              </w:rPr>
              <w:t>或(2100,2500]</w:t>
            </w:r>
          </w:p>
        </w:tc>
        <w:tc>
          <w:tcPr>
            <w:tcW w:w="960" w:type="dxa"/>
            <w:vAlign w:val="bottom"/>
          </w:tcPr>
          <w:p>
            <w:pPr>
              <w:spacing w:after="0" w:line="196" w:lineRule="exact"/>
              <w:jc w:val="center"/>
              <w:rPr>
                <w:color w:val="auto"/>
                <w:sz w:val="20"/>
                <w:szCs w:val="20"/>
              </w:rPr>
            </w:pPr>
            <w:r>
              <w:rPr>
                <w:rFonts w:ascii="宋体" w:hAnsi="宋体" w:eastAsia="宋体" w:cs="宋体"/>
                <w:color w:val="auto"/>
                <w:w w:val="99"/>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420" w:type="dxa"/>
            <w:vMerge w:val="continue"/>
            <w:vAlign w:val="bottom"/>
          </w:tcPr>
          <w:p>
            <w:pPr>
              <w:spacing w:after="0"/>
              <w:rPr>
                <w:color w:val="auto"/>
                <w:sz w:val="16"/>
                <w:szCs w:val="16"/>
              </w:rPr>
            </w:pPr>
          </w:p>
        </w:tc>
        <w:tc>
          <w:tcPr>
            <w:tcW w:w="184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距银行的距离(米)</w:t>
            </w:r>
          </w:p>
        </w:tc>
        <w:tc>
          <w:tcPr>
            <w:tcW w:w="1100" w:type="dxa"/>
            <w:vAlign w:val="bottom"/>
          </w:tcPr>
          <w:p>
            <w:pPr>
              <w:spacing w:after="0" w:line="193" w:lineRule="exact"/>
              <w:jc w:val="center"/>
              <w:rPr>
                <w:color w:val="auto"/>
                <w:sz w:val="20"/>
                <w:szCs w:val="20"/>
              </w:rPr>
            </w:pPr>
            <w:r>
              <w:rPr>
                <w:rFonts w:ascii="Arial" w:hAnsi="Arial" w:eastAsia="Arial" w:cs="Arial"/>
                <w:color w:val="auto"/>
                <w:sz w:val="18"/>
                <w:szCs w:val="18"/>
              </w:rPr>
              <w:t>≤</w:t>
            </w:r>
            <w:r>
              <w:rPr>
                <w:rFonts w:ascii="宋体" w:hAnsi="宋体" w:eastAsia="宋体" w:cs="宋体"/>
                <w:color w:val="auto"/>
                <w:sz w:val="18"/>
                <w:szCs w:val="18"/>
              </w:rPr>
              <w:t>800</w:t>
            </w:r>
          </w:p>
        </w:tc>
        <w:tc>
          <w:tcPr>
            <w:tcW w:w="12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(800,1200]</w:t>
            </w:r>
          </w:p>
        </w:tc>
        <w:tc>
          <w:tcPr>
            <w:tcW w:w="1140" w:type="dxa"/>
            <w:vAlign w:val="bottom"/>
          </w:tcPr>
          <w:p>
            <w:pPr>
              <w:spacing w:after="0" w:line="194" w:lineRule="exact"/>
              <w:jc w:val="center"/>
              <w:rPr>
                <w:color w:val="auto"/>
                <w:sz w:val="20"/>
                <w:szCs w:val="20"/>
              </w:rPr>
            </w:pPr>
            <w:r>
              <w:rPr>
                <w:rFonts w:ascii="宋体" w:hAnsi="宋体" w:eastAsia="宋体" w:cs="宋体"/>
                <w:color w:val="auto"/>
                <w:sz w:val="18"/>
                <w:szCs w:val="18"/>
              </w:rPr>
              <w:t>(1200,1500]</w:t>
            </w:r>
          </w:p>
        </w:tc>
        <w:tc>
          <w:tcPr>
            <w:tcW w:w="1840" w:type="dxa"/>
            <w:vAlign w:val="bottom"/>
          </w:tcPr>
          <w:p>
            <w:pPr>
              <w:spacing w:after="0" w:line="194" w:lineRule="exact"/>
              <w:jc w:val="center"/>
              <w:rPr>
                <w:color w:val="auto"/>
                <w:sz w:val="20"/>
                <w:szCs w:val="20"/>
              </w:rPr>
            </w:pPr>
            <w:r>
              <w:rPr>
                <w:rFonts w:ascii="宋体" w:hAnsi="宋体" w:eastAsia="宋体" w:cs="宋体"/>
                <w:color w:val="auto"/>
                <w:w w:val="98"/>
                <w:sz w:val="18"/>
                <w:szCs w:val="18"/>
              </w:rPr>
              <w:t>(1500,1800]</w:t>
            </w:r>
          </w:p>
        </w:tc>
        <w:tc>
          <w:tcPr>
            <w:tcW w:w="960" w:type="dxa"/>
            <w:vAlign w:val="bottom"/>
          </w:tcPr>
          <w:p>
            <w:pPr>
              <w:spacing w:after="0" w:line="194" w:lineRule="exact"/>
              <w:jc w:val="center"/>
              <w:rPr>
                <w:color w:val="auto"/>
                <w:sz w:val="20"/>
                <w:szCs w:val="20"/>
              </w:rPr>
            </w:pPr>
            <w:r>
              <w:rPr>
                <w:rFonts w:ascii="宋体" w:hAnsi="宋体" w:eastAsia="宋体" w:cs="宋体"/>
                <w:color w:val="auto"/>
                <w:w w:val="99"/>
                <w:sz w:val="18"/>
                <w:szCs w:val="18"/>
              </w:rPr>
              <w:t>＞1800</w:t>
            </w: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-3953510</wp:posOffset>
                </wp:positionV>
                <wp:extent cx="12700" cy="12065"/>
                <wp:effectExtent l="0" t="0" r="0" b="0"/>
                <wp:wrapNone/>
                <wp:docPr id="316" name="Shape 316"/>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316" o:spid="_x0000_s1026" o:spt="1" style="position:absolute;left:0pt;margin-left:0pt;margin-top:-311.3pt;height:0.95pt;width:1pt;z-index:-251657216;mso-width-relative:page;mso-height-relative:page;" fillcolor="#000000" filled="t" stroked="f" coordsize="21600,21600" o:allowincell="f" o:gfxdata="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KIT7b9YAAAAIAQAADwAAAAAAAAABACAAAAAiAAAAZHJzL2Rvd25y&#10;ZXYueG1sUEsBAhQAFAAAAAgAh07iQBAIqFGOAQAAOwMAAA4AAAAAAAAAAQAgAAAAJQEAAGRycy9l&#10;Mm9Eb2MueG1sUEsFBgAAAAAGAAYAWQEAACUFAAAAAA==&#10;">
                <v:fill on="t" focussize="0,0"/>
                <v:stroke on="f"/>
                <v:imagedata o:title=""/>
                <o:lock v:ext="edit" aspectratio="f"/>
              </v:rect>
            </w:pict>
          </mc:Fallback>
        </mc:AlternateContent>
      </w:r>
    </w:p>
    <w:tbl>
      <w:tblPr>
        <w:tblStyle w:val="9"/>
        <w:tblpPr w:leftFromText="180" w:rightFromText="180" w:vertAnchor="text" w:horzAnchor="page" w:tblpX="1784" w:tblpY="514"/>
        <w:tblOverlap w:val="never"/>
        <w:tblW w:w="0" w:type="auto"/>
        <w:tblInd w:w="0" w:type="dxa"/>
        <w:tblLayout w:type="fixed"/>
        <w:tblCellMar>
          <w:top w:w="0" w:type="dxa"/>
          <w:left w:w="0" w:type="dxa"/>
          <w:bottom w:w="0" w:type="dxa"/>
          <w:right w:w="0" w:type="dxa"/>
        </w:tblCellMar>
      </w:tblPr>
      <w:tblGrid>
        <w:gridCol w:w="531"/>
        <w:gridCol w:w="2067"/>
        <w:gridCol w:w="900"/>
        <w:gridCol w:w="1023"/>
        <w:gridCol w:w="1023"/>
        <w:gridCol w:w="1023"/>
        <w:gridCol w:w="1023"/>
        <w:gridCol w:w="1050"/>
      </w:tblGrid>
      <w:tr>
        <w:tblPrEx>
          <w:tblCellMar>
            <w:top w:w="0" w:type="dxa"/>
            <w:left w:w="0" w:type="dxa"/>
            <w:bottom w:w="0" w:type="dxa"/>
            <w:right w:w="0" w:type="dxa"/>
          </w:tblCellMar>
        </w:tblPrEx>
        <w:trPr>
          <w:trHeight w:val="420" w:hRule="atLeast"/>
        </w:trPr>
        <w:tc>
          <w:tcPr>
            <w:tcW w:w="8640" w:type="dxa"/>
            <w:gridSpan w:val="8"/>
            <w:tcBorders>
              <w:bottom w:val="single" w:color="auto" w:sz="4" w:space="0"/>
            </w:tcBorders>
            <w:vAlign w:val="center"/>
          </w:tcPr>
          <w:p>
            <w:pPr>
              <w:spacing w:after="0"/>
              <w:jc w:val="center"/>
              <w:rPr>
                <w:color w:val="auto"/>
                <w:sz w:val="17"/>
                <w:szCs w:val="17"/>
              </w:rPr>
            </w:pPr>
            <w:r>
              <w:rPr>
                <w:rFonts w:ascii="宋体" w:hAnsi="宋体" w:eastAsia="宋体" w:cs="宋体"/>
                <w:b/>
                <w:bCs/>
                <w:color w:val="auto"/>
                <w:w w:val="98"/>
                <w:sz w:val="18"/>
                <w:szCs w:val="18"/>
              </w:rPr>
              <w:t>表</w:t>
            </w:r>
            <w:r>
              <w:rPr>
                <w:rFonts w:hint="eastAsia" w:ascii="宋体" w:hAnsi="宋体" w:cs="宋体"/>
                <w:b/>
                <w:bCs/>
                <w:color w:val="auto"/>
                <w:w w:val="98"/>
                <w:sz w:val="18"/>
                <w:szCs w:val="18"/>
                <w:lang w:val="en-US" w:eastAsia="zh-CN"/>
              </w:rPr>
              <w:t>2</w:t>
            </w:r>
            <w:r>
              <w:rPr>
                <w:rFonts w:ascii="宋体" w:hAnsi="宋体" w:eastAsia="宋体" w:cs="宋体"/>
                <w:b/>
                <w:bCs/>
                <w:color w:val="auto"/>
                <w:sz w:val="18"/>
                <w:szCs w:val="18"/>
              </w:rPr>
              <w:t>住宅用地宗地地价区域因素修正系数表</w:t>
            </w:r>
          </w:p>
        </w:tc>
      </w:tr>
      <w:tr>
        <w:tblPrEx>
          <w:tblCellMar>
            <w:top w:w="0" w:type="dxa"/>
            <w:left w:w="0" w:type="dxa"/>
            <w:bottom w:w="0" w:type="dxa"/>
            <w:right w:w="0" w:type="dxa"/>
          </w:tblCellMar>
        </w:tblPrEx>
        <w:trPr>
          <w:trHeight w:val="297" w:hRule="atLeast"/>
        </w:trPr>
        <w:tc>
          <w:tcPr>
            <w:tcW w:w="531"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80"/>
              <w:jc w:val="center"/>
              <w:rPr>
                <w:color w:val="auto"/>
                <w:sz w:val="20"/>
                <w:szCs w:val="20"/>
              </w:rPr>
            </w:pPr>
            <w:r>
              <w:rPr>
                <w:rFonts w:ascii="宋体" w:hAnsi="宋体" w:eastAsia="宋体" w:cs="宋体"/>
                <w:color w:val="auto"/>
                <w:sz w:val="18"/>
                <w:szCs w:val="18"/>
              </w:rPr>
              <w:t>因素</w:t>
            </w: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区域修正因子</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权重</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优</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较优</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一般</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较劣</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劣</w:t>
            </w:r>
          </w:p>
        </w:tc>
      </w:tr>
      <w:tr>
        <w:tblPrEx>
          <w:tblCellMar>
            <w:top w:w="0" w:type="dxa"/>
            <w:left w:w="0" w:type="dxa"/>
            <w:bottom w:w="0" w:type="dxa"/>
            <w:right w:w="0" w:type="dxa"/>
          </w:tblCellMar>
        </w:tblPrEx>
        <w:trPr>
          <w:trHeight w:val="301" w:hRule="atLeast"/>
        </w:trPr>
        <w:tc>
          <w:tcPr>
            <w:tcW w:w="531" w:type="dxa"/>
            <w:vMerge w:val="restart"/>
            <w:tcBorders>
              <w:top w:val="single" w:color="auto" w:sz="4" w:space="0"/>
              <w:left w:val="single" w:color="auto" w:sz="4" w:space="0"/>
              <w:right w:val="single" w:color="auto" w:sz="4" w:space="0"/>
            </w:tcBorders>
            <w:vAlign w:val="center"/>
          </w:tcPr>
          <w:p>
            <w:pPr>
              <w:spacing w:after="0" w:line="198" w:lineRule="exact"/>
              <w:ind w:left="80"/>
              <w:jc w:val="center"/>
              <w:rPr>
                <w:rFonts w:ascii="宋体" w:hAnsi="宋体" w:eastAsia="宋体" w:cs="宋体"/>
                <w:color w:val="auto"/>
                <w:sz w:val="18"/>
                <w:szCs w:val="18"/>
              </w:rPr>
            </w:pPr>
            <w:r>
              <w:rPr>
                <w:rFonts w:ascii="宋体" w:hAnsi="宋体" w:eastAsia="宋体" w:cs="宋体"/>
                <w:color w:val="auto"/>
                <w:sz w:val="18"/>
                <w:szCs w:val="18"/>
              </w:rPr>
              <w:t>繁华</w:t>
            </w:r>
          </w:p>
          <w:p>
            <w:pPr>
              <w:spacing w:after="0" w:line="206" w:lineRule="exact"/>
              <w:ind w:left="80"/>
              <w:jc w:val="center"/>
              <w:rPr>
                <w:color w:val="auto"/>
                <w:sz w:val="20"/>
                <w:szCs w:val="20"/>
              </w:rPr>
            </w:pPr>
            <w:r>
              <w:rPr>
                <w:rFonts w:ascii="宋体" w:hAnsi="宋体" w:eastAsia="宋体" w:cs="宋体"/>
                <w:color w:val="auto"/>
                <w:sz w:val="18"/>
                <w:szCs w:val="18"/>
              </w:rPr>
              <w:t>程度</w:t>
            </w: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距离商服中心距离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0.0959</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1.5344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0.7672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-0.6713</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-1.3426</w:t>
            </w:r>
          </w:p>
        </w:tc>
      </w:tr>
      <w:tr>
        <w:tblPrEx>
          <w:tblCellMar>
            <w:top w:w="0" w:type="dxa"/>
            <w:left w:w="0" w:type="dxa"/>
            <w:bottom w:w="0" w:type="dxa"/>
            <w:right w:w="0" w:type="dxa"/>
          </w:tblCellMar>
        </w:tblPrEx>
        <w:trPr>
          <w:trHeight w:val="299" w:hRule="atLeast"/>
        </w:trPr>
        <w:tc>
          <w:tcPr>
            <w:tcW w:w="531" w:type="dxa"/>
            <w:vMerge w:val="continue"/>
            <w:tcBorders>
              <w:left w:val="single" w:color="auto" w:sz="4" w:space="0"/>
              <w:bottom w:val="single" w:color="auto" w:sz="4" w:space="0"/>
              <w:right w:val="single" w:color="auto" w:sz="4" w:space="0"/>
            </w:tcBorders>
            <w:vAlign w:val="center"/>
          </w:tcPr>
          <w:p>
            <w:pPr>
              <w:spacing w:after="0"/>
              <w:jc w:val="center"/>
              <w:rPr>
                <w:color w:val="auto"/>
                <w:sz w:val="17"/>
                <w:szCs w:val="17"/>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住宅区用地类型</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6" w:lineRule="exact"/>
              <w:ind w:left="10"/>
              <w:jc w:val="center"/>
              <w:rPr>
                <w:color w:val="auto"/>
                <w:sz w:val="20"/>
                <w:szCs w:val="20"/>
              </w:rPr>
            </w:pPr>
            <w:r>
              <w:rPr>
                <w:rFonts w:ascii="宋体" w:hAnsi="宋体" w:eastAsia="宋体" w:cs="宋体"/>
                <w:color w:val="auto"/>
                <w:w w:val="99"/>
                <w:sz w:val="18"/>
                <w:szCs w:val="18"/>
              </w:rPr>
              <w:t>0.0634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1.0144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0.5072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8"/>
                <w:sz w:val="18"/>
                <w:szCs w:val="18"/>
              </w:rPr>
              <w:t>-0.4438</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sz w:val="18"/>
                <w:szCs w:val="18"/>
              </w:rPr>
              <w:t>-0.8876</w:t>
            </w:r>
          </w:p>
        </w:tc>
      </w:tr>
      <w:tr>
        <w:trPr>
          <w:trHeight w:val="297" w:hRule="atLeast"/>
        </w:trPr>
        <w:tc>
          <w:tcPr>
            <w:tcW w:w="531" w:type="dxa"/>
            <w:vMerge w:val="restart"/>
            <w:tcBorders>
              <w:top w:val="single" w:color="auto" w:sz="4" w:space="0"/>
              <w:left w:val="single" w:color="auto" w:sz="4" w:space="0"/>
              <w:right w:val="single" w:color="auto" w:sz="4" w:space="0"/>
            </w:tcBorders>
            <w:vAlign w:val="center"/>
          </w:tcPr>
          <w:p>
            <w:pPr>
              <w:spacing w:after="0" w:line="201" w:lineRule="exact"/>
              <w:ind w:left="80"/>
              <w:jc w:val="center"/>
              <w:rPr>
                <w:color w:val="auto"/>
                <w:sz w:val="20"/>
                <w:szCs w:val="20"/>
              </w:rPr>
            </w:pPr>
            <w:r>
              <w:rPr>
                <w:rFonts w:ascii="宋体" w:hAnsi="宋体" w:eastAsia="宋体" w:cs="宋体"/>
                <w:color w:val="auto"/>
                <w:sz w:val="18"/>
                <w:szCs w:val="18"/>
              </w:rPr>
              <w:t>交通</w:t>
            </w:r>
          </w:p>
          <w:p>
            <w:pPr>
              <w:spacing w:after="0" w:line="206" w:lineRule="exact"/>
              <w:ind w:left="80"/>
              <w:jc w:val="center"/>
              <w:rPr>
                <w:color w:val="auto"/>
                <w:sz w:val="20"/>
                <w:szCs w:val="20"/>
              </w:rPr>
            </w:pPr>
            <w:r>
              <w:rPr>
                <w:rFonts w:ascii="宋体" w:hAnsi="宋体" w:eastAsia="宋体" w:cs="宋体"/>
                <w:color w:val="auto"/>
                <w:sz w:val="18"/>
                <w:szCs w:val="18"/>
              </w:rPr>
              <w:t>条件</w:t>
            </w: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临街道路类型</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0.0928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1.4848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0.7424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-0.6496</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-1.2992</w:t>
            </w:r>
          </w:p>
        </w:tc>
      </w:tr>
      <w:tr>
        <w:tblPrEx>
          <w:tblCellMar>
            <w:top w:w="0" w:type="dxa"/>
            <w:left w:w="0" w:type="dxa"/>
            <w:bottom w:w="0" w:type="dxa"/>
            <w:right w:w="0" w:type="dxa"/>
          </w:tblCellMar>
        </w:tblPrEx>
        <w:trPr>
          <w:trHeight w:val="306" w:hRule="atLeast"/>
        </w:trPr>
        <w:tc>
          <w:tcPr>
            <w:tcW w:w="531" w:type="dxa"/>
            <w:vMerge w:val="continue"/>
            <w:tcBorders>
              <w:left w:val="single" w:color="auto" w:sz="4" w:space="0"/>
              <w:right w:val="single" w:color="auto" w:sz="4" w:space="0"/>
            </w:tcBorders>
            <w:vAlign w:val="center"/>
          </w:tcPr>
          <w:p>
            <w:pPr>
              <w:spacing w:after="0" w:line="201" w:lineRule="exact"/>
              <w:ind w:left="80"/>
              <w:jc w:val="center"/>
              <w:rPr>
                <w:color w:val="auto"/>
                <w:sz w:val="20"/>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距公交站点距离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6" w:lineRule="exact"/>
              <w:ind w:left="10"/>
              <w:jc w:val="center"/>
              <w:rPr>
                <w:color w:val="auto"/>
                <w:sz w:val="20"/>
                <w:szCs w:val="20"/>
              </w:rPr>
            </w:pPr>
            <w:r>
              <w:rPr>
                <w:rFonts w:ascii="宋体" w:hAnsi="宋体" w:eastAsia="宋体" w:cs="宋体"/>
                <w:color w:val="auto"/>
                <w:w w:val="99"/>
                <w:sz w:val="18"/>
                <w:szCs w:val="18"/>
              </w:rPr>
              <w:t>0.0773</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1.2368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0.6184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8"/>
                <w:sz w:val="18"/>
                <w:szCs w:val="18"/>
              </w:rPr>
              <w:t>-0.5411</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sz w:val="18"/>
                <w:szCs w:val="18"/>
              </w:rPr>
              <w:t>-1.0822</w:t>
            </w:r>
          </w:p>
        </w:tc>
      </w:tr>
      <w:tr>
        <w:trPr>
          <w:trHeight w:val="297"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距火车站距离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0.0243</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0.3888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0.1944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-0.1701</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-0.3402</w:t>
            </w:r>
          </w:p>
        </w:tc>
      </w:tr>
      <w:tr>
        <w:trPr>
          <w:trHeight w:val="297" w:hRule="atLeast"/>
        </w:trPr>
        <w:tc>
          <w:tcPr>
            <w:tcW w:w="531" w:type="dxa"/>
            <w:vMerge w:val="continue"/>
            <w:tcBorders>
              <w:left w:val="single" w:color="auto" w:sz="4" w:space="0"/>
              <w:bottom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距长途汽车站距离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0.0369</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0.5904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0.2952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-0.2583</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-0.5166</w:t>
            </w:r>
          </w:p>
        </w:tc>
      </w:tr>
      <w:tr>
        <w:tblPrEx>
          <w:tblCellMar>
            <w:top w:w="0" w:type="dxa"/>
            <w:left w:w="0" w:type="dxa"/>
            <w:bottom w:w="0" w:type="dxa"/>
            <w:right w:w="0" w:type="dxa"/>
          </w:tblCellMar>
        </w:tblPrEx>
        <w:trPr>
          <w:trHeight w:val="337" w:hRule="atLeast"/>
        </w:trPr>
        <w:tc>
          <w:tcPr>
            <w:tcW w:w="531" w:type="dxa"/>
            <w:vMerge w:val="restart"/>
            <w:tcBorders>
              <w:top w:val="single" w:color="auto" w:sz="4" w:space="0"/>
              <w:left w:val="single" w:color="auto" w:sz="4" w:space="0"/>
              <w:right w:val="single" w:color="auto" w:sz="4" w:space="0"/>
            </w:tcBorders>
            <w:vAlign w:val="center"/>
          </w:tcPr>
          <w:p>
            <w:pPr>
              <w:spacing w:after="0" w:line="206" w:lineRule="exact"/>
              <w:jc w:val="center"/>
              <w:rPr>
                <w:rFonts w:hint="eastAsia" w:eastAsia="宋体"/>
                <w:color w:val="auto"/>
                <w:sz w:val="20"/>
                <w:szCs w:val="20"/>
                <w:lang w:eastAsia="zh-CN"/>
              </w:rPr>
            </w:pPr>
            <w:r>
              <w:rPr>
                <w:rFonts w:hint="eastAsia"/>
                <w:color w:val="auto"/>
                <w:sz w:val="20"/>
                <w:szCs w:val="20"/>
                <w:lang w:eastAsia="zh-CN"/>
              </w:rPr>
              <w:t>基准设施</w:t>
            </w: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供电状况</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0.0417</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0.6672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0.3336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-0.2919</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-0.5838</w:t>
            </w:r>
          </w:p>
        </w:tc>
      </w:tr>
      <w:tr>
        <w:tblPrEx>
          <w:tblCellMar>
            <w:top w:w="0" w:type="dxa"/>
            <w:left w:w="0" w:type="dxa"/>
            <w:bottom w:w="0" w:type="dxa"/>
            <w:right w:w="0" w:type="dxa"/>
          </w:tblCellMar>
        </w:tblPrEx>
        <w:trPr>
          <w:trHeight w:val="330"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供水状况</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0.0396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0.6336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0.3168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-0.2772</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-0.5544</w:t>
            </w:r>
          </w:p>
        </w:tc>
      </w:tr>
      <w:tr>
        <w:tblPrEx>
          <w:tblCellMar>
            <w:top w:w="0" w:type="dxa"/>
            <w:left w:w="0" w:type="dxa"/>
            <w:bottom w:w="0" w:type="dxa"/>
            <w:right w:w="0" w:type="dxa"/>
          </w:tblCellMar>
        </w:tblPrEx>
        <w:trPr>
          <w:trHeight w:val="296"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排水状况</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0.0367</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0.5872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0.2936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-0.2569</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-0.5138</w:t>
            </w:r>
          </w:p>
        </w:tc>
      </w:tr>
      <w:tr>
        <w:tblPrEx>
          <w:tblCellMar>
            <w:top w:w="0" w:type="dxa"/>
            <w:left w:w="0" w:type="dxa"/>
            <w:bottom w:w="0" w:type="dxa"/>
            <w:right w:w="0" w:type="dxa"/>
          </w:tblCellMar>
        </w:tblPrEx>
        <w:trPr>
          <w:trHeight w:val="297"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供气状况</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0.0348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0.5568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0.2784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-0.2436</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-0.4872</w:t>
            </w:r>
          </w:p>
        </w:tc>
      </w:tr>
      <w:tr>
        <w:tblPrEx>
          <w:tblCellMar>
            <w:top w:w="0" w:type="dxa"/>
            <w:left w:w="0" w:type="dxa"/>
            <w:bottom w:w="0" w:type="dxa"/>
            <w:right w:w="0" w:type="dxa"/>
          </w:tblCellMar>
        </w:tblPrEx>
        <w:trPr>
          <w:trHeight w:val="328" w:hRule="atLeast"/>
        </w:trPr>
        <w:tc>
          <w:tcPr>
            <w:tcW w:w="531" w:type="dxa"/>
            <w:vMerge w:val="continue"/>
            <w:tcBorders>
              <w:left w:val="single" w:color="auto" w:sz="4" w:space="0"/>
              <w:right w:val="single" w:color="auto" w:sz="4" w:space="0"/>
            </w:tcBorders>
            <w:vAlign w:val="center"/>
          </w:tcPr>
          <w:p>
            <w:pPr>
              <w:spacing w:after="0" w:line="206" w:lineRule="exact"/>
              <w:ind w:left="80"/>
              <w:jc w:val="center"/>
              <w:rPr>
                <w:color w:val="auto"/>
                <w:sz w:val="20"/>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距中学的距离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6" w:lineRule="exact"/>
              <w:ind w:left="10"/>
              <w:jc w:val="center"/>
              <w:rPr>
                <w:color w:val="auto"/>
                <w:sz w:val="20"/>
                <w:szCs w:val="20"/>
              </w:rPr>
            </w:pPr>
            <w:r>
              <w:rPr>
                <w:rFonts w:ascii="宋体" w:hAnsi="宋体" w:eastAsia="宋体" w:cs="宋体"/>
                <w:color w:val="auto"/>
                <w:w w:val="99"/>
                <w:sz w:val="18"/>
                <w:szCs w:val="18"/>
              </w:rPr>
              <w:t>0.0148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0.2368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0.1184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w w:val="98"/>
                <w:sz w:val="18"/>
                <w:szCs w:val="18"/>
              </w:rPr>
              <w:t>-0.1036</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6" w:lineRule="exact"/>
              <w:jc w:val="center"/>
              <w:rPr>
                <w:color w:val="auto"/>
                <w:sz w:val="20"/>
                <w:szCs w:val="20"/>
              </w:rPr>
            </w:pPr>
            <w:r>
              <w:rPr>
                <w:rFonts w:ascii="宋体" w:hAnsi="宋体" w:eastAsia="宋体" w:cs="宋体"/>
                <w:color w:val="auto"/>
                <w:sz w:val="18"/>
                <w:szCs w:val="18"/>
              </w:rPr>
              <w:t>-0.2072</w:t>
            </w:r>
          </w:p>
        </w:tc>
      </w:tr>
      <w:tr>
        <w:tblPrEx>
          <w:tblCellMar>
            <w:top w:w="0" w:type="dxa"/>
            <w:left w:w="0" w:type="dxa"/>
            <w:bottom w:w="0" w:type="dxa"/>
            <w:right w:w="0" w:type="dxa"/>
          </w:tblCellMar>
        </w:tblPrEx>
        <w:trPr>
          <w:trHeight w:val="312" w:hRule="atLeast"/>
        </w:trPr>
        <w:tc>
          <w:tcPr>
            <w:tcW w:w="531" w:type="dxa"/>
            <w:vMerge w:val="continue"/>
            <w:tcBorders>
              <w:left w:val="single" w:color="auto" w:sz="4" w:space="0"/>
              <w:right w:val="single" w:color="auto" w:sz="4" w:space="0"/>
            </w:tcBorders>
            <w:vAlign w:val="center"/>
          </w:tcPr>
          <w:p>
            <w:pPr>
              <w:spacing w:after="0" w:line="206" w:lineRule="exact"/>
              <w:ind w:left="80"/>
              <w:jc w:val="center"/>
              <w:rPr>
                <w:color w:val="auto"/>
                <w:sz w:val="20"/>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201" w:lineRule="exact"/>
              <w:jc w:val="center"/>
              <w:rPr>
                <w:color w:val="auto"/>
                <w:sz w:val="20"/>
                <w:szCs w:val="20"/>
              </w:rPr>
            </w:pPr>
            <w:r>
              <w:rPr>
                <w:rFonts w:ascii="宋体" w:hAnsi="宋体" w:eastAsia="宋体" w:cs="宋体"/>
                <w:color w:val="auto"/>
                <w:w w:val="99"/>
                <w:sz w:val="18"/>
                <w:szCs w:val="18"/>
              </w:rPr>
              <w:t>距小学的距离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201" w:lineRule="exact"/>
              <w:ind w:left="10"/>
              <w:jc w:val="center"/>
              <w:rPr>
                <w:color w:val="auto"/>
                <w:sz w:val="20"/>
                <w:szCs w:val="20"/>
              </w:rPr>
            </w:pPr>
            <w:r>
              <w:rPr>
                <w:rFonts w:ascii="宋体" w:hAnsi="宋体" w:eastAsia="宋体" w:cs="宋体"/>
                <w:color w:val="auto"/>
                <w:w w:val="99"/>
                <w:sz w:val="18"/>
                <w:szCs w:val="18"/>
              </w:rPr>
              <w:t>0.0142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01" w:lineRule="exact"/>
              <w:jc w:val="center"/>
              <w:rPr>
                <w:color w:val="auto"/>
                <w:sz w:val="20"/>
                <w:szCs w:val="20"/>
              </w:rPr>
            </w:pPr>
            <w:r>
              <w:rPr>
                <w:rFonts w:ascii="宋体" w:hAnsi="宋体" w:eastAsia="宋体" w:cs="宋体"/>
                <w:color w:val="auto"/>
                <w:w w:val="99"/>
                <w:sz w:val="18"/>
                <w:szCs w:val="18"/>
              </w:rPr>
              <w:t>0.2272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01" w:lineRule="exact"/>
              <w:jc w:val="center"/>
              <w:rPr>
                <w:color w:val="auto"/>
                <w:sz w:val="20"/>
                <w:szCs w:val="20"/>
              </w:rPr>
            </w:pPr>
            <w:r>
              <w:rPr>
                <w:rFonts w:ascii="宋体" w:hAnsi="宋体" w:eastAsia="宋体" w:cs="宋体"/>
                <w:color w:val="auto"/>
                <w:w w:val="99"/>
                <w:sz w:val="18"/>
                <w:szCs w:val="18"/>
              </w:rPr>
              <w:t>0.1136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01"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01" w:lineRule="exact"/>
              <w:jc w:val="center"/>
              <w:rPr>
                <w:color w:val="auto"/>
                <w:sz w:val="20"/>
                <w:szCs w:val="20"/>
              </w:rPr>
            </w:pPr>
            <w:r>
              <w:rPr>
                <w:rFonts w:ascii="宋体" w:hAnsi="宋体" w:eastAsia="宋体" w:cs="宋体"/>
                <w:color w:val="auto"/>
                <w:w w:val="98"/>
                <w:sz w:val="18"/>
                <w:szCs w:val="18"/>
              </w:rPr>
              <w:t>-0.0994</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201" w:lineRule="exact"/>
              <w:jc w:val="center"/>
              <w:rPr>
                <w:color w:val="auto"/>
                <w:sz w:val="20"/>
                <w:szCs w:val="20"/>
              </w:rPr>
            </w:pPr>
            <w:r>
              <w:rPr>
                <w:rFonts w:ascii="宋体" w:hAnsi="宋体" w:eastAsia="宋体" w:cs="宋体"/>
                <w:color w:val="auto"/>
                <w:sz w:val="18"/>
                <w:szCs w:val="18"/>
              </w:rPr>
              <w:t>-0.1988</w:t>
            </w:r>
          </w:p>
        </w:tc>
      </w:tr>
      <w:tr>
        <w:tblPrEx>
          <w:tblCellMar>
            <w:top w:w="0" w:type="dxa"/>
            <w:left w:w="0" w:type="dxa"/>
            <w:bottom w:w="0" w:type="dxa"/>
            <w:right w:w="0" w:type="dxa"/>
          </w:tblCellMar>
        </w:tblPrEx>
        <w:trPr>
          <w:trHeight w:val="297"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距幼儿园的距离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0.0136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0.2176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0.1088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-0.0952</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-0.1904</w:t>
            </w:r>
          </w:p>
        </w:tc>
      </w:tr>
      <w:tr>
        <w:tblPrEx>
          <w:tblCellMar>
            <w:top w:w="0" w:type="dxa"/>
            <w:left w:w="0" w:type="dxa"/>
            <w:bottom w:w="0" w:type="dxa"/>
            <w:right w:w="0" w:type="dxa"/>
          </w:tblCellMar>
        </w:tblPrEx>
        <w:trPr>
          <w:trHeight w:val="297"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距医院的距离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0.0180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0.2880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0.1440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-0.1260</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-0.2520</w:t>
            </w:r>
          </w:p>
        </w:tc>
      </w:tr>
      <w:tr>
        <w:tblPrEx>
          <w:tblCellMar>
            <w:top w:w="0" w:type="dxa"/>
            <w:left w:w="0" w:type="dxa"/>
            <w:bottom w:w="0" w:type="dxa"/>
            <w:right w:w="0" w:type="dxa"/>
          </w:tblCellMar>
        </w:tblPrEx>
        <w:trPr>
          <w:trHeight w:val="297"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距公园广场的距离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0.0179</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0.2864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0.1432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-0.1253</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-0.2506</w:t>
            </w:r>
          </w:p>
        </w:tc>
      </w:tr>
      <w:tr>
        <w:tblPrEx>
          <w:tblCellMar>
            <w:top w:w="0" w:type="dxa"/>
            <w:left w:w="0" w:type="dxa"/>
            <w:bottom w:w="0" w:type="dxa"/>
            <w:right w:w="0" w:type="dxa"/>
          </w:tblCellMar>
        </w:tblPrEx>
        <w:trPr>
          <w:trHeight w:val="297"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距农贸市场的距离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0.0219</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0.3504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0.1752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-0.1533</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-0.3066</w:t>
            </w:r>
          </w:p>
        </w:tc>
      </w:tr>
      <w:tr>
        <w:tblPrEx>
          <w:tblCellMar>
            <w:top w:w="0" w:type="dxa"/>
            <w:left w:w="0" w:type="dxa"/>
            <w:bottom w:w="0" w:type="dxa"/>
            <w:right w:w="0" w:type="dxa"/>
          </w:tblCellMar>
        </w:tblPrEx>
        <w:trPr>
          <w:trHeight w:val="297" w:hRule="atLeast"/>
        </w:trPr>
        <w:tc>
          <w:tcPr>
            <w:tcW w:w="531" w:type="dxa"/>
            <w:vMerge w:val="continue"/>
            <w:tcBorders>
              <w:left w:val="single" w:color="auto" w:sz="4" w:space="0"/>
              <w:right w:val="single" w:color="auto" w:sz="4" w:space="0"/>
            </w:tcBorders>
            <w:vAlign w:val="center"/>
          </w:tcPr>
          <w:p>
            <w:pPr>
              <w:spacing w:after="0"/>
              <w:jc w:val="center"/>
              <w:rPr>
                <w:color w:val="auto"/>
                <w:sz w:val="16"/>
                <w:szCs w:val="16"/>
              </w:rPr>
            </w:pPr>
          </w:p>
        </w:tc>
        <w:tc>
          <w:tcPr>
            <w:tcW w:w="2067"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距银行的距离</w:t>
            </w:r>
          </w:p>
        </w:tc>
        <w:tc>
          <w:tcPr>
            <w:tcW w:w="900" w:type="dxa"/>
            <w:tcBorders>
              <w:top w:val="single" w:color="auto" w:sz="4" w:space="0"/>
              <w:left w:val="single" w:color="auto" w:sz="4" w:space="0"/>
              <w:bottom w:val="single" w:color="auto" w:sz="4" w:space="0"/>
              <w:right w:val="single" w:color="auto" w:sz="4" w:space="0"/>
            </w:tcBorders>
            <w:vAlign w:val="center"/>
          </w:tcPr>
          <w:p>
            <w:pPr>
              <w:spacing w:after="0" w:line="194" w:lineRule="exact"/>
              <w:ind w:left="10"/>
              <w:jc w:val="center"/>
              <w:rPr>
                <w:color w:val="auto"/>
                <w:sz w:val="20"/>
                <w:szCs w:val="20"/>
              </w:rPr>
            </w:pPr>
            <w:r>
              <w:rPr>
                <w:rFonts w:ascii="宋体" w:hAnsi="宋体" w:eastAsia="宋体" w:cs="宋体"/>
                <w:color w:val="auto"/>
                <w:w w:val="99"/>
                <w:sz w:val="18"/>
                <w:szCs w:val="18"/>
              </w:rPr>
              <w:t>0.0182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0.2912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0.1456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9"/>
                <w:sz w:val="18"/>
                <w:szCs w:val="18"/>
              </w:rPr>
              <w:t>0.0000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w w:val="98"/>
                <w:sz w:val="18"/>
                <w:szCs w:val="18"/>
              </w:rPr>
              <w:t>-0.1274</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194" w:lineRule="exact"/>
              <w:jc w:val="center"/>
              <w:rPr>
                <w:color w:val="auto"/>
                <w:sz w:val="20"/>
                <w:szCs w:val="20"/>
              </w:rPr>
            </w:pPr>
            <w:r>
              <w:rPr>
                <w:rFonts w:ascii="宋体" w:hAnsi="宋体" w:eastAsia="宋体" w:cs="宋体"/>
                <w:color w:val="auto"/>
                <w:sz w:val="18"/>
                <w:szCs w:val="18"/>
              </w:rPr>
              <w:t>-0.2548</w:t>
            </w:r>
          </w:p>
        </w:tc>
      </w:tr>
    </w:tbl>
    <w:p>
      <w:pPr>
        <w:spacing w:after="0" w:line="200" w:lineRule="exact"/>
        <w:rPr>
          <w:color w:val="auto"/>
          <w:sz w:val="20"/>
          <w:szCs w:val="20"/>
        </w:rPr>
      </w:pPr>
    </w:p>
    <w:p>
      <w:pPr>
        <w:spacing w:line="440" w:lineRule="atLeast"/>
        <w:ind w:firstLine="560" w:firstLineChars="200"/>
        <w:rPr>
          <w:rFonts w:hint="eastAsia" w:ascii="仿宋_GB2312" w:eastAsia="仿宋_GB2312"/>
          <w:sz w:val="28"/>
          <w:szCs w:val="28"/>
        </w:rPr>
      </w:pPr>
      <w:r>
        <w:rPr>
          <w:rFonts w:hint="eastAsia" w:ascii="仿宋_GB2312" w:eastAsia="仿宋_GB2312"/>
          <w:sz w:val="28"/>
          <w:szCs w:val="28"/>
        </w:rPr>
        <w:t>（2）按照待估宗地的区域因素及个别因素条件，建立待估宗地地价影响因素说明、优劣程度及修正系数（∑K）表（表3）。</w:t>
      </w:r>
    </w:p>
    <w:p>
      <w:pPr>
        <w:spacing w:after="0"/>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表</w:t>
      </w:r>
      <w:r>
        <w:rPr>
          <w:rFonts w:hint="eastAsia" w:ascii="宋体" w:hAnsi="宋体" w:eastAsia="宋体" w:cs="宋体"/>
          <w:b/>
          <w:bCs/>
          <w:color w:val="auto"/>
          <w:sz w:val="18"/>
          <w:szCs w:val="18"/>
          <w:lang w:val="en-US" w:eastAsia="zh-CN"/>
        </w:rPr>
        <w:t>3</w:t>
      </w:r>
      <w:r>
        <w:rPr>
          <w:rFonts w:hint="eastAsia" w:ascii="宋体" w:hAnsi="宋体" w:eastAsia="宋体" w:cs="宋体"/>
          <w:b/>
          <w:bCs/>
          <w:color w:val="auto"/>
          <w:sz w:val="18"/>
          <w:szCs w:val="18"/>
        </w:rPr>
        <w:t xml:space="preserve">    宗地因素修正系数表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5"/>
        <w:gridCol w:w="1534"/>
        <w:gridCol w:w="2415"/>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center"/>
          </w:tcPr>
          <w:p>
            <w:pPr>
              <w:pStyle w:val="5"/>
              <w:spacing w:line="440" w:lineRule="atLeast"/>
              <w:ind w:firstLine="392"/>
              <w:jc w:val="center"/>
              <w:rPr>
                <w:rFonts w:hint="eastAsia"/>
                <w:sz w:val="20"/>
                <w:szCs w:val="28"/>
              </w:rPr>
            </w:pPr>
            <w:r>
              <w:rPr>
                <w:rFonts w:hint="eastAsia"/>
                <w:sz w:val="20"/>
                <w:szCs w:val="28"/>
              </w:rPr>
              <w:t>因子</w:t>
            </w:r>
          </w:p>
        </w:tc>
        <w:tc>
          <w:tcPr>
            <w:tcW w:w="832" w:type="pct"/>
            <w:shd w:val="clear" w:color="auto" w:fill="auto"/>
            <w:noWrap w:val="0"/>
            <w:vAlign w:val="center"/>
          </w:tcPr>
          <w:p>
            <w:pPr>
              <w:pStyle w:val="5"/>
              <w:spacing w:line="440" w:lineRule="atLeast"/>
              <w:ind w:firstLine="392"/>
              <w:jc w:val="center"/>
              <w:rPr>
                <w:rFonts w:hint="eastAsia" w:eastAsia="KaiTi_GB2312"/>
                <w:sz w:val="20"/>
                <w:szCs w:val="28"/>
                <w:lang w:eastAsia="zh-CN"/>
              </w:rPr>
            </w:pPr>
            <w:r>
              <w:rPr>
                <w:rFonts w:hint="eastAsia"/>
                <w:sz w:val="20"/>
                <w:szCs w:val="28"/>
                <w:lang w:eastAsia="zh-CN"/>
              </w:rPr>
              <w:t>距离</w:t>
            </w:r>
          </w:p>
        </w:tc>
        <w:tc>
          <w:tcPr>
            <w:tcW w:w="1310" w:type="pct"/>
            <w:shd w:val="clear" w:color="auto" w:fill="auto"/>
            <w:noWrap w:val="0"/>
            <w:vAlign w:val="center"/>
          </w:tcPr>
          <w:p>
            <w:pPr>
              <w:pStyle w:val="5"/>
              <w:spacing w:line="440" w:lineRule="atLeast"/>
              <w:ind w:firstLine="392"/>
              <w:jc w:val="center"/>
              <w:rPr>
                <w:rFonts w:hint="eastAsia" w:eastAsia="KaiTi_GB2312"/>
                <w:sz w:val="20"/>
                <w:szCs w:val="28"/>
                <w:lang w:eastAsia="zh-CN"/>
              </w:rPr>
            </w:pPr>
            <w:r>
              <w:rPr>
                <w:rFonts w:hint="eastAsia"/>
                <w:sz w:val="20"/>
                <w:szCs w:val="28"/>
                <w:lang w:eastAsia="zh-CN"/>
              </w:rPr>
              <w:t>优劣程度</w:t>
            </w:r>
          </w:p>
        </w:tc>
        <w:tc>
          <w:tcPr>
            <w:tcW w:w="1189" w:type="pct"/>
            <w:shd w:val="clear" w:color="auto" w:fill="auto"/>
            <w:noWrap w:val="0"/>
            <w:vAlign w:val="center"/>
          </w:tcPr>
          <w:p>
            <w:pPr>
              <w:pStyle w:val="5"/>
              <w:spacing w:line="440" w:lineRule="atLeast"/>
              <w:ind w:firstLine="392"/>
              <w:jc w:val="center"/>
              <w:rPr>
                <w:rFonts w:hint="eastAsia"/>
                <w:sz w:val="20"/>
                <w:szCs w:val="28"/>
                <w:lang w:eastAsia="zh-CN"/>
              </w:rPr>
            </w:pPr>
            <w:r>
              <w:rPr>
                <w:rFonts w:hint="eastAsia"/>
                <w:sz w:val="20"/>
                <w:szCs w:val="28"/>
                <w:lang w:eastAsia="zh-CN"/>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距离商服中心距离</w:t>
            </w:r>
          </w:p>
        </w:tc>
        <w:tc>
          <w:tcPr>
            <w:tcW w:w="832"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＞2500</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-1.3426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668" w:type="pct"/>
            <w:shd w:val="clear" w:color="auto" w:fill="auto"/>
            <w:noWrap w:val="0"/>
            <w:vAlign w:val="bottom"/>
          </w:tcPr>
          <w:p>
            <w:pPr>
              <w:spacing w:after="0" w:line="196"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住宅区用地类型</w:t>
            </w:r>
          </w:p>
        </w:tc>
        <w:tc>
          <w:tcPr>
            <w:tcW w:w="832" w:type="pct"/>
            <w:shd w:val="clear" w:color="auto" w:fill="auto"/>
            <w:noWrap w:val="0"/>
            <w:vAlign w:val="bottom"/>
          </w:tcPr>
          <w:p>
            <w:pPr>
              <w:spacing w:after="0" w:line="194" w:lineRule="exact"/>
              <w:jc w:val="center"/>
              <w:rPr>
                <w:rFonts w:ascii="Arial" w:hAnsi="Arial" w:eastAsia="Arial" w:cs="Arial"/>
                <w:color w:val="auto"/>
                <w:w w:val="97"/>
                <w:sz w:val="18"/>
                <w:szCs w:val="18"/>
                <w:lang w:val="en-US" w:eastAsia="zh-CN"/>
              </w:rPr>
            </w:pPr>
            <w:r>
              <w:rPr>
                <w:rFonts w:ascii="宋体" w:hAnsi="宋体" w:eastAsia="宋体" w:cs="宋体"/>
                <w:color w:val="auto"/>
                <w:w w:val="99"/>
                <w:sz w:val="18"/>
                <w:szCs w:val="18"/>
              </w:rPr>
              <w:t>＜15</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6" w:lineRule="exact"/>
              <w:jc w:val="center"/>
              <w:rPr>
                <w:rFonts w:ascii="宋体" w:hAnsi="宋体" w:eastAsia="宋体" w:cs="宋体"/>
                <w:color w:val="auto"/>
                <w:w w:val="99"/>
                <w:sz w:val="18"/>
                <w:szCs w:val="18"/>
              </w:rPr>
            </w:pPr>
            <w:r>
              <w:rPr>
                <w:rFonts w:ascii="宋体" w:hAnsi="宋体" w:eastAsia="宋体" w:cs="宋体"/>
                <w:color w:val="auto"/>
                <w:sz w:val="18"/>
                <w:szCs w:val="18"/>
              </w:rPr>
              <w:t>-0.8876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临街道路类型</w:t>
            </w:r>
          </w:p>
        </w:tc>
        <w:tc>
          <w:tcPr>
            <w:tcW w:w="832" w:type="pct"/>
            <w:shd w:val="clear" w:color="auto" w:fill="auto"/>
            <w:noWrap w:val="0"/>
            <w:vAlign w:val="center"/>
          </w:tcPr>
          <w:p>
            <w:pPr>
              <w:pStyle w:val="5"/>
              <w:spacing w:line="440" w:lineRule="atLeast"/>
              <w:ind w:firstLine="392"/>
              <w:jc w:val="center"/>
              <w:rPr>
                <w:rFonts w:ascii="Arial" w:hAnsi="Arial" w:eastAsia="Arial" w:cs="Arial"/>
                <w:color w:val="auto"/>
                <w:w w:val="97"/>
                <w:sz w:val="18"/>
                <w:szCs w:val="18"/>
                <w:lang w:val="en-US" w:eastAsia="zh-CN"/>
              </w:rPr>
            </w:pPr>
            <w:r>
              <w:rPr>
                <w:rFonts w:ascii="宋体" w:hAnsi="宋体" w:eastAsia="宋体" w:cs="宋体"/>
                <w:color w:val="auto"/>
                <w:w w:val="99"/>
                <w:sz w:val="18"/>
                <w:szCs w:val="18"/>
              </w:rPr>
              <w:t>临支路</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-1.2992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6"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距公交站点距离</w:t>
            </w:r>
          </w:p>
        </w:tc>
        <w:tc>
          <w:tcPr>
            <w:tcW w:w="832" w:type="pct"/>
            <w:shd w:val="clear" w:color="auto" w:fill="auto"/>
            <w:noWrap w:val="0"/>
            <w:vAlign w:val="center"/>
          </w:tcPr>
          <w:p>
            <w:pPr>
              <w:pStyle w:val="5"/>
              <w:spacing w:line="440" w:lineRule="atLeast"/>
              <w:ind w:firstLine="392"/>
              <w:jc w:val="center"/>
              <w:rPr>
                <w:rFonts w:hint="eastAsia" w:ascii="Arial" w:hAnsi="Arial" w:eastAsia="宋体" w:cs="Arial"/>
                <w:color w:val="auto"/>
                <w:w w:val="97"/>
                <w:sz w:val="18"/>
                <w:szCs w:val="18"/>
                <w:lang w:val="en-US" w:eastAsia="zh-CN"/>
              </w:rPr>
            </w:pPr>
            <w:r>
              <w:rPr>
                <w:rFonts w:hint="eastAsia" w:ascii="宋体" w:hAnsi="宋体" w:eastAsia="宋体" w:cs="宋体"/>
                <w:color w:val="auto"/>
                <w:w w:val="99"/>
                <w:sz w:val="18"/>
                <w:szCs w:val="18"/>
                <w:lang w:val="en-US" w:eastAsia="zh-CN"/>
              </w:rPr>
              <w:t>1</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lang w:val="en-US" w:eastAsia="zh-CN"/>
              </w:rPr>
            </w:pPr>
            <w:r>
              <w:rPr>
                <w:rFonts w:hint="eastAsia" w:ascii="宋体" w:hAnsi="宋体" w:eastAsia="宋体" w:cs="宋体"/>
                <w:color w:val="auto"/>
                <w:w w:val="99"/>
                <w:sz w:val="18"/>
                <w:szCs w:val="18"/>
                <w:lang w:eastAsia="zh-CN"/>
              </w:rPr>
              <w:t>较</w:t>
            </w:r>
            <w:r>
              <w:rPr>
                <w:rFonts w:ascii="宋体" w:hAnsi="宋体" w:eastAsia="宋体" w:cs="宋体"/>
                <w:color w:val="auto"/>
                <w:w w:val="99"/>
                <w:sz w:val="18"/>
                <w:szCs w:val="18"/>
              </w:rPr>
              <w:t>劣</w:t>
            </w:r>
          </w:p>
        </w:tc>
        <w:tc>
          <w:tcPr>
            <w:tcW w:w="1189" w:type="pct"/>
            <w:shd w:val="clear" w:color="auto" w:fill="auto"/>
            <w:noWrap w:val="0"/>
            <w:vAlign w:val="center"/>
          </w:tcPr>
          <w:p>
            <w:pPr>
              <w:pStyle w:val="5"/>
              <w:spacing w:line="440" w:lineRule="atLeast"/>
              <w:ind w:firstLine="392"/>
              <w:jc w:val="center"/>
              <w:rPr>
                <w:rFonts w:hint="eastAsia" w:ascii="宋体" w:hAnsi="宋体" w:eastAsia="宋体" w:cs="宋体"/>
                <w:color w:val="auto"/>
                <w:w w:val="99"/>
                <w:sz w:val="18"/>
                <w:szCs w:val="18"/>
                <w:lang w:eastAsia="zh-CN"/>
              </w:rPr>
            </w:pPr>
            <w:r>
              <w:rPr>
                <w:rFonts w:ascii="宋体" w:hAnsi="宋体" w:eastAsia="宋体" w:cs="宋体"/>
                <w:color w:val="auto"/>
                <w:w w:val="98"/>
                <w:sz w:val="18"/>
                <w:szCs w:val="18"/>
              </w:rPr>
              <w:t>-0.5411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距火车站距离</w:t>
            </w:r>
          </w:p>
        </w:tc>
        <w:tc>
          <w:tcPr>
            <w:tcW w:w="832" w:type="pct"/>
            <w:shd w:val="clear" w:color="auto" w:fill="auto"/>
            <w:noWrap w:val="0"/>
            <w:vAlign w:val="bottom"/>
          </w:tcPr>
          <w:p>
            <w:pPr>
              <w:spacing w:after="0" w:line="194" w:lineRule="exact"/>
              <w:jc w:val="center"/>
              <w:rPr>
                <w:rFonts w:ascii="Arial" w:hAnsi="Arial" w:eastAsia="Arial" w:cs="Arial"/>
                <w:color w:val="auto"/>
                <w:w w:val="97"/>
                <w:sz w:val="18"/>
                <w:szCs w:val="18"/>
              </w:rPr>
            </w:pPr>
            <w:r>
              <w:rPr>
                <w:rFonts w:ascii="宋体" w:hAnsi="宋体" w:eastAsia="宋体" w:cs="宋体"/>
                <w:color w:val="auto"/>
                <w:w w:val="99"/>
                <w:sz w:val="18"/>
                <w:szCs w:val="18"/>
              </w:rPr>
              <w:t>＞2500</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-0.3402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距长途汽车站距离</w:t>
            </w:r>
          </w:p>
        </w:tc>
        <w:tc>
          <w:tcPr>
            <w:tcW w:w="832" w:type="pct"/>
            <w:shd w:val="clear" w:color="auto" w:fill="auto"/>
            <w:noWrap w:val="0"/>
            <w:vAlign w:val="bottom"/>
          </w:tcPr>
          <w:p>
            <w:pPr>
              <w:spacing w:after="0" w:line="194" w:lineRule="exact"/>
              <w:jc w:val="center"/>
              <w:rPr>
                <w:rFonts w:hint="default" w:ascii="Arial" w:hAnsi="Arial" w:eastAsia="宋体" w:cs="Arial"/>
                <w:color w:val="auto"/>
                <w:w w:val="97"/>
                <w:sz w:val="18"/>
                <w:szCs w:val="18"/>
                <w:lang w:val="en-US" w:eastAsia="zh-CN"/>
              </w:rPr>
            </w:pPr>
            <w:r>
              <w:rPr>
                <w:rFonts w:hint="eastAsia" w:ascii="宋体" w:hAnsi="宋体" w:cs="宋体"/>
                <w:color w:val="auto"/>
                <w:w w:val="99"/>
                <w:sz w:val="18"/>
                <w:szCs w:val="18"/>
                <w:lang w:val="en-US" w:eastAsia="zh-CN"/>
              </w:rPr>
              <w:t>2800</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-0.5166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供电状况</w:t>
            </w:r>
          </w:p>
        </w:tc>
        <w:tc>
          <w:tcPr>
            <w:tcW w:w="832" w:type="pct"/>
            <w:shd w:val="clear" w:color="auto" w:fill="auto"/>
            <w:noWrap w:val="0"/>
            <w:vAlign w:val="bottom"/>
          </w:tcPr>
          <w:p>
            <w:pPr>
              <w:spacing w:after="0" w:line="194" w:lineRule="exact"/>
              <w:jc w:val="center"/>
              <w:rPr>
                <w:rFonts w:ascii="Arial" w:hAnsi="Arial" w:eastAsia="Arial" w:cs="Arial"/>
                <w:color w:val="auto"/>
                <w:w w:val="97"/>
                <w:sz w:val="18"/>
                <w:szCs w:val="18"/>
              </w:rPr>
            </w:pPr>
            <w:r>
              <w:rPr>
                <w:rFonts w:ascii="宋体" w:hAnsi="宋体" w:eastAsia="宋体" w:cs="宋体"/>
                <w:color w:val="auto"/>
                <w:sz w:val="18"/>
                <w:szCs w:val="18"/>
              </w:rPr>
              <w:t>[98,99)</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hint="eastAsia" w:ascii="宋体" w:hAnsi="宋体" w:eastAsia="宋体" w:cs="宋体"/>
                <w:color w:val="auto"/>
                <w:w w:val="99"/>
                <w:sz w:val="18"/>
                <w:szCs w:val="18"/>
                <w:lang w:eastAsia="zh-CN"/>
              </w:rPr>
              <w:t>较优</w:t>
            </w:r>
          </w:p>
        </w:tc>
        <w:tc>
          <w:tcPr>
            <w:tcW w:w="1189" w:type="pct"/>
            <w:shd w:val="clear" w:color="auto" w:fill="auto"/>
            <w:noWrap w:val="0"/>
            <w:vAlign w:val="center"/>
          </w:tcPr>
          <w:p>
            <w:pPr>
              <w:pStyle w:val="5"/>
              <w:spacing w:line="440" w:lineRule="atLeast"/>
              <w:ind w:firstLine="392"/>
              <w:jc w:val="center"/>
              <w:rPr>
                <w:rFonts w:hint="eastAsia" w:ascii="宋体" w:hAnsi="宋体" w:eastAsia="宋体" w:cs="宋体"/>
                <w:color w:val="auto"/>
                <w:w w:val="99"/>
                <w:sz w:val="18"/>
                <w:szCs w:val="18"/>
                <w:lang w:eastAsia="zh-CN"/>
              </w:rPr>
            </w:pPr>
            <w:r>
              <w:rPr>
                <w:rFonts w:ascii="宋体" w:hAnsi="宋体" w:eastAsia="宋体" w:cs="宋体"/>
                <w:color w:val="auto"/>
                <w:w w:val="99"/>
                <w:sz w:val="18"/>
                <w:szCs w:val="18"/>
              </w:rPr>
              <w:t>0.3336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供水状况</w:t>
            </w:r>
          </w:p>
        </w:tc>
        <w:tc>
          <w:tcPr>
            <w:tcW w:w="832" w:type="pct"/>
            <w:shd w:val="clear" w:color="auto" w:fill="auto"/>
            <w:noWrap w:val="0"/>
            <w:vAlign w:val="bottom"/>
          </w:tcPr>
          <w:p>
            <w:pPr>
              <w:spacing w:after="0" w:line="194" w:lineRule="exact"/>
              <w:jc w:val="center"/>
              <w:rPr>
                <w:rFonts w:ascii="Arial" w:hAnsi="Arial" w:eastAsia="Arial" w:cs="Arial"/>
                <w:color w:val="auto"/>
                <w:w w:val="97"/>
                <w:sz w:val="18"/>
                <w:szCs w:val="18"/>
              </w:rPr>
            </w:pPr>
            <w:r>
              <w:rPr>
                <w:rFonts w:ascii="宋体" w:hAnsi="宋体" w:eastAsia="宋体" w:cs="宋体"/>
                <w:color w:val="auto"/>
                <w:sz w:val="18"/>
                <w:szCs w:val="18"/>
              </w:rPr>
              <w:t>[98,99)</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hint="eastAsia" w:ascii="宋体" w:hAnsi="宋体" w:eastAsia="宋体" w:cs="宋体"/>
                <w:color w:val="auto"/>
                <w:w w:val="99"/>
                <w:sz w:val="18"/>
                <w:szCs w:val="18"/>
                <w:lang w:eastAsia="zh-CN"/>
              </w:rPr>
              <w:t>较优</w:t>
            </w:r>
          </w:p>
        </w:tc>
        <w:tc>
          <w:tcPr>
            <w:tcW w:w="1189" w:type="pct"/>
            <w:shd w:val="clear" w:color="auto" w:fill="auto"/>
            <w:noWrap w:val="0"/>
            <w:vAlign w:val="bottom"/>
          </w:tcPr>
          <w:p>
            <w:pPr>
              <w:spacing w:after="0" w:line="194" w:lineRule="exact"/>
              <w:jc w:val="center"/>
              <w:rPr>
                <w:rFonts w:hint="eastAsia" w:ascii="宋体" w:hAnsi="宋体" w:eastAsia="宋体" w:cs="宋体"/>
                <w:color w:val="auto"/>
                <w:w w:val="99"/>
                <w:sz w:val="18"/>
                <w:szCs w:val="18"/>
                <w:lang w:eastAsia="zh-CN"/>
              </w:rPr>
            </w:pPr>
            <w:r>
              <w:rPr>
                <w:rFonts w:ascii="宋体" w:hAnsi="宋体" w:eastAsia="宋体" w:cs="宋体"/>
                <w:color w:val="auto"/>
                <w:w w:val="99"/>
                <w:sz w:val="18"/>
                <w:szCs w:val="18"/>
              </w:rPr>
              <w:t>0.3168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排水状况</w:t>
            </w:r>
          </w:p>
        </w:tc>
        <w:tc>
          <w:tcPr>
            <w:tcW w:w="832" w:type="pct"/>
            <w:shd w:val="clear" w:color="auto" w:fill="auto"/>
            <w:noWrap w:val="0"/>
            <w:vAlign w:val="bottom"/>
          </w:tcPr>
          <w:p>
            <w:pPr>
              <w:spacing w:after="0" w:line="196" w:lineRule="exact"/>
              <w:jc w:val="center"/>
              <w:rPr>
                <w:rFonts w:ascii="Arial" w:hAnsi="Arial" w:eastAsia="Arial" w:cs="Arial"/>
                <w:color w:val="auto"/>
                <w:w w:val="97"/>
                <w:sz w:val="18"/>
                <w:szCs w:val="18"/>
              </w:rPr>
            </w:pPr>
            <w:r>
              <w:rPr>
                <w:rFonts w:ascii="宋体" w:hAnsi="宋体" w:eastAsia="宋体" w:cs="宋体"/>
                <w:color w:val="auto"/>
                <w:sz w:val="18"/>
                <w:szCs w:val="18"/>
              </w:rPr>
              <w:t>[92,96)</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hint="eastAsia" w:ascii="宋体" w:hAnsi="宋体" w:eastAsia="宋体" w:cs="宋体"/>
                <w:color w:val="auto"/>
                <w:w w:val="99"/>
                <w:sz w:val="18"/>
                <w:szCs w:val="18"/>
                <w:lang w:eastAsia="zh-CN"/>
              </w:rPr>
              <w:t>较优</w:t>
            </w:r>
          </w:p>
        </w:tc>
        <w:tc>
          <w:tcPr>
            <w:tcW w:w="1189" w:type="pct"/>
            <w:shd w:val="clear" w:color="auto" w:fill="auto"/>
            <w:noWrap w:val="0"/>
            <w:vAlign w:val="bottom"/>
          </w:tcPr>
          <w:p>
            <w:pPr>
              <w:spacing w:after="0" w:line="194" w:lineRule="exact"/>
              <w:jc w:val="center"/>
              <w:rPr>
                <w:rFonts w:hint="eastAsia" w:ascii="宋体" w:hAnsi="宋体" w:eastAsia="宋体" w:cs="宋体"/>
                <w:color w:val="auto"/>
                <w:w w:val="99"/>
                <w:sz w:val="18"/>
                <w:szCs w:val="18"/>
                <w:lang w:eastAsia="zh-CN"/>
              </w:rPr>
            </w:pPr>
            <w:r>
              <w:rPr>
                <w:rFonts w:ascii="宋体" w:hAnsi="宋体" w:eastAsia="宋体" w:cs="宋体"/>
                <w:color w:val="auto"/>
                <w:w w:val="99"/>
                <w:sz w:val="18"/>
                <w:szCs w:val="18"/>
              </w:rPr>
              <w:t>0.2936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供气状况</w:t>
            </w:r>
          </w:p>
        </w:tc>
        <w:tc>
          <w:tcPr>
            <w:tcW w:w="832" w:type="pct"/>
            <w:shd w:val="clear" w:color="auto" w:fill="auto"/>
            <w:noWrap w:val="0"/>
            <w:vAlign w:val="bottom"/>
          </w:tcPr>
          <w:p>
            <w:pPr>
              <w:spacing w:after="0" w:line="194" w:lineRule="exact"/>
              <w:jc w:val="center"/>
              <w:rPr>
                <w:rFonts w:hint="eastAsia" w:ascii="Arial" w:hAnsi="Arial" w:eastAsia="Arial" w:cs="Arial"/>
                <w:color w:val="auto"/>
                <w:w w:val="97"/>
                <w:sz w:val="18"/>
                <w:szCs w:val="18"/>
              </w:rPr>
            </w:pPr>
            <w:r>
              <w:rPr>
                <w:rFonts w:ascii="宋体" w:hAnsi="宋体" w:eastAsia="宋体" w:cs="宋体"/>
                <w:color w:val="auto"/>
                <w:sz w:val="18"/>
                <w:szCs w:val="18"/>
              </w:rPr>
              <w:t>[98,99)</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hint="eastAsia" w:ascii="宋体" w:hAnsi="宋体" w:eastAsia="宋体" w:cs="宋体"/>
                <w:color w:val="auto"/>
                <w:w w:val="99"/>
                <w:sz w:val="18"/>
                <w:szCs w:val="18"/>
                <w:lang w:eastAsia="zh-CN"/>
              </w:rPr>
              <w:t>较优</w:t>
            </w:r>
          </w:p>
        </w:tc>
        <w:tc>
          <w:tcPr>
            <w:tcW w:w="1189" w:type="pct"/>
            <w:shd w:val="clear" w:color="auto" w:fill="auto"/>
            <w:noWrap w:val="0"/>
            <w:vAlign w:val="bottom"/>
          </w:tcPr>
          <w:p>
            <w:pPr>
              <w:spacing w:after="0" w:line="194" w:lineRule="exact"/>
              <w:jc w:val="center"/>
              <w:rPr>
                <w:rFonts w:hint="eastAsia" w:ascii="宋体" w:hAnsi="宋体" w:eastAsia="宋体" w:cs="宋体"/>
                <w:color w:val="auto"/>
                <w:w w:val="99"/>
                <w:sz w:val="18"/>
                <w:szCs w:val="18"/>
                <w:lang w:eastAsia="zh-CN"/>
              </w:rPr>
            </w:pPr>
            <w:r>
              <w:rPr>
                <w:rFonts w:ascii="宋体" w:hAnsi="宋体" w:eastAsia="宋体" w:cs="宋体"/>
                <w:color w:val="auto"/>
                <w:w w:val="99"/>
                <w:sz w:val="18"/>
                <w:szCs w:val="18"/>
              </w:rPr>
              <w:t>0.2784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6" w:lineRule="exact"/>
              <w:jc w:val="center"/>
              <w:rPr>
                <w:rFonts w:hint="eastAsia" w:ascii="Arial" w:hAnsi="Arial" w:eastAsia="Arial" w:cs="Arial"/>
                <w:color w:val="auto"/>
                <w:w w:val="97"/>
                <w:sz w:val="18"/>
                <w:szCs w:val="18"/>
              </w:rPr>
            </w:pPr>
            <w:r>
              <w:rPr>
                <w:rFonts w:ascii="宋体" w:hAnsi="宋体" w:eastAsia="宋体" w:cs="宋体"/>
                <w:color w:val="auto"/>
                <w:w w:val="99"/>
                <w:sz w:val="18"/>
                <w:szCs w:val="18"/>
              </w:rPr>
              <w:t>距中学的距离</w:t>
            </w:r>
          </w:p>
        </w:tc>
        <w:tc>
          <w:tcPr>
            <w:tcW w:w="832"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lang w:eastAsia="zh-CN"/>
              </w:rPr>
            </w:pPr>
            <w:r>
              <w:rPr>
                <w:rFonts w:ascii="宋体" w:hAnsi="宋体" w:eastAsia="宋体" w:cs="宋体"/>
                <w:color w:val="auto"/>
                <w:w w:val="99"/>
                <w:sz w:val="18"/>
                <w:szCs w:val="18"/>
              </w:rPr>
              <w:t>劣</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lang w:val="en-US" w:eastAsia="zh-CN"/>
              </w:rPr>
            </w:pPr>
            <w:r>
              <w:rPr>
                <w:rFonts w:ascii="宋体" w:hAnsi="宋体" w:eastAsia="宋体" w:cs="宋体"/>
                <w:color w:val="auto"/>
                <w:w w:val="99"/>
                <w:sz w:val="18"/>
                <w:szCs w:val="18"/>
              </w:rPr>
              <w:t>劣</w:t>
            </w:r>
          </w:p>
        </w:tc>
        <w:tc>
          <w:tcPr>
            <w:tcW w:w="1189" w:type="pct"/>
            <w:shd w:val="clear" w:color="auto" w:fill="auto"/>
            <w:noWrap w:val="0"/>
            <w:vAlign w:val="center"/>
          </w:tcPr>
          <w:p>
            <w:pPr>
              <w:pStyle w:val="5"/>
              <w:spacing w:line="440" w:lineRule="atLeast"/>
              <w:ind w:firstLine="392"/>
              <w:jc w:val="center"/>
              <w:rPr>
                <w:rFonts w:ascii="宋体" w:hAnsi="宋体" w:eastAsia="宋体" w:cs="宋体"/>
                <w:color w:val="auto"/>
                <w:w w:val="99"/>
                <w:sz w:val="18"/>
                <w:szCs w:val="18"/>
              </w:rPr>
            </w:pPr>
            <w:r>
              <w:rPr>
                <w:rFonts w:ascii="宋体" w:hAnsi="宋体" w:eastAsia="宋体" w:cs="宋体"/>
                <w:color w:val="auto"/>
                <w:sz w:val="18"/>
                <w:szCs w:val="18"/>
              </w:rPr>
              <w:t>-0.2072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201" w:lineRule="exact"/>
              <w:jc w:val="center"/>
              <w:rPr>
                <w:rFonts w:hint="eastAsia" w:ascii="Arial" w:hAnsi="Arial" w:eastAsia="Arial" w:cs="Arial"/>
                <w:color w:val="auto"/>
                <w:w w:val="97"/>
                <w:sz w:val="18"/>
                <w:szCs w:val="18"/>
                <w:lang w:eastAsia="zh-CN"/>
              </w:rPr>
            </w:pPr>
            <w:r>
              <w:rPr>
                <w:rFonts w:ascii="宋体" w:hAnsi="宋体" w:eastAsia="宋体" w:cs="宋体"/>
                <w:color w:val="auto"/>
                <w:w w:val="99"/>
                <w:sz w:val="18"/>
                <w:szCs w:val="18"/>
              </w:rPr>
              <w:t>距小学的距离</w:t>
            </w:r>
          </w:p>
        </w:tc>
        <w:tc>
          <w:tcPr>
            <w:tcW w:w="832" w:type="pct"/>
            <w:shd w:val="clear" w:color="auto" w:fill="auto"/>
            <w:noWrap w:val="0"/>
            <w:vAlign w:val="center"/>
          </w:tcPr>
          <w:p>
            <w:pPr>
              <w:pStyle w:val="5"/>
              <w:spacing w:line="440" w:lineRule="atLeast"/>
              <w:ind w:firstLine="392"/>
              <w:jc w:val="center"/>
              <w:rPr>
                <w:rFonts w:hint="eastAsia" w:ascii="Arial" w:hAnsi="Arial" w:eastAsia="宋体" w:cs="Arial"/>
                <w:color w:val="auto"/>
                <w:w w:val="97"/>
                <w:sz w:val="18"/>
                <w:szCs w:val="18"/>
                <w:lang w:eastAsia="zh-CN"/>
              </w:rPr>
            </w:pPr>
            <w:r>
              <w:rPr>
                <w:rFonts w:hint="eastAsia" w:ascii="Arial" w:hAnsi="Arial" w:eastAsia="宋体" w:cs="Arial"/>
                <w:color w:val="auto"/>
                <w:w w:val="97"/>
                <w:sz w:val="18"/>
                <w:szCs w:val="18"/>
                <w:lang w:eastAsia="zh-CN"/>
              </w:rPr>
              <w:t>优</w:t>
            </w:r>
          </w:p>
        </w:tc>
        <w:tc>
          <w:tcPr>
            <w:tcW w:w="1310"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hint="eastAsia" w:ascii="Arial" w:hAnsi="Arial" w:eastAsia="宋体" w:cs="Arial"/>
                <w:color w:val="auto"/>
                <w:w w:val="97"/>
                <w:sz w:val="18"/>
                <w:szCs w:val="18"/>
                <w:lang w:eastAsia="zh-CN"/>
              </w:rPr>
              <w:t>优</w:t>
            </w:r>
          </w:p>
        </w:tc>
        <w:tc>
          <w:tcPr>
            <w:tcW w:w="1189" w:type="pct"/>
            <w:shd w:val="clear" w:color="auto" w:fill="auto"/>
            <w:noWrap w:val="0"/>
            <w:vAlign w:val="center"/>
          </w:tcPr>
          <w:p>
            <w:pPr>
              <w:pStyle w:val="5"/>
              <w:spacing w:line="440" w:lineRule="atLeast"/>
              <w:ind w:firstLine="392"/>
              <w:jc w:val="center"/>
              <w:rPr>
                <w:rFonts w:hint="eastAsia" w:ascii="Arial" w:hAnsi="Arial" w:eastAsia="宋体" w:cs="Arial"/>
                <w:color w:val="auto"/>
                <w:w w:val="97"/>
                <w:sz w:val="18"/>
                <w:szCs w:val="18"/>
                <w:lang w:eastAsia="zh-CN"/>
              </w:rPr>
            </w:pPr>
            <w:r>
              <w:rPr>
                <w:rFonts w:ascii="宋体" w:hAnsi="宋体" w:eastAsia="宋体" w:cs="宋体"/>
                <w:color w:val="auto"/>
                <w:w w:val="99"/>
                <w:sz w:val="18"/>
                <w:szCs w:val="18"/>
              </w:rPr>
              <w:t>0.2272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lang w:eastAsia="zh-CN"/>
              </w:rPr>
            </w:pPr>
            <w:r>
              <w:rPr>
                <w:rFonts w:ascii="宋体" w:hAnsi="宋体" w:eastAsia="宋体" w:cs="宋体"/>
                <w:color w:val="auto"/>
                <w:w w:val="99"/>
                <w:sz w:val="18"/>
                <w:szCs w:val="18"/>
              </w:rPr>
              <w:t>距幼儿园的距离</w:t>
            </w:r>
          </w:p>
        </w:tc>
        <w:tc>
          <w:tcPr>
            <w:tcW w:w="832"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310" w:type="pct"/>
            <w:shd w:val="clear" w:color="auto" w:fill="auto"/>
            <w:noWrap w:val="0"/>
            <w:vAlign w:val="center"/>
          </w:tcPr>
          <w:p>
            <w:pPr>
              <w:pStyle w:val="5"/>
              <w:spacing w:line="440" w:lineRule="atLeast"/>
              <w:ind w:firstLine="392"/>
              <w:jc w:val="center"/>
              <w:rPr>
                <w:rFonts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-0.1904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lang w:eastAsia="zh-CN"/>
              </w:rPr>
            </w:pPr>
            <w:r>
              <w:rPr>
                <w:rFonts w:ascii="宋体" w:hAnsi="宋体" w:eastAsia="宋体" w:cs="宋体"/>
                <w:color w:val="auto"/>
                <w:w w:val="99"/>
                <w:sz w:val="18"/>
                <w:szCs w:val="18"/>
              </w:rPr>
              <w:t>距医院的距离</w:t>
            </w:r>
          </w:p>
        </w:tc>
        <w:tc>
          <w:tcPr>
            <w:tcW w:w="832"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310" w:type="pct"/>
            <w:shd w:val="clear" w:color="auto" w:fill="auto"/>
            <w:noWrap w:val="0"/>
            <w:vAlign w:val="center"/>
          </w:tcPr>
          <w:p>
            <w:pPr>
              <w:pStyle w:val="5"/>
              <w:spacing w:line="440" w:lineRule="atLeast"/>
              <w:ind w:firstLine="392"/>
              <w:jc w:val="center"/>
              <w:rPr>
                <w:rFonts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-0.2520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lang w:eastAsia="zh-CN"/>
              </w:rPr>
            </w:pPr>
            <w:r>
              <w:rPr>
                <w:rFonts w:ascii="宋体" w:hAnsi="宋体" w:eastAsia="宋体" w:cs="宋体"/>
                <w:color w:val="auto"/>
                <w:w w:val="99"/>
                <w:sz w:val="18"/>
                <w:szCs w:val="18"/>
              </w:rPr>
              <w:t>距公园广场的距离</w:t>
            </w:r>
          </w:p>
        </w:tc>
        <w:tc>
          <w:tcPr>
            <w:tcW w:w="832"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310" w:type="pct"/>
            <w:shd w:val="clear" w:color="auto" w:fill="auto"/>
            <w:noWrap w:val="0"/>
            <w:vAlign w:val="center"/>
          </w:tcPr>
          <w:p>
            <w:pPr>
              <w:pStyle w:val="5"/>
              <w:spacing w:line="440" w:lineRule="atLeast"/>
              <w:ind w:firstLine="392"/>
              <w:jc w:val="center"/>
              <w:rPr>
                <w:rFonts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-0.2506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lang w:eastAsia="zh-CN"/>
              </w:rPr>
            </w:pPr>
            <w:r>
              <w:rPr>
                <w:rFonts w:ascii="宋体" w:hAnsi="宋体" w:eastAsia="宋体" w:cs="宋体"/>
                <w:color w:val="auto"/>
                <w:w w:val="99"/>
                <w:sz w:val="18"/>
                <w:szCs w:val="18"/>
              </w:rPr>
              <w:t>距农贸市场的距离</w:t>
            </w:r>
          </w:p>
        </w:tc>
        <w:tc>
          <w:tcPr>
            <w:tcW w:w="832"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310" w:type="pct"/>
            <w:shd w:val="clear" w:color="auto" w:fill="auto"/>
            <w:noWrap w:val="0"/>
            <w:vAlign w:val="center"/>
          </w:tcPr>
          <w:p>
            <w:pPr>
              <w:pStyle w:val="5"/>
              <w:spacing w:line="440" w:lineRule="atLeast"/>
              <w:ind w:firstLine="392"/>
              <w:jc w:val="center"/>
              <w:rPr>
                <w:rFonts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-0.3066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shd w:val="clear" w:color="auto" w:fill="auto"/>
            <w:noWrap w:val="0"/>
            <w:vAlign w:val="bottom"/>
          </w:tcPr>
          <w:p>
            <w:pPr>
              <w:spacing w:after="0" w:line="194" w:lineRule="exact"/>
              <w:jc w:val="center"/>
              <w:rPr>
                <w:rFonts w:hint="eastAsia" w:ascii="Arial" w:hAnsi="Arial" w:eastAsia="Arial" w:cs="Arial"/>
                <w:color w:val="auto"/>
                <w:w w:val="97"/>
                <w:sz w:val="18"/>
                <w:szCs w:val="18"/>
                <w:lang w:eastAsia="zh-CN"/>
              </w:rPr>
            </w:pPr>
            <w:r>
              <w:rPr>
                <w:rFonts w:ascii="宋体" w:hAnsi="宋体" w:eastAsia="宋体" w:cs="宋体"/>
                <w:color w:val="auto"/>
                <w:w w:val="99"/>
                <w:sz w:val="18"/>
                <w:szCs w:val="18"/>
              </w:rPr>
              <w:t>距银行的距离</w:t>
            </w:r>
          </w:p>
        </w:tc>
        <w:tc>
          <w:tcPr>
            <w:tcW w:w="832" w:type="pct"/>
            <w:shd w:val="clear" w:color="auto" w:fill="auto"/>
            <w:noWrap w:val="0"/>
            <w:vAlign w:val="center"/>
          </w:tcPr>
          <w:p>
            <w:pPr>
              <w:pStyle w:val="5"/>
              <w:spacing w:line="440" w:lineRule="atLeast"/>
              <w:ind w:firstLine="392"/>
              <w:jc w:val="center"/>
              <w:rPr>
                <w:rFonts w:hint="eastAsia" w:ascii="Arial" w:hAnsi="Arial" w:eastAsia="Arial" w:cs="Arial"/>
                <w:color w:val="auto"/>
                <w:w w:val="97"/>
                <w:sz w:val="18"/>
                <w:szCs w:val="18"/>
              </w:rPr>
            </w:pPr>
            <w:r>
              <w:rPr>
                <w:rFonts w:ascii="宋体" w:hAnsi="宋体" w:eastAsia="宋体" w:cs="宋体"/>
                <w:color w:val="auto"/>
                <w:w w:val="99"/>
                <w:sz w:val="18"/>
                <w:szCs w:val="18"/>
              </w:rPr>
              <w:t>劣</w:t>
            </w:r>
          </w:p>
        </w:tc>
        <w:tc>
          <w:tcPr>
            <w:tcW w:w="1310" w:type="pct"/>
            <w:shd w:val="clear" w:color="auto" w:fill="auto"/>
            <w:noWrap w:val="0"/>
            <w:vAlign w:val="center"/>
          </w:tcPr>
          <w:p>
            <w:pPr>
              <w:pStyle w:val="5"/>
              <w:spacing w:line="440" w:lineRule="atLeast"/>
              <w:ind w:firstLine="392"/>
              <w:jc w:val="center"/>
              <w:rPr>
                <w:rFonts w:ascii="Arial" w:hAnsi="Arial" w:eastAsia="Arial" w:cs="Arial"/>
                <w:color w:val="auto"/>
                <w:w w:val="97"/>
                <w:sz w:val="18"/>
                <w:szCs w:val="18"/>
              </w:rPr>
            </w:pPr>
            <w:r>
              <w:rPr>
                <w:rFonts w:ascii="宋体" w:hAnsi="宋体" w:eastAsia="宋体" w:cs="宋体"/>
                <w:color w:val="auto"/>
                <w:w w:val="99"/>
                <w:sz w:val="18"/>
                <w:szCs w:val="18"/>
              </w:rPr>
              <w:t>劣</w:t>
            </w:r>
          </w:p>
        </w:tc>
        <w:tc>
          <w:tcPr>
            <w:tcW w:w="1189" w:type="pct"/>
            <w:shd w:val="clear" w:color="auto" w:fill="auto"/>
            <w:noWrap w:val="0"/>
            <w:vAlign w:val="bottom"/>
          </w:tcPr>
          <w:p>
            <w:pPr>
              <w:spacing w:after="0" w:line="194" w:lineRule="exact"/>
              <w:jc w:val="center"/>
              <w:rPr>
                <w:rFonts w:ascii="宋体" w:hAnsi="宋体" w:eastAsia="宋体" w:cs="宋体"/>
                <w:color w:val="auto"/>
                <w:w w:val="99"/>
                <w:sz w:val="18"/>
                <w:szCs w:val="18"/>
              </w:rPr>
            </w:pPr>
            <w:r>
              <w:rPr>
                <w:rFonts w:ascii="宋体" w:hAnsi="宋体" w:eastAsia="宋体" w:cs="宋体"/>
                <w:color w:val="auto"/>
                <w:sz w:val="18"/>
                <w:szCs w:val="18"/>
              </w:rPr>
              <w:t>-0.2548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0" w:type="pct"/>
            <w:gridSpan w:val="3"/>
            <w:shd w:val="clear" w:color="auto" w:fill="auto"/>
            <w:noWrap w:val="0"/>
            <w:vAlign w:val="bottom"/>
          </w:tcPr>
          <w:p>
            <w:pPr>
              <w:pStyle w:val="5"/>
              <w:spacing w:line="440" w:lineRule="atLeast"/>
              <w:ind w:firstLine="392"/>
              <w:jc w:val="center"/>
              <w:rPr>
                <w:rFonts w:hint="eastAsia" w:ascii="宋体" w:hAnsi="宋体" w:eastAsia="宋体" w:cs="宋体"/>
                <w:color w:val="auto"/>
                <w:w w:val="99"/>
                <w:sz w:val="18"/>
                <w:szCs w:val="18"/>
                <w:lang w:eastAsia="zh-CN"/>
              </w:rPr>
            </w:pPr>
            <w:r>
              <w:rPr>
                <w:rFonts w:hint="eastAsia" w:ascii="宋体" w:hAnsi="宋体" w:eastAsia="宋体" w:cs="宋体"/>
                <w:color w:val="auto"/>
                <w:w w:val="99"/>
                <w:sz w:val="18"/>
                <w:szCs w:val="18"/>
                <w:lang w:eastAsia="zh-CN"/>
              </w:rPr>
              <w:t>合计</w:t>
            </w:r>
          </w:p>
        </w:tc>
        <w:tc>
          <w:tcPr>
            <w:tcW w:w="1189" w:type="pct"/>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-4.9393</w:t>
            </w:r>
          </w:p>
        </w:tc>
      </w:tr>
    </w:tbl>
    <w:p>
      <w:pPr>
        <w:spacing w:line="340" w:lineRule="exact"/>
        <w:ind w:left="140" w:firstLine="420" w:firstLineChars="150"/>
        <w:rPr>
          <w:rFonts w:hint="eastAsia" w:ascii="仿宋" w:hAnsi="仿宋" w:eastAsia="仿宋"/>
          <w:sz w:val="28"/>
        </w:rPr>
      </w:pPr>
      <w:r>
        <w:rPr>
          <w:rFonts w:hint="eastAsia" w:ascii="仿宋" w:hAnsi="仿宋" w:eastAsia="仿宋"/>
          <w:sz w:val="28"/>
          <w:lang w:eastAsia="zh-CN"/>
        </w:rPr>
        <w:t>（</w:t>
      </w:r>
      <w:r>
        <w:rPr>
          <w:rFonts w:hint="eastAsia" w:ascii="仿宋" w:hAnsi="仿宋" w:eastAsia="仿宋"/>
          <w:sz w:val="28"/>
          <w:lang w:val="en-US" w:eastAsia="zh-CN"/>
        </w:rPr>
        <w:t>8</w:t>
      </w:r>
      <w:r>
        <w:rPr>
          <w:rFonts w:hint="eastAsia" w:ascii="仿宋" w:hAnsi="仿宋" w:eastAsia="仿宋"/>
          <w:sz w:val="28"/>
          <w:lang w:eastAsia="zh-CN"/>
        </w:rPr>
        <w:t>）</w:t>
      </w:r>
      <w:r>
        <w:rPr>
          <w:rFonts w:hint="eastAsia" w:ascii="仿宋" w:hAnsi="仿宋" w:eastAsia="仿宋"/>
          <w:sz w:val="28"/>
        </w:rPr>
        <w:t>估价对象土地使用权价格</w:t>
      </w:r>
    </w:p>
    <w:p>
      <w:pPr>
        <w:pStyle w:val="13"/>
        <w:autoSpaceDE/>
        <w:spacing w:line="520" w:lineRule="exact"/>
        <w:ind w:firstLine="560" w:firstLineChars="200"/>
        <w:rPr>
          <w:rFonts w:hint="eastAsia" w:ascii="仿宋" w:hAnsi="仿宋" w:eastAsia="仿宋" w:cs="Times New Roman"/>
          <w:kern w:val="2"/>
          <w:szCs w:val="20"/>
        </w:rPr>
      </w:pPr>
      <w:r>
        <w:rPr>
          <w:rFonts w:hint="eastAsia" w:ascii="仿宋" w:hAnsi="仿宋" w:eastAsia="仿宋" w:cs="Times New Roman"/>
          <w:kern w:val="2"/>
          <w:szCs w:val="20"/>
        </w:rPr>
        <w:t>土地使用权价格=</w:t>
      </w:r>
      <w:r>
        <w:rPr>
          <w:rFonts w:hint="eastAsia" w:ascii="仿宋" w:hAnsi="仿宋" w:eastAsia="仿宋" w:cs="Times New Roman"/>
          <w:kern w:val="2"/>
          <w:szCs w:val="20"/>
          <w:lang w:val="en-US" w:eastAsia="zh-CN"/>
        </w:rPr>
        <w:t>198.28</w:t>
      </w:r>
      <w:r>
        <w:rPr>
          <w:rFonts w:hint="eastAsia" w:ascii="仿宋" w:hAnsi="仿宋" w:eastAsia="仿宋" w:cs="Times New Roman"/>
          <w:kern w:val="2"/>
          <w:szCs w:val="20"/>
        </w:rPr>
        <w:t>×</w:t>
      </w:r>
      <w:r>
        <w:rPr>
          <w:rFonts w:hint="eastAsia" w:ascii="仿宋" w:hAnsi="仿宋" w:eastAsia="仿宋" w:cs="Times New Roman"/>
          <w:kern w:val="2"/>
          <w:szCs w:val="20"/>
          <w:lang w:eastAsia="zh-CN"/>
        </w:rPr>
        <w:t>（</w:t>
      </w:r>
      <w:r>
        <w:rPr>
          <w:rFonts w:hint="eastAsia" w:ascii="仿宋" w:hAnsi="仿宋" w:eastAsia="仿宋" w:cs="Times New Roman"/>
          <w:kern w:val="2"/>
          <w:szCs w:val="20"/>
          <w:lang w:val="en-US" w:eastAsia="zh-CN"/>
        </w:rPr>
        <w:t>1-</w:t>
      </w:r>
      <w:r>
        <w:rPr>
          <w:rFonts w:hint="eastAsia" w:ascii="仿宋" w:hAnsi="仿宋" w:eastAsia="仿宋"/>
          <w:sz w:val="28"/>
          <w:lang w:val="en-US" w:eastAsia="zh-CN"/>
        </w:rPr>
        <w:t>4.9393%</w:t>
      </w:r>
      <w:r>
        <w:rPr>
          <w:rFonts w:hint="eastAsia" w:ascii="仿宋" w:hAnsi="仿宋" w:eastAsia="仿宋" w:cs="Times New Roman"/>
          <w:kern w:val="2"/>
          <w:szCs w:val="20"/>
          <w:lang w:eastAsia="zh-CN"/>
        </w:rPr>
        <w:t>）</w:t>
      </w:r>
      <w:r>
        <w:rPr>
          <w:rFonts w:hint="eastAsia" w:ascii="仿宋" w:hAnsi="仿宋" w:eastAsia="仿宋" w:cs="Times New Roman"/>
          <w:kern w:val="2"/>
          <w:szCs w:val="20"/>
        </w:rPr>
        <w:t>=</w:t>
      </w:r>
      <w:r>
        <w:rPr>
          <w:rFonts w:hint="eastAsia" w:ascii="仿宋" w:hAnsi="仿宋" w:eastAsia="仿宋" w:cs="Times New Roman"/>
          <w:kern w:val="2"/>
          <w:szCs w:val="20"/>
          <w:lang w:val="en-US" w:eastAsia="zh-CN"/>
        </w:rPr>
        <w:t>188</w:t>
      </w:r>
      <w:r>
        <w:rPr>
          <w:rFonts w:hint="eastAsia" w:ascii="仿宋" w:hAnsi="仿宋" w:eastAsia="仿宋" w:cs="Times New Roman"/>
          <w:kern w:val="2"/>
          <w:szCs w:val="20"/>
        </w:rPr>
        <w:t>元/平方米</w:t>
      </w:r>
    </w:p>
    <w:p>
      <w:pPr>
        <w:pStyle w:val="13"/>
        <w:autoSpaceDE/>
        <w:spacing w:line="520" w:lineRule="exact"/>
        <w:ind w:firstLine="560" w:firstLineChars="200"/>
        <w:rPr>
          <w:rFonts w:hint="default" w:ascii="仿宋" w:hAnsi="仿宋" w:eastAsia="仿宋" w:cs="Times New Roman"/>
          <w:kern w:val="2"/>
          <w:szCs w:val="20"/>
          <w:lang w:val="en-US" w:eastAsia="zh-CN"/>
        </w:rPr>
      </w:pPr>
      <w:r>
        <w:rPr>
          <w:rFonts w:hint="eastAsia" w:ascii="仿宋" w:hAnsi="仿宋" w:eastAsia="仿宋" w:cs="Times New Roman"/>
          <w:kern w:val="2"/>
          <w:szCs w:val="20"/>
          <w:lang w:eastAsia="zh-CN"/>
        </w:rPr>
        <w:t>土地总价</w:t>
      </w:r>
      <w:r>
        <w:rPr>
          <w:rFonts w:hint="eastAsia" w:ascii="仿宋" w:hAnsi="仿宋" w:eastAsia="仿宋" w:cs="Times New Roman"/>
          <w:kern w:val="2"/>
          <w:szCs w:val="20"/>
          <w:lang w:val="en-US" w:eastAsia="zh-CN"/>
        </w:rPr>
        <w:t>=188</w:t>
      </w:r>
      <w:r>
        <w:rPr>
          <w:rFonts w:hint="eastAsia" w:ascii="仿宋" w:hAnsi="仿宋" w:eastAsia="仿宋" w:cs="Times New Roman"/>
          <w:kern w:val="2"/>
          <w:szCs w:val="20"/>
        </w:rPr>
        <w:t>×</w:t>
      </w:r>
      <w:r>
        <w:rPr>
          <w:rFonts w:hint="eastAsia" w:ascii="仿宋" w:hAnsi="仿宋" w:eastAsia="仿宋" w:cs="Times New Roman"/>
          <w:kern w:val="2"/>
          <w:szCs w:val="20"/>
          <w:lang w:val="en-US" w:eastAsia="zh-CN"/>
        </w:rPr>
        <w:t>113.8=21394元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sz w:val="28"/>
          <w:szCs w:val="28"/>
        </w:rPr>
      </w:pPr>
      <w:r>
        <w:rPr>
          <w:rFonts w:hint="eastAsia" w:ascii="仿宋" w:hAnsi="仿宋" w:eastAsia="仿宋"/>
          <w:b/>
          <w:sz w:val="28"/>
          <w:szCs w:val="28"/>
          <w:lang w:eastAsia="zh-CN"/>
        </w:rPr>
        <w:t>六</w:t>
      </w:r>
      <w:r>
        <w:rPr>
          <w:rFonts w:hint="eastAsia" w:ascii="仿宋" w:hAnsi="仿宋" w:eastAsia="仿宋"/>
          <w:b/>
          <w:sz w:val="28"/>
          <w:szCs w:val="28"/>
        </w:rPr>
        <w:t>、估价结果确定</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jc w:val="left"/>
        <w:textAlignment w:val="auto"/>
        <w:rPr>
          <w:rFonts w:hint="eastAsia" w:ascii="仿宋" w:hAnsi="仿宋" w:eastAsia="仿宋"/>
          <w:sz w:val="28"/>
          <w:szCs w:val="28"/>
        </w:rPr>
      </w:pPr>
      <w:r>
        <w:rPr>
          <w:rFonts w:hint="eastAsia" w:ascii="仿宋" w:hAnsi="仿宋" w:eastAsia="仿宋"/>
          <w:sz w:val="28"/>
          <w:szCs w:val="28"/>
        </w:rPr>
        <w:t>估价人员根据估价目的，遵循估价原则，采用科学的估价方法，在认真分析所掌握资料与影响估价对象价值诸因素的基础上，最后确定估价对象在估价时点的价值为:</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总价值为：195842元</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大    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195842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壹拾玖万伍仟捌佰肆拾贰</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元整</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（其中：地上无证房产价值为152152元，大写：人民币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152152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壹拾伍万贰仟壹佰伍拾贰</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元；钢棚价值22296元，大写：人民币</w:t>
      </w:r>
      <w:r>
        <w:rPr>
          <w:rFonts w:hint="eastAsia" w:ascii="仿宋" w:hAnsi="仿宋" w:eastAsia="仿宋"/>
          <w:sz w:val="28"/>
          <w:szCs w:val="28"/>
          <w:lang w:val="en-US" w:eastAsia="zh-CN"/>
        </w:rPr>
        <w:fldChar w:fldCharType="begin"/>
      </w:r>
      <m:oMath>
        <m:r>
          <m:rPr>
            <m:sty m:val="p"/>
          </m:rPr>
          <w:rPr>
            <w:rFonts w:hint="eastAsia" w:ascii="仿宋" w:hAnsi="仿宋" w:eastAsia="仿宋"/>
            <w:sz w:val="28"/>
            <w:szCs w:val="28"/>
            <w:lang w:val="en-US" w:eastAsia="zh-CN"/>
          </w:rPr>
          <m:t xml:space="preserve"> = 22296 \* CHINESENUM2 \* MERGEFORMAT </m:t>
        </m:r>
      </m:oMath>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贰万贰仟贰佰玖拾陆</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元；土地价值：21394元，大写：人民币</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 21394 \* CHINESENUM2 \* MERGEFORMAT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贰万壹仟叁佰玖拾肆</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0" w:firstLineChars="100"/>
        <w:textAlignment w:val="auto"/>
        <w:rPr>
          <w:rFonts w:hint="eastAsia" w:ascii="仿宋" w:hAnsi="仿宋" w:eastAsia="仿宋" w:cs="Times New Roman"/>
          <w:color w:val="000000"/>
          <w:kern w:val="2"/>
          <w:sz w:val="28"/>
          <w:szCs w:val="22"/>
          <w:lang w:val="en-US" w:eastAsia="zh-CN" w:bidi="ar-SA"/>
        </w:rPr>
      </w:pPr>
      <w:r>
        <w:rPr>
          <w:rFonts w:hint="eastAsia" w:ascii="仿宋" w:hAnsi="仿宋" w:eastAsia="仿宋" w:cs="Times New Roman"/>
          <w:color w:val="000000"/>
          <w:kern w:val="2"/>
          <w:sz w:val="28"/>
          <w:szCs w:val="22"/>
          <w:lang w:val="en-US" w:eastAsia="zh-CN" w:bidi="ar-SA"/>
        </w:rPr>
        <w:t>（一）地上建筑物价值明细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909"/>
        <w:gridCol w:w="1104"/>
        <w:gridCol w:w="1207"/>
        <w:gridCol w:w="1209"/>
        <w:gridCol w:w="982"/>
        <w:gridCol w:w="1135"/>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序号</w:t>
            </w:r>
          </w:p>
        </w:tc>
        <w:tc>
          <w:tcPr>
            <w:tcW w:w="909"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幢号</w:t>
            </w:r>
          </w:p>
        </w:tc>
        <w:tc>
          <w:tcPr>
            <w:tcW w:w="1104"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结构</w:t>
            </w:r>
          </w:p>
        </w:tc>
        <w:tc>
          <w:tcPr>
            <w:tcW w:w="1207"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面积（㎡）</w:t>
            </w:r>
          </w:p>
        </w:tc>
        <w:tc>
          <w:tcPr>
            <w:tcW w:w="1209"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重置价值</w:t>
            </w:r>
          </w:p>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（元/㎡）</w:t>
            </w:r>
          </w:p>
        </w:tc>
        <w:tc>
          <w:tcPr>
            <w:tcW w:w="982"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color w:val="000000"/>
                <w:kern w:val="0"/>
                <w:sz w:val="20"/>
                <w:lang w:eastAsia="zh-CN"/>
              </w:rPr>
              <w:t>层高</w:t>
            </w:r>
            <w:r>
              <w:rPr>
                <w:rFonts w:hint="eastAsia" w:ascii="宋体" w:hAnsi="宋体" w:eastAsia="宋体"/>
                <w:color w:val="000000"/>
                <w:kern w:val="0"/>
                <w:sz w:val="20"/>
              </w:rPr>
              <w:t>%</w:t>
            </w:r>
          </w:p>
        </w:tc>
        <w:tc>
          <w:tcPr>
            <w:tcW w:w="1135"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成新率%</w:t>
            </w:r>
          </w:p>
        </w:tc>
        <w:tc>
          <w:tcPr>
            <w:tcW w:w="1382" w:type="dxa"/>
            <w:noWrap w:val="0"/>
            <w:vAlign w:val="center"/>
          </w:tcPr>
          <w:p>
            <w:pPr>
              <w:spacing w:line="400" w:lineRule="exact"/>
              <w:jc w:val="center"/>
              <w:rPr>
                <w:rFonts w:hint="eastAsia" w:ascii="宋体" w:hAnsi="宋体" w:eastAsia="宋体"/>
                <w:color w:val="000000"/>
                <w:kern w:val="0"/>
                <w:sz w:val="20"/>
              </w:rPr>
            </w:pPr>
            <w:r>
              <w:rPr>
                <w:rFonts w:hint="eastAsia" w:ascii="宋体" w:hAnsi="宋体" w:eastAsia="宋体"/>
                <w:color w:val="000000"/>
                <w:kern w:val="0"/>
                <w:sz w:val="20"/>
              </w:rPr>
              <w:t>评估值（元）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1</w:t>
            </w:r>
          </w:p>
        </w:tc>
        <w:tc>
          <w:tcPr>
            <w:tcW w:w="909" w:type="dxa"/>
            <w:noWrap w:val="0"/>
            <w:vAlign w:val="center"/>
          </w:tcPr>
          <w:p>
            <w:pPr>
              <w:jc w:val="center"/>
              <w:rPr>
                <w:rFonts w:hint="eastAsia" w:ascii="宋体" w:hAnsi="宋体" w:eastAsia="宋体"/>
                <w:color w:val="000000"/>
                <w:kern w:val="0"/>
                <w:sz w:val="20"/>
                <w:lang w:eastAsia="zh-CN"/>
              </w:rPr>
            </w:pPr>
            <w:r>
              <w:rPr>
                <w:rFonts w:hint="eastAsia" w:ascii="宋体" w:hAnsi="宋体" w:eastAsia="宋体"/>
                <w:color w:val="000000"/>
                <w:kern w:val="0"/>
                <w:sz w:val="20"/>
                <w:lang w:val="en-US" w:eastAsia="zh-CN"/>
              </w:rPr>
              <w:t>1</w:t>
            </w:r>
          </w:p>
        </w:tc>
        <w:tc>
          <w:tcPr>
            <w:tcW w:w="1104" w:type="dxa"/>
            <w:noWrap w:val="0"/>
            <w:vAlign w:val="center"/>
          </w:tcPr>
          <w:p>
            <w:pPr>
              <w:jc w:val="center"/>
              <w:rPr>
                <w:rFonts w:hint="eastAsia" w:ascii="宋体" w:hAnsi="宋体" w:eastAsia="宋体"/>
                <w:color w:val="000000"/>
                <w:kern w:val="0"/>
                <w:sz w:val="20"/>
              </w:rPr>
            </w:pPr>
            <w:r>
              <w:rPr>
                <w:rFonts w:hint="eastAsia" w:ascii="宋体" w:hAnsi="宋体" w:eastAsia="宋体"/>
                <w:color w:val="000000"/>
                <w:kern w:val="0"/>
                <w:sz w:val="20"/>
              </w:rPr>
              <w:t>砖混</w:t>
            </w:r>
            <w:r>
              <w:rPr>
                <w:rFonts w:hint="eastAsia" w:ascii="宋体" w:hAnsi="宋体" w:eastAsia="宋体"/>
                <w:color w:val="000000"/>
                <w:kern w:val="0"/>
                <w:sz w:val="20"/>
                <w:lang w:eastAsia="zh-CN"/>
              </w:rPr>
              <w:t>乙</w:t>
            </w:r>
            <w:r>
              <w:rPr>
                <w:rFonts w:hint="eastAsia" w:ascii="宋体" w:hAnsi="宋体" w:eastAsia="宋体"/>
                <w:color w:val="000000"/>
                <w:kern w:val="0"/>
                <w:sz w:val="20"/>
              </w:rPr>
              <w:t>级</w:t>
            </w:r>
          </w:p>
        </w:tc>
        <w:tc>
          <w:tcPr>
            <w:tcW w:w="1207"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302.49</w:t>
            </w:r>
          </w:p>
        </w:tc>
        <w:tc>
          <w:tcPr>
            <w:tcW w:w="1209"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804</w:t>
            </w:r>
          </w:p>
        </w:tc>
        <w:tc>
          <w:tcPr>
            <w:tcW w:w="982" w:type="dxa"/>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100</w:t>
            </w:r>
          </w:p>
        </w:tc>
        <w:tc>
          <w:tcPr>
            <w:tcW w:w="1135"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62.5</w:t>
            </w:r>
          </w:p>
        </w:tc>
        <w:tc>
          <w:tcPr>
            <w:tcW w:w="1382" w:type="dxa"/>
            <w:noWrap w:val="0"/>
            <w:vAlign w:val="center"/>
          </w:tcPr>
          <w:p>
            <w:pPr>
              <w:jc w:val="center"/>
              <w:rPr>
                <w:rFonts w:hint="default" w:ascii="宋体" w:hAnsi="宋体" w:eastAsia="宋体"/>
                <w:color w:val="000000"/>
                <w:kern w:val="0"/>
                <w:sz w:val="20"/>
                <w:lang w:val="en-US" w:eastAsia="zh-CN"/>
              </w:rPr>
            </w:pPr>
            <w:r>
              <w:rPr>
                <w:rFonts w:hint="eastAsia" w:ascii="宋体" w:hAnsi="宋体"/>
                <w:color w:val="000000"/>
                <w:kern w:val="0"/>
                <w:sz w:val="20"/>
                <w:lang w:val="en-US" w:eastAsia="zh-CN"/>
              </w:rPr>
              <w:t>152152</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Times New Roman"/>
          <w:color w:val="000000"/>
          <w:kern w:val="2"/>
          <w:sz w:val="28"/>
          <w:szCs w:val="22"/>
          <w:lang w:val="en-US" w:eastAsia="zh-CN" w:bidi="ar-SA"/>
        </w:rPr>
      </w:pPr>
      <w:r>
        <w:rPr>
          <w:rFonts w:hint="eastAsia" w:ascii="仿宋" w:hAnsi="仿宋" w:eastAsia="仿宋" w:cs="Times New Roman"/>
          <w:color w:val="000000"/>
          <w:kern w:val="2"/>
          <w:sz w:val="28"/>
          <w:szCs w:val="22"/>
          <w:lang w:val="en-US" w:eastAsia="zh-CN" w:bidi="ar-SA"/>
        </w:rPr>
        <w:t>（二）钢棚价值明细</w:t>
      </w:r>
    </w:p>
    <w:tbl>
      <w:tblPr>
        <w:tblStyle w:val="9"/>
        <w:tblW w:w="4997" w:type="pct"/>
        <w:tblInd w:w="0" w:type="dxa"/>
        <w:tblLayout w:type="autofit"/>
        <w:tblCellMar>
          <w:top w:w="0" w:type="dxa"/>
          <w:left w:w="0" w:type="dxa"/>
          <w:bottom w:w="0" w:type="dxa"/>
          <w:right w:w="0" w:type="dxa"/>
        </w:tblCellMar>
      </w:tblPr>
      <w:tblGrid>
        <w:gridCol w:w="1371"/>
        <w:gridCol w:w="1930"/>
        <w:gridCol w:w="1266"/>
        <w:gridCol w:w="1354"/>
        <w:gridCol w:w="1522"/>
        <w:gridCol w:w="1582"/>
      </w:tblGrid>
      <w:tr>
        <w:tblPrEx>
          <w:tblCellMar>
            <w:top w:w="0" w:type="dxa"/>
            <w:left w:w="0" w:type="dxa"/>
            <w:bottom w:w="0" w:type="dxa"/>
            <w:right w:w="0" w:type="dxa"/>
          </w:tblCellMar>
        </w:tblPrEx>
        <w:trPr>
          <w:trHeight w:val="360" w:hRule="atLeast"/>
        </w:trPr>
        <w:tc>
          <w:tcPr>
            <w:tcW w:w="7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序号</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名称</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单位</w:t>
            </w:r>
          </w:p>
        </w:tc>
        <w:tc>
          <w:tcPr>
            <w:tcW w:w="75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数量</w:t>
            </w:r>
          </w:p>
        </w:tc>
        <w:tc>
          <w:tcPr>
            <w:tcW w:w="8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单价</w:t>
            </w:r>
          </w:p>
        </w:tc>
        <w:tc>
          <w:tcPr>
            <w:tcW w:w="87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总价（元）</w:t>
            </w:r>
          </w:p>
        </w:tc>
      </w:tr>
      <w:tr>
        <w:tblPrEx>
          <w:tblCellMar>
            <w:top w:w="0" w:type="dxa"/>
            <w:left w:w="0" w:type="dxa"/>
            <w:bottom w:w="0" w:type="dxa"/>
            <w:right w:w="0" w:type="dxa"/>
          </w:tblCellMar>
        </w:tblPrEx>
        <w:trPr>
          <w:trHeight w:val="360" w:hRule="atLeast"/>
        </w:trPr>
        <w:tc>
          <w:tcPr>
            <w:tcW w:w="7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1</w:t>
            </w:r>
          </w:p>
        </w:tc>
        <w:tc>
          <w:tcPr>
            <w:tcW w:w="106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olor w:val="000000"/>
                <w:kern w:val="0"/>
                <w:sz w:val="20"/>
                <w:lang w:val="en-US" w:eastAsia="zh-CN"/>
              </w:rPr>
            </w:pPr>
            <w:r>
              <w:rPr>
                <w:rFonts w:hint="eastAsia" w:ascii="宋体" w:hAnsi="宋体" w:eastAsia="宋体"/>
                <w:color w:val="000000"/>
                <w:kern w:val="0"/>
                <w:sz w:val="20"/>
                <w:lang w:val="en-US" w:eastAsia="zh-CN"/>
              </w:rPr>
              <w:t>钢棚</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olor w:val="000000"/>
                <w:kern w:val="0"/>
                <w:sz w:val="20"/>
                <w:lang w:val="en-US" w:eastAsia="zh-CN"/>
              </w:rPr>
            </w:pPr>
            <w:r>
              <w:rPr>
                <w:rFonts w:hint="eastAsia" w:ascii="宋体" w:hAnsi="宋体" w:eastAsia="宋体"/>
                <w:color w:val="000000"/>
                <w:kern w:val="0"/>
                <w:sz w:val="20"/>
                <w:lang w:val="en-US" w:eastAsia="zh-CN"/>
              </w:rPr>
              <w:t>㎡</w:t>
            </w:r>
          </w:p>
        </w:tc>
        <w:tc>
          <w:tcPr>
            <w:tcW w:w="7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148.64</w:t>
            </w:r>
          </w:p>
        </w:tc>
        <w:tc>
          <w:tcPr>
            <w:tcW w:w="8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150</w:t>
            </w:r>
          </w:p>
        </w:tc>
        <w:tc>
          <w:tcPr>
            <w:tcW w:w="87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22296</w:t>
            </w:r>
          </w:p>
        </w:tc>
      </w:tr>
    </w:tbl>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三</w:t>
      </w:r>
      <w:r>
        <w:rPr>
          <w:rFonts w:hint="eastAsia" w:ascii="仿宋" w:hAnsi="仿宋" w:eastAsia="仿宋"/>
          <w:sz w:val="28"/>
          <w:szCs w:val="28"/>
          <w:lang w:eastAsia="zh-CN"/>
        </w:rPr>
        <w:t>）土地价值</w:t>
      </w:r>
    </w:p>
    <w:tbl>
      <w:tblPr>
        <w:tblStyle w:val="10"/>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1108"/>
        <w:gridCol w:w="641"/>
        <w:gridCol w:w="1908"/>
        <w:gridCol w:w="1908"/>
        <w:gridCol w:w="890"/>
        <w:gridCol w:w="12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宗地编号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估价期日的土地使用者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土地性质</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估价基准日实际土地开发程度</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估价设定开发程度</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土地面积㎡</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单位面积单价（元/㎡）</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bCs/>
                <w:i w:val="0"/>
                <w:color w:val="000000"/>
                <w:kern w:val="0"/>
                <w:sz w:val="18"/>
                <w:szCs w:val="18"/>
                <w:u w:val="none"/>
                <w:lang w:val="en-US" w:eastAsia="zh-CN" w:bidi="ar"/>
              </w:rPr>
            </w:pPr>
            <w:r>
              <w:rPr>
                <w:rFonts w:hint="eastAsia" w:ascii="仿宋" w:hAnsi="仿宋" w:eastAsia="仿宋" w:cs="仿宋"/>
                <w:b/>
                <w:bCs/>
                <w:i w:val="0"/>
                <w:color w:val="000000"/>
                <w:kern w:val="0"/>
                <w:sz w:val="18"/>
                <w:szCs w:val="18"/>
                <w:u w:val="none"/>
                <w:lang w:val="en-US" w:eastAsia="zh-CN" w:bidi="ar"/>
              </w:rPr>
              <w:t>宗地价元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0" w:type="auto"/>
            <w:noWrap w:val="0"/>
            <w:vAlign w:val="center"/>
          </w:tcPr>
          <w:p>
            <w:pPr>
              <w:jc w:val="center"/>
              <w:rPr>
                <w:rFonts w:hint="eastAsia" w:ascii="宋体" w:hAnsi="宋体" w:eastAsia="宋体"/>
                <w:color w:val="000000"/>
                <w:kern w:val="0"/>
                <w:sz w:val="20"/>
                <w:lang w:val="en-US" w:eastAsia="zh-CN"/>
              </w:rPr>
            </w:pPr>
            <w:r>
              <w:rPr>
                <w:rFonts w:hint="eastAsia" w:ascii="宋体" w:hAnsi="宋体" w:eastAsia="宋体"/>
                <w:color w:val="000000"/>
                <w:kern w:val="0"/>
                <w:sz w:val="20"/>
                <w:lang w:val="en-US" w:eastAsia="zh-CN"/>
              </w:rPr>
              <w:t>1</w:t>
            </w:r>
          </w:p>
        </w:tc>
        <w:tc>
          <w:tcPr>
            <w:tcW w:w="0" w:type="auto"/>
            <w:noWrap w:val="0"/>
            <w:vAlign w:val="center"/>
          </w:tcPr>
          <w:p>
            <w:pPr>
              <w:jc w:val="center"/>
              <w:rPr>
                <w:rFonts w:hint="eastAsia" w:ascii="宋体" w:hAnsi="宋体" w:eastAsia="宋体"/>
                <w:color w:val="000000"/>
                <w:kern w:val="0"/>
                <w:sz w:val="20"/>
                <w:lang w:val="en-US" w:eastAsia="zh-CN"/>
              </w:rPr>
            </w:pPr>
            <w:r>
              <w:rPr>
                <w:rFonts w:hint="eastAsia" w:ascii="宋体" w:hAnsi="宋体" w:eastAsia="宋体"/>
                <w:color w:val="000000"/>
                <w:kern w:val="0"/>
                <w:sz w:val="20"/>
                <w:lang w:val="en-US" w:eastAsia="zh-CN"/>
              </w:rPr>
              <w:t>方文志</w:t>
            </w:r>
          </w:p>
        </w:tc>
        <w:tc>
          <w:tcPr>
            <w:tcW w:w="0" w:type="auto"/>
            <w:noWrap w:val="0"/>
            <w:vAlign w:val="center"/>
          </w:tcPr>
          <w:p>
            <w:pPr>
              <w:jc w:val="center"/>
              <w:rPr>
                <w:rFonts w:hint="eastAsia" w:ascii="宋体" w:hAnsi="宋体" w:eastAsia="宋体"/>
                <w:color w:val="000000"/>
                <w:kern w:val="0"/>
                <w:sz w:val="20"/>
                <w:lang w:val="en-US" w:eastAsia="zh-CN"/>
              </w:rPr>
            </w:pPr>
            <w:r>
              <w:rPr>
                <w:rFonts w:hint="eastAsia" w:ascii="宋体" w:hAnsi="宋体" w:eastAsia="宋体"/>
                <w:color w:val="000000"/>
                <w:kern w:val="0"/>
                <w:sz w:val="20"/>
                <w:lang w:val="en-US" w:eastAsia="zh-CN"/>
              </w:rPr>
              <w:t>宅基地</w:t>
            </w:r>
          </w:p>
        </w:tc>
        <w:tc>
          <w:tcPr>
            <w:tcW w:w="0" w:type="auto"/>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红线外“五通一平”及红线内场地平整</w:t>
            </w:r>
          </w:p>
        </w:tc>
        <w:tc>
          <w:tcPr>
            <w:tcW w:w="0" w:type="auto"/>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红线外“五通一平”及红线内场地平整</w:t>
            </w:r>
          </w:p>
        </w:tc>
        <w:tc>
          <w:tcPr>
            <w:tcW w:w="0" w:type="auto"/>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113.8</w:t>
            </w:r>
          </w:p>
        </w:tc>
        <w:tc>
          <w:tcPr>
            <w:tcW w:w="0" w:type="auto"/>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188</w:t>
            </w:r>
          </w:p>
        </w:tc>
        <w:tc>
          <w:tcPr>
            <w:tcW w:w="0" w:type="auto"/>
            <w:noWrap w:val="0"/>
            <w:vAlign w:val="center"/>
          </w:tcPr>
          <w:p>
            <w:pPr>
              <w:jc w:val="center"/>
              <w:rPr>
                <w:rFonts w:hint="default" w:ascii="宋体" w:hAnsi="宋体" w:eastAsia="宋体"/>
                <w:color w:val="000000"/>
                <w:kern w:val="0"/>
                <w:sz w:val="20"/>
                <w:lang w:val="en-US" w:eastAsia="zh-CN"/>
              </w:rPr>
            </w:pPr>
            <w:r>
              <w:rPr>
                <w:rFonts w:hint="eastAsia" w:ascii="宋体" w:hAnsi="宋体" w:eastAsia="宋体"/>
                <w:color w:val="000000"/>
                <w:kern w:val="0"/>
                <w:sz w:val="20"/>
                <w:lang w:val="en-US" w:eastAsia="zh-CN"/>
              </w:rPr>
              <w:t>21394</w:t>
            </w:r>
          </w:p>
        </w:tc>
      </w:tr>
    </w:tbl>
    <w:p>
      <w:pPr>
        <w:spacing w:line="560" w:lineRule="exact"/>
        <w:ind w:firstLine="4200" w:firstLineChars="1500"/>
        <w:rPr>
          <w:rFonts w:hint="eastAsia" w:ascii="仿宋" w:hAnsi="仿宋" w:eastAsia="仿宋"/>
          <w:sz w:val="28"/>
          <w:szCs w:val="28"/>
        </w:rPr>
      </w:pPr>
      <w:r>
        <w:rPr>
          <w:rFonts w:hint="eastAsia" w:ascii="仿宋" w:hAnsi="仿宋" w:eastAsia="仿宋"/>
          <w:sz w:val="28"/>
          <w:szCs w:val="28"/>
        </w:rPr>
        <w:t>湖北点石房地产评估咨询有限公司</w:t>
      </w:r>
    </w:p>
    <w:p>
      <w:pPr>
        <w:spacing w:line="560" w:lineRule="exact"/>
        <w:ind w:right="1120" w:firstLine="560" w:firstLineChars="200"/>
        <w:jc w:val="center"/>
        <w:rPr>
          <w:rFonts w:hint="eastAsia"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z w:val="28"/>
          <w:szCs w:val="28"/>
          <w:lang w:eastAsia="zh-CN"/>
        </w:rPr>
        <w:t>2021年03月</w:t>
      </w:r>
      <w:r>
        <w:rPr>
          <w:rFonts w:hint="eastAsia" w:ascii="仿宋" w:hAnsi="仿宋" w:eastAsia="仿宋"/>
          <w:sz w:val="28"/>
          <w:szCs w:val="28"/>
          <w:lang w:val="en-US" w:eastAsia="zh-CN"/>
        </w:rPr>
        <w:t>25</w:t>
      </w:r>
      <w:r>
        <w:rPr>
          <w:rFonts w:hint="eastAsia" w:ascii="仿宋" w:hAnsi="仿宋" w:eastAsia="仿宋"/>
          <w:sz w:val="28"/>
          <w:szCs w:val="28"/>
          <w:lang w:eastAsia="zh-CN"/>
        </w:rPr>
        <w:t>日</w:t>
      </w:r>
    </w:p>
    <w:p>
      <w:pPr>
        <w:spacing w:line="560" w:lineRule="exact"/>
        <w:ind w:right="560"/>
        <w:rPr>
          <w:rFonts w:hint="eastAsia" w:ascii="仿宋" w:hAnsi="仿宋" w:eastAsia="仿宋"/>
          <w:b/>
          <w:sz w:val="28"/>
          <w:szCs w:val="28"/>
        </w:rPr>
      </w:pPr>
    </w:p>
    <w:p>
      <w:pPr>
        <w:spacing w:line="560" w:lineRule="exact"/>
        <w:ind w:right="560"/>
        <w:jc w:val="center"/>
        <w:rPr>
          <w:rFonts w:hint="eastAsia" w:ascii="宋体" w:hAnsi="宋体"/>
          <w:b/>
          <w:sz w:val="28"/>
          <w:szCs w:val="28"/>
        </w:rPr>
      </w:pPr>
    </w:p>
    <w:p>
      <w:pPr>
        <w:spacing w:line="560" w:lineRule="exact"/>
        <w:ind w:right="560"/>
        <w:jc w:val="center"/>
        <w:rPr>
          <w:rFonts w:hint="eastAsia" w:ascii="宋体" w:hAnsi="宋体"/>
          <w:b/>
          <w:sz w:val="28"/>
          <w:szCs w:val="28"/>
        </w:rPr>
      </w:pPr>
      <w:bookmarkStart w:id="1" w:name="_GoBack"/>
      <w:bookmarkEnd w:id="1"/>
    </w:p>
    <w:p>
      <w:pPr>
        <w:spacing w:line="560" w:lineRule="exact"/>
        <w:ind w:right="560"/>
        <w:jc w:val="center"/>
        <w:rPr>
          <w:rFonts w:hint="eastAsia" w:ascii="宋体" w:hAnsi="宋体"/>
          <w:b/>
          <w:sz w:val="28"/>
          <w:szCs w:val="28"/>
        </w:rPr>
      </w:pPr>
    </w:p>
    <w:p>
      <w:pPr>
        <w:spacing w:line="560" w:lineRule="exact"/>
        <w:ind w:right="560"/>
        <w:jc w:val="center"/>
        <w:rPr>
          <w:rFonts w:hint="eastAsia" w:ascii="宋体" w:hAnsi="宋体"/>
          <w:b/>
          <w:sz w:val="28"/>
          <w:szCs w:val="28"/>
        </w:rPr>
      </w:pPr>
    </w:p>
    <w:p>
      <w:pPr>
        <w:spacing w:line="560" w:lineRule="exact"/>
        <w:ind w:right="560"/>
        <w:jc w:val="center"/>
        <w:rPr>
          <w:rFonts w:hint="eastAsia" w:ascii="宋体" w:hAnsi="宋体"/>
          <w:b/>
          <w:sz w:val="36"/>
          <w:szCs w:val="36"/>
        </w:rPr>
      </w:pPr>
    </w:p>
    <w:p>
      <w:pPr>
        <w:spacing w:line="560" w:lineRule="exact"/>
        <w:ind w:right="560"/>
        <w:jc w:val="center"/>
        <w:rPr>
          <w:rFonts w:hint="eastAsia" w:ascii="宋体" w:hAnsi="宋体"/>
          <w:b/>
          <w:sz w:val="36"/>
          <w:szCs w:val="36"/>
        </w:rPr>
      </w:pPr>
    </w:p>
    <w:p>
      <w:pPr>
        <w:spacing w:line="560" w:lineRule="exact"/>
        <w:ind w:right="560"/>
        <w:jc w:val="center"/>
        <w:rPr>
          <w:rFonts w:ascii="宋体" w:hAnsi="宋体"/>
          <w:b/>
          <w:sz w:val="36"/>
          <w:szCs w:val="36"/>
        </w:rPr>
      </w:pPr>
      <w:r>
        <w:rPr>
          <w:rFonts w:hint="eastAsia" w:ascii="宋体" w:hAnsi="宋体"/>
          <w:b/>
          <w:sz w:val="36"/>
          <w:szCs w:val="36"/>
        </w:rPr>
        <w:t>附   件</w:t>
      </w:r>
    </w:p>
    <w:p>
      <w:pPr>
        <w:spacing w:line="560" w:lineRule="exact"/>
        <w:ind w:right="560" w:firstLine="422" w:firstLineChars="150"/>
        <w:jc w:val="center"/>
        <w:rPr>
          <w:rFonts w:hint="eastAsia" w:ascii="宋体" w:hAnsi="宋体"/>
          <w:b/>
          <w:sz w:val="28"/>
          <w:szCs w:val="28"/>
        </w:rPr>
      </w:pPr>
    </w:p>
    <w:p>
      <w:pPr>
        <w:spacing w:line="560" w:lineRule="exact"/>
        <w:ind w:firstLine="700" w:firstLineChars="250"/>
        <w:rPr>
          <w:rFonts w:hint="eastAsia" w:ascii="仿宋" w:hAnsi="仿宋" w:eastAsia="仿宋"/>
          <w:bCs/>
          <w:sz w:val="28"/>
          <w:szCs w:val="28"/>
        </w:rPr>
      </w:pPr>
      <w:r>
        <w:rPr>
          <w:rFonts w:hint="eastAsia" w:ascii="仿宋" w:hAnsi="仿宋" w:eastAsia="仿宋"/>
          <w:bCs/>
          <w:sz w:val="28"/>
          <w:szCs w:val="28"/>
        </w:rPr>
        <w:t>1</w:t>
      </w:r>
      <w:r>
        <w:rPr>
          <w:rFonts w:hint="eastAsia" w:ascii="仿宋" w:hAnsi="仿宋" w:eastAsia="仿宋"/>
          <w:sz w:val="28"/>
          <w:szCs w:val="28"/>
        </w:rPr>
        <w:t>、</w:t>
      </w:r>
      <w:r>
        <w:rPr>
          <w:rFonts w:hint="eastAsia" w:ascii="仿宋" w:hAnsi="仿宋" w:eastAsia="仿宋"/>
          <w:bCs/>
          <w:sz w:val="28"/>
          <w:szCs w:val="28"/>
        </w:rPr>
        <w:t>估价委托书复印件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rPr>
        <w:t>2</w:t>
      </w:r>
      <w:r>
        <w:rPr>
          <w:rFonts w:hint="eastAsia" w:ascii="仿宋" w:hAnsi="仿宋" w:eastAsia="仿宋"/>
          <w:sz w:val="28"/>
          <w:szCs w:val="28"/>
        </w:rPr>
        <w:t>、</w:t>
      </w:r>
      <w:r>
        <w:rPr>
          <w:rFonts w:hint="eastAsia" w:ascii="仿宋" w:hAnsi="仿宋" w:eastAsia="仿宋"/>
          <w:bCs/>
          <w:sz w:val="28"/>
          <w:szCs w:val="28"/>
        </w:rPr>
        <w:t>估价对象内外部状况照片</w:t>
      </w:r>
    </w:p>
    <w:p>
      <w:pPr>
        <w:spacing w:line="560" w:lineRule="exact"/>
        <w:ind w:firstLine="700" w:firstLineChars="250"/>
        <w:rPr>
          <w:rFonts w:hint="eastAsia" w:ascii="仿宋" w:hAnsi="仿宋" w:eastAsia="仿宋"/>
          <w:bCs/>
          <w:sz w:val="28"/>
          <w:szCs w:val="28"/>
        </w:rPr>
      </w:pPr>
      <w:r>
        <w:rPr>
          <w:rFonts w:hint="eastAsia" w:ascii="仿宋" w:hAnsi="仿宋" w:eastAsia="仿宋"/>
          <w:bCs/>
          <w:sz w:val="28"/>
          <w:szCs w:val="28"/>
        </w:rPr>
        <w:t>3、</w:t>
      </w:r>
      <w:r>
        <w:rPr>
          <w:rFonts w:hint="eastAsia" w:ascii="仿宋" w:hAnsi="仿宋" w:eastAsia="仿宋"/>
          <w:bCs/>
          <w:sz w:val="28"/>
          <w:szCs w:val="28"/>
          <w:lang w:eastAsia="zh-CN"/>
        </w:rPr>
        <w:t>执行裁定书</w:t>
      </w:r>
      <w:r>
        <w:rPr>
          <w:rFonts w:hint="eastAsia" w:ascii="仿宋" w:hAnsi="仿宋" w:eastAsia="仿宋"/>
          <w:bCs/>
          <w:sz w:val="28"/>
          <w:szCs w:val="28"/>
        </w:rPr>
        <w:t>复印件</w:t>
      </w:r>
    </w:p>
    <w:p>
      <w:pPr>
        <w:spacing w:line="560" w:lineRule="exact"/>
        <w:ind w:left="720"/>
        <w:rPr>
          <w:rFonts w:hint="eastAsia" w:ascii="仿宋" w:hAnsi="仿宋" w:eastAsia="仿宋"/>
          <w:bCs/>
          <w:sz w:val="28"/>
          <w:szCs w:val="28"/>
          <w:highlight w:val="red"/>
        </w:rPr>
      </w:pPr>
      <w:r>
        <w:rPr>
          <w:rFonts w:hint="eastAsia" w:ascii="仿宋" w:hAnsi="仿宋" w:eastAsia="仿宋"/>
          <w:bCs/>
          <w:sz w:val="28"/>
          <w:szCs w:val="28"/>
        </w:rPr>
        <w:t>4</w:t>
      </w:r>
      <w:r>
        <w:rPr>
          <w:rFonts w:hint="eastAsia" w:ascii="仿宋" w:hAnsi="仿宋" w:eastAsia="仿宋"/>
          <w:sz w:val="28"/>
          <w:szCs w:val="28"/>
        </w:rPr>
        <w:t>、</w:t>
      </w:r>
      <w:r>
        <w:rPr>
          <w:rFonts w:hint="eastAsia" w:ascii="仿宋" w:hAnsi="仿宋" w:eastAsia="仿宋"/>
          <w:bCs/>
          <w:sz w:val="28"/>
          <w:szCs w:val="28"/>
          <w:lang w:eastAsia="zh-CN"/>
        </w:rPr>
        <w:t>公证书</w:t>
      </w:r>
      <w:r>
        <w:rPr>
          <w:rFonts w:hint="eastAsia" w:ascii="仿宋" w:hAnsi="仿宋" w:eastAsia="仿宋"/>
          <w:bCs/>
          <w:sz w:val="28"/>
          <w:szCs w:val="28"/>
        </w:rPr>
        <w:t>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sz w:val="28"/>
          <w:szCs w:val="28"/>
        </w:rPr>
        <w:t>、</w:t>
      </w:r>
      <w:r>
        <w:rPr>
          <w:rFonts w:hint="eastAsia" w:ascii="仿宋" w:hAnsi="仿宋" w:eastAsia="仿宋"/>
          <w:sz w:val="28"/>
          <w:szCs w:val="28"/>
          <w:lang w:eastAsia="zh-CN"/>
        </w:rPr>
        <w:t>盛康国土资源所证明</w:t>
      </w:r>
      <w:r>
        <w:rPr>
          <w:rFonts w:hint="eastAsia" w:ascii="仿宋" w:hAnsi="仿宋" w:eastAsia="仿宋"/>
          <w:bCs/>
          <w:sz w:val="28"/>
          <w:szCs w:val="28"/>
        </w:rPr>
        <w:t>复印件</w:t>
      </w:r>
    </w:p>
    <w:p>
      <w:pPr>
        <w:spacing w:line="560" w:lineRule="exact"/>
        <w:ind w:left="720"/>
        <w:rPr>
          <w:rFonts w:hint="eastAsia" w:ascii="仿宋" w:hAnsi="仿宋" w:eastAsia="仿宋"/>
          <w:bCs/>
          <w:sz w:val="28"/>
          <w:szCs w:val="28"/>
          <w:lang w:val="en-US" w:eastAsia="zh-CN"/>
        </w:rPr>
      </w:pPr>
      <w:r>
        <w:rPr>
          <w:rFonts w:hint="eastAsia" w:ascii="仿宋" w:hAnsi="仿宋" w:eastAsia="仿宋"/>
          <w:bCs/>
          <w:sz w:val="28"/>
          <w:szCs w:val="28"/>
          <w:lang w:val="en-US" w:eastAsia="zh-CN"/>
        </w:rPr>
        <w:t>6</w:t>
      </w:r>
      <w:r>
        <w:rPr>
          <w:rFonts w:hint="eastAsia" w:ascii="仿宋" w:hAnsi="仿宋" w:eastAsia="仿宋"/>
          <w:sz w:val="28"/>
          <w:szCs w:val="28"/>
        </w:rPr>
        <w:t>、</w:t>
      </w:r>
      <w:r>
        <w:rPr>
          <w:rFonts w:hint="eastAsia" w:ascii="仿宋" w:hAnsi="仿宋" w:eastAsia="仿宋"/>
          <w:bCs/>
          <w:sz w:val="28"/>
          <w:szCs w:val="28"/>
          <w:lang w:val="en-US" w:eastAsia="zh-CN"/>
        </w:rPr>
        <w:t>房屋平面图复印件</w:t>
      </w:r>
    </w:p>
    <w:p>
      <w:pPr>
        <w:spacing w:line="560" w:lineRule="exact"/>
        <w:ind w:left="720"/>
        <w:rPr>
          <w:rFonts w:ascii="仿宋" w:hAnsi="仿宋" w:eastAsia="仿宋"/>
          <w:bCs/>
          <w:sz w:val="28"/>
          <w:szCs w:val="28"/>
        </w:rPr>
      </w:pPr>
      <w:r>
        <w:rPr>
          <w:rFonts w:hint="eastAsia" w:ascii="仿宋" w:hAnsi="仿宋" w:eastAsia="仿宋"/>
          <w:bCs/>
          <w:sz w:val="28"/>
          <w:szCs w:val="28"/>
          <w:lang w:val="en-US" w:eastAsia="zh-CN"/>
        </w:rPr>
        <w:t>7</w:t>
      </w:r>
      <w:r>
        <w:rPr>
          <w:rFonts w:hint="eastAsia" w:ascii="仿宋" w:hAnsi="仿宋" w:eastAsia="仿宋"/>
          <w:bCs/>
          <w:sz w:val="28"/>
          <w:szCs w:val="28"/>
        </w:rPr>
        <w:t>、估价对象位置示意图</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8</w:t>
      </w:r>
      <w:r>
        <w:rPr>
          <w:rFonts w:hint="eastAsia" w:ascii="仿宋" w:hAnsi="仿宋" w:eastAsia="仿宋"/>
          <w:sz w:val="28"/>
          <w:szCs w:val="28"/>
        </w:rPr>
        <w:t>、</w:t>
      </w:r>
      <w:r>
        <w:rPr>
          <w:rFonts w:hint="eastAsia" w:ascii="仿宋" w:hAnsi="仿宋" w:eastAsia="仿宋"/>
          <w:bCs/>
          <w:sz w:val="28"/>
          <w:szCs w:val="28"/>
        </w:rPr>
        <w:t>湖北点石房地产评估咨询有限公司营业执照复印件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9</w:t>
      </w:r>
      <w:r>
        <w:rPr>
          <w:rFonts w:hint="eastAsia" w:ascii="仿宋" w:hAnsi="仿宋" w:eastAsia="仿宋"/>
          <w:sz w:val="28"/>
          <w:szCs w:val="28"/>
        </w:rPr>
        <w:t>、</w:t>
      </w:r>
      <w:r>
        <w:rPr>
          <w:rFonts w:hint="eastAsia" w:ascii="仿宋" w:hAnsi="仿宋" w:eastAsia="仿宋"/>
          <w:bCs/>
          <w:sz w:val="28"/>
          <w:szCs w:val="28"/>
        </w:rPr>
        <w:t>湖北点石房地产评估咨询有限公司资质证书复印件</w:t>
      </w:r>
    </w:p>
    <w:p>
      <w:pPr>
        <w:spacing w:line="560" w:lineRule="exact"/>
        <w:ind w:left="720"/>
        <w:rPr>
          <w:rFonts w:hint="eastAsia" w:ascii="仿宋" w:hAnsi="仿宋" w:eastAsia="仿宋"/>
          <w:bCs/>
          <w:sz w:val="28"/>
          <w:szCs w:val="28"/>
        </w:rPr>
      </w:pPr>
      <w:r>
        <w:rPr>
          <w:rFonts w:hint="eastAsia" w:ascii="仿宋" w:hAnsi="仿宋" w:eastAsia="仿宋"/>
          <w:bCs/>
          <w:sz w:val="28"/>
          <w:szCs w:val="28"/>
          <w:lang w:val="en-US" w:eastAsia="zh-CN"/>
        </w:rPr>
        <w:t>10</w:t>
      </w:r>
      <w:r>
        <w:rPr>
          <w:rFonts w:hint="eastAsia" w:ascii="仿宋" w:hAnsi="仿宋" w:eastAsia="仿宋"/>
          <w:sz w:val="28"/>
          <w:szCs w:val="28"/>
        </w:rPr>
        <w:t>、</w:t>
      </w:r>
      <w:r>
        <w:rPr>
          <w:rFonts w:hint="eastAsia" w:ascii="仿宋" w:hAnsi="仿宋" w:eastAsia="仿宋"/>
          <w:bCs/>
          <w:sz w:val="28"/>
          <w:szCs w:val="28"/>
        </w:rPr>
        <w:t>注册房地产估价师注册证书复印件</w:t>
      </w:r>
    </w:p>
    <w:p>
      <w:pPr>
        <w:spacing w:line="560" w:lineRule="exact"/>
        <w:ind w:right="560"/>
        <w:rPr>
          <w:rFonts w:hint="eastAsia" w:ascii="宋体" w:hAnsi="宋体"/>
          <w:b/>
          <w:sz w:val="28"/>
          <w:szCs w:val="28"/>
        </w:rPr>
      </w:pPr>
    </w:p>
    <w:p>
      <w:pPr>
        <w:spacing w:line="560" w:lineRule="exact"/>
        <w:ind w:right="560"/>
        <w:jc w:val="center"/>
        <w:rPr>
          <w:rFonts w:hint="eastAsia" w:ascii="宋体" w:hAnsi="宋体"/>
          <w:b/>
          <w:sz w:val="28"/>
          <w:szCs w:val="28"/>
        </w:rPr>
      </w:pPr>
    </w:p>
    <w:p>
      <w:pPr>
        <w:spacing w:line="560" w:lineRule="exact"/>
        <w:jc w:val="center"/>
        <w:rPr>
          <w:rFonts w:hint="eastAsia"/>
          <w:sz w:val="28"/>
          <w:szCs w:val="28"/>
        </w:rPr>
      </w:pPr>
    </w:p>
    <w:p/>
    <w:sectPr>
      <w:footerReference r:id="rId6" w:type="default"/>
      <w:pgSz w:w="11906" w:h="16838"/>
      <w:pgMar w:top="1091" w:right="1286" w:bottom="468" w:left="162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0000000000000000000"/>
    <w:charset w:val="86"/>
    <w:family w:val="modern"/>
    <w:pitch w:val="default"/>
    <w:sig w:usb0="00000000" w:usb1="00000000" w:usb2="00000016" w:usb3="00000000" w:csb0="00040001" w:csb1="0000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0000000000000000000"/>
    <w:charset w:val="86"/>
    <w:family w:val="modern"/>
    <w:pitch w:val="default"/>
    <w:sig w:usb0="00000000" w:usb1="00000000" w:usb2="00000016" w:usb3="00000000" w:csb0="00040001" w:csb1="00000000"/>
  </w:font>
  <w:font w:name="MS PGothic">
    <w:panose1 w:val="020B0600070205080204"/>
    <w:charset w:val="80"/>
    <w:family w:val="swiss"/>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rPr>
    </w:pPr>
    <w:r>
      <w:rPr>
        <w:rFonts w:hint="eastAsia"/>
      </w:rPr>
      <w:t>湖北点石房地产评估咨询有限公司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0F0CE"/>
    <w:multiLevelType w:val="singleLevel"/>
    <w:tmpl w:val="B090F0CE"/>
    <w:lvl w:ilvl="0" w:tentative="0">
      <w:start w:val="2"/>
      <w:numFmt w:val="decimal"/>
      <w:suff w:val="nothing"/>
      <w:lvlText w:val="%1、"/>
      <w:lvlJc w:val="left"/>
    </w:lvl>
  </w:abstractNum>
  <w:abstractNum w:abstractNumId="1">
    <w:nsid w:val="C77F4AA4"/>
    <w:multiLevelType w:val="singleLevel"/>
    <w:tmpl w:val="C77F4AA4"/>
    <w:lvl w:ilvl="0" w:tentative="0">
      <w:start w:val="13"/>
      <w:numFmt w:val="chineseCounting"/>
      <w:suff w:val="nothing"/>
      <w:lvlText w:val="%1、"/>
      <w:lvlJc w:val="left"/>
      <w:rPr>
        <w:rFonts w:hint="eastAsia"/>
      </w:rPr>
    </w:lvl>
  </w:abstractNum>
  <w:abstractNum w:abstractNumId="2">
    <w:nsid w:val="F4D95CA2"/>
    <w:multiLevelType w:val="singleLevel"/>
    <w:tmpl w:val="F4D95CA2"/>
    <w:lvl w:ilvl="0" w:tentative="0">
      <w:start w:val="2"/>
      <w:numFmt w:val="upperLetter"/>
      <w:suff w:val="nothing"/>
      <w:lvlText w:val="%1、"/>
      <w:lvlJc w:val="left"/>
    </w:lvl>
  </w:abstractNum>
  <w:abstractNum w:abstractNumId="3">
    <w:nsid w:val="24EEFC8B"/>
    <w:multiLevelType w:val="singleLevel"/>
    <w:tmpl w:val="24EEFC8B"/>
    <w:lvl w:ilvl="0" w:tentative="0">
      <w:start w:val="1"/>
      <w:numFmt w:val="decimal"/>
      <w:suff w:val="nothing"/>
      <w:lvlText w:val="（%1）"/>
      <w:lvlJc w:val="left"/>
      <w:pPr>
        <w:ind w:left="70"/>
      </w:pPr>
    </w:lvl>
  </w:abstractNum>
  <w:abstractNum w:abstractNumId="4">
    <w:nsid w:val="2C7118E0"/>
    <w:multiLevelType w:val="multilevel"/>
    <w:tmpl w:val="2C7118E0"/>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5">
    <w:nsid w:val="2CFD27ED"/>
    <w:multiLevelType w:val="multilevel"/>
    <w:tmpl w:val="2CFD27ED"/>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6">
    <w:nsid w:val="4CD36F43"/>
    <w:multiLevelType w:val="multilevel"/>
    <w:tmpl w:val="4CD36F43"/>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855"/>
        </w:tabs>
        <w:ind w:left="855" w:hanging="855"/>
      </w:pPr>
      <w:rPr>
        <w:rFonts w:hint="default"/>
      </w:rPr>
    </w:lvl>
    <w:lvl w:ilvl="2" w:tentative="0">
      <w:start w:val="2"/>
      <w:numFmt w:val="japaneseCounting"/>
      <w:lvlText w:val="（%3）"/>
      <w:lvlJc w:val="left"/>
      <w:pPr>
        <w:tabs>
          <w:tab w:val="left" w:pos="1695"/>
        </w:tabs>
        <w:ind w:left="1695" w:hanging="855"/>
      </w:pPr>
      <w:rPr>
        <w:rFonts w:hint="default"/>
      </w:rPr>
    </w:lvl>
    <w:lvl w:ilvl="3" w:tentative="0">
      <w:start w:val="1"/>
      <w:numFmt w:val="decimalEnclosedCircle"/>
      <w:lvlText w:val="%4_x0001_"/>
      <w:lvlJc w:val="left"/>
      <w:pPr>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5A40338"/>
    <w:multiLevelType w:val="multilevel"/>
    <w:tmpl w:val="65A40338"/>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1D33EB"/>
    <w:multiLevelType w:val="multilevel"/>
    <w:tmpl w:val="6D1D33E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72CA3"/>
    <w:rsid w:val="07A72CA3"/>
    <w:rsid w:val="0A2A44D6"/>
    <w:rsid w:val="0F513E82"/>
    <w:rsid w:val="12754780"/>
    <w:rsid w:val="12E941BC"/>
    <w:rsid w:val="13F50E77"/>
    <w:rsid w:val="16C344C5"/>
    <w:rsid w:val="174962D2"/>
    <w:rsid w:val="19783803"/>
    <w:rsid w:val="198B33A3"/>
    <w:rsid w:val="1AF90A87"/>
    <w:rsid w:val="1B1F0F66"/>
    <w:rsid w:val="1B56352C"/>
    <w:rsid w:val="1BEB6E3E"/>
    <w:rsid w:val="20BD18AA"/>
    <w:rsid w:val="215E573A"/>
    <w:rsid w:val="23FA2190"/>
    <w:rsid w:val="256B6639"/>
    <w:rsid w:val="27B50EB2"/>
    <w:rsid w:val="28B64587"/>
    <w:rsid w:val="28BE3C97"/>
    <w:rsid w:val="2977584C"/>
    <w:rsid w:val="2C62521D"/>
    <w:rsid w:val="2D3B6ED4"/>
    <w:rsid w:val="31BE7A0A"/>
    <w:rsid w:val="32CB139E"/>
    <w:rsid w:val="348A0E56"/>
    <w:rsid w:val="3D6E68EB"/>
    <w:rsid w:val="3E6468BD"/>
    <w:rsid w:val="447D5145"/>
    <w:rsid w:val="44E000A3"/>
    <w:rsid w:val="44EC753F"/>
    <w:rsid w:val="4543093C"/>
    <w:rsid w:val="47087A4F"/>
    <w:rsid w:val="47F5544A"/>
    <w:rsid w:val="4C1C4178"/>
    <w:rsid w:val="4D5938AD"/>
    <w:rsid w:val="4F1B73F9"/>
    <w:rsid w:val="51C1140F"/>
    <w:rsid w:val="52540613"/>
    <w:rsid w:val="57572990"/>
    <w:rsid w:val="586A5732"/>
    <w:rsid w:val="590836B5"/>
    <w:rsid w:val="594A68BD"/>
    <w:rsid w:val="5AFC0F21"/>
    <w:rsid w:val="61D95FA0"/>
    <w:rsid w:val="6399049E"/>
    <w:rsid w:val="69306832"/>
    <w:rsid w:val="6A745527"/>
    <w:rsid w:val="6E60181F"/>
    <w:rsid w:val="70234FFD"/>
    <w:rsid w:val="71916247"/>
    <w:rsid w:val="775852D7"/>
    <w:rsid w:val="7A41189B"/>
    <w:rsid w:val="7BD667CC"/>
    <w:rsid w:val="7DB20A47"/>
    <w:rsid w:val="7DD8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Plain Text"/>
    <w:basedOn w:val="1"/>
    <w:unhideWhenUsed/>
    <w:qFormat/>
    <w:uiPriority w:val="0"/>
    <w:pPr>
      <w:autoSpaceDE w:val="0"/>
      <w:autoSpaceDN w:val="0"/>
      <w:adjustRightInd w:val="0"/>
      <w:spacing w:line="312" w:lineRule="atLeast"/>
    </w:pPr>
    <w:rPr>
      <w:rFonts w:ascii="Courier New" w:hAnsi="Courier New"/>
      <w:kern w:val="0"/>
    </w:rPr>
  </w:style>
  <w:style w:type="paragraph" w:styleId="5">
    <w:name w:val="Body Text Indent 2"/>
    <w:basedOn w:val="1"/>
    <w:qFormat/>
    <w:uiPriority w:val="0"/>
    <w:pPr>
      <w:ind w:firstLine="640" w:firstLineChars="200"/>
    </w:pPr>
    <w:rPr>
      <w:rFonts w:eastAsia="KaiTi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ST20_1"/>
    <w:basedOn w:val="1"/>
    <w:qFormat/>
    <w:uiPriority w:val="0"/>
    <w:pPr>
      <w:widowControl/>
      <w:autoSpaceDE w:val="0"/>
      <w:autoSpaceDN w:val="0"/>
      <w:adjustRightInd w:val="0"/>
      <w:spacing w:line="500" w:lineRule="atLeast"/>
      <w:jc w:val="left"/>
      <w:textAlignment w:val="baseline"/>
    </w:pPr>
    <w:rPr>
      <w:rFonts w:ascii="昆仑仿宋" w:hAnsi="Tms Rmn" w:eastAsia="昆仑仿宋" w:cs="宋体"/>
      <w:kern w:val="0"/>
      <w:sz w:val="28"/>
      <w:szCs w:val="24"/>
    </w:rPr>
  </w:style>
  <w:style w:type="paragraph" w:customStyle="1" w:styleId="14">
    <w:name w:val="p0"/>
    <w:basedOn w:val="1"/>
    <w:qFormat/>
    <w:uiPriority w:val="0"/>
    <w:pPr>
      <w:widowControl/>
    </w:pPr>
    <w:rPr>
      <w:kern w:val="0"/>
      <w:szCs w:val="21"/>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2020-11-03T01:47:00Z</dcterms:created>
  <dc:creator> 樱桃奶卷包，</dc:creator>
  <cp:lastModifiedBy>Administrator</cp:lastModifiedBy>
  <dcterms:modified xsi:type="dcterms:W3CDTF">2021-04-02T04:43:11Z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039F07DF923D478E81D997C4700D6EF9</vt:lpwstr>
  </property>
</Properties>
</file>