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.........................14-21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（六）估价结果确定..................................21</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受贵方（以下简称委托方）的委托，本公司派员对委托方列明的位于湖北省荆门市桃园新城小区8栋2单元101室、201室、205室、1005室、1103室，建筑面积分别为93.87㎡、93.87㎡、78㎡、78㎡、98.42㎡的住宅房地产（含相关权益）进行了现场实地查勘，并对估价对象房地产于估价时点2021年1月12日的市场价值进行了估价，为委托方确定房地产处置参考价提供价格咨询参考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在整个估价过程中，估价人员本着独立、客观、公正的原则，根据估价目的，收集有关资料，按照估价程序，选择市场法对估价对象进行了评估。估价人员经过实地勘察和测算，确定估价对象在估价时点的</w:t>
      </w:r>
      <w:r>
        <w:rPr>
          <w:rFonts w:hint="eastAsia" w:ascii="仿宋_GB2312" w:hAnsi="宋体" w:eastAsia="仿宋_GB2312" w:cs="Times New Roman"/>
          <w:kern w:val="2"/>
          <w:sz w:val="28"/>
          <w:szCs w:val="28"/>
          <w:lang w:val="en-US" w:eastAsia="zh-CN" w:bidi="ar-SA"/>
        </w:rPr>
        <w:t>市场价值为￥1876179元(大写人民币壹佰捌拾柒万陆仟壹佰柒拾玖元整)。</w:t>
      </w:r>
      <w:r>
        <w:rPr>
          <w:rFonts w:hint="eastAsia" w:ascii="仿宋_GB2312" w:hAnsi="宋体" w:eastAsia="仿宋_GB2312" w:cs="Times New Roman"/>
          <w:kern w:val="2"/>
          <w:sz w:val="28"/>
          <w:szCs w:val="28"/>
          <w:lang w:val="en-US" w:eastAsia="zh-CN" w:bidi="ar-SA"/>
        </w:rPr>
        <w:t>其中：101室房屋评估值为371024</w:t>
      </w:r>
      <w:r>
        <w:rPr>
          <w:rFonts w:hint="eastAsia" w:ascii="仿宋_GB2312" w:hAnsi="宋体" w:eastAsia="仿宋_GB2312" w:cs="Times New Roman"/>
          <w:kern w:val="2"/>
          <w:sz w:val="28"/>
          <w:szCs w:val="28"/>
          <w:lang w:val="en-US" w:eastAsia="zh-CN" w:bidi="ar-SA"/>
        </w:rPr>
        <w:t>元，201室房屋评估值为440907</w:t>
      </w:r>
      <w:r>
        <w:rPr>
          <w:rFonts w:hint="eastAsia" w:ascii="仿宋_GB2312" w:hAnsi="宋体" w:eastAsia="仿宋_GB2312" w:cs="Times New Roman"/>
          <w:kern w:val="2"/>
          <w:sz w:val="28"/>
          <w:szCs w:val="28"/>
          <w:lang w:val="en-US" w:eastAsia="zh-CN" w:bidi="ar-SA"/>
        </w:rPr>
        <w:t>元，205室房屋评估值为311411</w:t>
      </w:r>
      <w:r>
        <w:rPr>
          <w:rFonts w:hint="eastAsia" w:ascii="仿宋_GB2312" w:hAnsi="宋体" w:eastAsia="仿宋_GB2312" w:cs="Times New Roman"/>
          <w:kern w:val="2"/>
          <w:sz w:val="28"/>
          <w:szCs w:val="28"/>
          <w:lang w:val="en-US" w:eastAsia="zh-CN" w:bidi="ar-SA"/>
        </w:rPr>
        <w:t>元，1005室房屋评估值为336324</w:t>
      </w:r>
      <w:r>
        <w:rPr>
          <w:rFonts w:hint="eastAsia" w:ascii="仿宋_GB2312" w:hAnsi="宋体" w:eastAsia="仿宋_GB2312" w:cs="Times New Roman"/>
          <w:kern w:val="2"/>
          <w:sz w:val="28"/>
          <w:szCs w:val="28"/>
          <w:lang w:val="en-US" w:eastAsia="zh-CN" w:bidi="ar-SA"/>
        </w:rPr>
        <w:t>元，1103室房屋评估值为416513</w:t>
      </w:r>
      <w:r>
        <w:rPr>
          <w:rFonts w:hint="eastAsia" w:ascii="仿宋_GB2312" w:hAnsi="宋体" w:eastAsia="仿宋_GB2312" w:cs="Times New Roman"/>
          <w:kern w:val="2"/>
          <w:sz w:val="28"/>
          <w:szCs w:val="28"/>
          <w:lang w:val="en-US" w:eastAsia="zh-CN" w:bidi="ar-SA"/>
        </w:rPr>
        <w:t>元。</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二○二一年二月二十二日</w:t>
      </w:r>
    </w:p>
    <w:p>
      <w:pPr>
        <w:jc w:val="both"/>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yellow"/>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二○二一年二月二十二日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0288;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16025</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荆门市</w:t>
      </w:r>
      <w:r>
        <w:rPr>
          <w:rFonts w:hint="eastAsia" w:ascii="仿宋" w:hAnsi="仿宋" w:eastAsia="仿宋"/>
          <w:b/>
          <w:bCs/>
          <w:sz w:val="32"/>
          <w:szCs w:val="32"/>
          <w:lang w:val="en-US" w:eastAsia="zh-CN"/>
        </w:rPr>
        <w:t>桃园新城小</w:t>
      </w:r>
      <w:r>
        <w:rPr>
          <w:rFonts w:hint="eastAsia" w:ascii="仿宋" w:hAnsi="仿宋" w:eastAsia="仿宋"/>
          <w:b/>
          <w:bCs/>
          <w:sz w:val="32"/>
          <w:szCs w:val="32"/>
          <w:lang w:eastAsia="zh-CN"/>
        </w:rPr>
        <w:t>区</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8栋101、201、205、1005、1103号</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1"/>
        </w:numPr>
        <w:ind w:left="0" w:lef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住所：孝感市孝南区黄花路38号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本次估价对象范围为荆门久扬房地产开发有限公司开发的、位于荆门市桃园新城小区8号楼中应分配给鲁海鹏101室、201室、205室、1005室、1103室，建筑面积分别为93.87㎡、93.87㎡、78㎡、78㎡、98.42㎡的住宅房地产。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根据委托方提供的司法鉴定委托书和有关</w:t>
      </w:r>
      <w:r>
        <w:rPr>
          <w:rFonts w:hint="eastAsia" w:ascii="仿宋" w:hAnsi="仿宋" w:eastAsia="仿宋" w:cs="Arial"/>
          <w:color w:val="000000"/>
          <w:sz w:val="30"/>
          <w:szCs w:val="30"/>
          <w:lang w:eastAsia="zh-CN"/>
        </w:rPr>
        <w:t>资料</w:t>
      </w:r>
      <w:r>
        <w:rPr>
          <w:rFonts w:hint="eastAsia" w:ascii="仿宋_GB2312" w:hAnsi="宋体" w:eastAsia="仿宋_GB2312" w:cs="Times New Roman"/>
          <w:kern w:val="2"/>
          <w:sz w:val="28"/>
          <w:szCs w:val="28"/>
          <w:lang w:val="en-US" w:eastAsia="zh-CN" w:bidi="ar-SA"/>
        </w:rPr>
        <w:t>，可知估价对象实体状况如下：</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于荆门市桃园新城小区8栋101室、201室、205室、1005室、1103室，建筑面积分别为93.87㎡、93.87㎡、78㎡、78㎡、98.42㎡，房屋为荆门久扬房地产开发有限公司开发，应分配给哭海鹏，结构为混合结构，所在层数/总层数分别为1层/11层、2层/11层、2层/11层、10层/11层、11层/11层。</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估价人员现场实物勘验和调查，估价对象建成于2012年，位于荆门市桃园新城小区8栋2单元101室、201室、205室、1005室、1103室，南北朝向，为小高层电梯房，现状用途为成套住宅，户型为二室二厅一厨一卫，进户门为防盗门。估价对象中201室房屋室内为精装修，维护保养较好，其他均为毛坯房屋。</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600" w:firstLineChars="20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为委托方确定房地产处置参考价提供价格咨询参考依据而评估该房产市场价格，供委托方及相关当事方咨询参考。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60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二0二一年一月十二日。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估价人员经过实地勘查和测算，确定估价对象在估价时点的</w:t>
      </w:r>
      <w:r>
        <w:rPr>
          <w:rFonts w:hint="eastAsia" w:ascii="仿宋_GB2312" w:hAnsi="宋体" w:eastAsia="仿宋_GB2312" w:cs="Times New Roman"/>
          <w:kern w:val="2"/>
          <w:sz w:val="28"/>
          <w:szCs w:val="28"/>
          <w:lang w:val="en-US" w:eastAsia="zh-CN" w:bidi="ar-SA"/>
        </w:rPr>
        <w:t>市场价值</w:t>
      </w:r>
      <w:r>
        <w:rPr>
          <w:rFonts w:hint="eastAsia" w:ascii="仿宋_GB2312" w:hAnsi="宋体" w:eastAsia="仿宋_GB2312" w:cs="Times New Roman"/>
          <w:kern w:val="2"/>
          <w:sz w:val="28"/>
          <w:szCs w:val="28"/>
          <w:highlight w:val="none"/>
          <w:lang w:val="en-US" w:eastAsia="zh-CN" w:bidi="ar-SA"/>
        </w:rPr>
        <w:t>为￥</w:t>
      </w:r>
      <w:r>
        <w:rPr>
          <w:rFonts w:hint="eastAsia" w:ascii="仿宋" w:hAnsi="仿宋" w:eastAsia="仿宋" w:cs="仿宋"/>
          <w:sz w:val="30"/>
          <w:szCs w:val="30"/>
          <w:highlight w:val="none"/>
          <w:lang w:val="en-US" w:eastAsia="zh-CN"/>
        </w:rPr>
        <w:t>1876179</w:t>
      </w:r>
      <w:r>
        <w:rPr>
          <w:rFonts w:hint="eastAsia" w:ascii="仿宋_GB2312" w:hAnsi="宋体" w:eastAsia="仿宋_GB2312" w:cs="Times New Roman"/>
          <w:kern w:val="2"/>
          <w:sz w:val="28"/>
          <w:szCs w:val="28"/>
          <w:highlight w:val="none"/>
          <w:lang w:val="en-US" w:eastAsia="zh-CN" w:bidi="ar-SA"/>
        </w:rPr>
        <w:t>元(大写人民币壹佰捌拾柒万陆仟壹佰柒拾玖元整)。</w:t>
      </w:r>
      <w:r>
        <w:rPr>
          <w:rFonts w:hint="eastAsia" w:ascii="仿宋_GB2312" w:hAnsi="宋体" w:eastAsia="仿宋_GB2312" w:cs="Times New Roman"/>
          <w:kern w:val="2"/>
          <w:sz w:val="28"/>
          <w:szCs w:val="28"/>
          <w:lang w:val="en-US" w:eastAsia="zh-CN" w:bidi="ar-SA"/>
        </w:rPr>
        <w:t>其中：101室房屋评估值为</w:t>
      </w:r>
      <w:r>
        <w:rPr>
          <w:rFonts w:hint="eastAsia" w:ascii="仿宋" w:hAnsi="仿宋" w:eastAsia="仿宋" w:cs="仿宋"/>
          <w:sz w:val="30"/>
          <w:szCs w:val="30"/>
          <w:lang w:val="en-US" w:eastAsia="zh-CN"/>
        </w:rPr>
        <w:t>371024</w:t>
      </w:r>
      <w:r>
        <w:rPr>
          <w:rFonts w:hint="eastAsia" w:ascii="仿宋_GB2312" w:hAnsi="宋体" w:eastAsia="仿宋_GB2312" w:cs="Times New Roman"/>
          <w:kern w:val="2"/>
          <w:sz w:val="28"/>
          <w:szCs w:val="28"/>
          <w:lang w:val="en-US" w:eastAsia="zh-CN" w:bidi="ar-SA"/>
        </w:rPr>
        <w:t>元，201室房屋评估值为</w:t>
      </w:r>
      <w:r>
        <w:rPr>
          <w:rFonts w:hint="eastAsia" w:ascii="仿宋" w:hAnsi="仿宋" w:eastAsia="仿宋" w:cs="仿宋"/>
          <w:sz w:val="30"/>
          <w:szCs w:val="30"/>
          <w:lang w:val="en-US" w:eastAsia="zh-CN"/>
        </w:rPr>
        <w:t>440907</w:t>
      </w:r>
      <w:r>
        <w:rPr>
          <w:rFonts w:hint="eastAsia" w:ascii="仿宋_GB2312" w:hAnsi="宋体" w:eastAsia="仿宋_GB2312" w:cs="Times New Roman"/>
          <w:kern w:val="2"/>
          <w:sz w:val="28"/>
          <w:szCs w:val="28"/>
          <w:lang w:val="en-US" w:eastAsia="zh-CN" w:bidi="ar-SA"/>
        </w:rPr>
        <w:t>元，205室房屋评估值为</w:t>
      </w:r>
      <w:r>
        <w:rPr>
          <w:rFonts w:hint="eastAsia" w:ascii="仿宋" w:hAnsi="仿宋" w:eastAsia="仿宋" w:cs="仿宋"/>
          <w:sz w:val="30"/>
          <w:szCs w:val="30"/>
          <w:lang w:val="en-US" w:eastAsia="zh-CN"/>
        </w:rPr>
        <w:t>311411</w:t>
      </w:r>
      <w:r>
        <w:rPr>
          <w:rFonts w:hint="eastAsia" w:ascii="仿宋_GB2312" w:hAnsi="宋体" w:eastAsia="仿宋_GB2312" w:cs="Times New Roman"/>
          <w:kern w:val="2"/>
          <w:sz w:val="28"/>
          <w:szCs w:val="28"/>
          <w:lang w:val="en-US" w:eastAsia="zh-CN" w:bidi="ar-SA"/>
        </w:rPr>
        <w:t>元，1005室房屋评估值为</w:t>
      </w:r>
      <w:r>
        <w:rPr>
          <w:rFonts w:hint="eastAsia" w:ascii="仿宋" w:hAnsi="仿宋" w:eastAsia="仿宋" w:cs="仿宋"/>
          <w:sz w:val="30"/>
          <w:szCs w:val="30"/>
          <w:lang w:val="en-US" w:eastAsia="zh-CN"/>
        </w:rPr>
        <w:t>336324</w:t>
      </w:r>
      <w:r>
        <w:rPr>
          <w:rFonts w:hint="eastAsia" w:ascii="仿宋_GB2312" w:hAnsi="宋体" w:eastAsia="仿宋_GB2312" w:cs="Times New Roman"/>
          <w:kern w:val="2"/>
          <w:sz w:val="28"/>
          <w:szCs w:val="28"/>
          <w:lang w:val="en-US" w:eastAsia="zh-CN" w:bidi="ar-SA"/>
        </w:rPr>
        <w:t>元，1103室房屋评估值为</w:t>
      </w:r>
      <w:r>
        <w:rPr>
          <w:rFonts w:hint="eastAsia" w:ascii="仿宋" w:hAnsi="仿宋" w:eastAsia="仿宋" w:cs="仿宋"/>
          <w:sz w:val="30"/>
          <w:szCs w:val="30"/>
          <w:highlight w:val="none"/>
          <w:lang w:val="en-US" w:eastAsia="zh-CN"/>
        </w:rPr>
        <w:t>416513</w:t>
      </w:r>
      <w:r>
        <w:rPr>
          <w:rFonts w:hint="eastAsia" w:ascii="仿宋_GB2312" w:hAnsi="宋体" w:eastAsia="仿宋_GB2312" w:cs="Times New Roman"/>
          <w:kern w:val="2"/>
          <w:sz w:val="28"/>
          <w:szCs w:val="28"/>
          <w:lang w:val="en-US" w:eastAsia="zh-CN" w:bidi="ar-SA"/>
        </w:rPr>
        <w:t>元。</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仿宋" w:eastAsia="仿宋_GB2312" w:cs="Times New Roman"/>
          <w:kern w:val="2"/>
          <w:sz w:val="28"/>
          <w:szCs w:val="28"/>
          <w:lang w:val="en-US" w:eastAsia="zh-CN" w:bidi="ar-SA"/>
        </w:rPr>
        <w:t>分公司名称：湖北循其本价格鉴定评估有限公司孝感分公司</w:t>
      </w: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color w:val="000000"/>
                <w:sz w:val="30"/>
                <w:szCs w:val="30"/>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4" w:hRule="atLeast"/>
          <w:jc w:val="center"/>
        </w:trPr>
        <w:tc>
          <w:tcPr>
            <w:tcW w:w="1186" w:type="dxa"/>
            <w:textDirection w:val="lrTb"/>
            <w:vAlign w:val="center"/>
          </w:tcPr>
          <w:p>
            <w:pPr>
              <w:spacing w:line="600" w:lineRule="exact"/>
              <w:jc w:val="center"/>
              <w:rPr>
                <w:rStyle w:val="11"/>
                <w:rFonts w:hint="eastAsia" w:ascii="仿宋" w:hAnsi="仿宋" w:eastAsia="仿宋" w:cs="宋体"/>
                <w:color w:val="000000"/>
                <w:sz w:val="30"/>
                <w:szCs w:val="30"/>
                <w:lang w:val="zh-CN"/>
              </w:rPr>
            </w:pPr>
            <w:r>
              <w:rPr>
                <w:rStyle w:val="11"/>
                <w:rFonts w:hint="eastAsia" w:ascii="仿宋" w:hAnsi="仿宋" w:eastAsia="仿宋" w:cs="宋体"/>
                <w:color w:val="000000"/>
                <w:sz w:val="30"/>
                <w:szCs w:val="30"/>
              </w:rPr>
              <w:t>孙  坚</w:t>
            </w:r>
          </w:p>
        </w:tc>
        <w:tc>
          <w:tcPr>
            <w:tcW w:w="1976" w:type="dxa"/>
            <w:textDirection w:val="lrTb"/>
            <w:vAlign w:val="center"/>
          </w:tcPr>
          <w:p>
            <w:pPr>
              <w:spacing w:line="600" w:lineRule="exact"/>
              <w:jc w:val="center"/>
              <w:rPr>
                <w:rStyle w:val="11"/>
                <w:rFonts w:hint="eastAsia" w:ascii="仿宋" w:hAnsi="仿宋" w:eastAsia="仿宋" w:cs="宋体"/>
                <w:color w:val="000000"/>
                <w:sz w:val="30"/>
                <w:szCs w:val="30"/>
                <w:lang w:val="zh-CN"/>
              </w:rPr>
            </w:pPr>
            <w:r>
              <w:rPr>
                <w:rStyle w:val="11"/>
                <w:rFonts w:hint="eastAsia" w:ascii="仿宋" w:hAnsi="仿宋" w:eastAsia="仿宋" w:cs="宋体"/>
                <w:color w:val="000000"/>
                <w:sz w:val="30"/>
                <w:szCs w:val="30"/>
              </w:rPr>
              <w:t>价格鉴证师</w:t>
            </w:r>
          </w:p>
        </w:tc>
        <w:tc>
          <w:tcPr>
            <w:tcW w:w="1890" w:type="dxa"/>
            <w:textDirection w:val="lrTb"/>
            <w:vAlign w:val="center"/>
          </w:tcPr>
          <w:p>
            <w:pPr>
              <w:spacing w:line="600" w:lineRule="exact"/>
              <w:jc w:val="center"/>
              <w:rPr>
                <w:rStyle w:val="11"/>
                <w:rFonts w:hint="eastAsia" w:ascii="仿宋" w:hAnsi="仿宋" w:eastAsia="仿宋" w:cs="宋体"/>
                <w:color w:val="000000"/>
                <w:sz w:val="30"/>
                <w:szCs w:val="30"/>
                <w:lang w:val="zh-CN"/>
              </w:rPr>
            </w:pPr>
            <w:r>
              <w:rPr>
                <w:rStyle w:val="11"/>
                <w:rFonts w:hint="eastAsia" w:ascii="仿宋" w:hAnsi="仿宋" w:eastAsia="仿宋" w:cs="宋体"/>
                <w:color w:val="000000"/>
                <w:sz w:val="30"/>
                <w:szCs w:val="30"/>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 w:hAnsi="仿宋" w:eastAsia="仿宋" w:cs="仿宋"/>
                <w:color w:val="000000"/>
                <w:sz w:val="30"/>
                <w:szCs w:val="30"/>
                <w:lang w:val="zh-CN"/>
              </w:rPr>
            </w:pPr>
            <w:r>
              <w:rPr>
                <w:rFonts w:hint="eastAsia" w:ascii="仿宋" w:hAnsi="仿宋" w:eastAsia="仿宋" w:cs="仿宋"/>
                <w:sz w:val="28"/>
                <w:szCs w:val="28"/>
              </w:rPr>
              <w:drawing>
                <wp:anchor distT="0" distB="0" distL="114300" distR="114300" simplePos="0" relativeHeight="251678720" behindDoc="1" locked="0" layoutInCell="1" allowOverlap="1">
                  <wp:simplePos x="0" y="0"/>
                  <wp:positionH relativeFrom="column">
                    <wp:posOffset>229235</wp:posOffset>
                  </wp:positionH>
                  <wp:positionV relativeFrom="paragraph">
                    <wp:posOffset>255905</wp:posOffset>
                  </wp:positionV>
                  <wp:extent cx="1273810" cy="491490"/>
                  <wp:effectExtent l="0" t="0" r="2540" b="3810"/>
                  <wp:wrapNone/>
                  <wp:docPr id="10" name="图片 10"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r>
              <w:rPr>
                <w:rFonts w:hint="eastAsia" w:ascii="仿宋" w:hAnsi="仿宋" w:eastAsia="仿宋" w:cs="仿宋"/>
                <w:sz w:val="28"/>
                <w:szCs w:val="28"/>
              </w:rPr>
              <w:drawing>
                <wp:anchor distT="0" distB="0" distL="114300" distR="114300" simplePos="0" relativeHeight="251677696" behindDoc="1" locked="0" layoutInCell="1" allowOverlap="1">
                  <wp:simplePos x="0" y="0"/>
                  <wp:positionH relativeFrom="column">
                    <wp:posOffset>5003800</wp:posOffset>
                  </wp:positionH>
                  <wp:positionV relativeFrom="paragraph">
                    <wp:posOffset>1355090</wp:posOffset>
                  </wp:positionV>
                  <wp:extent cx="1273810" cy="491490"/>
                  <wp:effectExtent l="0" t="0" r="2540" b="3810"/>
                  <wp:wrapNone/>
                  <wp:docPr id="9"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8" w:hRule="atLeast"/>
          <w:jc w:val="center"/>
        </w:trPr>
        <w:tc>
          <w:tcPr>
            <w:tcW w:w="1186" w:type="dxa"/>
            <w:textDirection w:val="lrTb"/>
            <w:vAlign w:val="center"/>
          </w:tcPr>
          <w:p>
            <w:pPr>
              <w:spacing w:line="600" w:lineRule="exact"/>
              <w:jc w:val="center"/>
              <w:rPr>
                <w:rFonts w:hint="eastAsia" w:ascii="仿宋" w:hAnsi="仿宋" w:eastAsia="仿宋" w:cs="仿宋"/>
                <w:color w:val="000000"/>
                <w:sz w:val="30"/>
                <w:szCs w:val="30"/>
                <w:highlight w:val="yellow"/>
                <w:lang w:val="zh-CN"/>
              </w:rPr>
            </w:pPr>
            <w:r>
              <w:rPr>
                <w:rStyle w:val="11"/>
                <w:rFonts w:hint="eastAsia" w:ascii="仿宋" w:hAnsi="仿宋" w:eastAsia="仿宋" w:cs="宋体"/>
                <w:color w:val="000000"/>
                <w:sz w:val="30"/>
                <w:szCs w:val="30"/>
              </w:rPr>
              <w:t>刘汉生</w:t>
            </w:r>
          </w:p>
        </w:tc>
        <w:tc>
          <w:tcPr>
            <w:tcW w:w="1976" w:type="dxa"/>
            <w:textDirection w:val="lrTb"/>
            <w:vAlign w:val="center"/>
          </w:tcPr>
          <w:p>
            <w:pPr>
              <w:spacing w:line="600" w:lineRule="exact"/>
              <w:jc w:val="center"/>
              <w:rPr>
                <w:rFonts w:hint="eastAsia" w:ascii="仿宋" w:hAnsi="仿宋" w:eastAsia="仿宋" w:cs="仿宋"/>
                <w:color w:val="000000"/>
                <w:sz w:val="30"/>
                <w:szCs w:val="30"/>
                <w:highlight w:val="yellow"/>
                <w:lang w:val="zh-CN"/>
              </w:rPr>
            </w:pPr>
            <w:r>
              <w:rPr>
                <w:rStyle w:val="11"/>
                <w:rFonts w:hint="eastAsia" w:ascii="仿宋" w:hAnsi="仿宋" w:eastAsia="仿宋" w:cs="宋体"/>
                <w:color w:val="000000"/>
                <w:sz w:val="30"/>
                <w:szCs w:val="30"/>
              </w:rPr>
              <w:t>价格鉴证师</w:t>
            </w:r>
          </w:p>
        </w:tc>
        <w:tc>
          <w:tcPr>
            <w:tcW w:w="1890" w:type="dxa"/>
            <w:textDirection w:val="lrTb"/>
            <w:vAlign w:val="center"/>
          </w:tcPr>
          <w:p>
            <w:pPr>
              <w:spacing w:line="600" w:lineRule="exact"/>
              <w:jc w:val="center"/>
              <w:rPr>
                <w:rFonts w:hint="eastAsia" w:ascii="仿宋" w:hAnsi="仿宋" w:eastAsia="仿宋" w:cs="仿宋"/>
                <w:color w:val="000000"/>
                <w:sz w:val="30"/>
                <w:szCs w:val="30"/>
                <w:highlight w:val="yellow"/>
                <w:lang w:val="zh-CN"/>
              </w:rPr>
            </w:pPr>
            <w:r>
              <w:rPr>
                <w:rStyle w:val="11"/>
                <w:rFonts w:hint="eastAsia" w:ascii="仿宋" w:hAnsi="仿宋" w:eastAsia="仿宋" w:cs="宋体"/>
                <w:color w:val="000000"/>
                <w:sz w:val="30"/>
                <w:szCs w:val="30"/>
              </w:rPr>
              <w:t>0017039</w:t>
            </w:r>
          </w:p>
        </w:tc>
        <w:tc>
          <w:tcPr>
            <w:tcW w:w="2905" w:type="dxa"/>
            <w:textDirection w:val="lrTb"/>
            <w:vAlign w:val="center"/>
          </w:tcPr>
          <w:p>
            <w:pPr>
              <w:pStyle w:val="4"/>
              <w:rPr>
                <w:rFonts w:hint="eastAsia" w:ascii="仿宋" w:hAnsi="仿宋" w:eastAsia="仿宋"/>
                <w:color w:val="000000"/>
                <w:sz w:val="28"/>
                <w:szCs w:val="28"/>
              </w:rPr>
            </w:pPr>
            <w:r>
              <w:rPr>
                <w:sz w:val="28"/>
                <w:szCs w:val="28"/>
                <w:lang w:val="zh-CN" w:eastAsia="zh-CN"/>
              </w:rPr>
              <w:drawing>
                <wp:anchor distT="0" distB="0" distL="114300" distR="114300" simplePos="0" relativeHeight="251676672" behindDoc="0" locked="0" layoutInCell="1" allowOverlap="1">
                  <wp:simplePos x="0" y="0"/>
                  <wp:positionH relativeFrom="column">
                    <wp:posOffset>42545</wp:posOffset>
                  </wp:positionH>
                  <wp:positionV relativeFrom="paragraph">
                    <wp:posOffset>127635</wp:posOffset>
                  </wp:positionV>
                  <wp:extent cx="1494790" cy="1033780"/>
                  <wp:effectExtent l="0" t="0" r="10795" b="0"/>
                  <wp:wrapNone/>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8"/>
                          <a:stretch>
                            <a:fillRect/>
                          </a:stretch>
                        </pic:blipFill>
                        <pic:spPr>
                          <a:xfrm>
                            <a:off x="0" y="0"/>
                            <a:ext cx="1494790" cy="1033780"/>
                          </a:xfrm>
                          <a:prstGeom prst="rect">
                            <a:avLst/>
                          </a:prstGeom>
                          <a:noFill/>
                          <a:ln w="9525">
                            <a:noFill/>
                            <a:miter/>
                          </a:ln>
                        </pic:spPr>
                      </pic:pic>
                    </a:graphicData>
                  </a:graphic>
                </wp:anchor>
              </w:drawing>
            </w:r>
            <w:r>
              <w:rPr>
                <w:sz w:val="28"/>
                <w:szCs w:val="28"/>
                <w:lang w:val="zh-CN" w:eastAsia="zh-CN"/>
              </w:rPr>
              <w:drawing>
                <wp:anchor distT="0" distB="0" distL="114300" distR="114300" simplePos="0" relativeHeight="251673600" behindDoc="0" locked="0" layoutInCell="1" allowOverlap="1">
                  <wp:simplePos x="0" y="0"/>
                  <wp:positionH relativeFrom="column">
                    <wp:posOffset>4868545</wp:posOffset>
                  </wp:positionH>
                  <wp:positionV relativeFrom="paragraph">
                    <wp:posOffset>2107565</wp:posOffset>
                  </wp:positionV>
                  <wp:extent cx="1494790" cy="1033780"/>
                  <wp:effectExtent l="0" t="0" r="10795" b="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8"/>
                          <a:stretch>
                            <a:fillRect/>
                          </a:stretch>
                        </pic:blipFill>
                        <pic:spPr>
                          <a:xfrm>
                            <a:off x="0" y="0"/>
                            <a:ext cx="1494790" cy="1033780"/>
                          </a:xfrm>
                          <a:prstGeom prst="rect">
                            <a:avLst/>
                          </a:prstGeom>
                          <a:noFill/>
                          <a:ln w="9525">
                            <a:noFill/>
                            <a:miter/>
                          </a:ln>
                        </pic:spPr>
                      </pic:pic>
                    </a:graphicData>
                  </a:graphic>
                </wp:anchor>
              </w:drawing>
            </w:r>
            <w:r>
              <w:rPr>
                <w:rFonts w:hint="eastAsia" w:ascii="仿宋" w:hAnsi="仿宋" w:eastAsia="仿宋"/>
                <w:color w:val="000000"/>
                <w:sz w:val="28"/>
                <w:szCs w:val="28"/>
              </w:rPr>
              <w:drawing>
                <wp:anchor distT="0" distB="0" distL="114300" distR="114300" simplePos="0" relativeHeight="251670528" behindDoc="0" locked="0" layoutInCell="1" allowOverlap="1">
                  <wp:simplePos x="0" y="0"/>
                  <wp:positionH relativeFrom="column">
                    <wp:posOffset>158115</wp:posOffset>
                  </wp:positionH>
                  <wp:positionV relativeFrom="page">
                    <wp:posOffset>215900</wp:posOffset>
                  </wp:positionV>
                  <wp:extent cx="635" cy="635"/>
                  <wp:effectExtent l="0" t="0" r="0" b="0"/>
                  <wp:wrapNone/>
                  <wp:docPr id="6" name="图片 6"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pic:spPr>
                      </pic:pic>
                    </a:graphicData>
                  </a:graphic>
                </wp:anchor>
              </w:drawing>
            </w:r>
          </w:p>
          <w:p>
            <w:pPr>
              <w:pStyle w:val="4"/>
              <w:rPr>
                <w:rFonts w:hint="eastAsia" w:ascii="仿宋" w:hAnsi="仿宋" w:eastAsia="仿宋" w:cs="仿宋"/>
                <w:color w:val="000000"/>
                <w:sz w:val="30"/>
                <w:szCs w:val="30"/>
                <w:highlight w:val="yellow"/>
                <w:lang w:val="zh-CN"/>
              </w:rPr>
            </w:pP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02</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日</w:t>
      </w:r>
      <w:r>
        <w:rPr>
          <w:rStyle w:val="11"/>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二0二一年二月二十二日</w:t>
      </w:r>
    </w:p>
    <w:p>
      <w:pPr>
        <w:jc w:val="center"/>
        <w:rPr>
          <w:rFonts w:hint="eastAsia" w:ascii="仿宋" w:hAnsi="仿宋" w:eastAsia="仿宋"/>
          <w:b/>
          <w:bCs/>
          <w:sz w:val="36"/>
          <w:szCs w:val="36"/>
          <w:highlight w:val="none"/>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荆门市</w:t>
      </w:r>
      <w:r>
        <w:rPr>
          <w:rFonts w:hint="eastAsia" w:ascii="仿宋" w:hAnsi="仿宋" w:eastAsia="仿宋"/>
          <w:b/>
          <w:bCs/>
          <w:sz w:val="36"/>
          <w:szCs w:val="36"/>
          <w:lang w:val="en-US" w:eastAsia="zh-CN"/>
        </w:rPr>
        <w:t>桃园新城小</w:t>
      </w:r>
      <w:r>
        <w:rPr>
          <w:rFonts w:hint="eastAsia" w:ascii="仿宋" w:hAnsi="仿宋" w:eastAsia="仿宋"/>
          <w:b/>
          <w:bCs/>
          <w:sz w:val="36"/>
          <w:szCs w:val="36"/>
          <w:lang w:eastAsia="zh-CN"/>
        </w:rPr>
        <w:t>区</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8栋101、201、205、1005、1103号</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_GB2312" w:hAnsi="宋体" w:eastAsia="仿宋_GB2312" w:cs="Times New Roman"/>
          <w:kern w:val="2"/>
          <w:sz w:val="28"/>
          <w:szCs w:val="28"/>
          <w:lang w:val="en-US" w:eastAsia="zh-CN" w:bidi="ar-SA"/>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于荆门市桃园新城小区8栋101室、201室、205室、1005室、1103室，建筑面积分别为93.87㎡、93.87㎡、78㎡、78㎡、98.42㎡，房屋为荆门久扬房地产开发有限公司开发，应分配给哭海鹏，结构为混合结构，所在层数/总层数分别为1层/11层、2层/11层、2层/11层、10层/11层、11层/11层。</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经估价人员现场实物勘验和调查，估价对象建成于2012年，位于荆门市桃园新城小区8栋2单元101室、201室、205室、1005室、1103室，南北朝向，为小高层电梯房，现状用途为成套住宅，户型为二室二厅一厨一卫，进户门为防盗门。估价对象中201室房屋室内为精装修，维护保养较好，其他均为毛坯房屋。</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于荆门市桃园新城小区。该小区处于五一路与白庙路交汇口，居住环境、绿化卫生、物业管理一般，周边配套有众诚五六连锁超市等多处大中型购物商超、餐饮等商业设施，有多家各大专业银行，有石化第一、三小学、石化中学、石化英才外语学校、荆门格鲁斯英语学校等教育机构，有荆门市中医院、石化医院、美国国际爱眼中心、口腔医院等医疗机构，有2路、9路、10路、13路等多路公汽通达，距石化体育馆181米，周边基础设施、生活配套设施较为完善齐全，交通便利，居住氛围较好。</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 w:hAnsi="仿宋" w:eastAsia="仿宋"/>
          <w:sz w:val="28"/>
          <w:szCs w:val="28"/>
        </w:rPr>
      </w:pPr>
      <w:r>
        <w:rPr>
          <w:rFonts w:hint="eastAsia" w:ascii="仿宋_GB2312" w:hAnsi="宋体" w:eastAsia="仿宋_GB2312" w:cs="Times New Roman"/>
          <w:kern w:val="2"/>
          <w:sz w:val="28"/>
          <w:szCs w:val="28"/>
          <w:lang w:val="en-US" w:eastAsia="zh-CN" w:bidi="ar-SA"/>
        </w:rPr>
        <w:t>接受委托后，我们会同委托人对估价对象进行了实地勘查，随后开展了广泛的市场调查，并进行了估价测算。</w:t>
      </w:r>
      <w:r>
        <w:rPr>
          <w:rFonts w:hint="eastAsia" w:ascii="仿宋" w:hAnsi="仿宋" w:eastAsia="仿宋"/>
          <w:sz w:val="28"/>
          <w:szCs w:val="28"/>
          <w:lang w:eastAsia="zh-CN"/>
        </w:rPr>
        <w:t>经</w:t>
      </w:r>
      <w:r>
        <w:rPr>
          <w:rFonts w:hint="eastAsia" w:ascii="仿宋" w:hAnsi="仿宋" w:eastAsia="仿宋"/>
          <w:sz w:val="28"/>
          <w:szCs w:val="28"/>
        </w:rPr>
        <w:t>调查研究，估价人员采用</w:t>
      </w:r>
      <w:r>
        <w:rPr>
          <w:rFonts w:hint="eastAsia" w:ascii="仿宋_GB2312" w:hAnsi="宋体" w:eastAsia="仿宋_GB2312" w:cs="Times New Roman"/>
          <w:kern w:val="2"/>
          <w:sz w:val="28"/>
          <w:szCs w:val="28"/>
          <w:lang w:val="en-US" w:eastAsia="zh-CN" w:bidi="ar-SA"/>
        </w:rPr>
        <w:t>市场法</w:t>
      </w:r>
      <w:r>
        <w:rPr>
          <w:rFonts w:hint="eastAsia" w:ascii="仿宋" w:hAnsi="仿宋" w:eastAsia="仿宋"/>
          <w:sz w:val="28"/>
          <w:szCs w:val="28"/>
          <w:lang w:eastAsia="zh-CN"/>
        </w:rPr>
        <w:t>先对估价对象中</w:t>
      </w:r>
      <w:r>
        <w:rPr>
          <w:rFonts w:hint="eastAsia" w:ascii="仿宋" w:hAnsi="仿宋" w:eastAsia="仿宋"/>
          <w:sz w:val="28"/>
          <w:szCs w:val="28"/>
          <w:lang w:val="en-US" w:eastAsia="zh-CN"/>
        </w:rPr>
        <w:t>201室住宅房屋</w:t>
      </w:r>
      <w:r>
        <w:rPr>
          <w:rFonts w:hint="eastAsia" w:ascii="仿宋" w:hAnsi="仿宋" w:eastAsia="仿宋"/>
          <w:sz w:val="28"/>
          <w:szCs w:val="28"/>
        </w:rPr>
        <w:t>进行估价</w:t>
      </w:r>
      <w:r>
        <w:rPr>
          <w:rFonts w:hint="eastAsia" w:ascii="仿宋" w:hAnsi="仿宋" w:eastAsia="仿宋"/>
          <w:sz w:val="28"/>
          <w:szCs w:val="28"/>
          <w:lang w:eastAsia="zh-CN"/>
        </w:rPr>
        <w:t>，</w:t>
      </w:r>
      <w:r>
        <w:rPr>
          <w:rFonts w:hint="eastAsia" w:ascii="仿宋" w:hAnsi="仿宋" w:eastAsia="仿宋"/>
          <w:sz w:val="28"/>
          <w:szCs w:val="28"/>
          <w:lang w:val="en-US" w:eastAsia="zh-CN"/>
        </w:rPr>
        <w:t>然后根据楼层调整系数、比较个别因素估算其他楼层住宅房屋价格</w:t>
      </w:r>
      <w:r>
        <w:rPr>
          <w:rFonts w:hint="eastAsia" w:ascii="仿宋" w:hAnsi="仿宋" w:eastAsia="仿宋"/>
          <w:sz w:val="28"/>
          <w:szCs w:val="28"/>
        </w:rPr>
        <w:t>。</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因未能获得估价对象所在小区房屋交易案例，按照估价要求，筛选距估价对象仅800多米同一区域内的东方雅苑小区的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实例A：东方雅苑小区住宅，2010年建成，总层数29层，所在层3层，南北朝向，精装修，建筑面积92平米，二室二厅，拟交易总价45万，折合单价约为4891元/平米，拟交易日期2021年2月份。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实例B：东方雅苑小区住宅，2015年建成，总层数29层，所在层27层，南北朝向，精装修，建筑面积101平米，三室二厅，拟交易总价52.8万，折合单价约为5228元/平米，拟交易日期2021年2月份。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实例C：东方雅苑小区住宅，2013年建成，总层数29层，所在层2层，南北朝向，精装修，建筑面积92平米，二室二厅，拟交易总价43.8万，折合单价约为4761元/平米，拟交易日期2021年2月份。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trPr>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位 置</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桃园新城小区A栋2单元201室</w:t>
            </w:r>
          </w:p>
        </w:tc>
        <w:tc>
          <w:tcPr>
            <w:tcW w:w="1567"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东方雅苑小区</w:t>
            </w:r>
          </w:p>
        </w:tc>
        <w:tc>
          <w:tcPr>
            <w:tcW w:w="1550" w:type="dxa"/>
            <w:vAlign w:val="top"/>
          </w:tcPr>
          <w:p>
            <w:pPr>
              <w:numPr>
                <w:ilvl w:val="0"/>
                <w:numId w:val="0"/>
              </w:numPr>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8"/>
                <w:szCs w:val="28"/>
                <w:lang w:val="en-US" w:eastAsia="zh-CN"/>
              </w:rPr>
              <w:t>东方雅苑小区</w:t>
            </w:r>
          </w:p>
        </w:tc>
        <w:tc>
          <w:tcPr>
            <w:tcW w:w="1633" w:type="dxa"/>
            <w:vAlign w:val="top"/>
          </w:tcPr>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东方雅苑</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vertAlign w:val="baseline"/>
                <w:lang w:val="en-US" w:eastAsia="zh-CN"/>
              </w:rPr>
            </w:pPr>
            <w:r>
              <w:rPr>
                <w:rFonts w:hint="eastAsia" w:ascii="仿宋" w:hAnsi="仿宋" w:eastAsia="仿宋" w:cs="仿宋"/>
                <w:color w:val="auto"/>
                <w:sz w:val="28"/>
                <w:szCs w:val="28"/>
                <w:lang w:val="en-US" w:eastAsia="zh-CN"/>
              </w:rPr>
              <w:t>桃园新城</w:t>
            </w:r>
          </w:p>
        </w:tc>
        <w:tc>
          <w:tcPr>
            <w:tcW w:w="1567" w:type="dxa"/>
            <w:vAlign w:val="top"/>
          </w:tcPr>
          <w:p>
            <w:pPr>
              <w:numPr>
                <w:ilvl w:val="0"/>
                <w:numId w:val="0"/>
              </w:numPr>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_GB2312" w:hAnsi="宋体" w:eastAsia="仿宋_GB2312" w:cs="Times New Roman"/>
                <w:kern w:val="2"/>
                <w:sz w:val="28"/>
                <w:szCs w:val="28"/>
                <w:lang w:val="en-US" w:eastAsia="zh-CN" w:bidi="ar-SA"/>
              </w:rPr>
              <w:t>东方雅苑</w:t>
            </w:r>
          </w:p>
        </w:tc>
        <w:tc>
          <w:tcPr>
            <w:tcW w:w="155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_GB2312" w:hAnsi="宋体" w:eastAsia="仿宋_GB2312" w:cs="Times New Roman"/>
                <w:kern w:val="2"/>
                <w:sz w:val="28"/>
                <w:szCs w:val="28"/>
                <w:lang w:val="en-US" w:eastAsia="zh-CN" w:bidi="ar-SA"/>
              </w:rPr>
              <w:t>东方雅苑</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_GB2312" w:hAnsi="宋体" w:eastAsia="仿宋_GB2312" w:cs="Times New Roman"/>
                <w:kern w:val="2"/>
                <w:sz w:val="28"/>
                <w:szCs w:val="28"/>
                <w:lang w:val="en-US" w:eastAsia="zh-CN" w:bidi="ar-SA"/>
              </w:rPr>
              <w:t>东方雅苑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4891</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5228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2021.02</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2021.02</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2021.02</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2/11</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3/29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27/29</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精装修</w:t>
            </w:r>
          </w:p>
        </w:tc>
        <w:tc>
          <w:tcPr>
            <w:tcW w:w="1567"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精装修</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精装修</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84%</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lang w:val="en-US" w:eastAsia="zh-CN" w:bidi="ar-SA"/>
              </w:rPr>
              <w:t>4891</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5228</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110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99</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113</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_GB2312" w:hAnsi="宋体" w:eastAsia="仿宋_GB2312" w:cs="Times New Roman"/>
                <w:kern w:val="2"/>
                <w:sz w:val="28"/>
                <w:szCs w:val="28"/>
                <w:lang w:val="en-US" w:eastAsia="zh-CN" w:bidi="ar-SA"/>
              </w:rPr>
              <w:t>4891</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5228</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vertAlign w:val="baseline"/>
                <w:lang w:val="en-US" w:eastAsia="zh-CN"/>
              </w:rPr>
              <w:t>4761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c>
          <w:tcPr>
            <w:tcW w:w="1550"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color w:val="auto"/>
                <w:sz w:val="30"/>
                <w:szCs w:val="30"/>
                <w:highlight w:val="none"/>
                <w:vertAlign w:val="baseline"/>
                <w:lang w:val="en-US" w:eastAsia="zh-CN"/>
              </w:rPr>
              <w:t>113</w:t>
            </w:r>
          </w:p>
        </w:tc>
        <w:tc>
          <w:tcPr>
            <w:tcW w:w="1833" w:type="dxa"/>
            <w:vAlign w:val="top"/>
          </w:tcPr>
          <w:p>
            <w:pPr>
              <w:jc w:val="center"/>
              <w:rPr>
                <w:rFonts w:hint="default" w:ascii="仿宋" w:hAnsi="仿宋" w:eastAsia="仿宋" w:cs="仿宋"/>
                <w:color w:val="auto"/>
                <w:sz w:val="28"/>
                <w:szCs w:val="28"/>
                <w:highlight w:val="yellow"/>
                <w:vertAlign w:val="baseline"/>
                <w:lang w:val="en-US" w:eastAsia="zh-CN"/>
              </w:rPr>
            </w:pPr>
            <w:r>
              <w:rPr>
                <w:rFonts w:hint="eastAsia" w:ascii="仿宋" w:hAnsi="仿宋" w:eastAsia="仿宋" w:cs="仿宋"/>
                <w:color w:val="auto"/>
                <w:sz w:val="30"/>
                <w:szCs w:val="30"/>
                <w:highlight w:val="none"/>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4795</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4627</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4668</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w:t>
      </w:r>
      <w:r>
        <w:rPr>
          <w:rFonts w:hint="eastAsia" w:ascii="仿宋_GB2312" w:hAnsi="宋体" w:eastAsia="仿宋_GB2312" w:cs="Times New Roman"/>
          <w:kern w:val="2"/>
          <w:sz w:val="28"/>
          <w:szCs w:val="28"/>
          <w:lang w:val="en-US" w:eastAsia="zh-CN" w:bidi="ar-SA"/>
        </w:rPr>
        <w:t>求取估价对象价值</w:t>
      </w:r>
    </w:p>
    <w:p>
      <w:pPr>
        <w:numPr>
          <w:ilvl w:val="0"/>
          <w:numId w:val="0"/>
        </w:numPr>
        <w:ind w:firstLine="600" w:firstLineChars="200"/>
        <w:jc w:val="left"/>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由于可比实例A、B、C与估价对象条件因素相当类似，且比准价格相差不大，因此采取算数平均值的求取方法，估算估价对象的评估价格。故估价对象201室的评估价格为：</w:t>
      </w:r>
    </w:p>
    <w:p>
      <w:pPr>
        <w:numPr>
          <w:ilvl w:val="0"/>
          <w:numId w:val="0"/>
        </w:numPr>
        <w:ind w:left="600" w:leftChars="0"/>
        <w:jc w:val="both"/>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w:t>
      </w:r>
      <w:r>
        <w:rPr>
          <w:rFonts w:hint="eastAsia" w:ascii="仿宋_GB2312" w:hAnsi="宋体" w:eastAsia="仿宋_GB2312" w:cs="Times New Roman"/>
          <w:kern w:val="2"/>
          <w:sz w:val="28"/>
          <w:szCs w:val="28"/>
          <w:lang w:val="en-US" w:eastAsia="zh-CN" w:bidi="ar-SA"/>
        </w:rPr>
        <w:t>01室评估单价=(4795+4627+4668)÷3≈4697(元/㎡)</w:t>
      </w:r>
    </w:p>
    <w:p>
      <w:pPr>
        <w:numPr>
          <w:ilvl w:val="0"/>
          <w:numId w:val="0"/>
        </w:numPr>
        <w:ind w:firstLine="600" w:firstLineChars="20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201室评估值=4697×93.87≈440907(元)</w:t>
      </w:r>
    </w:p>
    <w:p>
      <w:pPr>
        <w:numPr>
          <w:ilvl w:val="0"/>
          <w:numId w:val="0"/>
        </w:numPr>
        <w:ind w:firstLine="600" w:firstLineChars="20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以201室评估单价为基础，结合估价对象其他房屋与201室房屋装修因素比较，确定其他毛坯房屋装修调整系数为-15%，再根据楼层调整系数，估算其他楼层住宅房屋价格。因此估价对象其他房屋的评估值分别为：</w:t>
      </w:r>
    </w:p>
    <w:p>
      <w:pPr>
        <w:numPr>
          <w:ilvl w:val="0"/>
          <w:numId w:val="0"/>
        </w:numPr>
        <w:ind w:left="600" w:leftChars="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101室评估值=</w:t>
      </w:r>
      <w:r>
        <w:rPr>
          <w:rFonts w:hint="eastAsia" w:ascii="仿宋" w:hAnsi="仿宋" w:eastAsia="仿宋" w:cs="仿宋"/>
          <w:sz w:val="30"/>
          <w:szCs w:val="30"/>
          <w:lang w:val="en-US" w:eastAsia="zh-CN"/>
        </w:rPr>
        <w:t>4697</w:t>
      </w:r>
      <w:r>
        <w:rPr>
          <w:rFonts w:hint="eastAsia" w:ascii="仿宋_GB2312" w:hAnsi="宋体" w:eastAsia="仿宋_GB2312" w:cs="Times New Roman"/>
          <w:kern w:val="2"/>
          <w:sz w:val="28"/>
          <w:szCs w:val="28"/>
          <w:lang w:val="en-US" w:eastAsia="zh-CN" w:bidi="ar-SA"/>
        </w:rPr>
        <w:t>×（1-15%）×（1-1%）×93.87</w:t>
      </w:r>
      <w:r>
        <w:rPr>
          <w:rFonts w:hint="eastAsia" w:ascii="仿宋" w:hAnsi="仿宋" w:eastAsia="仿宋" w:cs="仿宋"/>
          <w:sz w:val="30"/>
          <w:szCs w:val="30"/>
          <w:lang w:val="en-US" w:eastAsia="zh-CN"/>
        </w:rPr>
        <w:t>≈371024(元)</w:t>
      </w:r>
    </w:p>
    <w:p>
      <w:pPr>
        <w:numPr>
          <w:ilvl w:val="0"/>
          <w:numId w:val="0"/>
        </w:numPr>
        <w:ind w:left="600" w:leftChars="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205室评估值=</w:t>
      </w:r>
      <w:r>
        <w:rPr>
          <w:rFonts w:hint="eastAsia" w:ascii="仿宋" w:hAnsi="仿宋" w:eastAsia="仿宋" w:cs="仿宋"/>
          <w:sz w:val="30"/>
          <w:szCs w:val="30"/>
          <w:lang w:val="en-US" w:eastAsia="zh-CN"/>
        </w:rPr>
        <w:t>4697</w:t>
      </w:r>
      <w:r>
        <w:rPr>
          <w:rFonts w:hint="eastAsia" w:ascii="仿宋_GB2312" w:hAnsi="宋体" w:eastAsia="仿宋_GB2312" w:cs="Times New Roman"/>
          <w:kern w:val="2"/>
          <w:sz w:val="28"/>
          <w:szCs w:val="28"/>
          <w:lang w:val="en-US" w:eastAsia="zh-CN" w:bidi="ar-SA"/>
        </w:rPr>
        <w:t>×（1-15%）×78</w:t>
      </w:r>
      <w:r>
        <w:rPr>
          <w:rFonts w:hint="eastAsia" w:ascii="仿宋" w:hAnsi="仿宋" w:eastAsia="仿宋" w:cs="仿宋"/>
          <w:sz w:val="30"/>
          <w:szCs w:val="30"/>
          <w:lang w:val="en-US" w:eastAsia="zh-CN"/>
        </w:rPr>
        <w:t>≈311411(元)</w:t>
      </w:r>
    </w:p>
    <w:p>
      <w:pPr>
        <w:numPr>
          <w:ilvl w:val="0"/>
          <w:numId w:val="0"/>
        </w:numPr>
        <w:ind w:left="600" w:leftChars="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1005室评估值=</w:t>
      </w:r>
      <w:r>
        <w:rPr>
          <w:rFonts w:hint="eastAsia" w:ascii="仿宋" w:hAnsi="仿宋" w:eastAsia="仿宋" w:cs="仿宋"/>
          <w:sz w:val="30"/>
          <w:szCs w:val="30"/>
          <w:lang w:val="en-US" w:eastAsia="zh-CN"/>
        </w:rPr>
        <w:t>4697</w:t>
      </w:r>
      <w:r>
        <w:rPr>
          <w:rFonts w:hint="eastAsia" w:ascii="仿宋_GB2312" w:hAnsi="宋体" w:eastAsia="仿宋_GB2312" w:cs="Times New Roman"/>
          <w:kern w:val="2"/>
          <w:sz w:val="28"/>
          <w:szCs w:val="28"/>
          <w:lang w:val="en-US" w:eastAsia="zh-CN" w:bidi="ar-SA"/>
        </w:rPr>
        <w:t>×（1-15%）×（1+8%）×78</w:t>
      </w:r>
      <w:r>
        <w:rPr>
          <w:rFonts w:hint="eastAsia" w:ascii="仿宋" w:hAnsi="仿宋" w:eastAsia="仿宋" w:cs="仿宋"/>
          <w:sz w:val="30"/>
          <w:szCs w:val="30"/>
          <w:lang w:val="en-US" w:eastAsia="zh-CN"/>
        </w:rPr>
        <w:t>≈336324(元)</w:t>
      </w:r>
    </w:p>
    <w:p>
      <w:pPr>
        <w:numPr>
          <w:ilvl w:val="0"/>
          <w:numId w:val="0"/>
        </w:numPr>
        <w:ind w:left="600" w:leftChars="0"/>
        <w:jc w:val="both"/>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1103室评估值=</w:t>
      </w:r>
      <w:r>
        <w:rPr>
          <w:rFonts w:hint="eastAsia" w:ascii="仿宋" w:hAnsi="仿宋" w:eastAsia="仿宋" w:cs="仿宋"/>
          <w:sz w:val="30"/>
          <w:szCs w:val="30"/>
          <w:lang w:val="en-US" w:eastAsia="zh-CN"/>
        </w:rPr>
        <w:t>4697</w:t>
      </w:r>
      <w:r>
        <w:rPr>
          <w:rFonts w:hint="eastAsia" w:ascii="仿宋_GB2312" w:hAnsi="宋体" w:eastAsia="仿宋_GB2312" w:cs="Times New Roman"/>
          <w:kern w:val="2"/>
          <w:sz w:val="28"/>
          <w:szCs w:val="28"/>
          <w:highlight w:val="none"/>
          <w:lang w:val="en-US" w:eastAsia="zh-CN" w:bidi="ar-SA"/>
        </w:rPr>
        <w:t>×（1-15%）×（1+6%）×98.42</w:t>
      </w:r>
      <w:r>
        <w:rPr>
          <w:rFonts w:hint="eastAsia" w:ascii="仿宋" w:hAnsi="仿宋" w:eastAsia="仿宋" w:cs="仿宋"/>
          <w:sz w:val="30"/>
          <w:szCs w:val="30"/>
          <w:highlight w:val="none"/>
          <w:lang w:val="en-US" w:eastAsia="zh-CN"/>
        </w:rPr>
        <w:t>≈416513(元)</w:t>
      </w:r>
    </w:p>
    <w:p>
      <w:pPr>
        <w:numPr>
          <w:ilvl w:val="0"/>
          <w:numId w:val="0"/>
        </w:numPr>
        <w:ind w:left="600" w:leftChars="0"/>
        <w:jc w:val="both"/>
        <w:rPr>
          <w:rFonts w:hint="eastAsia" w:ascii="仿宋" w:hAnsi="仿宋" w:eastAsia="仿宋" w:cs="仿宋"/>
          <w:sz w:val="30"/>
          <w:szCs w:val="30"/>
          <w:highlight w:val="none"/>
          <w:lang w:val="en-US" w:eastAsia="zh-CN"/>
        </w:rPr>
      </w:pPr>
      <w:r>
        <w:rPr>
          <w:rFonts w:hint="eastAsia" w:ascii="仿宋" w:hAnsi="仿宋" w:eastAsia="仿宋" w:cs="仿宋"/>
          <w:sz w:val="30"/>
          <w:szCs w:val="30"/>
          <w:highlight w:val="none"/>
          <w:lang w:val="en-US" w:eastAsia="zh-CN"/>
        </w:rPr>
        <w:t>则，估价对象评估总值为：</w:t>
      </w:r>
    </w:p>
    <w:p>
      <w:pPr>
        <w:numPr>
          <w:ilvl w:val="0"/>
          <w:numId w:val="0"/>
        </w:numPr>
        <w:ind w:left="600" w:leftChars="0"/>
        <w:jc w:val="both"/>
        <w:rPr>
          <w:rFonts w:hint="default" w:ascii="仿宋" w:hAnsi="仿宋" w:eastAsia="仿宋" w:cs="仿宋"/>
          <w:sz w:val="30"/>
          <w:szCs w:val="30"/>
          <w:highlight w:val="none"/>
          <w:lang w:val="en-US" w:eastAsia="zh-CN"/>
        </w:rPr>
      </w:pPr>
      <w:r>
        <w:rPr>
          <w:rFonts w:hint="eastAsia" w:ascii="仿宋" w:hAnsi="仿宋" w:eastAsia="仿宋" w:cs="仿宋"/>
          <w:sz w:val="30"/>
          <w:szCs w:val="30"/>
          <w:lang w:val="en-US" w:eastAsia="zh-CN"/>
        </w:rPr>
        <w:t>371024+440907+311411+336324+</w:t>
      </w:r>
      <w:r>
        <w:rPr>
          <w:rFonts w:hint="eastAsia" w:ascii="仿宋" w:hAnsi="仿宋" w:eastAsia="仿宋" w:cs="仿宋"/>
          <w:sz w:val="30"/>
          <w:szCs w:val="30"/>
          <w:highlight w:val="none"/>
          <w:lang w:val="en-US" w:eastAsia="zh-CN"/>
        </w:rPr>
        <w:t>416513=1876179（元）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估价人员根据估价目的，遵循估价原则，按照规定估价程序和方法，经过具体测算，确定估价对象在估价时点的市场价值</w:t>
      </w:r>
      <w:r>
        <w:rPr>
          <w:rFonts w:hint="eastAsia" w:ascii="仿宋_GB2312" w:hAnsi="宋体" w:eastAsia="仿宋_GB2312" w:cs="Times New Roman"/>
          <w:kern w:val="2"/>
          <w:sz w:val="28"/>
          <w:szCs w:val="28"/>
          <w:highlight w:val="none"/>
          <w:lang w:val="en-US" w:eastAsia="zh-CN" w:bidi="ar-SA"/>
        </w:rPr>
        <w:t>为￥</w:t>
      </w:r>
      <w:r>
        <w:rPr>
          <w:rFonts w:hint="eastAsia" w:ascii="仿宋" w:hAnsi="仿宋" w:eastAsia="仿宋" w:cs="仿宋"/>
          <w:sz w:val="30"/>
          <w:szCs w:val="30"/>
          <w:highlight w:val="none"/>
          <w:lang w:val="en-US" w:eastAsia="zh-CN"/>
        </w:rPr>
        <w:t>1876179</w:t>
      </w:r>
      <w:r>
        <w:rPr>
          <w:rFonts w:hint="eastAsia" w:ascii="仿宋_GB2312" w:hAnsi="宋体" w:eastAsia="仿宋_GB2312" w:cs="Times New Roman"/>
          <w:kern w:val="2"/>
          <w:sz w:val="28"/>
          <w:szCs w:val="28"/>
          <w:highlight w:val="none"/>
          <w:lang w:val="en-US" w:eastAsia="zh-CN" w:bidi="ar-SA"/>
        </w:rPr>
        <w:t>元(大写人民币壹佰捌拾柒万陆仟壹佰柒拾玖元整)。</w:t>
      </w:r>
      <w:r>
        <w:rPr>
          <w:rFonts w:hint="eastAsia" w:ascii="仿宋_GB2312" w:hAnsi="宋体" w:eastAsia="仿宋_GB2312" w:cs="Times New Roman"/>
          <w:kern w:val="2"/>
          <w:sz w:val="28"/>
          <w:szCs w:val="28"/>
          <w:lang w:val="en-US" w:eastAsia="zh-CN" w:bidi="ar-SA"/>
        </w:rPr>
        <w:t>其中：101室房屋评估值为</w:t>
      </w:r>
      <w:r>
        <w:rPr>
          <w:rFonts w:hint="eastAsia" w:ascii="仿宋" w:hAnsi="仿宋" w:eastAsia="仿宋" w:cs="仿宋"/>
          <w:sz w:val="30"/>
          <w:szCs w:val="30"/>
          <w:lang w:val="en-US" w:eastAsia="zh-CN"/>
        </w:rPr>
        <w:t>371024</w:t>
      </w:r>
      <w:r>
        <w:rPr>
          <w:rFonts w:hint="eastAsia" w:ascii="仿宋_GB2312" w:hAnsi="宋体" w:eastAsia="仿宋_GB2312" w:cs="Times New Roman"/>
          <w:kern w:val="2"/>
          <w:sz w:val="28"/>
          <w:szCs w:val="28"/>
          <w:lang w:val="en-US" w:eastAsia="zh-CN" w:bidi="ar-SA"/>
        </w:rPr>
        <w:t>元，201室房屋评估值为</w:t>
      </w:r>
      <w:r>
        <w:rPr>
          <w:rFonts w:hint="eastAsia" w:ascii="仿宋" w:hAnsi="仿宋" w:eastAsia="仿宋" w:cs="仿宋"/>
          <w:sz w:val="30"/>
          <w:szCs w:val="30"/>
          <w:lang w:val="en-US" w:eastAsia="zh-CN"/>
        </w:rPr>
        <w:t>440907</w:t>
      </w:r>
      <w:r>
        <w:rPr>
          <w:rFonts w:hint="eastAsia" w:ascii="仿宋_GB2312" w:hAnsi="宋体" w:eastAsia="仿宋_GB2312" w:cs="Times New Roman"/>
          <w:kern w:val="2"/>
          <w:sz w:val="28"/>
          <w:szCs w:val="28"/>
          <w:lang w:val="en-US" w:eastAsia="zh-CN" w:bidi="ar-SA"/>
        </w:rPr>
        <w:t>元，205室房屋评估值为</w:t>
      </w:r>
      <w:r>
        <w:rPr>
          <w:rFonts w:hint="eastAsia" w:ascii="仿宋" w:hAnsi="仿宋" w:eastAsia="仿宋" w:cs="仿宋"/>
          <w:sz w:val="30"/>
          <w:szCs w:val="30"/>
          <w:lang w:val="en-US" w:eastAsia="zh-CN"/>
        </w:rPr>
        <w:t>311411</w:t>
      </w:r>
      <w:r>
        <w:rPr>
          <w:rFonts w:hint="eastAsia" w:ascii="仿宋_GB2312" w:hAnsi="宋体" w:eastAsia="仿宋_GB2312" w:cs="Times New Roman"/>
          <w:kern w:val="2"/>
          <w:sz w:val="28"/>
          <w:szCs w:val="28"/>
          <w:lang w:val="en-US" w:eastAsia="zh-CN" w:bidi="ar-SA"/>
        </w:rPr>
        <w:t>元，1005室房屋评估值为</w:t>
      </w:r>
      <w:r>
        <w:rPr>
          <w:rFonts w:hint="eastAsia" w:ascii="仿宋" w:hAnsi="仿宋" w:eastAsia="仿宋" w:cs="仿宋"/>
          <w:sz w:val="30"/>
          <w:szCs w:val="30"/>
          <w:lang w:val="en-US" w:eastAsia="zh-CN"/>
        </w:rPr>
        <w:t>336324</w:t>
      </w:r>
      <w:r>
        <w:rPr>
          <w:rFonts w:hint="eastAsia" w:ascii="仿宋_GB2312" w:hAnsi="宋体" w:eastAsia="仿宋_GB2312" w:cs="Times New Roman"/>
          <w:kern w:val="2"/>
          <w:sz w:val="28"/>
          <w:szCs w:val="28"/>
          <w:lang w:val="en-US" w:eastAsia="zh-CN" w:bidi="ar-SA"/>
        </w:rPr>
        <w:t>元，1103室房屋评估值为</w:t>
      </w:r>
      <w:r>
        <w:rPr>
          <w:rFonts w:hint="eastAsia" w:ascii="仿宋" w:hAnsi="仿宋" w:eastAsia="仿宋" w:cs="仿宋"/>
          <w:sz w:val="30"/>
          <w:szCs w:val="30"/>
          <w:highlight w:val="none"/>
          <w:lang w:val="en-US" w:eastAsia="zh-CN"/>
        </w:rPr>
        <w:t>416513</w:t>
      </w:r>
      <w:r>
        <w:rPr>
          <w:rFonts w:hint="eastAsia" w:ascii="仿宋_GB2312" w:hAnsi="宋体" w:eastAsia="仿宋_GB2312" w:cs="Times New Roman"/>
          <w:kern w:val="2"/>
          <w:sz w:val="28"/>
          <w:szCs w:val="28"/>
          <w:lang w:val="en-US" w:eastAsia="zh-CN" w:bidi="ar-SA"/>
        </w:rPr>
        <w:t>元。</w:t>
      </w:r>
    </w:p>
    <w:p>
      <w:pPr>
        <w:rPr>
          <w:rFonts w:hint="eastAsia" w:ascii="仿宋_GB2312" w:hAnsi="宋体" w:eastAsia="仿宋_GB2312" w:cs="Times New Roman"/>
          <w:kern w:val="2"/>
          <w:sz w:val="28"/>
          <w:szCs w:val="28"/>
          <w:lang w:val="en-US" w:eastAsia="zh-CN" w:bidi="ar-SA"/>
        </w:rPr>
      </w:pPr>
    </w:p>
    <w:p>
      <w:pPr>
        <w:ind w:firstLine="3920" w:firstLineChars="14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二0二一年二月二十二日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21</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6279D4"/>
    <w:rsid w:val="061E1B96"/>
    <w:rsid w:val="09C43F96"/>
    <w:rsid w:val="0DC25720"/>
    <w:rsid w:val="0E236A3E"/>
    <w:rsid w:val="1A9D1836"/>
    <w:rsid w:val="1CD81161"/>
    <w:rsid w:val="21FB04CE"/>
    <w:rsid w:val="3C1813A4"/>
    <w:rsid w:val="415C44C9"/>
    <w:rsid w:val="4C2B7286"/>
    <w:rsid w:val="4E6E0739"/>
    <w:rsid w:val="4FFD7F4B"/>
    <w:rsid w:val="506279D4"/>
    <w:rsid w:val="51B1714E"/>
    <w:rsid w:val="54D25EB5"/>
    <w:rsid w:val="5A5F6E50"/>
    <w:rsid w:val="6CFE56E1"/>
    <w:rsid w:val="76EB7749"/>
    <w:rsid w:val="7A3E5CC7"/>
    <w:rsid w:val="7CE3693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2021-02-05T07:41:00Z</dcterms:created>
  <dc:creator>Administrator</dc:creator>
  <cp:lastModifiedBy>Administrator</cp:lastModifiedBy>
  <dcterms:modified xsi:type="dcterms:W3CDTF">2021-02-25T03:16:49Z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