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760" w:firstLineChars="1200"/>
        <w:rPr>
          <w:rFonts w:ascii="Arial" w:hAnsi="Arial" w:eastAsia="黑体"/>
        </w:rPr>
      </w:pPr>
      <w:r>
        <w:rPr>
          <w:rFonts w:ascii="Arial" w:hAnsi="Arial" w:eastAsia="黑体"/>
          <w:lang w:eastAsia="zh-CN"/>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728335" cy="3369310"/>
            <wp:effectExtent l="0" t="0" r="6350" b="2540"/>
            <wp:wrapSquare wrapText="bothSides"/>
            <wp:docPr id="7" name="图片 7" descr="报告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告封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28212" cy="3369600"/>
                    </a:xfrm>
                    <a:prstGeom prst="rect">
                      <a:avLst/>
                    </a:prstGeom>
                    <a:noFill/>
                    <a:ln>
                      <a:noFill/>
                    </a:ln>
                  </pic:spPr>
                </pic:pic>
              </a:graphicData>
            </a:graphic>
          </wp:anchor>
        </w:drawing>
      </w:r>
    </w:p>
    <w:p>
      <w:pPr>
        <w:adjustRightInd/>
        <w:spacing w:line="240" w:lineRule="auto"/>
        <w:jc w:val="both"/>
        <w:rPr>
          <w:rFonts w:ascii="Arial" w:hAnsi="Arial" w:eastAsia="黑体" w:cs="Arial"/>
          <w:sz w:val="40"/>
          <w:szCs w:val="40"/>
          <w:lang w:eastAsia="zh-CN"/>
        </w:rPr>
      </w:pPr>
    </w:p>
    <w:p>
      <w:pPr>
        <w:tabs>
          <w:tab w:val="left" w:pos="5542"/>
        </w:tabs>
        <w:spacing w:after="156" w:afterLines="50"/>
        <w:rPr>
          <w:rFonts w:ascii="Arial" w:hAnsi="Arial" w:eastAsia="黑体" w:cs="Arial"/>
          <w:sz w:val="56"/>
          <w:szCs w:val="56"/>
          <w:lang w:eastAsia="zh-CN"/>
        </w:rPr>
      </w:pPr>
      <w:r>
        <w:rPr>
          <w:rFonts w:hint="eastAsia" w:ascii="Arial" w:hAnsi="Arial" w:eastAsia="黑体" w:cs="Arial"/>
          <w:sz w:val="56"/>
          <w:szCs w:val="56"/>
          <w:lang w:eastAsia="zh-CN"/>
        </w:rPr>
        <w:t>房地产估价报告</w:t>
      </w:r>
      <w:r>
        <w:rPr>
          <w:rFonts w:ascii="Arial" w:hAnsi="Arial" w:eastAsia="黑体" w:cs="Arial"/>
          <w:sz w:val="56"/>
          <w:szCs w:val="56"/>
          <w:lang w:eastAsia="zh-CN"/>
        </w:rPr>
        <w:tab/>
      </w:r>
    </w:p>
    <w:p>
      <w:pPr>
        <w:adjustRightInd/>
        <w:spacing w:line="240" w:lineRule="auto"/>
        <w:jc w:val="both"/>
        <w:rPr>
          <w:rFonts w:ascii="Arial" w:hAnsi="Arial" w:eastAsia="黑体" w:cs="Arial"/>
          <w:sz w:val="40"/>
          <w:szCs w:val="40"/>
          <w:lang w:eastAsia="zh-CN"/>
        </w:rPr>
      </w:pPr>
    </w:p>
    <w:p>
      <w:pPr>
        <w:adjustRightInd/>
        <w:spacing w:line="240" w:lineRule="auto"/>
        <w:jc w:val="both"/>
        <w:rPr>
          <w:rFonts w:ascii="Arial" w:hAnsi="Arial" w:eastAsia="黑体" w:cs="Arial"/>
          <w:sz w:val="40"/>
          <w:szCs w:val="40"/>
          <w:lang w:eastAsia="zh-CN"/>
        </w:rPr>
      </w:pPr>
      <w:r>
        <w:rPr>
          <w:rFonts w:ascii="Arial" w:hAnsi="Arial" w:eastAsia="黑体" w:cs="Arial"/>
          <w:sz w:val="40"/>
          <w:szCs w:val="40"/>
          <w:lang w:eastAsia="zh-CN"/>
        </w:rPr>
        <w:t>中华人民共和国</w:t>
      </w:r>
    </w:p>
    <w:p>
      <w:pPr>
        <w:adjustRightInd/>
        <w:spacing w:line="240" w:lineRule="auto"/>
        <w:jc w:val="both"/>
        <w:rPr>
          <w:rFonts w:ascii="Arial" w:hAnsi="Arial" w:eastAsia="黑体" w:cs="Arial"/>
          <w:sz w:val="40"/>
          <w:szCs w:val="40"/>
          <w:lang w:eastAsia="zh-CN"/>
        </w:rPr>
      </w:pPr>
      <w:r>
        <w:rPr>
          <w:rFonts w:hint="eastAsia" w:ascii="Arial" w:hAnsi="Arial" w:eastAsia="黑体" w:cs="Arial"/>
          <w:sz w:val="40"/>
          <w:szCs w:val="40"/>
          <w:lang w:eastAsia="zh-CN"/>
        </w:rPr>
        <w:t>广东省中山市东凤镇南安路四栋住宅房地产</w:t>
      </w:r>
    </w:p>
    <w:p>
      <w:pPr>
        <w:adjustRightInd/>
        <w:spacing w:line="240" w:lineRule="auto"/>
        <w:jc w:val="both"/>
        <w:rPr>
          <w:rFonts w:ascii="Arial" w:hAnsi="Arial" w:eastAsia="黑体" w:cs="Arial"/>
          <w:sz w:val="40"/>
          <w:szCs w:val="40"/>
          <w:lang w:eastAsia="zh-CN"/>
        </w:rPr>
      </w:pPr>
    </w:p>
    <w:p>
      <w:pPr>
        <w:adjustRightInd/>
        <w:spacing w:line="240" w:lineRule="auto"/>
        <w:jc w:val="both"/>
        <w:rPr>
          <w:rFonts w:ascii="Arial" w:hAnsi="Arial" w:eastAsia="黑体" w:cs="Arial"/>
          <w:sz w:val="40"/>
          <w:szCs w:val="40"/>
          <w:lang w:eastAsia="zh-CN"/>
        </w:rPr>
      </w:pPr>
    </w:p>
    <w:p>
      <w:pPr>
        <w:adjustRightInd/>
        <w:spacing w:line="240" w:lineRule="auto"/>
        <w:jc w:val="both"/>
        <w:rPr>
          <w:rFonts w:ascii="Arial" w:hAnsi="Arial" w:eastAsia="黑体" w:cs="Arial"/>
          <w:sz w:val="40"/>
          <w:szCs w:val="40"/>
          <w:lang w:eastAsia="zh-CN"/>
        </w:rPr>
      </w:pPr>
      <w:r>
        <w:drawing>
          <wp:inline distT="0" distB="0" distL="0" distR="0">
            <wp:extent cx="723900" cy="723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23900" cy="723900"/>
                    </a:xfrm>
                    <a:prstGeom prst="rect">
                      <a:avLst/>
                    </a:prstGeom>
                    <a:noFill/>
                    <a:ln>
                      <a:noFill/>
                    </a:ln>
                  </pic:spPr>
                </pic:pic>
              </a:graphicData>
            </a:graphic>
          </wp:inline>
        </w:drawing>
      </w:r>
    </w:p>
    <w:p>
      <w:pPr>
        <w:pStyle w:val="97"/>
        <w:adjustRightInd/>
        <w:spacing w:line="440" w:lineRule="exact"/>
        <w:jc w:val="both"/>
        <w:rPr>
          <w:rFonts w:eastAsia="黑体"/>
          <w:b w:val="0"/>
          <w:szCs w:val="32"/>
          <w:lang w:eastAsia="zh-CN"/>
        </w:rPr>
      </w:pPr>
      <w:r>
        <w:rPr>
          <w:rFonts w:hint="eastAsia" w:eastAsia="黑体"/>
          <w:szCs w:val="32"/>
          <w:lang w:eastAsia="zh-CN"/>
        </w:rPr>
        <w:t>2021年2月3日</w:t>
      </w:r>
    </w:p>
    <w:p>
      <w:pPr>
        <w:rPr>
          <w:rFonts w:ascii="Arial" w:hAnsi="Arial" w:eastAsia="黑体"/>
        </w:rPr>
      </w:pPr>
    </w:p>
    <w:p>
      <w:pPr>
        <w:spacing w:line="240" w:lineRule="auto"/>
        <w:rPr>
          <w:rFonts w:ascii="Arial" w:hAnsi="Arial" w:eastAsia="黑体"/>
          <w:lang w:eastAsia="zh-CN"/>
        </w:rPr>
        <w:sectPr>
          <w:headerReference r:id="rId4" w:type="first"/>
          <w:footerReference r:id="rId6" w:type="first"/>
          <w:headerReference r:id="rId3" w:type="default"/>
          <w:footerReference r:id="rId5" w:type="default"/>
          <w:pgSz w:w="11907" w:h="16840"/>
          <w:pgMar w:top="2608" w:right="1418" w:bottom="1134" w:left="1418" w:header="1134" w:footer="170" w:gutter="0"/>
          <w:pgNumType w:start="1"/>
          <w:cols w:space="720" w:num="1"/>
          <w:titlePg/>
          <w:docGrid w:type="lines" w:linePitch="313" w:charSpace="0"/>
        </w:sectPr>
      </w:pPr>
    </w:p>
    <w:p>
      <w:pPr>
        <w:spacing w:line="240" w:lineRule="auto"/>
        <w:jc w:val="center"/>
        <w:rPr>
          <w:rFonts w:ascii="Arial" w:hAnsi="Arial" w:eastAsia="黑体"/>
          <w:b/>
          <w:spacing w:val="20"/>
          <w:sz w:val="32"/>
          <w:lang w:eastAsia="zh-CN"/>
        </w:rPr>
      </w:pPr>
      <w:r>
        <w:rPr>
          <w:rFonts w:hint="eastAsia" w:ascii="Arial" w:hAnsi="Arial" w:eastAsia="黑体"/>
          <w:b/>
          <w:spacing w:val="20"/>
          <w:sz w:val="32"/>
          <w:lang w:eastAsia="zh-CN"/>
        </w:rPr>
        <w:t>房地产估价报告</w:t>
      </w:r>
    </w:p>
    <w:p>
      <w:pPr>
        <w:spacing w:line="240" w:lineRule="auto"/>
        <w:jc w:val="center"/>
        <w:rPr>
          <w:rFonts w:ascii="Arial" w:hAnsi="Arial" w:eastAsia="黑体"/>
          <w:lang w:eastAsia="zh-CN"/>
        </w:rPr>
      </w:pPr>
    </w:p>
    <w:p>
      <w:pPr>
        <w:spacing w:line="240" w:lineRule="auto"/>
        <w:jc w:val="center"/>
        <w:rPr>
          <w:rFonts w:ascii="Arial" w:hAnsi="Arial" w:eastAsia="黑体"/>
          <w:lang w:eastAsia="zh-CN"/>
        </w:rPr>
      </w:pPr>
    </w:p>
    <w:p>
      <w:pPr>
        <w:spacing w:line="240" w:lineRule="auto"/>
        <w:jc w:val="center"/>
        <w:rPr>
          <w:rFonts w:ascii="Arial" w:hAnsi="Arial" w:eastAsia="黑体"/>
          <w:lang w:eastAsia="zh-CN"/>
        </w:rPr>
      </w:pPr>
    </w:p>
    <w:p>
      <w:pPr>
        <w:spacing w:line="240" w:lineRule="auto"/>
        <w:rPr>
          <w:rFonts w:ascii="Arial" w:hAnsi="Arial" w:eastAsia="黑体"/>
          <w:lang w:eastAsia="zh-CN"/>
        </w:rPr>
      </w:pPr>
      <w:r>
        <w:rPr>
          <w:rFonts w:hint="eastAsia" w:ascii="Arial" w:hAnsi="Arial" w:eastAsia="黑体"/>
          <w:b/>
          <w:spacing w:val="20"/>
          <w:sz w:val="28"/>
          <w:lang w:eastAsia="zh-CN"/>
        </w:rPr>
        <w:t>估价报告编号：</w:t>
      </w:r>
    </w:p>
    <w:p>
      <w:pPr>
        <w:spacing w:line="240" w:lineRule="auto"/>
        <w:ind w:left="851" w:leftChars="370"/>
        <w:rPr>
          <w:rFonts w:ascii="Arial" w:hAnsi="Arial" w:eastAsia="黑体"/>
          <w:lang w:eastAsia="zh-CN"/>
        </w:rPr>
      </w:pPr>
      <w:r>
        <w:rPr>
          <w:rFonts w:ascii="Arial" w:hAnsi="Arial" w:eastAsia="黑体"/>
          <w:spacing w:val="20"/>
          <w:sz w:val="28"/>
          <w:lang w:eastAsia="zh-CN"/>
        </w:rPr>
        <w:t>2101/GZ0817-02</w:t>
      </w:r>
    </w:p>
    <w:p>
      <w:pPr>
        <w:spacing w:line="240" w:lineRule="auto"/>
        <w:rPr>
          <w:rFonts w:ascii="Arial" w:hAnsi="Arial" w:eastAsia="黑体"/>
          <w:lang w:eastAsia="zh-CN"/>
        </w:rPr>
      </w:pPr>
      <w:r>
        <w:rPr>
          <w:rFonts w:hint="eastAsia" w:ascii="Arial" w:hAnsi="Arial" w:eastAsia="黑体"/>
          <w:b/>
          <w:spacing w:val="20"/>
          <w:sz w:val="28"/>
          <w:lang w:eastAsia="zh-CN"/>
        </w:rPr>
        <w:t>估价项目名称：</w:t>
      </w:r>
    </w:p>
    <w:p>
      <w:pPr>
        <w:spacing w:line="400" w:lineRule="exact"/>
        <w:ind w:left="851" w:leftChars="370"/>
        <w:rPr>
          <w:rFonts w:ascii="Arial" w:hAnsi="Arial" w:eastAsia="黑体"/>
          <w:spacing w:val="20"/>
          <w:sz w:val="28"/>
          <w:lang w:eastAsia="zh-CN"/>
        </w:rPr>
      </w:pPr>
      <w:r>
        <w:rPr>
          <w:rFonts w:hint="eastAsia" w:ascii="Arial" w:hAnsi="Arial" w:eastAsia="黑体"/>
          <w:spacing w:val="20"/>
          <w:sz w:val="28"/>
          <w:lang w:eastAsia="zh-CN"/>
        </w:rPr>
        <w:t>中山市东凤镇南安路四栋住宅房地产之市场价值评估</w:t>
      </w:r>
    </w:p>
    <w:p>
      <w:pPr>
        <w:spacing w:line="240" w:lineRule="auto"/>
        <w:ind w:left="851" w:leftChars="370"/>
        <w:rPr>
          <w:rFonts w:ascii="Arial" w:hAnsi="Arial" w:eastAsia="黑体"/>
          <w:lang w:eastAsia="zh-CN"/>
        </w:rPr>
      </w:pPr>
    </w:p>
    <w:p>
      <w:pPr>
        <w:spacing w:line="240" w:lineRule="auto"/>
        <w:rPr>
          <w:rFonts w:ascii="Arial" w:hAnsi="Arial" w:eastAsia="黑体"/>
          <w:lang w:eastAsia="zh-CN"/>
        </w:rPr>
      </w:pPr>
      <w:r>
        <w:rPr>
          <w:rFonts w:hint="eastAsia" w:ascii="Arial" w:hAnsi="Arial" w:eastAsia="黑体"/>
          <w:b/>
          <w:spacing w:val="20"/>
          <w:sz w:val="28"/>
          <w:lang w:eastAsia="zh-CN"/>
        </w:rPr>
        <w:t>估价委托人：</w:t>
      </w:r>
    </w:p>
    <w:p>
      <w:pPr>
        <w:spacing w:line="240" w:lineRule="auto"/>
        <w:ind w:left="851" w:leftChars="370"/>
        <w:rPr>
          <w:rFonts w:ascii="Arial" w:hAnsi="Arial" w:eastAsia="黑体"/>
          <w:spacing w:val="20"/>
          <w:sz w:val="28"/>
          <w:lang w:eastAsia="zh-CN"/>
        </w:rPr>
      </w:pPr>
      <w:r>
        <w:rPr>
          <w:rFonts w:hint="eastAsia" w:ascii="Arial" w:hAnsi="Arial" w:eastAsia="黑体"/>
          <w:spacing w:val="20"/>
          <w:sz w:val="28"/>
          <w:lang w:eastAsia="zh-CN"/>
        </w:rPr>
        <w:t>中山市第一人民法院</w:t>
      </w:r>
    </w:p>
    <w:p>
      <w:pPr>
        <w:spacing w:line="240" w:lineRule="auto"/>
        <w:ind w:left="851" w:leftChars="370"/>
        <w:rPr>
          <w:rFonts w:ascii="Arial" w:hAnsi="Arial" w:eastAsia="黑体"/>
          <w:lang w:eastAsia="zh-CN"/>
        </w:rPr>
      </w:pPr>
    </w:p>
    <w:p>
      <w:pPr>
        <w:spacing w:line="240" w:lineRule="auto"/>
        <w:rPr>
          <w:rFonts w:ascii="Arial" w:hAnsi="Arial" w:eastAsia="黑体"/>
          <w:lang w:eastAsia="zh-CN"/>
        </w:rPr>
      </w:pPr>
      <w:r>
        <w:rPr>
          <w:rFonts w:hint="eastAsia" w:ascii="Arial" w:hAnsi="Arial" w:eastAsia="黑体"/>
          <w:b/>
          <w:spacing w:val="20"/>
          <w:sz w:val="28"/>
          <w:lang w:eastAsia="zh-CN"/>
        </w:rPr>
        <w:t>房地产估价机构：</w:t>
      </w:r>
    </w:p>
    <w:p>
      <w:pPr>
        <w:spacing w:line="240" w:lineRule="auto"/>
        <w:ind w:left="851" w:leftChars="370"/>
        <w:rPr>
          <w:rFonts w:ascii="Arial" w:hAnsi="Arial" w:eastAsia="黑体"/>
          <w:spacing w:val="20"/>
          <w:sz w:val="28"/>
          <w:lang w:eastAsia="zh-CN"/>
        </w:rPr>
      </w:pPr>
      <w:r>
        <w:rPr>
          <w:rFonts w:hint="eastAsia" w:ascii="Arial" w:hAnsi="Arial" w:eastAsia="黑体"/>
          <w:spacing w:val="20"/>
          <w:sz w:val="28"/>
          <w:lang w:eastAsia="zh-CN"/>
        </w:rPr>
        <w:t>深圳市戴德梁行土地房地产评估有限公司</w:t>
      </w:r>
    </w:p>
    <w:p>
      <w:pPr>
        <w:spacing w:line="240" w:lineRule="auto"/>
        <w:ind w:left="851" w:leftChars="370"/>
        <w:rPr>
          <w:rFonts w:ascii="Arial" w:hAnsi="Arial" w:eastAsia="黑体"/>
          <w:lang w:eastAsia="zh-CN"/>
        </w:rPr>
      </w:pPr>
    </w:p>
    <w:p>
      <w:pPr>
        <w:spacing w:line="240" w:lineRule="auto"/>
        <w:rPr>
          <w:rFonts w:ascii="Arial" w:hAnsi="Arial" w:eastAsia="黑体"/>
          <w:lang w:eastAsia="zh-CN"/>
        </w:rPr>
      </w:pPr>
      <w:r>
        <w:rPr>
          <w:rFonts w:hint="eastAsia" w:ascii="Arial" w:hAnsi="Arial" w:eastAsia="黑体"/>
          <w:b/>
          <w:spacing w:val="20"/>
          <w:sz w:val="28"/>
          <w:lang w:eastAsia="zh-CN"/>
        </w:rPr>
        <w:t>注册房地产估价师：</w:t>
      </w:r>
    </w:p>
    <w:p>
      <w:pPr>
        <w:spacing w:line="240" w:lineRule="auto"/>
        <w:ind w:left="851" w:leftChars="370"/>
        <w:rPr>
          <w:rFonts w:ascii="Arial" w:hAnsi="Arial" w:eastAsia="黑体"/>
          <w:spacing w:val="20"/>
          <w:sz w:val="28"/>
          <w:lang w:eastAsia="zh-CN"/>
        </w:rPr>
      </w:pPr>
      <w:r>
        <w:rPr>
          <w:rFonts w:hint="eastAsia" w:ascii="Arial" w:hAnsi="Arial" w:eastAsia="黑体"/>
          <w:spacing w:val="20"/>
          <w:sz w:val="28"/>
          <w:lang w:eastAsia="zh-CN"/>
        </w:rPr>
        <w:t>李海兴（4420190307）       彭志强（</w:t>
      </w:r>
      <w:r>
        <w:rPr>
          <w:rFonts w:ascii="Arial" w:hAnsi="Arial" w:eastAsia="黑体"/>
          <w:spacing w:val="20"/>
          <w:sz w:val="28"/>
          <w:lang w:eastAsia="zh-CN"/>
        </w:rPr>
        <w:t>4420160040</w:t>
      </w:r>
      <w:r>
        <w:rPr>
          <w:rFonts w:hint="eastAsia" w:ascii="Arial" w:hAnsi="Arial" w:eastAsia="黑体"/>
          <w:spacing w:val="20"/>
          <w:sz w:val="28"/>
          <w:lang w:eastAsia="zh-CN"/>
        </w:rPr>
        <w:t>）</w:t>
      </w:r>
    </w:p>
    <w:p>
      <w:pPr>
        <w:spacing w:line="240" w:lineRule="auto"/>
        <w:ind w:left="851" w:leftChars="370"/>
        <w:rPr>
          <w:rFonts w:ascii="Arial" w:hAnsi="Arial" w:eastAsia="黑体"/>
          <w:lang w:eastAsia="zh-CN"/>
        </w:rPr>
      </w:pPr>
    </w:p>
    <w:p>
      <w:pPr>
        <w:spacing w:line="240" w:lineRule="auto"/>
        <w:rPr>
          <w:rFonts w:ascii="Arial" w:hAnsi="Arial" w:eastAsia="黑体"/>
          <w:lang w:eastAsia="zh-CN"/>
        </w:rPr>
      </w:pPr>
      <w:r>
        <w:rPr>
          <w:rFonts w:hint="eastAsia" w:ascii="Arial" w:hAnsi="Arial" w:eastAsia="黑体"/>
          <w:b/>
          <w:spacing w:val="20"/>
          <w:sz w:val="28"/>
          <w:lang w:eastAsia="zh-CN"/>
        </w:rPr>
        <w:t>估价报告出具日期：</w:t>
      </w:r>
    </w:p>
    <w:p>
      <w:pPr>
        <w:spacing w:line="240" w:lineRule="auto"/>
        <w:ind w:left="851" w:leftChars="370"/>
        <w:rPr>
          <w:rFonts w:ascii="Arial" w:hAnsi="Arial" w:eastAsia="黑体" w:cs="Arial"/>
          <w:bCs/>
          <w:kern w:val="2"/>
          <w:sz w:val="28"/>
          <w:lang w:eastAsia="zh-CN"/>
        </w:rPr>
      </w:pPr>
      <w:r>
        <w:rPr>
          <w:rFonts w:hint="eastAsia" w:ascii="Arial" w:hAnsi="Arial" w:eastAsia="黑体"/>
          <w:spacing w:val="20"/>
          <w:sz w:val="28"/>
          <w:lang w:eastAsia="zh-CN"/>
        </w:rPr>
        <w:t>二〇二一年二月三日</w:t>
      </w:r>
    </w:p>
    <w:p>
      <w:pPr>
        <w:pStyle w:val="39"/>
        <w:ind w:left="-34"/>
        <w:rPr>
          <w:rFonts w:ascii="Arial" w:hAnsi="Arial" w:eastAsia="黑体" w:cs="Arial"/>
          <w:bCs/>
          <w:kern w:val="2"/>
          <w:sz w:val="28"/>
          <w:lang w:val="en-US" w:eastAsia="zh-CN"/>
        </w:rPr>
      </w:pPr>
      <w:r>
        <w:rPr>
          <w:rFonts w:ascii="Arial" w:hAnsi="Arial" w:eastAsia="黑体" w:cs="Arial"/>
          <w:bCs/>
          <w:kern w:val="2"/>
          <w:sz w:val="28"/>
          <w:lang w:val="en-US" w:eastAsia="zh-CN"/>
        </w:rPr>
        <w:br w:type="page"/>
      </w:r>
    </w:p>
    <w:p>
      <w:pPr>
        <w:pStyle w:val="39"/>
        <w:spacing w:line="300" w:lineRule="exact"/>
        <w:ind w:left="-34"/>
        <w:rPr>
          <w:rFonts w:ascii="Arial" w:hAnsi="Arial" w:eastAsia="黑体" w:cs="Arial"/>
          <w:bCs/>
          <w:kern w:val="2"/>
          <w:sz w:val="28"/>
          <w:lang w:val="en-US" w:eastAsia="zh-CN"/>
        </w:rPr>
      </w:pPr>
      <w:r>
        <w:rPr>
          <w:rFonts w:hint="eastAsia" w:ascii="Arial" w:hAnsi="Arial" w:eastAsia="黑体" w:cs="Arial"/>
          <w:bCs/>
          <w:kern w:val="2"/>
          <w:sz w:val="28"/>
          <w:lang w:val="en-US" w:eastAsia="zh-CN"/>
        </w:rPr>
        <w:t>致估价委托人函</w:t>
      </w:r>
    </w:p>
    <w:p>
      <w:pPr>
        <w:pStyle w:val="39"/>
        <w:spacing w:line="300" w:lineRule="exact"/>
        <w:ind w:left="-34"/>
        <w:rPr>
          <w:rFonts w:ascii="Arial" w:hAnsi="Arial" w:eastAsia="黑体" w:cs="Arial"/>
          <w:bCs/>
          <w:kern w:val="2"/>
          <w:sz w:val="28"/>
          <w:lang w:val="en-US" w:eastAsia="zh-CN"/>
        </w:rPr>
      </w:pPr>
    </w:p>
    <w:p>
      <w:pPr>
        <w:pStyle w:val="39"/>
        <w:spacing w:line="300" w:lineRule="exact"/>
        <w:ind w:left="566" w:leftChars="246"/>
        <w:jc w:val="both"/>
        <w:rPr>
          <w:rFonts w:ascii="Arial" w:hAnsi="Arial" w:eastAsia="黑体" w:cs="Arial"/>
          <w:bCs/>
          <w:kern w:val="2"/>
          <w:sz w:val="24"/>
          <w:szCs w:val="21"/>
          <w:lang w:val="en-US" w:eastAsia="zh-CN"/>
        </w:rPr>
      </w:pPr>
      <w:r>
        <w:rPr>
          <w:rFonts w:hint="eastAsia" w:ascii="Arial" w:hAnsi="Arial" w:eastAsia="黑体" w:cs="Arial"/>
          <w:bCs/>
          <w:kern w:val="2"/>
          <w:sz w:val="24"/>
          <w:szCs w:val="21"/>
          <w:lang w:val="en-US" w:eastAsia="zh-CN"/>
        </w:rPr>
        <w:t>致 中山市第一人民法院：</w:t>
      </w:r>
    </w:p>
    <w:p>
      <w:pPr>
        <w:pStyle w:val="39"/>
        <w:spacing w:line="300" w:lineRule="exact"/>
        <w:ind w:left="566" w:leftChars="246"/>
        <w:jc w:val="both"/>
        <w:rPr>
          <w:rFonts w:ascii="Arial" w:hAnsi="Arial" w:eastAsia="黑体" w:cs="Arial"/>
          <w:b w:val="0"/>
          <w:bCs/>
          <w:kern w:val="2"/>
          <w:sz w:val="22"/>
          <w:lang w:val="en-US" w:eastAsia="zh-CN"/>
        </w:rPr>
      </w:pPr>
    </w:p>
    <w:p>
      <w:pPr>
        <w:pStyle w:val="39"/>
        <w:spacing w:line="300" w:lineRule="exact"/>
        <w:ind w:left="566" w:leftChars="246"/>
        <w:jc w:val="both"/>
        <w:rPr>
          <w:rFonts w:ascii="Arial" w:hAnsi="Arial" w:eastAsia="黑体" w:cs="Arial"/>
          <w:b w:val="0"/>
          <w:bCs/>
          <w:kern w:val="2"/>
          <w:sz w:val="24"/>
          <w:szCs w:val="21"/>
          <w:lang w:val="en-US" w:eastAsia="zh-CN"/>
        </w:rPr>
      </w:pPr>
      <w:r>
        <w:rPr>
          <w:rFonts w:hint="eastAsia" w:ascii="Arial" w:hAnsi="Arial" w:eastAsia="黑体" w:cs="Arial"/>
          <w:b w:val="0"/>
          <w:bCs/>
          <w:kern w:val="2"/>
          <w:sz w:val="24"/>
          <w:szCs w:val="21"/>
          <w:lang w:val="en-US" w:eastAsia="zh-CN"/>
        </w:rPr>
        <w:t>承蒙 贵院委托，我们对委托</w:t>
      </w:r>
      <w:r>
        <w:rPr>
          <w:rFonts w:ascii="Arial" w:hAnsi="Arial" w:eastAsia="黑体" w:cs="Arial"/>
          <w:b w:val="0"/>
          <w:bCs/>
          <w:kern w:val="2"/>
          <w:sz w:val="24"/>
          <w:szCs w:val="21"/>
          <w:lang w:val="en-US" w:eastAsia="zh-CN"/>
        </w:rPr>
        <w:t>物业</w:t>
      </w:r>
      <w:r>
        <w:rPr>
          <w:rFonts w:hint="eastAsia" w:ascii="Arial" w:hAnsi="Arial" w:eastAsia="黑体" w:cs="Arial"/>
          <w:b w:val="0"/>
          <w:bCs/>
          <w:kern w:val="2"/>
          <w:sz w:val="24"/>
          <w:szCs w:val="21"/>
          <w:lang w:val="en-US" w:eastAsia="zh-CN"/>
        </w:rPr>
        <w:t>进行了价值评估</w:t>
      </w:r>
      <w:r>
        <w:rPr>
          <w:rFonts w:ascii="Arial" w:hAnsi="Arial" w:eastAsia="黑体" w:cs="Arial"/>
          <w:b w:val="0"/>
          <w:bCs/>
          <w:kern w:val="2"/>
          <w:sz w:val="24"/>
          <w:szCs w:val="21"/>
          <w:lang w:val="en-US" w:eastAsia="zh-CN"/>
        </w:rPr>
        <w:t>，</w:t>
      </w:r>
      <w:r>
        <w:rPr>
          <w:rFonts w:hint="eastAsia" w:ascii="Arial" w:hAnsi="Arial" w:eastAsia="黑体" w:cs="Arial"/>
          <w:b w:val="0"/>
          <w:bCs/>
          <w:kern w:val="2"/>
          <w:sz w:val="24"/>
          <w:szCs w:val="21"/>
          <w:lang w:val="en-US" w:eastAsia="zh-CN"/>
        </w:rPr>
        <w:t>现评估</w:t>
      </w:r>
      <w:r>
        <w:rPr>
          <w:rFonts w:ascii="Arial" w:hAnsi="Arial" w:eastAsia="黑体" w:cs="Arial"/>
          <w:b w:val="0"/>
          <w:bCs/>
          <w:kern w:val="2"/>
          <w:sz w:val="24"/>
          <w:szCs w:val="21"/>
          <w:lang w:val="en-US" w:eastAsia="zh-CN"/>
        </w:rPr>
        <w:t>工作已完成</w:t>
      </w:r>
      <w:r>
        <w:rPr>
          <w:rFonts w:hint="eastAsia" w:ascii="Arial" w:hAnsi="Arial" w:eastAsia="黑体" w:cs="Arial"/>
          <w:b w:val="0"/>
          <w:bCs/>
          <w:kern w:val="2"/>
          <w:sz w:val="24"/>
          <w:szCs w:val="21"/>
          <w:lang w:val="en-US" w:eastAsia="zh-CN"/>
        </w:rPr>
        <w:t>，随</w:t>
      </w:r>
      <w:r>
        <w:rPr>
          <w:rFonts w:ascii="Arial" w:hAnsi="Arial" w:eastAsia="黑体" w:cs="Arial"/>
          <w:b w:val="0"/>
          <w:bCs/>
          <w:kern w:val="2"/>
          <w:sz w:val="24"/>
          <w:szCs w:val="21"/>
          <w:lang w:val="en-US" w:eastAsia="zh-CN"/>
        </w:rPr>
        <w:t>函</w:t>
      </w:r>
      <w:r>
        <w:rPr>
          <w:rFonts w:hint="eastAsia" w:ascii="Arial" w:hAnsi="Arial" w:eastAsia="黑体" w:cs="Arial"/>
          <w:b w:val="0"/>
          <w:bCs/>
          <w:kern w:val="2"/>
          <w:sz w:val="24"/>
          <w:szCs w:val="21"/>
          <w:lang w:val="en-US" w:eastAsia="zh-CN"/>
        </w:rPr>
        <w:t>呈</w:t>
      </w:r>
      <w:r>
        <w:rPr>
          <w:rFonts w:ascii="Arial" w:hAnsi="Arial" w:eastAsia="黑体" w:cs="Arial"/>
          <w:b w:val="0"/>
          <w:bCs/>
          <w:kern w:val="2"/>
          <w:sz w:val="24"/>
          <w:szCs w:val="21"/>
          <w:lang w:val="en-US" w:eastAsia="zh-CN"/>
        </w:rPr>
        <w:t>上估价结果报告，</w:t>
      </w:r>
      <w:r>
        <w:rPr>
          <w:rFonts w:hint="eastAsia" w:ascii="Arial" w:hAnsi="Arial" w:eastAsia="黑体" w:cs="Arial"/>
          <w:b w:val="0"/>
          <w:bCs/>
          <w:kern w:val="2"/>
          <w:sz w:val="24"/>
          <w:szCs w:val="21"/>
          <w:lang w:val="en-US" w:eastAsia="zh-CN"/>
        </w:rPr>
        <w:t>并</w:t>
      </w:r>
      <w:r>
        <w:rPr>
          <w:rFonts w:ascii="Arial" w:hAnsi="Arial" w:eastAsia="黑体" w:cs="Arial"/>
          <w:b w:val="0"/>
          <w:bCs/>
          <w:kern w:val="2"/>
          <w:sz w:val="24"/>
          <w:szCs w:val="21"/>
          <w:lang w:val="en-US" w:eastAsia="zh-CN"/>
        </w:rPr>
        <w:t>将</w:t>
      </w:r>
      <w:r>
        <w:rPr>
          <w:rFonts w:hint="eastAsia" w:ascii="Arial" w:hAnsi="Arial" w:eastAsia="黑体" w:cs="Arial"/>
          <w:b w:val="0"/>
          <w:bCs/>
          <w:kern w:val="2"/>
          <w:sz w:val="24"/>
          <w:szCs w:val="21"/>
          <w:lang w:val="en-US" w:eastAsia="zh-CN"/>
        </w:rPr>
        <w:t>估价结果</w:t>
      </w:r>
      <w:r>
        <w:rPr>
          <w:rFonts w:ascii="Arial" w:hAnsi="Arial" w:eastAsia="黑体" w:cs="Arial"/>
          <w:b w:val="0"/>
          <w:bCs/>
          <w:kern w:val="2"/>
          <w:sz w:val="24"/>
          <w:szCs w:val="21"/>
          <w:lang w:val="en-US" w:eastAsia="zh-CN"/>
        </w:rPr>
        <w:t>简要</w:t>
      </w:r>
      <w:r>
        <w:rPr>
          <w:rFonts w:hint="eastAsia" w:ascii="Arial" w:hAnsi="Arial" w:eastAsia="黑体" w:cs="Arial"/>
          <w:b w:val="0"/>
          <w:bCs/>
          <w:kern w:val="2"/>
          <w:sz w:val="24"/>
          <w:szCs w:val="21"/>
          <w:lang w:val="en-US" w:eastAsia="zh-CN"/>
        </w:rPr>
        <w:t>报告</w:t>
      </w:r>
      <w:r>
        <w:rPr>
          <w:rFonts w:ascii="Arial" w:hAnsi="Arial" w:eastAsia="黑体" w:cs="Arial"/>
          <w:b w:val="0"/>
          <w:bCs/>
          <w:kern w:val="2"/>
          <w:sz w:val="24"/>
          <w:szCs w:val="21"/>
          <w:lang w:val="en-US" w:eastAsia="zh-CN"/>
        </w:rPr>
        <w:t>如下：</w:t>
      </w:r>
    </w:p>
    <w:p>
      <w:pPr>
        <w:pStyle w:val="39"/>
        <w:spacing w:line="300" w:lineRule="exact"/>
        <w:ind w:left="566" w:leftChars="246"/>
        <w:jc w:val="both"/>
        <w:rPr>
          <w:rFonts w:ascii="Arial" w:hAnsi="Arial" w:eastAsia="黑体" w:cs="Arial"/>
          <w:b w:val="0"/>
          <w:bCs/>
          <w:kern w:val="2"/>
          <w:sz w:val="24"/>
          <w:szCs w:val="21"/>
          <w:lang w:val="en-US" w:eastAsia="zh-CN"/>
        </w:rPr>
      </w:pPr>
    </w:p>
    <w:p>
      <w:pPr>
        <w:pStyle w:val="39"/>
        <w:spacing w:line="300" w:lineRule="exact"/>
        <w:ind w:left="1766" w:leftChars="246" w:hanging="1200" w:hangingChars="500"/>
        <w:jc w:val="both"/>
        <w:rPr>
          <w:rFonts w:ascii="Arial" w:hAnsi="Arial" w:eastAsia="黑体" w:cs="Arial"/>
          <w:b w:val="0"/>
          <w:bCs/>
          <w:kern w:val="2"/>
          <w:sz w:val="24"/>
          <w:szCs w:val="21"/>
          <w:lang w:val="en-US" w:eastAsia="zh-CN"/>
        </w:rPr>
      </w:pPr>
      <w:r>
        <w:rPr>
          <w:rFonts w:hint="eastAsia" w:ascii="Arial" w:hAnsi="Arial" w:eastAsia="黑体" w:cs="Arial"/>
          <w:b w:val="0"/>
          <w:bCs/>
          <w:kern w:val="2"/>
          <w:sz w:val="24"/>
          <w:szCs w:val="21"/>
          <w:lang w:val="en-US" w:eastAsia="zh-CN"/>
        </w:rPr>
        <w:t>估价</w:t>
      </w:r>
      <w:r>
        <w:rPr>
          <w:rFonts w:ascii="Arial" w:hAnsi="Arial" w:eastAsia="黑体" w:cs="Arial"/>
          <w:b w:val="0"/>
          <w:bCs/>
          <w:kern w:val="2"/>
          <w:sz w:val="24"/>
          <w:szCs w:val="21"/>
          <w:lang w:val="en-US" w:eastAsia="zh-CN"/>
        </w:rPr>
        <w:t>目的：</w:t>
      </w:r>
      <w:r>
        <w:rPr>
          <w:rFonts w:hint="eastAsia" w:ascii="Arial" w:hAnsi="Arial" w:eastAsia="黑体" w:cs="Arial"/>
          <w:b w:val="0"/>
          <w:bCs/>
          <w:kern w:val="2"/>
          <w:sz w:val="24"/>
          <w:szCs w:val="21"/>
          <w:lang w:val="en-US" w:eastAsia="zh-CN"/>
        </w:rPr>
        <w:t>为估价委托人审理案件提供参考依据而评估房屋市场价值</w:t>
      </w:r>
      <w:r>
        <w:rPr>
          <w:rFonts w:ascii="Arial" w:hAnsi="Arial" w:eastAsia="黑体" w:cs="Arial"/>
          <w:b w:val="0"/>
          <w:bCs/>
          <w:kern w:val="2"/>
          <w:sz w:val="24"/>
          <w:szCs w:val="21"/>
          <w:lang w:val="en-US" w:eastAsia="zh-CN"/>
        </w:rPr>
        <w:t>。</w:t>
      </w:r>
    </w:p>
    <w:p>
      <w:pPr>
        <w:pStyle w:val="39"/>
        <w:spacing w:line="300" w:lineRule="exact"/>
        <w:ind w:left="1766" w:leftChars="246" w:hanging="1200" w:hangingChars="500"/>
        <w:jc w:val="both"/>
        <w:rPr>
          <w:rFonts w:ascii="Arial" w:hAnsi="Arial" w:eastAsia="黑体" w:cs="Arial"/>
          <w:b w:val="0"/>
          <w:bCs/>
          <w:color w:val="FF0000"/>
          <w:kern w:val="2"/>
          <w:sz w:val="16"/>
          <w:szCs w:val="21"/>
          <w:lang w:val="en-US" w:eastAsia="zh-CN"/>
        </w:rPr>
      </w:pPr>
      <w:r>
        <w:rPr>
          <w:rFonts w:hint="eastAsia" w:ascii="Arial" w:hAnsi="Arial" w:eastAsia="黑体" w:cs="Arial"/>
          <w:b w:val="0"/>
          <w:bCs/>
          <w:kern w:val="2"/>
          <w:sz w:val="24"/>
          <w:szCs w:val="21"/>
          <w:lang w:val="en-US" w:eastAsia="zh-CN"/>
        </w:rPr>
        <w:t>估价对象</w:t>
      </w:r>
      <w:r>
        <w:rPr>
          <w:rFonts w:ascii="Arial" w:hAnsi="Arial" w:eastAsia="黑体" w:cs="Arial"/>
          <w:b w:val="0"/>
          <w:bCs/>
          <w:kern w:val="2"/>
          <w:sz w:val="24"/>
          <w:szCs w:val="21"/>
          <w:lang w:val="en-US" w:eastAsia="zh-CN"/>
        </w:rPr>
        <w:t>：</w:t>
      </w:r>
      <w:r>
        <w:rPr>
          <w:rFonts w:hint="eastAsia" w:ascii="Arial" w:hAnsi="Arial" w:eastAsia="黑体" w:cs="Arial"/>
          <w:b w:val="0"/>
          <w:sz w:val="24"/>
          <w:szCs w:val="21"/>
          <w:lang w:val="en-US" w:eastAsia="zh-CN"/>
        </w:rPr>
        <w:t>估价对象为中山市东凤镇南安路四栋住宅房地产，财产</w:t>
      </w:r>
      <w:r>
        <w:rPr>
          <w:rFonts w:ascii="Arial" w:hAnsi="Arial" w:eastAsia="黑体" w:cs="Arial"/>
          <w:b w:val="0"/>
          <w:sz w:val="24"/>
          <w:szCs w:val="21"/>
          <w:lang w:val="en-US" w:eastAsia="zh-CN"/>
        </w:rPr>
        <w:t>范围</w:t>
      </w:r>
      <w:r>
        <w:rPr>
          <w:rFonts w:hint="eastAsia" w:ascii="Arial" w:hAnsi="Arial" w:eastAsia="黑体" w:cs="Arial"/>
          <w:b w:val="0"/>
          <w:sz w:val="24"/>
          <w:szCs w:val="21"/>
          <w:lang w:val="en-US" w:eastAsia="zh-CN"/>
        </w:rPr>
        <w:t>包括建筑物所有权（含室内装修及不可移动的房屋附属设施设备）</w:t>
      </w:r>
      <w:r>
        <w:rPr>
          <w:rFonts w:ascii="Arial" w:hAnsi="Arial" w:eastAsia="黑体" w:cs="Arial"/>
          <w:b w:val="0"/>
          <w:sz w:val="24"/>
          <w:szCs w:val="21"/>
          <w:lang w:val="en-US" w:eastAsia="zh-CN"/>
        </w:rPr>
        <w:t>及其</w:t>
      </w:r>
      <w:r>
        <w:rPr>
          <w:rFonts w:hint="eastAsia" w:ascii="Arial" w:hAnsi="Arial" w:eastAsia="黑体" w:cs="Arial"/>
          <w:b w:val="0"/>
          <w:sz w:val="24"/>
          <w:szCs w:val="21"/>
          <w:lang w:val="en-US" w:eastAsia="zh-CN"/>
        </w:rPr>
        <w:t>国有土地</w:t>
      </w:r>
      <w:r>
        <w:rPr>
          <w:rFonts w:ascii="Arial" w:hAnsi="Arial" w:eastAsia="黑体" w:cs="Arial"/>
          <w:b w:val="0"/>
          <w:sz w:val="24"/>
          <w:szCs w:val="21"/>
          <w:lang w:val="en-US" w:eastAsia="zh-CN"/>
        </w:rPr>
        <w:t>使用权</w:t>
      </w:r>
      <w:r>
        <w:rPr>
          <w:rFonts w:hint="eastAsia" w:ascii="Arial" w:hAnsi="Arial" w:eastAsia="黑体" w:cs="Arial"/>
          <w:b w:val="0"/>
          <w:sz w:val="24"/>
          <w:szCs w:val="21"/>
          <w:lang w:val="en-US" w:eastAsia="zh-CN"/>
        </w:rPr>
        <w:t>，不含室内可移动的设施设备等动产，不含特许经营权，不含估价对象涉及的债权债务，建筑面积合共为</w:t>
      </w:r>
      <w:r>
        <w:rPr>
          <w:rFonts w:ascii="Arial" w:hAnsi="Arial" w:eastAsia="黑体" w:cs="Arial"/>
          <w:b w:val="0"/>
          <w:sz w:val="24"/>
          <w:szCs w:val="21"/>
          <w:lang w:val="en-US" w:eastAsia="zh-CN"/>
        </w:rPr>
        <w:t>9,621.2平方米，</w:t>
      </w:r>
      <w:r>
        <w:rPr>
          <w:rFonts w:hint="eastAsia" w:ascii="Arial" w:hAnsi="Arial" w:eastAsia="黑体" w:cs="Arial"/>
          <w:b w:val="0"/>
          <w:sz w:val="24"/>
          <w:szCs w:val="21"/>
          <w:lang w:val="en-US" w:eastAsia="zh-CN"/>
        </w:rPr>
        <w:t>房屋用途均为住宅，权利人均为黎凌。</w:t>
      </w:r>
    </w:p>
    <w:p>
      <w:pPr>
        <w:pStyle w:val="39"/>
        <w:spacing w:line="300" w:lineRule="exact"/>
        <w:ind w:left="566" w:leftChars="246"/>
        <w:jc w:val="both"/>
        <w:rPr>
          <w:rFonts w:ascii="Arial" w:hAnsi="Arial" w:eastAsia="黑体" w:cs="Arial"/>
          <w:b w:val="0"/>
          <w:bCs/>
          <w:kern w:val="2"/>
          <w:sz w:val="24"/>
          <w:szCs w:val="21"/>
          <w:lang w:val="en-US" w:eastAsia="zh-CN"/>
        </w:rPr>
      </w:pPr>
      <w:r>
        <w:rPr>
          <w:rFonts w:hint="eastAsia" w:ascii="Arial" w:hAnsi="Arial" w:eastAsia="黑体" w:cs="Arial"/>
          <w:b w:val="0"/>
          <w:bCs/>
          <w:kern w:val="2"/>
          <w:sz w:val="24"/>
          <w:szCs w:val="21"/>
          <w:lang w:val="en-US" w:eastAsia="zh-CN"/>
        </w:rPr>
        <w:t>价值时点：2021年1月28日。</w:t>
      </w:r>
    </w:p>
    <w:p>
      <w:pPr>
        <w:pStyle w:val="39"/>
        <w:spacing w:line="300" w:lineRule="exact"/>
        <w:ind w:left="566" w:leftChars="246"/>
        <w:jc w:val="both"/>
        <w:rPr>
          <w:rFonts w:ascii="Arial" w:hAnsi="Arial" w:eastAsia="黑体" w:cs="Arial"/>
          <w:b w:val="0"/>
          <w:bCs/>
          <w:kern w:val="2"/>
          <w:sz w:val="24"/>
          <w:szCs w:val="21"/>
          <w:lang w:val="en-US" w:eastAsia="zh-CN"/>
        </w:rPr>
      </w:pPr>
      <w:r>
        <w:rPr>
          <w:rFonts w:hint="eastAsia" w:ascii="Arial" w:hAnsi="Arial" w:eastAsia="黑体" w:cs="Arial"/>
          <w:b w:val="0"/>
          <w:bCs/>
          <w:kern w:val="2"/>
          <w:sz w:val="24"/>
          <w:szCs w:val="21"/>
          <w:lang w:val="en-US" w:eastAsia="zh-CN"/>
        </w:rPr>
        <w:t>价值类型</w:t>
      </w:r>
      <w:r>
        <w:rPr>
          <w:rFonts w:ascii="Arial" w:hAnsi="Arial" w:eastAsia="黑体" w:cs="Arial"/>
          <w:b w:val="0"/>
          <w:bCs/>
          <w:kern w:val="2"/>
          <w:sz w:val="24"/>
          <w:szCs w:val="21"/>
          <w:lang w:val="en-US" w:eastAsia="zh-CN"/>
        </w:rPr>
        <w:t>：市场价值</w:t>
      </w:r>
      <w:r>
        <w:rPr>
          <w:rFonts w:hint="eastAsia" w:ascii="Arial" w:hAnsi="Arial" w:eastAsia="黑体" w:cs="Arial"/>
          <w:b w:val="0"/>
          <w:bCs/>
          <w:kern w:val="2"/>
          <w:sz w:val="24"/>
          <w:szCs w:val="21"/>
          <w:lang w:val="en-US" w:eastAsia="zh-CN"/>
        </w:rPr>
        <w:t>。</w:t>
      </w:r>
    </w:p>
    <w:p>
      <w:pPr>
        <w:pStyle w:val="39"/>
        <w:spacing w:line="300" w:lineRule="exact"/>
        <w:ind w:left="566" w:leftChars="246"/>
        <w:jc w:val="both"/>
        <w:rPr>
          <w:rFonts w:ascii="Arial" w:hAnsi="Arial" w:eastAsia="黑体" w:cs="Arial"/>
          <w:b w:val="0"/>
          <w:bCs/>
          <w:kern w:val="2"/>
          <w:sz w:val="24"/>
          <w:szCs w:val="21"/>
          <w:lang w:val="en-US" w:eastAsia="zh-CN"/>
        </w:rPr>
      </w:pPr>
      <w:r>
        <w:rPr>
          <w:rFonts w:hint="eastAsia" w:ascii="Arial" w:hAnsi="Arial" w:eastAsia="黑体" w:cs="Arial"/>
          <w:b w:val="0"/>
          <w:bCs/>
          <w:kern w:val="2"/>
          <w:sz w:val="24"/>
          <w:szCs w:val="21"/>
          <w:lang w:val="en-US" w:eastAsia="zh-CN"/>
        </w:rPr>
        <w:t>估价</w:t>
      </w:r>
      <w:r>
        <w:rPr>
          <w:rFonts w:ascii="Arial" w:hAnsi="Arial" w:eastAsia="黑体" w:cs="Arial"/>
          <w:b w:val="0"/>
          <w:bCs/>
          <w:kern w:val="2"/>
          <w:sz w:val="24"/>
          <w:szCs w:val="21"/>
          <w:lang w:val="en-US" w:eastAsia="zh-CN"/>
        </w:rPr>
        <w:t>方法：</w:t>
      </w:r>
      <w:r>
        <w:rPr>
          <w:rFonts w:hint="eastAsia" w:ascii="Arial" w:hAnsi="Arial" w:eastAsia="黑体" w:cs="Arial"/>
          <w:b w:val="0"/>
          <w:bCs/>
          <w:kern w:val="2"/>
          <w:sz w:val="24"/>
          <w:szCs w:val="21"/>
          <w:lang w:val="en-US" w:eastAsia="zh-CN"/>
        </w:rPr>
        <w:t>比较法、收益法。</w:t>
      </w:r>
    </w:p>
    <w:p>
      <w:pPr>
        <w:pStyle w:val="39"/>
        <w:spacing w:line="300" w:lineRule="exact"/>
        <w:ind w:left="1766" w:leftChars="246" w:hanging="1200" w:hangingChars="500"/>
        <w:jc w:val="both"/>
        <w:rPr>
          <w:rFonts w:ascii="Arial" w:hAnsi="Arial" w:eastAsia="黑体" w:cs="Arial"/>
          <w:b w:val="0"/>
          <w:bCs/>
          <w:kern w:val="2"/>
          <w:sz w:val="24"/>
          <w:szCs w:val="21"/>
          <w:lang w:val="en-US" w:eastAsia="zh-CN"/>
        </w:rPr>
      </w:pPr>
      <w:bookmarkStart w:id="0" w:name="结果1"/>
      <w:r>
        <w:rPr>
          <w:rFonts w:ascii="Arial" w:hAnsi="Arial" w:eastAsia="黑体" w:cs="Arial"/>
          <w:b w:val="0"/>
          <w:bCs/>
          <w:kern w:val="2"/>
          <w:sz w:val="24"/>
          <w:szCs w:val="24"/>
          <w:lang w:val="en-US" w:eastAsia="zh-CN"/>
        </w:rPr>
        <w:fldChar w:fldCharType="begin"/>
      </w:r>
      <w:r>
        <w:rPr>
          <w:rFonts w:ascii="Arial" w:hAnsi="Arial" w:eastAsia="黑体" w:cs="Arial"/>
          <w:b w:val="0"/>
          <w:bCs/>
          <w:kern w:val="2"/>
          <w:sz w:val="24"/>
          <w:szCs w:val="24"/>
          <w:lang w:val="en-US" w:eastAsia="zh-CN"/>
        </w:rPr>
        <w:instrText xml:space="preserve"> HYPERLINK  \l "</w:instrText>
      </w:r>
      <w:r>
        <w:rPr>
          <w:rFonts w:hint="eastAsia" w:ascii="Arial" w:hAnsi="Arial" w:eastAsia="黑体" w:cs="Arial"/>
          <w:b w:val="0"/>
          <w:bCs/>
          <w:kern w:val="2"/>
          <w:sz w:val="24"/>
          <w:szCs w:val="24"/>
          <w:lang w:val="en-US" w:eastAsia="zh-CN"/>
        </w:rPr>
        <w:instrText xml:space="preserve">结果2</w:instrText>
      </w:r>
      <w:r>
        <w:rPr>
          <w:rFonts w:ascii="Arial" w:hAnsi="Arial" w:eastAsia="黑体" w:cs="Arial"/>
          <w:b w:val="0"/>
          <w:bCs/>
          <w:kern w:val="2"/>
          <w:sz w:val="24"/>
          <w:szCs w:val="24"/>
          <w:lang w:val="en-US" w:eastAsia="zh-CN"/>
        </w:rPr>
        <w:instrText xml:space="preserve">" </w:instrText>
      </w:r>
      <w:r>
        <w:rPr>
          <w:rFonts w:ascii="Arial" w:hAnsi="Arial" w:eastAsia="黑体" w:cs="Arial"/>
          <w:b w:val="0"/>
          <w:bCs/>
          <w:kern w:val="2"/>
          <w:sz w:val="24"/>
          <w:szCs w:val="24"/>
          <w:lang w:val="en-US" w:eastAsia="zh-CN"/>
        </w:rPr>
        <w:fldChar w:fldCharType="separate"/>
      </w:r>
      <w:r>
        <w:rPr>
          <w:rFonts w:hint="eastAsia" w:ascii="Arial" w:hAnsi="Arial" w:eastAsia="黑体"/>
          <w:b w:val="0"/>
          <w:bCs/>
          <w:sz w:val="24"/>
          <w:szCs w:val="24"/>
          <w:lang w:val="en-US" w:eastAsia="zh-CN"/>
        </w:rPr>
        <w:t>估价</w:t>
      </w:r>
      <w:r>
        <w:rPr>
          <w:rFonts w:ascii="Arial" w:hAnsi="Arial" w:eastAsia="黑体"/>
          <w:b w:val="0"/>
          <w:bCs/>
          <w:sz w:val="24"/>
          <w:szCs w:val="24"/>
          <w:lang w:val="en-US" w:eastAsia="zh-CN"/>
        </w:rPr>
        <w:t>结果</w:t>
      </w:r>
      <w:bookmarkEnd w:id="0"/>
      <w:r>
        <w:rPr>
          <w:rFonts w:ascii="Arial" w:hAnsi="Arial" w:eastAsia="黑体" w:cs="Arial"/>
          <w:b w:val="0"/>
          <w:bCs/>
          <w:kern w:val="2"/>
          <w:sz w:val="24"/>
          <w:szCs w:val="24"/>
          <w:lang w:val="en-US" w:eastAsia="zh-CN"/>
        </w:rPr>
        <w:fldChar w:fldCharType="end"/>
      </w:r>
      <w:r>
        <w:rPr>
          <w:rFonts w:ascii="Arial" w:hAnsi="Arial" w:eastAsia="黑体" w:cs="Arial"/>
          <w:b w:val="0"/>
          <w:bCs/>
          <w:kern w:val="2"/>
          <w:sz w:val="24"/>
          <w:szCs w:val="21"/>
          <w:lang w:val="en-US" w:eastAsia="zh-CN"/>
        </w:rPr>
        <w:t>：</w:t>
      </w:r>
      <w:r>
        <w:rPr>
          <w:rFonts w:hint="eastAsia" w:ascii="Arial" w:hAnsi="Arial" w:eastAsia="黑体" w:cs="Arial"/>
          <w:b w:val="0"/>
          <w:bCs/>
          <w:kern w:val="2"/>
          <w:sz w:val="24"/>
          <w:szCs w:val="21"/>
          <w:lang w:val="en-US" w:eastAsia="zh-CN"/>
        </w:rPr>
        <w:t>市场价值为人民币</w:t>
      </w:r>
      <w:r>
        <w:rPr>
          <w:rFonts w:hint="eastAsia" w:ascii="Arial" w:hAnsi="Arial" w:eastAsia="黑体" w:cs="Arial"/>
          <w:bCs/>
          <w:kern w:val="2"/>
          <w:sz w:val="24"/>
          <w:szCs w:val="21"/>
          <w:lang w:val="en-US" w:eastAsia="zh-CN"/>
        </w:rPr>
        <w:t>47,510,000元</w:t>
      </w:r>
      <w:r>
        <w:rPr>
          <w:rFonts w:hint="eastAsia" w:ascii="Arial" w:hAnsi="Arial" w:eastAsia="黑体" w:cs="Arial"/>
          <w:b w:val="0"/>
          <w:bCs/>
          <w:kern w:val="2"/>
          <w:sz w:val="24"/>
          <w:szCs w:val="21"/>
          <w:lang w:val="en-US" w:eastAsia="zh-CN"/>
        </w:rPr>
        <w:t>（人民币</w:t>
      </w:r>
      <w:r>
        <w:rPr>
          <w:rFonts w:hint="eastAsia" w:ascii="Arial" w:hAnsi="Arial" w:eastAsia="黑体" w:cs="Arial"/>
          <w:bCs/>
          <w:kern w:val="2"/>
          <w:sz w:val="24"/>
          <w:szCs w:val="21"/>
          <w:lang w:val="en-US" w:eastAsia="zh-CN"/>
        </w:rPr>
        <w:t>肆仟柒佰伍拾壹万元整</w:t>
      </w:r>
      <w:r>
        <w:rPr>
          <w:rFonts w:hint="eastAsia" w:ascii="Arial" w:hAnsi="Arial" w:eastAsia="黑体" w:cs="Arial"/>
          <w:b w:val="0"/>
          <w:bCs/>
          <w:kern w:val="2"/>
          <w:sz w:val="24"/>
          <w:szCs w:val="21"/>
          <w:lang w:val="en-US" w:eastAsia="zh-CN"/>
        </w:rPr>
        <w:t>），市场价值平均单价为人民币</w:t>
      </w:r>
      <w:r>
        <w:rPr>
          <w:rFonts w:hint="eastAsia" w:ascii="Arial" w:hAnsi="Arial" w:eastAsia="黑体" w:cs="Arial"/>
          <w:kern w:val="2"/>
          <w:sz w:val="24"/>
          <w:szCs w:val="21"/>
          <w:lang w:val="en-US" w:eastAsia="zh-CN"/>
        </w:rPr>
        <w:t>4,938元/平方米</w:t>
      </w:r>
      <w:r>
        <w:rPr>
          <w:rFonts w:hint="eastAsia" w:ascii="Arial" w:hAnsi="Arial" w:eastAsia="黑体" w:cs="Arial"/>
          <w:b w:val="0"/>
          <w:bCs/>
          <w:kern w:val="2"/>
          <w:sz w:val="24"/>
          <w:szCs w:val="21"/>
          <w:lang w:val="en-US" w:eastAsia="zh-CN"/>
        </w:rPr>
        <w:t>。详见下页明细表：</w:t>
      </w:r>
    </w:p>
    <w:p>
      <w:pPr>
        <w:pStyle w:val="39"/>
        <w:spacing w:line="300" w:lineRule="exact"/>
        <w:ind w:left="566" w:leftChars="246"/>
        <w:jc w:val="both"/>
        <w:rPr>
          <w:rFonts w:ascii="Arial" w:hAnsi="Arial" w:eastAsia="黑体" w:cs="Arial"/>
          <w:b w:val="0"/>
          <w:bCs/>
          <w:kern w:val="2"/>
          <w:sz w:val="18"/>
          <w:szCs w:val="18"/>
          <w:lang w:val="en-US" w:eastAsia="zh-CN"/>
        </w:rPr>
      </w:pPr>
    </w:p>
    <w:p>
      <w:pPr>
        <w:pStyle w:val="39"/>
        <w:spacing w:line="300" w:lineRule="exact"/>
        <w:ind w:left="566" w:leftChars="246"/>
        <w:jc w:val="both"/>
        <w:rPr>
          <w:rFonts w:ascii="Arial" w:hAnsi="Arial" w:eastAsia="黑体" w:cs="Arial"/>
          <w:b w:val="0"/>
          <w:sz w:val="24"/>
          <w:szCs w:val="21"/>
          <w:lang w:val="en-US" w:eastAsia="zh-CN"/>
        </w:rPr>
      </w:pPr>
      <w:r>
        <w:rPr>
          <w:rFonts w:hint="eastAsia" w:ascii="Arial" w:hAnsi="Arial" w:eastAsia="黑体" w:cs="Arial"/>
          <w:b w:val="0"/>
          <w:sz w:val="24"/>
          <w:szCs w:val="21"/>
          <w:lang w:val="en-US" w:eastAsia="zh-CN"/>
        </w:rPr>
        <w:t>本估价报告在房地产市场情况无较大波动时的有效使用期限为一年，自二〇二一年二月三日至二〇二二年二月二日，若市场情况有较大波动或超过一年时需重新进行估价。欲了解估价报告的全面情况，应认真阅读估价报告全文。</w:t>
      </w: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left="566" w:leftChars="246"/>
        <w:rPr>
          <w:rFonts w:ascii="Arial" w:hAnsi="Arial" w:eastAsia="黑体"/>
          <w:sz w:val="22"/>
          <w:szCs w:val="22"/>
          <w:lang w:eastAsia="zh-CN"/>
        </w:rPr>
      </w:pPr>
    </w:p>
    <w:p>
      <w:pPr>
        <w:spacing w:line="300" w:lineRule="exact"/>
        <w:ind w:right="460" w:rightChars="200"/>
        <w:jc w:val="right"/>
        <w:rPr>
          <w:rFonts w:ascii="Arial" w:hAnsi="Arial" w:eastAsia="黑体" w:cs="Arial"/>
          <w:b/>
          <w:bCs/>
          <w:kern w:val="2"/>
          <w:sz w:val="24"/>
          <w:szCs w:val="21"/>
          <w:lang w:eastAsia="zh-CN"/>
        </w:rPr>
      </w:pPr>
      <w:r>
        <w:rPr>
          <w:rFonts w:hint="eastAsia" w:ascii="Arial" w:hAnsi="Arial" w:eastAsia="黑体" w:cs="Arial"/>
          <w:b/>
          <w:bCs/>
          <w:kern w:val="2"/>
          <w:sz w:val="24"/>
          <w:szCs w:val="21"/>
          <w:lang w:eastAsia="zh-CN"/>
        </w:rPr>
        <w:t>二〇二一年二月三日</w:t>
      </w:r>
    </w:p>
    <w:p>
      <w:pPr>
        <w:pStyle w:val="39"/>
        <w:spacing w:after="156" w:afterLines="50"/>
        <w:ind w:left="566" w:leftChars="246"/>
        <w:rPr>
          <w:rFonts w:ascii="Arial" w:hAnsi="Arial" w:eastAsia="黑体" w:cs="Arial"/>
          <w:bCs/>
          <w:kern w:val="2"/>
          <w:sz w:val="21"/>
          <w:szCs w:val="18"/>
          <w:lang w:val="en-US" w:eastAsia="zh-CN"/>
        </w:rPr>
      </w:pPr>
    </w:p>
    <w:p>
      <w:pPr>
        <w:pStyle w:val="39"/>
        <w:spacing w:after="156" w:afterLines="50"/>
        <w:ind w:left="566" w:leftChars="246"/>
        <w:rPr>
          <w:rFonts w:ascii="Arial" w:hAnsi="Arial" w:eastAsia="黑体" w:cs="Arial"/>
          <w:bCs/>
          <w:kern w:val="2"/>
          <w:sz w:val="24"/>
          <w:szCs w:val="21"/>
          <w:lang w:val="en-US" w:eastAsia="zh-CN"/>
        </w:rPr>
      </w:pPr>
      <w:r>
        <w:rPr>
          <w:rFonts w:hint="eastAsia" w:ascii="Arial" w:hAnsi="Arial" w:eastAsia="黑体" w:cs="Arial"/>
          <w:bCs/>
          <w:kern w:val="2"/>
          <w:sz w:val="24"/>
          <w:szCs w:val="21"/>
          <w:lang w:val="en-US" w:eastAsia="zh-CN"/>
        </w:rPr>
        <w:t>评估</w:t>
      </w:r>
      <w:r>
        <w:rPr>
          <w:rFonts w:ascii="Arial" w:hAnsi="Arial" w:eastAsia="黑体" w:cs="Arial"/>
          <w:bCs/>
          <w:kern w:val="2"/>
          <w:sz w:val="24"/>
          <w:szCs w:val="21"/>
          <w:lang w:val="en-US" w:eastAsia="zh-CN"/>
        </w:rPr>
        <w:t>结果明细表</w:t>
      </w:r>
    </w:p>
    <w:p>
      <w:pPr>
        <w:pStyle w:val="39"/>
        <w:ind w:right="115" w:rightChars="50" w:firstLine="7840" w:firstLineChars="4900"/>
        <w:jc w:val="left"/>
        <w:rPr>
          <w:rFonts w:ascii="Arial" w:hAnsi="Arial" w:eastAsia="黑体" w:cs="Arial"/>
          <w:b w:val="0"/>
          <w:bCs/>
          <w:kern w:val="2"/>
          <w:sz w:val="16"/>
          <w:szCs w:val="18"/>
          <w:lang w:val="en-US" w:eastAsia="zh-CN"/>
        </w:rPr>
      </w:pPr>
      <w:r>
        <w:rPr>
          <w:rFonts w:hint="eastAsia" w:ascii="Arial" w:hAnsi="Arial" w:eastAsia="黑体" w:cs="Arial"/>
          <w:b w:val="0"/>
          <w:bCs/>
          <w:kern w:val="2"/>
          <w:sz w:val="16"/>
          <w:szCs w:val="18"/>
          <w:lang w:val="en-US" w:eastAsia="zh-CN"/>
        </w:rPr>
        <w:t>币种</w:t>
      </w:r>
      <w:r>
        <w:rPr>
          <w:rFonts w:ascii="Arial" w:hAnsi="Arial" w:eastAsia="黑体" w:cs="Arial"/>
          <w:b w:val="0"/>
          <w:bCs/>
          <w:kern w:val="2"/>
          <w:sz w:val="16"/>
          <w:szCs w:val="18"/>
          <w:lang w:val="en-US" w:eastAsia="zh-CN"/>
        </w:rPr>
        <w:t>：人民币</w:t>
      </w:r>
    </w:p>
    <w:tbl>
      <w:tblPr>
        <w:tblStyle w:val="41"/>
        <w:tblW w:w="0" w:type="auto"/>
        <w:tblInd w:w="0" w:type="dxa"/>
        <w:tblLayout w:type="autofit"/>
        <w:tblCellMar>
          <w:top w:w="0" w:type="dxa"/>
          <w:left w:w="108" w:type="dxa"/>
          <w:bottom w:w="0" w:type="dxa"/>
          <w:right w:w="108" w:type="dxa"/>
        </w:tblCellMar>
      </w:tblPr>
      <w:tblGrid>
        <w:gridCol w:w="381"/>
        <w:gridCol w:w="1031"/>
        <w:gridCol w:w="1416"/>
        <w:gridCol w:w="568"/>
        <w:gridCol w:w="568"/>
        <w:gridCol w:w="993"/>
        <w:gridCol w:w="1134"/>
        <w:gridCol w:w="993"/>
        <w:gridCol w:w="929"/>
        <w:gridCol w:w="1023"/>
      </w:tblGrid>
      <w:tr>
        <w:tblPrEx>
          <w:tblCellMar>
            <w:top w:w="0" w:type="dxa"/>
            <w:left w:w="108" w:type="dxa"/>
            <w:bottom w:w="0" w:type="dxa"/>
            <w:right w:w="108" w:type="dxa"/>
          </w:tblCellMar>
        </w:tblPrEx>
        <w:trPr>
          <w:trHeight w:val="439" w:hRule="atLeast"/>
        </w:trPr>
        <w:tc>
          <w:tcPr>
            <w:tcW w:w="381"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序号</w:t>
            </w:r>
          </w:p>
        </w:tc>
        <w:tc>
          <w:tcPr>
            <w:tcW w:w="1031" w:type="dxa"/>
            <w:vMerge w:val="restar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物业地址</w:t>
            </w:r>
          </w:p>
        </w:tc>
        <w:tc>
          <w:tcPr>
            <w:tcW w:w="1416" w:type="dxa"/>
            <w:vMerge w:val="restar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房产证号</w:t>
            </w:r>
          </w:p>
        </w:tc>
        <w:tc>
          <w:tcPr>
            <w:tcW w:w="568"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权属人</w:t>
            </w:r>
          </w:p>
        </w:tc>
        <w:tc>
          <w:tcPr>
            <w:tcW w:w="568"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规划</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用途</w:t>
            </w:r>
          </w:p>
        </w:tc>
        <w:tc>
          <w:tcPr>
            <w:tcW w:w="993"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建筑结构</w:t>
            </w:r>
          </w:p>
        </w:tc>
        <w:tc>
          <w:tcPr>
            <w:tcW w:w="1134"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土地使用权</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面积</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（m²）</w:t>
            </w:r>
          </w:p>
        </w:tc>
        <w:tc>
          <w:tcPr>
            <w:tcW w:w="993"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建筑面积 (㎡)</w:t>
            </w:r>
          </w:p>
        </w:tc>
        <w:tc>
          <w:tcPr>
            <w:tcW w:w="929"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市场价值</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单价</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（元/㎡）</w:t>
            </w:r>
          </w:p>
        </w:tc>
        <w:tc>
          <w:tcPr>
            <w:tcW w:w="0" w:type="auto"/>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市场价值</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（元）</w:t>
            </w:r>
          </w:p>
        </w:tc>
      </w:tr>
      <w:tr>
        <w:tblPrEx>
          <w:tblCellMar>
            <w:top w:w="0" w:type="dxa"/>
            <w:left w:w="108" w:type="dxa"/>
            <w:bottom w:w="0" w:type="dxa"/>
            <w:right w:w="108" w:type="dxa"/>
          </w:tblCellMar>
        </w:tblPrEx>
        <w:trPr>
          <w:trHeight w:val="439" w:hRule="atLeast"/>
        </w:trPr>
        <w:tc>
          <w:tcPr>
            <w:tcW w:w="38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03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416"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134"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29"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0" w:type="auto"/>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r>
      <w:tr>
        <w:tblPrEx>
          <w:tblCellMar>
            <w:top w:w="0" w:type="dxa"/>
            <w:left w:w="108" w:type="dxa"/>
            <w:bottom w:w="0" w:type="dxa"/>
            <w:right w:w="108" w:type="dxa"/>
          </w:tblCellMar>
        </w:tblPrEx>
        <w:trPr>
          <w:trHeight w:val="660" w:hRule="atLeast"/>
        </w:trPr>
        <w:tc>
          <w:tcPr>
            <w:tcW w:w="38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03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416"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134"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29"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0" w:type="auto"/>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bookmarkStart w:id="1" w:name="RANGE!C8:C16"/>
            <w:r>
              <w:rPr>
                <w:rFonts w:hint="eastAsia" w:ascii="Noto Sans S Chinese Regular" w:hAnsi="Noto Sans S Chinese Regular" w:eastAsia="Noto Sans S Chinese Regular" w:cs="Calibri"/>
                <w:sz w:val="16"/>
                <w:szCs w:val="16"/>
                <w:lang w:eastAsia="zh-CN"/>
              </w:rPr>
              <w:t>中山市东凤镇南安路</w:t>
            </w:r>
            <w:bookmarkEnd w:id="1"/>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C6713316</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947.40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2,552.68</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4,939</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12,610,000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C6713317</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6层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520.00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1,638.36</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5,339</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8,750,000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3</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粤房地字证第0111001033号</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567.00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2,183.71</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4,933</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10,770,000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粤房地字证第0111001045号</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1,251.80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3,246.45</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4,737</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15,380,000</w:t>
            </w:r>
          </w:p>
        </w:tc>
      </w:tr>
      <w:tr>
        <w:tblPrEx>
          <w:tblCellMar>
            <w:top w:w="0" w:type="dxa"/>
            <w:left w:w="108" w:type="dxa"/>
            <w:bottom w:w="0" w:type="dxa"/>
            <w:right w:w="108" w:type="dxa"/>
          </w:tblCellMar>
        </w:tblPrEx>
        <w:trPr>
          <w:trHeight w:val="615" w:hRule="atLeast"/>
        </w:trPr>
        <w:tc>
          <w:tcPr>
            <w:tcW w:w="4957" w:type="dxa"/>
            <w:gridSpan w:val="6"/>
            <w:tcBorders>
              <w:top w:val="nil"/>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合  计</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3,286.20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9,621.20</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4,938</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47,510,000</w:t>
            </w:r>
          </w:p>
        </w:tc>
      </w:tr>
    </w:tbl>
    <w:p>
      <w:pPr>
        <w:pStyle w:val="39"/>
        <w:spacing w:line="300" w:lineRule="exact"/>
        <w:jc w:val="both"/>
        <w:rPr>
          <w:rFonts w:ascii="黑体" w:hAnsi="黑体" w:eastAsia="黑体" w:cs="Arial"/>
          <w:b w:val="0"/>
          <w:bCs/>
          <w:kern w:val="2"/>
          <w:sz w:val="18"/>
          <w:szCs w:val="18"/>
          <w:lang w:val="en-US" w:eastAsia="zh-CN"/>
        </w:rPr>
      </w:pPr>
      <w:r>
        <w:rPr>
          <w:rFonts w:hint="eastAsia" w:ascii="黑体" w:hAnsi="黑体" w:eastAsia="黑体" w:cs="Arial"/>
          <w:b w:val="0"/>
          <w:bCs/>
          <w:kern w:val="2"/>
          <w:sz w:val="18"/>
          <w:szCs w:val="18"/>
          <w:lang w:val="en-US" w:eastAsia="zh-CN"/>
        </w:rPr>
        <w:t>备注： 市场价值已取整至万位。</w:t>
      </w:r>
    </w:p>
    <w:p>
      <w:pPr>
        <w:pStyle w:val="39"/>
        <w:spacing w:line="300" w:lineRule="exact"/>
        <w:ind w:left="710" w:leftChars="-387" w:hanging="1600" w:hangingChars="800"/>
        <w:jc w:val="both"/>
        <w:rPr>
          <w:rFonts w:ascii="黑体" w:hAnsi="黑体" w:eastAsia="黑体" w:cs="Arial"/>
          <w:b w:val="0"/>
          <w:bCs/>
          <w:kern w:val="2"/>
          <w:lang w:val="en-US" w:eastAsia="zh-CN"/>
        </w:rPr>
      </w:pPr>
      <w:r>
        <w:rPr>
          <w:rFonts w:ascii="黑体" w:hAnsi="黑体" w:eastAsia="黑体" w:cs="Arial"/>
          <w:b w:val="0"/>
          <w:bCs/>
          <w:kern w:val="2"/>
          <w:lang w:val="en-US" w:eastAsia="zh-CN"/>
        </w:rPr>
        <w:t xml:space="preserve">                </w:t>
      </w:r>
    </w:p>
    <w:p>
      <w:pPr>
        <w:pStyle w:val="39"/>
        <w:spacing w:line="300" w:lineRule="exact"/>
        <w:ind w:left="1280" w:hanging="1280" w:hangingChars="800"/>
        <w:jc w:val="both"/>
        <w:rPr>
          <w:rFonts w:ascii="黑体" w:hAnsi="黑体" w:eastAsia="黑体" w:cs="Arial"/>
          <w:b w:val="0"/>
          <w:bCs/>
          <w:kern w:val="2"/>
          <w:sz w:val="16"/>
          <w:szCs w:val="16"/>
          <w:lang w:val="en-US" w:eastAsia="zh-CN"/>
        </w:rPr>
      </w:pPr>
      <w:r>
        <w:rPr>
          <w:rFonts w:hint="eastAsia" w:ascii="黑体" w:hAnsi="黑体" w:eastAsia="黑体" w:cs="Arial"/>
          <w:b w:val="0"/>
          <w:bCs/>
          <w:kern w:val="2"/>
          <w:sz w:val="16"/>
          <w:szCs w:val="16"/>
          <w:lang w:val="en-US" w:eastAsia="zh-CN"/>
        </w:rPr>
        <w:t xml:space="preserve"> </w:t>
      </w:r>
      <w:r>
        <w:rPr>
          <w:rFonts w:ascii="黑体" w:hAnsi="黑体" w:eastAsia="黑体" w:cs="Arial"/>
          <w:b w:val="0"/>
          <w:bCs/>
          <w:kern w:val="2"/>
          <w:sz w:val="16"/>
          <w:szCs w:val="16"/>
          <w:lang w:val="en-US" w:eastAsia="zh-CN"/>
        </w:rPr>
        <w:t xml:space="preserve">      </w:t>
      </w: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pPr>
    </w:p>
    <w:p>
      <w:pPr>
        <w:spacing w:line="300" w:lineRule="exact"/>
        <w:rPr>
          <w:rFonts w:ascii="Arial" w:hAnsi="Arial" w:eastAsia="黑体"/>
          <w:lang w:eastAsia="zh-CN"/>
        </w:rPr>
        <w:sectPr>
          <w:headerReference r:id="rId9" w:type="first"/>
          <w:footerReference r:id="rId10" w:type="first"/>
          <w:headerReference r:id="rId7" w:type="default"/>
          <w:headerReference r:id="rId8" w:type="even"/>
          <w:pgSz w:w="11907" w:h="16840"/>
          <w:pgMar w:top="2608" w:right="1418" w:bottom="567" w:left="1418" w:header="1134" w:footer="170" w:gutter="0"/>
          <w:pgNumType w:start="1"/>
          <w:cols w:space="720" w:num="1"/>
          <w:titlePg/>
          <w:docGrid w:type="lines" w:linePitch="313" w:charSpace="0"/>
        </w:sectPr>
      </w:pPr>
    </w:p>
    <w:tbl>
      <w:tblPr>
        <w:tblStyle w:val="42"/>
        <w:tblW w:w="90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jc w:val="center"/>
        </w:trPr>
        <w:tc>
          <w:tcPr>
            <w:tcW w:w="9072" w:type="dxa"/>
          </w:tcPr>
          <w:p>
            <w:pPr>
              <w:adjustRightInd/>
              <w:spacing w:line="240" w:lineRule="auto"/>
              <w:jc w:val="center"/>
              <w:rPr>
                <w:rFonts w:ascii="Arial" w:hAnsi="Arial" w:eastAsia="黑体" w:cs="Arial"/>
                <w:b/>
                <w:sz w:val="24"/>
                <w:szCs w:val="24"/>
              </w:rPr>
            </w:pPr>
            <w:r>
              <w:rPr>
                <w:rFonts w:ascii="Arial" w:hAnsi="Arial" w:eastAsia="黑体" w:cs="Arial"/>
                <w:b/>
                <w:sz w:val="28"/>
                <w:szCs w:val="24"/>
                <w:lang w:eastAsia="zh-CN"/>
              </w:rPr>
              <w:t>目录</w:t>
            </w:r>
          </w:p>
          <w:p>
            <w:pPr>
              <w:adjustRightInd/>
              <w:spacing w:line="240" w:lineRule="auto"/>
              <w:jc w:val="both"/>
              <w:rPr>
                <w:rFonts w:ascii="Arial" w:hAnsi="Arial" w:eastAsia="黑体" w:cs="Arial"/>
                <w:sz w:val="22"/>
              </w:rPr>
            </w:pPr>
          </w:p>
          <w:p>
            <w:pPr>
              <w:tabs>
                <w:tab w:val="right" w:pos="7981"/>
              </w:tabs>
              <w:adjustRightInd/>
              <w:spacing w:line="240" w:lineRule="auto"/>
              <w:jc w:val="both"/>
              <w:rPr>
                <w:rFonts w:ascii="Arial" w:hAnsi="Arial" w:eastAsia="黑体" w:cs="Arial"/>
                <w:b/>
                <w:sz w:val="22"/>
                <w:u w:val="single"/>
                <w:lang w:eastAsia="zh-CN"/>
              </w:rPr>
            </w:pPr>
            <w:r>
              <w:rPr>
                <w:rFonts w:ascii="Arial" w:hAnsi="Arial" w:eastAsia="黑体" w:cs="Arial"/>
                <w:b/>
                <w:sz w:val="22"/>
                <w:lang w:eastAsia="zh-CN"/>
              </w:rPr>
              <w:tab/>
            </w:r>
            <w:r>
              <w:rPr>
                <w:rFonts w:ascii="Arial" w:hAnsi="Arial" w:eastAsia="黑体" w:cs="Arial"/>
                <w:b/>
                <w:sz w:val="22"/>
                <w:u w:val="single"/>
                <w:lang w:eastAsia="zh-CN"/>
              </w:rPr>
              <w:t>页码</w:t>
            </w:r>
          </w:p>
          <w:p>
            <w:pPr>
              <w:adjustRightInd/>
              <w:spacing w:line="240" w:lineRule="auto"/>
              <w:jc w:val="both"/>
              <w:rPr>
                <w:rFonts w:ascii="Arial" w:hAnsi="Arial" w:eastAsia="黑体"/>
                <w:sz w:val="22"/>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7" w:hRule="atLeast"/>
          <w:jc w:val="center"/>
        </w:trPr>
        <w:tc>
          <w:tcPr>
            <w:tcW w:w="9072" w:type="dxa"/>
          </w:tcPr>
          <w:p>
            <w:pPr>
              <w:pStyle w:val="30"/>
              <w:rPr>
                <w:rFonts w:asciiTheme="minorHAnsi" w:hAnsiTheme="minorHAnsi" w:eastAsiaTheme="minorEastAsia" w:cstheme="minorBidi"/>
                <w:b w:val="0"/>
                <w:bCs w:val="0"/>
                <w:kern w:val="2"/>
                <w:sz w:val="21"/>
                <w:szCs w:val="22"/>
              </w:rPr>
            </w:pPr>
            <w:r>
              <w:rPr>
                <w:rFonts w:ascii="Arial" w:hAnsi="Arial" w:eastAsia="黑体"/>
              </w:rPr>
              <w:fldChar w:fldCharType="begin"/>
            </w:r>
            <w:r>
              <w:rPr>
                <w:rFonts w:ascii="Arial" w:hAnsi="Arial" w:eastAsia="黑体"/>
              </w:rPr>
              <w:instrText xml:space="preserve"> TOC \o "1-3" \h \z \u </w:instrText>
            </w:r>
            <w:r>
              <w:rPr>
                <w:rFonts w:ascii="Arial" w:hAnsi="Arial" w:eastAsia="黑体"/>
              </w:rPr>
              <w:fldChar w:fldCharType="separate"/>
            </w:r>
            <w:r>
              <w:fldChar w:fldCharType="begin"/>
            </w:r>
            <w:r>
              <w:instrText xml:space="preserve"> HYPERLINK \l "_Toc30084702" </w:instrText>
            </w:r>
            <w:r>
              <w:fldChar w:fldCharType="separate"/>
            </w:r>
            <w:r>
              <w:rPr>
                <w:rStyle w:val="52"/>
                <w:rFonts w:ascii="Arial" w:hAnsi="Arial" w:eastAsia="黑体" w:cs="Arial"/>
              </w:rPr>
              <w:t>1</w:t>
            </w:r>
            <w:r>
              <w:rPr>
                <w:rFonts w:asciiTheme="minorHAnsi" w:hAnsiTheme="minorHAnsi" w:eastAsiaTheme="minorEastAsia" w:cstheme="minorBidi"/>
                <w:b w:val="0"/>
                <w:bCs w:val="0"/>
                <w:kern w:val="2"/>
                <w:sz w:val="21"/>
                <w:szCs w:val="22"/>
              </w:rPr>
              <w:tab/>
            </w:r>
            <w:r>
              <w:rPr>
                <w:rStyle w:val="52"/>
                <w:rFonts w:ascii="Arial" w:hAnsi="Arial" w:eastAsia="黑体" w:cs="Arial"/>
              </w:rPr>
              <w:t>估价师声明</w:t>
            </w:r>
            <w:r>
              <w:tab/>
            </w:r>
            <w:r>
              <w:fldChar w:fldCharType="begin"/>
            </w:r>
            <w:r>
              <w:instrText xml:space="preserve"> PAGEREF _Toc30084702 \h </w:instrText>
            </w:r>
            <w:r>
              <w:fldChar w:fldCharType="separate"/>
            </w:r>
            <w:r>
              <w:t>1</w:t>
            </w:r>
            <w:r>
              <w:fldChar w:fldCharType="end"/>
            </w:r>
            <w:r>
              <w:fldChar w:fldCharType="end"/>
            </w:r>
          </w:p>
          <w:p>
            <w:pPr>
              <w:pStyle w:val="30"/>
              <w:rPr>
                <w:rFonts w:asciiTheme="minorHAnsi" w:hAnsiTheme="minorHAnsi" w:eastAsiaTheme="minorEastAsia" w:cstheme="minorBidi"/>
                <w:b w:val="0"/>
                <w:bCs w:val="0"/>
                <w:kern w:val="2"/>
                <w:sz w:val="21"/>
                <w:szCs w:val="22"/>
              </w:rPr>
            </w:pPr>
            <w:r>
              <w:fldChar w:fldCharType="begin"/>
            </w:r>
            <w:r>
              <w:instrText xml:space="preserve"> HYPERLINK \l "_Toc30084703" </w:instrText>
            </w:r>
            <w:r>
              <w:fldChar w:fldCharType="separate"/>
            </w:r>
            <w:r>
              <w:rPr>
                <w:rStyle w:val="52"/>
                <w:rFonts w:ascii="Arial" w:hAnsi="Arial" w:eastAsia="黑体" w:cs="Arial"/>
              </w:rPr>
              <w:t>2</w:t>
            </w:r>
            <w:r>
              <w:rPr>
                <w:rFonts w:asciiTheme="minorHAnsi" w:hAnsiTheme="minorHAnsi" w:eastAsiaTheme="minorEastAsia" w:cstheme="minorBidi"/>
                <w:b w:val="0"/>
                <w:bCs w:val="0"/>
                <w:kern w:val="2"/>
                <w:sz w:val="21"/>
                <w:szCs w:val="22"/>
              </w:rPr>
              <w:tab/>
            </w:r>
            <w:r>
              <w:rPr>
                <w:rStyle w:val="52"/>
                <w:rFonts w:ascii="Arial" w:hAnsi="Arial" w:eastAsia="黑体" w:cs="Arial"/>
              </w:rPr>
              <w:t>估价假设和限制条件</w:t>
            </w:r>
            <w:r>
              <w:tab/>
            </w:r>
            <w:r>
              <w:fldChar w:fldCharType="begin"/>
            </w:r>
            <w:r>
              <w:instrText xml:space="preserve"> PAGEREF _Toc30084703 \h </w:instrText>
            </w:r>
            <w:r>
              <w:fldChar w:fldCharType="separate"/>
            </w:r>
            <w:r>
              <w:t>2</w:t>
            </w:r>
            <w:r>
              <w:fldChar w:fldCharType="end"/>
            </w:r>
            <w:r>
              <w:fldChar w:fldCharType="end"/>
            </w:r>
          </w:p>
          <w:p>
            <w:pPr>
              <w:pStyle w:val="30"/>
              <w:rPr>
                <w:rFonts w:asciiTheme="minorHAnsi" w:hAnsiTheme="minorHAnsi" w:eastAsiaTheme="minorEastAsia" w:cstheme="minorBidi"/>
                <w:b w:val="0"/>
                <w:bCs w:val="0"/>
                <w:kern w:val="2"/>
                <w:sz w:val="21"/>
                <w:szCs w:val="22"/>
              </w:rPr>
            </w:pPr>
            <w:r>
              <w:fldChar w:fldCharType="begin"/>
            </w:r>
            <w:r>
              <w:instrText xml:space="preserve"> HYPERLINK \l "_Toc30084704" </w:instrText>
            </w:r>
            <w:r>
              <w:fldChar w:fldCharType="separate"/>
            </w:r>
            <w:r>
              <w:rPr>
                <w:rStyle w:val="52"/>
                <w:rFonts w:ascii="Arial" w:hAnsi="Arial" w:eastAsia="黑体" w:cs="Arial"/>
              </w:rPr>
              <w:t>3</w:t>
            </w:r>
            <w:r>
              <w:rPr>
                <w:rFonts w:asciiTheme="minorHAnsi" w:hAnsiTheme="minorHAnsi" w:eastAsiaTheme="minorEastAsia" w:cstheme="minorBidi"/>
                <w:b w:val="0"/>
                <w:bCs w:val="0"/>
                <w:kern w:val="2"/>
                <w:sz w:val="21"/>
                <w:szCs w:val="22"/>
              </w:rPr>
              <w:tab/>
            </w:r>
            <w:r>
              <w:rPr>
                <w:rStyle w:val="52"/>
                <w:rFonts w:ascii="Arial" w:hAnsi="Arial" w:eastAsia="黑体" w:cs="Arial"/>
              </w:rPr>
              <w:t>估价结果报告</w:t>
            </w:r>
            <w:r>
              <w:tab/>
            </w:r>
            <w:r>
              <w:fldChar w:fldCharType="begin"/>
            </w:r>
            <w:r>
              <w:instrText xml:space="preserve"> PAGEREF _Toc30084704 \h </w:instrText>
            </w:r>
            <w:r>
              <w:fldChar w:fldCharType="separate"/>
            </w:r>
            <w:r>
              <w:t>5</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"_Toc30084705" </w:instrText>
            </w:r>
            <w:r>
              <w:fldChar w:fldCharType="separate"/>
            </w:r>
            <w:r>
              <w:rPr>
                <w:rStyle w:val="52"/>
                <w:rFonts w:ascii="Arial" w:hAnsi="Arial" w:eastAsia="黑体" w:cs="Arial"/>
                <w:bCs/>
                <w:lang w:eastAsia="zh-CN"/>
              </w:rPr>
              <w:t>3.1</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估价委托人</w:t>
            </w:r>
            <w:r>
              <w:tab/>
            </w:r>
            <w:r>
              <w:fldChar w:fldCharType="begin"/>
            </w:r>
            <w:r>
              <w:instrText xml:space="preserve"> PAGEREF _Toc30084705 \h </w:instrText>
            </w:r>
            <w:r>
              <w:fldChar w:fldCharType="separate"/>
            </w:r>
            <w:r>
              <w:t>5</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"_Toc30084706" </w:instrText>
            </w:r>
            <w:r>
              <w:fldChar w:fldCharType="separate"/>
            </w:r>
            <w:r>
              <w:rPr>
                <w:rStyle w:val="52"/>
                <w:rFonts w:ascii="Arial" w:hAnsi="Arial" w:eastAsia="黑体" w:cs="Arial"/>
                <w:bCs/>
                <w:lang w:eastAsia="zh-CN"/>
              </w:rPr>
              <w:t>3.2</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房地产估价机构</w:t>
            </w:r>
            <w:r>
              <w:tab/>
            </w:r>
            <w:r>
              <w:fldChar w:fldCharType="begin"/>
            </w:r>
            <w:r>
              <w:instrText xml:space="preserve"> PAGEREF _Toc30084706 \h </w:instrText>
            </w:r>
            <w:r>
              <w:fldChar w:fldCharType="separate"/>
            </w:r>
            <w:r>
              <w:t>5</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"_Toc30084707" </w:instrText>
            </w:r>
            <w:r>
              <w:fldChar w:fldCharType="separate"/>
            </w:r>
            <w:r>
              <w:rPr>
                <w:rStyle w:val="52"/>
                <w:rFonts w:ascii="Arial" w:hAnsi="Arial" w:eastAsia="黑体" w:cs="Arial"/>
                <w:bCs/>
                <w:lang w:eastAsia="zh-CN"/>
              </w:rPr>
              <w:t>3.3</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估价目的</w:t>
            </w:r>
            <w:r>
              <w:tab/>
            </w:r>
            <w:r>
              <w:fldChar w:fldCharType="begin"/>
            </w:r>
            <w:r>
              <w:instrText xml:space="preserve"> PAGEREF _Toc30084707 \h </w:instrText>
            </w:r>
            <w:r>
              <w:fldChar w:fldCharType="separate"/>
            </w:r>
            <w:r>
              <w:t>5</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"_Toc30084708" </w:instrText>
            </w:r>
            <w:r>
              <w:fldChar w:fldCharType="separate"/>
            </w:r>
            <w:r>
              <w:rPr>
                <w:rStyle w:val="52"/>
                <w:rFonts w:ascii="Arial" w:hAnsi="Arial" w:eastAsia="黑体" w:cs="Arial"/>
                <w:bCs/>
                <w:lang w:eastAsia="zh-CN"/>
              </w:rPr>
              <w:t>3.4</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估价对象</w:t>
            </w:r>
            <w:r>
              <w:tab/>
            </w:r>
            <w:r>
              <w:fldChar w:fldCharType="begin"/>
            </w:r>
            <w:r>
              <w:instrText xml:space="preserve"> PAGEREF _Toc30084708 \h </w:instrText>
            </w:r>
            <w:r>
              <w:fldChar w:fldCharType="separate"/>
            </w:r>
            <w:r>
              <w:t>5</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"_Toc30084709" </w:instrText>
            </w:r>
            <w:r>
              <w:fldChar w:fldCharType="separate"/>
            </w:r>
            <w:r>
              <w:rPr>
                <w:rStyle w:val="52"/>
                <w:rFonts w:ascii="Arial" w:hAnsi="Arial" w:eastAsia="黑体" w:cs="Arial"/>
                <w:bCs/>
                <w:lang w:eastAsia="zh-CN"/>
              </w:rPr>
              <w:t>3.5</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价值时点</w:t>
            </w:r>
            <w:r>
              <w:tab/>
            </w:r>
            <w:r>
              <w:fldChar w:fldCharType="end"/>
            </w:r>
            <w:r>
              <w:t>13</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"_Toc30084710" </w:instrText>
            </w:r>
            <w:r>
              <w:fldChar w:fldCharType="separate"/>
            </w:r>
            <w:r>
              <w:rPr>
                <w:rStyle w:val="52"/>
                <w:rFonts w:ascii="Arial" w:hAnsi="Arial" w:eastAsia="黑体" w:cs="Arial"/>
                <w:bCs/>
                <w:lang w:eastAsia="zh-CN"/>
              </w:rPr>
              <w:t>3.6</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价值类型</w:t>
            </w:r>
            <w:r>
              <w:tab/>
            </w:r>
            <w:r>
              <w:fldChar w:fldCharType="end"/>
            </w:r>
            <w:r>
              <w:t>14</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"_Toc30084711" </w:instrText>
            </w:r>
            <w:r>
              <w:fldChar w:fldCharType="separate"/>
            </w:r>
            <w:r>
              <w:rPr>
                <w:rStyle w:val="52"/>
                <w:rFonts w:ascii="Arial" w:hAnsi="Arial" w:eastAsia="黑体" w:cs="Arial"/>
                <w:bCs/>
                <w:lang w:eastAsia="zh-CN"/>
              </w:rPr>
              <w:t>3.7</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估价原则</w:t>
            </w:r>
            <w:r>
              <w:tab/>
            </w:r>
            <w:r>
              <w:fldChar w:fldCharType="end"/>
            </w:r>
            <w:r>
              <w:t>14</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"_Toc30084712" </w:instrText>
            </w:r>
            <w:r>
              <w:fldChar w:fldCharType="separate"/>
            </w:r>
            <w:r>
              <w:rPr>
                <w:rStyle w:val="52"/>
                <w:rFonts w:ascii="Arial" w:hAnsi="Arial" w:eastAsia="黑体" w:cs="Arial"/>
                <w:bCs/>
                <w:lang w:eastAsia="zh-CN"/>
              </w:rPr>
              <w:t>3.8</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估价依据</w:t>
            </w:r>
            <w:r>
              <w:tab/>
            </w:r>
            <w:r>
              <w:fldChar w:fldCharType="begin"/>
            </w:r>
            <w:r>
              <w:instrText xml:space="preserve"> PAGEREF _Toc30084712 \h </w:instrText>
            </w:r>
            <w:r>
              <w:fldChar w:fldCharType="separate"/>
            </w:r>
            <w:r>
              <w:t>16</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"_Toc30084713" </w:instrText>
            </w:r>
            <w:r>
              <w:fldChar w:fldCharType="separate"/>
            </w:r>
            <w:r>
              <w:rPr>
                <w:rStyle w:val="52"/>
                <w:rFonts w:ascii="Arial" w:hAnsi="Arial" w:eastAsia="黑体" w:cs="Arial"/>
                <w:bCs/>
                <w:lang w:eastAsia="zh-CN"/>
              </w:rPr>
              <w:t>3.9</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估价方法</w:t>
            </w:r>
            <w:r>
              <w:tab/>
            </w:r>
            <w:r>
              <w:fldChar w:fldCharType="begin"/>
            </w:r>
            <w:r>
              <w:instrText xml:space="preserve"> PAGEREF _Toc30084713 \h </w:instrText>
            </w:r>
            <w:r>
              <w:fldChar w:fldCharType="separate"/>
            </w:r>
            <w:r>
              <w:t>16</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"_Toc30084714" </w:instrText>
            </w:r>
            <w:r>
              <w:fldChar w:fldCharType="separate"/>
            </w:r>
            <w:r>
              <w:rPr>
                <w:rStyle w:val="52"/>
                <w:rFonts w:ascii="Arial" w:hAnsi="Arial" w:eastAsia="黑体" w:cs="Arial"/>
                <w:bCs/>
                <w:lang w:eastAsia="zh-CN"/>
              </w:rPr>
              <w:t>3.10</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估价结果</w:t>
            </w:r>
            <w:r>
              <w:tab/>
            </w:r>
            <w:r>
              <w:fldChar w:fldCharType="begin"/>
            </w:r>
            <w:r>
              <w:instrText xml:space="preserve"> PAGEREF _Toc30084714 \h </w:instrText>
            </w:r>
            <w:r>
              <w:fldChar w:fldCharType="separate"/>
            </w:r>
            <w:r>
              <w:t>17</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"_Toc30084715" </w:instrText>
            </w:r>
            <w:r>
              <w:fldChar w:fldCharType="separate"/>
            </w:r>
            <w:r>
              <w:rPr>
                <w:rStyle w:val="52"/>
                <w:rFonts w:ascii="Arial" w:hAnsi="Arial" w:eastAsia="黑体" w:cs="Arial"/>
                <w:bCs/>
                <w:lang w:eastAsia="zh-CN"/>
              </w:rPr>
              <w:t>3.11</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注册房地产估价师</w:t>
            </w:r>
            <w:r>
              <w:tab/>
            </w:r>
            <w:r>
              <w:fldChar w:fldCharType="begin"/>
            </w:r>
            <w:r>
              <w:instrText xml:space="preserve"> PAGEREF _Toc30084715 \h </w:instrText>
            </w:r>
            <w:r>
              <w:fldChar w:fldCharType="separate"/>
            </w:r>
            <w:r>
              <w:t>18</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"_Toc30084716" </w:instrText>
            </w:r>
            <w:r>
              <w:fldChar w:fldCharType="separate"/>
            </w:r>
            <w:r>
              <w:rPr>
                <w:rStyle w:val="52"/>
                <w:rFonts w:ascii="Arial" w:hAnsi="Arial" w:eastAsia="黑体" w:cs="Arial"/>
                <w:bCs/>
                <w:lang w:eastAsia="zh-CN"/>
              </w:rPr>
              <w:t>3.12</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实地查勘期</w:t>
            </w:r>
            <w:r>
              <w:tab/>
            </w:r>
            <w:r>
              <w:fldChar w:fldCharType="begin"/>
            </w:r>
            <w:r>
              <w:instrText xml:space="preserve"> PAGEREF _Toc30084716 \h </w:instrText>
            </w:r>
            <w:r>
              <w:fldChar w:fldCharType="separate"/>
            </w:r>
            <w:r>
              <w:t>18</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"_Toc30084717" </w:instrText>
            </w:r>
            <w:r>
              <w:fldChar w:fldCharType="separate"/>
            </w:r>
            <w:r>
              <w:rPr>
                <w:rStyle w:val="52"/>
                <w:rFonts w:ascii="Arial" w:hAnsi="Arial" w:eastAsia="黑体" w:cs="Arial"/>
                <w:bCs/>
                <w:lang w:eastAsia="zh-CN"/>
              </w:rPr>
              <w:t>3.13</w:t>
            </w:r>
            <w:r>
              <w:rPr>
                <w:rFonts w:asciiTheme="minorHAnsi" w:hAnsiTheme="minorHAnsi" w:eastAsiaTheme="minorEastAsia" w:cstheme="minorBidi"/>
                <w:smallCaps w:val="0"/>
                <w:kern w:val="2"/>
                <w:sz w:val="21"/>
                <w:szCs w:val="22"/>
                <w:lang w:eastAsia="zh-CN"/>
              </w:rPr>
              <w:tab/>
            </w:r>
            <w:r>
              <w:rPr>
                <w:rStyle w:val="52"/>
                <w:rFonts w:ascii="Arial" w:hAnsi="Arial" w:eastAsia="黑体" w:cs="Arial"/>
                <w:bCs/>
                <w:lang w:eastAsia="zh-CN"/>
              </w:rPr>
              <w:t>估价作业期</w:t>
            </w:r>
            <w:r>
              <w:tab/>
            </w:r>
            <w:r>
              <w:fldChar w:fldCharType="begin"/>
            </w:r>
            <w:r>
              <w:instrText xml:space="preserve"> PAGEREF _Toc30084717 \h </w:instrText>
            </w:r>
            <w:r>
              <w:fldChar w:fldCharType="separate"/>
            </w:r>
            <w:r>
              <w:t>18</w:t>
            </w:r>
            <w:r>
              <w:fldChar w:fldCharType="end"/>
            </w:r>
            <w:r>
              <w:fldChar w:fldCharType="end"/>
            </w:r>
          </w:p>
          <w:p>
            <w:pPr>
              <w:pStyle w:val="30"/>
              <w:rPr>
                <w:rFonts w:asciiTheme="minorHAnsi" w:hAnsiTheme="minorHAnsi" w:eastAsiaTheme="minorEastAsia" w:cstheme="minorBidi"/>
                <w:b w:val="0"/>
                <w:bCs w:val="0"/>
                <w:kern w:val="2"/>
                <w:sz w:val="21"/>
                <w:szCs w:val="22"/>
              </w:rPr>
            </w:pPr>
            <w:r>
              <w:fldChar w:fldCharType="begin"/>
            </w:r>
            <w:r>
              <w:instrText xml:space="preserve"> HYPERLINK \l "_Toc30084718" </w:instrText>
            </w:r>
            <w:r>
              <w:fldChar w:fldCharType="separate"/>
            </w:r>
            <w:r>
              <w:rPr>
                <w:rStyle w:val="52"/>
                <w:rFonts w:ascii="Arial" w:hAnsi="Arial" w:eastAsia="黑体"/>
              </w:rPr>
              <w:t>4</w:t>
            </w:r>
            <w:r>
              <w:rPr>
                <w:rFonts w:asciiTheme="minorHAnsi" w:hAnsiTheme="minorHAnsi" w:eastAsiaTheme="minorEastAsia" w:cstheme="minorBidi"/>
                <w:b w:val="0"/>
                <w:bCs w:val="0"/>
                <w:kern w:val="2"/>
                <w:sz w:val="21"/>
                <w:szCs w:val="22"/>
              </w:rPr>
              <w:tab/>
            </w:r>
            <w:r>
              <w:rPr>
                <w:rStyle w:val="52"/>
                <w:rFonts w:ascii="Arial" w:hAnsi="Arial" w:eastAsia="黑体"/>
              </w:rPr>
              <w:t>附件</w:t>
            </w:r>
            <w:r>
              <w:tab/>
            </w:r>
            <w:r>
              <w:fldChar w:fldCharType="begin"/>
            </w:r>
            <w:r>
              <w:instrText xml:space="preserve"> PAGEREF _Toc30084718 \h </w:instrText>
            </w:r>
            <w:r>
              <w:fldChar w:fldCharType="separate"/>
            </w:r>
            <w:r>
              <w:t>19</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"_Toc30084719" </w:instrText>
            </w:r>
            <w:r>
              <w:fldChar w:fldCharType="separate"/>
            </w:r>
            <w:r>
              <w:rPr>
                <w:rStyle w:val="52"/>
                <w:rFonts w:ascii="Arial" w:hAnsi="Arial" w:eastAsia="黑体" w:cs="Arial"/>
                <w:bCs/>
                <w:lang w:eastAsia="zh-CN"/>
              </w:rPr>
              <w:t>4.1</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估价委托书</w:t>
            </w:r>
            <w:r>
              <w:rPr>
                <w:rStyle w:val="52"/>
                <w:rFonts w:hint="eastAsia" w:ascii="Arial" w:hAnsi="Arial" w:eastAsia="黑体"/>
                <w:bCs/>
                <w:lang w:eastAsia="zh-CN"/>
              </w:rPr>
              <w:t>、执行裁定书</w:t>
            </w:r>
            <w:r>
              <w:rPr>
                <w:rStyle w:val="52"/>
                <w:rFonts w:ascii="Arial" w:hAnsi="Arial" w:eastAsia="黑体"/>
                <w:bCs/>
                <w:lang w:eastAsia="zh-CN"/>
              </w:rPr>
              <w:t>复印件</w:t>
            </w:r>
            <w:r>
              <w:tab/>
            </w:r>
            <w:r>
              <w:fldChar w:fldCharType="begin"/>
            </w:r>
            <w:r>
              <w:instrText xml:space="preserve"> PAGEREF _Toc30084719 \h </w:instrText>
            </w:r>
            <w:r>
              <w:fldChar w:fldCharType="separate"/>
            </w:r>
            <w:r>
              <w:t>19</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"_Toc30084720" </w:instrText>
            </w:r>
            <w:r>
              <w:fldChar w:fldCharType="separate"/>
            </w:r>
            <w:r>
              <w:rPr>
                <w:rStyle w:val="52"/>
                <w:rFonts w:ascii="Arial" w:hAnsi="Arial" w:eastAsia="黑体" w:cs="Arial"/>
                <w:bCs/>
                <w:lang w:eastAsia="zh-CN"/>
              </w:rPr>
              <w:t>4.2</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估价对象位置图</w:t>
            </w:r>
            <w:r>
              <w:tab/>
            </w:r>
            <w:r>
              <w:fldChar w:fldCharType="end"/>
            </w:r>
            <w:r>
              <w:t>24</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"_Toc30084721" </w:instrText>
            </w:r>
            <w:r>
              <w:fldChar w:fldCharType="separate"/>
            </w:r>
            <w:r>
              <w:rPr>
                <w:rStyle w:val="52"/>
                <w:rFonts w:ascii="Arial" w:hAnsi="Arial" w:eastAsia="黑体" w:cs="Arial"/>
                <w:bCs/>
                <w:lang w:eastAsia="zh-CN"/>
              </w:rPr>
              <w:t>4.3</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估价对象实地查勘情况和相关照片</w:t>
            </w:r>
            <w:r>
              <w:tab/>
            </w:r>
            <w:r>
              <w:fldChar w:fldCharType="end"/>
            </w:r>
            <w:r>
              <w:t>25</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"_Toc30084722" </w:instrText>
            </w:r>
            <w:r>
              <w:fldChar w:fldCharType="separate"/>
            </w:r>
            <w:r>
              <w:rPr>
                <w:rStyle w:val="52"/>
                <w:rFonts w:ascii="Arial" w:hAnsi="Arial" w:eastAsia="黑体" w:cs="Arial"/>
                <w:bCs/>
                <w:lang w:eastAsia="zh-CN"/>
              </w:rPr>
              <w:t>4.4</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估价对象权属证明复印件</w:t>
            </w:r>
            <w:r>
              <w:tab/>
            </w:r>
            <w:r>
              <w:fldChar w:fldCharType="begin"/>
            </w:r>
            <w:r>
              <w:instrText xml:space="preserve"> PAGEREF _Toc30084722 \h </w:instrText>
            </w:r>
            <w:r>
              <w:fldChar w:fldCharType="separate"/>
            </w:r>
            <w:r>
              <w:t>29</w:t>
            </w:r>
            <w:r>
              <w:fldChar w:fldCharType="end"/>
            </w:r>
            <w:r>
              <w:fldChar w:fldCharType="end"/>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"_Toc30084723" </w:instrText>
            </w:r>
            <w:r>
              <w:fldChar w:fldCharType="separate"/>
            </w:r>
            <w:r>
              <w:rPr>
                <w:rStyle w:val="52"/>
                <w:rFonts w:ascii="Arial" w:hAnsi="Arial" w:eastAsia="黑体" w:cs="Arial"/>
                <w:bCs/>
                <w:lang w:eastAsia="zh-CN"/>
              </w:rPr>
              <w:t>4.5</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物业现场勘察表</w:t>
            </w:r>
            <w:r>
              <w:tab/>
            </w:r>
            <w:r>
              <w:fldChar w:fldCharType="end"/>
            </w:r>
            <w:r>
              <w:t>41</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"_Toc30084724" </w:instrText>
            </w:r>
            <w:r>
              <w:fldChar w:fldCharType="separate"/>
            </w:r>
            <w:r>
              <w:rPr>
                <w:rStyle w:val="52"/>
                <w:rFonts w:ascii="Arial" w:hAnsi="Arial" w:eastAsia="黑体" w:cs="Arial"/>
                <w:bCs/>
                <w:lang w:eastAsia="zh-CN"/>
              </w:rPr>
              <w:t>4.6</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专业帮助情况和相关专业意见</w:t>
            </w:r>
            <w:r>
              <w:tab/>
            </w:r>
            <w:r>
              <w:fldChar w:fldCharType="end"/>
            </w:r>
            <w:r>
              <w:t>42</w:t>
            </w:r>
          </w:p>
          <w:p>
            <w:pPr>
              <w:pStyle w:val="34"/>
            </w:pPr>
            <w:r>
              <w:fldChar w:fldCharType="begin"/>
            </w:r>
            <w:r>
              <w:instrText xml:space="preserve"> HYPERLINK \l "_Toc30084725" </w:instrText>
            </w:r>
            <w:r>
              <w:fldChar w:fldCharType="separate"/>
            </w:r>
            <w:r>
              <w:rPr>
                <w:rStyle w:val="52"/>
                <w:rFonts w:ascii="Arial" w:hAnsi="Arial" w:eastAsia="黑体" w:cs="Arial"/>
                <w:bCs/>
                <w:lang w:eastAsia="zh-CN"/>
              </w:rPr>
              <w:t>4.7</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估价所依据的其他文件资料</w:t>
            </w:r>
            <w:r>
              <w:tab/>
            </w:r>
            <w:r>
              <w:fldChar w:fldCharType="end"/>
            </w:r>
            <w:r>
              <w:t>43</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"_Toc30084726" </w:instrText>
            </w:r>
            <w:r>
              <w:fldChar w:fldCharType="separate"/>
            </w:r>
            <w:r>
              <w:rPr>
                <w:rStyle w:val="52"/>
                <w:rFonts w:ascii="Arial" w:hAnsi="Arial" w:eastAsia="黑体" w:cs="Arial"/>
                <w:bCs/>
                <w:lang w:eastAsia="zh-CN"/>
              </w:rPr>
              <w:t>4.8</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房地产估价结构营业执照和估价资质证书复印件</w:t>
            </w:r>
            <w:r>
              <w:tab/>
            </w:r>
            <w:r>
              <w:fldChar w:fldCharType="end"/>
            </w:r>
            <w:r>
              <w:t>44</w:t>
            </w:r>
          </w:p>
          <w:p>
            <w:pPr>
              <w:pStyle w:val="34"/>
              <w:rPr>
                <w:rFonts w:asciiTheme="minorHAnsi" w:hAnsiTheme="minorHAnsi" w:eastAsiaTheme="minorEastAsia" w:cstheme="minorBidi"/>
                <w:smallCaps w:val="0"/>
                <w:kern w:val="2"/>
                <w:sz w:val="21"/>
                <w:szCs w:val="22"/>
                <w:lang w:eastAsia="zh-CN"/>
              </w:rPr>
            </w:pPr>
            <w:r>
              <w:fldChar w:fldCharType="begin"/>
            </w:r>
            <w:r>
              <w:instrText xml:space="preserve"> HYPERLINK \l "_Toc30084727" </w:instrText>
            </w:r>
            <w:r>
              <w:fldChar w:fldCharType="separate"/>
            </w:r>
            <w:r>
              <w:rPr>
                <w:rStyle w:val="52"/>
                <w:rFonts w:ascii="Arial" w:hAnsi="Arial" w:eastAsia="黑体" w:cs="Arial"/>
                <w:bCs/>
                <w:lang w:eastAsia="zh-CN"/>
              </w:rPr>
              <w:t>4.9</w:t>
            </w:r>
            <w:r>
              <w:rPr>
                <w:rFonts w:asciiTheme="minorHAnsi" w:hAnsiTheme="minorHAnsi" w:eastAsiaTheme="minorEastAsia" w:cstheme="minorBidi"/>
                <w:smallCaps w:val="0"/>
                <w:kern w:val="2"/>
                <w:sz w:val="21"/>
                <w:szCs w:val="22"/>
                <w:lang w:eastAsia="zh-CN"/>
              </w:rPr>
              <w:tab/>
            </w:r>
            <w:r>
              <w:rPr>
                <w:rStyle w:val="52"/>
                <w:rFonts w:ascii="Arial" w:hAnsi="Arial" w:eastAsia="黑体"/>
                <w:bCs/>
                <w:lang w:eastAsia="zh-CN"/>
              </w:rPr>
              <w:t>注册房地产估价师估价注册证书复印件</w:t>
            </w:r>
            <w:r>
              <w:tab/>
            </w:r>
            <w:r>
              <w:fldChar w:fldCharType="end"/>
            </w:r>
            <w:r>
              <w:t>46</w:t>
            </w:r>
          </w:p>
          <w:p>
            <w:pPr>
              <w:pStyle w:val="34"/>
              <w:rPr>
                <w:rFonts w:ascii="Arial" w:hAnsi="Arial" w:eastAsia="黑体" w:cs="Arial"/>
                <w:bCs/>
                <w:kern w:val="2"/>
                <w:lang w:eastAsia="zh-CN"/>
              </w:rPr>
            </w:pPr>
            <w:r>
              <w:rPr>
                <w:rFonts w:ascii="Arial" w:hAnsi="Arial" w:eastAsia="黑体"/>
                <w:lang w:eastAsia="zh-CN"/>
              </w:rPr>
              <w:fldChar w:fldCharType="end"/>
            </w:r>
          </w:p>
        </w:tc>
      </w:tr>
    </w:tbl>
    <w:p>
      <w:pPr>
        <w:pStyle w:val="39"/>
        <w:tabs>
          <w:tab w:val="left" w:pos="552"/>
        </w:tabs>
        <w:ind w:left="-34"/>
        <w:jc w:val="both"/>
        <w:rPr>
          <w:rFonts w:ascii="Arial" w:hAnsi="Arial" w:eastAsia="黑体" w:cs="Arial"/>
          <w:bCs/>
          <w:kern w:val="2"/>
          <w:sz w:val="22"/>
          <w:lang w:val="en-US" w:eastAsia="zh-CN"/>
        </w:rPr>
        <w:sectPr>
          <w:headerReference r:id="rId13" w:type="first"/>
          <w:headerReference r:id="rId11" w:type="default"/>
          <w:footerReference r:id="rId14" w:type="default"/>
          <w:headerReference r:id="rId12" w:type="even"/>
          <w:type w:val="continuous"/>
          <w:pgSz w:w="11907" w:h="16840"/>
          <w:pgMar w:top="2608" w:right="1418" w:bottom="1134" w:left="1418" w:header="1871" w:footer="170" w:gutter="0"/>
          <w:pgNumType w:start="1"/>
          <w:cols w:space="1137" w:num="1"/>
          <w:docGrid w:type="lines" w:linePitch="313" w:charSpace="0"/>
        </w:sectPr>
      </w:pPr>
    </w:p>
    <w:p>
      <w:pPr>
        <w:pStyle w:val="39"/>
        <w:numPr>
          <w:ilvl w:val="0"/>
          <w:numId w:val="1"/>
        </w:numPr>
        <w:tabs>
          <w:tab w:val="left" w:pos="552"/>
        </w:tabs>
        <w:jc w:val="both"/>
        <w:outlineLvl w:val="0"/>
        <w:rPr>
          <w:rFonts w:ascii="Arial" w:hAnsi="Arial" w:eastAsia="黑体" w:cs="Arial"/>
          <w:bCs/>
          <w:kern w:val="2"/>
          <w:sz w:val="22"/>
          <w:lang w:val="en-US" w:eastAsia="zh-CN"/>
        </w:rPr>
      </w:pPr>
      <w:bookmarkStart w:id="2" w:name="_Toc30084702"/>
      <w:r>
        <w:rPr>
          <w:rFonts w:hint="eastAsia" w:ascii="Arial" w:hAnsi="Arial" w:eastAsia="黑体" w:cs="Arial"/>
          <w:bCs/>
          <w:kern w:val="2"/>
          <w:sz w:val="22"/>
          <w:lang w:val="en-US" w:eastAsia="zh-CN"/>
        </w:rPr>
        <w:t>估价师声明</w:t>
      </w:r>
      <w:bookmarkEnd w:id="2"/>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我们根据自己的估价职业道德、专业胜任能力和勤勉</w:t>
      </w:r>
      <w:r>
        <w:rPr>
          <w:rFonts w:ascii="Arial" w:hAnsi="Arial" w:eastAsia="黑体" w:cs="Arial"/>
          <w:b w:val="0"/>
          <w:bCs/>
          <w:kern w:val="2"/>
          <w:sz w:val="22"/>
          <w:lang w:val="en-US" w:eastAsia="zh-CN"/>
        </w:rPr>
        <w:t>尽责估价</w:t>
      </w:r>
      <w:r>
        <w:rPr>
          <w:rFonts w:hint="eastAsia" w:ascii="Arial" w:hAnsi="Arial" w:eastAsia="黑体" w:cs="Arial"/>
          <w:b w:val="0"/>
          <w:bCs/>
          <w:kern w:val="2"/>
          <w:sz w:val="22"/>
          <w:lang w:val="en-US" w:eastAsia="zh-CN"/>
        </w:rPr>
        <w:t>，在此承诺和</w:t>
      </w:r>
      <w:r>
        <w:rPr>
          <w:rFonts w:ascii="Arial" w:hAnsi="Arial" w:eastAsia="黑体" w:cs="Arial"/>
          <w:b w:val="0"/>
          <w:bCs/>
          <w:kern w:val="2"/>
          <w:sz w:val="22"/>
          <w:lang w:val="en-US" w:eastAsia="zh-CN"/>
        </w:rPr>
        <w:t>保证</w:t>
      </w:r>
      <w:r>
        <w:rPr>
          <w:rFonts w:hint="eastAsia" w:ascii="Arial" w:hAnsi="Arial" w:eastAsia="黑体" w:cs="Arial"/>
          <w:b w:val="0"/>
          <w:bCs/>
          <w:kern w:val="2"/>
          <w:sz w:val="22"/>
          <w:lang w:val="en-US" w:eastAsia="zh-CN"/>
        </w:rPr>
        <w:t>：</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注册房地产</w:t>
      </w:r>
      <w:r>
        <w:rPr>
          <w:rFonts w:ascii="Arial" w:hAnsi="Arial" w:eastAsia="黑体" w:cs="Arial"/>
          <w:b w:val="0"/>
          <w:bCs/>
          <w:kern w:val="2"/>
          <w:sz w:val="22"/>
          <w:lang w:val="en-US" w:eastAsia="zh-CN"/>
        </w:rPr>
        <w:t>估价师</w:t>
      </w:r>
      <w:r>
        <w:rPr>
          <w:rFonts w:hint="eastAsia" w:ascii="Arial" w:hAnsi="Arial" w:eastAsia="黑体" w:cs="Arial"/>
          <w:b w:val="0"/>
          <w:bCs/>
          <w:kern w:val="2"/>
          <w:sz w:val="22"/>
          <w:lang w:val="en-US" w:eastAsia="zh-CN"/>
        </w:rPr>
        <w:t>在估价报告中对事实的说明是真实和准确的，没有虚假记载、误导性陈述和重大遗漏。</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估价报告中的分析、意见和结论是注册房地产</w:t>
      </w:r>
      <w:r>
        <w:rPr>
          <w:rFonts w:ascii="Arial" w:hAnsi="Arial" w:eastAsia="黑体" w:cs="Arial"/>
          <w:b w:val="0"/>
          <w:bCs/>
          <w:kern w:val="2"/>
          <w:sz w:val="22"/>
          <w:lang w:val="en-US" w:eastAsia="zh-CN"/>
        </w:rPr>
        <w:t>估价师</w:t>
      </w:r>
      <w:r>
        <w:rPr>
          <w:rFonts w:hint="eastAsia" w:ascii="Arial" w:hAnsi="Arial" w:eastAsia="黑体" w:cs="Arial"/>
          <w:b w:val="0"/>
          <w:bCs/>
          <w:kern w:val="2"/>
          <w:sz w:val="22"/>
          <w:lang w:val="en-US" w:eastAsia="zh-CN"/>
        </w:rPr>
        <w:t>独立、客观、公正的专业分析、意见和结论，但受到估价报告中已说明的估价假设和限制条件的限制。</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注册房地产</w:t>
      </w:r>
      <w:r>
        <w:rPr>
          <w:rFonts w:ascii="Arial" w:hAnsi="Arial" w:eastAsia="黑体" w:cs="Arial"/>
          <w:b w:val="0"/>
          <w:bCs/>
          <w:kern w:val="2"/>
          <w:sz w:val="22"/>
          <w:lang w:val="en-US" w:eastAsia="zh-CN"/>
        </w:rPr>
        <w:t>估价师</w:t>
      </w:r>
      <w:r>
        <w:rPr>
          <w:rFonts w:hint="eastAsia" w:ascii="Arial" w:hAnsi="Arial" w:eastAsia="黑体" w:cs="Arial"/>
          <w:b w:val="0"/>
          <w:bCs/>
          <w:kern w:val="2"/>
          <w:sz w:val="22"/>
          <w:lang w:val="en-US" w:eastAsia="zh-CN"/>
        </w:rPr>
        <w:t>与估价报告中的估价对象没有现实或潜在的利益，与估价委托人及估价利害关系人没有利害关系。</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注册房地产</w:t>
      </w:r>
      <w:r>
        <w:rPr>
          <w:rFonts w:ascii="Arial" w:hAnsi="Arial" w:eastAsia="黑体" w:cs="Arial"/>
          <w:b w:val="0"/>
          <w:bCs/>
          <w:kern w:val="2"/>
          <w:sz w:val="22"/>
          <w:lang w:val="en-US" w:eastAsia="zh-CN"/>
        </w:rPr>
        <w:t>估价师</w:t>
      </w:r>
      <w:r>
        <w:rPr>
          <w:rFonts w:hint="eastAsia" w:ascii="Arial" w:hAnsi="Arial" w:eastAsia="黑体" w:cs="Arial"/>
          <w:b w:val="0"/>
          <w:bCs/>
          <w:kern w:val="2"/>
          <w:sz w:val="22"/>
          <w:lang w:val="en-US" w:eastAsia="zh-CN"/>
        </w:rPr>
        <w:t>对估价报告中的估价对象、估价委托人及估价利害关系人没有偏见。</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注册房地产</w:t>
      </w:r>
      <w:r>
        <w:rPr>
          <w:rFonts w:ascii="Arial" w:hAnsi="Arial" w:eastAsia="黑体" w:cs="Arial"/>
          <w:b w:val="0"/>
          <w:bCs/>
          <w:kern w:val="2"/>
          <w:sz w:val="22"/>
          <w:lang w:val="en-US" w:eastAsia="zh-CN"/>
        </w:rPr>
        <w:t>估价师</w:t>
      </w:r>
      <w:r>
        <w:rPr>
          <w:rFonts w:hint="eastAsia" w:ascii="Arial" w:hAnsi="Arial" w:eastAsia="黑体" w:cs="Arial"/>
          <w:b w:val="0"/>
          <w:bCs/>
          <w:kern w:val="2"/>
          <w:sz w:val="22"/>
          <w:lang w:val="en-US" w:eastAsia="zh-CN"/>
        </w:rPr>
        <w:t>是按照中华人民共和国国家标准《房地产估价规范》</w:t>
      </w:r>
      <w:r>
        <w:rPr>
          <w:rFonts w:ascii="Arial" w:hAnsi="Arial" w:eastAsia="黑体" w:cs="Arial"/>
          <w:b w:val="0"/>
          <w:bCs/>
          <w:kern w:val="2"/>
          <w:sz w:val="22"/>
          <w:lang w:val="en-US" w:eastAsia="zh-CN"/>
        </w:rPr>
        <w:t>GB/T 50291 -2015</w:t>
      </w:r>
      <w:r>
        <w:rPr>
          <w:rFonts w:hint="eastAsia" w:ascii="Arial" w:hAnsi="Arial" w:eastAsia="黑体" w:cs="Arial"/>
          <w:b w:val="0"/>
          <w:bCs/>
          <w:kern w:val="2"/>
          <w:sz w:val="22"/>
          <w:lang w:val="en-US" w:eastAsia="zh-CN"/>
        </w:rPr>
        <w:t>、《房地产估价基本术语标准》</w:t>
      </w:r>
      <w:r>
        <w:rPr>
          <w:rFonts w:ascii="Arial" w:hAnsi="Arial" w:eastAsia="黑体" w:cs="Arial"/>
          <w:b w:val="0"/>
          <w:bCs/>
          <w:kern w:val="2"/>
          <w:sz w:val="22"/>
          <w:lang w:val="en-US" w:eastAsia="zh-CN"/>
        </w:rPr>
        <w:t>GB/T 50899 -2013</w:t>
      </w:r>
      <w:r>
        <w:rPr>
          <w:rFonts w:hint="eastAsia" w:ascii="Arial" w:hAnsi="Arial" w:eastAsia="黑体" w:cs="Arial"/>
          <w:b w:val="0"/>
          <w:bCs/>
          <w:kern w:val="2"/>
          <w:sz w:val="22"/>
          <w:lang w:val="en-US" w:eastAsia="zh-CN"/>
        </w:rPr>
        <w:t>进行估价工作，撰写估价报告。</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注册房地产估价师李海兴对本估价报告中的估价对象进行了实地查勘，查勘日期为2021年1月28日。其他注册房地产估价师未对估价对象进行实地查勘。</w:t>
      </w:r>
    </w:p>
    <w:p>
      <w:pPr>
        <w:pStyle w:val="39"/>
        <w:ind w:firstLine="550" w:firstLineChars="250"/>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没有外部专家和单位对估价报告提供专业帮助。</w:t>
      </w: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p>
      <w:pPr>
        <w:pStyle w:val="39"/>
        <w:ind w:firstLine="550" w:firstLineChars="250"/>
        <w:jc w:val="both"/>
        <w:rPr>
          <w:rFonts w:ascii="Arial" w:hAnsi="Arial" w:eastAsia="黑体" w:cs="Arial"/>
          <w:b w:val="0"/>
          <w:bCs/>
          <w:kern w:val="2"/>
          <w:sz w:val="22"/>
          <w:lang w:val="en-US" w:eastAsia="zh-CN"/>
        </w:rPr>
      </w:pPr>
    </w:p>
    <w:tbl>
      <w:tblPr>
        <w:tblStyle w:val="42"/>
        <w:tblW w:w="8505"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2"/>
        <w:gridCol w:w="42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252" w:type="dxa"/>
          </w:tcPr>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中国注册房地产估价师：</w:t>
            </w:r>
            <w:r>
              <w:rPr>
                <w:rFonts w:hint="eastAsia" w:ascii="Arial" w:hAnsi="Arial" w:eastAsia="黑体" w:cs="Arial"/>
                <w:bCs/>
                <w:kern w:val="2"/>
                <w:sz w:val="22"/>
                <w:lang w:eastAsia="zh-CN"/>
              </w:rPr>
              <w:t>李海兴</w:t>
            </w:r>
          </w:p>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注册号：4420190307</w:t>
            </w:r>
          </w:p>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签名：</w:t>
            </w: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tc>
        <w:tc>
          <w:tcPr>
            <w:tcW w:w="4253" w:type="dxa"/>
          </w:tcPr>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中国注册房地产估价师：</w:t>
            </w:r>
            <w:r>
              <w:rPr>
                <w:rFonts w:ascii="Arial" w:hAnsi="Arial" w:eastAsia="黑体" w:cs="Arial"/>
                <w:bCs/>
                <w:kern w:val="2"/>
                <w:sz w:val="22"/>
                <w:lang w:eastAsia="zh-CN" w:bidi="en-US"/>
              </w:rPr>
              <w:t>彭志强</w:t>
            </w:r>
          </w:p>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注册号：4420160040</w:t>
            </w:r>
          </w:p>
          <w:p>
            <w:pPr>
              <w:autoSpaceDE/>
              <w:autoSpaceDN/>
              <w:adjustRightInd/>
              <w:spacing w:line="240" w:lineRule="auto"/>
              <w:jc w:val="both"/>
              <w:rPr>
                <w:rFonts w:ascii="Arial" w:hAnsi="Arial" w:eastAsia="黑体" w:cs="Arial"/>
                <w:bCs/>
                <w:kern w:val="2"/>
                <w:sz w:val="22"/>
                <w:lang w:eastAsia="zh-CN"/>
              </w:rPr>
            </w:pPr>
            <w:r>
              <w:rPr>
                <w:rFonts w:ascii="Arial" w:hAnsi="Arial" w:eastAsia="黑体" w:cs="Arial"/>
                <w:bCs/>
                <w:kern w:val="2"/>
                <w:sz w:val="22"/>
                <w:lang w:eastAsia="zh-CN"/>
              </w:rPr>
              <w:t>签名：</w:t>
            </w: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p>
            <w:pPr>
              <w:autoSpaceDE/>
              <w:autoSpaceDN/>
              <w:adjustRightInd/>
              <w:spacing w:line="240" w:lineRule="auto"/>
              <w:jc w:val="both"/>
              <w:rPr>
                <w:rFonts w:ascii="Arial" w:hAnsi="Arial" w:eastAsia="黑体" w:cs="Arial"/>
                <w:bCs/>
                <w:kern w:val="2"/>
                <w:sz w:val="22"/>
                <w:lang w:eastAsia="zh-CN"/>
              </w:rPr>
            </w:pPr>
          </w:p>
        </w:tc>
      </w:tr>
    </w:tbl>
    <w:p>
      <w:pPr>
        <w:pStyle w:val="39"/>
        <w:ind w:firstLine="552" w:firstLineChars="250"/>
        <w:jc w:val="both"/>
        <w:rPr>
          <w:rFonts w:ascii="Arial" w:hAnsi="Arial" w:eastAsia="黑体" w:cs="Arial"/>
          <w:bCs/>
          <w:kern w:val="2"/>
          <w:sz w:val="22"/>
          <w:lang w:val="en-US" w:eastAsia="zh-CN"/>
        </w:rPr>
      </w:pPr>
    </w:p>
    <w:p>
      <w:pPr>
        <w:pStyle w:val="39"/>
        <w:pageBreakBefore/>
        <w:numPr>
          <w:ilvl w:val="0"/>
          <w:numId w:val="1"/>
        </w:numPr>
        <w:tabs>
          <w:tab w:val="left" w:pos="552"/>
        </w:tabs>
        <w:jc w:val="both"/>
        <w:outlineLvl w:val="0"/>
        <w:rPr>
          <w:rFonts w:ascii="Arial" w:hAnsi="Arial" w:eastAsia="黑体" w:cs="Arial"/>
          <w:bCs/>
          <w:kern w:val="2"/>
          <w:sz w:val="22"/>
          <w:lang w:val="en-US" w:eastAsia="zh-CN"/>
        </w:rPr>
      </w:pPr>
      <w:bookmarkStart w:id="3" w:name="_Toc30084703"/>
      <w:r>
        <w:rPr>
          <w:rFonts w:hint="eastAsia" w:ascii="Arial" w:hAnsi="Arial" w:eastAsia="黑体" w:cs="Arial"/>
          <w:bCs/>
          <w:kern w:val="2"/>
          <w:sz w:val="22"/>
          <w:lang w:val="en-US" w:eastAsia="zh-CN"/>
        </w:rPr>
        <w:t>估价假设和限制条件</w:t>
      </w:r>
      <w:bookmarkEnd w:id="3"/>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一般假设</w:t>
      </w:r>
    </w:p>
    <w:p>
      <w:pPr>
        <w:pStyle w:val="39"/>
        <w:tabs>
          <w:tab w:val="left" w:pos="552"/>
        </w:tabs>
        <w:ind w:left="566" w:leftChars="246"/>
        <w:jc w:val="both"/>
        <w:rPr>
          <w:rFonts w:ascii="Arial" w:hAnsi="Arial" w:eastAsia="黑体" w:cs="Arial"/>
          <w:b w:val="0"/>
          <w:bCs/>
          <w:kern w:val="2"/>
          <w:sz w:val="22"/>
          <w:lang w:val="en-US" w:eastAsia="zh-CN"/>
        </w:rPr>
      </w:pPr>
    </w:p>
    <w:p>
      <w:pPr>
        <w:pStyle w:val="39"/>
        <w:ind w:left="566" w:leftChars="246"/>
        <w:jc w:val="both"/>
        <w:rPr>
          <w:rFonts w:ascii="Arial" w:hAnsi="Arial" w:eastAsia="黑体" w:cs="Arial"/>
          <w:b w:val="0"/>
          <w:bCs/>
          <w:kern w:val="2"/>
          <w:sz w:val="22"/>
          <w:lang w:val="en-US" w:eastAsia="zh-CN"/>
        </w:rPr>
      </w:pPr>
      <w:r>
        <w:rPr>
          <w:rFonts w:hint="eastAsia" w:ascii="Arial" w:hAnsi="Arial" w:eastAsia="黑体" w:cs="Arial"/>
          <w:bCs/>
          <w:kern w:val="2"/>
          <w:sz w:val="22"/>
          <w:u w:val="single"/>
          <w:lang w:val="en-US" w:eastAsia="zh-CN"/>
        </w:rPr>
        <w:t>本次估价的假设前提</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权利人（黎凌）依法拥有估价对象（中山市东凤镇南安路四栋住宅房地产）的合法产权，依法享有占有、使用、收益和处分的权利。</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估价对象以合法的方式取得，取得过程中所涉及的各种法律文件、手续齐全，各种规费、税费、费用已全数缴清。</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估价对象以合法的方式利用或使用，利用或使用过程中所涉及的各种法律文件、手续齐全，各种规费、税费、费用已全数缴清。</w:t>
      </w:r>
    </w:p>
    <w:p>
      <w:pPr>
        <w:pStyle w:val="39"/>
        <w:tabs>
          <w:tab w:val="left" w:pos="552"/>
        </w:tabs>
        <w:jc w:val="both"/>
        <w:rPr>
          <w:rFonts w:ascii="Arial" w:hAnsi="Arial" w:eastAsia="黑体" w:cs="Arial"/>
          <w:b w:val="0"/>
          <w:bCs/>
          <w:kern w:val="2"/>
          <w:sz w:val="22"/>
          <w:lang w:val="en-US" w:eastAsia="zh-CN"/>
        </w:rPr>
      </w:pPr>
    </w:p>
    <w:p>
      <w:pPr>
        <w:pStyle w:val="39"/>
        <w:ind w:left="566" w:leftChars="246"/>
        <w:jc w:val="both"/>
        <w:rPr>
          <w:rFonts w:ascii="Arial" w:hAnsi="Arial" w:eastAsia="黑体" w:cs="Arial"/>
          <w:bCs/>
          <w:kern w:val="2"/>
          <w:sz w:val="22"/>
          <w:u w:val="single"/>
          <w:lang w:val="en-US" w:eastAsia="zh-CN"/>
        </w:rPr>
      </w:pPr>
      <w:r>
        <w:rPr>
          <w:rFonts w:ascii="Arial" w:hAnsi="Arial" w:eastAsia="黑体" w:cs="Arial"/>
          <w:bCs/>
          <w:kern w:val="2"/>
          <w:sz w:val="22"/>
          <w:u w:val="single"/>
          <w:lang w:val="en-US" w:eastAsia="zh-CN"/>
        </w:rPr>
        <w:t>未经调查确认或无法调查确认的资料数据</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我们已获得估价委托人或权利人提供给我们的估价对象权属证明复印件（见附件），但我们并未进行该权属文件的查证及确认，也未核实该权属文件所载的相关内容是否已发生变更。我们仅以该权属文件所载的相关内容作为估价的依据，并不作任何形式的权属证明，也不对其合法性、真实性、准确性和完整性负责。</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我们已获得估价委托人或权利人提供给我们的估价对象的包括但不限于规划许可、法定通告、地役权、土地使用年期、土地与建筑物辨识、建筑物竣工日期、地块面积等相关事项。我们并无理由怀疑这些资料的真实性和准确性，在估价过程中我们很大程度上接受并依赖于这些资料。同时我们获知所有相关可能影响估价的重要事实已提供给我们，并无任何遗漏。</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我们以估价需要为限对估价对象进行了实地查勘，但我们对估价对象的查勘仅限于其外观和使用状况，并未进行结构测量及设备测试以确认估价对象是否存在结构性损坏或其他缺陷，除特别指出外，我们假设估价对象可以正常使用，我们不承担对建筑物结构质量进行调查的责任。同时，我们也未进行实地丈量以核实估价对象的地块面积、建筑面积，我们以提供给我们的权属证明复印件所记载之地块面积、建筑面积作为估价的依据，我们也不承担对地块面积、建筑面积的准确性进行调查的责任。</w:t>
      </w:r>
    </w:p>
    <w:p>
      <w:pPr>
        <w:pStyle w:val="39"/>
        <w:tabs>
          <w:tab w:val="left" w:pos="552"/>
        </w:tabs>
        <w:ind w:left="566" w:leftChars="246"/>
        <w:jc w:val="both"/>
        <w:rPr>
          <w:rFonts w:ascii="Arial" w:hAnsi="Arial" w:eastAsia="黑体" w:cs="Arial"/>
          <w:b w:val="0"/>
          <w:bCs/>
          <w:kern w:val="2"/>
          <w:sz w:val="22"/>
          <w:lang w:val="en-US" w:eastAsia="zh-CN"/>
        </w:rPr>
      </w:pPr>
    </w:p>
    <w:p>
      <w:pPr>
        <w:pStyle w:val="39"/>
        <w:keepNext/>
        <w:ind w:left="566" w:leftChars="246"/>
        <w:jc w:val="both"/>
        <w:rPr>
          <w:rFonts w:ascii="Arial" w:hAnsi="Arial" w:eastAsia="黑体" w:cs="Arial"/>
          <w:bCs/>
          <w:kern w:val="2"/>
          <w:sz w:val="22"/>
          <w:u w:val="single"/>
          <w:lang w:val="en-US" w:eastAsia="zh-CN"/>
        </w:rPr>
      </w:pPr>
      <w:r>
        <w:rPr>
          <w:rFonts w:ascii="Arial" w:hAnsi="Arial" w:eastAsia="黑体" w:cs="Arial"/>
          <w:bCs/>
          <w:kern w:val="2"/>
          <w:sz w:val="22"/>
          <w:u w:val="single"/>
          <w:lang w:val="en-US" w:eastAsia="zh-CN"/>
        </w:rPr>
        <w:t>估价中未考虑的因素</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在估价中，我们没有考虑估价对象已经存在或将来可能承担的市场、担保、按揭或其他债项对其市场价值产生的影响，也没有考虑估价对象转让时可能发生的任何税项或费用。</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在估价中，我们没有考虑假设估价对象在公开市场上自由转让时，权利人凭借递延条件合约、售后租回、合作经营、管理协议等附加条件对其市场价值产生的影响。</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在估价中，我们没有考虑国家宏观经济政策发生重大变化以及遇有不可抗力等不可预见的因素，也没有考虑特殊的交易方式、特殊的买家偏好、未来的处置风险等对估价对象市场价值产生的影响。</w:t>
      </w:r>
    </w:p>
    <w:p>
      <w:pPr>
        <w:pStyle w:val="39"/>
        <w:tabs>
          <w:tab w:val="left" w:pos="567"/>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未定事项假设</w:t>
      </w:r>
    </w:p>
    <w:p>
      <w:pPr>
        <w:pStyle w:val="39"/>
        <w:tabs>
          <w:tab w:val="left" w:pos="567"/>
        </w:tabs>
        <w:ind w:left="566" w:leftChars="246"/>
        <w:jc w:val="both"/>
        <w:rPr>
          <w:rFonts w:ascii="Arial" w:hAnsi="Arial" w:eastAsia="黑体" w:cs="Arial"/>
          <w:b w:val="0"/>
          <w:bCs/>
          <w:kern w:val="2"/>
          <w:sz w:val="22"/>
          <w:lang w:val="en-US" w:eastAsia="zh-CN"/>
        </w:rPr>
      </w:pPr>
    </w:p>
    <w:p>
      <w:pPr>
        <w:pStyle w:val="39"/>
        <w:tabs>
          <w:tab w:val="left" w:pos="567"/>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未定事项假设是指对估价所必需的尚未明确或不够明确的土地用途、容积率等事项所做的合理的、最可能的假定。</w:t>
      </w:r>
    </w:p>
    <w:p>
      <w:pPr>
        <w:pStyle w:val="39"/>
        <w:tabs>
          <w:tab w:val="left" w:pos="567"/>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本次</w:t>
      </w:r>
      <w:r>
        <w:rPr>
          <w:rFonts w:ascii="Arial" w:hAnsi="Arial" w:eastAsia="黑体" w:cs="Arial"/>
          <w:b w:val="0"/>
          <w:bCs/>
          <w:kern w:val="2"/>
          <w:sz w:val="22"/>
          <w:lang w:val="en-US" w:eastAsia="zh-CN"/>
        </w:rPr>
        <w:t>估价的估价对象</w:t>
      </w:r>
      <w:r>
        <w:rPr>
          <w:rFonts w:hint="eastAsia" w:ascii="Arial" w:hAnsi="Arial" w:eastAsia="黑体" w:cs="Arial"/>
          <w:b w:val="0"/>
          <w:bCs/>
          <w:kern w:val="2"/>
          <w:sz w:val="22"/>
          <w:lang w:val="en-US" w:eastAsia="zh-CN"/>
        </w:rPr>
        <w:t>不</w:t>
      </w:r>
      <w:r>
        <w:rPr>
          <w:rFonts w:ascii="Arial" w:hAnsi="Arial" w:eastAsia="黑体" w:cs="Arial"/>
          <w:b w:val="0"/>
          <w:bCs/>
          <w:kern w:val="2"/>
          <w:sz w:val="22"/>
          <w:lang w:val="en-US" w:eastAsia="zh-CN"/>
        </w:rPr>
        <w:t>存在</w:t>
      </w:r>
      <w:r>
        <w:rPr>
          <w:rFonts w:hint="eastAsia" w:ascii="Arial" w:hAnsi="Arial" w:eastAsia="黑体" w:cs="Arial"/>
          <w:b w:val="0"/>
          <w:bCs/>
          <w:kern w:val="2"/>
          <w:sz w:val="22"/>
          <w:lang w:val="en-US" w:eastAsia="zh-CN"/>
        </w:rPr>
        <w:t>未</w:t>
      </w:r>
      <w:r>
        <w:rPr>
          <w:rFonts w:ascii="Arial" w:hAnsi="Arial" w:eastAsia="黑体" w:cs="Arial"/>
          <w:b w:val="0"/>
          <w:bCs/>
          <w:kern w:val="2"/>
          <w:sz w:val="22"/>
          <w:lang w:val="en-US" w:eastAsia="zh-CN"/>
        </w:rPr>
        <w:t>确定事项，</w:t>
      </w:r>
      <w:r>
        <w:rPr>
          <w:rFonts w:hint="eastAsia" w:ascii="Arial" w:hAnsi="Arial" w:eastAsia="黑体" w:cs="Arial"/>
          <w:b w:val="0"/>
          <w:bCs/>
          <w:kern w:val="2"/>
          <w:sz w:val="22"/>
          <w:lang w:val="en-US" w:eastAsia="zh-CN"/>
        </w:rPr>
        <w:t>故本</w:t>
      </w:r>
      <w:r>
        <w:rPr>
          <w:rFonts w:ascii="Arial" w:hAnsi="Arial" w:eastAsia="黑体" w:cs="Arial"/>
          <w:b w:val="0"/>
          <w:bCs/>
          <w:kern w:val="2"/>
          <w:sz w:val="22"/>
          <w:lang w:val="en-US" w:eastAsia="zh-CN"/>
        </w:rPr>
        <w:t>估价报告</w:t>
      </w:r>
      <w:r>
        <w:rPr>
          <w:rFonts w:hint="eastAsia" w:ascii="Arial" w:hAnsi="Arial" w:eastAsia="黑体" w:cs="Arial"/>
          <w:b w:val="0"/>
          <w:bCs/>
          <w:kern w:val="2"/>
          <w:sz w:val="22"/>
          <w:lang w:val="en-US" w:eastAsia="zh-CN"/>
        </w:rPr>
        <w:t>无</w:t>
      </w:r>
      <w:r>
        <w:rPr>
          <w:rFonts w:ascii="Arial" w:hAnsi="Arial" w:eastAsia="黑体" w:cs="Arial"/>
          <w:b w:val="0"/>
          <w:bCs/>
          <w:kern w:val="2"/>
          <w:sz w:val="22"/>
          <w:lang w:val="en-US" w:eastAsia="zh-CN"/>
        </w:rPr>
        <w:t>未定事项假设</w:t>
      </w:r>
      <w:r>
        <w:rPr>
          <w:rFonts w:hint="eastAsia" w:ascii="Arial" w:hAnsi="Arial" w:eastAsia="黑体" w:cs="Arial"/>
          <w:b w:val="0"/>
          <w:bCs/>
          <w:kern w:val="2"/>
          <w:sz w:val="22"/>
          <w:lang w:val="en-US" w:eastAsia="zh-CN"/>
        </w:rPr>
        <w:t>。</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背离事实假设</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背离事实假设是指因估价目的的特殊需要、交易条件设定或约定，对估价对象状况所做的与估价对象的实际状况不一致的合理假定。</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根据我司现场查勘，四栋建筑物内部间隔已改建；中山市东凤镇南安路（明细表序号1，房产证号：C6713316）于2楼加建部分不封闭阳台；中山市东凤镇南安路（明细表序号3，房产证号：粤房地字证第0111001033号） 与中山市东凤镇南安路（明细表序号4，房产证号：粤房地字证第0111001045号）打通使用，我们于估值过程中并未考虑改建或恢复原有间隔所需之任何费用，亦未考虑该因素对该物业价值之影响，并以此作为我们估值之基础。</w:t>
      </w:r>
    </w:p>
    <w:p>
      <w:pPr>
        <w:pStyle w:val="39"/>
        <w:tabs>
          <w:tab w:val="left" w:pos="552"/>
        </w:tabs>
        <w:ind w:left="566" w:leftChars="246"/>
        <w:jc w:val="both"/>
        <w:rPr>
          <w:rFonts w:ascii="Arial" w:hAnsi="Arial" w:eastAsia="黑体" w:cs="Arial"/>
          <w:b w:val="0"/>
          <w:bCs/>
          <w:kern w:val="2"/>
          <w:sz w:val="22"/>
          <w:lang w:val="en-US" w:eastAsia="zh-CN"/>
        </w:rPr>
      </w:pPr>
    </w:p>
    <w:p>
      <w:pPr>
        <w:pStyle w:val="39"/>
        <w:keepNext/>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不相一致假设</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不相一致假设是指在估价对象的实际用途、登记用途、规划用途等用途之间不一致，或不同权属证明上的权利人之间不一致，估价对象的名称或地址不一致等情况下，对估价所依据的用途或权利人、名称、地址等的合理假定。</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根据委托方提供的《中山市不动产登记资料查询结果表》记载，估价对象土地用途均为城镇住宅用地，房屋规划用途均为住宅。根据我司现场查勘，估价对象实际用途为仓库、生产车间、办公用房等工业用途，根据合法性及最高最佳原则，本次评估以证载用途即住宅为准。</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同时，根据我司现场查勘，估价对象未安装门牌地址，我们以委托方领勘之实勘物业与估价对象为同一物业考虑，并以此作为我们估值之基础。</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依据不足假设</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依据不足假设是指在估价委托人无法提供估价所必需的反映估价对象状况的资料及注册房地产估价师进行了尽职调查仍然难以取得该资料的情况下，缺少该资料及对相应的估价对象状况的合理假定。</w:t>
      </w:r>
    </w:p>
    <w:p>
      <w:pPr>
        <w:pStyle w:val="39"/>
        <w:tabs>
          <w:tab w:val="left" w:pos="567"/>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本次</w:t>
      </w:r>
      <w:r>
        <w:rPr>
          <w:rFonts w:ascii="Arial" w:hAnsi="Arial" w:eastAsia="黑体" w:cs="Arial"/>
          <w:b w:val="0"/>
          <w:bCs/>
          <w:kern w:val="2"/>
          <w:sz w:val="22"/>
          <w:lang w:val="en-US" w:eastAsia="zh-CN"/>
        </w:rPr>
        <w:t>估价的估价对象</w:t>
      </w:r>
      <w:r>
        <w:rPr>
          <w:rFonts w:hint="eastAsia" w:ascii="Arial" w:hAnsi="Arial" w:eastAsia="黑体" w:cs="Arial"/>
          <w:b w:val="0"/>
          <w:bCs/>
          <w:kern w:val="2"/>
          <w:sz w:val="22"/>
          <w:lang w:val="en-US" w:eastAsia="zh-CN"/>
        </w:rPr>
        <w:t>不</w:t>
      </w:r>
      <w:r>
        <w:rPr>
          <w:rFonts w:ascii="Arial" w:hAnsi="Arial" w:eastAsia="黑体" w:cs="Arial"/>
          <w:b w:val="0"/>
          <w:bCs/>
          <w:kern w:val="2"/>
          <w:sz w:val="22"/>
          <w:lang w:val="en-US" w:eastAsia="zh-CN"/>
        </w:rPr>
        <w:t>存在</w:t>
      </w:r>
      <w:r>
        <w:rPr>
          <w:rFonts w:hint="eastAsia" w:ascii="Arial" w:hAnsi="Arial" w:eastAsia="黑体" w:cs="Arial"/>
          <w:b w:val="0"/>
          <w:bCs/>
          <w:kern w:val="2"/>
          <w:sz w:val="22"/>
          <w:lang w:val="en-US" w:eastAsia="zh-CN"/>
        </w:rPr>
        <w:t>依据不足</w:t>
      </w:r>
      <w:r>
        <w:rPr>
          <w:rFonts w:ascii="Arial" w:hAnsi="Arial" w:eastAsia="黑体" w:cs="Arial"/>
          <w:b w:val="0"/>
          <w:bCs/>
          <w:kern w:val="2"/>
          <w:sz w:val="22"/>
          <w:lang w:val="en-US" w:eastAsia="zh-CN"/>
        </w:rPr>
        <w:t>事项，</w:t>
      </w:r>
      <w:r>
        <w:rPr>
          <w:rFonts w:hint="eastAsia" w:ascii="Arial" w:hAnsi="Arial" w:eastAsia="黑体" w:cs="Arial"/>
          <w:b w:val="0"/>
          <w:bCs/>
          <w:kern w:val="2"/>
          <w:sz w:val="22"/>
          <w:lang w:val="en-US" w:eastAsia="zh-CN"/>
        </w:rPr>
        <w:t>故本</w:t>
      </w:r>
      <w:r>
        <w:rPr>
          <w:rFonts w:ascii="Arial" w:hAnsi="Arial" w:eastAsia="黑体" w:cs="Arial"/>
          <w:b w:val="0"/>
          <w:bCs/>
          <w:kern w:val="2"/>
          <w:sz w:val="22"/>
          <w:lang w:val="en-US" w:eastAsia="zh-CN"/>
        </w:rPr>
        <w:t>估价报告</w:t>
      </w:r>
      <w:r>
        <w:rPr>
          <w:rFonts w:hint="eastAsia" w:ascii="Arial" w:hAnsi="Arial" w:eastAsia="黑体" w:cs="Arial"/>
          <w:b w:val="0"/>
          <w:bCs/>
          <w:kern w:val="2"/>
          <w:sz w:val="22"/>
          <w:lang w:val="en-US" w:eastAsia="zh-CN"/>
        </w:rPr>
        <w:t>无依据不足</w:t>
      </w:r>
      <w:r>
        <w:rPr>
          <w:rFonts w:ascii="Arial" w:hAnsi="Arial" w:eastAsia="黑体" w:cs="Arial"/>
          <w:b w:val="0"/>
          <w:bCs/>
          <w:kern w:val="2"/>
          <w:sz w:val="22"/>
          <w:lang w:val="en-US" w:eastAsia="zh-CN"/>
        </w:rPr>
        <w:t>事项假设</w:t>
      </w:r>
      <w:r>
        <w:rPr>
          <w:rFonts w:hint="eastAsia" w:ascii="Arial" w:hAnsi="Arial" w:eastAsia="黑体" w:cs="Arial"/>
          <w:b w:val="0"/>
          <w:bCs/>
          <w:kern w:val="2"/>
          <w:sz w:val="22"/>
          <w:lang w:val="en-US" w:eastAsia="zh-CN"/>
        </w:rPr>
        <w:t>。</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rPr>
          <w:rFonts w:ascii="Arial" w:hAnsi="Arial" w:eastAsia="黑体" w:cs="Arial"/>
          <w:bCs/>
          <w:kern w:val="2"/>
          <w:sz w:val="22"/>
          <w:lang w:val="en-US" w:eastAsia="zh-CN"/>
        </w:rPr>
      </w:pPr>
      <w:r>
        <w:rPr>
          <w:rFonts w:hint="eastAsia" w:ascii="Arial" w:hAnsi="Arial" w:eastAsia="黑体" w:cs="Arial"/>
          <w:bCs/>
          <w:kern w:val="2"/>
          <w:sz w:val="22"/>
          <w:lang w:val="en-US" w:eastAsia="zh-CN"/>
        </w:rPr>
        <w:t>估价报告使用限制</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本估价报告仅供估价委托人作本次估价目的使用，我们不承担对任何第三者对本估价报告的全文或任何部分内容的任何责任。</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如未获得我们的书面许可，本估价报告的全文或任何部分内容或任何注释，均不能以任何形式刊载于任何文件、通函或声明中。</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本估价报告在房地产市场情况无较大波动时的有效使用期限为一年，自二〇二一年二月三日至二〇二二年二月二日，若市场情况有较大波动或超过一年时需重新进行估价。</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最近爆发的新型冠状病毒（</w:t>
      </w:r>
      <w:r>
        <w:rPr>
          <w:rFonts w:ascii="Arial" w:hAnsi="Arial" w:eastAsia="黑体" w:cs="Arial"/>
          <w:b w:val="0"/>
          <w:bCs/>
          <w:kern w:val="2"/>
          <w:sz w:val="22"/>
          <w:lang w:val="en-US" w:eastAsia="zh-CN"/>
        </w:rPr>
        <w:t>COVID-19</w:t>
      </w:r>
      <w:r>
        <w:rPr>
          <w:rFonts w:hint="eastAsia" w:ascii="Arial" w:hAnsi="Arial" w:eastAsia="黑体" w:cs="Arial"/>
          <w:b w:val="0"/>
          <w:bCs/>
          <w:kern w:val="2"/>
          <w:sz w:val="22"/>
          <w:lang w:val="en-US" w:eastAsia="zh-CN"/>
        </w:rPr>
        <w:t>）为全球金融市场带来了极大的影响，亦给房地产市场带来不确定性。预计房地产价值将对这场病毒大流行的发展和金融市场的变化非常敏感。房地产的营销和议价销售时间将比平常更长，对不同部分市场或有不同程度的影响。我们对物业的估值仅在价值时点有效，无法预估在估值日期之后市场状况的任何后续变化及其如何对房地产价值产生影响。且特别提示报告使用方对后续市场状况发展高度关注。若有任何一方在参考估值（特别是进行任何交易）时，必须关注这段时间内的市场波动性。</w:t>
      </w:r>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b w:val="0"/>
          <w:lang w:eastAsia="zh-CN"/>
        </w:rPr>
      </w:pPr>
      <w:r>
        <w:rPr>
          <w:rFonts w:ascii="Arial" w:hAnsi="Arial" w:eastAsia="黑体"/>
          <w:b w:val="0"/>
          <w:lang w:eastAsia="zh-CN"/>
        </w:rPr>
        <w:br w:type="page"/>
      </w:r>
    </w:p>
    <w:p>
      <w:pPr>
        <w:pStyle w:val="39"/>
        <w:numPr>
          <w:ilvl w:val="0"/>
          <w:numId w:val="1"/>
        </w:numPr>
        <w:tabs>
          <w:tab w:val="left" w:pos="552"/>
        </w:tabs>
        <w:jc w:val="both"/>
        <w:outlineLvl w:val="0"/>
        <w:rPr>
          <w:rFonts w:ascii="Arial" w:hAnsi="Arial" w:eastAsia="黑体" w:cs="Arial"/>
          <w:bCs/>
          <w:kern w:val="2"/>
          <w:sz w:val="22"/>
          <w:lang w:val="en-US" w:eastAsia="zh-CN"/>
        </w:rPr>
      </w:pPr>
      <w:bookmarkStart w:id="4" w:name="_Toc30084704"/>
      <w:r>
        <w:rPr>
          <w:rFonts w:hint="eastAsia" w:ascii="Arial" w:hAnsi="Arial" w:eastAsia="黑体" w:cs="Arial"/>
          <w:bCs/>
          <w:kern w:val="2"/>
          <w:sz w:val="22"/>
          <w:lang w:val="en-US" w:eastAsia="zh-CN"/>
        </w:rPr>
        <w:t>估价结果报告</w:t>
      </w:r>
      <w:bookmarkEnd w:id="4"/>
    </w:p>
    <w:p>
      <w:pPr>
        <w:pStyle w:val="39"/>
        <w:tabs>
          <w:tab w:val="left" w:pos="552"/>
        </w:tabs>
        <w:ind w:left="-34"/>
        <w:jc w:val="both"/>
        <w:rPr>
          <w:rFonts w:ascii="Arial" w:hAnsi="Arial" w:eastAsia="黑体"/>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5" w:name="_Toc30084705"/>
      <w:r>
        <w:rPr>
          <w:rFonts w:hint="eastAsia" w:ascii="Arial" w:hAnsi="Arial" w:eastAsia="黑体" w:cs="Arial"/>
          <w:bCs/>
          <w:kern w:val="2"/>
          <w:sz w:val="22"/>
          <w:lang w:val="en-US" w:eastAsia="zh-CN"/>
        </w:rPr>
        <w:t>估价委托人</w:t>
      </w:r>
      <w:bookmarkEnd w:id="5"/>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 xml:space="preserve">委托人   </w:t>
      </w:r>
      <w:r>
        <w:rPr>
          <w:rFonts w:ascii="Arial" w:hAnsi="Arial" w:eastAsia="黑体" w:cs="Arial"/>
          <w:b w:val="0"/>
          <w:bCs/>
          <w:kern w:val="2"/>
          <w:sz w:val="22"/>
          <w:lang w:val="en-US" w:eastAsia="zh-CN"/>
        </w:rPr>
        <w:t xml:space="preserve">     </w:t>
      </w:r>
      <w:r>
        <w:rPr>
          <w:rFonts w:hint="eastAsia" w:ascii="Arial" w:hAnsi="Arial" w:eastAsia="黑体" w:cs="Arial"/>
          <w:b w:val="0"/>
          <w:bCs/>
          <w:kern w:val="2"/>
          <w:sz w:val="22"/>
          <w:lang w:val="en-US" w:eastAsia="zh-CN"/>
        </w:rPr>
        <w:t>：中山市第一人民法院</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6" w:name="_Toc30084706"/>
      <w:r>
        <w:rPr>
          <w:rFonts w:hint="eastAsia" w:ascii="Arial" w:hAnsi="Arial" w:eastAsia="黑体" w:cs="Arial"/>
          <w:bCs/>
          <w:kern w:val="2"/>
          <w:sz w:val="22"/>
          <w:lang w:val="en-US" w:eastAsia="zh-CN"/>
        </w:rPr>
        <w:t>房地产估价机构</w:t>
      </w:r>
      <w:bookmarkEnd w:id="6"/>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 xml:space="preserve">机构名称  </w:t>
      </w:r>
      <w:r>
        <w:rPr>
          <w:rFonts w:ascii="Arial" w:hAnsi="Arial" w:eastAsia="黑体" w:cs="Arial"/>
          <w:b w:val="0"/>
          <w:bCs/>
          <w:kern w:val="2"/>
          <w:sz w:val="22"/>
          <w:lang w:val="en-US" w:eastAsia="zh-CN"/>
        </w:rPr>
        <w:t xml:space="preserve">    </w:t>
      </w:r>
      <w:r>
        <w:rPr>
          <w:rFonts w:hint="eastAsia" w:ascii="Arial" w:hAnsi="Arial" w:eastAsia="黑体" w:cs="Arial"/>
          <w:b w:val="0"/>
          <w:bCs/>
          <w:kern w:val="2"/>
          <w:sz w:val="22"/>
          <w:lang w:val="en-US" w:eastAsia="zh-CN"/>
        </w:rPr>
        <w:t>：深圳市戴德梁行土地房地产评估有限公司</w:t>
      </w: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住所</w:t>
      </w:r>
      <w:r>
        <w:rPr>
          <w:rFonts w:ascii="Arial" w:hAnsi="Arial" w:eastAsia="黑体" w:cs="Arial"/>
          <w:b w:val="0"/>
          <w:bCs/>
          <w:kern w:val="2"/>
          <w:sz w:val="22"/>
          <w:lang w:val="en-US" w:eastAsia="zh-CN"/>
        </w:rPr>
        <w:t xml:space="preserve">          </w:t>
      </w:r>
      <w:r>
        <w:rPr>
          <w:rFonts w:hint="eastAsia" w:ascii="Arial" w:hAnsi="Arial" w:eastAsia="黑体" w:cs="Arial"/>
          <w:b w:val="0"/>
          <w:bCs/>
          <w:kern w:val="2"/>
          <w:sz w:val="22"/>
          <w:lang w:val="en-US" w:eastAsia="zh-CN"/>
        </w:rPr>
        <w:t>：深圳市福田区福安社区中心四路1号嘉里建设广场T</w:t>
      </w:r>
      <w:r>
        <w:rPr>
          <w:rFonts w:ascii="Arial" w:hAnsi="Arial" w:eastAsia="黑体" w:cs="Arial"/>
          <w:b w:val="0"/>
          <w:bCs/>
          <w:kern w:val="2"/>
          <w:sz w:val="22"/>
          <w:lang w:val="en-US" w:eastAsia="zh-CN"/>
        </w:rPr>
        <w:t>2</w:t>
      </w:r>
      <w:r>
        <w:rPr>
          <w:rFonts w:hint="eastAsia" w:ascii="Arial" w:hAnsi="Arial" w:eastAsia="黑体" w:cs="Arial"/>
          <w:b w:val="0"/>
          <w:bCs/>
          <w:kern w:val="2"/>
          <w:sz w:val="22"/>
          <w:lang w:val="en-US" w:eastAsia="zh-CN"/>
        </w:rPr>
        <w:t>座5</w:t>
      </w:r>
      <w:r>
        <w:rPr>
          <w:rFonts w:ascii="Arial" w:hAnsi="Arial" w:eastAsia="黑体" w:cs="Arial"/>
          <w:b w:val="0"/>
          <w:bCs/>
          <w:kern w:val="2"/>
          <w:sz w:val="22"/>
          <w:lang w:val="en-US" w:eastAsia="zh-CN"/>
        </w:rPr>
        <w:t>03A\502B1</w:t>
      </w: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法定代表人    ：程家龙</w:t>
      </w: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 xml:space="preserve">资质等级   </w:t>
      </w:r>
      <w:r>
        <w:rPr>
          <w:rFonts w:ascii="Arial" w:hAnsi="Arial" w:eastAsia="黑体" w:cs="Arial"/>
          <w:b w:val="0"/>
          <w:bCs/>
          <w:kern w:val="2"/>
          <w:sz w:val="22"/>
          <w:lang w:val="en-US" w:eastAsia="zh-CN"/>
        </w:rPr>
        <w:t xml:space="preserve">  </w:t>
      </w:r>
      <w:r>
        <w:rPr>
          <w:rFonts w:hint="eastAsia" w:ascii="Arial" w:hAnsi="Arial" w:eastAsia="黑体" w:cs="Arial"/>
          <w:b w:val="0"/>
          <w:bCs/>
          <w:kern w:val="2"/>
          <w:sz w:val="22"/>
          <w:lang w:val="en-US" w:eastAsia="zh-CN"/>
        </w:rPr>
        <w:t xml:space="preserve"> ：房地产估价一级资质</w:t>
      </w: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资质证书编号  ：粤房估备字壹</w:t>
      </w:r>
      <w:r>
        <w:rPr>
          <w:rFonts w:ascii="Arial" w:hAnsi="Arial" w:eastAsia="黑体" w:cs="Arial"/>
          <w:b w:val="0"/>
          <w:bCs/>
          <w:kern w:val="2"/>
          <w:sz w:val="22"/>
          <w:lang w:val="en-US" w:eastAsia="zh-CN"/>
        </w:rPr>
        <w:t>0200022</w:t>
      </w:r>
    </w:p>
    <w:p>
      <w:pPr>
        <w:pStyle w:val="39"/>
        <w:tabs>
          <w:tab w:val="left" w:pos="552"/>
        </w:tabs>
        <w:ind w:left="566" w:leftChars="246"/>
        <w:jc w:val="both"/>
        <w:rPr>
          <w:rFonts w:ascii="Arial" w:hAnsi="Arial" w:eastAsia="黑体" w:cs="Arial"/>
          <w:b w:val="0"/>
          <w:bCs/>
          <w:kern w:val="2"/>
          <w:sz w:val="22"/>
          <w:lang w:val="en-US" w:eastAsia="zh-CN"/>
        </w:rPr>
      </w:pPr>
      <w:r>
        <w:rPr>
          <w:rFonts w:hint="eastAsia" w:ascii="Arial" w:hAnsi="Arial" w:eastAsia="黑体" w:cs="Arial"/>
          <w:b w:val="0"/>
          <w:bCs/>
          <w:kern w:val="2"/>
          <w:sz w:val="22"/>
          <w:lang w:val="en-US" w:eastAsia="zh-CN"/>
        </w:rPr>
        <w:t xml:space="preserve">资质有效期限 </w:t>
      </w:r>
      <w:r>
        <w:rPr>
          <w:rFonts w:ascii="Arial" w:hAnsi="Arial" w:eastAsia="黑体" w:cs="Arial"/>
          <w:b w:val="0"/>
          <w:bCs/>
          <w:kern w:val="2"/>
          <w:sz w:val="22"/>
          <w:lang w:val="en-US" w:eastAsia="zh-CN"/>
        </w:rPr>
        <w:t xml:space="preserve"> </w:t>
      </w:r>
      <w:r>
        <w:rPr>
          <w:rFonts w:hint="eastAsia" w:ascii="Arial" w:hAnsi="Arial" w:eastAsia="黑体" w:cs="Arial"/>
          <w:b w:val="0"/>
          <w:bCs/>
          <w:kern w:val="2"/>
          <w:sz w:val="22"/>
          <w:lang w:val="en-US" w:eastAsia="zh-CN"/>
        </w:rPr>
        <w:t>：至202</w:t>
      </w:r>
      <w:r>
        <w:rPr>
          <w:rFonts w:ascii="Arial" w:hAnsi="Arial" w:eastAsia="黑体" w:cs="Arial"/>
          <w:b w:val="0"/>
          <w:bCs/>
          <w:kern w:val="2"/>
          <w:sz w:val="22"/>
          <w:lang w:val="en-US" w:eastAsia="zh-CN"/>
        </w:rPr>
        <w:t>3</w:t>
      </w:r>
      <w:r>
        <w:rPr>
          <w:rFonts w:hint="eastAsia" w:ascii="Arial" w:hAnsi="Arial" w:eastAsia="黑体" w:cs="Arial"/>
          <w:b w:val="0"/>
          <w:bCs/>
          <w:kern w:val="2"/>
          <w:sz w:val="22"/>
          <w:lang w:val="en-US" w:eastAsia="zh-CN"/>
        </w:rPr>
        <w:t>年1</w:t>
      </w:r>
      <w:r>
        <w:rPr>
          <w:rFonts w:ascii="Arial" w:hAnsi="Arial" w:eastAsia="黑体" w:cs="Arial"/>
          <w:b w:val="0"/>
          <w:bCs/>
          <w:kern w:val="2"/>
          <w:sz w:val="22"/>
          <w:lang w:val="en-US" w:eastAsia="zh-CN"/>
        </w:rPr>
        <w:t>1</w:t>
      </w:r>
      <w:r>
        <w:rPr>
          <w:rFonts w:hint="eastAsia" w:ascii="Arial" w:hAnsi="Arial" w:eastAsia="黑体" w:cs="Arial"/>
          <w:b w:val="0"/>
          <w:bCs/>
          <w:kern w:val="2"/>
          <w:sz w:val="22"/>
          <w:lang w:val="en-US" w:eastAsia="zh-CN"/>
        </w:rPr>
        <w:t>月</w:t>
      </w:r>
      <w:r>
        <w:rPr>
          <w:rFonts w:ascii="Arial" w:hAnsi="Arial" w:eastAsia="黑体" w:cs="Arial"/>
          <w:b w:val="0"/>
          <w:bCs/>
          <w:kern w:val="2"/>
          <w:sz w:val="22"/>
          <w:lang w:val="en-US" w:eastAsia="zh-CN"/>
        </w:rPr>
        <w:t>3</w:t>
      </w:r>
      <w:r>
        <w:rPr>
          <w:rFonts w:hint="eastAsia" w:ascii="Arial" w:hAnsi="Arial" w:eastAsia="黑体" w:cs="Arial"/>
          <w:b w:val="0"/>
          <w:bCs/>
          <w:kern w:val="2"/>
          <w:sz w:val="22"/>
          <w:lang w:val="en-US" w:eastAsia="zh-CN"/>
        </w:rPr>
        <w:t>日</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7" w:name="_Toc30084707"/>
      <w:r>
        <w:rPr>
          <w:rFonts w:hint="eastAsia" w:ascii="Arial" w:hAnsi="Arial" w:eastAsia="黑体" w:cs="Arial"/>
          <w:bCs/>
          <w:kern w:val="2"/>
          <w:sz w:val="22"/>
          <w:lang w:val="en-US" w:eastAsia="zh-CN"/>
        </w:rPr>
        <w:t>估价目的</w:t>
      </w:r>
      <w:bookmarkEnd w:id="7"/>
    </w:p>
    <w:p>
      <w:pPr>
        <w:pStyle w:val="39"/>
        <w:tabs>
          <w:tab w:val="left" w:pos="552"/>
        </w:tabs>
        <w:ind w:left="566" w:leftChars="246"/>
        <w:jc w:val="both"/>
        <w:rPr>
          <w:rFonts w:ascii="Arial" w:hAnsi="Arial" w:eastAsia="黑体" w:cs="Arial"/>
          <w:b w:val="0"/>
          <w:bCs/>
          <w:kern w:val="2"/>
          <w:sz w:val="22"/>
          <w:lang w:val="en-US" w:eastAsia="zh-CN"/>
        </w:rPr>
      </w:pPr>
    </w:p>
    <w:p>
      <w:pPr>
        <w:pStyle w:val="39"/>
        <w:tabs>
          <w:tab w:val="left" w:pos="552"/>
        </w:tabs>
        <w:ind w:left="566" w:leftChars="246"/>
        <w:jc w:val="both"/>
        <w:rPr>
          <w:rFonts w:ascii="Arial" w:hAnsi="Arial" w:eastAsia="黑体" w:cs="Arial"/>
          <w:b w:val="0"/>
          <w:bCs/>
          <w:kern w:val="2"/>
          <w:sz w:val="22"/>
          <w:lang w:val="en-US" w:eastAsia="zh-CN"/>
        </w:rPr>
      </w:pPr>
      <w:r>
        <w:rPr>
          <w:rFonts w:ascii="Arial" w:hAnsi="Arial" w:eastAsia="黑体" w:cs="Arial"/>
          <w:b w:val="0"/>
          <w:bCs/>
          <w:kern w:val="2"/>
          <w:sz w:val="22"/>
          <w:lang w:val="en-US" w:eastAsia="zh-CN"/>
        </w:rPr>
        <w:t>为估价委托人审理案件提供参考依据而评估房屋市场价值。</w:t>
      </w:r>
    </w:p>
    <w:p>
      <w:pPr>
        <w:pStyle w:val="39"/>
        <w:tabs>
          <w:tab w:val="left" w:pos="552"/>
        </w:tabs>
        <w:ind w:left="566" w:leftChars="246"/>
        <w:jc w:val="both"/>
        <w:rPr>
          <w:rFonts w:ascii="Arial" w:hAnsi="Arial" w:eastAsia="黑体" w:cs="Arial"/>
          <w:b w:val="0"/>
          <w:bCs/>
          <w:kern w:val="2"/>
          <w:sz w:val="22"/>
          <w:lang w:val="en-US"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8" w:name="_Toc30084708"/>
      <w:r>
        <w:rPr>
          <w:rFonts w:hint="eastAsia" w:ascii="Arial" w:hAnsi="Arial" w:eastAsia="黑体" w:cs="Arial"/>
          <w:bCs/>
          <w:kern w:val="2"/>
          <w:sz w:val="22"/>
          <w:lang w:val="en-US" w:eastAsia="zh-CN"/>
        </w:rPr>
        <w:t>估价对象</w:t>
      </w:r>
      <w:bookmarkEnd w:id="8"/>
    </w:p>
    <w:p>
      <w:pPr>
        <w:pStyle w:val="39"/>
        <w:tabs>
          <w:tab w:val="left" w:pos="552"/>
        </w:tabs>
        <w:ind w:left="566" w:leftChars="246"/>
        <w:jc w:val="both"/>
        <w:rPr>
          <w:rFonts w:ascii="Arial" w:hAnsi="Arial" w:eastAsia="黑体" w:cs="Arial"/>
          <w:bCs/>
          <w:kern w:val="2"/>
          <w:sz w:val="22"/>
          <w:lang w:val="en-US" w:eastAsia="zh-CN"/>
        </w:rPr>
      </w:pPr>
    </w:p>
    <w:p>
      <w:pPr>
        <w:pStyle w:val="39"/>
        <w:numPr>
          <w:ilvl w:val="2"/>
          <w:numId w:val="1"/>
        </w:numPr>
        <w:tabs>
          <w:tab w:val="left" w:pos="552"/>
        </w:tabs>
        <w:ind w:left="567"/>
        <w:jc w:val="both"/>
        <w:rPr>
          <w:rFonts w:ascii="Arial" w:hAnsi="Arial" w:eastAsia="黑体" w:cs="Arial"/>
          <w:bCs/>
          <w:kern w:val="2"/>
          <w:sz w:val="22"/>
          <w:lang w:val="en-US" w:eastAsia="zh-CN"/>
        </w:rPr>
      </w:pPr>
      <w:bookmarkStart w:id="9" w:name="_Toc24451299"/>
      <w:bookmarkStart w:id="10" w:name="_Toc9243095"/>
      <w:bookmarkStart w:id="11" w:name="_Toc8979134"/>
      <w:bookmarkStart w:id="12" w:name="_Toc8979380"/>
      <w:r>
        <w:rPr>
          <w:rFonts w:hint="eastAsia" w:ascii="Arial" w:hAnsi="Arial" w:eastAsia="黑体" w:cs="Arial"/>
          <w:bCs/>
          <w:kern w:val="2"/>
          <w:sz w:val="22"/>
          <w:lang w:val="en-US" w:eastAsia="zh-CN"/>
        </w:rPr>
        <w:t>估价对象财产范围</w:t>
      </w:r>
      <w:bookmarkEnd w:id="9"/>
      <w:bookmarkEnd w:id="10"/>
      <w:bookmarkEnd w:id="11"/>
      <w:bookmarkEnd w:id="12"/>
    </w:p>
    <w:p>
      <w:pPr>
        <w:pStyle w:val="39"/>
        <w:tabs>
          <w:tab w:val="left" w:pos="552"/>
        </w:tabs>
        <w:ind w:left="566" w:leftChars="246"/>
        <w:jc w:val="both"/>
        <w:rPr>
          <w:rFonts w:ascii="Arial" w:hAnsi="Arial" w:eastAsia="黑体"/>
          <w:b w:val="0"/>
          <w:lang w:eastAsia="zh-CN"/>
        </w:rPr>
      </w:pPr>
    </w:p>
    <w:p>
      <w:pPr>
        <w:pStyle w:val="39"/>
        <w:tabs>
          <w:tab w:val="left" w:pos="552"/>
        </w:tabs>
        <w:ind w:left="566" w:leftChars="246"/>
        <w:jc w:val="both"/>
        <w:rPr>
          <w:rFonts w:ascii="Arial" w:hAnsi="Arial" w:eastAsia="黑体"/>
          <w:b w:val="0"/>
          <w:lang w:eastAsia="zh-CN"/>
        </w:rPr>
      </w:pPr>
      <w:r>
        <w:rPr>
          <w:rFonts w:hint="eastAsia" w:ascii="Arial" w:hAnsi="Arial" w:eastAsia="黑体" w:cs="Arial"/>
          <w:b w:val="0"/>
          <w:sz w:val="22"/>
          <w:lang w:eastAsia="zh-CN"/>
        </w:rPr>
        <w:t>本次评估的财产</w:t>
      </w:r>
      <w:r>
        <w:rPr>
          <w:rFonts w:ascii="Arial" w:hAnsi="Arial" w:eastAsia="黑体" w:cs="Arial"/>
          <w:b w:val="0"/>
          <w:sz w:val="22"/>
          <w:lang w:eastAsia="zh-CN"/>
        </w:rPr>
        <w:t>范围</w:t>
      </w:r>
      <w:r>
        <w:rPr>
          <w:rFonts w:hint="eastAsia" w:ascii="Arial" w:hAnsi="Arial" w:eastAsia="黑体" w:cs="Arial"/>
          <w:b w:val="0"/>
          <w:sz w:val="22"/>
          <w:lang w:eastAsia="zh-CN"/>
        </w:rPr>
        <w:t>包括估价对象的建筑物所有权（含室内装修及不可移动的房屋附属设施设备）及其国有土地使用权，不含室内可移动设施设备等动产，不含特许经营权，不含估价对象涉及的债权债务等其他财产或权益。</w:t>
      </w:r>
    </w:p>
    <w:p>
      <w:pPr>
        <w:pStyle w:val="39"/>
        <w:tabs>
          <w:tab w:val="left" w:pos="552"/>
        </w:tabs>
        <w:ind w:left="566" w:leftChars="246"/>
        <w:jc w:val="both"/>
        <w:rPr>
          <w:rFonts w:ascii="Arial" w:hAnsi="Arial" w:eastAsia="黑体"/>
          <w:b w:val="0"/>
          <w:lang w:eastAsia="zh-CN"/>
        </w:rPr>
      </w:pPr>
    </w:p>
    <w:p>
      <w:pPr>
        <w:pStyle w:val="39"/>
        <w:numPr>
          <w:ilvl w:val="2"/>
          <w:numId w:val="1"/>
        </w:numPr>
        <w:tabs>
          <w:tab w:val="left" w:pos="552"/>
        </w:tabs>
        <w:ind w:left="567"/>
        <w:jc w:val="both"/>
        <w:rPr>
          <w:rFonts w:ascii="Arial" w:hAnsi="Arial" w:eastAsia="黑体" w:cs="Arial"/>
          <w:bCs/>
          <w:kern w:val="2"/>
          <w:sz w:val="22"/>
          <w:lang w:val="en-US" w:eastAsia="zh-CN"/>
        </w:rPr>
      </w:pPr>
      <w:bookmarkStart w:id="13" w:name="_Toc8979135"/>
      <w:bookmarkStart w:id="14" w:name="_Toc9243096"/>
      <w:bookmarkStart w:id="15" w:name="_Toc24451300"/>
      <w:bookmarkStart w:id="16" w:name="_Toc8979381"/>
      <w:r>
        <w:rPr>
          <w:rFonts w:hint="eastAsia" w:ascii="Arial" w:hAnsi="Arial" w:eastAsia="黑体" w:cs="Arial"/>
          <w:bCs/>
          <w:kern w:val="2"/>
          <w:sz w:val="22"/>
          <w:lang w:val="en-US" w:eastAsia="zh-CN"/>
        </w:rPr>
        <w:t>估价对象基本状况</w:t>
      </w:r>
      <w:bookmarkEnd w:id="13"/>
      <w:bookmarkEnd w:id="14"/>
      <w:bookmarkEnd w:id="15"/>
      <w:bookmarkEnd w:id="16"/>
    </w:p>
    <w:p>
      <w:pPr>
        <w:pStyle w:val="39"/>
        <w:tabs>
          <w:tab w:val="left" w:pos="552"/>
        </w:tabs>
        <w:ind w:left="566" w:leftChars="246"/>
        <w:jc w:val="both"/>
        <w:rPr>
          <w:rFonts w:ascii="Arial" w:hAnsi="Arial" w:eastAsia="黑体"/>
          <w:b w:val="0"/>
          <w:lang w:eastAsia="zh-CN"/>
        </w:rPr>
      </w:pPr>
    </w:p>
    <w:tbl>
      <w:tblPr>
        <w:tblStyle w:val="42"/>
        <w:tblW w:w="8448" w:type="dxa"/>
        <w:tblInd w:w="566"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autofit"/>
        <w:tblCellMar>
          <w:top w:w="0" w:type="dxa"/>
          <w:left w:w="108" w:type="dxa"/>
          <w:bottom w:w="0" w:type="dxa"/>
          <w:right w:w="108" w:type="dxa"/>
        </w:tblCellMar>
      </w:tblPr>
      <w:tblGrid>
        <w:gridCol w:w="2268"/>
        <w:gridCol w:w="6180"/>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b/>
                <w:color w:val="000000" w:themeColor="text1"/>
                <w:sz w:val="20"/>
                <w:lang w:eastAsia="zh-CN"/>
                <w14:textFill>
                  <w14:solidFill>
                    <w14:schemeClr w14:val="tx1"/>
                  </w14:solidFill>
                </w14:textFill>
              </w:rPr>
              <w:t>名称（坐落）</w:t>
            </w:r>
          </w:p>
        </w:tc>
        <w:tc>
          <w:tcPr>
            <w:tcW w:w="6180"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中山市东凤镇南安路四栋住宅房地产</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b/>
                <w:color w:val="000000" w:themeColor="text1"/>
                <w:sz w:val="20"/>
                <w:lang w:eastAsia="zh-CN"/>
                <w14:textFill>
                  <w14:solidFill>
                    <w14:schemeClr w14:val="tx1"/>
                  </w14:solidFill>
                </w14:textFill>
              </w:rPr>
              <w:t>建筑面积</w:t>
            </w:r>
          </w:p>
        </w:tc>
        <w:tc>
          <w:tcPr>
            <w:tcW w:w="6180"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合计</w:t>
            </w:r>
            <w:r>
              <w:rPr>
                <w:rFonts w:ascii="Arial" w:hAnsi="Arial" w:eastAsia="黑体"/>
                <w:color w:val="000000" w:themeColor="text1"/>
                <w:sz w:val="20"/>
                <w:lang w:eastAsia="zh-CN"/>
                <w14:textFill>
                  <w14:solidFill>
                    <w14:schemeClr w14:val="tx1"/>
                  </w14:solidFill>
                </w14:textFill>
              </w:rPr>
              <w:t>9,621.2平方米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b/>
                <w:color w:val="000000" w:themeColor="text1"/>
                <w:sz w:val="20"/>
                <w:lang w:eastAsia="zh-CN"/>
                <w14:textFill>
                  <w14:solidFill>
                    <w14:schemeClr w14:val="tx1"/>
                  </w14:solidFill>
                </w14:textFill>
              </w:rPr>
              <w:t>土地使用面积</w:t>
            </w:r>
          </w:p>
        </w:tc>
        <w:tc>
          <w:tcPr>
            <w:tcW w:w="6180"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合计</w:t>
            </w:r>
            <w:r>
              <w:rPr>
                <w:rFonts w:ascii="Arial" w:hAnsi="Arial" w:eastAsia="黑体"/>
                <w:color w:val="000000" w:themeColor="text1"/>
                <w:sz w:val="20"/>
                <w:lang w:eastAsia="zh-CN"/>
                <w14:textFill>
                  <w14:solidFill>
                    <w14:schemeClr w14:val="tx1"/>
                  </w14:solidFill>
                </w14:textFill>
              </w:rPr>
              <w:t>3,286.2</w:t>
            </w:r>
            <w:r>
              <w:rPr>
                <w:rFonts w:hint="eastAsia" w:ascii="Arial" w:hAnsi="Arial" w:eastAsia="黑体"/>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b/>
                <w:color w:val="000000" w:themeColor="text1"/>
                <w:sz w:val="20"/>
                <w:lang w:eastAsia="zh-CN"/>
                <w14:textFill>
                  <w14:solidFill>
                    <w14:schemeClr w14:val="tx1"/>
                  </w14:solidFill>
                </w14:textFill>
              </w:rPr>
              <w:t>规划用途</w:t>
            </w:r>
          </w:p>
        </w:tc>
        <w:tc>
          <w:tcPr>
            <w:tcW w:w="6180"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b/>
                <w:color w:val="000000" w:themeColor="text1"/>
                <w:sz w:val="20"/>
                <w:lang w:eastAsia="zh-CN"/>
                <w14:textFill>
                  <w14:solidFill>
                    <w14:schemeClr w14:val="tx1"/>
                  </w14:solidFill>
                </w14:textFill>
              </w:rPr>
              <w:t>权利人</w:t>
            </w:r>
          </w:p>
        </w:tc>
        <w:tc>
          <w:tcPr>
            <w:tcW w:w="6180"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黎凌</w:t>
            </w:r>
          </w:p>
        </w:tc>
      </w:tr>
    </w:tbl>
    <w:p>
      <w:pPr>
        <w:pStyle w:val="39"/>
        <w:tabs>
          <w:tab w:val="left" w:pos="552"/>
        </w:tabs>
        <w:ind w:left="566" w:leftChars="246"/>
        <w:jc w:val="both"/>
        <w:rPr>
          <w:rFonts w:ascii="Arial" w:hAnsi="Arial" w:eastAsia="黑体"/>
          <w:b w:val="0"/>
          <w:lang w:eastAsia="zh-CN"/>
        </w:rPr>
      </w:pPr>
    </w:p>
    <w:p>
      <w:pPr>
        <w:pStyle w:val="39"/>
        <w:pageBreakBefore/>
        <w:numPr>
          <w:ilvl w:val="2"/>
          <w:numId w:val="1"/>
        </w:numPr>
        <w:tabs>
          <w:tab w:val="left" w:pos="552"/>
        </w:tabs>
        <w:ind w:left="567"/>
        <w:jc w:val="both"/>
        <w:rPr>
          <w:rFonts w:ascii="Arial" w:hAnsi="Arial" w:eastAsia="黑体" w:cs="Arial"/>
          <w:bCs/>
          <w:kern w:val="2"/>
          <w:sz w:val="22"/>
          <w:lang w:val="en-US" w:eastAsia="zh-CN"/>
        </w:rPr>
      </w:pPr>
      <w:bookmarkStart w:id="17" w:name="_Toc24451301"/>
      <w:bookmarkStart w:id="18" w:name="_Toc9243097"/>
      <w:bookmarkStart w:id="19" w:name="_Toc8979382"/>
      <w:bookmarkStart w:id="20" w:name="_Toc8979136"/>
      <w:r>
        <w:rPr>
          <w:rFonts w:hint="eastAsia" w:ascii="Arial" w:hAnsi="Arial" w:eastAsia="黑体" w:cs="Arial"/>
          <w:bCs/>
          <w:kern w:val="2"/>
          <w:sz w:val="22"/>
          <w:lang w:val="en-US" w:eastAsia="zh-CN"/>
        </w:rPr>
        <w:t>估价对象产权登记情况</w:t>
      </w:r>
      <w:bookmarkEnd w:id="17"/>
      <w:bookmarkEnd w:id="18"/>
      <w:bookmarkEnd w:id="19"/>
      <w:bookmarkEnd w:id="20"/>
    </w:p>
    <w:p>
      <w:pPr>
        <w:pStyle w:val="39"/>
        <w:tabs>
          <w:tab w:val="left" w:pos="552"/>
        </w:tabs>
        <w:ind w:left="566" w:leftChars="246"/>
        <w:jc w:val="both"/>
        <w:rPr>
          <w:rFonts w:ascii="Arial" w:hAnsi="Arial" w:eastAsia="黑体"/>
          <w:b w:val="0"/>
          <w:lang w:eastAsia="zh-CN"/>
        </w:rPr>
      </w:pPr>
    </w:p>
    <w:p>
      <w:pPr>
        <w:spacing w:line="240" w:lineRule="auto"/>
        <w:ind w:left="566" w:leftChars="246"/>
        <w:jc w:val="both"/>
        <w:rPr>
          <w:rFonts w:ascii="Arial" w:hAnsi="Arial" w:eastAsia="黑体"/>
          <w:b/>
          <w:lang w:eastAsia="zh-CN"/>
        </w:rPr>
      </w:pPr>
      <w:r>
        <w:rPr>
          <w:rFonts w:hint="eastAsia" w:ascii="Arial" w:hAnsi="Arial" w:eastAsia="黑体"/>
          <w:b/>
          <w:lang w:eastAsia="zh-CN"/>
        </w:rPr>
        <w:t>《中山市不动产登记资料查询结果》复印件摘录</w:t>
      </w:r>
    </w:p>
    <w:p>
      <w:pPr>
        <w:pStyle w:val="39"/>
        <w:tabs>
          <w:tab w:val="left" w:pos="552"/>
        </w:tabs>
        <w:ind w:left="566" w:leftChars="246"/>
        <w:jc w:val="both"/>
        <w:rPr>
          <w:rFonts w:ascii="Arial" w:hAnsi="Arial" w:eastAsia="黑体"/>
          <w:b w:val="0"/>
          <w:lang w:val="en-US" w:eastAsia="zh-CN"/>
        </w:rPr>
      </w:pPr>
    </w:p>
    <w:tbl>
      <w:tblPr>
        <w:tblStyle w:val="42"/>
        <w:tblW w:w="8504" w:type="dxa"/>
        <w:tblInd w:w="567"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108" w:type="dxa"/>
          <w:bottom w:w="0" w:type="dxa"/>
          <w:right w:w="108" w:type="dxa"/>
        </w:tblCellMar>
      </w:tblPr>
      <w:tblGrid>
        <w:gridCol w:w="2268"/>
        <w:gridCol w:w="6236"/>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查询结果编号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2021012700756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权利人</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黎凌</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不动产单元号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01600</w:t>
            </w:r>
            <w:r>
              <w:rPr>
                <w:rFonts w:hint="eastAsia" w:ascii="Arial" w:hAnsi="Arial" w:eastAsia="黑体" w:cs="Arial"/>
                <w:color w:val="000000" w:themeColor="text1"/>
                <w:sz w:val="20"/>
                <w:lang w:eastAsia="zh-CN"/>
                <w14:textFill>
                  <w14:solidFill>
                    <w14:schemeClr w14:val="tx1"/>
                  </w14:solidFill>
                </w14:textFill>
              </w:rPr>
              <w:t>W</w:t>
            </w:r>
            <w:r>
              <w:rPr>
                <w:rFonts w:ascii="Arial" w:hAnsi="Arial" w:eastAsia="黑体" w:cs="Arial"/>
                <w:color w:val="000000" w:themeColor="text1"/>
                <w:sz w:val="20"/>
                <w:lang w:eastAsia="zh-CN"/>
                <w14:textFill>
                  <w14:solidFill>
                    <w14:schemeClr w14:val="tx1"/>
                  </w14:solidFill>
                </w14:textFill>
              </w:rPr>
              <w:t>0000000</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 xml:space="preserve">0         </w:t>
            </w:r>
            <w:r>
              <w:rPr>
                <w:rFonts w:hint="eastAsia" w:ascii="Arial" w:hAnsi="Arial" w:eastAsia="黑体" w:cs="Arial"/>
                <w:color w:val="000000" w:themeColor="text1"/>
                <w:sz w:val="20"/>
                <w:lang w:eastAsia="zh-CN"/>
                <w14:textFill>
                  <w14:solidFill>
                    <w14:schemeClr w14:val="tx1"/>
                  </w14:solidFill>
                </w14:textFill>
              </w:rPr>
              <w:t>，4</w:t>
            </w:r>
            <w:r>
              <w:rPr>
                <w:rFonts w:ascii="Arial" w:hAnsi="Arial" w:eastAsia="黑体" w:cs="Arial"/>
                <w:color w:val="000000" w:themeColor="text1"/>
                <w:sz w:val="20"/>
                <w:lang w:eastAsia="zh-CN"/>
                <w14:textFill>
                  <w14:solidFill>
                    <w14:schemeClr w14:val="tx1"/>
                  </w14:solidFill>
                </w14:textFill>
              </w:rPr>
              <w:t>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01664</w:t>
            </w:r>
            <w:r>
              <w:rPr>
                <w:rFonts w:hint="eastAsia" w:ascii="Arial" w:hAnsi="Arial" w:eastAsia="黑体" w:cs="Arial"/>
                <w:color w:val="000000" w:themeColor="text1"/>
                <w:sz w:val="20"/>
                <w:lang w:eastAsia="zh-CN"/>
                <w14:textFill>
                  <w14:solidFill>
                    <w14:schemeClr w14:val="tx1"/>
                  </w14:solidFill>
                </w14:textFill>
              </w:rPr>
              <w:t>F</w:t>
            </w:r>
            <w:r>
              <w:rPr>
                <w:rFonts w:ascii="Arial" w:hAnsi="Arial" w:eastAsia="黑体" w:cs="Arial"/>
                <w:color w:val="000000" w:themeColor="text1"/>
                <w:sz w:val="20"/>
                <w:lang w:eastAsia="zh-CN"/>
                <w14:textFill>
                  <w14:solidFill>
                    <w14:schemeClr w14:val="tx1"/>
                  </w14:solidFill>
                </w14:textFill>
              </w:rPr>
              <w:t>00010005</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证件种类</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其它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证件号码</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440620195204085492</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房地坐落</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不动产权证号（土地证号、房产证号）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国（2</w:t>
            </w:r>
            <w:r>
              <w:rPr>
                <w:rFonts w:ascii="Arial" w:hAnsi="Arial" w:eastAsia="黑体" w:cs="Arial"/>
                <w:color w:val="000000" w:themeColor="text1"/>
                <w:sz w:val="20"/>
                <w:lang w:eastAsia="zh-CN"/>
                <w14:textFill>
                  <w14:solidFill>
                    <w14:schemeClr w14:val="tx1"/>
                  </w14:solidFill>
                </w14:textFill>
              </w:rPr>
              <w:t>010</w:t>
            </w:r>
            <w:r>
              <w:rPr>
                <w:rFonts w:hint="eastAsia" w:ascii="Arial" w:hAnsi="Arial" w:eastAsia="黑体" w:cs="Arial"/>
                <w:color w:val="000000" w:themeColor="text1"/>
                <w:sz w:val="20"/>
                <w:lang w:eastAsia="zh-CN"/>
                <w14:textFill>
                  <w14:solidFill>
                    <w14:schemeClr w14:val="tx1"/>
                  </w14:solidFill>
                </w14:textFill>
              </w:rPr>
              <w:t>）0</w:t>
            </w:r>
            <w:r>
              <w:rPr>
                <w:rFonts w:ascii="Arial" w:hAnsi="Arial" w:eastAsia="黑体" w:cs="Arial"/>
                <w:color w:val="000000" w:themeColor="text1"/>
                <w:sz w:val="20"/>
                <w:lang w:eastAsia="zh-CN"/>
                <w14:textFill>
                  <w14:solidFill>
                    <w14:schemeClr w14:val="tx1"/>
                  </w14:solidFill>
                </w14:textFill>
              </w:rPr>
              <w:t>30041</w:t>
            </w:r>
            <w:r>
              <w:rPr>
                <w:rFonts w:hint="eastAsia" w:ascii="Arial" w:hAnsi="Arial" w:eastAsia="黑体" w:cs="Arial"/>
                <w:color w:val="000000" w:themeColor="text1"/>
                <w:sz w:val="20"/>
                <w:lang w:eastAsia="zh-CN"/>
                <w14:textFill>
                  <w14:solidFill>
                    <w14:schemeClr w14:val="tx1"/>
                  </w14:solidFill>
                </w14:textFill>
              </w:rPr>
              <w:t>，C</w:t>
            </w:r>
            <w:r>
              <w:rPr>
                <w:rFonts w:ascii="Arial" w:hAnsi="Arial" w:eastAsia="黑体" w:cs="Arial"/>
                <w:color w:val="000000" w:themeColor="text1"/>
                <w:sz w:val="20"/>
                <w:lang w:eastAsia="zh-CN"/>
                <w14:textFill>
                  <w14:solidFill>
                    <w14:schemeClr w14:val="tx1"/>
                  </w14:solidFill>
                </w14:textFill>
              </w:rPr>
              <w:t>6713316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房产登记字号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2</w:t>
            </w:r>
            <w:r>
              <w:rPr>
                <w:rFonts w:ascii="Arial" w:hAnsi="Arial" w:eastAsia="黑体" w:cs="Arial"/>
                <w:color w:val="000000" w:themeColor="text1"/>
                <w:sz w:val="20"/>
                <w:lang w:eastAsia="zh-CN"/>
                <w14:textFill>
                  <w14:solidFill>
                    <w14:schemeClr w14:val="tx1"/>
                  </w14:solidFill>
                </w14:textFill>
              </w:rPr>
              <w:t>008</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031382</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土地使用面积</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947.4</w:t>
            </w:r>
            <w:r>
              <w:rPr>
                <w:rFonts w:hint="eastAsia" w:ascii="Arial" w:hAnsi="Arial" w:eastAsia="黑体" w:cs="Aria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土地用途</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城镇住宅用地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土地使用权性质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出让</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土地权属性质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2008-10-27</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使用期限</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2</w:t>
            </w:r>
            <w:r>
              <w:rPr>
                <w:rFonts w:ascii="Arial" w:hAnsi="Arial" w:eastAsia="黑体" w:cs="Segoe UI Symbol"/>
                <w:color w:val="000000" w:themeColor="text1"/>
                <w:sz w:val="20"/>
                <w:lang w:eastAsia="zh-CN"/>
                <w14:textFill>
                  <w14:solidFill>
                    <w14:schemeClr w14:val="tx1"/>
                  </w14:solidFill>
                </w14:textFill>
              </w:rPr>
              <w:t>066-6-29</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权利类型</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国有建设用地使用权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房屋建筑面积</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2</w:t>
            </w:r>
            <w:r>
              <w:rPr>
                <w:rFonts w:ascii="Arial" w:hAnsi="Arial" w:eastAsia="黑体" w:cs="Segoe UI Symbol"/>
                <w:color w:val="000000" w:themeColor="text1"/>
                <w:sz w:val="20"/>
                <w:lang w:eastAsia="zh-CN"/>
                <w14:textFill>
                  <w14:solidFill>
                    <w14:schemeClr w14:val="tx1"/>
                  </w14:solidFill>
                </w14:textFill>
              </w:rPr>
              <w:t>,552.68</w:t>
            </w:r>
            <w:r>
              <w:rPr>
                <w:rFonts w:hint="eastAsia" w:ascii="Arial" w:hAnsi="Arial" w:eastAsia="黑体" w:cs="Segoe UI Symbo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房屋规划用途</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房屋性质</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房屋结构</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钢筋混凝土结构</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2008-10-27</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共有情况</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单独所有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权属状态</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现势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房屋所有权取得方式</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附记</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原批准土地用途：商住；原批准房屋用途：住宅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抵押情况</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抵押权人：兴业银行股份有限公司中山分行</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不动产类型：土地和房屋</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抵押方式：最高额抵押</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被担保主债权数额（万元）：</w:t>
            </w:r>
            <w:r>
              <w:rPr>
                <w:rFonts w:ascii="Arial" w:hAnsi="Arial" w:eastAsia="黑体" w:cs="Segoe UI Symbol"/>
                <w:color w:val="000000" w:themeColor="text1"/>
                <w:sz w:val="20"/>
                <w:lang w:eastAsia="zh-CN"/>
                <w14:textFill>
                  <w14:solidFill>
                    <w14:schemeClr w14:val="tx1"/>
                  </w14:solidFill>
                </w14:textFill>
              </w:rPr>
              <w:t>2338.6</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债务履行期限起：2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登记时间：2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不动产登记证明号：粤房地他项权证中府字第0</w:t>
            </w:r>
            <w:r>
              <w:rPr>
                <w:rFonts w:ascii="Arial" w:hAnsi="Arial" w:eastAsia="黑体" w:cs="Segoe UI Symbol"/>
                <w:color w:val="000000" w:themeColor="text1"/>
                <w:sz w:val="20"/>
                <w:lang w:eastAsia="zh-CN"/>
                <w14:textFill>
                  <w14:solidFill>
                    <w14:schemeClr w14:val="tx1"/>
                  </w14:solidFill>
                </w14:textFill>
              </w:rPr>
              <w:t>113009431</w:t>
            </w:r>
            <w:r>
              <w:rPr>
                <w:rFonts w:hint="eastAsia" w:ascii="Arial" w:hAnsi="Arial" w:eastAsia="黑体" w:cs="Segoe UI Symbol"/>
                <w:color w:val="000000" w:themeColor="text1"/>
                <w:sz w:val="20"/>
                <w:lang w:eastAsia="zh-CN"/>
                <w14:textFill>
                  <w14:solidFill>
                    <w14:schemeClr w14:val="tx1"/>
                  </w14:solidFill>
                </w14:textFill>
              </w:rPr>
              <w:t>号</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权属状态：现势</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附记：D</w:t>
            </w:r>
            <w:r>
              <w:rPr>
                <w:rFonts w:ascii="Arial" w:hAnsi="Arial" w:eastAsia="黑体" w:cs="Segoe UI Symbol"/>
                <w:color w:val="000000" w:themeColor="text1"/>
                <w:sz w:val="20"/>
                <w:lang w:eastAsia="zh-CN"/>
                <w14:textFill>
                  <w14:solidFill>
                    <w14:schemeClr w14:val="tx1"/>
                  </w14:solidFill>
                </w14:textFill>
              </w:rPr>
              <w:t>26</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2013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016210</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137091</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查封信息</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drawing>
                <wp:inline distT="0" distB="0" distL="0" distR="0">
                  <wp:extent cx="3822700" cy="1934210"/>
                  <wp:effectExtent l="0" t="0" r="635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3822700" cy="1934210"/>
                          </a:xfrm>
                          <a:prstGeom prst="rect">
                            <a:avLst/>
                          </a:prstGeom>
                        </pic:spPr>
                      </pic:pic>
                    </a:graphicData>
                  </a:graphic>
                </wp:inline>
              </w:drawing>
            </w:r>
          </w:p>
        </w:tc>
      </w:tr>
    </w:tbl>
    <w:p>
      <w:pPr>
        <w:spacing w:line="240" w:lineRule="auto"/>
        <w:jc w:val="both"/>
        <w:rPr>
          <w:rFonts w:ascii="Arial" w:hAnsi="Arial" w:eastAsia="黑体"/>
          <w:lang w:eastAsia="zh-CN"/>
        </w:rPr>
      </w:pPr>
    </w:p>
    <w:tbl>
      <w:tblPr>
        <w:tblStyle w:val="42"/>
        <w:tblW w:w="8504" w:type="dxa"/>
        <w:tblInd w:w="567"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108" w:type="dxa"/>
          <w:bottom w:w="0" w:type="dxa"/>
          <w:right w:w="108" w:type="dxa"/>
        </w:tblCellMar>
      </w:tblPr>
      <w:tblGrid>
        <w:gridCol w:w="2268"/>
        <w:gridCol w:w="6236"/>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查询结果编号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2021012700770</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权利人</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黎凌</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不动产单元号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w:t>
            </w:r>
            <w:r>
              <w:rPr>
                <w:rFonts w:hint="eastAsia" w:ascii="Arial" w:hAnsi="Arial" w:eastAsia="黑体" w:cs="Arial"/>
                <w:color w:val="000000" w:themeColor="text1"/>
                <w:sz w:val="20"/>
                <w:lang w:eastAsia="zh-CN"/>
                <w14:textFill>
                  <w14:solidFill>
                    <w14:schemeClr w14:val="tx1"/>
                  </w14:solidFill>
                </w14:textFill>
              </w:rPr>
              <w:t>1</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W</w:t>
            </w:r>
            <w:r>
              <w:rPr>
                <w:rFonts w:ascii="Arial" w:hAnsi="Arial" w:eastAsia="黑体" w:cs="Arial"/>
                <w:color w:val="000000" w:themeColor="text1"/>
                <w:sz w:val="20"/>
                <w:lang w:eastAsia="zh-CN"/>
                <w14:textFill>
                  <w14:solidFill>
                    <w14:schemeClr w14:val="tx1"/>
                  </w14:solidFill>
                </w14:textFill>
              </w:rPr>
              <w:t>0000000</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，4</w:t>
            </w:r>
            <w:r>
              <w:rPr>
                <w:rFonts w:ascii="Arial" w:hAnsi="Arial" w:eastAsia="黑体" w:cs="Arial"/>
                <w:color w:val="000000" w:themeColor="text1"/>
                <w:sz w:val="20"/>
                <w:lang w:eastAsia="zh-CN"/>
                <w14:textFill>
                  <w14:solidFill>
                    <w14:schemeClr w14:val="tx1"/>
                  </w14:solidFill>
                </w14:textFill>
              </w:rPr>
              <w:t>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01664</w:t>
            </w:r>
            <w:r>
              <w:rPr>
                <w:rFonts w:hint="eastAsia" w:ascii="Arial" w:hAnsi="Arial" w:eastAsia="黑体" w:cs="Arial"/>
                <w:color w:val="000000" w:themeColor="text1"/>
                <w:sz w:val="20"/>
                <w:lang w:eastAsia="zh-CN"/>
                <w14:textFill>
                  <w14:solidFill>
                    <w14:schemeClr w14:val="tx1"/>
                  </w14:solidFill>
                </w14:textFill>
              </w:rPr>
              <w:t>F</w:t>
            </w:r>
            <w:r>
              <w:rPr>
                <w:rFonts w:ascii="Arial" w:hAnsi="Arial" w:eastAsia="黑体" w:cs="Arial"/>
                <w:color w:val="000000" w:themeColor="text1"/>
                <w:sz w:val="20"/>
                <w:lang w:eastAsia="zh-CN"/>
                <w14:textFill>
                  <w14:solidFill>
                    <w14:schemeClr w14:val="tx1"/>
                  </w14:solidFill>
                </w14:textFill>
              </w:rPr>
              <w:t>00010006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证件种类</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其它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证件号码</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440620195204085492</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房地坐落</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不动产权证号（土地证号、房产证号）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国（2</w:t>
            </w:r>
            <w:r>
              <w:rPr>
                <w:rFonts w:ascii="Arial" w:hAnsi="Arial" w:eastAsia="黑体" w:cs="Arial"/>
                <w:color w:val="000000" w:themeColor="text1"/>
                <w:sz w:val="20"/>
                <w:lang w:eastAsia="zh-CN"/>
                <w14:textFill>
                  <w14:solidFill>
                    <w14:schemeClr w14:val="tx1"/>
                  </w14:solidFill>
                </w14:textFill>
              </w:rPr>
              <w:t>010</w:t>
            </w:r>
            <w:r>
              <w:rPr>
                <w:rFonts w:hint="eastAsia" w:ascii="Arial" w:hAnsi="Arial" w:eastAsia="黑体" w:cs="Arial"/>
                <w:color w:val="000000" w:themeColor="text1"/>
                <w:sz w:val="20"/>
                <w:lang w:eastAsia="zh-CN"/>
                <w14:textFill>
                  <w14:solidFill>
                    <w14:schemeClr w14:val="tx1"/>
                  </w14:solidFill>
                </w14:textFill>
              </w:rPr>
              <w:t>）0</w:t>
            </w:r>
            <w:r>
              <w:rPr>
                <w:rFonts w:ascii="Arial" w:hAnsi="Arial" w:eastAsia="黑体" w:cs="Arial"/>
                <w:color w:val="000000" w:themeColor="text1"/>
                <w:sz w:val="20"/>
                <w:lang w:eastAsia="zh-CN"/>
                <w14:textFill>
                  <w14:solidFill>
                    <w14:schemeClr w14:val="tx1"/>
                  </w14:solidFill>
                </w14:textFill>
              </w:rPr>
              <w:t>30042</w:t>
            </w:r>
            <w:r>
              <w:rPr>
                <w:rFonts w:hint="eastAsia" w:ascii="Arial" w:hAnsi="Arial" w:eastAsia="黑体" w:cs="Arial"/>
                <w:color w:val="000000" w:themeColor="text1"/>
                <w:sz w:val="20"/>
                <w:lang w:eastAsia="zh-CN"/>
                <w14:textFill>
                  <w14:solidFill>
                    <w14:schemeClr w14:val="tx1"/>
                  </w14:solidFill>
                </w14:textFill>
              </w:rPr>
              <w:t>，C</w:t>
            </w:r>
            <w:r>
              <w:rPr>
                <w:rFonts w:ascii="Arial" w:hAnsi="Arial" w:eastAsia="黑体" w:cs="Arial"/>
                <w:color w:val="000000" w:themeColor="text1"/>
                <w:sz w:val="20"/>
                <w:lang w:eastAsia="zh-CN"/>
                <w14:textFill>
                  <w14:solidFill>
                    <w14:schemeClr w14:val="tx1"/>
                  </w14:solidFill>
                </w14:textFill>
              </w:rPr>
              <w:t>6713317</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房产登记字号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2</w:t>
            </w:r>
            <w:r>
              <w:rPr>
                <w:rFonts w:ascii="Arial" w:hAnsi="Arial" w:eastAsia="黑体" w:cs="Arial"/>
                <w:color w:val="000000" w:themeColor="text1"/>
                <w:sz w:val="20"/>
                <w:lang w:eastAsia="zh-CN"/>
                <w14:textFill>
                  <w14:solidFill>
                    <w14:schemeClr w14:val="tx1"/>
                  </w14:solidFill>
                </w14:textFill>
              </w:rPr>
              <w:t>008</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031383</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土地使用面积</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520</w:t>
            </w:r>
            <w:r>
              <w:rPr>
                <w:rFonts w:hint="eastAsia" w:ascii="Arial" w:hAnsi="Arial" w:eastAsia="黑体" w:cs="Aria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土地用途</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城镇住宅用地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土地使用权性质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出让</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土地权属性质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2008-10-27</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使用期限</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2</w:t>
            </w:r>
            <w:r>
              <w:rPr>
                <w:rFonts w:ascii="Arial" w:hAnsi="Arial" w:eastAsia="黑体" w:cs="Segoe UI Symbol"/>
                <w:color w:val="000000" w:themeColor="text1"/>
                <w:sz w:val="20"/>
                <w:lang w:eastAsia="zh-CN"/>
                <w14:textFill>
                  <w14:solidFill>
                    <w14:schemeClr w14:val="tx1"/>
                  </w14:solidFill>
                </w14:textFill>
              </w:rPr>
              <w:t>066-6-29</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权利类型</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国有建设用地使用权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房屋建筑面积</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Segoe UI Symbol"/>
                <w:color w:val="000000" w:themeColor="text1"/>
                <w:sz w:val="20"/>
                <w:lang w:eastAsia="zh-CN"/>
                <w14:textFill>
                  <w14:solidFill>
                    <w14:schemeClr w14:val="tx1"/>
                  </w14:solidFill>
                </w14:textFill>
              </w:rPr>
              <w:t>1,638.36</w:t>
            </w:r>
            <w:r>
              <w:rPr>
                <w:rFonts w:hint="eastAsia" w:ascii="Arial" w:hAnsi="Arial" w:eastAsia="黑体" w:cs="Segoe UI Symbo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房屋规划用途</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房屋性质</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房屋结构</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钢筋混凝土结构</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2008-10-27</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共有情况</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单独所有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权属状态</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现势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房屋所有权取得方式</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附记</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原批准土地用途：商住；原批准房屋用途：住宅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抵押情况</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抵押权人：兴业银行股份有限公司中山分行</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不动产类型：土地和房屋</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抵押方式：最高额抵押</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被担保主债权数额（万元）：</w:t>
            </w:r>
            <w:r>
              <w:rPr>
                <w:rFonts w:ascii="Arial" w:hAnsi="Arial" w:eastAsia="黑体" w:cs="Segoe UI Symbol"/>
                <w:color w:val="000000" w:themeColor="text1"/>
                <w:sz w:val="20"/>
                <w:lang w:eastAsia="zh-CN"/>
                <w14:textFill>
                  <w14:solidFill>
                    <w14:schemeClr w14:val="tx1"/>
                  </w14:solidFill>
                </w14:textFill>
              </w:rPr>
              <w:t>2338.6</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债务履行期限起：2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登记时间：2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不动产登记证明号：粤房地他项权证中府字第0</w:t>
            </w:r>
            <w:r>
              <w:rPr>
                <w:rFonts w:ascii="Arial" w:hAnsi="Arial" w:eastAsia="黑体" w:cs="Segoe UI Symbol"/>
                <w:color w:val="000000" w:themeColor="text1"/>
                <w:sz w:val="20"/>
                <w:lang w:eastAsia="zh-CN"/>
                <w14:textFill>
                  <w14:solidFill>
                    <w14:schemeClr w14:val="tx1"/>
                  </w14:solidFill>
                </w14:textFill>
              </w:rPr>
              <w:t>113009429</w:t>
            </w:r>
            <w:r>
              <w:rPr>
                <w:rFonts w:hint="eastAsia" w:ascii="Arial" w:hAnsi="Arial" w:eastAsia="黑体" w:cs="Segoe UI Symbol"/>
                <w:color w:val="000000" w:themeColor="text1"/>
                <w:sz w:val="20"/>
                <w:lang w:eastAsia="zh-CN"/>
                <w14:textFill>
                  <w14:solidFill>
                    <w14:schemeClr w14:val="tx1"/>
                  </w14:solidFill>
                </w14:textFill>
              </w:rPr>
              <w:t>号</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权属状态：现势</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附记：D</w:t>
            </w:r>
            <w:r>
              <w:rPr>
                <w:rFonts w:ascii="Arial" w:hAnsi="Arial" w:eastAsia="黑体" w:cs="Segoe UI Symbol"/>
                <w:color w:val="000000" w:themeColor="text1"/>
                <w:sz w:val="20"/>
                <w:lang w:eastAsia="zh-CN"/>
                <w14:textFill>
                  <w14:solidFill>
                    <w14:schemeClr w14:val="tx1"/>
                  </w14:solidFill>
                </w14:textFill>
              </w:rPr>
              <w:t>26</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2013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016210</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137041</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查封信息</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drawing>
                <wp:inline distT="0" distB="0" distL="0" distR="0">
                  <wp:extent cx="3822700" cy="16510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822700" cy="1651000"/>
                          </a:xfrm>
                          <a:prstGeom prst="rect">
                            <a:avLst/>
                          </a:prstGeom>
                        </pic:spPr>
                      </pic:pic>
                    </a:graphicData>
                  </a:graphic>
                </wp:inline>
              </w:drawing>
            </w:r>
          </w:p>
        </w:tc>
      </w:tr>
    </w:tbl>
    <w:p>
      <w:pPr>
        <w:spacing w:line="240" w:lineRule="auto"/>
        <w:jc w:val="both"/>
        <w:rPr>
          <w:rFonts w:ascii="Arial" w:hAnsi="Arial" w:eastAsia="黑体"/>
          <w:lang w:eastAsia="zh-CN"/>
        </w:rPr>
      </w:pPr>
    </w:p>
    <w:tbl>
      <w:tblPr>
        <w:tblStyle w:val="42"/>
        <w:tblW w:w="8504" w:type="dxa"/>
        <w:tblInd w:w="567"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108" w:type="dxa"/>
          <w:bottom w:w="0" w:type="dxa"/>
          <w:right w:w="108" w:type="dxa"/>
        </w:tblCellMar>
      </w:tblPr>
      <w:tblGrid>
        <w:gridCol w:w="2268"/>
        <w:gridCol w:w="6236"/>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查询结果编号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2021012700780</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权利人</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黎凌</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不动产单元号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01720</w:t>
            </w:r>
            <w:r>
              <w:rPr>
                <w:rFonts w:hint="eastAsia" w:ascii="Arial" w:hAnsi="Arial" w:eastAsia="黑体" w:cs="Arial"/>
                <w:color w:val="000000" w:themeColor="text1"/>
                <w:sz w:val="20"/>
                <w:lang w:eastAsia="zh-CN"/>
                <w14:textFill>
                  <w14:solidFill>
                    <w14:schemeClr w14:val="tx1"/>
                  </w14:solidFill>
                </w14:textFill>
              </w:rPr>
              <w:t>W</w:t>
            </w:r>
            <w:r>
              <w:rPr>
                <w:rFonts w:ascii="Arial" w:hAnsi="Arial" w:eastAsia="黑体" w:cs="Arial"/>
                <w:color w:val="000000" w:themeColor="text1"/>
                <w:sz w:val="20"/>
                <w:lang w:eastAsia="zh-CN"/>
                <w14:textFill>
                  <w14:solidFill>
                    <w14:schemeClr w14:val="tx1"/>
                  </w14:solidFill>
                </w14:textFill>
              </w:rPr>
              <w:t>0000000</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，4</w:t>
            </w:r>
            <w:r>
              <w:rPr>
                <w:rFonts w:ascii="Arial" w:hAnsi="Arial" w:eastAsia="黑体" w:cs="Arial"/>
                <w:color w:val="000000" w:themeColor="text1"/>
                <w:sz w:val="20"/>
                <w:lang w:eastAsia="zh-CN"/>
                <w14:textFill>
                  <w14:solidFill>
                    <w14:schemeClr w14:val="tx1"/>
                  </w14:solidFill>
                </w14:textFill>
              </w:rPr>
              <w:t>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01720</w:t>
            </w:r>
            <w:r>
              <w:rPr>
                <w:rFonts w:hint="eastAsia" w:ascii="Arial" w:hAnsi="Arial" w:eastAsia="黑体" w:cs="Arial"/>
                <w:color w:val="000000" w:themeColor="text1"/>
                <w:sz w:val="20"/>
                <w:lang w:eastAsia="zh-CN"/>
                <w14:textFill>
                  <w14:solidFill>
                    <w14:schemeClr w14:val="tx1"/>
                  </w14:solidFill>
                </w14:textFill>
              </w:rPr>
              <w:t>F</w:t>
            </w:r>
            <w:r>
              <w:rPr>
                <w:rFonts w:ascii="Arial" w:hAnsi="Arial" w:eastAsia="黑体" w:cs="Arial"/>
                <w:color w:val="000000" w:themeColor="text1"/>
                <w:sz w:val="20"/>
                <w:lang w:eastAsia="zh-CN"/>
                <w14:textFill>
                  <w14:solidFill>
                    <w14:schemeClr w14:val="tx1"/>
                  </w14:solidFill>
                </w14:textFill>
              </w:rPr>
              <w:t>00010001</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证件种类</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其它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证件号码</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440620195204085492</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房地坐落</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不动产权证号（土地证号、房产证号）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国（2</w:t>
            </w:r>
            <w:r>
              <w:rPr>
                <w:rFonts w:ascii="Arial" w:hAnsi="Arial" w:eastAsia="黑体" w:cs="Arial"/>
                <w:color w:val="000000" w:themeColor="text1"/>
                <w:sz w:val="20"/>
                <w:lang w:eastAsia="zh-CN"/>
                <w14:textFill>
                  <w14:solidFill>
                    <w14:schemeClr w14:val="tx1"/>
                  </w14:solidFill>
                </w14:textFill>
              </w:rPr>
              <w:t>010</w:t>
            </w:r>
            <w:r>
              <w:rPr>
                <w:rFonts w:hint="eastAsia" w:ascii="Arial" w:hAnsi="Arial" w:eastAsia="黑体" w:cs="Arial"/>
                <w:color w:val="000000" w:themeColor="text1"/>
                <w:sz w:val="20"/>
                <w:lang w:eastAsia="zh-CN"/>
                <w14:textFill>
                  <w14:solidFill>
                    <w14:schemeClr w14:val="tx1"/>
                  </w14:solidFill>
                </w14:textFill>
              </w:rPr>
              <w:t>）0</w:t>
            </w:r>
            <w:r>
              <w:rPr>
                <w:rFonts w:ascii="Arial" w:hAnsi="Arial" w:eastAsia="黑体" w:cs="Arial"/>
                <w:color w:val="000000" w:themeColor="text1"/>
                <w:sz w:val="20"/>
                <w:lang w:eastAsia="zh-CN"/>
                <w14:textFill>
                  <w14:solidFill>
                    <w14:schemeClr w14:val="tx1"/>
                  </w14:solidFill>
                </w14:textFill>
              </w:rPr>
              <w:t>300050</w:t>
            </w:r>
            <w:r>
              <w:rPr>
                <w:rFonts w:hint="eastAsia" w:ascii="Arial" w:hAnsi="Arial" w:eastAsia="黑体" w:cs="Arial"/>
                <w:color w:val="000000" w:themeColor="text1"/>
                <w:sz w:val="20"/>
                <w:lang w:eastAsia="zh-CN"/>
                <w14:textFill>
                  <w14:solidFill>
                    <w14:schemeClr w14:val="tx1"/>
                  </w14:solidFill>
                </w14:textFill>
              </w:rPr>
              <w:t>，粤房地字证第0</w:t>
            </w:r>
            <w:r>
              <w:rPr>
                <w:rFonts w:ascii="Arial" w:hAnsi="Arial" w:eastAsia="黑体" w:cs="Arial"/>
                <w:color w:val="000000" w:themeColor="text1"/>
                <w:sz w:val="20"/>
                <w:lang w:eastAsia="zh-CN"/>
                <w14:textFill>
                  <w14:solidFill>
                    <w14:schemeClr w14:val="tx1"/>
                  </w14:solidFill>
                </w14:textFill>
              </w:rPr>
              <w:t>111001033</w:t>
            </w:r>
            <w:r>
              <w:rPr>
                <w:rFonts w:hint="eastAsia" w:ascii="Arial" w:hAnsi="Arial" w:eastAsia="黑体" w:cs="Arial"/>
                <w:color w:val="000000" w:themeColor="text1"/>
                <w:sz w:val="20"/>
                <w:lang w:eastAsia="zh-CN"/>
                <w14:textFill>
                  <w14:solidFill>
                    <w14:schemeClr w14:val="tx1"/>
                  </w14:solidFill>
                </w14:textFill>
              </w:rPr>
              <w:t>号</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房产登记字号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2</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11-</w:t>
            </w:r>
            <w:r>
              <w:rPr>
                <w:rFonts w:ascii="Arial" w:hAnsi="Arial" w:eastAsia="黑体" w:cs="Arial"/>
                <w:color w:val="000000" w:themeColor="text1"/>
                <w:sz w:val="20"/>
                <w:lang w:eastAsia="zh-CN"/>
                <w14:textFill>
                  <w14:solidFill>
                    <w14:schemeClr w14:val="tx1"/>
                  </w14:solidFill>
                </w14:textFill>
              </w:rPr>
              <w:t>0300050</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土地使用面积</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567</w:t>
            </w:r>
            <w:r>
              <w:rPr>
                <w:rFonts w:hint="eastAsia" w:ascii="Arial" w:hAnsi="Arial" w:eastAsia="黑体" w:cs="Aria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土地用途</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城镇住宅用地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土地使用权性质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出让</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土地权属性质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2011-1-26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使用期限</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2</w:t>
            </w:r>
            <w:r>
              <w:rPr>
                <w:rFonts w:ascii="Arial" w:hAnsi="Arial" w:eastAsia="黑体" w:cs="Segoe UI Symbol"/>
                <w:color w:val="000000" w:themeColor="text1"/>
                <w:sz w:val="20"/>
                <w:lang w:eastAsia="zh-CN"/>
                <w14:textFill>
                  <w14:solidFill>
                    <w14:schemeClr w14:val="tx1"/>
                  </w14:solidFill>
                </w14:textFill>
              </w:rPr>
              <w:t>066-6-29</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权利类型</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国有建设用地使用权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房屋建筑面积</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Segoe UI Symbol"/>
                <w:color w:val="000000" w:themeColor="text1"/>
                <w:sz w:val="20"/>
                <w:lang w:eastAsia="zh-CN"/>
                <w14:textFill>
                  <w14:solidFill>
                    <w14:schemeClr w14:val="tx1"/>
                  </w14:solidFill>
                </w14:textFill>
              </w:rPr>
              <w:t>2,183.71</w:t>
            </w:r>
            <w:r>
              <w:rPr>
                <w:rFonts w:hint="eastAsia" w:ascii="Arial" w:hAnsi="Arial" w:eastAsia="黑体" w:cs="Segoe UI Symbo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房屋规划用途</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房屋性质</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房屋结构</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钢筋混凝土结构</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2011-1-26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共有情况</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单独所有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权属状态</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现势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房屋所有权取得方式</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附记</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原批准土地用途：商住；原批准房屋用途：住宅/商业，该证原证号为：0</w:t>
            </w:r>
            <w:r>
              <w:rPr>
                <w:rFonts w:ascii="Arial" w:hAnsi="Arial" w:eastAsia="黑体" w:cs="Segoe UI Symbol"/>
                <w:color w:val="000000" w:themeColor="text1"/>
                <w:sz w:val="20"/>
                <w:lang w:eastAsia="zh-CN"/>
                <w14:textFill>
                  <w14:solidFill>
                    <w14:schemeClr w14:val="tx1"/>
                  </w14:solidFill>
                </w14:textFill>
              </w:rPr>
              <w:t>111001033</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抵押情况</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抵押权人：兴业银行股份有限公司中山分行</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不动产类型：土地和房屋</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抵押方式：最高额抵押</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被担保主债权数额（万元）：</w:t>
            </w:r>
            <w:r>
              <w:rPr>
                <w:rFonts w:ascii="Arial" w:hAnsi="Arial" w:eastAsia="黑体" w:cs="Segoe UI Symbol"/>
                <w:color w:val="000000" w:themeColor="text1"/>
                <w:sz w:val="20"/>
                <w:lang w:eastAsia="zh-CN"/>
                <w14:textFill>
                  <w14:solidFill>
                    <w14:schemeClr w14:val="tx1"/>
                  </w14:solidFill>
                </w14:textFill>
              </w:rPr>
              <w:t>2338.6</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债务履行期限起：2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登记时间：2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不动产登记证明号：粤房地他项权证中府字第0</w:t>
            </w:r>
            <w:r>
              <w:rPr>
                <w:rFonts w:ascii="Arial" w:hAnsi="Arial" w:eastAsia="黑体" w:cs="Segoe UI Symbol"/>
                <w:color w:val="000000" w:themeColor="text1"/>
                <w:sz w:val="20"/>
                <w:lang w:eastAsia="zh-CN"/>
                <w14:textFill>
                  <w14:solidFill>
                    <w14:schemeClr w14:val="tx1"/>
                  </w14:solidFill>
                </w14:textFill>
              </w:rPr>
              <w:t>113009433</w:t>
            </w:r>
            <w:r>
              <w:rPr>
                <w:rFonts w:hint="eastAsia" w:ascii="Arial" w:hAnsi="Arial" w:eastAsia="黑体" w:cs="Segoe UI Symbol"/>
                <w:color w:val="000000" w:themeColor="text1"/>
                <w:sz w:val="20"/>
                <w:lang w:eastAsia="zh-CN"/>
                <w14:textFill>
                  <w14:solidFill>
                    <w14:schemeClr w14:val="tx1"/>
                  </w14:solidFill>
                </w14:textFill>
              </w:rPr>
              <w:t>号</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权属状态：现势</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附记：D</w:t>
            </w:r>
            <w:r>
              <w:rPr>
                <w:rFonts w:ascii="Arial" w:hAnsi="Arial" w:eastAsia="黑体" w:cs="Segoe UI Symbol"/>
                <w:color w:val="000000" w:themeColor="text1"/>
                <w:sz w:val="20"/>
                <w:lang w:eastAsia="zh-CN"/>
                <w14:textFill>
                  <w14:solidFill>
                    <w14:schemeClr w14:val="tx1"/>
                  </w14:solidFill>
                </w14:textFill>
              </w:rPr>
              <w:t>26</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2013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016210</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137098</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查封信息</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drawing>
                <wp:inline distT="0" distB="0" distL="0" distR="0">
                  <wp:extent cx="3822700" cy="16637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3822700" cy="1663700"/>
                          </a:xfrm>
                          <a:prstGeom prst="rect">
                            <a:avLst/>
                          </a:prstGeom>
                        </pic:spPr>
                      </pic:pic>
                    </a:graphicData>
                  </a:graphic>
                </wp:inline>
              </w:drawing>
            </w:r>
          </w:p>
        </w:tc>
      </w:tr>
    </w:tbl>
    <w:p>
      <w:pPr>
        <w:spacing w:line="240" w:lineRule="auto"/>
        <w:jc w:val="both"/>
        <w:rPr>
          <w:rFonts w:ascii="Arial" w:hAnsi="Arial" w:eastAsia="黑体"/>
          <w:lang w:eastAsia="zh-CN"/>
        </w:rPr>
      </w:pPr>
    </w:p>
    <w:tbl>
      <w:tblPr>
        <w:tblStyle w:val="42"/>
        <w:tblW w:w="8504" w:type="dxa"/>
        <w:tblInd w:w="567"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108" w:type="dxa"/>
          <w:bottom w:w="0" w:type="dxa"/>
          <w:right w:w="108" w:type="dxa"/>
        </w:tblCellMar>
      </w:tblPr>
      <w:tblGrid>
        <w:gridCol w:w="2268"/>
        <w:gridCol w:w="6236"/>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查询结果编号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2021012700808</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权利人</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黎凌</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不动产单元号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01611</w:t>
            </w:r>
            <w:r>
              <w:rPr>
                <w:rFonts w:hint="eastAsia" w:ascii="Arial" w:hAnsi="Arial" w:eastAsia="黑体" w:cs="Arial"/>
                <w:color w:val="000000" w:themeColor="text1"/>
                <w:sz w:val="20"/>
                <w:lang w:eastAsia="zh-CN"/>
                <w14:textFill>
                  <w14:solidFill>
                    <w14:schemeClr w14:val="tx1"/>
                  </w14:solidFill>
                </w14:textFill>
              </w:rPr>
              <w:t>W</w:t>
            </w:r>
            <w:r>
              <w:rPr>
                <w:rFonts w:ascii="Arial" w:hAnsi="Arial" w:eastAsia="黑体" w:cs="Arial"/>
                <w:color w:val="000000" w:themeColor="text1"/>
                <w:sz w:val="20"/>
                <w:lang w:eastAsia="zh-CN"/>
                <w14:textFill>
                  <w14:solidFill>
                    <w14:schemeClr w14:val="tx1"/>
                  </w14:solidFill>
                </w14:textFill>
              </w:rPr>
              <w:t>0000000</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，4</w:t>
            </w:r>
            <w:r>
              <w:rPr>
                <w:rFonts w:ascii="Arial" w:hAnsi="Arial" w:eastAsia="黑体" w:cs="Arial"/>
                <w:color w:val="000000" w:themeColor="text1"/>
                <w:sz w:val="20"/>
                <w:lang w:eastAsia="zh-CN"/>
                <w14:textFill>
                  <w14:solidFill>
                    <w14:schemeClr w14:val="tx1"/>
                  </w14:solidFill>
                </w14:textFill>
              </w:rPr>
              <w:t>42000103202</w:t>
            </w:r>
            <w:r>
              <w:rPr>
                <w:rFonts w:hint="eastAsia" w:ascii="Arial" w:hAnsi="Arial" w:eastAsia="黑体" w:cs="Arial"/>
                <w:color w:val="000000" w:themeColor="text1"/>
                <w:sz w:val="20"/>
                <w:lang w:eastAsia="zh-CN"/>
                <w14:textFill>
                  <w14:solidFill>
                    <w14:schemeClr w14:val="tx1"/>
                  </w14:solidFill>
                </w14:textFill>
              </w:rPr>
              <w:t>GB</w:t>
            </w:r>
            <w:r>
              <w:rPr>
                <w:rFonts w:ascii="Arial" w:hAnsi="Arial" w:eastAsia="黑体" w:cs="Arial"/>
                <w:color w:val="000000" w:themeColor="text1"/>
                <w:sz w:val="20"/>
                <w:lang w:eastAsia="zh-CN"/>
                <w14:textFill>
                  <w14:solidFill>
                    <w14:schemeClr w14:val="tx1"/>
                  </w14:solidFill>
                </w14:textFill>
              </w:rPr>
              <w:t>01664</w:t>
            </w:r>
            <w:r>
              <w:rPr>
                <w:rFonts w:hint="eastAsia" w:ascii="Arial" w:hAnsi="Arial" w:eastAsia="黑体" w:cs="Arial"/>
                <w:color w:val="000000" w:themeColor="text1"/>
                <w:sz w:val="20"/>
                <w:lang w:eastAsia="zh-CN"/>
                <w14:textFill>
                  <w14:solidFill>
                    <w14:schemeClr w14:val="tx1"/>
                  </w14:solidFill>
                </w14:textFill>
              </w:rPr>
              <w:t>F</w:t>
            </w:r>
            <w:r>
              <w:rPr>
                <w:rFonts w:ascii="Arial" w:hAnsi="Arial" w:eastAsia="黑体" w:cs="Arial"/>
                <w:color w:val="000000" w:themeColor="text1"/>
                <w:sz w:val="20"/>
                <w:lang w:eastAsia="zh-CN"/>
                <w14:textFill>
                  <w14:solidFill>
                    <w14:schemeClr w14:val="tx1"/>
                  </w14:solidFill>
                </w14:textFill>
              </w:rPr>
              <w:t>00010004</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证件种类</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其它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证件号码</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440620195204085492</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房地坐落</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不动产权证号（土地证号、房产证号）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国（2</w:t>
            </w:r>
            <w:r>
              <w:rPr>
                <w:rFonts w:ascii="Arial" w:hAnsi="Arial" w:eastAsia="黑体" w:cs="Arial"/>
                <w:color w:val="000000" w:themeColor="text1"/>
                <w:sz w:val="20"/>
                <w:lang w:eastAsia="zh-CN"/>
                <w14:textFill>
                  <w14:solidFill>
                    <w14:schemeClr w14:val="tx1"/>
                  </w14:solidFill>
                </w14:textFill>
              </w:rPr>
              <w:t>011</w:t>
            </w:r>
            <w:r>
              <w:rPr>
                <w:rFonts w:hint="eastAsia" w:ascii="Arial" w:hAnsi="Arial" w:eastAsia="黑体" w:cs="Arial"/>
                <w:color w:val="000000" w:themeColor="text1"/>
                <w:sz w:val="20"/>
                <w:lang w:eastAsia="zh-CN"/>
                <w14:textFill>
                  <w14:solidFill>
                    <w14:schemeClr w14:val="tx1"/>
                  </w14:solidFill>
                </w14:textFill>
              </w:rPr>
              <w:t>）0</w:t>
            </w:r>
            <w:r>
              <w:rPr>
                <w:rFonts w:ascii="Arial" w:hAnsi="Arial" w:eastAsia="黑体" w:cs="Arial"/>
                <w:color w:val="000000" w:themeColor="text1"/>
                <w:sz w:val="20"/>
                <w:lang w:eastAsia="zh-CN"/>
                <w14:textFill>
                  <w14:solidFill>
                    <w14:schemeClr w14:val="tx1"/>
                  </w14:solidFill>
                </w14:textFill>
              </w:rPr>
              <w:t>300060</w:t>
            </w:r>
            <w:r>
              <w:rPr>
                <w:rFonts w:hint="eastAsia" w:ascii="Arial" w:hAnsi="Arial" w:eastAsia="黑体" w:cs="Arial"/>
                <w:color w:val="000000" w:themeColor="text1"/>
                <w:sz w:val="20"/>
                <w:lang w:eastAsia="zh-CN"/>
                <w14:textFill>
                  <w14:solidFill>
                    <w14:schemeClr w14:val="tx1"/>
                  </w14:solidFill>
                </w14:textFill>
              </w:rPr>
              <w:t>，粤房地字证第0</w:t>
            </w:r>
            <w:r>
              <w:rPr>
                <w:rFonts w:ascii="Arial" w:hAnsi="Arial" w:eastAsia="黑体" w:cs="Arial"/>
                <w:color w:val="000000" w:themeColor="text1"/>
                <w:sz w:val="20"/>
                <w:lang w:eastAsia="zh-CN"/>
                <w14:textFill>
                  <w14:solidFill>
                    <w14:schemeClr w14:val="tx1"/>
                  </w14:solidFill>
                </w14:textFill>
              </w:rPr>
              <w:t>111001145</w:t>
            </w:r>
            <w:r>
              <w:rPr>
                <w:rFonts w:hint="eastAsia" w:ascii="Arial" w:hAnsi="Arial" w:eastAsia="黑体" w:cs="Arial"/>
                <w:color w:val="000000" w:themeColor="text1"/>
                <w:sz w:val="20"/>
                <w:lang w:eastAsia="zh-CN"/>
                <w14:textFill>
                  <w14:solidFill>
                    <w14:schemeClr w14:val="tx1"/>
                  </w14:solidFill>
                </w14:textFill>
              </w:rPr>
              <w:t>号</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房产登记字号</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2</w:t>
            </w:r>
            <w:r>
              <w:rPr>
                <w:rFonts w:ascii="Arial" w:hAnsi="Arial" w:eastAsia="黑体" w:cs="Arial"/>
                <w:color w:val="000000" w:themeColor="text1"/>
                <w:sz w:val="20"/>
                <w:lang w:eastAsia="zh-CN"/>
                <w14:textFill>
                  <w14:solidFill>
                    <w14:schemeClr w14:val="tx1"/>
                  </w14:solidFill>
                </w14:textFill>
              </w:rPr>
              <w:t>0</w:t>
            </w:r>
            <w:r>
              <w:rPr>
                <w:rFonts w:hint="eastAsia" w:ascii="Arial" w:hAnsi="Arial" w:eastAsia="黑体" w:cs="Arial"/>
                <w:color w:val="000000" w:themeColor="text1"/>
                <w:sz w:val="20"/>
                <w:lang w:eastAsia="zh-CN"/>
                <w14:textFill>
                  <w14:solidFill>
                    <w14:schemeClr w14:val="tx1"/>
                  </w14:solidFill>
                </w14:textFill>
              </w:rPr>
              <w:t>11-</w:t>
            </w:r>
            <w:r>
              <w:rPr>
                <w:rFonts w:ascii="Arial" w:hAnsi="Arial" w:eastAsia="黑体" w:cs="Arial"/>
                <w:color w:val="000000" w:themeColor="text1"/>
                <w:sz w:val="20"/>
                <w:lang w:eastAsia="zh-CN"/>
                <w14:textFill>
                  <w14:solidFill>
                    <w14:schemeClr w14:val="tx1"/>
                  </w14:solidFill>
                </w14:textFill>
              </w:rPr>
              <w:t>0300060</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土地使用面积</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1,251.8</w:t>
            </w:r>
            <w:r>
              <w:rPr>
                <w:rFonts w:hint="eastAsia" w:ascii="Arial" w:hAnsi="Arial" w:eastAsia="黑体" w:cs="Aria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土地用途</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城镇住宅用地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土地使用权性质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出让</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土地权属性质</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2011-1-28</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使用期限</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2</w:t>
            </w:r>
            <w:r>
              <w:rPr>
                <w:rFonts w:ascii="Arial" w:hAnsi="Arial" w:eastAsia="黑体" w:cs="Segoe UI Symbol"/>
                <w:color w:val="000000" w:themeColor="text1"/>
                <w:sz w:val="20"/>
                <w:lang w:eastAsia="zh-CN"/>
                <w14:textFill>
                  <w14:solidFill>
                    <w14:schemeClr w14:val="tx1"/>
                  </w14:solidFill>
                </w14:textFill>
              </w:rPr>
              <w:t>066-6-29</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权利类型</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国有建设用地使用权</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房屋建筑面积</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Segoe UI Symbol"/>
                <w:color w:val="000000" w:themeColor="text1"/>
                <w:sz w:val="20"/>
                <w:lang w:eastAsia="zh-CN"/>
                <w14:textFill>
                  <w14:solidFill>
                    <w14:schemeClr w14:val="tx1"/>
                  </w14:solidFill>
                </w14:textFill>
              </w:rPr>
              <w:t>3,246.45</w:t>
            </w:r>
            <w:r>
              <w:rPr>
                <w:rFonts w:hint="eastAsia" w:ascii="Arial" w:hAnsi="Arial" w:eastAsia="黑体" w:cs="Segoe UI Symbol"/>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房屋规划用途</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住宅</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房屋性质</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房屋结构</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钢筋混凝土结构</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登记时间</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2011-1-28</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共有情况</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单独所有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权属状态</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现势</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房屋所有权取得方式</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自建</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附记</w:t>
            </w:r>
          </w:p>
        </w:tc>
        <w:tc>
          <w:tcPr>
            <w:tcW w:w="6236" w:type="dxa"/>
            <w:shd w:val="clear" w:color="auto" w:fill="auto"/>
            <w:vAlign w:val="center"/>
          </w:tcPr>
          <w:p>
            <w:pPr>
              <w:adjustRightInd/>
              <w:spacing w:before="78" w:beforeLines="25" w:after="78" w:afterLines="25" w:line="240" w:lineRule="auto"/>
              <w:ind w:left="200" w:hanging="200" w:hangingChars="100"/>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原批准土地用途：商住；原批准房屋用途：住宅/商业，该证原证号为：0</w:t>
            </w:r>
            <w:r>
              <w:rPr>
                <w:rFonts w:ascii="Arial" w:hAnsi="Arial" w:eastAsia="黑体" w:cs="Segoe UI Symbol"/>
                <w:color w:val="000000" w:themeColor="text1"/>
                <w:sz w:val="20"/>
                <w:lang w:eastAsia="zh-CN"/>
                <w14:textFill>
                  <w14:solidFill>
                    <w14:schemeClr w14:val="tx1"/>
                  </w14:solidFill>
                </w14:textFill>
              </w:rPr>
              <w:t>111001145</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抵押情况</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抵押权人：兴业银行股份有限公司中山分行</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不动产类型：土地和房屋</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抵押方式：最高额抵押</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被担保主债权数额（万元）：</w:t>
            </w:r>
            <w:r>
              <w:rPr>
                <w:rFonts w:ascii="Arial" w:hAnsi="Arial" w:eastAsia="黑体" w:cs="Segoe UI Symbol"/>
                <w:color w:val="000000" w:themeColor="text1"/>
                <w:sz w:val="20"/>
                <w:lang w:eastAsia="zh-CN"/>
                <w14:textFill>
                  <w14:solidFill>
                    <w14:schemeClr w14:val="tx1"/>
                  </w14:solidFill>
                </w14:textFill>
              </w:rPr>
              <w:t>2338.6</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债务履行期限起：2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登记时间：2</w:t>
            </w:r>
            <w:r>
              <w:rPr>
                <w:rFonts w:ascii="Arial" w:hAnsi="Arial" w:eastAsia="黑体" w:cs="Segoe UI Symbol"/>
                <w:color w:val="000000" w:themeColor="text1"/>
                <w:sz w:val="20"/>
                <w:lang w:eastAsia="zh-CN"/>
                <w14:textFill>
                  <w14:solidFill>
                    <w14:schemeClr w14:val="tx1"/>
                  </w14:solidFill>
                </w14:textFill>
              </w:rPr>
              <w:t>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5</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3</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不动产登记证明号：粤房地他项权证中府字第0</w:t>
            </w:r>
            <w:r>
              <w:rPr>
                <w:rFonts w:ascii="Arial" w:hAnsi="Arial" w:eastAsia="黑体" w:cs="Segoe UI Symbol"/>
                <w:color w:val="000000" w:themeColor="text1"/>
                <w:sz w:val="20"/>
                <w:lang w:eastAsia="zh-CN"/>
                <w14:textFill>
                  <w14:solidFill>
                    <w14:schemeClr w14:val="tx1"/>
                  </w14:solidFill>
                </w14:textFill>
              </w:rPr>
              <w:t>113009432</w:t>
            </w:r>
            <w:r>
              <w:rPr>
                <w:rFonts w:hint="eastAsia" w:ascii="Arial" w:hAnsi="Arial" w:eastAsia="黑体" w:cs="Segoe UI Symbol"/>
                <w:color w:val="000000" w:themeColor="text1"/>
                <w:sz w:val="20"/>
                <w:lang w:eastAsia="zh-CN"/>
                <w14:textFill>
                  <w14:solidFill>
                    <w14:schemeClr w14:val="tx1"/>
                  </w14:solidFill>
                </w14:textFill>
              </w:rPr>
              <w:t>号</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权属状态：现势</w:t>
            </w:r>
          </w:p>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rPr>
                <w:rFonts w:hint="eastAsia" w:ascii="Arial" w:hAnsi="Arial" w:eastAsia="黑体" w:cs="Segoe UI Symbol"/>
                <w:color w:val="000000" w:themeColor="text1"/>
                <w:sz w:val="20"/>
                <w:lang w:eastAsia="zh-CN"/>
                <w14:textFill>
                  <w14:solidFill>
                    <w14:schemeClr w14:val="tx1"/>
                  </w14:solidFill>
                </w14:textFill>
              </w:rPr>
              <w:t>附记：D</w:t>
            </w:r>
            <w:r>
              <w:rPr>
                <w:rFonts w:ascii="Arial" w:hAnsi="Arial" w:eastAsia="黑体" w:cs="Segoe UI Symbol"/>
                <w:color w:val="000000" w:themeColor="text1"/>
                <w:sz w:val="20"/>
                <w:lang w:eastAsia="zh-CN"/>
                <w14:textFill>
                  <w14:solidFill>
                    <w14:schemeClr w14:val="tx1"/>
                  </w14:solidFill>
                </w14:textFill>
              </w:rPr>
              <w:t>26</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2013</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016210</w:t>
            </w:r>
            <w:r>
              <w:rPr>
                <w:rFonts w:hint="eastAsia" w:ascii="Arial" w:hAnsi="Arial" w:eastAsia="黑体" w:cs="Segoe UI Symbol"/>
                <w:color w:val="000000" w:themeColor="text1"/>
                <w:sz w:val="20"/>
                <w:lang w:eastAsia="zh-CN"/>
                <w14:textFill>
                  <w14:solidFill>
                    <w14:schemeClr w14:val="tx1"/>
                  </w14:solidFill>
                </w14:textFill>
              </w:rPr>
              <w:t>-</w:t>
            </w:r>
            <w:r>
              <w:rPr>
                <w:rFonts w:ascii="Arial" w:hAnsi="Arial" w:eastAsia="黑体" w:cs="Segoe UI Symbol"/>
                <w:color w:val="000000" w:themeColor="text1"/>
                <w:sz w:val="20"/>
                <w:lang w:eastAsia="zh-CN"/>
                <w14:textFill>
                  <w14:solidFill>
                    <w14:schemeClr w14:val="tx1"/>
                  </w14:solidFill>
                </w14:textFill>
              </w:rPr>
              <w:t>137096</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268" w:type="dxa"/>
            <w:shd w:val="clear" w:color="auto" w:fill="auto"/>
            <w:vAlign w:val="center"/>
          </w:tcPr>
          <w:p>
            <w:pPr>
              <w:adjustRightInd/>
              <w:spacing w:before="78" w:beforeLines="25" w:after="78" w:afterLines="25" w:line="240" w:lineRule="auto"/>
              <w:jc w:val="both"/>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查封信息</w:t>
            </w:r>
          </w:p>
        </w:tc>
        <w:tc>
          <w:tcPr>
            <w:tcW w:w="6236" w:type="dxa"/>
            <w:shd w:val="clear" w:color="auto" w:fill="auto"/>
            <w:vAlign w:val="center"/>
          </w:tcPr>
          <w:p>
            <w:pPr>
              <w:adjustRightInd/>
              <w:spacing w:before="78" w:beforeLines="25" w:after="78" w:afterLines="25" w:line="240" w:lineRule="auto"/>
              <w:jc w:val="both"/>
              <w:rPr>
                <w:rFonts w:ascii="Arial" w:hAnsi="Arial" w:eastAsia="黑体" w:cs="Segoe UI Symbol"/>
                <w:color w:val="000000" w:themeColor="text1"/>
                <w:sz w:val="20"/>
                <w:lang w:eastAsia="zh-CN"/>
                <w14:textFill>
                  <w14:solidFill>
                    <w14:schemeClr w14:val="tx1"/>
                  </w14:solidFill>
                </w14:textFill>
              </w:rPr>
            </w:pPr>
            <w:r>
              <w:drawing>
                <wp:inline distT="0" distB="0" distL="0" distR="0">
                  <wp:extent cx="3822700" cy="188976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822700" cy="1889760"/>
                          </a:xfrm>
                          <a:prstGeom prst="rect">
                            <a:avLst/>
                          </a:prstGeom>
                        </pic:spPr>
                      </pic:pic>
                    </a:graphicData>
                  </a:graphic>
                </wp:inline>
              </w:drawing>
            </w:r>
          </w:p>
        </w:tc>
      </w:tr>
    </w:tbl>
    <w:p>
      <w:pPr>
        <w:spacing w:line="240" w:lineRule="auto"/>
        <w:jc w:val="both"/>
        <w:rPr>
          <w:rFonts w:ascii="Arial" w:hAnsi="Arial" w:eastAsia="黑体"/>
          <w:lang w:eastAsia="zh-CN"/>
        </w:rPr>
      </w:pPr>
    </w:p>
    <w:p>
      <w:pPr>
        <w:pStyle w:val="39"/>
        <w:numPr>
          <w:ilvl w:val="2"/>
          <w:numId w:val="1"/>
        </w:numPr>
        <w:tabs>
          <w:tab w:val="left" w:pos="552"/>
        </w:tabs>
        <w:ind w:left="567"/>
        <w:jc w:val="both"/>
        <w:rPr>
          <w:rFonts w:ascii="Arial" w:hAnsi="Arial" w:eastAsia="黑体" w:cs="Arial"/>
          <w:bCs/>
          <w:kern w:val="2"/>
          <w:sz w:val="22"/>
          <w:lang w:val="en-US" w:eastAsia="zh-CN"/>
        </w:rPr>
      </w:pPr>
      <w:bookmarkStart w:id="21" w:name="_Toc8979137"/>
      <w:bookmarkStart w:id="22" w:name="_Toc24451302"/>
      <w:bookmarkStart w:id="23" w:name="_Toc9243098"/>
      <w:bookmarkStart w:id="24" w:name="_Toc8979383"/>
      <w:r>
        <w:rPr>
          <w:rFonts w:hint="eastAsia" w:ascii="Arial" w:hAnsi="Arial" w:eastAsia="黑体" w:cs="Arial"/>
          <w:bCs/>
          <w:kern w:val="2"/>
          <w:sz w:val="22"/>
          <w:lang w:val="en-US" w:eastAsia="zh-CN"/>
        </w:rPr>
        <w:t>土地基本状况</w:t>
      </w:r>
      <w:bookmarkEnd w:id="21"/>
      <w:bookmarkEnd w:id="22"/>
      <w:bookmarkEnd w:id="23"/>
      <w:bookmarkEnd w:id="24"/>
    </w:p>
    <w:p>
      <w:pPr>
        <w:spacing w:line="240" w:lineRule="auto"/>
        <w:ind w:left="566" w:leftChars="246"/>
        <w:jc w:val="both"/>
        <w:rPr>
          <w:rFonts w:ascii="Arial" w:hAnsi="Arial" w:eastAsia="黑体"/>
          <w:lang w:eastAsia="zh-CN"/>
        </w:rPr>
      </w:pPr>
    </w:p>
    <w:p>
      <w:pPr>
        <w:spacing w:line="240" w:lineRule="auto"/>
        <w:ind w:left="566" w:leftChars="246"/>
        <w:jc w:val="both"/>
        <w:rPr>
          <w:rFonts w:ascii="Arial" w:hAnsi="Arial" w:eastAsia="黑体"/>
          <w:lang w:eastAsia="zh-CN"/>
        </w:rPr>
      </w:pPr>
      <w:r>
        <w:rPr>
          <w:rFonts w:hint="eastAsia" w:ascii="Arial" w:hAnsi="Arial" w:eastAsia="黑体"/>
          <w:lang w:eastAsia="zh-CN"/>
        </w:rPr>
        <w:t>我们根据估价委托人提供的产权证载信息及现场勘察，估价对象的土地基本状况如下：</w:t>
      </w:r>
    </w:p>
    <w:p>
      <w:pPr>
        <w:spacing w:line="240" w:lineRule="auto"/>
        <w:ind w:left="566" w:leftChars="246"/>
        <w:jc w:val="both"/>
        <w:rPr>
          <w:rFonts w:ascii="Arial" w:hAnsi="Arial" w:eastAsia="黑体"/>
          <w:lang w:eastAsia="zh-CN"/>
        </w:rPr>
      </w:pPr>
    </w:p>
    <w:tbl>
      <w:tblPr>
        <w:tblStyle w:val="42"/>
        <w:tblW w:w="8504" w:type="dxa"/>
        <w:tblInd w:w="566"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autofit"/>
        <w:tblCellMar>
          <w:top w:w="0" w:type="dxa"/>
          <w:left w:w="108" w:type="dxa"/>
          <w:bottom w:w="0" w:type="dxa"/>
          <w:right w:w="108" w:type="dxa"/>
        </w:tblCellMar>
      </w:tblPr>
      <w:tblGrid>
        <w:gridCol w:w="2268"/>
        <w:gridCol w:w="6236"/>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blHeader/>
        </w:trPr>
        <w:tc>
          <w:tcPr>
            <w:tcW w:w="2268" w:type="dxa"/>
            <w:shd w:val="clear" w:color="auto" w:fill="auto"/>
            <w:vAlign w:val="center"/>
          </w:tcPr>
          <w:p>
            <w:pPr>
              <w:spacing w:before="78" w:beforeLines="25" w:after="78" w:afterLines="25" w:line="240" w:lineRule="auto"/>
              <w:jc w:val="center"/>
              <w:rPr>
                <w:rFonts w:ascii="Arial" w:hAnsi="Arial" w:eastAsia="黑体" w:cs="Arial"/>
                <w:b/>
                <w:bCs/>
                <w:color w:val="000000" w:themeColor="text1"/>
                <w:kern w:val="2"/>
                <w:sz w:val="20"/>
                <w:lang w:eastAsia="zh-CN"/>
                <w14:textFill>
                  <w14:solidFill>
                    <w14:schemeClr w14:val="tx1"/>
                  </w14:solidFill>
                </w14:textFill>
              </w:rPr>
            </w:pPr>
            <w:r>
              <w:rPr>
                <w:rFonts w:hint="eastAsia" w:ascii="Arial" w:hAnsi="Arial" w:eastAsia="黑体" w:cs="Arial"/>
                <w:b/>
                <w:bCs/>
                <w:color w:val="000000" w:themeColor="text1"/>
                <w:kern w:val="2"/>
                <w:sz w:val="20"/>
                <w:lang w:eastAsia="zh-CN"/>
                <w14:textFill>
                  <w14:solidFill>
                    <w14:schemeClr w14:val="tx1"/>
                  </w14:solidFill>
                </w14:textFill>
              </w:rPr>
              <w:t>项目</w:t>
            </w:r>
          </w:p>
        </w:tc>
        <w:tc>
          <w:tcPr>
            <w:tcW w:w="6236" w:type="dxa"/>
            <w:shd w:val="clear" w:color="auto" w:fill="auto"/>
            <w:vAlign w:val="center"/>
          </w:tcPr>
          <w:p>
            <w:pPr>
              <w:spacing w:before="78" w:beforeLines="25" w:after="78" w:afterLines="25" w:line="240" w:lineRule="auto"/>
              <w:jc w:val="center"/>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描述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cs="Arial"/>
                <w:b/>
                <w:bCs/>
                <w:color w:val="000000" w:themeColor="text1"/>
                <w:kern w:val="2"/>
                <w:sz w:val="20"/>
                <w:lang w:eastAsia="zh-CN"/>
                <w14:textFill>
                  <w14:solidFill>
                    <w14:schemeClr w14:val="tx1"/>
                  </w14:solidFill>
                </w14:textFill>
              </w:rPr>
              <w:t>名称（坐落）</w:t>
            </w:r>
          </w:p>
        </w:tc>
        <w:tc>
          <w:tcPr>
            <w:tcW w:w="6236"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中山市东凤镇南安路四栋住宅房地产</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cs="Arial"/>
                <w:b/>
                <w:bCs/>
                <w:color w:val="000000" w:themeColor="text1"/>
                <w:kern w:val="2"/>
                <w:sz w:val="20"/>
                <w:lang w:eastAsia="zh-CN"/>
                <w14:textFill>
                  <w14:solidFill>
                    <w14:schemeClr w14:val="tx1"/>
                  </w14:solidFill>
                </w14:textFill>
              </w:rPr>
              <w:t>土地使用面积</w:t>
            </w:r>
          </w:p>
        </w:tc>
        <w:tc>
          <w:tcPr>
            <w:tcW w:w="6236"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合计3,286.2</w:t>
            </w:r>
            <w:r>
              <w:rPr>
                <w:rFonts w:hint="eastAsia" w:ascii="Arial" w:hAnsi="Arial" w:eastAsia="黑体"/>
                <w:color w:val="000000" w:themeColor="text1"/>
                <w:sz w:val="20"/>
                <w:lang w:eastAsia="zh-CN"/>
                <w14:textFill>
                  <w14:solidFill>
                    <w14:schemeClr w14:val="tx1"/>
                  </w14:solidFill>
                </w14:textFill>
              </w:rPr>
              <w:t>平方米</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土地用途</w:t>
            </w:r>
          </w:p>
        </w:tc>
        <w:tc>
          <w:tcPr>
            <w:tcW w:w="6236"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城镇住宅用地</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权利人</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黎凌</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土地使用性质</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出让</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土地权属性质</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国有</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土地使用期限</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2</w:t>
            </w:r>
            <w:r>
              <w:rPr>
                <w:rFonts w:ascii="Arial" w:hAnsi="Arial" w:eastAsia="黑体" w:cs="Arial"/>
                <w:color w:val="000000" w:themeColor="text1"/>
                <w:sz w:val="20"/>
                <w:lang w:eastAsia="zh-CN"/>
                <w14:textFill>
                  <w14:solidFill>
                    <w14:schemeClr w14:val="tx1"/>
                  </w14:solidFill>
                </w14:textFill>
              </w:rPr>
              <w:t>066-6-29</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地块四至</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东至：多层住宅；南至：厂房；西至：南安路；北至：多层住宅</w:t>
            </w:r>
          </w:p>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drawing>
                <wp:inline distT="0" distB="0" distL="0" distR="0">
                  <wp:extent cx="3642360" cy="24549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3669344" cy="2472793"/>
                          </a:xfrm>
                          <a:prstGeom prst="rect">
                            <a:avLst/>
                          </a:prstGeom>
                        </pic:spPr>
                      </pic:pic>
                    </a:graphicData>
                  </a:graphic>
                </wp:inline>
              </w:drawing>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ascii="Arial" w:hAnsi="Arial" w:eastAsia="黑体" w:cs="Arial"/>
                <w:b/>
                <w:color w:val="000000" w:themeColor="text1"/>
                <w:sz w:val="20"/>
                <w:lang w:eastAsia="zh-CN"/>
                <w14:textFill>
                  <w14:solidFill>
                    <w14:schemeClr w14:val="tx1"/>
                  </w14:solidFill>
                </w14:textFill>
              </w:rPr>
              <w:t>形状</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大致呈多边形</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地势</w:t>
            </w:r>
          </w:p>
        </w:tc>
        <w:tc>
          <w:tcPr>
            <w:tcW w:w="6236" w:type="dxa"/>
            <w:shd w:val="clear" w:color="auto" w:fill="auto"/>
            <w:vAlign w:val="center"/>
          </w:tcPr>
          <w:p>
            <w:pPr>
              <w:spacing w:before="78" w:beforeLines="25" w:after="78" w:afterLines="25" w:line="240" w:lineRule="auto"/>
              <w:jc w:val="both"/>
              <w:rPr>
                <w:rFonts w:ascii="Arial" w:hAnsi="Arial" w:eastAsia="黑体"/>
                <w:color w:val="000000" w:themeColor="text1"/>
                <w:sz w:val="20"/>
                <w:lang w:eastAsia="zh-CN"/>
                <w14:textFill>
                  <w14:solidFill>
                    <w14:schemeClr w14:val="tx1"/>
                  </w14:solidFill>
                </w14:textFill>
              </w:rPr>
            </w:pPr>
            <w:r>
              <w:rPr>
                <w:rFonts w:hint="eastAsia" w:ascii="Arial" w:hAnsi="Arial" w:eastAsia="黑体"/>
                <w:color w:val="000000" w:themeColor="text1"/>
                <w:sz w:val="20"/>
                <w:lang w:eastAsia="zh-CN"/>
                <w14:textFill>
                  <w14:solidFill>
                    <w14:schemeClr w14:val="tx1"/>
                  </w14:solidFill>
                </w14:textFill>
              </w:rPr>
              <w:t>平坦</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ascii="Arial" w:hAnsi="Arial" w:eastAsia="黑体" w:cs="Arial"/>
                <w:b/>
                <w:color w:val="000000" w:themeColor="text1"/>
                <w:sz w:val="20"/>
                <w:lang w:eastAsia="zh-CN"/>
                <w14:textFill>
                  <w14:solidFill>
                    <w14:schemeClr w14:val="tx1"/>
                  </w14:solidFill>
                </w14:textFill>
              </w:rPr>
              <w:t>地</w:t>
            </w:r>
            <w:r>
              <w:rPr>
                <w:rFonts w:hint="eastAsia" w:ascii="Arial" w:hAnsi="Arial" w:eastAsia="黑体" w:cs="Arial"/>
                <w:b/>
                <w:color w:val="000000" w:themeColor="text1"/>
                <w:sz w:val="20"/>
                <w:lang w:eastAsia="zh-CN"/>
                <w14:textFill>
                  <w14:solidFill>
                    <w14:schemeClr w14:val="tx1"/>
                  </w14:solidFill>
                </w14:textFill>
              </w:rPr>
              <w:t>质</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承载</w:t>
            </w:r>
            <w:r>
              <w:rPr>
                <w:rFonts w:ascii="Arial" w:hAnsi="Arial" w:eastAsia="黑体" w:cs="Arial"/>
                <w:color w:val="000000" w:themeColor="text1"/>
                <w:sz w:val="20"/>
                <w:lang w:eastAsia="zh-CN"/>
                <w14:textFill>
                  <w14:solidFill>
                    <w14:schemeClr w14:val="tx1"/>
                  </w14:solidFill>
                </w14:textFill>
              </w:rPr>
              <w:t>稳定</w:t>
            </w:r>
            <w:r>
              <w:rPr>
                <w:rFonts w:hint="eastAsia" w:ascii="Arial" w:hAnsi="Arial" w:eastAsia="黑体" w:cs="Arial"/>
                <w:color w:val="000000" w:themeColor="text1"/>
                <w:sz w:val="20"/>
                <w:lang w:eastAsia="zh-CN"/>
                <w14:textFill>
                  <w14:solidFill>
                    <w14:schemeClr w14:val="tx1"/>
                  </w14:solidFill>
                </w14:textFill>
              </w:rPr>
              <w:t>，</w:t>
            </w:r>
            <w:r>
              <w:rPr>
                <w:rFonts w:ascii="Arial" w:hAnsi="Arial" w:eastAsia="黑体" w:cs="Arial"/>
                <w:color w:val="000000" w:themeColor="text1"/>
                <w:sz w:val="20"/>
                <w:lang w:eastAsia="zh-CN"/>
                <w14:textFill>
                  <w14:solidFill>
                    <w14:schemeClr w14:val="tx1"/>
                  </w14:solidFill>
                </w14:textFill>
              </w:rPr>
              <w:t>无不良地质现象</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土壤</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ascii="Arial" w:hAnsi="Arial" w:eastAsia="黑体" w:cs="Arial"/>
                <w:color w:val="000000" w:themeColor="text1"/>
                <w:sz w:val="20"/>
                <w:lang w:eastAsia="zh-CN"/>
                <w14:textFill>
                  <w14:solidFill>
                    <w14:schemeClr w14:val="tx1"/>
                  </w14:solidFill>
                </w14:textFill>
              </w:rPr>
              <w:t>没有受过污染</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基础设施</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宗地外已达到”六通”，包括通路、通上水、通下水、通电、通迅、通燃气</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cantSplit/>
          <w:trHeight w:val="340" w:hRule="atLeast"/>
        </w:trPr>
        <w:tc>
          <w:tcPr>
            <w:tcW w:w="2268" w:type="dxa"/>
            <w:shd w:val="clear" w:color="auto" w:fill="auto"/>
            <w:vAlign w:val="center"/>
          </w:tcPr>
          <w:p>
            <w:pPr>
              <w:spacing w:before="78" w:beforeLines="25" w:after="78" w:afterLines="25" w:line="240" w:lineRule="auto"/>
              <w:rPr>
                <w:rFonts w:ascii="Arial" w:hAnsi="Arial" w:eastAsia="黑体" w:cs="Arial"/>
                <w:b/>
                <w:color w:val="000000" w:themeColor="text1"/>
                <w:sz w:val="20"/>
                <w:lang w:eastAsia="zh-CN"/>
                <w14:textFill>
                  <w14:solidFill>
                    <w14:schemeClr w14:val="tx1"/>
                  </w14:solidFill>
                </w14:textFill>
              </w:rPr>
            </w:pPr>
            <w:r>
              <w:rPr>
                <w:rFonts w:hint="eastAsia" w:ascii="Arial" w:hAnsi="Arial" w:eastAsia="黑体" w:cs="Arial"/>
                <w:b/>
                <w:color w:val="000000" w:themeColor="text1"/>
                <w:sz w:val="20"/>
                <w:lang w:eastAsia="zh-CN"/>
                <w14:textFill>
                  <w14:solidFill>
                    <w14:schemeClr w14:val="tx1"/>
                  </w14:solidFill>
                </w14:textFill>
              </w:rPr>
              <w:t>开发程度</w:t>
            </w:r>
          </w:p>
        </w:tc>
        <w:tc>
          <w:tcPr>
            <w:tcW w:w="6236" w:type="dxa"/>
            <w:shd w:val="clear" w:color="auto" w:fill="auto"/>
            <w:vAlign w:val="center"/>
          </w:tcPr>
          <w:p>
            <w:pPr>
              <w:spacing w:before="78" w:beforeLines="25" w:after="78" w:afterLines="25" w:line="240" w:lineRule="auto"/>
              <w:jc w:val="both"/>
              <w:rPr>
                <w:rFonts w:ascii="Arial" w:hAnsi="Arial" w:eastAsia="黑体" w:cs="Arial"/>
                <w:color w:val="000000" w:themeColor="text1"/>
                <w:sz w:val="20"/>
                <w:lang w:eastAsia="zh-CN"/>
                <w14:textFill>
                  <w14:solidFill>
                    <w14:schemeClr w14:val="tx1"/>
                  </w14:solidFill>
                </w14:textFill>
              </w:rPr>
            </w:pPr>
            <w:r>
              <w:rPr>
                <w:rFonts w:hint="eastAsia" w:ascii="Arial" w:hAnsi="Arial" w:eastAsia="黑体" w:cs="Arial"/>
                <w:color w:val="000000" w:themeColor="text1"/>
                <w:sz w:val="20"/>
                <w:lang w:eastAsia="zh-CN"/>
                <w14:textFill>
                  <w14:solidFill>
                    <w14:schemeClr w14:val="tx1"/>
                  </w14:solidFill>
                </w14:textFill>
              </w:rPr>
              <w:t>宗地上已建有4栋建筑物，分别为：明细表序号1为仓库、车间，序号2为办公，序号3为仓库、车间，序号4为仓库、办公。</w:t>
            </w:r>
          </w:p>
        </w:tc>
      </w:tr>
    </w:tbl>
    <w:p>
      <w:pPr>
        <w:spacing w:line="240" w:lineRule="auto"/>
        <w:ind w:left="566" w:leftChars="246"/>
        <w:jc w:val="both"/>
        <w:rPr>
          <w:rFonts w:ascii="Arial" w:hAnsi="Arial" w:eastAsia="黑体"/>
          <w:lang w:eastAsia="zh-CN"/>
        </w:rPr>
      </w:pPr>
    </w:p>
    <w:p>
      <w:pPr>
        <w:pStyle w:val="39"/>
        <w:numPr>
          <w:ilvl w:val="2"/>
          <w:numId w:val="1"/>
        </w:numPr>
        <w:tabs>
          <w:tab w:val="left" w:pos="552"/>
        </w:tabs>
        <w:ind w:left="567"/>
        <w:jc w:val="both"/>
        <w:rPr>
          <w:rFonts w:ascii="Arial" w:hAnsi="Arial" w:eastAsia="黑体" w:cs="Arial"/>
          <w:bCs/>
          <w:kern w:val="2"/>
          <w:sz w:val="22"/>
          <w:lang w:val="en-US" w:eastAsia="zh-CN"/>
        </w:rPr>
      </w:pPr>
      <w:bookmarkStart w:id="25" w:name="_Toc24451303"/>
      <w:bookmarkStart w:id="26" w:name="_Toc9243099"/>
      <w:bookmarkStart w:id="27" w:name="_Toc8979384"/>
      <w:bookmarkStart w:id="28" w:name="_Toc8979138"/>
      <w:r>
        <w:rPr>
          <w:rFonts w:hint="eastAsia" w:ascii="Arial" w:hAnsi="Arial" w:eastAsia="黑体" w:cs="Arial"/>
          <w:bCs/>
          <w:kern w:val="2"/>
          <w:sz w:val="22"/>
          <w:lang w:val="en-US" w:eastAsia="zh-CN"/>
        </w:rPr>
        <w:t>建筑物基本状况</w:t>
      </w:r>
      <w:bookmarkEnd w:id="25"/>
      <w:bookmarkEnd w:id="26"/>
      <w:bookmarkEnd w:id="27"/>
      <w:bookmarkEnd w:id="28"/>
    </w:p>
    <w:p>
      <w:pPr>
        <w:spacing w:line="240" w:lineRule="auto"/>
        <w:ind w:left="566" w:leftChars="246"/>
        <w:jc w:val="both"/>
        <w:rPr>
          <w:rFonts w:ascii="Arial" w:hAnsi="Arial" w:eastAsia="黑体"/>
          <w:lang w:eastAsia="zh-CN"/>
        </w:rPr>
      </w:pPr>
    </w:p>
    <w:p>
      <w:pPr>
        <w:spacing w:line="240" w:lineRule="auto"/>
        <w:ind w:left="566" w:leftChars="246"/>
        <w:jc w:val="both"/>
        <w:rPr>
          <w:rFonts w:ascii="Arial" w:hAnsi="Arial" w:eastAsia="黑体"/>
          <w:lang w:eastAsia="zh-CN"/>
        </w:rPr>
      </w:pPr>
      <w:r>
        <w:rPr>
          <w:rFonts w:hint="eastAsia" w:ascii="Arial" w:hAnsi="Arial" w:eastAsia="黑体"/>
          <w:lang w:eastAsia="zh-CN"/>
        </w:rPr>
        <w:t>我们根据估价委托人提供的产权证载信息及现场勘察，估价对象的建筑物基本状况如下：</w:t>
      </w:r>
    </w:p>
    <w:p>
      <w:pPr>
        <w:spacing w:line="240" w:lineRule="auto"/>
        <w:ind w:left="566" w:leftChars="246"/>
        <w:jc w:val="both"/>
        <w:rPr>
          <w:rFonts w:ascii="Arial" w:hAnsi="Arial" w:eastAsia="黑体"/>
          <w:lang w:eastAsia="zh-CN"/>
        </w:rPr>
      </w:pPr>
    </w:p>
    <w:tbl>
      <w:tblPr>
        <w:tblStyle w:val="42"/>
        <w:tblW w:w="0" w:type="auto"/>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899"/>
        <w:gridCol w:w="1843"/>
        <w:gridCol w:w="1843"/>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trPr>
        <w:tc>
          <w:tcPr>
            <w:tcW w:w="1074" w:type="dxa"/>
            <w:tcBorders>
              <w:bottom w:val="single" w:color="auto" w:sz="4" w:space="0"/>
            </w:tcBorders>
            <w:shd w:val="clear" w:color="auto" w:fill="auto"/>
            <w:vAlign w:val="center"/>
          </w:tcPr>
          <w:p>
            <w:pPr>
              <w:spacing w:before="78" w:beforeLines="25" w:after="78" w:afterLines="25" w:line="240" w:lineRule="auto"/>
              <w:jc w:val="center"/>
              <w:rPr>
                <w:rFonts w:ascii="黑体" w:hAnsi="黑体" w:eastAsia="黑体" w:cs="Arial"/>
                <w:b/>
                <w:bCs/>
                <w:color w:val="000000" w:themeColor="text1"/>
                <w:kern w:val="2"/>
                <w:sz w:val="20"/>
                <w:lang w:eastAsia="zh-CN"/>
                <w14:textFill>
                  <w14:solidFill>
                    <w14:schemeClr w14:val="tx1"/>
                  </w14:solidFill>
                </w14:textFill>
              </w:rPr>
            </w:pPr>
            <w:r>
              <w:rPr>
                <w:rFonts w:ascii="黑体" w:hAnsi="黑体" w:eastAsia="黑体" w:cs="Arial"/>
                <w:b/>
                <w:bCs/>
                <w:color w:val="000000" w:themeColor="text1"/>
                <w:kern w:val="2"/>
                <w:sz w:val="20"/>
                <w:lang w:eastAsia="zh-CN"/>
                <w14:textFill>
                  <w14:solidFill>
                    <w14:schemeClr w14:val="tx1"/>
                  </w14:solidFill>
                </w14:textFill>
              </w:rPr>
              <w:t>项目</w:t>
            </w:r>
          </w:p>
        </w:tc>
        <w:tc>
          <w:tcPr>
            <w:tcW w:w="1899" w:type="dxa"/>
            <w:shd w:val="clear" w:color="auto" w:fill="auto"/>
            <w:vAlign w:val="center"/>
          </w:tcPr>
          <w:p>
            <w:pPr>
              <w:spacing w:before="78" w:beforeLines="25" w:after="78" w:afterLines="25" w:line="240" w:lineRule="auto"/>
              <w:jc w:val="center"/>
              <w:rPr>
                <w:rFonts w:ascii="黑体" w:hAnsi="黑体" w:eastAsia="黑体" w:cs="Arial"/>
                <w:b/>
                <w:bCs/>
                <w:color w:val="000000" w:themeColor="text1"/>
                <w:kern w:val="2"/>
                <w:sz w:val="20"/>
                <w:lang w:eastAsia="zh-CN"/>
                <w14:textFill>
                  <w14:solidFill>
                    <w14:schemeClr w14:val="tx1"/>
                  </w14:solidFill>
                </w14:textFill>
              </w:rPr>
            </w:pPr>
            <w:r>
              <w:rPr>
                <w:rFonts w:ascii="黑体" w:hAnsi="黑体" w:eastAsia="黑体" w:cs="Arial"/>
                <w:b/>
                <w:bCs/>
                <w:color w:val="000000" w:themeColor="text1"/>
                <w:kern w:val="2"/>
                <w:sz w:val="20"/>
                <w:lang w:eastAsia="zh-CN"/>
                <w14:textFill>
                  <w14:solidFill>
                    <w14:schemeClr w14:val="tx1"/>
                  </w14:solidFill>
                </w14:textFill>
              </w:rPr>
              <w:t>描述</w:t>
            </w:r>
          </w:p>
        </w:tc>
        <w:tc>
          <w:tcPr>
            <w:tcW w:w="1843" w:type="dxa"/>
            <w:shd w:val="clear" w:color="auto" w:fill="auto"/>
          </w:tcPr>
          <w:p>
            <w:pPr>
              <w:spacing w:before="78" w:beforeLines="25" w:after="78" w:afterLines="25" w:line="240" w:lineRule="auto"/>
              <w:jc w:val="center"/>
              <w:rPr>
                <w:rFonts w:ascii="黑体" w:hAnsi="黑体" w:eastAsia="黑体" w:cs="Arial"/>
                <w:b/>
                <w:bCs/>
                <w:color w:val="000000" w:themeColor="text1"/>
                <w:kern w:val="2"/>
                <w:sz w:val="20"/>
                <w:lang w:eastAsia="zh-CN"/>
                <w14:textFill>
                  <w14:solidFill>
                    <w14:schemeClr w14:val="tx1"/>
                  </w14:solidFill>
                </w14:textFill>
              </w:rPr>
            </w:pPr>
            <w:r>
              <w:rPr>
                <w:rFonts w:ascii="黑体" w:hAnsi="黑体" w:eastAsia="黑体" w:cs="Arial"/>
                <w:b/>
                <w:bCs/>
                <w:color w:val="000000" w:themeColor="text1"/>
                <w:kern w:val="2"/>
                <w:sz w:val="20"/>
                <w:lang w:eastAsia="zh-CN"/>
                <w14:textFill>
                  <w14:solidFill>
                    <w14:schemeClr w14:val="tx1"/>
                  </w14:solidFill>
                </w14:textFill>
              </w:rPr>
              <w:t>描述</w:t>
            </w:r>
          </w:p>
        </w:tc>
        <w:tc>
          <w:tcPr>
            <w:tcW w:w="1843" w:type="dxa"/>
            <w:shd w:val="clear" w:color="auto" w:fill="auto"/>
          </w:tcPr>
          <w:p>
            <w:pPr>
              <w:spacing w:before="78" w:beforeLines="25" w:after="78" w:afterLines="25" w:line="240" w:lineRule="auto"/>
              <w:jc w:val="center"/>
              <w:rPr>
                <w:rFonts w:ascii="黑体" w:hAnsi="黑体" w:eastAsia="黑体" w:cs="Arial"/>
                <w:b/>
                <w:bCs/>
                <w:color w:val="000000" w:themeColor="text1"/>
                <w:kern w:val="2"/>
                <w:sz w:val="20"/>
                <w:lang w:eastAsia="zh-CN"/>
                <w14:textFill>
                  <w14:solidFill>
                    <w14:schemeClr w14:val="tx1"/>
                  </w14:solidFill>
                </w14:textFill>
              </w:rPr>
            </w:pPr>
            <w:r>
              <w:rPr>
                <w:rFonts w:ascii="黑体" w:hAnsi="黑体" w:eastAsia="黑体" w:cs="Arial"/>
                <w:b/>
                <w:bCs/>
                <w:color w:val="000000" w:themeColor="text1"/>
                <w:kern w:val="2"/>
                <w:sz w:val="20"/>
                <w:lang w:eastAsia="zh-CN"/>
                <w14:textFill>
                  <w14:solidFill>
                    <w14:schemeClr w14:val="tx1"/>
                  </w14:solidFill>
                </w14:textFill>
              </w:rPr>
              <w:t>描述</w:t>
            </w:r>
          </w:p>
        </w:tc>
        <w:tc>
          <w:tcPr>
            <w:tcW w:w="1836" w:type="dxa"/>
            <w:shd w:val="clear" w:color="auto" w:fill="auto"/>
          </w:tcPr>
          <w:p>
            <w:pPr>
              <w:spacing w:before="78" w:beforeLines="25" w:after="78" w:afterLines="25" w:line="240" w:lineRule="auto"/>
              <w:jc w:val="center"/>
              <w:rPr>
                <w:rFonts w:ascii="黑体" w:hAnsi="黑体" w:eastAsia="黑体" w:cs="Arial"/>
                <w:b/>
                <w:bCs/>
                <w:color w:val="000000" w:themeColor="text1"/>
                <w:kern w:val="2"/>
                <w:sz w:val="20"/>
                <w:lang w:eastAsia="zh-CN"/>
                <w14:textFill>
                  <w14:solidFill>
                    <w14:schemeClr w14:val="tx1"/>
                  </w14:solidFill>
                </w14:textFill>
              </w:rPr>
            </w:pPr>
            <w:r>
              <w:rPr>
                <w:rFonts w:ascii="黑体" w:hAnsi="黑体" w:eastAsia="黑体" w:cs="Arial"/>
                <w:b/>
                <w:bCs/>
                <w:color w:val="000000" w:themeColor="text1"/>
                <w:kern w:val="2"/>
                <w:sz w:val="20"/>
                <w:lang w:eastAsia="zh-CN"/>
                <w14:textFill>
                  <w14:solidFill>
                    <w14:schemeClr w14:val="tx1"/>
                  </w14:solidFill>
                </w14:textFill>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名称（坐落）</w:t>
            </w:r>
          </w:p>
        </w:tc>
        <w:tc>
          <w:tcPr>
            <w:tcW w:w="1899" w:type="dxa"/>
            <w:vAlign w:val="center"/>
          </w:tcPr>
          <w:p>
            <w:pPr>
              <w:spacing w:line="280" w:lineRule="exact"/>
              <w:jc w:val="both"/>
              <w:rPr>
                <w:rFonts w:ascii="黑体" w:hAnsi="黑体" w:eastAsia="黑体"/>
                <w:sz w:val="20"/>
                <w:lang w:eastAsia="zh-CN"/>
              </w:rPr>
            </w:pPr>
            <w:r>
              <w:rPr>
                <w:rFonts w:hint="eastAsia" w:ascii="黑体" w:hAnsi="黑体" w:eastAsia="黑体"/>
                <w:sz w:val="20"/>
                <w:lang w:eastAsia="zh-CN"/>
              </w:rPr>
              <w:t>序号1：仓库、车间</w:t>
            </w:r>
          </w:p>
        </w:tc>
        <w:tc>
          <w:tcPr>
            <w:tcW w:w="1843"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序号2：办公楼</w:t>
            </w:r>
          </w:p>
        </w:tc>
        <w:tc>
          <w:tcPr>
            <w:tcW w:w="1843"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序号3：仓库、车间</w:t>
            </w:r>
          </w:p>
        </w:tc>
        <w:tc>
          <w:tcPr>
            <w:tcW w:w="1836"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序号4：仓库、办公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建筑面积</w:t>
            </w:r>
          </w:p>
        </w:tc>
        <w:tc>
          <w:tcPr>
            <w:tcW w:w="1899" w:type="dxa"/>
            <w:vAlign w:val="center"/>
          </w:tcPr>
          <w:p>
            <w:pPr>
              <w:spacing w:line="280" w:lineRule="exact"/>
              <w:jc w:val="both"/>
              <w:rPr>
                <w:rFonts w:ascii="黑体" w:hAnsi="黑体" w:eastAsia="黑体"/>
                <w:sz w:val="20"/>
                <w:lang w:eastAsia="zh-CN"/>
              </w:rPr>
            </w:pPr>
            <w:r>
              <w:rPr>
                <w:rFonts w:ascii="黑体" w:hAnsi="黑体" w:eastAsia="黑体" w:cs="Arial"/>
                <w:sz w:val="20"/>
                <w:lang w:eastAsia="zh-CN"/>
              </w:rPr>
              <w:t>2,552.68</w:t>
            </w:r>
            <w:r>
              <w:rPr>
                <w:rFonts w:hint="eastAsia" w:ascii="黑体" w:hAnsi="黑体" w:eastAsia="黑体" w:cs="Arial"/>
                <w:sz w:val="20"/>
                <w:lang w:eastAsia="zh-CN"/>
              </w:rPr>
              <w:t>平方米</w:t>
            </w:r>
          </w:p>
        </w:tc>
        <w:tc>
          <w:tcPr>
            <w:tcW w:w="1843" w:type="dxa"/>
          </w:tcPr>
          <w:p>
            <w:pPr>
              <w:spacing w:line="280" w:lineRule="exact"/>
              <w:jc w:val="both"/>
              <w:rPr>
                <w:rFonts w:ascii="黑体" w:hAnsi="黑体" w:eastAsia="黑体" w:cs="Arial"/>
                <w:sz w:val="20"/>
                <w:lang w:eastAsia="zh-CN"/>
              </w:rPr>
            </w:pPr>
            <w:r>
              <w:rPr>
                <w:rFonts w:ascii="黑体" w:hAnsi="黑体" w:eastAsia="黑体" w:cs="Arial"/>
                <w:sz w:val="20"/>
                <w:lang w:eastAsia="zh-CN"/>
              </w:rPr>
              <w:t>1,638.36</w:t>
            </w:r>
            <w:r>
              <w:rPr>
                <w:rFonts w:hint="eastAsia" w:ascii="黑体" w:hAnsi="黑体" w:eastAsia="黑体" w:cs="Arial"/>
                <w:sz w:val="20"/>
                <w:lang w:eastAsia="zh-CN"/>
              </w:rPr>
              <w:t>平方米</w:t>
            </w:r>
          </w:p>
        </w:tc>
        <w:tc>
          <w:tcPr>
            <w:tcW w:w="1843" w:type="dxa"/>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2</w:t>
            </w:r>
            <w:r>
              <w:rPr>
                <w:rFonts w:ascii="黑体" w:hAnsi="黑体" w:eastAsia="黑体" w:cs="Arial"/>
                <w:sz w:val="20"/>
                <w:lang w:eastAsia="zh-CN"/>
              </w:rPr>
              <w:t>183.71</w:t>
            </w:r>
            <w:r>
              <w:rPr>
                <w:rFonts w:hint="eastAsia" w:ascii="黑体" w:hAnsi="黑体" w:eastAsia="黑体" w:cs="Arial"/>
                <w:sz w:val="20"/>
                <w:lang w:eastAsia="zh-CN"/>
              </w:rPr>
              <w:t>平方米</w:t>
            </w:r>
          </w:p>
        </w:tc>
        <w:tc>
          <w:tcPr>
            <w:tcW w:w="1836" w:type="dxa"/>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3</w:t>
            </w:r>
            <w:r>
              <w:rPr>
                <w:rFonts w:ascii="黑体" w:hAnsi="黑体" w:eastAsia="黑体" w:cs="Arial"/>
                <w:sz w:val="20"/>
                <w:lang w:eastAsia="zh-CN"/>
              </w:rPr>
              <w:t>,246.45</w:t>
            </w:r>
            <w:r>
              <w:rPr>
                <w:rFonts w:hint="eastAsia" w:ascii="黑体" w:hAnsi="黑体" w:eastAsia="黑体" w:cs="Arial"/>
                <w:sz w:val="20"/>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规划用途</w:t>
            </w:r>
          </w:p>
        </w:tc>
        <w:tc>
          <w:tcPr>
            <w:tcW w:w="1899" w:type="dxa"/>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住宅</w:t>
            </w:r>
          </w:p>
        </w:tc>
        <w:tc>
          <w:tcPr>
            <w:tcW w:w="1843" w:type="dxa"/>
          </w:tcPr>
          <w:p>
            <w:pPr>
              <w:spacing w:line="280" w:lineRule="exact"/>
              <w:jc w:val="both"/>
              <w:rPr>
                <w:rFonts w:ascii="黑体" w:hAnsi="黑体" w:eastAsia="黑体" w:cs="宋体"/>
                <w:sz w:val="20"/>
                <w:lang w:eastAsia="zh-CN"/>
              </w:rPr>
            </w:pPr>
            <w:r>
              <w:rPr>
                <w:rFonts w:hint="eastAsia" w:ascii="黑体" w:hAnsi="黑体" w:eastAsia="黑体" w:cs="宋体"/>
                <w:sz w:val="20"/>
                <w:lang w:eastAsia="zh-CN"/>
              </w:rPr>
              <w:t>住宅</w:t>
            </w:r>
          </w:p>
        </w:tc>
        <w:tc>
          <w:tcPr>
            <w:tcW w:w="1843" w:type="dxa"/>
          </w:tcPr>
          <w:p>
            <w:pPr>
              <w:spacing w:line="280" w:lineRule="exact"/>
              <w:jc w:val="both"/>
              <w:rPr>
                <w:rFonts w:ascii="黑体" w:hAnsi="黑体" w:eastAsia="黑体" w:cs="宋体"/>
                <w:sz w:val="20"/>
                <w:lang w:eastAsia="zh-CN"/>
              </w:rPr>
            </w:pPr>
            <w:r>
              <w:rPr>
                <w:rFonts w:hint="eastAsia" w:ascii="黑体" w:hAnsi="黑体" w:eastAsia="黑体" w:cs="宋体"/>
                <w:sz w:val="20"/>
                <w:lang w:eastAsia="zh-CN"/>
              </w:rPr>
              <w:t>住宅</w:t>
            </w:r>
          </w:p>
        </w:tc>
        <w:tc>
          <w:tcPr>
            <w:tcW w:w="1836" w:type="dxa"/>
          </w:tcPr>
          <w:p>
            <w:pPr>
              <w:spacing w:line="280" w:lineRule="exact"/>
              <w:jc w:val="both"/>
              <w:rPr>
                <w:rFonts w:ascii="黑体" w:hAnsi="黑体" w:eastAsia="黑体" w:cs="宋体"/>
                <w:sz w:val="20"/>
                <w:lang w:eastAsia="zh-CN"/>
              </w:rPr>
            </w:pPr>
            <w:r>
              <w:rPr>
                <w:rFonts w:hint="eastAsia" w:ascii="黑体" w:hAnsi="黑体" w:eastAsia="黑体" w:cs="宋体"/>
                <w:sz w:val="20"/>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权利人</w:t>
            </w:r>
          </w:p>
        </w:tc>
        <w:tc>
          <w:tcPr>
            <w:tcW w:w="1899" w:type="dxa"/>
            <w:vAlign w:val="center"/>
          </w:tcPr>
          <w:p>
            <w:pPr>
              <w:spacing w:line="280" w:lineRule="exact"/>
              <w:jc w:val="both"/>
              <w:rPr>
                <w:rFonts w:ascii="黑体" w:hAnsi="黑体" w:eastAsia="黑体" w:cs="Arial"/>
                <w:sz w:val="20"/>
                <w:lang w:eastAsia="zh-CN"/>
              </w:rPr>
            </w:pPr>
            <w:r>
              <w:rPr>
                <w:rFonts w:hint="eastAsia" w:ascii="黑体" w:hAnsi="黑体" w:eastAsia="黑体" w:cs="Arial"/>
                <w:color w:val="000000" w:themeColor="text1"/>
                <w:sz w:val="20"/>
                <w:lang w:eastAsia="zh-CN"/>
                <w14:textFill>
                  <w14:solidFill>
                    <w14:schemeClr w14:val="tx1"/>
                  </w14:solidFill>
                </w14:textFill>
              </w:rPr>
              <w:t>黎凌</w:t>
            </w:r>
          </w:p>
        </w:tc>
        <w:tc>
          <w:tcPr>
            <w:tcW w:w="1843" w:type="dxa"/>
          </w:tcPr>
          <w:p>
            <w:pPr>
              <w:spacing w:line="280" w:lineRule="exact"/>
              <w:jc w:val="both"/>
              <w:rPr>
                <w:rFonts w:ascii="黑体" w:hAnsi="黑体" w:eastAsia="黑体" w:cs="Arial"/>
                <w:sz w:val="20"/>
                <w:lang w:eastAsia="zh-CN"/>
              </w:rPr>
            </w:pPr>
            <w:r>
              <w:rPr>
                <w:rFonts w:hint="eastAsia" w:ascii="黑体" w:hAnsi="黑体" w:eastAsia="黑体" w:cs="Arial"/>
                <w:color w:val="000000" w:themeColor="text1"/>
                <w:sz w:val="20"/>
                <w:lang w:eastAsia="zh-CN"/>
                <w14:textFill>
                  <w14:solidFill>
                    <w14:schemeClr w14:val="tx1"/>
                  </w14:solidFill>
                </w14:textFill>
              </w:rPr>
              <w:t>黎凌</w:t>
            </w:r>
          </w:p>
        </w:tc>
        <w:tc>
          <w:tcPr>
            <w:tcW w:w="1843" w:type="dxa"/>
          </w:tcPr>
          <w:p>
            <w:pPr>
              <w:spacing w:line="280" w:lineRule="exact"/>
              <w:jc w:val="both"/>
              <w:rPr>
                <w:rFonts w:ascii="黑体" w:hAnsi="黑体" w:eastAsia="黑体" w:cs="Arial"/>
                <w:sz w:val="20"/>
                <w:lang w:eastAsia="zh-CN"/>
              </w:rPr>
            </w:pPr>
            <w:r>
              <w:rPr>
                <w:rFonts w:hint="eastAsia" w:ascii="黑体" w:hAnsi="黑体" w:eastAsia="黑体" w:cs="Arial"/>
                <w:color w:val="000000" w:themeColor="text1"/>
                <w:sz w:val="20"/>
                <w:lang w:eastAsia="zh-CN"/>
                <w14:textFill>
                  <w14:solidFill>
                    <w14:schemeClr w14:val="tx1"/>
                  </w14:solidFill>
                </w14:textFill>
              </w:rPr>
              <w:t>黎凌</w:t>
            </w:r>
          </w:p>
        </w:tc>
        <w:tc>
          <w:tcPr>
            <w:tcW w:w="1836" w:type="dxa"/>
          </w:tcPr>
          <w:p>
            <w:pPr>
              <w:spacing w:line="280" w:lineRule="exact"/>
              <w:jc w:val="both"/>
              <w:rPr>
                <w:rFonts w:ascii="黑体" w:hAnsi="黑体" w:eastAsia="黑体" w:cs="Arial"/>
                <w:sz w:val="20"/>
                <w:lang w:eastAsia="zh-CN"/>
              </w:rPr>
            </w:pPr>
            <w:r>
              <w:rPr>
                <w:rFonts w:hint="eastAsia" w:ascii="黑体" w:hAnsi="黑体" w:eastAsia="黑体" w:cs="Arial"/>
                <w:color w:val="000000" w:themeColor="text1"/>
                <w:sz w:val="20"/>
                <w:lang w:eastAsia="zh-CN"/>
                <w14:textFill>
                  <w14:solidFill>
                    <w14:schemeClr w14:val="tx1"/>
                  </w14:solidFill>
                </w14:textFill>
              </w:rPr>
              <w:t>黎凌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建筑结构</w:t>
            </w:r>
            <w:r>
              <w:rPr>
                <w:rFonts w:hint="eastAsia" w:ascii="黑体" w:hAnsi="黑体" w:eastAsia="黑体" w:cs="Arial"/>
                <w:b/>
                <w:color w:val="000000" w:themeColor="text1"/>
                <w:sz w:val="20"/>
                <w:lang w:eastAsia="zh-CN"/>
                <w14:textFill>
                  <w14:solidFill>
                    <w14:schemeClr w14:val="tx1"/>
                  </w14:solidFill>
                </w14:textFill>
              </w:rPr>
              <w:t>及层数</w:t>
            </w:r>
          </w:p>
        </w:tc>
        <w:tc>
          <w:tcPr>
            <w:tcW w:w="1899" w:type="dxa"/>
            <w:vAlign w:val="center"/>
          </w:tcPr>
          <w:p>
            <w:pPr>
              <w:spacing w:line="280" w:lineRule="exact"/>
              <w:jc w:val="both"/>
              <w:rPr>
                <w:rFonts w:ascii="黑体" w:hAnsi="黑体" w:eastAsia="黑体"/>
                <w:sz w:val="20"/>
                <w:lang w:eastAsia="zh-CN"/>
              </w:rPr>
            </w:pPr>
            <w:r>
              <w:rPr>
                <w:rFonts w:hint="eastAsia" w:ascii="黑体" w:hAnsi="黑体" w:eastAsia="黑体"/>
                <w:sz w:val="20"/>
                <w:lang w:eastAsia="zh-CN"/>
              </w:rPr>
              <w:t>钢混</w:t>
            </w:r>
            <w:r>
              <w:rPr>
                <w:rFonts w:ascii="黑体" w:hAnsi="黑体" w:eastAsia="黑体"/>
                <w:sz w:val="20"/>
                <w:lang w:eastAsia="zh-CN"/>
              </w:rPr>
              <w:t>结构</w:t>
            </w:r>
            <w:r>
              <w:rPr>
                <w:rFonts w:hint="eastAsia" w:ascii="黑体" w:hAnsi="黑体" w:eastAsia="黑体"/>
                <w:sz w:val="20"/>
                <w:lang w:eastAsia="zh-CN"/>
              </w:rPr>
              <w:t>，5层</w:t>
            </w:r>
          </w:p>
        </w:tc>
        <w:tc>
          <w:tcPr>
            <w:tcW w:w="1843"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钢混结构</w:t>
            </w:r>
            <w:r>
              <w:rPr>
                <w:rFonts w:hint="eastAsia" w:ascii="黑体" w:hAnsi="黑体" w:eastAsia="黑体"/>
                <w:sz w:val="20"/>
                <w:lang w:eastAsia="zh-CN"/>
              </w:rPr>
              <w:t>，6层</w:t>
            </w:r>
          </w:p>
        </w:tc>
        <w:tc>
          <w:tcPr>
            <w:tcW w:w="1843"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钢混结构</w:t>
            </w:r>
            <w:r>
              <w:rPr>
                <w:rFonts w:hint="eastAsia" w:ascii="黑体" w:hAnsi="黑体" w:eastAsia="黑体"/>
                <w:sz w:val="20"/>
                <w:lang w:eastAsia="zh-CN"/>
              </w:rPr>
              <w:t>，5层</w:t>
            </w:r>
          </w:p>
        </w:tc>
        <w:tc>
          <w:tcPr>
            <w:tcW w:w="1836"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钢混结构</w:t>
            </w:r>
            <w:r>
              <w:rPr>
                <w:rFonts w:hint="eastAsia" w:ascii="黑体" w:hAnsi="黑体" w:eastAsia="黑体"/>
                <w:sz w:val="20"/>
                <w:lang w:eastAsia="zh-CN"/>
              </w:rPr>
              <w:t>，5层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设施设备</w:t>
            </w:r>
          </w:p>
        </w:tc>
        <w:tc>
          <w:tcPr>
            <w:tcW w:w="1899"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水电、消防设施齐全</w:t>
            </w:r>
            <w:r>
              <w:rPr>
                <w:rFonts w:hint="eastAsia" w:ascii="黑体" w:hAnsi="黑体" w:eastAsia="黑体"/>
                <w:sz w:val="20"/>
                <w:lang w:eastAsia="zh-CN"/>
              </w:rPr>
              <w:t>，设2条楼梯、1台货梯</w:t>
            </w:r>
            <w:r>
              <w:rPr>
                <w:rFonts w:ascii="黑体" w:hAnsi="黑体" w:eastAsia="黑体"/>
                <w:sz w:val="20"/>
                <w:lang w:eastAsia="zh-CN"/>
              </w:rPr>
              <w:t>联系上下</w:t>
            </w:r>
          </w:p>
        </w:tc>
        <w:tc>
          <w:tcPr>
            <w:tcW w:w="1843"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水电、消防设施齐全</w:t>
            </w:r>
            <w:r>
              <w:rPr>
                <w:rFonts w:hint="eastAsia" w:ascii="黑体" w:hAnsi="黑体" w:eastAsia="黑体"/>
                <w:sz w:val="20"/>
                <w:lang w:eastAsia="zh-CN"/>
              </w:rPr>
              <w:t>，配有中央空调，</w:t>
            </w:r>
            <w:r>
              <w:rPr>
                <w:rFonts w:ascii="黑体" w:hAnsi="黑体" w:eastAsia="黑体"/>
                <w:sz w:val="20"/>
                <w:lang w:eastAsia="zh-CN"/>
              </w:rPr>
              <w:t>设有</w:t>
            </w:r>
            <w:r>
              <w:rPr>
                <w:rFonts w:hint="eastAsia" w:ascii="黑体" w:hAnsi="黑体" w:eastAsia="黑体"/>
                <w:sz w:val="20"/>
                <w:lang w:eastAsia="zh-CN"/>
              </w:rPr>
              <w:t>1</w:t>
            </w:r>
            <w:r>
              <w:rPr>
                <w:rFonts w:ascii="黑体" w:hAnsi="黑体" w:eastAsia="黑体"/>
                <w:sz w:val="20"/>
                <w:lang w:eastAsia="zh-CN"/>
              </w:rPr>
              <w:t>条楼梯</w:t>
            </w:r>
            <w:r>
              <w:rPr>
                <w:rFonts w:hint="eastAsia" w:ascii="黑体" w:hAnsi="黑体" w:eastAsia="黑体"/>
                <w:sz w:val="20"/>
                <w:lang w:eastAsia="zh-CN"/>
              </w:rPr>
              <w:t>、1台电梯联</w:t>
            </w:r>
            <w:r>
              <w:rPr>
                <w:rFonts w:ascii="黑体" w:hAnsi="黑体" w:eastAsia="黑体"/>
                <w:sz w:val="20"/>
                <w:lang w:eastAsia="zh-CN"/>
              </w:rPr>
              <w:t>系上下</w:t>
            </w:r>
          </w:p>
        </w:tc>
        <w:tc>
          <w:tcPr>
            <w:tcW w:w="1843"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 xml:space="preserve">水电、消防设施齐全 </w:t>
            </w:r>
            <w:r>
              <w:rPr>
                <w:rFonts w:hint="eastAsia" w:ascii="黑体" w:hAnsi="黑体" w:eastAsia="黑体"/>
                <w:sz w:val="20"/>
                <w:lang w:eastAsia="zh-CN"/>
              </w:rPr>
              <w:t>，设2条楼梯、1台货梯</w:t>
            </w:r>
            <w:r>
              <w:rPr>
                <w:rFonts w:ascii="黑体" w:hAnsi="黑体" w:eastAsia="黑体"/>
                <w:sz w:val="20"/>
                <w:lang w:eastAsia="zh-CN"/>
              </w:rPr>
              <w:t>联系上下</w:t>
            </w:r>
          </w:p>
        </w:tc>
        <w:tc>
          <w:tcPr>
            <w:tcW w:w="1836" w:type="dxa"/>
            <w:vAlign w:val="center"/>
          </w:tcPr>
          <w:p>
            <w:pPr>
              <w:spacing w:line="280" w:lineRule="exact"/>
              <w:jc w:val="both"/>
              <w:rPr>
                <w:rFonts w:ascii="黑体" w:hAnsi="黑体" w:eastAsia="黑体"/>
                <w:sz w:val="20"/>
                <w:lang w:eastAsia="zh-CN"/>
              </w:rPr>
            </w:pPr>
            <w:r>
              <w:rPr>
                <w:rFonts w:ascii="黑体" w:hAnsi="黑体" w:eastAsia="黑体"/>
                <w:sz w:val="20"/>
                <w:lang w:eastAsia="zh-CN"/>
              </w:rPr>
              <w:t xml:space="preserve">水电、消防设施齐全 </w:t>
            </w:r>
            <w:r>
              <w:rPr>
                <w:rFonts w:hint="eastAsia" w:ascii="黑体" w:hAnsi="黑体" w:eastAsia="黑体"/>
                <w:sz w:val="20"/>
                <w:lang w:eastAsia="zh-CN"/>
              </w:rPr>
              <w:t>，设3条楼梯、1台货梯</w:t>
            </w:r>
            <w:r>
              <w:rPr>
                <w:rFonts w:ascii="黑体" w:hAnsi="黑体" w:eastAsia="黑体"/>
                <w:sz w:val="20"/>
                <w:lang w:eastAsia="zh-CN"/>
              </w:rPr>
              <w:t>联系上下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装饰装修</w:t>
            </w:r>
          </w:p>
        </w:tc>
        <w:tc>
          <w:tcPr>
            <w:tcW w:w="1899" w:type="dxa"/>
            <w:vAlign w:val="center"/>
          </w:tcPr>
          <w:p>
            <w:pPr>
              <w:spacing w:line="280" w:lineRule="exact"/>
              <w:jc w:val="both"/>
              <w:rPr>
                <w:rFonts w:ascii="黑体" w:hAnsi="黑体" w:eastAsia="黑体"/>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简单</w:t>
            </w:r>
            <w:r>
              <w:rPr>
                <w:rFonts w:ascii="黑体" w:hAnsi="黑体" w:eastAsia="黑体" w:cs="Arial"/>
                <w:color w:val="000000" w:themeColor="text1"/>
                <w:sz w:val="20"/>
                <w:lang w:eastAsia="zh-CN"/>
                <w14:textFill>
                  <w14:solidFill>
                    <w14:schemeClr w14:val="tx1"/>
                  </w14:solidFill>
                </w14:textFill>
              </w:rPr>
              <w:t>装修，</w:t>
            </w:r>
            <w:r>
              <w:rPr>
                <w:rFonts w:hint="eastAsia" w:ascii="黑体" w:hAnsi="黑体" w:eastAsia="黑体" w:cs="Arial"/>
                <w:color w:val="000000" w:themeColor="text1"/>
                <w:sz w:val="20"/>
                <w:lang w:eastAsia="zh-CN"/>
                <w14:textFill>
                  <w14:solidFill>
                    <w14:schemeClr w14:val="tx1"/>
                  </w14:solidFill>
                </w14:textFill>
              </w:rPr>
              <w:t>外墙为方形瓷砖，地面为地砖，内墙刷乳胶漆，天花刷乳胶漆。</w:t>
            </w:r>
          </w:p>
        </w:tc>
        <w:tc>
          <w:tcPr>
            <w:tcW w:w="1843"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普通</w:t>
            </w:r>
            <w:r>
              <w:rPr>
                <w:rFonts w:ascii="黑体" w:hAnsi="黑体" w:eastAsia="黑体" w:cs="Arial"/>
                <w:color w:val="000000" w:themeColor="text1"/>
                <w:sz w:val="20"/>
                <w:lang w:eastAsia="zh-CN"/>
                <w14:textFill>
                  <w14:solidFill>
                    <w14:schemeClr w14:val="tx1"/>
                  </w14:solidFill>
                </w14:textFill>
              </w:rPr>
              <w:t>装修，</w:t>
            </w:r>
            <w:r>
              <w:rPr>
                <w:rFonts w:hint="eastAsia" w:ascii="黑体" w:hAnsi="黑体" w:eastAsia="黑体" w:cs="Arial"/>
                <w:color w:val="000000" w:themeColor="text1"/>
                <w:sz w:val="20"/>
                <w:lang w:eastAsia="zh-CN"/>
                <w14:textFill>
                  <w14:solidFill>
                    <w14:schemeClr w14:val="tx1"/>
                  </w14:solidFill>
                </w14:textFill>
              </w:rPr>
              <w:t>外墙为方形瓷砖，地面铺抛光砖、木地板，内墙刷乳胶漆，天花刷乳胶漆、吊顶。</w:t>
            </w:r>
          </w:p>
        </w:tc>
        <w:tc>
          <w:tcPr>
            <w:tcW w:w="1843"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简单</w:t>
            </w:r>
            <w:r>
              <w:rPr>
                <w:rFonts w:ascii="黑体" w:hAnsi="黑体" w:eastAsia="黑体" w:cs="Arial"/>
                <w:color w:val="000000" w:themeColor="text1"/>
                <w:sz w:val="20"/>
                <w:lang w:eastAsia="zh-CN"/>
                <w14:textFill>
                  <w14:solidFill>
                    <w14:schemeClr w14:val="tx1"/>
                  </w14:solidFill>
                </w14:textFill>
              </w:rPr>
              <w:t>装修，</w:t>
            </w:r>
            <w:r>
              <w:rPr>
                <w:rFonts w:hint="eastAsia" w:ascii="黑体" w:hAnsi="黑体" w:eastAsia="黑体" w:cs="Arial"/>
                <w:color w:val="000000" w:themeColor="text1"/>
                <w:sz w:val="20"/>
                <w:lang w:eastAsia="zh-CN"/>
                <w14:textFill>
                  <w14:solidFill>
                    <w14:schemeClr w14:val="tx1"/>
                  </w14:solidFill>
                </w14:textFill>
              </w:rPr>
              <w:t>外墙为条形瓷砖，地面部分铺地砖、部分为水泥，内墙及天花刷乳胶漆。</w:t>
            </w:r>
          </w:p>
        </w:tc>
        <w:tc>
          <w:tcPr>
            <w:tcW w:w="1836"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简单</w:t>
            </w:r>
            <w:r>
              <w:rPr>
                <w:rFonts w:ascii="黑体" w:hAnsi="黑体" w:eastAsia="黑体" w:cs="Arial"/>
                <w:color w:val="000000" w:themeColor="text1"/>
                <w:sz w:val="20"/>
                <w:lang w:eastAsia="zh-CN"/>
                <w14:textFill>
                  <w14:solidFill>
                    <w14:schemeClr w14:val="tx1"/>
                  </w14:solidFill>
                </w14:textFill>
              </w:rPr>
              <w:t>装修，</w:t>
            </w:r>
            <w:r>
              <w:rPr>
                <w:rFonts w:hint="eastAsia" w:ascii="黑体" w:hAnsi="黑体" w:eastAsia="黑体" w:cs="Arial"/>
                <w:color w:val="000000" w:themeColor="text1"/>
                <w:sz w:val="20"/>
                <w:lang w:eastAsia="zh-CN"/>
                <w14:textFill>
                  <w14:solidFill>
                    <w14:schemeClr w14:val="tx1"/>
                  </w14:solidFill>
                </w14:textFill>
              </w:rPr>
              <w:t>外墙为条形瓷砖，地面部分铺地砖、部分为水泥，内墙刷乳胶漆、天花部分刷乳胶漆、部分吊顶。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层高</w:t>
            </w:r>
          </w:p>
        </w:tc>
        <w:tc>
          <w:tcPr>
            <w:tcW w:w="1899" w:type="dxa"/>
            <w:vAlign w:val="center"/>
          </w:tcPr>
          <w:p>
            <w:pPr>
              <w:spacing w:line="280" w:lineRule="exact"/>
              <w:jc w:val="both"/>
              <w:rPr>
                <w:rFonts w:ascii="黑体" w:hAnsi="黑体" w:eastAsia="黑体"/>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首层约6米，其余约3米</w:t>
            </w:r>
          </w:p>
        </w:tc>
        <w:tc>
          <w:tcPr>
            <w:tcW w:w="1843"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首层约3</w:t>
            </w:r>
            <w:r>
              <w:rPr>
                <w:rFonts w:ascii="黑体" w:hAnsi="黑体" w:eastAsia="黑体" w:cs="Arial"/>
                <w:color w:val="000000" w:themeColor="text1"/>
                <w:sz w:val="20"/>
                <w:lang w:eastAsia="zh-CN"/>
                <w14:textFill>
                  <w14:solidFill>
                    <w14:schemeClr w14:val="tx1"/>
                  </w14:solidFill>
                </w14:textFill>
              </w:rPr>
              <w:t>.5</w:t>
            </w:r>
            <w:r>
              <w:rPr>
                <w:rFonts w:hint="eastAsia" w:ascii="黑体" w:hAnsi="黑体" w:eastAsia="黑体" w:cs="Arial"/>
                <w:color w:val="000000" w:themeColor="text1"/>
                <w:sz w:val="20"/>
                <w:lang w:eastAsia="zh-CN"/>
                <w14:textFill>
                  <w14:solidFill>
                    <w14:schemeClr w14:val="tx1"/>
                  </w14:solidFill>
                </w14:textFill>
              </w:rPr>
              <w:t>米，其余约3米</w:t>
            </w:r>
          </w:p>
        </w:tc>
        <w:tc>
          <w:tcPr>
            <w:tcW w:w="1843"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首层约3</w:t>
            </w:r>
            <w:r>
              <w:rPr>
                <w:rFonts w:ascii="黑体" w:hAnsi="黑体" w:eastAsia="黑体" w:cs="Arial"/>
                <w:color w:val="000000" w:themeColor="text1"/>
                <w:sz w:val="20"/>
                <w:lang w:eastAsia="zh-CN"/>
                <w14:textFill>
                  <w14:solidFill>
                    <w14:schemeClr w14:val="tx1"/>
                  </w14:solidFill>
                </w14:textFill>
              </w:rPr>
              <w:t>.5</w:t>
            </w:r>
            <w:r>
              <w:rPr>
                <w:rFonts w:hint="eastAsia" w:ascii="黑体" w:hAnsi="黑体" w:eastAsia="黑体" w:cs="Arial"/>
                <w:color w:val="000000" w:themeColor="text1"/>
                <w:sz w:val="20"/>
                <w:lang w:eastAsia="zh-CN"/>
                <w14:textFill>
                  <w14:solidFill>
                    <w14:schemeClr w14:val="tx1"/>
                  </w14:solidFill>
                </w14:textFill>
              </w:rPr>
              <w:t>米，其余约3米</w:t>
            </w:r>
          </w:p>
        </w:tc>
        <w:tc>
          <w:tcPr>
            <w:tcW w:w="1836" w:type="dxa"/>
            <w:vAlign w:val="center"/>
          </w:tcPr>
          <w:p>
            <w:pPr>
              <w:spacing w:line="280" w:lineRule="exact"/>
              <w:jc w:val="both"/>
              <w:rPr>
                <w:rFonts w:ascii="黑体" w:hAnsi="黑体" w:eastAsia="黑体" w:cs="Arial"/>
                <w:color w:val="000000" w:themeColor="text1"/>
                <w:sz w:val="20"/>
                <w:lang w:eastAsia="zh-CN"/>
                <w14:textFill>
                  <w14:solidFill>
                    <w14:schemeClr w14:val="tx1"/>
                  </w14:solidFill>
                </w14:textFill>
              </w:rPr>
            </w:pPr>
            <w:r>
              <w:rPr>
                <w:rFonts w:hint="eastAsia" w:ascii="黑体" w:hAnsi="黑体" w:eastAsia="黑体" w:cs="Arial"/>
                <w:color w:val="000000" w:themeColor="text1"/>
                <w:sz w:val="20"/>
                <w:lang w:eastAsia="zh-CN"/>
                <w14:textFill>
                  <w14:solidFill>
                    <w14:schemeClr w14:val="tx1"/>
                  </w14:solidFill>
                </w14:textFill>
              </w:rPr>
              <w:t>首层约3</w:t>
            </w:r>
            <w:r>
              <w:rPr>
                <w:rFonts w:ascii="黑体" w:hAnsi="黑体" w:eastAsia="黑体" w:cs="Arial"/>
                <w:color w:val="000000" w:themeColor="text1"/>
                <w:sz w:val="20"/>
                <w:lang w:eastAsia="zh-CN"/>
                <w14:textFill>
                  <w14:solidFill>
                    <w14:schemeClr w14:val="tx1"/>
                  </w14:solidFill>
                </w14:textFill>
              </w:rPr>
              <w:t>.5</w:t>
            </w:r>
            <w:r>
              <w:rPr>
                <w:rFonts w:hint="eastAsia" w:ascii="黑体" w:hAnsi="黑体" w:eastAsia="黑体" w:cs="Arial"/>
                <w:color w:val="000000" w:themeColor="text1"/>
                <w:sz w:val="20"/>
                <w:lang w:eastAsia="zh-CN"/>
                <w14:textFill>
                  <w14:solidFill>
                    <w14:schemeClr w14:val="tx1"/>
                  </w14:solidFill>
                </w14:textFill>
              </w:rPr>
              <w:t>米，其余约3米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空间布局</w:t>
            </w:r>
          </w:p>
        </w:tc>
        <w:tc>
          <w:tcPr>
            <w:tcW w:w="1899"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平层</w:t>
            </w:r>
          </w:p>
        </w:tc>
        <w:tc>
          <w:tcPr>
            <w:tcW w:w="1843"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平层</w:t>
            </w:r>
          </w:p>
        </w:tc>
        <w:tc>
          <w:tcPr>
            <w:tcW w:w="1843"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平层</w:t>
            </w:r>
          </w:p>
        </w:tc>
        <w:tc>
          <w:tcPr>
            <w:tcW w:w="1836"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平面布置</w:t>
            </w:r>
          </w:p>
        </w:tc>
        <w:tc>
          <w:tcPr>
            <w:tcW w:w="1899"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大致呈</w:t>
            </w:r>
            <w:r>
              <w:rPr>
                <w:rFonts w:hint="eastAsia" w:ascii="黑体" w:hAnsi="黑体" w:eastAsia="黑体" w:cs="Arial"/>
                <w:sz w:val="20"/>
                <w:lang w:eastAsia="zh-CN"/>
              </w:rPr>
              <w:t>长</w:t>
            </w:r>
            <w:r>
              <w:rPr>
                <w:rFonts w:ascii="黑体" w:hAnsi="黑体" w:eastAsia="黑体" w:cs="Arial"/>
                <w:sz w:val="20"/>
                <w:lang w:eastAsia="zh-CN"/>
              </w:rPr>
              <w:t>方形</w:t>
            </w:r>
          </w:p>
        </w:tc>
        <w:tc>
          <w:tcPr>
            <w:tcW w:w="1843"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大致呈</w:t>
            </w:r>
            <w:r>
              <w:rPr>
                <w:rFonts w:hint="eastAsia" w:ascii="黑体" w:hAnsi="黑体" w:eastAsia="黑体" w:cs="Arial"/>
                <w:sz w:val="20"/>
                <w:lang w:eastAsia="zh-CN"/>
              </w:rPr>
              <w:t>长</w:t>
            </w:r>
            <w:r>
              <w:rPr>
                <w:rFonts w:ascii="黑体" w:hAnsi="黑体" w:eastAsia="黑体" w:cs="Arial"/>
                <w:sz w:val="20"/>
                <w:lang w:eastAsia="zh-CN"/>
              </w:rPr>
              <w:t>方形</w:t>
            </w:r>
          </w:p>
        </w:tc>
        <w:tc>
          <w:tcPr>
            <w:tcW w:w="1843"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大致呈</w:t>
            </w:r>
            <w:r>
              <w:rPr>
                <w:rFonts w:hint="eastAsia" w:ascii="黑体" w:hAnsi="黑体" w:eastAsia="黑体" w:cs="Arial"/>
                <w:sz w:val="20"/>
                <w:lang w:eastAsia="zh-CN"/>
              </w:rPr>
              <w:t>正</w:t>
            </w:r>
            <w:r>
              <w:rPr>
                <w:rFonts w:ascii="黑体" w:hAnsi="黑体" w:eastAsia="黑体" w:cs="Arial"/>
                <w:sz w:val="20"/>
                <w:lang w:eastAsia="zh-CN"/>
              </w:rPr>
              <w:t>方形</w:t>
            </w:r>
          </w:p>
        </w:tc>
        <w:tc>
          <w:tcPr>
            <w:tcW w:w="1836"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大致呈</w:t>
            </w:r>
            <w:r>
              <w:rPr>
                <w:rFonts w:hint="eastAsia" w:ascii="黑体" w:hAnsi="黑体" w:eastAsia="黑体" w:cs="Arial"/>
                <w:sz w:val="20"/>
                <w:lang w:eastAsia="zh-CN"/>
              </w:rPr>
              <w:t>多边</w:t>
            </w:r>
            <w:r>
              <w:rPr>
                <w:rFonts w:ascii="黑体" w:hAnsi="黑体" w:eastAsia="黑体" w:cs="Arial"/>
                <w:sz w:val="20"/>
                <w:lang w:eastAsia="zh-CN"/>
              </w:rPr>
              <w:t>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建筑功能</w:t>
            </w:r>
          </w:p>
        </w:tc>
        <w:tc>
          <w:tcPr>
            <w:tcW w:w="1899" w:type="dxa"/>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仓库、车间</w:t>
            </w:r>
          </w:p>
        </w:tc>
        <w:tc>
          <w:tcPr>
            <w:tcW w:w="1843"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办公楼</w:t>
            </w:r>
          </w:p>
        </w:tc>
        <w:tc>
          <w:tcPr>
            <w:tcW w:w="1843"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仓库、车间</w:t>
            </w:r>
          </w:p>
        </w:tc>
        <w:tc>
          <w:tcPr>
            <w:tcW w:w="1836" w:type="dxa"/>
            <w:vAlign w:val="center"/>
          </w:tcPr>
          <w:p>
            <w:pPr>
              <w:spacing w:line="280" w:lineRule="exact"/>
              <w:jc w:val="both"/>
              <w:rPr>
                <w:rFonts w:ascii="黑体" w:hAnsi="黑体" w:eastAsia="黑体" w:cs="Arial"/>
                <w:sz w:val="20"/>
                <w:lang w:eastAsia="zh-CN"/>
              </w:rPr>
            </w:pPr>
            <w:r>
              <w:rPr>
                <w:rFonts w:hint="eastAsia" w:ascii="黑体" w:hAnsi="黑体" w:eastAsia="黑体" w:cs="宋体"/>
                <w:sz w:val="20"/>
                <w:lang w:eastAsia="zh-CN"/>
              </w:rPr>
              <w:t>仓库、办公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建成时间</w:t>
            </w:r>
          </w:p>
        </w:tc>
        <w:tc>
          <w:tcPr>
            <w:tcW w:w="1899" w:type="dxa"/>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约2</w:t>
            </w:r>
            <w:r>
              <w:rPr>
                <w:rFonts w:ascii="黑体" w:hAnsi="黑体" w:eastAsia="黑体" w:cs="Arial"/>
                <w:sz w:val="20"/>
                <w:lang w:eastAsia="zh-CN"/>
              </w:rPr>
              <w:t>007</w:t>
            </w:r>
            <w:r>
              <w:rPr>
                <w:rFonts w:hint="eastAsia" w:ascii="黑体" w:hAnsi="黑体" w:eastAsia="黑体" w:cs="Arial"/>
                <w:sz w:val="20"/>
                <w:lang w:eastAsia="zh-CN"/>
              </w:rPr>
              <w:t>年</w:t>
            </w:r>
          </w:p>
        </w:tc>
        <w:tc>
          <w:tcPr>
            <w:tcW w:w="1843" w:type="dxa"/>
            <w:vAlign w:val="center"/>
          </w:tcPr>
          <w:p>
            <w:pPr>
              <w:spacing w:line="280" w:lineRule="exact"/>
              <w:jc w:val="both"/>
              <w:rPr>
                <w:rFonts w:ascii="黑体" w:hAnsi="黑体" w:eastAsia="黑体" w:cs="宋体"/>
                <w:sz w:val="20"/>
                <w:lang w:eastAsia="zh-CN"/>
              </w:rPr>
            </w:pPr>
            <w:r>
              <w:rPr>
                <w:rFonts w:hint="eastAsia" w:ascii="黑体" w:hAnsi="黑体" w:eastAsia="黑体" w:cs="Arial"/>
                <w:sz w:val="20"/>
                <w:lang w:eastAsia="zh-CN"/>
              </w:rPr>
              <w:t>约2</w:t>
            </w:r>
            <w:r>
              <w:rPr>
                <w:rFonts w:ascii="黑体" w:hAnsi="黑体" w:eastAsia="黑体" w:cs="Arial"/>
                <w:sz w:val="20"/>
                <w:lang w:eastAsia="zh-CN"/>
              </w:rPr>
              <w:t>007</w:t>
            </w:r>
            <w:r>
              <w:rPr>
                <w:rFonts w:hint="eastAsia" w:ascii="黑体" w:hAnsi="黑体" w:eastAsia="黑体" w:cs="Arial"/>
                <w:sz w:val="20"/>
                <w:lang w:eastAsia="zh-CN"/>
              </w:rPr>
              <w:t>年</w:t>
            </w:r>
          </w:p>
        </w:tc>
        <w:tc>
          <w:tcPr>
            <w:tcW w:w="1843" w:type="dxa"/>
            <w:vAlign w:val="center"/>
          </w:tcPr>
          <w:p>
            <w:pPr>
              <w:spacing w:line="280" w:lineRule="exact"/>
              <w:jc w:val="both"/>
              <w:rPr>
                <w:rFonts w:ascii="黑体" w:hAnsi="黑体" w:eastAsia="黑体" w:cs="宋体"/>
                <w:sz w:val="20"/>
                <w:lang w:eastAsia="zh-CN"/>
              </w:rPr>
            </w:pPr>
            <w:r>
              <w:rPr>
                <w:rFonts w:hint="eastAsia" w:ascii="黑体" w:hAnsi="黑体" w:eastAsia="黑体" w:cs="Arial"/>
                <w:sz w:val="20"/>
                <w:lang w:eastAsia="zh-CN"/>
              </w:rPr>
              <w:t>约</w:t>
            </w:r>
            <w:r>
              <w:rPr>
                <w:rFonts w:ascii="黑体" w:hAnsi="黑体" w:eastAsia="黑体" w:cs="Arial"/>
                <w:sz w:val="20"/>
                <w:lang w:eastAsia="zh-CN"/>
              </w:rPr>
              <w:t>1998</w:t>
            </w:r>
            <w:r>
              <w:rPr>
                <w:rFonts w:hint="eastAsia" w:ascii="黑体" w:hAnsi="黑体" w:eastAsia="黑体" w:cs="Arial"/>
                <w:sz w:val="20"/>
                <w:lang w:eastAsia="zh-CN"/>
              </w:rPr>
              <w:t>年</w:t>
            </w:r>
          </w:p>
        </w:tc>
        <w:tc>
          <w:tcPr>
            <w:tcW w:w="1836" w:type="dxa"/>
            <w:vAlign w:val="center"/>
          </w:tcPr>
          <w:p>
            <w:pPr>
              <w:spacing w:line="280" w:lineRule="exact"/>
              <w:jc w:val="both"/>
              <w:rPr>
                <w:rFonts w:ascii="黑体" w:hAnsi="黑体" w:eastAsia="黑体" w:cs="宋体"/>
                <w:sz w:val="20"/>
                <w:lang w:eastAsia="zh-CN"/>
              </w:rPr>
            </w:pPr>
            <w:r>
              <w:rPr>
                <w:rFonts w:hint="eastAsia" w:ascii="黑体" w:hAnsi="黑体" w:eastAsia="黑体" w:cs="Arial"/>
                <w:sz w:val="20"/>
                <w:lang w:eastAsia="zh-CN"/>
              </w:rPr>
              <w:t>约</w:t>
            </w:r>
            <w:r>
              <w:rPr>
                <w:rFonts w:ascii="黑体" w:hAnsi="黑体" w:eastAsia="黑体" w:cs="Arial"/>
                <w:sz w:val="20"/>
                <w:lang w:eastAsia="zh-CN"/>
              </w:rPr>
              <w:t>1998</w:t>
            </w:r>
            <w:r>
              <w:rPr>
                <w:rFonts w:hint="eastAsia" w:ascii="黑体" w:hAnsi="黑体" w:eastAsia="黑体" w:cs="Arial"/>
                <w:sz w:val="20"/>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新旧程度</w:t>
            </w:r>
          </w:p>
        </w:tc>
        <w:tc>
          <w:tcPr>
            <w:tcW w:w="1899" w:type="dxa"/>
            <w:vAlign w:val="center"/>
          </w:tcPr>
          <w:p>
            <w:pPr>
              <w:spacing w:line="280" w:lineRule="exact"/>
              <w:jc w:val="both"/>
              <w:rPr>
                <w:rFonts w:ascii="黑体" w:hAnsi="黑体" w:eastAsia="黑体" w:cs="Arial"/>
                <w:sz w:val="20"/>
                <w:lang w:eastAsia="zh-CN"/>
              </w:rPr>
            </w:pPr>
            <w:r>
              <w:rPr>
                <w:rFonts w:ascii="黑体" w:hAnsi="黑体" w:eastAsia="黑体" w:cs="Arial"/>
                <w:sz w:val="20"/>
                <w:lang w:eastAsia="zh-CN"/>
              </w:rPr>
              <w:t>成新度约</w:t>
            </w:r>
            <w:r>
              <w:rPr>
                <w:rFonts w:hint="eastAsia" w:ascii="黑体" w:hAnsi="黑体" w:eastAsia="黑体" w:cs="Arial"/>
                <w:sz w:val="20"/>
                <w:lang w:eastAsia="zh-CN"/>
              </w:rPr>
              <w:t>7</w:t>
            </w:r>
            <w:r>
              <w:rPr>
                <w:rFonts w:ascii="黑体" w:hAnsi="黑体" w:eastAsia="黑体" w:cs="Arial"/>
                <w:sz w:val="20"/>
                <w:lang w:eastAsia="zh-CN"/>
              </w:rPr>
              <w:t>2%</w:t>
            </w:r>
          </w:p>
        </w:tc>
        <w:tc>
          <w:tcPr>
            <w:tcW w:w="1843" w:type="dxa"/>
            <w:vAlign w:val="center"/>
          </w:tcPr>
          <w:p>
            <w:pPr>
              <w:spacing w:line="280" w:lineRule="exact"/>
              <w:jc w:val="both"/>
              <w:rPr>
                <w:rFonts w:ascii="黑体" w:hAnsi="黑体" w:eastAsia="黑体" w:cs="宋体"/>
                <w:sz w:val="20"/>
                <w:lang w:eastAsia="zh-CN"/>
              </w:rPr>
            </w:pPr>
            <w:r>
              <w:rPr>
                <w:rFonts w:ascii="黑体" w:hAnsi="黑体" w:eastAsia="黑体" w:cs="Arial"/>
                <w:sz w:val="20"/>
                <w:lang w:eastAsia="zh-CN"/>
              </w:rPr>
              <w:t>成新度约</w:t>
            </w:r>
            <w:r>
              <w:rPr>
                <w:rFonts w:hint="eastAsia" w:ascii="黑体" w:hAnsi="黑体" w:eastAsia="黑体" w:cs="Arial"/>
                <w:sz w:val="20"/>
                <w:lang w:eastAsia="zh-CN"/>
              </w:rPr>
              <w:t>7</w:t>
            </w:r>
            <w:r>
              <w:rPr>
                <w:rFonts w:ascii="黑体" w:hAnsi="黑体" w:eastAsia="黑体" w:cs="Arial"/>
                <w:sz w:val="20"/>
                <w:lang w:eastAsia="zh-CN"/>
              </w:rPr>
              <w:t>2%</w:t>
            </w:r>
          </w:p>
        </w:tc>
        <w:tc>
          <w:tcPr>
            <w:tcW w:w="1843" w:type="dxa"/>
            <w:vAlign w:val="center"/>
          </w:tcPr>
          <w:p>
            <w:pPr>
              <w:spacing w:line="280" w:lineRule="exact"/>
              <w:jc w:val="both"/>
              <w:rPr>
                <w:rFonts w:ascii="黑体" w:hAnsi="黑体" w:eastAsia="黑体" w:cs="宋体"/>
                <w:sz w:val="20"/>
                <w:lang w:eastAsia="zh-CN"/>
              </w:rPr>
            </w:pPr>
            <w:r>
              <w:rPr>
                <w:rFonts w:ascii="黑体" w:hAnsi="黑体" w:eastAsia="黑体" w:cs="Arial"/>
                <w:sz w:val="20"/>
                <w:lang w:eastAsia="zh-CN"/>
              </w:rPr>
              <w:t>成新度约</w:t>
            </w:r>
            <w:r>
              <w:rPr>
                <w:rFonts w:hint="eastAsia" w:ascii="黑体" w:hAnsi="黑体" w:eastAsia="黑体" w:cs="Arial"/>
                <w:sz w:val="20"/>
                <w:lang w:eastAsia="zh-CN"/>
              </w:rPr>
              <w:t>6</w:t>
            </w:r>
            <w:r>
              <w:rPr>
                <w:rFonts w:ascii="黑体" w:hAnsi="黑体" w:eastAsia="黑体" w:cs="Arial"/>
                <w:sz w:val="20"/>
                <w:lang w:eastAsia="zh-CN"/>
              </w:rPr>
              <w:t>1%</w:t>
            </w:r>
          </w:p>
        </w:tc>
        <w:tc>
          <w:tcPr>
            <w:tcW w:w="1836" w:type="dxa"/>
            <w:vAlign w:val="center"/>
          </w:tcPr>
          <w:p>
            <w:pPr>
              <w:spacing w:line="280" w:lineRule="exact"/>
              <w:jc w:val="both"/>
              <w:rPr>
                <w:rFonts w:ascii="黑体" w:hAnsi="黑体" w:eastAsia="黑体" w:cs="宋体"/>
                <w:sz w:val="20"/>
                <w:lang w:eastAsia="zh-CN"/>
              </w:rPr>
            </w:pPr>
            <w:r>
              <w:rPr>
                <w:rFonts w:ascii="黑体" w:hAnsi="黑体" w:eastAsia="黑体" w:cs="Arial"/>
                <w:sz w:val="20"/>
                <w:lang w:eastAsia="zh-CN"/>
              </w:rPr>
              <w:t>成新度约</w:t>
            </w:r>
            <w:r>
              <w:rPr>
                <w:rFonts w:hint="eastAsia" w:ascii="黑体" w:hAnsi="黑体" w:eastAsia="黑体" w:cs="Arial"/>
                <w:sz w:val="20"/>
                <w:lang w:eastAsia="zh-CN"/>
              </w:rPr>
              <w:t>6</w:t>
            </w:r>
            <w:r>
              <w:rPr>
                <w:rFonts w:ascii="黑体" w:hAnsi="黑体" w:eastAsia="黑体" w:cs="Arial"/>
                <w:sz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工程质量</w:t>
            </w:r>
          </w:p>
        </w:tc>
        <w:tc>
          <w:tcPr>
            <w:tcW w:w="7421" w:type="dxa"/>
            <w:gridSpan w:val="4"/>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外观</w:t>
            </w:r>
          </w:p>
        </w:tc>
        <w:tc>
          <w:tcPr>
            <w:tcW w:w="7421" w:type="dxa"/>
            <w:gridSpan w:val="4"/>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ascii="黑体" w:hAnsi="黑体" w:eastAsia="黑体" w:cs="Arial"/>
                <w:b/>
                <w:color w:val="000000" w:themeColor="text1"/>
                <w:sz w:val="20"/>
                <w:lang w:eastAsia="zh-CN"/>
                <w14:textFill>
                  <w14:solidFill>
                    <w14:schemeClr w14:val="tx1"/>
                  </w14:solidFill>
                </w14:textFill>
              </w:rPr>
              <w:t>占用情况</w:t>
            </w:r>
          </w:p>
        </w:tc>
        <w:tc>
          <w:tcPr>
            <w:tcW w:w="7421" w:type="dxa"/>
            <w:gridSpan w:val="4"/>
            <w:vAlign w:val="center"/>
          </w:tcPr>
          <w:p>
            <w:pPr>
              <w:spacing w:line="280" w:lineRule="exact"/>
              <w:jc w:val="both"/>
              <w:rPr>
                <w:rFonts w:ascii="黑体" w:hAnsi="黑体" w:eastAsia="黑体" w:cs="Arial"/>
                <w:sz w:val="20"/>
                <w:lang w:eastAsia="zh-CN"/>
              </w:rPr>
            </w:pPr>
            <w:r>
              <w:rPr>
                <w:rFonts w:hint="eastAsia" w:ascii="黑体" w:hAnsi="黑体" w:eastAsia="黑体" w:cs="Arial"/>
                <w:sz w:val="20"/>
                <w:lang w:eastAsia="zh-CN"/>
              </w:rPr>
              <w:t>空置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74" w:type="dxa"/>
            <w:shd w:val="clear" w:color="auto" w:fill="auto"/>
            <w:vAlign w:val="center"/>
          </w:tcPr>
          <w:p>
            <w:pPr>
              <w:spacing w:line="280" w:lineRule="exact"/>
              <w:rPr>
                <w:rFonts w:ascii="黑体" w:hAnsi="黑体" w:eastAsia="黑体" w:cs="Arial"/>
                <w:b/>
                <w:color w:val="000000" w:themeColor="text1"/>
                <w:sz w:val="20"/>
                <w:lang w:eastAsia="zh-CN"/>
                <w14:textFill>
                  <w14:solidFill>
                    <w14:schemeClr w14:val="tx1"/>
                  </w14:solidFill>
                </w14:textFill>
              </w:rPr>
            </w:pPr>
            <w:r>
              <w:rPr>
                <w:rFonts w:hint="eastAsia" w:ascii="黑体" w:hAnsi="黑体" w:eastAsia="黑体" w:cs="Arial"/>
                <w:b/>
                <w:color w:val="000000" w:themeColor="text1"/>
                <w:sz w:val="20"/>
                <w:lang w:eastAsia="zh-CN"/>
                <w14:textFill>
                  <w14:solidFill>
                    <w14:schemeClr w14:val="tx1"/>
                  </w14:solidFill>
                </w14:textFill>
              </w:rPr>
              <w:t>首层平面图</w:t>
            </w:r>
          </w:p>
        </w:tc>
        <w:tc>
          <w:tcPr>
            <w:tcW w:w="7421" w:type="dxa"/>
            <w:gridSpan w:val="4"/>
            <w:vAlign w:val="center"/>
          </w:tcPr>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p>
          <w:p>
            <w:pPr>
              <w:spacing w:line="280" w:lineRule="exact"/>
              <w:jc w:val="both"/>
              <w:rPr>
                <w:rFonts w:ascii="黑体" w:hAnsi="黑体" w:eastAsia="黑体" w:cs="Arial"/>
                <w:sz w:val="20"/>
                <w:lang w:eastAsia="zh-CN"/>
              </w:rPr>
            </w:pPr>
            <w:r>
              <w:rPr>
                <w:rFonts w:ascii="黑体" w:hAnsi="黑体" w:eastAsia="黑体"/>
                <w:sz w:val="20"/>
              </w:rPr>
              <w:drawing>
                <wp:inline distT="0" distB="0" distL="0" distR="0">
                  <wp:extent cx="4511040" cy="378079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4529818" cy="3796752"/>
                          </a:xfrm>
                          <a:prstGeom prst="rect">
                            <a:avLst/>
                          </a:prstGeom>
                        </pic:spPr>
                      </pic:pic>
                    </a:graphicData>
                  </a:graphic>
                </wp:inline>
              </w:drawing>
            </w:r>
          </w:p>
        </w:tc>
      </w:tr>
    </w:tbl>
    <w:p>
      <w:pPr>
        <w:spacing w:line="240" w:lineRule="auto"/>
        <w:ind w:left="566" w:leftChars="246"/>
        <w:jc w:val="both"/>
        <w:rPr>
          <w:rFonts w:ascii="Arial" w:hAnsi="Arial" w:eastAsia="黑体"/>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29" w:name="_Toc30084709"/>
      <w:r>
        <w:rPr>
          <w:rFonts w:hint="eastAsia" w:ascii="Arial" w:hAnsi="Arial" w:eastAsia="黑体" w:cs="Arial"/>
          <w:bCs/>
          <w:kern w:val="2"/>
          <w:sz w:val="22"/>
          <w:lang w:val="en-US" w:eastAsia="zh-CN"/>
        </w:rPr>
        <w:t>价值时点</w:t>
      </w:r>
      <w:bookmarkEnd w:id="29"/>
    </w:p>
    <w:p>
      <w:pPr>
        <w:spacing w:line="240" w:lineRule="auto"/>
        <w:ind w:left="566" w:leftChars="246"/>
        <w:jc w:val="both"/>
        <w:rPr>
          <w:rFonts w:ascii="Arial" w:hAnsi="Arial" w:eastAsia="黑体"/>
          <w:lang w:eastAsia="zh-CN"/>
        </w:rPr>
      </w:pPr>
    </w:p>
    <w:p>
      <w:pPr>
        <w:spacing w:line="240" w:lineRule="auto"/>
        <w:ind w:left="566" w:leftChars="246"/>
        <w:jc w:val="both"/>
        <w:rPr>
          <w:rFonts w:ascii="Arial" w:hAnsi="Arial" w:eastAsia="黑体"/>
          <w:lang w:eastAsia="zh-CN"/>
        </w:rPr>
      </w:pPr>
      <w:r>
        <w:rPr>
          <w:rFonts w:hint="eastAsia" w:ascii="Arial" w:hAnsi="Arial" w:eastAsia="黑体"/>
          <w:lang w:eastAsia="zh-CN"/>
        </w:rPr>
        <w:t>根据估价目的的需要，本次评估的价值时点为</w:t>
      </w:r>
      <w:r>
        <w:rPr>
          <w:rFonts w:ascii="Arial" w:hAnsi="Arial" w:eastAsia="黑体"/>
          <w:lang w:eastAsia="zh-CN"/>
        </w:rPr>
        <w:t>2021年1月28日</w:t>
      </w:r>
      <w:r>
        <w:rPr>
          <w:rFonts w:hint="eastAsia" w:ascii="Arial" w:hAnsi="Arial" w:eastAsia="黑体"/>
          <w:lang w:eastAsia="zh-CN"/>
        </w:rPr>
        <w:t>，与现场勘查日期一致。</w:t>
      </w:r>
    </w:p>
    <w:p>
      <w:pPr>
        <w:spacing w:line="240" w:lineRule="auto"/>
        <w:ind w:left="566" w:leftChars="246"/>
        <w:jc w:val="both"/>
        <w:rPr>
          <w:rFonts w:ascii="Arial" w:hAnsi="Arial" w:eastAsia="黑体"/>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0" w:name="_Toc30084710"/>
      <w:r>
        <w:rPr>
          <w:rFonts w:hint="eastAsia" w:ascii="Arial" w:hAnsi="Arial" w:eastAsia="黑体" w:cs="Arial"/>
          <w:bCs/>
          <w:kern w:val="2"/>
          <w:sz w:val="22"/>
          <w:lang w:val="en-US" w:eastAsia="zh-CN"/>
        </w:rPr>
        <w:t>价值类型</w:t>
      </w:r>
      <w:bookmarkEnd w:id="30"/>
    </w:p>
    <w:p>
      <w:pPr>
        <w:spacing w:line="240" w:lineRule="auto"/>
        <w:ind w:left="566" w:leftChars="246"/>
        <w:jc w:val="both"/>
        <w:rPr>
          <w:rFonts w:ascii="Arial" w:hAnsi="Arial" w:eastAsia="黑体"/>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价值类型</w:t>
      </w:r>
    </w:p>
    <w:p>
      <w:pPr>
        <w:spacing w:line="240" w:lineRule="auto"/>
        <w:ind w:left="566" w:leftChars="246"/>
        <w:jc w:val="both"/>
        <w:rPr>
          <w:rFonts w:ascii="Arial" w:hAnsi="Arial" w:eastAsia="黑体" w:cs="Arial"/>
          <w:sz w:val="22"/>
          <w:lang w:eastAsia="zh-CN"/>
        </w:rPr>
      </w:pPr>
    </w:p>
    <w:p>
      <w:pPr>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本次评估的价值类型为市场价值。</w:t>
      </w:r>
    </w:p>
    <w:p>
      <w:pPr>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b/>
          <w:sz w:val="22"/>
          <w:u w:val="single"/>
          <w:lang w:eastAsia="zh-CN"/>
        </w:rPr>
        <w:t>价值定义</w:t>
      </w:r>
    </w:p>
    <w:p>
      <w:pPr>
        <w:spacing w:line="240" w:lineRule="auto"/>
        <w:ind w:left="566" w:leftChars="246"/>
        <w:jc w:val="both"/>
        <w:rPr>
          <w:rFonts w:ascii="Arial" w:hAnsi="Arial" w:eastAsia="黑体" w:cs="Arial"/>
          <w:sz w:val="22"/>
          <w:lang w:eastAsia="zh-CN"/>
        </w:rPr>
      </w:pPr>
    </w:p>
    <w:p>
      <w:pPr>
        <w:spacing w:line="240" w:lineRule="auto"/>
        <w:ind w:left="566" w:leftChars="246"/>
        <w:jc w:val="both"/>
        <w:rPr>
          <w:rFonts w:ascii="Arial" w:hAnsi="Arial" w:eastAsia="黑体" w:cs="Arial"/>
          <w:sz w:val="22"/>
          <w:lang w:eastAsia="zh-CN"/>
        </w:rPr>
      </w:pPr>
      <w:r>
        <w:rPr>
          <w:rFonts w:ascii="Arial" w:hAnsi="Arial" w:eastAsia="黑体" w:cs="Arial"/>
          <w:sz w:val="22"/>
          <w:lang w:eastAsia="zh-CN"/>
        </w:rPr>
        <w:t>市场价值，是指估价对象在正常交易情况下，由对其了解并熟悉市场行情的交易双方以公平交易方式在价值时点自愿进行交易的估计金额。（估价对象在进行了适当营销后，由懂行、审慎且无被迫的自愿的买方和自愿的卖方，以公平交易方式在价值日期进行交易的估计金额）</w:t>
      </w:r>
      <w:r>
        <w:rPr>
          <w:rFonts w:hint="eastAsia" w:ascii="Arial" w:hAnsi="Arial" w:eastAsia="黑体" w:cs="Arial"/>
          <w:sz w:val="22"/>
          <w:lang w:eastAsia="zh-CN"/>
        </w:rPr>
        <w:t>。</w:t>
      </w:r>
    </w:p>
    <w:p>
      <w:pPr>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价值内涵</w:t>
      </w:r>
    </w:p>
    <w:p>
      <w:pPr>
        <w:spacing w:line="240" w:lineRule="auto"/>
        <w:ind w:left="566" w:leftChars="246"/>
        <w:jc w:val="both"/>
        <w:rPr>
          <w:rFonts w:ascii="Arial" w:hAnsi="Arial" w:eastAsia="黑体" w:cs="Arial"/>
          <w:sz w:val="22"/>
          <w:lang w:eastAsia="zh-CN"/>
        </w:rPr>
      </w:pPr>
    </w:p>
    <w:p>
      <w:pPr>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本次评估的市场价值，是在价值时点2021年1月28日，房屋</w:t>
      </w:r>
      <w:r>
        <w:rPr>
          <w:rFonts w:ascii="Arial" w:hAnsi="Arial" w:eastAsia="黑体" w:cs="Arial"/>
          <w:sz w:val="22"/>
          <w:lang w:eastAsia="zh-CN"/>
        </w:rPr>
        <w:t>用途为</w:t>
      </w:r>
      <w:r>
        <w:rPr>
          <w:rFonts w:hint="eastAsia" w:ascii="Arial" w:hAnsi="Arial" w:eastAsia="黑体" w:cs="Arial"/>
          <w:sz w:val="22"/>
          <w:lang w:eastAsia="zh-CN"/>
        </w:rPr>
        <w:t>住宅，土地用途为城镇住宅用地，基础设施条件为”六通 ”（通路、通上水、通下水、通电、通讯、通燃气），土地性质为国有，建筑面积合计为</w:t>
      </w:r>
      <w:r>
        <w:rPr>
          <w:rFonts w:ascii="Arial" w:hAnsi="Arial" w:eastAsia="黑体" w:cs="Arial"/>
          <w:sz w:val="22"/>
          <w:lang w:eastAsia="zh-CN"/>
        </w:rPr>
        <w:t>9,621.2平方米</w:t>
      </w:r>
      <w:r>
        <w:rPr>
          <w:rFonts w:hint="eastAsia" w:ascii="Arial" w:hAnsi="Arial" w:eastAsia="黑体" w:cs="Arial"/>
          <w:sz w:val="22"/>
          <w:lang w:eastAsia="zh-CN"/>
        </w:rPr>
        <w:t>，满足本估价报告中“估价假设和限制条件”下的市场价值。</w:t>
      </w:r>
    </w:p>
    <w:p>
      <w:pPr>
        <w:spacing w:line="240" w:lineRule="auto"/>
        <w:ind w:left="566" w:leftChars="246"/>
        <w:jc w:val="both"/>
        <w:rPr>
          <w:rFonts w:ascii="Arial" w:hAnsi="Arial" w:eastAsia="黑体" w:cs="Arial"/>
          <w:sz w:val="22"/>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1" w:name="_Toc30084711"/>
      <w:r>
        <w:rPr>
          <w:rFonts w:hint="eastAsia" w:ascii="Arial" w:hAnsi="Arial" w:eastAsia="黑体" w:cs="Arial"/>
          <w:bCs/>
          <w:kern w:val="2"/>
          <w:sz w:val="22"/>
          <w:lang w:val="en-US" w:eastAsia="zh-CN"/>
        </w:rPr>
        <w:t>估价原则</w:t>
      </w:r>
      <w:bookmarkEnd w:id="31"/>
    </w:p>
    <w:p>
      <w:pPr>
        <w:spacing w:line="240" w:lineRule="auto"/>
        <w:ind w:left="566" w:leftChars="246"/>
        <w:jc w:val="both"/>
        <w:rPr>
          <w:rFonts w:ascii="Arial" w:hAnsi="Arial" w:eastAsia="黑体"/>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独立、客观、公正原则</w:t>
      </w:r>
    </w:p>
    <w:p>
      <w:pPr>
        <w:adjustRightInd/>
        <w:spacing w:line="240" w:lineRule="auto"/>
        <w:ind w:left="566" w:leftChars="246"/>
        <w:jc w:val="both"/>
        <w:rPr>
          <w:rFonts w:ascii="Arial" w:hAnsi="Arial" w:eastAsia="黑体" w:cs="Arial"/>
          <w:b/>
          <w:sz w:val="22"/>
          <w:u w:val="single"/>
          <w:lang w:eastAsia="zh-CN"/>
        </w:rPr>
      </w:pPr>
    </w:p>
    <w:p>
      <w:pPr>
        <w:spacing w:line="240" w:lineRule="auto"/>
        <w:ind w:left="566" w:leftChars="246"/>
        <w:jc w:val="both"/>
        <w:rPr>
          <w:rFonts w:ascii="Arial" w:hAnsi="Arial" w:eastAsia="黑体" w:cs="Arial"/>
          <w:sz w:val="22"/>
          <w:szCs w:val="22"/>
          <w:lang w:eastAsia="zh-CN"/>
        </w:rPr>
      </w:pPr>
      <w:r>
        <w:rPr>
          <w:rFonts w:ascii="Arial" w:hAnsi="Arial" w:eastAsia="黑体" w:cs="Arial"/>
          <w:sz w:val="22"/>
          <w:szCs w:val="22"/>
          <w:lang w:eastAsia="zh-CN"/>
        </w:rPr>
        <w:t>遵循独立、客观、公正原则，要求估价师站在中立的立场上，实事求是、公平正直地评估出对各方估价利害关系人军事公平合理的价值或价格。</w:t>
      </w:r>
    </w:p>
    <w:p>
      <w:pPr>
        <w:spacing w:line="240" w:lineRule="auto"/>
        <w:ind w:left="566" w:leftChars="246"/>
        <w:jc w:val="both"/>
        <w:rPr>
          <w:rFonts w:ascii="Arial" w:hAnsi="Arial" w:eastAsia="黑体" w:cs="Arial"/>
          <w:sz w:val="22"/>
          <w:szCs w:val="22"/>
          <w:lang w:eastAsia="zh-CN"/>
        </w:rPr>
      </w:pPr>
    </w:p>
    <w:p>
      <w:pPr>
        <w:spacing w:line="240" w:lineRule="auto"/>
        <w:ind w:left="566" w:leftChars="246"/>
        <w:jc w:val="both"/>
        <w:rPr>
          <w:rFonts w:ascii="Arial" w:hAnsi="Arial" w:eastAsia="黑体" w:cs="黑体"/>
          <w:sz w:val="22"/>
          <w:szCs w:val="22"/>
          <w:lang w:eastAsia="zh-CN"/>
        </w:rPr>
      </w:pPr>
      <w:r>
        <w:rPr>
          <w:rFonts w:ascii="Arial" w:hAnsi="Arial" w:eastAsia="黑体" w:cs="黑体"/>
          <w:sz w:val="22"/>
          <w:szCs w:val="22"/>
          <w:lang w:eastAsia="zh-CN"/>
        </w:rPr>
        <w:t>所谓“独立”，就是要求注册房地产估价师和房地产估价机构与估价委托人及估价利害关系人没有利害关系，在估价中不受包括估价委托人在内的任何单位和个人的影响，应凭自己的专业知识、经验和职业道德进行估价。</w:t>
      </w:r>
    </w:p>
    <w:p>
      <w:pPr>
        <w:spacing w:line="240" w:lineRule="auto"/>
        <w:ind w:left="566" w:leftChars="246"/>
        <w:jc w:val="both"/>
        <w:rPr>
          <w:rFonts w:ascii="Arial" w:hAnsi="Arial" w:eastAsia="黑体" w:cs="黑体"/>
          <w:sz w:val="22"/>
          <w:szCs w:val="22"/>
          <w:lang w:eastAsia="zh-CN"/>
        </w:rPr>
      </w:pPr>
    </w:p>
    <w:p>
      <w:pPr>
        <w:spacing w:line="240" w:lineRule="auto"/>
        <w:ind w:left="566" w:leftChars="246"/>
        <w:jc w:val="both"/>
        <w:rPr>
          <w:rFonts w:ascii="Arial" w:hAnsi="Arial" w:eastAsia="黑体" w:cs="黑体"/>
          <w:sz w:val="22"/>
          <w:szCs w:val="22"/>
          <w:lang w:eastAsia="zh-CN"/>
        </w:rPr>
      </w:pPr>
      <w:r>
        <w:rPr>
          <w:rFonts w:ascii="Arial" w:hAnsi="Arial" w:eastAsia="黑体" w:cs="黑体"/>
          <w:sz w:val="22"/>
          <w:szCs w:val="22"/>
          <w:lang w:eastAsia="zh-CN"/>
        </w:rPr>
        <w:t>所谓“客观”，就是要求注册房地产估价师和房地产估价机构在估价中不带着自己的情感、好恶和偏见，应按照事物的本来面目、实事求是地进行估价。</w:t>
      </w:r>
    </w:p>
    <w:p>
      <w:pPr>
        <w:spacing w:line="240" w:lineRule="auto"/>
        <w:ind w:left="566" w:leftChars="246"/>
        <w:jc w:val="both"/>
        <w:rPr>
          <w:rFonts w:ascii="Arial" w:hAnsi="Arial" w:eastAsia="黑体" w:cs="黑体"/>
          <w:sz w:val="22"/>
          <w:szCs w:val="22"/>
          <w:lang w:eastAsia="zh-CN"/>
        </w:rPr>
      </w:pPr>
    </w:p>
    <w:p>
      <w:pPr>
        <w:spacing w:line="240" w:lineRule="auto"/>
        <w:ind w:left="566" w:leftChars="246"/>
        <w:jc w:val="both"/>
        <w:rPr>
          <w:rFonts w:ascii="Arial" w:hAnsi="Arial" w:eastAsia="黑体" w:cs="黑体"/>
          <w:sz w:val="22"/>
          <w:szCs w:val="22"/>
          <w:lang w:eastAsia="zh-CN"/>
        </w:rPr>
      </w:pPr>
      <w:r>
        <w:rPr>
          <w:rFonts w:ascii="Arial" w:hAnsi="Arial" w:eastAsia="黑体" w:cs="黑体"/>
          <w:sz w:val="22"/>
          <w:szCs w:val="22"/>
          <w:lang w:eastAsia="zh-CN"/>
        </w:rPr>
        <w:t>所谓“公正”，就是要求注册房地产估价师和房地产估价机构在估价中不偏袒估价利害关系人中的任何一方，应坚持原则、公平正直地进行估价。</w:t>
      </w:r>
    </w:p>
    <w:p>
      <w:pPr>
        <w:spacing w:line="240" w:lineRule="auto"/>
        <w:ind w:left="566" w:leftChars="246"/>
        <w:jc w:val="both"/>
        <w:rPr>
          <w:rFonts w:ascii="Arial" w:hAnsi="Arial" w:eastAsia="黑体" w:cs="黑体"/>
          <w:sz w:val="22"/>
          <w:szCs w:val="22"/>
          <w:lang w:eastAsia="zh-CN"/>
        </w:rPr>
      </w:pPr>
    </w:p>
    <w:p>
      <w:pPr>
        <w:spacing w:line="240" w:lineRule="auto"/>
        <w:ind w:left="566" w:leftChars="246"/>
        <w:jc w:val="both"/>
        <w:rPr>
          <w:rFonts w:ascii="Arial" w:hAnsi="Arial" w:eastAsia="黑体"/>
        </w:rPr>
      </w:pPr>
      <w:r>
        <w:rPr>
          <w:rFonts w:hint="eastAsia" w:ascii="Arial" w:hAnsi="Arial" w:eastAsia="黑体"/>
        </w:rPr>
        <w:t>我们在评估中保持了独立、客观、公正，遵循了独立、客观、公正原则。</w:t>
      </w:r>
    </w:p>
    <w:p>
      <w:pPr>
        <w:spacing w:line="240" w:lineRule="auto"/>
        <w:ind w:left="566" w:leftChars="246"/>
        <w:jc w:val="both"/>
        <w:rPr>
          <w:rFonts w:ascii="Arial" w:hAnsi="Arial" w:eastAsia="黑体" w:cs="Arial"/>
          <w:sz w:val="22"/>
          <w:szCs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合法原则</w:t>
      </w:r>
    </w:p>
    <w:p>
      <w:pPr>
        <w:adjustRightInd/>
        <w:spacing w:line="240" w:lineRule="auto"/>
        <w:ind w:left="566" w:leftChars="246"/>
        <w:jc w:val="both"/>
        <w:rPr>
          <w:rFonts w:ascii="Arial" w:hAnsi="Arial" w:eastAsia="黑体" w:cs="Arial"/>
          <w:b/>
          <w:sz w:val="22"/>
          <w:u w:val="single"/>
          <w:lang w:eastAsia="zh-CN"/>
        </w:rPr>
      </w:pPr>
    </w:p>
    <w:p>
      <w:pPr>
        <w:adjustRightInd/>
        <w:spacing w:line="240" w:lineRule="auto"/>
        <w:ind w:left="566" w:leftChars="246"/>
        <w:jc w:val="both"/>
        <w:rPr>
          <w:rFonts w:ascii="Arial" w:hAnsi="Arial" w:eastAsia="黑体" w:cstheme="minorHAnsi"/>
          <w:sz w:val="22"/>
          <w:lang w:eastAsia="zh-CN"/>
        </w:rPr>
      </w:pPr>
      <w:r>
        <w:rPr>
          <w:rFonts w:ascii="Arial" w:hAnsi="Arial" w:eastAsia="黑体" w:cstheme="minorBidi"/>
          <w:sz w:val="22"/>
          <w:szCs w:val="22"/>
          <w:lang w:eastAsia="zh-CN"/>
        </w:rPr>
        <w:t>遵循合法原则，要求评估价值是在依法判定的估价对象状况下的价值。</w:t>
      </w:r>
    </w:p>
    <w:p>
      <w:pPr>
        <w:spacing w:line="240" w:lineRule="auto"/>
        <w:ind w:left="566" w:leftChars="246"/>
        <w:jc w:val="both"/>
        <w:rPr>
          <w:rFonts w:ascii="Arial" w:hAnsi="Arial" w:eastAsia="黑体" w:cstheme="minorBidi"/>
          <w:sz w:val="22"/>
          <w:szCs w:val="22"/>
          <w:lang w:eastAsia="zh-CN"/>
        </w:rPr>
      </w:pPr>
    </w:p>
    <w:p>
      <w:pPr>
        <w:spacing w:line="240" w:lineRule="auto"/>
        <w:ind w:left="566" w:leftChars="246"/>
        <w:jc w:val="both"/>
        <w:rPr>
          <w:rFonts w:ascii="Arial" w:hAnsi="Arial" w:eastAsia="黑体" w:cs="黑体"/>
          <w:sz w:val="22"/>
          <w:szCs w:val="22"/>
          <w:lang w:eastAsia="zh-CN"/>
        </w:rPr>
      </w:pPr>
      <w:r>
        <w:rPr>
          <w:rFonts w:ascii="Arial" w:hAnsi="Arial" w:eastAsia="黑体" w:cs="黑体"/>
          <w:sz w:val="22"/>
          <w:szCs w:val="22"/>
          <w:lang w:eastAsia="zh-CN"/>
        </w:rPr>
        <w:t>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w:t>
      </w:r>
    </w:p>
    <w:p>
      <w:pPr>
        <w:spacing w:line="240" w:lineRule="auto"/>
        <w:ind w:left="566" w:leftChars="246"/>
        <w:jc w:val="both"/>
        <w:rPr>
          <w:rFonts w:ascii="Arial" w:hAnsi="Arial" w:eastAsia="黑体" w:cs="黑体"/>
          <w:sz w:val="22"/>
          <w:szCs w:val="22"/>
          <w:lang w:eastAsia="zh-CN"/>
        </w:rPr>
      </w:pPr>
    </w:p>
    <w:p>
      <w:pPr>
        <w:spacing w:line="240" w:lineRule="auto"/>
        <w:ind w:left="566" w:leftChars="246"/>
        <w:jc w:val="both"/>
        <w:rPr>
          <w:rFonts w:ascii="Arial" w:hAnsi="Arial" w:eastAsia="黑体" w:cs="黑体"/>
          <w:sz w:val="22"/>
          <w:szCs w:val="22"/>
          <w:lang w:eastAsia="zh-CN"/>
        </w:rPr>
      </w:pPr>
      <w:r>
        <w:rPr>
          <w:rFonts w:hint="eastAsia" w:ascii="Arial" w:hAnsi="Arial" w:eastAsia="黑体" w:cs="黑体"/>
          <w:sz w:val="22"/>
          <w:szCs w:val="22"/>
          <w:lang w:eastAsia="zh-CN"/>
        </w:rPr>
        <w:t>估价对象为住宅物业，已办理合法产权，其产权、使用和处分均符合法律规定；另估价对象的房屋用途、建筑面积、使用年期等情况的确定均依据估价委托人提供的合法文件确定或合理设定，符合合法原则。</w:t>
      </w:r>
    </w:p>
    <w:p>
      <w:pPr>
        <w:spacing w:line="240" w:lineRule="auto"/>
        <w:ind w:left="566" w:leftChars="246"/>
        <w:jc w:val="both"/>
        <w:rPr>
          <w:rFonts w:ascii="Arial" w:hAnsi="Arial" w:eastAsia="黑体" w:cs="黑体"/>
          <w:sz w:val="22"/>
          <w:szCs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价值时点原则</w:t>
      </w:r>
    </w:p>
    <w:p>
      <w:pPr>
        <w:adjustRightInd/>
        <w:spacing w:line="240" w:lineRule="auto"/>
        <w:ind w:left="566" w:leftChars="246"/>
        <w:jc w:val="both"/>
        <w:rPr>
          <w:rFonts w:ascii="Arial" w:hAnsi="Arial" w:eastAsia="黑体" w:cs="Arial"/>
          <w:b/>
          <w:sz w:val="22"/>
          <w:u w:val="single"/>
          <w:lang w:eastAsia="zh-CN"/>
        </w:rPr>
      </w:pPr>
    </w:p>
    <w:p>
      <w:pPr>
        <w:adjustRightInd/>
        <w:spacing w:line="240" w:lineRule="auto"/>
        <w:ind w:left="566" w:leftChars="246"/>
        <w:jc w:val="both"/>
        <w:rPr>
          <w:rFonts w:ascii="Arial" w:hAnsi="Arial" w:eastAsia="黑体" w:cstheme="minorHAnsi"/>
          <w:sz w:val="22"/>
          <w:lang w:eastAsia="zh-CN"/>
        </w:rPr>
      </w:pPr>
      <w:r>
        <w:rPr>
          <w:rFonts w:ascii="Arial" w:hAnsi="Arial" w:eastAsia="黑体" w:cstheme="minorHAnsi"/>
          <w:sz w:val="22"/>
          <w:lang w:eastAsia="zh-CN"/>
        </w:rPr>
        <w:t>遵循价值时点原则，要求评估价值是在由估价目的决定的某个特定时间的价值。</w:t>
      </w:r>
    </w:p>
    <w:p>
      <w:pPr>
        <w:adjustRightInd/>
        <w:spacing w:line="240" w:lineRule="auto"/>
        <w:ind w:left="566" w:leftChars="246"/>
        <w:jc w:val="both"/>
        <w:rPr>
          <w:rFonts w:ascii="Arial" w:hAnsi="Arial" w:eastAsia="黑体" w:cstheme="minorHAnsi"/>
          <w:sz w:val="22"/>
          <w:lang w:eastAsia="zh-CN"/>
        </w:rPr>
      </w:pPr>
    </w:p>
    <w:p>
      <w:pPr>
        <w:adjustRightInd/>
        <w:spacing w:line="240" w:lineRule="auto"/>
        <w:ind w:left="566" w:leftChars="246"/>
        <w:jc w:val="both"/>
        <w:rPr>
          <w:rFonts w:ascii="Arial" w:hAnsi="Arial" w:eastAsia="黑体" w:cs="Arial"/>
          <w:sz w:val="22"/>
          <w:szCs w:val="22"/>
          <w:lang w:eastAsia="zh-CN"/>
        </w:rPr>
      </w:pPr>
      <w:r>
        <w:rPr>
          <w:rFonts w:ascii="Arial" w:hAnsi="Arial" w:eastAsia="黑体" w:cs="黑体"/>
          <w:sz w:val="22"/>
          <w:szCs w:val="22"/>
          <w:lang w:eastAsia="zh-CN"/>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w:t>
      </w:r>
    </w:p>
    <w:p>
      <w:pPr>
        <w:spacing w:line="240" w:lineRule="auto"/>
        <w:ind w:left="566" w:leftChars="246"/>
        <w:jc w:val="both"/>
        <w:rPr>
          <w:rFonts w:ascii="Arial" w:hAnsi="Arial" w:eastAsia="黑体" w:cs="Arial"/>
          <w:sz w:val="22"/>
          <w:lang w:eastAsia="zh-CN"/>
        </w:rPr>
      </w:pPr>
    </w:p>
    <w:p>
      <w:pPr>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我们在测算过程中遵循了价值时点原则。</w:t>
      </w:r>
    </w:p>
    <w:p>
      <w:pPr>
        <w:spacing w:line="240" w:lineRule="auto"/>
        <w:ind w:left="566" w:leftChars="246"/>
        <w:jc w:val="both"/>
        <w:rPr>
          <w:rFonts w:ascii="Arial" w:hAnsi="Arial" w:eastAsia="黑体" w:cs="Arial"/>
          <w:sz w:val="22"/>
          <w:lang w:eastAsia="zh-CN"/>
        </w:rPr>
      </w:pPr>
    </w:p>
    <w:p>
      <w:pPr>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替代原则</w:t>
      </w:r>
    </w:p>
    <w:p>
      <w:pPr>
        <w:adjustRightInd/>
        <w:spacing w:line="240" w:lineRule="auto"/>
        <w:ind w:left="566" w:leftChars="246"/>
        <w:jc w:val="both"/>
        <w:rPr>
          <w:rFonts w:ascii="Arial" w:hAnsi="Arial" w:eastAsia="黑体" w:cs="Arial"/>
          <w:b/>
          <w:sz w:val="22"/>
          <w:u w:val="single"/>
          <w:lang w:eastAsia="zh-CN"/>
        </w:rPr>
      </w:pPr>
    </w:p>
    <w:p>
      <w:pPr>
        <w:adjustRightInd/>
        <w:spacing w:line="240" w:lineRule="auto"/>
        <w:ind w:left="566" w:leftChars="246"/>
        <w:jc w:val="both"/>
        <w:rPr>
          <w:rFonts w:ascii="Arial" w:hAnsi="Arial" w:eastAsia="黑体" w:cs="黑体"/>
          <w:sz w:val="22"/>
          <w:szCs w:val="22"/>
          <w:lang w:eastAsia="zh-CN"/>
        </w:rPr>
      </w:pPr>
      <w:r>
        <w:rPr>
          <w:rFonts w:ascii="Arial" w:hAnsi="Arial" w:eastAsia="黑体" w:cstheme="minorBidi"/>
          <w:sz w:val="22"/>
          <w:szCs w:val="22"/>
          <w:lang w:eastAsia="zh-CN"/>
        </w:rPr>
        <w:t>遵循替代原则，</w:t>
      </w:r>
      <w:r>
        <w:rPr>
          <w:rFonts w:ascii="Arial" w:hAnsi="Arial" w:eastAsia="黑体" w:cs="黑体"/>
          <w:sz w:val="22"/>
          <w:szCs w:val="22"/>
          <w:lang w:eastAsia="zh-CN"/>
        </w:rPr>
        <w:t>要求评估价值与估价对象的类似房地产在同等条件下的价值或价格偏差在合理范围内。即估价不得明显偏离类似房地产在同等条件下的正常价格。同一供求范围内，在用途、规模、档次、建筑结构等方面类似的房地产之间具有相互影响作用，其价格会相互牵制而趋于一致。</w:t>
      </w:r>
    </w:p>
    <w:p>
      <w:pPr>
        <w:adjustRightInd/>
        <w:spacing w:line="240" w:lineRule="auto"/>
        <w:ind w:left="566" w:leftChars="246"/>
        <w:jc w:val="both"/>
        <w:rPr>
          <w:rFonts w:ascii="Arial" w:hAnsi="Arial" w:eastAsia="黑体" w:cs="黑体"/>
          <w:sz w:val="22"/>
          <w:szCs w:val="22"/>
          <w:lang w:eastAsia="zh-CN"/>
        </w:rPr>
      </w:pPr>
    </w:p>
    <w:p>
      <w:pPr>
        <w:adjustRightInd/>
        <w:spacing w:line="240" w:lineRule="auto"/>
        <w:ind w:left="566" w:leftChars="246"/>
        <w:jc w:val="both"/>
        <w:rPr>
          <w:rFonts w:ascii="Arial" w:hAnsi="Arial" w:eastAsia="黑体" w:cs="黑体"/>
          <w:sz w:val="22"/>
          <w:szCs w:val="22"/>
          <w:lang w:eastAsia="zh-CN"/>
        </w:rPr>
      </w:pPr>
      <w:r>
        <w:rPr>
          <w:rFonts w:hint="eastAsia" w:ascii="Arial" w:hAnsi="Arial" w:eastAsia="黑体" w:cs="黑体"/>
          <w:sz w:val="22"/>
          <w:szCs w:val="22"/>
          <w:lang w:eastAsia="zh-CN"/>
        </w:rPr>
        <w:t>我们在测算过程中考虑了替代原则。</w:t>
      </w:r>
    </w:p>
    <w:p>
      <w:pPr>
        <w:adjustRightInd/>
        <w:spacing w:line="240" w:lineRule="auto"/>
        <w:ind w:left="566" w:leftChars="246"/>
        <w:jc w:val="both"/>
        <w:rPr>
          <w:rFonts w:ascii="Arial" w:hAnsi="Arial" w:eastAsia="黑体" w:cstheme="minorBidi"/>
          <w:sz w:val="22"/>
          <w:szCs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最高最佳利用原则</w:t>
      </w:r>
    </w:p>
    <w:p>
      <w:pPr>
        <w:adjustRightInd/>
        <w:spacing w:line="240" w:lineRule="auto"/>
        <w:ind w:left="566" w:leftChars="246"/>
        <w:jc w:val="both"/>
        <w:rPr>
          <w:rFonts w:ascii="Arial" w:hAnsi="Arial" w:eastAsia="黑体" w:cs="Arial"/>
          <w:b/>
          <w:sz w:val="22"/>
          <w:u w:val="single"/>
          <w:lang w:eastAsia="zh-CN"/>
        </w:rPr>
      </w:pPr>
    </w:p>
    <w:p>
      <w:pPr>
        <w:adjustRightInd/>
        <w:spacing w:line="240" w:lineRule="auto"/>
        <w:ind w:left="566" w:leftChars="246"/>
        <w:jc w:val="both"/>
        <w:rPr>
          <w:rFonts w:ascii="Arial" w:hAnsi="Arial" w:eastAsia="黑体" w:cs="Arial"/>
          <w:sz w:val="22"/>
          <w:szCs w:val="22"/>
          <w:lang w:eastAsia="zh-CN"/>
        </w:rPr>
      </w:pPr>
      <w:r>
        <w:rPr>
          <w:rFonts w:ascii="Arial" w:hAnsi="Arial" w:eastAsia="黑体" w:cstheme="minorBidi"/>
          <w:sz w:val="22"/>
          <w:szCs w:val="22"/>
          <w:lang w:eastAsia="zh-CN"/>
        </w:rPr>
        <w:t>遵循最高最佳利用原则，</w:t>
      </w:r>
      <w:r>
        <w:rPr>
          <w:rFonts w:ascii="Arial" w:hAnsi="Arial" w:eastAsia="黑体" w:cs="Arial"/>
          <w:sz w:val="22"/>
          <w:szCs w:val="22"/>
          <w:lang w:eastAsia="zh-CN"/>
        </w:rPr>
        <w:t>评估价值应为在估价对象最高最佳利用状况下的价值或价格。估价对象的最高最佳利用状况包括最佳的用途、规模和档次。在选择估价对象的最高最佳利用时需要同时满足四个条件：一是法律上允许；二是技术上可能；三是财务上可行；四是价值最大化，估价时应依次进行分析、筛选或判断确定。</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我们在最高最佳利用分析中考虑了最高最佳利用原则。</w:t>
      </w:r>
    </w:p>
    <w:p>
      <w:pPr>
        <w:adjustRightInd/>
        <w:spacing w:line="240" w:lineRule="auto"/>
        <w:ind w:left="566" w:leftChars="246"/>
        <w:jc w:val="both"/>
        <w:rPr>
          <w:rFonts w:ascii="Arial" w:hAnsi="Arial" w:eastAsia="黑体" w:cs="Arial"/>
          <w:sz w:val="22"/>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2" w:name="_Toc30084712"/>
      <w:r>
        <w:rPr>
          <w:rFonts w:hint="eastAsia" w:ascii="Arial" w:hAnsi="Arial" w:eastAsia="黑体" w:cs="Arial"/>
          <w:bCs/>
          <w:kern w:val="2"/>
          <w:sz w:val="22"/>
          <w:lang w:val="en-US" w:eastAsia="zh-CN"/>
        </w:rPr>
        <w:t>估价依据</w:t>
      </w:r>
      <w:bookmarkEnd w:id="32"/>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国家和地方的有关法律、法规和</w:t>
      </w:r>
      <w:r>
        <w:rPr>
          <w:rFonts w:ascii="Arial" w:hAnsi="Arial" w:eastAsia="黑体" w:cs="Arial"/>
          <w:b/>
          <w:sz w:val="22"/>
          <w:u w:val="single"/>
          <w:lang w:eastAsia="zh-CN"/>
        </w:rPr>
        <w:t>政策</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pacing w:val="-6"/>
          <w:sz w:val="22"/>
          <w:lang w:eastAsia="zh-CN"/>
        </w:rPr>
      </w:pPr>
      <w:r>
        <w:rPr>
          <w:rFonts w:ascii="Arial" w:hAnsi="Arial" w:eastAsia="黑体" w:cs="Arial"/>
          <w:spacing w:val="-6"/>
          <w:sz w:val="22"/>
          <w:lang w:eastAsia="zh-CN"/>
        </w:rPr>
        <w:t>《中华人民共和国城市房地产管理法》（</w:t>
      </w:r>
      <w:r>
        <w:rPr>
          <w:rFonts w:hint="eastAsia" w:ascii="Arial" w:hAnsi="Arial" w:eastAsia="黑体" w:cs="Arial"/>
          <w:spacing w:val="-6"/>
          <w:sz w:val="22"/>
          <w:lang w:eastAsia="zh-CN"/>
        </w:rPr>
        <w:t>2019年8月26日第十三届全国人民代表大会常务委员会第十二次会议修订，2</w:t>
      </w:r>
      <w:r>
        <w:rPr>
          <w:rFonts w:ascii="Arial" w:hAnsi="Arial" w:eastAsia="黑体" w:cs="Arial"/>
          <w:spacing w:val="-6"/>
          <w:sz w:val="22"/>
          <w:lang w:eastAsia="zh-CN"/>
        </w:rPr>
        <w:t>020</w:t>
      </w:r>
      <w:r>
        <w:rPr>
          <w:rFonts w:hint="eastAsia" w:ascii="Arial" w:hAnsi="Arial" w:eastAsia="黑体" w:cs="Arial"/>
          <w:spacing w:val="-6"/>
          <w:sz w:val="22"/>
          <w:lang w:eastAsia="zh-CN"/>
        </w:rPr>
        <w:t>年1月1日起施行</w:t>
      </w:r>
      <w:r>
        <w:rPr>
          <w:rFonts w:ascii="Arial" w:hAnsi="Arial" w:eastAsia="黑体" w:cs="Arial"/>
          <w:spacing w:val="-6"/>
          <w:sz w:val="22"/>
          <w:lang w:eastAsia="zh-CN"/>
        </w:rPr>
        <w:t>）。</w:t>
      </w:r>
    </w:p>
    <w:p>
      <w:pPr>
        <w:adjustRightInd/>
        <w:spacing w:line="240" w:lineRule="auto"/>
        <w:ind w:left="566" w:leftChars="246"/>
        <w:jc w:val="both"/>
        <w:rPr>
          <w:rFonts w:ascii="Arial" w:hAnsi="Arial" w:eastAsia="黑体" w:cs="Arial"/>
          <w:spacing w:val="-6"/>
          <w:sz w:val="22"/>
          <w:lang w:eastAsia="zh-CN"/>
        </w:rPr>
      </w:pPr>
      <w:r>
        <w:rPr>
          <w:rFonts w:ascii="Arial" w:hAnsi="Arial" w:eastAsia="黑体" w:cs="Arial"/>
          <w:spacing w:val="-6"/>
          <w:sz w:val="22"/>
          <w:lang w:eastAsia="zh-CN"/>
        </w:rPr>
        <w:t>《中华人民共和国土地管理法》（</w:t>
      </w:r>
      <w:r>
        <w:rPr>
          <w:rFonts w:hint="eastAsia" w:ascii="Arial" w:hAnsi="Arial" w:eastAsia="黑体" w:cs="Arial"/>
          <w:spacing w:val="-6"/>
          <w:sz w:val="22"/>
          <w:lang w:eastAsia="zh-CN"/>
        </w:rPr>
        <w:t>2019年8月26日第十三届全国人民代表大会常务委员会第十二次会议修订，2</w:t>
      </w:r>
      <w:r>
        <w:rPr>
          <w:rFonts w:ascii="Arial" w:hAnsi="Arial" w:eastAsia="黑体" w:cs="Arial"/>
          <w:spacing w:val="-6"/>
          <w:sz w:val="22"/>
          <w:lang w:eastAsia="zh-CN"/>
        </w:rPr>
        <w:t>020</w:t>
      </w:r>
      <w:r>
        <w:rPr>
          <w:rFonts w:hint="eastAsia" w:ascii="Arial" w:hAnsi="Arial" w:eastAsia="黑体" w:cs="Arial"/>
          <w:spacing w:val="-6"/>
          <w:sz w:val="22"/>
          <w:lang w:eastAsia="zh-CN"/>
        </w:rPr>
        <w:t>年1月1日起施行</w:t>
      </w:r>
      <w:r>
        <w:rPr>
          <w:rFonts w:ascii="Arial" w:hAnsi="Arial" w:eastAsia="黑体" w:cs="Arial"/>
          <w:spacing w:val="-6"/>
          <w:sz w:val="22"/>
          <w:lang w:eastAsia="zh-CN"/>
        </w:rPr>
        <w:t>）。</w:t>
      </w:r>
    </w:p>
    <w:p>
      <w:pPr>
        <w:adjustRightInd/>
        <w:spacing w:line="240" w:lineRule="auto"/>
        <w:ind w:left="566" w:leftChars="246"/>
        <w:jc w:val="both"/>
        <w:rPr>
          <w:rFonts w:ascii="Arial" w:hAnsi="Arial" w:eastAsia="黑体" w:cs="Arial"/>
          <w:spacing w:val="-6"/>
          <w:sz w:val="22"/>
          <w:lang w:eastAsia="zh-CN"/>
        </w:rPr>
      </w:pPr>
      <w:r>
        <w:rPr>
          <w:rFonts w:ascii="Arial" w:hAnsi="Arial" w:eastAsia="黑体" w:cs="Arial"/>
          <w:spacing w:val="-6"/>
          <w:sz w:val="22"/>
          <w:lang w:eastAsia="zh-CN"/>
        </w:rPr>
        <w:t>《中华人民共和国民法典》（2020年5月28日第十三届全国人民代表大会第三次会议通过</w:t>
      </w:r>
      <w:r>
        <w:rPr>
          <w:rFonts w:hint="eastAsia" w:ascii="Arial" w:hAnsi="Arial" w:eastAsia="黑体" w:cs="Arial"/>
          <w:spacing w:val="-6"/>
          <w:sz w:val="22"/>
          <w:lang w:eastAsia="zh-CN"/>
        </w:rPr>
        <w:t>，</w:t>
      </w:r>
      <w:r>
        <w:rPr>
          <w:rFonts w:ascii="Arial" w:hAnsi="Arial" w:eastAsia="黑体" w:cs="Arial"/>
          <w:spacing w:val="-6"/>
          <w:sz w:val="22"/>
          <w:lang w:eastAsia="zh-CN"/>
        </w:rPr>
        <w:t>自2021年1月1日起施行）。</w:t>
      </w:r>
    </w:p>
    <w:p>
      <w:pPr>
        <w:adjustRightInd/>
        <w:spacing w:line="240" w:lineRule="auto"/>
        <w:ind w:left="566" w:leftChars="246"/>
        <w:jc w:val="both"/>
        <w:rPr>
          <w:rFonts w:ascii="Arial" w:hAnsi="Arial" w:eastAsia="黑体" w:cs="Arial"/>
          <w:spacing w:val="-6"/>
          <w:sz w:val="22"/>
          <w:lang w:eastAsia="zh-CN"/>
        </w:rPr>
      </w:pPr>
      <w:r>
        <w:rPr>
          <w:rFonts w:ascii="Arial" w:hAnsi="Arial" w:eastAsia="黑体" w:cs="Arial"/>
          <w:spacing w:val="-6"/>
          <w:sz w:val="22"/>
          <w:lang w:eastAsia="zh-CN"/>
        </w:rPr>
        <w:t>《中华人民共和国资产评估法》（2016年7月2日中华人民共和国主席令第46号）</w:t>
      </w:r>
      <w:r>
        <w:rPr>
          <w:rFonts w:hint="eastAsia" w:ascii="Arial" w:hAnsi="Arial" w:eastAsia="黑体" w:cs="Arial"/>
          <w:spacing w:val="-6"/>
          <w:sz w:val="22"/>
          <w:lang w:eastAsia="zh-CN"/>
        </w:rPr>
        <w:t>。</w:t>
      </w:r>
    </w:p>
    <w:p>
      <w:pPr>
        <w:adjustRightInd/>
        <w:spacing w:line="240" w:lineRule="auto"/>
        <w:ind w:left="566" w:leftChars="246"/>
        <w:jc w:val="both"/>
        <w:rPr>
          <w:rFonts w:ascii="Arial" w:hAnsi="Arial" w:eastAsia="黑体" w:cs="Arial"/>
          <w:spacing w:val="-6"/>
          <w:sz w:val="22"/>
          <w:lang w:eastAsia="zh-CN"/>
        </w:rPr>
      </w:pPr>
      <w:r>
        <w:rPr>
          <w:rFonts w:hint="eastAsia" w:ascii="Arial" w:hAnsi="Arial" w:eastAsia="黑体" w:cs="Arial"/>
          <w:spacing w:val="-6"/>
          <w:sz w:val="22"/>
          <w:lang w:eastAsia="zh-CN"/>
        </w:rPr>
        <w:t>《最高人民法院关于人民法院委托评估、拍卖工作的若干规定》</w:t>
      </w:r>
      <w:r>
        <w:rPr>
          <w:rFonts w:ascii="Arial" w:hAnsi="Arial" w:eastAsia="黑体" w:cs="Arial"/>
          <w:spacing w:val="-6"/>
          <w:sz w:val="22"/>
          <w:lang w:eastAsia="zh-CN"/>
        </w:rPr>
        <w:t>(</w:t>
      </w:r>
      <w:r>
        <w:rPr>
          <w:rFonts w:hint="eastAsia" w:ascii="Arial" w:hAnsi="Arial" w:eastAsia="黑体" w:cs="Arial"/>
          <w:spacing w:val="-6"/>
          <w:sz w:val="22"/>
          <w:lang w:eastAsia="zh-CN"/>
        </w:rPr>
        <w:t>法释〔</w:t>
      </w:r>
      <w:r>
        <w:rPr>
          <w:rFonts w:ascii="Arial" w:hAnsi="Arial" w:eastAsia="黑体" w:cs="Arial"/>
          <w:spacing w:val="-6"/>
          <w:sz w:val="22"/>
          <w:lang w:eastAsia="zh-CN"/>
        </w:rPr>
        <w:t>2011</w:t>
      </w:r>
      <w:r>
        <w:rPr>
          <w:rFonts w:hint="eastAsia" w:ascii="Arial" w:hAnsi="Arial" w:eastAsia="黑体" w:cs="Arial"/>
          <w:spacing w:val="-6"/>
          <w:sz w:val="22"/>
          <w:lang w:eastAsia="zh-CN"/>
        </w:rPr>
        <w:t>〕</w:t>
      </w:r>
      <w:r>
        <w:rPr>
          <w:rFonts w:ascii="Arial" w:hAnsi="Arial" w:eastAsia="黑体" w:cs="Arial"/>
          <w:spacing w:val="-6"/>
          <w:sz w:val="22"/>
          <w:lang w:eastAsia="zh-CN"/>
        </w:rPr>
        <w:t>21</w:t>
      </w:r>
      <w:r>
        <w:rPr>
          <w:rFonts w:hint="eastAsia" w:ascii="Arial" w:hAnsi="Arial" w:eastAsia="黑体" w:cs="Arial"/>
          <w:spacing w:val="-6"/>
          <w:sz w:val="22"/>
          <w:lang w:eastAsia="zh-CN"/>
        </w:rPr>
        <w:t>号</w:t>
      </w:r>
      <w:r>
        <w:rPr>
          <w:rFonts w:ascii="Arial" w:hAnsi="Arial" w:eastAsia="黑体" w:cs="Arial"/>
          <w:spacing w:val="-6"/>
          <w:sz w:val="22"/>
          <w:lang w:eastAsia="zh-CN"/>
        </w:rPr>
        <w:t>)</w:t>
      </w:r>
      <w:r>
        <w:rPr>
          <w:rFonts w:hint="eastAsia" w:ascii="Arial" w:hAnsi="Arial" w:eastAsia="黑体" w:cs="Arial"/>
          <w:spacing w:val="-6"/>
          <w:sz w:val="22"/>
          <w:lang w:eastAsia="zh-CN"/>
        </w:rPr>
        <w:t>。</w:t>
      </w:r>
    </w:p>
    <w:p>
      <w:pPr>
        <w:adjustRightInd/>
        <w:spacing w:line="240" w:lineRule="auto"/>
        <w:ind w:left="566" w:leftChars="246"/>
        <w:jc w:val="both"/>
        <w:rPr>
          <w:rFonts w:ascii="Arial" w:hAnsi="Arial" w:eastAsia="黑体" w:cs="Arial"/>
          <w:spacing w:val="-6"/>
          <w:sz w:val="22"/>
          <w:lang w:eastAsia="zh-CN"/>
        </w:rPr>
      </w:pPr>
      <w:r>
        <w:rPr>
          <w:rFonts w:hint="eastAsia" w:ascii="Arial" w:hAnsi="Arial" w:eastAsia="黑体" w:cs="Arial"/>
          <w:spacing w:val="-6"/>
          <w:sz w:val="22"/>
          <w:lang w:eastAsia="zh-CN"/>
        </w:rPr>
        <w:t>《人民法院确定财产处置参考价若干问题的规定》（法释〔</w:t>
      </w:r>
      <w:r>
        <w:rPr>
          <w:rFonts w:ascii="Arial" w:hAnsi="Arial" w:eastAsia="黑体" w:cs="Arial"/>
          <w:spacing w:val="-6"/>
          <w:sz w:val="22"/>
          <w:lang w:eastAsia="zh-CN"/>
        </w:rPr>
        <w:t>2018</w:t>
      </w:r>
      <w:r>
        <w:rPr>
          <w:rFonts w:hint="eastAsia" w:ascii="Arial" w:hAnsi="Arial" w:eastAsia="黑体" w:cs="Arial"/>
          <w:spacing w:val="-6"/>
          <w:sz w:val="22"/>
          <w:lang w:eastAsia="zh-CN"/>
        </w:rPr>
        <w:t>〕</w:t>
      </w:r>
      <w:r>
        <w:rPr>
          <w:rFonts w:ascii="Arial" w:hAnsi="Arial" w:eastAsia="黑体" w:cs="Arial"/>
          <w:spacing w:val="-6"/>
          <w:sz w:val="22"/>
          <w:lang w:eastAsia="zh-CN"/>
        </w:rPr>
        <w:t>15</w:t>
      </w:r>
      <w:r>
        <w:rPr>
          <w:rFonts w:hint="eastAsia" w:ascii="Arial" w:hAnsi="Arial" w:eastAsia="黑体" w:cs="Arial"/>
          <w:spacing w:val="-6"/>
          <w:sz w:val="22"/>
          <w:lang w:eastAsia="zh-CN"/>
        </w:rPr>
        <w:t>号）。</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有关估价标准</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《房地产估价规范》</w:t>
      </w:r>
      <w:r>
        <w:rPr>
          <w:rFonts w:ascii="Arial" w:hAnsi="Arial" w:eastAsia="黑体" w:cs="Arial"/>
          <w:sz w:val="22"/>
          <w:lang w:eastAsia="zh-CN"/>
        </w:rPr>
        <w:t>GB/T 50291 -2015（2015年12月1日起执行）</w:t>
      </w:r>
      <w:r>
        <w:rPr>
          <w:rFonts w:hint="eastAsia" w:ascii="Arial" w:hAnsi="Arial" w:eastAsia="黑体" w:cs="Arial"/>
          <w:sz w:val="22"/>
          <w:lang w:eastAsia="zh-CN"/>
        </w:rPr>
        <w:t>。</w:t>
      </w: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《房地产估价基本术语标准》</w:t>
      </w:r>
      <w:r>
        <w:rPr>
          <w:rFonts w:ascii="Arial" w:hAnsi="Arial" w:eastAsia="黑体" w:cs="Arial"/>
          <w:sz w:val="22"/>
          <w:lang w:eastAsia="zh-CN"/>
        </w:rPr>
        <w:t>GB/T 50899 -2013</w:t>
      </w:r>
      <w:r>
        <w:rPr>
          <w:rFonts w:hint="eastAsia" w:ascii="Arial" w:hAnsi="Arial" w:eastAsia="黑体" w:cs="Arial"/>
          <w:sz w:val="22"/>
          <w:lang w:eastAsia="zh-CN"/>
        </w:rPr>
        <w:t>。</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估价委托人提供的估价</w:t>
      </w:r>
      <w:r>
        <w:rPr>
          <w:rFonts w:ascii="Arial" w:hAnsi="Arial" w:eastAsia="黑体" w:cs="Arial"/>
          <w:b/>
          <w:sz w:val="22"/>
          <w:u w:val="single"/>
          <w:lang w:eastAsia="zh-CN"/>
        </w:rPr>
        <w:t>所需</w:t>
      </w:r>
      <w:r>
        <w:rPr>
          <w:rFonts w:hint="eastAsia" w:ascii="Arial" w:hAnsi="Arial" w:eastAsia="黑体" w:cs="Arial"/>
          <w:b/>
          <w:sz w:val="22"/>
          <w:u w:val="single"/>
          <w:lang w:eastAsia="zh-CN"/>
        </w:rPr>
        <w:t>资料</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pacing w:val="-6"/>
          <w:sz w:val="22"/>
          <w:lang w:eastAsia="zh-CN"/>
        </w:rPr>
      </w:pPr>
      <w:r>
        <w:rPr>
          <w:rFonts w:hint="eastAsia" w:ascii="Arial" w:hAnsi="Arial" w:eastAsia="黑体" w:cs="Arial"/>
          <w:spacing w:val="-6"/>
          <w:sz w:val="22"/>
          <w:lang w:eastAsia="zh-CN"/>
        </w:rPr>
        <w:t>《中山市第一人民法院委托书》【（2</w:t>
      </w:r>
      <w:r>
        <w:rPr>
          <w:rFonts w:ascii="Arial" w:hAnsi="Arial" w:eastAsia="黑体" w:cs="Arial"/>
          <w:spacing w:val="-6"/>
          <w:sz w:val="22"/>
          <w:lang w:eastAsia="zh-CN"/>
        </w:rPr>
        <w:t>020</w:t>
      </w:r>
      <w:r>
        <w:rPr>
          <w:rFonts w:hint="eastAsia" w:ascii="Arial" w:hAnsi="Arial" w:eastAsia="黑体" w:cs="Arial"/>
          <w:spacing w:val="-6"/>
          <w:sz w:val="22"/>
          <w:lang w:eastAsia="zh-CN"/>
        </w:rPr>
        <w:t>）粤</w:t>
      </w:r>
      <w:r>
        <w:rPr>
          <w:rFonts w:ascii="Arial" w:hAnsi="Arial" w:eastAsia="黑体" w:cs="Arial"/>
          <w:spacing w:val="-6"/>
          <w:sz w:val="22"/>
          <w:lang w:eastAsia="zh-CN"/>
        </w:rPr>
        <w:t>2071</w:t>
      </w:r>
      <w:r>
        <w:rPr>
          <w:rFonts w:hint="eastAsia" w:ascii="Arial" w:hAnsi="Arial" w:eastAsia="黑体" w:cs="Arial"/>
          <w:spacing w:val="-6"/>
          <w:sz w:val="22"/>
          <w:lang w:eastAsia="zh-CN"/>
        </w:rPr>
        <w:t>执恢</w:t>
      </w:r>
      <w:r>
        <w:rPr>
          <w:rFonts w:ascii="Arial" w:hAnsi="Arial" w:eastAsia="黑体" w:cs="Arial"/>
          <w:spacing w:val="-6"/>
          <w:sz w:val="22"/>
          <w:lang w:eastAsia="zh-CN"/>
        </w:rPr>
        <w:t>1883</w:t>
      </w:r>
      <w:r>
        <w:rPr>
          <w:rFonts w:hint="eastAsia" w:ascii="Arial" w:hAnsi="Arial" w:eastAsia="黑体" w:cs="Arial"/>
          <w:spacing w:val="-6"/>
          <w:sz w:val="22"/>
          <w:lang w:eastAsia="zh-CN"/>
        </w:rPr>
        <w:t>号】。</w:t>
      </w:r>
    </w:p>
    <w:p>
      <w:pPr>
        <w:adjustRightInd/>
        <w:spacing w:line="240" w:lineRule="auto"/>
        <w:ind w:left="566" w:leftChars="246"/>
        <w:jc w:val="both"/>
        <w:rPr>
          <w:rFonts w:ascii="Arial" w:hAnsi="Arial" w:eastAsia="黑体" w:cs="Arial"/>
          <w:spacing w:val="-6"/>
          <w:sz w:val="22"/>
          <w:lang w:eastAsia="zh-CN"/>
        </w:rPr>
      </w:pPr>
      <w:r>
        <w:rPr>
          <w:rFonts w:hint="eastAsia" w:ascii="Arial" w:hAnsi="Arial" w:eastAsia="黑体" w:cs="Arial"/>
          <w:spacing w:val="-6"/>
          <w:sz w:val="22"/>
          <w:lang w:eastAsia="zh-CN"/>
        </w:rPr>
        <w:t>《广东省中山市第一人民法院执行裁定书》【（2</w:t>
      </w:r>
      <w:r>
        <w:rPr>
          <w:rFonts w:ascii="Arial" w:hAnsi="Arial" w:eastAsia="黑体" w:cs="Arial"/>
          <w:spacing w:val="-6"/>
          <w:sz w:val="22"/>
          <w:lang w:eastAsia="zh-CN"/>
        </w:rPr>
        <w:t>020</w:t>
      </w:r>
      <w:r>
        <w:rPr>
          <w:rFonts w:hint="eastAsia" w:ascii="Arial" w:hAnsi="Arial" w:eastAsia="黑体" w:cs="Arial"/>
          <w:spacing w:val="-6"/>
          <w:sz w:val="22"/>
          <w:lang w:eastAsia="zh-CN"/>
        </w:rPr>
        <w:t>）粤</w:t>
      </w:r>
      <w:r>
        <w:rPr>
          <w:rFonts w:ascii="Arial" w:hAnsi="Arial" w:eastAsia="黑体" w:cs="Arial"/>
          <w:spacing w:val="-6"/>
          <w:sz w:val="22"/>
          <w:lang w:eastAsia="zh-CN"/>
        </w:rPr>
        <w:t>2071</w:t>
      </w:r>
      <w:r>
        <w:rPr>
          <w:rFonts w:hint="eastAsia" w:ascii="Arial" w:hAnsi="Arial" w:eastAsia="黑体" w:cs="Arial"/>
          <w:spacing w:val="-6"/>
          <w:sz w:val="22"/>
          <w:lang w:eastAsia="zh-CN"/>
        </w:rPr>
        <w:t>执恢</w:t>
      </w:r>
      <w:r>
        <w:rPr>
          <w:rFonts w:ascii="Arial" w:hAnsi="Arial" w:eastAsia="黑体" w:cs="Arial"/>
          <w:spacing w:val="-6"/>
          <w:sz w:val="22"/>
          <w:lang w:eastAsia="zh-CN"/>
        </w:rPr>
        <w:t>1883</w:t>
      </w:r>
      <w:r>
        <w:rPr>
          <w:rFonts w:hint="eastAsia" w:ascii="Arial" w:hAnsi="Arial" w:eastAsia="黑体" w:cs="Arial"/>
          <w:spacing w:val="-6"/>
          <w:sz w:val="22"/>
          <w:lang w:eastAsia="zh-CN"/>
        </w:rPr>
        <w:t>号之一】复印件</w:t>
      </w: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《中山市不动产登记资料查询结果》【编号</w:t>
      </w:r>
      <w:r>
        <w:rPr>
          <w:rFonts w:hint="eastAsia" w:ascii="Arial" w:hAnsi="Arial" w:eastAsia="黑体" w:cs="Arial"/>
          <w:spacing w:val="-6"/>
          <w:sz w:val="22"/>
          <w:lang w:eastAsia="zh-CN"/>
        </w:rPr>
        <w:t>：</w:t>
      </w:r>
      <w:r>
        <w:rPr>
          <w:rFonts w:ascii="Arial" w:hAnsi="Arial" w:eastAsia="黑体" w:cs="Arial"/>
          <w:spacing w:val="-6"/>
          <w:sz w:val="22"/>
          <w:lang w:eastAsia="zh-CN"/>
        </w:rPr>
        <w:t>2021012700756</w:t>
      </w:r>
      <w:r>
        <w:rPr>
          <w:rFonts w:hint="eastAsia" w:ascii="Arial" w:hAnsi="Arial" w:eastAsia="黑体" w:cs="Arial"/>
          <w:spacing w:val="-6"/>
          <w:sz w:val="22"/>
          <w:lang w:eastAsia="zh-CN"/>
        </w:rPr>
        <w:t>、2</w:t>
      </w:r>
      <w:r>
        <w:rPr>
          <w:rFonts w:ascii="Arial" w:hAnsi="Arial" w:eastAsia="黑体" w:cs="Arial"/>
          <w:spacing w:val="-6"/>
          <w:sz w:val="22"/>
          <w:lang w:eastAsia="zh-CN"/>
        </w:rPr>
        <w:t>021012700770</w:t>
      </w:r>
      <w:r>
        <w:rPr>
          <w:rFonts w:hint="eastAsia" w:ascii="Arial" w:hAnsi="Arial" w:eastAsia="黑体" w:cs="Arial"/>
          <w:spacing w:val="-6"/>
          <w:sz w:val="22"/>
          <w:lang w:eastAsia="zh-CN"/>
        </w:rPr>
        <w:t>、2</w:t>
      </w:r>
      <w:r>
        <w:rPr>
          <w:rFonts w:ascii="Arial" w:hAnsi="Arial" w:eastAsia="黑体" w:cs="Arial"/>
          <w:spacing w:val="-6"/>
          <w:sz w:val="22"/>
          <w:lang w:eastAsia="zh-CN"/>
        </w:rPr>
        <w:t>021012700780</w:t>
      </w:r>
      <w:r>
        <w:rPr>
          <w:rFonts w:hint="eastAsia" w:ascii="Arial" w:hAnsi="Arial" w:eastAsia="黑体" w:cs="Arial"/>
          <w:spacing w:val="-6"/>
          <w:sz w:val="22"/>
          <w:lang w:eastAsia="zh-CN"/>
        </w:rPr>
        <w:t>、2</w:t>
      </w:r>
      <w:r>
        <w:rPr>
          <w:rFonts w:ascii="Arial" w:hAnsi="Arial" w:eastAsia="黑体" w:cs="Arial"/>
          <w:spacing w:val="-6"/>
          <w:sz w:val="22"/>
          <w:lang w:eastAsia="zh-CN"/>
        </w:rPr>
        <w:t>021012700808</w:t>
      </w:r>
      <w:r>
        <w:rPr>
          <w:rFonts w:hint="eastAsia" w:ascii="Arial" w:hAnsi="Arial" w:eastAsia="黑体" w:cs="Arial"/>
          <w:spacing w:val="-6"/>
          <w:sz w:val="22"/>
          <w:lang w:eastAsia="zh-CN"/>
        </w:rPr>
        <w:t>】</w:t>
      </w:r>
      <w:r>
        <w:rPr>
          <w:rFonts w:hint="eastAsia" w:ascii="Arial" w:hAnsi="Arial" w:eastAsia="黑体" w:cs="Arial"/>
          <w:sz w:val="22"/>
          <w:lang w:eastAsia="zh-CN"/>
        </w:rPr>
        <w:t>复印件。</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b/>
          <w:sz w:val="22"/>
          <w:u w:val="single"/>
          <w:lang w:eastAsia="zh-CN"/>
        </w:rPr>
      </w:pPr>
      <w:r>
        <w:rPr>
          <w:rFonts w:hint="eastAsia" w:ascii="Arial" w:hAnsi="Arial" w:eastAsia="黑体" w:cs="Arial"/>
          <w:b/>
          <w:sz w:val="22"/>
          <w:u w:val="single"/>
          <w:lang w:eastAsia="zh-CN"/>
        </w:rPr>
        <w:t>房地产估价机构、注册</w:t>
      </w:r>
      <w:r>
        <w:rPr>
          <w:rFonts w:ascii="Arial" w:hAnsi="Arial" w:eastAsia="黑体" w:cs="Arial"/>
          <w:b/>
          <w:sz w:val="22"/>
          <w:u w:val="single"/>
          <w:lang w:eastAsia="zh-CN"/>
        </w:rPr>
        <w:t>房地产</w:t>
      </w:r>
      <w:r>
        <w:rPr>
          <w:rFonts w:hint="eastAsia" w:ascii="Arial" w:hAnsi="Arial" w:eastAsia="黑体" w:cs="Arial"/>
          <w:b/>
          <w:sz w:val="22"/>
          <w:u w:val="single"/>
          <w:lang w:eastAsia="zh-CN"/>
        </w:rPr>
        <w:t>估价师掌握和搜集的估价</w:t>
      </w:r>
      <w:r>
        <w:rPr>
          <w:rFonts w:ascii="Arial" w:hAnsi="Arial" w:eastAsia="黑体" w:cs="Arial"/>
          <w:b/>
          <w:sz w:val="22"/>
          <w:u w:val="single"/>
          <w:lang w:eastAsia="zh-CN"/>
        </w:rPr>
        <w:t>所需</w:t>
      </w:r>
      <w:r>
        <w:rPr>
          <w:rFonts w:hint="eastAsia" w:ascii="Arial" w:hAnsi="Arial" w:eastAsia="黑体" w:cs="Arial"/>
          <w:b/>
          <w:sz w:val="22"/>
          <w:u w:val="single"/>
          <w:lang w:eastAsia="zh-CN"/>
        </w:rPr>
        <w:t>资料</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估价人员现场勘察、摄影和记录。</w:t>
      </w: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中山市房地产市场信息。</w:t>
      </w:r>
    </w:p>
    <w:p>
      <w:pPr>
        <w:adjustRightInd/>
        <w:spacing w:line="240" w:lineRule="auto"/>
        <w:ind w:left="566" w:leftChars="246"/>
        <w:jc w:val="both"/>
        <w:rPr>
          <w:rFonts w:ascii="Arial" w:hAnsi="Arial" w:eastAsia="黑体" w:cs="Arial"/>
          <w:sz w:val="22"/>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3" w:name="_Toc30084713"/>
      <w:r>
        <w:rPr>
          <w:rFonts w:hint="eastAsia" w:ascii="Arial" w:hAnsi="Arial" w:eastAsia="黑体" w:cs="Arial"/>
          <w:bCs/>
          <w:kern w:val="2"/>
          <w:sz w:val="22"/>
          <w:lang w:val="en-US" w:eastAsia="zh-CN"/>
        </w:rPr>
        <w:t>估价方法</w:t>
      </w:r>
      <w:bookmarkEnd w:id="33"/>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估价人员在认真分析所掌握的资料，并对估价对象进行了实地查勘以及对周边房地产市场进行调查后，根据《房地产估价规范》（</w:t>
      </w:r>
      <w:r>
        <w:rPr>
          <w:rFonts w:ascii="Arial" w:hAnsi="Arial" w:eastAsia="黑体" w:cs="Arial"/>
          <w:sz w:val="22"/>
          <w:lang w:eastAsia="zh-CN"/>
        </w:rPr>
        <w:t>GB/T 50291-2015</w:t>
      </w:r>
      <w:r>
        <w:rPr>
          <w:rFonts w:hint="eastAsia" w:ascii="Arial" w:hAnsi="Arial" w:eastAsia="黑体" w:cs="Arial"/>
          <w:sz w:val="22"/>
          <w:lang w:eastAsia="zh-CN"/>
        </w:rPr>
        <w:t>）、《房地产估价基本术语标准》（</w:t>
      </w:r>
      <w:r>
        <w:rPr>
          <w:rFonts w:ascii="Arial" w:hAnsi="Arial" w:eastAsia="黑体" w:cs="Arial"/>
          <w:sz w:val="22"/>
          <w:lang w:eastAsia="zh-CN"/>
        </w:rPr>
        <w:t>GB/T50899-2013</w:t>
      </w:r>
      <w:r>
        <w:rPr>
          <w:rFonts w:hint="eastAsia" w:ascii="Arial" w:hAnsi="Arial" w:eastAsia="黑体" w:cs="Arial"/>
          <w:sz w:val="22"/>
          <w:lang w:eastAsia="zh-CN"/>
        </w:rPr>
        <w:t>），遵照国家有关法律、法规、估价技术标准，经过反复研究，最终选取比较法和收益法对估价对象进行估价</w:t>
      </w:r>
      <w:r>
        <w:rPr>
          <w:rFonts w:ascii="Arial" w:hAnsi="Arial" w:eastAsia="黑体" w:cs="Arial"/>
          <w:sz w:val="22"/>
          <w:lang w:eastAsia="zh-CN"/>
        </w:rPr>
        <w:t>。</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比较法是选取一定数量的可比实例，将它们与估价对象进行比较，根据期间的差异对可比实例成交价格进行处理后得到估价对象价值或价格的方法。</w:t>
      </w:r>
    </w:p>
    <w:p>
      <w:pPr>
        <w:adjustRightInd/>
        <w:spacing w:line="240" w:lineRule="auto"/>
        <w:ind w:left="566" w:leftChars="246"/>
        <w:jc w:val="both"/>
        <w:rPr>
          <w:rFonts w:ascii="Arial" w:hAnsi="Arial" w:eastAsia="黑体" w:cs="Arial"/>
          <w:sz w:val="22"/>
          <w:lang w:eastAsia="zh-CN"/>
        </w:rPr>
      </w:pPr>
    </w:p>
    <w:p>
      <w:pPr>
        <w:adjustRightInd/>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收益法是预测估价对象的未来收益，利用报酬率或资本化率、收益乘数将未来收益转换为价值得到估价对象价值或价格的方法。</w:t>
      </w:r>
    </w:p>
    <w:p>
      <w:pPr>
        <w:adjustRightInd/>
        <w:spacing w:line="240" w:lineRule="auto"/>
        <w:ind w:left="566" w:leftChars="246"/>
        <w:jc w:val="both"/>
        <w:rPr>
          <w:rFonts w:ascii="Arial" w:hAnsi="Arial" w:eastAsia="黑体" w:cs="Arial"/>
          <w:sz w:val="22"/>
          <w:lang w:eastAsia="zh-CN"/>
        </w:rPr>
      </w:pPr>
    </w:p>
    <w:p>
      <w:pPr>
        <w:pStyle w:val="39"/>
        <w:numPr>
          <w:ilvl w:val="1"/>
          <w:numId w:val="1"/>
        </w:numPr>
        <w:tabs>
          <w:tab w:val="left" w:pos="552"/>
        </w:tabs>
        <w:ind w:left="567"/>
        <w:jc w:val="both"/>
        <w:outlineLvl w:val="1"/>
        <w:rPr>
          <w:rFonts w:ascii="Arial" w:hAnsi="Arial" w:eastAsia="黑体" w:cs="Arial"/>
          <w:bCs/>
          <w:kern w:val="2"/>
          <w:sz w:val="22"/>
          <w:szCs w:val="22"/>
          <w:lang w:val="en-US" w:eastAsia="zh-CN"/>
        </w:rPr>
      </w:pPr>
      <w:bookmarkStart w:id="34" w:name="结果2"/>
      <w:r>
        <w:rPr>
          <w:rFonts w:ascii="Arial" w:hAnsi="Arial" w:eastAsia="黑体" w:cs="Arial"/>
          <w:bCs/>
          <w:kern w:val="2"/>
          <w:sz w:val="22"/>
          <w:szCs w:val="22"/>
          <w:lang w:val="en-US" w:eastAsia="zh-CN"/>
        </w:rPr>
        <w:fldChar w:fldCharType="begin"/>
      </w:r>
      <w:r>
        <w:rPr>
          <w:rFonts w:ascii="Arial" w:hAnsi="Arial" w:eastAsia="黑体" w:cs="Arial"/>
          <w:bCs/>
          <w:kern w:val="2"/>
          <w:sz w:val="22"/>
          <w:szCs w:val="22"/>
          <w:lang w:val="en-US" w:eastAsia="zh-CN"/>
        </w:rPr>
        <w:instrText xml:space="preserve"> HYPERLINK  \l "</w:instrText>
      </w:r>
      <w:r>
        <w:rPr>
          <w:rFonts w:hint="eastAsia" w:ascii="Arial" w:hAnsi="Arial" w:eastAsia="黑体" w:cs="Arial"/>
          <w:bCs/>
          <w:kern w:val="2"/>
          <w:sz w:val="22"/>
          <w:szCs w:val="22"/>
          <w:lang w:val="en-US" w:eastAsia="zh-CN"/>
        </w:rPr>
        <w:instrText xml:space="preserve">结果1</w:instrText>
      </w:r>
      <w:r>
        <w:rPr>
          <w:rFonts w:ascii="Arial" w:hAnsi="Arial" w:eastAsia="黑体" w:cs="Arial"/>
          <w:bCs/>
          <w:kern w:val="2"/>
          <w:sz w:val="22"/>
          <w:szCs w:val="22"/>
          <w:lang w:val="en-US" w:eastAsia="zh-CN"/>
        </w:rPr>
        <w:instrText xml:space="preserve">" </w:instrText>
      </w:r>
      <w:r>
        <w:rPr>
          <w:rFonts w:ascii="Arial" w:hAnsi="Arial" w:eastAsia="黑体" w:cs="Arial"/>
          <w:bCs/>
          <w:kern w:val="2"/>
          <w:sz w:val="22"/>
          <w:szCs w:val="22"/>
          <w:lang w:val="en-US" w:eastAsia="zh-CN"/>
        </w:rPr>
        <w:fldChar w:fldCharType="separate"/>
      </w:r>
      <w:bookmarkStart w:id="35" w:name="_Toc30084714"/>
      <w:r>
        <w:rPr>
          <w:rFonts w:hint="eastAsia" w:ascii="Arial" w:hAnsi="Arial" w:eastAsia="黑体"/>
          <w:bCs/>
          <w:sz w:val="22"/>
          <w:szCs w:val="22"/>
          <w:lang w:val="en-US" w:eastAsia="zh-CN"/>
        </w:rPr>
        <w:t>估价结果</w:t>
      </w:r>
      <w:bookmarkEnd w:id="34"/>
      <w:bookmarkEnd w:id="35"/>
      <w:r>
        <w:rPr>
          <w:rFonts w:ascii="Arial" w:hAnsi="Arial" w:eastAsia="黑体" w:cs="Arial"/>
          <w:bCs/>
          <w:kern w:val="2"/>
          <w:sz w:val="22"/>
          <w:szCs w:val="22"/>
          <w:lang w:val="en-US" w:eastAsia="zh-CN"/>
        </w:rPr>
        <w:fldChar w:fldCharType="end"/>
      </w:r>
    </w:p>
    <w:p>
      <w:pPr>
        <w:spacing w:line="240" w:lineRule="auto"/>
        <w:ind w:left="566" w:leftChars="246"/>
        <w:rPr>
          <w:rFonts w:ascii="Arial" w:hAnsi="Arial" w:eastAsia="黑体"/>
          <w:lang w:eastAsia="zh-CN"/>
        </w:rPr>
      </w:pPr>
    </w:p>
    <w:p>
      <w:pPr>
        <w:spacing w:line="240" w:lineRule="auto"/>
        <w:ind w:left="566" w:leftChars="246"/>
        <w:jc w:val="both"/>
        <w:rPr>
          <w:rFonts w:ascii="Arial" w:hAnsi="Arial" w:eastAsia="黑体" w:cs="Arial"/>
          <w:sz w:val="22"/>
          <w:lang w:eastAsia="zh-CN"/>
        </w:rPr>
      </w:pPr>
      <w:r>
        <w:rPr>
          <w:rFonts w:hint="eastAsia" w:ascii="Arial" w:hAnsi="Arial" w:eastAsia="黑体" w:cs="Arial"/>
          <w:sz w:val="22"/>
          <w:lang w:eastAsia="zh-CN"/>
        </w:rPr>
        <w:t>我们根据估价目的及估价委托人所提供的资料，遵循估价原则，经过实地查勘与市场调查，在满足本估价报告中“估价假设和限制条件”下</w:t>
      </w:r>
      <w:r>
        <w:rPr>
          <w:rFonts w:ascii="Arial" w:hAnsi="Arial" w:eastAsia="黑体" w:cs="Arial"/>
          <w:sz w:val="22"/>
          <w:lang w:eastAsia="zh-CN"/>
        </w:rPr>
        <w:t>，</w:t>
      </w:r>
      <w:r>
        <w:rPr>
          <w:rFonts w:hint="eastAsia" w:ascii="Arial" w:hAnsi="Arial" w:eastAsia="黑体" w:cs="Arial"/>
          <w:sz w:val="22"/>
          <w:lang w:eastAsia="zh-CN"/>
        </w:rPr>
        <w:t>选取比较法和收益法进行认真的分析和测算，确定估价对象于</w:t>
      </w:r>
      <w:r>
        <w:rPr>
          <w:rFonts w:ascii="Arial" w:hAnsi="Arial" w:eastAsia="黑体" w:cs="Arial"/>
          <w:bCs/>
          <w:kern w:val="2"/>
          <w:sz w:val="22"/>
          <w:lang w:eastAsia="zh-CN"/>
        </w:rPr>
        <w:t>2021年1月28日</w:t>
      </w:r>
      <w:r>
        <w:rPr>
          <w:rFonts w:hint="eastAsia" w:ascii="Arial" w:hAnsi="Arial" w:eastAsia="黑体" w:cs="Arial"/>
          <w:bCs/>
          <w:kern w:val="2"/>
          <w:sz w:val="22"/>
          <w:lang w:eastAsia="zh-CN"/>
        </w:rPr>
        <w:t>之市场价值为人民币</w:t>
      </w:r>
      <w:r>
        <w:rPr>
          <w:rFonts w:hint="eastAsia" w:ascii="Arial" w:hAnsi="Arial" w:eastAsia="黑体" w:cs="Arial"/>
          <w:b/>
          <w:bCs/>
          <w:kern w:val="2"/>
          <w:sz w:val="22"/>
          <w:lang w:eastAsia="zh-CN"/>
        </w:rPr>
        <w:t>47,510,000</w:t>
      </w:r>
      <w:r>
        <w:rPr>
          <w:rFonts w:hint="eastAsia" w:ascii="Arial" w:hAnsi="Arial" w:eastAsia="黑体" w:cs="Arial"/>
          <w:b/>
          <w:kern w:val="2"/>
          <w:sz w:val="22"/>
          <w:lang w:eastAsia="zh-CN"/>
        </w:rPr>
        <w:t>元</w:t>
      </w:r>
      <w:r>
        <w:rPr>
          <w:rFonts w:hint="eastAsia" w:ascii="Arial" w:hAnsi="Arial" w:eastAsia="黑体" w:cs="Arial"/>
          <w:bCs/>
          <w:kern w:val="2"/>
          <w:sz w:val="22"/>
          <w:lang w:eastAsia="zh-CN"/>
        </w:rPr>
        <w:t>（人民币</w:t>
      </w:r>
      <w:r>
        <w:rPr>
          <w:rFonts w:hint="eastAsia" w:ascii="Arial" w:hAnsi="Arial" w:eastAsia="黑体" w:cs="Arial"/>
          <w:b/>
          <w:bCs/>
          <w:kern w:val="2"/>
          <w:sz w:val="22"/>
          <w:lang w:eastAsia="zh-CN"/>
        </w:rPr>
        <w:t>肆仟柒佰伍拾壹万元整</w:t>
      </w:r>
      <w:r>
        <w:rPr>
          <w:rFonts w:hint="eastAsia" w:ascii="Arial" w:hAnsi="Arial" w:eastAsia="黑体" w:cs="Arial"/>
          <w:bCs/>
          <w:kern w:val="2"/>
          <w:sz w:val="22"/>
          <w:lang w:eastAsia="zh-CN"/>
        </w:rPr>
        <w:t>），市场价值平均单价为人民币</w:t>
      </w:r>
      <w:r>
        <w:rPr>
          <w:rFonts w:hint="eastAsia" w:ascii="Arial" w:hAnsi="Arial" w:eastAsia="黑体" w:cs="Arial"/>
          <w:b/>
          <w:kern w:val="2"/>
          <w:sz w:val="22"/>
          <w:lang w:eastAsia="zh-CN"/>
        </w:rPr>
        <w:t>4,938元/平方米</w:t>
      </w:r>
      <w:r>
        <w:rPr>
          <w:rFonts w:hint="eastAsia" w:ascii="Arial" w:hAnsi="Arial" w:eastAsia="黑体" w:cs="Arial"/>
          <w:sz w:val="22"/>
          <w:lang w:eastAsia="zh-CN"/>
        </w:rPr>
        <w:t>。详见下表</w:t>
      </w:r>
      <w:r>
        <w:rPr>
          <w:rFonts w:ascii="Arial" w:hAnsi="Arial" w:eastAsia="黑体" w:cs="Arial"/>
          <w:sz w:val="22"/>
          <w:lang w:eastAsia="zh-CN"/>
        </w:rPr>
        <w:t>：</w:t>
      </w:r>
    </w:p>
    <w:p>
      <w:pPr>
        <w:pStyle w:val="39"/>
        <w:rPr>
          <w:rFonts w:ascii="Arial" w:hAnsi="Arial" w:eastAsia="黑体" w:cs="Arial"/>
          <w:bCs/>
          <w:kern w:val="2"/>
          <w:sz w:val="22"/>
          <w:lang w:val="en-US" w:eastAsia="zh-CN"/>
        </w:rPr>
      </w:pPr>
    </w:p>
    <w:p>
      <w:pPr>
        <w:pStyle w:val="39"/>
        <w:rPr>
          <w:rFonts w:ascii="Arial" w:hAnsi="Arial" w:eastAsia="黑体" w:cs="Arial"/>
          <w:bCs/>
          <w:kern w:val="2"/>
          <w:sz w:val="22"/>
          <w:lang w:val="en-US" w:eastAsia="zh-CN"/>
        </w:rPr>
      </w:pPr>
      <w:r>
        <w:rPr>
          <w:rFonts w:hint="eastAsia" w:ascii="Arial" w:hAnsi="Arial" w:eastAsia="黑体" w:cs="Arial"/>
          <w:bCs/>
          <w:kern w:val="2"/>
          <w:sz w:val="22"/>
          <w:lang w:val="en-US" w:eastAsia="zh-CN"/>
        </w:rPr>
        <w:t>评估结果明细表</w:t>
      </w:r>
    </w:p>
    <w:p>
      <w:pPr>
        <w:pStyle w:val="39"/>
        <w:ind w:right="115" w:rightChars="50"/>
        <w:jc w:val="right"/>
        <w:rPr>
          <w:rFonts w:ascii="Arial" w:hAnsi="Arial" w:eastAsia="黑体" w:cs="Arial"/>
          <w:b w:val="0"/>
          <w:bCs/>
          <w:kern w:val="2"/>
          <w:sz w:val="18"/>
          <w:lang w:val="en-US" w:eastAsia="zh-CN"/>
        </w:rPr>
      </w:pPr>
      <w:r>
        <w:rPr>
          <w:rFonts w:hint="eastAsia" w:ascii="Arial" w:hAnsi="Arial" w:eastAsia="黑体" w:cs="Arial"/>
          <w:b w:val="0"/>
          <w:bCs/>
          <w:kern w:val="2"/>
          <w:sz w:val="18"/>
          <w:lang w:val="en-US" w:eastAsia="zh-CN"/>
        </w:rPr>
        <w:t>币种</w:t>
      </w:r>
      <w:r>
        <w:rPr>
          <w:rFonts w:ascii="Arial" w:hAnsi="Arial" w:eastAsia="黑体" w:cs="Arial"/>
          <w:b w:val="0"/>
          <w:bCs/>
          <w:kern w:val="2"/>
          <w:sz w:val="18"/>
          <w:lang w:val="en-US" w:eastAsia="zh-CN"/>
        </w:rPr>
        <w:t>：人民币</w:t>
      </w:r>
    </w:p>
    <w:tbl>
      <w:tblPr>
        <w:tblStyle w:val="41"/>
        <w:tblW w:w="0" w:type="auto"/>
        <w:tblInd w:w="0" w:type="dxa"/>
        <w:tblLayout w:type="autofit"/>
        <w:tblCellMar>
          <w:top w:w="0" w:type="dxa"/>
          <w:left w:w="108" w:type="dxa"/>
          <w:bottom w:w="0" w:type="dxa"/>
          <w:right w:w="108" w:type="dxa"/>
        </w:tblCellMar>
      </w:tblPr>
      <w:tblGrid>
        <w:gridCol w:w="381"/>
        <w:gridCol w:w="1031"/>
        <w:gridCol w:w="1416"/>
        <w:gridCol w:w="568"/>
        <w:gridCol w:w="568"/>
        <w:gridCol w:w="993"/>
        <w:gridCol w:w="1134"/>
        <w:gridCol w:w="993"/>
        <w:gridCol w:w="929"/>
        <w:gridCol w:w="1023"/>
      </w:tblGrid>
      <w:tr>
        <w:tblPrEx>
          <w:tblCellMar>
            <w:top w:w="0" w:type="dxa"/>
            <w:left w:w="108" w:type="dxa"/>
            <w:bottom w:w="0" w:type="dxa"/>
            <w:right w:w="108" w:type="dxa"/>
          </w:tblCellMar>
        </w:tblPrEx>
        <w:trPr>
          <w:trHeight w:val="439" w:hRule="atLeast"/>
        </w:trPr>
        <w:tc>
          <w:tcPr>
            <w:tcW w:w="381"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序号</w:t>
            </w:r>
          </w:p>
        </w:tc>
        <w:tc>
          <w:tcPr>
            <w:tcW w:w="1031" w:type="dxa"/>
            <w:vMerge w:val="restar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物业地址</w:t>
            </w:r>
          </w:p>
        </w:tc>
        <w:tc>
          <w:tcPr>
            <w:tcW w:w="1416" w:type="dxa"/>
            <w:vMerge w:val="restart"/>
            <w:tcBorders>
              <w:top w:val="single" w:color="808080" w:sz="4" w:space="0"/>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房产证号</w:t>
            </w:r>
          </w:p>
        </w:tc>
        <w:tc>
          <w:tcPr>
            <w:tcW w:w="568"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权属人</w:t>
            </w:r>
          </w:p>
        </w:tc>
        <w:tc>
          <w:tcPr>
            <w:tcW w:w="568"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规划</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用途</w:t>
            </w:r>
          </w:p>
        </w:tc>
        <w:tc>
          <w:tcPr>
            <w:tcW w:w="993"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建筑结构</w:t>
            </w:r>
          </w:p>
        </w:tc>
        <w:tc>
          <w:tcPr>
            <w:tcW w:w="1134"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土地使用权</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面积</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（m²）</w:t>
            </w:r>
          </w:p>
        </w:tc>
        <w:tc>
          <w:tcPr>
            <w:tcW w:w="993"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建筑面积 (㎡)</w:t>
            </w:r>
          </w:p>
        </w:tc>
        <w:tc>
          <w:tcPr>
            <w:tcW w:w="929" w:type="dxa"/>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市场价值</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b/>
                <w:bCs/>
                <w:sz w:val="16"/>
                <w:szCs w:val="16"/>
                <w:lang w:eastAsia="zh-CN"/>
              </w:rPr>
              <w:t>单价</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（元/㎡）</w:t>
            </w:r>
          </w:p>
        </w:tc>
        <w:tc>
          <w:tcPr>
            <w:tcW w:w="0" w:type="auto"/>
            <w:vMerge w:val="restart"/>
            <w:tcBorders>
              <w:top w:val="single" w:color="808080" w:sz="4" w:space="0"/>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市场价值</w:t>
            </w:r>
            <w:r>
              <w:rPr>
                <w:rFonts w:hint="eastAsia" w:ascii="Noto Sans S Chinese Regular" w:hAnsi="Noto Sans S Chinese Regular" w:eastAsia="Noto Sans S Chinese Regular" w:cs="Calibri"/>
                <w:b/>
                <w:bCs/>
                <w:sz w:val="16"/>
                <w:szCs w:val="16"/>
                <w:lang w:eastAsia="zh-CN"/>
              </w:rPr>
              <w:br w:type="textWrapping"/>
            </w:r>
            <w:r>
              <w:rPr>
                <w:rFonts w:hint="eastAsia" w:ascii="Noto Sans S Chinese Regular" w:hAnsi="Noto Sans S Chinese Regular" w:eastAsia="Noto Sans S Chinese Regular" w:cs="Calibri"/>
                <w:sz w:val="16"/>
                <w:szCs w:val="16"/>
                <w:lang w:eastAsia="zh-CN"/>
              </w:rPr>
              <w:t>（元）</w:t>
            </w:r>
          </w:p>
        </w:tc>
      </w:tr>
      <w:tr>
        <w:tblPrEx>
          <w:tblCellMar>
            <w:top w:w="0" w:type="dxa"/>
            <w:left w:w="108" w:type="dxa"/>
            <w:bottom w:w="0" w:type="dxa"/>
            <w:right w:w="108" w:type="dxa"/>
          </w:tblCellMar>
        </w:tblPrEx>
        <w:trPr>
          <w:trHeight w:val="439" w:hRule="atLeast"/>
        </w:trPr>
        <w:tc>
          <w:tcPr>
            <w:tcW w:w="38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03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416"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134"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29"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0" w:type="auto"/>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r>
      <w:tr>
        <w:tblPrEx>
          <w:tblCellMar>
            <w:top w:w="0" w:type="dxa"/>
            <w:left w:w="108" w:type="dxa"/>
            <w:bottom w:w="0" w:type="dxa"/>
            <w:right w:w="108" w:type="dxa"/>
          </w:tblCellMar>
        </w:tblPrEx>
        <w:trPr>
          <w:trHeight w:val="264" w:hRule="atLeast"/>
        </w:trPr>
        <w:tc>
          <w:tcPr>
            <w:tcW w:w="38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031"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416"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568"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1134"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93"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929" w:type="dxa"/>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c>
          <w:tcPr>
            <w:tcW w:w="0" w:type="auto"/>
            <w:vMerge w:val="continue"/>
            <w:tcBorders>
              <w:top w:val="single" w:color="808080" w:sz="4" w:space="0"/>
              <w:left w:val="single" w:color="808080" w:sz="4" w:space="0"/>
              <w:bottom w:val="single" w:color="808080" w:sz="4" w:space="0"/>
              <w:right w:val="single" w:color="808080" w:sz="4" w:space="0"/>
            </w:tcBorders>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C6713316</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947.40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2,552.68</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4,939</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12,610,000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C6713317</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6层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520.00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1,638.36</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5,339</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8,750,000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3</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粤房地字证第0111001033号</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567.00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2,183.71</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4,933</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10,770,000</w:t>
            </w:r>
          </w:p>
        </w:tc>
      </w:tr>
      <w:tr>
        <w:tblPrEx>
          <w:tblCellMar>
            <w:top w:w="0" w:type="dxa"/>
            <w:left w:w="108" w:type="dxa"/>
            <w:bottom w:w="0" w:type="dxa"/>
            <w:right w:w="108" w:type="dxa"/>
          </w:tblCellMar>
        </w:tblPrEx>
        <w:trPr>
          <w:trHeight w:val="600" w:hRule="atLeast"/>
        </w:trPr>
        <w:tc>
          <w:tcPr>
            <w:tcW w:w="381" w:type="dxa"/>
            <w:tcBorders>
              <w:top w:val="nil"/>
              <w:left w:val="single" w:color="808080" w:sz="4" w:space="0"/>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w:t>
            </w:r>
          </w:p>
        </w:tc>
        <w:tc>
          <w:tcPr>
            <w:tcW w:w="1031"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中山市东凤镇南安路</w:t>
            </w:r>
          </w:p>
        </w:tc>
        <w:tc>
          <w:tcPr>
            <w:tcW w:w="1416"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粤房地字证第0111001045号</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黎凌</w:t>
            </w:r>
          </w:p>
        </w:tc>
        <w:tc>
          <w:tcPr>
            <w:tcW w:w="568"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住宅</w:t>
            </w:r>
          </w:p>
        </w:tc>
        <w:tc>
          <w:tcPr>
            <w:tcW w:w="993" w:type="dxa"/>
            <w:tcBorders>
              <w:top w:val="nil"/>
              <w:left w:val="nil"/>
              <w:bottom w:val="single" w:color="808080" w:sz="4" w:space="0"/>
              <w:right w:val="single" w:color="808080" w:sz="4" w:space="0"/>
            </w:tcBorders>
            <w:shd w:val="clear" w:color="auto" w:fill="auto"/>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钢混结构</w:t>
            </w:r>
            <w:r>
              <w:rPr>
                <w:rFonts w:hint="eastAsia" w:ascii="Noto Sans S Chinese Regular" w:hAnsi="Noto Sans S Chinese Regular" w:eastAsia="Noto Sans S Chinese Regular" w:cs="Calibri"/>
                <w:sz w:val="16"/>
                <w:szCs w:val="16"/>
                <w:lang w:eastAsia="zh-CN"/>
              </w:rPr>
              <w:br w:type="textWrapping"/>
            </w:r>
            <w:r>
              <w:rPr>
                <w:rFonts w:hint="eastAsia" w:ascii="Noto Sans S Chinese Regular" w:hAnsi="Noto Sans S Chinese Regular" w:eastAsia="Noto Sans S Chinese Regular" w:cs="Calibri"/>
                <w:sz w:val="16"/>
                <w:szCs w:val="16"/>
                <w:lang w:eastAsia="zh-CN"/>
              </w:rPr>
              <w:t>5层</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1,251.80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3,246.45</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4,737</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outlineLvl w:val="0"/>
              <w:rPr>
                <w:rFonts w:ascii="Noto Sans S Chinese Regular" w:hAnsi="Noto Sans S Chinese Regular" w:eastAsia="Noto Sans S Chinese Regular" w:cs="Calibri"/>
                <w:sz w:val="16"/>
                <w:szCs w:val="16"/>
                <w:lang w:eastAsia="zh-CN"/>
              </w:rPr>
            </w:pPr>
            <w:r>
              <w:rPr>
                <w:rFonts w:hint="eastAsia" w:ascii="Noto Sans S Chinese Regular" w:hAnsi="Noto Sans S Chinese Regular" w:eastAsia="Noto Sans S Chinese Regular" w:cs="Calibri"/>
                <w:sz w:val="16"/>
                <w:szCs w:val="16"/>
                <w:lang w:eastAsia="zh-CN"/>
              </w:rPr>
              <w:t>15,380,000</w:t>
            </w:r>
          </w:p>
        </w:tc>
      </w:tr>
      <w:tr>
        <w:tblPrEx>
          <w:tblCellMar>
            <w:top w:w="0" w:type="dxa"/>
            <w:left w:w="108" w:type="dxa"/>
            <w:bottom w:w="0" w:type="dxa"/>
            <w:right w:w="108" w:type="dxa"/>
          </w:tblCellMar>
        </w:tblPrEx>
        <w:trPr>
          <w:trHeight w:val="615" w:hRule="atLeast"/>
        </w:trPr>
        <w:tc>
          <w:tcPr>
            <w:tcW w:w="4957" w:type="dxa"/>
            <w:gridSpan w:val="6"/>
            <w:tcBorders>
              <w:top w:val="nil"/>
              <w:left w:val="single" w:color="808080" w:sz="4" w:space="0"/>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合  计</w:t>
            </w:r>
          </w:p>
        </w:tc>
        <w:tc>
          <w:tcPr>
            <w:tcW w:w="1134"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3,286.20</w:t>
            </w:r>
          </w:p>
        </w:tc>
        <w:tc>
          <w:tcPr>
            <w:tcW w:w="993"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9,621.20</w:t>
            </w:r>
          </w:p>
        </w:tc>
        <w:tc>
          <w:tcPr>
            <w:tcW w:w="929" w:type="dxa"/>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4,938</w:t>
            </w:r>
          </w:p>
        </w:tc>
        <w:tc>
          <w:tcPr>
            <w:tcW w:w="0" w:type="auto"/>
            <w:tcBorders>
              <w:top w:val="nil"/>
              <w:left w:val="nil"/>
              <w:bottom w:val="single" w:color="808080" w:sz="4" w:space="0"/>
              <w:right w:val="single" w:color="808080" w:sz="4" w:space="0"/>
            </w:tcBorders>
            <w:shd w:val="clear" w:color="auto" w:fill="auto"/>
            <w:noWrap/>
            <w:vAlign w:val="center"/>
          </w:tcPr>
          <w:p>
            <w:pPr>
              <w:widowControl/>
              <w:autoSpaceDE/>
              <w:autoSpaceDN/>
              <w:adjustRightInd/>
              <w:spacing w:line="240" w:lineRule="auto"/>
              <w:jc w:val="center"/>
              <w:rPr>
                <w:rFonts w:ascii="Noto Sans S Chinese Regular" w:hAnsi="Noto Sans S Chinese Regular" w:eastAsia="Noto Sans S Chinese Regular" w:cs="Calibri"/>
                <w:b/>
                <w:bCs/>
                <w:sz w:val="16"/>
                <w:szCs w:val="16"/>
                <w:lang w:eastAsia="zh-CN"/>
              </w:rPr>
            </w:pPr>
            <w:r>
              <w:rPr>
                <w:rFonts w:hint="eastAsia" w:ascii="Noto Sans S Chinese Regular" w:hAnsi="Noto Sans S Chinese Regular" w:eastAsia="Noto Sans S Chinese Regular" w:cs="Calibri"/>
                <w:b/>
                <w:bCs/>
                <w:sz w:val="16"/>
                <w:szCs w:val="16"/>
                <w:lang w:eastAsia="zh-CN"/>
              </w:rPr>
              <w:t>47,510,000</w:t>
            </w:r>
          </w:p>
        </w:tc>
      </w:tr>
    </w:tbl>
    <w:p>
      <w:pPr>
        <w:pStyle w:val="39"/>
        <w:spacing w:line="300" w:lineRule="exact"/>
        <w:jc w:val="both"/>
        <w:rPr>
          <w:rFonts w:ascii="黑体" w:hAnsi="黑体" w:eastAsia="黑体" w:cs="Arial"/>
          <w:b w:val="0"/>
          <w:bCs/>
          <w:kern w:val="2"/>
          <w:sz w:val="18"/>
          <w:szCs w:val="18"/>
          <w:lang w:val="en-US" w:eastAsia="zh-CN"/>
        </w:rPr>
      </w:pPr>
      <w:r>
        <w:rPr>
          <w:rFonts w:hint="eastAsia" w:ascii="黑体" w:hAnsi="黑体" w:eastAsia="黑体" w:cs="Arial"/>
          <w:b w:val="0"/>
          <w:bCs/>
          <w:kern w:val="2"/>
          <w:sz w:val="18"/>
          <w:szCs w:val="18"/>
          <w:lang w:val="en-US" w:eastAsia="zh-CN"/>
        </w:rPr>
        <w:t>备注： 市场价值已取整至万位。</w:t>
      </w: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r>
        <w:rPr>
          <w:rFonts w:ascii="黑体" w:hAnsi="黑体" w:eastAsia="黑体" w:cs="Arial"/>
          <w:b w:val="0"/>
          <w:bCs/>
          <w:kern w:val="2"/>
          <w:sz w:val="18"/>
          <w:szCs w:val="18"/>
          <w:lang w:val="en-US" w:eastAsia="zh-CN"/>
        </w:rPr>
        <w:t xml:space="preserve">                 </w:t>
      </w: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spacing w:line="300" w:lineRule="exact"/>
        <w:ind w:left="550" w:leftChars="-387" w:hanging="1440" w:hangingChars="800"/>
        <w:jc w:val="both"/>
        <w:rPr>
          <w:rFonts w:ascii="黑体" w:hAnsi="黑体" w:eastAsia="黑体" w:cs="Arial"/>
          <w:b w:val="0"/>
          <w:bCs/>
          <w:kern w:val="2"/>
          <w:sz w:val="18"/>
          <w:szCs w:val="18"/>
          <w:lang w:val="en-US"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6" w:name="_Toc30084715"/>
      <w:r>
        <w:rPr>
          <w:rFonts w:hint="eastAsia" w:ascii="Arial" w:hAnsi="Arial" w:eastAsia="黑体" w:cs="Arial"/>
          <w:bCs/>
          <w:kern w:val="2"/>
          <w:sz w:val="22"/>
          <w:lang w:val="en-US" w:eastAsia="zh-CN"/>
        </w:rPr>
        <w:t>注册房地产估价师</w:t>
      </w:r>
      <w:bookmarkEnd w:id="36"/>
    </w:p>
    <w:p>
      <w:pPr>
        <w:spacing w:line="240" w:lineRule="auto"/>
        <w:ind w:left="566" w:leftChars="246"/>
        <w:rPr>
          <w:rFonts w:ascii="Arial" w:hAnsi="Arial" w:eastAsia="黑体"/>
          <w:lang w:eastAsia="zh-CN"/>
        </w:rPr>
      </w:pPr>
    </w:p>
    <w:tbl>
      <w:tblPr>
        <w:tblStyle w:val="42"/>
        <w:tblW w:w="8505" w:type="dxa"/>
        <w:tblInd w:w="567" w:type="dxa"/>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108" w:type="dxa"/>
          <w:bottom w:w="0" w:type="dxa"/>
          <w:right w:w="108" w:type="dxa"/>
        </w:tblCellMar>
      </w:tblPr>
      <w:tblGrid>
        <w:gridCol w:w="2126"/>
        <w:gridCol w:w="1981"/>
        <w:gridCol w:w="2126"/>
        <w:gridCol w:w="2272"/>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340" w:hRule="atLeast"/>
        </w:trPr>
        <w:tc>
          <w:tcPr>
            <w:tcW w:w="2125" w:type="dxa"/>
            <w:shd w:val="clear" w:color="auto" w:fill="auto"/>
            <w:vAlign w:val="center"/>
          </w:tcPr>
          <w:p>
            <w:pPr>
              <w:pStyle w:val="39"/>
              <w:spacing w:before="78" w:beforeLines="25" w:after="78" w:afterLines="25"/>
              <w:rPr>
                <w:rFonts w:ascii="Arial" w:hAnsi="Arial" w:eastAsia="黑体" w:cs="Arial"/>
                <w:bCs/>
                <w:color w:val="000000" w:themeColor="text1"/>
                <w:kern w:val="2"/>
                <w:sz w:val="22"/>
                <w:lang w:val="en-US" w:eastAsia="zh-CN"/>
                <w14:textFill>
                  <w14:solidFill>
                    <w14:schemeClr w14:val="tx1"/>
                  </w14:solidFill>
                </w14:textFill>
              </w:rPr>
            </w:pPr>
            <w:r>
              <w:rPr>
                <w:rFonts w:hint="eastAsia" w:ascii="Arial" w:hAnsi="Arial" w:eastAsia="黑体" w:cs="Arial"/>
                <w:bCs/>
                <w:color w:val="000000" w:themeColor="text1"/>
                <w:kern w:val="2"/>
                <w:sz w:val="22"/>
                <w:lang w:val="en-US" w:eastAsia="zh-CN"/>
                <w14:textFill>
                  <w14:solidFill>
                    <w14:schemeClr w14:val="tx1"/>
                  </w14:solidFill>
                </w14:textFill>
              </w:rPr>
              <w:t>姓  名</w:t>
            </w:r>
          </w:p>
        </w:tc>
        <w:tc>
          <w:tcPr>
            <w:tcW w:w="1981" w:type="dxa"/>
            <w:shd w:val="clear" w:color="auto" w:fill="auto"/>
            <w:vAlign w:val="center"/>
          </w:tcPr>
          <w:p>
            <w:pPr>
              <w:pStyle w:val="39"/>
              <w:spacing w:before="78" w:beforeLines="25" w:after="78" w:afterLines="25"/>
              <w:rPr>
                <w:rFonts w:ascii="Arial" w:hAnsi="Arial" w:eastAsia="黑体" w:cs="Arial"/>
                <w:bCs/>
                <w:color w:val="000000" w:themeColor="text1"/>
                <w:kern w:val="2"/>
                <w:sz w:val="22"/>
                <w:lang w:val="en-US" w:eastAsia="zh-CN"/>
                <w14:textFill>
                  <w14:solidFill>
                    <w14:schemeClr w14:val="tx1"/>
                  </w14:solidFill>
                </w14:textFill>
              </w:rPr>
            </w:pPr>
            <w:r>
              <w:rPr>
                <w:rFonts w:hint="eastAsia" w:ascii="Arial" w:hAnsi="Arial" w:eastAsia="黑体" w:cs="Arial"/>
                <w:bCs/>
                <w:color w:val="000000" w:themeColor="text1"/>
                <w:kern w:val="2"/>
                <w:sz w:val="22"/>
                <w:lang w:val="en-US" w:eastAsia="zh-CN"/>
                <w14:textFill>
                  <w14:solidFill>
                    <w14:schemeClr w14:val="tx1"/>
                  </w14:solidFill>
                </w14:textFill>
              </w:rPr>
              <w:t>注册号</w:t>
            </w:r>
          </w:p>
        </w:tc>
        <w:tc>
          <w:tcPr>
            <w:tcW w:w="2126" w:type="dxa"/>
            <w:shd w:val="clear" w:color="auto" w:fill="auto"/>
            <w:vAlign w:val="center"/>
          </w:tcPr>
          <w:p>
            <w:pPr>
              <w:pStyle w:val="39"/>
              <w:spacing w:before="78" w:beforeLines="25" w:after="78" w:afterLines="25"/>
              <w:rPr>
                <w:rFonts w:ascii="Arial" w:hAnsi="Arial" w:eastAsia="黑体" w:cs="Arial"/>
                <w:bCs/>
                <w:color w:val="000000" w:themeColor="text1"/>
                <w:kern w:val="2"/>
                <w:sz w:val="22"/>
                <w:lang w:val="en-US" w:eastAsia="zh-CN"/>
                <w14:textFill>
                  <w14:solidFill>
                    <w14:schemeClr w14:val="tx1"/>
                  </w14:solidFill>
                </w14:textFill>
              </w:rPr>
            </w:pPr>
            <w:r>
              <w:rPr>
                <w:rFonts w:hint="eastAsia" w:ascii="Arial" w:hAnsi="Arial" w:eastAsia="黑体" w:cs="Arial"/>
                <w:bCs/>
                <w:color w:val="000000" w:themeColor="text1"/>
                <w:kern w:val="2"/>
                <w:sz w:val="22"/>
                <w:lang w:val="en-US" w:eastAsia="zh-CN"/>
                <w14:textFill>
                  <w14:solidFill>
                    <w14:schemeClr w14:val="tx1"/>
                  </w14:solidFill>
                </w14:textFill>
              </w:rPr>
              <w:t>签名（</w:t>
            </w:r>
            <w:r>
              <w:rPr>
                <w:rFonts w:ascii="Arial" w:hAnsi="Arial" w:eastAsia="黑体" w:cs="Arial"/>
                <w:bCs/>
                <w:color w:val="000000" w:themeColor="text1"/>
                <w:kern w:val="2"/>
                <w:sz w:val="22"/>
                <w:lang w:val="en-US" w:eastAsia="zh-CN"/>
                <w14:textFill>
                  <w14:solidFill>
                    <w14:schemeClr w14:val="tx1"/>
                  </w14:solidFill>
                </w14:textFill>
              </w:rPr>
              <w:t>盖章）</w:t>
            </w:r>
          </w:p>
        </w:tc>
        <w:tc>
          <w:tcPr>
            <w:tcW w:w="2272" w:type="dxa"/>
            <w:shd w:val="clear" w:color="auto" w:fill="auto"/>
            <w:vAlign w:val="center"/>
          </w:tcPr>
          <w:p>
            <w:pPr>
              <w:pStyle w:val="39"/>
              <w:spacing w:before="78" w:beforeLines="25" w:after="78" w:afterLines="25"/>
              <w:rPr>
                <w:rFonts w:ascii="Arial" w:hAnsi="Arial" w:eastAsia="黑体" w:cs="Arial"/>
                <w:bCs/>
                <w:color w:val="000000" w:themeColor="text1"/>
                <w:kern w:val="2"/>
                <w:sz w:val="22"/>
                <w:lang w:val="en-US" w:eastAsia="zh-CN"/>
                <w14:textFill>
                  <w14:solidFill>
                    <w14:schemeClr w14:val="tx1"/>
                  </w14:solidFill>
                </w14:textFill>
              </w:rPr>
            </w:pPr>
            <w:r>
              <w:rPr>
                <w:rFonts w:hint="eastAsia" w:ascii="Arial" w:hAnsi="Arial" w:eastAsia="黑体" w:cs="Arial"/>
                <w:bCs/>
                <w:color w:val="000000" w:themeColor="text1"/>
                <w:kern w:val="2"/>
                <w:sz w:val="22"/>
                <w:lang w:val="en-US" w:eastAsia="zh-CN"/>
                <w14:textFill>
                  <w14:solidFill>
                    <w14:schemeClr w14:val="tx1"/>
                  </w14:solidFill>
                </w14:textFill>
              </w:rPr>
              <w:t>签名</w:t>
            </w:r>
            <w:r>
              <w:rPr>
                <w:rFonts w:ascii="Arial" w:hAnsi="Arial" w:eastAsia="黑体" w:cs="Arial"/>
                <w:bCs/>
                <w:color w:val="000000" w:themeColor="text1"/>
                <w:kern w:val="2"/>
                <w:sz w:val="22"/>
                <w:lang w:val="en-US" w:eastAsia="zh-CN"/>
                <w14:textFill>
                  <w14:solidFill>
                    <w14:schemeClr w14:val="tx1"/>
                  </w14:solidFill>
                </w14:textFill>
              </w:rPr>
              <w:t>日期</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1361" w:hRule="atLeast"/>
        </w:trPr>
        <w:tc>
          <w:tcPr>
            <w:tcW w:w="2125"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r>
              <w:rPr>
                <w:rFonts w:ascii="Arial" w:hAnsi="Arial" w:eastAsia="黑体" w:cs="Arial"/>
                <w:b w:val="0"/>
                <w:bCs/>
                <w:color w:val="000000" w:themeColor="text1"/>
                <w:kern w:val="2"/>
                <w:sz w:val="22"/>
                <w:lang w:val="en-US" w:eastAsia="zh-CN"/>
                <w14:textFill>
                  <w14:solidFill>
                    <w14:schemeClr w14:val="tx1"/>
                  </w14:solidFill>
                </w14:textFill>
              </w:rPr>
              <w:t>李海兴</w:t>
            </w:r>
          </w:p>
        </w:tc>
        <w:tc>
          <w:tcPr>
            <w:tcW w:w="1981"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r>
              <w:rPr>
                <w:rFonts w:hint="eastAsia" w:ascii="Arial" w:hAnsi="Arial" w:eastAsia="黑体" w:cs="Arial"/>
                <w:b w:val="0"/>
                <w:bCs/>
                <w:color w:val="000000" w:themeColor="text1"/>
                <w:kern w:val="2"/>
                <w:sz w:val="22"/>
                <w:lang w:val="en-US" w:eastAsia="zh-CN"/>
                <w14:textFill>
                  <w14:solidFill>
                    <w14:schemeClr w14:val="tx1"/>
                  </w14:solidFill>
                </w14:textFill>
              </w:rPr>
              <w:t>4420190307</w:t>
            </w:r>
          </w:p>
        </w:tc>
        <w:tc>
          <w:tcPr>
            <w:tcW w:w="2126"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p>
        </w:tc>
        <w:tc>
          <w:tcPr>
            <w:tcW w:w="2272" w:type="dxa"/>
            <w:shd w:val="clear" w:color="auto" w:fill="auto"/>
            <w:vAlign w:val="center"/>
          </w:tcPr>
          <w:p>
            <w:pPr>
              <w:pStyle w:val="39"/>
              <w:spacing w:before="78" w:beforeLines="25" w:after="78" w:afterLines="25"/>
              <w:jc w:val="right"/>
              <w:rPr>
                <w:rFonts w:ascii="Arial" w:hAnsi="Arial" w:eastAsia="黑体" w:cs="Arial"/>
                <w:b w:val="0"/>
                <w:bCs/>
                <w:color w:val="000000" w:themeColor="text1"/>
                <w:kern w:val="2"/>
                <w:sz w:val="22"/>
                <w:lang w:val="en-US" w:eastAsia="zh-CN"/>
                <w14:textFill>
                  <w14:solidFill>
                    <w14:schemeClr w14:val="tx1"/>
                  </w14:solidFill>
                </w14:textFill>
              </w:rPr>
            </w:pPr>
            <w:r>
              <w:rPr>
                <w:rFonts w:hint="eastAsia" w:ascii="Arial" w:hAnsi="Arial" w:eastAsia="黑体" w:cs="Arial"/>
                <w:b w:val="0"/>
                <w:bCs/>
                <w:color w:val="000000" w:themeColor="text1"/>
                <w:kern w:val="2"/>
                <w:sz w:val="22"/>
                <w:lang w:val="en-US" w:eastAsia="zh-CN"/>
                <w14:textFill>
                  <w14:solidFill>
                    <w14:schemeClr w14:val="tx1"/>
                  </w14:solidFill>
                </w14:textFill>
              </w:rPr>
              <w:t>202</w:t>
            </w:r>
            <w:r>
              <w:rPr>
                <w:rFonts w:ascii="Arial" w:hAnsi="Arial" w:eastAsia="黑体" w:cs="Arial"/>
                <w:b w:val="0"/>
                <w:bCs/>
                <w:color w:val="000000" w:themeColor="text1"/>
                <w:kern w:val="2"/>
                <w:sz w:val="22"/>
                <w:lang w:val="en-US" w:eastAsia="zh-CN"/>
                <w14:textFill>
                  <w14:solidFill>
                    <w14:schemeClr w14:val="tx1"/>
                  </w14:solidFill>
                </w14:textFill>
              </w:rPr>
              <w:t>1</w:t>
            </w:r>
            <w:r>
              <w:rPr>
                <w:rFonts w:hint="eastAsia" w:ascii="Arial" w:hAnsi="Arial" w:eastAsia="黑体" w:cs="Arial"/>
                <w:b w:val="0"/>
                <w:bCs/>
                <w:color w:val="000000" w:themeColor="text1"/>
                <w:kern w:val="2"/>
                <w:sz w:val="22"/>
                <w:lang w:val="en-US" w:eastAsia="zh-CN"/>
                <w14:textFill>
                  <w14:solidFill>
                    <w14:schemeClr w14:val="tx1"/>
                  </w14:solidFill>
                </w14:textFill>
              </w:rPr>
              <w:t xml:space="preserve">年 </w:t>
            </w:r>
            <w:r>
              <w:rPr>
                <w:rFonts w:ascii="Arial" w:hAnsi="Arial" w:eastAsia="黑体" w:cs="Arial"/>
                <w:b w:val="0"/>
                <w:bCs/>
                <w:color w:val="000000" w:themeColor="text1"/>
                <w:kern w:val="2"/>
                <w:sz w:val="22"/>
                <w:lang w:val="en-US" w:eastAsia="zh-CN"/>
                <w14:textFill>
                  <w14:solidFill>
                    <w14:schemeClr w14:val="tx1"/>
                  </w14:solidFill>
                </w14:textFill>
              </w:rPr>
              <w:t>2</w:t>
            </w:r>
            <w:r>
              <w:rPr>
                <w:rFonts w:hint="eastAsia" w:ascii="Arial" w:hAnsi="Arial" w:eastAsia="黑体" w:cs="Arial"/>
                <w:b w:val="0"/>
                <w:bCs/>
                <w:color w:val="000000" w:themeColor="text1"/>
                <w:kern w:val="2"/>
                <w:sz w:val="22"/>
                <w:lang w:val="en-US" w:eastAsia="zh-CN"/>
                <w14:textFill>
                  <w14:solidFill>
                    <w14:schemeClr w14:val="tx1"/>
                  </w14:solidFill>
                </w14:textFill>
              </w:rPr>
              <w:t>月</w:t>
            </w:r>
            <w:r>
              <w:rPr>
                <w:rFonts w:ascii="Arial" w:hAnsi="Arial" w:eastAsia="黑体" w:cs="Arial"/>
                <w:b w:val="0"/>
                <w:bCs/>
                <w:color w:val="000000" w:themeColor="text1"/>
                <w:kern w:val="2"/>
                <w:sz w:val="22"/>
                <w:lang w:val="en-US" w:eastAsia="zh-CN"/>
                <w14:textFill>
                  <w14:solidFill>
                    <w14:schemeClr w14:val="tx1"/>
                  </w14:solidFill>
                </w14:textFill>
              </w:rPr>
              <w:t>3</w:t>
            </w:r>
            <w:r>
              <w:rPr>
                <w:rFonts w:hint="eastAsia" w:ascii="Arial" w:hAnsi="Arial" w:eastAsia="黑体" w:cs="Arial"/>
                <w:b w:val="0"/>
                <w:bCs/>
                <w:color w:val="000000" w:themeColor="text1"/>
                <w:kern w:val="2"/>
                <w:sz w:val="22"/>
                <w:lang w:val="en-US" w:eastAsia="zh-CN"/>
                <w14:textFill>
                  <w14:solidFill>
                    <w14:schemeClr w14:val="tx1"/>
                  </w14:solidFill>
                </w14:textFill>
              </w:rPr>
              <w:t>日</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108" w:type="dxa"/>
            <w:bottom w:w="0" w:type="dxa"/>
            <w:right w:w="108" w:type="dxa"/>
          </w:tblCellMar>
        </w:tblPrEx>
        <w:trPr>
          <w:trHeight w:val="1361" w:hRule="atLeast"/>
        </w:trPr>
        <w:tc>
          <w:tcPr>
            <w:tcW w:w="2125"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r>
              <w:rPr>
                <w:rFonts w:hint="eastAsia" w:ascii="Arial" w:hAnsi="Arial" w:eastAsia="黑体" w:cs="Arial"/>
                <w:b w:val="0"/>
                <w:bCs/>
                <w:color w:val="000000" w:themeColor="text1"/>
                <w:kern w:val="2"/>
                <w:sz w:val="22"/>
                <w:lang w:val="en-US" w:eastAsia="zh-CN"/>
                <w14:textFill>
                  <w14:solidFill>
                    <w14:schemeClr w14:val="tx1"/>
                  </w14:solidFill>
                </w14:textFill>
              </w:rPr>
              <w:t>彭志强</w:t>
            </w:r>
          </w:p>
        </w:tc>
        <w:tc>
          <w:tcPr>
            <w:tcW w:w="1981"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r>
              <w:rPr>
                <w:rFonts w:ascii="Arial" w:hAnsi="Arial" w:eastAsia="黑体" w:cs="Arial"/>
                <w:b w:val="0"/>
                <w:bCs/>
                <w:color w:val="000000" w:themeColor="text1"/>
                <w:kern w:val="2"/>
                <w:sz w:val="22"/>
                <w:lang w:val="en-US" w:eastAsia="zh-CN"/>
                <w14:textFill>
                  <w14:solidFill>
                    <w14:schemeClr w14:val="tx1"/>
                  </w14:solidFill>
                </w14:textFill>
              </w:rPr>
              <w:t>4420160040</w:t>
            </w:r>
          </w:p>
        </w:tc>
        <w:tc>
          <w:tcPr>
            <w:tcW w:w="2126" w:type="dxa"/>
            <w:shd w:val="clear" w:color="auto" w:fill="auto"/>
            <w:vAlign w:val="center"/>
          </w:tcPr>
          <w:p>
            <w:pPr>
              <w:pStyle w:val="39"/>
              <w:spacing w:before="78" w:beforeLines="25" w:after="78" w:afterLines="25"/>
              <w:rPr>
                <w:rFonts w:ascii="Arial" w:hAnsi="Arial" w:eastAsia="黑体" w:cs="Arial"/>
                <w:b w:val="0"/>
                <w:bCs/>
                <w:color w:val="000000" w:themeColor="text1"/>
                <w:kern w:val="2"/>
                <w:sz w:val="22"/>
                <w:lang w:val="en-US" w:eastAsia="zh-CN"/>
                <w14:textFill>
                  <w14:solidFill>
                    <w14:schemeClr w14:val="tx1"/>
                  </w14:solidFill>
                </w14:textFill>
              </w:rPr>
            </w:pPr>
          </w:p>
        </w:tc>
        <w:tc>
          <w:tcPr>
            <w:tcW w:w="2272" w:type="dxa"/>
            <w:shd w:val="clear" w:color="auto" w:fill="auto"/>
            <w:vAlign w:val="center"/>
          </w:tcPr>
          <w:p>
            <w:pPr>
              <w:pStyle w:val="39"/>
              <w:spacing w:before="78" w:beforeLines="25" w:after="78" w:afterLines="25"/>
              <w:jc w:val="right"/>
              <w:rPr>
                <w:rFonts w:ascii="Arial" w:hAnsi="Arial" w:eastAsia="黑体" w:cs="Arial"/>
                <w:b w:val="0"/>
                <w:bCs/>
                <w:color w:val="000000" w:themeColor="text1"/>
                <w:kern w:val="2"/>
                <w:sz w:val="22"/>
                <w:lang w:val="en-US" w:eastAsia="zh-CN"/>
                <w14:textFill>
                  <w14:solidFill>
                    <w14:schemeClr w14:val="tx1"/>
                  </w14:solidFill>
                </w14:textFill>
              </w:rPr>
            </w:pPr>
            <w:r>
              <w:rPr>
                <w:rFonts w:hint="eastAsia" w:ascii="Arial" w:hAnsi="Arial" w:eastAsia="黑体" w:cs="Arial"/>
                <w:b w:val="0"/>
                <w:bCs/>
                <w:color w:val="000000" w:themeColor="text1"/>
                <w:kern w:val="2"/>
                <w:sz w:val="22"/>
                <w:lang w:val="en-US" w:eastAsia="zh-CN"/>
                <w14:textFill>
                  <w14:solidFill>
                    <w14:schemeClr w14:val="tx1"/>
                  </w14:solidFill>
                </w14:textFill>
              </w:rPr>
              <w:t>202</w:t>
            </w:r>
            <w:r>
              <w:rPr>
                <w:rFonts w:ascii="Arial" w:hAnsi="Arial" w:eastAsia="黑体" w:cs="Arial"/>
                <w:b w:val="0"/>
                <w:bCs/>
                <w:color w:val="000000" w:themeColor="text1"/>
                <w:kern w:val="2"/>
                <w:sz w:val="22"/>
                <w:lang w:val="en-US" w:eastAsia="zh-CN"/>
                <w14:textFill>
                  <w14:solidFill>
                    <w14:schemeClr w14:val="tx1"/>
                  </w14:solidFill>
                </w14:textFill>
              </w:rPr>
              <w:t>1</w:t>
            </w:r>
            <w:r>
              <w:rPr>
                <w:rFonts w:hint="eastAsia" w:ascii="Arial" w:hAnsi="Arial" w:eastAsia="黑体" w:cs="Arial"/>
                <w:b w:val="0"/>
                <w:bCs/>
                <w:color w:val="000000" w:themeColor="text1"/>
                <w:kern w:val="2"/>
                <w:sz w:val="22"/>
                <w:lang w:val="en-US" w:eastAsia="zh-CN"/>
                <w14:textFill>
                  <w14:solidFill>
                    <w14:schemeClr w14:val="tx1"/>
                  </w14:solidFill>
                </w14:textFill>
              </w:rPr>
              <w:t xml:space="preserve">年 </w:t>
            </w:r>
            <w:r>
              <w:rPr>
                <w:rFonts w:ascii="Arial" w:hAnsi="Arial" w:eastAsia="黑体" w:cs="Arial"/>
                <w:b w:val="0"/>
                <w:bCs/>
                <w:color w:val="000000" w:themeColor="text1"/>
                <w:kern w:val="2"/>
                <w:sz w:val="22"/>
                <w:lang w:val="en-US" w:eastAsia="zh-CN"/>
                <w14:textFill>
                  <w14:solidFill>
                    <w14:schemeClr w14:val="tx1"/>
                  </w14:solidFill>
                </w14:textFill>
              </w:rPr>
              <w:t>2</w:t>
            </w:r>
            <w:r>
              <w:rPr>
                <w:rFonts w:hint="eastAsia" w:ascii="Arial" w:hAnsi="Arial" w:eastAsia="黑体" w:cs="Arial"/>
                <w:b w:val="0"/>
                <w:bCs/>
                <w:color w:val="000000" w:themeColor="text1"/>
                <w:kern w:val="2"/>
                <w:sz w:val="22"/>
                <w:lang w:val="en-US" w:eastAsia="zh-CN"/>
                <w14:textFill>
                  <w14:solidFill>
                    <w14:schemeClr w14:val="tx1"/>
                  </w14:solidFill>
                </w14:textFill>
              </w:rPr>
              <w:t>月</w:t>
            </w:r>
            <w:r>
              <w:rPr>
                <w:rFonts w:ascii="Arial" w:hAnsi="Arial" w:eastAsia="黑体" w:cs="Arial"/>
                <w:b w:val="0"/>
                <w:bCs/>
                <w:color w:val="000000" w:themeColor="text1"/>
                <w:kern w:val="2"/>
                <w:sz w:val="22"/>
                <w:lang w:val="en-US" w:eastAsia="zh-CN"/>
                <w14:textFill>
                  <w14:solidFill>
                    <w14:schemeClr w14:val="tx1"/>
                  </w14:solidFill>
                </w14:textFill>
              </w:rPr>
              <w:t>3</w:t>
            </w:r>
            <w:r>
              <w:rPr>
                <w:rFonts w:hint="eastAsia" w:ascii="Arial" w:hAnsi="Arial" w:eastAsia="黑体" w:cs="Arial"/>
                <w:b w:val="0"/>
                <w:bCs/>
                <w:color w:val="000000" w:themeColor="text1"/>
                <w:kern w:val="2"/>
                <w:sz w:val="22"/>
                <w:lang w:val="en-US" w:eastAsia="zh-CN"/>
                <w14:textFill>
                  <w14:solidFill>
                    <w14:schemeClr w14:val="tx1"/>
                  </w14:solidFill>
                </w14:textFill>
              </w:rPr>
              <w:t>日</w:t>
            </w:r>
          </w:p>
        </w:tc>
      </w:tr>
    </w:tbl>
    <w:p>
      <w:pPr>
        <w:spacing w:line="240" w:lineRule="auto"/>
        <w:ind w:left="566" w:leftChars="246"/>
        <w:rPr>
          <w:rFonts w:ascii="Arial" w:hAnsi="Arial" w:eastAsia="黑体"/>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7" w:name="_Toc30084716"/>
      <w:r>
        <w:rPr>
          <w:rFonts w:hint="eastAsia" w:ascii="Arial" w:hAnsi="Arial" w:eastAsia="黑体" w:cs="Arial"/>
          <w:bCs/>
          <w:kern w:val="2"/>
          <w:sz w:val="22"/>
          <w:lang w:val="en-US" w:eastAsia="zh-CN"/>
        </w:rPr>
        <w:t>实地查勘期</w:t>
      </w:r>
      <w:bookmarkEnd w:id="37"/>
    </w:p>
    <w:p>
      <w:pPr>
        <w:spacing w:line="240" w:lineRule="auto"/>
        <w:ind w:left="566" w:leftChars="246"/>
        <w:rPr>
          <w:rFonts w:ascii="Arial" w:hAnsi="Arial" w:eastAsia="黑体"/>
          <w:lang w:eastAsia="zh-CN"/>
        </w:rPr>
      </w:pPr>
    </w:p>
    <w:p>
      <w:pPr>
        <w:spacing w:line="240" w:lineRule="auto"/>
        <w:ind w:left="566" w:leftChars="246"/>
        <w:rPr>
          <w:rFonts w:ascii="Arial" w:hAnsi="Arial" w:eastAsia="黑体"/>
          <w:lang w:eastAsia="zh-CN"/>
        </w:rPr>
      </w:pPr>
      <w:r>
        <w:rPr>
          <w:rFonts w:hint="eastAsia" w:ascii="Arial" w:hAnsi="Arial" w:eastAsia="黑体"/>
          <w:lang w:eastAsia="zh-CN"/>
        </w:rPr>
        <w:t>二〇二一年一月二十八日。</w:t>
      </w:r>
    </w:p>
    <w:p>
      <w:pPr>
        <w:spacing w:line="240" w:lineRule="auto"/>
        <w:ind w:left="566" w:leftChars="246"/>
        <w:rPr>
          <w:rFonts w:ascii="Arial" w:hAnsi="Arial" w:eastAsia="黑体"/>
          <w:lang w:eastAsia="zh-CN"/>
        </w:rPr>
      </w:pPr>
    </w:p>
    <w:p>
      <w:pPr>
        <w:pStyle w:val="39"/>
        <w:numPr>
          <w:ilvl w:val="1"/>
          <w:numId w:val="1"/>
        </w:numPr>
        <w:tabs>
          <w:tab w:val="left" w:pos="552"/>
        </w:tabs>
        <w:ind w:left="567"/>
        <w:jc w:val="both"/>
        <w:outlineLvl w:val="1"/>
        <w:rPr>
          <w:rFonts w:ascii="Arial" w:hAnsi="Arial" w:eastAsia="黑体" w:cs="Arial"/>
          <w:bCs/>
          <w:kern w:val="2"/>
          <w:sz w:val="22"/>
          <w:lang w:val="en-US" w:eastAsia="zh-CN"/>
        </w:rPr>
      </w:pPr>
      <w:bookmarkStart w:id="38" w:name="_Toc30084717"/>
      <w:r>
        <w:rPr>
          <w:rFonts w:hint="eastAsia" w:ascii="Arial" w:hAnsi="Arial" w:eastAsia="黑体" w:cs="Arial"/>
          <w:bCs/>
          <w:kern w:val="2"/>
          <w:sz w:val="22"/>
          <w:lang w:val="en-US" w:eastAsia="zh-CN"/>
        </w:rPr>
        <w:t>估价作业期</w:t>
      </w:r>
      <w:bookmarkEnd w:id="38"/>
    </w:p>
    <w:p>
      <w:pPr>
        <w:spacing w:line="240" w:lineRule="auto"/>
        <w:ind w:left="566" w:leftChars="246"/>
        <w:rPr>
          <w:rFonts w:ascii="Arial" w:hAnsi="Arial" w:eastAsia="黑体"/>
          <w:lang w:eastAsia="zh-CN"/>
        </w:rPr>
      </w:pPr>
    </w:p>
    <w:p>
      <w:pPr>
        <w:spacing w:line="240" w:lineRule="auto"/>
        <w:ind w:left="566" w:leftChars="246"/>
        <w:rPr>
          <w:rFonts w:ascii="Arial" w:hAnsi="Arial" w:eastAsia="黑体"/>
          <w:lang w:eastAsia="zh-CN"/>
        </w:rPr>
      </w:pPr>
      <w:r>
        <w:rPr>
          <w:rFonts w:hint="eastAsia" w:ascii="Arial" w:hAnsi="Arial" w:eastAsia="黑体"/>
          <w:lang w:eastAsia="zh-CN"/>
        </w:rPr>
        <w:t>二〇二一年一月二十八日至二〇二一年二月三日。</w:t>
      </w:r>
    </w:p>
    <w:p>
      <w:pPr>
        <w:spacing w:line="240" w:lineRule="auto"/>
        <w:ind w:left="566" w:leftChars="246"/>
        <w:rPr>
          <w:rFonts w:ascii="Arial" w:hAnsi="Arial" w:eastAsia="黑体"/>
          <w:lang w:eastAsia="zh-CN"/>
        </w:rPr>
      </w:pPr>
    </w:p>
    <w:p>
      <w:pPr>
        <w:pStyle w:val="39"/>
        <w:pageBreakBefore/>
        <w:numPr>
          <w:ilvl w:val="0"/>
          <w:numId w:val="1"/>
        </w:numPr>
        <w:tabs>
          <w:tab w:val="left" w:pos="552"/>
        </w:tabs>
        <w:ind w:left="-34" w:leftChars="-15" w:firstLine="0"/>
        <w:jc w:val="both"/>
        <w:outlineLvl w:val="0"/>
        <w:rPr>
          <w:rFonts w:ascii="Arial" w:hAnsi="Arial" w:eastAsia="黑体"/>
          <w:lang w:eastAsia="zh-CN"/>
        </w:rPr>
      </w:pPr>
      <w:bookmarkStart w:id="39" w:name="_Toc30084718"/>
      <w:r>
        <w:rPr>
          <w:rFonts w:hint="eastAsia" w:ascii="Arial" w:hAnsi="Arial" w:eastAsia="黑体"/>
          <w:sz w:val="22"/>
          <w:lang w:eastAsia="zh-CN"/>
        </w:rPr>
        <w:t>附件</w:t>
      </w:r>
      <w:bookmarkEnd w:id="39"/>
    </w:p>
    <w:p>
      <w:pPr>
        <w:pStyle w:val="39"/>
        <w:numPr>
          <w:ilvl w:val="1"/>
          <w:numId w:val="1"/>
        </w:numPr>
        <w:tabs>
          <w:tab w:val="left" w:pos="552"/>
        </w:tabs>
        <w:ind w:left="567"/>
        <w:jc w:val="both"/>
        <w:outlineLvl w:val="1"/>
        <w:rPr>
          <w:rFonts w:ascii="Arial" w:hAnsi="Arial" w:eastAsia="黑体"/>
          <w:bCs/>
          <w:sz w:val="22"/>
          <w:szCs w:val="22"/>
          <w:lang w:val="en-US" w:eastAsia="zh-CN"/>
        </w:rPr>
      </w:pPr>
      <w:bookmarkStart w:id="40" w:name="_Toc30084719"/>
      <w:r>
        <w:rPr>
          <w:rFonts w:hint="eastAsia" w:ascii="Arial" w:hAnsi="Arial" w:eastAsia="黑体"/>
          <w:bCs/>
          <w:sz w:val="22"/>
          <w:szCs w:val="22"/>
          <w:lang w:val="en-US" w:eastAsia="zh-CN"/>
        </w:rPr>
        <w:t>估价委托书、执行裁定书复印件</w:t>
      </w:r>
      <w:bookmarkEnd w:id="40"/>
      <w:bookmarkStart w:id="41" w:name="_Toc30084720"/>
    </w:p>
    <w:p>
      <w:pPr>
        <w:pStyle w:val="39"/>
        <w:numPr>
          <w:ilvl w:val="1"/>
          <w:numId w:val="1"/>
        </w:numPr>
        <w:tabs>
          <w:tab w:val="left" w:pos="552"/>
        </w:tabs>
        <w:ind w:left="567"/>
        <w:jc w:val="both"/>
        <w:outlineLvl w:val="1"/>
        <w:rPr>
          <w:rFonts w:ascii="Arial" w:hAnsi="Arial" w:eastAsia="黑体"/>
          <w:bCs/>
          <w:sz w:val="22"/>
          <w:szCs w:val="22"/>
          <w:lang w:val="en-US" w:eastAsia="zh-CN"/>
        </w:rPr>
      </w:pPr>
      <w:bookmarkStart w:id="47" w:name="_GoBack"/>
      <w:bookmarkEnd w:id="47"/>
      <w:r>
        <w:rPr>
          <w:rFonts w:hint="eastAsia" w:ascii="Arial" w:hAnsi="Arial" w:eastAsia="黑体"/>
          <w:bCs/>
          <w:sz w:val="22"/>
          <w:szCs w:val="22"/>
          <w:lang w:val="en-US" w:eastAsia="zh-CN"/>
        </w:rPr>
        <w:t>估价对象位置图</w:t>
      </w:r>
      <w:bookmarkEnd w:id="41"/>
    </w:p>
    <w:p>
      <w:pPr>
        <w:pStyle w:val="39"/>
        <w:tabs>
          <w:tab w:val="left" w:pos="552"/>
        </w:tabs>
      </w:pPr>
    </w:p>
    <w:p>
      <w:pPr>
        <w:pStyle w:val="39"/>
        <w:tabs>
          <w:tab w:val="left" w:pos="552"/>
        </w:tabs>
      </w:pPr>
    </w:p>
    <w:p>
      <w:pPr>
        <w:pStyle w:val="39"/>
        <w:tabs>
          <w:tab w:val="left" w:pos="552"/>
        </w:tabs>
        <w:rPr>
          <w:rFonts w:ascii="Arial" w:hAnsi="Arial" w:eastAsia="黑体"/>
          <w:sz w:val="22"/>
          <w:szCs w:val="22"/>
          <w:lang w:eastAsia="zh-CN"/>
        </w:rPr>
      </w:pPr>
      <w:r>
        <w:drawing>
          <wp:inline distT="0" distB="0" distL="0" distR="0">
            <wp:extent cx="5238750" cy="45434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38750" cy="4543425"/>
                    </a:xfrm>
                    <a:prstGeom prst="rect">
                      <a:avLst/>
                    </a:prstGeom>
                  </pic:spPr>
                </pic:pic>
              </a:graphicData>
            </a:graphic>
          </wp:inline>
        </w:drawing>
      </w:r>
    </w:p>
    <w:p>
      <w:pPr>
        <w:pStyle w:val="39"/>
        <w:pageBreakBefore/>
        <w:numPr>
          <w:ilvl w:val="1"/>
          <w:numId w:val="1"/>
        </w:numPr>
        <w:tabs>
          <w:tab w:val="left" w:pos="552"/>
        </w:tabs>
        <w:ind w:left="567"/>
        <w:jc w:val="both"/>
        <w:outlineLvl w:val="1"/>
        <w:rPr>
          <w:rFonts w:ascii="Arial" w:hAnsi="Arial" w:eastAsia="黑体"/>
          <w:bCs/>
          <w:sz w:val="22"/>
          <w:szCs w:val="22"/>
          <w:lang w:val="en-US" w:eastAsia="zh-CN"/>
        </w:rPr>
      </w:pPr>
      <w:bookmarkStart w:id="42" w:name="_Toc30084721"/>
      <w:r>
        <w:rPr>
          <w:rFonts w:hint="eastAsia" w:ascii="Arial" w:hAnsi="Arial" w:eastAsia="黑体"/>
          <w:bCs/>
          <w:sz w:val="22"/>
          <w:szCs w:val="22"/>
          <w:lang w:val="en-US" w:eastAsia="zh-CN"/>
        </w:rPr>
        <w:t>估价对象实地</w:t>
      </w:r>
      <w:r>
        <w:rPr>
          <w:rFonts w:ascii="Arial" w:hAnsi="Arial" w:eastAsia="黑体"/>
          <w:bCs/>
          <w:sz w:val="22"/>
          <w:szCs w:val="22"/>
          <w:lang w:val="en-US" w:eastAsia="zh-CN"/>
        </w:rPr>
        <w:t>查勘情况和相关</w:t>
      </w:r>
      <w:r>
        <w:rPr>
          <w:rFonts w:hint="eastAsia" w:ascii="Arial" w:hAnsi="Arial" w:eastAsia="黑体"/>
          <w:bCs/>
          <w:sz w:val="22"/>
          <w:szCs w:val="22"/>
          <w:lang w:val="en-US" w:eastAsia="zh-CN"/>
        </w:rPr>
        <w:t>照片</w:t>
      </w:r>
      <w:bookmarkEnd w:id="42"/>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rPr>
          <w:rFonts w:hint="eastAsia" w:ascii="Arial" w:hAnsi="Arial" w:eastAsia="黑体"/>
          <w:b w:val="0"/>
          <w:sz w:val="22"/>
          <w:szCs w:val="22"/>
          <w:lang w:eastAsia="zh-CN"/>
        </w:rPr>
        <w:t>我们对估价对象进行了实地查勘，查勘人员为注册房地产估价师李海兴，查勘日期为2021年1月28日。</w:t>
      </w:r>
    </w:p>
    <w:p>
      <w:pPr>
        <w:pStyle w:val="39"/>
        <w:tabs>
          <w:tab w:val="left" w:pos="552"/>
        </w:tabs>
        <w:ind w:left="567"/>
        <w:jc w:val="left"/>
        <w:rPr>
          <w:rFonts w:ascii="Arial" w:hAnsi="Arial" w:eastAsia="黑体"/>
          <w:b w:val="0"/>
          <w:sz w:val="22"/>
          <w:szCs w:val="22"/>
          <w:lang w:eastAsia="zh-CN"/>
        </w:rPr>
      </w:pPr>
      <w:r>
        <w:drawing>
          <wp:inline distT="0" distB="0" distL="0" distR="0">
            <wp:extent cx="5474970" cy="6953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stretch>
                      <a:fillRect/>
                    </a:stretch>
                  </pic:blipFill>
                  <pic:spPr>
                    <a:xfrm>
                      <a:off x="0" y="0"/>
                      <a:ext cx="5480835" cy="6960558"/>
                    </a:xfrm>
                    <a:prstGeom prst="rect">
                      <a:avLst/>
                    </a:prstGeom>
                  </pic:spPr>
                </pic:pic>
              </a:graphicData>
            </a:graphic>
          </wp:inline>
        </w:drawing>
      </w: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drawing>
          <wp:inline distT="0" distB="0" distL="0" distR="0">
            <wp:extent cx="5482590" cy="6981825"/>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491453" cy="6992810"/>
                    </a:xfrm>
                    <a:prstGeom prst="rect">
                      <a:avLst/>
                    </a:prstGeom>
                  </pic:spPr>
                </pic:pic>
              </a:graphicData>
            </a:graphic>
          </wp:inline>
        </w:drawing>
      </w: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drawing>
          <wp:inline distT="0" distB="0" distL="0" distR="0">
            <wp:extent cx="5398770" cy="68675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407243" cy="6878098"/>
                    </a:xfrm>
                    <a:prstGeom prst="rect">
                      <a:avLst/>
                    </a:prstGeom>
                  </pic:spPr>
                </pic:pic>
              </a:graphicData>
            </a:graphic>
          </wp:inline>
        </w:drawing>
      </w: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drawing>
          <wp:inline distT="0" distB="0" distL="0" distR="0">
            <wp:extent cx="5437505" cy="68961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457123" cy="6920188"/>
                    </a:xfrm>
                    <a:prstGeom prst="rect">
                      <a:avLst/>
                    </a:prstGeom>
                  </pic:spPr>
                </pic:pic>
              </a:graphicData>
            </a:graphic>
          </wp:inline>
        </w:drawing>
      </w:r>
    </w:p>
    <w:p>
      <w:pPr>
        <w:pStyle w:val="39"/>
        <w:pageBreakBefore/>
        <w:numPr>
          <w:ilvl w:val="1"/>
          <w:numId w:val="1"/>
        </w:numPr>
        <w:tabs>
          <w:tab w:val="left" w:pos="552"/>
        </w:tabs>
        <w:ind w:left="567"/>
        <w:jc w:val="both"/>
        <w:outlineLvl w:val="1"/>
        <w:rPr>
          <w:rFonts w:ascii="Arial" w:hAnsi="Arial" w:eastAsia="黑体"/>
          <w:bCs/>
          <w:sz w:val="22"/>
          <w:szCs w:val="22"/>
          <w:lang w:val="en-US" w:eastAsia="zh-CN"/>
        </w:rPr>
      </w:pPr>
      <w:bookmarkStart w:id="43" w:name="_Toc30084722"/>
      <w:r>
        <w:rPr>
          <w:rFonts w:hint="eastAsia" w:ascii="Arial" w:hAnsi="Arial" w:eastAsia="黑体"/>
          <w:bCs/>
          <w:sz w:val="22"/>
          <w:szCs w:val="22"/>
          <w:lang w:val="en-US" w:eastAsia="zh-CN"/>
        </w:rPr>
        <w:t>估价对象权属证明复印件</w:t>
      </w:r>
      <w:bookmarkEnd w:id="43"/>
    </w:p>
    <w:p>
      <w:pPr>
        <w:pStyle w:val="39"/>
        <w:tabs>
          <w:tab w:val="left" w:pos="552"/>
        </w:tabs>
        <w:ind w:left="567"/>
        <w:jc w:val="left"/>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169535" cy="70916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a:stretch>
                      <a:fillRect/>
                    </a:stretch>
                  </pic:blipFill>
                  <pic:spPr>
                    <a:xfrm>
                      <a:off x="0" y="0"/>
                      <a:ext cx="5172028" cy="7095217"/>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124450" cy="71913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5124450" cy="719137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524500" cy="73818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tretch>
                      <a:fillRect/>
                    </a:stretch>
                  </pic:blipFill>
                  <pic:spPr>
                    <a:xfrm>
                      <a:off x="0" y="0"/>
                      <a:ext cx="5524500" cy="738187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562600" cy="74961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5"/>
                    <a:stretch>
                      <a:fillRect/>
                    </a:stretch>
                  </pic:blipFill>
                  <pic:spPr>
                    <a:xfrm>
                      <a:off x="0" y="0"/>
                      <a:ext cx="5562600" cy="749617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219700" cy="73342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5219700" cy="7334250"/>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553075" cy="76771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a:stretch>
                      <a:fillRect/>
                    </a:stretch>
                  </pic:blipFill>
                  <pic:spPr>
                    <a:xfrm>
                      <a:off x="0" y="0"/>
                      <a:ext cx="5553075" cy="7677150"/>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429250" cy="7791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5429250" cy="7791450"/>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438775" cy="7400925"/>
            <wp:effectExtent l="0" t="0" r="952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9"/>
                    <a:stretch>
                      <a:fillRect/>
                    </a:stretch>
                  </pic:blipFill>
                  <pic:spPr>
                    <a:xfrm>
                      <a:off x="0" y="0"/>
                      <a:ext cx="5438775" cy="740092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638800" cy="73437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0"/>
                    <a:stretch>
                      <a:fillRect/>
                    </a:stretch>
                  </pic:blipFill>
                  <pic:spPr>
                    <a:xfrm>
                      <a:off x="0" y="0"/>
                      <a:ext cx="5638800" cy="734377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495925" cy="7629525"/>
            <wp:effectExtent l="0" t="0" r="9525"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1"/>
                    <a:stretch>
                      <a:fillRect/>
                    </a:stretch>
                  </pic:blipFill>
                  <pic:spPr>
                    <a:xfrm>
                      <a:off x="0" y="0"/>
                      <a:ext cx="5495925" cy="762952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543550" cy="75152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2"/>
                    <a:stretch>
                      <a:fillRect/>
                    </a:stretch>
                  </pic:blipFill>
                  <pic:spPr>
                    <a:xfrm>
                      <a:off x="0" y="0"/>
                      <a:ext cx="5543550" cy="7515225"/>
                    </a:xfrm>
                    <a:prstGeom prst="rect">
                      <a:avLst/>
                    </a:prstGeom>
                  </pic:spPr>
                </pic:pic>
              </a:graphicData>
            </a:graphic>
          </wp:inline>
        </w:drawing>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534025" cy="72961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3"/>
                    <a:stretch>
                      <a:fillRect/>
                    </a:stretch>
                  </pic:blipFill>
                  <pic:spPr>
                    <a:xfrm>
                      <a:off x="0" y="0"/>
                      <a:ext cx="5534025" cy="7296150"/>
                    </a:xfrm>
                    <a:prstGeom prst="rect">
                      <a:avLst/>
                    </a:prstGeom>
                  </pic:spPr>
                </pic:pic>
              </a:graphicData>
            </a:graphic>
          </wp:inline>
        </w:drawing>
      </w:r>
    </w:p>
    <w:p>
      <w:pPr>
        <w:pStyle w:val="39"/>
        <w:pageBreakBefore/>
        <w:numPr>
          <w:ilvl w:val="1"/>
          <w:numId w:val="1"/>
        </w:numPr>
        <w:tabs>
          <w:tab w:val="left" w:pos="552"/>
        </w:tabs>
        <w:ind w:left="567"/>
        <w:jc w:val="both"/>
        <w:outlineLvl w:val="1"/>
        <w:rPr>
          <w:rFonts w:ascii="Arial" w:hAnsi="Arial" w:eastAsia="黑体"/>
          <w:bCs/>
          <w:sz w:val="22"/>
          <w:szCs w:val="22"/>
          <w:lang w:val="en-US" w:eastAsia="zh-CN"/>
        </w:rPr>
      </w:pPr>
      <w:bookmarkStart w:id="44" w:name="_Toc30084723"/>
      <w:r>
        <w:rPr>
          <w:rFonts w:hint="eastAsia" w:ascii="Arial" w:hAnsi="Arial" w:eastAsia="黑体"/>
          <w:bCs/>
          <w:sz w:val="22"/>
          <w:szCs w:val="22"/>
          <w:lang w:val="en-US" w:eastAsia="zh-CN"/>
        </w:rPr>
        <w:t>物业现场勘察表</w:t>
      </w:r>
      <w:bookmarkEnd w:id="44"/>
    </w:p>
    <w:p>
      <w:pPr>
        <w:pStyle w:val="39"/>
        <w:tabs>
          <w:tab w:val="left" w:pos="552"/>
        </w:tabs>
        <w:ind w:left="567"/>
        <w:jc w:val="left"/>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r>
        <w:drawing>
          <wp:inline distT="0" distB="0" distL="0" distR="0">
            <wp:extent cx="5238750" cy="751522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38750" cy="7515225"/>
                    </a:xfrm>
                    <a:prstGeom prst="rect">
                      <a:avLst/>
                    </a:prstGeom>
                  </pic:spPr>
                </pic:pic>
              </a:graphicData>
            </a:graphic>
          </wp:inline>
        </w:drawing>
      </w:r>
    </w:p>
    <w:p>
      <w:pPr>
        <w:pStyle w:val="39"/>
        <w:pageBreakBefore/>
        <w:numPr>
          <w:ilvl w:val="1"/>
          <w:numId w:val="1"/>
        </w:numPr>
        <w:tabs>
          <w:tab w:val="left" w:pos="552"/>
        </w:tabs>
        <w:ind w:left="567"/>
        <w:jc w:val="both"/>
        <w:outlineLvl w:val="1"/>
        <w:rPr>
          <w:rFonts w:ascii="Arial" w:hAnsi="Arial" w:eastAsia="黑体"/>
          <w:bCs/>
          <w:sz w:val="22"/>
          <w:szCs w:val="22"/>
          <w:lang w:val="en-US" w:eastAsia="zh-CN"/>
        </w:rPr>
      </w:pPr>
      <w:bookmarkStart w:id="45" w:name="_Toc30084724"/>
      <w:r>
        <w:rPr>
          <w:rFonts w:hint="eastAsia" w:ascii="Arial" w:hAnsi="Arial" w:eastAsia="黑体"/>
          <w:bCs/>
          <w:sz w:val="22"/>
          <w:szCs w:val="22"/>
          <w:lang w:val="en-US" w:eastAsia="zh-CN"/>
        </w:rPr>
        <w:t>专业帮助情况和相关专业意见</w:t>
      </w:r>
      <w:bookmarkEnd w:id="45"/>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rPr>
          <w:rFonts w:hint="eastAsia" w:ascii="Arial" w:hAnsi="Arial" w:eastAsia="黑体"/>
          <w:b w:val="0"/>
          <w:sz w:val="22"/>
          <w:szCs w:val="22"/>
          <w:lang w:eastAsia="zh-CN"/>
        </w:rPr>
        <w:t>没有人对本估价报告提供专业帮助。</w:t>
      </w:r>
    </w:p>
    <w:p>
      <w:pPr>
        <w:pStyle w:val="39"/>
        <w:tabs>
          <w:tab w:val="left" w:pos="552"/>
        </w:tabs>
        <w:ind w:left="567"/>
        <w:jc w:val="left"/>
        <w:rPr>
          <w:rFonts w:ascii="Arial" w:hAnsi="Arial" w:eastAsia="黑体"/>
          <w:b w:val="0"/>
          <w:sz w:val="22"/>
          <w:szCs w:val="22"/>
          <w:lang w:eastAsia="zh-CN"/>
        </w:rPr>
      </w:pPr>
    </w:p>
    <w:p>
      <w:pPr>
        <w:pStyle w:val="39"/>
        <w:tabs>
          <w:tab w:val="left" w:pos="552"/>
        </w:tabs>
        <w:ind w:left="567"/>
        <w:jc w:val="left"/>
        <w:rPr>
          <w:rFonts w:ascii="Arial" w:hAnsi="Arial" w:eastAsia="黑体"/>
          <w:b w:val="0"/>
          <w:sz w:val="22"/>
          <w:szCs w:val="22"/>
          <w:lang w:eastAsia="zh-CN"/>
        </w:rPr>
      </w:pPr>
      <w:r>
        <w:rPr>
          <w:rFonts w:ascii="Arial" w:hAnsi="Arial" w:eastAsia="黑体"/>
          <w:b w:val="0"/>
          <w:sz w:val="22"/>
          <w:szCs w:val="22"/>
          <w:lang w:eastAsia="zh-CN"/>
        </w:rPr>
        <w:br w:type="page"/>
      </w:r>
    </w:p>
    <w:p>
      <w:pPr>
        <w:pStyle w:val="39"/>
        <w:pageBreakBefore/>
        <w:numPr>
          <w:ilvl w:val="1"/>
          <w:numId w:val="1"/>
        </w:numPr>
        <w:tabs>
          <w:tab w:val="left" w:pos="552"/>
        </w:tabs>
        <w:ind w:left="567"/>
        <w:jc w:val="both"/>
        <w:outlineLvl w:val="1"/>
        <w:rPr>
          <w:rFonts w:ascii="Arial" w:hAnsi="Arial" w:eastAsia="黑体"/>
          <w:bCs/>
          <w:sz w:val="22"/>
          <w:szCs w:val="22"/>
          <w:lang w:val="en-US" w:eastAsia="zh-CN"/>
        </w:rPr>
      </w:pPr>
      <w:bookmarkStart w:id="46" w:name="_Toc30084725"/>
      <w:r>
        <w:rPr>
          <w:rFonts w:hint="eastAsia" w:ascii="Arial" w:hAnsi="Arial" w:eastAsia="黑体"/>
          <w:bCs/>
          <w:sz w:val="22"/>
          <w:szCs w:val="22"/>
          <w:lang w:val="en-US" w:eastAsia="zh-CN"/>
        </w:rPr>
        <w:t>估价所依据的其他文件资料</w:t>
      </w:r>
      <w:bookmarkEnd w:id="46"/>
    </w:p>
    <w:p>
      <w:pPr>
        <w:pStyle w:val="39"/>
        <w:tabs>
          <w:tab w:val="left" w:pos="552"/>
        </w:tabs>
        <w:ind w:left="567"/>
        <w:jc w:val="left"/>
        <w:rPr>
          <w:rFonts w:ascii="Arial" w:hAnsi="Arial" w:eastAsia="黑体"/>
          <w:b w:val="0"/>
          <w:sz w:val="22"/>
          <w:szCs w:val="22"/>
          <w:lang w:eastAsia="zh-CN"/>
        </w:rPr>
      </w:pPr>
      <w:r>
        <w:rPr>
          <w:rFonts w:ascii="黑体" w:hAnsi="黑体" w:eastAsia="黑体"/>
          <w:sz w:val="22"/>
        </w:rPr>
        <w:t xml:space="preserve">  </w:t>
      </w:r>
    </w:p>
    <w:p>
      <w:pPr>
        <w:pStyle w:val="39"/>
        <w:tabs>
          <w:tab w:val="left" w:pos="552"/>
        </w:tabs>
        <w:ind w:left="567"/>
        <w:jc w:val="left"/>
        <w:rPr>
          <w:rFonts w:ascii="Arial" w:hAnsi="Arial" w:eastAsia="黑体"/>
          <w:b w:val="0"/>
          <w:sz w:val="22"/>
          <w:szCs w:val="22"/>
          <w:lang w:eastAsia="zh-CN"/>
        </w:rPr>
      </w:pPr>
      <w:r>
        <w:rPr>
          <w:rFonts w:hint="eastAsia" w:ascii="Arial" w:hAnsi="Arial" w:eastAsia="黑体"/>
          <w:b w:val="0"/>
          <w:sz w:val="22"/>
          <w:szCs w:val="22"/>
          <w:lang w:eastAsia="zh-CN"/>
        </w:rPr>
        <w:t>无。</w:t>
      </w: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rPr>
          <w:rFonts w:ascii="Arial" w:hAnsi="Arial" w:eastAsia="黑体"/>
          <w:b w:val="0"/>
          <w:sz w:val="22"/>
          <w:szCs w:val="22"/>
          <w:lang w:eastAsia="zh-CN"/>
        </w:rPr>
      </w:pPr>
    </w:p>
    <w:p>
      <w:pPr>
        <w:pStyle w:val="39"/>
        <w:tabs>
          <w:tab w:val="left" w:pos="552"/>
        </w:tabs>
        <w:jc w:val="left"/>
        <w:rPr>
          <w:rFonts w:ascii="Arial" w:hAnsi="Arial" w:eastAsia="黑体"/>
          <w:b w:val="0"/>
          <w:sz w:val="22"/>
          <w:szCs w:val="22"/>
          <w:lang w:eastAsia="zh-CN"/>
        </w:rPr>
      </w:pPr>
    </w:p>
    <w:sectPr>
      <w:headerReference r:id="rId16" w:type="first"/>
      <w:footerReference r:id="rId17" w:type="default"/>
      <w:headerReference r:id="rId15" w:type="even"/>
      <w:pgSz w:w="11907" w:h="16840"/>
      <w:pgMar w:top="2608" w:right="1418" w:bottom="1134" w:left="1418" w:header="1871" w:footer="170" w:gutter="0"/>
      <w:pgNumType w:start="1"/>
      <w:cols w:space="1137"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CG Times (WN)">
    <w:altName w:val="Times New Roman"/>
    <w:panose1 w:val="00000000000000000000"/>
    <w:charset w:val="00"/>
    <w:family w:val="roman"/>
    <w:pitch w:val="default"/>
    <w:sig w:usb0="00000000" w:usb1="00000000" w:usb2="00000000" w:usb3="00000000" w:csb0="00000001" w:csb1="00000000"/>
  </w:font>
  <w:font w:name="MingLiU">
    <w:panose1 w:val="02020509000000000000"/>
    <w:charset w:val="88"/>
    <w:family w:val="modern"/>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roman"/>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ZapfHumnst BT">
    <w:altName w:val="Arial"/>
    <w:panose1 w:val="00000000000000000000"/>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DFKai-SB">
    <w:panose1 w:val="03000509000000000000"/>
    <w:charset w:val="88"/>
    <w:family w:val="script"/>
    <w:pitch w:val="default"/>
    <w:sig w:usb0="00000003" w:usb1="082E0000" w:usb2="00000016" w:usb3="00000000" w:csb0="00100001" w:csb1="00000000"/>
  </w:font>
  <w:font w:name="CF-A2¡Lq¡±oAe">
    <w:altName w:val="Arial"/>
    <w:panose1 w:val="00000000000000000000"/>
    <w:charset w:val="00"/>
    <w:family w:val="moder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Noto Sans S Chinese Regular">
    <w:altName w:val="宋体"/>
    <w:panose1 w:val="020B0500000000000000"/>
    <w:charset w:val="86"/>
    <w:family w:val="swiss"/>
    <w:pitch w:val="default"/>
    <w:sig w:usb0="00000000" w:usb1="00000000" w:usb2="00000016" w:usb3="00000000" w:csb0="00060107"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1"/>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97" w:type="dxa"/>
        <w:bottom w:w="0" w:type="dxa"/>
        <w:right w:w="397"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170" w:hRule="atLeast"/>
        <w:jc w:val="center"/>
      </w:trPr>
      <w:tc>
        <w:tcPr>
          <w:tcW w:w="9072" w:type="dxa"/>
          <w:tcBorders>
            <w:top w:val="nil"/>
            <w:left w:val="nil"/>
            <w:bottom w:val="nil"/>
            <w:right w:val="nil"/>
          </w:tcBorders>
        </w:tcPr>
        <w:p>
          <w:pPr>
            <w:pStyle w:val="120"/>
            <w:spacing w:line="160" w:lineRule="exact"/>
            <w:rPr>
              <w:rFonts w:ascii="Arial" w:hAnsi="Arial" w:eastAsia="黑体"/>
              <w:b w:val="0"/>
              <w:sz w:val="16"/>
              <w:szCs w:val="16"/>
              <w:lang w:eastAsia="zh-CN"/>
            </w:rPr>
          </w:pPr>
          <w:r>
            <w:rPr>
              <w:rFonts w:ascii="Arial" w:hAnsi="Arial" w:eastAsia="黑体"/>
              <w:b w:val="0"/>
              <w:color w:val="auto"/>
              <w:sz w:val="16"/>
              <w:szCs w:val="16"/>
              <w:lang w:eastAsia="zh-CN"/>
            </w:rPr>
            <w:t>www.cushmanwakefield.com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170" w:hRule="atLeast"/>
        <w:jc w:val="center"/>
      </w:trPr>
      <w:tc>
        <w:tcPr>
          <w:tcW w:w="9072" w:type="dxa"/>
          <w:tcBorders>
            <w:top w:val="nil"/>
            <w:left w:val="nil"/>
            <w:bottom w:val="single" w:color="auto" w:sz="4" w:space="0"/>
            <w:right w:val="nil"/>
          </w:tcBorders>
        </w:tcPr>
        <w:p>
          <w:pPr>
            <w:pStyle w:val="120"/>
            <w:spacing w:line="160" w:lineRule="exact"/>
            <w:rPr>
              <w:rFonts w:ascii="Arial" w:hAnsi="Arial" w:eastAsia="黑体"/>
              <w:b w:val="0"/>
              <w:sz w:val="16"/>
              <w:szCs w:val="16"/>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454" w:hRule="atLeast"/>
        <w:jc w:val="center"/>
      </w:trPr>
      <w:tc>
        <w:tcPr>
          <w:tcW w:w="9072" w:type="dxa"/>
          <w:tcBorders>
            <w:top w:val="single" w:color="auto" w:sz="4" w:space="0"/>
            <w:left w:val="nil"/>
            <w:bottom w:val="nil"/>
            <w:right w:val="nil"/>
          </w:tcBorders>
        </w:tcPr>
        <w:tbl>
          <w:tblPr>
            <w:tblStyle w:val="41"/>
            <w:tblW w:w="10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97" w:type="dxa"/>
              <w:bottom w:w="0" w:type="dxa"/>
              <w:right w:w="397" w:type="dxa"/>
            </w:tblCellMar>
          </w:tblPr>
          <w:tblGrid>
            <w:gridCol w:w="10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170" w:hRule="atLeast"/>
              <w:jc w:val="center"/>
            </w:trPr>
            <w:tc>
              <w:tcPr>
                <w:tcW w:w="10952" w:type="dxa"/>
                <w:tcBorders>
                  <w:top w:val="nil"/>
                  <w:left w:val="nil"/>
                  <w:bottom w:val="nil"/>
                  <w:right w:val="nil"/>
                </w:tcBorders>
              </w:tcPr>
              <w:p>
                <w:pPr>
                  <w:pStyle w:val="120"/>
                  <w:spacing w:line="160" w:lineRule="exact"/>
                  <w:rPr>
                    <w:rFonts w:ascii="Arial" w:hAnsi="Arial" w:eastAsia="黑体"/>
                    <w:b w:val="0"/>
                    <w:sz w:val="16"/>
                    <w:szCs w:val="16"/>
                    <w:lang w:eastAsia="zh-CN"/>
                  </w:rPr>
                </w:pPr>
              </w:p>
            </w:tc>
          </w:tr>
        </w:tbl>
        <w:p>
          <w:pPr>
            <w:pStyle w:val="120"/>
            <w:spacing w:line="240" w:lineRule="auto"/>
            <w:jc w:val="both"/>
            <w:rPr>
              <w:rFonts w:ascii="Arial" w:hAnsi="Arial" w:eastAsia="黑体"/>
              <w:b w:val="0"/>
              <w:color w:val="auto"/>
              <w:sz w:val="16"/>
              <w:szCs w:val="16"/>
              <w:lang w:eastAsia="zh-TW"/>
            </w:rPr>
          </w:pPr>
          <w:r>
            <w:rPr>
              <w:rFonts w:hint="eastAsia" w:ascii="Arial" w:hAnsi="Arial" w:eastAsia="黑体"/>
              <w:b w:val="0"/>
              <w:color w:val="auto"/>
              <w:sz w:val="16"/>
              <w:szCs w:val="16"/>
              <w:lang w:eastAsia="zh-TW"/>
            </w:rPr>
            <w:t>盡心服務</w:t>
          </w:r>
          <w:r>
            <w:rPr>
              <w:rFonts w:ascii="Arial" w:hAnsi="Arial" w:eastAsia="黑体"/>
              <w:b w:val="0"/>
              <w:color w:val="auto"/>
              <w:sz w:val="16"/>
              <w:szCs w:val="16"/>
              <w:lang w:eastAsia="zh-TW"/>
            </w:rPr>
            <w:t xml:space="preserve"> </w:t>
          </w:r>
          <w:r>
            <w:rPr>
              <w:rFonts w:hint="eastAsia" w:ascii="Arial" w:hAnsi="Arial" w:eastAsia="黑体"/>
              <w:b w:val="0"/>
              <w:color w:val="auto"/>
              <w:sz w:val="16"/>
              <w:szCs w:val="16"/>
              <w:lang w:eastAsia="zh-TW"/>
            </w:rPr>
            <w:t>成效為本</w:t>
          </w:r>
          <w:r>
            <w:rPr>
              <w:rFonts w:ascii="Arial" w:hAnsi="Arial" w:eastAsia="黑体"/>
              <w:b w:val="0"/>
              <w:color w:val="auto"/>
              <w:sz w:val="16"/>
              <w:szCs w:val="16"/>
              <w:lang w:eastAsia="zh-TW"/>
            </w:rPr>
            <w:t xml:space="preserve"> </w:t>
          </w:r>
          <w:r>
            <w:rPr>
              <w:rFonts w:hint="eastAsia" w:ascii="Arial" w:hAnsi="Arial" w:eastAsia="黑体"/>
              <w:b w:val="0"/>
              <w:color w:val="auto"/>
              <w:sz w:val="16"/>
              <w:szCs w:val="16"/>
              <w:lang w:eastAsia="zh-TW"/>
            </w:rPr>
            <w:t>洞察入微，創造價值</w:t>
          </w:r>
          <w:r>
            <w:rPr>
              <w:rFonts w:ascii="Arial" w:hAnsi="Arial" w:eastAsia="黑体"/>
              <w:b w:val="0"/>
              <w:color w:val="auto"/>
              <w:sz w:val="16"/>
              <w:szCs w:val="16"/>
              <w:lang w:eastAsia="zh-TW"/>
            </w:rPr>
            <w:t xml:space="preserve"> </w:t>
          </w:r>
          <w:r>
            <w:rPr>
              <w:rFonts w:hint="eastAsia" w:ascii="Arial" w:hAnsi="Arial" w:eastAsia="黑体"/>
              <w:b w:val="0"/>
              <w:color w:val="auto"/>
              <w:sz w:val="16"/>
              <w:szCs w:val="16"/>
              <w:lang w:eastAsia="zh-TW"/>
            </w:rPr>
            <w:t>構建平臺，成就人才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454" w:hRule="atLeast"/>
        <w:jc w:val="center"/>
      </w:trPr>
      <w:tc>
        <w:tcPr>
          <w:tcW w:w="9072" w:type="dxa"/>
          <w:tcBorders>
            <w:top w:val="nil"/>
            <w:left w:val="nil"/>
            <w:bottom w:val="nil"/>
            <w:right w:val="nil"/>
          </w:tcBorders>
          <w:vAlign w:val="bottom"/>
        </w:tcPr>
        <w:p>
          <w:pPr>
            <w:pStyle w:val="120"/>
            <w:spacing w:line="240" w:lineRule="auto"/>
            <w:jc w:val="right"/>
            <w:rPr>
              <w:rFonts w:ascii="Arial" w:hAnsi="Arial" w:eastAsia="黑体"/>
              <w:b w:val="0"/>
              <w:color w:val="auto"/>
              <w:sz w:val="16"/>
              <w:szCs w:val="16"/>
              <w:lang w:val="en-US" w:eastAsia="zh-CN"/>
            </w:rPr>
          </w:pPr>
          <w:r>
            <w:rPr>
              <w:rFonts w:ascii="Arial" w:hAnsi="Arial" w:eastAsia="黑体"/>
              <w:b w:val="0"/>
              <w:color w:val="auto"/>
              <w:sz w:val="16"/>
              <w:szCs w:val="16"/>
              <w:lang w:val="en-US" w:eastAsia="zh-CN"/>
            </w:rPr>
            <w:t>©</w:t>
          </w:r>
          <w:r>
            <w:rPr>
              <w:rFonts w:hint="eastAsia" w:ascii="Arial" w:hAnsi="Arial" w:eastAsia="黑体"/>
              <w:b w:val="0"/>
              <w:color w:val="auto"/>
              <w:sz w:val="16"/>
              <w:szCs w:val="16"/>
              <w:lang w:val="en-US" w:eastAsia="zh-CN"/>
            </w:rPr>
            <w:t>戴德梁行 20</w:t>
          </w:r>
          <w:r>
            <w:rPr>
              <w:rFonts w:ascii="Arial" w:hAnsi="Arial" w:eastAsia="黑体"/>
              <w:b w:val="0"/>
              <w:color w:val="auto"/>
              <w:sz w:val="16"/>
              <w:szCs w:val="16"/>
              <w:lang w:val="en-US" w:eastAsia="zh-CN"/>
            </w:rPr>
            <w:t>2</w:t>
          </w:r>
          <w:r>
            <w:rPr>
              <w:rFonts w:hint="eastAsia" w:ascii="Arial" w:hAnsi="Arial" w:eastAsia="黑体"/>
              <w:b w:val="0"/>
              <w:color w:val="auto"/>
              <w:sz w:val="16"/>
              <w:szCs w:val="16"/>
              <w:lang w:val="en-US" w:eastAsia="zh-CN"/>
            </w:rPr>
            <w:t>1</w:t>
          </w:r>
        </w:p>
      </w:tc>
    </w:tr>
  </w:tbl>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1"/>
      <w:tblW w:w="9071" w:type="dxa"/>
      <w:jc w:val="center"/>
      <w:tblLayout w:type="fixed"/>
      <w:tblCellMar>
        <w:top w:w="0" w:type="dxa"/>
        <w:left w:w="397" w:type="dxa"/>
        <w:bottom w:w="0" w:type="dxa"/>
        <w:right w:w="397" w:type="dxa"/>
      </w:tblCellMar>
    </w:tblPr>
    <w:tblGrid>
      <w:gridCol w:w="9071"/>
    </w:tblGrid>
    <w:tr>
      <w:tblPrEx>
        <w:tblCellMar>
          <w:top w:w="0" w:type="dxa"/>
          <w:left w:w="397" w:type="dxa"/>
          <w:bottom w:w="0" w:type="dxa"/>
          <w:right w:w="397" w:type="dxa"/>
        </w:tblCellMar>
      </w:tblPrEx>
      <w:trPr>
        <w:trHeight w:val="170" w:hRule="atLeast"/>
        <w:jc w:val="center"/>
      </w:trPr>
      <w:tc>
        <w:tcPr>
          <w:tcW w:w="9071" w:type="dxa"/>
          <w:vAlign w:val="bottom"/>
        </w:tcPr>
        <w:p>
          <w:pPr>
            <w:pStyle w:val="120"/>
            <w:spacing w:line="160" w:lineRule="exact"/>
            <w:rPr>
              <w:rFonts w:ascii="Arial" w:hAnsi="Arial" w:eastAsia="黑体"/>
              <w:b w:val="0"/>
              <w:sz w:val="16"/>
              <w:lang w:eastAsia="zh-CN"/>
            </w:rPr>
          </w:pPr>
          <w:r>
            <w:rPr>
              <w:rFonts w:ascii="Arial" w:hAnsi="Arial" w:eastAsia="黑体"/>
              <w:b w:val="0"/>
              <w:color w:val="auto"/>
              <w:sz w:val="16"/>
              <w:lang w:eastAsia="zh-CN"/>
            </w:rPr>
            <w:t>GuangZhou</w:t>
          </w:r>
          <w:r>
            <w:rPr>
              <w:rFonts w:hint="eastAsia" w:ascii="Arial" w:hAnsi="Arial" w:eastAsia="黑体"/>
              <w:b w:val="0"/>
              <w:color w:val="auto"/>
              <w:sz w:val="16"/>
              <w:lang w:eastAsia="zh-CN"/>
            </w:rPr>
            <w:t xml:space="preserve">  广州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97" w:type="dxa"/>
          <w:bottom w:w="0" w:type="dxa"/>
          <w:right w:w="397" w:type="dxa"/>
        </w:tblCellMar>
      </w:tblPrEx>
      <w:trPr>
        <w:trHeight w:val="170" w:hRule="atLeast"/>
        <w:jc w:val="center"/>
      </w:trPr>
      <w:tc>
        <w:tcPr>
          <w:tcW w:w="9071" w:type="dxa"/>
          <w:tcBorders>
            <w:top w:val="nil"/>
            <w:left w:val="nil"/>
            <w:bottom w:val="single" w:color="auto" w:sz="4" w:space="0"/>
            <w:right w:val="nil"/>
          </w:tcBorders>
        </w:tcPr>
        <w:p>
          <w:pPr>
            <w:pStyle w:val="120"/>
            <w:spacing w:line="160" w:lineRule="exact"/>
            <w:rPr>
              <w:rFonts w:ascii="Arial" w:hAnsi="Arial" w:eastAsia="黑体"/>
              <w:b w:val="0"/>
              <w:sz w:val="16"/>
              <w:lang w:eastAsia="zh-CN"/>
            </w:rPr>
          </w:pPr>
        </w:p>
      </w:tc>
    </w:tr>
    <w:tr>
      <w:tblPrEx>
        <w:tblCellMar>
          <w:top w:w="0" w:type="dxa"/>
          <w:left w:w="397" w:type="dxa"/>
          <w:bottom w:w="0" w:type="dxa"/>
          <w:right w:w="397" w:type="dxa"/>
        </w:tblCellMar>
      </w:tblPrEx>
      <w:trPr>
        <w:trHeight w:val="454" w:hRule="atLeast"/>
        <w:jc w:val="center"/>
      </w:trPr>
      <w:tc>
        <w:tcPr>
          <w:tcW w:w="9071" w:type="dxa"/>
          <w:tcBorders>
            <w:top w:val="single" w:color="auto" w:sz="4" w:space="0"/>
          </w:tcBorders>
        </w:tcPr>
        <w:p>
          <w:pPr>
            <w:pStyle w:val="120"/>
            <w:spacing w:line="240" w:lineRule="auto"/>
            <w:jc w:val="both"/>
            <w:rPr>
              <w:rFonts w:eastAsia="华文细黑"/>
              <w:b w:val="0"/>
              <w:color w:val="auto"/>
              <w:sz w:val="16"/>
              <w:lang w:eastAsia="zh-CN"/>
            </w:rPr>
          </w:pPr>
          <w:r>
            <w:rPr>
              <w:rFonts w:eastAsia="华文细黑"/>
              <w:b w:val="0"/>
              <w:color w:val="auto"/>
              <w:sz w:val="16"/>
              <w:lang w:eastAsia="zh-CN"/>
            </w:rPr>
            <w:t xml:space="preserve">Suite 2704 , Taikoo Hui Tower 1 , 385 Tianhe </w:t>
          </w:r>
          <w:r>
            <w:rPr>
              <w:rFonts w:hint="eastAsia" w:eastAsia="华文细黑"/>
              <w:b w:val="0"/>
              <w:color w:val="auto"/>
              <w:sz w:val="16"/>
              <w:lang w:eastAsia="zh-CN"/>
            </w:rPr>
            <w:t>Road，Tianhe District ,GuangZhou 510620，China</w:t>
          </w:r>
        </w:p>
        <w:p>
          <w:pPr>
            <w:pStyle w:val="120"/>
            <w:spacing w:line="240" w:lineRule="auto"/>
            <w:jc w:val="both"/>
            <w:rPr>
              <w:rFonts w:eastAsia="华文细黑"/>
              <w:b w:val="0"/>
              <w:color w:val="auto"/>
              <w:sz w:val="16"/>
              <w:lang w:eastAsia="zh-CN"/>
            </w:rPr>
          </w:pPr>
          <w:r>
            <w:rPr>
              <w:rFonts w:hint="eastAsia" w:eastAsia="华文细黑"/>
              <w:b w:val="0"/>
              <w:color w:val="auto"/>
              <w:sz w:val="16"/>
              <w:lang w:eastAsia="zh-CN"/>
            </w:rPr>
            <w:t>中国广州市天河区天河路385号太古汇一座2704，邮编：5106</w:t>
          </w:r>
          <w:r>
            <w:rPr>
              <w:rFonts w:eastAsia="华文细黑"/>
              <w:b w:val="0"/>
              <w:color w:val="auto"/>
              <w:sz w:val="16"/>
              <w:lang w:eastAsia="zh-CN"/>
            </w:rPr>
            <w:t>20</w:t>
          </w:r>
        </w:p>
        <w:p>
          <w:pPr>
            <w:pStyle w:val="120"/>
            <w:spacing w:line="240" w:lineRule="auto"/>
            <w:jc w:val="both"/>
            <w:rPr>
              <w:rFonts w:ascii="Arial" w:hAnsi="Arial" w:eastAsia="黑体"/>
              <w:b w:val="0"/>
              <w:color w:val="auto"/>
              <w:sz w:val="16"/>
              <w:lang w:eastAsia="zh-TW"/>
            </w:rPr>
          </w:pPr>
          <w:r>
            <w:rPr>
              <w:rFonts w:ascii="Arial" w:hAnsi="Arial" w:eastAsia="黑体"/>
              <w:b w:val="0"/>
              <w:color w:val="auto"/>
              <w:sz w:val="16"/>
              <w:lang w:eastAsia="zh-TW"/>
            </w:rPr>
            <w:t xml:space="preserve">Tel </w:t>
          </w:r>
          <w:r>
            <w:rPr>
              <w:rFonts w:hint="eastAsia" w:ascii="Arial" w:hAnsi="Arial" w:eastAsia="黑体"/>
              <w:b w:val="0"/>
              <w:color w:val="auto"/>
              <w:sz w:val="16"/>
              <w:lang w:eastAsia="zh-TW"/>
            </w:rPr>
            <w:t>电话：</w:t>
          </w:r>
          <w:r>
            <w:rPr>
              <w:rFonts w:ascii="Arial" w:hAnsi="Arial" w:eastAsia="黑体"/>
              <w:b w:val="0"/>
              <w:color w:val="auto"/>
              <w:sz w:val="16"/>
              <w:lang w:eastAsia="zh-TW"/>
            </w:rPr>
            <w:t>+86 20 8510 8235</w:t>
          </w:r>
        </w:p>
        <w:p>
          <w:pPr>
            <w:pStyle w:val="120"/>
            <w:spacing w:line="240" w:lineRule="auto"/>
            <w:jc w:val="both"/>
            <w:rPr>
              <w:rFonts w:ascii="Arial" w:hAnsi="Arial" w:eastAsia="黑体"/>
              <w:b w:val="0"/>
              <w:color w:val="auto"/>
              <w:sz w:val="16"/>
              <w:lang w:eastAsia="zh-TW"/>
            </w:rPr>
          </w:pPr>
          <w:r>
            <w:rPr>
              <w:rFonts w:hint="eastAsia" w:ascii="Arial" w:hAnsi="Arial" w:eastAsia="黑体"/>
              <w:b w:val="0"/>
              <w:color w:val="auto"/>
              <w:sz w:val="16"/>
              <w:lang w:eastAsia="zh-TW"/>
            </w:rPr>
            <w:t>项目估价师联系方式：</w:t>
          </w:r>
          <w:r>
            <w:rPr>
              <w:rFonts w:hint="eastAsia" w:ascii="Arial" w:hAnsi="Arial" w:eastAsia="黑体"/>
              <w:b w:val="0"/>
              <w:color w:val="auto"/>
              <w:sz w:val="16"/>
              <w:lang w:eastAsia="zh-CN"/>
            </w:rPr>
            <w:t>0</w:t>
          </w:r>
          <w:r>
            <w:rPr>
              <w:rFonts w:ascii="Arial" w:hAnsi="Arial" w:eastAsia="黑体"/>
              <w:b w:val="0"/>
              <w:color w:val="auto"/>
              <w:sz w:val="16"/>
              <w:lang w:eastAsia="zh-CN"/>
            </w:rPr>
            <w:t>20-8510 8151  136 9744 5843</w:t>
          </w:r>
        </w:p>
      </w:tc>
    </w:tr>
  </w:tbl>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line="240" w:lineRule="auto"/>
      <w:rPr>
        <w:sz w:val="2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1"/>
      <w:tblW w:w="9072" w:type="dxa"/>
      <w:jc w:val="center"/>
      <w:tblBorders>
        <w:top w:val="single" w:color="auto" w:sz="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7489"/>
      <w:gridCol w:w="1583"/>
    </w:tblGrid>
    <w:tr>
      <w:tblPrEx>
        <w:tblBorders>
          <w:top w:val="single" w:color="auto" w:sz="8"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454" w:hRule="atLeast"/>
        <w:jc w:val="center"/>
      </w:trPr>
      <w:tc>
        <w:tcPr>
          <w:tcW w:w="7511" w:type="dxa"/>
          <w:tcBorders>
            <w:top w:val="single" w:color="auto" w:sz="4" w:space="0"/>
          </w:tcBorders>
        </w:tcPr>
        <w:p>
          <w:pPr>
            <w:pStyle w:val="28"/>
            <w:tabs>
              <w:tab w:val="clear" w:pos="4153"/>
              <w:tab w:val="clear" w:pos="8306"/>
            </w:tabs>
            <w:spacing w:before="60" w:after="60" w:line="240" w:lineRule="auto"/>
            <w:jc w:val="both"/>
            <w:rPr>
              <w:rFonts w:ascii="Arial" w:hAnsi="Arial" w:eastAsia="微软雅黑" w:cs="Arial"/>
              <w:lang w:eastAsia="zh-CN"/>
            </w:rPr>
          </w:pPr>
          <w:r>
            <w:rPr>
              <w:rFonts w:ascii="Arial" w:hAnsi="Arial" w:eastAsia="黑体" w:cs="Arial"/>
              <w:szCs w:val="18"/>
              <w:lang w:eastAsia="zh-CN"/>
            </w:rPr>
            <w:t>估价报告</w:t>
          </w:r>
          <w:r>
            <w:rPr>
              <w:rFonts w:hint="eastAsia" w:ascii="Arial" w:hAnsi="Arial" w:eastAsia="黑体" w:cs="Arial"/>
              <w:szCs w:val="18"/>
              <w:lang w:eastAsia="zh-CN"/>
            </w:rPr>
            <w:t>编</w:t>
          </w:r>
          <w:r>
            <w:rPr>
              <w:rFonts w:ascii="Arial" w:hAnsi="Arial" w:eastAsia="黑体" w:cs="Arial"/>
              <w:szCs w:val="18"/>
              <w:lang w:eastAsia="zh-CN"/>
            </w:rPr>
            <w:t>号</w:t>
          </w:r>
          <w:r>
            <w:rPr>
              <w:rFonts w:hint="eastAsia" w:ascii="Arial" w:hAnsi="Arial" w:eastAsia="黑体" w:cs="Arial"/>
              <w:szCs w:val="18"/>
              <w:lang w:eastAsia="zh-CN"/>
            </w:rPr>
            <w:t>：</w:t>
          </w:r>
          <w:r>
            <w:rPr>
              <w:rFonts w:ascii="Arial" w:hAnsi="Arial" w:eastAsia="黑体" w:cs="Arial"/>
              <w:szCs w:val="18"/>
              <w:lang w:eastAsia="zh-CN"/>
            </w:rPr>
            <w:t>2101/GZ0817-02</w:t>
          </w:r>
        </w:p>
      </w:tc>
      <w:tc>
        <w:tcPr>
          <w:tcW w:w="1587" w:type="dxa"/>
          <w:tcBorders>
            <w:top w:val="single" w:color="auto" w:sz="4" w:space="0"/>
          </w:tcBorders>
        </w:tcPr>
        <w:p>
          <w:pPr>
            <w:pStyle w:val="28"/>
            <w:tabs>
              <w:tab w:val="clear" w:pos="4153"/>
              <w:tab w:val="clear" w:pos="8306"/>
            </w:tabs>
            <w:spacing w:before="60" w:after="60" w:line="240" w:lineRule="auto"/>
            <w:jc w:val="right"/>
            <w:rPr>
              <w:rFonts w:ascii="Arial" w:hAnsi="Arial" w:eastAsia="黑体" w:cs="Arial"/>
              <w:lang w:eastAsia="zh-CN"/>
            </w:rPr>
          </w:pPr>
          <w:r>
            <w:rPr>
              <w:rFonts w:ascii="Arial" w:hAnsi="Arial" w:eastAsia="黑体" w:cs="Arial"/>
            </w:rPr>
            <w:fldChar w:fldCharType="begin"/>
          </w:r>
          <w:r>
            <w:rPr>
              <w:rFonts w:ascii="Arial" w:hAnsi="Arial" w:eastAsia="黑体" w:cs="Arial"/>
            </w:rPr>
            <w:instrText xml:space="preserve">page </w:instrText>
          </w:r>
          <w:r>
            <w:rPr>
              <w:rFonts w:ascii="Arial" w:hAnsi="Arial" w:eastAsia="黑体" w:cs="Arial"/>
            </w:rPr>
            <w:fldChar w:fldCharType="separate"/>
          </w:r>
          <w:r>
            <w:rPr>
              <w:rFonts w:ascii="Arial" w:hAnsi="Arial" w:eastAsia="黑体" w:cs="Arial"/>
            </w:rPr>
            <w:t>59</w:t>
          </w:r>
          <w:r>
            <w:rPr>
              <w:rFonts w:ascii="Arial" w:hAnsi="Arial" w:eastAsia="黑体" w:cs="Arial"/>
            </w:rPr>
            <w:fldChar w:fldCharType="end"/>
          </w:r>
          <w:r>
            <w:rPr>
              <w:rFonts w:hint="eastAsia" w:ascii="Arial" w:hAnsi="Arial" w:eastAsia="黑体" w:cs="Arial"/>
              <w:lang w:eastAsia="zh-CN"/>
            </w:rPr>
            <w:t>/</w:t>
          </w:r>
          <w:r>
            <w:rPr>
              <w:rFonts w:ascii="Arial" w:hAnsi="Arial" w:eastAsia="黑体" w:cs="Arial"/>
            </w:rPr>
            <w:fldChar w:fldCharType="begin"/>
          </w:r>
          <w:r>
            <w:rPr>
              <w:rFonts w:ascii="Arial" w:hAnsi="Arial" w:eastAsia="黑体" w:cs="Arial"/>
            </w:rPr>
            <w:instrText xml:space="preserve"> SECTIONPAGES  </w:instrText>
          </w:r>
          <w:r>
            <w:rPr>
              <w:rFonts w:ascii="Arial" w:hAnsi="Arial" w:eastAsia="黑体" w:cs="Arial"/>
            </w:rPr>
            <w:fldChar w:fldCharType="separate"/>
          </w:r>
          <w:r>
            <w:rPr>
              <w:rFonts w:ascii="Arial" w:hAnsi="Arial" w:eastAsia="黑体" w:cs="Arial"/>
            </w:rPr>
            <w:t>43</w:t>
          </w:r>
          <w:r>
            <w:rPr>
              <w:rFonts w:ascii="Arial" w:hAnsi="Arial" w:eastAsia="黑体" w:cs="Arial"/>
            </w:rPr>
            <w:fldChar w:fldCharType="end"/>
          </w:r>
        </w:p>
      </w:tc>
    </w:tr>
  </w:tbl>
  <w:p>
    <w:pPr>
      <w:pStyle w:val="28"/>
      <w:spacing w:line="240" w:lineRule="auto"/>
      <w:rPr>
        <w:sz w:val="2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spacing w:line="240" w:lineRule="auto"/>
      <w:rPr>
        <w:sz w:val="22"/>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lear" w:pos="4153"/>
        <w:tab w:val="clear" w:pos="8306"/>
      </w:tabs>
      <w:spacing w:line="240" w:lineRule="aut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lear" w:pos="4153"/>
        <w:tab w:val="clear" w:pos="8306"/>
      </w:tabs>
      <w:spacing w:line="240" w:lineRule="auto"/>
      <w:rPr>
        <w:rFonts w:eastAsiaTheme="minorEastAsia"/>
        <w:sz w:val="22"/>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1"/>
      <w:tblW w:w="5000" w:type="pct"/>
      <w:tblInd w:w="0" w:type="dxa"/>
      <w:tblLayout w:type="autofit"/>
      <w:tblCellMar>
        <w:top w:w="0" w:type="dxa"/>
        <w:left w:w="0" w:type="dxa"/>
        <w:bottom w:w="0" w:type="dxa"/>
        <w:right w:w="0" w:type="dxa"/>
      </w:tblCellMar>
    </w:tblPr>
    <w:tblGrid>
      <w:gridCol w:w="9071"/>
    </w:tblGrid>
    <w:tr>
      <w:tblPrEx>
        <w:tblCellMar>
          <w:top w:w="0" w:type="dxa"/>
          <w:left w:w="0" w:type="dxa"/>
          <w:bottom w:w="0" w:type="dxa"/>
          <w:right w:w="0" w:type="dxa"/>
        </w:tblCellMar>
      </w:tblPrEx>
      <w:trPr>
        <w:trHeight w:val="454" w:hRule="atLeast"/>
      </w:trPr>
      <w:tc>
        <w:tcPr>
          <w:tcW w:w="5000" w:type="pct"/>
          <w:tcBorders>
            <w:bottom w:val="single" w:color="auto" w:sz="4" w:space="0"/>
          </w:tcBorders>
          <w:vAlign w:val="center"/>
        </w:tcPr>
        <w:p>
          <w:pPr>
            <w:spacing w:line="240" w:lineRule="auto"/>
            <w:rPr>
              <w:rFonts w:ascii="Arial" w:hAnsi="Arial" w:eastAsia="黑体" w:cs="Arial"/>
              <w:color w:val="008B98"/>
              <w:sz w:val="20"/>
              <w:lang w:eastAsia="zh-CN"/>
            </w:rPr>
          </w:pPr>
          <w:r>
            <w:rPr>
              <w:rFonts w:hint="eastAsia" w:ascii="Arial" w:hAnsi="Arial" w:eastAsia="黑体" w:cs="Arial"/>
              <w:sz w:val="20"/>
              <w:lang w:eastAsia="zh-CN"/>
            </w:rPr>
            <w:t>中山市东凤镇南安路四栋住宅房地产</w:t>
          </w:r>
        </w:p>
      </w:tc>
    </w:tr>
  </w:tbl>
  <w:p>
    <w:pPr>
      <w:pStyle w:val="29"/>
      <w:spacing w:line="240" w:lineRule="auto"/>
      <w:rPr>
        <w:sz w:val="22"/>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64EF5"/>
    <w:multiLevelType w:val="multilevel"/>
    <w:tmpl w:val="35B64EF5"/>
    <w:lvl w:ilvl="0" w:tentative="0">
      <w:start w:val="1"/>
      <w:numFmt w:val="decimal"/>
      <w:lvlText w:val="%1"/>
      <w:lvlJc w:val="left"/>
      <w:pPr>
        <w:ind w:left="425" w:hanging="425"/>
      </w:pPr>
      <w:rPr>
        <w:rFonts w:hint="default"/>
        <w:sz w:val="22"/>
        <w:szCs w:val="22"/>
      </w:rPr>
    </w:lvl>
    <w:lvl w:ilvl="1" w:tentative="0">
      <w:start w:val="1"/>
      <w:numFmt w:val="decimal"/>
      <w:lvlText w:val="%1.%2"/>
      <w:lvlJc w:val="left"/>
      <w:pPr>
        <w:ind w:left="992" w:hanging="567"/>
      </w:pPr>
      <w:rPr>
        <w:rFonts w:hint="default" w:ascii="Arial" w:hAnsi="Arial" w:cs="Arial"/>
        <w:b/>
        <w:sz w:val="22"/>
        <w:szCs w:val="22"/>
      </w:rPr>
    </w:lvl>
    <w:lvl w:ilvl="2" w:tentative="0">
      <w:start w:val="1"/>
      <w:numFmt w:val="decimal"/>
      <w:lvlText w:val="%1.%2.%3"/>
      <w:lvlJc w:val="left"/>
      <w:pPr>
        <w:ind w:left="1418" w:hanging="567"/>
      </w:pPr>
      <w:rPr>
        <w:rFonts w:hint="default" w:ascii="Arial" w:hAnsi="Arial" w:cs="Arial"/>
        <w:color w:val="000000" w:themeColor="text1"/>
        <w14:textFill>
          <w14:solidFill>
            <w14:schemeClr w14:val="tx1"/>
          </w14:solidFill>
        </w14:textFill>
      </w:r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60"/>
  <w:doNotHyphenateCaps/>
  <w:drawingGridHorizontalSpacing w:val="115"/>
  <w:drawingGridVerticalSpacing w:val="313"/>
  <w:displayHorizontalDrawingGridEvery w:val="0"/>
  <w:doNotShadeFormData w:val="1"/>
  <w:characterSpacingControl w:val="doNotCompress"/>
  <w:noLineBreaksAfter w:lang="zh-CN" w:val="([{‘“‵〈《「『【〔〝︵︷︹︻︽︿﹁﹃﹙﹛﹝（｛￥"/>
  <w:noLineBreaksBefore w:lang="zh-CN" w:val="!),.:;?]}·–—’”‥…‧′╴、。〉》」』】〕〞︰︱︳︴︶︸︺︼︾﹀﹂﹄﹏﹐﹑﹒﹔﹕﹖﹗﹚﹜﹞！），．：；？｜｝"/>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C0"/>
    <w:rsid w:val="00000E44"/>
    <w:rsid w:val="000013F5"/>
    <w:rsid w:val="0000178D"/>
    <w:rsid w:val="000018D2"/>
    <w:rsid w:val="00001C91"/>
    <w:rsid w:val="00001DD8"/>
    <w:rsid w:val="00002531"/>
    <w:rsid w:val="00002E03"/>
    <w:rsid w:val="000033FD"/>
    <w:rsid w:val="000041ED"/>
    <w:rsid w:val="00004240"/>
    <w:rsid w:val="00004B94"/>
    <w:rsid w:val="00004D0E"/>
    <w:rsid w:val="00004F90"/>
    <w:rsid w:val="00005873"/>
    <w:rsid w:val="0000688E"/>
    <w:rsid w:val="000068D2"/>
    <w:rsid w:val="0000690E"/>
    <w:rsid w:val="0000691C"/>
    <w:rsid w:val="00006C15"/>
    <w:rsid w:val="000103FB"/>
    <w:rsid w:val="00010616"/>
    <w:rsid w:val="00011172"/>
    <w:rsid w:val="000118AA"/>
    <w:rsid w:val="000118F0"/>
    <w:rsid w:val="000119B3"/>
    <w:rsid w:val="000119F1"/>
    <w:rsid w:val="00011BE0"/>
    <w:rsid w:val="000120AC"/>
    <w:rsid w:val="00012212"/>
    <w:rsid w:val="000125B9"/>
    <w:rsid w:val="00012600"/>
    <w:rsid w:val="000126CE"/>
    <w:rsid w:val="00012B3D"/>
    <w:rsid w:val="000130AC"/>
    <w:rsid w:val="0001351F"/>
    <w:rsid w:val="0001361D"/>
    <w:rsid w:val="00013907"/>
    <w:rsid w:val="00013DAD"/>
    <w:rsid w:val="000142E9"/>
    <w:rsid w:val="000143D5"/>
    <w:rsid w:val="0001470F"/>
    <w:rsid w:val="000147B6"/>
    <w:rsid w:val="0001501F"/>
    <w:rsid w:val="00015092"/>
    <w:rsid w:val="000150E0"/>
    <w:rsid w:val="000155A2"/>
    <w:rsid w:val="00015659"/>
    <w:rsid w:val="0001787A"/>
    <w:rsid w:val="000179BC"/>
    <w:rsid w:val="00017B21"/>
    <w:rsid w:val="00017C5B"/>
    <w:rsid w:val="0002020E"/>
    <w:rsid w:val="0002056D"/>
    <w:rsid w:val="00020946"/>
    <w:rsid w:val="000209AD"/>
    <w:rsid w:val="00020E31"/>
    <w:rsid w:val="000213EB"/>
    <w:rsid w:val="0002164E"/>
    <w:rsid w:val="0002212F"/>
    <w:rsid w:val="000221DA"/>
    <w:rsid w:val="0002277B"/>
    <w:rsid w:val="00022B1A"/>
    <w:rsid w:val="00022D6E"/>
    <w:rsid w:val="00022F7E"/>
    <w:rsid w:val="00023092"/>
    <w:rsid w:val="0002338F"/>
    <w:rsid w:val="00023612"/>
    <w:rsid w:val="00023876"/>
    <w:rsid w:val="00023A10"/>
    <w:rsid w:val="00023A69"/>
    <w:rsid w:val="00023AB3"/>
    <w:rsid w:val="00023B25"/>
    <w:rsid w:val="00023CF7"/>
    <w:rsid w:val="000248B7"/>
    <w:rsid w:val="00024A68"/>
    <w:rsid w:val="00024F2D"/>
    <w:rsid w:val="00025080"/>
    <w:rsid w:val="00025980"/>
    <w:rsid w:val="00025E7F"/>
    <w:rsid w:val="00026B31"/>
    <w:rsid w:val="00026C15"/>
    <w:rsid w:val="00026D12"/>
    <w:rsid w:val="00027147"/>
    <w:rsid w:val="000273F3"/>
    <w:rsid w:val="000279B4"/>
    <w:rsid w:val="000306F8"/>
    <w:rsid w:val="000309FB"/>
    <w:rsid w:val="00031017"/>
    <w:rsid w:val="000311D7"/>
    <w:rsid w:val="00031233"/>
    <w:rsid w:val="000313FB"/>
    <w:rsid w:val="00031680"/>
    <w:rsid w:val="0003280C"/>
    <w:rsid w:val="0003290D"/>
    <w:rsid w:val="00032C92"/>
    <w:rsid w:val="00032D65"/>
    <w:rsid w:val="000332D1"/>
    <w:rsid w:val="00033D59"/>
    <w:rsid w:val="00033FE0"/>
    <w:rsid w:val="00034408"/>
    <w:rsid w:val="00034512"/>
    <w:rsid w:val="0003459C"/>
    <w:rsid w:val="0003469F"/>
    <w:rsid w:val="0003560F"/>
    <w:rsid w:val="000356C5"/>
    <w:rsid w:val="000358A6"/>
    <w:rsid w:val="000362C6"/>
    <w:rsid w:val="00036748"/>
    <w:rsid w:val="00036769"/>
    <w:rsid w:val="000367A6"/>
    <w:rsid w:val="00036A8D"/>
    <w:rsid w:val="00036B37"/>
    <w:rsid w:val="00036D92"/>
    <w:rsid w:val="00036ED7"/>
    <w:rsid w:val="00037354"/>
    <w:rsid w:val="00037CE7"/>
    <w:rsid w:val="00037D4D"/>
    <w:rsid w:val="00037F23"/>
    <w:rsid w:val="000403AF"/>
    <w:rsid w:val="00040518"/>
    <w:rsid w:val="00040889"/>
    <w:rsid w:val="00040AE9"/>
    <w:rsid w:val="00040F6F"/>
    <w:rsid w:val="00041726"/>
    <w:rsid w:val="00042014"/>
    <w:rsid w:val="00042188"/>
    <w:rsid w:val="00042197"/>
    <w:rsid w:val="0004240C"/>
    <w:rsid w:val="000424CD"/>
    <w:rsid w:val="00042E59"/>
    <w:rsid w:val="00043549"/>
    <w:rsid w:val="0004391A"/>
    <w:rsid w:val="00043B3C"/>
    <w:rsid w:val="00043E09"/>
    <w:rsid w:val="00043F9A"/>
    <w:rsid w:val="000440FA"/>
    <w:rsid w:val="00044872"/>
    <w:rsid w:val="00044916"/>
    <w:rsid w:val="00045101"/>
    <w:rsid w:val="00045817"/>
    <w:rsid w:val="00046B63"/>
    <w:rsid w:val="000472F8"/>
    <w:rsid w:val="000475EB"/>
    <w:rsid w:val="000479CA"/>
    <w:rsid w:val="00047B3C"/>
    <w:rsid w:val="00047C6E"/>
    <w:rsid w:val="000501E6"/>
    <w:rsid w:val="0005054C"/>
    <w:rsid w:val="00050943"/>
    <w:rsid w:val="00050961"/>
    <w:rsid w:val="00050987"/>
    <w:rsid w:val="00051416"/>
    <w:rsid w:val="00051888"/>
    <w:rsid w:val="000518FD"/>
    <w:rsid w:val="00052317"/>
    <w:rsid w:val="0005272F"/>
    <w:rsid w:val="00052D0D"/>
    <w:rsid w:val="00052D4F"/>
    <w:rsid w:val="00053756"/>
    <w:rsid w:val="00053765"/>
    <w:rsid w:val="00053789"/>
    <w:rsid w:val="000537DB"/>
    <w:rsid w:val="00053A37"/>
    <w:rsid w:val="0005438B"/>
    <w:rsid w:val="00054578"/>
    <w:rsid w:val="00054812"/>
    <w:rsid w:val="00054911"/>
    <w:rsid w:val="0005494D"/>
    <w:rsid w:val="00054AD7"/>
    <w:rsid w:val="00054BC5"/>
    <w:rsid w:val="00054F30"/>
    <w:rsid w:val="00055227"/>
    <w:rsid w:val="00056176"/>
    <w:rsid w:val="000564D3"/>
    <w:rsid w:val="00056DB6"/>
    <w:rsid w:val="000573E3"/>
    <w:rsid w:val="00057598"/>
    <w:rsid w:val="000577FB"/>
    <w:rsid w:val="000579C6"/>
    <w:rsid w:val="00057E53"/>
    <w:rsid w:val="000604A4"/>
    <w:rsid w:val="00060905"/>
    <w:rsid w:val="000609DC"/>
    <w:rsid w:val="00060BFD"/>
    <w:rsid w:val="00060FA4"/>
    <w:rsid w:val="0006148F"/>
    <w:rsid w:val="000617A0"/>
    <w:rsid w:val="0006196E"/>
    <w:rsid w:val="0006209D"/>
    <w:rsid w:val="000620A6"/>
    <w:rsid w:val="0006219F"/>
    <w:rsid w:val="0006224A"/>
    <w:rsid w:val="000624A7"/>
    <w:rsid w:val="0006277E"/>
    <w:rsid w:val="00062836"/>
    <w:rsid w:val="00062A6E"/>
    <w:rsid w:val="00062B8D"/>
    <w:rsid w:val="000634BF"/>
    <w:rsid w:val="0006383F"/>
    <w:rsid w:val="00063B4F"/>
    <w:rsid w:val="00063EEA"/>
    <w:rsid w:val="00063EFC"/>
    <w:rsid w:val="00063F53"/>
    <w:rsid w:val="000643CE"/>
    <w:rsid w:val="00064754"/>
    <w:rsid w:val="00065306"/>
    <w:rsid w:val="000653A6"/>
    <w:rsid w:val="0006558C"/>
    <w:rsid w:val="00065911"/>
    <w:rsid w:val="0006591A"/>
    <w:rsid w:val="00065A66"/>
    <w:rsid w:val="00065A71"/>
    <w:rsid w:val="00065D7C"/>
    <w:rsid w:val="00065EB3"/>
    <w:rsid w:val="00066177"/>
    <w:rsid w:val="00066478"/>
    <w:rsid w:val="000666DC"/>
    <w:rsid w:val="000667DC"/>
    <w:rsid w:val="000669F9"/>
    <w:rsid w:val="00066F83"/>
    <w:rsid w:val="0006719E"/>
    <w:rsid w:val="000674E6"/>
    <w:rsid w:val="000677DC"/>
    <w:rsid w:val="00067E50"/>
    <w:rsid w:val="000706B9"/>
    <w:rsid w:val="00070FBF"/>
    <w:rsid w:val="000717FF"/>
    <w:rsid w:val="000721C8"/>
    <w:rsid w:val="00072691"/>
    <w:rsid w:val="000727D5"/>
    <w:rsid w:val="0007289F"/>
    <w:rsid w:val="000728EA"/>
    <w:rsid w:val="00072BF7"/>
    <w:rsid w:val="0007326B"/>
    <w:rsid w:val="0007372F"/>
    <w:rsid w:val="00073DC4"/>
    <w:rsid w:val="000744E8"/>
    <w:rsid w:val="0007491D"/>
    <w:rsid w:val="00074922"/>
    <w:rsid w:val="0007549F"/>
    <w:rsid w:val="000757B3"/>
    <w:rsid w:val="00075C2A"/>
    <w:rsid w:val="00075F7F"/>
    <w:rsid w:val="00075FA4"/>
    <w:rsid w:val="00076153"/>
    <w:rsid w:val="00076205"/>
    <w:rsid w:val="000763A0"/>
    <w:rsid w:val="00076AD3"/>
    <w:rsid w:val="00076CE7"/>
    <w:rsid w:val="00077316"/>
    <w:rsid w:val="00077D74"/>
    <w:rsid w:val="00080716"/>
    <w:rsid w:val="00080A3A"/>
    <w:rsid w:val="00080F59"/>
    <w:rsid w:val="00080F8F"/>
    <w:rsid w:val="000818B9"/>
    <w:rsid w:val="00082071"/>
    <w:rsid w:val="00082289"/>
    <w:rsid w:val="000829E7"/>
    <w:rsid w:val="00082C56"/>
    <w:rsid w:val="00083377"/>
    <w:rsid w:val="000837AA"/>
    <w:rsid w:val="000839FC"/>
    <w:rsid w:val="00083B25"/>
    <w:rsid w:val="00083B9E"/>
    <w:rsid w:val="00083EC9"/>
    <w:rsid w:val="000842CD"/>
    <w:rsid w:val="000845DF"/>
    <w:rsid w:val="0008530B"/>
    <w:rsid w:val="0008644C"/>
    <w:rsid w:val="00086931"/>
    <w:rsid w:val="00086CDF"/>
    <w:rsid w:val="00086EF5"/>
    <w:rsid w:val="0008719F"/>
    <w:rsid w:val="00087705"/>
    <w:rsid w:val="00087C69"/>
    <w:rsid w:val="0009079A"/>
    <w:rsid w:val="00090B47"/>
    <w:rsid w:val="00091499"/>
    <w:rsid w:val="00091C6E"/>
    <w:rsid w:val="00091CEB"/>
    <w:rsid w:val="00091D4E"/>
    <w:rsid w:val="00092331"/>
    <w:rsid w:val="00092A40"/>
    <w:rsid w:val="00092AEA"/>
    <w:rsid w:val="000934DE"/>
    <w:rsid w:val="0009380D"/>
    <w:rsid w:val="00093956"/>
    <w:rsid w:val="00093E53"/>
    <w:rsid w:val="000941AE"/>
    <w:rsid w:val="00095061"/>
    <w:rsid w:val="00095367"/>
    <w:rsid w:val="00095394"/>
    <w:rsid w:val="00095684"/>
    <w:rsid w:val="00095AFC"/>
    <w:rsid w:val="00095EC9"/>
    <w:rsid w:val="00096157"/>
    <w:rsid w:val="0009652C"/>
    <w:rsid w:val="0009679C"/>
    <w:rsid w:val="00096AB0"/>
    <w:rsid w:val="00096F66"/>
    <w:rsid w:val="00097184"/>
    <w:rsid w:val="00097827"/>
    <w:rsid w:val="00097B42"/>
    <w:rsid w:val="00097FA7"/>
    <w:rsid w:val="000A113F"/>
    <w:rsid w:val="000A1297"/>
    <w:rsid w:val="000A172E"/>
    <w:rsid w:val="000A1B0E"/>
    <w:rsid w:val="000A1EC4"/>
    <w:rsid w:val="000A1F1E"/>
    <w:rsid w:val="000A24A0"/>
    <w:rsid w:val="000A2654"/>
    <w:rsid w:val="000A28F8"/>
    <w:rsid w:val="000A2F30"/>
    <w:rsid w:val="000A35EE"/>
    <w:rsid w:val="000A3752"/>
    <w:rsid w:val="000A3AF9"/>
    <w:rsid w:val="000A3D23"/>
    <w:rsid w:val="000A4017"/>
    <w:rsid w:val="000A41AE"/>
    <w:rsid w:val="000A43FB"/>
    <w:rsid w:val="000A4777"/>
    <w:rsid w:val="000A4FD2"/>
    <w:rsid w:val="000A5341"/>
    <w:rsid w:val="000A5757"/>
    <w:rsid w:val="000A57B4"/>
    <w:rsid w:val="000A5AFB"/>
    <w:rsid w:val="000A5C6B"/>
    <w:rsid w:val="000A5EA5"/>
    <w:rsid w:val="000A5FDB"/>
    <w:rsid w:val="000A7181"/>
    <w:rsid w:val="000A7332"/>
    <w:rsid w:val="000A7736"/>
    <w:rsid w:val="000A7A39"/>
    <w:rsid w:val="000B059B"/>
    <w:rsid w:val="000B061B"/>
    <w:rsid w:val="000B062A"/>
    <w:rsid w:val="000B1022"/>
    <w:rsid w:val="000B1AC8"/>
    <w:rsid w:val="000B23E2"/>
    <w:rsid w:val="000B2420"/>
    <w:rsid w:val="000B253C"/>
    <w:rsid w:val="000B28CE"/>
    <w:rsid w:val="000B2A85"/>
    <w:rsid w:val="000B2CF2"/>
    <w:rsid w:val="000B3487"/>
    <w:rsid w:val="000B39DF"/>
    <w:rsid w:val="000B46CA"/>
    <w:rsid w:val="000B4EFD"/>
    <w:rsid w:val="000B55A1"/>
    <w:rsid w:val="000B5624"/>
    <w:rsid w:val="000B573F"/>
    <w:rsid w:val="000B5975"/>
    <w:rsid w:val="000B5CA1"/>
    <w:rsid w:val="000B60C3"/>
    <w:rsid w:val="000B620F"/>
    <w:rsid w:val="000B6EF8"/>
    <w:rsid w:val="000B7034"/>
    <w:rsid w:val="000B741D"/>
    <w:rsid w:val="000B7510"/>
    <w:rsid w:val="000B77C9"/>
    <w:rsid w:val="000B77D6"/>
    <w:rsid w:val="000B789A"/>
    <w:rsid w:val="000B78BA"/>
    <w:rsid w:val="000B78E4"/>
    <w:rsid w:val="000B790E"/>
    <w:rsid w:val="000B7987"/>
    <w:rsid w:val="000B7AE8"/>
    <w:rsid w:val="000B7E72"/>
    <w:rsid w:val="000C0F6E"/>
    <w:rsid w:val="000C1779"/>
    <w:rsid w:val="000C2C6C"/>
    <w:rsid w:val="000C2CEE"/>
    <w:rsid w:val="000C30EA"/>
    <w:rsid w:val="000C3464"/>
    <w:rsid w:val="000C394F"/>
    <w:rsid w:val="000C42E0"/>
    <w:rsid w:val="000C44FE"/>
    <w:rsid w:val="000C4B16"/>
    <w:rsid w:val="000C4B47"/>
    <w:rsid w:val="000C4BCC"/>
    <w:rsid w:val="000C4C2D"/>
    <w:rsid w:val="000C4D7D"/>
    <w:rsid w:val="000C5085"/>
    <w:rsid w:val="000C53A4"/>
    <w:rsid w:val="000C5688"/>
    <w:rsid w:val="000C6182"/>
    <w:rsid w:val="000C644D"/>
    <w:rsid w:val="000C6692"/>
    <w:rsid w:val="000C66F0"/>
    <w:rsid w:val="000C6D7C"/>
    <w:rsid w:val="000C7245"/>
    <w:rsid w:val="000D018B"/>
    <w:rsid w:val="000D06AE"/>
    <w:rsid w:val="000D0A6D"/>
    <w:rsid w:val="000D0D72"/>
    <w:rsid w:val="000D0F2E"/>
    <w:rsid w:val="000D151B"/>
    <w:rsid w:val="000D1CC4"/>
    <w:rsid w:val="000D1D2D"/>
    <w:rsid w:val="000D2599"/>
    <w:rsid w:val="000D25EE"/>
    <w:rsid w:val="000D292A"/>
    <w:rsid w:val="000D2D1B"/>
    <w:rsid w:val="000D2DB5"/>
    <w:rsid w:val="000D3063"/>
    <w:rsid w:val="000D3176"/>
    <w:rsid w:val="000D3D40"/>
    <w:rsid w:val="000D406C"/>
    <w:rsid w:val="000D4182"/>
    <w:rsid w:val="000D423C"/>
    <w:rsid w:val="000D4552"/>
    <w:rsid w:val="000D4E79"/>
    <w:rsid w:val="000D4ED2"/>
    <w:rsid w:val="000D4F5C"/>
    <w:rsid w:val="000D639A"/>
    <w:rsid w:val="000D658D"/>
    <w:rsid w:val="000D6909"/>
    <w:rsid w:val="000D6E1F"/>
    <w:rsid w:val="000D7556"/>
    <w:rsid w:val="000D7D78"/>
    <w:rsid w:val="000E02F0"/>
    <w:rsid w:val="000E062A"/>
    <w:rsid w:val="000E1300"/>
    <w:rsid w:val="000E189D"/>
    <w:rsid w:val="000E189E"/>
    <w:rsid w:val="000E1974"/>
    <w:rsid w:val="000E1C3F"/>
    <w:rsid w:val="000E1D90"/>
    <w:rsid w:val="000E1DC2"/>
    <w:rsid w:val="000E23D4"/>
    <w:rsid w:val="000E265A"/>
    <w:rsid w:val="000E2D38"/>
    <w:rsid w:val="000E2EDF"/>
    <w:rsid w:val="000E345A"/>
    <w:rsid w:val="000E3A09"/>
    <w:rsid w:val="000E3E42"/>
    <w:rsid w:val="000E3F0B"/>
    <w:rsid w:val="000E3F3E"/>
    <w:rsid w:val="000E48D5"/>
    <w:rsid w:val="000E5268"/>
    <w:rsid w:val="000E554D"/>
    <w:rsid w:val="000E5FBF"/>
    <w:rsid w:val="000E6F92"/>
    <w:rsid w:val="000E708F"/>
    <w:rsid w:val="000E7110"/>
    <w:rsid w:val="000E73B8"/>
    <w:rsid w:val="000E749E"/>
    <w:rsid w:val="000E7671"/>
    <w:rsid w:val="000E76B5"/>
    <w:rsid w:val="000E79EC"/>
    <w:rsid w:val="000F02EC"/>
    <w:rsid w:val="000F036B"/>
    <w:rsid w:val="000F06F2"/>
    <w:rsid w:val="000F091C"/>
    <w:rsid w:val="000F0BB8"/>
    <w:rsid w:val="000F0D08"/>
    <w:rsid w:val="000F0F77"/>
    <w:rsid w:val="000F1541"/>
    <w:rsid w:val="000F1DF5"/>
    <w:rsid w:val="000F22DE"/>
    <w:rsid w:val="000F2635"/>
    <w:rsid w:val="000F2785"/>
    <w:rsid w:val="000F2B51"/>
    <w:rsid w:val="000F303D"/>
    <w:rsid w:val="000F35E0"/>
    <w:rsid w:val="000F3A68"/>
    <w:rsid w:val="000F3A95"/>
    <w:rsid w:val="000F3ED5"/>
    <w:rsid w:val="000F4282"/>
    <w:rsid w:val="000F4641"/>
    <w:rsid w:val="000F4AFA"/>
    <w:rsid w:val="000F53B4"/>
    <w:rsid w:val="000F556E"/>
    <w:rsid w:val="000F5C2C"/>
    <w:rsid w:val="000F6602"/>
    <w:rsid w:val="000F6ABF"/>
    <w:rsid w:val="000F74C4"/>
    <w:rsid w:val="000F7823"/>
    <w:rsid w:val="000F782A"/>
    <w:rsid w:val="000F7C12"/>
    <w:rsid w:val="001005C4"/>
    <w:rsid w:val="001007C8"/>
    <w:rsid w:val="001007E8"/>
    <w:rsid w:val="001007F9"/>
    <w:rsid w:val="00100A70"/>
    <w:rsid w:val="00100AFC"/>
    <w:rsid w:val="00100D65"/>
    <w:rsid w:val="00101493"/>
    <w:rsid w:val="001015D7"/>
    <w:rsid w:val="00102122"/>
    <w:rsid w:val="001022C2"/>
    <w:rsid w:val="00102584"/>
    <w:rsid w:val="00102C6A"/>
    <w:rsid w:val="00102D55"/>
    <w:rsid w:val="00103443"/>
    <w:rsid w:val="00103907"/>
    <w:rsid w:val="00103BE4"/>
    <w:rsid w:val="001042A7"/>
    <w:rsid w:val="0010430A"/>
    <w:rsid w:val="00104601"/>
    <w:rsid w:val="00104961"/>
    <w:rsid w:val="00105DC9"/>
    <w:rsid w:val="00106685"/>
    <w:rsid w:val="00106D8E"/>
    <w:rsid w:val="001075C6"/>
    <w:rsid w:val="001078B2"/>
    <w:rsid w:val="00107940"/>
    <w:rsid w:val="00107CE6"/>
    <w:rsid w:val="00107E06"/>
    <w:rsid w:val="001101EF"/>
    <w:rsid w:val="00110345"/>
    <w:rsid w:val="00110629"/>
    <w:rsid w:val="00110724"/>
    <w:rsid w:val="00110BD8"/>
    <w:rsid w:val="001111CB"/>
    <w:rsid w:val="0011126D"/>
    <w:rsid w:val="00111736"/>
    <w:rsid w:val="001129A5"/>
    <w:rsid w:val="00112AAB"/>
    <w:rsid w:val="00112C44"/>
    <w:rsid w:val="001131C7"/>
    <w:rsid w:val="00113608"/>
    <w:rsid w:val="001147F6"/>
    <w:rsid w:val="0011496B"/>
    <w:rsid w:val="00114A65"/>
    <w:rsid w:val="00114ABF"/>
    <w:rsid w:val="00114B92"/>
    <w:rsid w:val="001154C9"/>
    <w:rsid w:val="001154DE"/>
    <w:rsid w:val="00115931"/>
    <w:rsid w:val="00115D49"/>
    <w:rsid w:val="00115D60"/>
    <w:rsid w:val="0011618A"/>
    <w:rsid w:val="0011660E"/>
    <w:rsid w:val="00116714"/>
    <w:rsid w:val="00116C6F"/>
    <w:rsid w:val="00116C9D"/>
    <w:rsid w:val="00117257"/>
    <w:rsid w:val="00117972"/>
    <w:rsid w:val="0012012E"/>
    <w:rsid w:val="00120283"/>
    <w:rsid w:val="00120A31"/>
    <w:rsid w:val="00120B3C"/>
    <w:rsid w:val="00120B56"/>
    <w:rsid w:val="00120C76"/>
    <w:rsid w:val="00120DE7"/>
    <w:rsid w:val="00120E7C"/>
    <w:rsid w:val="0012142A"/>
    <w:rsid w:val="001215B9"/>
    <w:rsid w:val="0012182B"/>
    <w:rsid w:val="00121AAD"/>
    <w:rsid w:val="00121ACB"/>
    <w:rsid w:val="00121F32"/>
    <w:rsid w:val="001220D0"/>
    <w:rsid w:val="00122C2A"/>
    <w:rsid w:val="00122CD7"/>
    <w:rsid w:val="001230F4"/>
    <w:rsid w:val="00123979"/>
    <w:rsid w:val="00123AC9"/>
    <w:rsid w:val="00123E08"/>
    <w:rsid w:val="00123E82"/>
    <w:rsid w:val="00123E95"/>
    <w:rsid w:val="001245CF"/>
    <w:rsid w:val="001245E6"/>
    <w:rsid w:val="00124E17"/>
    <w:rsid w:val="001256B0"/>
    <w:rsid w:val="001258FE"/>
    <w:rsid w:val="00125A66"/>
    <w:rsid w:val="00126028"/>
    <w:rsid w:val="00126111"/>
    <w:rsid w:val="0012658A"/>
    <w:rsid w:val="0012678C"/>
    <w:rsid w:val="0012680B"/>
    <w:rsid w:val="00126A2F"/>
    <w:rsid w:val="00126AF5"/>
    <w:rsid w:val="00126F34"/>
    <w:rsid w:val="001271FB"/>
    <w:rsid w:val="001272D5"/>
    <w:rsid w:val="001278B4"/>
    <w:rsid w:val="0012798C"/>
    <w:rsid w:val="00130739"/>
    <w:rsid w:val="00130BD8"/>
    <w:rsid w:val="00130D12"/>
    <w:rsid w:val="00131010"/>
    <w:rsid w:val="001313C4"/>
    <w:rsid w:val="00131D5B"/>
    <w:rsid w:val="00131F35"/>
    <w:rsid w:val="001323B7"/>
    <w:rsid w:val="00132495"/>
    <w:rsid w:val="00132C3B"/>
    <w:rsid w:val="0013302E"/>
    <w:rsid w:val="00133534"/>
    <w:rsid w:val="00133A5E"/>
    <w:rsid w:val="001340C5"/>
    <w:rsid w:val="001348D4"/>
    <w:rsid w:val="001352F2"/>
    <w:rsid w:val="0013549E"/>
    <w:rsid w:val="0013570B"/>
    <w:rsid w:val="00135D95"/>
    <w:rsid w:val="00136328"/>
    <w:rsid w:val="001364CF"/>
    <w:rsid w:val="0013660A"/>
    <w:rsid w:val="00136A9A"/>
    <w:rsid w:val="00136AB5"/>
    <w:rsid w:val="00136E5D"/>
    <w:rsid w:val="00137161"/>
    <w:rsid w:val="00137350"/>
    <w:rsid w:val="001374F1"/>
    <w:rsid w:val="00137656"/>
    <w:rsid w:val="0014041F"/>
    <w:rsid w:val="00140A38"/>
    <w:rsid w:val="0014128F"/>
    <w:rsid w:val="001412E1"/>
    <w:rsid w:val="00141413"/>
    <w:rsid w:val="00141506"/>
    <w:rsid w:val="001416DF"/>
    <w:rsid w:val="0014193D"/>
    <w:rsid w:val="00141F5F"/>
    <w:rsid w:val="001420F2"/>
    <w:rsid w:val="00142157"/>
    <w:rsid w:val="00142504"/>
    <w:rsid w:val="0014258E"/>
    <w:rsid w:val="00142BE6"/>
    <w:rsid w:val="00142CD2"/>
    <w:rsid w:val="001432E5"/>
    <w:rsid w:val="001435E7"/>
    <w:rsid w:val="00143886"/>
    <w:rsid w:val="00143A3D"/>
    <w:rsid w:val="00144369"/>
    <w:rsid w:val="001443A0"/>
    <w:rsid w:val="001446EA"/>
    <w:rsid w:val="00144864"/>
    <w:rsid w:val="00144A83"/>
    <w:rsid w:val="00144E6E"/>
    <w:rsid w:val="00144ED7"/>
    <w:rsid w:val="00145186"/>
    <w:rsid w:val="00145D27"/>
    <w:rsid w:val="0014620B"/>
    <w:rsid w:val="00146BE5"/>
    <w:rsid w:val="00146D2F"/>
    <w:rsid w:val="00146F54"/>
    <w:rsid w:val="00147103"/>
    <w:rsid w:val="0014713C"/>
    <w:rsid w:val="00147382"/>
    <w:rsid w:val="00147857"/>
    <w:rsid w:val="0014788F"/>
    <w:rsid w:val="00147A88"/>
    <w:rsid w:val="00147FAB"/>
    <w:rsid w:val="001502FD"/>
    <w:rsid w:val="00150AC3"/>
    <w:rsid w:val="00150B88"/>
    <w:rsid w:val="00150C5F"/>
    <w:rsid w:val="00150C6F"/>
    <w:rsid w:val="00151195"/>
    <w:rsid w:val="0015122B"/>
    <w:rsid w:val="00151918"/>
    <w:rsid w:val="00152324"/>
    <w:rsid w:val="00152A2E"/>
    <w:rsid w:val="00152CA2"/>
    <w:rsid w:val="00152D51"/>
    <w:rsid w:val="00152E9E"/>
    <w:rsid w:val="00153A2E"/>
    <w:rsid w:val="00154C76"/>
    <w:rsid w:val="00154D29"/>
    <w:rsid w:val="00154E19"/>
    <w:rsid w:val="0015527D"/>
    <w:rsid w:val="001557AF"/>
    <w:rsid w:val="00155E7C"/>
    <w:rsid w:val="00156060"/>
    <w:rsid w:val="00156689"/>
    <w:rsid w:val="001568BE"/>
    <w:rsid w:val="00156FB7"/>
    <w:rsid w:val="00157A44"/>
    <w:rsid w:val="00157E08"/>
    <w:rsid w:val="0016021E"/>
    <w:rsid w:val="001604CB"/>
    <w:rsid w:val="0016050E"/>
    <w:rsid w:val="00160645"/>
    <w:rsid w:val="00160F1F"/>
    <w:rsid w:val="00161047"/>
    <w:rsid w:val="001614C8"/>
    <w:rsid w:val="001616AD"/>
    <w:rsid w:val="0016174A"/>
    <w:rsid w:val="0016193D"/>
    <w:rsid w:val="00161B47"/>
    <w:rsid w:val="00161ED7"/>
    <w:rsid w:val="00161EFE"/>
    <w:rsid w:val="00161FD4"/>
    <w:rsid w:val="0016246A"/>
    <w:rsid w:val="00163097"/>
    <w:rsid w:val="001630C2"/>
    <w:rsid w:val="00163347"/>
    <w:rsid w:val="0016396E"/>
    <w:rsid w:val="00163A87"/>
    <w:rsid w:val="00163BC5"/>
    <w:rsid w:val="00163F15"/>
    <w:rsid w:val="001642A2"/>
    <w:rsid w:val="0016438C"/>
    <w:rsid w:val="001645E6"/>
    <w:rsid w:val="00164774"/>
    <w:rsid w:val="00164787"/>
    <w:rsid w:val="00164A0B"/>
    <w:rsid w:val="00164BD3"/>
    <w:rsid w:val="00164FE1"/>
    <w:rsid w:val="00165037"/>
    <w:rsid w:val="0016518F"/>
    <w:rsid w:val="00165550"/>
    <w:rsid w:val="00165AD0"/>
    <w:rsid w:val="00165C48"/>
    <w:rsid w:val="00166305"/>
    <w:rsid w:val="00166321"/>
    <w:rsid w:val="00166360"/>
    <w:rsid w:val="0016660D"/>
    <w:rsid w:val="0016733F"/>
    <w:rsid w:val="001677FB"/>
    <w:rsid w:val="0017009B"/>
    <w:rsid w:val="001708B2"/>
    <w:rsid w:val="00170D63"/>
    <w:rsid w:val="001711AC"/>
    <w:rsid w:val="00171842"/>
    <w:rsid w:val="00171AF5"/>
    <w:rsid w:val="00171C19"/>
    <w:rsid w:val="00171DCE"/>
    <w:rsid w:val="00171F73"/>
    <w:rsid w:val="00172034"/>
    <w:rsid w:val="001725B0"/>
    <w:rsid w:val="001726DE"/>
    <w:rsid w:val="00172809"/>
    <w:rsid w:val="00173087"/>
    <w:rsid w:val="00173273"/>
    <w:rsid w:val="001732AC"/>
    <w:rsid w:val="00173423"/>
    <w:rsid w:val="00173893"/>
    <w:rsid w:val="00173A98"/>
    <w:rsid w:val="00173B24"/>
    <w:rsid w:val="00173DFA"/>
    <w:rsid w:val="00174292"/>
    <w:rsid w:val="00174505"/>
    <w:rsid w:val="001749A3"/>
    <w:rsid w:val="001749D0"/>
    <w:rsid w:val="00174C0D"/>
    <w:rsid w:val="00175B55"/>
    <w:rsid w:val="00175E12"/>
    <w:rsid w:val="0017651E"/>
    <w:rsid w:val="0017661F"/>
    <w:rsid w:val="00176EF0"/>
    <w:rsid w:val="00177799"/>
    <w:rsid w:val="00177FAE"/>
    <w:rsid w:val="00180469"/>
    <w:rsid w:val="00180569"/>
    <w:rsid w:val="00180680"/>
    <w:rsid w:val="001807EA"/>
    <w:rsid w:val="0018119D"/>
    <w:rsid w:val="00181613"/>
    <w:rsid w:val="00181B64"/>
    <w:rsid w:val="00181C75"/>
    <w:rsid w:val="00181F3F"/>
    <w:rsid w:val="00182539"/>
    <w:rsid w:val="0018266C"/>
    <w:rsid w:val="00182904"/>
    <w:rsid w:val="00182914"/>
    <w:rsid w:val="00182AA4"/>
    <w:rsid w:val="00182CF3"/>
    <w:rsid w:val="00182D06"/>
    <w:rsid w:val="00182F29"/>
    <w:rsid w:val="00183F67"/>
    <w:rsid w:val="00184141"/>
    <w:rsid w:val="00184368"/>
    <w:rsid w:val="001846EA"/>
    <w:rsid w:val="001848BC"/>
    <w:rsid w:val="00184DC9"/>
    <w:rsid w:val="00184F41"/>
    <w:rsid w:val="00185099"/>
    <w:rsid w:val="00185736"/>
    <w:rsid w:val="00185EB3"/>
    <w:rsid w:val="00186ACF"/>
    <w:rsid w:val="00186CCD"/>
    <w:rsid w:val="001871EF"/>
    <w:rsid w:val="00187274"/>
    <w:rsid w:val="00187329"/>
    <w:rsid w:val="00187441"/>
    <w:rsid w:val="00187667"/>
    <w:rsid w:val="0018799E"/>
    <w:rsid w:val="00187A49"/>
    <w:rsid w:val="001900A6"/>
    <w:rsid w:val="00190173"/>
    <w:rsid w:val="001901DA"/>
    <w:rsid w:val="001904EA"/>
    <w:rsid w:val="00190734"/>
    <w:rsid w:val="0019079C"/>
    <w:rsid w:val="00190942"/>
    <w:rsid w:val="0019134C"/>
    <w:rsid w:val="001913AA"/>
    <w:rsid w:val="001916D7"/>
    <w:rsid w:val="00191E61"/>
    <w:rsid w:val="001921D2"/>
    <w:rsid w:val="001926E4"/>
    <w:rsid w:val="00192D92"/>
    <w:rsid w:val="00192ED1"/>
    <w:rsid w:val="0019321B"/>
    <w:rsid w:val="001935A4"/>
    <w:rsid w:val="0019396D"/>
    <w:rsid w:val="00193AA9"/>
    <w:rsid w:val="00193D90"/>
    <w:rsid w:val="00193DE8"/>
    <w:rsid w:val="00194217"/>
    <w:rsid w:val="00194A29"/>
    <w:rsid w:val="00195655"/>
    <w:rsid w:val="00195699"/>
    <w:rsid w:val="00195826"/>
    <w:rsid w:val="00196710"/>
    <w:rsid w:val="001967C4"/>
    <w:rsid w:val="00196C4E"/>
    <w:rsid w:val="00196CD4"/>
    <w:rsid w:val="00196E06"/>
    <w:rsid w:val="001972E1"/>
    <w:rsid w:val="001973DC"/>
    <w:rsid w:val="001975D8"/>
    <w:rsid w:val="00197607"/>
    <w:rsid w:val="0019765D"/>
    <w:rsid w:val="00197AB0"/>
    <w:rsid w:val="00197AB3"/>
    <w:rsid w:val="00197F0A"/>
    <w:rsid w:val="001A0179"/>
    <w:rsid w:val="001A030B"/>
    <w:rsid w:val="001A053D"/>
    <w:rsid w:val="001A0555"/>
    <w:rsid w:val="001A0938"/>
    <w:rsid w:val="001A0C66"/>
    <w:rsid w:val="001A0E3C"/>
    <w:rsid w:val="001A0FBC"/>
    <w:rsid w:val="001A0FFC"/>
    <w:rsid w:val="001A1769"/>
    <w:rsid w:val="001A195C"/>
    <w:rsid w:val="001A23B9"/>
    <w:rsid w:val="001A26FD"/>
    <w:rsid w:val="001A271D"/>
    <w:rsid w:val="001A2B0C"/>
    <w:rsid w:val="001A336E"/>
    <w:rsid w:val="001A34D5"/>
    <w:rsid w:val="001A474A"/>
    <w:rsid w:val="001A4CA4"/>
    <w:rsid w:val="001A4CDB"/>
    <w:rsid w:val="001A6500"/>
    <w:rsid w:val="001A69BA"/>
    <w:rsid w:val="001A6D21"/>
    <w:rsid w:val="001A7368"/>
    <w:rsid w:val="001A7586"/>
    <w:rsid w:val="001A7591"/>
    <w:rsid w:val="001A7C3D"/>
    <w:rsid w:val="001A7CB5"/>
    <w:rsid w:val="001A7ED7"/>
    <w:rsid w:val="001B060B"/>
    <w:rsid w:val="001B068B"/>
    <w:rsid w:val="001B07E8"/>
    <w:rsid w:val="001B0E34"/>
    <w:rsid w:val="001B125D"/>
    <w:rsid w:val="001B128A"/>
    <w:rsid w:val="001B1A8C"/>
    <w:rsid w:val="001B1AD6"/>
    <w:rsid w:val="001B1C87"/>
    <w:rsid w:val="001B2162"/>
    <w:rsid w:val="001B2801"/>
    <w:rsid w:val="001B2F29"/>
    <w:rsid w:val="001B32A1"/>
    <w:rsid w:val="001B36FB"/>
    <w:rsid w:val="001B3ADE"/>
    <w:rsid w:val="001B488F"/>
    <w:rsid w:val="001B499A"/>
    <w:rsid w:val="001B5428"/>
    <w:rsid w:val="001B54BD"/>
    <w:rsid w:val="001B6BA9"/>
    <w:rsid w:val="001B709C"/>
    <w:rsid w:val="001B7C02"/>
    <w:rsid w:val="001B7C13"/>
    <w:rsid w:val="001B7EF8"/>
    <w:rsid w:val="001C05DE"/>
    <w:rsid w:val="001C0F14"/>
    <w:rsid w:val="001C1097"/>
    <w:rsid w:val="001C11D7"/>
    <w:rsid w:val="001C11FF"/>
    <w:rsid w:val="001C19C2"/>
    <w:rsid w:val="001C1A9B"/>
    <w:rsid w:val="001C1B0A"/>
    <w:rsid w:val="001C1F44"/>
    <w:rsid w:val="001C1FE8"/>
    <w:rsid w:val="001C2068"/>
    <w:rsid w:val="001C268F"/>
    <w:rsid w:val="001C2691"/>
    <w:rsid w:val="001C2FF5"/>
    <w:rsid w:val="001C388B"/>
    <w:rsid w:val="001C38A1"/>
    <w:rsid w:val="001C3934"/>
    <w:rsid w:val="001C3A77"/>
    <w:rsid w:val="001C4146"/>
    <w:rsid w:val="001C4788"/>
    <w:rsid w:val="001C49CE"/>
    <w:rsid w:val="001C4A34"/>
    <w:rsid w:val="001C4BCD"/>
    <w:rsid w:val="001C5066"/>
    <w:rsid w:val="001C5527"/>
    <w:rsid w:val="001C5EA6"/>
    <w:rsid w:val="001C6350"/>
    <w:rsid w:val="001C6407"/>
    <w:rsid w:val="001C64B3"/>
    <w:rsid w:val="001C64FE"/>
    <w:rsid w:val="001C67D2"/>
    <w:rsid w:val="001C6FE7"/>
    <w:rsid w:val="001C76AE"/>
    <w:rsid w:val="001C76C0"/>
    <w:rsid w:val="001C773D"/>
    <w:rsid w:val="001C7BD5"/>
    <w:rsid w:val="001C7D88"/>
    <w:rsid w:val="001D07A1"/>
    <w:rsid w:val="001D092F"/>
    <w:rsid w:val="001D0CEF"/>
    <w:rsid w:val="001D123B"/>
    <w:rsid w:val="001D1F77"/>
    <w:rsid w:val="001D2064"/>
    <w:rsid w:val="001D2173"/>
    <w:rsid w:val="001D2B3D"/>
    <w:rsid w:val="001D2D89"/>
    <w:rsid w:val="001D2E6D"/>
    <w:rsid w:val="001D3622"/>
    <w:rsid w:val="001D36A9"/>
    <w:rsid w:val="001D3B1A"/>
    <w:rsid w:val="001D3E82"/>
    <w:rsid w:val="001D41FF"/>
    <w:rsid w:val="001D4878"/>
    <w:rsid w:val="001D540F"/>
    <w:rsid w:val="001D590D"/>
    <w:rsid w:val="001D598A"/>
    <w:rsid w:val="001D5BDB"/>
    <w:rsid w:val="001D5CC5"/>
    <w:rsid w:val="001D67DB"/>
    <w:rsid w:val="001D7127"/>
    <w:rsid w:val="001D736A"/>
    <w:rsid w:val="001D7850"/>
    <w:rsid w:val="001D7975"/>
    <w:rsid w:val="001D7A9B"/>
    <w:rsid w:val="001E0158"/>
    <w:rsid w:val="001E06F0"/>
    <w:rsid w:val="001E0B38"/>
    <w:rsid w:val="001E0BBF"/>
    <w:rsid w:val="001E0D2D"/>
    <w:rsid w:val="001E1478"/>
    <w:rsid w:val="001E18A4"/>
    <w:rsid w:val="001E1B28"/>
    <w:rsid w:val="001E24F2"/>
    <w:rsid w:val="001E2E30"/>
    <w:rsid w:val="001E2EC0"/>
    <w:rsid w:val="001E3846"/>
    <w:rsid w:val="001E3891"/>
    <w:rsid w:val="001E399D"/>
    <w:rsid w:val="001E3E4B"/>
    <w:rsid w:val="001E4365"/>
    <w:rsid w:val="001E4398"/>
    <w:rsid w:val="001E4495"/>
    <w:rsid w:val="001E4B8F"/>
    <w:rsid w:val="001E4D63"/>
    <w:rsid w:val="001E4F14"/>
    <w:rsid w:val="001E5132"/>
    <w:rsid w:val="001E51BF"/>
    <w:rsid w:val="001E5844"/>
    <w:rsid w:val="001E6099"/>
    <w:rsid w:val="001E6467"/>
    <w:rsid w:val="001E64BE"/>
    <w:rsid w:val="001E697E"/>
    <w:rsid w:val="001E7328"/>
    <w:rsid w:val="001E760F"/>
    <w:rsid w:val="001E79C2"/>
    <w:rsid w:val="001E7B98"/>
    <w:rsid w:val="001E7D4A"/>
    <w:rsid w:val="001F0076"/>
    <w:rsid w:val="001F027A"/>
    <w:rsid w:val="001F07E1"/>
    <w:rsid w:val="001F0C89"/>
    <w:rsid w:val="001F0D99"/>
    <w:rsid w:val="001F13D8"/>
    <w:rsid w:val="001F1BC7"/>
    <w:rsid w:val="001F1D2C"/>
    <w:rsid w:val="001F1EDC"/>
    <w:rsid w:val="001F2505"/>
    <w:rsid w:val="001F283E"/>
    <w:rsid w:val="001F2B4B"/>
    <w:rsid w:val="001F3438"/>
    <w:rsid w:val="001F368D"/>
    <w:rsid w:val="001F3CC7"/>
    <w:rsid w:val="001F3CC8"/>
    <w:rsid w:val="001F3D57"/>
    <w:rsid w:val="001F4430"/>
    <w:rsid w:val="001F4B28"/>
    <w:rsid w:val="001F502E"/>
    <w:rsid w:val="001F5427"/>
    <w:rsid w:val="001F572B"/>
    <w:rsid w:val="001F574E"/>
    <w:rsid w:val="001F5814"/>
    <w:rsid w:val="001F5827"/>
    <w:rsid w:val="001F5A01"/>
    <w:rsid w:val="001F61DD"/>
    <w:rsid w:val="001F6254"/>
    <w:rsid w:val="001F64F6"/>
    <w:rsid w:val="001F6530"/>
    <w:rsid w:val="001F660F"/>
    <w:rsid w:val="001F697D"/>
    <w:rsid w:val="001F6BF5"/>
    <w:rsid w:val="001F6EBC"/>
    <w:rsid w:val="001F6EEE"/>
    <w:rsid w:val="001F70B0"/>
    <w:rsid w:val="001F717E"/>
    <w:rsid w:val="001F76B3"/>
    <w:rsid w:val="00200844"/>
    <w:rsid w:val="00201103"/>
    <w:rsid w:val="00201204"/>
    <w:rsid w:val="0020140E"/>
    <w:rsid w:val="002024F0"/>
    <w:rsid w:val="00202755"/>
    <w:rsid w:val="0020277C"/>
    <w:rsid w:val="00202A23"/>
    <w:rsid w:val="002035CC"/>
    <w:rsid w:val="00203E89"/>
    <w:rsid w:val="00204C9D"/>
    <w:rsid w:val="00204E39"/>
    <w:rsid w:val="00204F8F"/>
    <w:rsid w:val="00205199"/>
    <w:rsid w:val="002057A7"/>
    <w:rsid w:val="002058AA"/>
    <w:rsid w:val="0020599F"/>
    <w:rsid w:val="00205D22"/>
    <w:rsid w:val="00206915"/>
    <w:rsid w:val="00206AFA"/>
    <w:rsid w:val="00206C1F"/>
    <w:rsid w:val="00206CFA"/>
    <w:rsid w:val="002071E5"/>
    <w:rsid w:val="002077D1"/>
    <w:rsid w:val="0020799A"/>
    <w:rsid w:val="00207F90"/>
    <w:rsid w:val="00210321"/>
    <w:rsid w:val="0021044B"/>
    <w:rsid w:val="002105D3"/>
    <w:rsid w:val="002107DD"/>
    <w:rsid w:val="002108F5"/>
    <w:rsid w:val="0021096E"/>
    <w:rsid w:val="00210AA6"/>
    <w:rsid w:val="00210E64"/>
    <w:rsid w:val="00210EB1"/>
    <w:rsid w:val="00210ECF"/>
    <w:rsid w:val="00211530"/>
    <w:rsid w:val="00211571"/>
    <w:rsid w:val="00211687"/>
    <w:rsid w:val="0021175F"/>
    <w:rsid w:val="002120A3"/>
    <w:rsid w:val="002120C8"/>
    <w:rsid w:val="002124F7"/>
    <w:rsid w:val="002126C3"/>
    <w:rsid w:val="0021270B"/>
    <w:rsid w:val="0021275B"/>
    <w:rsid w:val="00212C71"/>
    <w:rsid w:val="00212D2D"/>
    <w:rsid w:val="00212D82"/>
    <w:rsid w:val="00212F09"/>
    <w:rsid w:val="0021392B"/>
    <w:rsid w:val="0021397C"/>
    <w:rsid w:val="00214017"/>
    <w:rsid w:val="002143F4"/>
    <w:rsid w:val="00214687"/>
    <w:rsid w:val="0021482E"/>
    <w:rsid w:val="002148AC"/>
    <w:rsid w:val="00214971"/>
    <w:rsid w:val="00214AF2"/>
    <w:rsid w:val="00214D0D"/>
    <w:rsid w:val="00214D43"/>
    <w:rsid w:val="00215606"/>
    <w:rsid w:val="002159BD"/>
    <w:rsid w:val="00215B5F"/>
    <w:rsid w:val="00216D32"/>
    <w:rsid w:val="00216DB9"/>
    <w:rsid w:val="00216F30"/>
    <w:rsid w:val="00217169"/>
    <w:rsid w:val="002173E7"/>
    <w:rsid w:val="00217421"/>
    <w:rsid w:val="002175F5"/>
    <w:rsid w:val="002177A0"/>
    <w:rsid w:val="00217A7D"/>
    <w:rsid w:val="0022026D"/>
    <w:rsid w:val="0022045A"/>
    <w:rsid w:val="002206B9"/>
    <w:rsid w:val="002209E6"/>
    <w:rsid w:val="00220C38"/>
    <w:rsid w:val="00220D46"/>
    <w:rsid w:val="00220DA3"/>
    <w:rsid w:val="002217A8"/>
    <w:rsid w:val="00221C7E"/>
    <w:rsid w:val="00223382"/>
    <w:rsid w:val="002233AC"/>
    <w:rsid w:val="002234B3"/>
    <w:rsid w:val="0022391C"/>
    <w:rsid w:val="00223DCB"/>
    <w:rsid w:val="00224CEA"/>
    <w:rsid w:val="00225EE3"/>
    <w:rsid w:val="00226059"/>
    <w:rsid w:val="00226A41"/>
    <w:rsid w:val="00226DDA"/>
    <w:rsid w:val="0022708A"/>
    <w:rsid w:val="0022730C"/>
    <w:rsid w:val="00231755"/>
    <w:rsid w:val="0023200D"/>
    <w:rsid w:val="00232114"/>
    <w:rsid w:val="002325EE"/>
    <w:rsid w:val="0023262C"/>
    <w:rsid w:val="00232A85"/>
    <w:rsid w:val="00232BA8"/>
    <w:rsid w:val="00232C40"/>
    <w:rsid w:val="00233485"/>
    <w:rsid w:val="00233787"/>
    <w:rsid w:val="002337D0"/>
    <w:rsid w:val="00233811"/>
    <w:rsid w:val="00233B14"/>
    <w:rsid w:val="00234193"/>
    <w:rsid w:val="00234265"/>
    <w:rsid w:val="002343D2"/>
    <w:rsid w:val="002349CA"/>
    <w:rsid w:val="00234AF6"/>
    <w:rsid w:val="00235218"/>
    <w:rsid w:val="002353AE"/>
    <w:rsid w:val="00235506"/>
    <w:rsid w:val="00235575"/>
    <w:rsid w:val="002355A3"/>
    <w:rsid w:val="00236292"/>
    <w:rsid w:val="0023635C"/>
    <w:rsid w:val="002365FF"/>
    <w:rsid w:val="00237B16"/>
    <w:rsid w:val="0024014B"/>
    <w:rsid w:val="00240186"/>
    <w:rsid w:val="002404F3"/>
    <w:rsid w:val="00240589"/>
    <w:rsid w:val="00240802"/>
    <w:rsid w:val="002408C0"/>
    <w:rsid w:val="00240B6D"/>
    <w:rsid w:val="00240DE0"/>
    <w:rsid w:val="00240E3F"/>
    <w:rsid w:val="00240EAD"/>
    <w:rsid w:val="0024151F"/>
    <w:rsid w:val="002418D3"/>
    <w:rsid w:val="00241B5E"/>
    <w:rsid w:val="00241F2C"/>
    <w:rsid w:val="00242273"/>
    <w:rsid w:val="00242B23"/>
    <w:rsid w:val="002431A5"/>
    <w:rsid w:val="002431FA"/>
    <w:rsid w:val="00243310"/>
    <w:rsid w:val="00243519"/>
    <w:rsid w:val="00243573"/>
    <w:rsid w:val="00243EAB"/>
    <w:rsid w:val="00243F4C"/>
    <w:rsid w:val="002444B3"/>
    <w:rsid w:val="00244C1E"/>
    <w:rsid w:val="00246157"/>
    <w:rsid w:val="002463FC"/>
    <w:rsid w:val="002467B9"/>
    <w:rsid w:val="00247114"/>
    <w:rsid w:val="002475A9"/>
    <w:rsid w:val="00247A21"/>
    <w:rsid w:val="00247BD5"/>
    <w:rsid w:val="00247ECD"/>
    <w:rsid w:val="00250A72"/>
    <w:rsid w:val="002510CC"/>
    <w:rsid w:val="00251144"/>
    <w:rsid w:val="00251AB3"/>
    <w:rsid w:val="00251F53"/>
    <w:rsid w:val="0025201F"/>
    <w:rsid w:val="00252CBF"/>
    <w:rsid w:val="00252D5F"/>
    <w:rsid w:val="00252DB2"/>
    <w:rsid w:val="00252DF4"/>
    <w:rsid w:val="00252FED"/>
    <w:rsid w:val="002531BD"/>
    <w:rsid w:val="00253524"/>
    <w:rsid w:val="002546BF"/>
    <w:rsid w:val="0025470E"/>
    <w:rsid w:val="002549E5"/>
    <w:rsid w:val="00254C3E"/>
    <w:rsid w:val="00254CB2"/>
    <w:rsid w:val="00254ECB"/>
    <w:rsid w:val="002550EC"/>
    <w:rsid w:val="0025538C"/>
    <w:rsid w:val="00256327"/>
    <w:rsid w:val="00256980"/>
    <w:rsid w:val="00256D49"/>
    <w:rsid w:val="00256F98"/>
    <w:rsid w:val="00256FF8"/>
    <w:rsid w:val="0025748B"/>
    <w:rsid w:val="00257ADB"/>
    <w:rsid w:val="00257B5D"/>
    <w:rsid w:val="00257C58"/>
    <w:rsid w:val="00257E10"/>
    <w:rsid w:val="0026000F"/>
    <w:rsid w:val="002602B6"/>
    <w:rsid w:val="00260A25"/>
    <w:rsid w:val="00260A88"/>
    <w:rsid w:val="00260AD0"/>
    <w:rsid w:val="002612D6"/>
    <w:rsid w:val="002620BB"/>
    <w:rsid w:val="00262425"/>
    <w:rsid w:val="0026274B"/>
    <w:rsid w:val="00262AD2"/>
    <w:rsid w:val="00262D3B"/>
    <w:rsid w:val="00262E2E"/>
    <w:rsid w:val="002635A8"/>
    <w:rsid w:val="002635CB"/>
    <w:rsid w:val="00263610"/>
    <w:rsid w:val="002636A0"/>
    <w:rsid w:val="002636DB"/>
    <w:rsid w:val="00263AFF"/>
    <w:rsid w:val="002647BE"/>
    <w:rsid w:val="002648A1"/>
    <w:rsid w:val="00264976"/>
    <w:rsid w:val="00264A80"/>
    <w:rsid w:val="002650D0"/>
    <w:rsid w:val="002651BB"/>
    <w:rsid w:val="0026549C"/>
    <w:rsid w:val="0026554D"/>
    <w:rsid w:val="00265869"/>
    <w:rsid w:val="00265DDB"/>
    <w:rsid w:val="00265E9D"/>
    <w:rsid w:val="002664C0"/>
    <w:rsid w:val="00266626"/>
    <w:rsid w:val="002668A5"/>
    <w:rsid w:val="00266E25"/>
    <w:rsid w:val="00266F88"/>
    <w:rsid w:val="002671CB"/>
    <w:rsid w:val="00267201"/>
    <w:rsid w:val="00267630"/>
    <w:rsid w:val="0026764C"/>
    <w:rsid w:val="002678B7"/>
    <w:rsid w:val="00267AAF"/>
    <w:rsid w:val="00267B92"/>
    <w:rsid w:val="00267BBE"/>
    <w:rsid w:val="00267DDD"/>
    <w:rsid w:val="00267F71"/>
    <w:rsid w:val="002704AB"/>
    <w:rsid w:val="002706C0"/>
    <w:rsid w:val="0027103E"/>
    <w:rsid w:val="00271414"/>
    <w:rsid w:val="00271434"/>
    <w:rsid w:val="002717BF"/>
    <w:rsid w:val="0027213F"/>
    <w:rsid w:val="00272982"/>
    <w:rsid w:val="002729C0"/>
    <w:rsid w:val="00272D71"/>
    <w:rsid w:val="002731CF"/>
    <w:rsid w:val="00273234"/>
    <w:rsid w:val="00273752"/>
    <w:rsid w:val="002737BF"/>
    <w:rsid w:val="00273FBF"/>
    <w:rsid w:val="002744B5"/>
    <w:rsid w:val="002745D7"/>
    <w:rsid w:val="002748B7"/>
    <w:rsid w:val="00274AD8"/>
    <w:rsid w:val="00274F71"/>
    <w:rsid w:val="0027534C"/>
    <w:rsid w:val="00275447"/>
    <w:rsid w:val="00275798"/>
    <w:rsid w:val="0027589F"/>
    <w:rsid w:val="00276210"/>
    <w:rsid w:val="0027632A"/>
    <w:rsid w:val="00276385"/>
    <w:rsid w:val="002766C8"/>
    <w:rsid w:val="00276873"/>
    <w:rsid w:val="00276A9F"/>
    <w:rsid w:val="00276C9B"/>
    <w:rsid w:val="00276CDF"/>
    <w:rsid w:val="00276DF7"/>
    <w:rsid w:val="002770CA"/>
    <w:rsid w:val="002779E2"/>
    <w:rsid w:val="00277D40"/>
    <w:rsid w:val="00277E8C"/>
    <w:rsid w:val="00280A44"/>
    <w:rsid w:val="00280C89"/>
    <w:rsid w:val="00281591"/>
    <w:rsid w:val="0028178E"/>
    <w:rsid w:val="00281A37"/>
    <w:rsid w:val="00281FA0"/>
    <w:rsid w:val="0028201D"/>
    <w:rsid w:val="002821CA"/>
    <w:rsid w:val="00282840"/>
    <w:rsid w:val="00282AE4"/>
    <w:rsid w:val="00282BEA"/>
    <w:rsid w:val="00282F18"/>
    <w:rsid w:val="00283789"/>
    <w:rsid w:val="00283CD5"/>
    <w:rsid w:val="00284149"/>
    <w:rsid w:val="002842B7"/>
    <w:rsid w:val="002843D1"/>
    <w:rsid w:val="0028454D"/>
    <w:rsid w:val="00284E1B"/>
    <w:rsid w:val="0028542B"/>
    <w:rsid w:val="00285FA9"/>
    <w:rsid w:val="002860A7"/>
    <w:rsid w:val="00286DF1"/>
    <w:rsid w:val="00287971"/>
    <w:rsid w:val="0029008E"/>
    <w:rsid w:val="00290709"/>
    <w:rsid w:val="00290D26"/>
    <w:rsid w:val="00290D29"/>
    <w:rsid w:val="00290EB5"/>
    <w:rsid w:val="00291020"/>
    <w:rsid w:val="0029145F"/>
    <w:rsid w:val="00291835"/>
    <w:rsid w:val="00291836"/>
    <w:rsid w:val="00291BA0"/>
    <w:rsid w:val="00291C05"/>
    <w:rsid w:val="00291D4B"/>
    <w:rsid w:val="0029243E"/>
    <w:rsid w:val="0029294B"/>
    <w:rsid w:val="00292A52"/>
    <w:rsid w:val="00292D8B"/>
    <w:rsid w:val="00292F5C"/>
    <w:rsid w:val="00293445"/>
    <w:rsid w:val="0029355E"/>
    <w:rsid w:val="002940CD"/>
    <w:rsid w:val="00294B20"/>
    <w:rsid w:val="00294C30"/>
    <w:rsid w:val="00294EDB"/>
    <w:rsid w:val="0029505E"/>
    <w:rsid w:val="002953D7"/>
    <w:rsid w:val="00295529"/>
    <w:rsid w:val="00295B43"/>
    <w:rsid w:val="00296022"/>
    <w:rsid w:val="00296253"/>
    <w:rsid w:val="002963E3"/>
    <w:rsid w:val="00296BCD"/>
    <w:rsid w:val="00296F78"/>
    <w:rsid w:val="0029732B"/>
    <w:rsid w:val="002973A7"/>
    <w:rsid w:val="0029758D"/>
    <w:rsid w:val="002975C8"/>
    <w:rsid w:val="0029789A"/>
    <w:rsid w:val="002979C4"/>
    <w:rsid w:val="00297CD8"/>
    <w:rsid w:val="00297F3A"/>
    <w:rsid w:val="002A0104"/>
    <w:rsid w:val="002A0809"/>
    <w:rsid w:val="002A10F8"/>
    <w:rsid w:val="002A1799"/>
    <w:rsid w:val="002A18FC"/>
    <w:rsid w:val="002A2473"/>
    <w:rsid w:val="002A24CA"/>
    <w:rsid w:val="002A25B0"/>
    <w:rsid w:val="002A30DE"/>
    <w:rsid w:val="002A347A"/>
    <w:rsid w:val="002A4DE4"/>
    <w:rsid w:val="002A4F2F"/>
    <w:rsid w:val="002A4F4E"/>
    <w:rsid w:val="002A5199"/>
    <w:rsid w:val="002A531F"/>
    <w:rsid w:val="002A538C"/>
    <w:rsid w:val="002A5478"/>
    <w:rsid w:val="002A5765"/>
    <w:rsid w:val="002A5978"/>
    <w:rsid w:val="002A6130"/>
    <w:rsid w:val="002A6445"/>
    <w:rsid w:val="002A655F"/>
    <w:rsid w:val="002A6DF7"/>
    <w:rsid w:val="002A751F"/>
    <w:rsid w:val="002A7A3B"/>
    <w:rsid w:val="002A7CF1"/>
    <w:rsid w:val="002B005A"/>
    <w:rsid w:val="002B00FF"/>
    <w:rsid w:val="002B05DD"/>
    <w:rsid w:val="002B07A3"/>
    <w:rsid w:val="002B096E"/>
    <w:rsid w:val="002B0C10"/>
    <w:rsid w:val="002B0CA5"/>
    <w:rsid w:val="002B1382"/>
    <w:rsid w:val="002B14AA"/>
    <w:rsid w:val="002B1ABF"/>
    <w:rsid w:val="002B1F84"/>
    <w:rsid w:val="002B27AF"/>
    <w:rsid w:val="002B2E9B"/>
    <w:rsid w:val="002B2EB6"/>
    <w:rsid w:val="002B3211"/>
    <w:rsid w:val="002B325A"/>
    <w:rsid w:val="002B35A8"/>
    <w:rsid w:val="002B3E36"/>
    <w:rsid w:val="002B3EB3"/>
    <w:rsid w:val="002B44BD"/>
    <w:rsid w:val="002B4758"/>
    <w:rsid w:val="002B5291"/>
    <w:rsid w:val="002B553C"/>
    <w:rsid w:val="002B5E4F"/>
    <w:rsid w:val="002B6548"/>
    <w:rsid w:val="002B715D"/>
    <w:rsid w:val="002B75C5"/>
    <w:rsid w:val="002B77BC"/>
    <w:rsid w:val="002C05A5"/>
    <w:rsid w:val="002C05EE"/>
    <w:rsid w:val="002C0CBB"/>
    <w:rsid w:val="002C106E"/>
    <w:rsid w:val="002C119A"/>
    <w:rsid w:val="002C1289"/>
    <w:rsid w:val="002C1363"/>
    <w:rsid w:val="002C1578"/>
    <w:rsid w:val="002C1723"/>
    <w:rsid w:val="002C1740"/>
    <w:rsid w:val="002C1B83"/>
    <w:rsid w:val="002C1FBA"/>
    <w:rsid w:val="002C21EF"/>
    <w:rsid w:val="002C2572"/>
    <w:rsid w:val="002C2854"/>
    <w:rsid w:val="002C29A5"/>
    <w:rsid w:val="002C3004"/>
    <w:rsid w:val="002C3198"/>
    <w:rsid w:val="002C3304"/>
    <w:rsid w:val="002C34D3"/>
    <w:rsid w:val="002C3E42"/>
    <w:rsid w:val="002C3EF4"/>
    <w:rsid w:val="002C3F6C"/>
    <w:rsid w:val="002C434A"/>
    <w:rsid w:val="002C4AF3"/>
    <w:rsid w:val="002C4C0C"/>
    <w:rsid w:val="002C4C40"/>
    <w:rsid w:val="002C4CAF"/>
    <w:rsid w:val="002C534B"/>
    <w:rsid w:val="002C5392"/>
    <w:rsid w:val="002C571E"/>
    <w:rsid w:val="002C5935"/>
    <w:rsid w:val="002C5C37"/>
    <w:rsid w:val="002C641E"/>
    <w:rsid w:val="002C66EB"/>
    <w:rsid w:val="002C6946"/>
    <w:rsid w:val="002C6D77"/>
    <w:rsid w:val="002C7162"/>
    <w:rsid w:val="002C7A33"/>
    <w:rsid w:val="002C7C75"/>
    <w:rsid w:val="002D05BA"/>
    <w:rsid w:val="002D06E8"/>
    <w:rsid w:val="002D0828"/>
    <w:rsid w:val="002D0C59"/>
    <w:rsid w:val="002D0D6B"/>
    <w:rsid w:val="002D0E66"/>
    <w:rsid w:val="002D0FBC"/>
    <w:rsid w:val="002D1AB1"/>
    <w:rsid w:val="002D1DF1"/>
    <w:rsid w:val="002D1F01"/>
    <w:rsid w:val="002D2641"/>
    <w:rsid w:val="002D3165"/>
    <w:rsid w:val="002D322E"/>
    <w:rsid w:val="002D3470"/>
    <w:rsid w:val="002D38FA"/>
    <w:rsid w:val="002D399A"/>
    <w:rsid w:val="002D3B25"/>
    <w:rsid w:val="002D3F2F"/>
    <w:rsid w:val="002D500C"/>
    <w:rsid w:val="002D5088"/>
    <w:rsid w:val="002D5193"/>
    <w:rsid w:val="002D5526"/>
    <w:rsid w:val="002D5902"/>
    <w:rsid w:val="002D5B8A"/>
    <w:rsid w:val="002D605A"/>
    <w:rsid w:val="002D6295"/>
    <w:rsid w:val="002D6C53"/>
    <w:rsid w:val="002D703E"/>
    <w:rsid w:val="002D7370"/>
    <w:rsid w:val="002D751F"/>
    <w:rsid w:val="002D779C"/>
    <w:rsid w:val="002E0342"/>
    <w:rsid w:val="002E03EF"/>
    <w:rsid w:val="002E087D"/>
    <w:rsid w:val="002E0888"/>
    <w:rsid w:val="002E1F52"/>
    <w:rsid w:val="002E1F6A"/>
    <w:rsid w:val="002E2118"/>
    <w:rsid w:val="002E23F9"/>
    <w:rsid w:val="002E2405"/>
    <w:rsid w:val="002E2555"/>
    <w:rsid w:val="002E28F8"/>
    <w:rsid w:val="002E2CC8"/>
    <w:rsid w:val="002E3360"/>
    <w:rsid w:val="002E3891"/>
    <w:rsid w:val="002E3E25"/>
    <w:rsid w:val="002E4369"/>
    <w:rsid w:val="002E4DFA"/>
    <w:rsid w:val="002E4EE3"/>
    <w:rsid w:val="002E53AE"/>
    <w:rsid w:val="002E544F"/>
    <w:rsid w:val="002E5864"/>
    <w:rsid w:val="002E604F"/>
    <w:rsid w:val="002E61F5"/>
    <w:rsid w:val="002E7A1C"/>
    <w:rsid w:val="002E7A54"/>
    <w:rsid w:val="002E7B42"/>
    <w:rsid w:val="002E7D82"/>
    <w:rsid w:val="002F073B"/>
    <w:rsid w:val="002F09CF"/>
    <w:rsid w:val="002F0B6B"/>
    <w:rsid w:val="002F0C0A"/>
    <w:rsid w:val="002F11F2"/>
    <w:rsid w:val="002F1507"/>
    <w:rsid w:val="002F150D"/>
    <w:rsid w:val="002F181D"/>
    <w:rsid w:val="002F1E79"/>
    <w:rsid w:val="002F21A4"/>
    <w:rsid w:val="002F251D"/>
    <w:rsid w:val="002F270F"/>
    <w:rsid w:val="002F294D"/>
    <w:rsid w:val="002F2AE9"/>
    <w:rsid w:val="002F2E46"/>
    <w:rsid w:val="002F3196"/>
    <w:rsid w:val="002F3355"/>
    <w:rsid w:val="002F4083"/>
    <w:rsid w:val="002F41B4"/>
    <w:rsid w:val="002F4331"/>
    <w:rsid w:val="002F4CFC"/>
    <w:rsid w:val="002F4E94"/>
    <w:rsid w:val="002F504C"/>
    <w:rsid w:val="002F50FD"/>
    <w:rsid w:val="002F5BC6"/>
    <w:rsid w:val="002F5D48"/>
    <w:rsid w:val="002F60EB"/>
    <w:rsid w:val="002F654A"/>
    <w:rsid w:val="002F6D92"/>
    <w:rsid w:val="002F6E2A"/>
    <w:rsid w:val="002F6ECD"/>
    <w:rsid w:val="0030001A"/>
    <w:rsid w:val="003013FC"/>
    <w:rsid w:val="0030180D"/>
    <w:rsid w:val="00301BA9"/>
    <w:rsid w:val="00301BDE"/>
    <w:rsid w:val="00302774"/>
    <w:rsid w:val="00302D72"/>
    <w:rsid w:val="0030306B"/>
    <w:rsid w:val="003030BD"/>
    <w:rsid w:val="003036CB"/>
    <w:rsid w:val="00303726"/>
    <w:rsid w:val="003039F2"/>
    <w:rsid w:val="00304216"/>
    <w:rsid w:val="00304D43"/>
    <w:rsid w:val="00304F76"/>
    <w:rsid w:val="00305153"/>
    <w:rsid w:val="0030534A"/>
    <w:rsid w:val="003055AE"/>
    <w:rsid w:val="0030694D"/>
    <w:rsid w:val="00306EE8"/>
    <w:rsid w:val="00307059"/>
    <w:rsid w:val="00307302"/>
    <w:rsid w:val="0030779C"/>
    <w:rsid w:val="00307B37"/>
    <w:rsid w:val="00310208"/>
    <w:rsid w:val="003102F3"/>
    <w:rsid w:val="00310BE4"/>
    <w:rsid w:val="00310E0C"/>
    <w:rsid w:val="00310E5C"/>
    <w:rsid w:val="003112F1"/>
    <w:rsid w:val="00311D97"/>
    <w:rsid w:val="00311E59"/>
    <w:rsid w:val="00312602"/>
    <w:rsid w:val="003136BD"/>
    <w:rsid w:val="00313BDD"/>
    <w:rsid w:val="00313FB7"/>
    <w:rsid w:val="0031473B"/>
    <w:rsid w:val="00314904"/>
    <w:rsid w:val="00314C18"/>
    <w:rsid w:val="00315381"/>
    <w:rsid w:val="003159D9"/>
    <w:rsid w:val="00315EF4"/>
    <w:rsid w:val="00316D7D"/>
    <w:rsid w:val="00317227"/>
    <w:rsid w:val="003173F9"/>
    <w:rsid w:val="003176D4"/>
    <w:rsid w:val="003179AD"/>
    <w:rsid w:val="00320B6E"/>
    <w:rsid w:val="00322130"/>
    <w:rsid w:val="0032259D"/>
    <w:rsid w:val="00322B70"/>
    <w:rsid w:val="00322C42"/>
    <w:rsid w:val="00323159"/>
    <w:rsid w:val="00324548"/>
    <w:rsid w:val="00324BB0"/>
    <w:rsid w:val="00324C74"/>
    <w:rsid w:val="00324C89"/>
    <w:rsid w:val="003254F5"/>
    <w:rsid w:val="0032561A"/>
    <w:rsid w:val="0032582B"/>
    <w:rsid w:val="00325B15"/>
    <w:rsid w:val="00325F23"/>
    <w:rsid w:val="0032696F"/>
    <w:rsid w:val="00326DF7"/>
    <w:rsid w:val="00326EBC"/>
    <w:rsid w:val="0032744F"/>
    <w:rsid w:val="00327A07"/>
    <w:rsid w:val="0033062E"/>
    <w:rsid w:val="00330BFA"/>
    <w:rsid w:val="00330FA2"/>
    <w:rsid w:val="00331060"/>
    <w:rsid w:val="003310E4"/>
    <w:rsid w:val="00331D34"/>
    <w:rsid w:val="00331F5F"/>
    <w:rsid w:val="0033206C"/>
    <w:rsid w:val="00332A85"/>
    <w:rsid w:val="00332ABD"/>
    <w:rsid w:val="003332E6"/>
    <w:rsid w:val="00333C37"/>
    <w:rsid w:val="00333DDF"/>
    <w:rsid w:val="00333FD9"/>
    <w:rsid w:val="00334021"/>
    <w:rsid w:val="00334B85"/>
    <w:rsid w:val="00335178"/>
    <w:rsid w:val="0033547A"/>
    <w:rsid w:val="003355C4"/>
    <w:rsid w:val="00335867"/>
    <w:rsid w:val="00335F04"/>
    <w:rsid w:val="003360FA"/>
    <w:rsid w:val="00336751"/>
    <w:rsid w:val="00336BB9"/>
    <w:rsid w:val="00336F4E"/>
    <w:rsid w:val="00336F7B"/>
    <w:rsid w:val="00337739"/>
    <w:rsid w:val="0033782F"/>
    <w:rsid w:val="00337D45"/>
    <w:rsid w:val="00337FAA"/>
    <w:rsid w:val="0034007D"/>
    <w:rsid w:val="00340350"/>
    <w:rsid w:val="0034078F"/>
    <w:rsid w:val="00340854"/>
    <w:rsid w:val="00340D77"/>
    <w:rsid w:val="00340FFF"/>
    <w:rsid w:val="00341868"/>
    <w:rsid w:val="00342143"/>
    <w:rsid w:val="0034239C"/>
    <w:rsid w:val="003433A4"/>
    <w:rsid w:val="00343412"/>
    <w:rsid w:val="00343502"/>
    <w:rsid w:val="00343885"/>
    <w:rsid w:val="00343A10"/>
    <w:rsid w:val="00344631"/>
    <w:rsid w:val="00344681"/>
    <w:rsid w:val="00344AB3"/>
    <w:rsid w:val="00344ABD"/>
    <w:rsid w:val="00344EC3"/>
    <w:rsid w:val="003450F1"/>
    <w:rsid w:val="00345134"/>
    <w:rsid w:val="00345177"/>
    <w:rsid w:val="00345E87"/>
    <w:rsid w:val="003462DD"/>
    <w:rsid w:val="00346325"/>
    <w:rsid w:val="003463D8"/>
    <w:rsid w:val="0034685B"/>
    <w:rsid w:val="00346EC3"/>
    <w:rsid w:val="003470FA"/>
    <w:rsid w:val="003472F8"/>
    <w:rsid w:val="00347458"/>
    <w:rsid w:val="00347814"/>
    <w:rsid w:val="00347CA0"/>
    <w:rsid w:val="00347F38"/>
    <w:rsid w:val="00350AD1"/>
    <w:rsid w:val="00350BF4"/>
    <w:rsid w:val="00350E0E"/>
    <w:rsid w:val="0035183A"/>
    <w:rsid w:val="0035183C"/>
    <w:rsid w:val="00351B44"/>
    <w:rsid w:val="00351CCE"/>
    <w:rsid w:val="00351F61"/>
    <w:rsid w:val="00351F6B"/>
    <w:rsid w:val="0035257F"/>
    <w:rsid w:val="00352E14"/>
    <w:rsid w:val="00352ED3"/>
    <w:rsid w:val="00353140"/>
    <w:rsid w:val="0035331E"/>
    <w:rsid w:val="003537B5"/>
    <w:rsid w:val="003538A7"/>
    <w:rsid w:val="00353A0C"/>
    <w:rsid w:val="00353F7C"/>
    <w:rsid w:val="003543E9"/>
    <w:rsid w:val="00354A21"/>
    <w:rsid w:val="00355526"/>
    <w:rsid w:val="00355535"/>
    <w:rsid w:val="003559A9"/>
    <w:rsid w:val="00356015"/>
    <w:rsid w:val="0035611F"/>
    <w:rsid w:val="00356293"/>
    <w:rsid w:val="00356C50"/>
    <w:rsid w:val="0035768B"/>
    <w:rsid w:val="00357CB9"/>
    <w:rsid w:val="00357EF5"/>
    <w:rsid w:val="00357F08"/>
    <w:rsid w:val="00360A53"/>
    <w:rsid w:val="003617B3"/>
    <w:rsid w:val="00361B08"/>
    <w:rsid w:val="00362446"/>
    <w:rsid w:val="003627E2"/>
    <w:rsid w:val="00362DA0"/>
    <w:rsid w:val="00363013"/>
    <w:rsid w:val="0036347F"/>
    <w:rsid w:val="00363483"/>
    <w:rsid w:val="00363BA0"/>
    <w:rsid w:val="00363C66"/>
    <w:rsid w:val="00363D7D"/>
    <w:rsid w:val="00363FD7"/>
    <w:rsid w:val="00364832"/>
    <w:rsid w:val="00364A5D"/>
    <w:rsid w:val="00364EA7"/>
    <w:rsid w:val="00364FD2"/>
    <w:rsid w:val="00365035"/>
    <w:rsid w:val="003650B5"/>
    <w:rsid w:val="00365E92"/>
    <w:rsid w:val="00365FF5"/>
    <w:rsid w:val="003669E8"/>
    <w:rsid w:val="00366C0B"/>
    <w:rsid w:val="00366C9C"/>
    <w:rsid w:val="003679EB"/>
    <w:rsid w:val="00367E35"/>
    <w:rsid w:val="00367EA4"/>
    <w:rsid w:val="00370BAA"/>
    <w:rsid w:val="00370D18"/>
    <w:rsid w:val="003710BE"/>
    <w:rsid w:val="00371360"/>
    <w:rsid w:val="003714B9"/>
    <w:rsid w:val="003715CA"/>
    <w:rsid w:val="00371962"/>
    <w:rsid w:val="00371F2F"/>
    <w:rsid w:val="003721BF"/>
    <w:rsid w:val="003722E6"/>
    <w:rsid w:val="003727F0"/>
    <w:rsid w:val="00372CD1"/>
    <w:rsid w:val="00373431"/>
    <w:rsid w:val="003735A5"/>
    <w:rsid w:val="003737C8"/>
    <w:rsid w:val="00373EC6"/>
    <w:rsid w:val="003743C9"/>
    <w:rsid w:val="00374808"/>
    <w:rsid w:val="00374A80"/>
    <w:rsid w:val="00374D27"/>
    <w:rsid w:val="003755FB"/>
    <w:rsid w:val="00375E88"/>
    <w:rsid w:val="00376659"/>
    <w:rsid w:val="00376690"/>
    <w:rsid w:val="00376BFE"/>
    <w:rsid w:val="00376D36"/>
    <w:rsid w:val="00380996"/>
    <w:rsid w:val="003809DB"/>
    <w:rsid w:val="00380AA3"/>
    <w:rsid w:val="00380CAF"/>
    <w:rsid w:val="00380EFC"/>
    <w:rsid w:val="0038194C"/>
    <w:rsid w:val="00381953"/>
    <w:rsid w:val="003819FA"/>
    <w:rsid w:val="00381BB6"/>
    <w:rsid w:val="00382048"/>
    <w:rsid w:val="0038210C"/>
    <w:rsid w:val="00382150"/>
    <w:rsid w:val="00382629"/>
    <w:rsid w:val="00382AFC"/>
    <w:rsid w:val="00383B04"/>
    <w:rsid w:val="00384123"/>
    <w:rsid w:val="003847CC"/>
    <w:rsid w:val="0038484B"/>
    <w:rsid w:val="00384BAF"/>
    <w:rsid w:val="003854CD"/>
    <w:rsid w:val="003859E3"/>
    <w:rsid w:val="00385B43"/>
    <w:rsid w:val="00386033"/>
    <w:rsid w:val="00386069"/>
    <w:rsid w:val="00386185"/>
    <w:rsid w:val="003863DA"/>
    <w:rsid w:val="00386CD0"/>
    <w:rsid w:val="00386CE5"/>
    <w:rsid w:val="00386EF2"/>
    <w:rsid w:val="00387102"/>
    <w:rsid w:val="0038712A"/>
    <w:rsid w:val="003871E3"/>
    <w:rsid w:val="00387A71"/>
    <w:rsid w:val="00387AA5"/>
    <w:rsid w:val="00387C78"/>
    <w:rsid w:val="00390328"/>
    <w:rsid w:val="0039043C"/>
    <w:rsid w:val="003906AC"/>
    <w:rsid w:val="00390983"/>
    <w:rsid w:val="00390B98"/>
    <w:rsid w:val="0039137F"/>
    <w:rsid w:val="003918B1"/>
    <w:rsid w:val="00391CC7"/>
    <w:rsid w:val="00391FC0"/>
    <w:rsid w:val="003922A4"/>
    <w:rsid w:val="00392794"/>
    <w:rsid w:val="003927E9"/>
    <w:rsid w:val="00392AB4"/>
    <w:rsid w:val="00392BE9"/>
    <w:rsid w:val="00392CFF"/>
    <w:rsid w:val="00392DDB"/>
    <w:rsid w:val="003936EF"/>
    <w:rsid w:val="003938C7"/>
    <w:rsid w:val="00393BCB"/>
    <w:rsid w:val="0039408F"/>
    <w:rsid w:val="003940BA"/>
    <w:rsid w:val="00394792"/>
    <w:rsid w:val="0039482D"/>
    <w:rsid w:val="003958A2"/>
    <w:rsid w:val="003961E8"/>
    <w:rsid w:val="00396230"/>
    <w:rsid w:val="00396704"/>
    <w:rsid w:val="00396AD5"/>
    <w:rsid w:val="00396F62"/>
    <w:rsid w:val="00397140"/>
    <w:rsid w:val="00397492"/>
    <w:rsid w:val="00397727"/>
    <w:rsid w:val="00397818"/>
    <w:rsid w:val="00397C11"/>
    <w:rsid w:val="003A0287"/>
    <w:rsid w:val="003A1110"/>
    <w:rsid w:val="003A131C"/>
    <w:rsid w:val="003A158D"/>
    <w:rsid w:val="003A26E4"/>
    <w:rsid w:val="003A2ADD"/>
    <w:rsid w:val="003A2B13"/>
    <w:rsid w:val="003A2DC2"/>
    <w:rsid w:val="003A2E4C"/>
    <w:rsid w:val="003A3098"/>
    <w:rsid w:val="003A30F2"/>
    <w:rsid w:val="003A31F0"/>
    <w:rsid w:val="003A40F7"/>
    <w:rsid w:val="003A4159"/>
    <w:rsid w:val="003A41D9"/>
    <w:rsid w:val="003A45D0"/>
    <w:rsid w:val="003A4B28"/>
    <w:rsid w:val="003A4EF9"/>
    <w:rsid w:val="003A4F33"/>
    <w:rsid w:val="003A5192"/>
    <w:rsid w:val="003A5266"/>
    <w:rsid w:val="003A53CD"/>
    <w:rsid w:val="003A59BF"/>
    <w:rsid w:val="003A5A9F"/>
    <w:rsid w:val="003A5AAB"/>
    <w:rsid w:val="003A639C"/>
    <w:rsid w:val="003A6770"/>
    <w:rsid w:val="003A727A"/>
    <w:rsid w:val="003B0044"/>
    <w:rsid w:val="003B07FE"/>
    <w:rsid w:val="003B1290"/>
    <w:rsid w:val="003B1436"/>
    <w:rsid w:val="003B149D"/>
    <w:rsid w:val="003B19E6"/>
    <w:rsid w:val="003B1B00"/>
    <w:rsid w:val="003B2351"/>
    <w:rsid w:val="003B244D"/>
    <w:rsid w:val="003B269E"/>
    <w:rsid w:val="003B32DB"/>
    <w:rsid w:val="003B3384"/>
    <w:rsid w:val="003B33B7"/>
    <w:rsid w:val="003B36D5"/>
    <w:rsid w:val="003B38E8"/>
    <w:rsid w:val="003B3CDC"/>
    <w:rsid w:val="003B3F00"/>
    <w:rsid w:val="003B468A"/>
    <w:rsid w:val="003B48D7"/>
    <w:rsid w:val="003B4927"/>
    <w:rsid w:val="003B4A0A"/>
    <w:rsid w:val="003B4D28"/>
    <w:rsid w:val="003B5029"/>
    <w:rsid w:val="003B5247"/>
    <w:rsid w:val="003B548E"/>
    <w:rsid w:val="003B59C4"/>
    <w:rsid w:val="003B5EE3"/>
    <w:rsid w:val="003B63AD"/>
    <w:rsid w:val="003B6CA0"/>
    <w:rsid w:val="003B75C2"/>
    <w:rsid w:val="003B792D"/>
    <w:rsid w:val="003C081D"/>
    <w:rsid w:val="003C0FF2"/>
    <w:rsid w:val="003C1113"/>
    <w:rsid w:val="003C22FB"/>
    <w:rsid w:val="003C2659"/>
    <w:rsid w:val="003C320E"/>
    <w:rsid w:val="003C3CE8"/>
    <w:rsid w:val="003C42AA"/>
    <w:rsid w:val="003C46BC"/>
    <w:rsid w:val="003C4C9C"/>
    <w:rsid w:val="003C4D8E"/>
    <w:rsid w:val="003C561B"/>
    <w:rsid w:val="003C57BD"/>
    <w:rsid w:val="003C5E3A"/>
    <w:rsid w:val="003C62D9"/>
    <w:rsid w:val="003C64A1"/>
    <w:rsid w:val="003C64F5"/>
    <w:rsid w:val="003C6DE4"/>
    <w:rsid w:val="003C70F1"/>
    <w:rsid w:val="003C737D"/>
    <w:rsid w:val="003C7504"/>
    <w:rsid w:val="003C77F0"/>
    <w:rsid w:val="003C7918"/>
    <w:rsid w:val="003C7A59"/>
    <w:rsid w:val="003C7C53"/>
    <w:rsid w:val="003D00D9"/>
    <w:rsid w:val="003D01B1"/>
    <w:rsid w:val="003D0CAD"/>
    <w:rsid w:val="003D1A68"/>
    <w:rsid w:val="003D1B8C"/>
    <w:rsid w:val="003D1CF7"/>
    <w:rsid w:val="003D2B1D"/>
    <w:rsid w:val="003D2BD7"/>
    <w:rsid w:val="003D2C14"/>
    <w:rsid w:val="003D33AE"/>
    <w:rsid w:val="003D3449"/>
    <w:rsid w:val="003D3C43"/>
    <w:rsid w:val="003D3D28"/>
    <w:rsid w:val="003D4A18"/>
    <w:rsid w:val="003D4D46"/>
    <w:rsid w:val="003D4E7E"/>
    <w:rsid w:val="003D5074"/>
    <w:rsid w:val="003D5712"/>
    <w:rsid w:val="003D5784"/>
    <w:rsid w:val="003D5B9C"/>
    <w:rsid w:val="003D63AF"/>
    <w:rsid w:val="003D7143"/>
    <w:rsid w:val="003D756C"/>
    <w:rsid w:val="003D7EF9"/>
    <w:rsid w:val="003E024F"/>
    <w:rsid w:val="003E02AD"/>
    <w:rsid w:val="003E06C2"/>
    <w:rsid w:val="003E075A"/>
    <w:rsid w:val="003E0A76"/>
    <w:rsid w:val="003E0ADD"/>
    <w:rsid w:val="003E0BBD"/>
    <w:rsid w:val="003E12AF"/>
    <w:rsid w:val="003E1336"/>
    <w:rsid w:val="003E1798"/>
    <w:rsid w:val="003E1C3C"/>
    <w:rsid w:val="003E22EE"/>
    <w:rsid w:val="003E2CC0"/>
    <w:rsid w:val="003E2E12"/>
    <w:rsid w:val="003E2EC4"/>
    <w:rsid w:val="003E3339"/>
    <w:rsid w:val="003E40C7"/>
    <w:rsid w:val="003E42B8"/>
    <w:rsid w:val="003E4741"/>
    <w:rsid w:val="003E4F28"/>
    <w:rsid w:val="003E57D7"/>
    <w:rsid w:val="003E5A2F"/>
    <w:rsid w:val="003E5DFC"/>
    <w:rsid w:val="003E617B"/>
    <w:rsid w:val="003E631A"/>
    <w:rsid w:val="003E6517"/>
    <w:rsid w:val="003E6988"/>
    <w:rsid w:val="003E6BAF"/>
    <w:rsid w:val="003E6DD6"/>
    <w:rsid w:val="003E6ECF"/>
    <w:rsid w:val="003E725B"/>
    <w:rsid w:val="003E76AD"/>
    <w:rsid w:val="003E78C1"/>
    <w:rsid w:val="003E78D4"/>
    <w:rsid w:val="003E7B15"/>
    <w:rsid w:val="003E7D14"/>
    <w:rsid w:val="003F0441"/>
    <w:rsid w:val="003F06E0"/>
    <w:rsid w:val="003F0762"/>
    <w:rsid w:val="003F090A"/>
    <w:rsid w:val="003F0F04"/>
    <w:rsid w:val="003F116C"/>
    <w:rsid w:val="003F1226"/>
    <w:rsid w:val="003F161F"/>
    <w:rsid w:val="003F16BC"/>
    <w:rsid w:val="003F1705"/>
    <w:rsid w:val="003F1893"/>
    <w:rsid w:val="003F19E3"/>
    <w:rsid w:val="003F1A50"/>
    <w:rsid w:val="003F1D4B"/>
    <w:rsid w:val="003F1ED6"/>
    <w:rsid w:val="003F22C3"/>
    <w:rsid w:val="003F29DE"/>
    <w:rsid w:val="003F2CC3"/>
    <w:rsid w:val="003F3387"/>
    <w:rsid w:val="003F3427"/>
    <w:rsid w:val="003F3B60"/>
    <w:rsid w:val="003F40B7"/>
    <w:rsid w:val="003F4B18"/>
    <w:rsid w:val="003F50CB"/>
    <w:rsid w:val="003F5265"/>
    <w:rsid w:val="003F529D"/>
    <w:rsid w:val="003F53B3"/>
    <w:rsid w:val="003F6480"/>
    <w:rsid w:val="003F6796"/>
    <w:rsid w:val="003F69B4"/>
    <w:rsid w:val="003F6D02"/>
    <w:rsid w:val="003F6FA1"/>
    <w:rsid w:val="003F71B5"/>
    <w:rsid w:val="003F7313"/>
    <w:rsid w:val="003F734A"/>
    <w:rsid w:val="003F7DEB"/>
    <w:rsid w:val="00400432"/>
    <w:rsid w:val="004009B9"/>
    <w:rsid w:val="00400CAF"/>
    <w:rsid w:val="0040116B"/>
    <w:rsid w:val="004011D4"/>
    <w:rsid w:val="00401452"/>
    <w:rsid w:val="00401DF6"/>
    <w:rsid w:val="00402035"/>
    <w:rsid w:val="0040214A"/>
    <w:rsid w:val="004022CD"/>
    <w:rsid w:val="00402391"/>
    <w:rsid w:val="00402513"/>
    <w:rsid w:val="0040261C"/>
    <w:rsid w:val="00402C49"/>
    <w:rsid w:val="00403063"/>
    <w:rsid w:val="0040344E"/>
    <w:rsid w:val="00403780"/>
    <w:rsid w:val="004037E0"/>
    <w:rsid w:val="00404160"/>
    <w:rsid w:val="00404D96"/>
    <w:rsid w:val="00404F79"/>
    <w:rsid w:val="00405010"/>
    <w:rsid w:val="00405543"/>
    <w:rsid w:val="004059BC"/>
    <w:rsid w:val="00405CA5"/>
    <w:rsid w:val="00406088"/>
    <w:rsid w:val="004060DE"/>
    <w:rsid w:val="0040610F"/>
    <w:rsid w:val="00406298"/>
    <w:rsid w:val="004068C5"/>
    <w:rsid w:val="00407499"/>
    <w:rsid w:val="0041000C"/>
    <w:rsid w:val="0041025D"/>
    <w:rsid w:val="00410AB6"/>
    <w:rsid w:val="00411201"/>
    <w:rsid w:val="00411F98"/>
    <w:rsid w:val="004126E2"/>
    <w:rsid w:val="004130A2"/>
    <w:rsid w:val="004130C5"/>
    <w:rsid w:val="0041441E"/>
    <w:rsid w:val="004145BC"/>
    <w:rsid w:val="00414627"/>
    <w:rsid w:val="00414C1E"/>
    <w:rsid w:val="00414DC8"/>
    <w:rsid w:val="00414E29"/>
    <w:rsid w:val="0041536D"/>
    <w:rsid w:val="00415D82"/>
    <w:rsid w:val="00416235"/>
    <w:rsid w:val="00416820"/>
    <w:rsid w:val="004170B9"/>
    <w:rsid w:val="004175D4"/>
    <w:rsid w:val="004176FB"/>
    <w:rsid w:val="00417CF3"/>
    <w:rsid w:val="004200FB"/>
    <w:rsid w:val="00420609"/>
    <w:rsid w:val="00420875"/>
    <w:rsid w:val="00420F8F"/>
    <w:rsid w:val="004215F5"/>
    <w:rsid w:val="00421794"/>
    <w:rsid w:val="004217E0"/>
    <w:rsid w:val="004226A2"/>
    <w:rsid w:val="00422D87"/>
    <w:rsid w:val="0042327A"/>
    <w:rsid w:val="0042342F"/>
    <w:rsid w:val="0042349C"/>
    <w:rsid w:val="004235E4"/>
    <w:rsid w:val="004236EF"/>
    <w:rsid w:val="00423CD8"/>
    <w:rsid w:val="00424652"/>
    <w:rsid w:val="004248B4"/>
    <w:rsid w:val="004248C7"/>
    <w:rsid w:val="004248CE"/>
    <w:rsid w:val="004253AD"/>
    <w:rsid w:val="004253DB"/>
    <w:rsid w:val="004254A5"/>
    <w:rsid w:val="00425612"/>
    <w:rsid w:val="004261D4"/>
    <w:rsid w:val="0042654C"/>
    <w:rsid w:val="0042679B"/>
    <w:rsid w:val="0042681B"/>
    <w:rsid w:val="00426D58"/>
    <w:rsid w:val="0043042E"/>
    <w:rsid w:val="004307E4"/>
    <w:rsid w:val="004309A7"/>
    <w:rsid w:val="00430EA2"/>
    <w:rsid w:val="004310CC"/>
    <w:rsid w:val="0043167B"/>
    <w:rsid w:val="00431E21"/>
    <w:rsid w:val="00431F1D"/>
    <w:rsid w:val="0043216C"/>
    <w:rsid w:val="00432F13"/>
    <w:rsid w:val="00433242"/>
    <w:rsid w:val="00433324"/>
    <w:rsid w:val="00433721"/>
    <w:rsid w:val="0043390B"/>
    <w:rsid w:val="00433CC3"/>
    <w:rsid w:val="00434461"/>
    <w:rsid w:val="00434FFA"/>
    <w:rsid w:val="004353CA"/>
    <w:rsid w:val="00435631"/>
    <w:rsid w:val="004356D3"/>
    <w:rsid w:val="00435D9B"/>
    <w:rsid w:val="00436255"/>
    <w:rsid w:val="00436ABE"/>
    <w:rsid w:val="00436B50"/>
    <w:rsid w:val="00436EA5"/>
    <w:rsid w:val="0043725E"/>
    <w:rsid w:val="0044032A"/>
    <w:rsid w:val="00440508"/>
    <w:rsid w:val="00440948"/>
    <w:rsid w:val="00440B08"/>
    <w:rsid w:val="004413F1"/>
    <w:rsid w:val="004425BF"/>
    <w:rsid w:val="00442609"/>
    <w:rsid w:val="00442BE7"/>
    <w:rsid w:val="00442D08"/>
    <w:rsid w:val="00442FA6"/>
    <w:rsid w:val="00443A23"/>
    <w:rsid w:val="00443DF8"/>
    <w:rsid w:val="00444277"/>
    <w:rsid w:val="004442AF"/>
    <w:rsid w:val="00444491"/>
    <w:rsid w:val="0044515B"/>
    <w:rsid w:val="004457FE"/>
    <w:rsid w:val="004458F1"/>
    <w:rsid w:val="004459C2"/>
    <w:rsid w:val="00445A26"/>
    <w:rsid w:val="0044608B"/>
    <w:rsid w:val="00446150"/>
    <w:rsid w:val="0044634F"/>
    <w:rsid w:val="00446797"/>
    <w:rsid w:val="004469F4"/>
    <w:rsid w:val="00446F0F"/>
    <w:rsid w:val="00447243"/>
    <w:rsid w:val="00447575"/>
    <w:rsid w:val="00447757"/>
    <w:rsid w:val="004477A3"/>
    <w:rsid w:val="00447B18"/>
    <w:rsid w:val="00447CD2"/>
    <w:rsid w:val="00450017"/>
    <w:rsid w:val="004501C8"/>
    <w:rsid w:val="004507E0"/>
    <w:rsid w:val="00450A51"/>
    <w:rsid w:val="00450C3B"/>
    <w:rsid w:val="00451301"/>
    <w:rsid w:val="004513B9"/>
    <w:rsid w:val="00451C17"/>
    <w:rsid w:val="00452622"/>
    <w:rsid w:val="00452B02"/>
    <w:rsid w:val="00452ECD"/>
    <w:rsid w:val="00453402"/>
    <w:rsid w:val="004535D6"/>
    <w:rsid w:val="00453805"/>
    <w:rsid w:val="004538D2"/>
    <w:rsid w:val="004540BF"/>
    <w:rsid w:val="00454879"/>
    <w:rsid w:val="0045494E"/>
    <w:rsid w:val="00454D53"/>
    <w:rsid w:val="00454DB9"/>
    <w:rsid w:val="00454FEA"/>
    <w:rsid w:val="00455016"/>
    <w:rsid w:val="0045506C"/>
    <w:rsid w:val="004552B7"/>
    <w:rsid w:val="00455774"/>
    <w:rsid w:val="00455F14"/>
    <w:rsid w:val="004560CC"/>
    <w:rsid w:val="00456469"/>
    <w:rsid w:val="004565D7"/>
    <w:rsid w:val="00456E56"/>
    <w:rsid w:val="0045774A"/>
    <w:rsid w:val="00460331"/>
    <w:rsid w:val="004608BD"/>
    <w:rsid w:val="00460A08"/>
    <w:rsid w:val="00460AFB"/>
    <w:rsid w:val="0046182D"/>
    <w:rsid w:val="00461AC3"/>
    <w:rsid w:val="00461AEF"/>
    <w:rsid w:val="00461ECB"/>
    <w:rsid w:val="00462015"/>
    <w:rsid w:val="00462474"/>
    <w:rsid w:val="0046287F"/>
    <w:rsid w:val="00462BEB"/>
    <w:rsid w:val="00462C62"/>
    <w:rsid w:val="004632D4"/>
    <w:rsid w:val="00463C96"/>
    <w:rsid w:val="00463E20"/>
    <w:rsid w:val="00463E7C"/>
    <w:rsid w:val="00464298"/>
    <w:rsid w:val="00464BC6"/>
    <w:rsid w:val="00464C0C"/>
    <w:rsid w:val="004652BD"/>
    <w:rsid w:val="004653AA"/>
    <w:rsid w:val="004655EE"/>
    <w:rsid w:val="00465A54"/>
    <w:rsid w:val="00465DD1"/>
    <w:rsid w:val="00466109"/>
    <w:rsid w:val="00466BF4"/>
    <w:rsid w:val="00466C7B"/>
    <w:rsid w:val="00466D4F"/>
    <w:rsid w:val="0046722B"/>
    <w:rsid w:val="0046753B"/>
    <w:rsid w:val="00467AD6"/>
    <w:rsid w:val="00467B86"/>
    <w:rsid w:val="00467D71"/>
    <w:rsid w:val="004701BA"/>
    <w:rsid w:val="00470418"/>
    <w:rsid w:val="0047073C"/>
    <w:rsid w:val="004712FB"/>
    <w:rsid w:val="00471442"/>
    <w:rsid w:val="00471593"/>
    <w:rsid w:val="00471730"/>
    <w:rsid w:val="0047182F"/>
    <w:rsid w:val="00472BBE"/>
    <w:rsid w:val="00472D68"/>
    <w:rsid w:val="00472E29"/>
    <w:rsid w:val="00472E51"/>
    <w:rsid w:val="00473026"/>
    <w:rsid w:val="004748C7"/>
    <w:rsid w:val="00474A19"/>
    <w:rsid w:val="004756B2"/>
    <w:rsid w:val="004757B9"/>
    <w:rsid w:val="004757F9"/>
    <w:rsid w:val="00475BF9"/>
    <w:rsid w:val="00475D71"/>
    <w:rsid w:val="0047637D"/>
    <w:rsid w:val="00476E4E"/>
    <w:rsid w:val="00477347"/>
    <w:rsid w:val="004804DD"/>
    <w:rsid w:val="0048059D"/>
    <w:rsid w:val="0048067C"/>
    <w:rsid w:val="0048085F"/>
    <w:rsid w:val="00480B0C"/>
    <w:rsid w:val="00480BA2"/>
    <w:rsid w:val="00480BDA"/>
    <w:rsid w:val="00480DE9"/>
    <w:rsid w:val="004811C2"/>
    <w:rsid w:val="004816BD"/>
    <w:rsid w:val="0048205F"/>
    <w:rsid w:val="00482AF2"/>
    <w:rsid w:val="00482EF9"/>
    <w:rsid w:val="004832BA"/>
    <w:rsid w:val="004832CD"/>
    <w:rsid w:val="0048384E"/>
    <w:rsid w:val="00483A6A"/>
    <w:rsid w:val="00483F33"/>
    <w:rsid w:val="0048439B"/>
    <w:rsid w:val="00484A4D"/>
    <w:rsid w:val="00484E34"/>
    <w:rsid w:val="00484EE9"/>
    <w:rsid w:val="004859DE"/>
    <w:rsid w:val="00485E20"/>
    <w:rsid w:val="00485FCB"/>
    <w:rsid w:val="00486170"/>
    <w:rsid w:val="00486897"/>
    <w:rsid w:val="00486A33"/>
    <w:rsid w:val="00486BE9"/>
    <w:rsid w:val="0048735A"/>
    <w:rsid w:val="00487668"/>
    <w:rsid w:val="0048790C"/>
    <w:rsid w:val="00487920"/>
    <w:rsid w:val="0049051C"/>
    <w:rsid w:val="00490B02"/>
    <w:rsid w:val="00490BC2"/>
    <w:rsid w:val="00490EFB"/>
    <w:rsid w:val="00491475"/>
    <w:rsid w:val="004919E6"/>
    <w:rsid w:val="00492BCE"/>
    <w:rsid w:val="00492DFC"/>
    <w:rsid w:val="00492E08"/>
    <w:rsid w:val="004935C3"/>
    <w:rsid w:val="004936BD"/>
    <w:rsid w:val="004939CF"/>
    <w:rsid w:val="00493B0F"/>
    <w:rsid w:val="00493C74"/>
    <w:rsid w:val="00493D59"/>
    <w:rsid w:val="00493F93"/>
    <w:rsid w:val="0049415B"/>
    <w:rsid w:val="004945A7"/>
    <w:rsid w:val="00494C1A"/>
    <w:rsid w:val="00494C5E"/>
    <w:rsid w:val="00494FA3"/>
    <w:rsid w:val="004950CD"/>
    <w:rsid w:val="00495B22"/>
    <w:rsid w:val="004960AE"/>
    <w:rsid w:val="00496591"/>
    <w:rsid w:val="004965A5"/>
    <w:rsid w:val="004970E1"/>
    <w:rsid w:val="0049737F"/>
    <w:rsid w:val="0049739F"/>
    <w:rsid w:val="004973AE"/>
    <w:rsid w:val="004A0250"/>
    <w:rsid w:val="004A03AF"/>
    <w:rsid w:val="004A047D"/>
    <w:rsid w:val="004A05BE"/>
    <w:rsid w:val="004A0690"/>
    <w:rsid w:val="004A0699"/>
    <w:rsid w:val="004A06EC"/>
    <w:rsid w:val="004A1009"/>
    <w:rsid w:val="004A10EF"/>
    <w:rsid w:val="004A1661"/>
    <w:rsid w:val="004A1C20"/>
    <w:rsid w:val="004A20DD"/>
    <w:rsid w:val="004A234F"/>
    <w:rsid w:val="004A27F7"/>
    <w:rsid w:val="004A298D"/>
    <w:rsid w:val="004A2A4A"/>
    <w:rsid w:val="004A2BDE"/>
    <w:rsid w:val="004A310F"/>
    <w:rsid w:val="004A3F67"/>
    <w:rsid w:val="004A4069"/>
    <w:rsid w:val="004A4278"/>
    <w:rsid w:val="004A44BE"/>
    <w:rsid w:val="004A4989"/>
    <w:rsid w:val="004A4CE4"/>
    <w:rsid w:val="004A528B"/>
    <w:rsid w:val="004A546D"/>
    <w:rsid w:val="004A6584"/>
    <w:rsid w:val="004A7ACE"/>
    <w:rsid w:val="004B061F"/>
    <w:rsid w:val="004B09A9"/>
    <w:rsid w:val="004B0E57"/>
    <w:rsid w:val="004B100D"/>
    <w:rsid w:val="004B1064"/>
    <w:rsid w:val="004B1CBE"/>
    <w:rsid w:val="004B1D61"/>
    <w:rsid w:val="004B2585"/>
    <w:rsid w:val="004B2596"/>
    <w:rsid w:val="004B26AE"/>
    <w:rsid w:val="004B27EF"/>
    <w:rsid w:val="004B2C49"/>
    <w:rsid w:val="004B320C"/>
    <w:rsid w:val="004B34D8"/>
    <w:rsid w:val="004B3788"/>
    <w:rsid w:val="004B3C5E"/>
    <w:rsid w:val="004B46BE"/>
    <w:rsid w:val="004B46C3"/>
    <w:rsid w:val="004B4AA8"/>
    <w:rsid w:val="004B4D9E"/>
    <w:rsid w:val="004B4ED1"/>
    <w:rsid w:val="004B5059"/>
    <w:rsid w:val="004B5212"/>
    <w:rsid w:val="004B56F9"/>
    <w:rsid w:val="004B5E6A"/>
    <w:rsid w:val="004B605F"/>
    <w:rsid w:val="004B630D"/>
    <w:rsid w:val="004B6724"/>
    <w:rsid w:val="004B71D7"/>
    <w:rsid w:val="004B7774"/>
    <w:rsid w:val="004B7792"/>
    <w:rsid w:val="004B78A1"/>
    <w:rsid w:val="004B7CD8"/>
    <w:rsid w:val="004C00F9"/>
    <w:rsid w:val="004C015F"/>
    <w:rsid w:val="004C0755"/>
    <w:rsid w:val="004C0778"/>
    <w:rsid w:val="004C0997"/>
    <w:rsid w:val="004C140D"/>
    <w:rsid w:val="004C144D"/>
    <w:rsid w:val="004C1605"/>
    <w:rsid w:val="004C1813"/>
    <w:rsid w:val="004C1B2E"/>
    <w:rsid w:val="004C1BC0"/>
    <w:rsid w:val="004C1D0C"/>
    <w:rsid w:val="004C2215"/>
    <w:rsid w:val="004C24DD"/>
    <w:rsid w:val="004C25A1"/>
    <w:rsid w:val="004C2761"/>
    <w:rsid w:val="004C2FCE"/>
    <w:rsid w:val="004C2FF9"/>
    <w:rsid w:val="004C38D7"/>
    <w:rsid w:val="004C4693"/>
    <w:rsid w:val="004C478E"/>
    <w:rsid w:val="004C4867"/>
    <w:rsid w:val="004C4C07"/>
    <w:rsid w:val="004C4E99"/>
    <w:rsid w:val="004C537E"/>
    <w:rsid w:val="004C56CD"/>
    <w:rsid w:val="004C58D2"/>
    <w:rsid w:val="004C5900"/>
    <w:rsid w:val="004C5BA4"/>
    <w:rsid w:val="004C64B1"/>
    <w:rsid w:val="004C6538"/>
    <w:rsid w:val="004C6900"/>
    <w:rsid w:val="004C6B75"/>
    <w:rsid w:val="004C6FDF"/>
    <w:rsid w:val="004C734E"/>
    <w:rsid w:val="004C746C"/>
    <w:rsid w:val="004C74E5"/>
    <w:rsid w:val="004C77F3"/>
    <w:rsid w:val="004C78A3"/>
    <w:rsid w:val="004D0C0F"/>
    <w:rsid w:val="004D0C6D"/>
    <w:rsid w:val="004D0E93"/>
    <w:rsid w:val="004D12D7"/>
    <w:rsid w:val="004D226E"/>
    <w:rsid w:val="004D2C37"/>
    <w:rsid w:val="004D31DD"/>
    <w:rsid w:val="004D3465"/>
    <w:rsid w:val="004D3474"/>
    <w:rsid w:val="004D35CD"/>
    <w:rsid w:val="004D35D8"/>
    <w:rsid w:val="004D3720"/>
    <w:rsid w:val="004D45AA"/>
    <w:rsid w:val="004D48BB"/>
    <w:rsid w:val="004D4DF9"/>
    <w:rsid w:val="004D518B"/>
    <w:rsid w:val="004D5287"/>
    <w:rsid w:val="004D5400"/>
    <w:rsid w:val="004D5691"/>
    <w:rsid w:val="004D586B"/>
    <w:rsid w:val="004D5B1A"/>
    <w:rsid w:val="004D61FC"/>
    <w:rsid w:val="004D7BF1"/>
    <w:rsid w:val="004D7DEA"/>
    <w:rsid w:val="004D7FB6"/>
    <w:rsid w:val="004E0526"/>
    <w:rsid w:val="004E06A5"/>
    <w:rsid w:val="004E0780"/>
    <w:rsid w:val="004E0920"/>
    <w:rsid w:val="004E096E"/>
    <w:rsid w:val="004E0E15"/>
    <w:rsid w:val="004E1442"/>
    <w:rsid w:val="004E19CF"/>
    <w:rsid w:val="004E1B30"/>
    <w:rsid w:val="004E1F47"/>
    <w:rsid w:val="004E2219"/>
    <w:rsid w:val="004E234B"/>
    <w:rsid w:val="004E24B9"/>
    <w:rsid w:val="004E2796"/>
    <w:rsid w:val="004E2821"/>
    <w:rsid w:val="004E301C"/>
    <w:rsid w:val="004E321D"/>
    <w:rsid w:val="004E3785"/>
    <w:rsid w:val="004E39F0"/>
    <w:rsid w:val="004E3BF4"/>
    <w:rsid w:val="004E3C0C"/>
    <w:rsid w:val="004E3E3C"/>
    <w:rsid w:val="004E44B2"/>
    <w:rsid w:val="004E4A4E"/>
    <w:rsid w:val="004E5557"/>
    <w:rsid w:val="004E567E"/>
    <w:rsid w:val="004E58BE"/>
    <w:rsid w:val="004E59D3"/>
    <w:rsid w:val="004E5C05"/>
    <w:rsid w:val="004E5F41"/>
    <w:rsid w:val="004E615C"/>
    <w:rsid w:val="004E61EB"/>
    <w:rsid w:val="004E6C42"/>
    <w:rsid w:val="004E6C99"/>
    <w:rsid w:val="004E6CD4"/>
    <w:rsid w:val="004E72F0"/>
    <w:rsid w:val="004E734A"/>
    <w:rsid w:val="004E78C3"/>
    <w:rsid w:val="004E7994"/>
    <w:rsid w:val="004F04D1"/>
    <w:rsid w:val="004F0675"/>
    <w:rsid w:val="004F0D7C"/>
    <w:rsid w:val="004F0E4B"/>
    <w:rsid w:val="004F114A"/>
    <w:rsid w:val="004F128F"/>
    <w:rsid w:val="004F158E"/>
    <w:rsid w:val="004F17C4"/>
    <w:rsid w:val="004F1E11"/>
    <w:rsid w:val="004F23F4"/>
    <w:rsid w:val="004F2640"/>
    <w:rsid w:val="004F2FE2"/>
    <w:rsid w:val="004F3450"/>
    <w:rsid w:val="004F3C58"/>
    <w:rsid w:val="004F4026"/>
    <w:rsid w:val="004F4495"/>
    <w:rsid w:val="004F476D"/>
    <w:rsid w:val="004F5F3D"/>
    <w:rsid w:val="004F62C2"/>
    <w:rsid w:val="004F67EA"/>
    <w:rsid w:val="004F68E1"/>
    <w:rsid w:val="004F6B19"/>
    <w:rsid w:val="004F7019"/>
    <w:rsid w:val="004F7BE6"/>
    <w:rsid w:val="004F7F59"/>
    <w:rsid w:val="005000D6"/>
    <w:rsid w:val="00500773"/>
    <w:rsid w:val="0050116D"/>
    <w:rsid w:val="00501557"/>
    <w:rsid w:val="005017D1"/>
    <w:rsid w:val="005018F2"/>
    <w:rsid w:val="005019C9"/>
    <w:rsid w:val="00501DE7"/>
    <w:rsid w:val="00502016"/>
    <w:rsid w:val="005025D7"/>
    <w:rsid w:val="00502A1D"/>
    <w:rsid w:val="00502C64"/>
    <w:rsid w:val="0050326B"/>
    <w:rsid w:val="005032C3"/>
    <w:rsid w:val="00503B27"/>
    <w:rsid w:val="00504E22"/>
    <w:rsid w:val="00505058"/>
    <w:rsid w:val="0050543A"/>
    <w:rsid w:val="005055E9"/>
    <w:rsid w:val="00505ADD"/>
    <w:rsid w:val="00505C88"/>
    <w:rsid w:val="00506B2C"/>
    <w:rsid w:val="00506D63"/>
    <w:rsid w:val="00506D82"/>
    <w:rsid w:val="00507732"/>
    <w:rsid w:val="00507840"/>
    <w:rsid w:val="00507881"/>
    <w:rsid w:val="00507937"/>
    <w:rsid w:val="00507E39"/>
    <w:rsid w:val="00507E92"/>
    <w:rsid w:val="00510749"/>
    <w:rsid w:val="00510EE2"/>
    <w:rsid w:val="00511FE7"/>
    <w:rsid w:val="00512049"/>
    <w:rsid w:val="00512793"/>
    <w:rsid w:val="00512AE2"/>
    <w:rsid w:val="005133FB"/>
    <w:rsid w:val="0051365E"/>
    <w:rsid w:val="005137F0"/>
    <w:rsid w:val="005139C2"/>
    <w:rsid w:val="00514BE0"/>
    <w:rsid w:val="00514F88"/>
    <w:rsid w:val="00515266"/>
    <w:rsid w:val="00515914"/>
    <w:rsid w:val="00515A45"/>
    <w:rsid w:val="00515CD8"/>
    <w:rsid w:val="00515D84"/>
    <w:rsid w:val="00515DAA"/>
    <w:rsid w:val="00515FA1"/>
    <w:rsid w:val="0051614C"/>
    <w:rsid w:val="005163DD"/>
    <w:rsid w:val="005166C9"/>
    <w:rsid w:val="00516E25"/>
    <w:rsid w:val="005170BB"/>
    <w:rsid w:val="0051727F"/>
    <w:rsid w:val="005173BC"/>
    <w:rsid w:val="00517AF8"/>
    <w:rsid w:val="00517F7B"/>
    <w:rsid w:val="00517FFC"/>
    <w:rsid w:val="005205F5"/>
    <w:rsid w:val="005207A6"/>
    <w:rsid w:val="00520B63"/>
    <w:rsid w:val="00520B6B"/>
    <w:rsid w:val="00521392"/>
    <w:rsid w:val="00521469"/>
    <w:rsid w:val="00521486"/>
    <w:rsid w:val="005216EF"/>
    <w:rsid w:val="005220F0"/>
    <w:rsid w:val="00522945"/>
    <w:rsid w:val="00523266"/>
    <w:rsid w:val="00523484"/>
    <w:rsid w:val="00523C2C"/>
    <w:rsid w:val="00523CE4"/>
    <w:rsid w:val="0052421E"/>
    <w:rsid w:val="00524317"/>
    <w:rsid w:val="0052465D"/>
    <w:rsid w:val="005246CC"/>
    <w:rsid w:val="005247AF"/>
    <w:rsid w:val="00524A8E"/>
    <w:rsid w:val="00524C7F"/>
    <w:rsid w:val="005251EB"/>
    <w:rsid w:val="00525D7E"/>
    <w:rsid w:val="0052615B"/>
    <w:rsid w:val="0052619F"/>
    <w:rsid w:val="00526481"/>
    <w:rsid w:val="0052662C"/>
    <w:rsid w:val="00526DEE"/>
    <w:rsid w:val="00526FEC"/>
    <w:rsid w:val="005273DF"/>
    <w:rsid w:val="00527476"/>
    <w:rsid w:val="00527FEE"/>
    <w:rsid w:val="005305E7"/>
    <w:rsid w:val="00530D34"/>
    <w:rsid w:val="00530D59"/>
    <w:rsid w:val="00531573"/>
    <w:rsid w:val="00531C54"/>
    <w:rsid w:val="00531E09"/>
    <w:rsid w:val="00531E25"/>
    <w:rsid w:val="00532AA8"/>
    <w:rsid w:val="00532D4B"/>
    <w:rsid w:val="005331FB"/>
    <w:rsid w:val="00533FEE"/>
    <w:rsid w:val="00534307"/>
    <w:rsid w:val="0053477F"/>
    <w:rsid w:val="0053492F"/>
    <w:rsid w:val="00534C46"/>
    <w:rsid w:val="00534C4A"/>
    <w:rsid w:val="00534FC7"/>
    <w:rsid w:val="00535028"/>
    <w:rsid w:val="005354DE"/>
    <w:rsid w:val="0053559A"/>
    <w:rsid w:val="0053560A"/>
    <w:rsid w:val="0053580E"/>
    <w:rsid w:val="00535C0D"/>
    <w:rsid w:val="00535FB8"/>
    <w:rsid w:val="00536393"/>
    <w:rsid w:val="0053652A"/>
    <w:rsid w:val="005367CA"/>
    <w:rsid w:val="00536A57"/>
    <w:rsid w:val="00536A63"/>
    <w:rsid w:val="00536C6E"/>
    <w:rsid w:val="00536EA3"/>
    <w:rsid w:val="00537702"/>
    <w:rsid w:val="00537E8F"/>
    <w:rsid w:val="0054091C"/>
    <w:rsid w:val="00540F19"/>
    <w:rsid w:val="00540F76"/>
    <w:rsid w:val="00541421"/>
    <w:rsid w:val="00541786"/>
    <w:rsid w:val="00541A53"/>
    <w:rsid w:val="00541BA4"/>
    <w:rsid w:val="005425C3"/>
    <w:rsid w:val="0054267F"/>
    <w:rsid w:val="005426F0"/>
    <w:rsid w:val="005429D9"/>
    <w:rsid w:val="00542A6E"/>
    <w:rsid w:val="00543370"/>
    <w:rsid w:val="005439E4"/>
    <w:rsid w:val="00544006"/>
    <w:rsid w:val="00544507"/>
    <w:rsid w:val="005445B0"/>
    <w:rsid w:val="00544723"/>
    <w:rsid w:val="00544EB9"/>
    <w:rsid w:val="00544F7C"/>
    <w:rsid w:val="0054540D"/>
    <w:rsid w:val="00545494"/>
    <w:rsid w:val="00545C23"/>
    <w:rsid w:val="00545EDA"/>
    <w:rsid w:val="005465B4"/>
    <w:rsid w:val="00546A53"/>
    <w:rsid w:val="00546FEE"/>
    <w:rsid w:val="005470BB"/>
    <w:rsid w:val="0054715E"/>
    <w:rsid w:val="00547732"/>
    <w:rsid w:val="0054779F"/>
    <w:rsid w:val="00547CE8"/>
    <w:rsid w:val="005500D5"/>
    <w:rsid w:val="0055047D"/>
    <w:rsid w:val="005504D5"/>
    <w:rsid w:val="00550876"/>
    <w:rsid w:val="00550B82"/>
    <w:rsid w:val="00550E23"/>
    <w:rsid w:val="0055128D"/>
    <w:rsid w:val="005513D5"/>
    <w:rsid w:val="00551453"/>
    <w:rsid w:val="00551A14"/>
    <w:rsid w:val="00551D72"/>
    <w:rsid w:val="0055223E"/>
    <w:rsid w:val="00553549"/>
    <w:rsid w:val="00553686"/>
    <w:rsid w:val="00553AB6"/>
    <w:rsid w:val="005543CB"/>
    <w:rsid w:val="0055469B"/>
    <w:rsid w:val="00554EAB"/>
    <w:rsid w:val="005555B8"/>
    <w:rsid w:val="005559AB"/>
    <w:rsid w:val="00555D23"/>
    <w:rsid w:val="00555DD8"/>
    <w:rsid w:val="00556390"/>
    <w:rsid w:val="005567AF"/>
    <w:rsid w:val="00556FBB"/>
    <w:rsid w:val="0055702A"/>
    <w:rsid w:val="00557538"/>
    <w:rsid w:val="00557899"/>
    <w:rsid w:val="0056081C"/>
    <w:rsid w:val="005609C0"/>
    <w:rsid w:val="005609E8"/>
    <w:rsid w:val="00560B7F"/>
    <w:rsid w:val="00560E0F"/>
    <w:rsid w:val="00560EB7"/>
    <w:rsid w:val="00561470"/>
    <w:rsid w:val="0056161C"/>
    <w:rsid w:val="00561630"/>
    <w:rsid w:val="005621CB"/>
    <w:rsid w:val="005623B0"/>
    <w:rsid w:val="00562B42"/>
    <w:rsid w:val="00562F87"/>
    <w:rsid w:val="0056391D"/>
    <w:rsid w:val="00564134"/>
    <w:rsid w:val="00564B3E"/>
    <w:rsid w:val="00564B93"/>
    <w:rsid w:val="00564CF3"/>
    <w:rsid w:val="00564DC3"/>
    <w:rsid w:val="00564E14"/>
    <w:rsid w:val="00564E40"/>
    <w:rsid w:val="00565936"/>
    <w:rsid w:val="00566567"/>
    <w:rsid w:val="00566BE0"/>
    <w:rsid w:val="005673F6"/>
    <w:rsid w:val="00567853"/>
    <w:rsid w:val="00567A61"/>
    <w:rsid w:val="00567E12"/>
    <w:rsid w:val="00567E57"/>
    <w:rsid w:val="0057067C"/>
    <w:rsid w:val="00570B76"/>
    <w:rsid w:val="00570E07"/>
    <w:rsid w:val="00571088"/>
    <w:rsid w:val="005712AF"/>
    <w:rsid w:val="00571976"/>
    <w:rsid w:val="005722B3"/>
    <w:rsid w:val="00572542"/>
    <w:rsid w:val="00573133"/>
    <w:rsid w:val="0057321E"/>
    <w:rsid w:val="00573524"/>
    <w:rsid w:val="005737E4"/>
    <w:rsid w:val="0057397B"/>
    <w:rsid w:val="00573D9B"/>
    <w:rsid w:val="00574052"/>
    <w:rsid w:val="00574712"/>
    <w:rsid w:val="0057511D"/>
    <w:rsid w:val="0057577D"/>
    <w:rsid w:val="00575856"/>
    <w:rsid w:val="00575EB2"/>
    <w:rsid w:val="00576097"/>
    <w:rsid w:val="00576806"/>
    <w:rsid w:val="00576A06"/>
    <w:rsid w:val="00576DEE"/>
    <w:rsid w:val="00576E74"/>
    <w:rsid w:val="00577A01"/>
    <w:rsid w:val="00577ACB"/>
    <w:rsid w:val="00577E4E"/>
    <w:rsid w:val="00577E8C"/>
    <w:rsid w:val="0058009A"/>
    <w:rsid w:val="005802A5"/>
    <w:rsid w:val="0058078A"/>
    <w:rsid w:val="00580B18"/>
    <w:rsid w:val="00580EE9"/>
    <w:rsid w:val="00580FFC"/>
    <w:rsid w:val="0058101E"/>
    <w:rsid w:val="00581742"/>
    <w:rsid w:val="0058176A"/>
    <w:rsid w:val="00581C8D"/>
    <w:rsid w:val="005823FD"/>
    <w:rsid w:val="00582744"/>
    <w:rsid w:val="00582A3B"/>
    <w:rsid w:val="00582D2E"/>
    <w:rsid w:val="005830CC"/>
    <w:rsid w:val="00583131"/>
    <w:rsid w:val="00583442"/>
    <w:rsid w:val="0058359D"/>
    <w:rsid w:val="005840F6"/>
    <w:rsid w:val="00584424"/>
    <w:rsid w:val="00584603"/>
    <w:rsid w:val="00584B0F"/>
    <w:rsid w:val="00584C4E"/>
    <w:rsid w:val="00584F94"/>
    <w:rsid w:val="00585503"/>
    <w:rsid w:val="00585899"/>
    <w:rsid w:val="00585C11"/>
    <w:rsid w:val="00585C2E"/>
    <w:rsid w:val="00585D50"/>
    <w:rsid w:val="005866E6"/>
    <w:rsid w:val="005868BB"/>
    <w:rsid w:val="00586B03"/>
    <w:rsid w:val="00587106"/>
    <w:rsid w:val="00587118"/>
    <w:rsid w:val="00587163"/>
    <w:rsid w:val="00587736"/>
    <w:rsid w:val="00587A54"/>
    <w:rsid w:val="00587B8C"/>
    <w:rsid w:val="00587C06"/>
    <w:rsid w:val="00587FC5"/>
    <w:rsid w:val="00590994"/>
    <w:rsid w:val="00590C8E"/>
    <w:rsid w:val="00591227"/>
    <w:rsid w:val="00591407"/>
    <w:rsid w:val="00591A5C"/>
    <w:rsid w:val="00591E01"/>
    <w:rsid w:val="005924CF"/>
    <w:rsid w:val="0059260E"/>
    <w:rsid w:val="005931B8"/>
    <w:rsid w:val="005933C4"/>
    <w:rsid w:val="0059394E"/>
    <w:rsid w:val="00593CC2"/>
    <w:rsid w:val="00593F61"/>
    <w:rsid w:val="00594275"/>
    <w:rsid w:val="005944C5"/>
    <w:rsid w:val="005947CC"/>
    <w:rsid w:val="00594815"/>
    <w:rsid w:val="005948BF"/>
    <w:rsid w:val="005949FF"/>
    <w:rsid w:val="00595275"/>
    <w:rsid w:val="00595931"/>
    <w:rsid w:val="00595D67"/>
    <w:rsid w:val="00596030"/>
    <w:rsid w:val="0059613A"/>
    <w:rsid w:val="00596362"/>
    <w:rsid w:val="0059646D"/>
    <w:rsid w:val="005964FC"/>
    <w:rsid w:val="0059657B"/>
    <w:rsid w:val="00596D42"/>
    <w:rsid w:val="00596E4A"/>
    <w:rsid w:val="005970EA"/>
    <w:rsid w:val="005972C3"/>
    <w:rsid w:val="005973EA"/>
    <w:rsid w:val="005973F9"/>
    <w:rsid w:val="005978FF"/>
    <w:rsid w:val="005979E0"/>
    <w:rsid w:val="005A006A"/>
    <w:rsid w:val="005A1A23"/>
    <w:rsid w:val="005A1C69"/>
    <w:rsid w:val="005A2B10"/>
    <w:rsid w:val="005A2D5E"/>
    <w:rsid w:val="005A2EA1"/>
    <w:rsid w:val="005A3045"/>
    <w:rsid w:val="005A32C2"/>
    <w:rsid w:val="005A347F"/>
    <w:rsid w:val="005A34B8"/>
    <w:rsid w:val="005A38C8"/>
    <w:rsid w:val="005A3CE3"/>
    <w:rsid w:val="005A3D59"/>
    <w:rsid w:val="005A3FC0"/>
    <w:rsid w:val="005A4413"/>
    <w:rsid w:val="005A4566"/>
    <w:rsid w:val="005A47D5"/>
    <w:rsid w:val="005A4891"/>
    <w:rsid w:val="005A4987"/>
    <w:rsid w:val="005A4A28"/>
    <w:rsid w:val="005A51D9"/>
    <w:rsid w:val="005A581E"/>
    <w:rsid w:val="005A5C99"/>
    <w:rsid w:val="005A643A"/>
    <w:rsid w:val="005A6884"/>
    <w:rsid w:val="005A71E7"/>
    <w:rsid w:val="005B068B"/>
    <w:rsid w:val="005B0D44"/>
    <w:rsid w:val="005B128A"/>
    <w:rsid w:val="005B12BD"/>
    <w:rsid w:val="005B130E"/>
    <w:rsid w:val="005B152C"/>
    <w:rsid w:val="005B18DF"/>
    <w:rsid w:val="005B1A8D"/>
    <w:rsid w:val="005B1F58"/>
    <w:rsid w:val="005B2497"/>
    <w:rsid w:val="005B279D"/>
    <w:rsid w:val="005B2A0A"/>
    <w:rsid w:val="005B2A2A"/>
    <w:rsid w:val="005B2D15"/>
    <w:rsid w:val="005B3119"/>
    <w:rsid w:val="005B3190"/>
    <w:rsid w:val="005B37A7"/>
    <w:rsid w:val="005B396E"/>
    <w:rsid w:val="005B3B53"/>
    <w:rsid w:val="005B4231"/>
    <w:rsid w:val="005B4479"/>
    <w:rsid w:val="005B4502"/>
    <w:rsid w:val="005B4731"/>
    <w:rsid w:val="005B49D2"/>
    <w:rsid w:val="005B4B86"/>
    <w:rsid w:val="005B4EFC"/>
    <w:rsid w:val="005B529E"/>
    <w:rsid w:val="005B659C"/>
    <w:rsid w:val="005B779B"/>
    <w:rsid w:val="005B794A"/>
    <w:rsid w:val="005B7D43"/>
    <w:rsid w:val="005C010C"/>
    <w:rsid w:val="005C06C6"/>
    <w:rsid w:val="005C077E"/>
    <w:rsid w:val="005C0C20"/>
    <w:rsid w:val="005C0EA2"/>
    <w:rsid w:val="005C1320"/>
    <w:rsid w:val="005C15BD"/>
    <w:rsid w:val="005C167E"/>
    <w:rsid w:val="005C26A5"/>
    <w:rsid w:val="005C27DB"/>
    <w:rsid w:val="005C28D8"/>
    <w:rsid w:val="005C293E"/>
    <w:rsid w:val="005C2F8E"/>
    <w:rsid w:val="005C2FA6"/>
    <w:rsid w:val="005C3FD6"/>
    <w:rsid w:val="005C4075"/>
    <w:rsid w:val="005C435F"/>
    <w:rsid w:val="005C4739"/>
    <w:rsid w:val="005C48A5"/>
    <w:rsid w:val="005C51E8"/>
    <w:rsid w:val="005C571F"/>
    <w:rsid w:val="005C59EC"/>
    <w:rsid w:val="005C6029"/>
    <w:rsid w:val="005C6312"/>
    <w:rsid w:val="005C6363"/>
    <w:rsid w:val="005C6DCB"/>
    <w:rsid w:val="005C74DF"/>
    <w:rsid w:val="005C76E5"/>
    <w:rsid w:val="005C774E"/>
    <w:rsid w:val="005C7ACE"/>
    <w:rsid w:val="005C7D23"/>
    <w:rsid w:val="005C7EF8"/>
    <w:rsid w:val="005D0164"/>
    <w:rsid w:val="005D0E02"/>
    <w:rsid w:val="005D1418"/>
    <w:rsid w:val="005D1570"/>
    <w:rsid w:val="005D18BD"/>
    <w:rsid w:val="005D25CA"/>
    <w:rsid w:val="005D277A"/>
    <w:rsid w:val="005D2EA6"/>
    <w:rsid w:val="005D2F87"/>
    <w:rsid w:val="005D3776"/>
    <w:rsid w:val="005D3813"/>
    <w:rsid w:val="005D3D5E"/>
    <w:rsid w:val="005D4129"/>
    <w:rsid w:val="005D44EF"/>
    <w:rsid w:val="005D4A82"/>
    <w:rsid w:val="005D505E"/>
    <w:rsid w:val="005D5597"/>
    <w:rsid w:val="005D64F0"/>
    <w:rsid w:val="005D6B55"/>
    <w:rsid w:val="005D7068"/>
    <w:rsid w:val="005D72D0"/>
    <w:rsid w:val="005E02C8"/>
    <w:rsid w:val="005E057E"/>
    <w:rsid w:val="005E0B48"/>
    <w:rsid w:val="005E1021"/>
    <w:rsid w:val="005E1989"/>
    <w:rsid w:val="005E1A0E"/>
    <w:rsid w:val="005E1A5B"/>
    <w:rsid w:val="005E1DC3"/>
    <w:rsid w:val="005E24A9"/>
    <w:rsid w:val="005E282F"/>
    <w:rsid w:val="005E2ABA"/>
    <w:rsid w:val="005E3080"/>
    <w:rsid w:val="005E3254"/>
    <w:rsid w:val="005E3647"/>
    <w:rsid w:val="005E3BC8"/>
    <w:rsid w:val="005E4601"/>
    <w:rsid w:val="005E4A23"/>
    <w:rsid w:val="005E4C65"/>
    <w:rsid w:val="005E4E6C"/>
    <w:rsid w:val="005E4FC0"/>
    <w:rsid w:val="005E6017"/>
    <w:rsid w:val="005E61A1"/>
    <w:rsid w:val="005E6ADA"/>
    <w:rsid w:val="005E76F7"/>
    <w:rsid w:val="005E77F0"/>
    <w:rsid w:val="005E7A16"/>
    <w:rsid w:val="005E7E6F"/>
    <w:rsid w:val="005F0C34"/>
    <w:rsid w:val="005F0F90"/>
    <w:rsid w:val="005F1B2E"/>
    <w:rsid w:val="005F1D67"/>
    <w:rsid w:val="005F1F6B"/>
    <w:rsid w:val="005F208D"/>
    <w:rsid w:val="005F31F8"/>
    <w:rsid w:val="005F38B9"/>
    <w:rsid w:val="005F3A48"/>
    <w:rsid w:val="005F3D63"/>
    <w:rsid w:val="005F4E76"/>
    <w:rsid w:val="005F5011"/>
    <w:rsid w:val="005F543F"/>
    <w:rsid w:val="005F5771"/>
    <w:rsid w:val="005F57DA"/>
    <w:rsid w:val="005F5A6D"/>
    <w:rsid w:val="005F5C44"/>
    <w:rsid w:val="005F5F41"/>
    <w:rsid w:val="005F62B0"/>
    <w:rsid w:val="005F663A"/>
    <w:rsid w:val="005F6AA6"/>
    <w:rsid w:val="005F6D95"/>
    <w:rsid w:val="005F7CE5"/>
    <w:rsid w:val="00600104"/>
    <w:rsid w:val="006005C8"/>
    <w:rsid w:val="00600B79"/>
    <w:rsid w:val="0060133F"/>
    <w:rsid w:val="00601657"/>
    <w:rsid w:val="00601CA2"/>
    <w:rsid w:val="006032A6"/>
    <w:rsid w:val="006032F3"/>
    <w:rsid w:val="00603337"/>
    <w:rsid w:val="006040B8"/>
    <w:rsid w:val="00604F15"/>
    <w:rsid w:val="006052B6"/>
    <w:rsid w:val="00605582"/>
    <w:rsid w:val="00605900"/>
    <w:rsid w:val="0060652E"/>
    <w:rsid w:val="006068EE"/>
    <w:rsid w:val="00606DEA"/>
    <w:rsid w:val="00606E10"/>
    <w:rsid w:val="00606E84"/>
    <w:rsid w:val="006070FE"/>
    <w:rsid w:val="006071ED"/>
    <w:rsid w:val="00607558"/>
    <w:rsid w:val="0060777E"/>
    <w:rsid w:val="006078DD"/>
    <w:rsid w:val="0060790C"/>
    <w:rsid w:val="00607C9E"/>
    <w:rsid w:val="006108DB"/>
    <w:rsid w:val="0061092D"/>
    <w:rsid w:val="0061093F"/>
    <w:rsid w:val="00610986"/>
    <w:rsid w:val="006109A8"/>
    <w:rsid w:val="006109D2"/>
    <w:rsid w:val="006119F6"/>
    <w:rsid w:val="00612583"/>
    <w:rsid w:val="00612A18"/>
    <w:rsid w:val="006130A4"/>
    <w:rsid w:val="006133FD"/>
    <w:rsid w:val="0061364E"/>
    <w:rsid w:val="00613DF2"/>
    <w:rsid w:val="00613EF4"/>
    <w:rsid w:val="00614202"/>
    <w:rsid w:val="006144B2"/>
    <w:rsid w:val="0061475C"/>
    <w:rsid w:val="00615177"/>
    <w:rsid w:val="006154D8"/>
    <w:rsid w:val="006156E9"/>
    <w:rsid w:val="00615E3B"/>
    <w:rsid w:val="00616468"/>
    <w:rsid w:val="00616719"/>
    <w:rsid w:val="006169BB"/>
    <w:rsid w:val="0061735B"/>
    <w:rsid w:val="006173B1"/>
    <w:rsid w:val="006174BD"/>
    <w:rsid w:val="00617F1E"/>
    <w:rsid w:val="00617FCA"/>
    <w:rsid w:val="00620C5D"/>
    <w:rsid w:val="00620D5E"/>
    <w:rsid w:val="006214BC"/>
    <w:rsid w:val="00621D05"/>
    <w:rsid w:val="00621DF7"/>
    <w:rsid w:val="00621F24"/>
    <w:rsid w:val="00621F7E"/>
    <w:rsid w:val="00622136"/>
    <w:rsid w:val="0062216D"/>
    <w:rsid w:val="006223F2"/>
    <w:rsid w:val="006228A4"/>
    <w:rsid w:val="006232E8"/>
    <w:rsid w:val="00623F40"/>
    <w:rsid w:val="0062449A"/>
    <w:rsid w:val="006245A2"/>
    <w:rsid w:val="00624A37"/>
    <w:rsid w:val="00624C28"/>
    <w:rsid w:val="00624C91"/>
    <w:rsid w:val="006253A3"/>
    <w:rsid w:val="00625686"/>
    <w:rsid w:val="00625A5D"/>
    <w:rsid w:val="00626575"/>
    <w:rsid w:val="00626AFD"/>
    <w:rsid w:val="00626C14"/>
    <w:rsid w:val="00627229"/>
    <w:rsid w:val="006272F5"/>
    <w:rsid w:val="0062746C"/>
    <w:rsid w:val="00627AFA"/>
    <w:rsid w:val="00627FA5"/>
    <w:rsid w:val="00630187"/>
    <w:rsid w:val="00630A30"/>
    <w:rsid w:val="0063118D"/>
    <w:rsid w:val="006311CB"/>
    <w:rsid w:val="00631336"/>
    <w:rsid w:val="00631597"/>
    <w:rsid w:val="006316F0"/>
    <w:rsid w:val="00631B2F"/>
    <w:rsid w:val="00631EBB"/>
    <w:rsid w:val="006322E8"/>
    <w:rsid w:val="006323F4"/>
    <w:rsid w:val="006324AD"/>
    <w:rsid w:val="00632991"/>
    <w:rsid w:val="00632C97"/>
    <w:rsid w:val="00632CB2"/>
    <w:rsid w:val="00633B95"/>
    <w:rsid w:val="00633D8D"/>
    <w:rsid w:val="00633E7F"/>
    <w:rsid w:val="00633F1B"/>
    <w:rsid w:val="00634B95"/>
    <w:rsid w:val="00634BA9"/>
    <w:rsid w:val="00634EFB"/>
    <w:rsid w:val="00635107"/>
    <w:rsid w:val="00635450"/>
    <w:rsid w:val="006357DB"/>
    <w:rsid w:val="00635836"/>
    <w:rsid w:val="0063592E"/>
    <w:rsid w:val="006360A4"/>
    <w:rsid w:val="0063619E"/>
    <w:rsid w:val="006361DE"/>
    <w:rsid w:val="006363E0"/>
    <w:rsid w:val="00636BFF"/>
    <w:rsid w:val="00636D4D"/>
    <w:rsid w:val="00636FD3"/>
    <w:rsid w:val="006370B9"/>
    <w:rsid w:val="00637117"/>
    <w:rsid w:val="00637155"/>
    <w:rsid w:val="00637572"/>
    <w:rsid w:val="00637E58"/>
    <w:rsid w:val="00640169"/>
    <w:rsid w:val="0064054C"/>
    <w:rsid w:val="0064070B"/>
    <w:rsid w:val="00641080"/>
    <w:rsid w:val="0064133D"/>
    <w:rsid w:val="00642101"/>
    <w:rsid w:val="006426FF"/>
    <w:rsid w:val="00642833"/>
    <w:rsid w:val="006429C2"/>
    <w:rsid w:val="006429C5"/>
    <w:rsid w:val="00642ACA"/>
    <w:rsid w:val="00642C43"/>
    <w:rsid w:val="00642E84"/>
    <w:rsid w:val="00643001"/>
    <w:rsid w:val="0064302E"/>
    <w:rsid w:val="0064303D"/>
    <w:rsid w:val="006432F9"/>
    <w:rsid w:val="00643490"/>
    <w:rsid w:val="0064378A"/>
    <w:rsid w:val="00643CFD"/>
    <w:rsid w:val="00643DA8"/>
    <w:rsid w:val="00643E2E"/>
    <w:rsid w:val="006442BA"/>
    <w:rsid w:val="0064439B"/>
    <w:rsid w:val="00644447"/>
    <w:rsid w:val="0064452A"/>
    <w:rsid w:val="006445E8"/>
    <w:rsid w:val="00644F9D"/>
    <w:rsid w:val="006457C0"/>
    <w:rsid w:val="00645943"/>
    <w:rsid w:val="006462B5"/>
    <w:rsid w:val="00646A11"/>
    <w:rsid w:val="00647105"/>
    <w:rsid w:val="00647711"/>
    <w:rsid w:val="0064772D"/>
    <w:rsid w:val="006478CA"/>
    <w:rsid w:val="00647B1B"/>
    <w:rsid w:val="00647B31"/>
    <w:rsid w:val="00650932"/>
    <w:rsid w:val="006513B1"/>
    <w:rsid w:val="00651ABB"/>
    <w:rsid w:val="00651D0D"/>
    <w:rsid w:val="00652886"/>
    <w:rsid w:val="006528FC"/>
    <w:rsid w:val="00653293"/>
    <w:rsid w:val="00653479"/>
    <w:rsid w:val="00653ED1"/>
    <w:rsid w:val="00653FA3"/>
    <w:rsid w:val="006542D1"/>
    <w:rsid w:val="00654950"/>
    <w:rsid w:val="00654CA9"/>
    <w:rsid w:val="0065565C"/>
    <w:rsid w:val="00655ACF"/>
    <w:rsid w:val="006568E8"/>
    <w:rsid w:val="00656B6C"/>
    <w:rsid w:val="00656CBC"/>
    <w:rsid w:val="0065777A"/>
    <w:rsid w:val="006601CE"/>
    <w:rsid w:val="0066035E"/>
    <w:rsid w:val="0066074F"/>
    <w:rsid w:val="00660C8D"/>
    <w:rsid w:val="006612E0"/>
    <w:rsid w:val="0066165E"/>
    <w:rsid w:val="006617FB"/>
    <w:rsid w:val="00661962"/>
    <w:rsid w:val="00661A71"/>
    <w:rsid w:val="006620A6"/>
    <w:rsid w:val="00662368"/>
    <w:rsid w:val="00662B50"/>
    <w:rsid w:val="00662D05"/>
    <w:rsid w:val="00662FF5"/>
    <w:rsid w:val="00663068"/>
    <w:rsid w:val="00663376"/>
    <w:rsid w:val="00663547"/>
    <w:rsid w:val="0066388F"/>
    <w:rsid w:val="00663E13"/>
    <w:rsid w:val="0066401A"/>
    <w:rsid w:val="00664020"/>
    <w:rsid w:val="00664314"/>
    <w:rsid w:val="006643AF"/>
    <w:rsid w:val="006644C9"/>
    <w:rsid w:val="0066453B"/>
    <w:rsid w:val="00664773"/>
    <w:rsid w:val="00665123"/>
    <w:rsid w:val="00665ADA"/>
    <w:rsid w:val="006665C6"/>
    <w:rsid w:val="00666714"/>
    <w:rsid w:val="00666DED"/>
    <w:rsid w:val="00667000"/>
    <w:rsid w:val="006671BE"/>
    <w:rsid w:val="00667506"/>
    <w:rsid w:val="00667776"/>
    <w:rsid w:val="006678CA"/>
    <w:rsid w:val="00667A5A"/>
    <w:rsid w:val="00670263"/>
    <w:rsid w:val="00670454"/>
    <w:rsid w:val="006708C0"/>
    <w:rsid w:val="00670DA4"/>
    <w:rsid w:val="00672568"/>
    <w:rsid w:val="0067289F"/>
    <w:rsid w:val="00672B45"/>
    <w:rsid w:val="00672B55"/>
    <w:rsid w:val="00672B89"/>
    <w:rsid w:val="00672C7D"/>
    <w:rsid w:val="00672CB1"/>
    <w:rsid w:val="00673702"/>
    <w:rsid w:val="0067396F"/>
    <w:rsid w:val="00673A2D"/>
    <w:rsid w:val="00674D45"/>
    <w:rsid w:val="006755E5"/>
    <w:rsid w:val="00675953"/>
    <w:rsid w:val="00675EF3"/>
    <w:rsid w:val="00675F31"/>
    <w:rsid w:val="00676806"/>
    <w:rsid w:val="0067691A"/>
    <w:rsid w:val="00676EC0"/>
    <w:rsid w:val="00676EE8"/>
    <w:rsid w:val="0067788D"/>
    <w:rsid w:val="00680385"/>
    <w:rsid w:val="00680624"/>
    <w:rsid w:val="00680A4E"/>
    <w:rsid w:val="00680CDF"/>
    <w:rsid w:val="00680DB0"/>
    <w:rsid w:val="0068128A"/>
    <w:rsid w:val="006815A1"/>
    <w:rsid w:val="006816A6"/>
    <w:rsid w:val="00681B63"/>
    <w:rsid w:val="00681C82"/>
    <w:rsid w:val="00681EDE"/>
    <w:rsid w:val="006824D8"/>
    <w:rsid w:val="00682736"/>
    <w:rsid w:val="00682AF1"/>
    <w:rsid w:val="006832EA"/>
    <w:rsid w:val="006835FE"/>
    <w:rsid w:val="00683E9A"/>
    <w:rsid w:val="00684118"/>
    <w:rsid w:val="0068436A"/>
    <w:rsid w:val="00684BEC"/>
    <w:rsid w:val="006853F4"/>
    <w:rsid w:val="00685B4A"/>
    <w:rsid w:val="00685C0D"/>
    <w:rsid w:val="006860AC"/>
    <w:rsid w:val="006861DF"/>
    <w:rsid w:val="00686426"/>
    <w:rsid w:val="006866B9"/>
    <w:rsid w:val="006867BE"/>
    <w:rsid w:val="0068684C"/>
    <w:rsid w:val="00686866"/>
    <w:rsid w:val="00686A0E"/>
    <w:rsid w:val="00686B51"/>
    <w:rsid w:val="00686D09"/>
    <w:rsid w:val="00686DA8"/>
    <w:rsid w:val="00686E50"/>
    <w:rsid w:val="0069018E"/>
    <w:rsid w:val="0069020C"/>
    <w:rsid w:val="0069065C"/>
    <w:rsid w:val="0069084B"/>
    <w:rsid w:val="006911D9"/>
    <w:rsid w:val="006917A9"/>
    <w:rsid w:val="00691DD8"/>
    <w:rsid w:val="00692227"/>
    <w:rsid w:val="00692479"/>
    <w:rsid w:val="006925AA"/>
    <w:rsid w:val="006927C6"/>
    <w:rsid w:val="00692963"/>
    <w:rsid w:val="00692B0C"/>
    <w:rsid w:val="00692EDA"/>
    <w:rsid w:val="00693114"/>
    <w:rsid w:val="00693169"/>
    <w:rsid w:val="0069324F"/>
    <w:rsid w:val="00693B68"/>
    <w:rsid w:val="00693BBA"/>
    <w:rsid w:val="006946B8"/>
    <w:rsid w:val="00694E2A"/>
    <w:rsid w:val="006950E6"/>
    <w:rsid w:val="0069553B"/>
    <w:rsid w:val="006955FC"/>
    <w:rsid w:val="00695634"/>
    <w:rsid w:val="00695651"/>
    <w:rsid w:val="00695665"/>
    <w:rsid w:val="006964FC"/>
    <w:rsid w:val="0069666C"/>
    <w:rsid w:val="00696686"/>
    <w:rsid w:val="00696786"/>
    <w:rsid w:val="006967EA"/>
    <w:rsid w:val="00696860"/>
    <w:rsid w:val="00696CDF"/>
    <w:rsid w:val="00696CF9"/>
    <w:rsid w:val="00696F39"/>
    <w:rsid w:val="0069729B"/>
    <w:rsid w:val="00697574"/>
    <w:rsid w:val="00697E14"/>
    <w:rsid w:val="00697EDA"/>
    <w:rsid w:val="006A03DE"/>
    <w:rsid w:val="006A0616"/>
    <w:rsid w:val="006A0777"/>
    <w:rsid w:val="006A08ED"/>
    <w:rsid w:val="006A0AAB"/>
    <w:rsid w:val="006A1285"/>
    <w:rsid w:val="006A2444"/>
    <w:rsid w:val="006A2649"/>
    <w:rsid w:val="006A26D6"/>
    <w:rsid w:val="006A28B9"/>
    <w:rsid w:val="006A31CF"/>
    <w:rsid w:val="006A327B"/>
    <w:rsid w:val="006A3360"/>
    <w:rsid w:val="006A33EC"/>
    <w:rsid w:val="006A3530"/>
    <w:rsid w:val="006A36F0"/>
    <w:rsid w:val="006A3BEF"/>
    <w:rsid w:val="006A3C44"/>
    <w:rsid w:val="006A41E1"/>
    <w:rsid w:val="006A491F"/>
    <w:rsid w:val="006A4FEB"/>
    <w:rsid w:val="006A5320"/>
    <w:rsid w:val="006A539C"/>
    <w:rsid w:val="006A561D"/>
    <w:rsid w:val="006A5CBF"/>
    <w:rsid w:val="006A626F"/>
    <w:rsid w:val="006A6BE4"/>
    <w:rsid w:val="006A6C53"/>
    <w:rsid w:val="006A6FC9"/>
    <w:rsid w:val="006A70D6"/>
    <w:rsid w:val="006A75BF"/>
    <w:rsid w:val="006A79F8"/>
    <w:rsid w:val="006A7EE3"/>
    <w:rsid w:val="006A7FFB"/>
    <w:rsid w:val="006B0321"/>
    <w:rsid w:val="006B0323"/>
    <w:rsid w:val="006B066A"/>
    <w:rsid w:val="006B0C19"/>
    <w:rsid w:val="006B0C96"/>
    <w:rsid w:val="006B0DF3"/>
    <w:rsid w:val="006B0E54"/>
    <w:rsid w:val="006B0F9C"/>
    <w:rsid w:val="006B10A5"/>
    <w:rsid w:val="006B1309"/>
    <w:rsid w:val="006B17BD"/>
    <w:rsid w:val="006B1C58"/>
    <w:rsid w:val="006B1D16"/>
    <w:rsid w:val="006B1D7A"/>
    <w:rsid w:val="006B23DD"/>
    <w:rsid w:val="006B2D0F"/>
    <w:rsid w:val="006B2D72"/>
    <w:rsid w:val="006B2E48"/>
    <w:rsid w:val="006B35F5"/>
    <w:rsid w:val="006B36CA"/>
    <w:rsid w:val="006B392E"/>
    <w:rsid w:val="006B3F7A"/>
    <w:rsid w:val="006B41F9"/>
    <w:rsid w:val="006B422D"/>
    <w:rsid w:val="006B47CD"/>
    <w:rsid w:val="006B5345"/>
    <w:rsid w:val="006B59D0"/>
    <w:rsid w:val="006B630C"/>
    <w:rsid w:val="006B6D83"/>
    <w:rsid w:val="006B74F8"/>
    <w:rsid w:val="006B775C"/>
    <w:rsid w:val="006B7897"/>
    <w:rsid w:val="006B7A95"/>
    <w:rsid w:val="006C01B6"/>
    <w:rsid w:val="006C0D15"/>
    <w:rsid w:val="006C1297"/>
    <w:rsid w:val="006C1B76"/>
    <w:rsid w:val="006C1DEC"/>
    <w:rsid w:val="006C1FB6"/>
    <w:rsid w:val="006C237F"/>
    <w:rsid w:val="006C2DC5"/>
    <w:rsid w:val="006C3419"/>
    <w:rsid w:val="006C355C"/>
    <w:rsid w:val="006C3860"/>
    <w:rsid w:val="006C3E37"/>
    <w:rsid w:val="006C3ECB"/>
    <w:rsid w:val="006C3F88"/>
    <w:rsid w:val="006C429B"/>
    <w:rsid w:val="006C4D85"/>
    <w:rsid w:val="006C5066"/>
    <w:rsid w:val="006C5171"/>
    <w:rsid w:val="006C54D7"/>
    <w:rsid w:val="006C5C18"/>
    <w:rsid w:val="006C64D9"/>
    <w:rsid w:val="006C67B4"/>
    <w:rsid w:val="006C681D"/>
    <w:rsid w:val="006C713C"/>
    <w:rsid w:val="006C715B"/>
    <w:rsid w:val="006C7169"/>
    <w:rsid w:val="006C7ACE"/>
    <w:rsid w:val="006C7DBB"/>
    <w:rsid w:val="006D0463"/>
    <w:rsid w:val="006D0551"/>
    <w:rsid w:val="006D0A2C"/>
    <w:rsid w:val="006D0C03"/>
    <w:rsid w:val="006D0FE2"/>
    <w:rsid w:val="006D11DB"/>
    <w:rsid w:val="006D17B8"/>
    <w:rsid w:val="006D1A9C"/>
    <w:rsid w:val="006D2343"/>
    <w:rsid w:val="006D2660"/>
    <w:rsid w:val="006D27FB"/>
    <w:rsid w:val="006D2D4C"/>
    <w:rsid w:val="006D301E"/>
    <w:rsid w:val="006D323B"/>
    <w:rsid w:val="006D3817"/>
    <w:rsid w:val="006D3CC3"/>
    <w:rsid w:val="006D3FD8"/>
    <w:rsid w:val="006D40A2"/>
    <w:rsid w:val="006D432D"/>
    <w:rsid w:val="006D4CC5"/>
    <w:rsid w:val="006D4CC8"/>
    <w:rsid w:val="006D4DAD"/>
    <w:rsid w:val="006D5013"/>
    <w:rsid w:val="006D5517"/>
    <w:rsid w:val="006D5A50"/>
    <w:rsid w:val="006D5ED9"/>
    <w:rsid w:val="006D60CD"/>
    <w:rsid w:val="006D66CF"/>
    <w:rsid w:val="006D6B6B"/>
    <w:rsid w:val="006D7026"/>
    <w:rsid w:val="006E0076"/>
    <w:rsid w:val="006E084D"/>
    <w:rsid w:val="006E088C"/>
    <w:rsid w:val="006E089C"/>
    <w:rsid w:val="006E090D"/>
    <w:rsid w:val="006E0B9B"/>
    <w:rsid w:val="006E0E31"/>
    <w:rsid w:val="006E0F65"/>
    <w:rsid w:val="006E1275"/>
    <w:rsid w:val="006E187E"/>
    <w:rsid w:val="006E1936"/>
    <w:rsid w:val="006E1B00"/>
    <w:rsid w:val="006E1CD2"/>
    <w:rsid w:val="006E1E10"/>
    <w:rsid w:val="006E2035"/>
    <w:rsid w:val="006E2205"/>
    <w:rsid w:val="006E25CF"/>
    <w:rsid w:val="006E2ADD"/>
    <w:rsid w:val="006E39A5"/>
    <w:rsid w:val="006E3EB8"/>
    <w:rsid w:val="006E3F18"/>
    <w:rsid w:val="006E428C"/>
    <w:rsid w:val="006E4D64"/>
    <w:rsid w:val="006E4FA0"/>
    <w:rsid w:val="006E51B0"/>
    <w:rsid w:val="006E5599"/>
    <w:rsid w:val="006E56F4"/>
    <w:rsid w:val="006E5E86"/>
    <w:rsid w:val="006E63C5"/>
    <w:rsid w:val="006E6530"/>
    <w:rsid w:val="006E70A8"/>
    <w:rsid w:val="006E78BD"/>
    <w:rsid w:val="006F01E6"/>
    <w:rsid w:val="006F042B"/>
    <w:rsid w:val="006F04C5"/>
    <w:rsid w:val="006F0710"/>
    <w:rsid w:val="006F0739"/>
    <w:rsid w:val="006F0B74"/>
    <w:rsid w:val="006F131B"/>
    <w:rsid w:val="006F1C7E"/>
    <w:rsid w:val="006F1EA1"/>
    <w:rsid w:val="006F22FB"/>
    <w:rsid w:val="006F24D8"/>
    <w:rsid w:val="006F2B5F"/>
    <w:rsid w:val="006F3B08"/>
    <w:rsid w:val="006F3D02"/>
    <w:rsid w:val="006F3E08"/>
    <w:rsid w:val="006F3E0A"/>
    <w:rsid w:val="006F3E37"/>
    <w:rsid w:val="006F4422"/>
    <w:rsid w:val="006F4680"/>
    <w:rsid w:val="006F4815"/>
    <w:rsid w:val="006F4BEF"/>
    <w:rsid w:val="006F4D7F"/>
    <w:rsid w:val="006F5177"/>
    <w:rsid w:val="006F543A"/>
    <w:rsid w:val="006F5880"/>
    <w:rsid w:val="006F59FB"/>
    <w:rsid w:val="006F6118"/>
    <w:rsid w:val="006F699B"/>
    <w:rsid w:val="006F6BF8"/>
    <w:rsid w:val="006F703C"/>
    <w:rsid w:val="006F72AF"/>
    <w:rsid w:val="006F7AA3"/>
    <w:rsid w:val="006F7CBA"/>
    <w:rsid w:val="007008C7"/>
    <w:rsid w:val="00701AC5"/>
    <w:rsid w:val="00701CF2"/>
    <w:rsid w:val="00702493"/>
    <w:rsid w:val="00702AA8"/>
    <w:rsid w:val="00702AC4"/>
    <w:rsid w:val="00702F21"/>
    <w:rsid w:val="00702F96"/>
    <w:rsid w:val="007038F7"/>
    <w:rsid w:val="0070435B"/>
    <w:rsid w:val="00705B18"/>
    <w:rsid w:val="00705FD9"/>
    <w:rsid w:val="007074E4"/>
    <w:rsid w:val="0070754E"/>
    <w:rsid w:val="007076BA"/>
    <w:rsid w:val="00707873"/>
    <w:rsid w:val="00707B06"/>
    <w:rsid w:val="00710166"/>
    <w:rsid w:val="00710317"/>
    <w:rsid w:val="00710382"/>
    <w:rsid w:val="0071078A"/>
    <w:rsid w:val="00710F3E"/>
    <w:rsid w:val="00711969"/>
    <w:rsid w:val="0071196F"/>
    <w:rsid w:val="00711D4C"/>
    <w:rsid w:val="00712067"/>
    <w:rsid w:val="007120CD"/>
    <w:rsid w:val="00712670"/>
    <w:rsid w:val="00712743"/>
    <w:rsid w:val="00712879"/>
    <w:rsid w:val="00712F44"/>
    <w:rsid w:val="00712F70"/>
    <w:rsid w:val="007132D2"/>
    <w:rsid w:val="00713645"/>
    <w:rsid w:val="00714890"/>
    <w:rsid w:val="00714E2A"/>
    <w:rsid w:val="007154EF"/>
    <w:rsid w:val="00715626"/>
    <w:rsid w:val="007159AA"/>
    <w:rsid w:val="00715C8D"/>
    <w:rsid w:val="00716584"/>
    <w:rsid w:val="00716B46"/>
    <w:rsid w:val="0071736F"/>
    <w:rsid w:val="00717572"/>
    <w:rsid w:val="007178E3"/>
    <w:rsid w:val="007200E8"/>
    <w:rsid w:val="0072012B"/>
    <w:rsid w:val="00720132"/>
    <w:rsid w:val="00720304"/>
    <w:rsid w:val="00720865"/>
    <w:rsid w:val="0072095E"/>
    <w:rsid w:val="00720BAC"/>
    <w:rsid w:val="00720C30"/>
    <w:rsid w:val="0072128C"/>
    <w:rsid w:val="00721598"/>
    <w:rsid w:val="00721C7E"/>
    <w:rsid w:val="00721C94"/>
    <w:rsid w:val="00722192"/>
    <w:rsid w:val="00722494"/>
    <w:rsid w:val="007224DE"/>
    <w:rsid w:val="0072279B"/>
    <w:rsid w:val="00723111"/>
    <w:rsid w:val="007233B1"/>
    <w:rsid w:val="0072362F"/>
    <w:rsid w:val="00723798"/>
    <w:rsid w:val="00723965"/>
    <w:rsid w:val="007239D7"/>
    <w:rsid w:val="00724104"/>
    <w:rsid w:val="007249E3"/>
    <w:rsid w:val="00724D3F"/>
    <w:rsid w:val="00724E35"/>
    <w:rsid w:val="00724F18"/>
    <w:rsid w:val="0072507A"/>
    <w:rsid w:val="007251BD"/>
    <w:rsid w:val="007252CC"/>
    <w:rsid w:val="00725308"/>
    <w:rsid w:val="007253BA"/>
    <w:rsid w:val="00725649"/>
    <w:rsid w:val="00725E3D"/>
    <w:rsid w:val="007262AE"/>
    <w:rsid w:val="007263F8"/>
    <w:rsid w:val="00726DE9"/>
    <w:rsid w:val="00727210"/>
    <w:rsid w:val="00727340"/>
    <w:rsid w:val="00727434"/>
    <w:rsid w:val="00727A3C"/>
    <w:rsid w:val="00727C11"/>
    <w:rsid w:val="00727CB4"/>
    <w:rsid w:val="007302AC"/>
    <w:rsid w:val="0073034B"/>
    <w:rsid w:val="007305C6"/>
    <w:rsid w:val="007307A7"/>
    <w:rsid w:val="00730967"/>
    <w:rsid w:val="007309BC"/>
    <w:rsid w:val="00730A42"/>
    <w:rsid w:val="00730AAD"/>
    <w:rsid w:val="00730C71"/>
    <w:rsid w:val="00730E24"/>
    <w:rsid w:val="007310A7"/>
    <w:rsid w:val="007314BD"/>
    <w:rsid w:val="0073151A"/>
    <w:rsid w:val="007315F2"/>
    <w:rsid w:val="007317A9"/>
    <w:rsid w:val="00731980"/>
    <w:rsid w:val="00731B25"/>
    <w:rsid w:val="00731D38"/>
    <w:rsid w:val="007321C0"/>
    <w:rsid w:val="00732798"/>
    <w:rsid w:val="007328AD"/>
    <w:rsid w:val="00732B92"/>
    <w:rsid w:val="00732C14"/>
    <w:rsid w:val="00732C43"/>
    <w:rsid w:val="007338F9"/>
    <w:rsid w:val="00733D92"/>
    <w:rsid w:val="00734526"/>
    <w:rsid w:val="007348C1"/>
    <w:rsid w:val="00734CCD"/>
    <w:rsid w:val="00734D8D"/>
    <w:rsid w:val="00735031"/>
    <w:rsid w:val="00735C59"/>
    <w:rsid w:val="00735F8B"/>
    <w:rsid w:val="007360A0"/>
    <w:rsid w:val="00736B03"/>
    <w:rsid w:val="00736B72"/>
    <w:rsid w:val="0073701A"/>
    <w:rsid w:val="00737192"/>
    <w:rsid w:val="00737309"/>
    <w:rsid w:val="007374BD"/>
    <w:rsid w:val="00737905"/>
    <w:rsid w:val="00737CED"/>
    <w:rsid w:val="00737D4E"/>
    <w:rsid w:val="00737F0A"/>
    <w:rsid w:val="00740261"/>
    <w:rsid w:val="00740349"/>
    <w:rsid w:val="00740AC3"/>
    <w:rsid w:val="0074149E"/>
    <w:rsid w:val="007418B4"/>
    <w:rsid w:val="007418CC"/>
    <w:rsid w:val="00742965"/>
    <w:rsid w:val="00742B3D"/>
    <w:rsid w:val="00742D15"/>
    <w:rsid w:val="00742F91"/>
    <w:rsid w:val="00742FDF"/>
    <w:rsid w:val="00743556"/>
    <w:rsid w:val="0074373E"/>
    <w:rsid w:val="00743755"/>
    <w:rsid w:val="00743A6C"/>
    <w:rsid w:val="00743E40"/>
    <w:rsid w:val="00744407"/>
    <w:rsid w:val="007445C3"/>
    <w:rsid w:val="00744834"/>
    <w:rsid w:val="00744B0A"/>
    <w:rsid w:val="00744B65"/>
    <w:rsid w:val="00744DA4"/>
    <w:rsid w:val="00744EAD"/>
    <w:rsid w:val="007451F9"/>
    <w:rsid w:val="0074599F"/>
    <w:rsid w:val="007460B5"/>
    <w:rsid w:val="0074624F"/>
    <w:rsid w:val="00746CD1"/>
    <w:rsid w:val="007471C6"/>
    <w:rsid w:val="00747B65"/>
    <w:rsid w:val="00747D26"/>
    <w:rsid w:val="00750088"/>
    <w:rsid w:val="0075014D"/>
    <w:rsid w:val="00750372"/>
    <w:rsid w:val="0075042A"/>
    <w:rsid w:val="0075050D"/>
    <w:rsid w:val="0075053B"/>
    <w:rsid w:val="00750A77"/>
    <w:rsid w:val="00750BF6"/>
    <w:rsid w:val="00750EF6"/>
    <w:rsid w:val="00751019"/>
    <w:rsid w:val="007517CE"/>
    <w:rsid w:val="00751921"/>
    <w:rsid w:val="00751A6A"/>
    <w:rsid w:val="007526FB"/>
    <w:rsid w:val="007533BD"/>
    <w:rsid w:val="00753587"/>
    <w:rsid w:val="007536DF"/>
    <w:rsid w:val="00753A2F"/>
    <w:rsid w:val="00753A42"/>
    <w:rsid w:val="007540E4"/>
    <w:rsid w:val="0075426E"/>
    <w:rsid w:val="007542A3"/>
    <w:rsid w:val="007552B8"/>
    <w:rsid w:val="007552EA"/>
    <w:rsid w:val="007555EB"/>
    <w:rsid w:val="007556F0"/>
    <w:rsid w:val="007560C1"/>
    <w:rsid w:val="0075647F"/>
    <w:rsid w:val="0075657B"/>
    <w:rsid w:val="007565B8"/>
    <w:rsid w:val="00756B81"/>
    <w:rsid w:val="00756C72"/>
    <w:rsid w:val="00757343"/>
    <w:rsid w:val="007574B8"/>
    <w:rsid w:val="0075761E"/>
    <w:rsid w:val="00757C96"/>
    <w:rsid w:val="00757D72"/>
    <w:rsid w:val="007600A8"/>
    <w:rsid w:val="0076017C"/>
    <w:rsid w:val="00760219"/>
    <w:rsid w:val="007603B9"/>
    <w:rsid w:val="00760ABE"/>
    <w:rsid w:val="00760FA3"/>
    <w:rsid w:val="00761402"/>
    <w:rsid w:val="007615C1"/>
    <w:rsid w:val="0076176D"/>
    <w:rsid w:val="00761EBA"/>
    <w:rsid w:val="00762457"/>
    <w:rsid w:val="0076283B"/>
    <w:rsid w:val="00762CAE"/>
    <w:rsid w:val="0076345C"/>
    <w:rsid w:val="007634D1"/>
    <w:rsid w:val="00763650"/>
    <w:rsid w:val="00763DB4"/>
    <w:rsid w:val="00763DDD"/>
    <w:rsid w:val="0076434A"/>
    <w:rsid w:val="00764BFE"/>
    <w:rsid w:val="00764C3E"/>
    <w:rsid w:val="00765432"/>
    <w:rsid w:val="00765A51"/>
    <w:rsid w:val="00765E84"/>
    <w:rsid w:val="0076602C"/>
    <w:rsid w:val="00766157"/>
    <w:rsid w:val="00766924"/>
    <w:rsid w:val="00767108"/>
    <w:rsid w:val="00767125"/>
    <w:rsid w:val="0076758C"/>
    <w:rsid w:val="00767912"/>
    <w:rsid w:val="007679A4"/>
    <w:rsid w:val="00767A6A"/>
    <w:rsid w:val="00767BB7"/>
    <w:rsid w:val="00767E03"/>
    <w:rsid w:val="00767F6B"/>
    <w:rsid w:val="0077017A"/>
    <w:rsid w:val="00770A74"/>
    <w:rsid w:val="00770AFD"/>
    <w:rsid w:val="00770E04"/>
    <w:rsid w:val="00770E14"/>
    <w:rsid w:val="00771203"/>
    <w:rsid w:val="00771255"/>
    <w:rsid w:val="007714DA"/>
    <w:rsid w:val="007716E9"/>
    <w:rsid w:val="007726B5"/>
    <w:rsid w:val="0077286C"/>
    <w:rsid w:val="007729F9"/>
    <w:rsid w:val="00772DBD"/>
    <w:rsid w:val="00773153"/>
    <w:rsid w:val="007732F4"/>
    <w:rsid w:val="0077380F"/>
    <w:rsid w:val="00774207"/>
    <w:rsid w:val="007746AE"/>
    <w:rsid w:val="007746D5"/>
    <w:rsid w:val="00774E11"/>
    <w:rsid w:val="00774EC0"/>
    <w:rsid w:val="007750D1"/>
    <w:rsid w:val="007750EB"/>
    <w:rsid w:val="00775941"/>
    <w:rsid w:val="00775BAD"/>
    <w:rsid w:val="00775D51"/>
    <w:rsid w:val="0077651B"/>
    <w:rsid w:val="00777062"/>
    <w:rsid w:val="0077714E"/>
    <w:rsid w:val="00777FC4"/>
    <w:rsid w:val="007801A7"/>
    <w:rsid w:val="0078050E"/>
    <w:rsid w:val="007809D6"/>
    <w:rsid w:val="00780DA4"/>
    <w:rsid w:val="007810DD"/>
    <w:rsid w:val="00781DDE"/>
    <w:rsid w:val="00781EAA"/>
    <w:rsid w:val="007822F5"/>
    <w:rsid w:val="007824FC"/>
    <w:rsid w:val="00783851"/>
    <w:rsid w:val="007845AD"/>
    <w:rsid w:val="007847EE"/>
    <w:rsid w:val="0078489D"/>
    <w:rsid w:val="007849D7"/>
    <w:rsid w:val="00784EA6"/>
    <w:rsid w:val="007857E8"/>
    <w:rsid w:val="00785845"/>
    <w:rsid w:val="00785DD7"/>
    <w:rsid w:val="00787049"/>
    <w:rsid w:val="007878A0"/>
    <w:rsid w:val="00787BB2"/>
    <w:rsid w:val="00787CB8"/>
    <w:rsid w:val="00787E87"/>
    <w:rsid w:val="00787F13"/>
    <w:rsid w:val="007902C8"/>
    <w:rsid w:val="0079045D"/>
    <w:rsid w:val="007904D8"/>
    <w:rsid w:val="0079081B"/>
    <w:rsid w:val="00790920"/>
    <w:rsid w:val="00790AB7"/>
    <w:rsid w:val="00790ACB"/>
    <w:rsid w:val="007917B2"/>
    <w:rsid w:val="00791A8E"/>
    <w:rsid w:val="00791B80"/>
    <w:rsid w:val="00791E0E"/>
    <w:rsid w:val="00792378"/>
    <w:rsid w:val="007928BB"/>
    <w:rsid w:val="00792A95"/>
    <w:rsid w:val="00792CFE"/>
    <w:rsid w:val="0079309A"/>
    <w:rsid w:val="0079361D"/>
    <w:rsid w:val="00793682"/>
    <w:rsid w:val="007940FE"/>
    <w:rsid w:val="0079413E"/>
    <w:rsid w:val="0079450A"/>
    <w:rsid w:val="0079451D"/>
    <w:rsid w:val="00794657"/>
    <w:rsid w:val="0079468B"/>
    <w:rsid w:val="007946BC"/>
    <w:rsid w:val="007946F9"/>
    <w:rsid w:val="007948FA"/>
    <w:rsid w:val="00794A77"/>
    <w:rsid w:val="00795021"/>
    <w:rsid w:val="007952F3"/>
    <w:rsid w:val="0079541B"/>
    <w:rsid w:val="0079541E"/>
    <w:rsid w:val="007959BC"/>
    <w:rsid w:val="00795A6D"/>
    <w:rsid w:val="00795CCA"/>
    <w:rsid w:val="00795F96"/>
    <w:rsid w:val="0079626F"/>
    <w:rsid w:val="00796762"/>
    <w:rsid w:val="0079696F"/>
    <w:rsid w:val="00796F3D"/>
    <w:rsid w:val="007A04F8"/>
    <w:rsid w:val="007A0CFD"/>
    <w:rsid w:val="007A0EDC"/>
    <w:rsid w:val="007A1191"/>
    <w:rsid w:val="007A13AB"/>
    <w:rsid w:val="007A1477"/>
    <w:rsid w:val="007A1E5B"/>
    <w:rsid w:val="007A2003"/>
    <w:rsid w:val="007A23F9"/>
    <w:rsid w:val="007A2F37"/>
    <w:rsid w:val="007A3015"/>
    <w:rsid w:val="007A3391"/>
    <w:rsid w:val="007A3542"/>
    <w:rsid w:val="007A388E"/>
    <w:rsid w:val="007A3995"/>
    <w:rsid w:val="007A3D70"/>
    <w:rsid w:val="007A409C"/>
    <w:rsid w:val="007A4143"/>
    <w:rsid w:val="007A43DB"/>
    <w:rsid w:val="007A4449"/>
    <w:rsid w:val="007A4781"/>
    <w:rsid w:val="007A4F77"/>
    <w:rsid w:val="007A4FD6"/>
    <w:rsid w:val="007A50BB"/>
    <w:rsid w:val="007A5215"/>
    <w:rsid w:val="007A565E"/>
    <w:rsid w:val="007A5D90"/>
    <w:rsid w:val="007A5F05"/>
    <w:rsid w:val="007A6268"/>
    <w:rsid w:val="007A6459"/>
    <w:rsid w:val="007A6D5F"/>
    <w:rsid w:val="007A76B3"/>
    <w:rsid w:val="007B0859"/>
    <w:rsid w:val="007B0C8E"/>
    <w:rsid w:val="007B0E83"/>
    <w:rsid w:val="007B12A5"/>
    <w:rsid w:val="007B12F2"/>
    <w:rsid w:val="007B17BC"/>
    <w:rsid w:val="007B1A4E"/>
    <w:rsid w:val="007B1BA7"/>
    <w:rsid w:val="007B1D3D"/>
    <w:rsid w:val="007B1F3F"/>
    <w:rsid w:val="007B22E1"/>
    <w:rsid w:val="007B23C5"/>
    <w:rsid w:val="007B2429"/>
    <w:rsid w:val="007B2756"/>
    <w:rsid w:val="007B2D8E"/>
    <w:rsid w:val="007B31D3"/>
    <w:rsid w:val="007B3244"/>
    <w:rsid w:val="007B35D1"/>
    <w:rsid w:val="007B38EA"/>
    <w:rsid w:val="007B3F38"/>
    <w:rsid w:val="007B3F68"/>
    <w:rsid w:val="007B3FAF"/>
    <w:rsid w:val="007B415D"/>
    <w:rsid w:val="007B42F0"/>
    <w:rsid w:val="007B4635"/>
    <w:rsid w:val="007B4BE8"/>
    <w:rsid w:val="007B59DF"/>
    <w:rsid w:val="007B5BBC"/>
    <w:rsid w:val="007B5D7F"/>
    <w:rsid w:val="007B6143"/>
    <w:rsid w:val="007B6411"/>
    <w:rsid w:val="007B65A5"/>
    <w:rsid w:val="007B6CF2"/>
    <w:rsid w:val="007B71D9"/>
    <w:rsid w:val="007B71F6"/>
    <w:rsid w:val="007B77CC"/>
    <w:rsid w:val="007B7830"/>
    <w:rsid w:val="007B7A55"/>
    <w:rsid w:val="007B7A7D"/>
    <w:rsid w:val="007C0097"/>
    <w:rsid w:val="007C0E56"/>
    <w:rsid w:val="007C0ED6"/>
    <w:rsid w:val="007C0F0D"/>
    <w:rsid w:val="007C0F80"/>
    <w:rsid w:val="007C1A26"/>
    <w:rsid w:val="007C1EF0"/>
    <w:rsid w:val="007C1F2D"/>
    <w:rsid w:val="007C224E"/>
    <w:rsid w:val="007C2515"/>
    <w:rsid w:val="007C273F"/>
    <w:rsid w:val="007C2775"/>
    <w:rsid w:val="007C30C1"/>
    <w:rsid w:val="007C3A66"/>
    <w:rsid w:val="007C4170"/>
    <w:rsid w:val="007C538B"/>
    <w:rsid w:val="007C580F"/>
    <w:rsid w:val="007C59DD"/>
    <w:rsid w:val="007C670C"/>
    <w:rsid w:val="007C6F9A"/>
    <w:rsid w:val="007C7052"/>
    <w:rsid w:val="007C75BC"/>
    <w:rsid w:val="007C7869"/>
    <w:rsid w:val="007C79CA"/>
    <w:rsid w:val="007C7BEA"/>
    <w:rsid w:val="007C7CAE"/>
    <w:rsid w:val="007C7F7B"/>
    <w:rsid w:val="007D013A"/>
    <w:rsid w:val="007D0173"/>
    <w:rsid w:val="007D018C"/>
    <w:rsid w:val="007D0413"/>
    <w:rsid w:val="007D0538"/>
    <w:rsid w:val="007D08F4"/>
    <w:rsid w:val="007D09E8"/>
    <w:rsid w:val="007D0C07"/>
    <w:rsid w:val="007D0DAA"/>
    <w:rsid w:val="007D0F38"/>
    <w:rsid w:val="007D14DC"/>
    <w:rsid w:val="007D155F"/>
    <w:rsid w:val="007D1ADC"/>
    <w:rsid w:val="007D21C7"/>
    <w:rsid w:val="007D2540"/>
    <w:rsid w:val="007D28A4"/>
    <w:rsid w:val="007D2CF4"/>
    <w:rsid w:val="007D3709"/>
    <w:rsid w:val="007D3748"/>
    <w:rsid w:val="007D39AA"/>
    <w:rsid w:val="007D3D5C"/>
    <w:rsid w:val="007D3DAC"/>
    <w:rsid w:val="007D4147"/>
    <w:rsid w:val="007D4285"/>
    <w:rsid w:val="007D42CA"/>
    <w:rsid w:val="007D499E"/>
    <w:rsid w:val="007D4CE2"/>
    <w:rsid w:val="007D4F4B"/>
    <w:rsid w:val="007D5971"/>
    <w:rsid w:val="007D60D7"/>
    <w:rsid w:val="007D68A5"/>
    <w:rsid w:val="007D6CFB"/>
    <w:rsid w:val="007D79A5"/>
    <w:rsid w:val="007D7E4E"/>
    <w:rsid w:val="007D7F69"/>
    <w:rsid w:val="007E009A"/>
    <w:rsid w:val="007E0317"/>
    <w:rsid w:val="007E087B"/>
    <w:rsid w:val="007E0ADA"/>
    <w:rsid w:val="007E0E42"/>
    <w:rsid w:val="007E1742"/>
    <w:rsid w:val="007E178C"/>
    <w:rsid w:val="007E1CDB"/>
    <w:rsid w:val="007E205C"/>
    <w:rsid w:val="007E230A"/>
    <w:rsid w:val="007E2879"/>
    <w:rsid w:val="007E2945"/>
    <w:rsid w:val="007E2BB5"/>
    <w:rsid w:val="007E2DB1"/>
    <w:rsid w:val="007E2FF9"/>
    <w:rsid w:val="007E30F7"/>
    <w:rsid w:val="007E32D9"/>
    <w:rsid w:val="007E375D"/>
    <w:rsid w:val="007E376A"/>
    <w:rsid w:val="007E37FD"/>
    <w:rsid w:val="007E3CB3"/>
    <w:rsid w:val="007E3DBE"/>
    <w:rsid w:val="007E3EC9"/>
    <w:rsid w:val="007E404E"/>
    <w:rsid w:val="007E47E1"/>
    <w:rsid w:val="007E486A"/>
    <w:rsid w:val="007E4A85"/>
    <w:rsid w:val="007E4B8C"/>
    <w:rsid w:val="007E4EE8"/>
    <w:rsid w:val="007E5276"/>
    <w:rsid w:val="007E5391"/>
    <w:rsid w:val="007E5540"/>
    <w:rsid w:val="007E572B"/>
    <w:rsid w:val="007E6020"/>
    <w:rsid w:val="007E6DA0"/>
    <w:rsid w:val="007E737A"/>
    <w:rsid w:val="007E7400"/>
    <w:rsid w:val="007E78FC"/>
    <w:rsid w:val="007E79A9"/>
    <w:rsid w:val="007E7CFD"/>
    <w:rsid w:val="007F0526"/>
    <w:rsid w:val="007F0591"/>
    <w:rsid w:val="007F0671"/>
    <w:rsid w:val="007F09E9"/>
    <w:rsid w:val="007F10DA"/>
    <w:rsid w:val="007F127B"/>
    <w:rsid w:val="007F1A62"/>
    <w:rsid w:val="007F1DA2"/>
    <w:rsid w:val="007F1E8F"/>
    <w:rsid w:val="007F2275"/>
    <w:rsid w:val="007F2461"/>
    <w:rsid w:val="007F2987"/>
    <w:rsid w:val="007F2E53"/>
    <w:rsid w:val="007F3378"/>
    <w:rsid w:val="007F374F"/>
    <w:rsid w:val="007F3B05"/>
    <w:rsid w:val="007F41AD"/>
    <w:rsid w:val="007F4DC6"/>
    <w:rsid w:val="007F524C"/>
    <w:rsid w:val="007F58F5"/>
    <w:rsid w:val="007F6090"/>
    <w:rsid w:val="007F6487"/>
    <w:rsid w:val="007F6879"/>
    <w:rsid w:val="007F6A3C"/>
    <w:rsid w:val="007F6B3F"/>
    <w:rsid w:val="007F73CD"/>
    <w:rsid w:val="007F79D2"/>
    <w:rsid w:val="008009E3"/>
    <w:rsid w:val="00800ABC"/>
    <w:rsid w:val="00800AE1"/>
    <w:rsid w:val="00801602"/>
    <w:rsid w:val="008017CC"/>
    <w:rsid w:val="00801901"/>
    <w:rsid w:val="008019A8"/>
    <w:rsid w:val="008019F1"/>
    <w:rsid w:val="0080257F"/>
    <w:rsid w:val="008026E5"/>
    <w:rsid w:val="00802860"/>
    <w:rsid w:val="0080291A"/>
    <w:rsid w:val="00802AA6"/>
    <w:rsid w:val="00802C95"/>
    <w:rsid w:val="008030DE"/>
    <w:rsid w:val="0080353C"/>
    <w:rsid w:val="00803AFF"/>
    <w:rsid w:val="00804072"/>
    <w:rsid w:val="00804172"/>
    <w:rsid w:val="0080435D"/>
    <w:rsid w:val="008045CF"/>
    <w:rsid w:val="00804CFE"/>
    <w:rsid w:val="0080505B"/>
    <w:rsid w:val="008059F6"/>
    <w:rsid w:val="008063FD"/>
    <w:rsid w:val="00806DBC"/>
    <w:rsid w:val="00806EF4"/>
    <w:rsid w:val="00807199"/>
    <w:rsid w:val="00807818"/>
    <w:rsid w:val="0080792C"/>
    <w:rsid w:val="00807A39"/>
    <w:rsid w:val="00807B72"/>
    <w:rsid w:val="00810C2B"/>
    <w:rsid w:val="00810F07"/>
    <w:rsid w:val="008110F9"/>
    <w:rsid w:val="008111BA"/>
    <w:rsid w:val="008115EA"/>
    <w:rsid w:val="008115F8"/>
    <w:rsid w:val="00811690"/>
    <w:rsid w:val="00811998"/>
    <w:rsid w:val="00812EB9"/>
    <w:rsid w:val="00813036"/>
    <w:rsid w:val="008132DF"/>
    <w:rsid w:val="008136FA"/>
    <w:rsid w:val="00813B03"/>
    <w:rsid w:val="00813BC8"/>
    <w:rsid w:val="008144A9"/>
    <w:rsid w:val="00814688"/>
    <w:rsid w:val="0081492B"/>
    <w:rsid w:val="00814A4F"/>
    <w:rsid w:val="0081504C"/>
    <w:rsid w:val="008152DC"/>
    <w:rsid w:val="0081560B"/>
    <w:rsid w:val="00815619"/>
    <w:rsid w:val="00815EFB"/>
    <w:rsid w:val="008166FD"/>
    <w:rsid w:val="00816889"/>
    <w:rsid w:val="008169EF"/>
    <w:rsid w:val="008172C3"/>
    <w:rsid w:val="008174A9"/>
    <w:rsid w:val="00817616"/>
    <w:rsid w:val="00820138"/>
    <w:rsid w:val="008203AD"/>
    <w:rsid w:val="00820560"/>
    <w:rsid w:val="00820D36"/>
    <w:rsid w:val="00820FA0"/>
    <w:rsid w:val="008212E4"/>
    <w:rsid w:val="008218BA"/>
    <w:rsid w:val="00821A3B"/>
    <w:rsid w:val="00821AB4"/>
    <w:rsid w:val="00821E4B"/>
    <w:rsid w:val="00822192"/>
    <w:rsid w:val="008221D3"/>
    <w:rsid w:val="00822240"/>
    <w:rsid w:val="00822290"/>
    <w:rsid w:val="00822300"/>
    <w:rsid w:val="0082284A"/>
    <w:rsid w:val="00822C1D"/>
    <w:rsid w:val="00822C4F"/>
    <w:rsid w:val="008233B6"/>
    <w:rsid w:val="0082354E"/>
    <w:rsid w:val="00823D52"/>
    <w:rsid w:val="00823F42"/>
    <w:rsid w:val="008244FE"/>
    <w:rsid w:val="008247FC"/>
    <w:rsid w:val="00824CD1"/>
    <w:rsid w:val="00824FD2"/>
    <w:rsid w:val="0082551D"/>
    <w:rsid w:val="008256E4"/>
    <w:rsid w:val="008258E2"/>
    <w:rsid w:val="00825ACC"/>
    <w:rsid w:val="00826092"/>
    <w:rsid w:val="008267C2"/>
    <w:rsid w:val="008269B2"/>
    <w:rsid w:val="00826B28"/>
    <w:rsid w:val="0082714A"/>
    <w:rsid w:val="00827515"/>
    <w:rsid w:val="008303C3"/>
    <w:rsid w:val="00830495"/>
    <w:rsid w:val="00830762"/>
    <w:rsid w:val="008307FF"/>
    <w:rsid w:val="00830F2A"/>
    <w:rsid w:val="00830FD6"/>
    <w:rsid w:val="00831252"/>
    <w:rsid w:val="008316C8"/>
    <w:rsid w:val="0083176D"/>
    <w:rsid w:val="0083222C"/>
    <w:rsid w:val="0083238D"/>
    <w:rsid w:val="008327BD"/>
    <w:rsid w:val="00832F4F"/>
    <w:rsid w:val="0083308C"/>
    <w:rsid w:val="0083362C"/>
    <w:rsid w:val="0083415C"/>
    <w:rsid w:val="00834196"/>
    <w:rsid w:val="0083477A"/>
    <w:rsid w:val="00834D29"/>
    <w:rsid w:val="00835220"/>
    <w:rsid w:val="008354AC"/>
    <w:rsid w:val="00835E7C"/>
    <w:rsid w:val="00836022"/>
    <w:rsid w:val="00836687"/>
    <w:rsid w:val="00837273"/>
    <w:rsid w:val="008373B1"/>
    <w:rsid w:val="00837632"/>
    <w:rsid w:val="008377C3"/>
    <w:rsid w:val="008377E9"/>
    <w:rsid w:val="00837E0C"/>
    <w:rsid w:val="00840040"/>
    <w:rsid w:val="008400C5"/>
    <w:rsid w:val="0084020A"/>
    <w:rsid w:val="00840215"/>
    <w:rsid w:val="00840AE1"/>
    <w:rsid w:val="008410C5"/>
    <w:rsid w:val="00841460"/>
    <w:rsid w:val="00842215"/>
    <w:rsid w:val="00842AA4"/>
    <w:rsid w:val="00842F9E"/>
    <w:rsid w:val="0084342D"/>
    <w:rsid w:val="008435BC"/>
    <w:rsid w:val="00843A57"/>
    <w:rsid w:val="00843C5D"/>
    <w:rsid w:val="00843EDF"/>
    <w:rsid w:val="00844087"/>
    <w:rsid w:val="00844111"/>
    <w:rsid w:val="008442C2"/>
    <w:rsid w:val="00844341"/>
    <w:rsid w:val="00844477"/>
    <w:rsid w:val="00844493"/>
    <w:rsid w:val="00844948"/>
    <w:rsid w:val="00844E42"/>
    <w:rsid w:val="00844E92"/>
    <w:rsid w:val="00844FB7"/>
    <w:rsid w:val="00845001"/>
    <w:rsid w:val="008454C4"/>
    <w:rsid w:val="00845673"/>
    <w:rsid w:val="00845C5E"/>
    <w:rsid w:val="0084602D"/>
    <w:rsid w:val="0084659B"/>
    <w:rsid w:val="00846664"/>
    <w:rsid w:val="00846C1F"/>
    <w:rsid w:val="00847049"/>
    <w:rsid w:val="008470E6"/>
    <w:rsid w:val="008473B0"/>
    <w:rsid w:val="0084765E"/>
    <w:rsid w:val="00847841"/>
    <w:rsid w:val="00847C23"/>
    <w:rsid w:val="00850662"/>
    <w:rsid w:val="0085070C"/>
    <w:rsid w:val="00850720"/>
    <w:rsid w:val="00851402"/>
    <w:rsid w:val="0085167C"/>
    <w:rsid w:val="008516A0"/>
    <w:rsid w:val="00851824"/>
    <w:rsid w:val="0085186B"/>
    <w:rsid w:val="00851DDF"/>
    <w:rsid w:val="00851E56"/>
    <w:rsid w:val="0085205E"/>
    <w:rsid w:val="008520C3"/>
    <w:rsid w:val="008522F7"/>
    <w:rsid w:val="0085281D"/>
    <w:rsid w:val="008529C2"/>
    <w:rsid w:val="00852D14"/>
    <w:rsid w:val="0085319D"/>
    <w:rsid w:val="008535DD"/>
    <w:rsid w:val="0085396D"/>
    <w:rsid w:val="00853D3A"/>
    <w:rsid w:val="0085497C"/>
    <w:rsid w:val="00854A45"/>
    <w:rsid w:val="00854A79"/>
    <w:rsid w:val="008551F1"/>
    <w:rsid w:val="0085538C"/>
    <w:rsid w:val="00855504"/>
    <w:rsid w:val="008558CE"/>
    <w:rsid w:val="00855D7F"/>
    <w:rsid w:val="00856835"/>
    <w:rsid w:val="0085704B"/>
    <w:rsid w:val="0085761B"/>
    <w:rsid w:val="00860117"/>
    <w:rsid w:val="00860249"/>
    <w:rsid w:val="00861351"/>
    <w:rsid w:val="008613D0"/>
    <w:rsid w:val="0086147B"/>
    <w:rsid w:val="008615B5"/>
    <w:rsid w:val="008615E0"/>
    <w:rsid w:val="00861B9E"/>
    <w:rsid w:val="00861D2F"/>
    <w:rsid w:val="0086287C"/>
    <w:rsid w:val="00862946"/>
    <w:rsid w:val="00862F2C"/>
    <w:rsid w:val="00863376"/>
    <w:rsid w:val="00863A31"/>
    <w:rsid w:val="00863A6C"/>
    <w:rsid w:val="00863CC7"/>
    <w:rsid w:val="00863F67"/>
    <w:rsid w:val="00863F85"/>
    <w:rsid w:val="008640A7"/>
    <w:rsid w:val="0086414F"/>
    <w:rsid w:val="008644A7"/>
    <w:rsid w:val="008647AF"/>
    <w:rsid w:val="00864A84"/>
    <w:rsid w:val="00864C60"/>
    <w:rsid w:val="00864C78"/>
    <w:rsid w:val="00864E89"/>
    <w:rsid w:val="008655BE"/>
    <w:rsid w:val="00865669"/>
    <w:rsid w:val="00865868"/>
    <w:rsid w:val="00865B07"/>
    <w:rsid w:val="00865CF4"/>
    <w:rsid w:val="008661BB"/>
    <w:rsid w:val="00866233"/>
    <w:rsid w:val="008665AC"/>
    <w:rsid w:val="00866E11"/>
    <w:rsid w:val="00867062"/>
    <w:rsid w:val="0086794F"/>
    <w:rsid w:val="008704B3"/>
    <w:rsid w:val="00870643"/>
    <w:rsid w:val="00870951"/>
    <w:rsid w:val="00870BFC"/>
    <w:rsid w:val="00870C13"/>
    <w:rsid w:val="00870DE8"/>
    <w:rsid w:val="00871222"/>
    <w:rsid w:val="008717C7"/>
    <w:rsid w:val="0087191F"/>
    <w:rsid w:val="008723CA"/>
    <w:rsid w:val="00872467"/>
    <w:rsid w:val="00872763"/>
    <w:rsid w:val="008728FF"/>
    <w:rsid w:val="00872A27"/>
    <w:rsid w:val="00872B44"/>
    <w:rsid w:val="00872EB9"/>
    <w:rsid w:val="008731DE"/>
    <w:rsid w:val="008733AE"/>
    <w:rsid w:val="00873C52"/>
    <w:rsid w:val="00873CEF"/>
    <w:rsid w:val="00873E42"/>
    <w:rsid w:val="00873F86"/>
    <w:rsid w:val="00874187"/>
    <w:rsid w:val="008743AD"/>
    <w:rsid w:val="008743DD"/>
    <w:rsid w:val="00874C54"/>
    <w:rsid w:val="00874CEF"/>
    <w:rsid w:val="00874E79"/>
    <w:rsid w:val="0087501D"/>
    <w:rsid w:val="00875305"/>
    <w:rsid w:val="00875345"/>
    <w:rsid w:val="00875C0F"/>
    <w:rsid w:val="00875D92"/>
    <w:rsid w:val="0087639C"/>
    <w:rsid w:val="008764BE"/>
    <w:rsid w:val="00876989"/>
    <w:rsid w:val="00876D03"/>
    <w:rsid w:val="0088036F"/>
    <w:rsid w:val="00881DDE"/>
    <w:rsid w:val="00881E7A"/>
    <w:rsid w:val="0088201A"/>
    <w:rsid w:val="008820EC"/>
    <w:rsid w:val="008821DF"/>
    <w:rsid w:val="008824E3"/>
    <w:rsid w:val="00882C02"/>
    <w:rsid w:val="008830E6"/>
    <w:rsid w:val="00883724"/>
    <w:rsid w:val="008839F1"/>
    <w:rsid w:val="00883E3E"/>
    <w:rsid w:val="00883E63"/>
    <w:rsid w:val="0088433B"/>
    <w:rsid w:val="00884607"/>
    <w:rsid w:val="00886B42"/>
    <w:rsid w:val="00886E77"/>
    <w:rsid w:val="0088740C"/>
    <w:rsid w:val="00887F34"/>
    <w:rsid w:val="00890548"/>
    <w:rsid w:val="00890999"/>
    <w:rsid w:val="00890AFB"/>
    <w:rsid w:val="0089125A"/>
    <w:rsid w:val="00891DED"/>
    <w:rsid w:val="008926CE"/>
    <w:rsid w:val="0089287B"/>
    <w:rsid w:val="008929C6"/>
    <w:rsid w:val="00893D6E"/>
    <w:rsid w:val="00893DB4"/>
    <w:rsid w:val="0089402D"/>
    <w:rsid w:val="0089410E"/>
    <w:rsid w:val="00894B17"/>
    <w:rsid w:val="00894D87"/>
    <w:rsid w:val="00894E44"/>
    <w:rsid w:val="008955D2"/>
    <w:rsid w:val="008955D8"/>
    <w:rsid w:val="00895634"/>
    <w:rsid w:val="0089567A"/>
    <w:rsid w:val="008965E6"/>
    <w:rsid w:val="00896683"/>
    <w:rsid w:val="00896997"/>
    <w:rsid w:val="00896C91"/>
    <w:rsid w:val="00897101"/>
    <w:rsid w:val="008975C7"/>
    <w:rsid w:val="008976E8"/>
    <w:rsid w:val="008977AA"/>
    <w:rsid w:val="00897890"/>
    <w:rsid w:val="00897CC2"/>
    <w:rsid w:val="00897E0D"/>
    <w:rsid w:val="008A0025"/>
    <w:rsid w:val="008A027B"/>
    <w:rsid w:val="008A07D1"/>
    <w:rsid w:val="008A09E7"/>
    <w:rsid w:val="008A0DC8"/>
    <w:rsid w:val="008A0DED"/>
    <w:rsid w:val="008A1434"/>
    <w:rsid w:val="008A2196"/>
    <w:rsid w:val="008A2760"/>
    <w:rsid w:val="008A2F0B"/>
    <w:rsid w:val="008A3077"/>
    <w:rsid w:val="008A31DB"/>
    <w:rsid w:val="008A3971"/>
    <w:rsid w:val="008A3A1B"/>
    <w:rsid w:val="008A3AB6"/>
    <w:rsid w:val="008A4953"/>
    <w:rsid w:val="008A4AB2"/>
    <w:rsid w:val="008A4B35"/>
    <w:rsid w:val="008A52DD"/>
    <w:rsid w:val="008A5665"/>
    <w:rsid w:val="008A57BA"/>
    <w:rsid w:val="008A5D69"/>
    <w:rsid w:val="008A63C8"/>
    <w:rsid w:val="008A6526"/>
    <w:rsid w:val="008A6668"/>
    <w:rsid w:val="008A6773"/>
    <w:rsid w:val="008A6AA7"/>
    <w:rsid w:val="008A738D"/>
    <w:rsid w:val="008A7698"/>
    <w:rsid w:val="008A787B"/>
    <w:rsid w:val="008A7A08"/>
    <w:rsid w:val="008A7F50"/>
    <w:rsid w:val="008B01C5"/>
    <w:rsid w:val="008B0508"/>
    <w:rsid w:val="008B0E84"/>
    <w:rsid w:val="008B1263"/>
    <w:rsid w:val="008B18E5"/>
    <w:rsid w:val="008B1B2E"/>
    <w:rsid w:val="008B1D90"/>
    <w:rsid w:val="008B2351"/>
    <w:rsid w:val="008B302B"/>
    <w:rsid w:val="008B31F7"/>
    <w:rsid w:val="008B3510"/>
    <w:rsid w:val="008B3D23"/>
    <w:rsid w:val="008B403F"/>
    <w:rsid w:val="008B4BEC"/>
    <w:rsid w:val="008B4E6A"/>
    <w:rsid w:val="008B51D5"/>
    <w:rsid w:val="008B5472"/>
    <w:rsid w:val="008B553A"/>
    <w:rsid w:val="008B587B"/>
    <w:rsid w:val="008B5915"/>
    <w:rsid w:val="008B591D"/>
    <w:rsid w:val="008B61D6"/>
    <w:rsid w:val="008B67A9"/>
    <w:rsid w:val="008B6DE4"/>
    <w:rsid w:val="008B7090"/>
    <w:rsid w:val="008B70E6"/>
    <w:rsid w:val="008B7D22"/>
    <w:rsid w:val="008B7D43"/>
    <w:rsid w:val="008B7F1F"/>
    <w:rsid w:val="008C053C"/>
    <w:rsid w:val="008C084C"/>
    <w:rsid w:val="008C0FAA"/>
    <w:rsid w:val="008C136A"/>
    <w:rsid w:val="008C1456"/>
    <w:rsid w:val="008C1478"/>
    <w:rsid w:val="008C16AD"/>
    <w:rsid w:val="008C1934"/>
    <w:rsid w:val="008C1A1E"/>
    <w:rsid w:val="008C1B7A"/>
    <w:rsid w:val="008C1CDC"/>
    <w:rsid w:val="008C1E26"/>
    <w:rsid w:val="008C2713"/>
    <w:rsid w:val="008C2FFE"/>
    <w:rsid w:val="008C33AA"/>
    <w:rsid w:val="008C34EA"/>
    <w:rsid w:val="008C3D0B"/>
    <w:rsid w:val="008C3E2F"/>
    <w:rsid w:val="008C4A14"/>
    <w:rsid w:val="008C4BF2"/>
    <w:rsid w:val="008C4C87"/>
    <w:rsid w:val="008C512A"/>
    <w:rsid w:val="008C51DF"/>
    <w:rsid w:val="008C58FC"/>
    <w:rsid w:val="008C5EFA"/>
    <w:rsid w:val="008C5F49"/>
    <w:rsid w:val="008C6FCD"/>
    <w:rsid w:val="008C71B2"/>
    <w:rsid w:val="008C7305"/>
    <w:rsid w:val="008C738C"/>
    <w:rsid w:val="008C7390"/>
    <w:rsid w:val="008C74E3"/>
    <w:rsid w:val="008C7541"/>
    <w:rsid w:val="008C7BEF"/>
    <w:rsid w:val="008C7E17"/>
    <w:rsid w:val="008D0ABB"/>
    <w:rsid w:val="008D140F"/>
    <w:rsid w:val="008D14A0"/>
    <w:rsid w:val="008D1593"/>
    <w:rsid w:val="008D19ED"/>
    <w:rsid w:val="008D1DC6"/>
    <w:rsid w:val="008D23AE"/>
    <w:rsid w:val="008D23CF"/>
    <w:rsid w:val="008D2FC6"/>
    <w:rsid w:val="008D3DEA"/>
    <w:rsid w:val="008D40FF"/>
    <w:rsid w:val="008D42F0"/>
    <w:rsid w:val="008D4586"/>
    <w:rsid w:val="008D4A09"/>
    <w:rsid w:val="008D4D42"/>
    <w:rsid w:val="008D56E4"/>
    <w:rsid w:val="008D59ED"/>
    <w:rsid w:val="008D5A05"/>
    <w:rsid w:val="008D5C2B"/>
    <w:rsid w:val="008D5F5D"/>
    <w:rsid w:val="008D62A6"/>
    <w:rsid w:val="008D64BC"/>
    <w:rsid w:val="008D6B4B"/>
    <w:rsid w:val="008D6CA6"/>
    <w:rsid w:val="008D7034"/>
    <w:rsid w:val="008D71D7"/>
    <w:rsid w:val="008D7384"/>
    <w:rsid w:val="008D74FA"/>
    <w:rsid w:val="008D7E01"/>
    <w:rsid w:val="008E0A47"/>
    <w:rsid w:val="008E0CD4"/>
    <w:rsid w:val="008E0D8F"/>
    <w:rsid w:val="008E1023"/>
    <w:rsid w:val="008E10FD"/>
    <w:rsid w:val="008E153D"/>
    <w:rsid w:val="008E1554"/>
    <w:rsid w:val="008E1DD7"/>
    <w:rsid w:val="008E20EC"/>
    <w:rsid w:val="008E2560"/>
    <w:rsid w:val="008E2A4B"/>
    <w:rsid w:val="008E38D0"/>
    <w:rsid w:val="008E3C9B"/>
    <w:rsid w:val="008E43F9"/>
    <w:rsid w:val="008E44CE"/>
    <w:rsid w:val="008E4FA9"/>
    <w:rsid w:val="008E507A"/>
    <w:rsid w:val="008E50EB"/>
    <w:rsid w:val="008E57EA"/>
    <w:rsid w:val="008E602D"/>
    <w:rsid w:val="008E6116"/>
    <w:rsid w:val="008E6813"/>
    <w:rsid w:val="008E6916"/>
    <w:rsid w:val="008E726B"/>
    <w:rsid w:val="008E72A0"/>
    <w:rsid w:val="008E72A7"/>
    <w:rsid w:val="008E75DB"/>
    <w:rsid w:val="008E794F"/>
    <w:rsid w:val="008E7CE6"/>
    <w:rsid w:val="008F0369"/>
    <w:rsid w:val="008F03FF"/>
    <w:rsid w:val="008F0834"/>
    <w:rsid w:val="008F0B6B"/>
    <w:rsid w:val="008F0BA1"/>
    <w:rsid w:val="008F0D23"/>
    <w:rsid w:val="008F0DD4"/>
    <w:rsid w:val="008F13CA"/>
    <w:rsid w:val="008F1AA3"/>
    <w:rsid w:val="008F1E39"/>
    <w:rsid w:val="008F2CA9"/>
    <w:rsid w:val="008F2E05"/>
    <w:rsid w:val="008F3355"/>
    <w:rsid w:val="008F36B0"/>
    <w:rsid w:val="008F385D"/>
    <w:rsid w:val="008F38D7"/>
    <w:rsid w:val="008F39BB"/>
    <w:rsid w:val="008F3C3C"/>
    <w:rsid w:val="008F3D9C"/>
    <w:rsid w:val="008F40EE"/>
    <w:rsid w:val="008F432A"/>
    <w:rsid w:val="008F447C"/>
    <w:rsid w:val="008F49F7"/>
    <w:rsid w:val="008F532F"/>
    <w:rsid w:val="008F5331"/>
    <w:rsid w:val="008F561B"/>
    <w:rsid w:val="008F58B8"/>
    <w:rsid w:val="008F5F10"/>
    <w:rsid w:val="008F66BB"/>
    <w:rsid w:val="008F6AC6"/>
    <w:rsid w:val="008F6EEC"/>
    <w:rsid w:val="008F7036"/>
    <w:rsid w:val="008F7166"/>
    <w:rsid w:val="008F72D3"/>
    <w:rsid w:val="008F7D2F"/>
    <w:rsid w:val="008F7EF6"/>
    <w:rsid w:val="00900321"/>
    <w:rsid w:val="00900C0E"/>
    <w:rsid w:val="00900D9B"/>
    <w:rsid w:val="00900ED7"/>
    <w:rsid w:val="00901161"/>
    <w:rsid w:val="009014C5"/>
    <w:rsid w:val="00901D78"/>
    <w:rsid w:val="00902041"/>
    <w:rsid w:val="009026F5"/>
    <w:rsid w:val="0090288A"/>
    <w:rsid w:val="00902936"/>
    <w:rsid w:val="00902BF5"/>
    <w:rsid w:val="00902C0E"/>
    <w:rsid w:val="00902D0F"/>
    <w:rsid w:val="00902D1B"/>
    <w:rsid w:val="00902EBE"/>
    <w:rsid w:val="00902F21"/>
    <w:rsid w:val="00903114"/>
    <w:rsid w:val="009031F7"/>
    <w:rsid w:val="00903691"/>
    <w:rsid w:val="0090396A"/>
    <w:rsid w:val="00903D91"/>
    <w:rsid w:val="00903E4D"/>
    <w:rsid w:val="0090437C"/>
    <w:rsid w:val="0090476E"/>
    <w:rsid w:val="00904C71"/>
    <w:rsid w:val="00904E78"/>
    <w:rsid w:val="0090561A"/>
    <w:rsid w:val="009057A7"/>
    <w:rsid w:val="009059C8"/>
    <w:rsid w:val="00905C4E"/>
    <w:rsid w:val="00905CE2"/>
    <w:rsid w:val="00905D84"/>
    <w:rsid w:val="009067E1"/>
    <w:rsid w:val="00906BB1"/>
    <w:rsid w:val="009071B4"/>
    <w:rsid w:val="009075B7"/>
    <w:rsid w:val="00907EB6"/>
    <w:rsid w:val="00910097"/>
    <w:rsid w:val="00910232"/>
    <w:rsid w:val="00910778"/>
    <w:rsid w:val="00910A88"/>
    <w:rsid w:val="009116F2"/>
    <w:rsid w:val="009118BE"/>
    <w:rsid w:val="0091225E"/>
    <w:rsid w:val="00912392"/>
    <w:rsid w:val="00912444"/>
    <w:rsid w:val="00912651"/>
    <w:rsid w:val="00913994"/>
    <w:rsid w:val="009139CA"/>
    <w:rsid w:val="00913D69"/>
    <w:rsid w:val="00914D24"/>
    <w:rsid w:val="00914EC7"/>
    <w:rsid w:val="009155FA"/>
    <w:rsid w:val="00915838"/>
    <w:rsid w:val="009158A2"/>
    <w:rsid w:val="00915C6D"/>
    <w:rsid w:val="00915E72"/>
    <w:rsid w:val="0091627F"/>
    <w:rsid w:val="00916359"/>
    <w:rsid w:val="0091657D"/>
    <w:rsid w:val="0091684B"/>
    <w:rsid w:val="00916B2D"/>
    <w:rsid w:val="00916C05"/>
    <w:rsid w:val="00916FEC"/>
    <w:rsid w:val="00917092"/>
    <w:rsid w:val="00917526"/>
    <w:rsid w:val="00917FCE"/>
    <w:rsid w:val="009202AC"/>
    <w:rsid w:val="00920A16"/>
    <w:rsid w:val="00921560"/>
    <w:rsid w:val="009218FE"/>
    <w:rsid w:val="00921A71"/>
    <w:rsid w:val="00921B7D"/>
    <w:rsid w:val="0092227B"/>
    <w:rsid w:val="00923044"/>
    <w:rsid w:val="00923338"/>
    <w:rsid w:val="00923974"/>
    <w:rsid w:val="009240A4"/>
    <w:rsid w:val="00924B4D"/>
    <w:rsid w:val="00924D0F"/>
    <w:rsid w:val="00925B54"/>
    <w:rsid w:val="00926BF1"/>
    <w:rsid w:val="00926D58"/>
    <w:rsid w:val="00926EA0"/>
    <w:rsid w:val="0092719E"/>
    <w:rsid w:val="0092761C"/>
    <w:rsid w:val="00930200"/>
    <w:rsid w:val="00930B1D"/>
    <w:rsid w:val="009312F1"/>
    <w:rsid w:val="00931320"/>
    <w:rsid w:val="009315CB"/>
    <w:rsid w:val="0093178A"/>
    <w:rsid w:val="00931F79"/>
    <w:rsid w:val="00932972"/>
    <w:rsid w:val="00932B22"/>
    <w:rsid w:val="00933090"/>
    <w:rsid w:val="00933143"/>
    <w:rsid w:val="00933414"/>
    <w:rsid w:val="009336F2"/>
    <w:rsid w:val="00933AC5"/>
    <w:rsid w:val="00933DFD"/>
    <w:rsid w:val="009340E4"/>
    <w:rsid w:val="009345B6"/>
    <w:rsid w:val="0093513A"/>
    <w:rsid w:val="0093523C"/>
    <w:rsid w:val="00935B08"/>
    <w:rsid w:val="00935F95"/>
    <w:rsid w:val="00936516"/>
    <w:rsid w:val="009369D6"/>
    <w:rsid w:val="00936AC2"/>
    <w:rsid w:val="00936C69"/>
    <w:rsid w:val="00936DB6"/>
    <w:rsid w:val="00937E07"/>
    <w:rsid w:val="00940226"/>
    <w:rsid w:val="00940A1B"/>
    <w:rsid w:val="00941333"/>
    <w:rsid w:val="009413C9"/>
    <w:rsid w:val="00941D42"/>
    <w:rsid w:val="00941DA8"/>
    <w:rsid w:val="0094212E"/>
    <w:rsid w:val="00942376"/>
    <w:rsid w:val="009429F2"/>
    <w:rsid w:val="009437A9"/>
    <w:rsid w:val="0094384D"/>
    <w:rsid w:val="009442F3"/>
    <w:rsid w:val="00944727"/>
    <w:rsid w:val="00944B1A"/>
    <w:rsid w:val="00944E3D"/>
    <w:rsid w:val="009455A8"/>
    <w:rsid w:val="009457C4"/>
    <w:rsid w:val="0094594F"/>
    <w:rsid w:val="00945F9D"/>
    <w:rsid w:val="009463B8"/>
    <w:rsid w:val="00946545"/>
    <w:rsid w:val="00946D92"/>
    <w:rsid w:val="0094703B"/>
    <w:rsid w:val="009470F3"/>
    <w:rsid w:val="00947124"/>
    <w:rsid w:val="009475B6"/>
    <w:rsid w:val="009479C7"/>
    <w:rsid w:val="00947D75"/>
    <w:rsid w:val="009502A0"/>
    <w:rsid w:val="00950306"/>
    <w:rsid w:val="009508A0"/>
    <w:rsid w:val="00950B43"/>
    <w:rsid w:val="009517E1"/>
    <w:rsid w:val="00951809"/>
    <w:rsid w:val="009518EC"/>
    <w:rsid w:val="00951A9E"/>
    <w:rsid w:val="00951BA5"/>
    <w:rsid w:val="00951C32"/>
    <w:rsid w:val="00951C3E"/>
    <w:rsid w:val="00951C44"/>
    <w:rsid w:val="00951DD7"/>
    <w:rsid w:val="00952318"/>
    <w:rsid w:val="00952521"/>
    <w:rsid w:val="00952787"/>
    <w:rsid w:val="00952A43"/>
    <w:rsid w:val="00952E01"/>
    <w:rsid w:val="009530AB"/>
    <w:rsid w:val="009530B9"/>
    <w:rsid w:val="00953190"/>
    <w:rsid w:val="0095391E"/>
    <w:rsid w:val="009539C0"/>
    <w:rsid w:val="00953FC8"/>
    <w:rsid w:val="00954092"/>
    <w:rsid w:val="009549CC"/>
    <w:rsid w:val="00954C16"/>
    <w:rsid w:val="00954C29"/>
    <w:rsid w:val="009551C5"/>
    <w:rsid w:val="009551EB"/>
    <w:rsid w:val="00955308"/>
    <w:rsid w:val="009554E9"/>
    <w:rsid w:val="009566E1"/>
    <w:rsid w:val="00956E4E"/>
    <w:rsid w:val="009570B9"/>
    <w:rsid w:val="00957873"/>
    <w:rsid w:val="00957AB0"/>
    <w:rsid w:val="00960219"/>
    <w:rsid w:val="0096047D"/>
    <w:rsid w:val="00960A08"/>
    <w:rsid w:val="00960AB0"/>
    <w:rsid w:val="00960ABF"/>
    <w:rsid w:val="00960E61"/>
    <w:rsid w:val="00961629"/>
    <w:rsid w:val="00961DC2"/>
    <w:rsid w:val="00962064"/>
    <w:rsid w:val="00962218"/>
    <w:rsid w:val="00962521"/>
    <w:rsid w:val="0096291A"/>
    <w:rsid w:val="00962C94"/>
    <w:rsid w:val="00963245"/>
    <w:rsid w:val="009632C9"/>
    <w:rsid w:val="0096357D"/>
    <w:rsid w:val="009636B9"/>
    <w:rsid w:val="00963F61"/>
    <w:rsid w:val="00963FC9"/>
    <w:rsid w:val="0096428A"/>
    <w:rsid w:val="00964483"/>
    <w:rsid w:val="009645BC"/>
    <w:rsid w:val="0096543B"/>
    <w:rsid w:val="00965C86"/>
    <w:rsid w:val="00965F5B"/>
    <w:rsid w:val="00966043"/>
    <w:rsid w:val="00966290"/>
    <w:rsid w:val="009664B9"/>
    <w:rsid w:val="00966F7B"/>
    <w:rsid w:val="00967065"/>
    <w:rsid w:val="00967B7D"/>
    <w:rsid w:val="00970D80"/>
    <w:rsid w:val="00971290"/>
    <w:rsid w:val="00971507"/>
    <w:rsid w:val="009717FC"/>
    <w:rsid w:val="00971B0D"/>
    <w:rsid w:val="00971BF4"/>
    <w:rsid w:val="00971C11"/>
    <w:rsid w:val="009722C1"/>
    <w:rsid w:val="0097230B"/>
    <w:rsid w:val="00972457"/>
    <w:rsid w:val="009727B0"/>
    <w:rsid w:val="009728A1"/>
    <w:rsid w:val="00972F03"/>
    <w:rsid w:val="00973053"/>
    <w:rsid w:val="009733AF"/>
    <w:rsid w:val="0097447A"/>
    <w:rsid w:val="0097460B"/>
    <w:rsid w:val="00974BE6"/>
    <w:rsid w:val="00974D45"/>
    <w:rsid w:val="00974E9C"/>
    <w:rsid w:val="00974F27"/>
    <w:rsid w:val="009758DC"/>
    <w:rsid w:val="00975A5B"/>
    <w:rsid w:val="00976722"/>
    <w:rsid w:val="00976923"/>
    <w:rsid w:val="00976B1A"/>
    <w:rsid w:val="00976B3D"/>
    <w:rsid w:val="00976DB0"/>
    <w:rsid w:val="00976F09"/>
    <w:rsid w:val="0097710F"/>
    <w:rsid w:val="009771DD"/>
    <w:rsid w:val="00977407"/>
    <w:rsid w:val="00977497"/>
    <w:rsid w:val="00977848"/>
    <w:rsid w:val="00977E9D"/>
    <w:rsid w:val="0098014D"/>
    <w:rsid w:val="00980655"/>
    <w:rsid w:val="009806D6"/>
    <w:rsid w:val="0098074A"/>
    <w:rsid w:val="0098095F"/>
    <w:rsid w:val="009809A9"/>
    <w:rsid w:val="00980CA0"/>
    <w:rsid w:val="00980D69"/>
    <w:rsid w:val="00980DA6"/>
    <w:rsid w:val="00982036"/>
    <w:rsid w:val="0098238B"/>
    <w:rsid w:val="009825BC"/>
    <w:rsid w:val="00983A22"/>
    <w:rsid w:val="00983AC3"/>
    <w:rsid w:val="00983E3E"/>
    <w:rsid w:val="00983FF3"/>
    <w:rsid w:val="00984F58"/>
    <w:rsid w:val="00985586"/>
    <w:rsid w:val="00985588"/>
    <w:rsid w:val="00985B87"/>
    <w:rsid w:val="00986468"/>
    <w:rsid w:val="00986624"/>
    <w:rsid w:val="00986655"/>
    <w:rsid w:val="009868B4"/>
    <w:rsid w:val="00986ED3"/>
    <w:rsid w:val="009874E4"/>
    <w:rsid w:val="009879F0"/>
    <w:rsid w:val="00990110"/>
    <w:rsid w:val="009901A1"/>
    <w:rsid w:val="00990242"/>
    <w:rsid w:val="00990F5C"/>
    <w:rsid w:val="0099107D"/>
    <w:rsid w:val="0099132C"/>
    <w:rsid w:val="009913F2"/>
    <w:rsid w:val="00991BAB"/>
    <w:rsid w:val="00991C18"/>
    <w:rsid w:val="00991FBD"/>
    <w:rsid w:val="009926CD"/>
    <w:rsid w:val="0099300F"/>
    <w:rsid w:val="009932AE"/>
    <w:rsid w:val="00993388"/>
    <w:rsid w:val="00993767"/>
    <w:rsid w:val="00993E41"/>
    <w:rsid w:val="00994090"/>
    <w:rsid w:val="009940F3"/>
    <w:rsid w:val="00994B8C"/>
    <w:rsid w:val="00995126"/>
    <w:rsid w:val="00995879"/>
    <w:rsid w:val="00995C71"/>
    <w:rsid w:val="00996388"/>
    <w:rsid w:val="00996687"/>
    <w:rsid w:val="009968D0"/>
    <w:rsid w:val="00996C53"/>
    <w:rsid w:val="00996E8F"/>
    <w:rsid w:val="00997282"/>
    <w:rsid w:val="009976C1"/>
    <w:rsid w:val="00997949"/>
    <w:rsid w:val="00997A24"/>
    <w:rsid w:val="00997C16"/>
    <w:rsid w:val="009A02D3"/>
    <w:rsid w:val="009A032E"/>
    <w:rsid w:val="009A0591"/>
    <w:rsid w:val="009A05F3"/>
    <w:rsid w:val="009A10BD"/>
    <w:rsid w:val="009A1204"/>
    <w:rsid w:val="009A15EF"/>
    <w:rsid w:val="009A1889"/>
    <w:rsid w:val="009A1BE2"/>
    <w:rsid w:val="009A2249"/>
    <w:rsid w:val="009A2664"/>
    <w:rsid w:val="009A27F8"/>
    <w:rsid w:val="009A2E65"/>
    <w:rsid w:val="009A2ED8"/>
    <w:rsid w:val="009A2FF3"/>
    <w:rsid w:val="009A3614"/>
    <w:rsid w:val="009A36C5"/>
    <w:rsid w:val="009A3884"/>
    <w:rsid w:val="009A46C6"/>
    <w:rsid w:val="009A4799"/>
    <w:rsid w:val="009A55A0"/>
    <w:rsid w:val="009A599D"/>
    <w:rsid w:val="009A5A69"/>
    <w:rsid w:val="009A5B9A"/>
    <w:rsid w:val="009A6EF4"/>
    <w:rsid w:val="009A7192"/>
    <w:rsid w:val="009A7366"/>
    <w:rsid w:val="009A77B8"/>
    <w:rsid w:val="009A78BB"/>
    <w:rsid w:val="009A7C61"/>
    <w:rsid w:val="009A7CF4"/>
    <w:rsid w:val="009A7D07"/>
    <w:rsid w:val="009B01AC"/>
    <w:rsid w:val="009B0273"/>
    <w:rsid w:val="009B0361"/>
    <w:rsid w:val="009B0B36"/>
    <w:rsid w:val="009B0BAF"/>
    <w:rsid w:val="009B12F7"/>
    <w:rsid w:val="009B1B02"/>
    <w:rsid w:val="009B2474"/>
    <w:rsid w:val="009B252F"/>
    <w:rsid w:val="009B279B"/>
    <w:rsid w:val="009B2CD9"/>
    <w:rsid w:val="009B2E89"/>
    <w:rsid w:val="009B2F75"/>
    <w:rsid w:val="009B3072"/>
    <w:rsid w:val="009B31FD"/>
    <w:rsid w:val="009B32F1"/>
    <w:rsid w:val="009B3840"/>
    <w:rsid w:val="009B38A8"/>
    <w:rsid w:val="009B39BE"/>
    <w:rsid w:val="009B3CDB"/>
    <w:rsid w:val="009B3E55"/>
    <w:rsid w:val="009B421C"/>
    <w:rsid w:val="009B43E7"/>
    <w:rsid w:val="009B47FF"/>
    <w:rsid w:val="009B49A5"/>
    <w:rsid w:val="009B5022"/>
    <w:rsid w:val="009B5343"/>
    <w:rsid w:val="009B5773"/>
    <w:rsid w:val="009B615A"/>
    <w:rsid w:val="009B6568"/>
    <w:rsid w:val="009B6890"/>
    <w:rsid w:val="009B68FA"/>
    <w:rsid w:val="009B6A6A"/>
    <w:rsid w:val="009B7035"/>
    <w:rsid w:val="009B712B"/>
    <w:rsid w:val="009B786B"/>
    <w:rsid w:val="009B7996"/>
    <w:rsid w:val="009B7D78"/>
    <w:rsid w:val="009C0327"/>
    <w:rsid w:val="009C075F"/>
    <w:rsid w:val="009C0B3B"/>
    <w:rsid w:val="009C1922"/>
    <w:rsid w:val="009C22CB"/>
    <w:rsid w:val="009C23DB"/>
    <w:rsid w:val="009C26D7"/>
    <w:rsid w:val="009C2DCC"/>
    <w:rsid w:val="009C30C1"/>
    <w:rsid w:val="009C31BA"/>
    <w:rsid w:val="009C42CC"/>
    <w:rsid w:val="009C463F"/>
    <w:rsid w:val="009C4A41"/>
    <w:rsid w:val="009C4C16"/>
    <w:rsid w:val="009C5544"/>
    <w:rsid w:val="009C561A"/>
    <w:rsid w:val="009C5C38"/>
    <w:rsid w:val="009C5DC9"/>
    <w:rsid w:val="009C5EE4"/>
    <w:rsid w:val="009C60CE"/>
    <w:rsid w:val="009C71C7"/>
    <w:rsid w:val="009C71CD"/>
    <w:rsid w:val="009C7671"/>
    <w:rsid w:val="009C77AF"/>
    <w:rsid w:val="009C7DD1"/>
    <w:rsid w:val="009D042D"/>
    <w:rsid w:val="009D0503"/>
    <w:rsid w:val="009D06A9"/>
    <w:rsid w:val="009D0754"/>
    <w:rsid w:val="009D077C"/>
    <w:rsid w:val="009D080C"/>
    <w:rsid w:val="009D09CA"/>
    <w:rsid w:val="009D0BE0"/>
    <w:rsid w:val="009D12D2"/>
    <w:rsid w:val="009D1654"/>
    <w:rsid w:val="009D169B"/>
    <w:rsid w:val="009D2087"/>
    <w:rsid w:val="009D26E5"/>
    <w:rsid w:val="009D36BD"/>
    <w:rsid w:val="009D3776"/>
    <w:rsid w:val="009D38F0"/>
    <w:rsid w:val="009D3C34"/>
    <w:rsid w:val="009D4167"/>
    <w:rsid w:val="009D494F"/>
    <w:rsid w:val="009D54E7"/>
    <w:rsid w:val="009D5A84"/>
    <w:rsid w:val="009D5DBC"/>
    <w:rsid w:val="009D628F"/>
    <w:rsid w:val="009D62C3"/>
    <w:rsid w:val="009D6441"/>
    <w:rsid w:val="009D6468"/>
    <w:rsid w:val="009D650E"/>
    <w:rsid w:val="009D65A1"/>
    <w:rsid w:val="009D6609"/>
    <w:rsid w:val="009D6B79"/>
    <w:rsid w:val="009D6C1B"/>
    <w:rsid w:val="009D6C2C"/>
    <w:rsid w:val="009D72C1"/>
    <w:rsid w:val="009D7326"/>
    <w:rsid w:val="009D7374"/>
    <w:rsid w:val="009E013B"/>
    <w:rsid w:val="009E023C"/>
    <w:rsid w:val="009E0F7A"/>
    <w:rsid w:val="009E17A6"/>
    <w:rsid w:val="009E1CFD"/>
    <w:rsid w:val="009E1E93"/>
    <w:rsid w:val="009E20F3"/>
    <w:rsid w:val="009E226B"/>
    <w:rsid w:val="009E278E"/>
    <w:rsid w:val="009E2D2E"/>
    <w:rsid w:val="009E2DB5"/>
    <w:rsid w:val="009E2E34"/>
    <w:rsid w:val="009E3571"/>
    <w:rsid w:val="009E3A5D"/>
    <w:rsid w:val="009E4163"/>
    <w:rsid w:val="009E45AD"/>
    <w:rsid w:val="009E4615"/>
    <w:rsid w:val="009E4B30"/>
    <w:rsid w:val="009E4F8F"/>
    <w:rsid w:val="009E5D3B"/>
    <w:rsid w:val="009E5DE1"/>
    <w:rsid w:val="009E6299"/>
    <w:rsid w:val="009E6348"/>
    <w:rsid w:val="009E652C"/>
    <w:rsid w:val="009E6597"/>
    <w:rsid w:val="009E6AC2"/>
    <w:rsid w:val="009E6FA6"/>
    <w:rsid w:val="009E70C8"/>
    <w:rsid w:val="009E7185"/>
    <w:rsid w:val="009E743E"/>
    <w:rsid w:val="009E75FC"/>
    <w:rsid w:val="009E770F"/>
    <w:rsid w:val="009F069F"/>
    <w:rsid w:val="009F077F"/>
    <w:rsid w:val="009F0A37"/>
    <w:rsid w:val="009F0CCA"/>
    <w:rsid w:val="009F1083"/>
    <w:rsid w:val="009F15B1"/>
    <w:rsid w:val="009F175C"/>
    <w:rsid w:val="009F210F"/>
    <w:rsid w:val="009F2207"/>
    <w:rsid w:val="009F24FB"/>
    <w:rsid w:val="009F2C42"/>
    <w:rsid w:val="009F2DCB"/>
    <w:rsid w:val="009F3107"/>
    <w:rsid w:val="009F3306"/>
    <w:rsid w:val="009F3747"/>
    <w:rsid w:val="009F3CB5"/>
    <w:rsid w:val="009F3E77"/>
    <w:rsid w:val="009F3F0F"/>
    <w:rsid w:val="009F505E"/>
    <w:rsid w:val="009F5441"/>
    <w:rsid w:val="009F55CE"/>
    <w:rsid w:val="009F59A7"/>
    <w:rsid w:val="009F5DDA"/>
    <w:rsid w:val="009F600D"/>
    <w:rsid w:val="009F602B"/>
    <w:rsid w:val="009F658D"/>
    <w:rsid w:val="009F66BE"/>
    <w:rsid w:val="009F6CA2"/>
    <w:rsid w:val="009F6E36"/>
    <w:rsid w:val="009F786F"/>
    <w:rsid w:val="009F7875"/>
    <w:rsid w:val="009F78FD"/>
    <w:rsid w:val="009F7B19"/>
    <w:rsid w:val="009F7B26"/>
    <w:rsid w:val="009F7DA6"/>
    <w:rsid w:val="00A00242"/>
    <w:rsid w:val="00A012C1"/>
    <w:rsid w:val="00A02085"/>
    <w:rsid w:val="00A02E47"/>
    <w:rsid w:val="00A031FE"/>
    <w:rsid w:val="00A035F0"/>
    <w:rsid w:val="00A038FB"/>
    <w:rsid w:val="00A03EAE"/>
    <w:rsid w:val="00A03F1F"/>
    <w:rsid w:val="00A041EE"/>
    <w:rsid w:val="00A04964"/>
    <w:rsid w:val="00A04B21"/>
    <w:rsid w:val="00A04C0A"/>
    <w:rsid w:val="00A04C9E"/>
    <w:rsid w:val="00A04DA4"/>
    <w:rsid w:val="00A0541D"/>
    <w:rsid w:val="00A0565F"/>
    <w:rsid w:val="00A05DA9"/>
    <w:rsid w:val="00A05E1C"/>
    <w:rsid w:val="00A06097"/>
    <w:rsid w:val="00A061A3"/>
    <w:rsid w:val="00A063A8"/>
    <w:rsid w:val="00A064B6"/>
    <w:rsid w:val="00A06669"/>
    <w:rsid w:val="00A06912"/>
    <w:rsid w:val="00A06F3B"/>
    <w:rsid w:val="00A06FC8"/>
    <w:rsid w:val="00A0707E"/>
    <w:rsid w:val="00A074CC"/>
    <w:rsid w:val="00A07517"/>
    <w:rsid w:val="00A07590"/>
    <w:rsid w:val="00A07955"/>
    <w:rsid w:val="00A07E9B"/>
    <w:rsid w:val="00A1077B"/>
    <w:rsid w:val="00A10A62"/>
    <w:rsid w:val="00A10C1B"/>
    <w:rsid w:val="00A10EAA"/>
    <w:rsid w:val="00A1266C"/>
    <w:rsid w:val="00A132A0"/>
    <w:rsid w:val="00A13706"/>
    <w:rsid w:val="00A13833"/>
    <w:rsid w:val="00A13880"/>
    <w:rsid w:val="00A147DF"/>
    <w:rsid w:val="00A14A7C"/>
    <w:rsid w:val="00A14D0E"/>
    <w:rsid w:val="00A14DE3"/>
    <w:rsid w:val="00A151A8"/>
    <w:rsid w:val="00A156BB"/>
    <w:rsid w:val="00A15A44"/>
    <w:rsid w:val="00A15A8B"/>
    <w:rsid w:val="00A15B80"/>
    <w:rsid w:val="00A16229"/>
    <w:rsid w:val="00A16F21"/>
    <w:rsid w:val="00A17086"/>
    <w:rsid w:val="00A173F4"/>
    <w:rsid w:val="00A17A57"/>
    <w:rsid w:val="00A17E44"/>
    <w:rsid w:val="00A17EF9"/>
    <w:rsid w:val="00A201AD"/>
    <w:rsid w:val="00A20682"/>
    <w:rsid w:val="00A20B1B"/>
    <w:rsid w:val="00A20BF6"/>
    <w:rsid w:val="00A20D70"/>
    <w:rsid w:val="00A21384"/>
    <w:rsid w:val="00A21388"/>
    <w:rsid w:val="00A2247A"/>
    <w:rsid w:val="00A2279C"/>
    <w:rsid w:val="00A22839"/>
    <w:rsid w:val="00A22BEB"/>
    <w:rsid w:val="00A232BE"/>
    <w:rsid w:val="00A23AD8"/>
    <w:rsid w:val="00A23CEA"/>
    <w:rsid w:val="00A240A8"/>
    <w:rsid w:val="00A24571"/>
    <w:rsid w:val="00A245F2"/>
    <w:rsid w:val="00A24835"/>
    <w:rsid w:val="00A24B74"/>
    <w:rsid w:val="00A24D72"/>
    <w:rsid w:val="00A24DBA"/>
    <w:rsid w:val="00A24F8B"/>
    <w:rsid w:val="00A25561"/>
    <w:rsid w:val="00A25946"/>
    <w:rsid w:val="00A2599D"/>
    <w:rsid w:val="00A2657E"/>
    <w:rsid w:val="00A2666F"/>
    <w:rsid w:val="00A2716D"/>
    <w:rsid w:val="00A27172"/>
    <w:rsid w:val="00A2726B"/>
    <w:rsid w:val="00A27434"/>
    <w:rsid w:val="00A27506"/>
    <w:rsid w:val="00A276B9"/>
    <w:rsid w:val="00A27CFA"/>
    <w:rsid w:val="00A27D79"/>
    <w:rsid w:val="00A27DE3"/>
    <w:rsid w:val="00A27E30"/>
    <w:rsid w:val="00A31768"/>
    <w:rsid w:val="00A31862"/>
    <w:rsid w:val="00A32401"/>
    <w:rsid w:val="00A33165"/>
    <w:rsid w:val="00A33A71"/>
    <w:rsid w:val="00A33C4C"/>
    <w:rsid w:val="00A33D5D"/>
    <w:rsid w:val="00A33FA7"/>
    <w:rsid w:val="00A341EE"/>
    <w:rsid w:val="00A3424A"/>
    <w:rsid w:val="00A34773"/>
    <w:rsid w:val="00A34993"/>
    <w:rsid w:val="00A34E26"/>
    <w:rsid w:val="00A358AC"/>
    <w:rsid w:val="00A35D04"/>
    <w:rsid w:val="00A366F2"/>
    <w:rsid w:val="00A378B4"/>
    <w:rsid w:val="00A37E2D"/>
    <w:rsid w:val="00A37F94"/>
    <w:rsid w:val="00A4067C"/>
    <w:rsid w:val="00A4068A"/>
    <w:rsid w:val="00A406FD"/>
    <w:rsid w:val="00A409DB"/>
    <w:rsid w:val="00A412AD"/>
    <w:rsid w:val="00A41AA9"/>
    <w:rsid w:val="00A41C79"/>
    <w:rsid w:val="00A4209D"/>
    <w:rsid w:val="00A42F30"/>
    <w:rsid w:val="00A43055"/>
    <w:rsid w:val="00A43256"/>
    <w:rsid w:val="00A434D7"/>
    <w:rsid w:val="00A4394A"/>
    <w:rsid w:val="00A44E93"/>
    <w:rsid w:val="00A4514F"/>
    <w:rsid w:val="00A456C4"/>
    <w:rsid w:val="00A45705"/>
    <w:rsid w:val="00A457E2"/>
    <w:rsid w:val="00A4594E"/>
    <w:rsid w:val="00A45962"/>
    <w:rsid w:val="00A459CE"/>
    <w:rsid w:val="00A45A93"/>
    <w:rsid w:val="00A45CB4"/>
    <w:rsid w:val="00A46526"/>
    <w:rsid w:val="00A46853"/>
    <w:rsid w:val="00A473D0"/>
    <w:rsid w:val="00A474ED"/>
    <w:rsid w:val="00A47946"/>
    <w:rsid w:val="00A50D7F"/>
    <w:rsid w:val="00A50EF8"/>
    <w:rsid w:val="00A50FE0"/>
    <w:rsid w:val="00A51FC7"/>
    <w:rsid w:val="00A52A40"/>
    <w:rsid w:val="00A52EC2"/>
    <w:rsid w:val="00A52F06"/>
    <w:rsid w:val="00A53B19"/>
    <w:rsid w:val="00A543E0"/>
    <w:rsid w:val="00A546E1"/>
    <w:rsid w:val="00A54F55"/>
    <w:rsid w:val="00A5505A"/>
    <w:rsid w:val="00A561FF"/>
    <w:rsid w:val="00A56590"/>
    <w:rsid w:val="00A56686"/>
    <w:rsid w:val="00A56795"/>
    <w:rsid w:val="00A56BF1"/>
    <w:rsid w:val="00A57886"/>
    <w:rsid w:val="00A6014F"/>
    <w:rsid w:val="00A608FD"/>
    <w:rsid w:val="00A60B90"/>
    <w:rsid w:val="00A60E42"/>
    <w:rsid w:val="00A61642"/>
    <w:rsid w:val="00A6183C"/>
    <w:rsid w:val="00A61BA0"/>
    <w:rsid w:val="00A62171"/>
    <w:rsid w:val="00A62DA4"/>
    <w:rsid w:val="00A6353F"/>
    <w:rsid w:val="00A63B7A"/>
    <w:rsid w:val="00A640C3"/>
    <w:rsid w:val="00A64AB6"/>
    <w:rsid w:val="00A64C69"/>
    <w:rsid w:val="00A64EE2"/>
    <w:rsid w:val="00A65863"/>
    <w:rsid w:val="00A65B8B"/>
    <w:rsid w:val="00A65CA4"/>
    <w:rsid w:val="00A65EED"/>
    <w:rsid w:val="00A65F92"/>
    <w:rsid w:val="00A6626C"/>
    <w:rsid w:val="00A66435"/>
    <w:rsid w:val="00A66A3B"/>
    <w:rsid w:val="00A66E3E"/>
    <w:rsid w:val="00A672CC"/>
    <w:rsid w:val="00A675AC"/>
    <w:rsid w:val="00A678CA"/>
    <w:rsid w:val="00A679BD"/>
    <w:rsid w:val="00A70414"/>
    <w:rsid w:val="00A70A0D"/>
    <w:rsid w:val="00A70AF6"/>
    <w:rsid w:val="00A70CFA"/>
    <w:rsid w:val="00A711D1"/>
    <w:rsid w:val="00A71682"/>
    <w:rsid w:val="00A71CFF"/>
    <w:rsid w:val="00A7222A"/>
    <w:rsid w:val="00A72838"/>
    <w:rsid w:val="00A729A8"/>
    <w:rsid w:val="00A72B0F"/>
    <w:rsid w:val="00A72CF0"/>
    <w:rsid w:val="00A72EBC"/>
    <w:rsid w:val="00A73115"/>
    <w:rsid w:val="00A73429"/>
    <w:rsid w:val="00A7369A"/>
    <w:rsid w:val="00A73ABD"/>
    <w:rsid w:val="00A73E5A"/>
    <w:rsid w:val="00A74084"/>
    <w:rsid w:val="00A7444D"/>
    <w:rsid w:val="00A749C8"/>
    <w:rsid w:val="00A74B0C"/>
    <w:rsid w:val="00A74E69"/>
    <w:rsid w:val="00A74E77"/>
    <w:rsid w:val="00A74FF1"/>
    <w:rsid w:val="00A75A96"/>
    <w:rsid w:val="00A75AF1"/>
    <w:rsid w:val="00A75D21"/>
    <w:rsid w:val="00A76024"/>
    <w:rsid w:val="00A7658C"/>
    <w:rsid w:val="00A76EF3"/>
    <w:rsid w:val="00A76F4A"/>
    <w:rsid w:val="00A77055"/>
    <w:rsid w:val="00A770E1"/>
    <w:rsid w:val="00A771DE"/>
    <w:rsid w:val="00A777C8"/>
    <w:rsid w:val="00A77A0C"/>
    <w:rsid w:val="00A77A63"/>
    <w:rsid w:val="00A77E53"/>
    <w:rsid w:val="00A77F76"/>
    <w:rsid w:val="00A803F3"/>
    <w:rsid w:val="00A8047F"/>
    <w:rsid w:val="00A806F7"/>
    <w:rsid w:val="00A80711"/>
    <w:rsid w:val="00A81844"/>
    <w:rsid w:val="00A81A3B"/>
    <w:rsid w:val="00A820BE"/>
    <w:rsid w:val="00A824A8"/>
    <w:rsid w:val="00A82C21"/>
    <w:rsid w:val="00A8321C"/>
    <w:rsid w:val="00A83400"/>
    <w:rsid w:val="00A8368A"/>
    <w:rsid w:val="00A84138"/>
    <w:rsid w:val="00A84200"/>
    <w:rsid w:val="00A84C24"/>
    <w:rsid w:val="00A84DF2"/>
    <w:rsid w:val="00A850A3"/>
    <w:rsid w:val="00A851DD"/>
    <w:rsid w:val="00A85C9D"/>
    <w:rsid w:val="00A8603A"/>
    <w:rsid w:val="00A860E4"/>
    <w:rsid w:val="00A86105"/>
    <w:rsid w:val="00A86587"/>
    <w:rsid w:val="00A86D0E"/>
    <w:rsid w:val="00A871CE"/>
    <w:rsid w:val="00A872D1"/>
    <w:rsid w:val="00A8730C"/>
    <w:rsid w:val="00A8749C"/>
    <w:rsid w:val="00A8787D"/>
    <w:rsid w:val="00A87AED"/>
    <w:rsid w:val="00A87D8A"/>
    <w:rsid w:val="00A87F61"/>
    <w:rsid w:val="00A90814"/>
    <w:rsid w:val="00A90941"/>
    <w:rsid w:val="00A90D70"/>
    <w:rsid w:val="00A910B1"/>
    <w:rsid w:val="00A915F7"/>
    <w:rsid w:val="00A91DDA"/>
    <w:rsid w:val="00A92466"/>
    <w:rsid w:val="00A9281C"/>
    <w:rsid w:val="00A93361"/>
    <w:rsid w:val="00A93464"/>
    <w:rsid w:val="00A934BC"/>
    <w:rsid w:val="00A937B2"/>
    <w:rsid w:val="00A93B3E"/>
    <w:rsid w:val="00A93B82"/>
    <w:rsid w:val="00A9424E"/>
    <w:rsid w:val="00A94EED"/>
    <w:rsid w:val="00A95058"/>
    <w:rsid w:val="00A953F6"/>
    <w:rsid w:val="00A9571E"/>
    <w:rsid w:val="00A95EBF"/>
    <w:rsid w:val="00A9626F"/>
    <w:rsid w:val="00A9656C"/>
    <w:rsid w:val="00A965FC"/>
    <w:rsid w:val="00A966B2"/>
    <w:rsid w:val="00A9796F"/>
    <w:rsid w:val="00AA029B"/>
    <w:rsid w:val="00AA058D"/>
    <w:rsid w:val="00AA1134"/>
    <w:rsid w:val="00AA144C"/>
    <w:rsid w:val="00AA15DE"/>
    <w:rsid w:val="00AA1703"/>
    <w:rsid w:val="00AA1755"/>
    <w:rsid w:val="00AA17ED"/>
    <w:rsid w:val="00AA18C8"/>
    <w:rsid w:val="00AA1E4E"/>
    <w:rsid w:val="00AA244B"/>
    <w:rsid w:val="00AA258C"/>
    <w:rsid w:val="00AA28EB"/>
    <w:rsid w:val="00AA2FAD"/>
    <w:rsid w:val="00AA3274"/>
    <w:rsid w:val="00AA34CA"/>
    <w:rsid w:val="00AA352A"/>
    <w:rsid w:val="00AA3DB9"/>
    <w:rsid w:val="00AA42FE"/>
    <w:rsid w:val="00AA449D"/>
    <w:rsid w:val="00AA506F"/>
    <w:rsid w:val="00AA5087"/>
    <w:rsid w:val="00AA546A"/>
    <w:rsid w:val="00AA5493"/>
    <w:rsid w:val="00AA5561"/>
    <w:rsid w:val="00AA5795"/>
    <w:rsid w:val="00AA5926"/>
    <w:rsid w:val="00AA5952"/>
    <w:rsid w:val="00AA5A06"/>
    <w:rsid w:val="00AA6137"/>
    <w:rsid w:val="00AA6427"/>
    <w:rsid w:val="00AA6597"/>
    <w:rsid w:val="00AA65BE"/>
    <w:rsid w:val="00AA691D"/>
    <w:rsid w:val="00AA716B"/>
    <w:rsid w:val="00AA75D4"/>
    <w:rsid w:val="00AA77A4"/>
    <w:rsid w:val="00AA7C26"/>
    <w:rsid w:val="00AA7CE7"/>
    <w:rsid w:val="00AB08B0"/>
    <w:rsid w:val="00AB08E5"/>
    <w:rsid w:val="00AB0C08"/>
    <w:rsid w:val="00AB148D"/>
    <w:rsid w:val="00AB1654"/>
    <w:rsid w:val="00AB16C1"/>
    <w:rsid w:val="00AB178D"/>
    <w:rsid w:val="00AB19B7"/>
    <w:rsid w:val="00AB1DF3"/>
    <w:rsid w:val="00AB3210"/>
    <w:rsid w:val="00AB37DB"/>
    <w:rsid w:val="00AB3801"/>
    <w:rsid w:val="00AB3A1B"/>
    <w:rsid w:val="00AB4050"/>
    <w:rsid w:val="00AB407B"/>
    <w:rsid w:val="00AB4307"/>
    <w:rsid w:val="00AB4AD0"/>
    <w:rsid w:val="00AB4B4A"/>
    <w:rsid w:val="00AB53C7"/>
    <w:rsid w:val="00AB5E74"/>
    <w:rsid w:val="00AB640B"/>
    <w:rsid w:val="00AB664D"/>
    <w:rsid w:val="00AB68DC"/>
    <w:rsid w:val="00AB6B18"/>
    <w:rsid w:val="00AB6E63"/>
    <w:rsid w:val="00AB7009"/>
    <w:rsid w:val="00AB704C"/>
    <w:rsid w:val="00AB77CE"/>
    <w:rsid w:val="00AB7899"/>
    <w:rsid w:val="00AB7F4C"/>
    <w:rsid w:val="00AC0320"/>
    <w:rsid w:val="00AC0AF8"/>
    <w:rsid w:val="00AC0DF6"/>
    <w:rsid w:val="00AC0E86"/>
    <w:rsid w:val="00AC1149"/>
    <w:rsid w:val="00AC1437"/>
    <w:rsid w:val="00AC1B56"/>
    <w:rsid w:val="00AC20EE"/>
    <w:rsid w:val="00AC2643"/>
    <w:rsid w:val="00AC274A"/>
    <w:rsid w:val="00AC317A"/>
    <w:rsid w:val="00AC32EC"/>
    <w:rsid w:val="00AC38B2"/>
    <w:rsid w:val="00AC3997"/>
    <w:rsid w:val="00AC3CFC"/>
    <w:rsid w:val="00AC4775"/>
    <w:rsid w:val="00AC4F8B"/>
    <w:rsid w:val="00AC5DED"/>
    <w:rsid w:val="00AC64BD"/>
    <w:rsid w:val="00AC64EF"/>
    <w:rsid w:val="00AC674A"/>
    <w:rsid w:val="00AC6A1A"/>
    <w:rsid w:val="00AC6AA9"/>
    <w:rsid w:val="00AC6DB9"/>
    <w:rsid w:val="00AC6E1C"/>
    <w:rsid w:val="00AC7052"/>
    <w:rsid w:val="00AC70E4"/>
    <w:rsid w:val="00AC7139"/>
    <w:rsid w:val="00AC731E"/>
    <w:rsid w:val="00AC74A3"/>
    <w:rsid w:val="00AC778D"/>
    <w:rsid w:val="00AC7E4D"/>
    <w:rsid w:val="00AC7F2C"/>
    <w:rsid w:val="00AD03EB"/>
    <w:rsid w:val="00AD0A75"/>
    <w:rsid w:val="00AD0C6D"/>
    <w:rsid w:val="00AD161E"/>
    <w:rsid w:val="00AD1930"/>
    <w:rsid w:val="00AD1C69"/>
    <w:rsid w:val="00AD25A0"/>
    <w:rsid w:val="00AD25E6"/>
    <w:rsid w:val="00AD2BAA"/>
    <w:rsid w:val="00AD332E"/>
    <w:rsid w:val="00AD3429"/>
    <w:rsid w:val="00AD39B3"/>
    <w:rsid w:val="00AD4372"/>
    <w:rsid w:val="00AD4846"/>
    <w:rsid w:val="00AD5519"/>
    <w:rsid w:val="00AD5791"/>
    <w:rsid w:val="00AD5A66"/>
    <w:rsid w:val="00AD5EEB"/>
    <w:rsid w:val="00AD6294"/>
    <w:rsid w:val="00AD6AFC"/>
    <w:rsid w:val="00AD6B75"/>
    <w:rsid w:val="00AD7065"/>
    <w:rsid w:val="00AD7434"/>
    <w:rsid w:val="00AD76EB"/>
    <w:rsid w:val="00AD7996"/>
    <w:rsid w:val="00AD7D57"/>
    <w:rsid w:val="00AD7F5D"/>
    <w:rsid w:val="00AE07A3"/>
    <w:rsid w:val="00AE0C27"/>
    <w:rsid w:val="00AE0D3D"/>
    <w:rsid w:val="00AE10FE"/>
    <w:rsid w:val="00AE1283"/>
    <w:rsid w:val="00AE13E0"/>
    <w:rsid w:val="00AE2337"/>
    <w:rsid w:val="00AE2865"/>
    <w:rsid w:val="00AE2DAD"/>
    <w:rsid w:val="00AE2E44"/>
    <w:rsid w:val="00AE30BB"/>
    <w:rsid w:val="00AE3586"/>
    <w:rsid w:val="00AE3D5D"/>
    <w:rsid w:val="00AE42D5"/>
    <w:rsid w:val="00AE42DD"/>
    <w:rsid w:val="00AE46BD"/>
    <w:rsid w:val="00AE50F5"/>
    <w:rsid w:val="00AE529E"/>
    <w:rsid w:val="00AE5354"/>
    <w:rsid w:val="00AE5ECD"/>
    <w:rsid w:val="00AE5F93"/>
    <w:rsid w:val="00AE68AC"/>
    <w:rsid w:val="00AE6931"/>
    <w:rsid w:val="00AE6977"/>
    <w:rsid w:val="00AE69A8"/>
    <w:rsid w:val="00AE7E91"/>
    <w:rsid w:val="00AE7EF0"/>
    <w:rsid w:val="00AF019A"/>
    <w:rsid w:val="00AF07D6"/>
    <w:rsid w:val="00AF0A0E"/>
    <w:rsid w:val="00AF11FC"/>
    <w:rsid w:val="00AF154C"/>
    <w:rsid w:val="00AF19B7"/>
    <w:rsid w:val="00AF28B3"/>
    <w:rsid w:val="00AF2A9D"/>
    <w:rsid w:val="00AF34F9"/>
    <w:rsid w:val="00AF350E"/>
    <w:rsid w:val="00AF37A0"/>
    <w:rsid w:val="00AF3891"/>
    <w:rsid w:val="00AF38DD"/>
    <w:rsid w:val="00AF3A4F"/>
    <w:rsid w:val="00AF3B66"/>
    <w:rsid w:val="00AF42B1"/>
    <w:rsid w:val="00AF43D8"/>
    <w:rsid w:val="00AF4724"/>
    <w:rsid w:val="00AF47F8"/>
    <w:rsid w:val="00AF534F"/>
    <w:rsid w:val="00AF5A5D"/>
    <w:rsid w:val="00AF5D0C"/>
    <w:rsid w:val="00AF6778"/>
    <w:rsid w:val="00AF7262"/>
    <w:rsid w:val="00AF7454"/>
    <w:rsid w:val="00AF7514"/>
    <w:rsid w:val="00AF760E"/>
    <w:rsid w:val="00AF7A68"/>
    <w:rsid w:val="00AF7C3C"/>
    <w:rsid w:val="00B00165"/>
    <w:rsid w:val="00B006F3"/>
    <w:rsid w:val="00B008FD"/>
    <w:rsid w:val="00B00C86"/>
    <w:rsid w:val="00B00D62"/>
    <w:rsid w:val="00B00FBB"/>
    <w:rsid w:val="00B01516"/>
    <w:rsid w:val="00B0181B"/>
    <w:rsid w:val="00B01830"/>
    <w:rsid w:val="00B01E58"/>
    <w:rsid w:val="00B01F2D"/>
    <w:rsid w:val="00B020A4"/>
    <w:rsid w:val="00B020AD"/>
    <w:rsid w:val="00B02371"/>
    <w:rsid w:val="00B02AB2"/>
    <w:rsid w:val="00B032C1"/>
    <w:rsid w:val="00B03869"/>
    <w:rsid w:val="00B03C7A"/>
    <w:rsid w:val="00B03E25"/>
    <w:rsid w:val="00B043F8"/>
    <w:rsid w:val="00B0442B"/>
    <w:rsid w:val="00B0469A"/>
    <w:rsid w:val="00B04BEB"/>
    <w:rsid w:val="00B0505B"/>
    <w:rsid w:val="00B05175"/>
    <w:rsid w:val="00B05460"/>
    <w:rsid w:val="00B05589"/>
    <w:rsid w:val="00B059C1"/>
    <w:rsid w:val="00B05C45"/>
    <w:rsid w:val="00B05CBD"/>
    <w:rsid w:val="00B05D75"/>
    <w:rsid w:val="00B066E3"/>
    <w:rsid w:val="00B069B5"/>
    <w:rsid w:val="00B072C7"/>
    <w:rsid w:val="00B076C7"/>
    <w:rsid w:val="00B079D3"/>
    <w:rsid w:val="00B10111"/>
    <w:rsid w:val="00B10134"/>
    <w:rsid w:val="00B10468"/>
    <w:rsid w:val="00B1052F"/>
    <w:rsid w:val="00B10B6A"/>
    <w:rsid w:val="00B110F6"/>
    <w:rsid w:val="00B11263"/>
    <w:rsid w:val="00B11720"/>
    <w:rsid w:val="00B11D99"/>
    <w:rsid w:val="00B12302"/>
    <w:rsid w:val="00B13113"/>
    <w:rsid w:val="00B13B72"/>
    <w:rsid w:val="00B13ED5"/>
    <w:rsid w:val="00B13FC9"/>
    <w:rsid w:val="00B1470E"/>
    <w:rsid w:val="00B1478F"/>
    <w:rsid w:val="00B15139"/>
    <w:rsid w:val="00B1521A"/>
    <w:rsid w:val="00B152CD"/>
    <w:rsid w:val="00B157B4"/>
    <w:rsid w:val="00B15AF6"/>
    <w:rsid w:val="00B15B6F"/>
    <w:rsid w:val="00B15BD8"/>
    <w:rsid w:val="00B15C15"/>
    <w:rsid w:val="00B15E98"/>
    <w:rsid w:val="00B164D8"/>
    <w:rsid w:val="00B165DC"/>
    <w:rsid w:val="00B1680A"/>
    <w:rsid w:val="00B1687A"/>
    <w:rsid w:val="00B16A9A"/>
    <w:rsid w:val="00B17558"/>
    <w:rsid w:val="00B175E5"/>
    <w:rsid w:val="00B1787D"/>
    <w:rsid w:val="00B17A7F"/>
    <w:rsid w:val="00B201C1"/>
    <w:rsid w:val="00B20C4A"/>
    <w:rsid w:val="00B210F4"/>
    <w:rsid w:val="00B21259"/>
    <w:rsid w:val="00B223B4"/>
    <w:rsid w:val="00B225F9"/>
    <w:rsid w:val="00B22E1D"/>
    <w:rsid w:val="00B22F70"/>
    <w:rsid w:val="00B232CF"/>
    <w:rsid w:val="00B23B98"/>
    <w:rsid w:val="00B23F5A"/>
    <w:rsid w:val="00B24062"/>
    <w:rsid w:val="00B248F5"/>
    <w:rsid w:val="00B24DA6"/>
    <w:rsid w:val="00B257A1"/>
    <w:rsid w:val="00B257FE"/>
    <w:rsid w:val="00B25E5C"/>
    <w:rsid w:val="00B25EEF"/>
    <w:rsid w:val="00B26AEC"/>
    <w:rsid w:val="00B26C7F"/>
    <w:rsid w:val="00B270CB"/>
    <w:rsid w:val="00B2720E"/>
    <w:rsid w:val="00B278C1"/>
    <w:rsid w:val="00B2793E"/>
    <w:rsid w:val="00B30232"/>
    <w:rsid w:val="00B30B3B"/>
    <w:rsid w:val="00B30E1E"/>
    <w:rsid w:val="00B3107E"/>
    <w:rsid w:val="00B3134C"/>
    <w:rsid w:val="00B3146E"/>
    <w:rsid w:val="00B314C3"/>
    <w:rsid w:val="00B323E9"/>
    <w:rsid w:val="00B3271F"/>
    <w:rsid w:val="00B32C7A"/>
    <w:rsid w:val="00B330DB"/>
    <w:rsid w:val="00B33379"/>
    <w:rsid w:val="00B3342A"/>
    <w:rsid w:val="00B33B03"/>
    <w:rsid w:val="00B33CAA"/>
    <w:rsid w:val="00B33D12"/>
    <w:rsid w:val="00B340D4"/>
    <w:rsid w:val="00B342A4"/>
    <w:rsid w:val="00B344C5"/>
    <w:rsid w:val="00B34760"/>
    <w:rsid w:val="00B3478F"/>
    <w:rsid w:val="00B349DE"/>
    <w:rsid w:val="00B34FB5"/>
    <w:rsid w:val="00B3527C"/>
    <w:rsid w:val="00B35695"/>
    <w:rsid w:val="00B35F19"/>
    <w:rsid w:val="00B362B8"/>
    <w:rsid w:val="00B36ACA"/>
    <w:rsid w:val="00B37574"/>
    <w:rsid w:val="00B379EE"/>
    <w:rsid w:val="00B37ABD"/>
    <w:rsid w:val="00B37B6E"/>
    <w:rsid w:val="00B40617"/>
    <w:rsid w:val="00B406A2"/>
    <w:rsid w:val="00B4085B"/>
    <w:rsid w:val="00B40D68"/>
    <w:rsid w:val="00B411FE"/>
    <w:rsid w:val="00B4136D"/>
    <w:rsid w:val="00B419BA"/>
    <w:rsid w:val="00B41BF4"/>
    <w:rsid w:val="00B41D49"/>
    <w:rsid w:val="00B42657"/>
    <w:rsid w:val="00B42707"/>
    <w:rsid w:val="00B42EE5"/>
    <w:rsid w:val="00B42FDF"/>
    <w:rsid w:val="00B43152"/>
    <w:rsid w:val="00B43330"/>
    <w:rsid w:val="00B43688"/>
    <w:rsid w:val="00B437A6"/>
    <w:rsid w:val="00B43B65"/>
    <w:rsid w:val="00B43E37"/>
    <w:rsid w:val="00B43FD5"/>
    <w:rsid w:val="00B443A1"/>
    <w:rsid w:val="00B44808"/>
    <w:rsid w:val="00B44BE6"/>
    <w:rsid w:val="00B44DC3"/>
    <w:rsid w:val="00B4516A"/>
    <w:rsid w:val="00B4531A"/>
    <w:rsid w:val="00B45509"/>
    <w:rsid w:val="00B4550B"/>
    <w:rsid w:val="00B4573B"/>
    <w:rsid w:val="00B458AC"/>
    <w:rsid w:val="00B459AA"/>
    <w:rsid w:val="00B45E34"/>
    <w:rsid w:val="00B46626"/>
    <w:rsid w:val="00B46AA7"/>
    <w:rsid w:val="00B46B29"/>
    <w:rsid w:val="00B46BDA"/>
    <w:rsid w:val="00B46C94"/>
    <w:rsid w:val="00B46CE7"/>
    <w:rsid w:val="00B470B0"/>
    <w:rsid w:val="00B4720C"/>
    <w:rsid w:val="00B475CB"/>
    <w:rsid w:val="00B4772E"/>
    <w:rsid w:val="00B4777C"/>
    <w:rsid w:val="00B50BE1"/>
    <w:rsid w:val="00B510DD"/>
    <w:rsid w:val="00B51655"/>
    <w:rsid w:val="00B520BD"/>
    <w:rsid w:val="00B522F2"/>
    <w:rsid w:val="00B52582"/>
    <w:rsid w:val="00B52CA7"/>
    <w:rsid w:val="00B52CBA"/>
    <w:rsid w:val="00B52CE1"/>
    <w:rsid w:val="00B531E2"/>
    <w:rsid w:val="00B531F7"/>
    <w:rsid w:val="00B53FAE"/>
    <w:rsid w:val="00B54257"/>
    <w:rsid w:val="00B544F4"/>
    <w:rsid w:val="00B5468A"/>
    <w:rsid w:val="00B54A1B"/>
    <w:rsid w:val="00B54A94"/>
    <w:rsid w:val="00B54B7F"/>
    <w:rsid w:val="00B553B6"/>
    <w:rsid w:val="00B5570A"/>
    <w:rsid w:val="00B5572C"/>
    <w:rsid w:val="00B55A6B"/>
    <w:rsid w:val="00B56156"/>
    <w:rsid w:val="00B56591"/>
    <w:rsid w:val="00B56882"/>
    <w:rsid w:val="00B56B99"/>
    <w:rsid w:val="00B56EFE"/>
    <w:rsid w:val="00B57391"/>
    <w:rsid w:val="00B57494"/>
    <w:rsid w:val="00B57CC9"/>
    <w:rsid w:val="00B6031C"/>
    <w:rsid w:val="00B603B3"/>
    <w:rsid w:val="00B60734"/>
    <w:rsid w:val="00B608ED"/>
    <w:rsid w:val="00B60AC3"/>
    <w:rsid w:val="00B61265"/>
    <w:rsid w:val="00B61286"/>
    <w:rsid w:val="00B61697"/>
    <w:rsid w:val="00B618B6"/>
    <w:rsid w:val="00B618BD"/>
    <w:rsid w:val="00B61993"/>
    <w:rsid w:val="00B61A81"/>
    <w:rsid w:val="00B625AB"/>
    <w:rsid w:val="00B626CF"/>
    <w:rsid w:val="00B62759"/>
    <w:rsid w:val="00B62770"/>
    <w:rsid w:val="00B62F6C"/>
    <w:rsid w:val="00B63293"/>
    <w:rsid w:val="00B6352A"/>
    <w:rsid w:val="00B637AB"/>
    <w:rsid w:val="00B63EE0"/>
    <w:rsid w:val="00B6400E"/>
    <w:rsid w:val="00B64119"/>
    <w:rsid w:val="00B64282"/>
    <w:rsid w:val="00B643F2"/>
    <w:rsid w:val="00B64778"/>
    <w:rsid w:val="00B6643D"/>
    <w:rsid w:val="00B66515"/>
    <w:rsid w:val="00B66900"/>
    <w:rsid w:val="00B66ABE"/>
    <w:rsid w:val="00B66C6B"/>
    <w:rsid w:val="00B66D09"/>
    <w:rsid w:val="00B670A4"/>
    <w:rsid w:val="00B672CF"/>
    <w:rsid w:val="00B67BF2"/>
    <w:rsid w:val="00B701EE"/>
    <w:rsid w:val="00B70349"/>
    <w:rsid w:val="00B70A1E"/>
    <w:rsid w:val="00B70CF5"/>
    <w:rsid w:val="00B711C3"/>
    <w:rsid w:val="00B716D4"/>
    <w:rsid w:val="00B718AB"/>
    <w:rsid w:val="00B71D9E"/>
    <w:rsid w:val="00B7247B"/>
    <w:rsid w:val="00B72565"/>
    <w:rsid w:val="00B72D5F"/>
    <w:rsid w:val="00B731E4"/>
    <w:rsid w:val="00B7367D"/>
    <w:rsid w:val="00B74295"/>
    <w:rsid w:val="00B74D4C"/>
    <w:rsid w:val="00B750D5"/>
    <w:rsid w:val="00B75B2A"/>
    <w:rsid w:val="00B7620E"/>
    <w:rsid w:val="00B764D3"/>
    <w:rsid w:val="00B7691E"/>
    <w:rsid w:val="00B76AB6"/>
    <w:rsid w:val="00B76B00"/>
    <w:rsid w:val="00B76D80"/>
    <w:rsid w:val="00B7754E"/>
    <w:rsid w:val="00B77B5F"/>
    <w:rsid w:val="00B80550"/>
    <w:rsid w:val="00B8057D"/>
    <w:rsid w:val="00B80630"/>
    <w:rsid w:val="00B80675"/>
    <w:rsid w:val="00B808C4"/>
    <w:rsid w:val="00B80EA5"/>
    <w:rsid w:val="00B8124C"/>
    <w:rsid w:val="00B8171B"/>
    <w:rsid w:val="00B8173A"/>
    <w:rsid w:val="00B81D99"/>
    <w:rsid w:val="00B822E8"/>
    <w:rsid w:val="00B82620"/>
    <w:rsid w:val="00B82912"/>
    <w:rsid w:val="00B82A55"/>
    <w:rsid w:val="00B82AE7"/>
    <w:rsid w:val="00B82B61"/>
    <w:rsid w:val="00B8361B"/>
    <w:rsid w:val="00B83803"/>
    <w:rsid w:val="00B83A79"/>
    <w:rsid w:val="00B83D0A"/>
    <w:rsid w:val="00B83E6B"/>
    <w:rsid w:val="00B841EA"/>
    <w:rsid w:val="00B844E2"/>
    <w:rsid w:val="00B84848"/>
    <w:rsid w:val="00B84BEA"/>
    <w:rsid w:val="00B85054"/>
    <w:rsid w:val="00B85541"/>
    <w:rsid w:val="00B8557A"/>
    <w:rsid w:val="00B859B7"/>
    <w:rsid w:val="00B85D43"/>
    <w:rsid w:val="00B86052"/>
    <w:rsid w:val="00B86F0B"/>
    <w:rsid w:val="00B87A28"/>
    <w:rsid w:val="00B904BC"/>
    <w:rsid w:val="00B9069B"/>
    <w:rsid w:val="00B906FB"/>
    <w:rsid w:val="00B90CFF"/>
    <w:rsid w:val="00B91086"/>
    <w:rsid w:val="00B91095"/>
    <w:rsid w:val="00B91191"/>
    <w:rsid w:val="00B92470"/>
    <w:rsid w:val="00B92824"/>
    <w:rsid w:val="00B92B4E"/>
    <w:rsid w:val="00B92F17"/>
    <w:rsid w:val="00B9319D"/>
    <w:rsid w:val="00B9330A"/>
    <w:rsid w:val="00B938AC"/>
    <w:rsid w:val="00B9396B"/>
    <w:rsid w:val="00B93BD9"/>
    <w:rsid w:val="00B940F9"/>
    <w:rsid w:val="00B941A4"/>
    <w:rsid w:val="00B943C4"/>
    <w:rsid w:val="00B947D2"/>
    <w:rsid w:val="00B94A7B"/>
    <w:rsid w:val="00B94BC9"/>
    <w:rsid w:val="00B94FB8"/>
    <w:rsid w:val="00B9517D"/>
    <w:rsid w:val="00B95563"/>
    <w:rsid w:val="00B958CA"/>
    <w:rsid w:val="00B959A8"/>
    <w:rsid w:val="00B95A73"/>
    <w:rsid w:val="00B95C87"/>
    <w:rsid w:val="00B95CA1"/>
    <w:rsid w:val="00B95D69"/>
    <w:rsid w:val="00B96020"/>
    <w:rsid w:val="00B96C19"/>
    <w:rsid w:val="00B97391"/>
    <w:rsid w:val="00B97866"/>
    <w:rsid w:val="00B97C73"/>
    <w:rsid w:val="00BA0CE1"/>
    <w:rsid w:val="00BA0D0B"/>
    <w:rsid w:val="00BA0D67"/>
    <w:rsid w:val="00BA12D2"/>
    <w:rsid w:val="00BA1723"/>
    <w:rsid w:val="00BA1A23"/>
    <w:rsid w:val="00BA2175"/>
    <w:rsid w:val="00BA21A0"/>
    <w:rsid w:val="00BA2255"/>
    <w:rsid w:val="00BA2273"/>
    <w:rsid w:val="00BA23CA"/>
    <w:rsid w:val="00BA2C28"/>
    <w:rsid w:val="00BA2C9B"/>
    <w:rsid w:val="00BA2CC2"/>
    <w:rsid w:val="00BA30CF"/>
    <w:rsid w:val="00BA31AC"/>
    <w:rsid w:val="00BA396C"/>
    <w:rsid w:val="00BA3A77"/>
    <w:rsid w:val="00BA3F9D"/>
    <w:rsid w:val="00BA4240"/>
    <w:rsid w:val="00BA4769"/>
    <w:rsid w:val="00BA5503"/>
    <w:rsid w:val="00BA5A84"/>
    <w:rsid w:val="00BA67F6"/>
    <w:rsid w:val="00BA6A78"/>
    <w:rsid w:val="00BA6DC1"/>
    <w:rsid w:val="00BA6F42"/>
    <w:rsid w:val="00BA6F54"/>
    <w:rsid w:val="00BA6F7A"/>
    <w:rsid w:val="00BA7735"/>
    <w:rsid w:val="00BA773F"/>
    <w:rsid w:val="00BA7780"/>
    <w:rsid w:val="00BB00B8"/>
    <w:rsid w:val="00BB00DA"/>
    <w:rsid w:val="00BB043E"/>
    <w:rsid w:val="00BB0ED8"/>
    <w:rsid w:val="00BB186B"/>
    <w:rsid w:val="00BB1932"/>
    <w:rsid w:val="00BB19E9"/>
    <w:rsid w:val="00BB1A81"/>
    <w:rsid w:val="00BB1AC1"/>
    <w:rsid w:val="00BB20CE"/>
    <w:rsid w:val="00BB254C"/>
    <w:rsid w:val="00BB2BA4"/>
    <w:rsid w:val="00BB34C2"/>
    <w:rsid w:val="00BB35A5"/>
    <w:rsid w:val="00BB38D8"/>
    <w:rsid w:val="00BB4356"/>
    <w:rsid w:val="00BB4FEB"/>
    <w:rsid w:val="00BB5302"/>
    <w:rsid w:val="00BB5CF6"/>
    <w:rsid w:val="00BB60EB"/>
    <w:rsid w:val="00BB6114"/>
    <w:rsid w:val="00BB62F4"/>
    <w:rsid w:val="00BB63E0"/>
    <w:rsid w:val="00BB680A"/>
    <w:rsid w:val="00BB7740"/>
    <w:rsid w:val="00BB7AE1"/>
    <w:rsid w:val="00BB7E4B"/>
    <w:rsid w:val="00BC0533"/>
    <w:rsid w:val="00BC09A0"/>
    <w:rsid w:val="00BC0BA6"/>
    <w:rsid w:val="00BC0C50"/>
    <w:rsid w:val="00BC0F25"/>
    <w:rsid w:val="00BC1D54"/>
    <w:rsid w:val="00BC20EA"/>
    <w:rsid w:val="00BC28C2"/>
    <w:rsid w:val="00BC2F44"/>
    <w:rsid w:val="00BC3426"/>
    <w:rsid w:val="00BC3A5C"/>
    <w:rsid w:val="00BC3AC0"/>
    <w:rsid w:val="00BC3D31"/>
    <w:rsid w:val="00BC4622"/>
    <w:rsid w:val="00BC46D7"/>
    <w:rsid w:val="00BC481F"/>
    <w:rsid w:val="00BC486C"/>
    <w:rsid w:val="00BC4914"/>
    <w:rsid w:val="00BC4E98"/>
    <w:rsid w:val="00BC5622"/>
    <w:rsid w:val="00BC5723"/>
    <w:rsid w:val="00BC5830"/>
    <w:rsid w:val="00BC58C9"/>
    <w:rsid w:val="00BC5B0D"/>
    <w:rsid w:val="00BC5B8B"/>
    <w:rsid w:val="00BC5C29"/>
    <w:rsid w:val="00BC6450"/>
    <w:rsid w:val="00BC6E9B"/>
    <w:rsid w:val="00BC716C"/>
    <w:rsid w:val="00BC7483"/>
    <w:rsid w:val="00BC7736"/>
    <w:rsid w:val="00BC7911"/>
    <w:rsid w:val="00BC7BC8"/>
    <w:rsid w:val="00BC7E3D"/>
    <w:rsid w:val="00BD01A0"/>
    <w:rsid w:val="00BD091D"/>
    <w:rsid w:val="00BD09BF"/>
    <w:rsid w:val="00BD0BA3"/>
    <w:rsid w:val="00BD0F43"/>
    <w:rsid w:val="00BD1350"/>
    <w:rsid w:val="00BD193B"/>
    <w:rsid w:val="00BD1A61"/>
    <w:rsid w:val="00BD1DD2"/>
    <w:rsid w:val="00BD1ED4"/>
    <w:rsid w:val="00BD2096"/>
    <w:rsid w:val="00BD2186"/>
    <w:rsid w:val="00BD2229"/>
    <w:rsid w:val="00BD267B"/>
    <w:rsid w:val="00BD2CD0"/>
    <w:rsid w:val="00BD2F95"/>
    <w:rsid w:val="00BD342A"/>
    <w:rsid w:val="00BD3752"/>
    <w:rsid w:val="00BD4852"/>
    <w:rsid w:val="00BD4C95"/>
    <w:rsid w:val="00BD4EB7"/>
    <w:rsid w:val="00BD5992"/>
    <w:rsid w:val="00BD5F8D"/>
    <w:rsid w:val="00BD6AB5"/>
    <w:rsid w:val="00BD6EDE"/>
    <w:rsid w:val="00BD6F1B"/>
    <w:rsid w:val="00BD7019"/>
    <w:rsid w:val="00BD7A5C"/>
    <w:rsid w:val="00BD7CCC"/>
    <w:rsid w:val="00BD7CF1"/>
    <w:rsid w:val="00BE00E3"/>
    <w:rsid w:val="00BE0401"/>
    <w:rsid w:val="00BE0A83"/>
    <w:rsid w:val="00BE0D2F"/>
    <w:rsid w:val="00BE11B1"/>
    <w:rsid w:val="00BE12F3"/>
    <w:rsid w:val="00BE1F38"/>
    <w:rsid w:val="00BE1F90"/>
    <w:rsid w:val="00BE2723"/>
    <w:rsid w:val="00BE290F"/>
    <w:rsid w:val="00BE2B06"/>
    <w:rsid w:val="00BE2B88"/>
    <w:rsid w:val="00BE2CB0"/>
    <w:rsid w:val="00BE2D37"/>
    <w:rsid w:val="00BE3390"/>
    <w:rsid w:val="00BE3437"/>
    <w:rsid w:val="00BE37D0"/>
    <w:rsid w:val="00BE3DC5"/>
    <w:rsid w:val="00BE4056"/>
    <w:rsid w:val="00BE40EC"/>
    <w:rsid w:val="00BE44C9"/>
    <w:rsid w:val="00BE45A5"/>
    <w:rsid w:val="00BE475A"/>
    <w:rsid w:val="00BE4986"/>
    <w:rsid w:val="00BE4A4C"/>
    <w:rsid w:val="00BE4A87"/>
    <w:rsid w:val="00BE4EF0"/>
    <w:rsid w:val="00BE511D"/>
    <w:rsid w:val="00BE57B4"/>
    <w:rsid w:val="00BE5C02"/>
    <w:rsid w:val="00BE5F45"/>
    <w:rsid w:val="00BE607D"/>
    <w:rsid w:val="00BE67C6"/>
    <w:rsid w:val="00BE6832"/>
    <w:rsid w:val="00BE68C4"/>
    <w:rsid w:val="00BE6DFA"/>
    <w:rsid w:val="00BE6EE3"/>
    <w:rsid w:val="00BE6F2F"/>
    <w:rsid w:val="00BE74A2"/>
    <w:rsid w:val="00BE74EE"/>
    <w:rsid w:val="00BE7F38"/>
    <w:rsid w:val="00BF02ED"/>
    <w:rsid w:val="00BF0690"/>
    <w:rsid w:val="00BF09B0"/>
    <w:rsid w:val="00BF0B0A"/>
    <w:rsid w:val="00BF0BBA"/>
    <w:rsid w:val="00BF0C07"/>
    <w:rsid w:val="00BF0D38"/>
    <w:rsid w:val="00BF0FAA"/>
    <w:rsid w:val="00BF23F2"/>
    <w:rsid w:val="00BF295F"/>
    <w:rsid w:val="00BF34DF"/>
    <w:rsid w:val="00BF373F"/>
    <w:rsid w:val="00BF37E5"/>
    <w:rsid w:val="00BF3B14"/>
    <w:rsid w:val="00BF3FBF"/>
    <w:rsid w:val="00BF3FE3"/>
    <w:rsid w:val="00BF4604"/>
    <w:rsid w:val="00BF46AB"/>
    <w:rsid w:val="00BF46EC"/>
    <w:rsid w:val="00BF479E"/>
    <w:rsid w:val="00BF4BDF"/>
    <w:rsid w:val="00BF556C"/>
    <w:rsid w:val="00BF584C"/>
    <w:rsid w:val="00BF5891"/>
    <w:rsid w:val="00BF5C20"/>
    <w:rsid w:val="00BF609C"/>
    <w:rsid w:val="00BF60F2"/>
    <w:rsid w:val="00BF6168"/>
    <w:rsid w:val="00BF64E2"/>
    <w:rsid w:val="00BF6671"/>
    <w:rsid w:val="00BF6984"/>
    <w:rsid w:val="00BF69A5"/>
    <w:rsid w:val="00BF6B8A"/>
    <w:rsid w:val="00BF7AA9"/>
    <w:rsid w:val="00C009CD"/>
    <w:rsid w:val="00C00CA9"/>
    <w:rsid w:val="00C0181A"/>
    <w:rsid w:val="00C01DC6"/>
    <w:rsid w:val="00C02565"/>
    <w:rsid w:val="00C02615"/>
    <w:rsid w:val="00C02705"/>
    <w:rsid w:val="00C02A08"/>
    <w:rsid w:val="00C02AEB"/>
    <w:rsid w:val="00C031CE"/>
    <w:rsid w:val="00C03365"/>
    <w:rsid w:val="00C03446"/>
    <w:rsid w:val="00C035E6"/>
    <w:rsid w:val="00C04351"/>
    <w:rsid w:val="00C04488"/>
    <w:rsid w:val="00C0479F"/>
    <w:rsid w:val="00C0501E"/>
    <w:rsid w:val="00C05252"/>
    <w:rsid w:val="00C05580"/>
    <w:rsid w:val="00C0560D"/>
    <w:rsid w:val="00C063FB"/>
    <w:rsid w:val="00C0702E"/>
    <w:rsid w:val="00C07888"/>
    <w:rsid w:val="00C07DB0"/>
    <w:rsid w:val="00C105B9"/>
    <w:rsid w:val="00C1069E"/>
    <w:rsid w:val="00C10A96"/>
    <w:rsid w:val="00C10DE2"/>
    <w:rsid w:val="00C10ED6"/>
    <w:rsid w:val="00C112AB"/>
    <w:rsid w:val="00C1130D"/>
    <w:rsid w:val="00C113FB"/>
    <w:rsid w:val="00C1156F"/>
    <w:rsid w:val="00C11A49"/>
    <w:rsid w:val="00C11E0D"/>
    <w:rsid w:val="00C11F74"/>
    <w:rsid w:val="00C12175"/>
    <w:rsid w:val="00C1252B"/>
    <w:rsid w:val="00C12546"/>
    <w:rsid w:val="00C12AED"/>
    <w:rsid w:val="00C1324B"/>
    <w:rsid w:val="00C13986"/>
    <w:rsid w:val="00C13D82"/>
    <w:rsid w:val="00C142E6"/>
    <w:rsid w:val="00C14642"/>
    <w:rsid w:val="00C14836"/>
    <w:rsid w:val="00C14D80"/>
    <w:rsid w:val="00C14E92"/>
    <w:rsid w:val="00C15017"/>
    <w:rsid w:val="00C15104"/>
    <w:rsid w:val="00C1532D"/>
    <w:rsid w:val="00C158EB"/>
    <w:rsid w:val="00C15C2B"/>
    <w:rsid w:val="00C165B6"/>
    <w:rsid w:val="00C16987"/>
    <w:rsid w:val="00C16FB8"/>
    <w:rsid w:val="00C17020"/>
    <w:rsid w:val="00C1733C"/>
    <w:rsid w:val="00C17DDC"/>
    <w:rsid w:val="00C17E7D"/>
    <w:rsid w:val="00C20852"/>
    <w:rsid w:val="00C208C4"/>
    <w:rsid w:val="00C20943"/>
    <w:rsid w:val="00C20B47"/>
    <w:rsid w:val="00C21390"/>
    <w:rsid w:val="00C214E7"/>
    <w:rsid w:val="00C21964"/>
    <w:rsid w:val="00C21FC9"/>
    <w:rsid w:val="00C22431"/>
    <w:rsid w:val="00C22ABB"/>
    <w:rsid w:val="00C22BAE"/>
    <w:rsid w:val="00C22CB2"/>
    <w:rsid w:val="00C23553"/>
    <w:rsid w:val="00C23C59"/>
    <w:rsid w:val="00C23E07"/>
    <w:rsid w:val="00C241C2"/>
    <w:rsid w:val="00C242BA"/>
    <w:rsid w:val="00C2444A"/>
    <w:rsid w:val="00C248FD"/>
    <w:rsid w:val="00C24974"/>
    <w:rsid w:val="00C254AC"/>
    <w:rsid w:val="00C25DED"/>
    <w:rsid w:val="00C26032"/>
    <w:rsid w:val="00C2636D"/>
    <w:rsid w:val="00C26A48"/>
    <w:rsid w:val="00C2734C"/>
    <w:rsid w:val="00C27709"/>
    <w:rsid w:val="00C27BFF"/>
    <w:rsid w:val="00C27C6A"/>
    <w:rsid w:val="00C27F8F"/>
    <w:rsid w:val="00C30A4A"/>
    <w:rsid w:val="00C30E5C"/>
    <w:rsid w:val="00C30FE3"/>
    <w:rsid w:val="00C31466"/>
    <w:rsid w:val="00C31658"/>
    <w:rsid w:val="00C318FD"/>
    <w:rsid w:val="00C31C23"/>
    <w:rsid w:val="00C32172"/>
    <w:rsid w:val="00C3296D"/>
    <w:rsid w:val="00C32BCE"/>
    <w:rsid w:val="00C330F2"/>
    <w:rsid w:val="00C3361D"/>
    <w:rsid w:val="00C33700"/>
    <w:rsid w:val="00C33C10"/>
    <w:rsid w:val="00C33CAB"/>
    <w:rsid w:val="00C3403B"/>
    <w:rsid w:val="00C34CEE"/>
    <w:rsid w:val="00C352AE"/>
    <w:rsid w:val="00C35E05"/>
    <w:rsid w:val="00C35F0A"/>
    <w:rsid w:val="00C361BB"/>
    <w:rsid w:val="00C36435"/>
    <w:rsid w:val="00C36762"/>
    <w:rsid w:val="00C36A15"/>
    <w:rsid w:val="00C36A2B"/>
    <w:rsid w:val="00C372AA"/>
    <w:rsid w:val="00C37A4C"/>
    <w:rsid w:val="00C37B66"/>
    <w:rsid w:val="00C405ED"/>
    <w:rsid w:val="00C40631"/>
    <w:rsid w:val="00C40E69"/>
    <w:rsid w:val="00C412F4"/>
    <w:rsid w:val="00C41B07"/>
    <w:rsid w:val="00C41F2E"/>
    <w:rsid w:val="00C42032"/>
    <w:rsid w:val="00C424B3"/>
    <w:rsid w:val="00C428C4"/>
    <w:rsid w:val="00C42C74"/>
    <w:rsid w:val="00C42E40"/>
    <w:rsid w:val="00C43905"/>
    <w:rsid w:val="00C439EF"/>
    <w:rsid w:val="00C43ADF"/>
    <w:rsid w:val="00C446EE"/>
    <w:rsid w:val="00C44845"/>
    <w:rsid w:val="00C448B9"/>
    <w:rsid w:val="00C44E66"/>
    <w:rsid w:val="00C45D6A"/>
    <w:rsid w:val="00C46064"/>
    <w:rsid w:val="00C46953"/>
    <w:rsid w:val="00C47006"/>
    <w:rsid w:val="00C47381"/>
    <w:rsid w:val="00C4785A"/>
    <w:rsid w:val="00C50A71"/>
    <w:rsid w:val="00C50C6B"/>
    <w:rsid w:val="00C50D20"/>
    <w:rsid w:val="00C50D28"/>
    <w:rsid w:val="00C50EA2"/>
    <w:rsid w:val="00C517CE"/>
    <w:rsid w:val="00C51A0B"/>
    <w:rsid w:val="00C52454"/>
    <w:rsid w:val="00C53C3D"/>
    <w:rsid w:val="00C53F6C"/>
    <w:rsid w:val="00C540AD"/>
    <w:rsid w:val="00C54196"/>
    <w:rsid w:val="00C546A6"/>
    <w:rsid w:val="00C55056"/>
    <w:rsid w:val="00C5549D"/>
    <w:rsid w:val="00C55F69"/>
    <w:rsid w:val="00C55F9C"/>
    <w:rsid w:val="00C55FE5"/>
    <w:rsid w:val="00C56366"/>
    <w:rsid w:val="00C56535"/>
    <w:rsid w:val="00C56C1F"/>
    <w:rsid w:val="00C5709E"/>
    <w:rsid w:val="00C570D0"/>
    <w:rsid w:val="00C5730A"/>
    <w:rsid w:val="00C57DFE"/>
    <w:rsid w:val="00C60293"/>
    <w:rsid w:val="00C602BD"/>
    <w:rsid w:val="00C60427"/>
    <w:rsid w:val="00C60C5B"/>
    <w:rsid w:val="00C60D1E"/>
    <w:rsid w:val="00C61131"/>
    <w:rsid w:val="00C61C01"/>
    <w:rsid w:val="00C62269"/>
    <w:rsid w:val="00C622AC"/>
    <w:rsid w:val="00C627B0"/>
    <w:rsid w:val="00C62841"/>
    <w:rsid w:val="00C63268"/>
    <w:rsid w:val="00C63D5E"/>
    <w:rsid w:val="00C63E97"/>
    <w:rsid w:val="00C6402C"/>
    <w:rsid w:val="00C6498E"/>
    <w:rsid w:val="00C64C36"/>
    <w:rsid w:val="00C64E7B"/>
    <w:rsid w:val="00C65140"/>
    <w:rsid w:val="00C651B2"/>
    <w:rsid w:val="00C6555C"/>
    <w:rsid w:val="00C659A2"/>
    <w:rsid w:val="00C65BC4"/>
    <w:rsid w:val="00C65D0F"/>
    <w:rsid w:val="00C65EEE"/>
    <w:rsid w:val="00C660F7"/>
    <w:rsid w:val="00C661D4"/>
    <w:rsid w:val="00C66344"/>
    <w:rsid w:val="00C66444"/>
    <w:rsid w:val="00C66781"/>
    <w:rsid w:val="00C668D0"/>
    <w:rsid w:val="00C6703E"/>
    <w:rsid w:val="00C67455"/>
    <w:rsid w:val="00C675FD"/>
    <w:rsid w:val="00C6788E"/>
    <w:rsid w:val="00C67AD5"/>
    <w:rsid w:val="00C67EFD"/>
    <w:rsid w:val="00C67FDB"/>
    <w:rsid w:val="00C7064B"/>
    <w:rsid w:val="00C70CF6"/>
    <w:rsid w:val="00C70D91"/>
    <w:rsid w:val="00C7127C"/>
    <w:rsid w:val="00C71367"/>
    <w:rsid w:val="00C71375"/>
    <w:rsid w:val="00C72111"/>
    <w:rsid w:val="00C722E7"/>
    <w:rsid w:val="00C72961"/>
    <w:rsid w:val="00C72A76"/>
    <w:rsid w:val="00C72BED"/>
    <w:rsid w:val="00C73063"/>
    <w:rsid w:val="00C731E5"/>
    <w:rsid w:val="00C732EE"/>
    <w:rsid w:val="00C7338C"/>
    <w:rsid w:val="00C733F1"/>
    <w:rsid w:val="00C7365E"/>
    <w:rsid w:val="00C73682"/>
    <w:rsid w:val="00C73F3D"/>
    <w:rsid w:val="00C742FA"/>
    <w:rsid w:val="00C74356"/>
    <w:rsid w:val="00C745A9"/>
    <w:rsid w:val="00C745DA"/>
    <w:rsid w:val="00C7485B"/>
    <w:rsid w:val="00C74925"/>
    <w:rsid w:val="00C74D00"/>
    <w:rsid w:val="00C752F7"/>
    <w:rsid w:val="00C7583B"/>
    <w:rsid w:val="00C75B0E"/>
    <w:rsid w:val="00C75E7D"/>
    <w:rsid w:val="00C76005"/>
    <w:rsid w:val="00C76322"/>
    <w:rsid w:val="00C764A7"/>
    <w:rsid w:val="00C76680"/>
    <w:rsid w:val="00C766BE"/>
    <w:rsid w:val="00C7774E"/>
    <w:rsid w:val="00C77B2A"/>
    <w:rsid w:val="00C8086E"/>
    <w:rsid w:val="00C80D4E"/>
    <w:rsid w:val="00C80E5C"/>
    <w:rsid w:val="00C8105B"/>
    <w:rsid w:val="00C811DA"/>
    <w:rsid w:val="00C8146F"/>
    <w:rsid w:val="00C814D7"/>
    <w:rsid w:val="00C81840"/>
    <w:rsid w:val="00C8199E"/>
    <w:rsid w:val="00C81DC0"/>
    <w:rsid w:val="00C8229A"/>
    <w:rsid w:val="00C82A6B"/>
    <w:rsid w:val="00C82BC1"/>
    <w:rsid w:val="00C83413"/>
    <w:rsid w:val="00C83724"/>
    <w:rsid w:val="00C839BA"/>
    <w:rsid w:val="00C839C2"/>
    <w:rsid w:val="00C83ACA"/>
    <w:rsid w:val="00C83AF9"/>
    <w:rsid w:val="00C83B7D"/>
    <w:rsid w:val="00C84336"/>
    <w:rsid w:val="00C848E3"/>
    <w:rsid w:val="00C84D15"/>
    <w:rsid w:val="00C85237"/>
    <w:rsid w:val="00C854A3"/>
    <w:rsid w:val="00C85582"/>
    <w:rsid w:val="00C85624"/>
    <w:rsid w:val="00C86296"/>
    <w:rsid w:val="00C863AB"/>
    <w:rsid w:val="00C867F9"/>
    <w:rsid w:val="00C86C7D"/>
    <w:rsid w:val="00C86EC0"/>
    <w:rsid w:val="00C86F57"/>
    <w:rsid w:val="00C8708A"/>
    <w:rsid w:val="00C8723E"/>
    <w:rsid w:val="00C873A6"/>
    <w:rsid w:val="00C8760A"/>
    <w:rsid w:val="00C877AC"/>
    <w:rsid w:val="00C90381"/>
    <w:rsid w:val="00C90E97"/>
    <w:rsid w:val="00C90F9B"/>
    <w:rsid w:val="00C90FC5"/>
    <w:rsid w:val="00C91057"/>
    <w:rsid w:val="00C91649"/>
    <w:rsid w:val="00C916F1"/>
    <w:rsid w:val="00C91968"/>
    <w:rsid w:val="00C91AA7"/>
    <w:rsid w:val="00C91D28"/>
    <w:rsid w:val="00C92590"/>
    <w:rsid w:val="00C926E8"/>
    <w:rsid w:val="00C92881"/>
    <w:rsid w:val="00C9345F"/>
    <w:rsid w:val="00C93DB8"/>
    <w:rsid w:val="00C93E2F"/>
    <w:rsid w:val="00C94243"/>
    <w:rsid w:val="00C9434A"/>
    <w:rsid w:val="00C94F6D"/>
    <w:rsid w:val="00C95C07"/>
    <w:rsid w:val="00C95C68"/>
    <w:rsid w:val="00C95DF8"/>
    <w:rsid w:val="00C960B9"/>
    <w:rsid w:val="00C96463"/>
    <w:rsid w:val="00C96670"/>
    <w:rsid w:val="00C967A5"/>
    <w:rsid w:val="00C96969"/>
    <w:rsid w:val="00C96D23"/>
    <w:rsid w:val="00C97125"/>
    <w:rsid w:val="00C976D1"/>
    <w:rsid w:val="00C97835"/>
    <w:rsid w:val="00C97A7E"/>
    <w:rsid w:val="00C97F36"/>
    <w:rsid w:val="00CA025B"/>
    <w:rsid w:val="00CA0387"/>
    <w:rsid w:val="00CA057A"/>
    <w:rsid w:val="00CA079F"/>
    <w:rsid w:val="00CA0D90"/>
    <w:rsid w:val="00CA164F"/>
    <w:rsid w:val="00CA1953"/>
    <w:rsid w:val="00CA25D6"/>
    <w:rsid w:val="00CA2FC5"/>
    <w:rsid w:val="00CA3609"/>
    <w:rsid w:val="00CA3746"/>
    <w:rsid w:val="00CA3952"/>
    <w:rsid w:val="00CA3A33"/>
    <w:rsid w:val="00CA4357"/>
    <w:rsid w:val="00CA43B3"/>
    <w:rsid w:val="00CA4E8C"/>
    <w:rsid w:val="00CA50E6"/>
    <w:rsid w:val="00CA5219"/>
    <w:rsid w:val="00CA5E85"/>
    <w:rsid w:val="00CA6242"/>
    <w:rsid w:val="00CA6F41"/>
    <w:rsid w:val="00CA71A3"/>
    <w:rsid w:val="00CA76B9"/>
    <w:rsid w:val="00CA78C1"/>
    <w:rsid w:val="00CB045A"/>
    <w:rsid w:val="00CB05EF"/>
    <w:rsid w:val="00CB0B08"/>
    <w:rsid w:val="00CB0D39"/>
    <w:rsid w:val="00CB1343"/>
    <w:rsid w:val="00CB1EB9"/>
    <w:rsid w:val="00CB1F1E"/>
    <w:rsid w:val="00CB2513"/>
    <w:rsid w:val="00CB2777"/>
    <w:rsid w:val="00CB2821"/>
    <w:rsid w:val="00CB2C67"/>
    <w:rsid w:val="00CB3E95"/>
    <w:rsid w:val="00CB402D"/>
    <w:rsid w:val="00CB424C"/>
    <w:rsid w:val="00CB4492"/>
    <w:rsid w:val="00CB44FD"/>
    <w:rsid w:val="00CB462D"/>
    <w:rsid w:val="00CB46A6"/>
    <w:rsid w:val="00CB4FE5"/>
    <w:rsid w:val="00CB5871"/>
    <w:rsid w:val="00CB6017"/>
    <w:rsid w:val="00CB60DE"/>
    <w:rsid w:val="00CB6168"/>
    <w:rsid w:val="00CB633D"/>
    <w:rsid w:val="00CB67E1"/>
    <w:rsid w:val="00CB6830"/>
    <w:rsid w:val="00CB6EEB"/>
    <w:rsid w:val="00CB7028"/>
    <w:rsid w:val="00CB7D11"/>
    <w:rsid w:val="00CC086E"/>
    <w:rsid w:val="00CC0B70"/>
    <w:rsid w:val="00CC0D9B"/>
    <w:rsid w:val="00CC11DF"/>
    <w:rsid w:val="00CC1241"/>
    <w:rsid w:val="00CC12D0"/>
    <w:rsid w:val="00CC1600"/>
    <w:rsid w:val="00CC16C6"/>
    <w:rsid w:val="00CC1837"/>
    <w:rsid w:val="00CC1DCC"/>
    <w:rsid w:val="00CC22CB"/>
    <w:rsid w:val="00CC233C"/>
    <w:rsid w:val="00CC2B5D"/>
    <w:rsid w:val="00CC3C1E"/>
    <w:rsid w:val="00CC3D8B"/>
    <w:rsid w:val="00CC40F6"/>
    <w:rsid w:val="00CC4AA7"/>
    <w:rsid w:val="00CC4F2A"/>
    <w:rsid w:val="00CC50D3"/>
    <w:rsid w:val="00CC50F2"/>
    <w:rsid w:val="00CC522D"/>
    <w:rsid w:val="00CC563A"/>
    <w:rsid w:val="00CC5694"/>
    <w:rsid w:val="00CC58D4"/>
    <w:rsid w:val="00CC60AC"/>
    <w:rsid w:val="00CC648A"/>
    <w:rsid w:val="00CC6B81"/>
    <w:rsid w:val="00CC7073"/>
    <w:rsid w:val="00CC7685"/>
    <w:rsid w:val="00CC7909"/>
    <w:rsid w:val="00CC79A8"/>
    <w:rsid w:val="00CC7ED3"/>
    <w:rsid w:val="00CD065A"/>
    <w:rsid w:val="00CD1601"/>
    <w:rsid w:val="00CD177E"/>
    <w:rsid w:val="00CD1963"/>
    <w:rsid w:val="00CD1A11"/>
    <w:rsid w:val="00CD1F5A"/>
    <w:rsid w:val="00CD2A04"/>
    <w:rsid w:val="00CD3470"/>
    <w:rsid w:val="00CD3520"/>
    <w:rsid w:val="00CD3B3E"/>
    <w:rsid w:val="00CD4137"/>
    <w:rsid w:val="00CD420B"/>
    <w:rsid w:val="00CD450B"/>
    <w:rsid w:val="00CD451C"/>
    <w:rsid w:val="00CD4718"/>
    <w:rsid w:val="00CD499F"/>
    <w:rsid w:val="00CD4C5A"/>
    <w:rsid w:val="00CD514C"/>
    <w:rsid w:val="00CD5838"/>
    <w:rsid w:val="00CD5B24"/>
    <w:rsid w:val="00CD5B51"/>
    <w:rsid w:val="00CD67C3"/>
    <w:rsid w:val="00CD68C0"/>
    <w:rsid w:val="00CD69C1"/>
    <w:rsid w:val="00CD6B46"/>
    <w:rsid w:val="00CD6B4B"/>
    <w:rsid w:val="00CD6E1B"/>
    <w:rsid w:val="00CD735F"/>
    <w:rsid w:val="00CD7381"/>
    <w:rsid w:val="00CD7534"/>
    <w:rsid w:val="00CD77D6"/>
    <w:rsid w:val="00CD7B83"/>
    <w:rsid w:val="00CD7E1C"/>
    <w:rsid w:val="00CD7F3B"/>
    <w:rsid w:val="00CD7F70"/>
    <w:rsid w:val="00CE047E"/>
    <w:rsid w:val="00CE0559"/>
    <w:rsid w:val="00CE069F"/>
    <w:rsid w:val="00CE07F9"/>
    <w:rsid w:val="00CE0D69"/>
    <w:rsid w:val="00CE0E2C"/>
    <w:rsid w:val="00CE1163"/>
    <w:rsid w:val="00CE151B"/>
    <w:rsid w:val="00CE23C1"/>
    <w:rsid w:val="00CE241C"/>
    <w:rsid w:val="00CE2512"/>
    <w:rsid w:val="00CE26A7"/>
    <w:rsid w:val="00CE2B44"/>
    <w:rsid w:val="00CE2E46"/>
    <w:rsid w:val="00CE2F13"/>
    <w:rsid w:val="00CE36B1"/>
    <w:rsid w:val="00CE36B4"/>
    <w:rsid w:val="00CE3D69"/>
    <w:rsid w:val="00CE412B"/>
    <w:rsid w:val="00CE431A"/>
    <w:rsid w:val="00CE441E"/>
    <w:rsid w:val="00CE47D1"/>
    <w:rsid w:val="00CE4A56"/>
    <w:rsid w:val="00CE4C80"/>
    <w:rsid w:val="00CE512B"/>
    <w:rsid w:val="00CE5665"/>
    <w:rsid w:val="00CE5684"/>
    <w:rsid w:val="00CE56A0"/>
    <w:rsid w:val="00CE5A51"/>
    <w:rsid w:val="00CE5BF2"/>
    <w:rsid w:val="00CE5FC4"/>
    <w:rsid w:val="00CE60A5"/>
    <w:rsid w:val="00CE60B9"/>
    <w:rsid w:val="00CE6309"/>
    <w:rsid w:val="00CE6941"/>
    <w:rsid w:val="00CE6D1D"/>
    <w:rsid w:val="00CE6F7D"/>
    <w:rsid w:val="00CE768E"/>
    <w:rsid w:val="00CE7DBA"/>
    <w:rsid w:val="00CE7E2C"/>
    <w:rsid w:val="00CF0321"/>
    <w:rsid w:val="00CF03E6"/>
    <w:rsid w:val="00CF04BB"/>
    <w:rsid w:val="00CF0698"/>
    <w:rsid w:val="00CF0E11"/>
    <w:rsid w:val="00CF258F"/>
    <w:rsid w:val="00CF2890"/>
    <w:rsid w:val="00CF2B91"/>
    <w:rsid w:val="00CF325A"/>
    <w:rsid w:val="00CF3278"/>
    <w:rsid w:val="00CF34AC"/>
    <w:rsid w:val="00CF3AD2"/>
    <w:rsid w:val="00CF3CF7"/>
    <w:rsid w:val="00CF40BB"/>
    <w:rsid w:val="00CF40FA"/>
    <w:rsid w:val="00CF4529"/>
    <w:rsid w:val="00CF470A"/>
    <w:rsid w:val="00CF4EA5"/>
    <w:rsid w:val="00CF4FA7"/>
    <w:rsid w:val="00CF5048"/>
    <w:rsid w:val="00CF52F8"/>
    <w:rsid w:val="00CF5508"/>
    <w:rsid w:val="00CF5BB6"/>
    <w:rsid w:val="00CF6258"/>
    <w:rsid w:val="00CF6549"/>
    <w:rsid w:val="00CF665E"/>
    <w:rsid w:val="00CF6992"/>
    <w:rsid w:val="00CF6CBC"/>
    <w:rsid w:val="00CF72C8"/>
    <w:rsid w:val="00CF752D"/>
    <w:rsid w:val="00CF7A65"/>
    <w:rsid w:val="00CF7B7D"/>
    <w:rsid w:val="00CF7CFE"/>
    <w:rsid w:val="00CF7ECE"/>
    <w:rsid w:val="00D00061"/>
    <w:rsid w:val="00D000EF"/>
    <w:rsid w:val="00D00300"/>
    <w:rsid w:val="00D01467"/>
    <w:rsid w:val="00D014CC"/>
    <w:rsid w:val="00D0190C"/>
    <w:rsid w:val="00D01994"/>
    <w:rsid w:val="00D020DA"/>
    <w:rsid w:val="00D0220A"/>
    <w:rsid w:val="00D022A2"/>
    <w:rsid w:val="00D023C9"/>
    <w:rsid w:val="00D026E5"/>
    <w:rsid w:val="00D02A6F"/>
    <w:rsid w:val="00D02BF7"/>
    <w:rsid w:val="00D0388F"/>
    <w:rsid w:val="00D03903"/>
    <w:rsid w:val="00D03963"/>
    <w:rsid w:val="00D03FD9"/>
    <w:rsid w:val="00D042BA"/>
    <w:rsid w:val="00D0454C"/>
    <w:rsid w:val="00D04A5E"/>
    <w:rsid w:val="00D051CA"/>
    <w:rsid w:val="00D05375"/>
    <w:rsid w:val="00D054E4"/>
    <w:rsid w:val="00D05616"/>
    <w:rsid w:val="00D05D38"/>
    <w:rsid w:val="00D061CC"/>
    <w:rsid w:val="00D07364"/>
    <w:rsid w:val="00D07B4E"/>
    <w:rsid w:val="00D10253"/>
    <w:rsid w:val="00D10498"/>
    <w:rsid w:val="00D105BC"/>
    <w:rsid w:val="00D105F5"/>
    <w:rsid w:val="00D107F3"/>
    <w:rsid w:val="00D10E95"/>
    <w:rsid w:val="00D1122F"/>
    <w:rsid w:val="00D115E0"/>
    <w:rsid w:val="00D1192A"/>
    <w:rsid w:val="00D11C2A"/>
    <w:rsid w:val="00D11D0F"/>
    <w:rsid w:val="00D1203D"/>
    <w:rsid w:val="00D121D5"/>
    <w:rsid w:val="00D121E7"/>
    <w:rsid w:val="00D12243"/>
    <w:rsid w:val="00D1231C"/>
    <w:rsid w:val="00D126CB"/>
    <w:rsid w:val="00D12BC8"/>
    <w:rsid w:val="00D13551"/>
    <w:rsid w:val="00D13626"/>
    <w:rsid w:val="00D14010"/>
    <w:rsid w:val="00D14171"/>
    <w:rsid w:val="00D14C04"/>
    <w:rsid w:val="00D14F5D"/>
    <w:rsid w:val="00D1513B"/>
    <w:rsid w:val="00D15293"/>
    <w:rsid w:val="00D15E34"/>
    <w:rsid w:val="00D15ED8"/>
    <w:rsid w:val="00D165C8"/>
    <w:rsid w:val="00D16614"/>
    <w:rsid w:val="00D168F5"/>
    <w:rsid w:val="00D16E6D"/>
    <w:rsid w:val="00D172EB"/>
    <w:rsid w:val="00D174BB"/>
    <w:rsid w:val="00D17616"/>
    <w:rsid w:val="00D2091E"/>
    <w:rsid w:val="00D209B0"/>
    <w:rsid w:val="00D21135"/>
    <w:rsid w:val="00D2152E"/>
    <w:rsid w:val="00D21E0B"/>
    <w:rsid w:val="00D21FDF"/>
    <w:rsid w:val="00D2222A"/>
    <w:rsid w:val="00D222C4"/>
    <w:rsid w:val="00D224C7"/>
    <w:rsid w:val="00D22AD0"/>
    <w:rsid w:val="00D22E72"/>
    <w:rsid w:val="00D23437"/>
    <w:rsid w:val="00D23EEE"/>
    <w:rsid w:val="00D23F15"/>
    <w:rsid w:val="00D23F5A"/>
    <w:rsid w:val="00D24025"/>
    <w:rsid w:val="00D24083"/>
    <w:rsid w:val="00D24183"/>
    <w:rsid w:val="00D2466B"/>
    <w:rsid w:val="00D249C6"/>
    <w:rsid w:val="00D24D0E"/>
    <w:rsid w:val="00D24D77"/>
    <w:rsid w:val="00D24E6E"/>
    <w:rsid w:val="00D250D0"/>
    <w:rsid w:val="00D2513C"/>
    <w:rsid w:val="00D25343"/>
    <w:rsid w:val="00D25599"/>
    <w:rsid w:val="00D25756"/>
    <w:rsid w:val="00D25AB0"/>
    <w:rsid w:val="00D25DEF"/>
    <w:rsid w:val="00D267C3"/>
    <w:rsid w:val="00D269E0"/>
    <w:rsid w:val="00D26B5F"/>
    <w:rsid w:val="00D2756B"/>
    <w:rsid w:val="00D27DCE"/>
    <w:rsid w:val="00D27E06"/>
    <w:rsid w:val="00D3032E"/>
    <w:rsid w:val="00D3039E"/>
    <w:rsid w:val="00D30956"/>
    <w:rsid w:val="00D30C1E"/>
    <w:rsid w:val="00D30CD2"/>
    <w:rsid w:val="00D30D5E"/>
    <w:rsid w:val="00D31456"/>
    <w:rsid w:val="00D31A53"/>
    <w:rsid w:val="00D31ABE"/>
    <w:rsid w:val="00D32095"/>
    <w:rsid w:val="00D32321"/>
    <w:rsid w:val="00D3269D"/>
    <w:rsid w:val="00D328E1"/>
    <w:rsid w:val="00D3323A"/>
    <w:rsid w:val="00D33493"/>
    <w:rsid w:val="00D3382F"/>
    <w:rsid w:val="00D33BDC"/>
    <w:rsid w:val="00D3400A"/>
    <w:rsid w:val="00D349F0"/>
    <w:rsid w:val="00D34BC4"/>
    <w:rsid w:val="00D3508C"/>
    <w:rsid w:val="00D35242"/>
    <w:rsid w:val="00D357E3"/>
    <w:rsid w:val="00D359A6"/>
    <w:rsid w:val="00D366DB"/>
    <w:rsid w:val="00D36F78"/>
    <w:rsid w:val="00D371E1"/>
    <w:rsid w:val="00D3728F"/>
    <w:rsid w:val="00D3735E"/>
    <w:rsid w:val="00D374E5"/>
    <w:rsid w:val="00D37903"/>
    <w:rsid w:val="00D4033F"/>
    <w:rsid w:val="00D40818"/>
    <w:rsid w:val="00D4143A"/>
    <w:rsid w:val="00D41DC4"/>
    <w:rsid w:val="00D422DB"/>
    <w:rsid w:val="00D42B74"/>
    <w:rsid w:val="00D42D4E"/>
    <w:rsid w:val="00D432C2"/>
    <w:rsid w:val="00D432DE"/>
    <w:rsid w:val="00D43C74"/>
    <w:rsid w:val="00D446FB"/>
    <w:rsid w:val="00D44B26"/>
    <w:rsid w:val="00D44EF2"/>
    <w:rsid w:val="00D45004"/>
    <w:rsid w:val="00D45067"/>
    <w:rsid w:val="00D4558D"/>
    <w:rsid w:val="00D459B9"/>
    <w:rsid w:val="00D461F0"/>
    <w:rsid w:val="00D468EA"/>
    <w:rsid w:val="00D46BC2"/>
    <w:rsid w:val="00D46DC0"/>
    <w:rsid w:val="00D46ECB"/>
    <w:rsid w:val="00D47160"/>
    <w:rsid w:val="00D47964"/>
    <w:rsid w:val="00D479A1"/>
    <w:rsid w:val="00D47A6F"/>
    <w:rsid w:val="00D47B3C"/>
    <w:rsid w:val="00D501C6"/>
    <w:rsid w:val="00D508BB"/>
    <w:rsid w:val="00D5091C"/>
    <w:rsid w:val="00D50AC3"/>
    <w:rsid w:val="00D50F7D"/>
    <w:rsid w:val="00D51287"/>
    <w:rsid w:val="00D5136A"/>
    <w:rsid w:val="00D51448"/>
    <w:rsid w:val="00D51580"/>
    <w:rsid w:val="00D51CFE"/>
    <w:rsid w:val="00D51DFA"/>
    <w:rsid w:val="00D51F86"/>
    <w:rsid w:val="00D52543"/>
    <w:rsid w:val="00D53333"/>
    <w:rsid w:val="00D533CF"/>
    <w:rsid w:val="00D534B5"/>
    <w:rsid w:val="00D53932"/>
    <w:rsid w:val="00D540DD"/>
    <w:rsid w:val="00D5411E"/>
    <w:rsid w:val="00D5460B"/>
    <w:rsid w:val="00D54771"/>
    <w:rsid w:val="00D55076"/>
    <w:rsid w:val="00D55401"/>
    <w:rsid w:val="00D5546A"/>
    <w:rsid w:val="00D55523"/>
    <w:rsid w:val="00D55978"/>
    <w:rsid w:val="00D55AED"/>
    <w:rsid w:val="00D55B6F"/>
    <w:rsid w:val="00D55B90"/>
    <w:rsid w:val="00D56071"/>
    <w:rsid w:val="00D56146"/>
    <w:rsid w:val="00D5663C"/>
    <w:rsid w:val="00D56848"/>
    <w:rsid w:val="00D56BAC"/>
    <w:rsid w:val="00D5738C"/>
    <w:rsid w:val="00D577F8"/>
    <w:rsid w:val="00D57B27"/>
    <w:rsid w:val="00D57EE6"/>
    <w:rsid w:val="00D6008B"/>
    <w:rsid w:val="00D600C9"/>
    <w:rsid w:val="00D606E1"/>
    <w:rsid w:val="00D6080A"/>
    <w:rsid w:val="00D60B35"/>
    <w:rsid w:val="00D611EC"/>
    <w:rsid w:val="00D6124A"/>
    <w:rsid w:val="00D61FA0"/>
    <w:rsid w:val="00D62337"/>
    <w:rsid w:val="00D6260A"/>
    <w:rsid w:val="00D62A65"/>
    <w:rsid w:val="00D62A96"/>
    <w:rsid w:val="00D6312C"/>
    <w:rsid w:val="00D63364"/>
    <w:rsid w:val="00D6355C"/>
    <w:rsid w:val="00D6358F"/>
    <w:rsid w:val="00D63C68"/>
    <w:rsid w:val="00D63D8B"/>
    <w:rsid w:val="00D6449C"/>
    <w:rsid w:val="00D64A38"/>
    <w:rsid w:val="00D64CED"/>
    <w:rsid w:val="00D65416"/>
    <w:rsid w:val="00D655B7"/>
    <w:rsid w:val="00D656E9"/>
    <w:rsid w:val="00D658D1"/>
    <w:rsid w:val="00D662CE"/>
    <w:rsid w:val="00D66520"/>
    <w:rsid w:val="00D66854"/>
    <w:rsid w:val="00D66EA1"/>
    <w:rsid w:val="00D672C8"/>
    <w:rsid w:val="00D675F7"/>
    <w:rsid w:val="00D700C9"/>
    <w:rsid w:val="00D70624"/>
    <w:rsid w:val="00D70772"/>
    <w:rsid w:val="00D70CEB"/>
    <w:rsid w:val="00D70FEF"/>
    <w:rsid w:val="00D71372"/>
    <w:rsid w:val="00D71799"/>
    <w:rsid w:val="00D71B7F"/>
    <w:rsid w:val="00D71D18"/>
    <w:rsid w:val="00D71F23"/>
    <w:rsid w:val="00D721AE"/>
    <w:rsid w:val="00D724EE"/>
    <w:rsid w:val="00D72592"/>
    <w:rsid w:val="00D7263B"/>
    <w:rsid w:val="00D728A6"/>
    <w:rsid w:val="00D72FE6"/>
    <w:rsid w:val="00D73175"/>
    <w:rsid w:val="00D73223"/>
    <w:rsid w:val="00D73239"/>
    <w:rsid w:val="00D73B74"/>
    <w:rsid w:val="00D73E26"/>
    <w:rsid w:val="00D74688"/>
    <w:rsid w:val="00D74CC7"/>
    <w:rsid w:val="00D74DAE"/>
    <w:rsid w:val="00D75156"/>
    <w:rsid w:val="00D75588"/>
    <w:rsid w:val="00D75DB5"/>
    <w:rsid w:val="00D76106"/>
    <w:rsid w:val="00D76904"/>
    <w:rsid w:val="00D76B07"/>
    <w:rsid w:val="00D76C75"/>
    <w:rsid w:val="00D77105"/>
    <w:rsid w:val="00D7718F"/>
    <w:rsid w:val="00D771DB"/>
    <w:rsid w:val="00D773DB"/>
    <w:rsid w:val="00D77551"/>
    <w:rsid w:val="00D77C7F"/>
    <w:rsid w:val="00D77CFA"/>
    <w:rsid w:val="00D80182"/>
    <w:rsid w:val="00D80759"/>
    <w:rsid w:val="00D8117D"/>
    <w:rsid w:val="00D81516"/>
    <w:rsid w:val="00D816B7"/>
    <w:rsid w:val="00D81E43"/>
    <w:rsid w:val="00D82168"/>
    <w:rsid w:val="00D825AE"/>
    <w:rsid w:val="00D828A8"/>
    <w:rsid w:val="00D82DE0"/>
    <w:rsid w:val="00D833BD"/>
    <w:rsid w:val="00D83880"/>
    <w:rsid w:val="00D83B7A"/>
    <w:rsid w:val="00D83DB8"/>
    <w:rsid w:val="00D8413A"/>
    <w:rsid w:val="00D844A5"/>
    <w:rsid w:val="00D84B10"/>
    <w:rsid w:val="00D84B2F"/>
    <w:rsid w:val="00D853F2"/>
    <w:rsid w:val="00D86159"/>
    <w:rsid w:val="00D8652B"/>
    <w:rsid w:val="00D86674"/>
    <w:rsid w:val="00D866D7"/>
    <w:rsid w:val="00D86FB3"/>
    <w:rsid w:val="00D875B7"/>
    <w:rsid w:val="00D87C46"/>
    <w:rsid w:val="00D87EDA"/>
    <w:rsid w:val="00D90171"/>
    <w:rsid w:val="00D90382"/>
    <w:rsid w:val="00D90754"/>
    <w:rsid w:val="00D9094A"/>
    <w:rsid w:val="00D90E3C"/>
    <w:rsid w:val="00D90FEE"/>
    <w:rsid w:val="00D91085"/>
    <w:rsid w:val="00D917C0"/>
    <w:rsid w:val="00D91C05"/>
    <w:rsid w:val="00D91F9D"/>
    <w:rsid w:val="00D9226D"/>
    <w:rsid w:val="00D92412"/>
    <w:rsid w:val="00D924A0"/>
    <w:rsid w:val="00D92A0C"/>
    <w:rsid w:val="00D92D63"/>
    <w:rsid w:val="00D932C2"/>
    <w:rsid w:val="00D93A9C"/>
    <w:rsid w:val="00D94468"/>
    <w:rsid w:val="00D94EA7"/>
    <w:rsid w:val="00D958E9"/>
    <w:rsid w:val="00D95E07"/>
    <w:rsid w:val="00D965F1"/>
    <w:rsid w:val="00D9693E"/>
    <w:rsid w:val="00D96981"/>
    <w:rsid w:val="00D96B00"/>
    <w:rsid w:val="00D97065"/>
    <w:rsid w:val="00D97C87"/>
    <w:rsid w:val="00D97DF9"/>
    <w:rsid w:val="00D97FBD"/>
    <w:rsid w:val="00DA02EC"/>
    <w:rsid w:val="00DA06C6"/>
    <w:rsid w:val="00DA0BBA"/>
    <w:rsid w:val="00DA117D"/>
    <w:rsid w:val="00DA12F1"/>
    <w:rsid w:val="00DA1700"/>
    <w:rsid w:val="00DA192C"/>
    <w:rsid w:val="00DA1C85"/>
    <w:rsid w:val="00DA1D98"/>
    <w:rsid w:val="00DA1F91"/>
    <w:rsid w:val="00DA2922"/>
    <w:rsid w:val="00DA2AAE"/>
    <w:rsid w:val="00DA3E98"/>
    <w:rsid w:val="00DA3F37"/>
    <w:rsid w:val="00DA3F73"/>
    <w:rsid w:val="00DA3FEE"/>
    <w:rsid w:val="00DA47D2"/>
    <w:rsid w:val="00DA4989"/>
    <w:rsid w:val="00DA4BF8"/>
    <w:rsid w:val="00DA5282"/>
    <w:rsid w:val="00DA5ABF"/>
    <w:rsid w:val="00DA5C25"/>
    <w:rsid w:val="00DA60A5"/>
    <w:rsid w:val="00DA6BED"/>
    <w:rsid w:val="00DA7570"/>
    <w:rsid w:val="00DA769C"/>
    <w:rsid w:val="00DA79A8"/>
    <w:rsid w:val="00DA7D98"/>
    <w:rsid w:val="00DA7E26"/>
    <w:rsid w:val="00DB0125"/>
    <w:rsid w:val="00DB055A"/>
    <w:rsid w:val="00DB0B8A"/>
    <w:rsid w:val="00DB0C73"/>
    <w:rsid w:val="00DB0D98"/>
    <w:rsid w:val="00DB1394"/>
    <w:rsid w:val="00DB1501"/>
    <w:rsid w:val="00DB17A2"/>
    <w:rsid w:val="00DB18D1"/>
    <w:rsid w:val="00DB1B57"/>
    <w:rsid w:val="00DB1BE3"/>
    <w:rsid w:val="00DB2287"/>
    <w:rsid w:val="00DB2529"/>
    <w:rsid w:val="00DB2C20"/>
    <w:rsid w:val="00DB3E60"/>
    <w:rsid w:val="00DB3F92"/>
    <w:rsid w:val="00DB41EF"/>
    <w:rsid w:val="00DB43C0"/>
    <w:rsid w:val="00DB454E"/>
    <w:rsid w:val="00DB49CB"/>
    <w:rsid w:val="00DB4A12"/>
    <w:rsid w:val="00DB543C"/>
    <w:rsid w:val="00DB5BE0"/>
    <w:rsid w:val="00DB5C95"/>
    <w:rsid w:val="00DB6059"/>
    <w:rsid w:val="00DB6478"/>
    <w:rsid w:val="00DB649E"/>
    <w:rsid w:val="00DB6567"/>
    <w:rsid w:val="00DB670D"/>
    <w:rsid w:val="00DB692B"/>
    <w:rsid w:val="00DB71D6"/>
    <w:rsid w:val="00DB74E9"/>
    <w:rsid w:val="00DB774E"/>
    <w:rsid w:val="00DB7AAB"/>
    <w:rsid w:val="00DB7B2D"/>
    <w:rsid w:val="00DC05E0"/>
    <w:rsid w:val="00DC061F"/>
    <w:rsid w:val="00DC185D"/>
    <w:rsid w:val="00DC1CBD"/>
    <w:rsid w:val="00DC1FFA"/>
    <w:rsid w:val="00DC244C"/>
    <w:rsid w:val="00DC2540"/>
    <w:rsid w:val="00DC2B57"/>
    <w:rsid w:val="00DC2E45"/>
    <w:rsid w:val="00DC2E96"/>
    <w:rsid w:val="00DC3644"/>
    <w:rsid w:val="00DC3C13"/>
    <w:rsid w:val="00DC3C41"/>
    <w:rsid w:val="00DC3E38"/>
    <w:rsid w:val="00DC445C"/>
    <w:rsid w:val="00DC4885"/>
    <w:rsid w:val="00DC4BB7"/>
    <w:rsid w:val="00DC4C71"/>
    <w:rsid w:val="00DC4E0C"/>
    <w:rsid w:val="00DC4F07"/>
    <w:rsid w:val="00DC515D"/>
    <w:rsid w:val="00DC5392"/>
    <w:rsid w:val="00DC583E"/>
    <w:rsid w:val="00DC5EAD"/>
    <w:rsid w:val="00DC5F33"/>
    <w:rsid w:val="00DC6B2F"/>
    <w:rsid w:val="00DC6C64"/>
    <w:rsid w:val="00DC6E38"/>
    <w:rsid w:val="00DC765B"/>
    <w:rsid w:val="00DC7885"/>
    <w:rsid w:val="00DC7DDD"/>
    <w:rsid w:val="00DC7F3F"/>
    <w:rsid w:val="00DD0208"/>
    <w:rsid w:val="00DD09BC"/>
    <w:rsid w:val="00DD0AB1"/>
    <w:rsid w:val="00DD0EAD"/>
    <w:rsid w:val="00DD158C"/>
    <w:rsid w:val="00DD158D"/>
    <w:rsid w:val="00DD15B1"/>
    <w:rsid w:val="00DD15B2"/>
    <w:rsid w:val="00DD183D"/>
    <w:rsid w:val="00DD1951"/>
    <w:rsid w:val="00DD23FE"/>
    <w:rsid w:val="00DD253F"/>
    <w:rsid w:val="00DD2541"/>
    <w:rsid w:val="00DD27E7"/>
    <w:rsid w:val="00DD2E49"/>
    <w:rsid w:val="00DD2ED6"/>
    <w:rsid w:val="00DD31D7"/>
    <w:rsid w:val="00DD35C7"/>
    <w:rsid w:val="00DD37E2"/>
    <w:rsid w:val="00DD3D69"/>
    <w:rsid w:val="00DD4036"/>
    <w:rsid w:val="00DD467A"/>
    <w:rsid w:val="00DD47A4"/>
    <w:rsid w:val="00DD4B9F"/>
    <w:rsid w:val="00DD4D65"/>
    <w:rsid w:val="00DD52F9"/>
    <w:rsid w:val="00DD57A1"/>
    <w:rsid w:val="00DD5855"/>
    <w:rsid w:val="00DD58BB"/>
    <w:rsid w:val="00DD5A0A"/>
    <w:rsid w:val="00DD5AA9"/>
    <w:rsid w:val="00DD6546"/>
    <w:rsid w:val="00DD6FC6"/>
    <w:rsid w:val="00DD70AC"/>
    <w:rsid w:val="00DE02DA"/>
    <w:rsid w:val="00DE031A"/>
    <w:rsid w:val="00DE0E0F"/>
    <w:rsid w:val="00DE10CC"/>
    <w:rsid w:val="00DE1A0D"/>
    <w:rsid w:val="00DE1B33"/>
    <w:rsid w:val="00DE1EA5"/>
    <w:rsid w:val="00DE2006"/>
    <w:rsid w:val="00DE22E1"/>
    <w:rsid w:val="00DE2810"/>
    <w:rsid w:val="00DE2947"/>
    <w:rsid w:val="00DE3565"/>
    <w:rsid w:val="00DE3F89"/>
    <w:rsid w:val="00DE4304"/>
    <w:rsid w:val="00DE4576"/>
    <w:rsid w:val="00DE4602"/>
    <w:rsid w:val="00DE482F"/>
    <w:rsid w:val="00DE4B66"/>
    <w:rsid w:val="00DE50C9"/>
    <w:rsid w:val="00DE56F6"/>
    <w:rsid w:val="00DE59F4"/>
    <w:rsid w:val="00DE5D9A"/>
    <w:rsid w:val="00DE5EE8"/>
    <w:rsid w:val="00DE6195"/>
    <w:rsid w:val="00DE6214"/>
    <w:rsid w:val="00DE63CA"/>
    <w:rsid w:val="00DE6745"/>
    <w:rsid w:val="00DE6AEE"/>
    <w:rsid w:val="00DE74DF"/>
    <w:rsid w:val="00DE7665"/>
    <w:rsid w:val="00DF0256"/>
    <w:rsid w:val="00DF0432"/>
    <w:rsid w:val="00DF07F4"/>
    <w:rsid w:val="00DF0C69"/>
    <w:rsid w:val="00DF12A8"/>
    <w:rsid w:val="00DF1318"/>
    <w:rsid w:val="00DF1720"/>
    <w:rsid w:val="00DF1DB7"/>
    <w:rsid w:val="00DF24F8"/>
    <w:rsid w:val="00DF33B9"/>
    <w:rsid w:val="00DF3AAE"/>
    <w:rsid w:val="00DF3B52"/>
    <w:rsid w:val="00DF415E"/>
    <w:rsid w:val="00DF451A"/>
    <w:rsid w:val="00DF4625"/>
    <w:rsid w:val="00DF48A2"/>
    <w:rsid w:val="00DF4FC1"/>
    <w:rsid w:val="00DF58E2"/>
    <w:rsid w:val="00DF5D72"/>
    <w:rsid w:val="00DF64A9"/>
    <w:rsid w:val="00DF6607"/>
    <w:rsid w:val="00DF6A29"/>
    <w:rsid w:val="00DF7157"/>
    <w:rsid w:val="00DF722F"/>
    <w:rsid w:val="00DF7688"/>
    <w:rsid w:val="00E00372"/>
    <w:rsid w:val="00E0048D"/>
    <w:rsid w:val="00E011EC"/>
    <w:rsid w:val="00E013E5"/>
    <w:rsid w:val="00E016BB"/>
    <w:rsid w:val="00E0184F"/>
    <w:rsid w:val="00E01950"/>
    <w:rsid w:val="00E026DA"/>
    <w:rsid w:val="00E02A84"/>
    <w:rsid w:val="00E02EC4"/>
    <w:rsid w:val="00E03030"/>
    <w:rsid w:val="00E034EA"/>
    <w:rsid w:val="00E036E9"/>
    <w:rsid w:val="00E0385D"/>
    <w:rsid w:val="00E038CF"/>
    <w:rsid w:val="00E038F7"/>
    <w:rsid w:val="00E03DCB"/>
    <w:rsid w:val="00E0416A"/>
    <w:rsid w:val="00E04185"/>
    <w:rsid w:val="00E043A1"/>
    <w:rsid w:val="00E045A2"/>
    <w:rsid w:val="00E0464F"/>
    <w:rsid w:val="00E046CA"/>
    <w:rsid w:val="00E04C4F"/>
    <w:rsid w:val="00E06109"/>
    <w:rsid w:val="00E063CF"/>
    <w:rsid w:val="00E06522"/>
    <w:rsid w:val="00E06563"/>
    <w:rsid w:val="00E0664B"/>
    <w:rsid w:val="00E06D99"/>
    <w:rsid w:val="00E07543"/>
    <w:rsid w:val="00E07572"/>
    <w:rsid w:val="00E07727"/>
    <w:rsid w:val="00E07A40"/>
    <w:rsid w:val="00E100D3"/>
    <w:rsid w:val="00E101CF"/>
    <w:rsid w:val="00E103AF"/>
    <w:rsid w:val="00E10B0E"/>
    <w:rsid w:val="00E117DF"/>
    <w:rsid w:val="00E118BF"/>
    <w:rsid w:val="00E11956"/>
    <w:rsid w:val="00E119B4"/>
    <w:rsid w:val="00E11F73"/>
    <w:rsid w:val="00E12A2C"/>
    <w:rsid w:val="00E12FC8"/>
    <w:rsid w:val="00E1338C"/>
    <w:rsid w:val="00E1346E"/>
    <w:rsid w:val="00E13473"/>
    <w:rsid w:val="00E14037"/>
    <w:rsid w:val="00E14078"/>
    <w:rsid w:val="00E1411E"/>
    <w:rsid w:val="00E14195"/>
    <w:rsid w:val="00E143FA"/>
    <w:rsid w:val="00E1442F"/>
    <w:rsid w:val="00E14C82"/>
    <w:rsid w:val="00E1571D"/>
    <w:rsid w:val="00E15D50"/>
    <w:rsid w:val="00E15E9D"/>
    <w:rsid w:val="00E15F83"/>
    <w:rsid w:val="00E16302"/>
    <w:rsid w:val="00E166B2"/>
    <w:rsid w:val="00E166D3"/>
    <w:rsid w:val="00E16F5E"/>
    <w:rsid w:val="00E171D4"/>
    <w:rsid w:val="00E172D7"/>
    <w:rsid w:val="00E17B90"/>
    <w:rsid w:val="00E20241"/>
    <w:rsid w:val="00E20368"/>
    <w:rsid w:val="00E2098B"/>
    <w:rsid w:val="00E20B38"/>
    <w:rsid w:val="00E2119B"/>
    <w:rsid w:val="00E217BC"/>
    <w:rsid w:val="00E21CD6"/>
    <w:rsid w:val="00E21E7E"/>
    <w:rsid w:val="00E2212A"/>
    <w:rsid w:val="00E22883"/>
    <w:rsid w:val="00E2362C"/>
    <w:rsid w:val="00E238C1"/>
    <w:rsid w:val="00E23A38"/>
    <w:rsid w:val="00E23B83"/>
    <w:rsid w:val="00E24007"/>
    <w:rsid w:val="00E2464C"/>
    <w:rsid w:val="00E2478E"/>
    <w:rsid w:val="00E24D6E"/>
    <w:rsid w:val="00E24E86"/>
    <w:rsid w:val="00E258BD"/>
    <w:rsid w:val="00E25EF7"/>
    <w:rsid w:val="00E268ED"/>
    <w:rsid w:val="00E26DEE"/>
    <w:rsid w:val="00E2700C"/>
    <w:rsid w:val="00E27410"/>
    <w:rsid w:val="00E277FF"/>
    <w:rsid w:val="00E27971"/>
    <w:rsid w:val="00E27B45"/>
    <w:rsid w:val="00E30122"/>
    <w:rsid w:val="00E30427"/>
    <w:rsid w:val="00E30734"/>
    <w:rsid w:val="00E30865"/>
    <w:rsid w:val="00E3095F"/>
    <w:rsid w:val="00E30B68"/>
    <w:rsid w:val="00E31107"/>
    <w:rsid w:val="00E31B2C"/>
    <w:rsid w:val="00E31BE2"/>
    <w:rsid w:val="00E3216C"/>
    <w:rsid w:val="00E3238A"/>
    <w:rsid w:val="00E324D7"/>
    <w:rsid w:val="00E327D1"/>
    <w:rsid w:val="00E32BA7"/>
    <w:rsid w:val="00E32E84"/>
    <w:rsid w:val="00E334A3"/>
    <w:rsid w:val="00E33AA5"/>
    <w:rsid w:val="00E33C90"/>
    <w:rsid w:val="00E33CCA"/>
    <w:rsid w:val="00E33DAE"/>
    <w:rsid w:val="00E33DFA"/>
    <w:rsid w:val="00E343F6"/>
    <w:rsid w:val="00E34CF7"/>
    <w:rsid w:val="00E35250"/>
    <w:rsid w:val="00E352C3"/>
    <w:rsid w:val="00E35592"/>
    <w:rsid w:val="00E35A44"/>
    <w:rsid w:val="00E35BF2"/>
    <w:rsid w:val="00E35E7A"/>
    <w:rsid w:val="00E361B0"/>
    <w:rsid w:val="00E366AF"/>
    <w:rsid w:val="00E36ED5"/>
    <w:rsid w:val="00E373A3"/>
    <w:rsid w:val="00E377D8"/>
    <w:rsid w:val="00E37E74"/>
    <w:rsid w:val="00E4043D"/>
    <w:rsid w:val="00E404C8"/>
    <w:rsid w:val="00E40860"/>
    <w:rsid w:val="00E40A43"/>
    <w:rsid w:val="00E40BD1"/>
    <w:rsid w:val="00E40D25"/>
    <w:rsid w:val="00E41145"/>
    <w:rsid w:val="00E41A31"/>
    <w:rsid w:val="00E42020"/>
    <w:rsid w:val="00E420E3"/>
    <w:rsid w:val="00E42331"/>
    <w:rsid w:val="00E42E7C"/>
    <w:rsid w:val="00E42FFA"/>
    <w:rsid w:val="00E4399B"/>
    <w:rsid w:val="00E444A1"/>
    <w:rsid w:val="00E444C5"/>
    <w:rsid w:val="00E44D9A"/>
    <w:rsid w:val="00E45083"/>
    <w:rsid w:val="00E4569C"/>
    <w:rsid w:val="00E45811"/>
    <w:rsid w:val="00E45AA8"/>
    <w:rsid w:val="00E45C0D"/>
    <w:rsid w:val="00E45E46"/>
    <w:rsid w:val="00E45F62"/>
    <w:rsid w:val="00E45FEB"/>
    <w:rsid w:val="00E46C46"/>
    <w:rsid w:val="00E4775F"/>
    <w:rsid w:val="00E477A6"/>
    <w:rsid w:val="00E477F3"/>
    <w:rsid w:val="00E503D8"/>
    <w:rsid w:val="00E505DF"/>
    <w:rsid w:val="00E50CE1"/>
    <w:rsid w:val="00E51544"/>
    <w:rsid w:val="00E51AF4"/>
    <w:rsid w:val="00E51F77"/>
    <w:rsid w:val="00E52200"/>
    <w:rsid w:val="00E52417"/>
    <w:rsid w:val="00E52445"/>
    <w:rsid w:val="00E52530"/>
    <w:rsid w:val="00E5267D"/>
    <w:rsid w:val="00E52735"/>
    <w:rsid w:val="00E52A5E"/>
    <w:rsid w:val="00E531A5"/>
    <w:rsid w:val="00E53422"/>
    <w:rsid w:val="00E53631"/>
    <w:rsid w:val="00E53698"/>
    <w:rsid w:val="00E53DC6"/>
    <w:rsid w:val="00E53FDB"/>
    <w:rsid w:val="00E5409C"/>
    <w:rsid w:val="00E5410B"/>
    <w:rsid w:val="00E544F5"/>
    <w:rsid w:val="00E545AA"/>
    <w:rsid w:val="00E54D2E"/>
    <w:rsid w:val="00E54D34"/>
    <w:rsid w:val="00E55646"/>
    <w:rsid w:val="00E5572D"/>
    <w:rsid w:val="00E55B79"/>
    <w:rsid w:val="00E55D74"/>
    <w:rsid w:val="00E56579"/>
    <w:rsid w:val="00E56A4A"/>
    <w:rsid w:val="00E56CA0"/>
    <w:rsid w:val="00E56D32"/>
    <w:rsid w:val="00E56DB1"/>
    <w:rsid w:val="00E570F3"/>
    <w:rsid w:val="00E57104"/>
    <w:rsid w:val="00E571AF"/>
    <w:rsid w:val="00E57491"/>
    <w:rsid w:val="00E5783E"/>
    <w:rsid w:val="00E57B4F"/>
    <w:rsid w:val="00E6012C"/>
    <w:rsid w:val="00E602AE"/>
    <w:rsid w:val="00E60723"/>
    <w:rsid w:val="00E60AC1"/>
    <w:rsid w:val="00E61001"/>
    <w:rsid w:val="00E623A2"/>
    <w:rsid w:val="00E625D2"/>
    <w:rsid w:val="00E628C0"/>
    <w:rsid w:val="00E629D7"/>
    <w:rsid w:val="00E63111"/>
    <w:rsid w:val="00E631EB"/>
    <w:rsid w:val="00E63504"/>
    <w:rsid w:val="00E6399C"/>
    <w:rsid w:val="00E63A5C"/>
    <w:rsid w:val="00E63DA5"/>
    <w:rsid w:val="00E63E44"/>
    <w:rsid w:val="00E6405A"/>
    <w:rsid w:val="00E641D9"/>
    <w:rsid w:val="00E6454C"/>
    <w:rsid w:val="00E64D2F"/>
    <w:rsid w:val="00E64E39"/>
    <w:rsid w:val="00E64F1B"/>
    <w:rsid w:val="00E65138"/>
    <w:rsid w:val="00E663F6"/>
    <w:rsid w:val="00E66530"/>
    <w:rsid w:val="00E66561"/>
    <w:rsid w:val="00E66582"/>
    <w:rsid w:val="00E668D5"/>
    <w:rsid w:val="00E66D0C"/>
    <w:rsid w:val="00E7009F"/>
    <w:rsid w:val="00E708E0"/>
    <w:rsid w:val="00E717A4"/>
    <w:rsid w:val="00E717AE"/>
    <w:rsid w:val="00E71832"/>
    <w:rsid w:val="00E71877"/>
    <w:rsid w:val="00E71D41"/>
    <w:rsid w:val="00E71EF4"/>
    <w:rsid w:val="00E720F9"/>
    <w:rsid w:val="00E725F0"/>
    <w:rsid w:val="00E726F7"/>
    <w:rsid w:val="00E72A21"/>
    <w:rsid w:val="00E72E75"/>
    <w:rsid w:val="00E7345C"/>
    <w:rsid w:val="00E734DF"/>
    <w:rsid w:val="00E73606"/>
    <w:rsid w:val="00E73612"/>
    <w:rsid w:val="00E73AFE"/>
    <w:rsid w:val="00E73E86"/>
    <w:rsid w:val="00E73EE5"/>
    <w:rsid w:val="00E74234"/>
    <w:rsid w:val="00E74403"/>
    <w:rsid w:val="00E74717"/>
    <w:rsid w:val="00E74C14"/>
    <w:rsid w:val="00E757F9"/>
    <w:rsid w:val="00E76747"/>
    <w:rsid w:val="00E76DB9"/>
    <w:rsid w:val="00E771CC"/>
    <w:rsid w:val="00E77FA3"/>
    <w:rsid w:val="00E8050A"/>
    <w:rsid w:val="00E80A02"/>
    <w:rsid w:val="00E80EA2"/>
    <w:rsid w:val="00E80FF3"/>
    <w:rsid w:val="00E81303"/>
    <w:rsid w:val="00E819E5"/>
    <w:rsid w:val="00E821C8"/>
    <w:rsid w:val="00E821D6"/>
    <w:rsid w:val="00E82FD1"/>
    <w:rsid w:val="00E8325C"/>
    <w:rsid w:val="00E834AD"/>
    <w:rsid w:val="00E83AD4"/>
    <w:rsid w:val="00E83EA5"/>
    <w:rsid w:val="00E84386"/>
    <w:rsid w:val="00E84CC3"/>
    <w:rsid w:val="00E85104"/>
    <w:rsid w:val="00E85554"/>
    <w:rsid w:val="00E859DE"/>
    <w:rsid w:val="00E85F8C"/>
    <w:rsid w:val="00E86293"/>
    <w:rsid w:val="00E86389"/>
    <w:rsid w:val="00E86557"/>
    <w:rsid w:val="00E8734A"/>
    <w:rsid w:val="00E874FA"/>
    <w:rsid w:val="00E87537"/>
    <w:rsid w:val="00E87652"/>
    <w:rsid w:val="00E87944"/>
    <w:rsid w:val="00E87C61"/>
    <w:rsid w:val="00E87C84"/>
    <w:rsid w:val="00E90135"/>
    <w:rsid w:val="00E90255"/>
    <w:rsid w:val="00E902D2"/>
    <w:rsid w:val="00E90F56"/>
    <w:rsid w:val="00E91731"/>
    <w:rsid w:val="00E922E4"/>
    <w:rsid w:val="00E92DEA"/>
    <w:rsid w:val="00E93E90"/>
    <w:rsid w:val="00E93F39"/>
    <w:rsid w:val="00E93FC6"/>
    <w:rsid w:val="00E95523"/>
    <w:rsid w:val="00E957C8"/>
    <w:rsid w:val="00E95942"/>
    <w:rsid w:val="00E9703B"/>
    <w:rsid w:val="00E97063"/>
    <w:rsid w:val="00E974BD"/>
    <w:rsid w:val="00E97BC5"/>
    <w:rsid w:val="00E97E4F"/>
    <w:rsid w:val="00EA01B9"/>
    <w:rsid w:val="00EA02C1"/>
    <w:rsid w:val="00EA0482"/>
    <w:rsid w:val="00EA0706"/>
    <w:rsid w:val="00EA07A8"/>
    <w:rsid w:val="00EA0B01"/>
    <w:rsid w:val="00EA1472"/>
    <w:rsid w:val="00EA251A"/>
    <w:rsid w:val="00EA25C6"/>
    <w:rsid w:val="00EA2B27"/>
    <w:rsid w:val="00EA2CBE"/>
    <w:rsid w:val="00EA2F83"/>
    <w:rsid w:val="00EA32C3"/>
    <w:rsid w:val="00EA39BF"/>
    <w:rsid w:val="00EA4412"/>
    <w:rsid w:val="00EA4671"/>
    <w:rsid w:val="00EA4A23"/>
    <w:rsid w:val="00EA4A3E"/>
    <w:rsid w:val="00EA4D91"/>
    <w:rsid w:val="00EA52D2"/>
    <w:rsid w:val="00EA546B"/>
    <w:rsid w:val="00EA5890"/>
    <w:rsid w:val="00EA5B8D"/>
    <w:rsid w:val="00EA5DFA"/>
    <w:rsid w:val="00EA5F34"/>
    <w:rsid w:val="00EA63CE"/>
    <w:rsid w:val="00EA6677"/>
    <w:rsid w:val="00EA66E3"/>
    <w:rsid w:val="00EA6750"/>
    <w:rsid w:val="00EA74F0"/>
    <w:rsid w:val="00EA7538"/>
    <w:rsid w:val="00EA75DB"/>
    <w:rsid w:val="00EA782A"/>
    <w:rsid w:val="00EB01C2"/>
    <w:rsid w:val="00EB021C"/>
    <w:rsid w:val="00EB05F4"/>
    <w:rsid w:val="00EB0653"/>
    <w:rsid w:val="00EB0859"/>
    <w:rsid w:val="00EB09F4"/>
    <w:rsid w:val="00EB1115"/>
    <w:rsid w:val="00EB19A3"/>
    <w:rsid w:val="00EB1AB2"/>
    <w:rsid w:val="00EB1ACB"/>
    <w:rsid w:val="00EB20F7"/>
    <w:rsid w:val="00EB2551"/>
    <w:rsid w:val="00EB2642"/>
    <w:rsid w:val="00EB2BE2"/>
    <w:rsid w:val="00EB3334"/>
    <w:rsid w:val="00EB3C3E"/>
    <w:rsid w:val="00EB4694"/>
    <w:rsid w:val="00EB4776"/>
    <w:rsid w:val="00EB4C8C"/>
    <w:rsid w:val="00EB4D4B"/>
    <w:rsid w:val="00EB58D1"/>
    <w:rsid w:val="00EB5BFA"/>
    <w:rsid w:val="00EB5BFC"/>
    <w:rsid w:val="00EB5F6A"/>
    <w:rsid w:val="00EB6170"/>
    <w:rsid w:val="00EB61A7"/>
    <w:rsid w:val="00EB6A2A"/>
    <w:rsid w:val="00EB6C44"/>
    <w:rsid w:val="00EB6E0B"/>
    <w:rsid w:val="00EB6F99"/>
    <w:rsid w:val="00EB750F"/>
    <w:rsid w:val="00EB7594"/>
    <w:rsid w:val="00EB7980"/>
    <w:rsid w:val="00EB7D2D"/>
    <w:rsid w:val="00EC0300"/>
    <w:rsid w:val="00EC09F2"/>
    <w:rsid w:val="00EC118C"/>
    <w:rsid w:val="00EC1A57"/>
    <w:rsid w:val="00EC224E"/>
    <w:rsid w:val="00EC2568"/>
    <w:rsid w:val="00EC2E21"/>
    <w:rsid w:val="00EC30C5"/>
    <w:rsid w:val="00EC38EB"/>
    <w:rsid w:val="00EC4061"/>
    <w:rsid w:val="00EC40EB"/>
    <w:rsid w:val="00EC43E8"/>
    <w:rsid w:val="00EC4686"/>
    <w:rsid w:val="00EC47C1"/>
    <w:rsid w:val="00EC48C8"/>
    <w:rsid w:val="00EC4BDE"/>
    <w:rsid w:val="00EC4C63"/>
    <w:rsid w:val="00EC4D9C"/>
    <w:rsid w:val="00EC58F8"/>
    <w:rsid w:val="00EC5D87"/>
    <w:rsid w:val="00EC60D7"/>
    <w:rsid w:val="00EC6688"/>
    <w:rsid w:val="00EC694B"/>
    <w:rsid w:val="00EC6B44"/>
    <w:rsid w:val="00EC6BBF"/>
    <w:rsid w:val="00EC7188"/>
    <w:rsid w:val="00EC724C"/>
    <w:rsid w:val="00EC77CB"/>
    <w:rsid w:val="00ED0032"/>
    <w:rsid w:val="00ED03F4"/>
    <w:rsid w:val="00ED0839"/>
    <w:rsid w:val="00ED0A51"/>
    <w:rsid w:val="00ED0AE2"/>
    <w:rsid w:val="00ED0D5A"/>
    <w:rsid w:val="00ED0DD2"/>
    <w:rsid w:val="00ED11A9"/>
    <w:rsid w:val="00ED1BCD"/>
    <w:rsid w:val="00ED1C3B"/>
    <w:rsid w:val="00ED2ADC"/>
    <w:rsid w:val="00ED2F60"/>
    <w:rsid w:val="00ED346B"/>
    <w:rsid w:val="00ED3490"/>
    <w:rsid w:val="00ED3651"/>
    <w:rsid w:val="00ED3989"/>
    <w:rsid w:val="00ED449F"/>
    <w:rsid w:val="00ED4C26"/>
    <w:rsid w:val="00ED4D90"/>
    <w:rsid w:val="00ED5041"/>
    <w:rsid w:val="00ED505C"/>
    <w:rsid w:val="00ED537C"/>
    <w:rsid w:val="00ED56C4"/>
    <w:rsid w:val="00ED572A"/>
    <w:rsid w:val="00ED5D1D"/>
    <w:rsid w:val="00ED68AB"/>
    <w:rsid w:val="00ED6A96"/>
    <w:rsid w:val="00ED7149"/>
    <w:rsid w:val="00ED71F2"/>
    <w:rsid w:val="00ED7B4E"/>
    <w:rsid w:val="00ED7B61"/>
    <w:rsid w:val="00EE00B6"/>
    <w:rsid w:val="00EE0302"/>
    <w:rsid w:val="00EE08E7"/>
    <w:rsid w:val="00EE0C3A"/>
    <w:rsid w:val="00EE1BB8"/>
    <w:rsid w:val="00EE1E47"/>
    <w:rsid w:val="00EE338E"/>
    <w:rsid w:val="00EE3483"/>
    <w:rsid w:val="00EE40AA"/>
    <w:rsid w:val="00EE467A"/>
    <w:rsid w:val="00EE4785"/>
    <w:rsid w:val="00EE4DB0"/>
    <w:rsid w:val="00EE5055"/>
    <w:rsid w:val="00EE5182"/>
    <w:rsid w:val="00EE586A"/>
    <w:rsid w:val="00EE5E6C"/>
    <w:rsid w:val="00EE698B"/>
    <w:rsid w:val="00EE7700"/>
    <w:rsid w:val="00EE7AF7"/>
    <w:rsid w:val="00EE7BF6"/>
    <w:rsid w:val="00EF01D0"/>
    <w:rsid w:val="00EF0228"/>
    <w:rsid w:val="00EF039F"/>
    <w:rsid w:val="00EF07BB"/>
    <w:rsid w:val="00EF09B4"/>
    <w:rsid w:val="00EF0BD0"/>
    <w:rsid w:val="00EF0E00"/>
    <w:rsid w:val="00EF101E"/>
    <w:rsid w:val="00EF10DA"/>
    <w:rsid w:val="00EF16A2"/>
    <w:rsid w:val="00EF1701"/>
    <w:rsid w:val="00EF1CC2"/>
    <w:rsid w:val="00EF215E"/>
    <w:rsid w:val="00EF2540"/>
    <w:rsid w:val="00EF31EA"/>
    <w:rsid w:val="00EF3719"/>
    <w:rsid w:val="00EF382E"/>
    <w:rsid w:val="00EF3BAE"/>
    <w:rsid w:val="00EF4182"/>
    <w:rsid w:val="00EF4258"/>
    <w:rsid w:val="00EF4381"/>
    <w:rsid w:val="00EF4430"/>
    <w:rsid w:val="00EF4799"/>
    <w:rsid w:val="00EF4C3E"/>
    <w:rsid w:val="00EF4D4B"/>
    <w:rsid w:val="00EF5D67"/>
    <w:rsid w:val="00EF5E1E"/>
    <w:rsid w:val="00EF5E42"/>
    <w:rsid w:val="00EF5F10"/>
    <w:rsid w:val="00EF6069"/>
    <w:rsid w:val="00EF650F"/>
    <w:rsid w:val="00EF653D"/>
    <w:rsid w:val="00EF65DA"/>
    <w:rsid w:val="00EF69EC"/>
    <w:rsid w:val="00EF6A02"/>
    <w:rsid w:val="00EF6BB5"/>
    <w:rsid w:val="00EF757E"/>
    <w:rsid w:val="00EF7EEF"/>
    <w:rsid w:val="00F0030F"/>
    <w:rsid w:val="00F005BB"/>
    <w:rsid w:val="00F0119B"/>
    <w:rsid w:val="00F013F4"/>
    <w:rsid w:val="00F0195C"/>
    <w:rsid w:val="00F01A05"/>
    <w:rsid w:val="00F01C8B"/>
    <w:rsid w:val="00F020B1"/>
    <w:rsid w:val="00F024AB"/>
    <w:rsid w:val="00F0321A"/>
    <w:rsid w:val="00F03365"/>
    <w:rsid w:val="00F03F40"/>
    <w:rsid w:val="00F0436A"/>
    <w:rsid w:val="00F043DE"/>
    <w:rsid w:val="00F0484E"/>
    <w:rsid w:val="00F04934"/>
    <w:rsid w:val="00F04C5C"/>
    <w:rsid w:val="00F04D73"/>
    <w:rsid w:val="00F0525E"/>
    <w:rsid w:val="00F0590C"/>
    <w:rsid w:val="00F06101"/>
    <w:rsid w:val="00F06304"/>
    <w:rsid w:val="00F06C87"/>
    <w:rsid w:val="00F071D0"/>
    <w:rsid w:val="00F0786C"/>
    <w:rsid w:val="00F07B24"/>
    <w:rsid w:val="00F07B6E"/>
    <w:rsid w:val="00F07D81"/>
    <w:rsid w:val="00F07DE6"/>
    <w:rsid w:val="00F07F4A"/>
    <w:rsid w:val="00F10573"/>
    <w:rsid w:val="00F10866"/>
    <w:rsid w:val="00F10C73"/>
    <w:rsid w:val="00F11149"/>
    <w:rsid w:val="00F11B6A"/>
    <w:rsid w:val="00F11E43"/>
    <w:rsid w:val="00F1200E"/>
    <w:rsid w:val="00F12052"/>
    <w:rsid w:val="00F12091"/>
    <w:rsid w:val="00F121B8"/>
    <w:rsid w:val="00F1241D"/>
    <w:rsid w:val="00F1296E"/>
    <w:rsid w:val="00F12A12"/>
    <w:rsid w:val="00F12E8D"/>
    <w:rsid w:val="00F132EF"/>
    <w:rsid w:val="00F13863"/>
    <w:rsid w:val="00F13A6C"/>
    <w:rsid w:val="00F13BBB"/>
    <w:rsid w:val="00F13E66"/>
    <w:rsid w:val="00F1452D"/>
    <w:rsid w:val="00F14788"/>
    <w:rsid w:val="00F14A8C"/>
    <w:rsid w:val="00F14B89"/>
    <w:rsid w:val="00F14CA5"/>
    <w:rsid w:val="00F152E9"/>
    <w:rsid w:val="00F15CD2"/>
    <w:rsid w:val="00F16170"/>
    <w:rsid w:val="00F164B5"/>
    <w:rsid w:val="00F166C0"/>
    <w:rsid w:val="00F1677D"/>
    <w:rsid w:val="00F16931"/>
    <w:rsid w:val="00F16C60"/>
    <w:rsid w:val="00F17514"/>
    <w:rsid w:val="00F17835"/>
    <w:rsid w:val="00F17A7D"/>
    <w:rsid w:val="00F20029"/>
    <w:rsid w:val="00F2004F"/>
    <w:rsid w:val="00F20203"/>
    <w:rsid w:val="00F204A0"/>
    <w:rsid w:val="00F20A13"/>
    <w:rsid w:val="00F20F76"/>
    <w:rsid w:val="00F213B4"/>
    <w:rsid w:val="00F21449"/>
    <w:rsid w:val="00F21598"/>
    <w:rsid w:val="00F2175C"/>
    <w:rsid w:val="00F21791"/>
    <w:rsid w:val="00F219C6"/>
    <w:rsid w:val="00F21A63"/>
    <w:rsid w:val="00F21E35"/>
    <w:rsid w:val="00F21F6A"/>
    <w:rsid w:val="00F22159"/>
    <w:rsid w:val="00F2218B"/>
    <w:rsid w:val="00F22208"/>
    <w:rsid w:val="00F23078"/>
    <w:rsid w:val="00F23392"/>
    <w:rsid w:val="00F23EDD"/>
    <w:rsid w:val="00F243DC"/>
    <w:rsid w:val="00F24D6E"/>
    <w:rsid w:val="00F250CE"/>
    <w:rsid w:val="00F259D7"/>
    <w:rsid w:val="00F259F4"/>
    <w:rsid w:val="00F27102"/>
    <w:rsid w:val="00F2711E"/>
    <w:rsid w:val="00F305C9"/>
    <w:rsid w:val="00F30724"/>
    <w:rsid w:val="00F30878"/>
    <w:rsid w:val="00F30A85"/>
    <w:rsid w:val="00F30CD5"/>
    <w:rsid w:val="00F31649"/>
    <w:rsid w:val="00F318AE"/>
    <w:rsid w:val="00F31B9E"/>
    <w:rsid w:val="00F324EC"/>
    <w:rsid w:val="00F329CA"/>
    <w:rsid w:val="00F32B7B"/>
    <w:rsid w:val="00F32D86"/>
    <w:rsid w:val="00F32F47"/>
    <w:rsid w:val="00F32F65"/>
    <w:rsid w:val="00F33A46"/>
    <w:rsid w:val="00F345B0"/>
    <w:rsid w:val="00F348F5"/>
    <w:rsid w:val="00F35271"/>
    <w:rsid w:val="00F3584B"/>
    <w:rsid w:val="00F35B49"/>
    <w:rsid w:val="00F35DF6"/>
    <w:rsid w:val="00F35E04"/>
    <w:rsid w:val="00F35E6C"/>
    <w:rsid w:val="00F3603D"/>
    <w:rsid w:val="00F362B2"/>
    <w:rsid w:val="00F3639F"/>
    <w:rsid w:val="00F364AF"/>
    <w:rsid w:val="00F36C4D"/>
    <w:rsid w:val="00F36C6D"/>
    <w:rsid w:val="00F36D78"/>
    <w:rsid w:val="00F37278"/>
    <w:rsid w:val="00F3747A"/>
    <w:rsid w:val="00F37609"/>
    <w:rsid w:val="00F37932"/>
    <w:rsid w:val="00F37DF1"/>
    <w:rsid w:val="00F40238"/>
    <w:rsid w:val="00F4048E"/>
    <w:rsid w:val="00F4090B"/>
    <w:rsid w:val="00F40D63"/>
    <w:rsid w:val="00F40E12"/>
    <w:rsid w:val="00F40FEF"/>
    <w:rsid w:val="00F41869"/>
    <w:rsid w:val="00F41AFE"/>
    <w:rsid w:val="00F41C57"/>
    <w:rsid w:val="00F41FA5"/>
    <w:rsid w:val="00F420FF"/>
    <w:rsid w:val="00F4212C"/>
    <w:rsid w:val="00F42938"/>
    <w:rsid w:val="00F42F77"/>
    <w:rsid w:val="00F43006"/>
    <w:rsid w:val="00F43092"/>
    <w:rsid w:val="00F4418B"/>
    <w:rsid w:val="00F441AE"/>
    <w:rsid w:val="00F44B61"/>
    <w:rsid w:val="00F44C9B"/>
    <w:rsid w:val="00F450D0"/>
    <w:rsid w:val="00F459A0"/>
    <w:rsid w:val="00F45A43"/>
    <w:rsid w:val="00F45C56"/>
    <w:rsid w:val="00F45FD2"/>
    <w:rsid w:val="00F461D1"/>
    <w:rsid w:val="00F47CD7"/>
    <w:rsid w:val="00F504FA"/>
    <w:rsid w:val="00F50811"/>
    <w:rsid w:val="00F50A85"/>
    <w:rsid w:val="00F50C46"/>
    <w:rsid w:val="00F50D21"/>
    <w:rsid w:val="00F5206E"/>
    <w:rsid w:val="00F52159"/>
    <w:rsid w:val="00F525D5"/>
    <w:rsid w:val="00F5287A"/>
    <w:rsid w:val="00F52D9A"/>
    <w:rsid w:val="00F52F8A"/>
    <w:rsid w:val="00F53085"/>
    <w:rsid w:val="00F53181"/>
    <w:rsid w:val="00F53711"/>
    <w:rsid w:val="00F53756"/>
    <w:rsid w:val="00F53EE7"/>
    <w:rsid w:val="00F54DE7"/>
    <w:rsid w:val="00F54FC4"/>
    <w:rsid w:val="00F55183"/>
    <w:rsid w:val="00F553A7"/>
    <w:rsid w:val="00F554B8"/>
    <w:rsid w:val="00F555B8"/>
    <w:rsid w:val="00F5585E"/>
    <w:rsid w:val="00F5597A"/>
    <w:rsid w:val="00F559BC"/>
    <w:rsid w:val="00F55BA7"/>
    <w:rsid w:val="00F55E4B"/>
    <w:rsid w:val="00F5602C"/>
    <w:rsid w:val="00F56588"/>
    <w:rsid w:val="00F56C63"/>
    <w:rsid w:val="00F5706E"/>
    <w:rsid w:val="00F57559"/>
    <w:rsid w:val="00F57621"/>
    <w:rsid w:val="00F577C0"/>
    <w:rsid w:val="00F57BBF"/>
    <w:rsid w:val="00F57FA2"/>
    <w:rsid w:val="00F606FD"/>
    <w:rsid w:val="00F60825"/>
    <w:rsid w:val="00F6083F"/>
    <w:rsid w:val="00F61015"/>
    <w:rsid w:val="00F6104A"/>
    <w:rsid w:val="00F6136F"/>
    <w:rsid w:val="00F61A0A"/>
    <w:rsid w:val="00F621BC"/>
    <w:rsid w:val="00F6242D"/>
    <w:rsid w:val="00F62441"/>
    <w:rsid w:val="00F62461"/>
    <w:rsid w:val="00F62962"/>
    <w:rsid w:val="00F629F4"/>
    <w:rsid w:val="00F636F2"/>
    <w:rsid w:val="00F63E67"/>
    <w:rsid w:val="00F63EBA"/>
    <w:rsid w:val="00F63ED2"/>
    <w:rsid w:val="00F6414C"/>
    <w:rsid w:val="00F6479F"/>
    <w:rsid w:val="00F64810"/>
    <w:rsid w:val="00F6481F"/>
    <w:rsid w:val="00F64AB1"/>
    <w:rsid w:val="00F64BB1"/>
    <w:rsid w:val="00F6500F"/>
    <w:rsid w:val="00F653A5"/>
    <w:rsid w:val="00F65438"/>
    <w:rsid w:val="00F65CA9"/>
    <w:rsid w:val="00F660FF"/>
    <w:rsid w:val="00F66113"/>
    <w:rsid w:val="00F6630E"/>
    <w:rsid w:val="00F664A3"/>
    <w:rsid w:val="00F66671"/>
    <w:rsid w:val="00F66932"/>
    <w:rsid w:val="00F66C82"/>
    <w:rsid w:val="00F66C86"/>
    <w:rsid w:val="00F66D51"/>
    <w:rsid w:val="00F66FF1"/>
    <w:rsid w:val="00F6755A"/>
    <w:rsid w:val="00F67637"/>
    <w:rsid w:val="00F6787B"/>
    <w:rsid w:val="00F67AD2"/>
    <w:rsid w:val="00F70038"/>
    <w:rsid w:val="00F7003C"/>
    <w:rsid w:val="00F7005E"/>
    <w:rsid w:val="00F704D9"/>
    <w:rsid w:val="00F70B87"/>
    <w:rsid w:val="00F70FAC"/>
    <w:rsid w:val="00F70FF8"/>
    <w:rsid w:val="00F71203"/>
    <w:rsid w:val="00F71600"/>
    <w:rsid w:val="00F719F3"/>
    <w:rsid w:val="00F71C1E"/>
    <w:rsid w:val="00F71F8D"/>
    <w:rsid w:val="00F72269"/>
    <w:rsid w:val="00F72514"/>
    <w:rsid w:val="00F72778"/>
    <w:rsid w:val="00F72F94"/>
    <w:rsid w:val="00F7390A"/>
    <w:rsid w:val="00F73C0A"/>
    <w:rsid w:val="00F73D13"/>
    <w:rsid w:val="00F73E10"/>
    <w:rsid w:val="00F748D2"/>
    <w:rsid w:val="00F74964"/>
    <w:rsid w:val="00F74B52"/>
    <w:rsid w:val="00F74F4B"/>
    <w:rsid w:val="00F75ABC"/>
    <w:rsid w:val="00F75B38"/>
    <w:rsid w:val="00F75C22"/>
    <w:rsid w:val="00F765CB"/>
    <w:rsid w:val="00F76D35"/>
    <w:rsid w:val="00F776CC"/>
    <w:rsid w:val="00F7774A"/>
    <w:rsid w:val="00F77BF8"/>
    <w:rsid w:val="00F80853"/>
    <w:rsid w:val="00F80B4A"/>
    <w:rsid w:val="00F80FD5"/>
    <w:rsid w:val="00F819C7"/>
    <w:rsid w:val="00F81A1A"/>
    <w:rsid w:val="00F81C79"/>
    <w:rsid w:val="00F821B8"/>
    <w:rsid w:val="00F82858"/>
    <w:rsid w:val="00F82890"/>
    <w:rsid w:val="00F82DF1"/>
    <w:rsid w:val="00F82E1F"/>
    <w:rsid w:val="00F8303C"/>
    <w:rsid w:val="00F830EC"/>
    <w:rsid w:val="00F833C6"/>
    <w:rsid w:val="00F838CD"/>
    <w:rsid w:val="00F83DB3"/>
    <w:rsid w:val="00F83FCE"/>
    <w:rsid w:val="00F84338"/>
    <w:rsid w:val="00F8476D"/>
    <w:rsid w:val="00F852D8"/>
    <w:rsid w:val="00F85D6F"/>
    <w:rsid w:val="00F864C5"/>
    <w:rsid w:val="00F8661F"/>
    <w:rsid w:val="00F866DA"/>
    <w:rsid w:val="00F86916"/>
    <w:rsid w:val="00F86CC5"/>
    <w:rsid w:val="00F870F9"/>
    <w:rsid w:val="00F87360"/>
    <w:rsid w:val="00F8749F"/>
    <w:rsid w:val="00F875DE"/>
    <w:rsid w:val="00F876CC"/>
    <w:rsid w:val="00F87A09"/>
    <w:rsid w:val="00F87A10"/>
    <w:rsid w:val="00F87A2E"/>
    <w:rsid w:val="00F87CD0"/>
    <w:rsid w:val="00F87DDE"/>
    <w:rsid w:val="00F904F6"/>
    <w:rsid w:val="00F9113D"/>
    <w:rsid w:val="00F914A5"/>
    <w:rsid w:val="00F91AC5"/>
    <w:rsid w:val="00F91BDF"/>
    <w:rsid w:val="00F92518"/>
    <w:rsid w:val="00F92AE3"/>
    <w:rsid w:val="00F92BAA"/>
    <w:rsid w:val="00F92C7A"/>
    <w:rsid w:val="00F92E32"/>
    <w:rsid w:val="00F937EC"/>
    <w:rsid w:val="00F9419C"/>
    <w:rsid w:val="00F941C6"/>
    <w:rsid w:val="00F94534"/>
    <w:rsid w:val="00F949DD"/>
    <w:rsid w:val="00F94A24"/>
    <w:rsid w:val="00F94CC5"/>
    <w:rsid w:val="00F94EA7"/>
    <w:rsid w:val="00F95332"/>
    <w:rsid w:val="00F954C3"/>
    <w:rsid w:val="00F9552A"/>
    <w:rsid w:val="00F9566C"/>
    <w:rsid w:val="00F95E07"/>
    <w:rsid w:val="00F95EC1"/>
    <w:rsid w:val="00F95F93"/>
    <w:rsid w:val="00F96353"/>
    <w:rsid w:val="00F96601"/>
    <w:rsid w:val="00F968F6"/>
    <w:rsid w:val="00F96997"/>
    <w:rsid w:val="00F96BE0"/>
    <w:rsid w:val="00F9707E"/>
    <w:rsid w:val="00F972C4"/>
    <w:rsid w:val="00F97396"/>
    <w:rsid w:val="00F973CF"/>
    <w:rsid w:val="00F974EF"/>
    <w:rsid w:val="00F975DE"/>
    <w:rsid w:val="00FA064A"/>
    <w:rsid w:val="00FA0A36"/>
    <w:rsid w:val="00FA0FF6"/>
    <w:rsid w:val="00FA105C"/>
    <w:rsid w:val="00FA14B5"/>
    <w:rsid w:val="00FA16F6"/>
    <w:rsid w:val="00FA1B0F"/>
    <w:rsid w:val="00FA24E3"/>
    <w:rsid w:val="00FA26E4"/>
    <w:rsid w:val="00FA2A4C"/>
    <w:rsid w:val="00FA2A8E"/>
    <w:rsid w:val="00FA2B09"/>
    <w:rsid w:val="00FA2B8E"/>
    <w:rsid w:val="00FA2FF4"/>
    <w:rsid w:val="00FA3446"/>
    <w:rsid w:val="00FA3687"/>
    <w:rsid w:val="00FA3806"/>
    <w:rsid w:val="00FA398D"/>
    <w:rsid w:val="00FA3EA5"/>
    <w:rsid w:val="00FA47D0"/>
    <w:rsid w:val="00FA4AD3"/>
    <w:rsid w:val="00FA4FD7"/>
    <w:rsid w:val="00FA4FDD"/>
    <w:rsid w:val="00FA51D6"/>
    <w:rsid w:val="00FA53D8"/>
    <w:rsid w:val="00FA5BFA"/>
    <w:rsid w:val="00FA5C8B"/>
    <w:rsid w:val="00FA5FF0"/>
    <w:rsid w:val="00FA5FF3"/>
    <w:rsid w:val="00FA60E3"/>
    <w:rsid w:val="00FA6836"/>
    <w:rsid w:val="00FA6A35"/>
    <w:rsid w:val="00FA6A9C"/>
    <w:rsid w:val="00FA6DA7"/>
    <w:rsid w:val="00FA6EE7"/>
    <w:rsid w:val="00FA72FB"/>
    <w:rsid w:val="00FA732C"/>
    <w:rsid w:val="00FA7922"/>
    <w:rsid w:val="00FB08EB"/>
    <w:rsid w:val="00FB0AC3"/>
    <w:rsid w:val="00FB1137"/>
    <w:rsid w:val="00FB1596"/>
    <w:rsid w:val="00FB17AD"/>
    <w:rsid w:val="00FB1915"/>
    <w:rsid w:val="00FB2044"/>
    <w:rsid w:val="00FB20E5"/>
    <w:rsid w:val="00FB2136"/>
    <w:rsid w:val="00FB21F4"/>
    <w:rsid w:val="00FB2227"/>
    <w:rsid w:val="00FB2337"/>
    <w:rsid w:val="00FB2E30"/>
    <w:rsid w:val="00FB34EF"/>
    <w:rsid w:val="00FB359D"/>
    <w:rsid w:val="00FB39BB"/>
    <w:rsid w:val="00FB3B8A"/>
    <w:rsid w:val="00FB3D5F"/>
    <w:rsid w:val="00FB4015"/>
    <w:rsid w:val="00FB4C15"/>
    <w:rsid w:val="00FB52ED"/>
    <w:rsid w:val="00FB5479"/>
    <w:rsid w:val="00FB5582"/>
    <w:rsid w:val="00FB5593"/>
    <w:rsid w:val="00FB614A"/>
    <w:rsid w:val="00FB6C71"/>
    <w:rsid w:val="00FB7051"/>
    <w:rsid w:val="00FB71F4"/>
    <w:rsid w:val="00FB7329"/>
    <w:rsid w:val="00FB76BE"/>
    <w:rsid w:val="00FB7CCE"/>
    <w:rsid w:val="00FB7D46"/>
    <w:rsid w:val="00FC002F"/>
    <w:rsid w:val="00FC11D8"/>
    <w:rsid w:val="00FC17B5"/>
    <w:rsid w:val="00FC18E4"/>
    <w:rsid w:val="00FC1A70"/>
    <w:rsid w:val="00FC1F7A"/>
    <w:rsid w:val="00FC1FE9"/>
    <w:rsid w:val="00FC2068"/>
    <w:rsid w:val="00FC22AB"/>
    <w:rsid w:val="00FC22D2"/>
    <w:rsid w:val="00FC2665"/>
    <w:rsid w:val="00FC29A8"/>
    <w:rsid w:val="00FC2A05"/>
    <w:rsid w:val="00FC31C5"/>
    <w:rsid w:val="00FC4095"/>
    <w:rsid w:val="00FC4237"/>
    <w:rsid w:val="00FC45D4"/>
    <w:rsid w:val="00FC5074"/>
    <w:rsid w:val="00FC5800"/>
    <w:rsid w:val="00FC58FD"/>
    <w:rsid w:val="00FC5D00"/>
    <w:rsid w:val="00FC6162"/>
    <w:rsid w:val="00FC6292"/>
    <w:rsid w:val="00FC6C61"/>
    <w:rsid w:val="00FC79AD"/>
    <w:rsid w:val="00FC7D11"/>
    <w:rsid w:val="00FD081A"/>
    <w:rsid w:val="00FD0C97"/>
    <w:rsid w:val="00FD0F76"/>
    <w:rsid w:val="00FD0F8E"/>
    <w:rsid w:val="00FD122F"/>
    <w:rsid w:val="00FD1A79"/>
    <w:rsid w:val="00FD1A87"/>
    <w:rsid w:val="00FD1BD9"/>
    <w:rsid w:val="00FD24EA"/>
    <w:rsid w:val="00FD25FC"/>
    <w:rsid w:val="00FD2A43"/>
    <w:rsid w:val="00FD3145"/>
    <w:rsid w:val="00FD395F"/>
    <w:rsid w:val="00FD3D1C"/>
    <w:rsid w:val="00FD3FAF"/>
    <w:rsid w:val="00FD4685"/>
    <w:rsid w:val="00FD4A59"/>
    <w:rsid w:val="00FD4ABF"/>
    <w:rsid w:val="00FD4DF3"/>
    <w:rsid w:val="00FD4EF7"/>
    <w:rsid w:val="00FD5032"/>
    <w:rsid w:val="00FD5A5E"/>
    <w:rsid w:val="00FD626C"/>
    <w:rsid w:val="00FD63E3"/>
    <w:rsid w:val="00FD668E"/>
    <w:rsid w:val="00FD6B26"/>
    <w:rsid w:val="00FD6F56"/>
    <w:rsid w:val="00FD75D7"/>
    <w:rsid w:val="00FD799E"/>
    <w:rsid w:val="00FD7A70"/>
    <w:rsid w:val="00FE01B4"/>
    <w:rsid w:val="00FE17F5"/>
    <w:rsid w:val="00FE1BB1"/>
    <w:rsid w:val="00FE1E21"/>
    <w:rsid w:val="00FE29FC"/>
    <w:rsid w:val="00FE2BB5"/>
    <w:rsid w:val="00FE2C04"/>
    <w:rsid w:val="00FE2E19"/>
    <w:rsid w:val="00FE2EC9"/>
    <w:rsid w:val="00FE322A"/>
    <w:rsid w:val="00FE354C"/>
    <w:rsid w:val="00FE36CD"/>
    <w:rsid w:val="00FE3747"/>
    <w:rsid w:val="00FE3B6E"/>
    <w:rsid w:val="00FE425E"/>
    <w:rsid w:val="00FE433D"/>
    <w:rsid w:val="00FE4572"/>
    <w:rsid w:val="00FE472A"/>
    <w:rsid w:val="00FE49DB"/>
    <w:rsid w:val="00FE50E9"/>
    <w:rsid w:val="00FE5760"/>
    <w:rsid w:val="00FE5852"/>
    <w:rsid w:val="00FE58E5"/>
    <w:rsid w:val="00FE6252"/>
    <w:rsid w:val="00FE658B"/>
    <w:rsid w:val="00FE67F7"/>
    <w:rsid w:val="00FE6860"/>
    <w:rsid w:val="00FE68DC"/>
    <w:rsid w:val="00FE6AB5"/>
    <w:rsid w:val="00FE6B62"/>
    <w:rsid w:val="00FE6BFF"/>
    <w:rsid w:val="00FE7176"/>
    <w:rsid w:val="00FE7253"/>
    <w:rsid w:val="00FE72D8"/>
    <w:rsid w:val="00FE748F"/>
    <w:rsid w:val="00FE77D8"/>
    <w:rsid w:val="00FE77E0"/>
    <w:rsid w:val="00FE77F1"/>
    <w:rsid w:val="00FE7EA9"/>
    <w:rsid w:val="00FF0258"/>
    <w:rsid w:val="00FF084A"/>
    <w:rsid w:val="00FF1C20"/>
    <w:rsid w:val="00FF213B"/>
    <w:rsid w:val="00FF223F"/>
    <w:rsid w:val="00FF24CA"/>
    <w:rsid w:val="00FF366E"/>
    <w:rsid w:val="00FF4340"/>
    <w:rsid w:val="00FF471B"/>
    <w:rsid w:val="00FF4828"/>
    <w:rsid w:val="00FF5037"/>
    <w:rsid w:val="00FF5871"/>
    <w:rsid w:val="00FF5A1B"/>
    <w:rsid w:val="00FF5C4C"/>
    <w:rsid w:val="00FF5C6E"/>
    <w:rsid w:val="00FF5C77"/>
    <w:rsid w:val="00FF5EE5"/>
    <w:rsid w:val="00FF60F9"/>
    <w:rsid w:val="00FF65BC"/>
    <w:rsid w:val="00FF65FF"/>
    <w:rsid w:val="00FF665D"/>
    <w:rsid w:val="00FF6943"/>
    <w:rsid w:val="00FF6A69"/>
    <w:rsid w:val="00FF6A92"/>
    <w:rsid w:val="00FF6DD1"/>
    <w:rsid w:val="00FF74FF"/>
    <w:rsid w:val="00FF7810"/>
    <w:rsid w:val="00FF7940"/>
    <w:rsid w:val="00FF7E1B"/>
    <w:rsid w:val="00FF7E5C"/>
    <w:rsid w:val="25C2325D"/>
    <w:rsid w:val="28435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PMingLiU"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99" w:semiHidden="0" w:name="Normal Indent"/>
    <w:lsdException w:uiPriority="99" w:name="footnote text" w:locked="1"/>
    <w:lsdException w:unhideWhenUsed="0" w:uiPriority="99" w:semiHidden="0" w:name="annotation text"/>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nhideWhenUsed="0" w:uiPriority="0" w:semiHidden="0"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nhideWhenUsed="0" w:uiPriority="99" w:semiHidden="0" w:name="Closing"/>
    <w:lsdException w:uiPriority="99" w:name="Signature" w:locked="1"/>
    <w:lsdException w:uiPriority="1" w:name="Default Paragraph Font"/>
    <w:lsdException w:unhideWhenUsed="0" w:uiPriority="99" w:semiHidden="0" w:name="Body Text"/>
    <w:lsdException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semiHidden="0"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unhideWhenUsed="0" w:uiPriority="99" w:semiHidden="0" w:name="Block Text"/>
    <w:lsdException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sdException w:unhideWhenUsed="0" w:uiPriority="99" w:semiHidden="0" w:name="Document Map"/>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uiPriority="99" w:name="Normal Table"/>
    <w:lsdException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nhideWhenUsed="0" w:uiPriority="99" w:semiHidden="0" w:name="Table Contemporary"/>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0" w:semiHidden="0" w:name="Table Grid"/>
    <w:lsdException w:uiPriority="99" w:name="Table Theme" w:locked="1"/>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240" w:lineRule="atLeast"/>
    </w:pPr>
    <w:rPr>
      <w:rFonts w:ascii="CG Times (WN)" w:hAnsi="CG Times (WN)" w:eastAsia="MingLiU" w:cs="Times New Roman"/>
      <w:sz w:val="23"/>
      <w:lang w:val="en-US" w:eastAsia="zh-TW" w:bidi="ar-SA"/>
    </w:rPr>
  </w:style>
  <w:style w:type="paragraph" w:styleId="2">
    <w:name w:val="heading 1"/>
    <w:basedOn w:val="1"/>
    <w:next w:val="1"/>
    <w:link w:val="54"/>
    <w:qFormat/>
    <w:uiPriority w:val="99"/>
    <w:pPr>
      <w:keepNext/>
      <w:tabs>
        <w:tab w:val="left" w:pos="600"/>
      </w:tabs>
      <w:jc w:val="both"/>
      <w:outlineLvl w:val="0"/>
    </w:pPr>
    <w:rPr>
      <w:rFonts w:ascii="Times New Roman" w:hAnsi="Times New Roman" w:eastAsia="PMingLiU"/>
      <w:b/>
      <w:sz w:val="22"/>
    </w:rPr>
  </w:style>
  <w:style w:type="paragraph" w:styleId="3">
    <w:name w:val="heading 2"/>
    <w:basedOn w:val="1"/>
    <w:next w:val="4"/>
    <w:link w:val="55"/>
    <w:qFormat/>
    <w:uiPriority w:val="99"/>
    <w:pPr>
      <w:keepNext/>
      <w:tabs>
        <w:tab w:val="left" w:pos="360"/>
        <w:tab w:val="left" w:pos="600"/>
      </w:tabs>
      <w:jc w:val="center"/>
      <w:outlineLvl w:val="1"/>
    </w:pPr>
    <w:rPr>
      <w:rFonts w:ascii="Times New Roman" w:hAnsi="Times New Roman" w:eastAsia="PMingLiU"/>
      <w:b/>
      <w:sz w:val="22"/>
    </w:rPr>
  </w:style>
  <w:style w:type="paragraph" w:styleId="5">
    <w:name w:val="heading 3"/>
    <w:basedOn w:val="1"/>
    <w:next w:val="4"/>
    <w:link w:val="56"/>
    <w:qFormat/>
    <w:uiPriority w:val="99"/>
    <w:pPr>
      <w:keepNext/>
      <w:tabs>
        <w:tab w:val="left" w:pos="6480"/>
        <w:tab w:val="left" w:pos="7200"/>
      </w:tabs>
      <w:outlineLvl w:val="2"/>
    </w:pPr>
    <w:rPr>
      <w:rFonts w:ascii="Times New Roman" w:hAnsi="Times New Roman" w:eastAsia="PMingLiU"/>
      <w:b/>
      <w:sz w:val="18"/>
    </w:rPr>
  </w:style>
  <w:style w:type="paragraph" w:styleId="6">
    <w:name w:val="heading 4"/>
    <w:basedOn w:val="1"/>
    <w:next w:val="4"/>
    <w:link w:val="57"/>
    <w:qFormat/>
    <w:uiPriority w:val="99"/>
    <w:pPr>
      <w:keepNext/>
      <w:outlineLvl w:val="3"/>
    </w:pPr>
    <w:rPr>
      <w:rFonts w:ascii="Times New Roman" w:hAnsi="Times New Roman" w:eastAsia="PMingLiU"/>
      <w:b/>
      <w:sz w:val="22"/>
    </w:rPr>
  </w:style>
  <w:style w:type="paragraph" w:styleId="7">
    <w:name w:val="heading 5"/>
    <w:basedOn w:val="1"/>
    <w:next w:val="4"/>
    <w:link w:val="58"/>
    <w:qFormat/>
    <w:uiPriority w:val="99"/>
    <w:pPr>
      <w:keepNext/>
      <w:tabs>
        <w:tab w:val="left" w:pos="600"/>
      </w:tabs>
      <w:spacing w:line="240" w:lineRule="exact"/>
      <w:jc w:val="right"/>
      <w:outlineLvl w:val="4"/>
    </w:pPr>
    <w:rPr>
      <w:rFonts w:ascii="Times New Roman" w:hAnsi="Times New Roman" w:eastAsia="PMingLiU"/>
      <w:b/>
      <w:sz w:val="22"/>
    </w:rPr>
  </w:style>
  <w:style w:type="paragraph" w:styleId="8">
    <w:name w:val="heading 6"/>
    <w:basedOn w:val="1"/>
    <w:next w:val="1"/>
    <w:link w:val="59"/>
    <w:qFormat/>
    <w:uiPriority w:val="99"/>
    <w:pPr>
      <w:keepNext/>
      <w:outlineLvl w:val="5"/>
    </w:pPr>
    <w:rPr>
      <w:b/>
      <w:bCs/>
    </w:rPr>
  </w:style>
  <w:style w:type="paragraph" w:styleId="9">
    <w:name w:val="heading 7"/>
    <w:basedOn w:val="1"/>
    <w:next w:val="1"/>
    <w:link w:val="60"/>
    <w:qFormat/>
    <w:uiPriority w:val="99"/>
    <w:pPr>
      <w:keepNext/>
      <w:tabs>
        <w:tab w:val="left" w:pos="1701"/>
        <w:tab w:val="right" w:leader="dot" w:pos="8789"/>
      </w:tabs>
      <w:spacing w:line="284" w:lineRule="atLeast"/>
      <w:ind w:right="-284"/>
      <w:jc w:val="both"/>
      <w:outlineLvl w:val="6"/>
    </w:pPr>
    <w:rPr>
      <w:rFonts w:ascii="Times New Roman" w:hAnsi="Times New Roman" w:eastAsia="PMingLiU"/>
      <w:smallCaps/>
      <w:sz w:val="28"/>
    </w:rPr>
  </w:style>
  <w:style w:type="paragraph" w:styleId="10">
    <w:name w:val="heading 8"/>
    <w:basedOn w:val="1"/>
    <w:next w:val="4"/>
    <w:link w:val="61"/>
    <w:qFormat/>
    <w:uiPriority w:val="99"/>
    <w:pPr>
      <w:keepNext/>
      <w:autoSpaceDE/>
      <w:autoSpaceDN/>
      <w:adjustRightInd/>
      <w:spacing w:line="240" w:lineRule="auto"/>
      <w:outlineLvl w:val="7"/>
    </w:pPr>
    <w:rPr>
      <w:rFonts w:ascii="Times New Roman" w:hAnsi="Times New Roman" w:eastAsia="PMingLiU"/>
      <w:b/>
      <w:kern w:val="2"/>
      <w:sz w:val="21"/>
      <w:lang w:eastAsia="zh-CN"/>
    </w:rPr>
  </w:style>
  <w:style w:type="paragraph" w:styleId="11">
    <w:name w:val="heading 9"/>
    <w:basedOn w:val="1"/>
    <w:next w:val="4"/>
    <w:link w:val="62"/>
    <w:qFormat/>
    <w:uiPriority w:val="99"/>
    <w:pPr>
      <w:keepNext/>
      <w:outlineLvl w:val="8"/>
    </w:pPr>
    <w:rPr>
      <w:rFonts w:ascii="Times New Roman" w:hAnsi="Times New Roman" w:eastAsia="PMingLiU"/>
      <w:sz w:val="22"/>
      <w:u w:val="single"/>
    </w:rPr>
  </w:style>
  <w:style w:type="character" w:default="1" w:styleId="46">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uiPriority w:val="99"/>
    <w:pPr>
      <w:ind w:left="480"/>
    </w:pPr>
  </w:style>
  <w:style w:type="paragraph" w:styleId="12">
    <w:name w:val="toc 7"/>
    <w:basedOn w:val="1"/>
    <w:next w:val="1"/>
    <w:uiPriority w:val="39"/>
    <w:pPr>
      <w:ind w:left="1380"/>
    </w:pPr>
    <w:rPr>
      <w:rFonts w:ascii="Calibri" w:hAnsi="Calibri"/>
      <w:sz w:val="18"/>
      <w:szCs w:val="18"/>
    </w:rPr>
  </w:style>
  <w:style w:type="paragraph" w:styleId="13">
    <w:name w:val="Document Map"/>
    <w:basedOn w:val="1"/>
    <w:link w:val="86"/>
    <w:uiPriority w:val="99"/>
    <w:rPr>
      <w:rFonts w:ascii="宋体" w:eastAsia="Times New Roman"/>
      <w:sz w:val="18"/>
      <w:szCs w:val="18"/>
    </w:rPr>
  </w:style>
  <w:style w:type="paragraph" w:styleId="14">
    <w:name w:val="annotation text"/>
    <w:basedOn w:val="1"/>
    <w:link w:val="88"/>
    <w:uiPriority w:val="99"/>
    <w:pPr>
      <w:spacing w:line="240" w:lineRule="auto"/>
    </w:pPr>
    <w:rPr>
      <w:sz w:val="20"/>
    </w:rPr>
  </w:style>
  <w:style w:type="paragraph" w:styleId="15">
    <w:name w:val="Salutation"/>
    <w:basedOn w:val="1"/>
    <w:next w:val="1"/>
    <w:link w:val="242"/>
    <w:unhideWhenUsed/>
    <w:locked/>
    <w:uiPriority w:val="99"/>
    <w:pPr>
      <w:autoSpaceDE/>
      <w:autoSpaceDN/>
      <w:adjustRightInd/>
      <w:spacing w:line="240" w:lineRule="auto"/>
      <w:jc w:val="both"/>
    </w:pPr>
    <w:rPr>
      <w:rFonts w:ascii="仿宋_GB2312" w:eastAsia="仿宋_GB2312" w:hAnsiTheme="minorHAnsi" w:cstheme="minorBidi"/>
      <w:color w:val="000000" w:themeColor="text1"/>
      <w:kern w:val="2"/>
      <w:sz w:val="28"/>
      <w:szCs w:val="28"/>
      <w:lang w:eastAsia="zh-CN"/>
      <w14:textFill>
        <w14:solidFill>
          <w14:schemeClr w14:val="tx1"/>
        </w14:solidFill>
      </w14:textFill>
    </w:rPr>
  </w:style>
  <w:style w:type="paragraph" w:styleId="16">
    <w:name w:val="Body Text 3"/>
    <w:basedOn w:val="1"/>
    <w:link w:val="68"/>
    <w:uiPriority w:val="99"/>
    <w:pPr>
      <w:jc w:val="both"/>
    </w:pPr>
    <w:rPr>
      <w:rFonts w:ascii="Times New Roman" w:hAnsi="Times New Roman" w:eastAsia="PMingLiU"/>
      <w:b/>
      <w:sz w:val="22"/>
      <w:lang w:eastAsia="zh-CN"/>
    </w:rPr>
  </w:style>
  <w:style w:type="paragraph" w:styleId="17">
    <w:name w:val="Closing"/>
    <w:basedOn w:val="1"/>
    <w:next w:val="1"/>
    <w:link w:val="92"/>
    <w:uiPriority w:val="99"/>
    <w:pPr>
      <w:ind w:left="4320"/>
    </w:pPr>
    <w:rPr>
      <w:rFonts w:ascii="DFKai-SB" w:hAnsi="CF-A2¡Lq¡±oAe" w:eastAsia="Times New Roman"/>
      <w:sz w:val="24"/>
    </w:rPr>
  </w:style>
  <w:style w:type="paragraph" w:styleId="18">
    <w:name w:val="Body Text"/>
    <w:basedOn w:val="1"/>
    <w:link w:val="65"/>
    <w:uiPriority w:val="99"/>
    <w:pPr>
      <w:jc w:val="both"/>
    </w:pPr>
    <w:rPr>
      <w:rFonts w:ascii="Times New Roman" w:hAnsi="Times New Roman"/>
      <w:sz w:val="22"/>
    </w:rPr>
  </w:style>
  <w:style w:type="paragraph" w:styleId="19">
    <w:name w:val="Body Text Indent"/>
    <w:basedOn w:val="1"/>
    <w:link w:val="69"/>
    <w:uiPriority w:val="99"/>
    <w:pPr>
      <w:tabs>
        <w:tab w:val="left" w:pos="600"/>
      </w:tabs>
      <w:ind w:firstLine="440"/>
      <w:jc w:val="both"/>
    </w:pPr>
    <w:rPr>
      <w:rFonts w:ascii="Times New Roman" w:hAnsi="Times New Roman" w:eastAsia="PMingLiU"/>
      <w:sz w:val="22"/>
    </w:rPr>
  </w:style>
  <w:style w:type="paragraph" w:styleId="20">
    <w:name w:val="List 2"/>
    <w:basedOn w:val="1"/>
    <w:locked/>
    <w:uiPriority w:val="0"/>
    <w:pPr>
      <w:widowControl/>
      <w:autoSpaceDE/>
      <w:autoSpaceDN/>
      <w:adjustRightInd/>
      <w:spacing w:after="200" w:line="312" w:lineRule="atLeast"/>
      <w:ind w:left="840" w:hanging="420"/>
      <w:jc w:val="both"/>
      <w:textAlignment w:val="baseline"/>
    </w:pPr>
    <w:rPr>
      <w:rFonts w:ascii="Times New Roman" w:hAnsi="Times New Roman" w:eastAsia="宋体"/>
      <w:sz w:val="21"/>
      <w:szCs w:val="22"/>
      <w:lang w:eastAsia="zh-CN" w:bidi="en-US"/>
    </w:rPr>
  </w:style>
  <w:style w:type="paragraph" w:styleId="21">
    <w:name w:val="Block Text"/>
    <w:basedOn w:val="1"/>
    <w:uiPriority w:val="99"/>
    <w:pPr>
      <w:autoSpaceDE/>
      <w:autoSpaceDN/>
      <w:adjustRightInd/>
      <w:spacing w:line="240" w:lineRule="auto"/>
      <w:ind w:left="598" w:leftChars="285" w:right="428" w:rightChars="204"/>
      <w:jc w:val="both"/>
    </w:pPr>
    <w:rPr>
      <w:rFonts w:ascii="Times New Roman" w:hAnsi="Times New Roman" w:eastAsia="PMingLiU"/>
      <w:kern w:val="2"/>
      <w:sz w:val="21"/>
      <w:szCs w:val="24"/>
      <w:lang w:eastAsia="zh-CN"/>
    </w:rPr>
  </w:style>
  <w:style w:type="paragraph" w:styleId="22">
    <w:name w:val="toc 5"/>
    <w:basedOn w:val="1"/>
    <w:next w:val="1"/>
    <w:uiPriority w:val="39"/>
    <w:pPr>
      <w:ind w:left="920"/>
    </w:pPr>
    <w:rPr>
      <w:rFonts w:ascii="Calibri" w:hAnsi="Calibri"/>
      <w:sz w:val="18"/>
      <w:szCs w:val="18"/>
    </w:rPr>
  </w:style>
  <w:style w:type="paragraph" w:styleId="23">
    <w:name w:val="toc 3"/>
    <w:basedOn w:val="1"/>
    <w:next w:val="1"/>
    <w:qFormat/>
    <w:uiPriority w:val="39"/>
    <w:pPr>
      <w:ind w:left="460"/>
    </w:pPr>
    <w:rPr>
      <w:rFonts w:ascii="Calibri" w:hAnsi="Calibri"/>
      <w:i/>
      <w:iCs/>
      <w:sz w:val="20"/>
    </w:rPr>
  </w:style>
  <w:style w:type="paragraph" w:styleId="24">
    <w:name w:val="toc 8"/>
    <w:basedOn w:val="1"/>
    <w:next w:val="1"/>
    <w:uiPriority w:val="39"/>
    <w:pPr>
      <w:ind w:left="1610"/>
    </w:pPr>
    <w:rPr>
      <w:rFonts w:ascii="Calibri" w:hAnsi="Calibri"/>
      <w:sz w:val="18"/>
      <w:szCs w:val="18"/>
    </w:rPr>
  </w:style>
  <w:style w:type="paragraph" w:styleId="25">
    <w:name w:val="Date"/>
    <w:basedOn w:val="1"/>
    <w:next w:val="1"/>
    <w:link w:val="79"/>
    <w:uiPriority w:val="99"/>
    <w:pPr>
      <w:autoSpaceDE/>
      <w:autoSpaceDN/>
      <w:adjustRightInd/>
      <w:spacing w:line="240" w:lineRule="auto"/>
      <w:jc w:val="right"/>
    </w:pPr>
    <w:rPr>
      <w:rFonts w:ascii="Arial" w:hAnsi="Arial" w:eastAsia="PMingLiU" w:cs="Arial"/>
      <w:kern w:val="2"/>
      <w:sz w:val="20"/>
    </w:rPr>
  </w:style>
  <w:style w:type="paragraph" w:styleId="26">
    <w:name w:val="Body Text Indent 2"/>
    <w:basedOn w:val="1"/>
    <w:link w:val="70"/>
    <w:uiPriority w:val="99"/>
    <w:pPr>
      <w:ind w:left="598" w:hanging="598"/>
      <w:jc w:val="both"/>
    </w:pPr>
    <w:rPr>
      <w:rFonts w:ascii="Times New Roman" w:hAnsi="Times New Roman" w:eastAsia="PMingLiU"/>
      <w:sz w:val="22"/>
    </w:rPr>
  </w:style>
  <w:style w:type="paragraph" w:styleId="27">
    <w:name w:val="Balloon Text"/>
    <w:basedOn w:val="1"/>
    <w:link w:val="76"/>
    <w:semiHidden/>
    <w:uiPriority w:val="99"/>
    <w:pPr>
      <w:autoSpaceDE/>
      <w:autoSpaceDN/>
      <w:adjustRightInd/>
      <w:spacing w:line="240" w:lineRule="auto"/>
    </w:pPr>
    <w:rPr>
      <w:rFonts w:ascii="Times New Roman" w:hAnsi="Times New Roman" w:eastAsia="PMingLiU"/>
      <w:kern w:val="2"/>
      <w:sz w:val="18"/>
      <w:szCs w:val="18"/>
    </w:rPr>
  </w:style>
  <w:style w:type="paragraph" w:styleId="28">
    <w:name w:val="footer"/>
    <w:basedOn w:val="1"/>
    <w:link w:val="63"/>
    <w:uiPriority w:val="99"/>
    <w:pPr>
      <w:tabs>
        <w:tab w:val="center" w:pos="4153"/>
        <w:tab w:val="right" w:pos="8306"/>
      </w:tabs>
    </w:pPr>
    <w:rPr>
      <w:sz w:val="20"/>
    </w:rPr>
  </w:style>
  <w:style w:type="paragraph" w:styleId="29">
    <w:name w:val="header"/>
    <w:basedOn w:val="1"/>
    <w:link w:val="64"/>
    <w:uiPriority w:val="99"/>
    <w:pPr>
      <w:tabs>
        <w:tab w:val="center" w:pos="4153"/>
        <w:tab w:val="right" w:pos="8306"/>
      </w:tabs>
    </w:pPr>
    <w:rPr>
      <w:sz w:val="20"/>
    </w:rPr>
  </w:style>
  <w:style w:type="paragraph" w:styleId="30">
    <w:name w:val="toc 1"/>
    <w:basedOn w:val="1"/>
    <w:next w:val="1"/>
    <w:link w:val="114"/>
    <w:qFormat/>
    <w:uiPriority w:val="39"/>
    <w:pPr>
      <w:tabs>
        <w:tab w:val="left" w:pos="805"/>
        <w:tab w:val="right" w:leader="dot" w:pos="7820"/>
      </w:tabs>
      <w:spacing w:before="120" w:after="120"/>
      <w:ind w:left="230" w:leftChars="100"/>
    </w:pPr>
    <w:rPr>
      <w:rFonts w:ascii="Calibri" w:hAnsi="Calibri" w:eastAsia="华文细黑" w:cs="Arial"/>
      <w:b/>
      <w:bCs/>
      <w:sz w:val="22"/>
      <w:lang w:eastAsia="zh-CN"/>
    </w:rPr>
  </w:style>
  <w:style w:type="paragraph" w:styleId="31">
    <w:name w:val="toc 4"/>
    <w:basedOn w:val="1"/>
    <w:next w:val="1"/>
    <w:uiPriority w:val="39"/>
    <w:pPr>
      <w:ind w:left="690"/>
    </w:pPr>
    <w:rPr>
      <w:rFonts w:ascii="Calibri" w:hAnsi="Calibri"/>
      <w:sz w:val="18"/>
      <w:szCs w:val="18"/>
    </w:rPr>
  </w:style>
  <w:style w:type="paragraph" w:styleId="32">
    <w:name w:val="toc 6"/>
    <w:basedOn w:val="1"/>
    <w:next w:val="1"/>
    <w:uiPriority w:val="39"/>
    <w:pPr>
      <w:ind w:left="1150"/>
    </w:pPr>
    <w:rPr>
      <w:rFonts w:ascii="Calibri" w:hAnsi="Calibri"/>
      <w:sz w:val="18"/>
      <w:szCs w:val="18"/>
    </w:rPr>
  </w:style>
  <w:style w:type="paragraph" w:styleId="33">
    <w:name w:val="Body Text Indent 3"/>
    <w:basedOn w:val="1"/>
    <w:link w:val="66"/>
    <w:uiPriority w:val="99"/>
    <w:pPr>
      <w:ind w:left="567" w:hanging="567"/>
      <w:jc w:val="both"/>
    </w:pPr>
    <w:rPr>
      <w:rFonts w:ascii="Times New Roman" w:hAnsi="Times New Roman" w:eastAsia="PMingLiU"/>
      <w:sz w:val="22"/>
    </w:rPr>
  </w:style>
  <w:style w:type="paragraph" w:styleId="34">
    <w:name w:val="toc 2"/>
    <w:basedOn w:val="1"/>
    <w:next w:val="1"/>
    <w:qFormat/>
    <w:uiPriority w:val="39"/>
    <w:pPr>
      <w:tabs>
        <w:tab w:val="left" w:pos="1403"/>
        <w:tab w:val="right" w:leader="dot" w:pos="7820"/>
      </w:tabs>
      <w:ind w:left="828" w:leftChars="360"/>
    </w:pPr>
    <w:rPr>
      <w:rFonts w:ascii="Calibri" w:hAnsi="Calibri" w:eastAsia="华文细黑"/>
      <w:smallCaps/>
      <w:sz w:val="22"/>
    </w:rPr>
  </w:style>
  <w:style w:type="paragraph" w:styleId="35">
    <w:name w:val="toc 9"/>
    <w:basedOn w:val="1"/>
    <w:next w:val="1"/>
    <w:uiPriority w:val="39"/>
    <w:pPr>
      <w:ind w:left="1840"/>
    </w:pPr>
    <w:rPr>
      <w:rFonts w:ascii="Calibri" w:hAnsi="Calibri"/>
      <w:sz w:val="18"/>
      <w:szCs w:val="18"/>
    </w:rPr>
  </w:style>
  <w:style w:type="paragraph" w:styleId="36">
    <w:name w:val="Body Text 2"/>
    <w:basedOn w:val="1"/>
    <w:link w:val="67"/>
    <w:uiPriority w:val="99"/>
    <w:pPr>
      <w:widowControl/>
      <w:autoSpaceDE/>
      <w:autoSpaceDN/>
      <w:adjustRightInd/>
      <w:spacing w:line="240" w:lineRule="auto"/>
      <w:jc w:val="both"/>
    </w:pPr>
    <w:rPr>
      <w:rFonts w:ascii="Times New Roman" w:hAnsi="Times New Roman" w:eastAsia="PMingLiU"/>
      <w:sz w:val="22"/>
      <w:lang w:val="en-GB" w:eastAsia="zh-CN"/>
    </w:rPr>
  </w:style>
  <w:style w:type="paragraph" w:styleId="37">
    <w:name w:val="HTML Preformatted"/>
    <w:basedOn w:val="1"/>
    <w:link w:val="71"/>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pPr>
    <w:rPr>
      <w:rFonts w:ascii="宋体" w:hAnsi="宋体" w:eastAsia="PMingLiU" w:cs="Arial Unicode MS"/>
      <w:sz w:val="21"/>
      <w:szCs w:val="21"/>
      <w:lang w:eastAsia="zh-CN"/>
    </w:rPr>
  </w:style>
  <w:style w:type="paragraph" w:styleId="38">
    <w:name w:val="Normal (Web)"/>
    <w:basedOn w:val="1"/>
    <w:uiPriority w:val="99"/>
    <w:pPr>
      <w:widowControl/>
      <w:autoSpaceDE/>
      <w:autoSpaceDN/>
      <w:adjustRightInd/>
      <w:spacing w:before="100" w:beforeAutospacing="1" w:after="100" w:afterAutospacing="1" w:line="240" w:lineRule="auto"/>
    </w:pPr>
    <w:rPr>
      <w:rFonts w:ascii="宋体" w:hAnsi="宋体" w:eastAsia="PMingLiU" w:cs="宋体"/>
      <w:sz w:val="24"/>
      <w:szCs w:val="24"/>
      <w:lang w:eastAsia="zh-CN"/>
    </w:rPr>
  </w:style>
  <w:style w:type="paragraph" w:styleId="39">
    <w:name w:val="Title"/>
    <w:basedOn w:val="1"/>
    <w:link w:val="77"/>
    <w:qFormat/>
    <w:uiPriority w:val="99"/>
    <w:pPr>
      <w:autoSpaceDE/>
      <w:autoSpaceDN/>
      <w:adjustRightInd/>
      <w:spacing w:line="240" w:lineRule="auto"/>
      <w:jc w:val="center"/>
    </w:pPr>
    <w:rPr>
      <w:rFonts w:ascii="Times New Roman" w:hAnsi="Times New Roman"/>
      <w:b/>
      <w:sz w:val="20"/>
      <w:lang w:val="en-GB"/>
    </w:rPr>
  </w:style>
  <w:style w:type="paragraph" w:styleId="40">
    <w:name w:val="annotation subject"/>
    <w:basedOn w:val="14"/>
    <w:next w:val="14"/>
    <w:link w:val="89"/>
    <w:uiPriority w:val="99"/>
    <w:rPr>
      <w:b/>
      <w:bCs/>
    </w:rPr>
  </w:style>
  <w:style w:type="table" w:styleId="42">
    <w:name w:val="Table Grid"/>
    <w:basedOn w:val="41"/>
    <w:uiPriority w:val="0"/>
    <w:pPr>
      <w:widowControl w:val="0"/>
      <w:autoSpaceDE w:val="0"/>
      <w:autoSpaceDN w:val="0"/>
      <w:adjustRightInd w:val="0"/>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Contemporary"/>
    <w:basedOn w:val="41"/>
    <w:uiPriority w:val="99"/>
    <w:pPr>
      <w:widowControl w:val="0"/>
      <w:autoSpaceDE w:val="0"/>
      <w:autoSpaceDN w:val="0"/>
      <w:adjustRightInd w:val="0"/>
      <w:spacing w:line="240" w:lineRule="atLeast"/>
    </w:pPr>
    <w:tblPr>
      <w:tblBorders>
        <w:insideH w:val="single" w:color="FFFFFF" w:sz="18" w:space="0"/>
        <w:insideV w:val="single" w:color="FFFFFF" w:sz="18" w:space="0"/>
      </w:tblBorders>
    </w:tblPr>
    <w:tblStylePr w:type="firstRow">
      <w:rPr>
        <w:rFonts w:cs="Times New Roman"/>
        <w:b/>
        <w:bCs/>
        <w:color w:val="auto"/>
      </w:rPr>
      <w:tblPr/>
      <w:tcPr>
        <w:tcBorders>
          <w:tl2br w:val="nil"/>
          <w:tr2bl w:val="nil"/>
        </w:tcBorders>
        <w:shd w:val="pct20" w:color="000000" w:fill="FFFFFF"/>
      </w:tcPr>
    </w:tblStylePr>
    <w:tblStylePr w:type="band1Horz">
      <w:rPr>
        <w:rFonts w:cs="Times New Roman"/>
        <w:color w:val="auto"/>
      </w:rPr>
      <w:tblPr/>
      <w:tcPr>
        <w:tcBorders>
          <w:tl2br w:val="nil"/>
          <w:tr2bl w:val="nil"/>
        </w:tcBorders>
        <w:shd w:val="pct5" w:color="000000" w:fill="FFFFFF"/>
      </w:tcPr>
    </w:tblStylePr>
    <w:tblStylePr w:type="band2Horz">
      <w:rPr>
        <w:rFonts w:cs="Times New Roman"/>
        <w:color w:val="auto"/>
      </w:rPr>
      <w:tblPr/>
      <w:tcPr>
        <w:tcBorders>
          <w:tl2br w:val="nil"/>
          <w:tr2bl w:val="nil"/>
        </w:tcBorders>
        <w:shd w:val="pct20" w:color="000000" w:fill="FFFFFF"/>
      </w:tcPr>
    </w:tblStylePr>
  </w:style>
  <w:style w:type="table" w:styleId="44">
    <w:name w:val="Light Shading Accent 3"/>
    <w:basedOn w:val="41"/>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5">
    <w:name w:val="Medium Grid 1 Accent 1"/>
    <w:basedOn w:val="41"/>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character" w:styleId="47">
    <w:name w:val="Strong"/>
    <w:basedOn w:val="46"/>
    <w:qFormat/>
    <w:uiPriority w:val="99"/>
    <w:rPr>
      <w:rFonts w:cs="Times New Roman"/>
      <w:b/>
      <w:bCs/>
    </w:rPr>
  </w:style>
  <w:style w:type="character" w:styleId="48">
    <w:name w:val="page number"/>
    <w:basedOn w:val="46"/>
    <w:uiPriority w:val="99"/>
    <w:rPr>
      <w:rFonts w:cs="Times New Roman"/>
    </w:rPr>
  </w:style>
  <w:style w:type="character" w:styleId="49">
    <w:name w:val="FollowedHyperlink"/>
    <w:basedOn w:val="46"/>
    <w:semiHidden/>
    <w:unhideWhenUsed/>
    <w:locked/>
    <w:uiPriority w:val="99"/>
    <w:rPr>
      <w:color w:val="800080"/>
      <w:u w:val="single"/>
    </w:rPr>
  </w:style>
  <w:style w:type="character" w:styleId="50">
    <w:name w:val="Emphasis"/>
    <w:basedOn w:val="46"/>
    <w:qFormat/>
    <w:uiPriority w:val="20"/>
    <w:rPr>
      <w:rFonts w:cs="Times New Roman"/>
      <w:color w:val="CC0033"/>
    </w:rPr>
  </w:style>
  <w:style w:type="character" w:styleId="51">
    <w:name w:val="line number"/>
    <w:basedOn w:val="46"/>
    <w:semiHidden/>
    <w:unhideWhenUsed/>
    <w:locked/>
    <w:uiPriority w:val="99"/>
  </w:style>
  <w:style w:type="character" w:styleId="52">
    <w:name w:val="Hyperlink"/>
    <w:basedOn w:val="46"/>
    <w:uiPriority w:val="99"/>
    <w:rPr>
      <w:rFonts w:cs="Times New Roman"/>
      <w:color w:val="261CDC"/>
      <w:u w:val="single"/>
    </w:rPr>
  </w:style>
  <w:style w:type="character" w:styleId="53">
    <w:name w:val="annotation reference"/>
    <w:basedOn w:val="46"/>
    <w:uiPriority w:val="99"/>
    <w:rPr>
      <w:rFonts w:cs="Times New Roman"/>
      <w:sz w:val="16"/>
      <w:szCs w:val="16"/>
    </w:rPr>
  </w:style>
  <w:style w:type="character" w:customStyle="1" w:styleId="54">
    <w:name w:val="标题 1 字符"/>
    <w:basedOn w:val="46"/>
    <w:link w:val="2"/>
    <w:locked/>
    <w:uiPriority w:val="99"/>
    <w:rPr>
      <w:rFonts w:ascii="CG Times (WN)" w:hAnsi="CG Times (WN)" w:eastAsia="MingLiU" w:cs="Times New Roman"/>
      <w:b/>
      <w:bCs/>
      <w:kern w:val="44"/>
      <w:sz w:val="44"/>
      <w:szCs w:val="44"/>
      <w:lang w:eastAsia="zh-TW"/>
    </w:rPr>
  </w:style>
  <w:style w:type="character" w:customStyle="1" w:styleId="55">
    <w:name w:val="标题 2 字符"/>
    <w:basedOn w:val="46"/>
    <w:link w:val="3"/>
    <w:locked/>
    <w:uiPriority w:val="99"/>
    <w:rPr>
      <w:rFonts w:ascii="Cambria" w:hAnsi="Cambria" w:eastAsia="宋体" w:cs="Times New Roman"/>
      <w:b/>
      <w:bCs/>
      <w:kern w:val="0"/>
      <w:sz w:val="32"/>
      <w:szCs w:val="32"/>
      <w:lang w:eastAsia="zh-TW"/>
    </w:rPr>
  </w:style>
  <w:style w:type="character" w:customStyle="1" w:styleId="56">
    <w:name w:val="标题 3 字符"/>
    <w:basedOn w:val="46"/>
    <w:link w:val="5"/>
    <w:locked/>
    <w:uiPriority w:val="99"/>
    <w:rPr>
      <w:rFonts w:ascii="CG Times (WN)" w:hAnsi="CG Times (WN)" w:eastAsia="MingLiU" w:cs="Times New Roman"/>
      <w:b/>
      <w:bCs/>
      <w:kern w:val="0"/>
      <w:sz w:val="32"/>
      <w:szCs w:val="32"/>
      <w:lang w:eastAsia="zh-TW"/>
    </w:rPr>
  </w:style>
  <w:style w:type="character" w:customStyle="1" w:styleId="57">
    <w:name w:val="标题 4 字符"/>
    <w:basedOn w:val="46"/>
    <w:link w:val="6"/>
    <w:locked/>
    <w:uiPriority w:val="99"/>
    <w:rPr>
      <w:rFonts w:ascii="Cambria" w:hAnsi="Cambria" w:eastAsia="宋体" w:cs="Times New Roman"/>
      <w:b/>
      <w:bCs/>
      <w:kern w:val="0"/>
      <w:sz w:val="28"/>
      <w:szCs w:val="28"/>
      <w:lang w:eastAsia="zh-TW"/>
    </w:rPr>
  </w:style>
  <w:style w:type="character" w:customStyle="1" w:styleId="58">
    <w:name w:val="标题 5 字符"/>
    <w:basedOn w:val="46"/>
    <w:link w:val="7"/>
    <w:locked/>
    <w:uiPriority w:val="99"/>
    <w:rPr>
      <w:rFonts w:ascii="CG Times (WN)" w:hAnsi="CG Times (WN)" w:eastAsia="MingLiU" w:cs="Times New Roman"/>
      <w:b/>
      <w:bCs/>
      <w:kern w:val="0"/>
      <w:sz w:val="28"/>
      <w:szCs w:val="28"/>
      <w:lang w:eastAsia="zh-TW"/>
    </w:rPr>
  </w:style>
  <w:style w:type="character" w:customStyle="1" w:styleId="59">
    <w:name w:val="标题 6 字符"/>
    <w:basedOn w:val="46"/>
    <w:link w:val="8"/>
    <w:locked/>
    <w:uiPriority w:val="99"/>
    <w:rPr>
      <w:rFonts w:ascii="Cambria" w:hAnsi="Cambria" w:eastAsia="宋体" w:cs="Times New Roman"/>
      <w:b/>
      <w:bCs/>
      <w:kern w:val="0"/>
      <w:sz w:val="24"/>
      <w:szCs w:val="24"/>
      <w:lang w:eastAsia="zh-TW"/>
    </w:rPr>
  </w:style>
  <w:style w:type="character" w:customStyle="1" w:styleId="60">
    <w:name w:val="标题 7 字符"/>
    <w:basedOn w:val="46"/>
    <w:link w:val="9"/>
    <w:locked/>
    <w:uiPriority w:val="99"/>
    <w:rPr>
      <w:rFonts w:ascii="CG Times (WN)" w:hAnsi="CG Times (WN)" w:eastAsia="MingLiU" w:cs="Times New Roman"/>
      <w:b/>
      <w:bCs/>
      <w:kern w:val="0"/>
      <w:sz w:val="24"/>
      <w:szCs w:val="24"/>
      <w:lang w:eastAsia="zh-TW"/>
    </w:rPr>
  </w:style>
  <w:style w:type="character" w:customStyle="1" w:styleId="61">
    <w:name w:val="标题 8 字符"/>
    <w:basedOn w:val="46"/>
    <w:link w:val="10"/>
    <w:locked/>
    <w:uiPriority w:val="99"/>
    <w:rPr>
      <w:rFonts w:ascii="Cambria" w:hAnsi="Cambria" w:eastAsia="宋体" w:cs="Times New Roman"/>
      <w:kern w:val="0"/>
      <w:sz w:val="24"/>
      <w:szCs w:val="24"/>
      <w:lang w:eastAsia="zh-TW"/>
    </w:rPr>
  </w:style>
  <w:style w:type="character" w:customStyle="1" w:styleId="62">
    <w:name w:val="标题 9 字符"/>
    <w:basedOn w:val="46"/>
    <w:link w:val="11"/>
    <w:locked/>
    <w:uiPriority w:val="99"/>
    <w:rPr>
      <w:rFonts w:ascii="Cambria" w:hAnsi="Cambria" w:eastAsia="宋体" w:cs="Times New Roman"/>
      <w:kern w:val="0"/>
      <w:sz w:val="21"/>
      <w:szCs w:val="21"/>
      <w:lang w:eastAsia="zh-TW"/>
    </w:rPr>
  </w:style>
  <w:style w:type="character" w:customStyle="1" w:styleId="63">
    <w:name w:val="页脚 字符"/>
    <w:basedOn w:val="46"/>
    <w:link w:val="28"/>
    <w:locked/>
    <w:uiPriority w:val="99"/>
    <w:rPr>
      <w:rFonts w:ascii="CG Times (WN)" w:hAnsi="CG Times (WN)" w:eastAsia="MingLiU" w:cs="Times New Roman"/>
      <w:kern w:val="0"/>
      <w:sz w:val="18"/>
      <w:szCs w:val="18"/>
      <w:lang w:eastAsia="zh-TW"/>
    </w:rPr>
  </w:style>
  <w:style w:type="character" w:customStyle="1" w:styleId="64">
    <w:name w:val="页眉 字符"/>
    <w:basedOn w:val="46"/>
    <w:link w:val="29"/>
    <w:locked/>
    <w:uiPriority w:val="99"/>
    <w:rPr>
      <w:rFonts w:ascii="CG Times (WN)" w:hAnsi="CG Times (WN)" w:eastAsia="MingLiU" w:cs="Times New Roman"/>
      <w:kern w:val="0"/>
      <w:sz w:val="18"/>
      <w:szCs w:val="18"/>
      <w:lang w:eastAsia="zh-TW"/>
    </w:rPr>
  </w:style>
  <w:style w:type="character" w:customStyle="1" w:styleId="65">
    <w:name w:val="正文文本 字符"/>
    <w:basedOn w:val="46"/>
    <w:link w:val="18"/>
    <w:locked/>
    <w:uiPriority w:val="99"/>
    <w:rPr>
      <w:rFonts w:ascii="CG Times (WN)" w:hAnsi="CG Times (WN)" w:eastAsia="MingLiU" w:cs="Times New Roman"/>
      <w:kern w:val="0"/>
      <w:sz w:val="20"/>
      <w:szCs w:val="20"/>
      <w:lang w:eastAsia="zh-TW"/>
    </w:rPr>
  </w:style>
  <w:style w:type="character" w:customStyle="1" w:styleId="66">
    <w:name w:val="正文文本缩进 3 字符"/>
    <w:basedOn w:val="46"/>
    <w:link w:val="33"/>
    <w:locked/>
    <w:uiPriority w:val="99"/>
    <w:rPr>
      <w:rFonts w:ascii="CG Times (WN)" w:hAnsi="CG Times (WN)" w:eastAsia="MingLiU" w:cs="Times New Roman"/>
      <w:kern w:val="0"/>
      <w:sz w:val="16"/>
      <w:szCs w:val="16"/>
      <w:lang w:eastAsia="zh-TW"/>
    </w:rPr>
  </w:style>
  <w:style w:type="character" w:customStyle="1" w:styleId="67">
    <w:name w:val="正文文本 2 字符"/>
    <w:basedOn w:val="46"/>
    <w:link w:val="36"/>
    <w:locked/>
    <w:uiPriority w:val="99"/>
    <w:rPr>
      <w:rFonts w:ascii="CG Times (WN)" w:hAnsi="CG Times (WN)" w:eastAsia="MingLiU" w:cs="Times New Roman"/>
      <w:kern w:val="0"/>
      <w:sz w:val="20"/>
      <w:szCs w:val="20"/>
      <w:lang w:eastAsia="zh-TW"/>
    </w:rPr>
  </w:style>
  <w:style w:type="character" w:customStyle="1" w:styleId="68">
    <w:name w:val="正文文本 3 字符"/>
    <w:basedOn w:val="46"/>
    <w:link w:val="16"/>
    <w:locked/>
    <w:uiPriority w:val="99"/>
    <w:rPr>
      <w:rFonts w:ascii="CG Times (WN)" w:hAnsi="CG Times (WN)" w:eastAsia="MingLiU" w:cs="Times New Roman"/>
      <w:kern w:val="0"/>
      <w:sz w:val="16"/>
      <w:szCs w:val="16"/>
      <w:lang w:eastAsia="zh-TW"/>
    </w:rPr>
  </w:style>
  <w:style w:type="character" w:customStyle="1" w:styleId="69">
    <w:name w:val="正文文本缩进 字符"/>
    <w:basedOn w:val="46"/>
    <w:link w:val="19"/>
    <w:locked/>
    <w:uiPriority w:val="99"/>
    <w:rPr>
      <w:rFonts w:ascii="CG Times (WN)" w:hAnsi="CG Times (WN)" w:eastAsia="MingLiU" w:cs="Times New Roman"/>
      <w:kern w:val="0"/>
      <w:sz w:val="20"/>
      <w:szCs w:val="20"/>
      <w:lang w:eastAsia="zh-TW"/>
    </w:rPr>
  </w:style>
  <w:style w:type="character" w:customStyle="1" w:styleId="70">
    <w:name w:val="正文文本缩进 2 字符"/>
    <w:basedOn w:val="46"/>
    <w:link w:val="26"/>
    <w:locked/>
    <w:uiPriority w:val="99"/>
    <w:rPr>
      <w:rFonts w:ascii="CG Times (WN)" w:hAnsi="CG Times (WN)" w:eastAsia="MingLiU" w:cs="Times New Roman"/>
      <w:kern w:val="0"/>
      <w:sz w:val="20"/>
      <w:szCs w:val="20"/>
      <w:lang w:eastAsia="zh-TW"/>
    </w:rPr>
  </w:style>
  <w:style w:type="character" w:customStyle="1" w:styleId="71">
    <w:name w:val="HTML 预设格式 字符"/>
    <w:basedOn w:val="46"/>
    <w:link w:val="37"/>
    <w:locked/>
    <w:uiPriority w:val="99"/>
    <w:rPr>
      <w:rFonts w:ascii="Courier New" w:hAnsi="Courier New" w:eastAsia="MingLiU" w:cs="Courier New"/>
      <w:kern w:val="0"/>
      <w:sz w:val="20"/>
      <w:szCs w:val="20"/>
      <w:lang w:eastAsia="zh-TW"/>
    </w:rPr>
  </w:style>
  <w:style w:type="paragraph" w:customStyle="1" w:styleId="72">
    <w:name w:val="註解方塊文字"/>
    <w:basedOn w:val="1"/>
    <w:semiHidden/>
    <w:uiPriority w:val="99"/>
    <w:rPr>
      <w:rFonts w:ascii="Arial" w:hAnsi="Arial" w:eastAsia="PMingLiU"/>
      <w:sz w:val="18"/>
      <w:szCs w:val="18"/>
    </w:rPr>
  </w:style>
  <w:style w:type="paragraph" w:customStyle="1" w:styleId="73">
    <w:name w:val="公司报告写作"/>
    <w:basedOn w:val="1"/>
    <w:uiPriority w:val="99"/>
    <w:pPr>
      <w:autoSpaceDE/>
      <w:autoSpaceDN/>
      <w:adjustRightInd/>
      <w:spacing w:line="440" w:lineRule="exact"/>
      <w:jc w:val="both"/>
    </w:pPr>
    <w:rPr>
      <w:rFonts w:ascii="Times New Roman" w:hAnsi="Times New Roman" w:eastAsia="PMingLiU"/>
      <w:kern w:val="2"/>
      <w:sz w:val="24"/>
      <w:szCs w:val="24"/>
      <w:lang w:eastAsia="zh-CN"/>
    </w:rPr>
  </w:style>
  <w:style w:type="paragraph" w:customStyle="1" w:styleId="74">
    <w:name w:val="字元 字元 Char Char 字元 字元"/>
    <w:basedOn w:val="1"/>
    <w:uiPriority w:val="99"/>
    <w:pPr>
      <w:autoSpaceDE/>
      <w:autoSpaceDN/>
      <w:adjustRightInd/>
      <w:spacing w:line="240" w:lineRule="auto"/>
      <w:jc w:val="both"/>
    </w:pPr>
    <w:rPr>
      <w:rFonts w:ascii="宋体" w:hAnsi="宋体" w:eastAsia="PMingLiU" w:cs="Courier New"/>
      <w:kern w:val="2"/>
      <w:sz w:val="32"/>
      <w:szCs w:val="32"/>
      <w:lang w:eastAsia="zh-CN"/>
    </w:rPr>
  </w:style>
  <w:style w:type="paragraph" w:customStyle="1" w:styleId="75">
    <w:name w:val="font5"/>
    <w:basedOn w:val="1"/>
    <w:uiPriority w:val="0"/>
    <w:pPr>
      <w:widowControl/>
      <w:autoSpaceDE/>
      <w:autoSpaceDN/>
      <w:adjustRightInd/>
      <w:spacing w:before="100" w:beforeAutospacing="1" w:after="100" w:afterAutospacing="1" w:line="240" w:lineRule="auto"/>
    </w:pPr>
    <w:rPr>
      <w:rFonts w:ascii="宋体" w:hAnsi="宋体" w:eastAsia="PMingLiU" w:cs="宋体"/>
      <w:sz w:val="18"/>
      <w:szCs w:val="18"/>
      <w:lang w:eastAsia="zh-CN"/>
    </w:rPr>
  </w:style>
  <w:style w:type="character" w:customStyle="1" w:styleId="76">
    <w:name w:val="批注框文本 字符"/>
    <w:basedOn w:val="46"/>
    <w:link w:val="27"/>
    <w:semiHidden/>
    <w:locked/>
    <w:uiPriority w:val="99"/>
    <w:rPr>
      <w:rFonts w:ascii="CG Times (WN)" w:hAnsi="CG Times (WN)" w:eastAsia="MingLiU" w:cs="Times New Roman"/>
      <w:kern w:val="0"/>
      <w:sz w:val="2"/>
      <w:lang w:eastAsia="zh-TW"/>
    </w:rPr>
  </w:style>
  <w:style w:type="character" w:customStyle="1" w:styleId="77">
    <w:name w:val="标题 字符"/>
    <w:basedOn w:val="46"/>
    <w:link w:val="39"/>
    <w:locked/>
    <w:uiPriority w:val="99"/>
    <w:rPr>
      <w:rFonts w:ascii="Cambria" w:hAnsi="Cambria" w:eastAsia="宋体" w:cs="Times New Roman"/>
      <w:b/>
      <w:bCs/>
      <w:kern w:val="0"/>
      <w:sz w:val="32"/>
      <w:szCs w:val="32"/>
      <w:lang w:eastAsia="zh-TW"/>
    </w:rPr>
  </w:style>
  <w:style w:type="paragraph" w:customStyle="1" w:styleId="78">
    <w:name w:val="text"/>
    <w:basedOn w:val="1"/>
    <w:uiPriority w:val="99"/>
    <w:pPr>
      <w:widowControl/>
      <w:autoSpaceDE/>
      <w:autoSpaceDN/>
      <w:adjustRightInd/>
      <w:spacing w:before="100" w:after="100" w:line="240" w:lineRule="auto"/>
    </w:pPr>
    <w:rPr>
      <w:rFonts w:ascii="PMingLiU" w:hAnsi="PMingLiU" w:eastAsia="PMingLiU" w:cs="Arial"/>
      <w:sz w:val="20"/>
    </w:rPr>
  </w:style>
  <w:style w:type="character" w:customStyle="1" w:styleId="79">
    <w:name w:val="日期 字符"/>
    <w:basedOn w:val="46"/>
    <w:link w:val="25"/>
    <w:locked/>
    <w:uiPriority w:val="99"/>
    <w:rPr>
      <w:rFonts w:ascii="CG Times (WN)" w:hAnsi="CG Times (WN)" w:eastAsia="MingLiU" w:cs="Times New Roman"/>
      <w:kern w:val="0"/>
      <w:sz w:val="20"/>
      <w:szCs w:val="20"/>
      <w:lang w:eastAsia="zh-TW"/>
    </w:rPr>
  </w:style>
  <w:style w:type="paragraph" w:customStyle="1" w:styleId="80">
    <w:name w:val="字元 字元 Char Char 字元 字元 Char Char Char Char Char Char Char Char Char Char Char Char 字元 字元 Char Char"/>
    <w:basedOn w:val="1"/>
    <w:qFormat/>
    <w:uiPriority w:val="99"/>
    <w:pPr>
      <w:autoSpaceDE/>
      <w:autoSpaceDN/>
      <w:adjustRightInd/>
      <w:spacing w:line="240" w:lineRule="auto"/>
      <w:jc w:val="both"/>
    </w:pPr>
    <w:rPr>
      <w:rFonts w:ascii="宋体" w:hAnsi="宋体" w:eastAsia="PMingLiU" w:cs="Courier New"/>
      <w:kern w:val="2"/>
      <w:sz w:val="32"/>
      <w:szCs w:val="32"/>
      <w:lang w:eastAsia="zh-CN"/>
    </w:rPr>
  </w:style>
  <w:style w:type="character" w:customStyle="1" w:styleId="81">
    <w:name w:val="word"/>
    <w:basedOn w:val="46"/>
    <w:uiPriority w:val="99"/>
    <w:rPr>
      <w:rFonts w:cs="Times New Roman"/>
    </w:rPr>
  </w:style>
  <w:style w:type="paragraph" w:customStyle="1" w:styleId="82">
    <w:name w:val="xl26"/>
    <w:basedOn w:val="1"/>
    <w:uiPriority w:val="99"/>
    <w:pPr>
      <w:widowControl/>
      <w:pBdr>
        <w:bottom w:val="single" w:color="auto" w:sz="4" w:space="0"/>
        <w:right w:val="single" w:color="auto" w:sz="4" w:space="0"/>
      </w:pBdr>
      <w:autoSpaceDE/>
      <w:autoSpaceDN/>
      <w:adjustRightInd/>
      <w:spacing w:before="100" w:beforeAutospacing="1" w:after="100" w:afterAutospacing="1" w:line="240" w:lineRule="auto"/>
      <w:jc w:val="center"/>
    </w:pPr>
    <w:rPr>
      <w:rFonts w:ascii="ZapfHumnst BT" w:hAnsi="ZapfHumnst BT" w:eastAsia="PMingLiU" w:cs="ZapfHumnst BT"/>
      <w:sz w:val="20"/>
      <w:lang w:eastAsia="zh-CN"/>
    </w:rPr>
  </w:style>
  <w:style w:type="paragraph" w:customStyle="1" w:styleId="83">
    <w:name w:val="表格内文字"/>
    <w:basedOn w:val="1"/>
    <w:uiPriority w:val="99"/>
    <w:pPr>
      <w:autoSpaceDE/>
      <w:autoSpaceDN/>
      <w:snapToGrid w:val="0"/>
      <w:spacing w:line="240" w:lineRule="auto"/>
      <w:jc w:val="both"/>
      <w:textAlignment w:val="bottom"/>
    </w:pPr>
    <w:rPr>
      <w:rFonts w:ascii="华文细黑" w:hAnsi="Times New Roman" w:eastAsia="Times New Roman"/>
      <w:kern w:val="2"/>
      <w:sz w:val="20"/>
      <w:szCs w:val="18"/>
      <w:lang w:eastAsia="zh-CN"/>
    </w:rPr>
  </w:style>
  <w:style w:type="paragraph" w:customStyle="1" w:styleId="84">
    <w:name w:val="Revision"/>
    <w:hidden/>
    <w:semiHidden/>
    <w:uiPriority w:val="99"/>
    <w:rPr>
      <w:rFonts w:ascii="CG Times (WN)" w:hAnsi="CG Times (WN)" w:eastAsia="MingLiU" w:cs="Times New Roman"/>
      <w:sz w:val="23"/>
      <w:lang w:val="en-US" w:eastAsia="zh-TW" w:bidi="ar-SA"/>
    </w:rPr>
  </w:style>
  <w:style w:type="paragraph" w:customStyle="1" w:styleId="85">
    <w:name w:val="字元 字元 字元 Char Char 字元"/>
    <w:basedOn w:val="1"/>
    <w:uiPriority w:val="99"/>
    <w:pPr>
      <w:widowControl/>
      <w:autoSpaceDE/>
      <w:autoSpaceDN/>
      <w:adjustRightInd/>
      <w:spacing w:after="160" w:line="240" w:lineRule="exact"/>
    </w:pPr>
    <w:rPr>
      <w:rFonts w:ascii="Verdana" w:hAnsi="Verdana" w:eastAsia="PMingLiU"/>
      <w:sz w:val="20"/>
      <w:lang w:eastAsia="en-US"/>
    </w:rPr>
  </w:style>
  <w:style w:type="character" w:customStyle="1" w:styleId="86">
    <w:name w:val="文档结构图 字符"/>
    <w:basedOn w:val="46"/>
    <w:link w:val="13"/>
    <w:locked/>
    <w:uiPriority w:val="99"/>
    <w:rPr>
      <w:rFonts w:ascii="宋体" w:hAnsi="CG Times (WN)" w:eastAsia="Times New Roman" w:cs="Times New Roman"/>
      <w:sz w:val="18"/>
      <w:szCs w:val="18"/>
      <w:lang w:eastAsia="zh-TW"/>
    </w:rPr>
  </w:style>
  <w:style w:type="paragraph" w:customStyle="1" w:styleId="87">
    <w:name w:val="TOC Heading"/>
    <w:basedOn w:val="2"/>
    <w:next w:val="1"/>
    <w:qFormat/>
    <w:uiPriority w:val="39"/>
    <w:pPr>
      <w:keepLines/>
      <w:widowControl/>
      <w:tabs>
        <w:tab w:val="clear" w:pos="600"/>
      </w:tabs>
      <w:autoSpaceDE/>
      <w:autoSpaceDN/>
      <w:adjustRightInd/>
      <w:spacing w:before="480" w:line="276" w:lineRule="auto"/>
      <w:jc w:val="left"/>
      <w:outlineLvl w:val="9"/>
    </w:pPr>
    <w:rPr>
      <w:rFonts w:ascii="Cambria" w:hAnsi="Cambria" w:eastAsia="宋体"/>
      <w:bCs/>
      <w:color w:val="365F91"/>
      <w:sz w:val="28"/>
      <w:szCs w:val="28"/>
      <w:lang w:eastAsia="en-US"/>
    </w:rPr>
  </w:style>
  <w:style w:type="character" w:customStyle="1" w:styleId="88">
    <w:name w:val="批注文字 字符"/>
    <w:basedOn w:val="46"/>
    <w:link w:val="14"/>
    <w:locked/>
    <w:uiPriority w:val="99"/>
    <w:rPr>
      <w:rFonts w:ascii="CG Times (WN)" w:hAnsi="CG Times (WN)" w:eastAsia="MingLiU" w:cs="Times New Roman"/>
      <w:lang w:eastAsia="zh-TW"/>
    </w:rPr>
  </w:style>
  <w:style w:type="character" w:customStyle="1" w:styleId="89">
    <w:name w:val="批注主题 字符"/>
    <w:basedOn w:val="88"/>
    <w:link w:val="40"/>
    <w:locked/>
    <w:uiPriority w:val="99"/>
    <w:rPr>
      <w:rFonts w:ascii="CG Times (WN)" w:hAnsi="CG Times (WN)" w:eastAsia="MingLiU" w:cs="Times New Roman"/>
      <w:b/>
      <w:bCs/>
      <w:lang w:eastAsia="zh-TW"/>
    </w:rPr>
  </w:style>
  <w:style w:type="paragraph" w:styleId="90">
    <w:name w:val="List Paragraph"/>
    <w:basedOn w:val="1"/>
    <w:link w:val="246"/>
    <w:qFormat/>
    <w:uiPriority w:val="34"/>
    <w:pPr>
      <w:ind w:left="720"/>
      <w:contextualSpacing/>
    </w:pPr>
  </w:style>
  <w:style w:type="paragraph" w:customStyle="1" w:styleId="91">
    <w:name w:val="字元 字元 字元 字元 字元"/>
    <w:basedOn w:val="1"/>
    <w:uiPriority w:val="99"/>
    <w:pPr>
      <w:widowControl/>
      <w:autoSpaceDE/>
      <w:autoSpaceDN/>
      <w:adjustRightInd/>
      <w:spacing w:after="160" w:line="240" w:lineRule="exact"/>
    </w:pPr>
    <w:rPr>
      <w:rFonts w:ascii="Verdana" w:hAnsi="Verdana" w:eastAsia="PMingLiU"/>
      <w:sz w:val="20"/>
      <w:lang w:eastAsia="en-US"/>
    </w:rPr>
  </w:style>
  <w:style w:type="character" w:customStyle="1" w:styleId="92">
    <w:name w:val="结束语 字符"/>
    <w:basedOn w:val="46"/>
    <w:link w:val="17"/>
    <w:locked/>
    <w:uiPriority w:val="99"/>
    <w:rPr>
      <w:rFonts w:ascii="DFKai-SB" w:hAnsi="CF-A2¡Lq¡±oAe" w:eastAsia="Times New Roman" w:cs="Times New Roman"/>
      <w:sz w:val="24"/>
      <w:lang w:eastAsia="zh-TW"/>
    </w:rPr>
  </w:style>
  <w:style w:type="paragraph" w:styleId="93">
    <w:name w:val="No Spacing"/>
    <w:link w:val="94"/>
    <w:qFormat/>
    <w:uiPriority w:val="1"/>
    <w:rPr>
      <w:rFonts w:ascii="Calibri" w:hAnsi="Calibri" w:eastAsia="宋体" w:cs="Times New Roman"/>
      <w:sz w:val="22"/>
      <w:szCs w:val="22"/>
      <w:lang w:val="en-US" w:eastAsia="zh-CN" w:bidi="ar-SA"/>
    </w:rPr>
  </w:style>
  <w:style w:type="character" w:customStyle="1" w:styleId="94">
    <w:name w:val="无间隔 字符"/>
    <w:basedOn w:val="46"/>
    <w:link w:val="93"/>
    <w:uiPriority w:val="1"/>
    <w:rPr>
      <w:rFonts w:ascii="Calibri" w:hAnsi="Calibri" w:eastAsia="宋体"/>
      <w:sz w:val="22"/>
      <w:szCs w:val="22"/>
      <w:lang w:val="en-US" w:eastAsia="zh-CN" w:bidi="ar-SA"/>
    </w:rPr>
  </w:style>
  <w:style w:type="table" w:customStyle="1" w:styleId="95">
    <w:name w:val="浅色底纹1"/>
    <w:basedOn w:val="41"/>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96">
    <w:name w:val="样式1"/>
    <w:basedOn w:val="43"/>
    <w:qFormat/>
    <w:uiPriority w:val="99"/>
    <w:tblStylePr w:type="firstRow">
      <w:rPr>
        <w:rFonts w:cs="Times New Roman"/>
        <w:b/>
        <w:bCs/>
        <w:color w:val="auto"/>
      </w:rPr>
      <w:tcPr>
        <w:tcBorders>
          <w:tl2br w:val="nil"/>
          <w:tr2bl w:val="nil"/>
        </w:tcBorders>
        <w:shd w:val="pct20" w:color="000000" w:fill="FFFFFF"/>
      </w:tcPr>
    </w:tblStylePr>
    <w:tblStylePr w:type="band1Horz">
      <w:rPr>
        <w:rFonts w:cs="Times New Roman"/>
        <w:color w:val="auto"/>
      </w:rPr>
      <w:tcPr>
        <w:tcBorders>
          <w:tl2br w:val="nil"/>
          <w:tr2bl w:val="nil"/>
        </w:tcBorders>
        <w:shd w:val="pct5" w:color="000000" w:fill="FFFFFF"/>
      </w:tcPr>
    </w:tblStylePr>
    <w:tblStylePr w:type="band2Horz">
      <w:rPr>
        <w:rFonts w:cs="Times New Roman"/>
        <w:color w:val="auto"/>
      </w:rPr>
      <w:tcPr>
        <w:tcBorders>
          <w:tl2br w:val="nil"/>
          <w:tr2bl w:val="nil"/>
        </w:tcBorders>
        <w:shd w:val="pct20" w:color="000000" w:fill="FFFFFF"/>
      </w:tcPr>
    </w:tblStylePr>
  </w:style>
  <w:style w:type="paragraph" w:customStyle="1" w:styleId="97">
    <w:name w:val="DTZ Client Name"/>
    <w:uiPriority w:val="99"/>
    <w:pPr>
      <w:autoSpaceDE w:val="0"/>
      <w:autoSpaceDN w:val="0"/>
      <w:adjustRightInd w:val="0"/>
    </w:pPr>
    <w:rPr>
      <w:rFonts w:ascii="Arial" w:hAnsi="Arial" w:eastAsia="宋体" w:cs="Arial"/>
      <w:b/>
      <w:sz w:val="32"/>
      <w:szCs w:val="36"/>
      <w:lang w:val="en-GB" w:eastAsia="en-GB" w:bidi="ar-SA"/>
    </w:rPr>
  </w:style>
  <w:style w:type="paragraph" w:customStyle="1" w:styleId="98">
    <w:name w:val="DTZSource-6pt"/>
    <w:basedOn w:val="1"/>
    <w:qFormat/>
    <w:uiPriority w:val="0"/>
    <w:pPr>
      <w:widowControl/>
      <w:autoSpaceDE/>
      <w:autoSpaceDN/>
      <w:adjustRightInd/>
      <w:spacing w:before="60" w:after="60" w:line="240" w:lineRule="auto"/>
    </w:pPr>
    <w:rPr>
      <w:rFonts w:ascii="Arial" w:hAnsi="Arial" w:eastAsia="宋体" w:cs="Arial"/>
      <w:sz w:val="12"/>
      <w:szCs w:val="12"/>
      <w:lang w:val="en-GB" w:eastAsia="zh-CN"/>
    </w:rPr>
  </w:style>
  <w:style w:type="paragraph" w:customStyle="1" w:styleId="99">
    <w:name w:val="DTZChartTitle-10pt"/>
    <w:basedOn w:val="1"/>
    <w:qFormat/>
    <w:uiPriority w:val="0"/>
    <w:pPr>
      <w:widowControl/>
      <w:autoSpaceDE/>
      <w:autoSpaceDN/>
      <w:adjustRightInd/>
      <w:spacing w:before="60" w:after="60" w:line="240" w:lineRule="auto"/>
    </w:pPr>
    <w:rPr>
      <w:rFonts w:ascii="Arial" w:hAnsi="Arial" w:eastAsia="宋体" w:cs="Arial"/>
      <w:b/>
      <w:sz w:val="20"/>
      <w:lang w:val="en-GB" w:eastAsia="zh-CN"/>
    </w:rPr>
  </w:style>
  <w:style w:type="paragraph" w:customStyle="1" w:styleId="100">
    <w:name w:val="DTZTblTxtBold-9pt"/>
    <w:basedOn w:val="1"/>
    <w:link w:val="101"/>
    <w:qFormat/>
    <w:uiPriority w:val="0"/>
    <w:pPr>
      <w:widowControl/>
      <w:autoSpaceDE/>
      <w:autoSpaceDN/>
      <w:adjustRightInd/>
      <w:spacing w:before="60" w:after="60" w:line="240" w:lineRule="auto"/>
    </w:pPr>
    <w:rPr>
      <w:rFonts w:ascii="Arial" w:hAnsi="Arial" w:eastAsia="宋体" w:cs="Arial"/>
      <w:b/>
      <w:sz w:val="18"/>
      <w:szCs w:val="18"/>
      <w:lang w:val="en-GB" w:eastAsia="zh-CN"/>
    </w:rPr>
  </w:style>
  <w:style w:type="character" w:customStyle="1" w:styleId="101">
    <w:name w:val="DTZTblTxtBold-9pt Char"/>
    <w:basedOn w:val="46"/>
    <w:link w:val="100"/>
    <w:uiPriority w:val="0"/>
    <w:rPr>
      <w:rFonts w:ascii="Arial" w:hAnsi="Arial" w:eastAsia="宋体" w:cs="Arial"/>
      <w:b/>
      <w:sz w:val="18"/>
      <w:szCs w:val="18"/>
      <w:lang w:val="en-GB"/>
    </w:rPr>
  </w:style>
  <w:style w:type="paragraph" w:customStyle="1" w:styleId="102">
    <w:name w:val="DTZChartNo-9pt"/>
    <w:basedOn w:val="1"/>
    <w:link w:val="103"/>
    <w:qFormat/>
    <w:uiPriority w:val="0"/>
    <w:pPr>
      <w:widowControl/>
      <w:autoSpaceDE/>
      <w:autoSpaceDN/>
      <w:adjustRightInd/>
      <w:spacing w:after="60" w:line="240" w:lineRule="auto"/>
    </w:pPr>
    <w:rPr>
      <w:rFonts w:ascii="Arial" w:hAnsi="Arial" w:eastAsia="宋体" w:cs="Arial"/>
      <w:sz w:val="18"/>
      <w:szCs w:val="18"/>
      <w:lang w:val="en-GB" w:eastAsia="zh-CN"/>
    </w:rPr>
  </w:style>
  <w:style w:type="character" w:customStyle="1" w:styleId="103">
    <w:name w:val="DTZChartNo-9pt Char"/>
    <w:basedOn w:val="46"/>
    <w:link w:val="102"/>
    <w:uiPriority w:val="0"/>
    <w:rPr>
      <w:rFonts w:ascii="Arial" w:hAnsi="Arial" w:eastAsia="宋体" w:cs="Arial"/>
      <w:sz w:val="18"/>
      <w:szCs w:val="18"/>
      <w:lang w:val="en-GB"/>
    </w:rPr>
  </w:style>
  <w:style w:type="paragraph" w:customStyle="1" w:styleId="104">
    <w:name w:val="xl42"/>
    <w:basedOn w:val="1"/>
    <w:uiPriority w:val="0"/>
    <w:pPr>
      <w:widowControl/>
      <w:pBdr>
        <w:top w:val="single" w:color="auto" w:sz="8" w:space="0"/>
      </w:pBdr>
      <w:shd w:val="clear" w:color="auto" w:fill="CCFFFF"/>
      <w:autoSpaceDE/>
      <w:autoSpaceDN/>
      <w:adjustRightInd/>
      <w:spacing w:before="100" w:beforeAutospacing="1" w:after="100" w:afterAutospacing="1" w:line="240" w:lineRule="auto"/>
    </w:pPr>
    <w:rPr>
      <w:rFonts w:hint="eastAsia" w:ascii="楷体_GB2312" w:hAnsi="Arial Unicode MS" w:eastAsia="楷体_GB2312"/>
      <w:sz w:val="22"/>
      <w:szCs w:val="22"/>
      <w:lang w:eastAsia="zh-CN"/>
    </w:rPr>
  </w:style>
  <w:style w:type="character" w:customStyle="1" w:styleId="105">
    <w:name w:val="apple-style-span"/>
    <w:basedOn w:val="46"/>
    <w:uiPriority w:val="0"/>
  </w:style>
  <w:style w:type="paragraph" w:styleId="106">
    <w:name w:val="Intense Quote"/>
    <w:basedOn w:val="1"/>
    <w:next w:val="1"/>
    <w:link w:val="107"/>
    <w:qFormat/>
    <w:uiPriority w:val="30"/>
    <w:pPr>
      <w:widowControl/>
      <w:pBdr>
        <w:bottom w:val="single" w:color="4F81BD" w:sz="4" w:space="4"/>
      </w:pBdr>
      <w:autoSpaceDE/>
      <w:autoSpaceDN/>
      <w:adjustRightInd/>
      <w:spacing w:before="200" w:after="280" w:line="276" w:lineRule="auto"/>
      <w:ind w:left="936" w:right="936"/>
    </w:pPr>
    <w:rPr>
      <w:rFonts w:ascii="Calibri" w:hAnsi="Calibri" w:eastAsia="宋体"/>
      <w:b/>
      <w:bCs/>
      <w:i/>
      <w:iCs/>
      <w:color w:val="4F81BD"/>
      <w:sz w:val="22"/>
      <w:szCs w:val="22"/>
      <w:lang w:eastAsia="en-US" w:bidi="en-US"/>
    </w:rPr>
  </w:style>
  <w:style w:type="character" w:customStyle="1" w:styleId="107">
    <w:name w:val="明显引用 字符"/>
    <w:basedOn w:val="46"/>
    <w:link w:val="106"/>
    <w:uiPriority w:val="30"/>
    <w:rPr>
      <w:rFonts w:ascii="Calibri" w:hAnsi="Calibri" w:eastAsia="宋体"/>
      <w:b/>
      <w:bCs/>
      <w:i/>
      <w:iCs/>
      <w:color w:val="4F81BD"/>
      <w:sz w:val="22"/>
      <w:szCs w:val="22"/>
      <w:lang w:eastAsia="en-US" w:bidi="en-US"/>
    </w:rPr>
  </w:style>
  <w:style w:type="paragraph" w:customStyle="1" w:styleId="108">
    <w:name w:val="1"/>
    <w:basedOn w:val="1"/>
    <w:next w:val="26"/>
    <w:uiPriority w:val="0"/>
    <w:pPr>
      <w:autoSpaceDE/>
      <w:autoSpaceDN/>
      <w:spacing w:line="360" w:lineRule="auto"/>
      <w:ind w:firstLine="600"/>
      <w:jc w:val="both"/>
      <w:textAlignment w:val="baseline"/>
    </w:pPr>
    <w:rPr>
      <w:rFonts w:ascii="Times New Roman" w:hAnsi="Times New Roman" w:eastAsia="宋体"/>
      <w:sz w:val="28"/>
      <w:lang w:eastAsia="zh-CN"/>
    </w:rPr>
  </w:style>
  <w:style w:type="paragraph" w:customStyle="1" w:styleId="109">
    <w:name w:val="报告正文 Char Char"/>
    <w:basedOn w:val="1"/>
    <w:link w:val="110"/>
    <w:uiPriority w:val="0"/>
    <w:pPr>
      <w:widowControl/>
      <w:autoSpaceDE/>
      <w:autoSpaceDN/>
      <w:adjustRightInd/>
      <w:snapToGrid w:val="0"/>
      <w:spacing w:after="200" w:line="336" w:lineRule="auto"/>
      <w:ind w:left="2603"/>
      <w:jc w:val="both"/>
    </w:pPr>
    <w:rPr>
      <w:rFonts w:ascii="华文细黑" w:hAnsi="Times New Roman" w:eastAsia="华文细黑" w:cs="宋体"/>
      <w:kern w:val="2"/>
      <w:sz w:val="22"/>
      <w:szCs w:val="22"/>
      <w:lang w:eastAsia="zh-CN" w:bidi="en-US"/>
    </w:rPr>
  </w:style>
  <w:style w:type="character" w:customStyle="1" w:styleId="110">
    <w:name w:val="报告正文 Char Char Char"/>
    <w:basedOn w:val="46"/>
    <w:link w:val="109"/>
    <w:uiPriority w:val="0"/>
    <w:rPr>
      <w:rFonts w:ascii="华文细黑" w:eastAsia="华文细黑" w:cs="宋体"/>
      <w:kern w:val="2"/>
      <w:sz w:val="22"/>
      <w:szCs w:val="22"/>
      <w:lang w:bidi="en-US"/>
    </w:rPr>
  </w:style>
  <w:style w:type="character" w:styleId="111">
    <w:name w:val="Placeholder Text"/>
    <w:basedOn w:val="46"/>
    <w:semiHidden/>
    <w:uiPriority w:val="99"/>
    <w:rPr>
      <w:color w:val="808080"/>
    </w:rPr>
  </w:style>
  <w:style w:type="paragraph" w:customStyle="1" w:styleId="112">
    <w:name w:val="估价报告目录"/>
    <w:basedOn w:val="30"/>
    <w:link w:val="116"/>
    <w:uiPriority w:val="0"/>
  </w:style>
  <w:style w:type="paragraph" w:customStyle="1" w:styleId="113">
    <w:name w:val="估价报告目录1"/>
    <w:basedOn w:val="112"/>
    <w:link w:val="117"/>
    <w:uiPriority w:val="0"/>
  </w:style>
  <w:style w:type="character" w:customStyle="1" w:styleId="114">
    <w:name w:val="TOC 1 字符"/>
    <w:basedOn w:val="46"/>
    <w:link w:val="30"/>
    <w:uiPriority w:val="39"/>
    <w:rPr>
      <w:rFonts w:ascii="Calibri" w:hAnsi="Calibri" w:eastAsia="华文细黑" w:cs="Arial"/>
      <w:b/>
      <w:bCs/>
      <w:sz w:val="22"/>
    </w:rPr>
  </w:style>
  <w:style w:type="character" w:customStyle="1" w:styleId="115">
    <w:name w:val="估价报告目录 Char"/>
    <w:basedOn w:val="114"/>
    <w:uiPriority w:val="0"/>
    <w:rPr>
      <w:rFonts w:ascii="Calibri" w:hAnsi="Calibri" w:eastAsia="华文细黑" w:cs="Arial"/>
      <w:sz w:val="22"/>
    </w:rPr>
  </w:style>
  <w:style w:type="character" w:customStyle="1" w:styleId="116">
    <w:name w:val="估价报告目录 Char1"/>
    <w:basedOn w:val="114"/>
    <w:link w:val="112"/>
    <w:uiPriority w:val="0"/>
    <w:rPr>
      <w:rFonts w:ascii="Calibri" w:hAnsi="Calibri" w:eastAsia="华文细黑" w:cs="Arial"/>
      <w:sz w:val="22"/>
    </w:rPr>
  </w:style>
  <w:style w:type="character" w:customStyle="1" w:styleId="117">
    <w:name w:val="估价报告目录1 Char"/>
    <w:basedOn w:val="116"/>
    <w:link w:val="113"/>
    <w:uiPriority w:val="0"/>
    <w:rPr>
      <w:rFonts w:ascii="Calibri" w:hAnsi="Calibri" w:eastAsia="华文细黑" w:cs="Arial"/>
      <w:sz w:val="22"/>
    </w:rPr>
  </w:style>
  <w:style w:type="paragraph" w:customStyle="1" w:styleId="118">
    <w:name w:val="v目录1"/>
    <w:basedOn w:val="113"/>
    <w:link w:val="119"/>
    <w:qFormat/>
    <w:uiPriority w:val="0"/>
  </w:style>
  <w:style w:type="character" w:customStyle="1" w:styleId="119">
    <w:name w:val="v目录1 Char"/>
    <w:basedOn w:val="117"/>
    <w:link w:val="118"/>
    <w:uiPriority w:val="0"/>
    <w:rPr>
      <w:rFonts w:ascii="Calibri" w:hAnsi="Calibri" w:eastAsia="华文细黑" w:cs="Arial"/>
      <w:sz w:val="22"/>
    </w:rPr>
  </w:style>
  <w:style w:type="paragraph" w:customStyle="1" w:styleId="120">
    <w:name w:val="URL"/>
    <w:basedOn w:val="1"/>
    <w:qFormat/>
    <w:uiPriority w:val="0"/>
    <w:pPr>
      <w:widowControl/>
      <w:autoSpaceDE/>
      <w:autoSpaceDN/>
      <w:adjustRightInd/>
      <w:spacing w:line="216" w:lineRule="atLeast"/>
    </w:pPr>
    <w:rPr>
      <w:rFonts w:ascii="Calibri" w:hAnsi="Calibri" w:eastAsia="PMingLiU"/>
      <w:b/>
      <w:color w:val="008B98"/>
      <w:sz w:val="18"/>
      <w:szCs w:val="24"/>
      <w:lang w:val="en-GB" w:eastAsia="en-GB"/>
    </w:rPr>
  </w:style>
  <w:style w:type="paragraph" w:customStyle="1" w:styleId="121">
    <w:name w:val="Footer_Detail"/>
    <w:basedOn w:val="1"/>
    <w:uiPriority w:val="0"/>
    <w:pPr>
      <w:widowControl/>
      <w:autoSpaceDE/>
      <w:autoSpaceDN/>
      <w:adjustRightInd/>
      <w:spacing w:line="216" w:lineRule="atLeast"/>
    </w:pPr>
    <w:rPr>
      <w:rFonts w:ascii="Calibri" w:hAnsi="Calibri" w:eastAsia="PMingLiU"/>
      <w:color w:val="000000"/>
      <w:sz w:val="18"/>
      <w:szCs w:val="24"/>
      <w:lang w:val="en-GB" w:eastAsia="en-GB"/>
    </w:rPr>
  </w:style>
  <w:style w:type="paragraph" w:customStyle="1" w:styleId="122">
    <w:name w:val="Footer_Disclaimer"/>
    <w:basedOn w:val="1"/>
    <w:uiPriority w:val="0"/>
    <w:pPr>
      <w:widowControl/>
      <w:autoSpaceDE/>
      <w:autoSpaceDN/>
      <w:adjustRightInd/>
      <w:spacing w:line="160" w:lineRule="atLeast"/>
    </w:pPr>
    <w:rPr>
      <w:rFonts w:ascii="Calibri" w:hAnsi="Calibri" w:eastAsia="PMingLiU"/>
      <w:color w:val="000000"/>
      <w:sz w:val="13"/>
      <w:szCs w:val="24"/>
      <w:lang w:val="en-GB" w:eastAsia="en-GB"/>
    </w:rPr>
  </w:style>
  <w:style w:type="paragraph" w:customStyle="1" w:styleId="123">
    <w:name w:val="Footer_Limited"/>
    <w:basedOn w:val="122"/>
    <w:semiHidden/>
    <w:uiPriority w:val="0"/>
    <w:pPr>
      <w:spacing w:before="80" w:after="20"/>
    </w:pPr>
    <w:rPr>
      <w:b/>
    </w:rPr>
  </w:style>
  <w:style w:type="paragraph" w:customStyle="1" w:styleId="124">
    <w:name w:val="DocType"/>
    <w:basedOn w:val="1"/>
    <w:semiHidden/>
    <w:uiPriority w:val="0"/>
    <w:pPr>
      <w:widowControl/>
      <w:autoSpaceDE/>
      <w:autoSpaceDN/>
      <w:adjustRightInd/>
      <w:spacing w:line="192" w:lineRule="auto"/>
    </w:pPr>
    <w:rPr>
      <w:rFonts w:ascii="Calibri" w:hAnsi="Calibri" w:eastAsia="PMingLiU"/>
      <w:b/>
      <w:color w:val="008B98"/>
      <w:sz w:val="48"/>
      <w:szCs w:val="24"/>
      <w:lang w:val="en-GB" w:eastAsia="en-GB"/>
    </w:rPr>
  </w:style>
  <w:style w:type="paragraph" w:customStyle="1" w:styleId="125">
    <w:name w:val="reader-word-layer"/>
    <w:basedOn w:val="1"/>
    <w:uiPriority w:val="0"/>
    <w:pPr>
      <w:widowControl/>
      <w:autoSpaceDE/>
      <w:autoSpaceDN/>
      <w:adjustRightInd/>
      <w:spacing w:before="100" w:beforeAutospacing="1" w:after="100" w:afterAutospacing="1" w:line="240" w:lineRule="auto"/>
    </w:pPr>
    <w:rPr>
      <w:rFonts w:ascii="宋体" w:hAnsi="宋体" w:eastAsia="宋体" w:cs="宋体"/>
      <w:sz w:val="24"/>
      <w:szCs w:val="24"/>
      <w:lang w:eastAsia="zh-CN"/>
    </w:rPr>
  </w:style>
  <w:style w:type="paragraph" w:customStyle="1" w:styleId="126">
    <w:name w:val="msonormal"/>
    <w:basedOn w:val="1"/>
    <w:uiPriority w:val="0"/>
    <w:pPr>
      <w:widowControl/>
      <w:autoSpaceDE/>
      <w:autoSpaceDN/>
      <w:adjustRightInd/>
      <w:spacing w:before="100" w:beforeAutospacing="1" w:after="100" w:afterAutospacing="1" w:line="240" w:lineRule="auto"/>
    </w:pPr>
    <w:rPr>
      <w:rFonts w:ascii="宋体" w:hAnsi="宋体" w:eastAsia="宋体" w:cs="宋体"/>
      <w:sz w:val="24"/>
      <w:szCs w:val="24"/>
      <w:lang w:eastAsia="zh-CN"/>
    </w:rPr>
  </w:style>
  <w:style w:type="paragraph" w:customStyle="1" w:styleId="127">
    <w:name w:val="font6"/>
    <w:basedOn w:val="1"/>
    <w:uiPriority w:val="0"/>
    <w:pPr>
      <w:widowControl/>
      <w:autoSpaceDE/>
      <w:autoSpaceDN/>
      <w:adjustRightInd/>
      <w:spacing w:before="100" w:beforeAutospacing="1" w:after="100" w:afterAutospacing="1" w:line="240" w:lineRule="auto"/>
    </w:pPr>
    <w:rPr>
      <w:rFonts w:ascii="宋体" w:hAnsi="宋体" w:eastAsia="宋体" w:cs="宋体"/>
      <w:sz w:val="18"/>
      <w:szCs w:val="18"/>
      <w:lang w:eastAsia="zh-CN"/>
    </w:rPr>
  </w:style>
  <w:style w:type="paragraph" w:customStyle="1" w:styleId="128">
    <w:name w:val="font7"/>
    <w:basedOn w:val="1"/>
    <w:uiPriority w:val="0"/>
    <w:pPr>
      <w:widowControl/>
      <w:autoSpaceDE/>
      <w:autoSpaceDN/>
      <w:adjustRightInd/>
      <w:spacing w:before="100" w:beforeAutospacing="1" w:after="100" w:afterAutospacing="1" w:line="240" w:lineRule="auto"/>
    </w:pPr>
    <w:rPr>
      <w:rFonts w:ascii="华文细黑" w:hAnsi="华文细黑" w:eastAsia="华文细黑" w:cs="宋体"/>
      <w:sz w:val="20"/>
      <w:lang w:eastAsia="zh-CN"/>
    </w:rPr>
  </w:style>
  <w:style w:type="paragraph" w:customStyle="1" w:styleId="129">
    <w:name w:val="font8"/>
    <w:basedOn w:val="1"/>
    <w:uiPriority w:val="0"/>
    <w:pPr>
      <w:widowControl/>
      <w:autoSpaceDE/>
      <w:autoSpaceDN/>
      <w:adjustRightInd/>
      <w:spacing w:before="100" w:beforeAutospacing="1" w:after="100" w:afterAutospacing="1" w:line="240" w:lineRule="auto"/>
    </w:pPr>
    <w:rPr>
      <w:rFonts w:ascii="华文细黑" w:hAnsi="华文细黑" w:eastAsia="华文细黑" w:cs="宋体"/>
      <w:b/>
      <w:bCs/>
      <w:sz w:val="20"/>
      <w:lang w:eastAsia="zh-CN"/>
    </w:rPr>
  </w:style>
  <w:style w:type="paragraph" w:customStyle="1" w:styleId="130">
    <w:name w:val="font9"/>
    <w:basedOn w:val="1"/>
    <w:uiPriority w:val="0"/>
    <w:pPr>
      <w:widowControl/>
      <w:autoSpaceDE/>
      <w:autoSpaceDN/>
      <w:adjustRightInd/>
      <w:spacing w:before="100" w:beforeAutospacing="1" w:after="100" w:afterAutospacing="1" w:line="240" w:lineRule="auto"/>
    </w:pPr>
    <w:rPr>
      <w:rFonts w:ascii="Calibri" w:hAnsi="Calibri" w:eastAsia="宋体" w:cs="宋体"/>
      <w:b/>
      <w:bCs/>
      <w:sz w:val="20"/>
      <w:lang w:eastAsia="zh-CN"/>
    </w:rPr>
  </w:style>
  <w:style w:type="paragraph" w:customStyle="1" w:styleId="131">
    <w:name w:val="font10"/>
    <w:basedOn w:val="1"/>
    <w:uiPriority w:val="0"/>
    <w:pPr>
      <w:widowControl/>
      <w:autoSpaceDE/>
      <w:autoSpaceDN/>
      <w:adjustRightInd/>
      <w:spacing w:before="100" w:beforeAutospacing="1" w:after="100" w:afterAutospacing="1" w:line="240" w:lineRule="auto"/>
    </w:pPr>
    <w:rPr>
      <w:rFonts w:ascii="宋体" w:hAnsi="宋体" w:eastAsia="宋体" w:cs="宋体"/>
      <w:sz w:val="18"/>
      <w:szCs w:val="18"/>
      <w:lang w:eastAsia="zh-CN"/>
    </w:rPr>
  </w:style>
  <w:style w:type="paragraph" w:customStyle="1" w:styleId="132">
    <w:name w:val="font11"/>
    <w:basedOn w:val="1"/>
    <w:uiPriority w:val="0"/>
    <w:pPr>
      <w:widowControl/>
      <w:autoSpaceDE/>
      <w:autoSpaceDN/>
      <w:adjustRightInd/>
      <w:spacing w:before="100" w:beforeAutospacing="1" w:after="100" w:afterAutospacing="1" w:line="240" w:lineRule="auto"/>
    </w:pPr>
    <w:rPr>
      <w:rFonts w:ascii="宋体" w:hAnsi="宋体" w:eastAsia="宋体" w:cs="宋体"/>
      <w:sz w:val="20"/>
      <w:lang w:eastAsia="zh-CN"/>
    </w:rPr>
  </w:style>
  <w:style w:type="paragraph" w:customStyle="1" w:styleId="133">
    <w:name w:val="font12"/>
    <w:basedOn w:val="1"/>
    <w:uiPriority w:val="0"/>
    <w:pPr>
      <w:widowControl/>
      <w:autoSpaceDE/>
      <w:autoSpaceDN/>
      <w:adjustRightInd/>
      <w:spacing w:before="100" w:beforeAutospacing="1" w:after="100" w:afterAutospacing="1" w:line="240" w:lineRule="auto"/>
    </w:pPr>
    <w:rPr>
      <w:rFonts w:ascii="宋体" w:hAnsi="宋体" w:eastAsia="宋体" w:cs="宋体"/>
      <w:b/>
      <w:bCs/>
      <w:sz w:val="20"/>
      <w:lang w:eastAsia="zh-CN"/>
    </w:rPr>
  </w:style>
  <w:style w:type="paragraph" w:customStyle="1" w:styleId="134">
    <w:name w:val="font13"/>
    <w:basedOn w:val="1"/>
    <w:uiPriority w:val="0"/>
    <w:pPr>
      <w:widowControl/>
      <w:autoSpaceDE/>
      <w:autoSpaceDN/>
      <w:adjustRightInd/>
      <w:spacing w:before="100" w:beforeAutospacing="1" w:after="100" w:afterAutospacing="1" w:line="240" w:lineRule="auto"/>
    </w:pPr>
    <w:rPr>
      <w:rFonts w:ascii="Arial" w:hAnsi="Arial" w:eastAsia="宋体" w:cs="Arial"/>
      <w:sz w:val="20"/>
      <w:lang w:eastAsia="zh-CN"/>
    </w:rPr>
  </w:style>
  <w:style w:type="paragraph" w:customStyle="1" w:styleId="135">
    <w:name w:val="font14"/>
    <w:basedOn w:val="1"/>
    <w:uiPriority w:val="0"/>
    <w:pPr>
      <w:widowControl/>
      <w:autoSpaceDE/>
      <w:autoSpaceDN/>
      <w:adjustRightInd/>
      <w:spacing w:before="100" w:beforeAutospacing="1" w:after="100" w:afterAutospacing="1" w:line="240" w:lineRule="auto"/>
    </w:pPr>
    <w:rPr>
      <w:rFonts w:ascii="黑体" w:hAnsi="黑体" w:eastAsia="黑体" w:cs="宋体"/>
      <w:sz w:val="20"/>
      <w:lang w:eastAsia="zh-CN"/>
    </w:rPr>
  </w:style>
  <w:style w:type="paragraph" w:customStyle="1" w:styleId="136">
    <w:name w:val="font15"/>
    <w:basedOn w:val="1"/>
    <w:uiPriority w:val="0"/>
    <w:pPr>
      <w:widowControl/>
      <w:autoSpaceDE/>
      <w:autoSpaceDN/>
      <w:adjustRightInd/>
      <w:spacing w:before="100" w:beforeAutospacing="1" w:after="100" w:afterAutospacing="1" w:line="240" w:lineRule="auto"/>
    </w:pPr>
    <w:rPr>
      <w:rFonts w:ascii="Arial" w:hAnsi="Arial" w:eastAsia="宋体" w:cs="Arial"/>
      <w:b/>
      <w:bCs/>
      <w:sz w:val="20"/>
      <w:lang w:eastAsia="zh-CN"/>
    </w:rPr>
  </w:style>
  <w:style w:type="paragraph" w:customStyle="1" w:styleId="137">
    <w:name w:val="xl85"/>
    <w:basedOn w:val="1"/>
    <w:uiPriority w:val="0"/>
    <w:pPr>
      <w:widowControl/>
      <w:autoSpaceDE/>
      <w:autoSpaceDN/>
      <w:adjustRightInd/>
      <w:spacing w:before="100" w:beforeAutospacing="1" w:after="100" w:afterAutospacing="1" w:line="240" w:lineRule="auto"/>
    </w:pPr>
    <w:rPr>
      <w:rFonts w:ascii="宋体" w:hAnsi="宋体" w:eastAsia="宋体" w:cs="宋体"/>
      <w:sz w:val="24"/>
      <w:szCs w:val="24"/>
      <w:lang w:eastAsia="zh-CN"/>
    </w:rPr>
  </w:style>
  <w:style w:type="paragraph" w:customStyle="1" w:styleId="138">
    <w:name w:val="xl86"/>
    <w:basedOn w:val="1"/>
    <w:uiPriority w:val="0"/>
    <w:pPr>
      <w:widowControl/>
      <w:autoSpaceDE/>
      <w:autoSpaceDN/>
      <w:adjustRightInd/>
      <w:spacing w:before="100" w:beforeAutospacing="1" w:after="100" w:afterAutospacing="1" w:line="240" w:lineRule="auto"/>
      <w:jc w:val="center"/>
      <w:textAlignment w:val="center"/>
    </w:pPr>
    <w:rPr>
      <w:rFonts w:ascii="宋体" w:hAnsi="宋体" w:eastAsia="宋体" w:cs="宋体"/>
      <w:sz w:val="24"/>
      <w:szCs w:val="24"/>
      <w:lang w:eastAsia="zh-CN"/>
    </w:rPr>
  </w:style>
  <w:style w:type="paragraph" w:customStyle="1" w:styleId="139">
    <w:name w:val="xl87"/>
    <w:basedOn w:val="1"/>
    <w:uiPriority w:val="0"/>
    <w:pPr>
      <w:widowControl/>
      <w:autoSpaceDE/>
      <w:autoSpaceDN/>
      <w:adjustRightInd/>
      <w:spacing w:before="100" w:beforeAutospacing="1" w:after="100" w:afterAutospacing="1" w:line="240" w:lineRule="auto"/>
    </w:pPr>
    <w:rPr>
      <w:rFonts w:ascii="宋体" w:hAnsi="宋体" w:eastAsia="宋体" w:cs="宋体"/>
      <w:b/>
      <w:bCs/>
      <w:sz w:val="24"/>
      <w:szCs w:val="24"/>
      <w:lang w:eastAsia="zh-CN"/>
    </w:rPr>
  </w:style>
  <w:style w:type="paragraph" w:customStyle="1" w:styleId="140">
    <w:name w:val="xl8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top"/>
    </w:pPr>
    <w:rPr>
      <w:rFonts w:ascii="华文细黑" w:hAnsi="华文细黑" w:eastAsia="华文细黑" w:cs="宋体"/>
      <w:sz w:val="24"/>
      <w:szCs w:val="24"/>
      <w:lang w:eastAsia="zh-CN"/>
    </w:rPr>
  </w:style>
  <w:style w:type="paragraph" w:customStyle="1" w:styleId="141">
    <w:name w:val="xl89"/>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top"/>
    </w:pPr>
    <w:rPr>
      <w:rFonts w:ascii="黑体" w:hAnsi="黑体" w:eastAsia="黑体" w:cs="宋体"/>
      <w:sz w:val="24"/>
      <w:szCs w:val="24"/>
      <w:lang w:eastAsia="zh-CN"/>
    </w:rPr>
  </w:style>
  <w:style w:type="paragraph" w:customStyle="1" w:styleId="142">
    <w:name w:val="xl90"/>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color w:val="FF0000"/>
      <w:sz w:val="24"/>
      <w:szCs w:val="24"/>
      <w:lang w:eastAsia="zh-CN"/>
    </w:rPr>
  </w:style>
  <w:style w:type="paragraph" w:customStyle="1" w:styleId="143">
    <w:name w:val="xl91"/>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44">
    <w:name w:val="xl92"/>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45">
    <w:name w:val="xl93"/>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46">
    <w:name w:val="xl9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47">
    <w:name w:val="xl9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48">
    <w:name w:val="xl96"/>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49">
    <w:name w:val="xl97"/>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0">
    <w:name w:val="xl98"/>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1">
    <w:name w:val="xl99"/>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2">
    <w:name w:val="xl100"/>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textAlignment w:val="center"/>
    </w:pPr>
    <w:rPr>
      <w:rFonts w:ascii="Arial" w:hAnsi="Arial" w:eastAsia="宋体" w:cs="Arial"/>
      <w:sz w:val="24"/>
      <w:szCs w:val="24"/>
      <w:lang w:eastAsia="zh-CN"/>
    </w:rPr>
  </w:style>
  <w:style w:type="paragraph" w:customStyle="1" w:styleId="153">
    <w:name w:val="xl101"/>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4">
    <w:name w:val="xl102"/>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5">
    <w:name w:val="xl103"/>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right"/>
      <w:textAlignment w:val="center"/>
    </w:pPr>
    <w:rPr>
      <w:rFonts w:ascii="Arial" w:hAnsi="Arial" w:eastAsia="宋体" w:cs="Arial"/>
      <w:sz w:val="24"/>
      <w:szCs w:val="24"/>
      <w:lang w:eastAsia="zh-CN"/>
    </w:rPr>
  </w:style>
  <w:style w:type="paragraph" w:customStyle="1" w:styleId="156">
    <w:name w:val="xl10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57">
    <w:name w:val="xl10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right"/>
      <w:textAlignment w:val="center"/>
    </w:pPr>
    <w:rPr>
      <w:rFonts w:ascii="Arial" w:hAnsi="Arial" w:eastAsia="宋体" w:cs="Arial"/>
      <w:b/>
      <w:bCs/>
      <w:sz w:val="24"/>
      <w:szCs w:val="24"/>
      <w:lang w:eastAsia="zh-CN"/>
    </w:rPr>
  </w:style>
  <w:style w:type="paragraph" w:customStyle="1" w:styleId="158">
    <w:name w:val="xl106"/>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59">
    <w:name w:val="xl107"/>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right"/>
      <w:textAlignment w:val="center"/>
    </w:pPr>
    <w:rPr>
      <w:rFonts w:ascii="Arial" w:hAnsi="Arial" w:eastAsia="宋体" w:cs="Arial"/>
      <w:sz w:val="24"/>
      <w:szCs w:val="24"/>
      <w:lang w:eastAsia="zh-CN"/>
    </w:rPr>
  </w:style>
  <w:style w:type="paragraph" w:customStyle="1" w:styleId="160">
    <w:name w:val="xl10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right"/>
      <w:textAlignment w:val="center"/>
    </w:pPr>
    <w:rPr>
      <w:rFonts w:ascii="Arial" w:hAnsi="Arial" w:eastAsia="宋体" w:cs="Arial"/>
      <w:b/>
      <w:bCs/>
      <w:sz w:val="24"/>
      <w:szCs w:val="24"/>
      <w:lang w:eastAsia="zh-CN"/>
    </w:rPr>
  </w:style>
  <w:style w:type="paragraph" w:customStyle="1" w:styleId="161">
    <w:name w:val="xl109"/>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62">
    <w:name w:val="xl110"/>
    <w:basedOn w:val="1"/>
    <w:uiPriority w:val="0"/>
    <w:pPr>
      <w:widowControl/>
      <w:pBdr>
        <w:top w:val="single" w:color="auto" w:sz="4" w:space="0"/>
        <w:left w:val="single" w:color="auto" w:sz="4" w:space="0"/>
        <w:bottom w:val="single" w:color="auto" w:sz="4" w:space="0"/>
        <w:right w:val="single" w:color="auto" w:sz="4" w:space="0"/>
      </w:pBdr>
      <w:shd w:val="clear" w:color="000000" w:fill="D9D9D9"/>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63">
    <w:name w:val="xl111"/>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64">
    <w:name w:val="xl112"/>
    <w:basedOn w:val="1"/>
    <w:uiPriority w:val="0"/>
    <w:pPr>
      <w:widowControl/>
      <w:pBdr>
        <w:top w:val="single" w:color="auto" w:sz="4" w:space="0"/>
        <w:left w:val="single" w:color="auto" w:sz="4" w:space="0"/>
        <w:bottom w:val="single" w:color="auto" w:sz="4" w:space="0"/>
        <w:right w:val="single" w:color="auto" w:sz="4" w:space="0"/>
      </w:pBdr>
      <w:shd w:val="clear" w:color="000000" w:fill="C4BD97"/>
      <w:autoSpaceDE/>
      <w:autoSpaceDN/>
      <w:adjustRightInd/>
      <w:spacing w:before="100" w:beforeAutospacing="1" w:after="100" w:afterAutospacing="1" w:line="240" w:lineRule="auto"/>
      <w:jc w:val="center"/>
      <w:textAlignment w:val="center"/>
    </w:pPr>
    <w:rPr>
      <w:rFonts w:ascii="Arial" w:hAnsi="Arial" w:eastAsia="宋体" w:cs="Arial"/>
      <w:sz w:val="24"/>
      <w:szCs w:val="24"/>
      <w:lang w:eastAsia="zh-CN"/>
    </w:rPr>
  </w:style>
  <w:style w:type="paragraph" w:customStyle="1" w:styleId="165">
    <w:name w:val="xl113"/>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66">
    <w:name w:val="xl114"/>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67">
    <w:name w:val="xl11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68">
    <w:name w:val="xl116"/>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textAlignment w:val="center"/>
    </w:pPr>
    <w:rPr>
      <w:rFonts w:ascii="Arial" w:hAnsi="Arial" w:eastAsia="宋体" w:cs="Arial"/>
      <w:b/>
      <w:bCs/>
      <w:sz w:val="24"/>
      <w:szCs w:val="24"/>
      <w:lang w:eastAsia="zh-CN"/>
    </w:rPr>
  </w:style>
  <w:style w:type="paragraph" w:customStyle="1" w:styleId="169">
    <w:name w:val="xl117"/>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70">
    <w:name w:val="xl118"/>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171">
    <w:name w:val="xl119"/>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72">
    <w:name w:val="xl120"/>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73">
    <w:name w:val="xl121"/>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74">
    <w:name w:val="xl122"/>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75">
    <w:name w:val="xl123"/>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76">
    <w:name w:val="xl124"/>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77">
    <w:name w:val="xl125"/>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78">
    <w:name w:val="xl126"/>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79">
    <w:name w:val="xl127"/>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80">
    <w:name w:val="xl128"/>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1">
    <w:name w:val="xl129"/>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2">
    <w:name w:val="xl130"/>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3">
    <w:name w:val="xl131"/>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4">
    <w:name w:val="xl132"/>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5">
    <w:name w:val="xl133"/>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6">
    <w:name w:val="xl134"/>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7">
    <w:name w:val="xl135"/>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188">
    <w:name w:val="xl136"/>
    <w:basedOn w:val="1"/>
    <w:uiPriority w:val="0"/>
    <w:pPr>
      <w:widowControl/>
      <w:pBdr>
        <w:top w:val="single" w:color="auto" w:sz="4" w:space="0"/>
        <w:lef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89">
    <w:name w:val="xl137"/>
    <w:basedOn w:val="1"/>
    <w:uiPriority w:val="0"/>
    <w:pPr>
      <w:widowControl/>
      <w:pBdr>
        <w:top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0">
    <w:name w:val="xl138"/>
    <w:basedOn w:val="1"/>
    <w:uiPriority w:val="0"/>
    <w:pPr>
      <w:widowControl/>
      <w:pBdr>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1">
    <w:name w:val="xl139"/>
    <w:basedOn w:val="1"/>
    <w:uiPriority w:val="0"/>
    <w:pPr>
      <w:widowControl/>
      <w:pBdr>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2">
    <w:name w:val="xl140"/>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3">
    <w:name w:val="xl141"/>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4">
    <w:name w:val="xl142"/>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195">
    <w:name w:val="xl143"/>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96">
    <w:name w:val="xl144"/>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97">
    <w:name w:val="xl145"/>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98">
    <w:name w:val="xl146"/>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199">
    <w:name w:val="xl147"/>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00">
    <w:name w:val="xl148"/>
    <w:basedOn w:val="1"/>
    <w:uiPriority w:val="0"/>
    <w:pPr>
      <w:widowControl/>
      <w:pBdr>
        <w:top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01">
    <w:name w:val="xl149"/>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02">
    <w:name w:val="xl150"/>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03">
    <w:name w:val="xl151"/>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04">
    <w:name w:val="xl152"/>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05">
    <w:name w:val="xl153"/>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06">
    <w:name w:val="xl154"/>
    <w:basedOn w:val="1"/>
    <w:uiPriority w:val="0"/>
    <w:pPr>
      <w:widowControl/>
      <w:pBdr>
        <w:top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07">
    <w:name w:val="xl155"/>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08">
    <w:name w:val="xl156"/>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09">
    <w:name w:val="xl157"/>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0">
    <w:name w:val="xl158"/>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1">
    <w:name w:val="xl159"/>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2">
    <w:name w:val="xl160"/>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3">
    <w:name w:val="xl161"/>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4">
    <w:name w:val="xl162"/>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5">
    <w:name w:val="xl163"/>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6">
    <w:name w:val="xl164"/>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sz w:val="24"/>
      <w:szCs w:val="24"/>
      <w:lang w:eastAsia="zh-CN"/>
    </w:rPr>
  </w:style>
  <w:style w:type="paragraph" w:customStyle="1" w:styleId="217">
    <w:name w:val="xl165"/>
    <w:basedOn w:val="1"/>
    <w:uiPriority w:val="0"/>
    <w:pPr>
      <w:widowControl/>
      <w:pBdr>
        <w:top w:val="single" w:color="auto" w:sz="4" w:space="0"/>
        <w:lef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18">
    <w:name w:val="xl166"/>
    <w:basedOn w:val="1"/>
    <w:uiPriority w:val="0"/>
    <w:pPr>
      <w:widowControl/>
      <w:pBdr>
        <w:top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19">
    <w:name w:val="xl167"/>
    <w:basedOn w:val="1"/>
    <w:uiPriority w:val="0"/>
    <w:pPr>
      <w:widowControl/>
      <w:pBdr>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20">
    <w:name w:val="xl168"/>
    <w:basedOn w:val="1"/>
    <w:uiPriority w:val="0"/>
    <w:pPr>
      <w:widowControl/>
      <w:pBdr>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21">
    <w:name w:val="xl169"/>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22">
    <w:name w:val="xl170"/>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23">
    <w:name w:val="xl171"/>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华文细黑" w:hAnsi="华文细黑" w:eastAsia="华文细黑" w:cs="宋体"/>
      <w:b/>
      <w:bCs/>
      <w:sz w:val="24"/>
      <w:szCs w:val="24"/>
      <w:lang w:eastAsia="zh-CN"/>
    </w:rPr>
  </w:style>
  <w:style w:type="paragraph" w:customStyle="1" w:styleId="224">
    <w:name w:val="xl172"/>
    <w:basedOn w:val="1"/>
    <w:uiPriority w:val="0"/>
    <w:pPr>
      <w:widowControl/>
      <w:pBdr>
        <w:left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sz w:val="24"/>
      <w:szCs w:val="24"/>
      <w:lang w:eastAsia="zh-CN"/>
    </w:rPr>
  </w:style>
  <w:style w:type="paragraph" w:customStyle="1" w:styleId="225">
    <w:name w:val="xl173"/>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26">
    <w:name w:val="xl174"/>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27">
    <w:name w:val="xl175"/>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28">
    <w:name w:val="xl176"/>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29">
    <w:name w:val="xl177"/>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30">
    <w:name w:val="xl178"/>
    <w:basedOn w:val="1"/>
    <w:uiPriority w:val="0"/>
    <w:pPr>
      <w:widowControl/>
      <w:pBdr>
        <w:top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31">
    <w:name w:val="xl179"/>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b/>
      <w:bCs/>
      <w:sz w:val="24"/>
      <w:szCs w:val="24"/>
      <w:lang w:eastAsia="zh-CN"/>
    </w:rPr>
  </w:style>
  <w:style w:type="paragraph" w:customStyle="1" w:styleId="232">
    <w:name w:val="xl180"/>
    <w:basedOn w:val="1"/>
    <w:uiPriority w:val="0"/>
    <w:pPr>
      <w:widowControl/>
      <w:pBdr>
        <w:top w:val="single" w:color="auto" w:sz="4" w:space="0"/>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33">
    <w:name w:val="xl181"/>
    <w:basedOn w:val="1"/>
    <w:uiPriority w:val="0"/>
    <w:pPr>
      <w:widowControl/>
      <w:pBdr>
        <w:left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34">
    <w:name w:val="xl182"/>
    <w:basedOn w:val="1"/>
    <w:uiPriority w:val="0"/>
    <w:pPr>
      <w:widowControl/>
      <w:pBdr>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黑体" w:hAnsi="黑体" w:eastAsia="黑体" w:cs="宋体"/>
      <w:b/>
      <w:bCs/>
      <w:sz w:val="24"/>
      <w:szCs w:val="24"/>
      <w:lang w:eastAsia="zh-CN"/>
    </w:rPr>
  </w:style>
  <w:style w:type="paragraph" w:customStyle="1" w:styleId="235">
    <w:name w:val="xl183"/>
    <w:basedOn w:val="1"/>
    <w:uiPriority w:val="0"/>
    <w:pPr>
      <w:widowControl/>
      <w:pBdr>
        <w:top w:val="single" w:color="auto" w:sz="4" w:space="0"/>
        <w:left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36">
    <w:name w:val="xl184"/>
    <w:basedOn w:val="1"/>
    <w:uiPriority w:val="0"/>
    <w:pPr>
      <w:widowControl/>
      <w:pBdr>
        <w:top w:val="single" w:color="auto" w:sz="4" w:space="0"/>
        <w:bottom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37">
    <w:name w:val="xl185"/>
    <w:basedOn w:val="1"/>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Arial" w:hAnsi="Arial" w:eastAsia="宋体" w:cs="Arial"/>
      <w:b/>
      <w:bCs/>
      <w:sz w:val="24"/>
      <w:szCs w:val="24"/>
      <w:lang w:eastAsia="zh-CN"/>
    </w:rPr>
  </w:style>
  <w:style w:type="paragraph" w:customStyle="1" w:styleId="238">
    <w:name w:val="xl186"/>
    <w:basedOn w:val="1"/>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line="240" w:lineRule="auto"/>
      <w:jc w:val="center"/>
      <w:textAlignment w:val="center"/>
    </w:pPr>
    <w:rPr>
      <w:rFonts w:ascii="宋体" w:hAnsi="宋体" w:eastAsia="宋体" w:cs="宋体"/>
      <w:sz w:val="24"/>
      <w:szCs w:val="24"/>
      <w:lang w:eastAsia="zh-CN"/>
    </w:rPr>
  </w:style>
  <w:style w:type="paragraph" w:customStyle="1" w:styleId="239">
    <w:name w:val="报告正文 Char"/>
    <w:basedOn w:val="1"/>
    <w:uiPriority w:val="99"/>
    <w:pPr>
      <w:autoSpaceDE/>
      <w:autoSpaceDN/>
      <w:snapToGrid w:val="0"/>
      <w:spacing w:line="312" w:lineRule="auto"/>
      <w:ind w:left="2600"/>
      <w:jc w:val="both"/>
    </w:pPr>
    <w:rPr>
      <w:rFonts w:ascii="华文细黑" w:hAnsi="Times New Roman" w:eastAsia="华文细黑" w:cs="宋体"/>
      <w:kern w:val="2"/>
      <w:sz w:val="20"/>
      <w:lang w:eastAsia="zh-CN"/>
    </w:rPr>
  </w:style>
  <w:style w:type="character" w:customStyle="1" w:styleId="240">
    <w:name w:val="Unresolved Mention"/>
    <w:basedOn w:val="46"/>
    <w:semiHidden/>
    <w:unhideWhenUsed/>
    <w:uiPriority w:val="99"/>
    <w:rPr>
      <w:color w:val="808080"/>
      <w:shd w:val="clear" w:color="auto" w:fill="E6E6E6"/>
    </w:rPr>
  </w:style>
  <w:style w:type="paragraph" w:customStyle="1" w:styleId="241">
    <w:name w:val="Defaul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242">
    <w:name w:val="称呼 字符"/>
    <w:basedOn w:val="46"/>
    <w:link w:val="15"/>
    <w:uiPriority w:val="99"/>
    <w:rPr>
      <w:rFonts w:ascii="仿宋_GB2312" w:eastAsia="仿宋_GB2312" w:hAnsiTheme="minorHAnsi" w:cstheme="minorBidi"/>
      <w:color w:val="000000" w:themeColor="text1"/>
      <w:kern w:val="2"/>
      <w:sz w:val="28"/>
      <w:szCs w:val="28"/>
      <w14:textFill>
        <w14:solidFill>
          <w14:schemeClr w14:val="tx1"/>
        </w14:solidFill>
      </w14:textFill>
    </w:rPr>
  </w:style>
  <w:style w:type="character" w:customStyle="1" w:styleId="243">
    <w:name w:val="font1011"/>
    <w:basedOn w:val="46"/>
    <w:uiPriority w:val="0"/>
    <w:rPr>
      <w:rFonts w:hint="eastAsia" w:ascii="黑体" w:hAnsi="黑体" w:eastAsia="黑体"/>
      <w:color w:val="auto"/>
      <w:sz w:val="20"/>
      <w:szCs w:val="20"/>
      <w:u w:val="none"/>
    </w:rPr>
  </w:style>
  <w:style w:type="character" w:customStyle="1" w:styleId="244">
    <w:name w:val="font261"/>
    <w:basedOn w:val="46"/>
    <w:uiPriority w:val="0"/>
    <w:rPr>
      <w:rFonts w:hint="eastAsia" w:ascii="华文细黑" w:hAnsi="华文细黑" w:eastAsia="华文细黑"/>
      <w:b/>
      <w:bCs/>
      <w:color w:val="auto"/>
      <w:sz w:val="20"/>
      <w:szCs w:val="20"/>
      <w:u w:val="none"/>
    </w:rPr>
  </w:style>
  <w:style w:type="character" w:customStyle="1" w:styleId="245">
    <w:name w:val="font271"/>
    <w:basedOn w:val="46"/>
    <w:uiPriority w:val="0"/>
    <w:rPr>
      <w:rFonts w:hint="default" w:ascii="Calibri" w:hAnsi="Calibri" w:cs="Calibri"/>
      <w:b/>
      <w:bCs/>
      <w:color w:val="auto"/>
      <w:sz w:val="20"/>
      <w:szCs w:val="20"/>
      <w:u w:val="none"/>
    </w:rPr>
  </w:style>
  <w:style w:type="character" w:customStyle="1" w:styleId="246">
    <w:name w:val="列表段落 字符"/>
    <w:link w:val="90"/>
    <w:uiPriority w:val="34"/>
    <w:rPr>
      <w:rFonts w:ascii="CG Times (WN)" w:hAnsi="CG Times (WN)" w:eastAsia="MingLiU"/>
      <w:sz w:val="23"/>
      <w:lang w:eastAsia="zh-TW"/>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5.xml"/><Relationship Id="rId5" Type="http://schemas.openxmlformats.org/officeDocument/2006/relationships/footer" Target="footer1.xml"/><Relationship Id="rId49" Type="http://schemas.openxmlformats.org/officeDocument/2006/relationships/customXml" Target="../customXml/item4.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0000"/>
        </a:solidFill>
        <a:ln w="12700">
          <a:solidFill>
            <a:srgbClr val="000000"/>
          </a:solidFill>
          <a:miter lim="800000"/>
        </a:ln>
      </a:spPr>
      <a:bodyPr rot="0" vert="horz" wrap="square" lIns="91440" tIns="45720" rIns="91440" bIns="45720" anchor="t" anchorCtr="0" upright="1">
        <a:noAutofit/>
      </a:bodyPr>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A93BC5FB508C64FADAFB67206A449D3" ma:contentTypeVersion="2" ma:contentTypeDescription="Create a new document." ma:contentTypeScope="" ma:versionID="c1e8281f963e89f4140c99fecdb9c490">
  <xsd:schema xmlns:xsd="http://www.w3.org/2001/XMLSchema" xmlns:xs="http://www.w3.org/2001/XMLSchema" xmlns:p="http://schemas.microsoft.com/office/2006/metadata/properties" xmlns:ns2="cd7edd34-1641-4b26-acd4-5cb5c7588495" targetNamespace="http://schemas.microsoft.com/office/2006/metadata/properties" ma:root="true" ma:fieldsID="32f761d72abea934bbf08ad2e164538e" ns2:_="">
    <xsd:import namespace="cd7edd34-1641-4b26-acd4-5cb5c758849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edd34-1641-4b26-acd4-5cb5c75884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220057-E0A4-48A8-880A-20BBE3786418}">
  <ds:schemaRefs/>
</ds:datastoreItem>
</file>

<file path=customXml/itemProps3.xml><?xml version="1.0" encoding="utf-8"?>
<ds:datastoreItem xmlns:ds="http://schemas.openxmlformats.org/officeDocument/2006/customXml" ds:itemID="{54B7A55C-02F0-4450-B605-AE0200E8E973}">
  <ds:schemaRefs/>
</ds:datastoreItem>
</file>

<file path=customXml/itemProps4.xml><?xml version="1.0" encoding="utf-8"?>
<ds:datastoreItem xmlns:ds="http://schemas.openxmlformats.org/officeDocument/2006/customXml" ds:itemID="{E3377F9F-0B0C-4176-90B2-A1C6189C6460}">
  <ds:schemaRefs/>
</ds:datastoreItem>
</file>

<file path=customXml/itemProps5.xml><?xml version="1.0" encoding="utf-8"?>
<ds:datastoreItem xmlns:ds="http://schemas.openxmlformats.org/officeDocument/2006/customXml" ds:itemID="{134A5ACC-DF0F-45F2-B51A-11EEA386A843}">
  <ds:schemaRefs/>
</ds:datastoreItem>
</file>

<file path=docProps/app.xml><?xml version="1.0" encoding="utf-8"?>
<Properties xmlns="http://schemas.openxmlformats.org/officeDocument/2006/extended-properties" xmlns:vt="http://schemas.openxmlformats.org/officeDocument/2006/docPropsVTypes">
  <Template>Normal</Template>
  <Company>DTZ</Company>
  <Pages>48</Pages>
  <Words>9251</Words>
  <Characters>4412</Characters>
  <Lines>36</Lines>
  <Paragraphs>27</Paragraphs>
  <TotalTime>2469</TotalTime>
  <ScaleCrop>false</ScaleCrop>
  <LinksUpToDate>false</LinksUpToDate>
  <CharactersWithSpaces>13636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2019-05-20T10:20:00Z</dcterms:created>
  <dc:creator>Haision Li/CHN</dc:creator>
  <cp:lastModifiedBy>Administrator</cp:lastModifiedBy>
  <cp:lastPrinted>2021-02-01T07:06:00Z</cp:lastPrinted>
  <dcterms:modified xsi:type="dcterms:W3CDTF">2021-03-11T01:18:10Z</dcterms:modified>
  <cp:revision>577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0x010100EA93BC5FB508C64FADAFB67206A449D3</vt:lpwstr>
  </property>
  <property fmtid="{D5CDD505-2E9C-101B-9397-08002B2CF9AE}" pid="3" name="KSOProductBuildVer">
    <vt:lpwstr>2052-11.1.0.9339</vt:lpwstr>
  </property>
</Properties>
</file>