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关于</w:t>
      </w:r>
      <w:r>
        <w:rPr>
          <w:rFonts w:hint="eastAsia" w:ascii="黑体" w:hAnsi="黑体" w:eastAsia="黑体" w:cs="黑体"/>
          <w:sz w:val="36"/>
          <w:szCs w:val="36"/>
          <w:lang w:eastAsia="zh-CN"/>
        </w:rPr>
        <w:t>调兵山市人民法院</w:t>
      </w:r>
      <w:r>
        <w:rPr>
          <w:rFonts w:hint="eastAsia" w:ascii="黑体" w:hAnsi="黑体" w:eastAsia="黑体" w:cs="黑体"/>
          <w:sz w:val="36"/>
          <w:szCs w:val="36"/>
        </w:rPr>
        <w:t>执行</w:t>
      </w:r>
      <w:r>
        <w:rPr>
          <w:rFonts w:hint="eastAsia" w:ascii="黑体" w:hAnsi="黑体" w:eastAsia="黑体" w:cs="黑体"/>
          <w:sz w:val="36"/>
          <w:szCs w:val="36"/>
          <w:lang w:eastAsia="zh-CN"/>
        </w:rPr>
        <w:t>裴晓光</w:t>
      </w:r>
      <w:r>
        <w:rPr>
          <w:rFonts w:hint="eastAsia" w:ascii="黑体" w:hAnsi="黑体" w:eastAsia="黑体" w:cs="黑体"/>
          <w:sz w:val="36"/>
          <w:szCs w:val="36"/>
        </w:rPr>
        <w:t>案件涉及</w:t>
      </w:r>
      <w:r>
        <w:rPr>
          <w:rFonts w:hint="eastAsia" w:ascii="黑体" w:hAnsi="黑体" w:eastAsia="黑体" w:cs="黑体"/>
          <w:sz w:val="36"/>
          <w:szCs w:val="36"/>
          <w:lang w:eastAsia="zh-CN"/>
        </w:rPr>
        <w:t>房屋</w:t>
      </w:r>
      <w:r>
        <w:rPr>
          <w:rFonts w:hint="eastAsia" w:ascii="黑体" w:hAnsi="黑体" w:eastAsia="黑体" w:cs="黑体"/>
          <w:sz w:val="36"/>
          <w:szCs w:val="36"/>
        </w:rPr>
        <w:t>的</w:t>
      </w:r>
    </w:p>
    <w:p>
      <w:pPr>
        <w:jc w:val="center"/>
        <w:rPr>
          <w:rFonts w:hint="eastAsia"/>
        </w:rPr>
      </w:pPr>
      <w:r>
        <w:rPr>
          <w:rFonts w:hint="eastAsia" w:ascii="黑体" w:hAnsi="黑体" w:eastAsia="黑体" w:cs="黑体"/>
          <w:sz w:val="36"/>
          <w:szCs w:val="36"/>
        </w:rPr>
        <w:t>资产评估报告书</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目</w:t>
      </w:r>
      <w:r>
        <w:rPr>
          <w:rFonts w:hint="eastAsia" w:ascii="黑体" w:hAnsi="黑体" w:eastAsia="黑体" w:cs="黑体"/>
          <w:b w:val="0"/>
          <w:bCs/>
          <w:color w:val="000000"/>
          <w:sz w:val="36"/>
          <w:szCs w:val="36"/>
          <w:lang w:val="en-US" w:eastAsia="zh-CN"/>
        </w:rPr>
        <w:t xml:space="preserve">    </w:t>
      </w:r>
      <w:r>
        <w:rPr>
          <w:rFonts w:hint="eastAsia" w:ascii="黑体" w:hAnsi="黑体" w:eastAsia="黑体" w:cs="黑体"/>
          <w:b w:val="0"/>
          <w:bCs/>
          <w:color w:val="000000"/>
          <w:sz w:val="36"/>
          <w:szCs w:val="36"/>
        </w:rPr>
        <w:t>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21</w:t>
      </w:r>
      <w:r>
        <w:rPr>
          <w:rFonts w:hint="eastAsia" w:ascii="仿宋_GB2312" w:eastAsia="仿宋_GB2312"/>
          <w:bCs/>
          <w:color w:val="000000"/>
          <w:lang w:eastAsia="zh-CN"/>
        </w:rPr>
        <w:t>］0</w:t>
      </w:r>
      <w:r>
        <w:rPr>
          <w:rFonts w:hint="eastAsia" w:ascii="仿宋_GB2312" w:eastAsia="仿宋_GB2312"/>
          <w:bCs/>
          <w:color w:val="000000"/>
          <w:lang w:val="en-US" w:eastAsia="zh-CN"/>
        </w:rPr>
        <w:t>62</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11</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2</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2</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2</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bCs/>
          <w:color w:val="000000"/>
          <w:sz w:val="32"/>
          <w:szCs w:val="32"/>
          <w:lang w:val="en-US"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5</w:t>
      </w:r>
    </w:p>
    <w:p>
      <w:pPr>
        <w:pStyle w:val="2"/>
        <w:rPr>
          <w:rFonts w:hint="eastAsia"/>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裴晓光</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rPr>
          <w:rFonts w:hint="eastAsia"/>
          <w:sz w:val="36"/>
        </w:rPr>
      </w:pPr>
      <w:r>
        <w:rPr>
          <w:rFonts w:hint="eastAsia"/>
          <w:sz w:val="36"/>
        </w:rPr>
        <w:t>资产评估报告书</w:t>
      </w:r>
    </w:p>
    <w:p>
      <w:pPr>
        <w:pStyle w:val="2"/>
        <w:rPr>
          <w:sz w:val="36"/>
        </w:rPr>
      </w:pPr>
      <w:r>
        <w:rPr>
          <w:rFonts w:hint="eastAsia"/>
          <w:sz w:val="36"/>
          <w:lang w:eastAsia="zh-CN"/>
        </w:rPr>
        <w:t>声</w:t>
      </w:r>
      <w:r>
        <w:rPr>
          <w:rFonts w:hint="eastAsia"/>
          <w:sz w:val="36"/>
          <w:lang w:val="en-US" w:eastAsia="zh-CN"/>
        </w:rPr>
        <w:t xml:space="preserve">    </w:t>
      </w:r>
      <w:r>
        <w:rPr>
          <w:rFonts w:hint="eastAsia"/>
          <w:sz w:val="36"/>
          <w:lang w:eastAsia="zh-CN"/>
        </w:rPr>
        <w:t>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]0</w:t>
      </w:r>
      <w:r>
        <w:rPr>
          <w:rFonts w:hint="eastAsia" w:ascii="仿宋_GB2312" w:eastAsia="仿宋_GB2312"/>
          <w:sz w:val="24"/>
          <w:lang w:val="en-US" w:eastAsia="zh-CN"/>
        </w:rPr>
        <w:t>62</w:t>
      </w:r>
      <w:r>
        <w:rPr>
          <w:rFonts w:hint="eastAsia" w:ascii="仿宋_GB2312" w:eastAsia="仿宋_GB2312"/>
          <w:sz w:val="24"/>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keepNext w:val="0"/>
        <w:keepLines w:val="0"/>
        <w:pageBreakBefore w:val="0"/>
        <w:widowControl w:val="0"/>
        <w:kinsoku/>
        <w:wordWrap/>
        <w:overflowPunct/>
        <w:topLinePunct w:val="0"/>
        <w:autoSpaceDE/>
        <w:autoSpaceDN/>
        <w:bidi w:val="0"/>
        <w:spacing w:line="680" w:lineRule="exact"/>
        <w:textAlignment w:val="auto"/>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二〇二一年六月十一日</w:t>
      </w:r>
    </w:p>
    <w:p>
      <w:pPr>
        <w:pStyle w:val="2"/>
        <w:keepNext w:val="0"/>
        <w:keepLines w:val="0"/>
        <w:pageBreakBefore w:val="0"/>
        <w:widowControl w:val="0"/>
        <w:kinsoku/>
        <w:wordWrap/>
        <w:overflowPunct/>
        <w:topLinePunct w:val="0"/>
        <w:autoSpaceDE/>
        <w:autoSpaceDN/>
        <w:bidi w:val="0"/>
        <w:spacing w:line="680" w:lineRule="exact"/>
        <w:textAlignment w:val="auto"/>
        <w:rPr>
          <w:rFonts w:hint="eastAsia"/>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裴晓光</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]0</w:t>
      </w:r>
      <w:r>
        <w:rPr>
          <w:rFonts w:hint="eastAsia" w:ascii="仿宋_GB2312" w:eastAsia="仿宋_GB2312"/>
          <w:sz w:val="24"/>
          <w:lang w:val="en-US" w:eastAsia="zh-CN"/>
        </w:rPr>
        <w:t>62</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调兵山市人民法院执行裴晓光案件涉及的房屋</w:t>
      </w:r>
      <w:r>
        <w:rPr>
          <w:rFonts w:hint="eastAsia" w:ascii="仿宋_GB2312" w:hAnsi="宋体" w:eastAsia="仿宋_GB2312"/>
          <w:sz w:val="32"/>
          <w:lang w:val="en-US" w:eastAsia="zh-CN"/>
        </w:rPr>
        <w:t>1</w:t>
      </w:r>
      <w:r>
        <w:rPr>
          <w:rFonts w:hint="eastAsia" w:ascii="仿宋_GB2312" w:hAnsi="宋体" w:eastAsia="仿宋_GB2312"/>
          <w:sz w:val="32"/>
          <w:lang w:eastAsia="zh-CN"/>
        </w:rPr>
        <w:t>处，建筑面积</w:t>
      </w:r>
      <w:r>
        <w:rPr>
          <w:rFonts w:hint="eastAsia" w:ascii="仿宋_GB2312" w:hAnsi="宋体" w:eastAsia="仿宋_GB2312"/>
          <w:sz w:val="32"/>
          <w:lang w:val="en-US" w:eastAsia="zh-CN"/>
        </w:rPr>
        <w:t>87.78</w:t>
      </w:r>
      <w:r>
        <w:rPr>
          <w:rFonts w:hint="eastAsia" w:ascii="仿宋_GB2312" w:hAnsi="宋体" w:eastAsia="仿宋_GB2312"/>
          <w:sz w:val="32"/>
          <w:lang w:eastAsia="zh-CN"/>
        </w:rPr>
        <w:t>平方米</w:t>
      </w:r>
      <w:r>
        <w:rPr>
          <w:rFonts w:hint="eastAsia" w:ascii="仿宋_GB2312" w:hAnsi="宋体" w:eastAsia="仿宋_GB2312"/>
          <w:sz w:val="32"/>
        </w:rPr>
        <w:t>（详见评估明细表）。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eastAsia="zh-CN"/>
        </w:rPr>
        <w:t>贰拾壹万零柒佰元整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210</w:t>
      </w:r>
      <w:r>
        <w:rPr>
          <w:rFonts w:ascii="仿宋_GB2312" w:eastAsia="仿宋_GB2312"/>
          <w:sz w:val="32"/>
        </w:rPr>
        <w:t>,</w:t>
      </w:r>
      <w:r>
        <w:rPr>
          <w:rFonts w:hint="eastAsia" w:ascii="仿宋_GB2312" w:eastAsia="仿宋_GB2312"/>
          <w:sz w:val="32"/>
          <w:lang w:val="en-US" w:eastAsia="zh-CN"/>
        </w:rPr>
        <w:t>700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11</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r>
        <w:rPr>
          <w:rFonts w:eastAsia="仿宋_GB2312"/>
          <w:sz w:val="32"/>
        </w:rPr>
        <w:t xml:space="preserve">             </w:t>
      </w:r>
      <w:r>
        <w:rPr>
          <w:rFonts w:hint="eastAsia" w:eastAsia="仿宋_GB2312"/>
          <w:sz w:val="32"/>
          <w:lang w:eastAsia="zh-CN"/>
        </w:rPr>
        <w:t>二〇二一年六月十一日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]0</w:t>
      </w:r>
      <w:r>
        <w:rPr>
          <w:rFonts w:hint="eastAsia" w:ascii="仿宋_GB2312" w:eastAsia="仿宋_GB2312"/>
          <w:sz w:val="24"/>
          <w:lang w:val="en-US" w:eastAsia="zh-CN"/>
        </w:rPr>
        <w:t>62</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rFonts w:hint="eastAsia"/>
          <w:sz w:val="36"/>
        </w:rPr>
      </w:pPr>
      <w:r>
        <w:rPr>
          <w:rFonts w:hint="eastAsia"/>
          <w:sz w:val="36"/>
        </w:rPr>
        <w:t>关于</w:t>
      </w:r>
      <w:bookmarkStart w:id="0" w:name="_GoBack"/>
      <w:r>
        <w:rPr>
          <w:rFonts w:hint="eastAsia" w:ascii="黑体"/>
          <w:sz w:val="36"/>
          <w:lang w:eastAsia="zh-CN"/>
        </w:rPr>
        <w:t>调兵山市人民法院</w:t>
      </w:r>
      <w:r>
        <w:rPr>
          <w:rFonts w:hint="eastAsia" w:ascii="黑体"/>
          <w:sz w:val="36"/>
        </w:rPr>
        <w:t>执行</w:t>
      </w:r>
      <w:r>
        <w:rPr>
          <w:rFonts w:hint="eastAsia" w:ascii="黑体"/>
          <w:sz w:val="36"/>
          <w:lang w:eastAsia="zh-CN"/>
        </w:rPr>
        <w:t>裴晓光</w:t>
      </w:r>
      <w:r>
        <w:rPr>
          <w:rFonts w:hint="eastAsia" w:ascii="黑体" w:hAnsi="宋体"/>
          <w:sz w:val="36"/>
        </w:rPr>
        <w:t>案件</w:t>
      </w:r>
      <w:r>
        <w:rPr>
          <w:rFonts w:hint="eastAsia"/>
          <w:sz w:val="36"/>
        </w:rPr>
        <w:t>涉及</w:t>
      </w:r>
      <w:r>
        <w:rPr>
          <w:rFonts w:hint="eastAsia"/>
          <w:sz w:val="36"/>
          <w:lang w:eastAsia="zh-CN"/>
        </w:rPr>
        <w:t>房屋</w:t>
      </w:r>
      <w:bookmarkEnd w:id="0"/>
      <w:r>
        <w:rPr>
          <w:rFonts w:hint="eastAsia"/>
          <w:sz w:val="36"/>
        </w:rPr>
        <w:t>的</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调兵山市农村信用合作联社、裴晓光</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调兵山市人民法院</w:t>
      </w:r>
      <w:r>
        <w:rPr>
          <w:rFonts w:hint="eastAsia" w:eastAsia="仿宋_GB2312"/>
          <w:sz w:val="32"/>
        </w:rPr>
        <w:t>执行</w:t>
      </w:r>
      <w:r>
        <w:rPr>
          <w:rFonts w:hint="eastAsia" w:eastAsia="仿宋_GB2312"/>
          <w:sz w:val="32"/>
          <w:lang w:eastAsia="zh-CN"/>
        </w:rPr>
        <w:t>裴晓光</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left="1918" w:leftChars="304" w:right="0" w:rightChars="0" w:hanging="1280" w:hangingChars="4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sz w:val="32"/>
          <w:lang w:eastAsia="zh-CN"/>
        </w:rPr>
        <w:t>调兵山市农村信用合作联社、</w:t>
      </w:r>
      <w:r>
        <w:rPr>
          <w:rFonts w:hint="eastAsia" w:ascii="仿宋_GB2312" w:eastAsia="仿宋_GB2312"/>
          <w:kern w:val="0"/>
          <w:sz w:val="32"/>
          <w:szCs w:val="21"/>
          <w:lang w:eastAsia="zh-CN"/>
        </w:rPr>
        <w:t>裴晓光。</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裴晓光</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调兵山市人民法院执行裴晓光案件涉及的座落在站前小区</w:t>
      </w:r>
      <w:r>
        <w:rPr>
          <w:rFonts w:hint="eastAsia" w:ascii="仿宋_GB2312" w:hAnsi="宋体" w:eastAsia="仿宋_GB2312"/>
          <w:sz w:val="32"/>
          <w:lang w:val="en-US" w:eastAsia="zh-CN"/>
        </w:rPr>
        <w:t>14楼2单元6层19号的</w:t>
      </w:r>
      <w:r>
        <w:rPr>
          <w:rFonts w:hint="eastAsia" w:ascii="仿宋_GB2312" w:hAnsi="宋体" w:eastAsia="仿宋_GB2312"/>
          <w:sz w:val="32"/>
          <w:lang w:eastAsia="zh-CN"/>
        </w:rPr>
        <w:t>房屋</w:t>
      </w:r>
      <w:r>
        <w:rPr>
          <w:rFonts w:hint="eastAsia" w:ascii="仿宋_GB2312" w:hAnsi="宋体" w:eastAsia="仿宋_GB2312"/>
          <w:sz w:val="32"/>
          <w:lang w:val="en-US" w:eastAsia="zh-CN"/>
        </w:rPr>
        <w:t>1</w:t>
      </w:r>
      <w:r>
        <w:rPr>
          <w:rFonts w:hint="eastAsia" w:ascii="仿宋_GB2312" w:hAnsi="宋体" w:eastAsia="仿宋_GB2312"/>
          <w:sz w:val="32"/>
          <w:lang w:eastAsia="zh-CN"/>
        </w:rPr>
        <w:t>处，建筑面积</w:t>
      </w:r>
      <w:r>
        <w:rPr>
          <w:rFonts w:hint="eastAsia" w:ascii="仿宋_GB2312" w:hAnsi="宋体" w:eastAsia="仿宋_GB2312"/>
          <w:sz w:val="32"/>
          <w:lang w:val="en-US" w:eastAsia="zh-CN"/>
        </w:rPr>
        <w:t>87.78</w:t>
      </w:r>
      <w:r>
        <w:rPr>
          <w:rFonts w:hint="eastAsia" w:ascii="仿宋_GB2312" w:hAnsi="宋体" w:eastAsia="仿宋_GB2312"/>
          <w:sz w:val="32"/>
          <w:lang w:eastAsia="zh-CN"/>
        </w:rPr>
        <w:t>平方米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涉及的房屋</w:t>
      </w:r>
      <w:r>
        <w:rPr>
          <w:rFonts w:hint="eastAsia" w:ascii="仿宋_GB2312" w:eastAsia="仿宋_GB2312"/>
          <w:color w:val="000000"/>
          <w:sz w:val="32"/>
          <w:szCs w:val="32"/>
        </w:rPr>
        <w:t>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eastAsia="仿宋_GB2312"/>
          <w:sz w:val="32"/>
          <w:lang w:eastAsia="zh-CN"/>
        </w:rPr>
        <w:t>调兵山市农村信用合作联社、裴晓光双方协议书</w:t>
      </w:r>
      <w:r>
        <w:rPr>
          <w:rFonts w:hint="eastAsia" w:ascii="仿宋_GB2312" w:eastAsia="仿宋_GB2312"/>
          <w:sz w:val="32"/>
        </w:rPr>
        <w:t>。</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由产权持有者提供的房屋产权证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lang w:eastAsia="zh-CN"/>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u w:val="none"/>
          <w:shd w:val="clear" w:fill="FFFFFF"/>
          <w:lang w:eastAsia="zh-CN"/>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w:t>
      </w:r>
      <w:r>
        <w:rPr>
          <w:rFonts w:hint="eastAsia" w:ascii="仿宋_GB2312" w:eastAsia="仿宋_GB2312"/>
          <w:sz w:val="32"/>
          <w:lang w:eastAsia="zh-CN"/>
        </w:rPr>
        <w:t>贰拾壹万零柒佰元整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210</w:t>
      </w:r>
      <w:r>
        <w:rPr>
          <w:rFonts w:ascii="仿宋_GB2312" w:eastAsia="仿宋_GB2312"/>
          <w:sz w:val="32"/>
        </w:rPr>
        <w:t>,</w:t>
      </w:r>
      <w:r>
        <w:rPr>
          <w:rFonts w:hint="eastAsia" w:ascii="仿宋_GB2312" w:eastAsia="仿宋_GB2312"/>
          <w:sz w:val="32"/>
          <w:lang w:val="en-US" w:eastAsia="zh-CN"/>
        </w:rPr>
        <w:t>700</w:t>
      </w:r>
      <w:r>
        <w:rPr>
          <w:rFonts w:ascii="仿宋_GB2312" w:eastAsia="仿宋_GB2312"/>
          <w:sz w:val="32"/>
        </w:rPr>
        <w:t>.00)</w:t>
      </w:r>
      <w:r>
        <w:rPr>
          <w:rFonts w:hint="eastAsia" w:ascii="仿宋_GB2312" w:eastAsia="仿宋_GB2312"/>
          <w:sz w:val="32"/>
        </w:rPr>
        <w:t>。详细情况见评估明细表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6</w:t>
      </w:r>
      <w:r>
        <w:rPr>
          <w:rFonts w:hint="eastAsia" w:ascii="仿宋_GB2312" w:eastAsia="仿宋_GB2312"/>
          <w:sz w:val="32"/>
          <w:lang w:eastAsia="zh-CN"/>
        </w:rPr>
        <w:t>月</w:t>
      </w:r>
      <w:r>
        <w:rPr>
          <w:rFonts w:hint="eastAsia" w:ascii="仿宋_GB2312" w:eastAsia="仿宋_GB2312"/>
          <w:sz w:val="32"/>
          <w:lang w:val="en-US" w:eastAsia="zh-CN"/>
        </w:rPr>
        <w:t>11</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二〇二一年六月十一日</w:t>
      </w:r>
    </w:p>
    <w:p/>
    <w:p/>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13E01"/>
    <w:rsid w:val="4E413E01"/>
    <w:rsid w:val="56736F1B"/>
    <w:rsid w:val="6AFD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2021-06-11T03:10:00Z</dcterms:created>
  <dc:creator>Administrator</dc:creator>
  <cp:lastModifiedBy>Administrator</cp:lastModifiedBy>
  <dcterms:modified xsi:type="dcterms:W3CDTF">2021-06-15T07:45:04Z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7DFB3EB2EC904D33859BD1D47437AF3E</vt:lpwstr>
  </property>
</Properties>
</file>