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.............................13</w:t>
      </w:r>
      <w:bookmarkStart w:id="0" w:name="_GoBack"/>
      <w:bookmarkEnd w:id="0"/>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于2021年03月05日派</w:t>
      </w:r>
      <w:r>
        <w:rPr>
          <w:rFonts w:hint="eastAsia" w:ascii="仿宋_GB2312" w:hAnsi="宋体" w:eastAsia="仿宋_GB2312" w:cs="Times New Roman"/>
          <w:kern w:val="2"/>
          <w:sz w:val="28"/>
          <w:szCs w:val="28"/>
          <w:lang w:val="en-US" w:eastAsia="zh-CN" w:bidi="ar-SA"/>
        </w:rPr>
        <w:t>员对委托方列明的陈中华、杨汉枝共有的、位于孝感市孝南区广场街九真村荣生东方龙城一期4栋2层0205室，建筑面积为105.68㎡的住宅房屋（含相关权益）进行了现场实地查勘，并对估价对象房地产于估价时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点2021年03月05日的市</w:t>
      </w:r>
      <w:r>
        <w:rPr>
          <w:rFonts w:hint="eastAsia" w:ascii="仿宋_GB2312" w:hAnsi="宋体" w:eastAsia="仿宋_GB2312" w:cs="Times New Roman"/>
          <w:kern w:val="2"/>
          <w:sz w:val="28"/>
          <w:szCs w:val="28"/>
          <w:lang w:val="en-US" w:eastAsia="zh-CN" w:bidi="ar-SA"/>
        </w:rPr>
        <w:t>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公开市场</w:t>
      </w:r>
      <w:r>
        <w:rPr>
          <w:rFonts w:hint="eastAsia" w:ascii="仿宋_GB2312" w:hAnsi="宋体" w:eastAsia="仿宋_GB2312" w:cs="Times New Roman"/>
          <w:kern w:val="2"/>
          <w:sz w:val="28"/>
          <w:szCs w:val="28"/>
          <w:highlight w:val="none"/>
          <w:lang w:val="en-US" w:eastAsia="zh-CN" w:bidi="ar-SA"/>
        </w:rPr>
        <w:t>价值为￥655005元(大写人民币陆拾伍万伍仟零伍元整)。</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二○二一年三月十六日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二○二一年三月十六日</w:t>
      </w:r>
    </w:p>
    <w:p>
      <w:pPr>
        <w:ind w:firstLine="560" w:firstLineChars="200"/>
        <w:rPr>
          <w:rFonts w:hint="eastAsia" w:ascii="仿宋_GB2312" w:hAnsi="宋体" w:eastAsia="仿宋_GB2312" w:cs="Times New Roman"/>
          <w:kern w:val="2"/>
          <w:sz w:val="28"/>
          <w:szCs w:val="28"/>
          <w:highlight w:val="yellow"/>
          <w:lang w:val="en-US" w:eastAsia="zh-CN" w:bidi="ar-SA"/>
        </w:rPr>
      </w:pPr>
    </w:p>
    <w:p>
      <w:pPr>
        <w:rPr>
          <w:rFonts w:hint="eastAsia" w:ascii="仿宋" w:hAnsi="仿宋"/>
          <w:b/>
          <w:w w:val="40"/>
          <w:sz w:val="140"/>
          <w:szCs w:val="140"/>
          <w:lang w:val="en-US" w:eastAsia="zh-CN"/>
        </w:rPr>
      </w:pPr>
      <w:r>
        <w:rPr>
          <w:rFonts w:hint="eastAsia" w:ascii="仿宋" w:hAnsi="仿宋"/>
          <w:b/>
          <w:w w:val="40"/>
          <w:sz w:val="140"/>
          <w:szCs w:val="140"/>
          <w:lang w:val="en-US" w:eastAsia="zh-CN"/>
        </w:rPr>
        <w:t xml:space="preserve"> </w:t>
      </w:r>
    </w:p>
    <w:p>
      <w:pPr>
        <w:rPr>
          <w:rFonts w:hint="eastAsia" w:ascii="仿宋" w:hAnsi="仿宋"/>
          <w:b/>
          <w:w w:val="40"/>
          <w:sz w:val="140"/>
          <w:szCs w:val="140"/>
        </w:rPr>
      </w:pP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16032</w:t>
      </w:r>
      <w:r>
        <w:rPr>
          <w:rFonts w:hint="eastAsia" w:ascii="仿宋_GB2312" w:hAnsi="仿宋" w:eastAsia="仿宋_GB2312"/>
          <w:kern w:val="13"/>
          <w:sz w:val="28"/>
          <w:szCs w:val="28"/>
          <w:highlight w:val="none"/>
        </w:rPr>
        <w:t>号</w: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孝感市孝南区广场街九真村荣生东方龙城</w:t>
      </w:r>
      <w:r>
        <w:rPr>
          <w:rFonts w:hint="eastAsia" w:ascii="仿宋" w:hAnsi="仿宋" w:eastAsia="仿宋" w:cs="仿宋"/>
          <w:b/>
          <w:bCs/>
          <w:sz w:val="32"/>
          <w:szCs w:val="32"/>
          <w:lang w:val="en-US" w:eastAsia="zh-CN"/>
        </w:rPr>
        <w:t>4栋205室</w:t>
      </w:r>
    </w:p>
    <w:p>
      <w:pPr>
        <w:jc w:val="center"/>
        <w:rPr>
          <w:rFonts w:hint="eastAsia" w:ascii="仿宋" w:hAnsi="仿宋" w:eastAsia="仿宋" w:cs="仿宋"/>
          <w:b/>
          <w:bCs/>
          <w:sz w:val="32"/>
          <w:szCs w:val="32"/>
        </w:rPr>
      </w:pPr>
      <w:r>
        <w:rPr>
          <w:rFonts w:hint="eastAsia" w:ascii="仿宋" w:hAnsi="仿宋" w:eastAsia="仿宋" w:cs="仿宋"/>
          <w:b/>
          <w:bCs/>
          <w:sz w:val="32"/>
          <w:szCs w:val="32"/>
        </w:rPr>
        <w:t>房地产估价结果报告</w:t>
      </w:r>
    </w:p>
    <w:p>
      <w:pPr>
        <w:jc w:val="center"/>
        <w:rPr>
          <w:rFonts w:hint="eastAsia" w:asciiTheme="majorEastAsia" w:hAnsiTheme="majorEastAsia" w:eastAsiaTheme="majorEastAsia" w:cstheme="majorEastAsia"/>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本次估价对象范围为陈中华、杨汉枝共有的、位于孝感市孝南区广场街九真村荣生东方龙城一期4号楼幢2层0205室，建筑面积为105.68㎡的住宅房地产。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根据本机构人员的实地勘查和委托方提供的委托书和不动产权利及其他事项登记信息等资料，可知估价对象实体状况如下：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w:t>
      </w:r>
      <w:r>
        <w:rPr>
          <w:rFonts w:hint="eastAsia" w:ascii="仿宋_GB2312" w:hAnsi="宋体" w:eastAsia="仿宋_GB2312" w:cs="Times New Roman"/>
          <w:kern w:val="2"/>
          <w:sz w:val="28"/>
          <w:szCs w:val="28"/>
          <w:lang w:val="en-US" w:eastAsia="zh-CN" w:bidi="ar-SA"/>
        </w:rPr>
        <w:t>孝感市孝南区广场街九真村（翟家湾转盘）荣生东方龙城一期4号楼幢2层0205室，房屋所有权人为陈中华、杨汉枝，共同共有，</w:t>
      </w:r>
      <w:r>
        <w:rPr>
          <w:rFonts w:hint="eastAsia" w:ascii="仿宋_GB2312" w:hAnsi="宋体" w:eastAsia="仿宋_GB2312" w:cs="Times New Roman"/>
          <w:kern w:val="2"/>
          <w:sz w:val="28"/>
          <w:szCs w:val="28"/>
          <w:highlight w:val="none"/>
          <w:lang w:val="en-US" w:eastAsia="zh-CN" w:bidi="ar-SA"/>
        </w:rPr>
        <w:t>不动产权证书号为孝感市房权证字第00144725号、第00144726号，</w:t>
      </w:r>
      <w:r>
        <w:rPr>
          <w:rFonts w:hint="eastAsia" w:ascii="仿宋_GB2312" w:hAnsi="宋体" w:eastAsia="仿宋_GB2312" w:cs="Times New Roman"/>
          <w:kern w:val="2"/>
          <w:sz w:val="28"/>
          <w:szCs w:val="28"/>
          <w:lang w:val="en-US" w:eastAsia="zh-CN" w:bidi="ar-SA"/>
        </w:rPr>
        <w:t>房屋结构为钢筋混凝土结构，</w:t>
      </w:r>
      <w:r>
        <w:rPr>
          <w:rFonts w:hint="eastAsia" w:ascii="仿宋_GB2312" w:hAnsi="宋体" w:eastAsia="仿宋_GB2312" w:cs="Times New Roman"/>
          <w:kern w:val="2"/>
          <w:sz w:val="28"/>
          <w:szCs w:val="28"/>
          <w:highlight w:val="none"/>
          <w:lang w:val="en-US" w:eastAsia="zh-CN" w:bidi="ar-SA"/>
        </w:rPr>
        <w:t>所在层数/总层数为2层/11层，</w:t>
      </w:r>
      <w:r>
        <w:rPr>
          <w:rFonts w:hint="eastAsia" w:ascii="仿宋_GB2312" w:hAnsi="宋体" w:eastAsia="仿宋_GB2312" w:cs="Times New Roman"/>
          <w:kern w:val="2"/>
          <w:sz w:val="28"/>
          <w:szCs w:val="28"/>
          <w:lang w:val="en-US" w:eastAsia="zh-CN" w:bidi="ar-SA"/>
        </w:rPr>
        <w:t>建筑面积为105.68平方米，</w:t>
      </w:r>
      <w:r>
        <w:rPr>
          <w:rFonts w:hint="eastAsia" w:ascii="仿宋_GB2312" w:hAnsi="宋体" w:eastAsia="仿宋_GB2312" w:cs="Times New Roman"/>
          <w:kern w:val="2"/>
          <w:sz w:val="28"/>
          <w:szCs w:val="28"/>
          <w:highlight w:val="none"/>
          <w:lang w:val="en-US" w:eastAsia="zh-CN" w:bidi="ar-SA"/>
        </w:rPr>
        <w:t>登记时间为2013年05月31日</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已被查封。</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槐荫大道荣生东方龙城小区4栋2单元2层205室，为小高层电梯楼房，一电梯二住户，建成于2010年，现状用途为成套住宅，总层数为11层，南北朝向，南边阳台。因多种原因估价人员未能到屋里对装修情况进行实物勘验。经调查相关当事人，该房屋室内为精装修，维护保养尚可。</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二0二一年三月五日。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w:t>
      </w:r>
      <w:r>
        <w:rPr>
          <w:rFonts w:hint="eastAsia" w:ascii="仿宋_GB2312" w:hAnsi="宋体" w:eastAsia="仿宋_GB2312" w:cs="Times New Roman"/>
          <w:kern w:val="2"/>
          <w:sz w:val="28"/>
          <w:szCs w:val="28"/>
          <w:highlight w:val="none"/>
          <w:lang w:val="en-US" w:eastAsia="zh-CN" w:bidi="ar-SA"/>
        </w:rPr>
        <w:t>值为￥655005元(大写人民币陆拾伍万伍仟零伍元整)。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分公司名称：湖北循其本价格鉴定评估有限公司孝感分公司</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p>
    <w:tbl>
      <w:tblPr>
        <w:tblStyle w:val="8"/>
        <w:tblpPr w:leftFromText="180" w:rightFromText="180" w:vertAnchor="text" w:horzAnchor="page" w:tblpXSpec="center" w:tblpY="81"/>
        <w:tblOverlap w:val="never"/>
        <w:tblW w:w="7574" w:type="dxa"/>
        <w:jc w:val="center"/>
        <w:tblInd w:w="10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860"/>
        <w:gridCol w:w="193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550"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550"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4384" behindDoc="1" locked="0" layoutInCell="1" allowOverlap="1">
                  <wp:simplePos x="0" y="0"/>
                  <wp:positionH relativeFrom="column">
                    <wp:posOffset>-639445</wp:posOffset>
                  </wp:positionH>
                  <wp:positionV relativeFrom="paragraph">
                    <wp:posOffset>141605</wp:posOffset>
                  </wp:positionV>
                  <wp:extent cx="1273810" cy="491490"/>
                  <wp:effectExtent l="0" t="0" r="2540" b="3810"/>
                  <wp:wrapNone/>
                  <wp:docPr id="3"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1200" w:lineRule="auto"/>
              <w:ind w:left="0" w:leftChars="0" w:right="0" w:rightChars="0" w:firstLine="0" w:firstLineChars="0"/>
              <w:jc w:val="both"/>
              <w:textAlignment w:val="auto"/>
              <w:outlineLvl w:val="9"/>
              <w:rPr>
                <w:rFonts w:hint="eastAsia" w:ascii="仿宋_GB2312" w:hAnsi="仿宋_GB2312" w:eastAsia="仿宋_GB2312" w:cs="仿宋_GB2312"/>
                <w:color w:val="000000"/>
                <w:sz w:val="28"/>
                <w:szCs w:val="28"/>
                <w:lang w:val="zh-CN"/>
              </w:rPr>
            </w:pPr>
            <w:r>
              <w:rPr>
                <w:lang w:val="zh-CN" w:eastAsia="zh-CN"/>
              </w:rPr>
              <w:drawing>
                <wp:anchor distT="0" distB="0" distL="114300" distR="114300" simplePos="0" relativeHeight="251666432" behindDoc="0" locked="0" layoutInCell="1" allowOverlap="1">
                  <wp:simplePos x="0" y="0"/>
                  <wp:positionH relativeFrom="column">
                    <wp:posOffset>458470</wp:posOffset>
                  </wp:positionH>
                  <wp:positionV relativeFrom="paragraph">
                    <wp:posOffset>38100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Style w:val="11"/>
                <w:rFonts w:hint="eastAsia" w:ascii="仿宋" w:hAnsi="仿宋" w:eastAsia="仿宋" w:cs="宋体"/>
                <w:color w:val="000000"/>
                <w:sz w:val="30"/>
                <w:szCs w:val="30"/>
                <w:lang w:val="en-US" w:eastAsia="zh-CN"/>
              </w:rPr>
              <w:t xml:space="preserve">  </w:t>
            </w:r>
            <w:r>
              <w:rPr>
                <w:rStyle w:val="11"/>
                <w:rFonts w:hint="eastAsia" w:ascii="仿宋" w:hAnsi="仿宋" w:eastAsia="仿宋" w:cs="宋体"/>
                <w:color w:val="000000"/>
                <w:sz w:val="30"/>
                <w:szCs w:val="30"/>
              </w:rPr>
              <w:t>0017039</w:t>
            </w:r>
          </w:p>
        </w:tc>
        <w:tc>
          <w:tcPr>
            <w:tcW w:w="2550" w:type="dxa"/>
            <w:vAlign w:val="center"/>
          </w:tcPr>
          <w:p>
            <w:pPr>
              <w:pStyle w:val="4"/>
              <w:rPr>
                <w:rFonts w:hint="eastAsia" w:ascii="仿宋" w:hAnsi="仿宋" w:eastAsia="仿宋"/>
                <w:color w:val="000000"/>
                <w:sz w:val="32"/>
                <w:szCs w:val="32"/>
              </w:rPr>
            </w:pPr>
            <w:r>
              <w:rPr>
                <w:rFonts w:hint="eastAsia" w:ascii="仿宋" w:hAnsi="仿宋" w:eastAsia="仿宋"/>
                <w:color w:val="000000"/>
                <w:sz w:val="32"/>
                <w:szCs w:val="32"/>
              </w:rPr>
              <w:drawing>
                <wp:anchor distT="0" distB="0" distL="114300" distR="114300" simplePos="0" relativeHeight="251667456" behindDoc="0" locked="0" layoutInCell="1" allowOverlap="1">
                  <wp:simplePos x="0" y="0"/>
                  <wp:positionH relativeFrom="column">
                    <wp:posOffset>158115</wp:posOffset>
                  </wp:positionH>
                  <wp:positionV relativeFrom="page">
                    <wp:posOffset>209550</wp:posOffset>
                  </wp:positionV>
                  <wp:extent cx="635" cy="635"/>
                  <wp:effectExtent l="0" t="0" r="0" b="0"/>
                  <wp:wrapNone/>
                  <wp:docPr id="2" name="图片 2"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3</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16</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二0二一年三月十六日</w:t>
      </w:r>
    </w:p>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孝感市孝南区广场街九真村荣生东方龙城</w:t>
      </w:r>
      <w:r>
        <w:rPr>
          <w:rFonts w:hint="eastAsia" w:ascii="仿宋" w:hAnsi="仿宋" w:eastAsia="仿宋" w:cs="仿宋"/>
          <w:b/>
          <w:bCs/>
          <w:sz w:val="36"/>
          <w:szCs w:val="36"/>
          <w:lang w:val="en-US" w:eastAsia="zh-CN"/>
        </w:rPr>
        <w:t>4栋205室</w:t>
      </w:r>
    </w:p>
    <w:p>
      <w:pPr>
        <w:jc w:val="center"/>
        <w:rPr>
          <w:rFonts w:hint="eastAsia" w:asciiTheme="majorEastAsia" w:hAnsiTheme="majorEastAsia" w:eastAsiaTheme="majorEastAsia" w:cstheme="majorEastAsia"/>
          <w:b/>
          <w:bCs/>
          <w:sz w:val="36"/>
          <w:szCs w:val="36"/>
        </w:rPr>
      </w:pPr>
      <w:r>
        <w:rPr>
          <w:rFonts w:hint="eastAsia" w:ascii="仿宋" w:hAnsi="仿宋" w:eastAsia="仿宋" w:cs="仿宋"/>
          <w:b/>
          <w:bCs/>
          <w:sz w:val="36"/>
          <w:szCs w:val="36"/>
          <w:lang w:eastAsia="zh-CN"/>
        </w:rPr>
        <w:t>房地产</w:t>
      </w:r>
      <w:r>
        <w:rPr>
          <w:rFonts w:hint="eastAsia" w:ascii="仿宋" w:hAnsi="仿宋" w:eastAsia="仿宋" w:cs="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w:t>
      </w:r>
      <w:r>
        <w:rPr>
          <w:rFonts w:hint="eastAsia" w:ascii="仿宋_GB2312" w:hAnsi="宋体" w:eastAsia="仿宋_GB2312" w:cs="Times New Roman"/>
          <w:kern w:val="2"/>
          <w:sz w:val="28"/>
          <w:szCs w:val="28"/>
          <w:lang w:val="en-US" w:eastAsia="zh-CN" w:bidi="ar-SA"/>
        </w:rPr>
        <w:t>孝感市孝南区广场街九真村（翟家湾转盘）荣生东方龙城一期4号楼幢2层0205室，房屋所有权人为陈中华、杨汉枝，共同共有，</w:t>
      </w:r>
      <w:r>
        <w:rPr>
          <w:rFonts w:hint="eastAsia" w:ascii="仿宋_GB2312" w:hAnsi="宋体" w:eastAsia="仿宋_GB2312" w:cs="Times New Roman"/>
          <w:kern w:val="2"/>
          <w:sz w:val="28"/>
          <w:szCs w:val="28"/>
          <w:highlight w:val="none"/>
          <w:lang w:val="en-US" w:eastAsia="zh-CN" w:bidi="ar-SA"/>
        </w:rPr>
        <w:t>不动产权证书号为孝感市房权证字第00144725号、第00144726号，</w:t>
      </w:r>
      <w:r>
        <w:rPr>
          <w:rFonts w:hint="eastAsia" w:ascii="仿宋_GB2312" w:hAnsi="宋体" w:eastAsia="仿宋_GB2312" w:cs="Times New Roman"/>
          <w:kern w:val="2"/>
          <w:sz w:val="28"/>
          <w:szCs w:val="28"/>
          <w:lang w:val="en-US" w:eastAsia="zh-CN" w:bidi="ar-SA"/>
        </w:rPr>
        <w:t>房屋结构为钢筋混凝土结构，</w:t>
      </w:r>
      <w:r>
        <w:rPr>
          <w:rFonts w:hint="eastAsia" w:ascii="仿宋_GB2312" w:hAnsi="宋体" w:eastAsia="仿宋_GB2312" w:cs="Times New Roman"/>
          <w:kern w:val="2"/>
          <w:sz w:val="28"/>
          <w:szCs w:val="28"/>
          <w:highlight w:val="none"/>
          <w:lang w:val="en-US" w:eastAsia="zh-CN" w:bidi="ar-SA"/>
        </w:rPr>
        <w:t>所在层数/总层数为2层/11层，</w:t>
      </w:r>
      <w:r>
        <w:rPr>
          <w:rFonts w:hint="eastAsia" w:ascii="仿宋_GB2312" w:hAnsi="宋体" w:eastAsia="仿宋_GB2312" w:cs="Times New Roman"/>
          <w:kern w:val="2"/>
          <w:sz w:val="28"/>
          <w:szCs w:val="28"/>
          <w:lang w:val="en-US" w:eastAsia="zh-CN" w:bidi="ar-SA"/>
        </w:rPr>
        <w:t>建筑面积为105.68平方米，</w:t>
      </w:r>
      <w:r>
        <w:rPr>
          <w:rFonts w:hint="eastAsia" w:ascii="仿宋_GB2312" w:hAnsi="宋体" w:eastAsia="仿宋_GB2312" w:cs="Times New Roman"/>
          <w:kern w:val="2"/>
          <w:sz w:val="28"/>
          <w:szCs w:val="28"/>
          <w:highlight w:val="none"/>
          <w:lang w:val="en-US" w:eastAsia="zh-CN" w:bidi="ar-SA"/>
        </w:rPr>
        <w:t>登记时间为2013年05月31日</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已被查封。</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槐荫大道荣生东方龙城小区4栋2单元2层205室，为小高层电梯楼房，一电梯二住户，建成于2010年，现状用途为成套住宅，总层数为11层，南北朝向，南边阳台。因多种原因估价人员未能到屋里对装修情况进行实物勘验。经调查相关当事人，该房屋室内为精装修，维护保养尚可。</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jc w:val="left"/>
        <w:rPr>
          <w:rFonts w:hint="eastAsia" w:ascii="仿宋" w:hAnsi="仿宋" w:eastAsia="仿宋" w:cs="仿宋"/>
          <w:i w:val="0"/>
          <w:kern w:val="0"/>
          <w:sz w:val="28"/>
          <w:szCs w:val="28"/>
          <w:lang w:val="en-US" w:eastAsia="zh-CN" w:bidi="ar"/>
        </w:rPr>
      </w:pPr>
      <w:r>
        <w:rPr>
          <w:rFonts w:hint="eastAsia" w:ascii="宋体" w:hAnsi="宋体" w:cs="宋体"/>
          <w:i w:val="0"/>
          <w:kern w:val="0"/>
          <w:sz w:val="24"/>
          <w:szCs w:val="24"/>
          <w:lang w:val="en-US" w:eastAsia="zh-CN" w:bidi="ar"/>
        </w:rPr>
        <w:t xml:space="preserve">  </w:t>
      </w:r>
      <w:r>
        <w:rPr>
          <w:rFonts w:hint="eastAsia" w:ascii="宋体" w:hAnsi="宋体" w:cs="宋体"/>
          <w:i w:val="0"/>
          <w:kern w:val="0"/>
          <w:sz w:val="28"/>
          <w:szCs w:val="28"/>
          <w:lang w:val="en-US" w:eastAsia="zh-CN" w:bidi="ar"/>
        </w:rPr>
        <w:t xml:space="preserve">  </w:t>
      </w:r>
      <w:r>
        <w:rPr>
          <w:rFonts w:hint="eastAsia" w:ascii="仿宋" w:hAnsi="仿宋" w:eastAsia="仿宋" w:cs="仿宋"/>
          <w:color w:val="auto"/>
          <w:kern w:val="2"/>
          <w:sz w:val="28"/>
          <w:szCs w:val="28"/>
          <w:highlight w:val="none"/>
          <w:lang w:val="en-US" w:eastAsia="zh-CN" w:bidi="ar-SA"/>
        </w:rPr>
        <w:t>估价对象位于</w:t>
      </w:r>
      <w:r>
        <w:rPr>
          <w:rFonts w:hint="eastAsia" w:ascii="仿宋_GB2312" w:hAnsi="宋体" w:eastAsia="仿宋_GB2312" w:cs="Times New Roman"/>
          <w:kern w:val="2"/>
          <w:sz w:val="28"/>
          <w:szCs w:val="28"/>
          <w:highlight w:val="none"/>
          <w:lang w:val="en-US" w:eastAsia="zh-CN" w:bidi="ar-SA"/>
        </w:rPr>
        <w:t>孝感市槐荫大道荣生东方龙城小区</w:t>
      </w:r>
      <w:r>
        <w:rPr>
          <w:rFonts w:hint="eastAsia" w:ascii="仿宋_GB2312" w:hAnsi="宋体" w:eastAsia="仿宋_GB2312" w:cs="Times New Roman"/>
          <w:color w:val="auto"/>
          <w:kern w:val="2"/>
          <w:sz w:val="28"/>
          <w:szCs w:val="28"/>
          <w:lang w:val="en-US" w:eastAsia="zh-CN" w:bidi="ar-SA"/>
        </w:rPr>
        <w:t>，</w:t>
      </w:r>
      <w:r>
        <w:rPr>
          <w:rFonts w:hint="eastAsia" w:ascii="仿宋_GB2312" w:hAnsi="宋体" w:eastAsia="仿宋_GB2312" w:cs="Times New Roman"/>
          <w:color w:val="auto"/>
          <w:kern w:val="2"/>
          <w:sz w:val="28"/>
          <w:szCs w:val="28"/>
          <w:highlight w:val="none"/>
          <w:lang w:val="en-US" w:eastAsia="zh-CN" w:bidi="ar-SA"/>
        </w:rPr>
        <w:t>该小区</w:t>
      </w:r>
      <w:r>
        <w:rPr>
          <w:rFonts w:hint="eastAsia" w:ascii="仿宋" w:hAnsi="仿宋" w:eastAsia="仿宋" w:cs="仿宋"/>
          <w:i w:val="0"/>
          <w:caps w:val="0"/>
          <w:color w:val="auto"/>
          <w:spacing w:val="0"/>
          <w:sz w:val="28"/>
          <w:szCs w:val="28"/>
          <w:highlight w:val="none"/>
          <w:shd w:val="clear" w:fill="FFFFFF"/>
        </w:rPr>
        <w:t>雄踞</w:t>
      </w:r>
      <w:r>
        <w:rPr>
          <w:rFonts w:hint="eastAsia" w:ascii="仿宋" w:hAnsi="仿宋" w:eastAsia="仿宋" w:cs="仿宋"/>
          <w:i w:val="0"/>
          <w:caps w:val="0"/>
          <w:color w:val="auto"/>
          <w:spacing w:val="0"/>
          <w:sz w:val="28"/>
          <w:szCs w:val="28"/>
          <w:shd w:val="clear" w:fill="FFFFFF"/>
        </w:rPr>
        <w:t>城区核心地段</w:t>
      </w:r>
      <w:r>
        <w:rPr>
          <w:rFonts w:hint="eastAsia" w:ascii="仿宋" w:hAnsi="仿宋" w:eastAsia="仿宋" w:cs="仿宋"/>
          <w:i w:val="0"/>
          <w:caps w:val="0"/>
          <w:color w:val="auto"/>
          <w:spacing w:val="0"/>
          <w:sz w:val="28"/>
          <w:szCs w:val="28"/>
          <w:shd w:val="clear" w:fill="FFFFFF"/>
          <w:lang w:eastAsia="zh-CN"/>
        </w:rPr>
        <w:t>，</w:t>
      </w:r>
      <w:r>
        <w:rPr>
          <w:rFonts w:hint="eastAsia" w:ascii="仿宋" w:hAnsi="仿宋" w:eastAsia="仿宋" w:cs="仿宋"/>
          <w:i w:val="0"/>
          <w:caps w:val="0"/>
          <w:color w:val="auto"/>
          <w:spacing w:val="0"/>
          <w:sz w:val="28"/>
          <w:szCs w:val="28"/>
          <w:shd w:val="clear" w:fill="FFFFFF"/>
        </w:rPr>
        <w:t>绿化</w:t>
      </w:r>
      <w:r>
        <w:rPr>
          <w:rFonts w:hint="eastAsia" w:ascii="仿宋" w:hAnsi="仿宋" w:eastAsia="仿宋" w:cs="仿宋"/>
          <w:i w:val="0"/>
          <w:caps w:val="0"/>
          <w:color w:val="auto"/>
          <w:spacing w:val="0"/>
          <w:sz w:val="28"/>
          <w:szCs w:val="28"/>
          <w:shd w:val="clear" w:fill="FFFFFF"/>
          <w:lang w:eastAsia="zh-CN"/>
        </w:rPr>
        <w:t>一般，</w:t>
      </w:r>
      <w:r>
        <w:rPr>
          <w:rFonts w:hint="eastAsia" w:ascii="仿宋_GB2312" w:hAnsi="宋体" w:eastAsia="仿宋_GB2312" w:cs="Times New Roman"/>
          <w:color w:val="auto"/>
          <w:kern w:val="2"/>
          <w:sz w:val="28"/>
          <w:szCs w:val="28"/>
          <w:lang w:val="en-US" w:eastAsia="zh-CN" w:bidi="ar-SA"/>
        </w:rPr>
        <w:t>居住环境尚可，物业管理较好，24小时保安值守；</w:t>
      </w:r>
      <w:r>
        <w:rPr>
          <w:rFonts w:hint="eastAsia" w:ascii="仿宋" w:hAnsi="仿宋" w:eastAsia="仿宋" w:cs="仿宋"/>
          <w:i w:val="0"/>
          <w:caps w:val="0"/>
          <w:color w:val="auto"/>
          <w:spacing w:val="0"/>
          <w:sz w:val="28"/>
          <w:szCs w:val="28"/>
          <w:shd w:val="clear" w:fill="FFFFFF"/>
        </w:rPr>
        <w:t>小区周边交通</w:t>
      </w:r>
      <w:r>
        <w:rPr>
          <w:rFonts w:hint="eastAsia" w:ascii="仿宋" w:hAnsi="仿宋" w:eastAsia="仿宋" w:cs="仿宋"/>
          <w:i w:val="0"/>
          <w:kern w:val="0"/>
          <w:sz w:val="28"/>
          <w:szCs w:val="28"/>
          <w:lang w:val="en-US" w:eastAsia="zh-CN" w:bidi="ar"/>
        </w:rPr>
        <w:t>较为便捷</w:t>
      </w:r>
      <w:r>
        <w:rPr>
          <w:rFonts w:hint="eastAsia" w:ascii="仿宋" w:hAnsi="仿宋" w:eastAsia="仿宋" w:cs="仿宋"/>
          <w:i w:val="0"/>
          <w:caps w:val="0"/>
          <w:color w:val="auto"/>
          <w:spacing w:val="0"/>
          <w:sz w:val="28"/>
          <w:szCs w:val="28"/>
          <w:shd w:val="clear" w:fill="FFFFFF"/>
        </w:rPr>
        <w:t>，有</w:t>
      </w:r>
      <w:r>
        <w:rPr>
          <w:rFonts w:hint="eastAsia" w:ascii="仿宋" w:hAnsi="仿宋" w:eastAsia="仿宋" w:cs="仿宋"/>
          <w:i w:val="0"/>
          <w:caps w:val="0"/>
          <w:color w:val="auto"/>
          <w:spacing w:val="0"/>
          <w:sz w:val="28"/>
          <w:szCs w:val="28"/>
          <w:shd w:val="clear" w:fill="FFFFFF"/>
          <w:lang w:eastAsia="zh-CN"/>
        </w:rPr>
        <w:t>多路</w:t>
      </w:r>
      <w:r>
        <w:rPr>
          <w:rFonts w:hint="eastAsia" w:ascii="仿宋" w:hAnsi="仿宋" w:eastAsia="仿宋" w:cs="仿宋"/>
          <w:i w:val="0"/>
          <w:caps w:val="0"/>
          <w:color w:val="auto"/>
          <w:spacing w:val="0"/>
          <w:sz w:val="28"/>
          <w:szCs w:val="28"/>
          <w:shd w:val="clear" w:fill="FFFFFF"/>
        </w:rPr>
        <w:t>公交</w:t>
      </w:r>
      <w:r>
        <w:rPr>
          <w:rFonts w:hint="eastAsia" w:ascii="仿宋" w:hAnsi="仿宋" w:eastAsia="仿宋" w:cs="仿宋"/>
          <w:i w:val="0"/>
          <w:caps w:val="0"/>
          <w:color w:val="auto"/>
          <w:spacing w:val="0"/>
          <w:sz w:val="28"/>
          <w:szCs w:val="28"/>
          <w:shd w:val="clear" w:fill="FFFFFF"/>
          <w:lang w:eastAsia="zh-CN"/>
        </w:rPr>
        <w:t>汽</w:t>
      </w:r>
      <w:r>
        <w:rPr>
          <w:rFonts w:hint="eastAsia" w:ascii="仿宋" w:hAnsi="仿宋" w:eastAsia="仿宋" w:cs="仿宋"/>
          <w:i w:val="0"/>
          <w:caps w:val="0"/>
          <w:color w:val="auto"/>
          <w:spacing w:val="0"/>
          <w:sz w:val="28"/>
          <w:szCs w:val="28"/>
          <w:shd w:val="clear" w:fill="FFFFFF"/>
        </w:rPr>
        <w:t>车</w:t>
      </w:r>
      <w:r>
        <w:rPr>
          <w:rFonts w:hint="eastAsia" w:ascii="仿宋" w:hAnsi="仿宋" w:eastAsia="仿宋" w:cs="仿宋"/>
          <w:i w:val="0"/>
          <w:caps w:val="0"/>
          <w:color w:val="auto"/>
          <w:spacing w:val="0"/>
          <w:sz w:val="28"/>
          <w:szCs w:val="28"/>
          <w:shd w:val="clear" w:fill="FFFFFF"/>
          <w:lang w:eastAsia="zh-CN"/>
        </w:rPr>
        <w:t>通达</w:t>
      </w:r>
      <w:r>
        <w:rPr>
          <w:rFonts w:hint="eastAsia" w:ascii="仿宋" w:hAnsi="仿宋" w:eastAsia="仿宋" w:cs="仿宋"/>
          <w:i w:val="0"/>
          <w:caps w:val="0"/>
          <w:color w:val="auto"/>
          <w:spacing w:val="0"/>
          <w:sz w:val="28"/>
          <w:szCs w:val="28"/>
          <w:shd w:val="clear" w:fill="FFFFFF"/>
        </w:rPr>
        <w:t>，</w:t>
      </w:r>
      <w:r>
        <w:rPr>
          <w:rFonts w:hint="eastAsia" w:ascii="仿宋" w:hAnsi="仿宋" w:eastAsia="仿宋" w:cs="仿宋"/>
          <w:i w:val="0"/>
          <w:caps w:val="0"/>
          <w:color w:val="auto"/>
          <w:spacing w:val="0"/>
          <w:sz w:val="28"/>
          <w:szCs w:val="28"/>
          <w:shd w:val="clear" w:fill="FFFFFF"/>
          <w:lang w:eastAsia="zh-CN"/>
        </w:rPr>
        <w:t>西距孝感市长途汽车客运站不到</w:t>
      </w:r>
      <w:r>
        <w:rPr>
          <w:rFonts w:hint="eastAsia" w:ascii="仿宋" w:hAnsi="仿宋" w:eastAsia="仿宋" w:cs="仿宋"/>
          <w:i w:val="0"/>
          <w:caps w:val="0"/>
          <w:color w:val="auto"/>
          <w:spacing w:val="0"/>
          <w:sz w:val="28"/>
          <w:szCs w:val="28"/>
          <w:shd w:val="clear" w:fill="FFFFFF"/>
          <w:lang w:val="en-US" w:eastAsia="zh-CN"/>
        </w:rPr>
        <w:t>1000米</w:t>
      </w:r>
      <w:r>
        <w:rPr>
          <w:rFonts w:hint="eastAsia" w:ascii="仿宋" w:hAnsi="仿宋" w:eastAsia="仿宋" w:cs="仿宋"/>
          <w:i w:val="0"/>
          <w:caps w:val="0"/>
          <w:color w:val="auto"/>
          <w:spacing w:val="0"/>
          <w:sz w:val="28"/>
          <w:szCs w:val="28"/>
          <w:shd w:val="clear" w:fill="FFFFFF"/>
        </w:rPr>
        <w:t>，周边有学校、医院、商场</w:t>
      </w:r>
      <w:r>
        <w:rPr>
          <w:rFonts w:hint="eastAsia" w:ascii="仿宋" w:hAnsi="仿宋" w:eastAsia="仿宋" w:cs="仿宋"/>
          <w:i w:val="0"/>
          <w:caps w:val="0"/>
          <w:color w:val="auto"/>
          <w:spacing w:val="0"/>
          <w:sz w:val="28"/>
          <w:szCs w:val="28"/>
          <w:shd w:val="clear" w:fill="FFFFFF"/>
          <w:lang w:eastAsia="zh-CN"/>
        </w:rPr>
        <w:t>等环伺</w:t>
      </w:r>
      <w:r>
        <w:rPr>
          <w:rFonts w:hint="eastAsia" w:ascii="仿宋" w:hAnsi="仿宋" w:eastAsia="仿宋" w:cs="仿宋"/>
          <w:i w:val="0"/>
          <w:caps w:val="0"/>
          <w:color w:val="auto"/>
          <w:spacing w:val="0"/>
          <w:sz w:val="28"/>
          <w:szCs w:val="28"/>
          <w:shd w:val="clear" w:fill="FFFFFF"/>
        </w:rPr>
        <w:t>，</w:t>
      </w:r>
      <w:r>
        <w:rPr>
          <w:rFonts w:hint="eastAsia" w:ascii="仿宋" w:hAnsi="仿宋" w:eastAsia="仿宋" w:cs="仿宋"/>
          <w:i w:val="0"/>
          <w:kern w:val="0"/>
          <w:sz w:val="28"/>
          <w:szCs w:val="28"/>
          <w:lang w:val="en-US" w:eastAsia="zh-CN" w:bidi="ar"/>
        </w:rPr>
        <w:t>公共基础设施、生活配套设施基本完善、齐全，生活较为便利。</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接受委托后，我们会同委托人</w:t>
      </w:r>
      <w:r>
        <w:rPr>
          <w:rFonts w:hint="eastAsia" w:ascii="仿宋" w:hAnsi="仿宋" w:eastAsia="仿宋"/>
          <w:sz w:val="28"/>
          <w:szCs w:val="28"/>
          <w:lang w:eastAsia="zh-CN"/>
        </w:rPr>
        <w:t>及相关当事人</w:t>
      </w:r>
      <w:r>
        <w:rPr>
          <w:rFonts w:hint="eastAsia" w:ascii="仿宋" w:hAnsi="仿宋" w:eastAsia="仿宋"/>
          <w:sz w:val="28"/>
          <w:szCs w:val="28"/>
        </w:rPr>
        <w:t>对估价对象进行了实地勘查，随后开展了广泛的市场调查，</w:t>
      </w:r>
      <w:r>
        <w:rPr>
          <w:rFonts w:hint="eastAsia" w:ascii="仿宋" w:hAnsi="仿宋" w:eastAsia="仿宋"/>
          <w:sz w:val="28"/>
          <w:szCs w:val="28"/>
          <w:lang w:val="en-US" w:eastAsia="zh-CN"/>
        </w:rPr>
        <w:t>确定</w:t>
      </w:r>
      <w:r>
        <w:rPr>
          <w:rFonts w:hint="eastAsia" w:ascii="仿宋_GB2312" w:hAnsi="宋体" w:eastAsia="仿宋_GB2312" w:cs="Times New Roman"/>
          <w:kern w:val="2"/>
          <w:sz w:val="28"/>
          <w:szCs w:val="28"/>
          <w:lang w:val="en-US" w:eastAsia="zh-CN" w:bidi="ar-SA"/>
        </w:rPr>
        <w:t>采用市场法进行了估价测算。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w:t>
      </w:r>
      <w:r>
        <w:rPr>
          <w:rFonts w:hint="eastAsia" w:ascii="仿宋_GB2312" w:hAnsi="宋体" w:eastAsia="仿宋_GB2312" w:cs="Times New Roman"/>
          <w:kern w:val="2"/>
          <w:sz w:val="28"/>
          <w:szCs w:val="28"/>
          <w:highlight w:val="none"/>
          <w:lang w:val="en-US" w:eastAsia="zh-CN" w:bidi="ar-SA"/>
        </w:rPr>
        <w:t>筛选与估价对象同一区域、仅一河之隔、相距800米左右的赛达水岸城小区内的三个可比实例。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w:t>
      </w:r>
      <w:r>
        <w:rPr>
          <w:rFonts w:hint="eastAsia" w:ascii="仿宋_GB2312" w:hAnsi="宋体" w:eastAsia="仿宋_GB2312" w:cs="Times New Roman"/>
          <w:kern w:val="2"/>
          <w:sz w:val="28"/>
          <w:szCs w:val="28"/>
          <w:highlight w:val="none"/>
          <w:lang w:val="en-US" w:eastAsia="zh-CN" w:bidi="ar-SA"/>
        </w:rPr>
        <w:t>赛达水岸城</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，2017年建成，总层数26层，所在层4层，南北朝向，毛坯，建筑面积107平米，三室二厅一卫，拟交易总价67万，折合单价约6262元/㎡，拟交易日期2021年03月份。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实例B：赛达水岸城</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，2019年建成，总层数28层，所在层6层，南北朝向，毛坯，建筑面积105.5平米，三室二厅一卫，拟交易总价68万，折合单价约6445元/㎡，拟交易日期2021年03月份。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实例C：赛达水岸城</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，2014年建成，总层数29层，所在层2层，南北朝向，毛坯，建筑面积105平米，三室二厅一卫，拟交易总价59万，折合单价约5620元/㎡，拟交易日期2021年03月份。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荣生</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东方龙城</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一期4栋</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2层205室</w:t>
            </w:r>
          </w:p>
        </w:tc>
        <w:tc>
          <w:tcPr>
            <w:tcW w:w="1567"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赛达水岸城小区</w:t>
            </w:r>
          </w:p>
        </w:tc>
        <w:tc>
          <w:tcPr>
            <w:tcW w:w="1550" w:type="dxa"/>
            <w:vAlign w:val="top"/>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赛达水岸城小区</w:t>
            </w:r>
          </w:p>
        </w:tc>
        <w:tc>
          <w:tcPr>
            <w:tcW w:w="1633" w:type="dxa"/>
            <w:vAlign w:val="top"/>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赛达水岸城小区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东方龙城</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赛</w:t>
            </w:r>
            <w:r>
              <w:rPr>
                <w:rFonts w:hint="eastAsia" w:ascii="仿宋" w:hAnsi="仿宋" w:eastAsia="仿宋" w:cs="仿宋"/>
                <w:color w:val="auto"/>
                <w:sz w:val="24"/>
                <w:szCs w:val="24"/>
                <w:lang w:val="en-US" w:eastAsia="zh-CN"/>
              </w:rPr>
              <w:t>达水岸</w:t>
            </w:r>
            <w:r>
              <w:rPr>
                <w:rFonts w:hint="eastAsia" w:ascii="仿宋" w:hAnsi="仿宋" w:eastAsia="仿宋" w:cs="仿宋"/>
                <w:color w:val="auto"/>
                <w:sz w:val="28"/>
                <w:szCs w:val="28"/>
                <w:lang w:val="en-US" w:eastAsia="zh-CN"/>
              </w:rPr>
              <w:t>城</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赛</w:t>
            </w:r>
            <w:r>
              <w:rPr>
                <w:rFonts w:hint="eastAsia" w:ascii="仿宋" w:hAnsi="仿宋" w:eastAsia="仿宋" w:cs="仿宋"/>
                <w:color w:val="auto"/>
                <w:sz w:val="24"/>
                <w:szCs w:val="24"/>
                <w:lang w:val="en-US" w:eastAsia="zh-CN"/>
              </w:rPr>
              <w:t>达水岸</w:t>
            </w:r>
            <w:r>
              <w:rPr>
                <w:rFonts w:hint="eastAsia" w:ascii="仿宋" w:hAnsi="仿宋" w:eastAsia="仿宋" w:cs="仿宋"/>
                <w:color w:val="auto"/>
                <w:sz w:val="28"/>
                <w:szCs w:val="28"/>
                <w:lang w:val="en-US" w:eastAsia="zh-CN"/>
              </w:rPr>
              <w:t>城</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赛达水岸城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6262</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6445</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2/11</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4/26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6/28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w:t>
            </w:r>
          </w:p>
        </w:tc>
        <w:tc>
          <w:tcPr>
            <w:tcW w:w="1567" w:type="dxa"/>
            <w:vAlign w:val="top"/>
          </w:tcPr>
          <w:p>
            <w:pPr>
              <w:jc w:val="cente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毛坯</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毛坯</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93.3%</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96.7%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6262</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6445</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97</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97</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103</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104</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103</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106</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both"/>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both"/>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6262</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6445</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95</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95</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106</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6278</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6400</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5916</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由于可比实例A、B、C与估价对象条件因素相当类似，且比准价格相差不远，因此采取算数平均值的求取方法，估算估价对象的价格。</w:t>
      </w:r>
    </w:p>
    <w:p>
      <w:pPr>
        <w:numPr>
          <w:ilvl w:val="0"/>
          <w:numId w:val="0"/>
        </w:numPr>
        <w:ind w:left="60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评估单价=（6278+6400+5916）</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3=6198(元/平米)</w:t>
      </w:r>
    </w:p>
    <w:p>
      <w:pPr>
        <w:numPr>
          <w:ilvl w:val="0"/>
          <w:numId w:val="0"/>
        </w:numPr>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评估总值=6198</w:t>
      </w:r>
      <w:r>
        <w:rPr>
          <w:rFonts w:hint="eastAsia" w:ascii="仿宋" w:hAnsi="仿宋" w:eastAsia="仿宋" w:cs="仿宋"/>
          <w:sz w:val="28"/>
          <w:szCs w:val="28"/>
          <w:lang w:val="en-US" w:eastAsia="zh-CN"/>
        </w:rPr>
        <w:t>×105.68≈655005(元)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估价人员根据估价目的，遵循估价原则，按照规定估价程序和方法，经过具体测算，确定估价对象在估价时点可能形成的公开市场价值为￥655005元(大写人民币陆拾伍万伍仟零伍元整)。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pPr>
      <w:r>
        <w:rPr>
          <w:rFonts w:hint="eastAsia" w:ascii="仿宋_GB2312" w:hAnsi="宋体" w:eastAsia="仿宋_GB2312" w:cs="Times New Roman"/>
          <w:kern w:val="2"/>
          <w:sz w:val="28"/>
          <w:szCs w:val="28"/>
          <w:highlight w:val="none"/>
          <w:lang w:val="en-US" w:eastAsia="zh-CN" w:bidi="ar-SA"/>
        </w:rPr>
        <w:t xml:space="preserve">                                    二0二一年三月十六日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创艺简仿宋">
    <w:altName w:val="宋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decorative"/>
    <w:pitch w:val="default"/>
    <w:sig w:usb0="00000000" w:usb1="00000000" w:usb2="00000010" w:usb3="00000000" w:csb0="00040000" w:csb1="00000000"/>
  </w:font>
  <w:font w:name="Courier New">
    <w:panose1 w:val="02070309020205020404"/>
    <w:charset w:val="00"/>
    <w:family w:val="decorative"/>
    <w:pitch w:val="default"/>
    <w:sig w:usb0="E0002AFF" w:usb1="C0007843" w:usb2="00000009" w:usb3="00000000" w:csb0="400001FF" w:csb1="FFFF0000"/>
  </w:font>
  <w:font w:name="仿宋_GB2312">
    <w:altName w:val="仿宋"/>
    <w:panose1 w:val="02010609030101010101"/>
    <w:charset w:val="86"/>
    <w:family w:val="roman"/>
    <w:pitch w:val="default"/>
    <w:sig w:usb0="00000000" w:usb1="00000000" w:usb2="00000010" w:usb3="00000000" w:csb0="00040000" w:csb1="00000000"/>
  </w:font>
  <w:font w:name="新宋体">
    <w:panose1 w:val="02010609030101010101"/>
    <w:charset w:val="86"/>
    <w:family w:val="decorative"/>
    <w:pitch w:val="default"/>
    <w:sig w:usb0="00000003" w:usb1="288F0000" w:usb2="00000006" w:usb3="00000000" w:csb0="00040001" w:csb1="00000000"/>
  </w:font>
  <w:font w:name="Courier New">
    <w:panose1 w:val="02070309020205020404"/>
    <w:charset w:val="00"/>
    <w:family w:val="roma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roman"/>
    <w:pitch w:val="default"/>
    <w:sig w:usb0="00000003" w:usb1="288F0000" w:usb2="00000006" w:usb3="00000000" w:csb0="00040001"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Courier New">
    <w:panose1 w:val="02070309020205020404"/>
    <w:charset w:val="00"/>
    <w:family w:val="swiss"/>
    <w:pitch w:val="default"/>
    <w:sig w:usb0="E0002AFF" w:usb1="C0007843" w:usb2="00000009" w:usb3="00000000" w:csb0="400001FF" w:csb1="FFFF0000"/>
  </w:font>
  <w:font w:name="新宋体">
    <w:panose1 w:val="02010609030101010101"/>
    <w:charset w:val="86"/>
    <w:family w:val="swiss"/>
    <w:pitch w:val="default"/>
    <w:sig w:usb0="00000003" w:usb1="288F0000" w:usb2="00000006" w:usb3="00000000" w:csb0="00040001" w:csb1="00000000"/>
  </w:font>
  <w:font w:name="仿宋">
    <w:panose1 w:val="02010609060101010101"/>
    <w:charset w:val="7A"/>
    <w:family w:val="swiss"/>
    <w:pitch w:val="default"/>
    <w:sig w:usb0="800002BF" w:usb1="38CF7CFA" w:usb2="00000016" w:usb3="00000000" w:csb0="00040001" w:csb1="00000000"/>
  </w:font>
  <w:font w:name="仿宋">
    <w:panose1 w:val="02010609060101010101"/>
    <w:charset w:val="7A"/>
    <w:family w:val="decorative"/>
    <w:pitch w:val="default"/>
    <w:sig w:usb0="800002BF" w:usb1="38CF7CFA" w:usb2="00000016" w:usb3="00000000" w:csb0="00040001" w:csb1="00000000"/>
  </w:font>
  <w:font w:name="仿宋">
    <w:panose1 w:val="02010609060101010101"/>
    <w:charset w:val="7A"/>
    <w:family w:val="roman"/>
    <w:pitch w:val="default"/>
    <w:sig w:usb0="800002BF" w:usb1="38CF7CFA" w:usb2="00000016" w:usb3="00000000" w:csb0="00040001" w:csb1="00000000"/>
  </w:font>
  <w:font w:name="仿宋">
    <w:panose1 w:val="02010609060101010101"/>
    <w:charset w:val="7A"/>
    <w:family w:val="modern"/>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E514CF"/>
    <w:rsid w:val="056004DF"/>
    <w:rsid w:val="0D847E39"/>
    <w:rsid w:val="1C0E6215"/>
    <w:rsid w:val="251903EC"/>
    <w:rsid w:val="327A5A60"/>
    <w:rsid w:val="39A67ED8"/>
    <w:rsid w:val="3A9B4436"/>
    <w:rsid w:val="3B4E1CDB"/>
    <w:rsid w:val="3F1E169C"/>
    <w:rsid w:val="4CC84B86"/>
    <w:rsid w:val="50AF7D6F"/>
    <w:rsid w:val="56586FB6"/>
    <w:rsid w:val="56C4408E"/>
    <w:rsid w:val="5EB850B3"/>
    <w:rsid w:val="70703A03"/>
    <w:rsid w:val="73E514CF"/>
    <w:rsid w:val="7ABD52E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2021-03-05T08:36:00Z</dcterms:created>
  <dc:creator>Administrator</dc:creator>
  <cp:lastModifiedBy>Administrator</cp:lastModifiedBy>
  <dcterms:modified xsi:type="dcterms:W3CDTF">2021-03-16T06:22:10Z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