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w:t>
      </w:r>
      <w:bookmarkStart w:id="0" w:name="_GoBack"/>
      <w:bookmarkEnd w:id="0"/>
      <w:r>
        <w:rPr>
          <w:rFonts w:hint="eastAsia" w:ascii="仿宋_GB2312" w:hAnsi="宋体" w:eastAsia="仿宋_GB2312"/>
          <w:sz w:val="28"/>
          <w:szCs w:val="28"/>
          <w:lang w:val="en-US" w:eastAsia="zh-CN"/>
        </w:rPr>
        <w:t>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sz w:val="28"/>
          <w:szCs w:val="28"/>
          <w:lang w:val="en-US" w:eastAsia="zh-CN"/>
        </w:rPr>
        <w:t>受贵方（以下简称委托方）的委托，本公司于2021年05月14日派员对委托方列明的湖北博大房地产开发有限公司开发的、位于孝感市孝南区车站街道郑阁社区（博大君悦湾）D11幢1单元2层0203室，建筑面积为106.11平方米的住宅房屋（含相关权益）进行了现场实地查勘，并对估价对象房地产于估价时点2021年05月11日的市场价值进行了估价，为委托方处理案件确定房地产处置参考价提供价格咨询参考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 xml:space="preserve">    在整个估价过程中，估价人员本着独立、客观、公正的原则，根据估价目的，收集有关资料，按照估价程序，选择市场法对估价对象进行了评估。估价人员经过实地勘察和测算，确定估价对象在估价时点可能形成的市场价值为￥435051元(大写人民币肆拾叁万伍仟零伍拾壹元整)。</w:t>
      </w:r>
    </w:p>
    <w:p>
      <w:pPr>
        <w:ind w:firstLine="560" w:firstLineChars="200"/>
        <w:rPr>
          <w:rFonts w:hint="eastAsia" w:ascii="仿宋_GB2312" w:hAnsi="宋体" w:eastAsia="仿宋_GB2312" w:cs="Times New Roman"/>
          <w:kern w:val="2"/>
          <w:sz w:val="28"/>
          <w:szCs w:val="28"/>
          <w:highlight w:val="yellow"/>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二○二一年五月十七日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二○二一年五月十七日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16045</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孝感市孝南区车站街道郑阁社区</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eastAsia="zh-CN"/>
        </w:rPr>
        <w:t>博大君悦湾</w:t>
      </w:r>
      <w:r>
        <w:rPr>
          <w:rFonts w:hint="eastAsia" w:ascii="仿宋" w:hAnsi="仿宋" w:eastAsia="仿宋"/>
          <w:b/>
          <w:bCs/>
          <w:sz w:val="32"/>
          <w:szCs w:val="32"/>
          <w:lang w:val="en-US" w:eastAsia="zh-CN"/>
        </w:rPr>
        <w:t>D11幢1单元2层0203室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本次估价对象范围为湖北博大房地产开发有限公司开发的、位于孝感市孝南区车站街道郑阁社区博大君悦湾D11幢1单元2层0203室，建筑面积为106.11平方米的住宅房地产。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经本机构人员的实地勘查和委托方提供的委托书和不动产权利及其他事项登记信息等资料，可知估价对象实体状况如下：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孝感市孝南区车站街道郑阁社区博大君悦湾D11幢1单元2层0203室，权利人为向猛，规划用途为成套住宅，房屋性质为市场化商品房，房屋结构为钢混结构，所在层为2层，建筑面积为106.11平方米，不动产登记证明号为鄂（2018）孝南区不动产证明第00084444号，登记时间为2018年08月22日。</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现场勘验和调查，估价对象房屋位于孝感市长征路北至长兴路博大君悦湾D11幢1单元2层203室，建成于2018年，现状用途为成套住宅，每单元两电梯四住户，南北朝向，房屋外墙铺贴墙砖，进户门为防盗门，室内毛坯未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二0二一年五月十一日。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估价人员经过实地勘查和测算，确定估价对象在估价时点可能形成的市场价值为￥435051元(大写人民币肆拾叁万伍仟零伍拾壹元整)。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6432" behindDoc="1" locked="0" layoutInCell="1" allowOverlap="1">
                  <wp:simplePos x="0" y="0"/>
                  <wp:positionH relativeFrom="column">
                    <wp:posOffset>76200</wp:posOffset>
                  </wp:positionH>
                  <wp:positionV relativeFrom="paragraph">
                    <wp:posOffset>319405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67456" behindDoc="0" locked="0" layoutInCell="1" allowOverlap="1">
                  <wp:simplePos x="0" y="0"/>
                  <wp:positionH relativeFrom="column">
                    <wp:posOffset>-141605</wp:posOffset>
                  </wp:positionH>
                  <wp:positionV relativeFrom="paragraph">
                    <wp:posOffset>149860</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32"/>
                <w:szCs w:val="32"/>
              </w:rPr>
              <w:drawing>
                <wp:anchor distT="0" distB="0" distL="114300" distR="114300" simplePos="0" relativeHeight="251668480" behindDoc="0" locked="0" layoutInCell="1" allowOverlap="1">
                  <wp:simplePos x="0" y="0"/>
                  <wp:positionH relativeFrom="column">
                    <wp:posOffset>158115</wp:posOffset>
                  </wp:positionH>
                  <wp:positionV relativeFrom="page">
                    <wp:posOffset>209550</wp:posOffset>
                  </wp:positionV>
                  <wp:extent cx="635" cy="635"/>
                  <wp:effectExtent l="0" t="0" r="0" b="0"/>
                  <wp:wrapNone/>
                  <wp:docPr id="4" name="图片 4"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05</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17</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二0二一年五月十七日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孝感市孝南区车站街道郑阁社区</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博大君悦湾</w:t>
      </w:r>
      <w:r>
        <w:rPr>
          <w:rFonts w:hint="eastAsia" w:ascii="仿宋" w:hAnsi="仿宋" w:eastAsia="仿宋"/>
          <w:b/>
          <w:bCs/>
          <w:sz w:val="36"/>
          <w:szCs w:val="36"/>
          <w:lang w:val="en-US" w:eastAsia="zh-CN"/>
        </w:rPr>
        <w:t>D11幢1单元2层0203室</w:t>
      </w:r>
    </w:p>
    <w:p>
      <w:pPr>
        <w:jc w:val="center"/>
        <w:rPr>
          <w:rFonts w:hint="eastAsia" w:ascii="仿宋" w:hAnsi="仿宋" w:eastAsia="仿宋"/>
          <w:b/>
          <w:bCs/>
          <w:sz w:val="36"/>
          <w:szCs w:val="36"/>
        </w:rPr>
      </w:pPr>
      <w:r>
        <w:rPr>
          <w:rFonts w:hint="eastAsia" w:ascii="仿宋" w:hAnsi="仿宋" w:eastAsia="仿宋"/>
          <w:b/>
          <w:bCs/>
          <w:sz w:val="36"/>
          <w:szCs w:val="36"/>
          <w:lang w:eastAsia="zh-CN"/>
        </w:rPr>
        <w:t>房地产</w:t>
      </w:r>
      <w:r>
        <w:rPr>
          <w:rFonts w:hint="eastAsia" w:ascii="仿宋" w:hAnsi="仿宋" w:eastAsia="仿宋"/>
          <w:b/>
          <w:bCs/>
          <w:sz w:val="36"/>
          <w:szCs w:val="36"/>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孝感市孝南区车站街道郑阁社区博大君悦湾D11幢1单元2层0203室，权利</w:t>
      </w:r>
      <w:r>
        <w:rPr>
          <w:rFonts w:hint="eastAsia" w:ascii="仿宋_GB2312" w:hAnsi="宋体" w:eastAsia="仿宋_GB2312" w:cs="Times New Roman"/>
          <w:kern w:val="2"/>
          <w:sz w:val="28"/>
          <w:szCs w:val="28"/>
          <w:highlight w:val="none"/>
          <w:lang w:val="en-US" w:eastAsia="zh-CN" w:bidi="ar-SA"/>
        </w:rPr>
        <w:t>人为向猛，规划用途为成套住宅，房屋性质为市场化商品房，房屋结构为钢混结构，所在层为2层，</w:t>
      </w:r>
      <w:r>
        <w:rPr>
          <w:rFonts w:hint="eastAsia" w:ascii="仿宋_GB2312" w:hAnsi="宋体" w:eastAsia="仿宋_GB2312" w:cs="Times New Roman"/>
          <w:kern w:val="2"/>
          <w:sz w:val="28"/>
          <w:szCs w:val="28"/>
          <w:lang w:val="en-US" w:eastAsia="zh-CN" w:bidi="ar-SA"/>
        </w:rPr>
        <w:t>建筑面积为106.11平方米，</w:t>
      </w:r>
      <w:r>
        <w:rPr>
          <w:rFonts w:hint="eastAsia" w:ascii="仿宋_GB2312" w:hAnsi="宋体" w:eastAsia="仿宋_GB2312" w:cs="Times New Roman"/>
          <w:kern w:val="2"/>
          <w:sz w:val="28"/>
          <w:szCs w:val="28"/>
          <w:highlight w:val="none"/>
          <w:lang w:val="en-US" w:eastAsia="zh-CN" w:bidi="ar-SA"/>
        </w:rPr>
        <w:t>不动产登记证明号为鄂（2018）孝南区不动产证明第00084444号，登记时间为2018年08月22日。</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长征路北至长兴路博大君悦湾D11幢1单元2层203室，建成于2018年，现状用途为成套住宅，每单元两电梯四住户，南北朝向，房屋外墙铺贴墙砖，进户门为防盗门，室内毛坯未装修。</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长征路北至长兴路博大君悦湾小区。该小区座落在长兴工业园500米处，规模较大，绿化率高，楼间距较宽，通风采光尚好，24小时保安值守，物业管理好；小区内建有商业风情街、幼儿园、健身娱乐设施、休闲广场等生活配套设施；所在区域生活、公共配套基本齐全，紧邻孝感火车站，距离市中心5分钟车程，周边建有俊勇超市、联华商业、车站购物中心等；还有孝感车站中学、车站中心小学、天才幼儿园；16路公交车通达，设有博大君悦湾公汽站，城市功能基本齐全。</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实例A：博大君悦湾小区住宅</w:t>
      </w:r>
      <w:r>
        <w:rPr>
          <w:rFonts w:hint="eastAsia" w:ascii="仿宋_GB2312" w:hAnsi="宋体" w:eastAsia="仿宋_GB2312" w:cs="Times New Roman"/>
          <w:kern w:val="2"/>
          <w:sz w:val="28"/>
          <w:szCs w:val="28"/>
          <w:highlight w:val="none"/>
          <w:lang w:val="en-US" w:eastAsia="zh-CN" w:bidi="ar-SA"/>
        </w:rPr>
        <w:t>，2017年建成，总层数16层，所在层2层，南北朝向，毛坯，建筑面积118.54平米，三室二厅一卫，拟交易总价48万，折合单价约4049元/㎡，拟交易日期2021年05月份。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w:t>
      </w:r>
      <w:r>
        <w:rPr>
          <w:rFonts w:hint="eastAsia" w:ascii="仿宋_GB2312" w:hAnsi="宋体" w:eastAsia="仿宋_GB2312" w:cs="Times New Roman"/>
          <w:kern w:val="2"/>
          <w:sz w:val="28"/>
          <w:szCs w:val="28"/>
          <w:lang w:val="en-US" w:eastAsia="zh-CN" w:bidi="ar-SA"/>
        </w:rPr>
        <w:t>博大君悦湾小区住宅</w:t>
      </w:r>
      <w:r>
        <w:rPr>
          <w:rFonts w:hint="eastAsia" w:ascii="仿宋_GB2312" w:hAnsi="宋体" w:eastAsia="仿宋_GB2312" w:cs="Times New Roman"/>
          <w:kern w:val="2"/>
          <w:sz w:val="28"/>
          <w:szCs w:val="28"/>
          <w:highlight w:val="none"/>
          <w:lang w:val="en-US" w:eastAsia="zh-CN" w:bidi="ar-SA"/>
        </w:rPr>
        <w:t>，2017年建成，总层数16层，所在层13层，南北朝向，毛坯，建筑面积89平米，二室二厅一卫，拟交易总价40万，折合单价约4494元/㎡，拟交易日期2021年03月份。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w:t>
      </w:r>
      <w:r>
        <w:rPr>
          <w:rFonts w:hint="eastAsia" w:ascii="仿宋_GB2312" w:hAnsi="宋体" w:eastAsia="仿宋_GB2312" w:cs="Times New Roman"/>
          <w:kern w:val="2"/>
          <w:sz w:val="28"/>
          <w:szCs w:val="28"/>
          <w:lang w:val="en-US" w:eastAsia="zh-CN" w:bidi="ar-SA"/>
        </w:rPr>
        <w:t>博大君悦湾小区住宅</w:t>
      </w:r>
      <w:r>
        <w:rPr>
          <w:rFonts w:hint="eastAsia" w:ascii="仿宋_GB2312" w:hAnsi="宋体" w:eastAsia="仿宋_GB2312" w:cs="Times New Roman"/>
          <w:kern w:val="2"/>
          <w:sz w:val="28"/>
          <w:szCs w:val="28"/>
          <w:highlight w:val="none"/>
          <w:lang w:val="en-US" w:eastAsia="zh-CN" w:bidi="ar-SA"/>
        </w:rPr>
        <w:t>，2017年建成，总层数16层，所在层12层，南北朝向，毛坯，建筑面积130.76平米，三室二厅一卫，拟交易总价54万，折合单价约4130元/㎡，拟交易日期2021年03月份。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10055"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694"/>
        <w:gridCol w:w="1620"/>
        <w:gridCol w:w="166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69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62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66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75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694" w:type="dxa"/>
            <w:vAlign w:val="top"/>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博大君悦湾</w:t>
            </w:r>
          </w:p>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D11幢</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1单元2层203室</w:t>
            </w:r>
          </w:p>
        </w:tc>
        <w:tc>
          <w:tcPr>
            <w:tcW w:w="1620"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博大君悦湾小区</w:t>
            </w:r>
          </w:p>
        </w:tc>
        <w:tc>
          <w:tcPr>
            <w:tcW w:w="1665" w:type="dxa"/>
            <w:vAlign w:val="top"/>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博大君悦湾小区</w:t>
            </w:r>
          </w:p>
        </w:tc>
        <w:tc>
          <w:tcPr>
            <w:tcW w:w="1755" w:type="dxa"/>
            <w:vAlign w:val="top"/>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博大君悦湾小区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694"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62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665"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c>
          <w:tcPr>
            <w:tcW w:w="1755"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博大君悦湾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69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62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4049</w:t>
            </w:r>
          </w:p>
        </w:tc>
        <w:tc>
          <w:tcPr>
            <w:tcW w:w="1665"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4494</w:t>
            </w:r>
          </w:p>
        </w:tc>
        <w:tc>
          <w:tcPr>
            <w:tcW w:w="1755"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69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69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2021.05</w:t>
            </w:r>
          </w:p>
        </w:tc>
        <w:tc>
          <w:tcPr>
            <w:tcW w:w="162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202.05</w:t>
            </w:r>
          </w:p>
        </w:tc>
        <w:tc>
          <w:tcPr>
            <w:tcW w:w="166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c>
          <w:tcPr>
            <w:tcW w:w="175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2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69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2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6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75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69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2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6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75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69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2/18</w:t>
            </w:r>
          </w:p>
        </w:tc>
        <w:tc>
          <w:tcPr>
            <w:tcW w:w="162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2/16</w:t>
            </w:r>
          </w:p>
        </w:tc>
        <w:tc>
          <w:tcPr>
            <w:tcW w:w="166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13/16</w:t>
            </w:r>
          </w:p>
        </w:tc>
        <w:tc>
          <w:tcPr>
            <w:tcW w:w="175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装修情况</w:t>
            </w:r>
          </w:p>
        </w:tc>
        <w:tc>
          <w:tcPr>
            <w:tcW w:w="1694" w:type="dxa"/>
            <w:vAlign w:val="top"/>
          </w:tcPr>
          <w:p>
            <w:pPr>
              <w:jc w:val="center"/>
              <w:rPr>
                <w:rFonts w:hint="default"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毛坯</w:t>
            </w:r>
          </w:p>
        </w:tc>
        <w:tc>
          <w:tcPr>
            <w:tcW w:w="1620" w:type="dxa"/>
            <w:vAlign w:val="top"/>
          </w:tcPr>
          <w:p>
            <w:pPr>
              <w:jc w:val="cente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毛坯</w:t>
            </w:r>
          </w:p>
        </w:tc>
        <w:tc>
          <w:tcPr>
            <w:tcW w:w="1665"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755"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694"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95%</w:t>
            </w:r>
          </w:p>
        </w:tc>
        <w:tc>
          <w:tcPr>
            <w:tcW w:w="162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93.3%</w:t>
            </w:r>
          </w:p>
        </w:tc>
        <w:tc>
          <w:tcPr>
            <w:tcW w:w="1665"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93.3%</w:t>
            </w:r>
          </w:p>
        </w:tc>
        <w:tc>
          <w:tcPr>
            <w:tcW w:w="1755"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69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2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6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755"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69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2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6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755"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4049</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4494</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104</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7"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top"/>
          </w:tcPr>
          <w:p>
            <w:pPr>
              <w:spacing w:line="720" w:lineRule="auto"/>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top"/>
          </w:tcPr>
          <w:p>
            <w:pPr>
              <w:spacing w:line="720" w:lineRule="auto"/>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4049</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4494</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105</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4049</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4280</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3971</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由于可比实例A、B、C与估价对象条件因素相当类似，且比准价格相差不远，因此采取算数平均值的求取方法，估算估价对象的价格。</w:t>
      </w:r>
    </w:p>
    <w:p>
      <w:pPr>
        <w:numPr>
          <w:ilvl w:val="0"/>
          <w:numId w:val="0"/>
        </w:numPr>
        <w:ind w:left="600" w:leftChars="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评估单价=（4049+4280+3971）</w:t>
      </w:r>
      <w:r>
        <w:rPr>
          <w:rFonts w:hint="default" w:ascii="Arial" w:hAnsi="Arial" w:eastAsia="仿宋" w:cs="Arial"/>
          <w:sz w:val="30"/>
          <w:szCs w:val="30"/>
          <w:lang w:val="en-US" w:eastAsia="zh-CN"/>
        </w:rPr>
        <w:t>÷</w:t>
      </w:r>
      <w:r>
        <w:rPr>
          <w:rFonts w:hint="eastAsia" w:ascii="仿宋" w:hAnsi="仿宋" w:eastAsia="仿宋" w:cs="仿宋"/>
          <w:sz w:val="30"/>
          <w:szCs w:val="30"/>
          <w:lang w:val="en-US" w:eastAsia="zh-CN"/>
        </w:rPr>
        <w:t>3=4100(元/平米)</w:t>
      </w:r>
    </w:p>
    <w:p>
      <w:pPr>
        <w:numPr>
          <w:ilvl w:val="0"/>
          <w:numId w:val="0"/>
        </w:numPr>
        <w:ind w:firstLine="600" w:firstLineChars="200"/>
        <w:jc w:val="both"/>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评估总值=4100</w:t>
      </w:r>
      <w:r>
        <w:rPr>
          <w:rFonts w:hint="eastAsia" w:ascii="仿宋" w:hAnsi="仿宋" w:eastAsia="仿宋" w:cs="仿宋"/>
          <w:sz w:val="30"/>
          <w:szCs w:val="30"/>
          <w:lang w:val="en-US" w:eastAsia="zh-CN"/>
        </w:rPr>
        <w:t>×106.11=435051(元)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估价人员根据估价目的，遵循估价原则，按照规定的估价程序和方法，经过具体评估测算，确定估价对象在估价时点可能形成的市场价值为￥435051元(大写人民币肆拾叁万伍仟零伍拾壹元整)。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二0二一年五月十七日</w:t>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_GB2312">
    <w:altName w:val="仿宋"/>
    <w:panose1 w:val="02010609030001010101"/>
    <w:charset w:val="86"/>
    <w:family w:val="decorative"/>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创艺简仿宋">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660EB6"/>
    <w:rsid w:val="111B61F6"/>
    <w:rsid w:val="25101CDA"/>
    <w:rsid w:val="2F513F2E"/>
    <w:rsid w:val="31C57236"/>
    <w:rsid w:val="36C108E2"/>
    <w:rsid w:val="38581758"/>
    <w:rsid w:val="3CDD49BD"/>
    <w:rsid w:val="491E165C"/>
    <w:rsid w:val="4F660EB6"/>
    <w:rsid w:val="582D36B9"/>
    <w:rsid w:val="65135B60"/>
    <w:rsid w:val="65834F1A"/>
    <w:rsid w:val="6A9661EC"/>
    <w:rsid w:val="6E5A7B9C"/>
    <w:rsid w:val="7337679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2021-05-14T03:10:00Z</dcterms:created>
  <dc:creator>Administrator</dc:creator>
  <cp:lastModifiedBy>Administrator</cp:lastModifiedBy>
  <dcterms:modified xsi:type="dcterms:W3CDTF">2021-05-17T08:47:08Z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BF80F7540C904D99B7368388FC9A91F5</vt:lpwstr>
  </property>
</Properties>
</file>