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受贵方（以下简称委托方）的委托，本公司于2021年03月23日派员对委托方列明的汤兵所有、位于武汉市江岸区台北街中侨观邸A栋/单元19层a2室，建筑面积为181.87平方米的住宅房屋（含相关权益）进行了现场实地查勘，并对估价对象房地产于估价时点2021年03月22日的市场价值进行了估价，为委托方处理案件提供咨询价格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3967312元(大写人民币叁佰玖拾陆万柒仟叁佰壹拾贰元整)。</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二○二一年三月三十一日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3"/>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3"/>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二○二一年三月三十一日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71037</w:t>
      </w:r>
      <w:r>
        <w:rPr>
          <w:rFonts w:hint="eastAsia" w:ascii="仿宋_GB2312" w:hAnsi="仿宋" w:eastAsia="仿宋_GB2312"/>
          <w:kern w:val="13"/>
          <w:sz w:val="28"/>
          <w:szCs w:val="28"/>
          <w:highlight w:val="none"/>
        </w:rPr>
        <w:t>号</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武汉市江岸区台北街中侨观邸A栋/单元19层a2室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b/>
          <w:bCs/>
          <w:sz w:val="30"/>
          <w:szCs w:val="30"/>
          <w:lang w:val="en-US" w:eastAsia="zh-CN"/>
        </w:rPr>
      </w:pPr>
      <w:bookmarkStart w:id="0" w:name="_GoBack"/>
      <w:bookmarkEnd w:id="0"/>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本次估价对象范围为汤兵所有的位于武汉市江岸区台北街中侨观邸A栋/单元19层a2室，建筑面积为181.87平方米的住宅房地产。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w:t>
      </w:r>
      <w:r>
        <w:rPr>
          <w:rFonts w:hint="eastAsia" w:ascii="仿宋_GB2312" w:hAnsi="宋体" w:eastAsia="仿宋_GB2312" w:cs="Times New Roman"/>
          <w:kern w:val="2"/>
          <w:sz w:val="28"/>
          <w:szCs w:val="28"/>
          <w:lang w:val="en-US" w:eastAsia="zh-CN" w:bidi="ar-SA"/>
        </w:rPr>
        <w:t>本机构人员的实地勘查和委托方提供的委托书及武汉市房屋交易查询结果告知单（合同备案）等资料，可知估价对象实体状况如下：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武汉市江岸区台北街中侨观邸A栋/单元19层a2室，</w:t>
      </w:r>
      <w:r>
        <w:rPr>
          <w:rFonts w:hint="eastAsia" w:ascii="仿宋_GB2312" w:hAnsi="宋体" w:eastAsia="仿宋_GB2312" w:cs="Times New Roman"/>
          <w:kern w:val="2"/>
          <w:sz w:val="28"/>
          <w:szCs w:val="28"/>
          <w:lang w:val="en-US" w:eastAsia="zh-CN" w:bidi="ar-SA"/>
        </w:rPr>
        <w:t>建筑面积为181.87平方米，权利人为汤兵，总层数/所在楼层为33/19，合同备案号为市0445603，房屋用途为住宅。</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坐落于武汉市江岸区台北一路31号中侨观邸小区。房屋建成于2007年5月，总层数为33层，所在层为第19层，为高层电梯房屋，每层三电梯八住户，房屋结构为钢筋混凝土结构，用途为住宅，四室二厅二卫一厨，南北朝向，通风采光尚可，进户门为防盗门，地面铺贴木地板，墙面粘贴墙纸，客厅、饭厅造型吊顶，卧室建有木衣柜，厨房、卫生间地墙面铺贴瓷砖，铝扣板吊顶，套装木门，南边玻璃封闭阳台，水电俱通。室内装修精装修，维护保养尚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二0二一年三月二十二日</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评估值（比准价格）=可比实例价格×交易情况修正×市场状况调整</w:t>
      </w:r>
      <w:r>
        <w:rPr>
          <w:rFonts w:hint="eastAsia" w:ascii="仿宋_GB2312" w:hAnsi="宋体" w:eastAsia="仿宋_GB2312" w:cs="Times New Roman"/>
          <w:kern w:val="2"/>
          <w:sz w:val="28"/>
          <w:szCs w:val="28"/>
          <w:lang w:val="en-US" w:eastAsia="zh-CN" w:bidi="ar-SA"/>
        </w:rPr>
        <w:t xml:space="preserve">×房地产状况调整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估价人员经过实地勘查和测算，确定估价对象在估价时点的市场价值为￥3967312元(大写人民币叁佰玖拾陆万柒仟叁佰壹拾贰元整)。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6"/>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6"/>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分公司名称：湖北循其本价格鉴定评估有限公司孝南分公司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11"/>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4"/>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0003035</w:t>
            </w:r>
          </w:p>
        </w:tc>
        <w:tc>
          <w:tcPr>
            <w:tcW w:w="2765" w:type="dxa"/>
            <w:vAlign w:val="center"/>
          </w:tcPr>
          <w:p>
            <w:pPr>
              <w:pStyle w:val="6"/>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7456" behindDoc="1" locked="0" layoutInCell="1" allowOverlap="1">
                  <wp:simplePos x="0" y="0"/>
                  <wp:positionH relativeFrom="column">
                    <wp:posOffset>57150</wp:posOffset>
                  </wp:positionH>
                  <wp:positionV relativeFrom="paragraph">
                    <wp:posOffset>159385</wp:posOffset>
                  </wp:positionV>
                  <wp:extent cx="1273810" cy="491490"/>
                  <wp:effectExtent l="0" t="0" r="2540" b="3810"/>
                  <wp:wrapNone/>
                  <wp:docPr id="4"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4"/>
                <w:rFonts w:hint="eastAsia" w:ascii="仿宋" w:hAnsi="仿宋" w:eastAsia="仿宋" w:cs="宋体"/>
                <w:color w:val="000000"/>
                <w:sz w:val="30"/>
                <w:szCs w:val="30"/>
              </w:rPr>
              <w:t>0017039</w:t>
            </w:r>
          </w:p>
        </w:tc>
        <w:tc>
          <w:tcPr>
            <w:tcW w:w="2765" w:type="dxa"/>
            <w:vAlign w:val="center"/>
          </w:tcPr>
          <w:p>
            <w:pPr>
              <w:pStyle w:val="6"/>
              <w:rPr>
                <w:rFonts w:hint="eastAsia" w:ascii="仿宋" w:hAnsi="仿宋" w:eastAsia="仿宋"/>
                <w:color w:val="000000"/>
                <w:sz w:val="32"/>
                <w:szCs w:val="32"/>
              </w:rPr>
            </w:pPr>
            <w:r>
              <w:rPr>
                <w:lang w:val="zh-CN" w:eastAsia="zh-CN"/>
              </w:rPr>
              <w:drawing>
                <wp:anchor distT="0" distB="0" distL="114300" distR="114300" simplePos="0" relativeHeight="251669504" behindDoc="0" locked="0" layoutInCell="1" allowOverlap="1">
                  <wp:simplePos x="0" y="0"/>
                  <wp:positionH relativeFrom="column">
                    <wp:posOffset>-151130</wp:posOffset>
                  </wp:positionH>
                  <wp:positionV relativeFrom="paragraph">
                    <wp:posOffset>43815</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70528" behindDoc="0" locked="0" layoutInCell="1" allowOverlap="1">
                  <wp:simplePos x="0" y="0"/>
                  <wp:positionH relativeFrom="column">
                    <wp:posOffset>158115</wp:posOffset>
                  </wp:positionH>
                  <wp:positionV relativeFrom="page">
                    <wp:posOffset>209550</wp:posOffset>
                  </wp:positionV>
                  <wp:extent cx="635" cy="635"/>
                  <wp:effectExtent l="0" t="0" r="0" b="0"/>
                  <wp:wrapNone/>
                  <wp:docPr id="2" name="图片 2"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6"/>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4"/>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4"/>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4"/>
          <w:rFonts w:hint="eastAsia" w:ascii="仿宋_GB2312" w:hAnsi="仿宋" w:eastAsia="仿宋_GB2312" w:cs="宋体"/>
          <w:sz w:val="28"/>
          <w:szCs w:val="28"/>
          <w:highlight w:val="none"/>
        </w:rPr>
        <w:t>本次出具评估报告日期为20</w:t>
      </w:r>
      <w:r>
        <w:rPr>
          <w:rStyle w:val="14"/>
          <w:rFonts w:hint="eastAsia" w:ascii="仿宋_GB2312" w:hAnsi="仿宋" w:eastAsia="仿宋_GB2312" w:cs="宋体"/>
          <w:sz w:val="28"/>
          <w:szCs w:val="28"/>
          <w:highlight w:val="none"/>
          <w:lang w:val="en-US" w:eastAsia="zh-CN"/>
        </w:rPr>
        <w:t>21</w:t>
      </w:r>
      <w:r>
        <w:rPr>
          <w:rStyle w:val="14"/>
          <w:rFonts w:hint="eastAsia" w:ascii="仿宋_GB2312" w:hAnsi="仿宋" w:eastAsia="仿宋_GB2312" w:cs="宋体"/>
          <w:sz w:val="28"/>
          <w:szCs w:val="28"/>
          <w:highlight w:val="none"/>
        </w:rPr>
        <w:t>年</w:t>
      </w:r>
      <w:r>
        <w:rPr>
          <w:rStyle w:val="14"/>
          <w:rFonts w:hint="eastAsia" w:ascii="仿宋_GB2312" w:hAnsi="仿宋" w:eastAsia="仿宋_GB2312" w:cs="宋体"/>
          <w:sz w:val="28"/>
          <w:szCs w:val="28"/>
          <w:highlight w:val="none"/>
          <w:lang w:val="en-US" w:eastAsia="zh-CN"/>
        </w:rPr>
        <w:t>03</w:t>
      </w:r>
      <w:r>
        <w:rPr>
          <w:rStyle w:val="14"/>
          <w:rFonts w:hint="eastAsia" w:ascii="仿宋_GB2312" w:hAnsi="仿宋" w:eastAsia="仿宋_GB2312" w:cs="宋体"/>
          <w:sz w:val="28"/>
          <w:szCs w:val="28"/>
          <w:highlight w:val="none"/>
        </w:rPr>
        <w:t>月</w:t>
      </w:r>
      <w:r>
        <w:rPr>
          <w:rStyle w:val="14"/>
          <w:rFonts w:hint="eastAsia" w:ascii="仿宋_GB2312" w:hAnsi="仿宋" w:eastAsia="仿宋_GB2312" w:cs="宋体"/>
          <w:sz w:val="28"/>
          <w:szCs w:val="28"/>
          <w:highlight w:val="none"/>
          <w:lang w:val="en-US" w:eastAsia="zh-CN"/>
        </w:rPr>
        <w:t>31</w:t>
      </w:r>
      <w:r>
        <w:rPr>
          <w:rStyle w:val="14"/>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二○二一年三月三十一日</w:t>
      </w:r>
    </w:p>
    <w:p>
      <w:pPr>
        <w:jc w:val="center"/>
        <w:rPr>
          <w:rFonts w:hint="default" w:ascii="仿宋" w:hAnsi="仿宋" w:eastAsia="仿宋"/>
          <w:b/>
          <w:bCs/>
          <w:sz w:val="32"/>
          <w:szCs w:val="32"/>
          <w:lang w:val="en-US" w:eastAsia="zh-CN"/>
        </w:rPr>
      </w:pPr>
      <w:r>
        <w:rPr>
          <w:rFonts w:hint="eastAsia" w:ascii="仿宋" w:hAnsi="仿宋" w:eastAsia="仿宋"/>
          <w:b/>
          <w:bCs/>
          <w:sz w:val="36"/>
          <w:szCs w:val="36"/>
          <w:lang w:val="en-US" w:eastAsia="zh-CN"/>
        </w:rPr>
        <w:t>武汉市江岸区台北街中侨观邸A栋/单元19层a2室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武汉市江岸区台北街中侨观邸A栋/单元19层a2室，建筑面积为181.87平方米</w:t>
      </w:r>
      <w:r>
        <w:rPr>
          <w:rFonts w:hint="eastAsia" w:ascii="仿宋_GB2312" w:hAnsi="宋体" w:eastAsia="仿宋_GB2312" w:cs="Times New Roman"/>
          <w:kern w:val="2"/>
          <w:sz w:val="28"/>
          <w:szCs w:val="28"/>
          <w:highlight w:val="none"/>
          <w:lang w:val="en-US" w:eastAsia="zh-CN" w:bidi="ar-SA"/>
        </w:rPr>
        <w:t>，权利人为汤兵，总层数/所在楼层为33/19，合同备案号为市0445603，房屋用途为住宅。</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w:t>
      </w:r>
      <w:r>
        <w:rPr>
          <w:rFonts w:hint="eastAsia" w:ascii="仿宋_GB2312" w:hAnsi="宋体" w:eastAsia="仿宋_GB2312" w:cs="Times New Roman"/>
          <w:kern w:val="2"/>
          <w:sz w:val="28"/>
          <w:szCs w:val="28"/>
          <w:highlight w:val="none"/>
          <w:lang w:val="en-US" w:eastAsia="zh-CN" w:bidi="ar-SA"/>
        </w:rPr>
        <w:t>现场勘验和调查，估价对象房屋坐落于武汉市江岸区台北一路31号中侨观邸小区。该房屋建成于2007年5月，总层数为33层，所在层为第19层，为高层电梯房屋，每层三电梯八住户，房屋结构为钢筋混凝土结构，用途为住宅，四室二厅二卫一厨，南北朝向，通风采光尚可，进户门为防盗门，地面铺贴木地板，墙面粘贴墙纸，客厅、饭厅造型吊顶，卧室建有木衣柜，厨房、卫生间地面及墙面铺贴瓷砖，铝扣板吊顶，套装木门，南边玻璃封闭阳台，水电俱通。室内装修精装修，维护保养尚好。</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rPr>
          <w:rFonts w:hint="eastAsia" w:ascii="仿宋" w:hAnsi="仿宋" w:eastAsia="仿宋" w:cs="仿宋"/>
          <w:i w:val="0"/>
          <w:caps w:val="0"/>
          <w:color w:val="auto"/>
          <w:spacing w:val="0"/>
          <w:sz w:val="28"/>
          <w:szCs w:val="28"/>
          <w:vertAlign w:val="baseline"/>
        </w:rPr>
      </w:pPr>
      <w:r>
        <w:rPr>
          <w:rFonts w:hint="eastAsia" w:ascii="仿宋_GB2312" w:hAnsi="宋体" w:eastAsia="仿宋_GB2312" w:cs="Times New Roman"/>
          <w:kern w:val="2"/>
          <w:sz w:val="28"/>
          <w:szCs w:val="28"/>
          <w:lang w:val="en-US" w:eastAsia="zh-CN" w:bidi="ar-SA"/>
        </w:rPr>
        <w:t>估价对象位于武汉市江岸区台北一路31号中侨观邸小区，</w:t>
      </w:r>
      <w:r>
        <w:rPr>
          <w:rFonts w:hint="eastAsia" w:ascii="仿宋" w:hAnsi="仿宋" w:eastAsia="仿宋" w:cs="仿宋"/>
          <w:i w:val="0"/>
          <w:caps w:val="0"/>
          <w:color w:val="000000"/>
          <w:spacing w:val="0"/>
          <w:sz w:val="28"/>
          <w:szCs w:val="28"/>
          <w:shd w:val="clear" w:fill="FFFFFF"/>
          <w:vertAlign w:val="baseline"/>
        </w:rPr>
        <w:t>武汉市青少年宫后门</w:t>
      </w:r>
      <w:r>
        <w:rPr>
          <w:rFonts w:hint="eastAsia" w:ascii="仿宋" w:hAnsi="仿宋" w:eastAsia="仿宋" w:cs="仿宋"/>
          <w:i w:val="0"/>
          <w:caps w:val="0"/>
          <w:color w:val="000000"/>
          <w:spacing w:val="0"/>
          <w:sz w:val="28"/>
          <w:szCs w:val="28"/>
          <w:shd w:val="clear" w:fill="FFFFFF"/>
          <w:vertAlign w:val="baseline"/>
          <w:lang w:eastAsia="zh-CN"/>
        </w:rPr>
        <w:t>，</w:t>
      </w:r>
      <w:r>
        <w:rPr>
          <w:rFonts w:hint="eastAsia" w:ascii="仿宋" w:hAnsi="仿宋" w:eastAsia="仿宋" w:cs="仿宋"/>
          <w:i w:val="0"/>
          <w:caps w:val="0"/>
          <w:color w:val="000000"/>
          <w:spacing w:val="0"/>
          <w:sz w:val="28"/>
          <w:szCs w:val="28"/>
          <w:shd w:val="clear" w:fill="FFFFFF"/>
          <w:vertAlign w:val="baseline"/>
        </w:rPr>
        <w:t>由两栋31层主体建筑错落而建。小区拥有室内会所，包括PARTYROOM（西式派对中心）、室内恒温游泳池、图书室、健身房等功能；贯通整体的西式园林、精美日式小品和顶层空中花园，与青少年宫大园林遥相辉映，达到“园中有园、景中有景”的自然生态品质。</w:t>
      </w:r>
      <w:r>
        <w:rPr>
          <w:rFonts w:hint="eastAsia" w:ascii="仿宋" w:hAnsi="仿宋" w:eastAsia="仿宋" w:cs="仿宋"/>
          <w:i w:val="0"/>
          <w:caps w:val="0"/>
          <w:color w:val="000000"/>
          <w:spacing w:val="0"/>
          <w:sz w:val="28"/>
          <w:szCs w:val="28"/>
          <w:shd w:val="clear" w:fill="FFFFFF"/>
          <w:vertAlign w:val="baseline"/>
          <w:lang w:eastAsia="zh-CN"/>
        </w:rPr>
        <w:t>还设有</w:t>
      </w:r>
      <w:r>
        <w:rPr>
          <w:rFonts w:hint="eastAsia" w:ascii="仿宋" w:hAnsi="仿宋" w:eastAsia="仿宋" w:cs="仿宋"/>
          <w:i w:val="0"/>
          <w:caps w:val="0"/>
          <w:color w:val="000000"/>
          <w:spacing w:val="0"/>
          <w:sz w:val="28"/>
          <w:szCs w:val="28"/>
          <w:shd w:val="clear" w:fill="FFFFFF"/>
          <w:vertAlign w:val="baseline"/>
        </w:rPr>
        <w:t>专用垃圾分离系统 ，将可再生垃圾与一般生活垃圾分类处理传送。</w:t>
      </w:r>
      <w:r>
        <w:rPr>
          <w:rFonts w:hint="eastAsia" w:ascii="仿宋_GB2312" w:hAnsi="宋体" w:eastAsia="仿宋_GB2312" w:cs="Times New Roman"/>
          <w:kern w:val="2"/>
          <w:sz w:val="28"/>
          <w:szCs w:val="28"/>
          <w:lang w:val="en-US" w:eastAsia="zh-CN" w:bidi="ar-SA"/>
        </w:rPr>
        <w:t>小区内环境优美，幽静自在，绿化率高，物业管理佳，24小时保安值守。估价对象所在区域属于江岸区成熟区域，周边公共、生活配套设施齐全，交通便</w:t>
      </w:r>
      <w:r>
        <w:rPr>
          <w:rFonts w:hint="eastAsia" w:ascii="仿宋_GB2312" w:hAnsi="宋体" w:eastAsia="仿宋_GB2312" w:cs="Times New Roman"/>
          <w:color w:val="auto"/>
          <w:kern w:val="2"/>
          <w:sz w:val="28"/>
          <w:szCs w:val="28"/>
          <w:lang w:val="en-US" w:eastAsia="zh-CN" w:bidi="ar-SA"/>
        </w:rPr>
        <w:t>捷，</w:t>
      </w:r>
      <w:r>
        <w:rPr>
          <w:rFonts w:hint="eastAsia" w:ascii="仿宋" w:hAnsi="仿宋" w:eastAsia="仿宋" w:cs="仿宋"/>
          <w:color w:val="auto"/>
          <w:kern w:val="2"/>
          <w:sz w:val="28"/>
          <w:szCs w:val="28"/>
          <w:lang w:val="en-US" w:eastAsia="zh-CN" w:bidi="ar-SA"/>
        </w:rPr>
        <w:t>有</w:t>
      </w:r>
      <w:r>
        <w:rPr>
          <w:rFonts w:hint="eastAsia" w:ascii="仿宋" w:hAnsi="仿宋" w:eastAsia="仿宋" w:cs="仿宋"/>
          <w:i w:val="0"/>
          <w:caps w:val="0"/>
          <w:color w:val="auto"/>
          <w:spacing w:val="0"/>
          <w:sz w:val="28"/>
          <w:szCs w:val="28"/>
        </w:rPr>
        <w:t>598路、711路、726路、706路、 592路 、563路、 522路、 592路等多路公交车路线</w:t>
      </w:r>
      <w:r>
        <w:rPr>
          <w:rFonts w:hint="eastAsia" w:ascii="仿宋" w:hAnsi="仿宋" w:eastAsia="仿宋" w:cs="仿宋"/>
          <w:i w:val="0"/>
          <w:caps w:val="0"/>
          <w:color w:val="auto"/>
          <w:spacing w:val="0"/>
          <w:sz w:val="28"/>
          <w:szCs w:val="28"/>
          <w:lang w:eastAsia="zh-CN"/>
        </w:rPr>
        <w:t>，</w:t>
      </w:r>
      <w:r>
        <w:rPr>
          <w:rFonts w:hint="eastAsia" w:ascii="仿宋" w:hAnsi="仿宋" w:eastAsia="仿宋" w:cs="仿宋"/>
          <w:i w:val="0"/>
          <w:caps w:val="0"/>
          <w:color w:val="auto"/>
          <w:spacing w:val="0"/>
          <w:sz w:val="28"/>
          <w:szCs w:val="28"/>
        </w:rPr>
        <w:t>大智路站(1号线)、江汉路站(2号线)、友谊路站(1号线)</w:t>
      </w:r>
      <w:r>
        <w:rPr>
          <w:rFonts w:hint="eastAsia" w:ascii="仿宋" w:hAnsi="仿宋" w:eastAsia="仿宋" w:cs="仿宋"/>
          <w:i w:val="0"/>
          <w:caps w:val="0"/>
          <w:color w:val="auto"/>
          <w:spacing w:val="0"/>
          <w:sz w:val="28"/>
          <w:szCs w:val="28"/>
          <w:lang w:eastAsia="zh-CN"/>
        </w:rPr>
        <w:t>地铁；</w:t>
      </w:r>
      <w:r>
        <w:rPr>
          <w:rFonts w:hint="eastAsia" w:ascii="仿宋" w:hAnsi="仿宋" w:eastAsia="仿宋" w:cs="仿宋"/>
          <w:color w:val="auto"/>
          <w:kern w:val="2"/>
          <w:sz w:val="28"/>
          <w:szCs w:val="28"/>
          <w:lang w:val="en-US" w:eastAsia="zh-CN" w:bidi="ar-SA"/>
        </w:rPr>
        <w:t>附近设有</w:t>
      </w:r>
      <w:r>
        <w:rPr>
          <w:rFonts w:hint="eastAsia" w:ascii="仿宋" w:hAnsi="仿宋" w:eastAsia="仿宋" w:cs="仿宋"/>
          <w:i w:val="0"/>
          <w:caps w:val="0"/>
          <w:color w:val="auto"/>
          <w:spacing w:val="0"/>
          <w:sz w:val="28"/>
          <w:szCs w:val="28"/>
        </w:rPr>
        <w:t>华氏百货、新世界百货、大福源超市、台北商场</w:t>
      </w:r>
      <w:r>
        <w:rPr>
          <w:rFonts w:hint="eastAsia" w:ascii="仿宋" w:hAnsi="仿宋" w:eastAsia="仿宋" w:cs="仿宋"/>
          <w:i w:val="0"/>
          <w:caps w:val="0"/>
          <w:color w:val="auto"/>
          <w:spacing w:val="0"/>
          <w:sz w:val="28"/>
          <w:szCs w:val="28"/>
          <w:lang w:eastAsia="zh-CN"/>
        </w:rPr>
        <w:t>等商超及</w:t>
      </w:r>
      <w:r>
        <w:rPr>
          <w:rFonts w:hint="eastAsia" w:ascii="仿宋" w:hAnsi="仿宋" w:eastAsia="仿宋" w:cs="仿宋"/>
          <w:i w:val="0"/>
          <w:caps w:val="0"/>
          <w:color w:val="auto"/>
          <w:spacing w:val="0"/>
          <w:sz w:val="28"/>
          <w:szCs w:val="28"/>
        </w:rPr>
        <w:t>六医院、香港路中医门诊部、协和医院</w:t>
      </w:r>
      <w:r>
        <w:rPr>
          <w:rFonts w:hint="eastAsia" w:ascii="仿宋" w:hAnsi="仿宋" w:eastAsia="仿宋" w:cs="仿宋"/>
          <w:i w:val="0"/>
          <w:caps w:val="0"/>
          <w:color w:val="auto"/>
          <w:spacing w:val="0"/>
          <w:sz w:val="28"/>
          <w:szCs w:val="28"/>
          <w:lang w:eastAsia="zh-CN"/>
        </w:rPr>
        <w:t>，</w:t>
      </w:r>
      <w:r>
        <w:rPr>
          <w:rFonts w:hint="eastAsia" w:ascii="仿宋" w:hAnsi="仿宋" w:eastAsia="仿宋" w:cs="仿宋"/>
          <w:i w:val="0"/>
          <w:caps w:val="0"/>
          <w:color w:val="auto"/>
          <w:spacing w:val="0"/>
          <w:sz w:val="28"/>
          <w:szCs w:val="28"/>
          <w:vertAlign w:val="baseline"/>
        </w:rPr>
        <w:t>北边100米宝岛公园、南边200米青少年宫、西边400米喷泉公园和小南湖公园，自然景观丰富。</w:t>
      </w:r>
    </w:p>
    <w:p>
      <w:pPr>
        <w:ind w:firstLine="560" w:firstLineChars="200"/>
        <w:rPr>
          <w:rFonts w:ascii="仿宋" w:hAnsi="仿宋" w:eastAsia="仿宋"/>
          <w:sz w:val="28"/>
          <w:szCs w:val="28"/>
        </w:rPr>
      </w:pPr>
      <w:r>
        <w:rPr>
          <w:rFonts w:hint="eastAsia" w:ascii="仿宋" w:hAnsi="仿宋" w:eastAsia="仿宋"/>
          <w:b/>
          <w:bCs/>
          <w:sz w:val="28"/>
          <w:szCs w:val="28"/>
        </w:rPr>
        <w:t>三、最高最佳使用分析</w:t>
      </w:r>
    </w:p>
    <w:p>
      <w:pPr>
        <w:numPr>
          <w:ilvl w:val="0"/>
          <w:numId w:val="0"/>
        </w:numPr>
        <w:ind w:firstLine="560"/>
        <w:rPr>
          <w:rFonts w:hint="eastAsia" w:ascii="仿宋" w:hAnsi="仿宋" w:eastAsia="仿宋"/>
          <w:sz w:val="28"/>
          <w:szCs w:val="28"/>
        </w:rPr>
      </w:pPr>
      <w:r>
        <w:rPr>
          <w:rFonts w:hint="eastAsia" w:ascii="仿宋" w:hAnsi="仿宋" w:eastAsia="仿宋"/>
          <w:sz w:val="28"/>
          <w:szCs w:val="28"/>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规划用途为其最佳用途，</w:t>
      </w:r>
      <w:r>
        <w:rPr>
          <w:rFonts w:hint="eastAsia" w:ascii="仿宋" w:hAnsi="仿宋" w:eastAsia="仿宋"/>
          <w:sz w:val="28"/>
          <w:szCs w:val="28"/>
          <w:lang w:eastAsia="zh-CN"/>
        </w:rPr>
        <w:t>估价对象用途为住宅房地产，</w:t>
      </w:r>
      <w:r>
        <w:rPr>
          <w:rFonts w:hint="eastAsia" w:ascii="仿宋" w:hAnsi="仿宋" w:eastAsia="仿宋"/>
          <w:sz w:val="28"/>
          <w:szCs w:val="28"/>
        </w:rPr>
        <w:t>并保持其实体现状、持</w:t>
      </w:r>
      <w:r>
        <w:rPr>
          <w:rFonts w:hint="eastAsia" w:ascii="仿宋" w:hAnsi="仿宋" w:eastAsia="仿宋"/>
          <w:sz w:val="28"/>
          <w:szCs w:val="28"/>
        </w:rPr>
        <w:t>续使用为前提。</w:t>
      </w:r>
    </w:p>
    <w:p>
      <w:pPr>
        <w:numPr>
          <w:ilvl w:val="0"/>
          <w:numId w:val="2"/>
        </w:numPr>
        <w:ind w:firstLine="560"/>
        <w:rPr>
          <w:rFonts w:hint="eastAsia" w:ascii="仿宋" w:hAnsi="仿宋" w:eastAsia="仿宋"/>
          <w:b/>
          <w:bCs/>
          <w:sz w:val="28"/>
          <w:szCs w:val="28"/>
          <w:lang w:eastAsia="zh-CN"/>
        </w:rPr>
      </w:pPr>
      <w:r>
        <w:rPr>
          <w:rFonts w:hint="eastAsia" w:ascii="仿宋" w:hAnsi="仿宋" w:eastAsia="仿宋"/>
          <w:b/>
          <w:bCs/>
          <w:sz w:val="28"/>
          <w:szCs w:val="28"/>
          <w:lang w:eastAsia="zh-CN"/>
        </w:rPr>
        <w:t>估价方法的选用。</w:t>
      </w:r>
    </w:p>
    <w:p>
      <w:pPr>
        <w:numPr>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pStyle w:val="7"/>
        <w:keepNext w:val="0"/>
        <w:keepLines w:val="0"/>
        <w:widowControl/>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right="0" w:firstLine="560" w:firstLineChars="20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pStyle w:val="7"/>
        <w:keepNext w:val="0"/>
        <w:keepLines w:val="0"/>
        <w:widowControl/>
        <w:numPr>
          <w:ilvl w:val="0"/>
          <w:numId w:val="2"/>
        </w:numPr>
        <w:suppressLineNumbers w:val="0"/>
        <w:pBdr>
          <w:top w:val="none" w:color="auto" w:sz="0" w:space="0"/>
          <w:left w:val="none" w:color="auto" w:sz="0" w:space="0"/>
          <w:bottom w:val="single" w:color="F3F3F3" w:sz="6" w:space="12"/>
          <w:right w:val="none" w:color="auto" w:sz="0" w:space="0"/>
        </w:pBdr>
        <w:spacing w:before="0" w:beforeAutospacing="0" w:after="300" w:afterAutospacing="0" w:line="300" w:lineRule="atLeast"/>
        <w:ind w:left="0" w:right="0" w:firstLine="560" w:firstLineChars="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估价过程。</w:t>
      </w:r>
    </w:p>
    <w:p>
      <w:pPr>
        <w:pStyle w:val="7"/>
        <w:keepNext w:val="0"/>
        <w:keepLines w:val="0"/>
        <w:pageBreakBefore w:val="0"/>
        <w:widowControl/>
        <w:numPr>
          <w:ilvl w:val="0"/>
          <w:numId w:val="0"/>
        </w:numPr>
        <w:suppressLineNumbers w:val="0"/>
        <w:pBdr>
          <w:top w:val="none" w:color="auto" w:sz="0" w:space="0"/>
          <w:left w:val="none" w:color="auto" w:sz="0" w:space="0"/>
          <w:bottom w:val="single" w:color="F3F3F3" w:sz="6" w:space="12"/>
          <w:right w:val="none" w:color="auto" w:sz="0" w:space="0"/>
        </w:pBdr>
        <w:kinsoku/>
        <w:wordWrap/>
        <w:overflowPunct/>
        <w:topLinePunct w:val="0"/>
        <w:autoSpaceDE/>
        <w:autoSpaceDN/>
        <w:bidi w:val="0"/>
        <w:adjustRightInd/>
        <w:snapToGrid/>
        <w:spacing w:before="0" w:beforeAutospacing="0" w:after="0" w:afterAutospacing="0" w:line="20" w:lineRule="atLeast"/>
        <w:ind w:left="0" w:leftChars="0" w:right="0" w:rightChars="0" w:firstLine="560" w:firstLineChars="0"/>
        <w:jc w:val="both"/>
        <w:textAlignment w:val="auto"/>
        <w:outlineLvl w:val="9"/>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pStyle w:val="7"/>
        <w:keepNext w:val="0"/>
        <w:keepLines w:val="0"/>
        <w:pageBreakBefore w:val="0"/>
        <w:widowControl/>
        <w:numPr>
          <w:numId w:val="0"/>
        </w:numPr>
        <w:suppressLineNumbers w:val="0"/>
        <w:pBdr>
          <w:top w:val="none" w:color="auto" w:sz="0" w:space="0"/>
          <w:left w:val="none" w:color="auto" w:sz="0" w:space="0"/>
          <w:bottom w:val="single" w:color="F3F3F3" w:sz="6" w:space="12"/>
          <w:right w:val="none" w:color="auto" w:sz="0" w:space="0"/>
        </w:pBdr>
        <w:kinsoku/>
        <w:wordWrap/>
        <w:overflowPunct/>
        <w:topLinePunct w:val="0"/>
        <w:autoSpaceDE/>
        <w:autoSpaceDN/>
        <w:bidi w:val="0"/>
        <w:adjustRightInd/>
        <w:snapToGrid/>
        <w:spacing w:before="0" w:beforeAutospacing="0" w:after="0" w:afterAutospacing="0" w:line="20" w:lineRule="atLeast"/>
        <w:ind w:right="0" w:rightChars="0"/>
        <w:jc w:val="both"/>
        <w:textAlignment w:val="auto"/>
        <w:outlineLvl w:val="9"/>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比较实例选择针对估价对象的功能和特点，根据替代原则，按用途相同、土地级别相同、价格类型相同等特点，对与估价对象在同一区域内的类似住宅进行了市场调查和比较分析，按照估价要求，筛选三个可比实例。</w:t>
      </w:r>
      <w:r>
        <w:rPr>
          <w:rFonts w:hint="eastAsia" w:ascii="仿宋_GB2312" w:hAnsi="宋体" w:eastAsia="仿宋_GB2312" w:cs="Times New Roman"/>
          <w:kern w:val="2"/>
          <w:sz w:val="28"/>
          <w:szCs w:val="28"/>
          <w:lang w:val="en-US" w:eastAsia="zh-CN" w:bidi="ar-SA"/>
        </w:rPr>
        <w:t>实例A：中侨观邸小区住宅，2007年建成，总层数33层，所在层26层，4室2厅2卫，南北朝向，精装修，建筑面积180.86平米，拟交易总价415万，折合单价约为22946元/平米，拟交易日期2021年3月份。实例B：中侨观邸小区住宅，2007年建成，总层数33层，所在层8层，4室2厅2卫，南北朝向，精装修，建筑面积181平米，拟交易总价370万，折合单价约为20442元/平米，拟交易日期2021年3月份。</w:t>
      </w:r>
    </w:p>
    <w:p>
      <w:pPr>
        <w:pStyle w:val="7"/>
        <w:keepNext w:val="0"/>
        <w:keepLines w:val="0"/>
        <w:pageBreakBefore w:val="0"/>
        <w:widowControl/>
        <w:numPr>
          <w:ilvl w:val="0"/>
          <w:numId w:val="0"/>
        </w:numPr>
        <w:suppressLineNumbers w:val="0"/>
        <w:pBdr>
          <w:top w:val="none" w:color="auto" w:sz="0" w:space="0"/>
          <w:left w:val="none" w:color="auto" w:sz="0" w:space="0"/>
          <w:bottom w:val="single" w:color="F3F3F3" w:sz="6" w:space="12"/>
          <w:right w:val="none" w:color="auto" w:sz="0" w:space="0"/>
        </w:pBdr>
        <w:kinsoku/>
        <w:wordWrap/>
        <w:overflowPunct/>
        <w:topLinePunct w:val="0"/>
        <w:autoSpaceDE/>
        <w:autoSpaceDN/>
        <w:bidi w:val="0"/>
        <w:adjustRightInd/>
        <w:snapToGrid/>
        <w:spacing w:before="0" w:beforeAutospacing="0" w:after="0" w:afterAutospacing="0" w:line="20" w:lineRule="atLeast"/>
        <w:ind w:right="0" w:rightChars="0"/>
        <w:jc w:val="both"/>
        <w:textAlignment w:val="auto"/>
        <w:outlineLvl w:val="9"/>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实例C：中侨观邸小区住宅，2007年建成，总层数33层，所在层16层，4室2厅2卫，南北朝向，精装修，建筑面积182.49平米，拟交易总价399万，折合单价约为21864元/平米，拟交易日期2021年3月份。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12"/>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位 置</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中侨观邸</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A栋/单元19层a2室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中侨观邸</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中侨观邸</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中侨观邸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中侨观邸</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中侨观邸</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中侨观邸</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中侨观邸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22946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20442</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19/33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26/33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8/33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76.7%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76.7%</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76.7%</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12"/>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22946</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20442</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98</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12"/>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22946</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20442</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21864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98</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22719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20859</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21864</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评估单价=（22719+20859+21864）</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3=21814(元/平米)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评估总值=21814×181.87≈3967312(元)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估价人员根据估价目的，遵循估价原则，按照规定估价程序和方法，经过具体测算，确定估价对象在估价时点的市场价值为￥3967312元(大写人民币叁佰玖拾陆万柒仟叁佰壹拾贰元整)。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二○二一年三月三十一日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10"/>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10"/>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9"/>
        <w:sz w:val="18"/>
        <w:szCs w:val="18"/>
      </w:rPr>
      <w:instrText xml:space="preserve"> PAGE </w:instrText>
    </w:r>
    <w:r>
      <w:rPr>
        <w:sz w:val="18"/>
        <w:szCs w:val="18"/>
      </w:rPr>
      <w:fldChar w:fldCharType="separate"/>
    </w:r>
    <w:r>
      <w:rPr>
        <w:rStyle w:val="9"/>
        <w:sz w:val="18"/>
        <w:szCs w:val="18"/>
      </w:rPr>
      <w:t>1</w:t>
    </w:r>
    <w:r>
      <w:rPr>
        <w:sz w:val="18"/>
        <w:szCs w:val="18"/>
      </w:rPr>
      <w:fldChar w:fldCharType="end"/>
    </w:r>
    <w:r>
      <w:rPr>
        <w:rStyle w:val="9"/>
        <w:rFonts w:hint="eastAsia"/>
        <w:sz w:val="18"/>
        <w:szCs w:val="18"/>
      </w:rPr>
      <w:t>页  共</w:t>
    </w:r>
    <w:r>
      <w:rPr>
        <w:rStyle w:val="9"/>
        <w:rFonts w:hint="eastAsia"/>
        <w:sz w:val="18"/>
        <w:szCs w:val="18"/>
        <w:lang w:val="en-US" w:eastAsia="zh-CN"/>
      </w:rPr>
      <w:t>20</w:t>
    </w:r>
    <w:r>
      <w:rPr>
        <w:rStyle w:val="9"/>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framePr w:wrap="around" w:vAnchor="text" w:hAnchor="margin" w:xAlign="center" w:y="1"/>
      <w:rPr>
        <w:rStyle w:val="9"/>
      </w:rPr>
    </w:pPr>
    <w:r>
      <w:fldChar w:fldCharType="begin"/>
    </w:r>
    <w:r>
      <w:rPr>
        <w:rStyle w:val="9"/>
      </w:rPr>
      <w:instrText xml:space="preserve">PAGE  </w:instrText>
    </w:r>
    <w:r>
      <w:fldChar w:fldCharType="separate"/>
    </w:r>
    <w:r>
      <w:rPr>
        <w:rStyle w:val="9"/>
      </w:rPr>
      <w:t>5</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1617170729">
    <w:nsid w:val="60641129"/>
    <w:multiLevelType w:val="singleLevel"/>
    <w:tmpl w:val="60641129"/>
    <w:lvl w:ilvl="0" w:tentative="1">
      <w:start w:val="4"/>
      <w:numFmt w:val="chineseCounting"/>
      <w:suff w:val="nothing"/>
      <w:lvlText w:val="%1、"/>
      <w:lvlJc w:val="left"/>
    </w:lvl>
  </w:abstractNum>
  <w:num w:numId="1">
    <w:abstractNumId w:val="1578213565"/>
  </w:num>
  <w:num w:numId="2">
    <w:abstractNumId w:val="16171707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D174F"/>
    <w:rsid w:val="09697100"/>
    <w:rsid w:val="18B67417"/>
    <w:rsid w:val="1DEF672A"/>
    <w:rsid w:val="25DF10AE"/>
    <w:rsid w:val="274E038B"/>
    <w:rsid w:val="29A91201"/>
    <w:rsid w:val="2EC72EBF"/>
    <w:rsid w:val="311C0BF1"/>
    <w:rsid w:val="41535DB8"/>
    <w:rsid w:val="43236033"/>
    <w:rsid w:val="487E54FB"/>
    <w:rsid w:val="48EF6AB4"/>
    <w:rsid w:val="634E16F7"/>
    <w:rsid w:val="646D174F"/>
    <w:rsid w:val="6F902197"/>
    <w:rsid w:val="724C1FA2"/>
    <w:rsid w:val="772767B1"/>
    <w:rsid w:val="7C6D39AE"/>
    <w:rsid w:val="7ED1449D"/>
    <w:rsid w:val="7F7939B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8">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page number"/>
    <w:basedOn w:val="8"/>
    <w:qFormat/>
    <w:uiPriority w:val="0"/>
    <w:rPr>
      <w:rFonts w:ascii="Times New Roman" w:hAnsi="Times New Roman" w:eastAsia="宋体" w:cs="Times New Roman"/>
    </w:rPr>
  </w:style>
  <w:style w:type="character" w:styleId="10">
    <w:name w:val="Hyperlink"/>
    <w:basedOn w:val="8"/>
    <w:qFormat/>
    <w:uiPriority w:val="0"/>
    <w:rPr>
      <w:rFonts w:ascii="Times New Roman" w:hAnsi="Times New Roman" w:eastAsia="宋体" w:cs="Times New Roman"/>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List Paragraph"/>
    <w:basedOn w:val="1"/>
    <w:qFormat/>
    <w:uiPriority w:val="34"/>
    <w:pPr>
      <w:ind w:firstLine="420" w:firstLineChars="200"/>
    </w:pPr>
  </w:style>
  <w:style w:type="character" w:customStyle="1" w:styleId="14">
    <w:name w:val="apple-converted-space"/>
    <w:basedOn w:val="8"/>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2021-03-26T07:44:00Z</dcterms:created>
  <dc:creator>Administrator</dc:creator>
  <cp:lastModifiedBy>Administrator</cp:lastModifiedBy>
  <dcterms:modified xsi:type="dcterms:W3CDTF">2021-03-31T06:15:25Z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