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80" w:lineRule="exact"/>
        <w:jc w:val="center"/>
        <w:rPr>
          <w:rFonts w:ascii="宋体" w:hAnsi="宋体"/>
          <w:b/>
          <w:color w:val="000000" w:themeColor="text1"/>
          <w:sz w:val="44"/>
          <w:szCs w:val="44"/>
          <w14:textFill>
            <w14:solidFill>
              <w14:schemeClr w14:val="tx1"/>
            </w14:solidFill>
          </w14:textFill>
        </w:rPr>
      </w:pPr>
    </w:p>
    <w:p>
      <w:pPr>
        <w:autoSpaceDE w:val="0"/>
        <w:autoSpaceDN w:val="0"/>
        <w:adjustRightInd w:val="0"/>
        <w:spacing w:line="480" w:lineRule="exact"/>
        <w:jc w:val="center"/>
        <w:rPr>
          <w:rFonts w:ascii="宋体" w:hAnsi="宋体"/>
          <w:color w:val="000000" w:themeColor="text1"/>
          <w:sz w:val="28"/>
          <w:szCs w:val="28"/>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房地产估价报告</w:t>
      </w:r>
    </w:p>
    <w:p>
      <w:pPr>
        <w:autoSpaceDE w:val="0"/>
        <w:autoSpaceDN w:val="0"/>
        <w:adjustRightInd w:val="0"/>
        <w:spacing w:line="480" w:lineRule="exact"/>
        <w:rPr>
          <w:rFonts w:ascii="宋体" w:hAnsi="宋体"/>
          <w:color w:val="000000" w:themeColor="text1"/>
          <w:sz w:val="28"/>
          <w:szCs w:val="28"/>
          <w14:textFill>
            <w14:solidFill>
              <w14:schemeClr w14:val="tx1"/>
            </w14:solidFill>
          </w14:textFill>
        </w:rPr>
      </w:pPr>
    </w:p>
    <w:p>
      <w:pPr>
        <w:autoSpaceDE w:val="0"/>
        <w:autoSpaceDN w:val="0"/>
        <w:adjustRightInd w:val="0"/>
        <w:spacing w:line="480" w:lineRule="exact"/>
        <w:rPr>
          <w:rFonts w:ascii="宋体" w:hAnsi="宋体"/>
          <w:color w:val="000000" w:themeColor="text1"/>
          <w:sz w:val="28"/>
          <w:szCs w:val="28"/>
          <w14:textFill>
            <w14:solidFill>
              <w14:schemeClr w14:val="tx1"/>
            </w14:solidFill>
          </w14:textFill>
        </w:rPr>
      </w:pPr>
    </w:p>
    <w:p>
      <w:pPr>
        <w:keepLines/>
        <w:autoSpaceDE w:val="0"/>
        <w:autoSpaceDN w:val="0"/>
        <w:adjustRightInd w:val="0"/>
        <w:snapToGrid w:val="0"/>
        <w:spacing w:line="360" w:lineRule="auto"/>
        <w:ind w:left="2702" w:leftChars="200" w:hanging="2282" w:hangingChars="700"/>
        <w:rPr>
          <w:rFonts w:ascii="宋体" w:hAnsi="宋体"/>
          <w:color w:val="000000" w:themeColor="text1"/>
          <w:kern w:val="0"/>
          <w:sz w:val="28"/>
          <w:szCs w:val="28"/>
          <w14:textFill>
            <w14:solidFill>
              <w14:schemeClr w14:val="tx1"/>
            </w14:solidFill>
          </w14:textFill>
        </w:rPr>
      </w:pPr>
      <w:r>
        <w:rPr>
          <w:rFonts w:hint="eastAsia" w:ascii="宋体" w:hAnsi="宋体"/>
          <w:b/>
          <w:color w:val="000000" w:themeColor="text1"/>
          <w:spacing w:val="23"/>
          <w:kern w:val="0"/>
          <w:sz w:val="28"/>
          <w:szCs w:val="28"/>
          <w14:textFill>
            <w14:solidFill>
              <w14:schemeClr w14:val="tx1"/>
            </w14:solidFill>
          </w14:textFill>
        </w:rPr>
        <w:t>估价项目名称</w:t>
      </w:r>
      <w:r>
        <w:rPr>
          <w:rFonts w:hint="eastAsia" w:ascii="宋体" w:hAnsi="宋体"/>
          <w:b/>
          <w:color w:val="000000" w:themeColor="text1"/>
          <w:spacing w:val="2"/>
          <w:kern w:val="0"/>
          <w:sz w:val="28"/>
          <w:szCs w:val="28"/>
          <w14:textFill>
            <w14:solidFill>
              <w14:schemeClr w14:val="tx1"/>
            </w14:solidFill>
          </w14:textFill>
        </w:rPr>
        <w:t>：</w:t>
      </w:r>
      <w:r>
        <w:rPr>
          <w:rFonts w:hint="eastAsia" w:ascii="宋体" w:hAnsi="宋体"/>
          <w:color w:val="000000" w:themeColor="text1"/>
          <w:sz w:val="28"/>
          <w:lang w:val="en-US" w:eastAsia="zh-CN"/>
          <w14:textFill>
            <w14:solidFill>
              <w14:schemeClr w14:val="tx1"/>
            </w14:solidFill>
          </w14:textFill>
        </w:rPr>
        <w:t>绵竹市人民法院</w:t>
      </w:r>
      <w:r>
        <w:rPr>
          <w:rFonts w:hint="eastAsia" w:ascii="宋体" w:hAnsi="宋体"/>
          <w:color w:val="000000" w:themeColor="text1"/>
          <w:sz w:val="28"/>
          <w14:textFill>
            <w14:solidFill>
              <w14:schemeClr w14:val="tx1"/>
            </w14:solidFill>
          </w14:textFill>
        </w:rPr>
        <w:t>因司法拍卖（变卖）涉及的位于</w:t>
      </w:r>
      <w:r>
        <w:rPr>
          <w:rFonts w:hint="eastAsia" w:ascii="宋体" w:hAnsi="宋体"/>
          <w:color w:val="000000" w:themeColor="text1"/>
          <w:sz w:val="28"/>
          <w:lang w:val="en-US" w:eastAsia="zh-CN"/>
          <w14:textFill>
            <w14:solidFill>
              <w14:schemeClr w14:val="tx1"/>
            </w14:solidFill>
          </w14:textFill>
        </w:rPr>
        <w:t>绵竹市剑南镇宿迁街93号蔚泉新村安居房17栋2单元3层1号</w:t>
      </w:r>
      <w:r>
        <w:rPr>
          <w:rFonts w:ascii="宋体" w:hAnsi="宋体"/>
          <w:color w:val="000000" w:themeColor="text1"/>
          <w:sz w:val="28"/>
          <w14:textFill>
            <w14:solidFill>
              <w14:schemeClr w14:val="tx1"/>
            </w14:solidFill>
          </w14:textFill>
        </w:rPr>
        <w:t>的</w:t>
      </w:r>
      <w:r>
        <w:rPr>
          <w:rFonts w:hint="eastAsia" w:ascii="宋体" w:hAnsi="宋体"/>
          <w:color w:val="000000" w:themeColor="text1"/>
          <w:sz w:val="28"/>
          <w:szCs w:val="28"/>
          <w14:textFill>
            <w14:solidFill>
              <w14:schemeClr w14:val="tx1"/>
            </w14:solidFill>
          </w14:textFill>
        </w:rPr>
        <w:t>住宅用房</w:t>
      </w:r>
      <w:r>
        <w:rPr>
          <w:rFonts w:hint="eastAsia" w:ascii="宋体" w:hAnsi="宋体"/>
          <w:color w:val="000000" w:themeColor="text1"/>
          <w:sz w:val="28"/>
          <w:szCs w:val="28"/>
          <w:lang w:val="en-US" w:eastAsia="zh-CN"/>
          <w14:textFill>
            <w14:solidFill>
              <w14:schemeClr w14:val="tx1"/>
            </w14:solidFill>
          </w14:textFill>
        </w:rPr>
        <w:t>及家具家电</w:t>
      </w:r>
      <w:r>
        <w:rPr>
          <w:rFonts w:hint="eastAsia" w:ascii="宋体" w:hAnsi="宋体"/>
          <w:color w:val="000000" w:themeColor="text1"/>
          <w:sz w:val="28"/>
          <w:szCs w:val="28"/>
          <w14:textFill>
            <w14:solidFill>
              <w14:schemeClr w14:val="tx1"/>
            </w14:solidFill>
          </w14:textFill>
        </w:rPr>
        <w:t>市场价值评估</w:t>
      </w:r>
    </w:p>
    <w:p>
      <w:pPr>
        <w:keepLines/>
        <w:autoSpaceDE w:val="0"/>
        <w:autoSpaceDN w:val="0"/>
        <w:adjustRightInd w:val="0"/>
        <w:snapToGrid w:val="0"/>
        <w:spacing w:line="360" w:lineRule="auto"/>
        <w:rPr>
          <w:rFonts w:ascii="宋体" w:hAnsi="宋体"/>
          <w:color w:val="000000" w:themeColor="text1"/>
          <w:kern w:val="0"/>
          <w:sz w:val="28"/>
          <w:szCs w:val="28"/>
          <w14:textFill>
            <w14:solidFill>
              <w14:schemeClr w14:val="tx1"/>
            </w14:solidFill>
          </w14:textFill>
        </w:rPr>
      </w:pPr>
    </w:p>
    <w:p>
      <w:pPr>
        <w:keepLines/>
        <w:autoSpaceDE w:val="0"/>
        <w:autoSpaceDN w:val="0"/>
        <w:adjustRightInd w:val="0"/>
        <w:snapToGrid w:val="0"/>
        <w:spacing w:line="360" w:lineRule="auto"/>
        <w:rPr>
          <w:rFonts w:hint="default" w:ascii="宋体" w:hAnsi="宋体" w:eastAsia="宋体"/>
          <w:color w:val="000000" w:themeColor="text1"/>
          <w:kern w:val="0"/>
          <w:sz w:val="28"/>
          <w:szCs w:val="28"/>
          <w:lang w:val="en-US" w:eastAsia="zh-CN"/>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 xml:space="preserve">   </w:t>
      </w:r>
      <w:r>
        <w:rPr>
          <w:rFonts w:hint="eastAsia" w:ascii="宋体" w:hAnsi="宋体"/>
          <w:b/>
          <w:color w:val="000000" w:themeColor="text1"/>
          <w:spacing w:val="56"/>
          <w:kern w:val="0"/>
          <w:sz w:val="28"/>
          <w:szCs w:val="28"/>
          <w:fitText w:val="2248" w:id="1"/>
          <w14:textFill>
            <w14:solidFill>
              <w14:schemeClr w14:val="tx1"/>
            </w14:solidFill>
          </w14:textFill>
        </w:rPr>
        <w:t>估价委托人</w:t>
      </w:r>
      <w:r>
        <w:rPr>
          <w:rFonts w:hint="eastAsia" w:ascii="宋体" w:hAnsi="宋体"/>
          <w:b/>
          <w:color w:val="000000" w:themeColor="text1"/>
          <w:spacing w:val="4"/>
          <w:kern w:val="0"/>
          <w:sz w:val="28"/>
          <w:szCs w:val="28"/>
          <w:fitText w:val="2248" w:id="1"/>
          <w14:textFill>
            <w14:solidFill>
              <w14:schemeClr w14:val="tx1"/>
            </w14:solidFill>
          </w14:textFill>
        </w:rPr>
        <w:t>：</w:t>
      </w:r>
      <w:r>
        <w:rPr>
          <w:rFonts w:hint="eastAsia" w:ascii="宋体"/>
          <w:color w:val="000000" w:themeColor="text1"/>
          <w:sz w:val="28"/>
          <w:lang w:val="en-US" w:eastAsia="zh-CN"/>
          <w14:textFill>
            <w14:solidFill>
              <w14:schemeClr w14:val="tx1"/>
            </w14:solidFill>
          </w14:textFill>
        </w:rPr>
        <w:t>绵竹市人民法院</w:t>
      </w:r>
    </w:p>
    <w:p>
      <w:pPr>
        <w:keepLines/>
        <w:autoSpaceDE w:val="0"/>
        <w:autoSpaceDN w:val="0"/>
        <w:adjustRightInd w:val="0"/>
        <w:snapToGrid w:val="0"/>
        <w:spacing w:line="360" w:lineRule="auto"/>
        <w:ind w:firstLine="560" w:firstLineChars="200"/>
        <w:rPr>
          <w:rFonts w:ascii="宋体" w:hAnsi="宋体"/>
          <w:color w:val="000000" w:themeColor="text1"/>
          <w:kern w:val="0"/>
          <w:sz w:val="28"/>
          <w:szCs w:val="28"/>
          <w14:textFill>
            <w14:solidFill>
              <w14:schemeClr w14:val="tx1"/>
            </w14:solidFill>
          </w14:textFill>
        </w:rPr>
      </w:pPr>
    </w:p>
    <w:p>
      <w:pPr>
        <w:keepLines/>
        <w:autoSpaceDE w:val="0"/>
        <w:autoSpaceDN w:val="0"/>
        <w:adjustRightInd w:val="0"/>
        <w:snapToGrid w:val="0"/>
        <w:spacing w:line="360" w:lineRule="auto"/>
        <w:ind w:firstLine="560" w:firstLineChars="200"/>
        <w:rPr>
          <w:rFonts w:ascii="宋体" w:hAnsi="宋体"/>
          <w:color w:val="000000" w:themeColor="text1"/>
          <w:kern w:val="0"/>
          <w:sz w:val="28"/>
          <w:szCs w:val="28"/>
          <w14:textFill>
            <w14:solidFill>
              <w14:schemeClr w14:val="tx1"/>
            </w14:solidFill>
          </w14:textFill>
        </w:rPr>
      </w:pPr>
    </w:p>
    <w:p>
      <w:pPr>
        <w:keepLines/>
        <w:autoSpaceDE w:val="0"/>
        <w:autoSpaceDN w:val="0"/>
        <w:adjustRightInd w:val="0"/>
        <w:snapToGrid w:val="0"/>
        <w:spacing w:line="360" w:lineRule="auto"/>
        <w:rPr>
          <w:rFonts w:hint="eastAsia" w:ascii="宋体" w:hAnsi="宋体" w:eastAsia="宋体"/>
          <w:color w:val="000000" w:themeColor="text1"/>
          <w:kern w:val="0"/>
          <w:sz w:val="28"/>
          <w:szCs w:val="28"/>
          <w:lang w:eastAsia="zh-CN"/>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 xml:space="preserve">   </w:t>
      </w:r>
      <w:r>
        <w:rPr>
          <w:rFonts w:hint="eastAsia" w:ascii="宋体" w:hAnsi="宋体"/>
          <w:b/>
          <w:color w:val="000000" w:themeColor="text1"/>
          <w:kern w:val="0"/>
          <w:sz w:val="28"/>
          <w:szCs w:val="28"/>
          <w14:textFill>
            <w14:solidFill>
              <w14:schemeClr w14:val="tx1"/>
            </w14:solidFill>
          </w14:textFill>
        </w:rPr>
        <w:t>房地产估价机构：</w:t>
      </w:r>
      <w:r>
        <w:rPr>
          <w:rFonts w:hint="eastAsia" w:ascii="宋体" w:hAnsi="宋体"/>
          <w:color w:val="000000" w:themeColor="text1"/>
          <w:kern w:val="0"/>
          <w:sz w:val="28"/>
          <w:szCs w:val="28"/>
          <w:lang w:eastAsia="zh-CN"/>
          <w14:textFill>
            <w14:solidFill>
              <w14:schemeClr w14:val="tx1"/>
            </w14:solidFill>
          </w14:textFill>
        </w:rPr>
        <w:t>四川海盛林房地产土地资产评估有限公司</w:t>
      </w:r>
    </w:p>
    <w:p>
      <w:pPr>
        <w:keepLines/>
        <w:autoSpaceDE w:val="0"/>
        <w:autoSpaceDN w:val="0"/>
        <w:adjustRightInd w:val="0"/>
        <w:snapToGrid w:val="0"/>
        <w:spacing w:line="360" w:lineRule="auto"/>
        <w:ind w:firstLine="560" w:firstLineChars="200"/>
        <w:rPr>
          <w:rFonts w:ascii="宋体" w:hAnsi="宋体"/>
          <w:color w:val="000000" w:themeColor="text1"/>
          <w:kern w:val="0"/>
          <w:sz w:val="28"/>
          <w:szCs w:val="28"/>
          <w14:textFill>
            <w14:solidFill>
              <w14:schemeClr w14:val="tx1"/>
            </w14:solidFill>
          </w14:textFill>
        </w:rPr>
      </w:pPr>
    </w:p>
    <w:p>
      <w:pPr>
        <w:keepLines/>
        <w:autoSpaceDE w:val="0"/>
        <w:autoSpaceDN w:val="0"/>
        <w:adjustRightInd w:val="0"/>
        <w:snapToGrid w:val="0"/>
        <w:spacing w:line="360" w:lineRule="auto"/>
        <w:ind w:firstLine="560" w:firstLineChars="200"/>
        <w:rPr>
          <w:rFonts w:ascii="宋体" w:hAnsi="宋体"/>
          <w:color w:val="000000" w:themeColor="text1"/>
          <w:kern w:val="0"/>
          <w:sz w:val="28"/>
          <w:szCs w:val="28"/>
          <w14:textFill>
            <w14:solidFill>
              <w14:schemeClr w14:val="tx1"/>
            </w14:solidFill>
          </w14:textFill>
        </w:rPr>
      </w:pPr>
    </w:p>
    <w:p>
      <w:pPr>
        <w:keepLines/>
        <w:autoSpaceDE w:val="0"/>
        <w:autoSpaceDN w:val="0"/>
        <w:adjustRightInd w:val="0"/>
        <w:snapToGrid w:val="0"/>
        <w:spacing w:line="360" w:lineRule="auto"/>
        <w:rPr>
          <w:rFonts w:ascii="宋体" w:hAnsi="宋体"/>
          <w:color w:val="000000" w:themeColor="text1"/>
          <w:kern w:val="0"/>
          <w:sz w:val="28"/>
          <w:szCs w:val="28"/>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 xml:space="preserve">   </w:t>
      </w:r>
      <w:r>
        <w:rPr>
          <w:rFonts w:hint="eastAsia" w:ascii="宋体" w:hAnsi="宋体"/>
          <w:b/>
          <w:color w:val="000000" w:themeColor="text1"/>
          <w:kern w:val="0"/>
          <w:sz w:val="28"/>
          <w:szCs w:val="28"/>
          <w14:textFill>
            <w14:solidFill>
              <w14:schemeClr w14:val="tx1"/>
            </w14:solidFill>
          </w14:textFill>
        </w:rPr>
        <w:t>注册房地产估价师：</w:t>
      </w:r>
      <w:r>
        <w:rPr>
          <w:rFonts w:hint="eastAsia" w:ascii="宋体" w:hAnsi="宋体"/>
          <w:color w:val="000000" w:themeColor="text1"/>
          <w:kern w:val="0"/>
          <w:sz w:val="28"/>
          <w:szCs w:val="28"/>
          <w14:textFill>
            <w14:solidFill>
              <w14:schemeClr w14:val="tx1"/>
            </w14:solidFill>
          </w14:textFill>
        </w:rPr>
        <w:t>肖  琴(注册号：</w:t>
      </w:r>
      <w:r>
        <w:rPr>
          <w:rFonts w:ascii="宋体" w:hAnsi="宋体"/>
          <w:color w:val="000000" w:themeColor="text1"/>
          <w:kern w:val="0"/>
          <w:sz w:val="28"/>
          <w:szCs w:val="28"/>
          <w14:textFill>
            <w14:solidFill>
              <w14:schemeClr w14:val="tx1"/>
            </w14:solidFill>
          </w14:textFill>
        </w:rPr>
        <w:t>5120</w:t>
      </w:r>
      <w:bookmarkStart w:id="130" w:name="_GoBack"/>
      <w:bookmarkEnd w:id="130"/>
      <w:r>
        <w:rPr>
          <w:rFonts w:ascii="宋体" w:hAnsi="宋体"/>
          <w:color w:val="000000" w:themeColor="text1"/>
          <w:kern w:val="0"/>
          <w:sz w:val="28"/>
          <w:szCs w:val="28"/>
          <w14:textFill>
            <w14:solidFill>
              <w14:schemeClr w14:val="tx1"/>
            </w14:solidFill>
          </w14:textFill>
        </w:rPr>
        <w:t>000120</w:t>
      </w:r>
      <w:r>
        <w:rPr>
          <w:rFonts w:hint="eastAsia" w:ascii="宋体" w:hAnsi="宋体"/>
          <w:color w:val="000000" w:themeColor="text1"/>
          <w:kern w:val="0"/>
          <w:sz w:val="28"/>
          <w:szCs w:val="28"/>
          <w14:textFill>
            <w14:solidFill>
              <w14:schemeClr w14:val="tx1"/>
            </w14:solidFill>
          </w14:textFill>
        </w:rPr>
        <w:t>)</w:t>
      </w:r>
    </w:p>
    <w:p>
      <w:pPr>
        <w:keepLines/>
        <w:autoSpaceDE w:val="0"/>
        <w:autoSpaceDN w:val="0"/>
        <w:adjustRightInd w:val="0"/>
        <w:snapToGrid w:val="0"/>
        <w:spacing w:line="360" w:lineRule="auto"/>
        <w:rPr>
          <w:rFonts w:ascii="宋体" w:hAnsi="宋体"/>
          <w:color w:val="000000" w:themeColor="text1"/>
          <w:kern w:val="0"/>
          <w:sz w:val="28"/>
          <w:szCs w:val="28"/>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 xml:space="preserve">                     杨秀容(注册号：</w:t>
      </w:r>
      <w:r>
        <w:rPr>
          <w:rFonts w:ascii="宋体" w:hAnsi="宋体"/>
          <w:color w:val="000000" w:themeColor="text1"/>
          <w:kern w:val="0"/>
          <w:sz w:val="28"/>
          <w:szCs w:val="28"/>
          <w14:textFill>
            <w14:solidFill>
              <w14:schemeClr w14:val="tx1"/>
            </w14:solidFill>
          </w14:textFill>
        </w:rPr>
        <w:t>5120070061</w:t>
      </w:r>
      <w:r>
        <w:rPr>
          <w:rFonts w:hint="eastAsia" w:ascii="宋体" w:hAnsi="宋体"/>
          <w:color w:val="000000" w:themeColor="text1"/>
          <w:kern w:val="0"/>
          <w:sz w:val="28"/>
          <w:szCs w:val="28"/>
          <w14:textFill>
            <w14:solidFill>
              <w14:schemeClr w14:val="tx1"/>
            </w14:solidFill>
          </w14:textFill>
        </w:rPr>
        <w:t>)</w:t>
      </w:r>
    </w:p>
    <w:p>
      <w:pPr>
        <w:keepLines/>
        <w:autoSpaceDE w:val="0"/>
        <w:autoSpaceDN w:val="0"/>
        <w:adjustRightInd w:val="0"/>
        <w:snapToGrid w:val="0"/>
        <w:spacing w:line="360" w:lineRule="auto"/>
        <w:ind w:firstLine="560" w:firstLineChars="200"/>
        <w:rPr>
          <w:rFonts w:ascii="宋体" w:hAnsi="宋体"/>
          <w:color w:val="000000" w:themeColor="text1"/>
          <w:kern w:val="0"/>
          <w:sz w:val="28"/>
          <w:szCs w:val="28"/>
          <w14:textFill>
            <w14:solidFill>
              <w14:schemeClr w14:val="tx1"/>
            </w14:solidFill>
          </w14:textFill>
        </w:rPr>
      </w:pPr>
    </w:p>
    <w:p>
      <w:pPr>
        <w:keepLines/>
        <w:autoSpaceDE w:val="0"/>
        <w:autoSpaceDN w:val="0"/>
        <w:adjustRightInd w:val="0"/>
        <w:snapToGrid w:val="0"/>
        <w:spacing w:line="360" w:lineRule="auto"/>
        <w:rPr>
          <w:rFonts w:hint="eastAsia" w:ascii="宋体" w:hAnsi="宋体" w:eastAsia="宋体"/>
          <w:color w:val="000000" w:themeColor="text1"/>
          <w:kern w:val="0"/>
          <w:sz w:val="28"/>
          <w:szCs w:val="28"/>
          <w:lang w:eastAsia="zh-CN"/>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 xml:space="preserve">   </w:t>
      </w:r>
      <w:r>
        <w:rPr>
          <w:rFonts w:hint="eastAsia" w:ascii="宋体" w:hAnsi="宋体"/>
          <w:b/>
          <w:color w:val="000000" w:themeColor="text1"/>
          <w:kern w:val="0"/>
          <w:sz w:val="28"/>
          <w:szCs w:val="28"/>
          <w14:textFill>
            <w14:solidFill>
              <w14:schemeClr w14:val="tx1"/>
            </w14:solidFill>
          </w14:textFill>
        </w:rPr>
        <w:t>估价报告出具日期：</w:t>
      </w:r>
      <w:r>
        <w:rPr>
          <w:rFonts w:hint="eastAsia" w:ascii="宋体" w:hAnsi="宋体"/>
          <w:color w:val="000000" w:themeColor="text1"/>
          <w:spacing w:val="-20"/>
          <w:sz w:val="28"/>
          <w:szCs w:val="28"/>
          <w:lang w:eastAsia="zh-CN"/>
          <w14:textFill>
            <w14:solidFill>
              <w14:schemeClr w14:val="tx1"/>
            </w14:solidFill>
          </w14:textFill>
        </w:rPr>
        <w:t>二О二一年四月二十六日</w:t>
      </w:r>
    </w:p>
    <w:p>
      <w:pPr>
        <w:keepLines/>
        <w:autoSpaceDE w:val="0"/>
        <w:autoSpaceDN w:val="0"/>
        <w:adjustRightInd w:val="0"/>
        <w:snapToGrid w:val="0"/>
        <w:spacing w:line="360" w:lineRule="auto"/>
        <w:rPr>
          <w:rFonts w:ascii="宋体" w:hAnsi="宋体"/>
          <w:color w:val="000000" w:themeColor="text1"/>
          <w:kern w:val="0"/>
          <w:sz w:val="28"/>
          <w:szCs w:val="28"/>
          <w14:textFill>
            <w14:solidFill>
              <w14:schemeClr w14:val="tx1"/>
            </w14:solidFill>
          </w14:textFill>
        </w:rPr>
      </w:pPr>
    </w:p>
    <w:p>
      <w:pPr>
        <w:keepLines/>
        <w:autoSpaceDE w:val="0"/>
        <w:autoSpaceDN w:val="0"/>
        <w:adjustRightInd w:val="0"/>
        <w:snapToGrid w:val="0"/>
        <w:spacing w:line="360" w:lineRule="auto"/>
        <w:rPr>
          <w:rFonts w:hint="eastAsia" w:ascii="宋体" w:hAnsi="宋体" w:eastAsia="宋体"/>
          <w:color w:val="000000" w:themeColor="text1"/>
          <w:kern w:val="0"/>
          <w:sz w:val="28"/>
          <w:szCs w:val="28"/>
          <w:lang w:eastAsia="zh-CN"/>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 xml:space="preserve">   </w:t>
      </w:r>
      <w:r>
        <w:rPr>
          <w:rFonts w:hint="eastAsia" w:ascii="宋体" w:hAnsi="宋体"/>
          <w:b/>
          <w:color w:val="000000" w:themeColor="text1"/>
          <w:spacing w:val="24"/>
          <w:kern w:val="0"/>
          <w:sz w:val="28"/>
          <w:szCs w:val="28"/>
          <w:fitText w:val="2248" w:id="2"/>
          <w14:textFill>
            <w14:solidFill>
              <w14:schemeClr w14:val="tx1"/>
            </w14:solidFill>
          </w14:textFill>
        </w:rPr>
        <w:t>估价作业日期</w:t>
      </w:r>
      <w:r>
        <w:rPr>
          <w:rFonts w:hint="eastAsia" w:ascii="宋体" w:hAnsi="宋体"/>
          <w:b/>
          <w:color w:val="000000" w:themeColor="text1"/>
          <w:spacing w:val="0"/>
          <w:kern w:val="0"/>
          <w:sz w:val="28"/>
          <w:szCs w:val="28"/>
          <w:fitText w:val="2248" w:id="2"/>
          <w14:textFill>
            <w14:solidFill>
              <w14:schemeClr w14:val="tx1"/>
            </w14:solidFill>
          </w14:textFill>
        </w:rPr>
        <w:t>：</w:t>
      </w:r>
      <w:r>
        <w:rPr>
          <w:rFonts w:hint="eastAsia" w:ascii="宋体" w:hAnsi="宋体"/>
          <w:color w:val="000000" w:themeColor="text1"/>
          <w:spacing w:val="-20"/>
          <w:sz w:val="28"/>
          <w:szCs w:val="28"/>
          <w:lang w:eastAsia="zh-CN"/>
          <w14:textFill>
            <w14:solidFill>
              <w14:schemeClr w14:val="tx1"/>
            </w14:solidFill>
          </w14:textFill>
        </w:rPr>
        <w:t>二О二一年四月一日</w:t>
      </w:r>
      <w:r>
        <w:rPr>
          <w:rFonts w:hint="eastAsia" w:ascii="宋体" w:hAnsi="宋体"/>
          <w:color w:val="000000" w:themeColor="text1"/>
          <w:spacing w:val="-20"/>
          <w:sz w:val="28"/>
          <w:szCs w:val="28"/>
          <w14:textFill>
            <w14:solidFill>
              <w14:schemeClr w14:val="tx1"/>
            </w14:solidFill>
          </w14:textFill>
        </w:rPr>
        <w:t>至</w:t>
      </w:r>
      <w:r>
        <w:rPr>
          <w:rFonts w:hint="eastAsia" w:ascii="宋体" w:hAnsi="宋体"/>
          <w:color w:val="000000" w:themeColor="text1"/>
          <w:spacing w:val="-20"/>
          <w:sz w:val="28"/>
          <w:szCs w:val="28"/>
          <w:lang w:eastAsia="zh-CN"/>
          <w14:textFill>
            <w14:solidFill>
              <w14:schemeClr w14:val="tx1"/>
            </w14:solidFill>
          </w14:textFill>
        </w:rPr>
        <w:t>二О二一年四月二十六日</w:t>
      </w:r>
    </w:p>
    <w:p>
      <w:pPr>
        <w:keepLines/>
        <w:autoSpaceDE w:val="0"/>
        <w:autoSpaceDN w:val="0"/>
        <w:adjustRightInd w:val="0"/>
        <w:snapToGrid w:val="0"/>
        <w:spacing w:line="360" w:lineRule="auto"/>
        <w:rPr>
          <w:rFonts w:ascii="宋体" w:hAnsi="宋体"/>
          <w:color w:val="000000" w:themeColor="text1"/>
          <w:kern w:val="0"/>
          <w:sz w:val="28"/>
          <w:szCs w:val="28"/>
          <w14:textFill>
            <w14:solidFill>
              <w14:schemeClr w14:val="tx1"/>
            </w14:solidFill>
          </w14:textFill>
        </w:rPr>
      </w:pPr>
    </w:p>
    <w:p>
      <w:pPr>
        <w:keepLines/>
        <w:autoSpaceDE w:val="0"/>
        <w:autoSpaceDN w:val="0"/>
        <w:adjustRightInd w:val="0"/>
        <w:snapToGrid w:val="0"/>
        <w:spacing w:line="360" w:lineRule="auto"/>
        <w:rPr>
          <w:rFonts w:ascii="宋体" w:hAnsi="宋体"/>
          <w:color w:val="000000" w:themeColor="text1"/>
          <w:kern w:val="0"/>
          <w:sz w:val="28"/>
          <w:szCs w:val="28"/>
          <w14:textFill>
            <w14:solidFill>
              <w14:schemeClr w14:val="tx1"/>
            </w14:solidFill>
          </w14:textFill>
        </w:rPr>
      </w:pPr>
    </w:p>
    <w:p>
      <w:pPr>
        <w:keepLines/>
        <w:autoSpaceDE w:val="0"/>
        <w:autoSpaceDN w:val="0"/>
        <w:adjustRightInd w:val="0"/>
        <w:snapToGrid w:val="0"/>
        <w:spacing w:line="360" w:lineRule="auto"/>
        <w:rPr>
          <w:rFonts w:hint="eastAsia" w:ascii="宋体" w:hAnsi="宋体" w:eastAsia="宋体"/>
          <w:color w:val="000000" w:themeColor="text1"/>
          <w:kern w:val="0"/>
          <w:sz w:val="28"/>
          <w:szCs w:val="28"/>
          <w:lang w:eastAsia="zh-CN"/>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 xml:space="preserve">   </w:t>
      </w:r>
      <w:r>
        <w:rPr>
          <w:rFonts w:hint="eastAsia" w:ascii="宋体" w:hAnsi="宋体"/>
          <w:b/>
          <w:color w:val="000000" w:themeColor="text1"/>
          <w:spacing w:val="24"/>
          <w:kern w:val="0"/>
          <w:sz w:val="28"/>
          <w:szCs w:val="28"/>
          <w:fitText w:val="2248" w:id="3"/>
          <w14:textFill>
            <w14:solidFill>
              <w14:schemeClr w14:val="tx1"/>
            </w14:solidFill>
          </w14:textFill>
        </w:rPr>
        <w:t>估价报告编号</w:t>
      </w:r>
      <w:r>
        <w:rPr>
          <w:rFonts w:hint="eastAsia" w:ascii="宋体" w:hAnsi="宋体"/>
          <w:b/>
          <w:color w:val="000000" w:themeColor="text1"/>
          <w:spacing w:val="0"/>
          <w:kern w:val="0"/>
          <w:sz w:val="28"/>
          <w:szCs w:val="28"/>
          <w:fitText w:val="2248" w:id="3"/>
          <w14:textFill>
            <w14:solidFill>
              <w14:schemeClr w14:val="tx1"/>
            </w14:solidFill>
          </w14:textFill>
        </w:rPr>
        <w:t>：</w:t>
      </w:r>
      <w:r>
        <w:rPr>
          <w:rFonts w:hint="eastAsia" w:ascii="宋体" w:hAnsi="宋体"/>
          <w:color w:val="000000" w:themeColor="text1"/>
          <w:kern w:val="0"/>
          <w:sz w:val="28"/>
          <w:szCs w:val="28"/>
          <w:highlight w:val="none"/>
          <w:lang w:eastAsia="zh-CN"/>
          <w14:textFill>
            <w14:solidFill>
              <w14:schemeClr w14:val="tx1"/>
            </w14:solidFill>
          </w14:textFill>
        </w:rPr>
        <w:t>川海房价[2021]</w:t>
      </w:r>
      <w:r>
        <w:rPr>
          <w:rFonts w:hint="eastAsia" w:ascii="宋体" w:hAnsi="宋体"/>
          <w:color w:val="000000" w:themeColor="text1"/>
          <w:kern w:val="0"/>
          <w:sz w:val="28"/>
          <w:szCs w:val="28"/>
          <w:highlight w:val="none"/>
          <w:lang w:val="en-US" w:eastAsia="zh-CN"/>
          <w14:textFill>
            <w14:solidFill>
              <w14:schemeClr w14:val="tx1"/>
            </w14:solidFill>
          </w14:textFill>
        </w:rPr>
        <w:t>022</w:t>
      </w:r>
      <w:r>
        <w:rPr>
          <w:rFonts w:hint="eastAsia" w:ascii="宋体" w:hAnsi="宋体"/>
          <w:color w:val="000000" w:themeColor="text1"/>
          <w:kern w:val="0"/>
          <w:sz w:val="28"/>
          <w:szCs w:val="28"/>
          <w:highlight w:val="none"/>
          <w:lang w:eastAsia="zh-CN"/>
          <w14:textFill>
            <w14:solidFill>
              <w14:schemeClr w14:val="tx1"/>
            </w14:solidFill>
          </w14:textFill>
        </w:rPr>
        <w:t>号</w:t>
      </w:r>
    </w:p>
    <w:p>
      <w:pPr>
        <w:rPr>
          <w:rFonts w:ascii="宋体" w:hAnsi="宋体"/>
          <w:color w:val="000000" w:themeColor="text1"/>
          <w:sz w:val="28"/>
          <w:szCs w:val="28"/>
          <w14:textFill>
            <w14:solidFill>
              <w14:schemeClr w14:val="tx1"/>
            </w14:solidFill>
          </w14:textFill>
        </w:rPr>
      </w:pPr>
    </w:p>
    <w:p>
      <w:pPr>
        <w:rPr>
          <w:rFonts w:ascii="宋体" w:hAnsi="宋体"/>
          <w:color w:val="000000" w:themeColor="text1"/>
          <w:sz w:val="28"/>
          <w:szCs w:val="28"/>
          <w14:textFill>
            <w14:solidFill>
              <w14:schemeClr w14:val="tx1"/>
            </w14:solidFill>
          </w14:textFill>
        </w:rPr>
        <w:sectPr>
          <w:footerReference r:id="rId7" w:type="first"/>
          <w:headerReference r:id="rId5" w:type="default"/>
          <w:footerReference r:id="rId6" w:type="default"/>
          <w:pgSz w:w="11906" w:h="16838"/>
          <w:pgMar w:top="1418" w:right="1287" w:bottom="1418" w:left="1418" w:header="851" w:footer="680" w:gutter="0"/>
          <w:cols w:space="720" w:num="1"/>
          <w:titlePg/>
          <w:docGrid w:type="linesAndChars" w:linePitch="312" w:charSpace="0"/>
        </w:sectPr>
      </w:pPr>
    </w:p>
    <w:p>
      <w:pPr>
        <w:pStyle w:val="18"/>
        <w:snapToGrid w:val="0"/>
        <w:spacing w:line="348" w:lineRule="auto"/>
        <w:jc w:val="center"/>
        <w:outlineLvl w:val="0"/>
        <w:rPr>
          <w:rFonts w:ascii="黑体" w:eastAsia="黑体" w:cs="黑体"/>
          <w:b w:val="0"/>
          <w:bCs w:val="0"/>
          <w:color w:val="000000" w:themeColor="text1"/>
          <w:sz w:val="32"/>
          <w:szCs w:val="32"/>
          <w14:textFill>
            <w14:solidFill>
              <w14:schemeClr w14:val="tx1"/>
            </w14:solidFill>
          </w14:textFill>
        </w:rPr>
      </w:pPr>
      <w:bookmarkStart w:id="0" w:name="_Toc19065"/>
      <w:bookmarkStart w:id="1" w:name="_Toc531612704"/>
      <w:bookmarkStart w:id="2" w:name="_Toc435111906"/>
      <w:bookmarkStart w:id="3" w:name="_Toc521502544"/>
      <w:bookmarkStart w:id="4" w:name="_Toc521502338"/>
      <w:bookmarkStart w:id="5" w:name="_Toc522182774"/>
      <w:bookmarkStart w:id="6" w:name="_Toc521502382"/>
      <w:bookmarkStart w:id="7" w:name="_Toc531612366"/>
      <w:bookmarkStart w:id="8" w:name="_Toc3900537"/>
      <w:bookmarkStart w:id="9" w:name="_Toc1030213"/>
      <w:bookmarkStart w:id="10" w:name="_Toc532654338"/>
      <w:r>
        <w:rPr>
          <w:rFonts w:hint="eastAsia" w:ascii="黑体" w:eastAsia="黑体" w:cs="黑体"/>
          <w:b w:val="0"/>
          <w:bCs w:val="0"/>
          <w:color w:val="000000" w:themeColor="text1"/>
          <w:sz w:val="32"/>
          <w:szCs w:val="32"/>
          <w14:textFill>
            <w14:solidFill>
              <w14:schemeClr w14:val="tx1"/>
            </w14:solidFill>
          </w14:textFill>
        </w:rPr>
        <w:t>致估价委托人函</w:t>
      </w:r>
      <w:bookmarkEnd w:id="0"/>
      <w:bookmarkEnd w:id="1"/>
      <w:bookmarkEnd w:id="2"/>
      <w:bookmarkEnd w:id="3"/>
      <w:bookmarkEnd w:id="4"/>
      <w:bookmarkEnd w:id="5"/>
      <w:bookmarkEnd w:id="6"/>
      <w:bookmarkEnd w:id="7"/>
      <w:bookmarkEnd w:id="8"/>
      <w:bookmarkEnd w:id="9"/>
      <w:bookmarkEnd w:id="10"/>
    </w:p>
    <w:p>
      <w:pPr>
        <w:pStyle w:val="13"/>
        <w:spacing w:line="500" w:lineRule="exact"/>
        <w:ind w:firstLine="0"/>
        <w:rPr>
          <w:rFonts w:ascii="Times New Roman"/>
          <w:b/>
          <w:color w:val="000000" w:themeColor="text1"/>
          <w:sz w:val="24"/>
          <w:szCs w:val="24"/>
          <w14:textFill>
            <w14:solidFill>
              <w14:schemeClr w14:val="tx1"/>
            </w14:solidFill>
          </w14:textFill>
        </w:rPr>
      </w:pPr>
      <w:r>
        <w:rPr>
          <w:rFonts w:hint="eastAsia"/>
          <w:b/>
          <w:color w:val="000000" w:themeColor="text1"/>
          <w:sz w:val="24"/>
          <w:szCs w:val="24"/>
          <w:lang w:eastAsia="zh-CN"/>
          <w14:textFill>
            <w14:solidFill>
              <w14:schemeClr w14:val="tx1"/>
            </w14:solidFill>
          </w14:textFill>
        </w:rPr>
        <w:t>绵竹市人民法院</w:t>
      </w:r>
      <w:r>
        <w:rPr>
          <w:rFonts w:hint="eastAsia" w:ascii="Times New Roman"/>
          <w:b/>
          <w:color w:val="000000" w:themeColor="text1"/>
          <w:sz w:val="24"/>
          <w:szCs w:val="24"/>
          <w14:textFill>
            <w14:solidFill>
              <w14:schemeClr w14:val="tx1"/>
            </w14:solidFill>
          </w14:textFill>
        </w:rPr>
        <w:t>：</w:t>
      </w:r>
    </w:p>
    <w:p>
      <w:pPr>
        <w:spacing w:line="500" w:lineRule="exact"/>
        <w:ind w:firstLine="480" w:firstLineChars="200"/>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承蒙委托，我公司</w:t>
      </w:r>
      <w:r>
        <w:rPr>
          <w:rFonts w:hint="eastAsia" w:cs="宋体"/>
          <w:color w:val="000000" w:themeColor="text1"/>
          <w:sz w:val="24"/>
          <w:szCs w:val="24"/>
          <w:lang w:val="zh-CN"/>
          <w14:textFill>
            <w14:solidFill>
              <w14:schemeClr w14:val="tx1"/>
            </w14:solidFill>
          </w14:textFill>
        </w:rPr>
        <w:t>依据我国现行有关法律、法规政策的规定，利用贵方提供的资料以及估价人员实地查勘和市场调查取得的资料，根据估价目的，遵循估价原则，按照估价程序，选取适宜的估价方法，并在综合分析影响房地产价格因素的基础上，对估价对象于价值时点的市场价值进</w:t>
      </w:r>
      <w:r>
        <w:rPr>
          <w:rFonts w:hint="eastAsia" w:cs="宋体"/>
          <w:color w:val="000000" w:themeColor="text1"/>
          <w:sz w:val="24"/>
          <w:szCs w:val="24"/>
          <w14:textFill>
            <w14:solidFill>
              <w14:schemeClr w14:val="tx1"/>
            </w14:solidFill>
          </w14:textFill>
        </w:rPr>
        <w:t>行分析、估算和判定，完成了估价工作。</w:t>
      </w:r>
    </w:p>
    <w:p>
      <w:pPr>
        <w:spacing w:line="500" w:lineRule="exact"/>
        <w:ind w:firstLine="480" w:firstLineChars="200"/>
        <w:rPr>
          <w:b/>
          <w:bCs/>
          <w:color w:val="000000" w:themeColor="text1"/>
          <w:sz w:val="24"/>
          <w:szCs w:val="24"/>
          <w14:textFill>
            <w14:solidFill>
              <w14:schemeClr w14:val="tx1"/>
            </w14:solidFill>
          </w14:textFill>
        </w:rPr>
      </w:pPr>
      <w:r>
        <w:rPr>
          <w:rFonts w:hint="eastAsia" w:cs="宋体"/>
          <w:b/>
          <w:bCs/>
          <w:color w:val="000000" w:themeColor="text1"/>
          <w:sz w:val="24"/>
          <w:szCs w:val="24"/>
          <w14:textFill>
            <w14:solidFill>
              <w14:schemeClr w14:val="tx1"/>
            </w14:solidFill>
          </w14:textFill>
        </w:rPr>
        <w:t>（一）估价对象：</w:t>
      </w:r>
    </w:p>
    <w:p>
      <w:pPr>
        <w:spacing w:line="500" w:lineRule="exact"/>
        <w:ind w:firstLine="480" w:firstLineChars="200"/>
        <w:rPr>
          <w:rFonts w:cs="宋体"/>
          <w:color w:val="000000" w:themeColor="text1"/>
          <w:sz w:val="24"/>
          <w:szCs w:val="24"/>
          <w14:textFill>
            <w14:solidFill>
              <w14:schemeClr w14:val="tx1"/>
            </w14:solidFill>
          </w14:textFill>
        </w:rPr>
      </w:pPr>
      <w:r>
        <w:rPr>
          <w:rFonts w:hint="eastAsia" w:cs="宋体"/>
          <w:color w:val="000000" w:themeColor="text1"/>
          <w:sz w:val="24"/>
          <w:szCs w:val="24"/>
          <w:lang w:eastAsia="zh-CN"/>
          <w14:textFill>
            <w14:solidFill>
              <w14:schemeClr w14:val="tx1"/>
            </w14:solidFill>
          </w14:textFill>
        </w:rPr>
        <w:t>朱莉</w:t>
      </w:r>
      <w:r>
        <w:rPr>
          <w:rFonts w:hint="eastAsia" w:cs="宋体"/>
          <w:color w:val="000000" w:themeColor="text1"/>
          <w:sz w:val="24"/>
          <w:szCs w:val="24"/>
          <w14:textFill>
            <w14:solidFill>
              <w14:schemeClr w14:val="tx1"/>
            </w14:solidFill>
          </w14:textFill>
        </w:rPr>
        <w:t>所有的位于</w:t>
      </w:r>
      <w:r>
        <w:rPr>
          <w:rFonts w:hint="eastAsia" w:cs="宋体"/>
          <w:color w:val="000000" w:themeColor="text1"/>
          <w:sz w:val="24"/>
          <w:szCs w:val="24"/>
          <w:lang w:eastAsia="zh-CN"/>
          <w14:textFill>
            <w14:solidFill>
              <w14:schemeClr w14:val="tx1"/>
            </w14:solidFill>
          </w14:textFill>
        </w:rPr>
        <w:t>绵竹市剑南镇宿迁街93号蔚泉新村安居房17栋2单元3层1号</w:t>
      </w:r>
      <w:r>
        <w:rPr>
          <w:rFonts w:hint="eastAsia" w:cs="宋体"/>
          <w:color w:val="000000" w:themeColor="text1"/>
          <w:sz w:val="24"/>
          <w:szCs w:val="24"/>
          <w14:textFill>
            <w14:solidFill>
              <w14:schemeClr w14:val="tx1"/>
            </w14:solidFill>
          </w14:textFill>
        </w:rPr>
        <w:t>建筑面积</w:t>
      </w:r>
      <w:r>
        <w:rPr>
          <w:rFonts w:hint="eastAsia" w:cs="宋体"/>
          <w:color w:val="000000" w:themeColor="text1"/>
          <w:sz w:val="24"/>
          <w:szCs w:val="24"/>
          <w:lang w:eastAsia="zh-CN"/>
          <w14:textFill>
            <w14:solidFill>
              <w14:schemeClr w14:val="tx1"/>
            </w14:solidFill>
          </w14:textFill>
        </w:rPr>
        <w:t>77.6</w:t>
      </w:r>
      <w:r>
        <w:rPr>
          <w:rFonts w:hint="eastAsia" w:cs="宋体"/>
          <w:color w:val="000000" w:themeColor="text1"/>
          <w:sz w:val="24"/>
          <w:szCs w:val="24"/>
          <w:lang w:val="en-US" w:eastAsia="zh-CN"/>
          <w14:textFill>
            <w14:solidFill>
              <w14:schemeClr w14:val="tx1"/>
            </w14:solidFill>
          </w14:textFill>
        </w:rPr>
        <w:t>㎡</w:t>
      </w:r>
      <w:r>
        <w:rPr>
          <w:rFonts w:hint="eastAsia" w:cs="宋体"/>
          <w:color w:val="000000" w:themeColor="text1"/>
          <w:sz w:val="24"/>
          <w:szCs w:val="24"/>
          <w14:textFill>
            <w14:solidFill>
              <w14:schemeClr w14:val="tx1"/>
            </w14:solidFill>
          </w14:textFill>
        </w:rPr>
        <w:t>住宅用房及其范围内</w:t>
      </w:r>
      <w:r>
        <w:rPr>
          <w:rFonts w:hint="eastAsia" w:cs="宋体"/>
          <w:color w:val="000000" w:themeColor="text1"/>
          <w:sz w:val="24"/>
          <w:szCs w:val="24"/>
          <w:lang w:val="en-US" w:eastAsia="zh-CN"/>
          <w14:textFill>
            <w14:solidFill>
              <w14:schemeClr w14:val="tx1"/>
            </w14:solidFill>
          </w14:textFill>
        </w:rPr>
        <w:t>分摊</w:t>
      </w:r>
      <w:r>
        <w:rPr>
          <w:rFonts w:hint="eastAsia" w:cs="宋体"/>
          <w:color w:val="000000" w:themeColor="text1"/>
          <w:sz w:val="24"/>
          <w:szCs w:val="24"/>
          <w14:textFill>
            <w14:solidFill>
              <w14:schemeClr w14:val="tx1"/>
            </w14:solidFill>
          </w14:textFill>
        </w:rPr>
        <w:t>的</w:t>
      </w:r>
      <w:r>
        <w:rPr>
          <w:rFonts w:hint="eastAsia" w:cs="宋体"/>
          <w:color w:val="000000" w:themeColor="text1"/>
          <w:sz w:val="24"/>
          <w:szCs w:val="24"/>
          <w:lang w:val="en-US" w:eastAsia="zh-CN"/>
          <w14:textFill>
            <w14:solidFill>
              <w14:schemeClr w14:val="tx1"/>
            </w14:solidFill>
          </w14:textFill>
        </w:rPr>
        <w:t>12.29㎡划拨</w:t>
      </w:r>
      <w:r>
        <w:rPr>
          <w:rFonts w:hint="eastAsia" w:cs="宋体"/>
          <w:color w:val="000000" w:themeColor="text1"/>
          <w:sz w:val="24"/>
          <w:szCs w:val="24"/>
          <w14:textFill>
            <w14:solidFill>
              <w14:schemeClr w14:val="tx1"/>
            </w14:solidFill>
          </w14:textFill>
        </w:rPr>
        <w:t>土地使用权及</w:t>
      </w:r>
      <w:r>
        <w:rPr>
          <w:rFonts w:hint="eastAsia" w:cs="宋体"/>
          <w:color w:val="000000" w:themeColor="text1"/>
          <w:sz w:val="24"/>
          <w:szCs w:val="24"/>
          <w:lang w:val="en-US" w:eastAsia="zh-CN"/>
          <w14:textFill>
            <w14:solidFill>
              <w14:schemeClr w14:val="tx1"/>
            </w14:solidFill>
          </w14:textFill>
        </w:rPr>
        <w:t>家具家电</w:t>
      </w:r>
      <w:r>
        <w:rPr>
          <w:rFonts w:hint="eastAsia" w:cs="宋体"/>
          <w:color w:val="000000" w:themeColor="text1"/>
          <w:sz w:val="24"/>
          <w:szCs w:val="24"/>
          <w14:textFill>
            <w14:solidFill>
              <w14:schemeClr w14:val="tx1"/>
            </w14:solidFill>
          </w14:textFill>
        </w:rPr>
        <w:t>。</w:t>
      </w:r>
    </w:p>
    <w:p>
      <w:pPr>
        <w:pStyle w:val="27"/>
        <w:tabs>
          <w:tab w:val="clear" w:pos="1005"/>
        </w:tabs>
        <w:autoSpaceDE/>
        <w:autoSpaceDN/>
        <w:adjustRightInd/>
        <w:ind w:firstLine="480" w:firstLineChars="200"/>
        <w:textAlignment w:val="auto"/>
        <w:rPr>
          <w:rFonts w:cs="Times New Roman"/>
          <w:color w:val="000000" w:themeColor="text1"/>
          <w:sz w:val="24"/>
          <w:szCs w:val="24"/>
          <w14:textFill>
            <w14:solidFill>
              <w14:schemeClr w14:val="tx1"/>
            </w14:solidFill>
          </w14:textFill>
        </w:rPr>
      </w:pPr>
      <w:r>
        <w:rPr>
          <w:rFonts w:hint="eastAsia" w:ascii="Times New Roman"/>
          <w:b/>
          <w:bCs/>
          <w:color w:val="000000" w:themeColor="text1"/>
          <w:sz w:val="24"/>
          <w:szCs w:val="24"/>
          <w14:textFill>
            <w14:solidFill>
              <w14:schemeClr w14:val="tx1"/>
            </w14:solidFill>
          </w14:textFill>
        </w:rPr>
        <w:t>（二）估</w:t>
      </w:r>
      <w:r>
        <w:rPr>
          <w:rFonts w:hint="eastAsia"/>
          <w:b/>
          <w:bCs/>
          <w:color w:val="000000" w:themeColor="text1"/>
          <w:sz w:val="24"/>
          <w:szCs w:val="24"/>
          <w14:textFill>
            <w14:solidFill>
              <w14:schemeClr w14:val="tx1"/>
            </w14:solidFill>
          </w14:textFill>
        </w:rPr>
        <w:t>价目的：</w:t>
      </w:r>
      <w:r>
        <w:rPr>
          <w:rFonts w:hint="eastAsia"/>
          <w:b w:val="0"/>
          <w:bCs w:val="0"/>
          <w:color w:val="000000" w:themeColor="text1"/>
          <w:sz w:val="24"/>
          <w:szCs w:val="24"/>
          <w:lang w:val="en-US" w:eastAsia="zh-CN"/>
          <w14:textFill>
            <w14:solidFill>
              <w14:schemeClr w14:val="tx1"/>
            </w14:solidFill>
          </w14:textFill>
        </w:rPr>
        <w:t>为司法拍卖（变卖）提供房地产市场价值参考依据</w:t>
      </w:r>
      <w:r>
        <w:rPr>
          <w:rFonts w:hint="eastAsia"/>
          <w:color w:val="000000" w:themeColor="text1"/>
          <w:sz w:val="24"/>
          <w:szCs w:val="24"/>
          <w14:textFill>
            <w14:solidFill>
              <w14:schemeClr w14:val="tx1"/>
            </w14:solidFill>
          </w14:textFill>
        </w:rPr>
        <w:t>。</w:t>
      </w:r>
    </w:p>
    <w:p>
      <w:pPr>
        <w:spacing w:line="500" w:lineRule="exact"/>
        <w:ind w:firstLine="480" w:firstLineChars="200"/>
        <w:rPr>
          <w:rFonts w:hint="eastAsia" w:eastAsia="宋体"/>
          <w:color w:val="000000" w:themeColor="text1"/>
          <w:sz w:val="24"/>
          <w:szCs w:val="24"/>
          <w:lang w:eastAsia="zh-CN"/>
          <w14:textFill>
            <w14:solidFill>
              <w14:schemeClr w14:val="tx1"/>
            </w14:solidFill>
          </w14:textFill>
        </w:rPr>
      </w:pPr>
      <w:r>
        <w:rPr>
          <w:rFonts w:hint="eastAsia" w:cs="宋体"/>
          <w:b/>
          <w:bCs/>
          <w:color w:val="000000" w:themeColor="text1"/>
          <w:sz w:val="24"/>
          <w:szCs w:val="24"/>
          <w14:textFill>
            <w14:solidFill>
              <w14:schemeClr w14:val="tx1"/>
            </w14:solidFill>
          </w14:textFill>
        </w:rPr>
        <w:t>（三）价值时点：</w:t>
      </w:r>
      <w:r>
        <w:rPr>
          <w:rFonts w:hint="eastAsia"/>
          <w:color w:val="000000" w:themeColor="text1"/>
          <w:sz w:val="24"/>
          <w:szCs w:val="24"/>
          <w:lang w:eastAsia="zh-CN"/>
          <w14:textFill>
            <w14:solidFill>
              <w14:schemeClr w14:val="tx1"/>
            </w14:solidFill>
          </w14:textFill>
        </w:rPr>
        <w:t>2021年4月1日</w:t>
      </w:r>
    </w:p>
    <w:p>
      <w:pPr>
        <w:spacing w:line="500" w:lineRule="exact"/>
        <w:ind w:firstLine="480" w:firstLineChars="200"/>
        <w:rPr>
          <w:color w:val="000000" w:themeColor="text1"/>
          <w:sz w:val="24"/>
          <w:szCs w:val="24"/>
          <w14:textFill>
            <w14:solidFill>
              <w14:schemeClr w14:val="tx1"/>
            </w14:solidFill>
          </w14:textFill>
        </w:rPr>
      </w:pPr>
      <w:r>
        <w:rPr>
          <w:rFonts w:hint="eastAsia" w:cs="宋体"/>
          <w:b/>
          <w:bCs/>
          <w:color w:val="000000" w:themeColor="text1"/>
          <w:sz w:val="24"/>
          <w:szCs w:val="24"/>
          <w14:textFill>
            <w14:solidFill>
              <w14:schemeClr w14:val="tx1"/>
            </w14:solidFill>
          </w14:textFill>
        </w:rPr>
        <w:t>（四）价值类型：</w:t>
      </w:r>
      <w:r>
        <w:rPr>
          <w:rFonts w:hint="eastAsia" w:cs="宋体"/>
          <w:color w:val="000000" w:themeColor="text1"/>
          <w:sz w:val="24"/>
          <w:szCs w:val="24"/>
          <w14:textFill>
            <w14:solidFill>
              <w14:schemeClr w14:val="tx1"/>
            </w14:solidFill>
          </w14:textFill>
        </w:rPr>
        <w:t>市场价值</w:t>
      </w:r>
    </w:p>
    <w:p>
      <w:pPr>
        <w:spacing w:line="500" w:lineRule="exact"/>
        <w:ind w:firstLine="480" w:firstLineChars="200"/>
        <w:rPr>
          <w:bCs/>
          <w:color w:val="000000" w:themeColor="text1"/>
          <w:sz w:val="24"/>
          <w:szCs w:val="24"/>
          <w14:textFill>
            <w14:solidFill>
              <w14:schemeClr w14:val="tx1"/>
            </w14:solidFill>
          </w14:textFill>
        </w:rPr>
      </w:pPr>
      <w:r>
        <w:rPr>
          <w:rFonts w:hint="eastAsia" w:cs="宋体"/>
          <w:b/>
          <w:bCs/>
          <w:color w:val="000000" w:themeColor="text1"/>
          <w:sz w:val="24"/>
          <w:szCs w:val="24"/>
          <w14:textFill>
            <w14:solidFill>
              <w14:schemeClr w14:val="tx1"/>
            </w14:solidFill>
          </w14:textFill>
        </w:rPr>
        <w:t>（五）估价方法：</w:t>
      </w:r>
      <w:r>
        <w:rPr>
          <w:rFonts w:hint="eastAsia" w:cs="宋体"/>
          <w:color w:val="000000" w:themeColor="text1"/>
          <w:sz w:val="24"/>
          <w:szCs w:val="24"/>
          <w14:textFill>
            <w14:solidFill>
              <w14:schemeClr w14:val="tx1"/>
            </w14:solidFill>
          </w14:textFill>
        </w:rPr>
        <w:t>比较法</w:t>
      </w:r>
    </w:p>
    <w:p>
      <w:pPr>
        <w:pStyle w:val="19"/>
        <w:autoSpaceDE/>
        <w:autoSpaceDN/>
        <w:adjustRightInd/>
        <w:spacing w:line="500" w:lineRule="exact"/>
        <w:ind w:firstLine="480" w:firstLineChars="200"/>
        <w:textAlignment w:val="auto"/>
        <w:rPr>
          <w:rFonts w:hAnsi="宋体"/>
          <w:color w:val="000000" w:themeColor="text1"/>
          <w:sz w:val="24"/>
          <w:szCs w:val="24"/>
          <w14:textFill>
            <w14:solidFill>
              <w14:schemeClr w14:val="tx1"/>
            </w14:solidFill>
          </w14:textFill>
        </w:rPr>
      </w:pPr>
      <w:r>
        <w:rPr>
          <w:rFonts w:hint="eastAsia" w:cs="宋体"/>
          <w:b/>
          <w:bCs/>
          <w:color w:val="000000" w:themeColor="text1"/>
          <w:sz w:val="24"/>
          <w:szCs w:val="24"/>
          <w14:textFill>
            <w14:solidFill>
              <w14:schemeClr w14:val="tx1"/>
            </w14:solidFill>
          </w14:textFill>
        </w:rPr>
        <w:t>（六）估价结果：</w:t>
      </w:r>
      <w:r>
        <w:rPr>
          <w:rFonts w:hint="eastAsia" w:cs="宋体"/>
          <w:color w:val="000000" w:themeColor="text1"/>
          <w:sz w:val="24"/>
          <w:szCs w:val="24"/>
          <w14:textFill>
            <w14:solidFill>
              <w14:schemeClr w14:val="tx1"/>
            </w14:solidFill>
          </w14:textFill>
        </w:rPr>
        <w:t xml:space="preserve">估价对象在价值时点并满足本报告所述价值定义及 </w:t>
      </w:r>
      <w:r>
        <w:rPr>
          <w:color w:val="000000" w:themeColor="text1"/>
          <w:sz w:val="24"/>
          <w:szCs w:val="24"/>
          <w14:textFill>
            <w14:solidFill>
              <w14:schemeClr w14:val="tx1"/>
            </w14:solidFill>
          </w14:textFill>
        </w:rPr>
        <w:t>“</w:t>
      </w:r>
      <w:r>
        <w:rPr>
          <w:rFonts w:hint="eastAsia" w:cs="宋体"/>
          <w:color w:val="000000" w:themeColor="text1"/>
          <w:sz w:val="24"/>
          <w:szCs w:val="24"/>
          <w14:textFill>
            <w14:solidFill>
              <w14:schemeClr w14:val="tx1"/>
            </w14:solidFill>
          </w14:textFill>
        </w:rPr>
        <w:t>估</w:t>
      </w:r>
      <w:r>
        <w:rPr>
          <w:rFonts w:hint="eastAsia" w:hAnsi="宋体" w:cs="宋体"/>
          <w:color w:val="000000" w:themeColor="text1"/>
          <w:sz w:val="24"/>
          <w:szCs w:val="24"/>
          <w14:textFill>
            <w14:solidFill>
              <w14:schemeClr w14:val="tx1"/>
            </w14:solidFill>
          </w14:textFill>
        </w:rPr>
        <w:t>价假设和限制条件</w:t>
      </w:r>
      <w:r>
        <w:rPr>
          <w:color w:val="000000" w:themeColor="text1"/>
          <w:sz w:val="24"/>
          <w:szCs w:val="24"/>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的市场价值为：</w:t>
      </w:r>
    </w:p>
    <w:p>
      <w:pPr>
        <w:pStyle w:val="19"/>
        <w:autoSpaceDE/>
        <w:autoSpaceDN/>
        <w:adjustRightInd/>
        <w:spacing w:line="500" w:lineRule="exact"/>
        <w:ind w:firstLine="484" w:firstLineChars="202"/>
        <w:textAlignment w:val="auto"/>
        <w:rPr>
          <w:color w:val="000000" w:themeColor="text1"/>
          <w:sz w:val="24"/>
          <w:szCs w:val="24"/>
          <w:highlight w:val="none"/>
          <w14:textFill>
            <w14:solidFill>
              <w14:schemeClr w14:val="tx1"/>
            </w14:solidFill>
          </w14:textFill>
        </w:rPr>
      </w:pPr>
      <w:bookmarkStart w:id="11" w:name="_Hlk522202405"/>
      <w:r>
        <w:rPr>
          <w:rFonts w:hint="eastAsia"/>
          <w:color w:val="000000" w:themeColor="text1"/>
          <w:sz w:val="24"/>
          <w:szCs w:val="24"/>
          <w:highlight w:val="none"/>
          <w14:textFill>
            <w14:solidFill>
              <w14:schemeClr w14:val="tx1"/>
            </w14:solidFill>
          </w14:textFill>
        </w:rPr>
        <w:t>评估总价：人民币（小写）</w:t>
      </w:r>
      <w:r>
        <w:rPr>
          <w:rFonts w:hint="eastAsia"/>
          <w:color w:val="000000" w:themeColor="text1"/>
          <w:sz w:val="24"/>
          <w:szCs w:val="24"/>
          <w:highlight w:val="none"/>
          <w:lang w:eastAsia="zh-CN"/>
          <w14:textFill>
            <w14:solidFill>
              <w14:schemeClr w14:val="tx1"/>
            </w14:solidFill>
          </w14:textFill>
        </w:rPr>
        <w:t>29.29</w:t>
      </w:r>
      <w:r>
        <w:rPr>
          <w:rFonts w:hint="eastAsia"/>
          <w:color w:val="000000" w:themeColor="text1"/>
          <w:sz w:val="24"/>
          <w:szCs w:val="24"/>
          <w:highlight w:val="none"/>
          <w14:textFill>
            <w14:solidFill>
              <w14:schemeClr w14:val="tx1"/>
            </w14:solidFill>
          </w14:textFill>
        </w:rPr>
        <w:t>万元（四舍五入至佰位）；</w:t>
      </w:r>
    </w:p>
    <w:p>
      <w:pPr>
        <w:pStyle w:val="19"/>
        <w:autoSpaceDE/>
        <w:autoSpaceDN/>
        <w:adjustRightInd/>
        <w:spacing w:line="500" w:lineRule="exact"/>
        <w:ind w:firstLine="1684" w:firstLineChars="702"/>
        <w:textAlignment w:val="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人民币（大写）</w:t>
      </w:r>
      <w:r>
        <w:rPr>
          <w:rFonts w:hint="eastAsia"/>
          <w:color w:val="000000" w:themeColor="text1"/>
          <w:sz w:val="24"/>
          <w:szCs w:val="24"/>
          <w:highlight w:val="none"/>
          <w:lang w:eastAsia="zh-CN"/>
          <w14:textFill>
            <w14:solidFill>
              <w14:schemeClr w14:val="tx1"/>
            </w14:solidFill>
          </w14:textFill>
        </w:rPr>
        <w:t>贰拾玖万贰仟玖佰</w:t>
      </w:r>
      <w:r>
        <w:rPr>
          <w:rFonts w:hint="eastAsia"/>
          <w:color w:val="000000" w:themeColor="text1"/>
          <w:sz w:val="24"/>
          <w:szCs w:val="24"/>
          <w:highlight w:val="none"/>
          <w14:textFill>
            <w14:solidFill>
              <w14:schemeClr w14:val="tx1"/>
            </w14:solidFill>
          </w14:textFill>
        </w:rPr>
        <w:t>元整。</w:t>
      </w:r>
    </w:p>
    <w:p>
      <w:pPr>
        <w:pStyle w:val="19"/>
        <w:autoSpaceDE/>
        <w:autoSpaceDN/>
        <w:adjustRightInd/>
        <w:spacing w:line="480" w:lineRule="auto"/>
        <w:ind w:firstLine="565" w:firstLineChars="202"/>
        <w:jc w:val="center"/>
        <w:textAlignment w:val="auto"/>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估价结果汇总表</w:t>
      </w:r>
    </w:p>
    <w:bookmarkEnd w:id="11"/>
    <w:tbl>
      <w:tblPr>
        <w:tblStyle w:val="34"/>
        <w:tblW w:w="4146"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657"/>
        <w:gridCol w:w="2940"/>
        <w:gridCol w:w="1606"/>
        <w:gridCol w:w="1606"/>
      </w:tblGrid>
      <w:tr>
        <w:tblPrEx>
          <w:tblCellMar>
            <w:top w:w="0" w:type="dxa"/>
            <w:left w:w="108" w:type="dxa"/>
            <w:bottom w:w="0" w:type="dxa"/>
            <w:right w:w="108" w:type="dxa"/>
          </w:tblCellMar>
        </w:tblPrEx>
        <w:trPr>
          <w:trHeight w:val="775" w:hRule="atLeast"/>
          <w:jc w:val="center"/>
        </w:trPr>
        <w:tc>
          <w:tcPr>
            <w:tcW w:w="2943" w:type="pct"/>
            <w:gridSpan w:val="2"/>
            <w:tcBorders>
              <w:top w:val="single" w:color="auto" w:sz="12" w:space="0"/>
              <w:bottom w:val="single" w:color="auto" w:sz="6" w:space="0"/>
              <w:tl2br w:val="single" w:color="auto" w:sz="8" w:space="0"/>
            </w:tcBorders>
            <w:vAlign w:val="center"/>
          </w:tcPr>
          <w:p>
            <w:pPr>
              <w:ind w:left="3600" w:hanging="3600" w:hangingChars="2000"/>
              <w:jc w:val="left"/>
              <w:rPr>
                <w:rFonts w:ascii="宋体" w:hAns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                   </w:t>
            </w: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估价对象</w:t>
            </w:r>
          </w:p>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相关结果</w:t>
            </w:r>
          </w:p>
        </w:tc>
        <w:tc>
          <w:tcPr>
            <w:tcW w:w="1028" w:type="pct"/>
            <w:vAlign w:val="center"/>
          </w:tcPr>
          <w:p>
            <w:pPr>
              <w:jc w:val="cente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住宅用房</w:t>
            </w:r>
          </w:p>
        </w:tc>
        <w:tc>
          <w:tcPr>
            <w:tcW w:w="1028"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室内财产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61" w:type="pct"/>
            <w:vMerge w:val="restart"/>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评估价值</w:t>
            </w:r>
          </w:p>
        </w:tc>
        <w:tc>
          <w:tcPr>
            <w:tcW w:w="1881"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单价（元</w:t>
            </w:r>
            <w:r>
              <w:rPr>
                <w:rFonts w:ascii="宋体" w:hAnsi="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w:t>
            </w:r>
          </w:p>
        </w:tc>
        <w:tc>
          <w:tcPr>
            <w:tcW w:w="1028" w:type="pct"/>
            <w:vAlign w:val="center"/>
          </w:tcPr>
          <w:p>
            <w:pPr>
              <w:jc w:val="cente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3735</w:t>
            </w:r>
          </w:p>
        </w:tc>
        <w:tc>
          <w:tcPr>
            <w:tcW w:w="1028"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61" w:type="pct"/>
            <w:vMerge w:val="continue"/>
            <w:vAlign w:val="center"/>
          </w:tcPr>
          <w:p>
            <w:pPr>
              <w:rPr>
                <w:rFonts w:ascii="宋体" w:hAnsi="宋体"/>
                <w:color w:val="000000" w:themeColor="text1"/>
                <w:sz w:val="18"/>
                <w:szCs w:val="18"/>
                <w14:textFill>
                  <w14:solidFill>
                    <w14:schemeClr w14:val="tx1"/>
                  </w14:solidFill>
                </w14:textFill>
              </w:rPr>
            </w:pPr>
          </w:p>
        </w:tc>
        <w:tc>
          <w:tcPr>
            <w:tcW w:w="1881"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总价（万元）</w:t>
            </w:r>
          </w:p>
        </w:tc>
        <w:tc>
          <w:tcPr>
            <w:tcW w:w="1028" w:type="pct"/>
            <w:vAlign w:val="center"/>
          </w:tcPr>
          <w:p>
            <w:pPr>
              <w:jc w:val="cente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28.98</w:t>
            </w:r>
          </w:p>
        </w:tc>
        <w:tc>
          <w:tcPr>
            <w:tcW w:w="1028" w:type="pct"/>
            <w:vAlign w:val="center"/>
          </w:tcPr>
          <w:p>
            <w:pPr>
              <w:jc w:val="cente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lang w:val="en-US" w:eastAsia="zh-CN"/>
                <w14:textFill>
                  <w14:solidFill>
                    <w14:schemeClr w14:val="tx1"/>
                  </w14:solidFill>
                </w14:textFill>
              </w:rPr>
              <w:t>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61" w:type="pct"/>
            <w:vMerge w:val="continue"/>
            <w:vAlign w:val="center"/>
          </w:tcPr>
          <w:p>
            <w:pPr>
              <w:rPr>
                <w:rFonts w:ascii="宋体" w:hAnsi="宋体"/>
                <w:color w:val="000000" w:themeColor="text1"/>
                <w:sz w:val="18"/>
                <w:szCs w:val="18"/>
                <w14:textFill>
                  <w14:solidFill>
                    <w14:schemeClr w14:val="tx1"/>
                  </w14:solidFill>
                </w14:textFill>
              </w:rPr>
            </w:pPr>
          </w:p>
        </w:tc>
        <w:tc>
          <w:tcPr>
            <w:tcW w:w="1881" w:type="pct"/>
            <w:vAlign w:val="center"/>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综合总价（万元）</w:t>
            </w:r>
          </w:p>
        </w:tc>
        <w:tc>
          <w:tcPr>
            <w:tcW w:w="2056" w:type="pct"/>
            <w:gridSpan w:val="2"/>
            <w:vAlign w:val="center"/>
          </w:tcPr>
          <w:p>
            <w:pPr>
              <w:jc w:val="cente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29.29</w:t>
            </w:r>
          </w:p>
        </w:tc>
      </w:tr>
    </w:tbl>
    <w:p>
      <w:pPr>
        <w:pStyle w:val="19"/>
        <w:autoSpaceDE/>
        <w:autoSpaceDN/>
        <w:adjustRightInd/>
        <w:spacing w:line="360" w:lineRule="auto"/>
        <w:ind w:firstLine="484" w:firstLineChars="202"/>
        <w:jc w:val="left"/>
        <w:textAlignment w:val="auto"/>
        <w:rPr>
          <w:rFonts w:cs="宋体"/>
          <w:b/>
          <w:bCs/>
          <w:color w:val="000000" w:themeColor="text1"/>
          <w:sz w:val="24"/>
          <w:szCs w:val="24"/>
          <w14:textFill>
            <w14:solidFill>
              <w14:schemeClr w14:val="tx1"/>
            </w14:solidFill>
          </w14:textFill>
        </w:rPr>
      </w:pPr>
      <w:r>
        <w:rPr>
          <w:rFonts w:hint="eastAsia" w:cs="宋体"/>
          <w:b/>
          <w:bCs/>
          <w:color w:val="000000" w:themeColor="text1"/>
          <w:sz w:val="24"/>
          <w:szCs w:val="24"/>
          <w14:textFill>
            <w14:solidFill>
              <w14:schemeClr w14:val="tx1"/>
            </w14:solidFill>
          </w14:textFill>
        </w:rPr>
        <w:t>（七）特别事项提醒：</w:t>
      </w:r>
    </w:p>
    <w:p>
      <w:pPr>
        <w:autoSpaceDE w:val="0"/>
        <w:autoSpaceDN w:val="0"/>
        <w:adjustRightInd w:val="0"/>
        <w:spacing w:line="360" w:lineRule="auto"/>
        <w:ind w:firstLine="480" w:firstLineChars="200"/>
        <w:rPr>
          <w:rFonts w:hint="eastAsia"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（1）报告使用人在使用本估价报告之前须对报告全文，特别是“估价假设和限制条件”认真阅读，以免使用不当，造成损失。</w:t>
      </w:r>
    </w:p>
    <w:p>
      <w:pPr>
        <w:pStyle w:val="19"/>
        <w:autoSpaceDE/>
        <w:autoSpaceDN/>
        <w:adjustRightInd/>
        <w:spacing w:line="360" w:lineRule="auto"/>
        <w:ind w:firstLine="480" w:firstLineChars="200"/>
        <w:textAlignment w:val="auto"/>
        <w:rPr>
          <w:bCs/>
          <w:sz w:val="24"/>
          <w:szCs w:val="24"/>
        </w:rPr>
      </w:pPr>
      <w:r>
        <w:rPr>
          <w:rFonts w:hint="eastAsia" w:cs="宋体"/>
          <w:color w:val="000000" w:themeColor="text1"/>
          <w:sz w:val="24"/>
          <w:szCs w:val="24"/>
          <w14:textFill>
            <w14:solidFill>
              <w14:schemeClr w14:val="tx1"/>
            </w14:solidFill>
          </w14:textFill>
        </w:rPr>
        <w:t>（2）</w:t>
      </w:r>
      <w:r>
        <w:rPr>
          <w:rFonts w:hint="eastAsia"/>
          <w:bCs/>
          <w:sz w:val="24"/>
          <w:szCs w:val="24"/>
        </w:rPr>
        <w:t>本报告仅供估价委托人和本估价项目涉及的相关当事方以及国家法律、法规规定的其他评估报告使用者使用。</w:t>
      </w:r>
    </w:p>
    <w:p>
      <w:pPr>
        <w:autoSpaceDE w:val="0"/>
        <w:autoSpaceDN w:val="0"/>
        <w:adjustRightInd w:val="0"/>
        <w:spacing w:line="360" w:lineRule="auto"/>
        <w:ind w:firstLine="480" w:firstLineChars="200"/>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w:t>
      </w:r>
      <w:r>
        <w:rPr>
          <w:rFonts w:hint="eastAsia" w:cs="宋体"/>
          <w:color w:val="000000" w:themeColor="text1"/>
          <w:sz w:val="24"/>
          <w:szCs w:val="24"/>
          <w:lang w:val="en-US" w:eastAsia="zh-CN"/>
          <w14:textFill>
            <w14:solidFill>
              <w14:schemeClr w14:val="tx1"/>
            </w14:solidFill>
          </w14:textFill>
        </w:rPr>
        <w:t>3</w:t>
      </w:r>
      <w:r>
        <w:rPr>
          <w:rFonts w:hint="eastAsia" w:cs="宋体"/>
          <w:color w:val="000000" w:themeColor="text1"/>
          <w:sz w:val="24"/>
          <w:szCs w:val="24"/>
          <w14:textFill>
            <w14:solidFill>
              <w14:schemeClr w14:val="tx1"/>
            </w14:solidFill>
          </w14:textFill>
        </w:rPr>
        <w:t>）</w:t>
      </w:r>
      <w:bookmarkStart w:id="12" w:name="_Hlk32848761"/>
      <w:r>
        <w:rPr>
          <w:rFonts w:hint="eastAsia"/>
          <w:color w:val="000000"/>
          <w:sz w:val="24"/>
          <w:szCs w:val="24"/>
          <w:lang w:val="zh-CN"/>
        </w:rPr>
        <w:t>本次估价，估价委托人未提供估价对象《房屋所有权证》、《国有土地使用权证》原件，</w:t>
      </w:r>
      <w:r>
        <w:rPr>
          <w:rFonts w:hint="eastAsia"/>
          <w:color w:val="000000"/>
          <w:sz w:val="24"/>
          <w:szCs w:val="24"/>
          <w:lang w:val="en-US" w:eastAsia="zh-CN"/>
        </w:rPr>
        <w:t>法院提供了其复印件</w:t>
      </w:r>
      <w:r>
        <w:rPr>
          <w:rFonts w:hint="eastAsia"/>
          <w:color w:val="000000"/>
          <w:sz w:val="24"/>
          <w:szCs w:val="24"/>
          <w:lang w:val="zh-CN"/>
        </w:rPr>
        <w:t>，本次估价假定</w:t>
      </w:r>
      <w:r>
        <w:rPr>
          <w:rFonts w:hint="eastAsia"/>
          <w:color w:val="000000"/>
          <w:sz w:val="24"/>
          <w:szCs w:val="24"/>
          <w:lang w:val="en-US" w:eastAsia="zh-CN"/>
        </w:rPr>
        <w:t>拍取的</w:t>
      </w:r>
      <w:r>
        <w:rPr>
          <w:rFonts w:hint="eastAsia"/>
          <w:color w:val="000000"/>
          <w:sz w:val="24"/>
          <w:szCs w:val="24"/>
          <w:lang w:val="zh-CN"/>
        </w:rPr>
        <w:t>估价对象《房屋所有权证》、《国有土地使用权证》</w:t>
      </w:r>
      <w:r>
        <w:rPr>
          <w:rFonts w:hint="eastAsia"/>
          <w:color w:val="000000"/>
          <w:sz w:val="24"/>
          <w:szCs w:val="24"/>
          <w:lang w:val="en-US" w:eastAsia="zh-CN"/>
        </w:rPr>
        <w:t>复印件</w:t>
      </w:r>
      <w:r>
        <w:rPr>
          <w:rFonts w:hint="eastAsia"/>
          <w:color w:val="000000"/>
          <w:sz w:val="24"/>
          <w:szCs w:val="24"/>
          <w:lang w:val="zh-CN"/>
        </w:rPr>
        <w:t>与原件</w:t>
      </w:r>
      <w:r>
        <w:rPr>
          <w:rFonts w:hint="eastAsia"/>
          <w:color w:val="000000"/>
          <w:sz w:val="24"/>
          <w:szCs w:val="24"/>
          <w:lang w:val="en-US" w:eastAsia="zh-CN"/>
        </w:rPr>
        <w:t>和《不动产登记信息查询结果单》</w:t>
      </w:r>
      <w:r>
        <w:rPr>
          <w:rFonts w:hint="eastAsia"/>
          <w:color w:val="000000"/>
          <w:sz w:val="24"/>
          <w:szCs w:val="24"/>
          <w:lang w:val="zh-CN"/>
        </w:rPr>
        <w:t>一致，请本报告使用人注意</w:t>
      </w:r>
      <w:bookmarkEnd w:id="12"/>
      <w:r>
        <w:rPr>
          <w:rFonts w:hint="eastAsia" w:cs="宋体"/>
          <w:color w:val="000000" w:themeColor="text1"/>
          <w:sz w:val="24"/>
          <w:szCs w:val="24"/>
          <w14:textFill>
            <w14:solidFill>
              <w14:schemeClr w14:val="tx1"/>
            </w14:solidFill>
          </w14:textFill>
        </w:rPr>
        <w:t>。</w:t>
      </w:r>
    </w:p>
    <w:p>
      <w:pPr>
        <w:autoSpaceDE w:val="0"/>
        <w:autoSpaceDN w:val="0"/>
        <w:adjustRightInd w:val="0"/>
        <w:spacing w:line="360" w:lineRule="auto"/>
        <w:ind w:firstLine="480" w:firstLineChars="200"/>
        <w:rPr>
          <w:rFonts w:hint="eastAsia"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w:t>
      </w:r>
      <w:r>
        <w:rPr>
          <w:rFonts w:hint="eastAsia" w:cs="宋体"/>
          <w:color w:val="000000" w:themeColor="text1"/>
          <w:sz w:val="24"/>
          <w:szCs w:val="24"/>
          <w:lang w:val="en-US" w:eastAsia="zh-CN"/>
          <w14:textFill>
            <w14:solidFill>
              <w14:schemeClr w14:val="tx1"/>
            </w14:solidFill>
          </w14:textFill>
        </w:rPr>
        <w:t>4</w:t>
      </w:r>
      <w:r>
        <w:rPr>
          <w:rFonts w:hint="eastAsia" w:cs="宋体"/>
          <w:color w:val="000000" w:themeColor="text1"/>
          <w:sz w:val="24"/>
          <w:szCs w:val="24"/>
          <w14:textFill>
            <w14:solidFill>
              <w14:schemeClr w14:val="tx1"/>
            </w14:solidFill>
          </w14:textFill>
        </w:rPr>
        <w:t>）本次估价，估价委托人提供的</w:t>
      </w:r>
      <w:r>
        <w:rPr>
          <w:rFonts w:hint="eastAsia" w:cs="宋体"/>
          <w:color w:val="000000" w:themeColor="text1"/>
          <w:sz w:val="24"/>
          <w:szCs w:val="24"/>
          <w:lang w:eastAsia="zh-CN"/>
          <w14:textFill>
            <w14:solidFill>
              <w14:schemeClr w14:val="tx1"/>
            </w14:solidFill>
          </w14:textFill>
        </w:rPr>
        <w:t>《绵竹市人民法院司法评估委托书》（2021）川0683执恢26号</w:t>
      </w:r>
      <w:r>
        <w:rPr>
          <w:rFonts w:hint="eastAsia" w:cs="宋体"/>
          <w:color w:val="000000" w:themeColor="text1"/>
          <w:sz w:val="24"/>
          <w:szCs w:val="24"/>
          <w14:textFill>
            <w14:solidFill>
              <w14:schemeClr w14:val="tx1"/>
            </w14:solidFill>
          </w14:textFill>
        </w:rPr>
        <w:t>，</w:t>
      </w:r>
      <w:r>
        <w:rPr>
          <w:rFonts w:hint="eastAsia" w:cs="宋体"/>
          <w:color w:val="000000" w:themeColor="text1"/>
          <w:sz w:val="24"/>
          <w:szCs w:val="24"/>
          <w:lang w:val="en-US" w:eastAsia="zh-CN"/>
          <w14:textFill>
            <w14:solidFill>
              <w14:schemeClr w14:val="tx1"/>
            </w14:solidFill>
          </w14:textFill>
        </w:rPr>
        <w:t>本次需评估的财产为被执行人名下的住宅用房一套及家具家电。</w:t>
      </w:r>
    </w:p>
    <w:p>
      <w:pPr>
        <w:pStyle w:val="19"/>
        <w:autoSpaceDE/>
        <w:autoSpaceDN/>
        <w:adjustRightInd/>
        <w:spacing w:line="360" w:lineRule="auto"/>
        <w:ind w:firstLine="480" w:firstLineChars="200"/>
        <w:textAlignment w:val="auto"/>
        <w:rPr>
          <w:bCs/>
          <w:sz w:val="24"/>
          <w:szCs w:val="24"/>
        </w:rPr>
      </w:pPr>
      <w:r>
        <w:rPr>
          <w:rFonts w:hint="eastAsia" w:cs="宋体"/>
          <w:color w:val="000000" w:themeColor="text1"/>
          <w:sz w:val="24"/>
          <w:szCs w:val="24"/>
          <w14:textFill>
            <w14:solidFill>
              <w14:schemeClr w14:val="tx1"/>
            </w14:solidFill>
          </w14:textFill>
        </w:rPr>
        <w:t>（</w:t>
      </w:r>
      <w:r>
        <w:rPr>
          <w:rFonts w:cs="宋体"/>
          <w:color w:val="000000" w:themeColor="text1"/>
          <w:sz w:val="24"/>
          <w:szCs w:val="24"/>
          <w14:textFill>
            <w14:solidFill>
              <w14:schemeClr w14:val="tx1"/>
            </w14:solidFill>
          </w14:textFill>
        </w:rPr>
        <w:t>5</w:t>
      </w:r>
      <w:r>
        <w:rPr>
          <w:rFonts w:hint="eastAsia" w:cs="宋体"/>
          <w:color w:val="000000" w:themeColor="text1"/>
          <w:sz w:val="24"/>
          <w:szCs w:val="24"/>
          <w14:textFill>
            <w14:solidFill>
              <w14:schemeClr w14:val="tx1"/>
            </w14:solidFill>
          </w14:textFill>
        </w:rPr>
        <w:t>）</w:t>
      </w:r>
      <w:r>
        <w:rPr>
          <w:rFonts w:hint="eastAsia"/>
          <w:bCs/>
          <w:sz w:val="24"/>
          <w:szCs w:val="24"/>
        </w:rPr>
        <w:t>本次</w:t>
      </w:r>
      <w:r>
        <w:rPr>
          <w:rFonts w:hint="eastAsia"/>
          <w:color w:val="000000"/>
          <w:sz w:val="24"/>
          <w:szCs w:val="24"/>
          <w:lang w:val="zh-CN"/>
        </w:rPr>
        <w:t>估价</w:t>
      </w:r>
      <w:r>
        <w:rPr>
          <w:rFonts w:hint="eastAsia"/>
          <w:bCs/>
          <w:sz w:val="24"/>
          <w:szCs w:val="24"/>
        </w:rPr>
        <w:t>的结果是建立在价值时点的市场价值，因房地产市场</w:t>
      </w:r>
      <w:r>
        <w:rPr>
          <w:rFonts w:hint="eastAsia"/>
          <w:bCs/>
          <w:sz w:val="24"/>
          <w:szCs w:val="24"/>
          <w:lang w:val="en-US" w:eastAsia="zh-CN"/>
        </w:rPr>
        <w:t>价格</w:t>
      </w:r>
      <w:r>
        <w:rPr>
          <w:rFonts w:hint="eastAsia"/>
          <w:bCs/>
          <w:sz w:val="24"/>
          <w:szCs w:val="24"/>
        </w:rPr>
        <w:t>总体变化趋势较大，我们只对估价对象于价值时点的价值负责，不对估价对象于非价值时点的价值发表意见，提请报告使用者注意。</w:t>
      </w:r>
    </w:p>
    <w:p>
      <w:pPr>
        <w:pStyle w:val="19"/>
        <w:autoSpaceDE/>
        <w:autoSpaceDN/>
        <w:adjustRightInd/>
        <w:spacing w:line="360" w:lineRule="auto"/>
        <w:ind w:firstLine="480" w:firstLineChars="200"/>
        <w:textAlignment w:val="auto"/>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w:t>
      </w:r>
      <w:r>
        <w:rPr>
          <w:rFonts w:hint="eastAsia" w:cs="宋体"/>
          <w:color w:val="000000" w:themeColor="text1"/>
          <w:sz w:val="24"/>
          <w:szCs w:val="24"/>
          <w:lang w:val="en-US" w:eastAsia="zh-CN"/>
          <w14:textFill>
            <w14:solidFill>
              <w14:schemeClr w14:val="tx1"/>
            </w14:solidFill>
          </w14:textFill>
        </w:rPr>
        <w:t>6</w:t>
      </w:r>
      <w:r>
        <w:rPr>
          <w:rFonts w:hint="eastAsia" w:cs="宋体"/>
          <w:color w:val="000000" w:themeColor="text1"/>
          <w:sz w:val="24"/>
          <w:szCs w:val="24"/>
          <w14:textFill>
            <w14:solidFill>
              <w14:schemeClr w14:val="tx1"/>
            </w14:solidFill>
          </w14:textFill>
        </w:rPr>
        <w:t>）本估价报告使用期限为壹年，自估价报告出具之日</w:t>
      </w:r>
      <w:r>
        <w:rPr>
          <w:rFonts w:hint="eastAsia" w:cs="宋体"/>
          <w:color w:val="000000" w:themeColor="text1"/>
          <w:sz w:val="24"/>
          <w:szCs w:val="24"/>
          <w:lang w:eastAsia="zh-CN"/>
          <w14:textFill>
            <w14:solidFill>
              <w14:schemeClr w14:val="tx1"/>
            </w14:solidFill>
          </w14:textFill>
        </w:rPr>
        <w:t>2021年4月26日</w:t>
      </w:r>
      <w:r>
        <w:rPr>
          <w:rFonts w:hint="eastAsia" w:cs="宋体"/>
          <w:color w:val="000000" w:themeColor="text1"/>
          <w:sz w:val="24"/>
          <w:szCs w:val="24"/>
          <w14:textFill>
            <w14:solidFill>
              <w14:schemeClr w14:val="tx1"/>
            </w14:solidFill>
          </w14:textFill>
        </w:rPr>
        <w:t>至</w:t>
      </w:r>
      <w:r>
        <w:rPr>
          <w:rFonts w:hint="eastAsia" w:cs="宋体"/>
          <w:color w:val="000000" w:themeColor="text1"/>
          <w:sz w:val="24"/>
          <w:szCs w:val="24"/>
          <w:lang w:eastAsia="zh-CN"/>
          <w14:textFill>
            <w14:solidFill>
              <w14:schemeClr w14:val="tx1"/>
            </w14:solidFill>
          </w14:textFill>
        </w:rPr>
        <w:t>2022年4月25日</w:t>
      </w:r>
      <w:r>
        <w:rPr>
          <w:rFonts w:hint="eastAsia" w:cs="宋体"/>
          <w:color w:val="000000" w:themeColor="text1"/>
          <w:sz w:val="24"/>
          <w:szCs w:val="24"/>
          <w14:textFill>
            <w14:solidFill>
              <w14:schemeClr w14:val="tx1"/>
            </w14:solidFill>
          </w14:textFill>
        </w:rPr>
        <w:t>止。</w:t>
      </w:r>
    </w:p>
    <w:p>
      <w:pPr>
        <w:pStyle w:val="18"/>
        <w:jc w:val="right"/>
        <w:rPr>
          <w:rFonts w:cs="宋体"/>
          <w:b w:val="0"/>
          <w:bCs w:val="0"/>
          <w:color w:val="000000" w:themeColor="text1"/>
          <w:sz w:val="24"/>
          <w:szCs w:val="24"/>
          <w14:textFill>
            <w14:solidFill>
              <w14:schemeClr w14:val="tx1"/>
            </w14:solidFill>
          </w14:textFill>
        </w:rPr>
      </w:pPr>
    </w:p>
    <w:p>
      <w:pPr>
        <w:pStyle w:val="18"/>
        <w:jc w:val="right"/>
        <w:rPr>
          <w:rFonts w:cs="宋体"/>
          <w:b w:val="0"/>
          <w:bCs w:val="0"/>
          <w:color w:val="000000" w:themeColor="text1"/>
          <w:sz w:val="24"/>
          <w:szCs w:val="24"/>
          <w14:textFill>
            <w14:solidFill>
              <w14:schemeClr w14:val="tx1"/>
            </w14:solidFill>
          </w14:textFill>
        </w:rPr>
      </w:pPr>
    </w:p>
    <w:p>
      <w:pPr>
        <w:pStyle w:val="18"/>
        <w:jc w:val="right"/>
        <w:rPr>
          <w:rFonts w:hint="eastAsia" w:eastAsia="宋体"/>
          <w:bCs w:val="0"/>
          <w:color w:val="000000" w:themeColor="text1"/>
          <w:sz w:val="24"/>
          <w:szCs w:val="24"/>
          <w:lang w:eastAsia="zh-CN"/>
          <w14:textFill>
            <w14:solidFill>
              <w14:schemeClr w14:val="tx1"/>
            </w14:solidFill>
          </w14:textFill>
        </w:rPr>
      </w:pPr>
      <w:r>
        <w:rPr>
          <w:rFonts w:hint="eastAsia" w:cs="宋体"/>
          <w:bCs w:val="0"/>
          <w:color w:val="000000" w:themeColor="text1"/>
          <w:sz w:val="24"/>
          <w:szCs w:val="24"/>
          <w:lang w:eastAsia="zh-CN"/>
          <w14:textFill>
            <w14:solidFill>
              <w14:schemeClr w14:val="tx1"/>
            </w14:solidFill>
          </w14:textFill>
        </w:rPr>
        <w:t>四川海盛林房地产土地资产评估有限公司</w:t>
      </w:r>
    </w:p>
    <w:p>
      <w:pPr>
        <w:pStyle w:val="18"/>
        <w:spacing w:line="700" w:lineRule="exact"/>
        <w:ind w:firstLine="6720" w:firstLineChars="2800"/>
        <w:rPr>
          <w:rFonts w:hint="eastAsia" w:eastAsia="宋体"/>
          <w:bCs w:val="0"/>
          <w:color w:val="000000" w:themeColor="text1"/>
          <w:sz w:val="24"/>
          <w:szCs w:val="24"/>
          <w:lang w:eastAsia="zh-CN"/>
          <w14:textFill>
            <w14:solidFill>
              <w14:schemeClr w14:val="tx1"/>
            </w14:solidFill>
          </w14:textFill>
        </w:rPr>
      </w:pPr>
      <w:r>
        <w:rPr>
          <w:rFonts w:hint="eastAsia" w:cs="宋体"/>
          <w:bCs w:val="0"/>
          <w:color w:val="000000" w:themeColor="text1"/>
          <w:sz w:val="24"/>
          <w:szCs w:val="24"/>
          <w14:textFill>
            <w14:solidFill>
              <w14:schemeClr w14:val="tx1"/>
            </w14:solidFill>
          </w14:textFill>
        </w:rPr>
        <w:t>法定代表人：</w:t>
      </w:r>
      <w:r>
        <w:rPr>
          <w:rFonts w:hint="eastAsia" w:cs="宋体"/>
          <w:bCs w:val="0"/>
          <w:color w:val="000000" w:themeColor="text1"/>
          <w:sz w:val="24"/>
          <w:szCs w:val="24"/>
          <w:lang w:eastAsia="zh-CN"/>
          <w14:textFill>
            <w14:solidFill>
              <w14:schemeClr w14:val="tx1"/>
            </w14:solidFill>
          </w14:textFill>
        </w:rPr>
        <w:t>苟尚斌</w:t>
      </w:r>
    </w:p>
    <w:p>
      <w:pPr>
        <w:pStyle w:val="18"/>
        <w:spacing w:after="240" w:line="600" w:lineRule="exact"/>
        <w:jc w:val="center"/>
        <w:rPr>
          <w:rFonts w:hint="eastAsia" w:eastAsia="宋体" w:cs="宋体"/>
          <w:b w:val="0"/>
          <w:bCs w:val="0"/>
          <w:color w:val="000000" w:themeColor="text1"/>
          <w:sz w:val="24"/>
          <w:szCs w:val="24"/>
          <w:lang w:eastAsia="zh-CN"/>
          <w14:textFill>
            <w14:solidFill>
              <w14:schemeClr w14:val="tx1"/>
            </w14:solidFill>
          </w14:textFill>
        </w:rPr>
      </w:pPr>
      <w:r>
        <w:rPr>
          <w:rFonts w:cs="宋体"/>
          <w:bCs w:val="0"/>
          <w:color w:val="000000" w:themeColor="text1"/>
          <w:sz w:val="24"/>
          <w:szCs w:val="24"/>
          <w14:textFill>
            <w14:solidFill>
              <w14:schemeClr w14:val="tx1"/>
            </w14:solidFill>
          </w14:textFill>
        </w:rPr>
        <w:t xml:space="preserve">                                    </w:t>
      </w:r>
      <w:r>
        <w:rPr>
          <w:rFonts w:hint="eastAsia" w:cs="宋体"/>
          <w:bCs w:val="0"/>
          <w:color w:val="000000" w:themeColor="text1"/>
          <w:sz w:val="24"/>
          <w:szCs w:val="24"/>
          <w:lang w:val="en-US" w:eastAsia="zh-CN"/>
          <w14:textFill>
            <w14:solidFill>
              <w14:schemeClr w14:val="tx1"/>
            </w14:solidFill>
          </w14:textFill>
        </w:rPr>
        <w:t xml:space="preserve">              </w:t>
      </w:r>
      <w:r>
        <w:rPr>
          <w:rFonts w:hint="eastAsia" w:cs="宋体"/>
          <w:bCs w:val="0"/>
          <w:color w:val="000000" w:themeColor="text1"/>
          <w:sz w:val="24"/>
          <w:szCs w:val="24"/>
          <w:lang w:eastAsia="zh-CN"/>
          <w14:textFill>
            <w14:solidFill>
              <w14:schemeClr w14:val="tx1"/>
            </w14:solidFill>
          </w14:textFill>
        </w:rPr>
        <w:t>二О二一年四月二十六日</w:t>
      </w:r>
    </w:p>
    <w:p>
      <w:pPr>
        <w:rPr>
          <w:color w:val="000000" w:themeColor="text1"/>
          <w14:textFill>
            <w14:solidFill>
              <w14:schemeClr w14:val="tx1"/>
            </w14:solidFill>
          </w14:textFill>
        </w:rPr>
      </w:pPr>
    </w:p>
    <w:p>
      <w:pPr>
        <w:rPr>
          <w:color w:val="000000" w:themeColor="text1"/>
          <w14:textFill>
            <w14:solidFill>
              <w14:schemeClr w14:val="tx1"/>
            </w14:solidFill>
          </w14:textFill>
        </w:rPr>
        <w:sectPr>
          <w:headerReference r:id="rId8" w:type="first"/>
          <w:footerReference r:id="rId9" w:type="first"/>
          <w:pgSz w:w="11906" w:h="16838"/>
          <w:pgMar w:top="1418" w:right="1287" w:bottom="1418" w:left="1418" w:header="851" w:footer="680" w:gutter="0"/>
          <w:pgNumType w:fmt="upperRoman" w:start="1"/>
          <w:cols w:space="720" w:num="1"/>
          <w:titlePg/>
          <w:docGrid w:type="linesAndChars" w:linePitch="312" w:charSpace="0"/>
        </w:sectPr>
      </w:pPr>
    </w:p>
    <w:p>
      <w:pPr>
        <w:pStyle w:val="18"/>
        <w:spacing w:line="360" w:lineRule="auto"/>
        <w:jc w:val="center"/>
      </w:pPr>
      <w:r>
        <w:rPr>
          <w:rFonts w:hint="eastAsia" w:ascii="黑体" w:eastAsia="黑体" w:cs="黑体"/>
          <w:b w:val="0"/>
          <w:bCs w:val="0"/>
          <w:color w:val="000000" w:themeColor="text1"/>
          <w:sz w:val="32"/>
          <w:szCs w:val="32"/>
          <w14:textFill>
            <w14:solidFill>
              <w14:schemeClr w14:val="tx1"/>
            </w14:solidFill>
          </w14:textFill>
        </w:rPr>
        <w:t>目 录</w:t>
      </w:r>
      <w:bookmarkStart w:id="13" w:name="_Toc279260393"/>
      <w:r>
        <w:rPr>
          <w:rFonts w:hint="eastAsia" w:ascii="宋体" w:hAnsi="宋体" w:cs="宋体"/>
          <w:color w:val="000000" w:themeColor="text1"/>
          <w:kern w:val="0"/>
          <w:sz w:val="24"/>
          <w:szCs w:val="24"/>
          <w:lang w:val="zh-CN"/>
          <w14:textFill>
            <w14:solidFill>
              <w14:schemeClr w14:val="tx1"/>
            </w14:solidFill>
          </w14:textFill>
        </w:rPr>
        <w:fldChar w:fldCharType="begin"/>
      </w:r>
      <w:r>
        <w:rPr>
          <w:rFonts w:hint="eastAsia" w:ascii="宋体" w:hAnsi="宋体" w:cs="宋体"/>
          <w:color w:val="000000" w:themeColor="text1"/>
          <w:kern w:val="0"/>
          <w:sz w:val="24"/>
          <w:szCs w:val="24"/>
          <w:lang w:val="zh-CN"/>
          <w14:textFill>
            <w14:solidFill>
              <w14:schemeClr w14:val="tx1"/>
            </w14:solidFill>
          </w14:textFill>
        </w:rPr>
        <w:instrText xml:space="preserve"> TOC \o "1-3" \h \z \u </w:instrText>
      </w:r>
      <w:r>
        <w:rPr>
          <w:rFonts w:hint="eastAsia" w:ascii="宋体" w:hAnsi="宋体" w:cs="宋体"/>
          <w:color w:val="000000" w:themeColor="text1"/>
          <w:kern w:val="0"/>
          <w:sz w:val="24"/>
          <w:szCs w:val="24"/>
          <w:lang w:val="zh-CN"/>
          <w14:textFill>
            <w14:solidFill>
              <w14:schemeClr w14:val="tx1"/>
            </w14:solidFill>
          </w14:textFill>
        </w:rPr>
        <w:fldChar w:fldCharType="separate"/>
      </w:r>
    </w:p>
    <w:p>
      <w:pPr>
        <w:pStyle w:val="23"/>
        <w:spacing w:line="360" w:lineRule="auto"/>
        <w:rPr>
          <w:rFonts w:ascii="宋体" w:hAnsi="宋体" w:cstheme="minorBidi"/>
          <w:b/>
          <w:color w:val="000000" w:themeColor="text1"/>
          <w:sz w:val="24"/>
          <w:szCs w:val="24"/>
          <w14:textFill>
            <w14:solidFill>
              <w14:schemeClr w14:val="tx1"/>
            </w14:solidFill>
          </w14:textFill>
        </w:rPr>
      </w:pPr>
      <w:r>
        <w:fldChar w:fldCharType="begin"/>
      </w:r>
      <w:r>
        <w:instrText xml:space="preserve"> HYPERLINK \l "_Toc3900538" </w:instrText>
      </w:r>
      <w:r>
        <w:fldChar w:fldCharType="separate"/>
      </w:r>
      <w:r>
        <w:rPr>
          <w:rStyle w:val="41"/>
          <w:rFonts w:ascii="宋体" w:hAnsi="宋体" w:cs="黑体"/>
          <w:b/>
          <w:color w:val="000000" w:themeColor="text1"/>
          <w:sz w:val="24"/>
          <w:szCs w:val="24"/>
          <w14:textFill>
            <w14:solidFill>
              <w14:schemeClr w14:val="tx1"/>
            </w14:solidFill>
          </w14:textFill>
        </w:rPr>
        <w:t>一、估价师声明</w:t>
      </w:r>
      <w:r>
        <w:rPr>
          <w:rFonts w:ascii="宋体" w:hAnsi="宋体"/>
          <w:b/>
          <w:color w:val="000000" w:themeColor="text1"/>
          <w:sz w:val="24"/>
          <w:szCs w:val="24"/>
          <w14:textFill>
            <w14:solidFill>
              <w14:schemeClr w14:val="tx1"/>
            </w14:solidFill>
          </w14:textFill>
        </w:rPr>
        <w:tab/>
      </w:r>
      <w:r>
        <w:rPr>
          <w:rFonts w:ascii="宋体" w:hAnsi="宋体"/>
          <w:b/>
          <w:color w:val="000000" w:themeColor="text1"/>
          <w:sz w:val="24"/>
          <w:szCs w:val="24"/>
          <w14:textFill>
            <w14:solidFill>
              <w14:schemeClr w14:val="tx1"/>
            </w14:solidFill>
          </w14:textFill>
        </w:rPr>
        <w:fldChar w:fldCharType="begin"/>
      </w:r>
      <w:r>
        <w:rPr>
          <w:rFonts w:ascii="宋体" w:hAnsi="宋体"/>
          <w:b/>
          <w:color w:val="000000" w:themeColor="text1"/>
          <w:sz w:val="24"/>
          <w:szCs w:val="24"/>
          <w14:textFill>
            <w14:solidFill>
              <w14:schemeClr w14:val="tx1"/>
            </w14:solidFill>
          </w14:textFill>
        </w:rPr>
        <w:instrText xml:space="preserve"> PAGEREF _Toc3900538 \h </w:instrText>
      </w:r>
      <w:r>
        <w:rPr>
          <w:rFonts w:ascii="宋体" w:hAnsi="宋体"/>
          <w:b/>
          <w:color w:val="000000" w:themeColor="text1"/>
          <w:sz w:val="24"/>
          <w:szCs w:val="24"/>
          <w14:textFill>
            <w14:solidFill>
              <w14:schemeClr w14:val="tx1"/>
            </w14:solidFill>
          </w14:textFill>
        </w:rPr>
        <w:fldChar w:fldCharType="separate"/>
      </w:r>
      <w:r>
        <w:rPr>
          <w:rFonts w:ascii="宋体" w:hAnsi="宋体"/>
          <w:b/>
          <w:color w:val="000000" w:themeColor="text1"/>
          <w:sz w:val="24"/>
          <w:szCs w:val="24"/>
          <w14:textFill>
            <w14:solidFill>
              <w14:schemeClr w14:val="tx1"/>
            </w14:solidFill>
          </w14:textFill>
        </w:rPr>
        <w:t>1</w:t>
      </w:r>
      <w:r>
        <w:rPr>
          <w:rFonts w:ascii="宋体" w:hAnsi="宋体"/>
          <w:b/>
          <w:color w:val="000000" w:themeColor="text1"/>
          <w:sz w:val="24"/>
          <w:szCs w:val="24"/>
          <w14:textFill>
            <w14:solidFill>
              <w14:schemeClr w14:val="tx1"/>
            </w14:solidFill>
          </w14:textFill>
        </w:rPr>
        <w:fldChar w:fldCharType="end"/>
      </w:r>
      <w:r>
        <w:rPr>
          <w:rFonts w:ascii="宋体" w:hAnsi="宋体"/>
          <w:b/>
          <w:color w:val="000000" w:themeColor="text1"/>
          <w:sz w:val="24"/>
          <w:szCs w:val="24"/>
          <w14:textFill>
            <w14:solidFill>
              <w14:schemeClr w14:val="tx1"/>
            </w14:solidFill>
          </w14:textFill>
        </w:rPr>
        <w:fldChar w:fldCharType="end"/>
      </w:r>
    </w:p>
    <w:p>
      <w:pPr>
        <w:pStyle w:val="23"/>
        <w:spacing w:line="360" w:lineRule="auto"/>
        <w:rPr>
          <w:rFonts w:ascii="宋体" w:hAnsi="宋体" w:cstheme="minorBidi"/>
          <w:b/>
          <w:color w:val="000000" w:themeColor="text1"/>
          <w:sz w:val="24"/>
          <w:szCs w:val="24"/>
          <w14:textFill>
            <w14:solidFill>
              <w14:schemeClr w14:val="tx1"/>
            </w14:solidFill>
          </w14:textFill>
        </w:rPr>
      </w:pPr>
      <w:r>
        <w:fldChar w:fldCharType="begin"/>
      </w:r>
      <w:r>
        <w:instrText xml:space="preserve"> HYPERLINK \l "_Toc3900539" </w:instrText>
      </w:r>
      <w:r>
        <w:fldChar w:fldCharType="separate"/>
      </w:r>
      <w:r>
        <w:rPr>
          <w:rStyle w:val="41"/>
          <w:rFonts w:ascii="宋体" w:hAnsi="宋体" w:cs="黑体"/>
          <w:b/>
          <w:color w:val="000000" w:themeColor="text1"/>
          <w:sz w:val="24"/>
          <w:szCs w:val="24"/>
          <w14:textFill>
            <w14:solidFill>
              <w14:schemeClr w14:val="tx1"/>
            </w14:solidFill>
          </w14:textFill>
        </w:rPr>
        <w:t>二、估价假设和限制条件及使用报告说明</w:t>
      </w:r>
      <w:r>
        <w:rPr>
          <w:rFonts w:ascii="宋体" w:hAnsi="宋体"/>
          <w:b/>
          <w:color w:val="000000" w:themeColor="text1"/>
          <w:sz w:val="24"/>
          <w:szCs w:val="24"/>
          <w14:textFill>
            <w14:solidFill>
              <w14:schemeClr w14:val="tx1"/>
            </w14:solidFill>
          </w14:textFill>
        </w:rPr>
        <w:tab/>
      </w:r>
      <w:r>
        <w:rPr>
          <w:rFonts w:ascii="宋体" w:hAnsi="宋体"/>
          <w:b/>
          <w:color w:val="000000" w:themeColor="text1"/>
          <w:sz w:val="24"/>
          <w:szCs w:val="24"/>
          <w14:textFill>
            <w14:solidFill>
              <w14:schemeClr w14:val="tx1"/>
            </w14:solidFill>
          </w14:textFill>
        </w:rPr>
        <w:fldChar w:fldCharType="begin"/>
      </w:r>
      <w:r>
        <w:rPr>
          <w:rFonts w:ascii="宋体" w:hAnsi="宋体"/>
          <w:b/>
          <w:color w:val="000000" w:themeColor="text1"/>
          <w:sz w:val="24"/>
          <w:szCs w:val="24"/>
          <w14:textFill>
            <w14:solidFill>
              <w14:schemeClr w14:val="tx1"/>
            </w14:solidFill>
          </w14:textFill>
        </w:rPr>
        <w:instrText xml:space="preserve"> PAGEREF _Toc3900539 \h </w:instrText>
      </w:r>
      <w:r>
        <w:rPr>
          <w:rFonts w:ascii="宋体" w:hAnsi="宋体"/>
          <w:b/>
          <w:color w:val="000000" w:themeColor="text1"/>
          <w:sz w:val="24"/>
          <w:szCs w:val="24"/>
          <w14:textFill>
            <w14:solidFill>
              <w14:schemeClr w14:val="tx1"/>
            </w14:solidFill>
          </w14:textFill>
        </w:rPr>
        <w:fldChar w:fldCharType="separate"/>
      </w:r>
      <w:r>
        <w:rPr>
          <w:rFonts w:ascii="宋体" w:hAnsi="宋体"/>
          <w:b/>
          <w:color w:val="000000" w:themeColor="text1"/>
          <w:sz w:val="24"/>
          <w:szCs w:val="24"/>
          <w14:textFill>
            <w14:solidFill>
              <w14:schemeClr w14:val="tx1"/>
            </w14:solidFill>
          </w14:textFill>
        </w:rPr>
        <w:t>2</w:t>
      </w:r>
      <w:r>
        <w:rPr>
          <w:rFonts w:ascii="宋体" w:hAnsi="宋体"/>
          <w:b/>
          <w:color w:val="000000" w:themeColor="text1"/>
          <w:sz w:val="24"/>
          <w:szCs w:val="24"/>
          <w14:textFill>
            <w14:solidFill>
              <w14:schemeClr w14:val="tx1"/>
            </w14:solidFill>
          </w14:textFill>
        </w:rPr>
        <w:fldChar w:fldCharType="end"/>
      </w:r>
      <w:r>
        <w:rPr>
          <w:rFonts w:ascii="宋体" w:hAnsi="宋体"/>
          <w:b/>
          <w:color w:val="000000" w:themeColor="text1"/>
          <w:sz w:val="24"/>
          <w:szCs w:val="24"/>
          <w14:textFill>
            <w14:solidFill>
              <w14:schemeClr w14:val="tx1"/>
            </w14:solidFill>
          </w14:textFill>
        </w:rPr>
        <w:fldChar w:fldCharType="end"/>
      </w:r>
    </w:p>
    <w:p>
      <w:pPr>
        <w:pStyle w:val="23"/>
        <w:spacing w:line="360" w:lineRule="auto"/>
        <w:rPr>
          <w:rFonts w:ascii="宋体" w:hAnsi="宋体" w:cstheme="minorBidi"/>
          <w:b/>
          <w:color w:val="000000" w:themeColor="text1"/>
          <w:sz w:val="24"/>
          <w:szCs w:val="24"/>
          <w14:textFill>
            <w14:solidFill>
              <w14:schemeClr w14:val="tx1"/>
            </w14:solidFill>
          </w14:textFill>
        </w:rPr>
      </w:pPr>
      <w:r>
        <w:fldChar w:fldCharType="begin"/>
      </w:r>
      <w:r>
        <w:instrText xml:space="preserve"> HYPERLINK \l "_Toc3900540" </w:instrText>
      </w:r>
      <w:r>
        <w:fldChar w:fldCharType="separate"/>
      </w:r>
      <w:r>
        <w:rPr>
          <w:rStyle w:val="41"/>
          <w:rFonts w:ascii="宋体" w:hAnsi="宋体" w:cs="黑体"/>
          <w:b/>
          <w:color w:val="000000" w:themeColor="text1"/>
          <w:sz w:val="24"/>
          <w:szCs w:val="24"/>
          <w14:textFill>
            <w14:solidFill>
              <w14:schemeClr w14:val="tx1"/>
            </w14:solidFill>
          </w14:textFill>
        </w:rPr>
        <w:t>三、房地产估价结果报告</w:t>
      </w:r>
      <w:r>
        <w:rPr>
          <w:rFonts w:ascii="宋体" w:hAnsi="宋体"/>
          <w:b/>
          <w:color w:val="000000" w:themeColor="text1"/>
          <w:sz w:val="24"/>
          <w:szCs w:val="24"/>
          <w14:textFill>
            <w14:solidFill>
              <w14:schemeClr w14:val="tx1"/>
            </w14:solidFill>
          </w14:textFill>
        </w:rPr>
        <w:tab/>
      </w:r>
      <w:r>
        <w:rPr>
          <w:rFonts w:hint="eastAsia" w:ascii="宋体" w:hAnsi="宋体"/>
          <w:b/>
          <w:color w:val="000000" w:themeColor="text1"/>
          <w:sz w:val="24"/>
          <w:szCs w:val="24"/>
          <w:lang w:val="en-US" w:eastAsia="zh-CN"/>
          <w14:textFill>
            <w14:solidFill>
              <w14:schemeClr w14:val="tx1"/>
            </w14:solidFill>
          </w14:textFill>
        </w:rPr>
        <w:t>5</w:t>
      </w:r>
      <w:r>
        <w:rPr>
          <w:rFonts w:ascii="宋体" w:hAnsi="宋体"/>
          <w:b/>
          <w:color w:val="000000" w:themeColor="text1"/>
          <w:sz w:val="24"/>
          <w:szCs w:val="24"/>
          <w14:textFill>
            <w14:solidFill>
              <w14:schemeClr w14:val="tx1"/>
            </w14:solidFill>
          </w14:textFill>
        </w:rPr>
        <w:fldChar w:fldCharType="end"/>
      </w:r>
    </w:p>
    <w:p>
      <w:pPr>
        <w:pStyle w:val="28"/>
        <w:spacing w:line="360" w:lineRule="auto"/>
        <w:ind w:left="0" w:leftChars="0"/>
        <w:rPr>
          <w:rFonts w:ascii="宋体" w:hAnsi="宋体" w:eastAsia="宋体" w:cstheme="minorBidi"/>
          <w:color w:val="000000" w:themeColor="text1"/>
          <w:sz w:val="24"/>
          <w:szCs w:val="24"/>
          <w14:textFill>
            <w14:solidFill>
              <w14:schemeClr w14:val="tx1"/>
            </w14:solidFill>
          </w14:textFill>
        </w:rPr>
      </w:pPr>
      <w:r>
        <w:fldChar w:fldCharType="begin"/>
      </w:r>
      <w:r>
        <w:instrText xml:space="preserve"> HYPERLINK \l "_Toc3900541" </w:instrText>
      </w:r>
      <w:r>
        <w:fldChar w:fldCharType="separate"/>
      </w:r>
      <w:r>
        <w:rPr>
          <w:rStyle w:val="41"/>
          <w:rFonts w:ascii="宋体" w:hAnsi="宋体" w:eastAsia="宋体" w:cs="宋体"/>
          <w:color w:val="000000" w:themeColor="text1"/>
          <w:sz w:val="24"/>
          <w:szCs w:val="24"/>
          <w14:textFill>
            <w14:solidFill>
              <w14:schemeClr w14:val="tx1"/>
            </w14:solidFill>
          </w14:textFill>
        </w:rPr>
        <w:t>（一）估价委托人及案件当事人</w:t>
      </w:r>
      <w:r>
        <w:rPr>
          <w:rFonts w:ascii="宋体" w:hAnsi="宋体" w:eastAsia="宋体"/>
          <w:color w:val="000000" w:themeColor="text1"/>
          <w:sz w:val="24"/>
          <w:szCs w:val="24"/>
          <w14:textFill>
            <w14:solidFill>
              <w14:schemeClr w14:val="tx1"/>
            </w14:solidFill>
          </w14:textFill>
        </w:rPr>
        <w:tab/>
      </w:r>
      <w:r>
        <w:rPr>
          <w:rFonts w:hint="eastAsia" w:ascii="宋体" w:hAnsi="宋体" w:eastAsia="宋体"/>
          <w:color w:val="000000" w:themeColor="text1"/>
          <w:sz w:val="24"/>
          <w:szCs w:val="24"/>
          <w:lang w:val="en-US" w:eastAsia="zh-CN"/>
          <w14:textFill>
            <w14:solidFill>
              <w14:schemeClr w14:val="tx1"/>
            </w14:solidFill>
          </w14:textFill>
        </w:rPr>
        <w:t>5</w:t>
      </w:r>
      <w:r>
        <w:rPr>
          <w:rFonts w:ascii="宋体" w:hAnsi="宋体" w:eastAsia="宋体"/>
          <w:color w:val="000000" w:themeColor="text1"/>
          <w:sz w:val="24"/>
          <w:szCs w:val="24"/>
          <w14:textFill>
            <w14:solidFill>
              <w14:schemeClr w14:val="tx1"/>
            </w14:solidFill>
          </w14:textFill>
        </w:rPr>
        <w:fldChar w:fldCharType="end"/>
      </w:r>
    </w:p>
    <w:p>
      <w:pPr>
        <w:pStyle w:val="28"/>
        <w:spacing w:line="360" w:lineRule="auto"/>
        <w:ind w:left="0" w:leftChars="0"/>
        <w:rPr>
          <w:rFonts w:ascii="宋体" w:hAnsi="宋体" w:eastAsia="宋体" w:cstheme="minorBidi"/>
          <w:color w:val="000000" w:themeColor="text1"/>
          <w:sz w:val="24"/>
          <w:szCs w:val="24"/>
          <w14:textFill>
            <w14:solidFill>
              <w14:schemeClr w14:val="tx1"/>
            </w14:solidFill>
          </w14:textFill>
        </w:rPr>
      </w:pPr>
      <w:r>
        <w:fldChar w:fldCharType="begin"/>
      </w:r>
      <w:r>
        <w:instrText xml:space="preserve"> HYPERLINK \l "_Toc3900542" </w:instrText>
      </w:r>
      <w:r>
        <w:fldChar w:fldCharType="separate"/>
      </w:r>
      <w:r>
        <w:rPr>
          <w:rStyle w:val="41"/>
          <w:rFonts w:ascii="宋体" w:hAnsi="宋体" w:eastAsia="宋体" w:cs="宋体"/>
          <w:color w:val="000000" w:themeColor="text1"/>
          <w:sz w:val="24"/>
          <w:szCs w:val="24"/>
          <w14:textFill>
            <w14:solidFill>
              <w14:schemeClr w14:val="tx1"/>
            </w14:solidFill>
          </w14:textFill>
        </w:rPr>
        <w:t>（二）房地产估价机构</w:t>
      </w:r>
      <w:r>
        <w:rPr>
          <w:rFonts w:ascii="宋体" w:hAnsi="宋体" w:eastAsia="宋体"/>
          <w:color w:val="000000" w:themeColor="text1"/>
          <w:sz w:val="24"/>
          <w:szCs w:val="24"/>
          <w14:textFill>
            <w14:solidFill>
              <w14:schemeClr w14:val="tx1"/>
            </w14:solidFill>
          </w14:textFill>
        </w:rPr>
        <w:tab/>
      </w:r>
      <w:r>
        <w:rPr>
          <w:rFonts w:hint="eastAsia" w:ascii="宋体" w:hAnsi="宋体" w:eastAsia="宋体"/>
          <w:color w:val="000000" w:themeColor="text1"/>
          <w:sz w:val="24"/>
          <w:szCs w:val="24"/>
          <w:lang w:val="en-US" w:eastAsia="zh-CN"/>
          <w14:textFill>
            <w14:solidFill>
              <w14:schemeClr w14:val="tx1"/>
            </w14:solidFill>
          </w14:textFill>
        </w:rPr>
        <w:t>5</w:t>
      </w:r>
      <w:r>
        <w:rPr>
          <w:rFonts w:ascii="宋体" w:hAnsi="宋体" w:eastAsia="宋体"/>
          <w:color w:val="000000" w:themeColor="text1"/>
          <w:sz w:val="24"/>
          <w:szCs w:val="24"/>
          <w14:textFill>
            <w14:solidFill>
              <w14:schemeClr w14:val="tx1"/>
            </w14:solidFill>
          </w14:textFill>
        </w:rPr>
        <w:fldChar w:fldCharType="end"/>
      </w:r>
    </w:p>
    <w:p>
      <w:pPr>
        <w:pStyle w:val="28"/>
        <w:spacing w:line="360" w:lineRule="auto"/>
        <w:ind w:left="0" w:leftChars="0"/>
        <w:rPr>
          <w:rFonts w:ascii="宋体" w:hAnsi="宋体" w:eastAsia="宋体" w:cstheme="minorBidi"/>
          <w:color w:val="000000" w:themeColor="text1"/>
          <w:sz w:val="24"/>
          <w:szCs w:val="24"/>
          <w14:textFill>
            <w14:solidFill>
              <w14:schemeClr w14:val="tx1"/>
            </w14:solidFill>
          </w14:textFill>
        </w:rPr>
      </w:pPr>
      <w:r>
        <w:fldChar w:fldCharType="begin"/>
      </w:r>
      <w:r>
        <w:instrText xml:space="preserve"> HYPERLINK \l "_Toc3900552" </w:instrText>
      </w:r>
      <w:r>
        <w:fldChar w:fldCharType="separate"/>
      </w:r>
      <w:r>
        <w:rPr>
          <w:rStyle w:val="41"/>
          <w:rFonts w:ascii="宋体" w:hAnsi="宋体" w:eastAsia="宋体" w:cs="宋体"/>
          <w:color w:val="000000" w:themeColor="text1"/>
          <w:sz w:val="24"/>
          <w:szCs w:val="24"/>
          <w14:textFill>
            <w14:solidFill>
              <w14:schemeClr w14:val="tx1"/>
            </w14:solidFill>
          </w14:textFill>
        </w:rPr>
        <w:t>（三）估价目的</w:t>
      </w:r>
      <w:r>
        <w:rPr>
          <w:rFonts w:ascii="宋体" w:hAnsi="宋体" w:eastAsia="宋体"/>
          <w:color w:val="000000" w:themeColor="text1"/>
          <w:sz w:val="24"/>
          <w:szCs w:val="24"/>
          <w14:textFill>
            <w14:solidFill>
              <w14:schemeClr w14:val="tx1"/>
            </w14:solidFill>
          </w14:textFill>
        </w:rPr>
        <w:tab/>
      </w:r>
      <w:r>
        <w:rPr>
          <w:rFonts w:hint="eastAsia" w:ascii="宋体" w:hAnsi="宋体" w:eastAsia="宋体"/>
          <w:color w:val="000000" w:themeColor="text1"/>
          <w:sz w:val="24"/>
          <w:szCs w:val="24"/>
          <w:lang w:val="en-US" w:eastAsia="zh-CN"/>
          <w14:textFill>
            <w14:solidFill>
              <w14:schemeClr w14:val="tx1"/>
            </w14:solidFill>
          </w14:textFill>
        </w:rPr>
        <w:t>5</w:t>
      </w:r>
      <w:r>
        <w:rPr>
          <w:rFonts w:ascii="宋体" w:hAnsi="宋体" w:eastAsia="宋体"/>
          <w:color w:val="000000" w:themeColor="text1"/>
          <w:sz w:val="24"/>
          <w:szCs w:val="24"/>
          <w14:textFill>
            <w14:solidFill>
              <w14:schemeClr w14:val="tx1"/>
            </w14:solidFill>
          </w14:textFill>
        </w:rPr>
        <w:fldChar w:fldCharType="end"/>
      </w:r>
    </w:p>
    <w:p>
      <w:pPr>
        <w:pStyle w:val="28"/>
        <w:spacing w:line="360" w:lineRule="auto"/>
        <w:ind w:left="0" w:leftChars="0"/>
        <w:rPr>
          <w:rFonts w:hint="eastAsia" w:ascii="宋体" w:hAnsi="宋体" w:eastAsia="宋体" w:cstheme="minorBidi"/>
          <w:color w:val="000000" w:themeColor="text1"/>
          <w:sz w:val="24"/>
          <w:szCs w:val="24"/>
          <w:lang w:val="en-US" w:eastAsia="zh-CN"/>
          <w14:textFill>
            <w14:solidFill>
              <w14:schemeClr w14:val="tx1"/>
            </w14:solidFill>
          </w14:textFill>
        </w:rPr>
      </w:pPr>
      <w:r>
        <w:fldChar w:fldCharType="begin"/>
      </w:r>
      <w:r>
        <w:instrText xml:space="preserve"> HYPERLINK \l "_Toc3900553" </w:instrText>
      </w:r>
      <w:r>
        <w:fldChar w:fldCharType="separate"/>
      </w:r>
      <w:r>
        <w:rPr>
          <w:rStyle w:val="41"/>
          <w:rFonts w:ascii="宋体" w:hAnsi="宋体" w:eastAsia="宋体" w:cs="宋体"/>
          <w:color w:val="000000" w:themeColor="text1"/>
          <w:sz w:val="24"/>
          <w:szCs w:val="24"/>
          <w14:textFill>
            <w14:solidFill>
              <w14:schemeClr w14:val="tx1"/>
            </w14:solidFill>
          </w14:textFill>
        </w:rPr>
        <w:t>（四）估价对象</w:t>
      </w:r>
      <w:r>
        <w:rPr>
          <w:rFonts w:ascii="宋体" w:hAnsi="宋体" w:eastAsia="宋体"/>
          <w:color w:val="000000" w:themeColor="text1"/>
          <w:sz w:val="24"/>
          <w:szCs w:val="24"/>
          <w14:textFill>
            <w14:solidFill>
              <w14:schemeClr w14:val="tx1"/>
            </w14:solidFill>
          </w14:textFill>
        </w:rPr>
        <w:tab/>
      </w:r>
      <w:r>
        <w:rPr>
          <w:rFonts w:ascii="宋体" w:hAnsi="宋体" w:eastAsia="宋体"/>
          <w:color w:val="000000" w:themeColor="text1"/>
          <w:sz w:val="24"/>
          <w:szCs w:val="24"/>
          <w14:textFill>
            <w14:solidFill>
              <w14:schemeClr w14:val="tx1"/>
            </w14:solidFill>
          </w14:textFill>
        </w:rPr>
        <w:fldChar w:fldCharType="end"/>
      </w:r>
      <w:r>
        <w:rPr>
          <w:rFonts w:hint="eastAsia" w:ascii="宋体" w:hAnsi="宋体" w:eastAsia="宋体"/>
          <w:color w:val="000000" w:themeColor="text1"/>
          <w:sz w:val="24"/>
          <w:szCs w:val="24"/>
          <w:lang w:val="en-US" w:eastAsia="zh-CN"/>
          <w14:textFill>
            <w14:solidFill>
              <w14:schemeClr w14:val="tx1"/>
            </w14:solidFill>
          </w14:textFill>
        </w:rPr>
        <w:t>5</w:t>
      </w:r>
    </w:p>
    <w:p>
      <w:pPr>
        <w:pStyle w:val="28"/>
        <w:spacing w:line="360" w:lineRule="auto"/>
        <w:ind w:left="0" w:leftChars="0"/>
        <w:rPr>
          <w:rFonts w:ascii="宋体" w:hAnsi="宋体" w:eastAsia="宋体" w:cstheme="minorBidi"/>
          <w:color w:val="000000" w:themeColor="text1"/>
          <w:sz w:val="24"/>
          <w:szCs w:val="24"/>
          <w14:textFill>
            <w14:solidFill>
              <w14:schemeClr w14:val="tx1"/>
            </w14:solidFill>
          </w14:textFill>
        </w:rPr>
      </w:pPr>
      <w:r>
        <w:fldChar w:fldCharType="begin"/>
      </w:r>
      <w:r>
        <w:instrText xml:space="preserve"> HYPERLINK \l "_Toc3900554" </w:instrText>
      </w:r>
      <w:r>
        <w:fldChar w:fldCharType="separate"/>
      </w:r>
      <w:r>
        <w:rPr>
          <w:rStyle w:val="41"/>
          <w:rFonts w:ascii="宋体" w:hAnsi="宋体" w:eastAsia="宋体" w:cs="宋体"/>
          <w:color w:val="000000" w:themeColor="text1"/>
          <w:sz w:val="24"/>
          <w:szCs w:val="24"/>
          <w14:textFill>
            <w14:solidFill>
              <w14:schemeClr w14:val="tx1"/>
            </w14:solidFill>
          </w14:textFill>
        </w:rPr>
        <w:t>（五）价值时点</w:t>
      </w:r>
      <w:r>
        <w:rPr>
          <w:rFonts w:ascii="宋体" w:hAnsi="宋体" w:eastAsia="宋体"/>
          <w:color w:val="000000" w:themeColor="text1"/>
          <w:sz w:val="24"/>
          <w:szCs w:val="24"/>
          <w14:textFill>
            <w14:solidFill>
              <w14:schemeClr w14:val="tx1"/>
            </w14:solidFill>
          </w14:textFill>
        </w:rPr>
        <w:tab/>
      </w:r>
      <w:r>
        <w:rPr>
          <w:rFonts w:hint="eastAsia" w:ascii="宋体" w:hAnsi="宋体" w:eastAsia="宋体"/>
          <w:color w:val="000000" w:themeColor="text1"/>
          <w:sz w:val="24"/>
          <w:szCs w:val="24"/>
          <w:lang w:val="en-US" w:eastAsia="zh-CN"/>
          <w14:textFill>
            <w14:solidFill>
              <w14:schemeClr w14:val="tx1"/>
            </w14:solidFill>
          </w14:textFill>
        </w:rPr>
        <w:t>8</w:t>
      </w:r>
      <w:r>
        <w:rPr>
          <w:rFonts w:ascii="宋体" w:hAnsi="宋体" w:eastAsia="宋体"/>
          <w:color w:val="000000" w:themeColor="text1"/>
          <w:sz w:val="24"/>
          <w:szCs w:val="24"/>
          <w14:textFill>
            <w14:solidFill>
              <w14:schemeClr w14:val="tx1"/>
            </w14:solidFill>
          </w14:textFill>
        </w:rPr>
        <w:fldChar w:fldCharType="end"/>
      </w:r>
    </w:p>
    <w:p>
      <w:pPr>
        <w:pStyle w:val="28"/>
        <w:spacing w:line="360" w:lineRule="auto"/>
        <w:ind w:left="0" w:leftChars="0"/>
        <w:rPr>
          <w:rFonts w:ascii="宋体" w:hAnsi="宋体" w:eastAsia="宋体" w:cstheme="minorBidi"/>
          <w:color w:val="000000" w:themeColor="text1"/>
          <w:sz w:val="24"/>
          <w:szCs w:val="24"/>
          <w14:textFill>
            <w14:solidFill>
              <w14:schemeClr w14:val="tx1"/>
            </w14:solidFill>
          </w14:textFill>
        </w:rPr>
      </w:pPr>
      <w:r>
        <w:fldChar w:fldCharType="begin"/>
      </w:r>
      <w:r>
        <w:instrText xml:space="preserve"> HYPERLINK \l "_Toc3900555" </w:instrText>
      </w:r>
      <w:r>
        <w:fldChar w:fldCharType="separate"/>
      </w:r>
      <w:r>
        <w:rPr>
          <w:rStyle w:val="41"/>
          <w:rFonts w:ascii="宋体" w:hAnsi="宋体" w:eastAsia="宋体" w:cs="宋体"/>
          <w:color w:val="000000" w:themeColor="text1"/>
          <w:sz w:val="24"/>
          <w:szCs w:val="24"/>
          <w14:textFill>
            <w14:solidFill>
              <w14:schemeClr w14:val="tx1"/>
            </w14:solidFill>
          </w14:textFill>
        </w:rPr>
        <w:t>（六）价值类型</w:t>
      </w:r>
      <w:r>
        <w:rPr>
          <w:rFonts w:ascii="宋体" w:hAnsi="宋体" w:eastAsia="宋体"/>
          <w:color w:val="000000" w:themeColor="text1"/>
          <w:sz w:val="24"/>
          <w:szCs w:val="24"/>
          <w14:textFill>
            <w14:solidFill>
              <w14:schemeClr w14:val="tx1"/>
            </w14:solidFill>
          </w14:textFill>
        </w:rPr>
        <w:tab/>
      </w:r>
      <w:r>
        <w:rPr>
          <w:rFonts w:hint="eastAsia" w:ascii="宋体" w:hAnsi="宋体" w:eastAsia="宋体"/>
          <w:color w:val="000000" w:themeColor="text1"/>
          <w:sz w:val="24"/>
          <w:szCs w:val="24"/>
          <w:lang w:val="en-US" w:eastAsia="zh-CN"/>
          <w14:textFill>
            <w14:solidFill>
              <w14:schemeClr w14:val="tx1"/>
            </w14:solidFill>
          </w14:textFill>
        </w:rPr>
        <w:t>8</w:t>
      </w:r>
      <w:r>
        <w:rPr>
          <w:rFonts w:ascii="宋体" w:hAnsi="宋体" w:eastAsia="宋体"/>
          <w:color w:val="000000" w:themeColor="text1"/>
          <w:sz w:val="24"/>
          <w:szCs w:val="24"/>
          <w14:textFill>
            <w14:solidFill>
              <w14:schemeClr w14:val="tx1"/>
            </w14:solidFill>
          </w14:textFill>
        </w:rPr>
        <w:fldChar w:fldCharType="end"/>
      </w:r>
    </w:p>
    <w:p>
      <w:pPr>
        <w:pStyle w:val="28"/>
        <w:spacing w:line="360" w:lineRule="auto"/>
        <w:ind w:left="0" w:leftChars="0"/>
        <w:rPr>
          <w:rFonts w:ascii="宋体" w:hAnsi="宋体" w:eastAsia="宋体" w:cstheme="minorBidi"/>
          <w:color w:val="000000" w:themeColor="text1"/>
          <w:sz w:val="24"/>
          <w:szCs w:val="24"/>
          <w14:textFill>
            <w14:solidFill>
              <w14:schemeClr w14:val="tx1"/>
            </w14:solidFill>
          </w14:textFill>
        </w:rPr>
      </w:pPr>
      <w:r>
        <w:fldChar w:fldCharType="begin"/>
      </w:r>
      <w:r>
        <w:instrText xml:space="preserve"> HYPERLINK \l "_Toc3900556" </w:instrText>
      </w:r>
      <w:r>
        <w:fldChar w:fldCharType="separate"/>
      </w:r>
      <w:r>
        <w:rPr>
          <w:rStyle w:val="41"/>
          <w:rFonts w:ascii="宋体" w:hAnsi="宋体" w:eastAsia="宋体" w:cs="宋体"/>
          <w:color w:val="000000" w:themeColor="text1"/>
          <w:sz w:val="24"/>
          <w:szCs w:val="24"/>
          <w14:textFill>
            <w14:solidFill>
              <w14:schemeClr w14:val="tx1"/>
            </w14:solidFill>
          </w14:textFill>
        </w:rPr>
        <w:t>（七）估价原则</w:t>
      </w:r>
      <w:r>
        <w:rPr>
          <w:rFonts w:ascii="宋体" w:hAnsi="宋体" w:eastAsia="宋体"/>
          <w:color w:val="000000" w:themeColor="text1"/>
          <w:sz w:val="24"/>
          <w:szCs w:val="24"/>
          <w14:textFill>
            <w14:solidFill>
              <w14:schemeClr w14:val="tx1"/>
            </w14:solidFill>
          </w14:textFill>
        </w:rPr>
        <w:tab/>
      </w:r>
      <w:r>
        <w:rPr>
          <w:rFonts w:hint="eastAsia" w:ascii="宋体" w:hAnsi="宋体" w:eastAsia="宋体"/>
          <w:color w:val="000000" w:themeColor="text1"/>
          <w:sz w:val="24"/>
          <w:szCs w:val="24"/>
          <w:lang w:val="en-US" w:eastAsia="zh-CN"/>
          <w14:textFill>
            <w14:solidFill>
              <w14:schemeClr w14:val="tx1"/>
            </w14:solidFill>
          </w14:textFill>
        </w:rPr>
        <w:t>8</w:t>
      </w:r>
      <w:r>
        <w:rPr>
          <w:rFonts w:ascii="宋体" w:hAnsi="宋体" w:eastAsia="宋体"/>
          <w:color w:val="000000" w:themeColor="text1"/>
          <w:sz w:val="24"/>
          <w:szCs w:val="24"/>
          <w14:textFill>
            <w14:solidFill>
              <w14:schemeClr w14:val="tx1"/>
            </w14:solidFill>
          </w14:textFill>
        </w:rPr>
        <w:fldChar w:fldCharType="end"/>
      </w:r>
    </w:p>
    <w:p>
      <w:pPr>
        <w:pStyle w:val="28"/>
        <w:spacing w:line="360" w:lineRule="auto"/>
        <w:ind w:left="0" w:leftChars="0"/>
        <w:rPr>
          <w:rFonts w:ascii="宋体" w:hAnsi="宋体" w:eastAsia="宋体" w:cstheme="minorBidi"/>
          <w:color w:val="000000" w:themeColor="text1"/>
          <w:sz w:val="24"/>
          <w:szCs w:val="24"/>
          <w14:textFill>
            <w14:solidFill>
              <w14:schemeClr w14:val="tx1"/>
            </w14:solidFill>
          </w14:textFill>
        </w:rPr>
      </w:pPr>
      <w:r>
        <w:fldChar w:fldCharType="begin"/>
      </w:r>
      <w:r>
        <w:instrText xml:space="preserve"> HYPERLINK \l "_Toc3900557" </w:instrText>
      </w:r>
      <w:r>
        <w:fldChar w:fldCharType="separate"/>
      </w:r>
      <w:r>
        <w:rPr>
          <w:rStyle w:val="41"/>
          <w:rFonts w:ascii="宋体" w:hAnsi="宋体" w:eastAsia="宋体" w:cs="宋体"/>
          <w:color w:val="000000" w:themeColor="text1"/>
          <w:sz w:val="24"/>
          <w:szCs w:val="24"/>
          <w14:textFill>
            <w14:solidFill>
              <w14:schemeClr w14:val="tx1"/>
            </w14:solidFill>
          </w14:textFill>
        </w:rPr>
        <w:t>（八）估价依据</w:t>
      </w:r>
      <w:r>
        <w:rPr>
          <w:rFonts w:ascii="宋体" w:hAnsi="宋体" w:eastAsia="宋体"/>
          <w:color w:val="000000" w:themeColor="text1"/>
          <w:sz w:val="24"/>
          <w:szCs w:val="24"/>
          <w14:textFill>
            <w14:solidFill>
              <w14:schemeClr w14:val="tx1"/>
            </w14:solidFill>
          </w14:textFill>
        </w:rPr>
        <w:tab/>
      </w:r>
      <w:r>
        <w:rPr>
          <w:rFonts w:hint="eastAsia" w:ascii="宋体" w:hAnsi="宋体" w:eastAsia="宋体"/>
          <w:color w:val="000000" w:themeColor="text1"/>
          <w:sz w:val="24"/>
          <w:szCs w:val="24"/>
          <w:lang w:val="en-US" w:eastAsia="zh-CN"/>
          <w14:textFill>
            <w14:solidFill>
              <w14:schemeClr w14:val="tx1"/>
            </w14:solidFill>
          </w14:textFill>
        </w:rPr>
        <w:t>9</w:t>
      </w:r>
      <w:r>
        <w:rPr>
          <w:rFonts w:ascii="宋体" w:hAnsi="宋体" w:eastAsia="宋体"/>
          <w:color w:val="000000" w:themeColor="text1"/>
          <w:sz w:val="24"/>
          <w:szCs w:val="24"/>
          <w14:textFill>
            <w14:solidFill>
              <w14:schemeClr w14:val="tx1"/>
            </w14:solidFill>
          </w14:textFill>
        </w:rPr>
        <w:fldChar w:fldCharType="end"/>
      </w:r>
    </w:p>
    <w:p>
      <w:pPr>
        <w:pStyle w:val="28"/>
        <w:spacing w:line="360" w:lineRule="auto"/>
        <w:ind w:left="0" w:leftChars="0"/>
        <w:rPr>
          <w:rFonts w:hint="eastAsia" w:ascii="宋体" w:hAnsi="宋体" w:eastAsia="宋体" w:cstheme="minorBidi"/>
          <w:color w:val="000000" w:themeColor="text1"/>
          <w:sz w:val="24"/>
          <w:szCs w:val="24"/>
          <w:lang w:val="en-US" w:eastAsia="zh-CN"/>
          <w14:textFill>
            <w14:solidFill>
              <w14:schemeClr w14:val="tx1"/>
            </w14:solidFill>
          </w14:textFill>
        </w:rPr>
      </w:pPr>
      <w:r>
        <w:fldChar w:fldCharType="begin"/>
      </w:r>
      <w:r>
        <w:instrText xml:space="preserve"> HYPERLINK \l "_Toc3900558" </w:instrText>
      </w:r>
      <w:r>
        <w:fldChar w:fldCharType="separate"/>
      </w:r>
      <w:r>
        <w:rPr>
          <w:rStyle w:val="41"/>
          <w:rFonts w:ascii="宋体" w:hAnsi="宋体" w:eastAsia="宋体" w:cs="宋体"/>
          <w:color w:val="000000" w:themeColor="text1"/>
          <w:sz w:val="24"/>
          <w:szCs w:val="24"/>
          <w14:textFill>
            <w14:solidFill>
              <w14:schemeClr w14:val="tx1"/>
            </w14:solidFill>
          </w14:textFill>
        </w:rPr>
        <w:t>（九）估价方法</w:t>
      </w:r>
      <w:r>
        <w:rPr>
          <w:rFonts w:ascii="宋体" w:hAnsi="宋体" w:eastAsia="宋体"/>
          <w:color w:val="000000" w:themeColor="text1"/>
          <w:sz w:val="24"/>
          <w:szCs w:val="24"/>
          <w14:textFill>
            <w14:solidFill>
              <w14:schemeClr w14:val="tx1"/>
            </w14:solidFill>
          </w14:textFill>
        </w:rPr>
        <w:tab/>
      </w:r>
      <w:r>
        <w:rPr>
          <w:rFonts w:hint="eastAsia" w:ascii="宋体" w:hAnsi="宋体" w:eastAsia="宋体"/>
          <w:color w:val="000000" w:themeColor="text1"/>
          <w:sz w:val="24"/>
          <w:szCs w:val="24"/>
          <w:lang w:val="en-US" w:eastAsia="zh-CN"/>
          <w14:textFill>
            <w14:solidFill>
              <w14:schemeClr w14:val="tx1"/>
            </w14:solidFill>
          </w14:textFill>
        </w:rPr>
        <w:t>1</w:t>
      </w:r>
      <w:r>
        <w:rPr>
          <w:rFonts w:ascii="宋体" w:hAnsi="宋体" w:eastAsia="宋体"/>
          <w:color w:val="000000" w:themeColor="text1"/>
          <w:sz w:val="24"/>
          <w:szCs w:val="24"/>
          <w14:textFill>
            <w14:solidFill>
              <w14:schemeClr w14:val="tx1"/>
            </w14:solidFill>
          </w14:textFill>
        </w:rPr>
        <w:fldChar w:fldCharType="end"/>
      </w:r>
      <w:r>
        <w:rPr>
          <w:rFonts w:hint="eastAsia" w:ascii="宋体" w:hAnsi="宋体" w:eastAsia="宋体"/>
          <w:color w:val="000000" w:themeColor="text1"/>
          <w:sz w:val="24"/>
          <w:szCs w:val="24"/>
          <w:lang w:val="en-US" w:eastAsia="zh-CN"/>
          <w14:textFill>
            <w14:solidFill>
              <w14:schemeClr w14:val="tx1"/>
            </w14:solidFill>
          </w14:textFill>
        </w:rPr>
        <w:t>1</w:t>
      </w:r>
    </w:p>
    <w:p>
      <w:pPr>
        <w:pStyle w:val="28"/>
        <w:spacing w:line="360" w:lineRule="auto"/>
        <w:ind w:left="0" w:leftChars="0"/>
        <w:rPr>
          <w:rFonts w:ascii="宋体" w:hAnsi="宋体" w:eastAsia="宋体" w:cstheme="minorBidi"/>
          <w:color w:val="000000" w:themeColor="text1"/>
          <w:sz w:val="24"/>
          <w:szCs w:val="24"/>
          <w14:textFill>
            <w14:solidFill>
              <w14:schemeClr w14:val="tx1"/>
            </w14:solidFill>
          </w14:textFill>
        </w:rPr>
      </w:pPr>
      <w:r>
        <w:fldChar w:fldCharType="begin"/>
      </w:r>
      <w:r>
        <w:instrText xml:space="preserve"> HYPERLINK \l "_Toc3900559" </w:instrText>
      </w:r>
      <w:r>
        <w:fldChar w:fldCharType="separate"/>
      </w:r>
      <w:r>
        <w:rPr>
          <w:rStyle w:val="41"/>
          <w:rFonts w:ascii="宋体" w:hAnsi="宋体" w:eastAsia="宋体" w:cs="宋体"/>
          <w:color w:val="000000" w:themeColor="text1"/>
          <w:sz w:val="24"/>
          <w:szCs w:val="24"/>
          <w14:textFill>
            <w14:solidFill>
              <w14:schemeClr w14:val="tx1"/>
            </w14:solidFill>
          </w14:textFill>
        </w:rPr>
        <w:t>（十）估价结果</w:t>
      </w:r>
      <w:r>
        <w:rPr>
          <w:rFonts w:ascii="宋体" w:hAnsi="宋体" w:eastAsia="宋体"/>
          <w:color w:val="000000" w:themeColor="text1"/>
          <w:sz w:val="24"/>
          <w:szCs w:val="24"/>
          <w14:textFill>
            <w14:solidFill>
              <w14:schemeClr w14:val="tx1"/>
            </w14:solidFill>
          </w14:textFill>
        </w:rPr>
        <w:tab/>
      </w:r>
      <w:r>
        <w:rPr>
          <w:rFonts w:hint="eastAsia" w:ascii="宋体" w:hAnsi="宋体" w:eastAsia="宋体"/>
          <w:color w:val="000000" w:themeColor="text1"/>
          <w:sz w:val="24"/>
          <w:szCs w:val="24"/>
          <w:lang w:val="en-US" w:eastAsia="zh-CN"/>
          <w14:textFill>
            <w14:solidFill>
              <w14:schemeClr w14:val="tx1"/>
            </w14:solidFill>
          </w14:textFill>
        </w:rPr>
        <w:t>12</w:t>
      </w:r>
      <w:r>
        <w:rPr>
          <w:rFonts w:ascii="宋体" w:hAnsi="宋体" w:eastAsia="宋体"/>
          <w:color w:val="000000" w:themeColor="text1"/>
          <w:sz w:val="24"/>
          <w:szCs w:val="24"/>
          <w14:textFill>
            <w14:solidFill>
              <w14:schemeClr w14:val="tx1"/>
            </w14:solidFill>
          </w14:textFill>
        </w:rPr>
        <w:fldChar w:fldCharType="end"/>
      </w:r>
    </w:p>
    <w:p>
      <w:pPr>
        <w:pStyle w:val="28"/>
        <w:spacing w:line="360" w:lineRule="auto"/>
        <w:ind w:left="0" w:leftChars="0"/>
        <w:rPr>
          <w:rFonts w:ascii="宋体" w:hAnsi="宋体" w:eastAsia="宋体" w:cstheme="minorBidi"/>
          <w:color w:val="000000" w:themeColor="text1"/>
          <w:sz w:val="24"/>
          <w:szCs w:val="24"/>
          <w14:textFill>
            <w14:solidFill>
              <w14:schemeClr w14:val="tx1"/>
            </w14:solidFill>
          </w14:textFill>
        </w:rPr>
      </w:pPr>
      <w:r>
        <w:fldChar w:fldCharType="begin"/>
      </w:r>
      <w:r>
        <w:instrText xml:space="preserve"> HYPERLINK \l "_Toc3900560" </w:instrText>
      </w:r>
      <w:r>
        <w:fldChar w:fldCharType="separate"/>
      </w:r>
      <w:r>
        <w:rPr>
          <w:rStyle w:val="41"/>
          <w:rFonts w:ascii="宋体" w:hAnsi="宋体" w:eastAsia="宋体" w:cs="宋体"/>
          <w:color w:val="000000" w:themeColor="text1"/>
          <w:sz w:val="24"/>
          <w:szCs w:val="24"/>
          <w14:textFill>
            <w14:solidFill>
              <w14:schemeClr w14:val="tx1"/>
            </w14:solidFill>
          </w14:textFill>
        </w:rPr>
        <w:t>（十一）注册房地产估价师</w:t>
      </w:r>
      <w:r>
        <w:rPr>
          <w:rFonts w:ascii="宋体" w:hAnsi="宋体" w:eastAsia="宋体"/>
          <w:color w:val="000000" w:themeColor="text1"/>
          <w:sz w:val="24"/>
          <w:szCs w:val="24"/>
          <w14:textFill>
            <w14:solidFill>
              <w14:schemeClr w14:val="tx1"/>
            </w14:solidFill>
          </w14:textFill>
        </w:rPr>
        <w:tab/>
      </w:r>
      <w:r>
        <w:rPr>
          <w:rFonts w:hint="eastAsia" w:ascii="宋体" w:hAnsi="宋体" w:eastAsia="宋体"/>
          <w:color w:val="000000" w:themeColor="text1"/>
          <w:sz w:val="24"/>
          <w:szCs w:val="24"/>
          <w:lang w:val="en-US" w:eastAsia="zh-CN"/>
          <w14:textFill>
            <w14:solidFill>
              <w14:schemeClr w14:val="tx1"/>
            </w14:solidFill>
          </w14:textFill>
        </w:rPr>
        <w:t>14</w:t>
      </w:r>
      <w:r>
        <w:rPr>
          <w:rFonts w:ascii="宋体" w:hAnsi="宋体" w:eastAsia="宋体"/>
          <w:color w:val="000000" w:themeColor="text1"/>
          <w:sz w:val="24"/>
          <w:szCs w:val="24"/>
          <w14:textFill>
            <w14:solidFill>
              <w14:schemeClr w14:val="tx1"/>
            </w14:solidFill>
          </w14:textFill>
        </w:rPr>
        <w:fldChar w:fldCharType="end"/>
      </w:r>
    </w:p>
    <w:p>
      <w:pPr>
        <w:pStyle w:val="28"/>
        <w:spacing w:line="360" w:lineRule="auto"/>
        <w:ind w:left="0" w:leftChars="0"/>
        <w:rPr>
          <w:rFonts w:hint="eastAsia" w:ascii="宋体" w:hAnsi="宋体" w:eastAsia="宋体" w:cstheme="minorBidi"/>
          <w:color w:val="000000" w:themeColor="text1"/>
          <w:sz w:val="24"/>
          <w:szCs w:val="24"/>
          <w:lang w:val="en-US" w:eastAsia="zh-CN"/>
          <w14:textFill>
            <w14:solidFill>
              <w14:schemeClr w14:val="tx1"/>
            </w14:solidFill>
          </w14:textFill>
        </w:rPr>
      </w:pPr>
      <w:r>
        <w:fldChar w:fldCharType="begin"/>
      </w:r>
      <w:r>
        <w:instrText xml:space="preserve"> HYPERLINK \l "_Toc3900561" </w:instrText>
      </w:r>
      <w:r>
        <w:fldChar w:fldCharType="separate"/>
      </w:r>
      <w:r>
        <w:rPr>
          <w:rStyle w:val="41"/>
          <w:rFonts w:ascii="宋体" w:hAnsi="宋体" w:eastAsia="宋体" w:cs="宋体"/>
          <w:color w:val="000000" w:themeColor="text1"/>
          <w:sz w:val="24"/>
          <w:szCs w:val="24"/>
          <w14:textFill>
            <w14:solidFill>
              <w14:schemeClr w14:val="tx1"/>
            </w14:solidFill>
          </w14:textFill>
        </w:rPr>
        <w:t>（十二）实地查勘期</w:t>
      </w:r>
      <w:r>
        <w:rPr>
          <w:rFonts w:ascii="宋体" w:hAnsi="宋体" w:eastAsia="宋体"/>
          <w:color w:val="000000" w:themeColor="text1"/>
          <w:sz w:val="24"/>
          <w:szCs w:val="24"/>
          <w14:textFill>
            <w14:solidFill>
              <w14:schemeClr w14:val="tx1"/>
            </w14:solidFill>
          </w14:textFill>
        </w:rPr>
        <w:tab/>
      </w:r>
      <w:r>
        <w:rPr>
          <w:rFonts w:hint="eastAsia" w:ascii="宋体" w:hAnsi="宋体" w:eastAsia="宋体"/>
          <w:color w:val="000000" w:themeColor="text1"/>
          <w:sz w:val="24"/>
          <w:szCs w:val="24"/>
          <w:lang w:val="en-US" w:eastAsia="zh-CN"/>
          <w14:textFill>
            <w14:solidFill>
              <w14:schemeClr w14:val="tx1"/>
            </w14:solidFill>
          </w14:textFill>
        </w:rPr>
        <w:t>1</w:t>
      </w:r>
      <w:r>
        <w:rPr>
          <w:rFonts w:ascii="宋体" w:hAnsi="宋体" w:eastAsia="宋体"/>
          <w:color w:val="000000" w:themeColor="text1"/>
          <w:sz w:val="24"/>
          <w:szCs w:val="24"/>
          <w14:textFill>
            <w14:solidFill>
              <w14:schemeClr w14:val="tx1"/>
            </w14:solidFill>
          </w14:textFill>
        </w:rPr>
        <w:fldChar w:fldCharType="end"/>
      </w:r>
      <w:r>
        <w:rPr>
          <w:rFonts w:hint="eastAsia" w:ascii="宋体" w:hAnsi="宋体" w:eastAsia="宋体"/>
          <w:color w:val="000000" w:themeColor="text1"/>
          <w:sz w:val="24"/>
          <w:szCs w:val="24"/>
          <w:lang w:val="en-US" w:eastAsia="zh-CN"/>
          <w14:textFill>
            <w14:solidFill>
              <w14:schemeClr w14:val="tx1"/>
            </w14:solidFill>
          </w14:textFill>
        </w:rPr>
        <w:t>4</w:t>
      </w:r>
    </w:p>
    <w:p>
      <w:pPr>
        <w:pStyle w:val="28"/>
        <w:spacing w:line="360" w:lineRule="auto"/>
        <w:ind w:left="0" w:leftChars="0"/>
        <w:rPr>
          <w:rFonts w:hint="eastAsia" w:ascii="宋体" w:hAnsi="宋体" w:eastAsia="宋体" w:cstheme="minorBidi"/>
          <w:color w:val="000000" w:themeColor="text1"/>
          <w:sz w:val="24"/>
          <w:szCs w:val="24"/>
          <w:lang w:val="en-US" w:eastAsia="zh-CN"/>
          <w14:textFill>
            <w14:solidFill>
              <w14:schemeClr w14:val="tx1"/>
            </w14:solidFill>
          </w14:textFill>
        </w:rPr>
      </w:pPr>
      <w:r>
        <w:fldChar w:fldCharType="begin"/>
      </w:r>
      <w:r>
        <w:instrText xml:space="preserve"> HYPERLINK \l "_Toc3900562" </w:instrText>
      </w:r>
      <w:r>
        <w:fldChar w:fldCharType="separate"/>
      </w:r>
      <w:r>
        <w:rPr>
          <w:rStyle w:val="41"/>
          <w:rFonts w:ascii="宋体" w:hAnsi="宋体" w:eastAsia="宋体" w:cs="宋体"/>
          <w:color w:val="000000" w:themeColor="text1"/>
          <w:sz w:val="24"/>
          <w:szCs w:val="24"/>
          <w14:textFill>
            <w14:solidFill>
              <w14:schemeClr w14:val="tx1"/>
            </w14:solidFill>
          </w14:textFill>
        </w:rPr>
        <w:t>（十三）估价作业期</w:t>
      </w:r>
      <w:r>
        <w:rPr>
          <w:rFonts w:ascii="宋体" w:hAnsi="宋体" w:eastAsia="宋体"/>
          <w:color w:val="000000" w:themeColor="text1"/>
          <w:sz w:val="24"/>
          <w:szCs w:val="24"/>
          <w14:textFill>
            <w14:solidFill>
              <w14:schemeClr w14:val="tx1"/>
            </w14:solidFill>
          </w14:textFill>
        </w:rPr>
        <w:tab/>
      </w:r>
      <w:r>
        <w:rPr>
          <w:rFonts w:hint="eastAsia" w:ascii="宋体" w:hAnsi="宋体" w:eastAsia="宋体"/>
          <w:color w:val="000000" w:themeColor="text1"/>
          <w:sz w:val="24"/>
          <w:szCs w:val="24"/>
          <w:lang w:val="en-US" w:eastAsia="zh-CN"/>
          <w14:textFill>
            <w14:solidFill>
              <w14:schemeClr w14:val="tx1"/>
            </w14:solidFill>
          </w14:textFill>
        </w:rPr>
        <w:t>1</w:t>
      </w:r>
      <w:r>
        <w:rPr>
          <w:rFonts w:ascii="宋体" w:hAnsi="宋体" w:eastAsia="宋体"/>
          <w:color w:val="000000" w:themeColor="text1"/>
          <w:sz w:val="24"/>
          <w:szCs w:val="24"/>
          <w14:textFill>
            <w14:solidFill>
              <w14:schemeClr w14:val="tx1"/>
            </w14:solidFill>
          </w14:textFill>
        </w:rPr>
        <w:fldChar w:fldCharType="end"/>
      </w:r>
      <w:r>
        <w:rPr>
          <w:rFonts w:hint="eastAsia" w:ascii="宋体" w:hAnsi="宋体" w:eastAsia="宋体"/>
          <w:color w:val="000000" w:themeColor="text1"/>
          <w:sz w:val="24"/>
          <w:szCs w:val="24"/>
          <w:lang w:val="en-US" w:eastAsia="zh-CN"/>
          <w14:textFill>
            <w14:solidFill>
              <w14:schemeClr w14:val="tx1"/>
            </w14:solidFill>
          </w14:textFill>
        </w:rPr>
        <w:t>4</w:t>
      </w:r>
    </w:p>
    <w:p>
      <w:pPr>
        <w:pStyle w:val="23"/>
        <w:spacing w:line="360" w:lineRule="auto"/>
        <w:rPr>
          <w:rFonts w:hint="eastAsia" w:ascii="宋体" w:hAnsi="宋体" w:eastAsia="宋体" w:cstheme="minorBidi"/>
          <w:b/>
          <w:color w:val="000000" w:themeColor="text1"/>
          <w:sz w:val="24"/>
          <w:szCs w:val="24"/>
          <w:lang w:val="en-US" w:eastAsia="zh-CN"/>
          <w14:textFill>
            <w14:solidFill>
              <w14:schemeClr w14:val="tx1"/>
            </w14:solidFill>
          </w14:textFill>
        </w:rPr>
      </w:pPr>
      <w:r>
        <w:fldChar w:fldCharType="begin"/>
      </w:r>
      <w:r>
        <w:instrText xml:space="preserve"> HYPERLINK \l "_Toc3900563" </w:instrText>
      </w:r>
      <w:r>
        <w:fldChar w:fldCharType="separate"/>
      </w:r>
      <w:r>
        <w:rPr>
          <w:rStyle w:val="41"/>
          <w:rFonts w:ascii="宋体" w:hAnsi="宋体" w:cs="黑体"/>
          <w:b/>
          <w:color w:val="000000" w:themeColor="text1"/>
          <w:sz w:val="24"/>
          <w:szCs w:val="24"/>
          <w14:textFill>
            <w14:solidFill>
              <w14:schemeClr w14:val="tx1"/>
            </w14:solidFill>
          </w14:textFill>
        </w:rPr>
        <w:t>四、附   件</w:t>
      </w:r>
      <w:r>
        <w:rPr>
          <w:rFonts w:ascii="宋体" w:hAnsi="宋体"/>
          <w:b/>
          <w:color w:val="000000" w:themeColor="text1"/>
          <w:sz w:val="24"/>
          <w:szCs w:val="24"/>
          <w14:textFill>
            <w14:solidFill>
              <w14:schemeClr w14:val="tx1"/>
            </w14:solidFill>
          </w14:textFill>
        </w:rPr>
        <w:tab/>
      </w:r>
      <w:r>
        <w:rPr>
          <w:rFonts w:hint="eastAsia" w:ascii="宋体" w:hAnsi="宋体"/>
          <w:b/>
          <w:color w:val="000000" w:themeColor="text1"/>
          <w:sz w:val="24"/>
          <w:szCs w:val="24"/>
          <w:lang w:val="en-US" w:eastAsia="zh-CN"/>
          <w14:textFill>
            <w14:solidFill>
              <w14:schemeClr w14:val="tx1"/>
            </w14:solidFill>
          </w14:textFill>
        </w:rPr>
        <w:t>1</w:t>
      </w:r>
      <w:r>
        <w:rPr>
          <w:rFonts w:ascii="宋体" w:hAnsi="宋体"/>
          <w:b/>
          <w:color w:val="000000" w:themeColor="text1"/>
          <w:sz w:val="24"/>
          <w:szCs w:val="24"/>
          <w14:textFill>
            <w14:solidFill>
              <w14:schemeClr w14:val="tx1"/>
            </w14:solidFill>
          </w14:textFill>
        </w:rPr>
        <w:fldChar w:fldCharType="end"/>
      </w:r>
      <w:r>
        <w:rPr>
          <w:rFonts w:hint="eastAsia" w:ascii="宋体" w:hAnsi="宋体"/>
          <w:b/>
          <w:color w:val="000000" w:themeColor="text1"/>
          <w:sz w:val="24"/>
          <w:szCs w:val="24"/>
          <w:lang w:val="en-US" w:eastAsia="zh-CN"/>
          <w14:textFill>
            <w14:solidFill>
              <w14:schemeClr w14:val="tx1"/>
            </w14:solidFill>
          </w14:textFill>
        </w:rPr>
        <w:t>5</w:t>
      </w:r>
    </w:p>
    <w:p>
      <w:pPr>
        <w:pStyle w:val="23"/>
        <w:spacing w:line="360" w:lineRule="auto"/>
        <w:rPr>
          <w:rFonts w:ascii="宋体" w:hAnsi="宋体" w:cstheme="minorBidi"/>
          <w:color w:val="000000" w:themeColor="text1"/>
          <w:sz w:val="21"/>
          <w:szCs w:val="21"/>
          <w:highlight w:val="none"/>
          <w14:textFill>
            <w14:solidFill>
              <w14:schemeClr w14:val="tx1"/>
            </w14:solidFill>
          </w14:textFill>
        </w:rPr>
      </w:pPr>
      <w:r>
        <w:rPr>
          <w:highlight w:val="none"/>
        </w:rPr>
        <w:fldChar w:fldCharType="begin"/>
      </w:r>
      <w:r>
        <w:rPr>
          <w:highlight w:val="none"/>
        </w:rPr>
        <w:instrText xml:space="preserve"> HYPERLINK \l "_Toc3900564" </w:instrText>
      </w:r>
      <w:r>
        <w:rPr>
          <w:highlight w:val="none"/>
        </w:rPr>
        <w:fldChar w:fldCharType="separate"/>
      </w:r>
      <w:r>
        <w:rPr>
          <w:rStyle w:val="41"/>
          <w:rFonts w:ascii="宋体" w:hAnsi="宋体" w:cs="黑体"/>
          <w:sz w:val="21"/>
          <w:szCs w:val="21"/>
          <w:highlight w:val="none"/>
        </w:rPr>
        <w:t>1、</w:t>
      </w:r>
      <w:r>
        <w:rPr>
          <w:rStyle w:val="41"/>
          <w:rFonts w:hint="eastAsia" w:ascii="宋体" w:hAnsi="宋体" w:cs="黑体"/>
          <w:sz w:val="21"/>
          <w:szCs w:val="21"/>
          <w:highlight w:val="none"/>
          <w:lang w:eastAsia="zh-CN"/>
        </w:rPr>
        <w:t>《绵竹市人民法院司法评估委托书》（2021）川0683执恢26号</w:t>
      </w:r>
      <w:r>
        <w:rPr>
          <w:rStyle w:val="41"/>
          <w:rFonts w:ascii="宋体" w:hAnsi="宋体" w:cs="黑体"/>
          <w:sz w:val="21"/>
          <w:szCs w:val="21"/>
          <w:highlight w:val="none"/>
        </w:rPr>
        <w:t>；</w:t>
      </w:r>
      <w:r>
        <w:rPr>
          <w:rStyle w:val="41"/>
          <w:rFonts w:ascii="宋体" w:hAnsi="宋体" w:cs="黑体"/>
          <w:sz w:val="21"/>
          <w:szCs w:val="21"/>
          <w:highlight w:val="none"/>
        </w:rPr>
        <w:fldChar w:fldCharType="end"/>
      </w:r>
      <w:r>
        <w:rPr>
          <w:rFonts w:ascii="宋体" w:hAnsi="宋体" w:cstheme="minorBidi"/>
          <w:color w:val="000000" w:themeColor="text1"/>
          <w:sz w:val="21"/>
          <w:szCs w:val="21"/>
          <w:highlight w:val="none"/>
          <w14:textFill>
            <w14:solidFill>
              <w14:schemeClr w14:val="tx1"/>
            </w14:solidFill>
          </w14:textFill>
        </w:rPr>
        <w:t xml:space="preserve"> </w:t>
      </w:r>
    </w:p>
    <w:p>
      <w:pPr>
        <w:pStyle w:val="23"/>
        <w:spacing w:line="360" w:lineRule="auto"/>
        <w:rPr>
          <w:rFonts w:ascii="宋体" w:hAnsi="宋体" w:cstheme="minorBidi"/>
          <w:color w:val="000000" w:themeColor="text1"/>
          <w:sz w:val="21"/>
          <w:szCs w:val="21"/>
          <w:highlight w:val="none"/>
          <w14:textFill>
            <w14:solidFill>
              <w14:schemeClr w14:val="tx1"/>
            </w14:solidFill>
          </w14:textFill>
        </w:rPr>
      </w:pPr>
      <w:r>
        <w:rPr>
          <w:highlight w:val="none"/>
        </w:rPr>
        <w:fldChar w:fldCharType="begin"/>
      </w:r>
      <w:r>
        <w:rPr>
          <w:highlight w:val="none"/>
        </w:rPr>
        <w:instrText xml:space="preserve"> HYPERLINK \l "_Toc3900565" </w:instrText>
      </w:r>
      <w:r>
        <w:rPr>
          <w:highlight w:val="none"/>
        </w:rPr>
        <w:fldChar w:fldCharType="separate"/>
      </w:r>
      <w:r>
        <w:rPr>
          <w:rStyle w:val="41"/>
          <w:rFonts w:ascii="宋体" w:hAnsi="宋体" w:cs="黑体"/>
          <w:color w:val="000000" w:themeColor="text1"/>
          <w:sz w:val="21"/>
          <w:szCs w:val="21"/>
          <w:highlight w:val="none"/>
          <w14:textFill>
            <w14:solidFill>
              <w14:schemeClr w14:val="tx1"/>
            </w14:solidFill>
          </w14:textFill>
        </w:rPr>
        <w:t>2、估价对象《</w:t>
      </w:r>
      <w:r>
        <w:rPr>
          <w:rStyle w:val="41"/>
          <w:rFonts w:hint="eastAsia" w:ascii="宋体" w:hAnsi="宋体" w:cs="黑体"/>
          <w:color w:val="000000" w:themeColor="text1"/>
          <w:sz w:val="21"/>
          <w:szCs w:val="21"/>
          <w:highlight w:val="none"/>
          <w:lang w:eastAsia="zh-CN"/>
          <w14:textFill>
            <w14:solidFill>
              <w14:schemeClr w14:val="tx1"/>
            </w14:solidFill>
          </w14:textFill>
        </w:rPr>
        <w:t>不动产登记信息查询结果单</w:t>
      </w:r>
      <w:r>
        <w:rPr>
          <w:rStyle w:val="41"/>
          <w:rFonts w:ascii="宋体" w:hAnsi="宋体" w:cs="黑体"/>
          <w:color w:val="000000" w:themeColor="text1"/>
          <w:sz w:val="21"/>
          <w:szCs w:val="21"/>
          <w:highlight w:val="none"/>
          <w14:textFill>
            <w14:solidFill>
              <w14:schemeClr w14:val="tx1"/>
            </w14:solidFill>
          </w14:textFill>
        </w:rPr>
        <w:t>》复印件；</w:t>
      </w:r>
      <w:r>
        <w:rPr>
          <w:rStyle w:val="41"/>
          <w:rFonts w:ascii="宋体" w:hAnsi="宋体" w:cs="黑体"/>
          <w:color w:val="000000" w:themeColor="text1"/>
          <w:sz w:val="21"/>
          <w:szCs w:val="21"/>
          <w:highlight w:val="none"/>
          <w14:textFill>
            <w14:solidFill>
              <w14:schemeClr w14:val="tx1"/>
            </w14:solidFill>
          </w14:textFill>
        </w:rPr>
        <w:fldChar w:fldCharType="end"/>
      </w:r>
      <w:r>
        <w:rPr>
          <w:rFonts w:ascii="宋体" w:hAnsi="宋体" w:cstheme="minorBidi"/>
          <w:color w:val="000000" w:themeColor="text1"/>
          <w:sz w:val="21"/>
          <w:szCs w:val="21"/>
          <w:highlight w:val="none"/>
          <w14:textFill>
            <w14:solidFill>
              <w14:schemeClr w14:val="tx1"/>
            </w14:solidFill>
          </w14:textFill>
        </w:rPr>
        <w:t xml:space="preserve"> </w:t>
      </w:r>
    </w:p>
    <w:p>
      <w:pPr>
        <w:pStyle w:val="23"/>
        <w:spacing w:line="360" w:lineRule="auto"/>
      </w:pPr>
      <w:r>
        <w:fldChar w:fldCharType="begin"/>
      </w:r>
      <w:r>
        <w:instrText xml:space="preserve"> HYPERLINK \l "_Toc3900566" </w:instrText>
      </w:r>
      <w:r>
        <w:fldChar w:fldCharType="separate"/>
      </w:r>
      <w:r>
        <w:rPr>
          <w:rStyle w:val="41"/>
          <w:rFonts w:ascii="宋体" w:hAnsi="宋体" w:cs="黑体"/>
          <w:color w:val="000000" w:themeColor="text1"/>
          <w:sz w:val="21"/>
          <w:szCs w:val="21"/>
          <w14:textFill>
            <w14:solidFill>
              <w14:schemeClr w14:val="tx1"/>
            </w14:solidFill>
          </w14:textFill>
        </w:rPr>
        <w:t>3、估价对象</w:t>
      </w:r>
      <w:r>
        <w:rPr>
          <w:rStyle w:val="41"/>
          <w:rFonts w:hint="eastAsia" w:ascii="宋体" w:hAnsi="宋体" w:cs="黑体"/>
          <w:color w:val="000000" w:themeColor="text1"/>
          <w:sz w:val="21"/>
          <w:szCs w:val="21"/>
          <w:lang w:val="en-US" w:eastAsia="zh-CN"/>
          <w14:textFill>
            <w14:solidFill>
              <w14:schemeClr w14:val="tx1"/>
            </w14:solidFill>
          </w14:textFill>
        </w:rPr>
        <w:t>产权资料复印件</w:t>
      </w:r>
      <w:r>
        <w:rPr>
          <w:rStyle w:val="41"/>
          <w:rFonts w:ascii="宋体" w:hAnsi="宋体" w:cs="黑体"/>
          <w:color w:val="000000" w:themeColor="text1"/>
          <w:sz w:val="21"/>
          <w:szCs w:val="21"/>
          <w14:textFill>
            <w14:solidFill>
              <w14:schemeClr w14:val="tx1"/>
            </w14:solidFill>
          </w14:textFill>
        </w:rPr>
        <w:t>；</w:t>
      </w:r>
      <w:r>
        <w:rPr>
          <w:rStyle w:val="41"/>
          <w:rFonts w:ascii="宋体" w:hAnsi="宋体" w:cs="黑体"/>
          <w:color w:val="000000" w:themeColor="text1"/>
          <w:sz w:val="21"/>
          <w:szCs w:val="21"/>
          <w14:textFill>
            <w14:solidFill>
              <w14:schemeClr w14:val="tx1"/>
            </w14:solidFill>
          </w14:textFill>
        </w:rPr>
        <w:fldChar w:fldCharType="end"/>
      </w:r>
      <w:r>
        <w:rPr>
          <w:rFonts w:ascii="宋体" w:hAnsi="宋体" w:cstheme="minorBidi"/>
          <w:color w:val="000000" w:themeColor="text1"/>
          <w:sz w:val="21"/>
          <w:szCs w:val="21"/>
          <w14:textFill>
            <w14:solidFill>
              <w14:schemeClr w14:val="tx1"/>
            </w14:solidFill>
          </w14:textFill>
        </w:rPr>
        <w:t xml:space="preserve"> </w:t>
      </w:r>
    </w:p>
    <w:p>
      <w:pPr>
        <w:pStyle w:val="23"/>
        <w:spacing w:line="360" w:lineRule="auto"/>
        <w:rPr>
          <w:rFonts w:ascii="宋体" w:hAnsi="宋体" w:cstheme="minorBidi"/>
          <w:color w:val="000000" w:themeColor="text1"/>
          <w:sz w:val="21"/>
          <w:szCs w:val="21"/>
          <w14:textFill>
            <w14:solidFill>
              <w14:schemeClr w14:val="tx1"/>
            </w14:solidFill>
          </w14:textFill>
        </w:rPr>
      </w:pPr>
      <w:r>
        <w:fldChar w:fldCharType="begin"/>
      </w:r>
      <w:r>
        <w:instrText xml:space="preserve"> HYPERLINK \l "_Toc3900566" </w:instrText>
      </w:r>
      <w:r>
        <w:fldChar w:fldCharType="separate"/>
      </w:r>
      <w:r>
        <w:rPr>
          <w:rStyle w:val="41"/>
          <w:rFonts w:hint="eastAsia" w:ascii="宋体" w:hAnsi="宋体" w:cs="黑体"/>
          <w:color w:val="000000" w:themeColor="text1"/>
          <w:sz w:val="21"/>
          <w:szCs w:val="21"/>
          <w:lang w:val="en-US" w:eastAsia="zh-CN"/>
          <w14:textFill>
            <w14:solidFill>
              <w14:schemeClr w14:val="tx1"/>
            </w14:solidFill>
          </w14:textFill>
        </w:rPr>
        <w:t>4</w:t>
      </w:r>
      <w:r>
        <w:rPr>
          <w:rStyle w:val="41"/>
          <w:rFonts w:ascii="宋体" w:hAnsi="宋体" w:cs="黑体"/>
          <w:color w:val="000000" w:themeColor="text1"/>
          <w:sz w:val="21"/>
          <w:szCs w:val="21"/>
          <w14:textFill>
            <w14:solidFill>
              <w14:schemeClr w14:val="tx1"/>
            </w14:solidFill>
          </w14:textFill>
        </w:rPr>
        <w:t>、估价对象所在区域位置示意图；</w:t>
      </w:r>
      <w:r>
        <w:rPr>
          <w:rStyle w:val="41"/>
          <w:rFonts w:ascii="宋体" w:hAnsi="宋体" w:cs="黑体"/>
          <w:color w:val="000000" w:themeColor="text1"/>
          <w:sz w:val="21"/>
          <w:szCs w:val="21"/>
          <w14:textFill>
            <w14:solidFill>
              <w14:schemeClr w14:val="tx1"/>
            </w14:solidFill>
          </w14:textFill>
        </w:rPr>
        <w:fldChar w:fldCharType="end"/>
      </w:r>
      <w:r>
        <w:rPr>
          <w:rFonts w:ascii="宋体" w:hAnsi="宋体" w:cstheme="minorBidi"/>
          <w:color w:val="000000" w:themeColor="text1"/>
          <w:sz w:val="21"/>
          <w:szCs w:val="21"/>
          <w14:textFill>
            <w14:solidFill>
              <w14:schemeClr w14:val="tx1"/>
            </w14:solidFill>
          </w14:textFill>
        </w:rPr>
        <w:t xml:space="preserve"> </w:t>
      </w:r>
    </w:p>
    <w:p>
      <w:pPr>
        <w:pStyle w:val="23"/>
        <w:spacing w:line="360" w:lineRule="auto"/>
        <w:rPr>
          <w:rFonts w:ascii="宋体" w:hAnsi="宋体" w:cstheme="minorBidi"/>
          <w:color w:val="000000" w:themeColor="text1"/>
          <w:sz w:val="21"/>
          <w:szCs w:val="21"/>
          <w14:textFill>
            <w14:solidFill>
              <w14:schemeClr w14:val="tx1"/>
            </w14:solidFill>
          </w14:textFill>
        </w:rPr>
      </w:pPr>
      <w:r>
        <w:fldChar w:fldCharType="begin"/>
      </w:r>
      <w:r>
        <w:instrText xml:space="preserve"> HYPERLINK \l "_Toc3900567" </w:instrText>
      </w:r>
      <w:r>
        <w:fldChar w:fldCharType="separate"/>
      </w:r>
      <w:r>
        <w:rPr>
          <w:rStyle w:val="41"/>
          <w:rFonts w:hint="eastAsia" w:ascii="宋体" w:hAnsi="宋体" w:cs="黑体"/>
          <w:color w:val="000000" w:themeColor="text1"/>
          <w:sz w:val="21"/>
          <w:szCs w:val="21"/>
          <w:lang w:val="en-US" w:eastAsia="zh-CN"/>
          <w14:textFill>
            <w14:solidFill>
              <w14:schemeClr w14:val="tx1"/>
            </w14:solidFill>
          </w14:textFill>
        </w:rPr>
        <w:t>5</w:t>
      </w:r>
      <w:r>
        <w:rPr>
          <w:rStyle w:val="41"/>
          <w:rFonts w:ascii="宋体" w:hAnsi="宋体" w:cs="黑体"/>
          <w:color w:val="000000" w:themeColor="text1"/>
          <w:sz w:val="21"/>
          <w:szCs w:val="21"/>
          <w14:textFill>
            <w14:solidFill>
              <w14:schemeClr w14:val="tx1"/>
            </w14:solidFill>
          </w14:textFill>
        </w:rPr>
        <w:t>、估价对象相关照片及可比实例照片；</w:t>
      </w:r>
      <w:r>
        <w:rPr>
          <w:rStyle w:val="41"/>
          <w:rFonts w:ascii="宋体" w:hAnsi="宋体" w:cs="黑体"/>
          <w:color w:val="000000" w:themeColor="text1"/>
          <w:sz w:val="21"/>
          <w:szCs w:val="21"/>
          <w14:textFill>
            <w14:solidFill>
              <w14:schemeClr w14:val="tx1"/>
            </w14:solidFill>
          </w14:textFill>
        </w:rPr>
        <w:fldChar w:fldCharType="end"/>
      </w:r>
      <w:r>
        <w:rPr>
          <w:rFonts w:ascii="宋体" w:hAnsi="宋体" w:cstheme="minorBidi"/>
          <w:color w:val="000000" w:themeColor="text1"/>
          <w:sz w:val="21"/>
          <w:szCs w:val="21"/>
          <w14:textFill>
            <w14:solidFill>
              <w14:schemeClr w14:val="tx1"/>
            </w14:solidFill>
          </w14:textFill>
        </w:rPr>
        <w:t xml:space="preserve"> </w:t>
      </w:r>
    </w:p>
    <w:p>
      <w:pPr>
        <w:pStyle w:val="23"/>
        <w:spacing w:line="360" w:lineRule="auto"/>
        <w:rPr>
          <w:rFonts w:ascii="宋体" w:hAnsi="宋体" w:cstheme="minorBidi"/>
          <w:color w:val="000000" w:themeColor="text1"/>
          <w:sz w:val="21"/>
          <w:szCs w:val="21"/>
          <w14:textFill>
            <w14:solidFill>
              <w14:schemeClr w14:val="tx1"/>
            </w14:solidFill>
          </w14:textFill>
        </w:rPr>
      </w:pPr>
      <w:r>
        <w:fldChar w:fldCharType="begin"/>
      </w:r>
      <w:r>
        <w:instrText xml:space="preserve"> HYPERLINK \l "_Toc3900568" </w:instrText>
      </w:r>
      <w:r>
        <w:fldChar w:fldCharType="separate"/>
      </w:r>
      <w:r>
        <w:rPr>
          <w:rStyle w:val="41"/>
          <w:rFonts w:hint="eastAsia" w:ascii="宋体" w:hAnsi="宋体" w:cs="黑体"/>
          <w:color w:val="000000" w:themeColor="text1"/>
          <w:sz w:val="21"/>
          <w:szCs w:val="21"/>
          <w:lang w:val="en-US" w:eastAsia="zh-CN"/>
          <w14:textFill>
            <w14:solidFill>
              <w14:schemeClr w14:val="tx1"/>
            </w14:solidFill>
          </w14:textFill>
        </w:rPr>
        <w:t>6</w:t>
      </w:r>
      <w:r>
        <w:rPr>
          <w:rStyle w:val="41"/>
          <w:rFonts w:ascii="宋体" w:hAnsi="宋体" w:cs="黑体"/>
          <w:color w:val="000000" w:themeColor="text1"/>
          <w:sz w:val="21"/>
          <w:szCs w:val="21"/>
          <w14:textFill>
            <w14:solidFill>
              <w14:schemeClr w14:val="tx1"/>
            </w14:solidFill>
          </w14:textFill>
        </w:rPr>
        <w:t>、房地产评估机构营业执照和估价资质证书复印件；</w:t>
      </w:r>
      <w:r>
        <w:rPr>
          <w:rStyle w:val="41"/>
          <w:rFonts w:ascii="宋体" w:hAnsi="宋体" w:cs="黑体"/>
          <w:color w:val="000000" w:themeColor="text1"/>
          <w:sz w:val="21"/>
          <w:szCs w:val="21"/>
          <w14:textFill>
            <w14:solidFill>
              <w14:schemeClr w14:val="tx1"/>
            </w14:solidFill>
          </w14:textFill>
        </w:rPr>
        <w:fldChar w:fldCharType="end"/>
      </w:r>
      <w:r>
        <w:rPr>
          <w:rFonts w:ascii="宋体" w:hAnsi="宋体" w:cstheme="minorBidi"/>
          <w:color w:val="000000" w:themeColor="text1"/>
          <w:sz w:val="21"/>
          <w:szCs w:val="21"/>
          <w14:textFill>
            <w14:solidFill>
              <w14:schemeClr w14:val="tx1"/>
            </w14:solidFill>
          </w14:textFill>
        </w:rPr>
        <w:t xml:space="preserve"> </w:t>
      </w:r>
    </w:p>
    <w:p>
      <w:pPr>
        <w:pStyle w:val="23"/>
        <w:spacing w:line="360" w:lineRule="auto"/>
        <w:rPr>
          <w:rFonts w:ascii="宋体" w:hAnsi="宋体" w:cstheme="minorBidi"/>
          <w:color w:val="000000" w:themeColor="text1"/>
          <w:sz w:val="21"/>
          <w:szCs w:val="21"/>
          <w14:textFill>
            <w14:solidFill>
              <w14:schemeClr w14:val="tx1"/>
            </w14:solidFill>
          </w14:textFill>
        </w:rPr>
      </w:pPr>
      <w:r>
        <w:fldChar w:fldCharType="begin"/>
      </w:r>
      <w:r>
        <w:instrText xml:space="preserve"> HYPERLINK \l "_Toc3900569" </w:instrText>
      </w:r>
      <w:r>
        <w:fldChar w:fldCharType="separate"/>
      </w:r>
      <w:r>
        <w:rPr>
          <w:rStyle w:val="41"/>
          <w:rFonts w:hint="eastAsia" w:ascii="宋体" w:hAnsi="宋体" w:cs="黑体"/>
          <w:color w:val="000000" w:themeColor="text1"/>
          <w:sz w:val="21"/>
          <w:szCs w:val="21"/>
          <w:lang w:val="en-US" w:eastAsia="zh-CN"/>
          <w14:textFill>
            <w14:solidFill>
              <w14:schemeClr w14:val="tx1"/>
            </w14:solidFill>
          </w14:textFill>
        </w:rPr>
        <w:t>7</w:t>
      </w:r>
      <w:r>
        <w:rPr>
          <w:rStyle w:val="41"/>
          <w:rFonts w:ascii="宋体" w:hAnsi="宋体" w:cs="黑体"/>
          <w:color w:val="000000" w:themeColor="text1"/>
          <w:sz w:val="21"/>
          <w:szCs w:val="21"/>
          <w14:textFill>
            <w14:solidFill>
              <w14:schemeClr w14:val="tx1"/>
            </w14:solidFill>
          </w14:textFill>
        </w:rPr>
        <w:t>、注册房地产估价师估价资格证书复印。</w:t>
      </w:r>
      <w:r>
        <w:rPr>
          <w:rStyle w:val="41"/>
          <w:rFonts w:ascii="宋体" w:hAnsi="宋体" w:cs="黑体"/>
          <w:color w:val="000000" w:themeColor="text1"/>
          <w:sz w:val="21"/>
          <w:szCs w:val="21"/>
          <w14:textFill>
            <w14:solidFill>
              <w14:schemeClr w14:val="tx1"/>
            </w14:solidFill>
          </w14:textFill>
        </w:rPr>
        <w:fldChar w:fldCharType="end"/>
      </w:r>
    </w:p>
    <w:p>
      <w:pPr>
        <w:tabs>
          <w:tab w:val="left" w:pos="3045"/>
        </w:tabs>
        <w:adjustRightInd w:val="0"/>
        <w:snapToGrid w:val="0"/>
        <w:spacing w:line="360" w:lineRule="auto"/>
        <w:rPr>
          <w:rFonts w:ascii="宋体" w:hAnsi="宋体" w:cs="宋体"/>
          <w:color w:val="000000" w:themeColor="text1"/>
          <w:kern w:val="0"/>
          <w:szCs w:val="28"/>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fldChar w:fldCharType="end"/>
      </w:r>
    </w:p>
    <w:p>
      <w:pPr>
        <w:pStyle w:val="18"/>
        <w:snapToGrid w:val="0"/>
        <w:spacing w:line="348" w:lineRule="auto"/>
        <w:jc w:val="center"/>
        <w:outlineLvl w:val="0"/>
        <w:rPr>
          <w:rFonts w:ascii="黑体" w:eastAsia="黑体" w:cs="黑体"/>
          <w:b w:val="0"/>
          <w:bCs w:val="0"/>
          <w:color w:val="000000" w:themeColor="text1"/>
          <w:sz w:val="32"/>
          <w:szCs w:val="32"/>
          <w14:textFill>
            <w14:solidFill>
              <w14:schemeClr w14:val="tx1"/>
            </w14:solidFill>
          </w14:textFill>
        </w:rPr>
        <w:sectPr>
          <w:headerReference r:id="rId11" w:type="first"/>
          <w:footerReference r:id="rId13" w:type="first"/>
          <w:headerReference r:id="rId10" w:type="default"/>
          <w:footerReference r:id="rId12" w:type="default"/>
          <w:pgSz w:w="11906" w:h="16838"/>
          <w:pgMar w:top="1418" w:right="1287" w:bottom="1418" w:left="1418" w:header="851" w:footer="680" w:gutter="0"/>
          <w:pgNumType w:start="1"/>
          <w:cols w:space="720" w:num="1"/>
          <w:titlePg/>
          <w:docGrid w:type="linesAndChars" w:linePitch="312" w:charSpace="0"/>
        </w:sectPr>
      </w:pPr>
    </w:p>
    <w:p>
      <w:pPr>
        <w:pStyle w:val="18"/>
        <w:snapToGrid w:val="0"/>
        <w:spacing w:line="348" w:lineRule="auto"/>
        <w:jc w:val="center"/>
        <w:outlineLvl w:val="0"/>
        <w:rPr>
          <w:rFonts w:ascii="黑体" w:eastAsia="黑体" w:cs="黑体"/>
          <w:b w:val="0"/>
          <w:bCs w:val="0"/>
          <w:color w:val="000000" w:themeColor="text1"/>
          <w:sz w:val="32"/>
          <w:szCs w:val="32"/>
          <w14:textFill>
            <w14:solidFill>
              <w14:schemeClr w14:val="tx1"/>
            </w14:solidFill>
          </w14:textFill>
        </w:rPr>
      </w:pPr>
      <w:bookmarkStart w:id="14" w:name="_Toc3900538"/>
      <w:r>
        <w:rPr>
          <w:rFonts w:hint="eastAsia" w:ascii="黑体" w:eastAsia="黑体" w:cs="黑体"/>
          <w:b w:val="0"/>
          <w:bCs w:val="0"/>
          <w:color w:val="000000" w:themeColor="text1"/>
          <w:sz w:val="32"/>
          <w:szCs w:val="32"/>
          <w14:textFill>
            <w14:solidFill>
              <w14:schemeClr w14:val="tx1"/>
            </w14:solidFill>
          </w14:textFill>
        </w:rPr>
        <w:t>一、估价师声明</w:t>
      </w:r>
      <w:bookmarkEnd w:id="13"/>
      <w:bookmarkEnd w:id="14"/>
    </w:p>
    <w:p>
      <w:pPr>
        <w:spacing w:line="360" w:lineRule="auto"/>
        <w:ind w:firstLine="570"/>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我们郑重声明：</w:t>
      </w:r>
    </w:p>
    <w:p>
      <w:pPr>
        <w:spacing w:line="360" w:lineRule="auto"/>
        <w:ind w:firstLine="57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r>
        <w:rPr>
          <w:rFonts w:hint="eastAsia" w:cs="宋体"/>
          <w:color w:val="000000" w:themeColor="text1"/>
          <w:sz w:val="24"/>
          <w:szCs w:val="24"/>
          <w14:textFill>
            <w14:solidFill>
              <w14:schemeClr w14:val="tx1"/>
            </w14:solidFill>
          </w14:textFill>
        </w:rPr>
        <w:t>、注册房地产估价师在估价报告中对事实的说明陈述的事实是真实和准确的，没有虚假记载、误导性陈述和重大遗漏；</w:t>
      </w:r>
    </w:p>
    <w:p>
      <w:pPr>
        <w:widowControl/>
        <w:spacing w:line="360" w:lineRule="auto"/>
        <w:ind w:firstLine="480" w:firstLineChars="20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w:t>
      </w:r>
      <w:r>
        <w:rPr>
          <w:rFonts w:hint="eastAsia" w:cs="宋体"/>
          <w:color w:val="000000" w:themeColor="text1"/>
          <w:sz w:val="24"/>
          <w:szCs w:val="24"/>
          <w14:textFill>
            <w14:solidFill>
              <w14:schemeClr w14:val="tx1"/>
            </w14:solidFill>
          </w14:textFill>
        </w:rPr>
        <w:t>、估价报告中的分析、意见和结论是注册房地产估价师独立、客观、公正的专业分析、意见和结论，但受到估价报告中已说明的假设和限制条件的限制；</w:t>
      </w:r>
    </w:p>
    <w:p>
      <w:pPr>
        <w:spacing w:line="360" w:lineRule="auto"/>
        <w:ind w:firstLine="57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w:t>
      </w:r>
      <w:r>
        <w:rPr>
          <w:rFonts w:hint="eastAsia" w:cs="宋体"/>
          <w:color w:val="000000" w:themeColor="text1"/>
          <w:sz w:val="24"/>
          <w:szCs w:val="24"/>
          <w14:textFill>
            <w14:solidFill>
              <w14:schemeClr w14:val="tx1"/>
            </w14:solidFill>
          </w14:textFill>
        </w:rPr>
        <w:t>、注册房地产估价师与估价报告中的估价对象没有现实或潜在的利益，与估价委托人及估价利害关系人没有利害关系，也对估价对象、估价委托人及估价利害人没有偏见；</w:t>
      </w:r>
    </w:p>
    <w:p>
      <w:pPr>
        <w:spacing w:line="360" w:lineRule="auto"/>
        <w:ind w:firstLine="570"/>
        <w:rPr>
          <w:rFonts w:cs="宋体"/>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w:t>
      </w:r>
      <w:r>
        <w:rPr>
          <w:rFonts w:hint="eastAsia" w:cs="宋体"/>
          <w:color w:val="000000" w:themeColor="text1"/>
          <w:sz w:val="24"/>
          <w:szCs w:val="24"/>
          <w14:textFill>
            <w14:solidFill>
              <w14:schemeClr w14:val="tx1"/>
            </w14:solidFill>
          </w14:textFill>
        </w:rPr>
        <w:t>、</w:t>
      </w:r>
      <w:r>
        <w:rPr>
          <w:rFonts w:hint="eastAsia" w:cs="宋体"/>
          <w:color w:val="000000"/>
          <w:sz w:val="24"/>
          <w:szCs w:val="24"/>
        </w:rPr>
        <w:t>我们依照中华人民共和国国家标准《房地产估价规范》（GB/T50291—2015）、《房地产估价基本术语标准》（GB/T50899—2013）等进行分析，形成意见和结论，撰写本估价报告；</w:t>
      </w:r>
    </w:p>
    <w:p>
      <w:pPr>
        <w:spacing w:line="360" w:lineRule="auto"/>
        <w:ind w:firstLine="57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5</w:t>
      </w:r>
      <w:r>
        <w:rPr>
          <w:rFonts w:hint="eastAsia"/>
          <w:color w:val="000000" w:themeColor="text1"/>
          <w:sz w:val="24"/>
          <w:szCs w:val="24"/>
          <w14:textFill>
            <w14:solidFill>
              <w14:schemeClr w14:val="tx1"/>
            </w14:solidFill>
          </w14:textFill>
        </w:rPr>
        <w:t>、我公司注册房地产估价师</w:t>
      </w:r>
      <w:r>
        <w:rPr>
          <w:rFonts w:hint="eastAsia"/>
          <w:color w:val="000000" w:themeColor="text1"/>
          <w:sz w:val="24"/>
          <w:szCs w:val="24"/>
          <w:u w:val="single"/>
          <w14:textFill>
            <w14:solidFill>
              <w14:schemeClr w14:val="tx1"/>
            </w14:solidFill>
          </w14:textFill>
        </w:rPr>
        <w:t>肖琴</w:t>
      </w:r>
      <w:r>
        <w:rPr>
          <w:rFonts w:hint="eastAsia"/>
          <w:color w:val="000000" w:themeColor="text1"/>
          <w:sz w:val="24"/>
          <w:szCs w:val="24"/>
          <w14:textFill>
            <w14:solidFill>
              <w14:schemeClr w14:val="tx1"/>
            </w14:solidFill>
          </w14:textFill>
        </w:rPr>
        <w:t>、</w:t>
      </w:r>
      <w:r>
        <w:rPr>
          <w:rFonts w:hint="eastAsia"/>
          <w:color w:val="000000" w:themeColor="text1"/>
          <w:sz w:val="24"/>
          <w:szCs w:val="24"/>
          <w:u w:val="single"/>
          <w14:textFill>
            <w14:solidFill>
              <w14:schemeClr w14:val="tx1"/>
            </w14:solidFill>
          </w14:textFill>
        </w:rPr>
        <w:t>杨秀容</w:t>
      </w:r>
      <w:r>
        <w:rPr>
          <w:rFonts w:hint="eastAsia"/>
          <w:color w:val="000000" w:themeColor="text1"/>
          <w:sz w:val="24"/>
          <w:szCs w:val="24"/>
          <w14:textFill>
            <w14:solidFill>
              <w14:schemeClr w14:val="tx1"/>
            </w14:solidFill>
          </w14:textFill>
        </w:rPr>
        <w:t>于</w:t>
      </w:r>
      <w:r>
        <w:rPr>
          <w:rFonts w:hint="eastAsia"/>
          <w:color w:val="000000" w:themeColor="text1"/>
          <w:sz w:val="24"/>
          <w:szCs w:val="24"/>
          <w:lang w:eastAsia="zh-CN"/>
          <w14:textFill>
            <w14:solidFill>
              <w14:schemeClr w14:val="tx1"/>
            </w14:solidFill>
          </w14:textFill>
        </w:rPr>
        <w:t>2021年4月1日</w:t>
      </w:r>
      <w:r>
        <w:rPr>
          <w:rFonts w:hint="eastAsia"/>
          <w:color w:val="000000" w:themeColor="text1"/>
          <w:sz w:val="24"/>
          <w:szCs w:val="24"/>
          <w14:textFill>
            <w14:solidFill>
              <w14:schemeClr w14:val="tx1"/>
            </w14:solidFill>
          </w14:textFill>
        </w:rPr>
        <w:t>对本估价报告中的估价对象进行了实地查勘；</w:t>
      </w:r>
    </w:p>
    <w:p>
      <w:pPr>
        <w:spacing w:line="360" w:lineRule="auto"/>
        <w:ind w:firstLine="57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6、没有人对本估价报告提供重要专业帮助</w:t>
      </w:r>
      <w:r>
        <w:rPr>
          <w:rFonts w:hint="eastAsia"/>
          <w:color w:val="000000" w:themeColor="text1"/>
          <w:sz w:val="24"/>
          <w:szCs w:val="24"/>
          <w14:textFill>
            <w14:solidFill>
              <w14:schemeClr w14:val="tx1"/>
            </w14:solidFill>
          </w14:textFill>
        </w:rPr>
        <w:t>；</w:t>
      </w:r>
    </w:p>
    <w:p>
      <w:pPr>
        <w:spacing w:line="360" w:lineRule="auto"/>
        <w:ind w:firstLine="57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7、参与本房地产估价报告的专职注册房地产估价师具备相关金融专业知识和相应的房地产市场分析能力。</w:t>
      </w:r>
    </w:p>
    <w:p>
      <w:pPr>
        <w:spacing w:line="360" w:lineRule="auto"/>
        <w:ind w:firstLine="570"/>
        <w:rPr>
          <w:color w:val="000000" w:themeColor="text1"/>
          <w:sz w:val="24"/>
          <w:szCs w:val="24"/>
          <w14:textFill>
            <w14:solidFill>
              <w14:schemeClr w14:val="tx1"/>
            </w14:solidFill>
          </w14:textFill>
        </w:rPr>
      </w:pPr>
    </w:p>
    <w:p>
      <w:pPr>
        <w:ind w:firstLine="570"/>
        <w:rPr>
          <w:color w:val="000000" w:themeColor="text1"/>
          <w:sz w:val="24"/>
          <w:szCs w:val="24"/>
          <w14:textFill>
            <w14:solidFill>
              <w14:schemeClr w14:val="tx1"/>
            </w14:solidFill>
          </w14:textFill>
        </w:rPr>
      </w:pP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注册房地产估价师：肖  琴</w:t>
      </w:r>
      <w:r>
        <w:rPr>
          <w:rFonts w:ascii="宋体" w:hAnsi="宋体"/>
          <w:color w:val="000000" w:themeColor="text1"/>
          <w:sz w:val="24"/>
          <w:szCs w:val="24"/>
          <w14:textFill>
            <w14:solidFill>
              <w14:schemeClr w14:val="tx1"/>
            </w14:solidFill>
          </w14:textFill>
        </w:rPr>
        <w:t>（中国注册房地产估价师）</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注册号：5120000120 _________</w:t>
      </w:r>
      <w:r>
        <w:rPr>
          <w:rFonts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 xml:space="preserve">签字日期 </w:t>
      </w:r>
      <w:r>
        <w:rPr>
          <w:rFonts w:ascii="宋体" w:hAnsi="宋体"/>
          <w:color w:val="000000" w:themeColor="text1"/>
          <w:sz w:val="24"/>
          <w:szCs w:val="24"/>
          <w14:textFill>
            <w14:solidFill>
              <w14:schemeClr w14:val="tx1"/>
            </w14:solidFill>
          </w14:textFill>
        </w:rPr>
        <w:t>________</w:t>
      </w:r>
    </w:p>
    <w:p>
      <w:pPr>
        <w:spacing w:line="360" w:lineRule="auto"/>
        <w:ind w:firstLine="2640" w:firstLineChars="1100"/>
        <w:rPr>
          <w:rFonts w:ascii="宋体" w:hAnsi="宋体"/>
          <w:color w:val="000000" w:themeColor="text1"/>
          <w:sz w:val="24"/>
          <w:szCs w:val="24"/>
          <w14:textFill>
            <w14:solidFill>
              <w14:schemeClr w14:val="tx1"/>
            </w14:solidFill>
          </w14:textFill>
        </w:rPr>
      </w:pP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注册房地产估价师：杨秀容（中国注册房地产估价师）</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注册号：5120070061 _________ 签字日期 </w:t>
      </w:r>
      <w:r>
        <w:rPr>
          <w:rFonts w:ascii="宋体" w:hAnsi="宋体"/>
          <w:color w:val="000000" w:themeColor="text1"/>
          <w:sz w:val="24"/>
          <w:szCs w:val="24"/>
          <w14:textFill>
            <w14:solidFill>
              <w14:schemeClr w14:val="tx1"/>
            </w14:solidFill>
          </w14:textFill>
        </w:rPr>
        <w:t>________</w:t>
      </w:r>
    </w:p>
    <w:p>
      <w:pPr>
        <w:pStyle w:val="18"/>
        <w:jc w:val="center"/>
        <w:outlineLvl w:val="0"/>
        <w:rPr>
          <w:rFonts w:ascii="黑体" w:eastAsia="黑体" w:cs="黑体"/>
          <w:b w:val="0"/>
          <w:bCs w:val="0"/>
          <w:color w:val="000000" w:themeColor="text1"/>
          <w:sz w:val="32"/>
          <w:szCs w:val="32"/>
          <w14:textFill>
            <w14:solidFill>
              <w14:schemeClr w14:val="tx1"/>
            </w14:solidFill>
          </w14:textFill>
        </w:rPr>
      </w:pPr>
      <w:r>
        <w:rPr>
          <w:b w:val="0"/>
          <w:bCs w:val="0"/>
          <w:color w:val="000000" w:themeColor="text1"/>
          <w:sz w:val="28"/>
          <w:szCs w:val="28"/>
          <w14:textFill>
            <w14:solidFill>
              <w14:schemeClr w14:val="tx1"/>
            </w14:solidFill>
          </w14:textFill>
        </w:rPr>
        <w:br w:type="page"/>
      </w:r>
      <w:bookmarkStart w:id="15" w:name="_Toc435111907"/>
      <w:bookmarkStart w:id="16" w:name="_Toc3900539"/>
      <w:r>
        <w:rPr>
          <w:rFonts w:hint="eastAsia" w:ascii="黑体" w:eastAsia="黑体" w:cs="黑体"/>
          <w:b w:val="0"/>
          <w:bCs w:val="0"/>
          <w:color w:val="000000" w:themeColor="text1"/>
          <w:sz w:val="32"/>
          <w:szCs w:val="32"/>
          <w14:textFill>
            <w14:solidFill>
              <w14:schemeClr w14:val="tx1"/>
            </w14:solidFill>
          </w14:textFill>
        </w:rPr>
        <w:t>二、估价假设和限制条件</w:t>
      </w:r>
      <w:bookmarkEnd w:id="15"/>
      <w:r>
        <w:rPr>
          <w:rFonts w:hint="eastAsia" w:ascii="黑体" w:eastAsia="黑体" w:cs="黑体"/>
          <w:b w:val="0"/>
          <w:bCs w:val="0"/>
          <w:color w:val="000000" w:themeColor="text1"/>
          <w:sz w:val="32"/>
          <w:szCs w:val="32"/>
          <w14:textFill>
            <w14:solidFill>
              <w14:schemeClr w14:val="tx1"/>
            </w14:solidFill>
          </w14:textFill>
        </w:rPr>
        <w:t>及使用报告说明</w:t>
      </w:r>
      <w:bookmarkEnd w:id="16"/>
    </w:p>
    <w:p>
      <w:pPr>
        <w:spacing w:line="500" w:lineRule="exact"/>
        <w:ind w:firstLine="480"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（一）本报告假设条件</w:t>
      </w:r>
    </w:p>
    <w:p>
      <w:pPr>
        <w:spacing w:line="500" w:lineRule="exact"/>
        <w:ind w:firstLine="480" w:firstLineChars="200"/>
        <w:rPr>
          <w:rFonts w:ascii="长城黑体" w:eastAsia="黑体"/>
          <w:color w:val="000000" w:themeColor="text1"/>
          <w:sz w:val="24"/>
          <w:szCs w:val="24"/>
          <w14:textFill>
            <w14:solidFill>
              <w14:schemeClr w14:val="tx1"/>
            </w14:solidFill>
          </w14:textFill>
        </w:rPr>
      </w:pPr>
      <w:r>
        <w:rPr>
          <w:color w:val="000000" w:themeColor="text1"/>
          <w:sz w:val="24"/>
          <w:szCs w:val="24"/>
          <w:lang w:val="zh-CN"/>
          <w14:textFill>
            <w14:solidFill>
              <w14:schemeClr w14:val="tx1"/>
            </w14:solidFill>
          </w14:textFill>
        </w:rPr>
        <w:t>1</w:t>
      </w:r>
      <w:r>
        <w:rPr>
          <w:rFonts w:hint="eastAsia" w:cs="宋体"/>
          <w:color w:val="000000" w:themeColor="text1"/>
          <w:sz w:val="24"/>
          <w:szCs w:val="24"/>
          <w:lang w:val="zh-CN"/>
          <w14:textFill>
            <w14:solidFill>
              <w14:schemeClr w14:val="tx1"/>
            </w14:solidFill>
          </w14:textFill>
        </w:rPr>
        <w:t>、</w:t>
      </w:r>
      <w:r>
        <w:rPr>
          <w:rFonts w:hint="eastAsia" w:cs="宋体"/>
          <w:color w:val="000000" w:themeColor="text1"/>
          <w:sz w:val="24"/>
          <w:szCs w:val="24"/>
          <w14:textFill>
            <w14:solidFill>
              <w14:schemeClr w14:val="tx1"/>
            </w14:solidFill>
          </w14:textFill>
        </w:rPr>
        <w:t>一般假设</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w:t>
      </w:r>
      <w:r>
        <w:rPr>
          <w:rFonts w:ascii="宋体" w:hAnsi="宋体"/>
          <w:color w:val="000000" w:themeColor="text1"/>
          <w:sz w:val="24"/>
          <w:szCs w:val="24"/>
          <w:lang w:val="zh-CN"/>
          <w14:textFill>
            <w14:solidFill>
              <w14:schemeClr w14:val="tx1"/>
            </w14:solidFill>
          </w14:textFill>
        </w:rPr>
        <w:t>1</w:t>
      </w:r>
      <w:r>
        <w:rPr>
          <w:rFonts w:hint="eastAsia" w:ascii="宋体" w:hAnsi="宋体" w:cs="宋体"/>
          <w:color w:val="000000" w:themeColor="text1"/>
          <w:sz w:val="24"/>
          <w:szCs w:val="24"/>
          <w:lang w:val="zh-CN"/>
          <w14:textFill>
            <w14:solidFill>
              <w14:schemeClr w14:val="tx1"/>
            </w14:solidFill>
          </w14:textFill>
        </w:rPr>
        <w:t>）</w:t>
      </w:r>
      <w:r>
        <w:rPr>
          <w:rFonts w:hint="eastAsia" w:ascii="宋体" w:hAnsi="宋体"/>
          <w:color w:val="000000" w:themeColor="text1"/>
          <w:sz w:val="24"/>
          <w:szCs w:val="24"/>
          <w:lang w:val="zh-CN"/>
          <w14:textFill>
            <w14:solidFill>
              <w14:schemeClr w14:val="tx1"/>
            </w14:solidFill>
          </w14:textFill>
        </w:rPr>
        <w:t>估价人员对估价对象的查勘仅限于估价对象在价值时点的外观和使用状况，无法对估价对象的隐蔽工程（地基、电气管线、供水管线等需要覆盖、掩盖的工程）、建筑结构质量等进行专业检测。估价人员对房屋安全、环境污染等影响估价对象价值的重大因素给予了关注，在无理由怀疑估价对象存在安全隐患且无相应的专业机构进行鉴定、检测的情况下，假定估价对象不存在房屋安全隐患及重大环境污染的情形。</w:t>
      </w:r>
    </w:p>
    <w:p>
      <w:pPr>
        <w:autoSpaceDE w:val="0"/>
        <w:autoSpaceDN w:val="0"/>
        <w:adjustRightInd w:val="0"/>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w:t>
      </w:r>
      <w:r>
        <w:rPr>
          <w:rFonts w:ascii="宋体" w:hAnsi="宋体"/>
          <w:color w:val="000000" w:themeColor="text1"/>
          <w:sz w:val="24"/>
          <w:szCs w:val="24"/>
          <w:lang w:val="zh-CN"/>
          <w14:textFill>
            <w14:solidFill>
              <w14:schemeClr w14:val="tx1"/>
            </w14:solidFill>
          </w14:textFill>
        </w:rPr>
        <w:t>2</w:t>
      </w:r>
      <w:r>
        <w:rPr>
          <w:rFonts w:hint="eastAsia" w:ascii="宋体" w:hAnsi="宋体"/>
          <w:color w:val="000000" w:themeColor="text1"/>
          <w:sz w:val="24"/>
          <w:szCs w:val="24"/>
          <w:lang w:val="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估价对象的过去、现在和未来均处于公开的市场环境中，未受特殊因素的影响；本报告假设估价对象能够正常、合法地进入市场进行交易，且不影响周边物业的使用，否则本报告无效。</w:t>
      </w:r>
    </w:p>
    <w:p>
      <w:pPr>
        <w:autoSpaceDE w:val="0"/>
        <w:autoSpaceDN w:val="0"/>
        <w:adjustRightInd w:val="0"/>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w:t>
      </w:r>
      <w:r>
        <w:rPr>
          <w:rFonts w:ascii="宋体" w:hAnsi="宋体"/>
          <w:color w:val="000000" w:themeColor="text1"/>
          <w:sz w:val="24"/>
          <w:szCs w:val="24"/>
          <w:lang w:val="zh-CN"/>
          <w14:textFill>
            <w14:solidFill>
              <w14:schemeClr w14:val="tx1"/>
            </w14:solidFill>
          </w14:textFill>
        </w:rPr>
        <w:t>3</w:t>
      </w:r>
      <w:r>
        <w:rPr>
          <w:rFonts w:hint="eastAsia" w:ascii="宋体" w:hAnsi="宋体"/>
          <w:color w:val="000000" w:themeColor="text1"/>
          <w:sz w:val="24"/>
          <w:szCs w:val="24"/>
          <w:lang w:val="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本次估价是以估价对象的实际用途持续使用且为估价对象的最高最佳使用用途为估价前提。</w:t>
      </w:r>
    </w:p>
    <w:p>
      <w:pPr>
        <w:spacing w:line="360" w:lineRule="auto"/>
        <w:ind w:firstLine="480" w:firstLineChars="200"/>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（4）估价对象能合理正常使用公共附属设施设备。</w:t>
      </w:r>
    </w:p>
    <w:p>
      <w:pPr>
        <w:autoSpaceDE w:val="0"/>
        <w:autoSpaceDN w:val="0"/>
        <w:adjustRightInd w:val="0"/>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5</w:t>
      </w:r>
      <w:r>
        <w:rPr>
          <w:rFonts w:hint="eastAsia" w:ascii="宋体" w:hAnsi="宋体"/>
          <w:color w:val="000000" w:themeColor="text1"/>
          <w:sz w:val="24"/>
          <w:szCs w:val="24"/>
          <w:lang w:val="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估价委托人向本公司提供的有关资料和陈述的情况是真实、合法和完整的。</w:t>
      </w:r>
    </w:p>
    <w:p>
      <w:pPr>
        <w:spacing w:line="360" w:lineRule="auto"/>
        <w:ind w:firstLine="480" w:firstLineChars="200"/>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6</w:t>
      </w:r>
      <w:r>
        <w:rPr>
          <w:rFonts w:hint="eastAsia" w:ascii="宋体" w:hAnsi="宋体"/>
          <w:color w:val="000000" w:themeColor="text1"/>
          <w:sz w:val="24"/>
          <w:szCs w:val="24"/>
          <w:lang w:val="zh-CN"/>
          <w14:textFill>
            <w14:solidFill>
              <w14:schemeClr w14:val="tx1"/>
            </w14:solidFill>
          </w14:textFill>
        </w:rPr>
        <w:t>）价值时点的房地产市场是公开、公平、自愿的均衡市场。</w:t>
      </w:r>
    </w:p>
    <w:p>
      <w:pPr>
        <w:spacing w:line="500" w:lineRule="exact"/>
        <w:ind w:firstLine="480" w:firstLineChars="200"/>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lang w:val="zh-CN"/>
          <w14:textFill>
            <w14:solidFill>
              <w14:schemeClr w14:val="tx1"/>
            </w14:solidFill>
          </w14:textFill>
        </w:rPr>
        <w:t>）估价人员现场拍摄的估价对象实物照片内容系由估价委托人现场确定之评估范围的实物状况，在本报告中假定其无遗漏和偏离。</w:t>
      </w:r>
    </w:p>
    <w:p>
      <w:pPr>
        <w:spacing w:line="500" w:lineRule="exact"/>
        <w:ind w:firstLine="480" w:firstLineChars="200"/>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2、未定事项假设</w:t>
      </w:r>
    </w:p>
    <w:p>
      <w:pPr>
        <w:autoSpaceDE w:val="0"/>
        <w:autoSpaceDN w:val="0"/>
        <w:adjustRightInd w:val="0"/>
        <w:spacing w:line="360" w:lineRule="auto"/>
        <w:ind w:firstLine="480" w:firstLineChars="200"/>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本次估价的估价对象</w:t>
      </w:r>
      <w:r>
        <w:rPr>
          <w:rFonts w:hint="eastAsia" w:ascii="宋体" w:hAnsi="宋体"/>
          <w:color w:val="000000" w:themeColor="text1"/>
          <w:sz w:val="24"/>
          <w:szCs w:val="24"/>
          <w:lang w:val="en-US" w:eastAsia="zh-CN"/>
          <w14:textFill>
            <w14:solidFill>
              <w14:schemeClr w14:val="tx1"/>
            </w14:solidFill>
          </w14:textFill>
        </w:rPr>
        <w:t>的土地使用权类型为划拨，在交易中需要补交划拨转出让的出让金。估价人员在对蔚泉新村小区调查时了解到该小区在办理划转出手续缴纳出让金都是按照“竹建[2020]335号”文件进行缴纳，且在买卖双方交易过程中大都由购买方承担缴纳出让金</w:t>
      </w:r>
      <w:r>
        <w:rPr>
          <w:rFonts w:hint="eastAsia" w:ascii="宋体" w:hAnsi="宋体"/>
          <w:color w:val="000000" w:themeColor="text1"/>
          <w:sz w:val="24"/>
          <w:szCs w:val="24"/>
          <w:lang w:val="zh-CN"/>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本次估价假设在买卖双方交易过程中由购买方承担缴纳出让金。</w:t>
      </w:r>
    </w:p>
    <w:p>
      <w:pPr>
        <w:spacing w:line="500" w:lineRule="exact"/>
        <w:ind w:firstLine="480" w:firstLineChars="200"/>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3、背离事实假设</w:t>
      </w:r>
    </w:p>
    <w:p>
      <w:pPr>
        <w:widowControl/>
        <w:autoSpaceDE w:val="0"/>
        <w:autoSpaceDN w:val="0"/>
        <w:adjustRightInd w:val="0"/>
        <w:spacing w:line="360" w:lineRule="auto"/>
        <w:ind w:firstLine="480" w:firstLineChars="200"/>
        <w:jc w:val="left"/>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（1）在价值时点，估价对象已被</w:t>
      </w:r>
      <w:r>
        <w:rPr>
          <w:rFonts w:hint="eastAsia" w:ascii="宋体" w:hAnsi="宋体"/>
          <w:color w:val="000000" w:themeColor="text1"/>
          <w:kern w:val="0"/>
          <w:sz w:val="24"/>
          <w:szCs w:val="24"/>
          <w:lang w:eastAsia="zh-CN"/>
          <w14:textFill>
            <w14:solidFill>
              <w14:schemeClr w14:val="tx1"/>
            </w14:solidFill>
          </w14:textFill>
        </w:rPr>
        <w:t>绵竹市人民法院</w:t>
      </w:r>
      <w:r>
        <w:rPr>
          <w:rFonts w:hint="eastAsia" w:ascii="宋体" w:hAnsi="宋体"/>
          <w:color w:val="000000" w:themeColor="text1"/>
          <w:kern w:val="0"/>
          <w:sz w:val="24"/>
          <w:szCs w:val="24"/>
          <w14:textFill>
            <w14:solidFill>
              <w14:schemeClr w14:val="tx1"/>
            </w14:solidFill>
          </w14:textFill>
        </w:rPr>
        <w:t>查封，本次估价未考虑估价对象查封因素的影响。</w:t>
      </w:r>
    </w:p>
    <w:p>
      <w:pPr>
        <w:spacing w:line="360" w:lineRule="auto"/>
        <w:ind w:firstLine="480" w:firstLineChars="200"/>
        <w:rPr>
          <w:rFonts w:hint="eastAsia"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lang w:val="zh-CN"/>
          <w14:textFill>
            <w14:solidFill>
              <w14:schemeClr w14:val="tx1"/>
            </w14:solidFill>
          </w14:textFill>
        </w:rPr>
        <w:t>（2）本次估价没</w:t>
      </w:r>
      <w:r>
        <w:rPr>
          <w:rFonts w:hint="eastAsia" w:ascii="宋体" w:hAnsi="宋体"/>
          <w:color w:val="000000" w:themeColor="text1"/>
          <w:kern w:val="0"/>
          <w:sz w:val="24"/>
          <w:szCs w:val="24"/>
          <w14:textFill>
            <w14:solidFill>
              <w14:schemeClr w14:val="tx1"/>
            </w14:solidFill>
          </w14:textFill>
        </w:rPr>
        <w:t>有考虑估价对象将来可能承担违约责任的事宜，以及特殊交易方式下的特殊交易价格等对估价结果的影响。当上述条件发生变化时，估价结果一般会发生变化。</w:t>
      </w:r>
    </w:p>
    <w:p>
      <w:pPr>
        <w:autoSpaceDE w:val="0"/>
        <w:autoSpaceDN w:val="0"/>
        <w:adjustRightInd w:val="0"/>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3</w:t>
      </w:r>
      <w:r>
        <w:rPr>
          <w:rFonts w:hint="eastAsia" w:ascii="宋体" w:hAnsi="宋体"/>
          <w:color w:val="000000" w:themeColor="text1"/>
          <w:sz w:val="24"/>
          <w:szCs w:val="24"/>
          <w:lang w:val="zh-CN"/>
          <w14:textFill>
            <w14:solidFill>
              <w14:schemeClr w14:val="tx1"/>
            </w14:solidFill>
          </w14:textFill>
        </w:rPr>
        <w:t>）</w:t>
      </w:r>
      <w:r>
        <w:rPr>
          <w:rFonts w:hint="eastAsia" w:ascii="宋体" w:hAnsi="宋体"/>
          <w:color w:val="000000" w:themeColor="text1"/>
          <w:kern w:val="0"/>
          <w:sz w:val="24"/>
          <w:szCs w:val="24"/>
          <w:lang w:val="en-US" w:eastAsia="zh-CN"/>
          <w14:textFill>
            <w14:solidFill>
              <w14:schemeClr w14:val="tx1"/>
            </w14:solidFill>
          </w14:textFill>
        </w:rPr>
        <w:t>在价值时点，据承办法官介绍估价对象仍存在与德阳银行股份有限公司绵竹支行的</w:t>
      </w:r>
      <w:r>
        <w:rPr>
          <w:rFonts w:hint="eastAsia" w:ascii="宋体" w:hAnsi="宋体"/>
          <w:color w:val="000000" w:themeColor="text1"/>
          <w:sz w:val="24"/>
          <w:szCs w:val="24"/>
          <w14:textFill>
            <w14:solidFill>
              <w14:schemeClr w14:val="tx1"/>
            </w14:solidFill>
          </w14:textFill>
        </w:rPr>
        <w:t>抵押</w:t>
      </w:r>
      <w:r>
        <w:rPr>
          <w:rFonts w:hint="eastAsia" w:ascii="宋体" w:hAnsi="宋体"/>
          <w:color w:val="000000" w:themeColor="text1"/>
          <w:sz w:val="24"/>
          <w:szCs w:val="24"/>
          <w:lang w:val="en-US" w:eastAsia="zh-CN"/>
          <w14:textFill>
            <w14:solidFill>
              <w14:schemeClr w14:val="tx1"/>
            </w14:solidFill>
          </w14:textFill>
        </w:rPr>
        <w:t>部分债务</w:t>
      </w:r>
      <w:r>
        <w:rPr>
          <w:rFonts w:hint="eastAsia" w:ascii="宋体" w:hAnsi="宋体"/>
          <w:color w:val="000000" w:themeColor="text1"/>
          <w:kern w:val="0"/>
          <w:sz w:val="24"/>
          <w:szCs w:val="24"/>
          <w:lang w:val="en-US" w:eastAsia="zh-CN"/>
          <w14:textFill>
            <w14:solidFill>
              <w14:schemeClr w14:val="tx1"/>
            </w14:solidFill>
          </w14:textFill>
        </w:rPr>
        <w:t>，本次估价是为了处置估价对象偿还债务。故本次估价未考虑抵押关系对房屋价值的影响。</w:t>
      </w:r>
    </w:p>
    <w:p>
      <w:pPr>
        <w:spacing w:line="360" w:lineRule="auto"/>
        <w:ind w:firstLine="480" w:firstLineChars="200"/>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4、不相一致假设</w:t>
      </w:r>
    </w:p>
    <w:p>
      <w:pPr>
        <w:spacing w:line="360" w:lineRule="auto"/>
        <w:ind w:firstLine="480" w:firstLineChars="200"/>
        <w:rPr>
          <w:rFonts w:cs="宋体"/>
          <w:color w:val="000000" w:themeColor="text1"/>
          <w:sz w:val="24"/>
          <w:szCs w:val="24"/>
          <w14:textFill>
            <w14:solidFill>
              <w14:schemeClr w14:val="tx1"/>
            </w14:solidFill>
          </w14:textFill>
        </w:rPr>
      </w:pPr>
      <w:r>
        <w:rPr>
          <w:rFonts w:hint="eastAsia"/>
          <w:bCs/>
          <w:sz w:val="24"/>
          <w:szCs w:val="24"/>
        </w:rPr>
        <w:t>本次估价对象</w:t>
      </w:r>
      <w:r>
        <w:rPr>
          <w:rFonts w:hint="eastAsia"/>
          <w:bCs/>
          <w:sz w:val="24"/>
          <w:szCs w:val="24"/>
          <w:lang w:eastAsia="zh-CN"/>
        </w:rPr>
        <w:t>“</w:t>
      </w:r>
      <w:r>
        <w:rPr>
          <w:rFonts w:hint="eastAsia"/>
          <w:bCs/>
          <w:sz w:val="24"/>
          <w:szCs w:val="24"/>
          <w:lang w:val="en-US" w:eastAsia="zh-CN"/>
        </w:rPr>
        <w:t>不动产登记查询结果通知书”上记载的分摊土地面积为0㎡，“竹国用（2011）第04483号”土地使用权证记载的分摊土地面积为12.29㎡，本次估价以土地使用权证记载的分摊土地面积为12.29㎡为准</w:t>
      </w:r>
      <w:r>
        <w:rPr>
          <w:rFonts w:hint="eastAsia" w:cs="宋体"/>
          <w:color w:val="000000" w:themeColor="text1"/>
          <w:sz w:val="24"/>
          <w:szCs w:val="24"/>
          <w14:textFill>
            <w14:solidFill>
              <w14:schemeClr w14:val="tx1"/>
            </w14:solidFill>
          </w14:textFill>
        </w:rPr>
        <w:t>。</w:t>
      </w:r>
    </w:p>
    <w:p>
      <w:pPr>
        <w:spacing w:line="360" w:lineRule="auto"/>
        <w:ind w:firstLine="480" w:firstLineChars="200"/>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5、依据不足假设</w:t>
      </w:r>
    </w:p>
    <w:p>
      <w:pPr>
        <w:pStyle w:val="19"/>
        <w:autoSpaceDE/>
        <w:autoSpaceDN/>
        <w:adjustRightInd/>
        <w:spacing w:line="360" w:lineRule="auto"/>
        <w:ind w:firstLine="480" w:firstLineChars="200"/>
        <w:textAlignment w:val="auto"/>
        <w:rPr>
          <w:color w:val="000000"/>
          <w:sz w:val="24"/>
          <w:szCs w:val="24"/>
          <w:lang w:val="zh-CN"/>
        </w:rPr>
      </w:pPr>
      <w:r>
        <w:rPr>
          <w:rFonts w:hint="eastAsia"/>
          <w:color w:val="000000"/>
          <w:sz w:val="24"/>
          <w:szCs w:val="24"/>
          <w:lang w:val="zh-CN"/>
        </w:rPr>
        <w:t>本次估价，估价委托人未提供估价对象《房屋所有权证》、《国有土地使用权证》原件，仅提供其复印件，本次估价假定估价对象《房屋所有权证》、《国有土地使用权证》复印件与原件一致。</w:t>
      </w:r>
    </w:p>
    <w:p>
      <w:pPr>
        <w:spacing w:line="500" w:lineRule="exact"/>
        <w:ind w:firstLine="480"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（二）估价报告使用限制</w:t>
      </w:r>
    </w:p>
    <w:p>
      <w:pPr>
        <w:spacing w:line="500" w:lineRule="exact"/>
        <w:ind w:firstLine="480" w:firstLineChars="200"/>
        <w:rPr>
          <w:color w:val="000000" w:themeColor="text1"/>
          <w:sz w:val="24"/>
          <w:szCs w:val="24"/>
          <w:lang w:val="zh-CN"/>
          <w14:textFill>
            <w14:solidFill>
              <w14:schemeClr w14:val="tx1"/>
            </w14:solidFill>
          </w14:textFill>
        </w:rPr>
      </w:pPr>
      <w:r>
        <w:rPr>
          <w:color w:val="000000" w:themeColor="text1"/>
          <w:sz w:val="24"/>
          <w:szCs w:val="24"/>
          <w:lang w:val="zh-CN"/>
          <w14:textFill>
            <w14:solidFill>
              <w14:schemeClr w14:val="tx1"/>
            </w14:solidFill>
          </w14:textFill>
        </w:rPr>
        <w:t>1</w:t>
      </w:r>
      <w:r>
        <w:rPr>
          <w:rFonts w:hint="eastAsia"/>
          <w:color w:val="000000" w:themeColor="text1"/>
          <w:sz w:val="24"/>
          <w:szCs w:val="24"/>
          <w:lang w:val="zh-CN"/>
          <w14:textFill>
            <w14:solidFill>
              <w14:schemeClr w14:val="tx1"/>
            </w14:solidFill>
          </w14:textFill>
        </w:rPr>
        <w:t>、估价对象的房屋建筑面积和房地产权属状况是根据估价委托人提供的</w:t>
      </w:r>
      <w:r>
        <w:rPr>
          <w:rFonts w:hint="eastAsia"/>
          <w:color w:val="000000" w:themeColor="text1"/>
          <w:sz w:val="24"/>
          <w:szCs w:val="24"/>
          <w:lang w:val="en-US" w:eastAsia="zh-CN"/>
          <w14:textFill>
            <w14:solidFill>
              <w14:schemeClr w14:val="tx1"/>
            </w14:solidFill>
          </w14:textFill>
        </w:rPr>
        <w:t>产权资料</w:t>
      </w:r>
      <w:r>
        <w:rPr>
          <w:rFonts w:hint="eastAsia"/>
          <w:color w:val="000000" w:themeColor="text1"/>
          <w:sz w:val="24"/>
          <w:szCs w:val="24"/>
          <w:lang w:val="zh-CN"/>
          <w14:textFill>
            <w14:solidFill>
              <w14:schemeClr w14:val="tx1"/>
            </w14:solidFill>
          </w14:textFill>
        </w:rPr>
        <w:t>复印件登记情况为依据，我们无法确保本报告估价对象的建筑面积和房地产权属状况与房地产权属登记部门“房地产登记薄”中所记载的上述内容有无差异，故本报告不能作为确定估价对象权属和面积的依据。</w:t>
      </w:r>
    </w:p>
    <w:p>
      <w:pPr>
        <w:spacing w:line="500" w:lineRule="exact"/>
        <w:ind w:firstLine="480" w:firstLineChars="200"/>
        <w:rPr>
          <w:color w:val="000000" w:themeColor="text1"/>
          <w:sz w:val="24"/>
          <w:szCs w:val="24"/>
          <w:lang w:val="zh-CN"/>
          <w14:textFill>
            <w14:solidFill>
              <w14:schemeClr w14:val="tx1"/>
            </w14:solidFill>
          </w14:textFill>
        </w:rPr>
      </w:pPr>
      <w:r>
        <w:rPr>
          <w:color w:val="000000" w:themeColor="text1"/>
          <w:sz w:val="24"/>
          <w:szCs w:val="24"/>
          <w:lang w:val="zh-CN"/>
          <w14:textFill>
            <w14:solidFill>
              <w14:schemeClr w14:val="tx1"/>
            </w14:solidFill>
          </w14:textFill>
        </w:rPr>
        <w:t>2</w:t>
      </w:r>
      <w:r>
        <w:rPr>
          <w:rFonts w:hint="eastAsia"/>
          <w:color w:val="000000" w:themeColor="text1"/>
          <w:sz w:val="24"/>
          <w:szCs w:val="24"/>
          <w:lang w:val="zh-CN"/>
          <w14:textFill>
            <w14:solidFill>
              <w14:schemeClr w14:val="tx1"/>
            </w14:solidFill>
          </w14:textFill>
        </w:rPr>
        <w:t>、估价委托人提供的资料和陈述的情况直接影响我们的估价分析和结论，因此估价委托人应对提供资料和陈述情况的合法性、真实性、完整性及其引起的后果负责；注册房地产估价师对所收集资料的真实性、准确性负责。评估机构对评估结果的公正性、准确性负责。因估价委托人提供的资料和陈述的情况失实造成评估结果有误的，评估机构和注册房地产估价师不承担相应责任。</w:t>
      </w:r>
    </w:p>
    <w:p>
      <w:pPr>
        <w:spacing w:line="500" w:lineRule="exact"/>
        <w:ind w:firstLine="480" w:firstLineChars="200"/>
        <w:rPr>
          <w:color w:val="000000" w:themeColor="text1"/>
          <w:sz w:val="24"/>
          <w:szCs w:val="24"/>
          <w:lang w:val="zh-CN"/>
          <w14:textFill>
            <w14:solidFill>
              <w14:schemeClr w14:val="tx1"/>
            </w14:solidFill>
          </w14:textFill>
        </w:rPr>
      </w:pPr>
      <w:r>
        <w:rPr>
          <w:color w:val="000000" w:themeColor="text1"/>
          <w:sz w:val="24"/>
          <w:szCs w:val="24"/>
          <w:lang w:val="zh-CN"/>
          <w14:textFill>
            <w14:solidFill>
              <w14:schemeClr w14:val="tx1"/>
            </w14:solidFill>
          </w14:textFill>
        </w:rPr>
        <w:t>3</w:t>
      </w:r>
      <w:r>
        <w:rPr>
          <w:rFonts w:hint="eastAsia"/>
          <w:color w:val="000000" w:themeColor="text1"/>
          <w:sz w:val="24"/>
          <w:szCs w:val="24"/>
          <w:lang w:val="zh-CN"/>
          <w14:textFill>
            <w14:solidFill>
              <w14:schemeClr w14:val="tx1"/>
            </w14:solidFill>
          </w14:textFill>
        </w:rPr>
        <w:t>、本估价结果包括房屋（含附属设备设施）及</w:t>
      </w:r>
      <w:r>
        <w:rPr>
          <w:rFonts w:hint="eastAsia"/>
          <w:color w:val="000000" w:themeColor="text1"/>
          <w:sz w:val="24"/>
          <w:szCs w:val="24"/>
          <w:lang w:val="en-US" w:eastAsia="zh-CN"/>
          <w14:textFill>
            <w14:solidFill>
              <w14:schemeClr w14:val="tx1"/>
            </w14:solidFill>
          </w14:textFill>
        </w:rPr>
        <w:t>家具家电</w:t>
      </w:r>
      <w:r>
        <w:rPr>
          <w:rFonts w:hint="eastAsia"/>
          <w:color w:val="000000" w:themeColor="text1"/>
          <w:sz w:val="24"/>
          <w:szCs w:val="24"/>
          <w:lang w:val="zh-CN"/>
          <w14:textFill>
            <w14:solidFill>
              <w14:schemeClr w14:val="tx1"/>
            </w14:solidFill>
          </w14:textFill>
        </w:rPr>
        <w:t>的价值。该</w:t>
      </w:r>
      <w:r>
        <w:rPr>
          <w:rFonts w:hint="eastAsia"/>
          <w:color w:val="000000" w:themeColor="text1"/>
          <w:sz w:val="24"/>
          <w:szCs w:val="24"/>
          <w:lang w:val="en-US" w:eastAsia="zh-CN"/>
          <w14:textFill>
            <w14:solidFill>
              <w14:schemeClr w14:val="tx1"/>
            </w14:solidFill>
          </w14:textFill>
        </w:rPr>
        <w:t>房屋家具家电</w:t>
      </w:r>
      <w:r>
        <w:rPr>
          <w:rFonts w:hint="eastAsia"/>
          <w:color w:val="000000" w:themeColor="text1"/>
          <w:sz w:val="24"/>
          <w:szCs w:val="24"/>
          <w:lang w:val="zh-CN"/>
          <w14:textFill>
            <w14:solidFill>
              <w14:schemeClr w14:val="tx1"/>
            </w14:solidFill>
          </w14:textFill>
        </w:rPr>
        <w:t>和附属的设施设备若与房屋割离处置，本估价结果无效。</w:t>
      </w:r>
    </w:p>
    <w:p>
      <w:pPr>
        <w:spacing w:line="500" w:lineRule="exact"/>
        <w:ind w:firstLine="480" w:firstLineChars="200"/>
        <w:rPr>
          <w:color w:val="000000" w:themeColor="text1"/>
          <w:sz w:val="24"/>
          <w:szCs w:val="24"/>
          <w:lang w:val="zh-CN"/>
          <w14:textFill>
            <w14:solidFill>
              <w14:schemeClr w14:val="tx1"/>
            </w14:solidFill>
          </w14:textFill>
        </w:rPr>
      </w:pPr>
      <w:r>
        <w:rPr>
          <w:color w:val="000000" w:themeColor="text1"/>
          <w:sz w:val="24"/>
          <w:szCs w:val="24"/>
          <w:lang w:val="zh-CN"/>
          <w14:textFill>
            <w14:solidFill>
              <w14:schemeClr w14:val="tx1"/>
            </w14:solidFill>
          </w14:textFill>
        </w:rPr>
        <w:t>4</w:t>
      </w:r>
      <w:r>
        <w:rPr>
          <w:rFonts w:hint="eastAsia"/>
          <w:color w:val="000000" w:themeColor="text1"/>
          <w:sz w:val="24"/>
          <w:szCs w:val="24"/>
          <w:lang w:val="zh-CN"/>
          <w14:textFill>
            <w14:solidFill>
              <w14:schemeClr w14:val="tx1"/>
            </w14:solidFill>
          </w14:textFill>
        </w:rPr>
        <w:t>、</w:t>
      </w:r>
      <w:r>
        <w:rPr>
          <w:color w:val="000000" w:themeColor="text1"/>
          <w:sz w:val="24"/>
          <w:szCs w:val="24"/>
          <w14:textFill>
            <w14:solidFill>
              <w14:schemeClr w14:val="tx1"/>
            </w14:solidFill>
          </w14:textFill>
        </w:rPr>
        <w:t>本报告使用期限为一年（</w:t>
      </w:r>
      <w:r>
        <w:rPr>
          <w:rFonts w:hint="eastAsia" w:cs="宋体"/>
          <w:color w:val="000000" w:themeColor="text1"/>
          <w:sz w:val="24"/>
          <w:szCs w:val="24"/>
          <w:lang w:eastAsia="zh-CN"/>
          <w14:textFill>
            <w14:solidFill>
              <w14:schemeClr w14:val="tx1"/>
            </w14:solidFill>
          </w14:textFill>
        </w:rPr>
        <w:t>2021年4月26日</w:t>
      </w:r>
      <w:r>
        <w:rPr>
          <w:rFonts w:hint="eastAsia" w:cs="宋体"/>
          <w:color w:val="000000" w:themeColor="text1"/>
          <w:sz w:val="24"/>
          <w:szCs w:val="24"/>
          <w14:textFill>
            <w14:solidFill>
              <w14:schemeClr w14:val="tx1"/>
            </w14:solidFill>
          </w14:textFill>
        </w:rPr>
        <w:t>至</w:t>
      </w:r>
      <w:r>
        <w:rPr>
          <w:rFonts w:hint="eastAsia" w:cs="宋体"/>
          <w:color w:val="000000" w:themeColor="text1"/>
          <w:sz w:val="24"/>
          <w:szCs w:val="24"/>
          <w:lang w:eastAsia="zh-CN"/>
          <w14:textFill>
            <w14:solidFill>
              <w14:schemeClr w14:val="tx1"/>
            </w14:solidFill>
          </w14:textFill>
        </w:rPr>
        <w:t>2022年4月25日</w:t>
      </w:r>
      <w:r>
        <w:rPr>
          <w:color w:val="000000" w:themeColor="text1"/>
          <w:sz w:val="24"/>
          <w:szCs w:val="24"/>
          <w14:textFill>
            <w14:solidFill>
              <w14:schemeClr w14:val="tx1"/>
            </w14:solidFill>
          </w14:textFill>
        </w:rPr>
        <w:t>）</w:t>
      </w:r>
      <w:r>
        <w:rPr>
          <w:rFonts w:hint="eastAsia"/>
          <w:color w:val="000000" w:themeColor="text1"/>
          <w:sz w:val="24"/>
          <w:szCs w:val="24"/>
          <w:lang w:val="zh-CN"/>
          <w14:textFill>
            <w14:solidFill>
              <w14:schemeClr w14:val="tx1"/>
            </w14:solidFill>
          </w14:textFill>
        </w:rPr>
        <w:t>。</w:t>
      </w:r>
    </w:p>
    <w:p>
      <w:pPr>
        <w:spacing w:line="500" w:lineRule="exact"/>
        <w:ind w:firstLine="480" w:firstLineChars="200"/>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5、本报告使用期限内，为确定之评估目的服务，不得用于其他目的。未经评估机构同意，本报告书的全部或部分内容不得向估价委托人和评估报告审查部门之外的单位和个人提供，也不得发表于任何公开媒体。</w:t>
      </w:r>
    </w:p>
    <w:p>
      <w:pPr>
        <w:spacing w:line="500" w:lineRule="exact"/>
        <w:ind w:firstLine="480" w:firstLineChars="200"/>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本报告使用期限内，若国家政策、经济环境及物业本身的物理状况等因素和本报告假设前提条件发生重大变动，且这些变动会对估价结果产生重大影响时，本估价结果无效，应重新委托估价。</w:t>
      </w:r>
    </w:p>
    <w:p>
      <w:pPr>
        <w:spacing w:line="500" w:lineRule="exact"/>
        <w:ind w:firstLine="480" w:firstLineChars="200"/>
        <w:rPr>
          <w:color w:val="000000" w:themeColor="text1"/>
          <w:sz w:val="24"/>
          <w:szCs w:val="24"/>
          <w:lang w:val="zh-CN"/>
          <w14:textFill>
            <w14:solidFill>
              <w14:schemeClr w14:val="tx1"/>
            </w14:solidFill>
          </w14:textFill>
        </w:rPr>
      </w:pPr>
      <w:r>
        <w:rPr>
          <w:rFonts w:hint="eastAsia"/>
          <w:color w:val="000000" w:themeColor="text1"/>
          <w:sz w:val="24"/>
          <w:szCs w:val="24"/>
          <w14:textFill>
            <w14:solidFill>
              <w14:schemeClr w14:val="tx1"/>
            </w14:solidFill>
          </w14:textFill>
        </w:rPr>
        <w:t>6</w:t>
      </w:r>
      <w:r>
        <w:rPr>
          <w:rFonts w:hint="eastAsia"/>
          <w:color w:val="000000" w:themeColor="text1"/>
          <w:sz w:val="24"/>
          <w:szCs w:val="24"/>
          <w:lang w:val="zh-CN"/>
          <w14:textFill>
            <w14:solidFill>
              <w14:schemeClr w14:val="tx1"/>
            </w14:solidFill>
          </w14:textFill>
        </w:rPr>
        <w:t>、如发现本报告内的文字或数字因打印或其它原因出现误差时，请通知本公司进行更正。</w:t>
      </w:r>
    </w:p>
    <w:p>
      <w:pPr>
        <w:spacing w:line="500" w:lineRule="exact"/>
        <w:ind w:firstLine="480" w:firstLineChars="200"/>
        <w:rPr>
          <w:color w:val="000000" w:themeColor="text1"/>
          <w:sz w:val="24"/>
          <w:szCs w:val="24"/>
          <w:lang w:val="zh-CN"/>
          <w14:textFill>
            <w14:solidFill>
              <w14:schemeClr w14:val="tx1"/>
            </w14:solidFill>
          </w14:textFill>
        </w:rPr>
      </w:pPr>
      <w:r>
        <w:rPr>
          <w:rFonts w:hint="eastAsia"/>
          <w:color w:val="000000" w:themeColor="text1"/>
          <w:sz w:val="24"/>
          <w:szCs w:val="24"/>
          <w14:textFill>
            <w14:solidFill>
              <w14:schemeClr w14:val="tx1"/>
            </w14:solidFill>
          </w14:textFill>
        </w:rPr>
        <w:t>7</w:t>
      </w:r>
      <w:r>
        <w:rPr>
          <w:rFonts w:hint="eastAsia"/>
          <w:color w:val="000000" w:themeColor="text1"/>
          <w:sz w:val="24"/>
          <w:szCs w:val="24"/>
          <w:lang w:val="zh-CN"/>
          <w14:textFill>
            <w14:solidFill>
              <w14:schemeClr w14:val="tx1"/>
            </w14:solidFill>
          </w14:textFill>
        </w:rPr>
        <w:t>、本报告书应与估价对象的合法权证一并使用方才有效，评估机构仅对正确使用本报告者负责。</w:t>
      </w:r>
    </w:p>
    <w:p>
      <w:pPr>
        <w:spacing w:line="500" w:lineRule="exact"/>
        <w:ind w:firstLine="480" w:firstLineChars="200"/>
        <w:rPr>
          <w:color w:val="000000" w:themeColor="text1"/>
          <w:sz w:val="24"/>
          <w:szCs w:val="24"/>
          <w:lang w:val="zh-CN"/>
          <w14:textFill>
            <w14:solidFill>
              <w14:schemeClr w14:val="tx1"/>
            </w14:solidFill>
          </w14:textFill>
        </w:rPr>
      </w:pPr>
      <w:r>
        <w:rPr>
          <w:rFonts w:hint="eastAsia"/>
          <w:color w:val="000000" w:themeColor="text1"/>
          <w:sz w:val="24"/>
          <w:szCs w:val="24"/>
          <w14:textFill>
            <w14:solidFill>
              <w14:schemeClr w14:val="tx1"/>
            </w14:solidFill>
          </w14:textFill>
        </w:rPr>
        <w:t>8</w:t>
      </w:r>
      <w:r>
        <w:rPr>
          <w:rFonts w:hint="eastAsia"/>
          <w:color w:val="000000" w:themeColor="text1"/>
          <w:sz w:val="24"/>
          <w:szCs w:val="24"/>
          <w:lang w:val="zh-CN"/>
          <w14:textFill>
            <w14:solidFill>
              <w14:schemeClr w14:val="tx1"/>
            </w14:solidFill>
          </w14:textFill>
        </w:rPr>
        <w:t>、本报告书由</w:t>
      </w:r>
      <w:r>
        <w:rPr>
          <w:color w:val="000000" w:themeColor="text1"/>
          <w:sz w:val="24"/>
          <w:szCs w:val="24"/>
          <w:lang w:val="zh-CN"/>
          <w14:textFill>
            <w14:solidFill>
              <w14:schemeClr w14:val="tx1"/>
            </w14:solidFill>
          </w14:textFill>
        </w:rPr>
        <w:t>“</w:t>
      </w:r>
      <w:r>
        <w:rPr>
          <w:rFonts w:hint="eastAsia"/>
          <w:color w:val="000000" w:themeColor="text1"/>
          <w:sz w:val="24"/>
          <w:szCs w:val="24"/>
          <w:lang w:val="zh-CN"/>
          <w14:textFill>
            <w14:solidFill>
              <w14:schemeClr w14:val="tx1"/>
            </w14:solidFill>
          </w14:textFill>
        </w:rPr>
        <w:t>致估价委托人函</w:t>
      </w:r>
      <w:r>
        <w:rPr>
          <w:color w:val="000000" w:themeColor="text1"/>
          <w:sz w:val="24"/>
          <w:szCs w:val="24"/>
          <w:lang w:val="zh-CN"/>
          <w14:textFill>
            <w14:solidFill>
              <w14:schemeClr w14:val="tx1"/>
            </w14:solidFill>
          </w14:textFill>
        </w:rPr>
        <w:t>”</w:t>
      </w:r>
      <w:r>
        <w:rPr>
          <w:rFonts w:hint="eastAsia"/>
          <w:color w:val="000000" w:themeColor="text1"/>
          <w:sz w:val="24"/>
          <w:szCs w:val="24"/>
          <w:lang w:val="zh-CN"/>
          <w14:textFill>
            <w14:solidFill>
              <w14:schemeClr w14:val="tx1"/>
            </w14:solidFill>
          </w14:textFill>
        </w:rPr>
        <w:t>、</w:t>
      </w:r>
      <w:r>
        <w:rPr>
          <w:color w:val="000000" w:themeColor="text1"/>
          <w:sz w:val="24"/>
          <w:szCs w:val="24"/>
          <w:lang w:val="zh-CN"/>
          <w14:textFill>
            <w14:solidFill>
              <w14:schemeClr w14:val="tx1"/>
            </w14:solidFill>
          </w14:textFill>
        </w:rPr>
        <w:t>“</w:t>
      </w:r>
      <w:r>
        <w:rPr>
          <w:rFonts w:hint="eastAsia"/>
          <w:color w:val="000000" w:themeColor="text1"/>
          <w:sz w:val="24"/>
          <w:szCs w:val="24"/>
          <w:lang w:val="zh-CN"/>
          <w14:textFill>
            <w14:solidFill>
              <w14:schemeClr w14:val="tx1"/>
            </w14:solidFill>
          </w14:textFill>
        </w:rPr>
        <w:t>房地产估价师声明</w:t>
      </w:r>
      <w:r>
        <w:rPr>
          <w:color w:val="000000" w:themeColor="text1"/>
          <w:sz w:val="24"/>
          <w:szCs w:val="24"/>
          <w:lang w:val="zh-CN"/>
          <w14:textFill>
            <w14:solidFill>
              <w14:schemeClr w14:val="tx1"/>
            </w14:solidFill>
          </w14:textFill>
        </w:rPr>
        <w:t>”</w:t>
      </w:r>
      <w:r>
        <w:rPr>
          <w:rFonts w:hint="eastAsia"/>
          <w:color w:val="000000" w:themeColor="text1"/>
          <w:sz w:val="24"/>
          <w:szCs w:val="24"/>
          <w:lang w:val="zh-CN"/>
          <w14:textFill>
            <w14:solidFill>
              <w14:schemeClr w14:val="tx1"/>
            </w14:solidFill>
          </w14:textFill>
        </w:rPr>
        <w:t>、</w:t>
      </w:r>
      <w:r>
        <w:rPr>
          <w:color w:val="000000" w:themeColor="text1"/>
          <w:sz w:val="24"/>
          <w:szCs w:val="24"/>
          <w:lang w:val="zh-CN"/>
          <w14:textFill>
            <w14:solidFill>
              <w14:schemeClr w14:val="tx1"/>
            </w14:solidFill>
          </w14:textFill>
        </w:rPr>
        <w:t>“</w:t>
      </w:r>
      <w:r>
        <w:rPr>
          <w:rFonts w:hint="eastAsia"/>
          <w:color w:val="000000" w:themeColor="text1"/>
          <w:sz w:val="24"/>
          <w:szCs w:val="24"/>
          <w:lang w:val="zh-CN"/>
          <w14:textFill>
            <w14:solidFill>
              <w14:schemeClr w14:val="tx1"/>
            </w14:solidFill>
          </w14:textFill>
        </w:rPr>
        <w:t>估价假设和限制条件”、“估价结果报告”和“附件”构成完整的估价报告。报告使用人应严格按照本估价报告全部完整地应用，我们不对任何割裂使用的应用行为负责。否则由此引起的后果与本公司和注册房地产估价师无关。本报告经法定代表人签章，注册房地产估价师签字，评估机构盖章并作为一个整体时有效。</w:t>
      </w:r>
    </w:p>
    <w:p>
      <w:pPr>
        <w:spacing w:line="500" w:lineRule="exact"/>
        <w:ind w:firstLine="480"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（三）使用报告说明（对估价报告使用者的提示）</w:t>
      </w:r>
    </w:p>
    <w:p>
      <w:pPr>
        <w:widowControl/>
        <w:spacing w:line="360" w:lineRule="auto"/>
        <w:ind w:firstLine="480" w:firstLineChars="200"/>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1、本次估价结果是在以上假设条件并结合对房地产市场前景、销售形势变化情况分析的基础上，得出的估价对象市场价值。</w:t>
      </w:r>
    </w:p>
    <w:p>
      <w:pPr>
        <w:widowControl/>
        <w:spacing w:line="360" w:lineRule="auto"/>
        <w:ind w:firstLine="480" w:firstLineChars="200"/>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所谓市场价值是指估价对象于价值时点在公开市场上最可能形成的价格，应符合以下条件：</w:t>
      </w:r>
    </w:p>
    <w:p>
      <w:pPr>
        <w:widowControl/>
        <w:spacing w:line="360" w:lineRule="auto"/>
        <w:ind w:firstLine="480" w:firstLineChars="200"/>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（1）买卖双方不因任何特殊利益抬高或者降低房地产真实价值；</w:t>
      </w:r>
    </w:p>
    <w:p>
      <w:pPr>
        <w:widowControl/>
        <w:spacing w:line="360" w:lineRule="auto"/>
        <w:ind w:firstLine="480" w:firstLineChars="200"/>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（2）有一段合理交易时间；</w:t>
      </w:r>
    </w:p>
    <w:p>
      <w:pPr>
        <w:widowControl/>
        <w:spacing w:line="360" w:lineRule="auto"/>
        <w:ind w:firstLine="480" w:firstLineChars="200"/>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（3）在此期间房地产市场保持稳定；</w:t>
      </w:r>
    </w:p>
    <w:p>
      <w:pPr>
        <w:widowControl/>
        <w:spacing w:line="360" w:lineRule="auto"/>
        <w:ind w:firstLine="480" w:firstLineChars="200"/>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（4）房地产买卖程序符合国家法律规定。</w:t>
      </w:r>
    </w:p>
    <w:p>
      <w:pPr>
        <w:widowControl/>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2、</w:t>
      </w:r>
      <w:r>
        <w:rPr>
          <w:rFonts w:ascii="宋体" w:hAnsi="宋体" w:cs="宋体"/>
          <w:color w:val="000000" w:themeColor="text1"/>
          <w:kern w:val="0"/>
          <w:sz w:val="24"/>
          <w:szCs w:val="24"/>
          <w14:textFill>
            <w14:solidFill>
              <w14:schemeClr w14:val="tx1"/>
            </w14:solidFill>
          </w14:textFill>
        </w:rPr>
        <w:t>本次估价采用的价值标准为房地产市场价值，未考虑房地产拍卖（变卖）</w:t>
      </w:r>
      <w:r>
        <w:rPr>
          <w:rFonts w:hint="eastAsia" w:ascii="宋体" w:hAnsi="宋体" w:cs="宋体"/>
          <w:color w:val="000000" w:themeColor="text1"/>
          <w:kern w:val="0"/>
          <w:sz w:val="24"/>
          <w:szCs w:val="24"/>
          <w:lang w:val="en-US" w:eastAsia="zh-CN"/>
          <w14:textFill>
            <w14:solidFill>
              <w14:schemeClr w14:val="tx1"/>
            </w14:solidFill>
          </w14:textFill>
        </w:rPr>
        <w:t>费用以及</w:t>
      </w:r>
      <w:r>
        <w:rPr>
          <w:rFonts w:ascii="宋体" w:hAnsi="宋体" w:cs="宋体"/>
          <w:color w:val="000000" w:themeColor="text1"/>
          <w:kern w:val="0"/>
          <w:sz w:val="24"/>
          <w:szCs w:val="24"/>
          <w14:textFill>
            <w14:solidFill>
              <w14:schemeClr w14:val="tx1"/>
            </w14:solidFill>
          </w14:textFill>
        </w:rPr>
        <w:t>成交后的税费及税费的转移负担。</w:t>
      </w:r>
    </w:p>
    <w:p>
      <w:pPr>
        <w:widowControl/>
        <w:spacing w:line="360" w:lineRule="auto"/>
        <w:ind w:firstLine="480" w:firstLineChars="200"/>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3、本次估价对象土地使用权性质为划拨，估价对象评估价值与估价采用的案例类型均为划拨条件下的价格。</w:t>
      </w:r>
    </w:p>
    <w:p>
      <w:pPr>
        <w:widowControl/>
        <w:spacing w:line="360" w:lineRule="auto"/>
        <w:ind w:firstLine="480" w:firstLineChars="200"/>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lang w:val="en-US" w:eastAsia="zh-CN"/>
          <w14:textFill>
            <w14:solidFill>
              <w14:schemeClr w14:val="tx1"/>
            </w14:solidFill>
          </w14:textFill>
        </w:rPr>
        <w:t>4</w:t>
      </w:r>
      <w:r>
        <w:rPr>
          <w:rFonts w:hint="eastAsia" w:ascii="宋体" w:hAnsi="宋体"/>
          <w:color w:val="000000" w:themeColor="text1"/>
          <w:kern w:val="0"/>
          <w:sz w:val="24"/>
          <w:szCs w:val="24"/>
          <w14:textFill>
            <w14:solidFill>
              <w14:schemeClr w14:val="tx1"/>
            </w14:solidFill>
          </w14:textFill>
        </w:rPr>
        <w:t>、如发现本报告内的文字或数字因校印或其它原因出现误差时，请通知本公司进行更正。否则，报告误差部分无效。</w:t>
      </w:r>
    </w:p>
    <w:p>
      <w:pPr>
        <w:spacing w:line="360" w:lineRule="auto"/>
        <w:ind w:firstLine="480" w:firstLineChars="200"/>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lang w:val="en-US" w:eastAsia="zh-CN"/>
          <w14:textFill>
            <w14:solidFill>
              <w14:schemeClr w14:val="tx1"/>
            </w14:solidFill>
          </w14:textFill>
        </w:rPr>
        <w:t>5</w:t>
      </w:r>
      <w:r>
        <w:rPr>
          <w:rFonts w:hint="eastAsia" w:ascii="宋体" w:hAnsi="宋体"/>
          <w:color w:val="000000" w:themeColor="text1"/>
          <w:kern w:val="0"/>
          <w:sz w:val="24"/>
          <w:szCs w:val="24"/>
          <w14:textFill>
            <w14:solidFill>
              <w14:schemeClr w14:val="tx1"/>
            </w14:solidFill>
          </w14:textFill>
        </w:rPr>
        <w:t>、本报告未经我公司书面同意，不得向估价委托人及使用相关方以外的单位或个人提供，且报告的全部或部分内容不得发表于任何公开媒体上以及任何宣传资料中，报告解释权为本公司所有。</w:t>
      </w:r>
    </w:p>
    <w:p>
      <w:pPr>
        <w:pStyle w:val="18"/>
        <w:jc w:val="center"/>
        <w:outlineLvl w:val="0"/>
        <w:rPr>
          <w:rFonts w:ascii="黑体" w:eastAsia="黑体" w:cs="黑体"/>
          <w:b w:val="0"/>
          <w:bCs w:val="0"/>
          <w:color w:val="000000" w:themeColor="text1"/>
          <w:sz w:val="32"/>
          <w:szCs w:val="32"/>
          <w14:textFill>
            <w14:solidFill>
              <w14:schemeClr w14:val="tx1"/>
            </w14:solidFill>
          </w14:textFill>
        </w:rPr>
      </w:pPr>
      <w:bookmarkStart w:id="17" w:name="_Toc3900540"/>
      <w:r>
        <w:rPr>
          <w:rFonts w:hint="eastAsia" w:ascii="黑体" w:eastAsia="黑体" w:cs="黑体"/>
          <w:b w:val="0"/>
          <w:bCs w:val="0"/>
          <w:color w:val="000000" w:themeColor="text1"/>
          <w:sz w:val="32"/>
          <w:szCs w:val="32"/>
          <w14:textFill>
            <w14:solidFill>
              <w14:schemeClr w14:val="tx1"/>
            </w14:solidFill>
          </w14:textFill>
        </w:rPr>
        <w:t>三、房地产估价结果报告</w:t>
      </w:r>
      <w:bookmarkEnd w:id="17"/>
    </w:p>
    <w:p>
      <w:pPr>
        <w:spacing w:line="500" w:lineRule="exact"/>
        <w:ind w:firstLine="480" w:firstLineChars="200"/>
        <w:jc w:val="left"/>
        <w:outlineLvl w:val="1"/>
        <w:rPr>
          <w:rFonts w:cs="宋体"/>
          <w:color w:val="000000" w:themeColor="text1"/>
          <w:sz w:val="24"/>
          <w:szCs w:val="24"/>
          <w14:textFill>
            <w14:solidFill>
              <w14:schemeClr w14:val="tx1"/>
            </w14:solidFill>
          </w14:textFill>
        </w:rPr>
      </w:pPr>
      <w:bookmarkStart w:id="18" w:name="_Toc435111908"/>
      <w:bookmarkStart w:id="19" w:name="_Toc3900541"/>
      <w:r>
        <w:rPr>
          <w:rFonts w:hint="eastAsia" w:ascii="宋体" w:hAnsi="宋体" w:cs="宋体"/>
          <w:b/>
          <w:color w:val="000000" w:themeColor="text1"/>
          <w:sz w:val="24"/>
          <w:szCs w:val="24"/>
          <w14:textFill>
            <w14:solidFill>
              <w14:schemeClr w14:val="tx1"/>
            </w14:solidFill>
          </w14:textFill>
        </w:rPr>
        <w:t>（一）估价委托人</w:t>
      </w:r>
      <w:bookmarkEnd w:id="18"/>
      <w:r>
        <w:rPr>
          <w:rFonts w:hint="eastAsia" w:ascii="宋体" w:hAnsi="宋体" w:cs="宋体"/>
          <w:b/>
          <w:color w:val="000000" w:themeColor="text1"/>
          <w:sz w:val="24"/>
          <w:szCs w:val="24"/>
          <w14:textFill>
            <w14:solidFill>
              <w14:schemeClr w14:val="tx1"/>
            </w14:solidFill>
          </w14:textFill>
        </w:rPr>
        <w:t>及案件当事人</w:t>
      </w:r>
      <w:bookmarkEnd w:id="19"/>
    </w:p>
    <w:p>
      <w:pPr>
        <w:spacing w:line="500" w:lineRule="exact"/>
        <w:ind w:firstLine="480" w:firstLineChars="200"/>
        <w:rPr>
          <w:rFonts w:cs="宋体"/>
          <w:color w:val="000000" w:themeColor="text1"/>
          <w:sz w:val="24"/>
          <w:szCs w:val="24"/>
          <w14:textFill>
            <w14:solidFill>
              <w14:schemeClr w14:val="tx1"/>
            </w14:solidFill>
          </w14:textFill>
        </w:rPr>
      </w:pPr>
      <w:bookmarkStart w:id="20" w:name="_Toc435111909"/>
      <w:r>
        <w:rPr>
          <w:rFonts w:hint="eastAsia" w:cs="宋体"/>
          <w:color w:val="000000" w:themeColor="text1"/>
          <w:sz w:val="24"/>
          <w:szCs w:val="24"/>
          <w14:textFill>
            <w14:solidFill>
              <w14:schemeClr w14:val="tx1"/>
            </w14:solidFill>
          </w14:textFill>
        </w:rPr>
        <w:t>1、估价委托人</w:t>
      </w:r>
    </w:p>
    <w:p>
      <w:pPr>
        <w:spacing w:line="500" w:lineRule="exact"/>
        <w:ind w:firstLine="480" w:firstLineChars="200"/>
        <w:rPr>
          <w:rFonts w:hint="eastAsia" w:eastAsia="宋体" w:cs="宋体"/>
          <w:color w:val="000000" w:themeColor="text1"/>
          <w:sz w:val="24"/>
          <w:szCs w:val="24"/>
          <w:lang w:eastAsia="zh-CN"/>
          <w14:textFill>
            <w14:solidFill>
              <w14:schemeClr w14:val="tx1"/>
            </w14:solidFill>
          </w14:textFill>
        </w:rPr>
      </w:pPr>
      <w:r>
        <w:rPr>
          <w:rFonts w:hint="eastAsia" w:cs="宋体"/>
          <w:color w:val="000000" w:themeColor="text1"/>
          <w:sz w:val="24"/>
          <w:szCs w:val="24"/>
          <w14:textFill>
            <w14:solidFill>
              <w14:schemeClr w14:val="tx1"/>
            </w14:solidFill>
          </w14:textFill>
        </w:rPr>
        <w:t xml:space="preserve">名 </w:t>
      </w:r>
      <w:r>
        <w:rPr>
          <w:rFonts w:cs="宋体"/>
          <w:color w:val="000000" w:themeColor="text1"/>
          <w:sz w:val="24"/>
          <w:szCs w:val="24"/>
          <w14:textFill>
            <w14:solidFill>
              <w14:schemeClr w14:val="tx1"/>
            </w14:solidFill>
          </w14:textFill>
        </w:rPr>
        <w:t xml:space="preserve">   </w:t>
      </w:r>
      <w:r>
        <w:rPr>
          <w:rFonts w:hint="eastAsia" w:cs="宋体"/>
          <w:color w:val="000000" w:themeColor="text1"/>
          <w:sz w:val="24"/>
          <w:szCs w:val="24"/>
          <w14:textFill>
            <w14:solidFill>
              <w14:schemeClr w14:val="tx1"/>
            </w14:solidFill>
          </w14:textFill>
        </w:rPr>
        <w:t>称：</w:t>
      </w:r>
      <w:r>
        <w:rPr>
          <w:rFonts w:hint="eastAsia" w:cs="宋体"/>
          <w:color w:val="000000" w:themeColor="text1"/>
          <w:sz w:val="24"/>
          <w:szCs w:val="24"/>
          <w:lang w:eastAsia="zh-CN"/>
          <w14:textFill>
            <w14:solidFill>
              <w14:schemeClr w14:val="tx1"/>
            </w14:solidFill>
          </w14:textFill>
        </w:rPr>
        <w:t>绵竹市人民法院</w:t>
      </w:r>
    </w:p>
    <w:p>
      <w:pPr>
        <w:spacing w:line="500" w:lineRule="exact"/>
        <w:ind w:firstLine="480" w:firstLineChars="200"/>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2、案件当事人</w:t>
      </w:r>
    </w:p>
    <w:p>
      <w:pPr>
        <w:spacing w:line="500" w:lineRule="exact"/>
        <w:ind w:firstLine="480" w:firstLineChars="200"/>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（1）申请人</w:t>
      </w:r>
    </w:p>
    <w:p>
      <w:pPr>
        <w:spacing w:line="500" w:lineRule="exact"/>
        <w:ind w:firstLine="480" w:firstLineChars="200"/>
        <w:rPr>
          <w:rFonts w:hint="eastAsia" w:eastAsia="宋体" w:cs="宋体"/>
          <w:color w:val="000000" w:themeColor="text1"/>
          <w:sz w:val="24"/>
          <w:szCs w:val="24"/>
          <w:lang w:eastAsia="zh-CN"/>
          <w14:textFill>
            <w14:solidFill>
              <w14:schemeClr w14:val="tx1"/>
            </w14:solidFill>
          </w14:textFill>
        </w:rPr>
      </w:pPr>
      <w:r>
        <w:rPr>
          <w:rFonts w:hint="eastAsia" w:cs="宋体"/>
          <w:color w:val="000000" w:themeColor="text1"/>
          <w:sz w:val="24"/>
          <w:szCs w:val="24"/>
          <w14:textFill>
            <w14:solidFill>
              <w14:schemeClr w14:val="tx1"/>
            </w14:solidFill>
          </w14:textFill>
        </w:rPr>
        <w:t xml:space="preserve">名 </w:t>
      </w:r>
      <w:r>
        <w:rPr>
          <w:rFonts w:cs="宋体"/>
          <w:color w:val="000000" w:themeColor="text1"/>
          <w:sz w:val="24"/>
          <w:szCs w:val="24"/>
          <w14:textFill>
            <w14:solidFill>
              <w14:schemeClr w14:val="tx1"/>
            </w14:solidFill>
          </w14:textFill>
        </w:rPr>
        <w:t xml:space="preserve">   </w:t>
      </w:r>
      <w:r>
        <w:rPr>
          <w:rFonts w:hint="eastAsia" w:cs="宋体"/>
          <w:color w:val="000000" w:themeColor="text1"/>
          <w:sz w:val="24"/>
          <w:szCs w:val="24"/>
          <w14:textFill>
            <w14:solidFill>
              <w14:schemeClr w14:val="tx1"/>
            </w14:solidFill>
          </w14:textFill>
        </w:rPr>
        <w:t>称：</w:t>
      </w:r>
      <w:r>
        <w:rPr>
          <w:rFonts w:hint="eastAsia" w:cs="宋体"/>
          <w:color w:val="000000" w:themeColor="text1"/>
          <w:sz w:val="24"/>
          <w:szCs w:val="24"/>
          <w:lang w:val="en-US" w:eastAsia="zh-CN"/>
          <w14:textFill>
            <w14:solidFill>
              <w14:schemeClr w14:val="tx1"/>
            </w14:solidFill>
          </w14:textFill>
        </w:rPr>
        <w:t>徐飞</w:t>
      </w:r>
    </w:p>
    <w:p>
      <w:pPr>
        <w:spacing w:line="500" w:lineRule="exact"/>
        <w:ind w:firstLine="480" w:firstLineChars="200"/>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（2）被</w:t>
      </w:r>
      <w:r>
        <w:rPr>
          <w:rFonts w:hint="eastAsia" w:ascii="宋体" w:hAnsi="宋体"/>
          <w:color w:val="000000" w:themeColor="text1"/>
          <w:sz w:val="24"/>
          <w:szCs w:val="24"/>
          <w14:textFill>
            <w14:solidFill>
              <w14:schemeClr w14:val="tx1"/>
            </w14:solidFill>
          </w14:textFill>
        </w:rPr>
        <w:t>执</w:t>
      </w:r>
      <w:r>
        <w:rPr>
          <w:rFonts w:hint="eastAsia" w:cs="宋体"/>
          <w:color w:val="000000" w:themeColor="text1"/>
          <w:sz w:val="24"/>
          <w:szCs w:val="24"/>
          <w14:textFill>
            <w14:solidFill>
              <w14:schemeClr w14:val="tx1"/>
            </w14:solidFill>
          </w14:textFill>
        </w:rPr>
        <w:t>行人及房屋所有权人</w:t>
      </w:r>
    </w:p>
    <w:p>
      <w:pPr>
        <w:spacing w:line="500" w:lineRule="exact"/>
        <w:ind w:firstLine="480" w:firstLineChars="200"/>
        <w:rPr>
          <w:rFonts w:hint="eastAsia" w:eastAsia="宋体" w:cs="宋体"/>
          <w:color w:val="000000" w:themeColor="text1"/>
          <w:sz w:val="24"/>
          <w:szCs w:val="24"/>
          <w:lang w:eastAsia="zh-CN"/>
          <w14:textFill>
            <w14:solidFill>
              <w14:schemeClr w14:val="tx1"/>
            </w14:solidFill>
          </w14:textFill>
        </w:rPr>
      </w:pPr>
      <w:r>
        <w:rPr>
          <w:rFonts w:hint="eastAsia" w:cs="宋体"/>
          <w:color w:val="000000" w:themeColor="text1"/>
          <w:sz w:val="24"/>
          <w:szCs w:val="24"/>
          <w14:textFill>
            <w14:solidFill>
              <w14:schemeClr w14:val="tx1"/>
            </w14:solidFill>
          </w14:textFill>
        </w:rPr>
        <w:t xml:space="preserve">姓 </w:t>
      </w:r>
      <w:r>
        <w:rPr>
          <w:rFonts w:cs="宋体"/>
          <w:color w:val="000000" w:themeColor="text1"/>
          <w:sz w:val="24"/>
          <w:szCs w:val="24"/>
          <w14:textFill>
            <w14:solidFill>
              <w14:schemeClr w14:val="tx1"/>
            </w14:solidFill>
          </w14:textFill>
        </w:rPr>
        <w:t xml:space="preserve">   </w:t>
      </w:r>
      <w:r>
        <w:rPr>
          <w:rFonts w:hint="eastAsia" w:cs="宋体"/>
          <w:color w:val="000000" w:themeColor="text1"/>
          <w:sz w:val="24"/>
          <w:szCs w:val="24"/>
          <w14:textFill>
            <w14:solidFill>
              <w14:schemeClr w14:val="tx1"/>
            </w14:solidFill>
          </w14:textFill>
        </w:rPr>
        <w:t>名：</w:t>
      </w:r>
      <w:r>
        <w:rPr>
          <w:rFonts w:hint="eastAsia" w:cs="宋体"/>
          <w:color w:val="000000" w:themeColor="text1"/>
          <w:sz w:val="24"/>
          <w:szCs w:val="24"/>
          <w:lang w:eastAsia="zh-CN"/>
          <w14:textFill>
            <w14:solidFill>
              <w14:schemeClr w14:val="tx1"/>
            </w14:solidFill>
          </w14:textFill>
        </w:rPr>
        <w:t>朱莉</w:t>
      </w:r>
    </w:p>
    <w:p>
      <w:pPr>
        <w:spacing w:line="500" w:lineRule="exact"/>
        <w:ind w:firstLine="480" w:firstLineChars="200"/>
        <w:rPr>
          <w:rFonts w:hint="default" w:eastAsia="宋体" w:cs="宋体"/>
          <w:color w:val="000000" w:themeColor="text1"/>
          <w:sz w:val="24"/>
          <w:szCs w:val="24"/>
          <w:lang w:val="en-US" w:eastAsia="zh-CN"/>
          <w14:textFill>
            <w14:solidFill>
              <w14:schemeClr w14:val="tx1"/>
            </w14:solidFill>
          </w14:textFill>
        </w:rPr>
      </w:pPr>
      <w:r>
        <w:rPr>
          <w:rFonts w:hint="eastAsia" w:cs="宋体"/>
          <w:color w:val="000000" w:themeColor="text1"/>
          <w:sz w:val="24"/>
          <w:szCs w:val="24"/>
          <w14:textFill>
            <w14:solidFill>
              <w14:schemeClr w14:val="tx1"/>
            </w14:solidFill>
          </w14:textFill>
        </w:rPr>
        <w:t>身份证号：</w:t>
      </w:r>
      <w:r>
        <w:rPr>
          <w:rFonts w:hint="eastAsia" w:cs="宋体"/>
          <w:color w:val="000000" w:themeColor="text1"/>
          <w:sz w:val="24"/>
          <w:szCs w:val="24"/>
          <w:lang w:val="en-US" w:eastAsia="zh-CN"/>
          <w14:textFill>
            <w14:solidFill>
              <w14:schemeClr w14:val="tx1"/>
            </w14:solidFill>
          </w14:textFill>
        </w:rPr>
        <w:t>510622196909270028</w:t>
      </w:r>
    </w:p>
    <w:p>
      <w:pPr>
        <w:spacing w:line="500" w:lineRule="exact"/>
        <w:ind w:firstLine="480" w:firstLineChars="200"/>
        <w:outlineLvl w:val="1"/>
        <w:rPr>
          <w:rFonts w:ascii="宋体" w:hAnsi="宋体" w:cs="宋体"/>
          <w:b/>
          <w:color w:val="000000" w:themeColor="text1"/>
          <w:sz w:val="24"/>
          <w:szCs w:val="24"/>
          <w14:textFill>
            <w14:solidFill>
              <w14:schemeClr w14:val="tx1"/>
            </w14:solidFill>
          </w14:textFill>
        </w:rPr>
      </w:pPr>
      <w:bookmarkStart w:id="21" w:name="_Toc3900542"/>
      <w:r>
        <w:rPr>
          <w:rFonts w:hint="eastAsia" w:ascii="宋体" w:hAnsi="宋体" w:cs="宋体"/>
          <w:b/>
          <w:color w:val="000000" w:themeColor="text1"/>
          <w:sz w:val="24"/>
          <w:szCs w:val="24"/>
          <w14:textFill>
            <w14:solidFill>
              <w14:schemeClr w14:val="tx1"/>
            </w14:solidFill>
          </w14:textFill>
        </w:rPr>
        <w:t>（二）房地产估价机构</w:t>
      </w:r>
      <w:bookmarkEnd w:id="20"/>
      <w:bookmarkEnd w:id="21"/>
    </w:p>
    <w:p>
      <w:pPr>
        <w:spacing w:line="500" w:lineRule="exact"/>
        <w:ind w:firstLine="480" w:firstLineChars="200"/>
        <w:outlineLvl w:val="1"/>
        <w:rPr>
          <w:rFonts w:hint="eastAsia" w:ascii="宋体" w:hAnsi="宋体" w:eastAsia="宋体" w:cs="宋体"/>
          <w:color w:val="000000" w:themeColor="text1"/>
          <w:sz w:val="24"/>
          <w:szCs w:val="24"/>
          <w:lang w:eastAsia="zh-CN"/>
          <w14:textFill>
            <w14:solidFill>
              <w14:schemeClr w14:val="tx1"/>
            </w14:solidFill>
          </w14:textFill>
        </w:rPr>
      </w:pPr>
      <w:bookmarkStart w:id="22" w:name="_Toc532654344"/>
      <w:bookmarkStart w:id="23" w:name="_Toc527966025"/>
      <w:bookmarkStart w:id="24" w:name="_Toc528308192"/>
      <w:bookmarkStart w:id="25" w:name="_Toc531612710"/>
      <w:bookmarkStart w:id="26" w:name="_Toc531612372"/>
      <w:bookmarkStart w:id="27" w:name="_Toc3900543"/>
      <w:bookmarkStart w:id="28" w:name="_Toc1030219"/>
      <w:bookmarkStart w:id="29" w:name="_Toc435111910"/>
      <w:r>
        <w:rPr>
          <w:rFonts w:ascii="宋体" w:hAnsi="宋体" w:cs="宋体"/>
          <w:color w:val="000000" w:themeColor="text1"/>
          <w:sz w:val="24"/>
          <w:szCs w:val="24"/>
          <w14:textFill>
            <w14:solidFill>
              <w14:schemeClr w14:val="tx1"/>
            </w14:solidFill>
          </w14:textFill>
        </w:rPr>
        <w:t>单位名称</w:t>
      </w:r>
      <w:r>
        <w:rPr>
          <w:rFonts w:hint="eastAsia" w:ascii="宋体" w:hAnsi="宋体" w:cs="宋体"/>
          <w:color w:val="000000" w:themeColor="text1"/>
          <w:sz w:val="24"/>
          <w:szCs w:val="24"/>
          <w14:textFill>
            <w14:solidFill>
              <w14:schemeClr w14:val="tx1"/>
            </w14:solidFill>
          </w14:textFill>
        </w:rPr>
        <w:t>：</w:t>
      </w:r>
      <w:bookmarkEnd w:id="22"/>
      <w:bookmarkEnd w:id="23"/>
      <w:bookmarkEnd w:id="24"/>
      <w:bookmarkEnd w:id="25"/>
      <w:bookmarkEnd w:id="26"/>
      <w:bookmarkEnd w:id="27"/>
      <w:bookmarkEnd w:id="28"/>
      <w:r>
        <w:rPr>
          <w:rFonts w:hint="eastAsia" w:ascii="宋体" w:hAnsi="宋体" w:cs="宋体"/>
          <w:color w:val="000000" w:themeColor="text1"/>
          <w:sz w:val="24"/>
          <w:szCs w:val="24"/>
          <w:lang w:eastAsia="zh-CN"/>
          <w14:textFill>
            <w14:solidFill>
              <w14:schemeClr w14:val="tx1"/>
            </w14:solidFill>
          </w14:textFill>
        </w:rPr>
        <w:t>四川海盛林房地产土地资产评估有限公司</w:t>
      </w:r>
    </w:p>
    <w:p>
      <w:pPr>
        <w:spacing w:line="500" w:lineRule="exact"/>
        <w:ind w:firstLine="480" w:firstLineChars="200"/>
        <w:outlineLvl w:val="1"/>
        <w:rPr>
          <w:rFonts w:ascii="宋体" w:hAnsi="宋体" w:cs="宋体"/>
          <w:color w:val="000000" w:themeColor="text1"/>
          <w:sz w:val="24"/>
          <w:szCs w:val="24"/>
          <w14:textFill>
            <w14:solidFill>
              <w14:schemeClr w14:val="tx1"/>
            </w14:solidFill>
          </w14:textFill>
        </w:rPr>
      </w:pPr>
      <w:bookmarkStart w:id="30" w:name="_Toc1030220"/>
      <w:bookmarkStart w:id="31" w:name="_Toc531612373"/>
      <w:bookmarkStart w:id="32" w:name="_Toc527966026"/>
      <w:bookmarkStart w:id="33" w:name="_Toc532654345"/>
      <w:bookmarkStart w:id="34" w:name="_Toc3900544"/>
      <w:bookmarkStart w:id="35" w:name="_Toc528308193"/>
      <w:bookmarkStart w:id="36" w:name="_Toc531612711"/>
      <w:r>
        <w:rPr>
          <w:rFonts w:ascii="宋体" w:hAnsi="宋体" w:cs="宋体"/>
          <w:color w:val="000000" w:themeColor="text1"/>
          <w:sz w:val="24"/>
          <w:szCs w:val="24"/>
          <w14:textFill>
            <w14:solidFill>
              <w14:schemeClr w14:val="tx1"/>
            </w14:solidFill>
          </w14:textFill>
        </w:rPr>
        <w:t>住  所</w:t>
      </w: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成都市洗面桥街33号艺墅花乡14楼1404号</w:t>
      </w:r>
      <w:bookmarkEnd w:id="30"/>
      <w:bookmarkEnd w:id="31"/>
      <w:bookmarkEnd w:id="32"/>
      <w:bookmarkEnd w:id="33"/>
      <w:bookmarkEnd w:id="34"/>
      <w:bookmarkEnd w:id="35"/>
      <w:bookmarkEnd w:id="36"/>
    </w:p>
    <w:p>
      <w:pPr>
        <w:spacing w:line="500" w:lineRule="exact"/>
        <w:ind w:firstLine="480" w:firstLineChars="200"/>
        <w:outlineLvl w:val="1"/>
        <w:rPr>
          <w:rFonts w:hint="eastAsia" w:ascii="宋体" w:hAnsi="宋体" w:eastAsia="宋体" w:cs="宋体"/>
          <w:color w:val="000000" w:themeColor="text1"/>
          <w:sz w:val="24"/>
          <w:szCs w:val="24"/>
          <w:lang w:eastAsia="zh-CN"/>
          <w14:textFill>
            <w14:solidFill>
              <w14:schemeClr w14:val="tx1"/>
            </w14:solidFill>
          </w14:textFill>
        </w:rPr>
      </w:pPr>
      <w:bookmarkStart w:id="37" w:name="_Toc531612712"/>
      <w:bookmarkStart w:id="38" w:name="_Toc528308194"/>
      <w:bookmarkStart w:id="39" w:name="_Toc532654346"/>
      <w:bookmarkStart w:id="40" w:name="_Toc1030221"/>
      <w:bookmarkStart w:id="41" w:name="_Toc527966027"/>
      <w:bookmarkStart w:id="42" w:name="_Toc531612374"/>
      <w:bookmarkStart w:id="43" w:name="_Toc3900545"/>
      <w:r>
        <w:rPr>
          <w:rFonts w:ascii="宋体" w:hAnsi="宋体" w:cs="宋体"/>
          <w:color w:val="000000" w:themeColor="text1"/>
          <w:sz w:val="24"/>
          <w:szCs w:val="24"/>
          <w14:textFill>
            <w14:solidFill>
              <w14:schemeClr w14:val="tx1"/>
            </w14:solidFill>
          </w14:textFill>
        </w:rPr>
        <w:t>法定代表人</w:t>
      </w:r>
      <w:r>
        <w:rPr>
          <w:rFonts w:hint="eastAsia" w:ascii="宋体" w:hAnsi="宋体" w:cs="宋体"/>
          <w:color w:val="000000" w:themeColor="text1"/>
          <w:sz w:val="24"/>
          <w:szCs w:val="24"/>
          <w14:textFill>
            <w14:solidFill>
              <w14:schemeClr w14:val="tx1"/>
            </w14:solidFill>
          </w14:textFill>
        </w:rPr>
        <w:t>：</w:t>
      </w:r>
      <w:bookmarkEnd w:id="37"/>
      <w:bookmarkEnd w:id="38"/>
      <w:bookmarkEnd w:id="39"/>
      <w:bookmarkEnd w:id="40"/>
      <w:bookmarkEnd w:id="41"/>
      <w:bookmarkEnd w:id="42"/>
      <w:bookmarkEnd w:id="43"/>
      <w:r>
        <w:rPr>
          <w:rFonts w:hint="eastAsia" w:ascii="宋体" w:hAnsi="宋体" w:cs="宋体"/>
          <w:color w:val="000000" w:themeColor="text1"/>
          <w:sz w:val="24"/>
          <w:szCs w:val="24"/>
          <w:lang w:eastAsia="zh-CN"/>
          <w14:textFill>
            <w14:solidFill>
              <w14:schemeClr w14:val="tx1"/>
            </w14:solidFill>
          </w14:textFill>
        </w:rPr>
        <w:t>苟尚斌</w:t>
      </w:r>
    </w:p>
    <w:p>
      <w:pPr>
        <w:spacing w:line="500" w:lineRule="exact"/>
        <w:ind w:firstLine="480" w:firstLineChars="200"/>
        <w:outlineLvl w:val="1"/>
        <w:rPr>
          <w:rFonts w:ascii="宋体" w:hAnsi="宋体" w:cs="宋体"/>
          <w:color w:val="000000" w:themeColor="text1"/>
          <w:sz w:val="24"/>
          <w:szCs w:val="24"/>
          <w14:textFill>
            <w14:solidFill>
              <w14:schemeClr w14:val="tx1"/>
            </w14:solidFill>
          </w14:textFill>
        </w:rPr>
      </w:pPr>
      <w:bookmarkStart w:id="44" w:name="_Toc531612375"/>
      <w:bookmarkStart w:id="45" w:name="_Toc527966028"/>
      <w:bookmarkStart w:id="46" w:name="_Toc531612713"/>
      <w:bookmarkStart w:id="47" w:name="_Toc532654347"/>
      <w:bookmarkStart w:id="48" w:name="_Toc528308195"/>
      <w:bookmarkStart w:id="49" w:name="_Toc3900546"/>
      <w:bookmarkStart w:id="50" w:name="_Toc1030222"/>
      <w:r>
        <w:rPr>
          <w:rFonts w:ascii="宋体" w:hAnsi="宋体" w:cs="宋体"/>
          <w:color w:val="000000" w:themeColor="text1"/>
          <w:sz w:val="24"/>
          <w:szCs w:val="24"/>
          <w14:textFill>
            <w14:solidFill>
              <w14:schemeClr w14:val="tx1"/>
            </w14:solidFill>
          </w14:textFill>
        </w:rPr>
        <w:t>资质等级</w:t>
      </w: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壹级</w:t>
      </w:r>
      <w:bookmarkEnd w:id="44"/>
      <w:bookmarkEnd w:id="45"/>
      <w:bookmarkEnd w:id="46"/>
      <w:bookmarkEnd w:id="47"/>
      <w:bookmarkEnd w:id="48"/>
      <w:bookmarkEnd w:id="49"/>
      <w:bookmarkEnd w:id="50"/>
    </w:p>
    <w:p>
      <w:pPr>
        <w:spacing w:line="500" w:lineRule="exact"/>
        <w:ind w:firstLine="480" w:firstLineChars="200"/>
        <w:outlineLvl w:val="1"/>
        <w:rPr>
          <w:rFonts w:ascii="宋体" w:hAnsi="宋体" w:cs="宋体"/>
          <w:color w:val="000000" w:themeColor="text1"/>
          <w:sz w:val="24"/>
          <w:szCs w:val="24"/>
          <w14:textFill>
            <w14:solidFill>
              <w14:schemeClr w14:val="tx1"/>
            </w14:solidFill>
          </w14:textFill>
        </w:rPr>
      </w:pPr>
      <w:bookmarkStart w:id="51" w:name="_Toc528308196"/>
      <w:bookmarkStart w:id="52" w:name="_Toc532654348"/>
      <w:bookmarkStart w:id="53" w:name="_Toc527966029"/>
      <w:bookmarkStart w:id="54" w:name="_Toc531612376"/>
      <w:bookmarkStart w:id="55" w:name="_Toc3900547"/>
      <w:bookmarkStart w:id="56" w:name="_Toc1030223"/>
      <w:bookmarkStart w:id="57" w:name="_Toc531612714"/>
      <w:r>
        <w:rPr>
          <w:rFonts w:ascii="宋体" w:hAnsi="宋体" w:cs="宋体"/>
          <w:color w:val="000000" w:themeColor="text1"/>
          <w:sz w:val="24"/>
          <w:szCs w:val="24"/>
          <w14:textFill>
            <w14:solidFill>
              <w14:schemeClr w14:val="tx1"/>
            </w14:solidFill>
          </w14:textFill>
        </w:rPr>
        <w:t>统一社会信用代码：915100007400036537</w:t>
      </w:r>
      <w:bookmarkEnd w:id="51"/>
      <w:bookmarkEnd w:id="52"/>
      <w:bookmarkEnd w:id="53"/>
      <w:bookmarkEnd w:id="54"/>
      <w:bookmarkEnd w:id="55"/>
      <w:bookmarkEnd w:id="56"/>
      <w:bookmarkEnd w:id="57"/>
    </w:p>
    <w:p>
      <w:pPr>
        <w:spacing w:line="500" w:lineRule="exact"/>
        <w:ind w:firstLine="480" w:firstLineChars="200"/>
        <w:outlineLvl w:val="1"/>
        <w:rPr>
          <w:rFonts w:ascii="宋体" w:hAnsi="宋体" w:cs="宋体"/>
          <w:color w:val="000000" w:themeColor="text1"/>
          <w:sz w:val="24"/>
          <w:szCs w:val="24"/>
          <w14:textFill>
            <w14:solidFill>
              <w14:schemeClr w14:val="tx1"/>
            </w14:solidFill>
          </w14:textFill>
        </w:rPr>
      </w:pPr>
      <w:bookmarkStart w:id="58" w:name="_Toc528308197"/>
      <w:bookmarkStart w:id="59" w:name="_Toc532654349"/>
      <w:bookmarkStart w:id="60" w:name="_Toc3900548"/>
      <w:bookmarkStart w:id="61" w:name="_Toc1030224"/>
      <w:bookmarkStart w:id="62" w:name="_Toc531612377"/>
      <w:bookmarkStart w:id="63" w:name="_Toc527966030"/>
      <w:bookmarkStart w:id="64" w:name="_Toc531612715"/>
      <w:r>
        <w:rPr>
          <w:rFonts w:ascii="宋体" w:hAnsi="宋体" w:cs="宋体"/>
          <w:color w:val="000000" w:themeColor="text1"/>
          <w:sz w:val="24"/>
          <w:szCs w:val="24"/>
          <w14:textFill>
            <w14:solidFill>
              <w14:schemeClr w14:val="tx1"/>
            </w14:solidFill>
          </w14:textFill>
        </w:rPr>
        <w:t>估价资格证书:川建房估备字[2018]0166号</w:t>
      </w:r>
      <w:bookmarkEnd w:id="58"/>
      <w:bookmarkEnd w:id="59"/>
      <w:bookmarkEnd w:id="60"/>
      <w:bookmarkEnd w:id="61"/>
      <w:bookmarkEnd w:id="62"/>
      <w:bookmarkEnd w:id="63"/>
      <w:bookmarkEnd w:id="64"/>
    </w:p>
    <w:p>
      <w:pPr>
        <w:spacing w:line="500" w:lineRule="exact"/>
        <w:ind w:firstLine="480" w:firstLineChars="200"/>
        <w:outlineLvl w:val="1"/>
        <w:rPr>
          <w:rFonts w:ascii="宋体" w:hAnsi="宋体" w:cs="宋体"/>
          <w:color w:val="000000" w:themeColor="text1"/>
          <w:sz w:val="24"/>
          <w:szCs w:val="24"/>
          <w14:textFill>
            <w14:solidFill>
              <w14:schemeClr w14:val="tx1"/>
            </w14:solidFill>
          </w14:textFill>
        </w:rPr>
      </w:pPr>
      <w:bookmarkStart w:id="65" w:name="_Toc528308198"/>
      <w:bookmarkStart w:id="66" w:name="_Toc1030225"/>
      <w:bookmarkStart w:id="67" w:name="_Toc3900549"/>
      <w:bookmarkStart w:id="68" w:name="_Toc531612378"/>
      <w:bookmarkStart w:id="69" w:name="_Toc531612716"/>
      <w:bookmarkStart w:id="70" w:name="_Toc527966031"/>
      <w:bookmarkStart w:id="71" w:name="_Toc532654350"/>
      <w:r>
        <w:rPr>
          <w:rFonts w:ascii="宋体" w:hAnsi="宋体" w:cs="宋体"/>
          <w:color w:val="000000" w:themeColor="text1"/>
          <w:sz w:val="24"/>
          <w:szCs w:val="24"/>
          <w14:textFill>
            <w14:solidFill>
              <w14:schemeClr w14:val="tx1"/>
            </w14:solidFill>
          </w14:textFill>
        </w:rPr>
        <w:t>有效期限：2018年08月07日至2021年08月07日</w:t>
      </w:r>
      <w:bookmarkEnd w:id="65"/>
      <w:bookmarkEnd w:id="66"/>
      <w:bookmarkEnd w:id="67"/>
      <w:bookmarkEnd w:id="68"/>
      <w:bookmarkEnd w:id="69"/>
      <w:bookmarkEnd w:id="70"/>
      <w:bookmarkEnd w:id="71"/>
    </w:p>
    <w:p>
      <w:pPr>
        <w:spacing w:line="500" w:lineRule="exact"/>
        <w:ind w:firstLine="480" w:firstLineChars="200"/>
        <w:outlineLvl w:val="1"/>
        <w:rPr>
          <w:rFonts w:ascii="宋体" w:hAnsi="宋体" w:cs="宋体"/>
          <w:color w:val="000000" w:themeColor="text1"/>
          <w:sz w:val="24"/>
          <w:szCs w:val="24"/>
          <w14:textFill>
            <w14:solidFill>
              <w14:schemeClr w14:val="tx1"/>
            </w14:solidFill>
          </w14:textFill>
        </w:rPr>
      </w:pPr>
      <w:bookmarkStart w:id="72" w:name="_Toc527966032"/>
      <w:bookmarkStart w:id="73" w:name="_Toc528308199"/>
      <w:bookmarkStart w:id="74" w:name="_Toc3900550"/>
      <w:bookmarkStart w:id="75" w:name="_Toc532654351"/>
      <w:bookmarkStart w:id="76" w:name="_Toc531612717"/>
      <w:bookmarkStart w:id="77" w:name="_Toc531612379"/>
      <w:bookmarkStart w:id="78" w:name="_Toc1030226"/>
      <w:r>
        <w:rPr>
          <w:rFonts w:ascii="宋体" w:hAnsi="宋体" w:cs="宋体"/>
          <w:color w:val="000000" w:themeColor="text1"/>
          <w:sz w:val="24"/>
          <w:szCs w:val="24"/>
          <w14:textFill>
            <w14:solidFill>
              <w14:schemeClr w14:val="tx1"/>
            </w14:solidFill>
          </w14:textFill>
        </w:rPr>
        <w:t>联系电话：85561546  85561400</w:t>
      </w:r>
      <w:bookmarkEnd w:id="72"/>
      <w:bookmarkEnd w:id="73"/>
      <w:bookmarkEnd w:id="74"/>
      <w:bookmarkEnd w:id="75"/>
      <w:bookmarkEnd w:id="76"/>
      <w:bookmarkEnd w:id="77"/>
      <w:bookmarkEnd w:id="78"/>
    </w:p>
    <w:p>
      <w:pPr>
        <w:spacing w:line="500" w:lineRule="exact"/>
        <w:ind w:firstLine="480" w:firstLineChars="200"/>
        <w:outlineLvl w:val="1"/>
        <w:rPr>
          <w:rFonts w:ascii="宋体" w:hAnsi="宋体" w:cs="宋体"/>
          <w:color w:val="000000" w:themeColor="text1"/>
          <w:sz w:val="24"/>
          <w:szCs w:val="24"/>
          <w14:textFill>
            <w14:solidFill>
              <w14:schemeClr w14:val="tx1"/>
            </w14:solidFill>
          </w14:textFill>
        </w:rPr>
      </w:pPr>
      <w:bookmarkStart w:id="79" w:name="_Toc3900551"/>
      <w:bookmarkStart w:id="80" w:name="_Toc532654352"/>
      <w:bookmarkStart w:id="81" w:name="_Toc528308200"/>
      <w:bookmarkStart w:id="82" w:name="_Toc531612380"/>
      <w:bookmarkStart w:id="83" w:name="_Toc1030227"/>
      <w:bookmarkStart w:id="84" w:name="_Toc531612718"/>
      <w:bookmarkStart w:id="85" w:name="_Toc527966033"/>
      <w:r>
        <w:rPr>
          <w:rFonts w:ascii="宋体" w:hAnsi="宋体" w:cs="宋体"/>
          <w:color w:val="000000" w:themeColor="text1"/>
          <w:sz w:val="24"/>
          <w:szCs w:val="24"/>
          <w14:textFill>
            <w14:solidFill>
              <w14:schemeClr w14:val="tx1"/>
            </w14:solidFill>
          </w14:textFill>
        </w:rPr>
        <w:t>联 系 人：李海惠</w:t>
      </w:r>
      <w:bookmarkEnd w:id="79"/>
      <w:bookmarkEnd w:id="80"/>
      <w:bookmarkEnd w:id="81"/>
      <w:bookmarkEnd w:id="82"/>
      <w:bookmarkEnd w:id="83"/>
      <w:bookmarkEnd w:id="84"/>
      <w:bookmarkEnd w:id="85"/>
    </w:p>
    <w:p>
      <w:pPr>
        <w:spacing w:line="500" w:lineRule="exact"/>
        <w:ind w:firstLine="480" w:firstLineChars="200"/>
        <w:outlineLvl w:val="1"/>
        <w:rPr>
          <w:rFonts w:ascii="宋体" w:hAnsi="宋体" w:cs="宋体"/>
          <w:b/>
          <w:color w:val="000000" w:themeColor="text1"/>
          <w:sz w:val="24"/>
          <w:szCs w:val="24"/>
          <w14:textFill>
            <w14:solidFill>
              <w14:schemeClr w14:val="tx1"/>
            </w14:solidFill>
          </w14:textFill>
        </w:rPr>
      </w:pPr>
      <w:bookmarkStart w:id="86" w:name="_Toc3900552"/>
      <w:r>
        <w:rPr>
          <w:rFonts w:hint="eastAsia" w:ascii="宋体" w:hAnsi="宋体" w:cs="宋体"/>
          <w:b/>
          <w:color w:val="000000" w:themeColor="text1"/>
          <w:sz w:val="24"/>
          <w:szCs w:val="24"/>
          <w14:textFill>
            <w14:solidFill>
              <w14:schemeClr w14:val="tx1"/>
            </w14:solidFill>
          </w14:textFill>
        </w:rPr>
        <w:t>（三）估价</w:t>
      </w:r>
      <w:bookmarkEnd w:id="29"/>
      <w:r>
        <w:rPr>
          <w:rFonts w:hint="eastAsia" w:ascii="宋体" w:hAnsi="宋体" w:cs="宋体"/>
          <w:b/>
          <w:color w:val="000000" w:themeColor="text1"/>
          <w:sz w:val="24"/>
          <w:szCs w:val="24"/>
          <w14:textFill>
            <w14:solidFill>
              <w14:schemeClr w14:val="tx1"/>
            </w14:solidFill>
          </w14:textFill>
        </w:rPr>
        <w:t>目的</w:t>
      </w:r>
      <w:bookmarkEnd w:id="86"/>
    </w:p>
    <w:p>
      <w:pPr>
        <w:spacing w:line="500" w:lineRule="exact"/>
        <w:ind w:firstLine="480" w:firstLineChars="200"/>
        <w:rPr>
          <w:color w:val="000000" w:themeColor="text1"/>
          <w:sz w:val="24"/>
          <w:szCs w:val="24"/>
          <w14:textFill>
            <w14:solidFill>
              <w14:schemeClr w14:val="tx1"/>
            </w14:solidFill>
          </w14:textFill>
        </w:rPr>
      </w:pPr>
      <w:r>
        <w:rPr>
          <w:rFonts w:ascii="宋体" w:hAnsi="宋体" w:cs="宋体"/>
          <w:sz w:val="24"/>
          <w:szCs w:val="24"/>
        </w:rPr>
        <w:t>为司法拍卖（变卖）提供房地产市场价值参考依据</w:t>
      </w:r>
      <w:r>
        <w:rPr>
          <w:rFonts w:hint="eastAsia" w:cs="宋体"/>
          <w:color w:val="000000" w:themeColor="text1"/>
          <w:sz w:val="24"/>
          <w:szCs w:val="24"/>
          <w14:textFill>
            <w14:solidFill>
              <w14:schemeClr w14:val="tx1"/>
            </w14:solidFill>
          </w14:textFill>
        </w:rPr>
        <w:t>。</w:t>
      </w:r>
    </w:p>
    <w:p>
      <w:pPr>
        <w:spacing w:line="500" w:lineRule="exact"/>
        <w:ind w:firstLine="480" w:firstLineChars="200"/>
        <w:outlineLvl w:val="1"/>
        <w:rPr>
          <w:rFonts w:ascii="宋体" w:hAnsi="宋体" w:cs="宋体"/>
          <w:b/>
          <w:color w:val="000000" w:themeColor="text1"/>
          <w:sz w:val="24"/>
          <w:szCs w:val="24"/>
          <w14:textFill>
            <w14:solidFill>
              <w14:schemeClr w14:val="tx1"/>
            </w14:solidFill>
          </w14:textFill>
        </w:rPr>
      </w:pPr>
      <w:bookmarkStart w:id="87" w:name="_Toc3900553"/>
      <w:r>
        <w:rPr>
          <w:rFonts w:hint="eastAsia" w:ascii="宋体" w:hAnsi="宋体" w:cs="宋体"/>
          <w:b/>
          <w:color w:val="000000" w:themeColor="text1"/>
          <w:sz w:val="24"/>
          <w:szCs w:val="24"/>
          <w14:textFill>
            <w14:solidFill>
              <w14:schemeClr w14:val="tx1"/>
            </w14:solidFill>
          </w14:textFill>
        </w:rPr>
        <w:t>（四）估价对象</w:t>
      </w:r>
      <w:bookmarkEnd w:id="87"/>
    </w:p>
    <w:p>
      <w:pPr>
        <w:spacing w:line="500" w:lineRule="exact"/>
        <w:ind w:firstLine="480" w:firstLineChars="200"/>
        <w:rPr>
          <w:rFonts w:cs="宋体"/>
          <w:color w:val="000000" w:themeColor="text1"/>
          <w:sz w:val="24"/>
          <w:szCs w:val="24"/>
          <w14:textFill>
            <w14:solidFill>
              <w14:schemeClr w14:val="tx1"/>
            </w14:solidFill>
          </w14:textFill>
        </w:rPr>
      </w:pPr>
      <w:bookmarkStart w:id="88" w:name="_Hlk521505201"/>
      <w:r>
        <w:rPr>
          <w:rFonts w:hint="eastAsia" w:cs="宋体"/>
          <w:color w:val="000000" w:themeColor="text1"/>
          <w:sz w:val="24"/>
          <w:szCs w:val="24"/>
          <w14:textFill>
            <w14:solidFill>
              <w14:schemeClr w14:val="tx1"/>
            </w14:solidFill>
          </w14:textFill>
        </w:rPr>
        <w:t>1、估价对象基本情况</w:t>
      </w:r>
    </w:p>
    <w:p>
      <w:pPr>
        <w:spacing w:line="500" w:lineRule="exact"/>
        <w:ind w:firstLine="480" w:firstLineChars="200"/>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估价对象基本情况表</w:t>
      </w:r>
    </w:p>
    <w:tbl>
      <w:tblPr>
        <w:tblStyle w:val="34"/>
        <w:tblW w:w="942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5"/>
        <w:gridCol w:w="391"/>
        <w:gridCol w:w="324"/>
        <w:gridCol w:w="242"/>
        <w:gridCol w:w="914"/>
        <w:gridCol w:w="1038"/>
        <w:gridCol w:w="701"/>
        <w:gridCol w:w="534"/>
        <w:gridCol w:w="499"/>
        <w:gridCol w:w="251"/>
        <w:gridCol w:w="429"/>
        <w:gridCol w:w="595"/>
        <w:gridCol w:w="172"/>
        <w:gridCol w:w="492"/>
        <w:gridCol w:w="1145"/>
        <w:gridCol w:w="700"/>
        <w:gridCol w:w="42"/>
        <w:gridCol w:w="5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425" w:type="dxa"/>
            <w:vMerge w:val="restart"/>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bookmarkStart w:id="89" w:name="_Hlk531612856"/>
            <w:r>
              <w:rPr>
                <w:rFonts w:hint="eastAsia" w:ascii="宋体" w:hAnsi="宋体" w:cs="宋体"/>
                <w:color w:val="000000" w:themeColor="text1"/>
                <w:kern w:val="0"/>
                <w:sz w:val="18"/>
                <w:szCs w:val="18"/>
                <w14:textFill>
                  <w14:solidFill>
                    <w14:schemeClr w14:val="tx1"/>
                  </w14:solidFill>
                </w14:textFill>
              </w:rPr>
              <w:t>基本状况</w:t>
            </w:r>
          </w:p>
        </w:tc>
        <w:tc>
          <w:tcPr>
            <w:tcW w:w="715" w:type="dxa"/>
            <w:gridSpan w:val="2"/>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名称</w:t>
            </w:r>
          </w:p>
        </w:tc>
        <w:tc>
          <w:tcPr>
            <w:tcW w:w="8281" w:type="dxa"/>
            <w:gridSpan w:val="15"/>
            <w:vAlign w:val="center"/>
          </w:tcPr>
          <w:p>
            <w:pPr>
              <w:widowControl/>
              <w:spacing w:line="300" w:lineRule="atLeast"/>
              <w:ind w:firstLine="360" w:firstLineChars="200"/>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lang w:eastAsia="zh-CN"/>
                <w14:textFill>
                  <w14:solidFill>
                    <w14:schemeClr w14:val="tx1"/>
                  </w14:solidFill>
                </w14:textFill>
              </w:rPr>
              <w:t>绵竹市剑南镇宿迁街93号蔚泉新村安居房17栋2单元3层1号</w:t>
            </w:r>
            <w:r>
              <w:rPr>
                <w:rFonts w:hint="eastAsia" w:ascii="宋体" w:hAnsi="宋体" w:cs="宋体"/>
                <w:color w:val="000000" w:themeColor="text1"/>
                <w:kern w:val="0"/>
                <w:sz w:val="18"/>
                <w:szCs w:val="18"/>
                <w14:textFill>
                  <w14:solidFill>
                    <w14:schemeClr w14:val="tx1"/>
                  </w14:solidFill>
                </w14:textFill>
              </w:rPr>
              <w:t>住宅用房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trPr>
        <w:tc>
          <w:tcPr>
            <w:tcW w:w="425" w:type="dxa"/>
            <w:vMerge w:val="continue"/>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p>
        </w:tc>
        <w:tc>
          <w:tcPr>
            <w:tcW w:w="715" w:type="dxa"/>
            <w:gridSpan w:val="2"/>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产权坐落</w:t>
            </w:r>
          </w:p>
        </w:tc>
        <w:tc>
          <w:tcPr>
            <w:tcW w:w="8281" w:type="dxa"/>
            <w:gridSpan w:val="15"/>
            <w:vAlign w:val="center"/>
          </w:tcPr>
          <w:p>
            <w:pPr>
              <w:spacing w:line="320" w:lineRule="exact"/>
              <w:ind w:firstLine="360" w:firstLineChars="200"/>
              <w:jc w:val="left"/>
              <w:rPr>
                <w:rFonts w:hint="eastAsia" w:ascii="宋体" w:hAnsi="宋体" w:eastAsia="宋体"/>
                <w:color w:val="000000" w:themeColor="text1"/>
                <w:sz w:val="18"/>
                <w:szCs w:val="18"/>
                <w:lang w:eastAsia="zh-CN"/>
                <w14:textFill>
                  <w14:solidFill>
                    <w14:schemeClr w14:val="tx1"/>
                  </w14:solidFill>
                </w14:textFill>
              </w:rPr>
            </w:pPr>
            <w:r>
              <w:rPr>
                <w:rFonts w:hint="eastAsia" w:ascii="宋体" w:hAnsi="宋体" w:cs="宋体"/>
                <w:color w:val="000000" w:themeColor="text1"/>
                <w:kern w:val="0"/>
                <w:sz w:val="18"/>
                <w:szCs w:val="18"/>
                <w:lang w:eastAsia="zh-CN"/>
                <w14:textFill>
                  <w14:solidFill>
                    <w14:schemeClr w14:val="tx1"/>
                  </w14:solidFill>
                </w14:textFill>
              </w:rPr>
              <w:t>绵竹市剑南镇宿迁街93号蔚泉新村安居房17栋2单元3层1号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trPr>
        <w:tc>
          <w:tcPr>
            <w:tcW w:w="425" w:type="dxa"/>
            <w:vMerge w:val="continue"/>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p>
        </w:tc>
        <w:tc>
          <w:tcPr>
            <w:tcW w:w="715" w:type="dxa"/>
            <w:gridSpan w:val="2"/>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实际坐落</w:t>
            </w:r>
          </w:p>
        </w:tc>
        <w:tc>
          <w:tcPr>
            <w:tcW w:w="8281" w:type="dxa"/>
            <w:gridSpan w:val="15"/>
            <w:vAlign w:val="center"/>
          </w:tcPr>
          <w:p>
            <w:pPr>
              <w:spacing w:line="320" w:lineRule="exact"/>
              <w:ind w:firstLine="360" w:firstLineChars="200"/>
              <w:jc w:val="left"/>
              <w:rPr>
                <w:rFonts w:hint="default" w:ascii="宋体" w:hAnsi="宋体"/>
                <w:color w:val="000000" w:themeColor="text1"/>
                <w:sz w:val="18"/>
                <w:szCs w:val="18"/>
                <w:lang w:val="en-US"/>
                <w14:textFill>
                  <w14:solidFill>
                    <w14:schemeClr w14:val="tx1"/>
                  </w14:solidFill>
                </w14:textFill>
              </w:rPr>
            </w:pPr>
            <w:r>
              <w:rPr>
                <w:rFonts w:hint="eastAsia" w:ascii="宋体" w:hAnsi="宋体" w:cs="宋体"/>
                <w:color w:val="000000" w:themeColor="text1"/>
                <w:kern w:val="0"/>
                <w:sz w:val="18"/>
                <w:szCs w:val="18"/>
                <w:lang w:eastAsia="zh-CN"/>
                <w14:textFill>
                  <w14:solidFill>
                    <w14:schemeClr w14:val="tx1"/>
                  </w14:solidFill>
                </w14:textFill>
              </w:rPr>
              <w:t>绵竹市剑南镇宿迁街93号蔚泉新村安居房17栋2单元3层1号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1" w:hRule="atLeast"/>
        </w:trPr>
        <w:tc>
          <w:tcPr>
            <w:tcW w:w="425" w:type="dxa"/>
            <w:vMerge w:val="continue"/>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p>
        </w:tc>
        <w:tc>
          <w:tcPr>
            <w:tcW w:w="715" w:type="dxa"/>
            <w:gridSpan w:val="2"/>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范围</w:t>
            </w:r>
          </w:p>
        </w:tc>
        <w:tc>
          <w:tcPr>
            <w:tcW w:w="8281" w:type="dxa"/>
            <w:gridSpan w:val="15"/>
            <w:vAlign w:val="center"/>
          </w:tcPr>
          <w:p>
            <w:pPr>
              <w:spacing w:line="300" w:lineRule="atLeast"/>
              <w:ind w:firstLine="360" w:firstLineChars="200"/>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lang w:eastAsia="zh-CN"/>
                <w14:textFill>
                  <w14:solidFill>
                    <w14:schemeClr w14:val="tx1"/>
                  </w14:solidFill>
                </w14:textFill>
              </w:rPr>
              <w:t>朱莉</w:t>
            </w:r>
            <w:r>
              <w:rPr>
                <w:rFonts w:hint="eastAsia" w:ascii="宋体" w:hAnsi="宋体" w:cs="宋体"/>
                <w:color w:val="000000" w:themeColor="text1"/>
                <w:kern w:val="0"/>
                <w:sz w:val="18"/>
                <w:szCs w:val="18"/>
                <w14:textFill>
                  <w14:solidFill>
                    <w14:schemeClr w14:val="tx1"/>
                  </w14:solidFill>
                </w14:textFill>
              </w:rPr>
              <w:t>所有的位于</w:t>
            </w:r>
            <w:r>
              <w:rPr>
                <w:rFonts w:hint="eastAsia" w:ascii="宋体" w:hAnsi="宋体" w:cs="宋体"/>
                <w:color w:val="000000" w:themeColor="text1"/>
                <w:kern w:val="0"/>
                <w:sz w:val="18"/>
                <w:szCs w:val="18"/>
                <w:lang w:eastAsia="zh-CN"/>
                <w14:textFill>
                  <w14:solidFill>
                    <w14:schemeClr w14:val="tx1"/>
                  </w14:solidFill>
                </w14:textFill>
              </w:rPr>
              <w:t>绵竹市剑南镇宿迁街93号蔚泉新村安居房17栋2单元3层1号</w:t>
            </w:r>
            <w:r>
              <w:rPr>
                <w:rFonts w:hint="eastAsia" w:ascii="宋体" w:hAnsi="宋体" w:cs="宋体"/>
                <w:color w:val="000000" w:themeColor="text1"/>
                <w:kern w:val="0"/>
                <w:sz w:val="18"/>
                <w:szCs w:val="18"/>
                <w14:textFill>
                  <w14:solidFill>
                    <w14:schemeClr w14:val="tx1"/>
                  </w14:solidFill>
                </w14:textFill>
              </w:rPr>
              <w:t>建筑面积</w:t>
            </w:r>
            <w:r>
              <w:rPr>
                <w:rFonts w:hint="eastAsia" w:ascii="宋体" w:hAnsi="宋体" w:cs="宋体"/>
                <w:color w:val="000000" w:themeColor="text1"/>
                <w:kern w:val="0"/>
                <w:sz w:val="18"/>
                <w:szCs w:val="18"/>
                <w:lang w:val="en-US" w:eastAsia="zh-CN"/>
                <w14:textFill>
                  <w14:solidFill>
                    <w14:schemeClr w14:val="tx1"/>
                  </w14:solidFill>
                </w14:textFill>
              </w:rPr>
              <w:t>77.6</w:t>
            </w:r>
            <w:r>
              <w:rPr>
                <w:rFonts w:hint="eastAsia" w:ascii="宋体" w:hAnsi="宋体" w:cs="宋体"/>
                <w:color w:val="000000" w:themeColor="text1"/>
                <w:kern w:val="0"/>
                <w:sz w:val="18"/>
                <w:szCs w:val="18"/>
                <w14:textFill>
                  <w14:solidFill>
                    <w14:schemeClr w14:val="tx1"/>
                  </w14:solidFill>
                </w14:textFill>
              </w:rPr>
              <w:t>㎡的住宅用房及</w:t>
            </w:r>
            <w:r>
              <w:rPr>
                <w:rFonts w:hint="eastAsia" w:ascii="宋体" w:hAnsi="宋体" w:cs="宋体"/>
                <w:color w:val="000000" w:themeColor="text1"/>
                <w:kern w:val="0"/>
                <w:sz w:val="18"/>
                <w:szCs w:val="18"/>
                <w:lang w:val="en-US" w:eastAsia="zh-CN"/>
                <w14:textFill>
                  <w14:solidFill>
                    <w14:schemeClr w14:val="tx1"/>
                  </w14:solidFill>
                </w14:textFill>
              </w:rPr>
              <w:t>家具家电及</w:t>
            </w:r>
            <w:r>
              <w:rPr>
                <w:rFonts w:hint="eastAsia" w:ascii="宋体" w:hAnsi="宋体" w:cs="宋体"/>
                <w:color w:val="000000" w:themeColor="text1"/>
                <w:kern w:val="0"/>
                <w:sz w:val="18"/>
                <w:szCs w:val="18"/>
                <w14:textFill>
                  <w14:solidFill>
                    <w14:schemeClr w14:val="tx1"/>
                  </w14:solidFill>
                </w14:textFill>
              </w:rPr>
              <w:t>其占用范围内</w:t>
            </w:r>
            <w:r>
              <w:rPr>
                <w:rFonts w:hint="eastAsia" w:ascii="宋体" w:hAnsi="宋体" w:cs="宋体"/>
                <w:color w:val="000000" w:themeColor="text1"/>
                <w:kern w:val="0"/>
                <w:sz w:val="18"/>
                <w:szCs w:val="18"/>
                <w:lang w:val="en-US" w:eastAsia="zh-CN"/>
                <w14:textFill>
                  <w14:solidFill>
                    <w14:schemeClr w14:val="tx1"/>
                  </w14:solidFill>
                </w14:textFill>
              </w:rPr>
              <w:t>分摊</w:t>
            </w:r>
            <w:r>
              <w:rPr>
                <w:rFonts w:hint="eastAsia" w:ascii="宋体" w:hAnsi="宋体" w:cs="宋体"/>
                <w:color w:val="000000" w:themeColor="text1"/>
                <w:kern w:val="0"/>
                <w:sz w:val="18"/>
                <w:szCs w:val="18"/>
                <w14:textFill>
                  <w14:solidFill>
                    <w14:schemeClr w14:val="tx1"/>
                  </w14:solidFill>
                </w14:textFill>
              </w:rPr>
              <w:t>的</w:t>
            </w:r>
            <w:r>
              <w:rPr>
                <w:rFonts w:hint="eastAsia" w:ascii="宋体" w:hAnsi="宋体" w:cs="宋体"/>
                <w:color w:val="000000" w:themeColor="text1"/>
                <w:kern w:val="0"/>
                <w:sz w:val="18"/>
                <w:szCs w:val="18"/>
                <w:lang w:val="en-US" w:eastAsia="zh-CN"/>
                <w14:textFill>
                  <w14:solidFill>
                    <w14:schemeClr w14:val="tx1"/>
                  </w14:solidFill>
                </w14:textFill>
              </w:rPr>
              <w:t>划拨</w:t>
            </w:r>
            <w:r>
              <w:rPr>
                <w:rFonts w:hint="eastAsia" w:ascii="宋体" w:hAnsi="宋体" w:cs="宋体"/>
                <w:color w:val="000000" w:themeColor="text1"/>
                <w:kern w:val="0"/>
                <w:sz w:val="18"/>
                <w:szCs w:val="18"/>
                <w14:textFill>
                  <w14:solidFill>
                    <w14:schemeClr w14:val="tx1"/>
                  </w14:solidFill>
                </w14:textFill>
              </w:rPr>
              <w:t>用地使用权</w:t>
            </w:r>
            <w:r>
              <w:rPr>
                <w:rFonts w:ascii="宋体" w:hAnsi="宋体" w:cs="宋体"/>
                <w:color w:val="000000" w:themeColor="text1"/>
                <w:kern w:val="0"/>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425" w:type="dxa"/>
            <w:vMerge w:val="continue"/>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p>
        </w:tc>
        <w:tc>
          <w:tcPr>
            <w:tcW w:w="715" w:type="dxa"/>
            <w:gridSpan w:val="2"/>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规模</w:t>
            </w:r>
          </w:p>
        </w:tc>
        <w:tc>
          <w:tcPr>
            <w:tcW w:w="1156" w:type="dxa"/>
            <w:gridSpan w:val="2"/>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分摊</w:t>
            </w:r>
            <w:r>
              <w:rPr>
                <w:rFonts w:hint="eastAsia" w:ascii="宋体" w:hAnsi="宋体" w:cs="宋体"/>
                <w:color w:val="000000" w:themeColor="text1"/>
                <w:kern w:val="0"/>
                <w:sz w:val="18"/>
                <w:szCs w:val="18"/>
                <w14:textFill>
                  <w14:solidFill>
                    <w14:schemeClr w14:val="tx1"/>
                  </w14:solidFill>
                </w14:textFill>
              </w:rPr>
              <w:t>土地面积</w:t>
            </w:r>
          </w:p>
        </w:tc>
        <w:tc>
          <w:tcPr>
            <w:tcW w:w="2772" w:type="dxa"/>
            <w:gridSpan w:val="4"/>
            <w:vAlign w:val="center"/>
          </w:tcPr>
          <w:p>
            <w:pPr>
              <w:spacing w:line="300" w:lineRule="atLeast"/>
              <w:jc w:val="center"/>
              <w:rPr>
                <w:rFonts w:hint="default" w:ascii="宋体" w:hAnsi="宋体" w:eastAsia="宋体" w:cs="宋体"/>
                <w:color w:val="000000" w:themeColor="text1"/>
                <w:kern w:val="0"/>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12.29</w:t>
            </w:r>
            <w:r>
              <w:rPr>
                <w:rFonts w:ascii="宋体" w:hAnsi="宋体" w:cs="宋体"/>
                <w:color w:val="000000" w:themeColor="text1"/>
                <w:kern w:val="0"/>
                <w:sz w:val="18"/>
                <w:szCs w:val="18"/>
                <w14:textFill>
                  <w14:solidFill>
                    <w14:schemeClr w14:val="tx1"/>
                  </w14:solidFill>
                </w14:textFill>
              </w:rPr>
              <w:t>㎡</w:t>
            </w:r>
          </w:p>
        </w:tc>
        <w:tc>
          <w:tcPr>
            <w:tcW w:w="1275" w:type="dxa"/>
            <w:gridSpan w:val="3"/>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建筑面积</w:t>
            </w:r>
          </w:p>
        </w:tc>
        <w:tc>
          <w:tcPr>
            <w:tcW w:w="1809" w:type="dxa"/>
            <w:gridSpan w:val="3"/>
            <w:vAlign w:val="center"/>
          </w:tcPr>
          <w:p>
            <w:pPr>
              <w:spacing w:line="300" w:lineRule="atLeas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77.6</w:t>
            </w:r>
            <w:r>
              <w:rPr>
                <w:rFonts w:ascii="宋体" w:hAnsi="宋体" w:cs="宋体"/>
                <w:color w:val="000000" w:themeColor="text1"/>
                <w:kern w:val="0"/>
                <w:sz w:val="18"/>
                <w:szCs w:val="18"/>
                <w14:textFill>
                  <w14:solidFill>
                    <w14:schemeClr w14:val="tx1"/>
                  </w14:solidFill>
                </w14:textFill>
              </w:rPr>
              <w:t>㎡</w:t>
            </w:r>
          </w:p>
        </w:tc>
        <w:tc>
          <w:tcPr>
            <w:tcW w:w="742" w:type="dxa"/>
            <w:gridSpan w:val="2"/>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其他</w:t>
            </w:r>
          </w:p>
        </w:tc>
        <w:tc>
          <w:tcPr>
            <w:tcW w:w="527" w:type="dxa"/>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4" w:hRule="atLeast"/>
        </w:trPr>
        <w:tc>
          <w:tcPr>
            <w:tcW w:w="425" w:type="dxa"/>
            <w:vMerge w:val="continue"/>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p>
        </w:tc>
        <w:tc>
          <w:tcPr>
            <w:tcW w:w="715" w:type="dxa"/>
            <w:gridSpan w:val="2"/>
            <w:vMerge w:val="restart"/>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用途</w:t>
            </w:r>
          </w:p>
        </w:tc>
        <w:tc>
          <w:tcPr>
            <w:tcW w:w="1156" w:type="dxa"/>
            <w:gridSpan w:val="2"/>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规划用途</w:t>
            </w:r>
          </w:p>
        </w:tc>
        <w:tc>
          <w:tcPr>
            <w:tcW w:w="2772" w:type="dxa"/>
            <w:gridSpan w:val="4"/>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住宅</w:t>
            </w:r>
          </w:p>
        </w:tc>
        <w:tc>
          <w:tcPr>
            <w:tcW w:w="1275" w:type="dxa"/>
            <w:gridSpan w:val="3"/>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设计用途</w:t>
            </w:r>
          </w:p>
        </w:tc>
        <w:tc>
          <w:tcPr>
            <w:tcW w:w="3078" w:type="dxa"/>
            <w:gridSpan w:val="6"/>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0" w:hRule="atLeast"/>
        </w:trPr>
        <w:tc>
          <w:tcPr>
            <w:tcW w:w="425" w:type="dxa"/>
            <w:vMerge w:val="continue"/>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p>
        </w:tc>
        <w:tc>
          <w:tcPr>
            <w:tcW w:w="715" w:type="dxa"/>
            <w:gridSpan w:val="2"/>
            <w:vMerge w:val="continue"/>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p>
        </w:tc>
        <w:tc>
          <w:tcPr>
            <w:tcW w:w="1156" w:type="dxa"/>
            <w:gridSpan w:val="2"/>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登记用途</w:t>
            </w:r>
          </w:p>
        </w:tc>
        <w:tc>
          <w:tcPr>
            <w:tcW w:w="2772" w:type="dxa"/>
            <w:gridSpan w:val="4"/>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住宅</w:t>
            </w:r>
          </w:p>
        </w:tc>
        <w:tc>
          <w:tcPr>
            <w:tcW w:w="1275" w:type="dxa"/>
            <w:gridSpan w:val="3"/>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实际用途</w:t>
            </w:r>
          </w:p>
        </w:tc>
        <w:tc>
          <w:tcPr>
            <w:tcW w:w="3078" w:type="dxa"/>
            <w:gridSpan w:val="6"/>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住宅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 w:hRule="atLeast"/>
        </w:trPr>
        <w:tc>
          <w:tcPr>
            <w:tcW w:w="425" w:type="dxa"/>
            <w:vMerge w:val="continue"/>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p>
        </w:tc>
        <w:tc>
          <w:tcPr>
            <w:tcW w:w="391" w:type="dxa"/>
            <w:vMerge w:val="restart"/>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权属</w:t>
            </w:r>
          </w:p>
        </w:tc>
        <w:tc>
          <w:tcPr>
            <w:tcW w:w="1480" w:type="dxa"/>
            <w:gridSpan w:val="3"/>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土地所有权</w:t>
            </w:r>
          </w:p>
        </w:tc>
        <w:tc>
          <w:tcPr>
            <w:tcW w:w="1038" w:type="dxa"/>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国有土地</w:t>
            </w:r>
          </w:p>
        </w:tc>
        <w:tc>
          <w:tcPr>
            <w:tcW w:w="2414" w:type="dxa"/>
            <w:gridSpan w:val="5"/>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是</w:t>
            </w:r>
          </w:p>
        </w:tc>
        <w:tc>
          <w:tcPr>
            <w:tcW w:w="1259" w:type="dxa"/>
            <w:gridSpan w:val="3"/>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集体土地</w:t>
            </w:r>
          </w:p>
        </w:tc>
        <w:tc>
          <w:tcPr>
            <w:tcW w:w="2414" w:type="dxa"/>
            <w:gridSpan w:val="4"/>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trPr>
        <w:tc>
          <w:tcPr>
            <w:tcW w:w="425" w:type="dxa"/>
            <w:vMerge w:val="continue"/>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p>
        </w:tc>
        <w:tc>
          <w:tcPr>
            <w:tcW w:w="391" w:type="dxa"/>
            <w:vMerge w:val="continue"/>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p>
        </w:tc>
        <w:tc>
          <w:tcPr>
            <w:tcW w:w="566" w:type="dxa"/>
            <w:gridSpan w:val="2"/>
            <w:vMerge w:val="restart"/>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土地使用权</w:t>
            </w:r>
          </w:p>
        </w:tc>
        <w:tc>
          <w:tcPr>
            <w:tcW w:w="914" w:type="dxa"/>
            <w:vMerge w:val="restart"/>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权利</w:t>
            </w:r>
          </w:p>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种类</w:t>
            </w:r>
          </w:p>
        </w:tc>
        <w:tc>
          <w:tcPr>
            <w:tcW w:w="1038" w:type="dxa"/>
            <w:vMerge w:val="restart"/>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建设用地使用权</w:t>
            </w:r>
          </w:p>
        </w:tc>
        <w:tc>
          <w:tcPr>
            <w:tcW w:w="701" w:type="dxa"/>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出让</w:t>
            </w:r>
          </w:p>
        </w:tc>
        <w:tc>
          <w:tcPr>
            <w:tcW w:w="534" w:type="dxa"/>
            <w:vAlign w:val="center"/>
          </w:tcPr>
          <w:p>
            <w:pPr>
              <w:spacing w:line="300" w:lineRule="atLeast"/>
              <w:jc w:val="center"/>
              <w:rPr>
                <w:rFonts w:hint="eastAsia" w:ascii="宋体" w:hAnsi="宋体" w:eastAsia="宋体" w:cs="宋体"/>
                <w:color w:val="000000" w:themeColor="text1"/>
                <w:kern w:val="0"/>
                <w:sz w:val="18"/>
                <w:szCs w:val="18"/>
                <w:lang w:eastAsia="zh-CN"/>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750" w:type="dxa"/>
            <w:gridSpan w:val="2"/>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划拨</w:t>
            </w:r>
          </w:p>
        </w:tc>
        <w:tc>
          <w:tcPr>
            <w:tcW w:w="429" w:type="dxa"/>
            <w:vAlign w:val="center"/>
          </w:tcPr>
          <w:p>
            <w:pPr>
              <w:spacing w:line="300" w:lineRule="atLeast"/>
              <w:jc w:val="center"/>
              <w:rPr>
                <w:rFonts w:hint="default" w:ascii="宋体" w:hAnsi="宋体" w:eastAsia="宋体" w:cs="宋体"/>
                <w:color w:val="000000" w:themeColor="text1"/>
                <w:kern w:val="0"/>
                <w:sz w:val="18"/>
                <w:szCs w:val="18"/>
                <w:lang w:val="en-US" w:eastAsia="zh-CN"/>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是</w:t>
            </w:r>
          </w:p>
        </w:tc>
        <w:tc>
          <w:tcPr>
            <w:tcW w:w="767" w:type="dxa"/>
            <w:gridSpan w:val="2"/>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租赁</w:t>
            </w:r>
          </w:p>
        </w:tc>
        <w:tc>
          <w:tcPr>
            <w:tcW w:w="492" w:type="dxa"/>
            <w:vAlign w:val="center"/>
          </w:tcPr>
          <w:p>
            <w:pPr>
              <w:spacing w:line="300" w:lineRule="atLeast"/>
              <w:jc w:val="center"/>
              <w:rPr>
                <w:rFonts w:hint="eastAsia" w:ascii="宋体" w:hAnsi="宋体" w:eastAsia="宋体" w:cs="宋体"/>
                <w:color w:val="000000" w:themeColor="text1"/>
                <w:kern w:val="0"/>
                <w:sz w:val="18"/>
                <w:szCs w:val="18"/>
                <w:lang w:eastAsia="zh-CN"/>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1845" w:type="dxa"/>
            <w:gridSpan w:val="2"/>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宅基地使用权</w:t>
            </w:r>
          </w:p>
        </w:tc>
        <w:tc>
          <w:tcPr>
            <w:tcW w:w="569" w:type="dxa"/>
            <w:gridSpan w:val="2"/>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trPr>
        <w:tc>
          <w:tcPr>
            <w:tcW w:w="425" w:type="dxa"/>
            <w:vMerge w:val="continue"/>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p>
        </w:tc>
        <w:tc>
          <w:tcPr>
            <w:tcW w:w="391" w:type="dxa"/>
            <w:vMerge w:val="continue"/>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p>
        </w:tc>
        <w:tc>
          <w:tcPr>
            <w:tcW w:w="566" w:type="dxa"/>
            <w:gridSpan w:val="2"/>
            <w:vMerge w:val="continue"/>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p>
        </w:tc>
        <w:tc>
          <w:tcPr>
            <w:tcW w:w="914" w:type="dxa"/>
            <w:vMerge w:val="continue"/>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p>
        </w:tc>
        <w:tc>
          <w:tcPr>
            <w:tcW w:w="1038" w:type="dxa"/>
            <w:vMerge w:val="continue"/>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p>
        </w:tc>
        <w:tc>
          <w:tcPr>
            <w:tcW w:w="1235" w:type="dxa"/>
            <w:gridSpan w:val="2"/>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作价出</w:t>
            </w:r>
          </w:p>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资入股</w:t>
            </w:r>
          </w:p>
        </w:tc>
        <w:tc>
          <w:tcPr>
            <w:tcW w:w="750" w:type="dxa"/>
            <w:gridSpan w:val="2"/>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429" w:type="dxa"/>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其他</w:t>
            </w:r>
          </w:p>
        </w:tc>
        <w:tc>
          <w:tcPr>
            <w:tcW w:w="1259" w:type="dxa"/>
            <w:gridSpan w:val="3"/>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1845" w:type="dxa"/>
            <w:gridSpan w:val="2"/>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土地承包经营权</w:t>
            </w:r>
          </w:p>
        </w:tc>
        <w:tc>
          <w:tcPr>
            <w:tcW w:w="569" w:type="dxa"/>
            <w:gridSpan w:val="2"/>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9" w:hRule="atLeast"/>
        </w:trPr>
        <w:tc>
          <w:tcPr>
            <w:tcW w:w="425" w:type="dxa"/>
            <w:vMerge w:val="continue"/>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p>
        </w:tc>
        <w:tc>
          <w:tcPr>
            <w:tcW w:w="391" w:type="dxa"/>
            <w:vMerge w:val="continue"/>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p>
        </w:tc>
        <w:tc>
          <w:tcPr>
            <w:tcW w:w="566" w:type="dxa"/>
            <w:gridSpan w:val="2"/>
            <w:vMerge w:val="continue"/>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p>
        </w:tc>
        <w:tc>
          <w:tcPr>
            <w:tcW w:w="914" w:type="dxa"/>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权利人</w:t>
            </w:r>
          </w:p>
        </w:tc>
        <w:tc>
          <w:tcPr>
            <w:tcW w:w="7125" w:type="dxa"/>
            <w:gridSpan w:val="13"/>
            <w:vAlign w:val="center"/>
          </w:tcPr>
          <w:p>
            <w:pPr>
              <w:widowControl/>
              <w:spacing w:line="300" w:lineRule="atLeast"/>
              <w:jc w:val="center"/>
              <w:rPr>
                <w:rFonts w:hint="eastAsia" w:ascii="宋体" w:hAnsi="宋体" w:eastAsia="宋体" w:cs="宋体"/>
                <w:color w:val="000000" w:themeColor="text1"/>
                <w:kern w:val="0"/>
                <w:sz w:val="18"/>
                <w:szCs w:val="18"/>
                <w:lang w:eastAsia="zh-CN"/>
                <w14:textFill>
                  <w14:solidFill>
                    <w14:schemeClr w14:val="tx1"/>
                  </w14:solidFill>
                </w14:textFill>
              </w:rPr>
            </w:pPr>
            <w:r>
              <w:rPr>
                <w:rFonts w:hint="eastAsia" w:ascii="宋体" w:hAnsi="宋体" w:cs="宋体"/>
                <w:color w:val="000000" w:themeColor="text1"/>
                <w:kern w:val="0"/>
                <w:sz w:val="18"/>
                <w:szCs w:val="18"/>
                <w:lang w:eastAsia="zh-CN"/>
                <w14:textFill>
                  <w14:solidFill>
                    <w14:schemeClr w14:val="tx1"/>
                  </w14:solidFill>
                </w14:textFill>
              </w:rPr>
              <w:t>朱莉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8" w:hRule="atLeast"/>
        </w:trPr>
        <w:tc>
          <w:tcPr>
            <w:tcW w:w="425" w:type="dxa"/>
            <w:vMerge w:val="continue"/>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p>
        </w:tc>
        <w:tc>
          <w:tcPr>
            <w:tcW w:w="391" w:type="dxa"/>
            <w:vMerge w:val="continue"/>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p>
        </w:tc>
        <w:tc>
          <w:tcPr>
            <w:tcW w:w="1480" w:type="dxa"/>
            <w:gridSpan w:val="3"/>
            <w:vAlign w:val="center"/>
          </w:tcPr>
          <w:p>
            <w:pPr>
              <w:spacing w:line="300" w:lineRule="atLeas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房屋所有权人</w:t>
            </w:r>
          </w:p>
        </w:tc>
        <w:tc>
          <w:tcPr>
            <w:tcW w:w="7125" w:type="dxa"/>
            <w:gridSpan w:val="13"/>
            <w:vAlign w:val="center"/>
          </w:tcPr>
          <w:p>
            <w:pPr>
              <w:widowControl/>
              <w:spacing w:line="300" w:lineRule="atLeast"/>
              <w:jc w:val="center"/>
              <w:rPr>
                <w:rFonts w:hint="eastAsia" w:ascii="宋体" w:hAnsi="宋体" w:eastAsia="宋体" w:cs="宋体"/>
                <w:color w:val="000000" w:themeColor="text1"/>
                <w:kern w:val="0"/>
                <w:sz w:val="18"/>
                <w:szCs w:val="18"/>
                <w:lang w:eastAsia="zh-CN"/>
                <w14:textFill>
                  <w14:solidFill>
                    <w14:schemeClr w14:val="tx1"/>
                  </w14:solidFill>
                </w14:textFill>
              </w:rPr>
            </w:pPr>
            <w:r>
              <w:rPr>
                <w:rFonts w:hint="eastAsia" w:ascii="宋体" w:hAnsi="宋体" w:cs="宋体"/>
                <w:color w:val="000000" w:themeColor="text1"/>
                <w:kern w:val="0"/>
                <w:sz w:val="18"/>
                <w:szCs w:val="18"/>
                <w:lang w:eastAsia="zh-CN"/>
                <w14:textFill>
                  <w14:solidFill>
                    <w14:schemeClr w14:val="tx1"/>
                  </w14:solidFill>
                </w14:textFill>
              </w:rPr>
              <w:t>朱莉</w:t>
            </w:r>
          </w:p>
        </w:tc>
      </w:tr>
      <w:bookmarkEnd w:id="88"/>
      <w:bookmarkEnd w:id="89"/>
    </w:tbl>
    <w:p>
      <w:pPr>
        <w:spacing w:line="400" w:lineRule="exact"/>
        <w:ind w:firstLine="480" w:firstLineChars="200"/>
        <w:rPr>
          <w:rFonts w:cs="宋体"/>
          <w:color w:val="000000" w:themeColor="text1"/>
          <w:sz w:val="24"/>
          <w:szCs w:val="24"/>
          <w14:textFill>
            <w14:solidFill>
              <w14:schemeClr w14:val="tx1"/>
            </w14:solidFill>
          </w14:textFill>
        </w:rPr>
      </w:pPr>
      <w:bookmarkStart w:id="90" w:name="_Hlk521505232"/>
      <w:r>
        <w:rPr>
          <w:rFonts w:hint="eastAsia" w:cs="宋体"/>
          <w:color w:val="000000" w:themeColor="text1"/>
          <w:sz w:val="24"/>
          <w:szCs w:val="24"/>
          <w14:textFill>
            <w14:solidFill>
              <w14:schemeClr w14:val="tx1"/>
            </w14:solidFill>
          </w14:textFill>
        </w:rPr>
        <w:t>2、估价对象实物状况</w:t>
      </w:r>
    </w:p>
    <w:p>
      <w:pPr>
        <w:spacing w:line="400" w:lineRule="exact"/>
        <w:ind w:firstLine="480" w:firstLineChars="200"/>
        <w:jc w:val="left"/>
        <w:rPr>
          <w:rFonts w:cs="宋体"/>
          <w:color w:val="000000" w:themeColor="text1"/>
          <w:sz w:val="24"/>
          <w:szCs w:val="24"/>
          <w14:textFill>
            <w14:solidFill>
              <w14:schemeClr w14:val="tx1"/>
            </w14:solidFill>
          </w14:textFill>
        </w:rPr>
      </w:pPr>
      <w:bookmarkStart w:id="91" w:name="_Hlk521505364"/>
      <w:r>
        <w:rPr>
          <w:rFonts w:hint="eastAsia" w:ascii="宋体" w:hAnsi="宋体" w:cs="宋体"/>
          <w:color w:val="000000" w:themeColor="text1"/>
          <w:sz w:val="24"/>
          <w:szCs w:val="24"/>
          <w14:textFill>
            <w14:solidFill>
              <w14:schemeClr w14:val="tx1"/>
            </w14:solidFill>
          </w14:textFill>
        </w:rPr>
        <w:t>（</w:t>
      </w:r>
      <w:r>
        <w:rPr>
          <w:rFonts w:cs="宋体"/>
          <w:color w:val="000000" w:themeColor="text1"/>
          <w:sz w:val="24"/>
          <w:szCs w:val="24"/>
          <w14:textFill>
            <w14:solidFill>
              <w14:schemeClr w14:val="tx1"/>
            </w14:solidFill>
          </w14:textFill>
        </w:rPr>
        <w:t>1</w:t>
      </w:r>
      <w:r>
        <w:rPr>
          <w:rFonts w:hint="eastAsia" w:cs="宋体"/>
          <w:color w:val="000000" w:themeColor="text1"/>
          <w:sz w:val="24"/>
          <w:szCs w:val="24"/>
          <w14:textFill>
            <w14:solidFill>
              <w14:schemeClr w14:val="tx1"/>
            </w14:solidFill>
          </w14:textFill>
        </w:rPr>
        <w:t>）土地实物状况</w:t>
      </w:r>
    </w:p>
    <w:p>
      <w:pPr>
        <w:spacing w:line="400" w:lineRule="exact"/>
        <w:ind w:firstLine="480" w:firstLineChars="200"/>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估价对象土地实物状况表</w:t>
      </w:r>
    </w:p>
    <w:tbl>
      <w:tblPr>
        <w:tblStyle w:val="34"/>
        <w:tblW w:w="904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2"/>
        <w:gridCol w:w="69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2112" w:type="dxa"/>
            <w:vAlign w:val="center"/>
          </w:tcPr>
          <w:p>
            <w:pPr>
              <w:spacing w:line="240" w:lineRule="auto"/>
              <w:jc w:val="center"/>
              <w:rPr>
                <w:rFonts w:ascii="宋体" w:hAnsi="宋体"/>
                <w:bCs/>
                <w:color w:val="000000" w:themeColor="text1"/>
                <w:sz w:val="18"/>
                <w:szCs w:val="18"/>
                <w14:textFill>
                  <w14:solidFill>
                    <w14:schemeClr w14:val="tx1"/>
                  </w14:solidFill>
                </w14:textFill>
              </w:rPr>
            </w:pPr>
            <w:bookmarkStart w:id="92" w:name="_Hlk531612867"/>
            <w:r>
              <w:rPr>
                <w:rFonts w:hint="eastAsia" w:ascii="宋体" w:hAnsi="宋体"/>
                <w:bCs/>
                <w:color w:val="000000" w:themeColor="text1"/>
                <w:sz w:val="18"/>
                <w:szCs w:val="18"/>
                <w14:textFill>
                  <w14:solidFill>
                    <w14:schemeClr w14:val="tx1"/>
                  </w14:solidFill>
                </w14:textFill>
              </w:rPr>
              <w:t>土地座落</w:t>
            </w:r>
          </w:p>
        </w:tc>
        <w:tc>
          <w:tcPr>
            <w:tcW w:w="6937"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eastAsia="zh-CN"/>
                <w14:textFill>
                  <w14:solidFill>
                    <w14:schemeClr w14:val="tx1"/>
                  </w14:solidFill>
                </w14:textFill>
              </w:rPr>
              <w:t>绵竹市剑南镇宿迁街93号蔚泉新村安居房17栋2单元3层1号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2112" w:type="dxa"/>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四至</w:t>
            </w:r>
          </w:p>
        </w:tc>
        <w:tc>
          <w:tcPr>
            <w:tcW w:w="6937" w:type="dxa"/>
            <w:vAlign w:val="center"/>
          </w:tcPr>
          <w:p>
            <w:pPr>
              <w:spacing w:line="240" w:lineRule="auto"/>
              <w:jc w:val="cente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根据估价人员现场查看估价对象所属宗地</w:t>
            </w:r>
            <w:r>
              <w:rPr>
                <w:rFonts w:hint="eastAsia" w:ascii="宋体" w:hAnsi="宋体"/>
                <w:color w:val="000000" w:themeColor="text1"/>
                <w:sz w:val="18"/>
                <w:szCs w:val="18"/>
                <w:lang w:val="en-US" w:eastAsia="zh-CN"/>
                <w14:textFill>
                  <w14:solidFill>
                    <w14:schemeClr w14:val="tx1"/>
                  </w14:solidFill>
                </w14:textFill>
              </w:rPr>
              <w:t>北邻金陵人家小区、西邻金陵嘉园小区、南邻茂泉小区、东临铁路线。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2112" w:type="dxa"/>
            <w:vAlign w:val="center"/>
          </w:tcPr>
          <w:p>
            <w:pPr>
              <w:spacing w:line="240" w:lineRule="auto"/>
              <w:jc w:val="center"/>
              <w:rPr>
                <w:rFonts w:hint="default" w:ascii="宋体" w:hAnsi="宋体" w:eastAsia="宋体"/>
                <w:bCs/>
                <w:color w:val="000000" w:themeColor="text1"/>
                <w:sz w:val="18"/>
                <w:szCs w:val="18"/>
                <w:lang w:val="en-US" w:eastAsia="zh-CN"/>
                <w14:textFill>
                  <w14:solidFill>
                    <w14:schemeClr w14:val="tx1"/>
                  </w14:solidFill>
                </w14:textFill>
              </w:rPr>
            </w:pPr>
            <w:r>
              <w:rPr>
                <w:rFonts w:hint="eastAsia" w:ascii="宋体" w:hAnsi="宋体"/>
                <w:bCs/>
                <w:color w:val="000000" w:themeColor="text1"/>
                <w:sz w:val="18"/>
                <w:szCs w:val="18"/>
                <w:lang w:val="en-US" w:eastAsia="zh-CN"/>
                <w14:textFill>
                  <w14:solidFill>
                    <w14:schemeClr w14:val="tx1"/>
                  </w14:solidFill>
                </w14:textFill>
              </w:rPr>
              <w:t>土地（划拨）分摊面积</w:t>
            </w:r>
          </w:p>
        </w:tc>
        <w:tc>
          <w:tcPr>
            <w:tcW w:w="6937" w:type="dxa"/>
            <w:vAlign w:val="center"/>
          </w:tcPr>
          <w:p>
            <w:pPr>
              <w:spacing w:line="240" w:lineRule="auto"/>
              <w:jc w:val="cente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12.29</w:t>
            </w:r>
            <w:r>
              <w:rPr>
                <w:rFonts w:ascii="宋体" w:hAnsi="宋体" w:cs="宋体"/>
                <w:color w:val="000000" w:themeColor="text1"/>
                <w:kern w:val="0"/>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2112" w:type="dxa"/>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形状</w:t>
            </w:r>
          </w:p>
        </w:tc>
        <w:tc>
          <w:tcPr>
            <w:tcW w:w="6937"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所在宗地形状近似矩形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2112" w:type="dxa"/>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地形、地势及工程地质</w:t>
            </w:r>
          </w:p>
        </w:tc>
        <w:tc>
          <w:tcPr>
            <w:tcW w:w="6937"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宗地地形平坦，</w:t>
            </w:r>
            <w:r>
              <w:rPr>
                <w:rFonts w:hint="eastAsia" w:ascii="宋体" w:hAnsi="宋体"/>
                <w:color w:val="000000" w:themeColor="text1"/>
                <w:sz w:val="18"/>
                <w:szCs w:val="18"/>
                <w:lang w:val="en-US" w:eastAsia="zh-CN"/>
                <w14:textFill>
                  <w14:solidFill>
                    <w14:schemeClr w14:val="tx1"/>
                  </w14:solidFill>
                </w14:textFill>
              </w:rPr>
              <w:t>地势平缓，</w:t>
            </w:r>
            <w:r>
              <w:rPr>
                <w:rFonts w:hint="eastAsia" w:ascii="宋体" w:hAnsi="宋体"/>
                <w:color w:val="000000" w:themeColor="text1"/>
                <w:sz w:val="18"/>
                <w:szCs w:val="18"/>
                <w14:textFill>
                  <w14:solidFill>
                    <w14:schemeClr w14:val="tx1"/>
                  </w14:solidFill>
                </w14:textFill>
              </w:rPr>
              <w:t>无影响建筑修建的不良地势、地质和水文状况。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2112" w:type="dxa"/>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开发程度</w:t>
            </w:r>
          </w:p>
        </w:tc>
        <w:tc>
          <w:tcPr>
            <w:tcW w:w="6937" w:type="dxa"/>
            <w:vAlign w:val="center"/>
          </w:tcPr>
          <w:p>
            <w:pPr>
              <w:spacing w:line="240" w:lineRule="auto"/>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宗地外开发程度达到“六通”（通上水、通下水、通电、通路、通讯、通气），宗地内开发程度“六通一平“（通上水、通下水、通电、通路、通讯、通气，场地平整）。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2112" w:type="dxa"/>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土地使用期限</w:t>
            </w:r>
          </w:p>
        </w:tc>
        <w:tc>
          <w:tcPr>
            <w:tcW w:w="6937" w:type="dxa"/>
            <w:vAlign w:val="center"/>
          </w:tcPr>
          <w:p>
            <w:pPr>
              <w:spacing w:line="240" w:lineRule="auto"/>
              <w:jc w:val="cente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2112" w:type="dxa"/>
            <w:vAlign w:val="center"/>
          </w:tcPr>
          <w:p>
            <w:pPr>
              <w:spacing w:line="240" w:lineRule="auto"/>
              <w:jc w:val="center"/>
              <w:rPr>
                <w:rFonts w:ascii="宋体" w:hAnsi="宋体"/>
                <w:bCs/>
                <w:sz w:val="18"/>
                <w:szCs w:val="18"/>
              </w:rPr>
            </w:pPr>
            <w:r>
              <w:rPr>
                <w:rFonts w:hint="eastAsia" w:ascii="宋体" w:hAnsi="宋体"/>
                <w:bCs/>
                <w:sz w:val="18"/>
                <w:szCs w:val="18"/>
              </w:rPr>
              <w:t>规划限制条件</w:t>
            </w:r>
          </w:p>
        </w:tc>
        <w:tc>
          <w:tcPr>
            <w:tcW w:w="6937" w:type="dxa"/>
            <w:vAlign w:val="center"/>
          </w:tcPr>
          <w:p>
            <w:pPr>
              <w:spacing w:line="240" w:lineRule="auto"/>
              <w:jc w:val="center"/>
              <w:rPr>
                <w:rFonts w:ascii="宋体" w:hAnsi="宋体"/>
                <w:sz w:val="18"/>
                <w:szCs w:val="18"/>
              </w:rPr>
            </w:pPr>
            <w:r>
              <w:rPr>
                <w:rFonts w:hint="eastAsia" w:ascii="宋体" w:hAnsi="宋体"/>
                <w:sz w:val="18"/>
                <w:szCs w:val="18"/>
              </w:rPr>
              <w:t>无</w:t>
            </w:r>
          </w:p>
        </w:tc>
      </w:tr>
      <w:bookmarkEnd w:id="91"/>
      <w:bookmarkEnd w:id="92"/>
    </w:tbl>
    <w:p>
      <w:pPr>
        <w:spacing w:line="400" w:lineRule="exact"/>
        <w:ind w:firstLine="480" w:firstLineChars="200"/>
        <w:rPr>
          <w:rFonts w:cs="宋体"/>
          <w:color w:val="000000" w:themeColor="text1"/>
          <w:sz w:val="24"/>
          <w:szCs w:val="24"/>
          <w14:textFill>
            <w14:solidFill>
              <w14:schemeClr w14:val="tx1"/>
            </w14:solidFill>
          </w14:textFill>
        </w:rPr>
      </w:pPr>
      <w:bookmarkStart w:id="93" w:name="_Hlk521505422"/>
      <w:r>
        <w:rPr>
          <w:rFonts w:hint="eastAsia" w:cs="宋体"/>
          <w:color w:val="000000" w:themeColor="text1"/>
          <w:sz w:val="24"/>
          <w:szCs w:val="24"/>
          <w14:textFill>
            <w14:solidFill>
              <w14:schemeClr w14:val="tx1"/>
            </w14:solidFill>
          </w14:textFill>
        </w:rPr>
        <w:t>（</w:t>
      </w:r>
      <w:r>
        <w:rPr>
          <w:rFonts w:cs="宋体"/>
          <w:color w:val="000000" w:themeColor="text1"/>
          <w:sz w:val="24"/>
          <w:szCs w:val="24"/>
          <w14:textFill>
            <w14:solidFill>
              <w14:schemeClr w14:val="tx1"/>
            </w14:solidFill>
          </w14:textFill>
        </w:rPr>
        <w:t>2</w:t>
      </w:r>
      <w:r>
        <w:rPr>
          <w:rFonts w:hint="eastAsia" w:cs="宋体"/>
          <w:color w:val="000000" w:themeColor="text1"/>
          <w:sz w:val="24"/>
          <w:szCs w:val="24"/>
          <w14:textFill>
            <w14:solidFill>
              <w14:schemeClr w14:val="tx1"/>
            </w14:solidFill>
          </w14:textFill>
        </w:rPr>
        <w:t>）建筑物实物状况</w:t>
      </w:r>
    </w:p>
    <w:p>
      <w:pPr>
        <w:spacing w:line="400" w:lineRule="exact"/>
        <w:ind w:firstLine="480" w:firstLineChars="200"/>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估价对象建筑物实物状况表</w:t>
      </w:r>
    </w:p>
    <w:tbl>
      <w:tblPr>
        <w:tblStyle w:val="34"/>
        <w:tblW w:w="906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74"/>
        <w:gridCol w:w="976"/>
        <w:gridCol w:w="1514"/>
        <w:gridCol w:w="503"/>
        <w:gridCol w:w="738"/>
        <w:gridCol w:w="1515"/>
        <w:gridCol w:w="597"/>
        <w:gridCol w:w="669"/>
        <w:gridCol w:w="14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050" w:type="dxa"/>
            <w:gridSpan w:val="2"/>
            <w:vAlign w:val="center"/>
          </w:tcPr>
          <w:p>
            <w:pPr>
              <w:adjustRightInd w:val="0"/>
              <w:snapToGrid w:val="0"/>
              <w:spacing w:line="240" w:lineRule="auto"/>
              <w:jc w:val="center"/>
              <w:rPr>
                <w:rFonts w:ascii="宋体" w:hAnsi="宋体"/>
                <w:bCs/>
                <w:color w:val="000000" w:themeColor="text1"/>
                <w:sz w:val="18"/>
                <w:szCs w:val="18"/>
                <w14:textFill>
                  <w14:solidFill>
                    <w14:schemeClr w14:val="tx1"/>
                  </w14:solidFill>
                </w14:textFill>
              </w:rPr>
            </w:pPr>
            <w:bookmarkStart w:id="94" w:name="_Hlk531612932"/>
            <w:r>
              <w:rPr>
                <w:rFonts w:hint="eastAsia" w:ascii="宋体" w:hAnsi="宋体"/>
                <w:bCs/>
                <w:color w:val="000000" w:themeColor="text1"/>
                <w:sz w:val="18"/>
                <w:szCs w:val="18"/>
                <w14:textFill>
                  <w14:solidFill>
                    <w14:schemeClr w14:val="tx1"/>
                  </w14:solidFill>
                </w14:textFill>
              </w:rPr>
              <w:t>物业名称</w:t>
            </w:r>
          </w:p>
        </w:tc>
        <w:tc>
          <w:tcPr>
            <w:tcW w:w="1514" w:type="dxa"/>
            <w:vAlign w:val="center"/>
          </w:tcPr>
          <w:p>
            <w:pPr>
              <w:adjustRightInd w:val="0"/>
              <w:snapToGrid w:val="0"/>
              <w:spacing w:line="240" w:lineRule="auto"/>
              <w:jc w:val="center"/>
              <w:rPr>
                <w:rFonts w:hint="eastAsia" w:ascii="宋体" w:hAnsi="宋体" w:eastAsia="宋体"/>
                <w:color w:val="000000" w:themeColor="text1"/>
                <w:sz w:val="18"/>
                <w:szCs w:val="18"/>
                <w:lang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蔚泉新村</w:t>
            </w:r>
          </w:p>
        </w:tc>
        <w:tc>
          <w:tcPr>
            <w:tcW w:w="1241" w:type="dxa"/>
            <w:gridSpan w:val="2"/>
            <w:vAlign w:val="center"/>
          </w:tcPr>
          <w:p>
            <w:pPr>
              <w:adjustRightInd w:val="0"/>
              <w:snapToGrid w:val="0"/>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建筑结构</w:t>
            </w:r>
          </w:p>
        </w:tc>
        <w:tc>
          <w:tcPr>
            <w:tcW w:w="1515" w:type="dxa"/>
            <w:vAlign w:val="center"/>
          </w:tcPr>
          <w:p>
            <w:pPr>
              <w:adjustRightInd w:val="0"/>
              <w:snapToGrid w:val="0"/>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混合</w:t>
            </w:r>
          </w:p>
        </w:tc>
        <w:tc>
          <w:tcPr>
            <w:tcW w:w="1266" w:type="dxa"/>
            <w:gridSpan w:val="2"/>
            <w:vAlign w:val="center"/>
          </w:tcPr>
          <w:p>
            <w:pPr>
              <w:adjustRightInd w:val="0"/>
              <w:snapToGrid w:val="0"/>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总楼层</w:t>
            </w:r>
          </w:p>
        </w:tc>
        <w:tc>
          <w:tcPr>
            <w:tcW w:w="1479" w:type="dxa"/>
            <w:vAlign w:val="center"/>
          </w:tcPr>
          <w:p>
            <w:pPr>
              <w:adjustRightInd w:val="0"/>
              <w:snapToGrid w:val="0"/>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6</w:t>
            </w:r>
            <w:r>
              <w:rPr>
                <w:rFonts w:hint="eastAsia" w:ascii="宋体" w:hAnsi="宋体"/>
                <w:color w:val="000000" w:themeColor="text1"/>
                <w:sz w:val="18"/>
                <w:szCs w:val="18"/>
                <w14:textFill>
                  <w14:solidFill>
                    <w14:schemeClr w14:val="tx1"/>
                  </w14:solidFill>
                </w14:textFill>
              </w:rPr>
              <w:t>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050" w:type="dxa"/>
            <w:gridSpan w:val="2"/>
            <w:vAlign w:val="center"/>
          </w:tcPr>
          <w:p>
            <w:pPr>
              <w:adjustRightInd w:val="0"/>
              <w:snapToGrid w:val="0"/>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所在楼层</w:t>
            </w:r>
          </w:p>
        </w:tc>
        <w:tc>
          <w:tcPr>
            <w:tcW w:w="1514" w:type="dxa"/>
            <w:vAlign w:val="center"/>
          </w:tcPr>
          <w:p>
            <w:pPr>
              <w:adjustRightInd w:val="0"/>
              <w:snapToGrid w:val="0"/>
              <w:spacing w:line="240" w:lineRule="auto"/>
              <w:jc w:val="center"/>
              <w:rPr>
                <w:rFonts w:hint="eastAsia" w:ascii="宋体" w:hAnsi="宋体" w:eastAsia="宋体"/>
                <w:color w:val="000000" w:themeColor="text1"/>
                <w:sz w:val="18"/>
                <w:szCs w:val="18"/>
                <w:lang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3</w:t>
            </w:r>
          </w:p>
        </w:tc>
        <w:tc>
          <w:tcPr>
            <w:tcW w:w="1241" w:type="dxa"/>
            <w:gridSpan w:val="2"/>
            <w:vAlign w:val="center"/>
          </w:tcPr>
          <w:p>
            <w:pPr>
              <w:adjustRightInd w:val="0"/>
              <w:snapToGrid w:val="0"/>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用途</w:t>
            </w:r>
          </w:p>
        </w:tc>
        <w:tc>
          <w:tcPr>
            <w:tcW w:w="1515" w:type="dxa"/>
            <w:vAlign w:val="center"/>
          </w:tcPr>
          <w:p>
            <w:pPr>
              <w:adjustRightInd w:val="0"/>
              <w:snapToGrid w:val="0"/>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住宅</w:t>
            </w:r>
          </w:p>
        </w:tc>
        <w:tc>
          <w:tcPr>
            <w:tcW w:w="1266" w:type="dxa"/>
            <w:gridSpan w:val="2"/>
            <w:vAlign w:val="center"/>
          </w:tcPr>
          <w:p>
            <w:pPr>
              <w:adjustRightInd w:val="0"/>
              <w:snapToGrid w:val="0"/>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建成年代</w:t>
            </w:r>
          </w:p>
        </w:tc>
        <w:tc>
          <w:tcPr>
            <w:tcW w:w="1479" w:type="dxa"/>
            <w:vAlign w:val="center"/>
          </w:tcPr>
          <w:p>
            <w:pPr>
              <w:adjustRightInd w:val="0"/>
              <w:snapToGrid w:val="0"/>
              <w:spacing w:line="240" w:lineRule="auto"/>
              <w:jc w:val="cente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2011年左右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050" w:type="dxa"/>
            <w:gridSpan w:val="2"/>
            <w:vAlign w:val="center"/>
          </w:tcPr>
          <w:p>
            <w:pPr>
              <w:adjustRightInd w:val="0"/>
              <w:snapToGrid w:val="0"/>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层高</w:t>
            </w:r>
          </w:p>
        </w:tc>
        <w:tc>
          <w:tcPr>
            <w:tcW w:w="1514" w:type="dxa"/>
            <w:vAlign w:val="center"/>
          </w:tcPr>
          <w:p>
            <w:pPr>
              <w:adjustRightInd w:val="0"/>
              <w:snapToGrid w:val="0"/>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1241" w:type="dxa"/>
            <w:gridSpan w:val="2"/>
            <w:vAlign w:val="center"/>
          </w:tcPr>
          <w:p>
            <w:pPr>
              <w:adjustRightInd w:val="0"/>
              <w:snapToGrid w:val="0"/>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空间布局</w:t>
            </w:r>
          </w:p>
        </w:tc>
        <w:tc>
          <w:tcPr>
            <w:tcW w:w="1515" w:type="dxa"/>
            <w:vAlign w:val="center"/>
          </w:tcPr>
          <w:p>
            <w:pPr>
              <w:adjustRightInd w:val="0"/>
              <w:snapToGrid w:val="0"/>
              <w:spacing w:line="240" w:lineRule="auto"/>
              <w:jc w:val="center"/>
              <w:rPr>
                <w:rFonts w:hint="eastAsia" w:ascii="宋体" w:hAnsi="宋体" w:eastAsia="宋体"/>
                <w:color w:val="000000" w:themeColor="text1"/>
                <w:sz w:val="18"/>
                <w:szCs w:val="18"/>
                <w:lang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平层</w:t>
            </w:r>
          </w:p>
        </w:tc>
        <w:tc>
          <w:tcPr>
            <w:tcW w:w="1266" w:type="dxa"/>
            <w:gridSpan w:val="2"/>
            <w:vAlign w:val="center"/>
          </w:tcPr>
          <w:p>
            <w:pPr>
              <w:adjustRightInd w:val="0"/>
              <w:snapToGrid w:val="0"/>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户型结构</w:t>
            </w:r>
          </w:p>
        </w:tc>
        <w:tc>
          <w:tcPr>
            <w:tcW w:w="1479" w:type="dxa"/>
            <w:vAlign w:val="center"/>
          </w:tcPr>
          <w:p>
            <w:pPr>
              <w:adjustRightInd w:val="0"/>
              <w:snapToGrid w:val="0"/>
              <w:spacing w:line="240" w:lineRule="auto"/>
              <w:jc w:val="center"/>
              <w:rPr>
                <w:rFonts w:hint="eastAsia"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两</w:t>
            </w:r>
            <w:r>
              <w:rPr>
                <w:rFonts w:hint="eastAsia" w:ascii="宋体" w:hAnsi="宋体"/>
                <w:color w:val="000000" w:themeColor="text1"/>
                <w:sz w:val="18"/>
                <w:szCs w:val="18"/>
                <w14:textFill>
                  <w14:solidFill>
                    <w14:schemeClr w14:val="tx1"/>
                  </w14:solidFill>
                </w14:textFill>
              </w:rPr>
              <w:t>室</w:t>
            </w:r>
            <w:r>
              <w:rPr>
                <w:rFonts w:hint="eastAsia" w:ascii="宋体" w:hAnsi="宋体"/>
                <w:color w:val="000000" w:themeColor="text1"/>
                <w:sz w:val="18"/>
                <w:szCs w:val="18"/>
                <w:lang w:val="en-US" w:eastAsia="zh-CN"/>
                <w14:textFill>
                  <w14:solidFill>
                    <w14:schemeClr w14:val="tx1"/>
                  </w14:solidFill>
                </w14:textFill>
              </w:rPr>
              <w:t>两</w:t>
            </w:r>
            <w:r>
              <w:rPr>
                <w:rFonts w:hint="eastAsia" w:ascii="宋体" w:hAnsi="宋体"/>
                <w:color w:val="000000" w:themeColor="text1"/>
                <w:sz w:val="18"/>
                <w:szCs w:val="18"/>
                <w14:textFill>
                  <w14:solidFill>
                    <w14:schemeClr w14:val="tx1"/>
                  </w14:solidFill>
                </w14:textFill>
              </w:rPr>
              <w:t>厅</w:t>
            </w:r>
            <w:r>
              <w:rPr>
                <w:rFonts w:hint="eastAsia" w:ascii="宋体" w:hAnsi="宋体"/>
                <w:color w:val="000000" w:themeColor="text1"/>
                <w:sz w:val="18"/>
                <w:szCs w:val="18"/>
                <w:lang w:val="en-US" w:eastAsia="zh-CN"/>
                <w14:textFill>
                  <w14:solidFill>
                    <w14:schemeClr w14:val="tx1"/>
                  </w14:solidFill>
                </w14:textFill>
              </w:rPr>
              <w:t>一卫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050" w:type="dxa"/>
            <w:gridSpan w:val="2"/>
            <w:vAlign w:val="center"/>
          </w:tcPr>
          <w:p>
            <w:pPr>
              <w:adjustRightInd w:val="0"/>
              <w:snapToGrid w:val="0"/>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小区内位置</w:t>
            </w:r>
          </w:p>
        </w:tc>
        <w:tc>
          <w:tcPr>
            <w:tcW w:w="1514" w:type="dxa"/>
            <w:vAlign w:val="center"/>
          </w:tcPr>
          <w:p>
            <w:pPr>
              <w:adjustRightInd w:val="0"/>
              <w:snapToGrid w:val="0"/>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中庭</w:t>
            </w:r>
          </w:p>
        </w:tc>
        <w:tc>
          <w:tcPr>
            <w:tcW w:w="1241" w:type="dxa"/>
            <w:gridSpan w:val="2"/>
            <w:vAlign w:val="center"/>
          </w:tcPr>
          <w:p>
            <w:pPr>
              <w:adjustRightInd w:val="0"/>
              <w:snapToGrid w:val="0"/>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装修标准</w:t>
            </w:r>
          </w:p>
        </w:tc>
        <w:tc>
          <w:tcPr>
            <w:tcW w:w="1515" w:type="dxa"/>
            <w:vAlign w:val="center"/>
          </w:tcPr>
          <w:p>
            <w:pPr>
              <w:adjustRightInd w:val="0"/>
              <w:snapToGrid w:val="0"/>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中等</w:t>
            </w:r>
            <w:r>
              <w:rPr>
                <w:rFonts w:hint="eastAsia" w:ascii="宋体" w:hAnsi="宋体"/>
                <w:color w:val="000000" w:themeColor="text1"/>
                <w:sz w:val="18"/>
                <w:szCs w:val="18"/>
                <w14:textFill>
                  <w14:solidFill>
                    <w14:schemeClr w14:val="tx1"/>
                  </w14:solidFill>
                </w14:textFill>
              </w:rPr>
              <w:t>装修</w:t>
            </w:r>
          </w:p>
        </w:tc>
        <w:tc>
          <w:tcPr>
            <w:tcW w:w="1266" w:type="dxa"/>
            <w:gridSpan w:val="2"/>
            <w:vAlign w:val="center"/>
          </w:tcPr>
          <w:p>
            <w:pPr>
              <w:adjustRightInd w:val="0"/>
              <w:snapToGrid w:val="0"/>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朝向</w:t>
            </w:r>
          </w:p>
        </w:tc>
        <w:tc>
          <w:tcPr>
            <w:tcW w:w="1479" w:type="dxa"/>
            <w:vAlign w:val="center"/>
          </w:tcPr>
          <w:p>
            <w:pPr>
              <w:adjustRightInd w:val="0"/>
              <w:snapToGrid w:val="0"/>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050" w:type="dxa"/>
            <w:gridSpan w:val="2"/>
            <w:vAlign w:val="center"/>
          </w:tcPr>
          <w:p>
            <w:pPr>
              <w:adjustRightInd w:val="0"/>
              <w:snapToGrid w:val="0"/>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通风采光</w:t>
            </w:r>
          </w:p>
        </w:tc>
        <w:tc>
          <w:tcPr>
            <w:tcW w:w="1514" w:type="dxa"/>
            <w:vAlign w:val="center"/>
          </w:tcPr>
          <w:p>
            <w:pPr>
              <w:adjustRightInd w:val="0"/>
              <w:snapToGrid w:val="0"/>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一般</w:t>
            </w:r>
          </w:p>
        </w:tc>
        <w:tc>
          <w:tcPr>
            <w:tcW w:w="1241" w:type="dxa"/>
            <w:gridSpan w:val="2"/>
            <w:vAlign w:val="center"/>
          </w:tcPr>
          <w:p>
            <w:pPr>
              <w:adjustRightInd w:val="0"/>
              <w:snapToGrid w:val="0"/>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物业管理</w:t>
            </w:r>
          </w:p>
        </w:tc>
        <w:tc>
          <w:tcPr>
            <w:tcW w:w="1515" w:type="dxa"/>
            <w:vAlign w:val="center"/>
          </w:tcPr>
          <w:p>
            <w:pPr>
              <w:adjustRightInd w:val="0"/>
              <w:snapToGrid w:val="0"/>
              <w:spacing w:line="240" w:lineRule="auto"/>
              <w:jc w:val="cente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外聘物业公司</w:t>
            </w:r>
          </w:p>
        </w:tc>
        <w:tc>
          <w:tcPr>
            <w:tcW w:w="1266" w:type="dxa"/>
            <w:gridSpan w:val="2"/>
            <w:vAlign w:val="center"/>
          </w:tcPr>
          <w:p>
            <w:pPr>
              <w:adjustRightInd w:val="0"/>
              <w:snapToGrid w:val="0"/>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梯户比</w:t>
            </w:r>
          </w:p>
        </w:tc>
        <w:tc>
          <w:tcPr>
            <w:tcW w:w="1479" w:type="dxa"/>
            <w:vAlign w:val="center"/>
          </w:tcPr>
          <w:p>
            <w:pPr>
              <w:adjustRightInd w:val="0"/>
              <w:snapToGrid w:val="0"/>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梯</w:t>
            </w: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050" w:type="dxa"/>
            <w:gridSpan w:val="2"/>
            <w:vAlign w:val="center"/>
          </w:tcPr>
          <w:p>
            <w:pPr>
              <w:adjustRightInd w:val="0"/>
              <w:snapToGrid w:val="0"/>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配套设施</w:t>
            </w:r>
          </w:p>
        </w:tc>
        <w:tc>
          <w:tcPr>
            <w:tcW w:w="1514" w:type="dxa"/>
            <w:vAlign w:val="center"/>
          </w:tcPr>
          <w:p>
            <w:pPr>
              <w:adjustRightInd w:val="0"/>
              <w:snapToGrid w:val="0"/>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通水、电、气、视、讯、宽带</w:t>
            </w:r>
          </w:p>
        </w:tc>
        <w:tc>
          <w:tcPr>
            <w:tcW w:w="1241" w:type="dxa"/>
            <w:gridSpan w:val="2"/>
            <w:vAlign w:val="center"/>
          </w:tcPr>
          <w:p>
            <w:pPr>
              <w:adjustRightInd w:val="0"/>
              <w:snapToGrid w:val="0"/>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维修保养情况</w:t>
            </w:r>
          </w:p>
        </w:tc>
        <w:tc>
          <w:tcPr>
            <w:tcW w:w="1515" w:type="dxa"/>
            <w:vAlign w:val="center"/>
          </w:tcPr>
          <w:p>
            <w:pPr>
              <w:adjustRightInd w:val="0"/>
              <w:snapToGrid w:val="0"/>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一般</w:t>
            </w:r>
          </w:p>
        </w:tc>
        <w:tc>
          <w:tcPr>
            <w:tcW w:w="1266" w:type="dxa"/>
            <w:gridSpan w:val="2"/>
            <w:vAlign w:val="center"/>
          </w:tcPr>
          <w:p>
            <w:pPr>
              <w:adjustRightInd w:val="0"/>
              <w:snapToGrid w:val="0"/>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新旧程度</w:t>
            </w:r>
          </w:p>
        </w:tc>
        <w:tc>
          <w:tcPr>
            <w:tcW w:w="1479" w:type="dxa"/>
            <w:vAlign w:val="center"/>
          </w:tcPr>
          <w:p>
            <w:pPr>
              <w:adjustRightInd w:val="0"/>
              <w:snapToGrid w:val="0"/>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8</w:t>
            </w:r>
            <w:r>
              <w:rPr>
                <w:rFonts w:ascii="宋体" w:hAnsi="宋体"/>
                <w:color w:val="000000" w:themeColor="text1"/>
                <w:sz w:val="18"/>
                <w:szCs w:val="18"/>
                <w14:textFill>
                  <w14:solidFill>
                    <w14:schemeClr w14:val="tx1"/>
                  </w14:solidFill>
                </w14:textFill>
              </w:rPr>
              <w:t>成新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074" w:type="dxa"/>
            <w:vMerge w:val="restart"/>
            <w:vAlign w:val="center"/>
          </w:tcPr>
          <w:p>
            <w:pPr>
              <w:adjustRightInd w:val="0"/>
              <w:snapToGrid w:val="0"/>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室内装修状况</w:t>
            </w:r>
          </w:p>
        </w:tc>
        <w:tc>
          <w:tcPr>
            <w:tcW w:w="976" w:type="dxa"/>
            <w:vAlign w:val="center"/>
          </w:tcPr>
          <w:p>
            <w:pPr>
              <w:adjustRightInd w:val="0"/>
              <w:snapToGrid w:val="0"/>
              <w:spacing w:line="240" w:lineRule="auto"/>
              <w:jc w:val="center"/>
              <w:rPr>
                <w:rFonts w:ascii="宋体" w:hAnsi="宋体"/>
                <w:color w:val="000000" w:themeColor="text1"/>
                <w:sz w:val="18"/>
                <w:szCs w:val="18"/>
                <w14:textFill>
                  <w14:solidFill>
                    <w14:schemeClr w14:val="tx1"/>
                  </w14:solidFill>
                </w14:textFill>
              </w:rPr>
            </w:pPr>
          </w:p>
        </w:tc>
        <w:tc>
          <w:tcPr>
            <w:tcW w:w="2017" w:type="dxa"/>
            <w:gridSpan w:val="2"/>
            <w:vAlign w:val="center"/>
          </w:tcPr>
          <w:p>
            <w:pPr>
              <w:adjustRightInd w:val="0"/>
              <w:snapToGrid w:val="0"/>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地面</w:t>
            </w:r>
          </w:p>
        </w:tc>
        <w:tc>
          <w:tcPr>
            <w:tcW w:w="2850" w:type="dxa"/>
            <w:gridSpan w:val="3"/>
            <w:vAlign w:val="center"/>
          </w:tcPr>
          <w:p>
            <w:pPr>
              <w:adjustRightInd w:val="0"/>
              <w:snapToGrid w:val="0"/>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内墙</w:t>
            </w:r>
          </w:p>
        </w:tc>
        <w:tc>
          <w:tcPr>
            <w:tcW w:w="2148" w:type="dxa"/>
            <w:gridSpan w:val="2"/>
            <w:vAlign w:val="center"/>
          </w:tcPr>
          <w:p>
            <w:pPr>
              <w:adjustRightInd w:val="0"/>
              <w:snapToGrid w:val="0"/>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天棚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74" w:type="dxa"/>
            <w:vMerge w:val="continue"/>
            <w:vAlign w:val="center"/>
          </w:tcPr>
          <w:p>
            <w:pPr>
              <w:adjustRightInd w:val="0"/>
              <w:snapToGrid w:val="0"/>
              <w:spacing w:line="240" w:lineRule="auto"/>
              <w:jc w:val="center"/>
              <w:rPr>
                <w:rFonts w:ascii="宋体" w:hAnsi="宋体"/>
                <w:color w:val="000000" w:themeColor="text1"/>
                <w:sz w:val="18"/>
                <w:szCs w:val="18"/>
                <w14:textFill>
                  <w14:solidFill>
                    <w14:schemeClr w14:val="tx1"/>
                  </w14:solidFill>
                </w14:textFill>
              </w:rPr>
            </w:pPr>
          </w:p>
        </w:tc>
        <w:tc>
          <w:tcPr>
            <w:tcW w:w="976" w:type="dxa"/>
            <w:vAlign w:val="center"/>
          </w:tcPr>
          <w:p>
            <w:pPr>
              <w:adjustRightInd w:val="0"/>
              <w:snapToGrid w:val="0"/>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客厅</w:t>
            </w:r>
          </w:p>
        </w:tc>
        <w:tc>
          <w:tcPr>
            <w:tcW w:w="2017" w:type="dxa"/>
            <w:gridSpan w:val="2"/>
            <w:vAlign w:val="center"/>
          </w:tcPr>
          <w:p>
            <w:pPr>
              <w:adjustRightInd w:val="0"/>
              <w:snapToGrid w:val="0"/>
              <w:spacing w:line="240" w:lineRule="auto"/>
              <w:jc w:val="cente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复合木地板</w:t>
            </w:r>
          </w:p>
        </w:tc>
        <w:tc>
          <w:tcPr>
            <w:tcW w:w="2850" w:type="dxa"/>
            <w:gridSpan w:val="3"/>
            <w:vAlign w:val="center"/>
          </w:tcPr>
          <w:p>
            <w:pPr>
              <w:adjustRightInd w:val="0"/>
              <w:snapToGrid w:val="0"/>
              <w:spacing w:line="240" w:lineRule="auto"/>
              <w:jc w:val="center"/>
              <w:rPr>
                <w:rFonts w:hint="eastAsia" w:ascii="宋体" w:hAnsi="宋体" w:eastAsia="宋体"/>
                <w:color w:val="000000" w:themeColor="text1"/>
                <w:sz w:val="18"/>
                <w:szCs w:val="18"/>
                <w:lang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墙纸</w:t>
            </w:r>
          </w:p>
        </w:tc>
        <w:tc>
          <w:tcPr>
            <w:tcW w:w="2148" w:type="dxa"/>
            <w:gridSpan w:val="2"/>
            <w:vAlign w:val="center"/>
          </w:tcPr>
          <w:p>
            <w:pPr>
              <w:adjustRightInd w:val="0"/>
              <w:snapToGrid w:val="0"/>
              <w:spacing w:line="240" w:lineRule="auto"/>
              <w:jc w:val="center"/>
              <w:rPr>
                <w:rFonts w:hint="eastAsia" w:ascii="宋体" w:hAnsi="宋体" w:eastAsia="宋体"/>
                <w:color w:val="000000" w:themeColor="text1"/>
                <w:sz w:val="18"/>
                <w:szCs w:val="18"/>
                <w:lang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石膏吊顶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74" w:type="dxa"/>
            <w:vMerge w:val="continue"/>
            <w:vAlign w:val="center"/>
          </w:tcPr>
          <w:p>
            <w:pPr>
              <w:adjustRightInd w:val="0"/>
              <w:snapToGrid w:val="0"/>
              <w:spacing w:line="240" w:lineRule="auto"/>
              <w:jc w:val="center"/>
              <w:rPr>
                <w:rFonts w:ascii="宋体" w:hAnsi="宋体"/>
                <w:color w:val="000000" w:themeColor="text1"/>
                <w:sz w:val="18"/>
                <w:szCs w:val="18"/>
                <w14:textFill>
                  <w14:solidFill>
                    <w14:schemeClr w14:val="tx1"/>
                  </w14:solidFill>
                </w14:textFill>
              </w:rPr>
            </w:pPr>
          </w:p>
        </w:tc>
        <w:tc>
          <w:tcPr>
            <w:tcW w:w="976" w:type="dxa"/>
            <w:vAlign w:val="center"/>
          </w:tcPr>
          <w:p>
            <w:pPr>
              <w:adjustRightInd w:val="0"/>
              <w:snapToGrid w:val="0"/>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厨房</w:t>
            </w:r>
          </w:p>
        </w:tc>
        <w:tc>
          <w:tcPr>
            <w:tcW w:w="2017" w:type="dxa"/>
            <w:gridSpan w:val="2"/>
            <w:vAlign w:val="center"/>
          </w:tcPr>
          <w:p>
            <w:pPr>
              <w:adjustRightInd w:val="0"/>
              <w:snapToGrid w:val="0"/>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地砖</w:t>
            </w:r>
          </w:p>
        </w:tc>
        <w:tc>
          <w:tcPr>
            <w:tcW w:w="2850" w:type="dxa"/>
            <w:gridSpan w:val="3"/>
            <w:vAlign w:val="center"/>
          </w:tcPr>
          <w:p>
            <w:pPr>
              <w:adjustRightInd w:val="0"/>
              <w:snapToGrid w:val="0"/>
              <w:spacing w:line="240" w:lineRule="auto"/>
              <w:jc w:val="center"/>
              <w:rPr>
                <w:rFonts w:hint="eastAsia" w:ascii="宋体" w:hAnsi="宋体" w:eastAsia="宋体"/>
                <w:color w:val="000000" w:themeColor="text1"/>
                <w:sz w:val="18"/>
                <w:szCs w:val="18"/>
                <w:lang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瓷砖</w:t>
            </w:r>
          </w:p>
        </w:tc>
        <w:tc>
          <w:tcPr>
            <w:tcW w:w="2148" w:type="dxa"/>
            <w:gridSpan w:val="2"/>
            <w:vAlign w:val="center"/>
          </w:tcPr>
          <w:p>
            <w:pPr>
              <w:adjustRightInd w:val="0"/>
              <w:snapToGrid w:val="0"/>
              <w:spacing w:line="240" w:lineRule="auto"/>
              <w:jc w:val="cente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铝扣板吊顶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4" w:hRule="atLeast"/>
          <w:jc w:val="center"/>
        </w:trPr>
        <w:tc>
          <w:tcPr>
            <w:tcW w:w="1074" w:type="dxa"/>
            <w:vMerge w:val="continue"/>
            <w:vAlign w:val="center"/>
          </w:tcPr>
          <w:p>
            <w:pPr>
              <w:adjustRightInd w:val="0"/>
              <w:snapToGrid w:val="0"/>
              <w:spacing w:line="240" w:lineRule="auto"/>
              <w:jc w:val="center"/>
              <w:rPr>
                <w:rFonts w:ascii="宋体" w:hAnsi="宋体"/>
                <w:color w:val="000000" w:themeColor="text1"/>
                <w:sz w:val="18"/>
                <w:szCs w:val="18"/>
                <w14:textFill>
                  <w14:solidFill>
                    <w14:schemeClr w14:val="tx1"/>
                  </w14:solidFill>
                </w14:textFill>
              </w:rPr>
            </w:pPr>
          </w:p>
        </w:tc>
        <w:tc>
          <w:tcPr>
            <w:tcW w:w="976" w:type="dxa"/>
            <w:vAlign w:val="center"/>
          </w:tcPr>
          <w:p>
            <w:pPr>
              <w:adjustRightInd w:val="0"/>
              <w:snapToGrid w:val="0"/>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卧室</w:t>
            </w:r>
          </w:p>
        </w:tc>
        <w:tc>
          <w:tcPr>
            <w:tcW w:w="2017" w:type="dxa"/>
            <w:gridSpan w:val="2"/>
            <w:vAlign w:val="center"/>
          </w:tcPr>
          <w:p>
            <w:pPr>
              <w:adjustRightInd w:val="0"/>
              <w:snapToGrid w:val="0"/>
              <w:spacing w:line="240" w:lineRule="auto"/>
              <w:jc w:val="center"/>
              <w:rPr>
                <w:rFonts w:hint="eastAsia" w:ascii="宋体" w:hAnsi="宋体" w:eastAsia="宋体"/>
                <w:color w:val="000000" w:themeColor="text1"/>
                <w:sz w:val="18"/>
                <w:szCs w:val="18"/>
                <w:lang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复合木地板</w:t>
            </w:r>
          </w:p>
        </w:tc>
        <w:tc>
          <w:tcPr>
            <w:tcW w:w="2850" w:type="dxa"/>
            <w:gridSpan w:val="3"/>
            <w:vAlign w:val="center"/>
          </w:tcPr>
          <w:p>
            <w:pPr>
              <w:adjustRightInd w:val="0"/>
              <w:snapToGrid w:val="0"/>
              <w:spacing w:line="240" w:lineRule="auto"/>
              <w:jc w:val="center"/>
              <w:rPr>
                <w:rFonts w:hint="eastAsia" w:ascii="宋体" w:hAnsi="宋体" w:eastAsia="宋体"/>
                <w:color w:val="000000" w:themeColor="text1"/>
                <w:sz w:val="18"/>
                <w:szCs w:val="18"/>
                <w:lang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墙纸</w:t>
            </w:r>
          </w:p>
        </w:tc>
        <w:tc>
          <w:tcPr>
            <w:tcW w:w="2148" w:type="dxa"/>
            <w:gridSpan w:val="2"/>
            <w:vAlign w:val="center"/>
          </w:tcPr>
          <w:p>
            <w:pPr>
              <w:adjustRightInd w:val="0"/>
              <w:snapToGrid w:val="0"/>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乳胶漆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74" w:type="dxa"/>
            <w:vMerge w:val="continue"/>
            <w:vAlign w:val="center"/>
          </w:tcPr>
          <w:p>
            <w:pPr>
              <w:adjustRightInd w:val="0"/>
              <w:snapToGrid w:val="0"/>
              <w:spacing w:line="240" w:lineRule="auto"/>
              <w:jc w:val="center"/>
              <w:rPr>
                <w:rFonts w:ascii="宋体" w:hAnsi="宋体"/>
                <w:color w:val="000000" w:themeColor="text1"/>
                <w:sz w:val="18"/>
                <w:szCs w:val="18"/>
                <w14:textFill>
                  <w14:solidFill>
                    <w14:schemeClr w14:val="tx1"/>
                  </w14:solidFill>
                </w14:textFill>
              </w:rPr>
            </w:pPr>
          </w:p>
        </w:tc>
        <w:tc>
          <w:tcPr>
            <w:tcW w:w="976" w:type="dxa"/>
            <w:vAlign w:val="center"/>
          </w:tcPr>
          <w:p>
            <w:pPr>
              <w:adjustRightInd w:val="0"/>
              <w:snapToGrid w:val="0"/>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卫生间</w:t>
            </w:r>
          </w:p>
        </w:tc>
        <w:tc>
          <w:tcPr>
            <w:tcW w:w="2017" w:type="dxa"/>
            <w:gridSpan w:val="2"/>
            <w:vAlign w:val="center"/>
          </w:tcPr>
          <w:p>
            <w:pPr>
              <w:adjustRightInd w:val="0"/>
              <w:snapToGrid w:val="0"/>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地砖</w:t>
            </w:r>
          </w:p>
        </w:tc>
        <w:tc>
          <w:tcPr>
            <w:tcW w:w="2850" w:type="dxa"/>
            <w:gridSpan w:val="3"/>
            <w:vAlign w:val="center"/>
          </w:tcPr>
          <w:p>
            <w:pPr>
              <w:adjustRightInd w:val="0"/>
              <w:snapToGrid w:val="0"/>
              <w:spacing w:line="240" w:lineRule="auto"/>
              <w:jc w:val="center"/>
              <w:rPr>
                <w:rFonts w:hint="eastAsia" w:ascii="宋体" w:hAnsi="宋体" w:eastAsia="宋体"/>
                <w:color w:val="000000" w:themeColor="text1"/>
                <w:sz w:val="18"/>
                <w:szCs w:val="18"/>
                <w:lang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瓷砖</w:t>
            </w:r>
          </w:p>
        </w:tc>
        <w:tc>
          <w:tcPr>
            <w:tcW w:w="2148" w:type="dxa"/>
            <w:gridSpan w:val="2"/>
            <w:vAlign w:val="center"/>
          </w:tcPr>
          <w:p>
            <w:pPr>
              <w:adjustRightInd w:val="0"/>
              <w:snapToGrid w:val="0"/>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铝扣板吊顶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74" w:type="dxa"/>
            <w:vMerge w:val="continue"/>
            <w:vAlign w:val="center"/>
          </w:tcPr>
          <w:p>
            <w:pPr>
              <w:adjustRightInd w:val="0"/>
              <w:snapToGrid w:val="0"/>
              <w:spacing w:line="240" w:lineRule="auto"/>
              <w:jc w:val="center"/>
              <w:rPr>
                <w:rFonts w:ascii="宋体" w:hAnsi="宋体"/>
                <w:color w:val="000000" w:themeColor="text1"/>
                <w:sz w:val="18"/>
                <w:szCs w:val="18"/>
                <w14:textFill>
                  <w14:solidFill>
                    <w14:schemeClr w14:val="tx1"/>
                  </w14:solidFill>
                </w14:textFill>
              </w:rPr>
            </w:pPr>
          </w:p>
        </w:tc>
        <w:tc>
          <w:tcPr>
            <w:tcW w:w="976" w:type="dxa"/>
            <w:vAlign w:val="center"/>
          </w:tcPr>
          <w:p>
            <w:pPr>
              <w:adjustRightInd w:val="0"/>
              <w:snapToGrid w:val="0"/>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门窗</w:t>
            </w:r>
          </w:p>
        </w:tc>
        <w:tc>
          <w:tcPr>
            <w:tcW w:w="7015" w:type="dxa"/>
            <w:gridSpan w:val="7"/>
            <w:vAlign w:val="center"/>
          </w:tcPr>
          <w:p>
            <w:pPr>
              <w:adjustRightInd w:val="0"/>
              <w:snapToGrid w:val="0"/>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入户:防盗门，室内:</w:t>
            </w:r>
            <w:r>
              <w:rPr>
                <w:rFonts w:hint="eastAsia" w:ascii="宋体" w:hAnsi="宋体"/>
                <w:color w:val="000000" w:themeColor="text1"/>
                <w:sz w:val="18"/>
                <w:szCs w:val="18"/>
                <w:lang w:val="en-US" w:eastAsia="zh-CN"/>
                <w14:textFill>
                  <w14:solidFill>
                    <w14:schemeClr w14:val="tx1"/>
                  </w14:solidFill>
                </w14:textFill>
              </w:rPr>
              <w:t>压模</w:t>
            </w:r>
            <w:r>
              <w:rPr>
                <w:rFonts w:hint="eastAsia" w:ascii="宋体" w:hAnsi="宋体"/>
                <w:color w:val="000000" w:themeColor="text1"/>
                <w:sz w:val="18"/>
                <w:szCs w:val="18"/>
                <w14:textFill>
                  <w14:solidFill>
                    <w14:schemeClr w14:val="tx1"/>
                  </w14:solidFill>
                </w14:textFill>
              </w:rPr>
              <w:t>门，推拉塑钢窗。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050" w:type="dxa"/>
            <w:gridSpan w:val="2"/>
            <w:vAlign w:val="center"/>
          </w:tcPr>
          <w:p>
            <w:pPr>
              <w:adjustRightInd w:val="0"/>
              <w:snapToGrid w:val="0"/>
              <w:spacing w:line="276" w:lineRule="auto"/>
              <w:jc w:val="center"/>
              <w:rPr>
                <w:rFonts w:ascii="宋体" w:hAnsi="宋体"/>
                <w:sz w:val="18"/>
                <w:szCs w:val="18"/>
              </w:rPr>
            </w:pPr>
            <w:r>
              <w:rPr>
                <w:rFonts w:hint="eastAsia" w:ascii="宋体" w:hAnsi="宋体"/>
                <w:bCs/>
                <w:sz w:val="18"/>
                <w:szCs w:val="18"/>
              </w:rPr>
              <w:t>设施设备情况</w:t>
            </w:r>
          </w:p>
        </w:tc>
        <w:tc>
          <w:tcPr>
            <w:tcW w:w="7015" w:type="dxa"/>
            <w:gridSpan w:val="7"/>
            <w:vAlign w:val="center"/>
          </w:tcPr>
          <w:p>
            <w:pPr>
              <w:adjustRightInd w:val="0"/>
              <w:snapToGrid w:val="0"/>
              <w:spacing w:line="276" w:lineRule="auto"/>
              <w:jc w:val="center"/>
              <w:rPr>
                <w:rFonts w:ascii="宋体" w:hAnsi="宋体"/>
                <w:sz w:val="18"/>
                <w:szCs w:val="18"/>
              </w:rPr>
            </w:pPr>
            <w:r>
              <w:rPr>
                <w:rFonts w:hint="eastAsia" w:ascii="宋体" w:hAnsi="宋体"/>
                <w:sz w:val="18"/>
                <w:szCs w:val="18"/>
              </w:rPr>
              <w:t>所在建筑物内部水、电等配套设施完善</w:t>
            </w:r>
            <w:r>
              <w:rPr>
                <w:rFonts w:hint="eastAsia" w:ascii="宋体" w:hAnsi="宋体"/>
                <w:sz w:val="18"/>
                <w:szCs w:val="18"/>
                <w:lang w:eastAsia="zh-CN"/>
              </w:rPr>
              <w:t>，</w:t>
            </w:r>
            <w:r>
              <w:rPr>
                <w:rFonts w:hint="eastAsia" w:ascii="宋体" w:hAnsi="宋体"/>
                <w:sz w:val="18"/>
                <w:szCs w:val="18"/>
              </w:rPr>
              <w:t>估价对象所在楼栋为步梯通道。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050" w:type="dxa"/>
            <w:gridSpan w:val="2"/>
            <w:vAlign w:val="center"/>
          </w:tcPr>
          <w:p>
            <w:pPr>
              <w:adjustRightInd w:val="0"/>
              <w:snapToGrid w:val="0"/>
              <w:spacing w:line="276" w:lineRule="auto"/>
              <w:jc w:val="center"/>
              <w:rPr>
                <w:rFonts w:ascii="宋体" w:hAnsi="宋体"/>
                <w:sz w:val="18"/>
                <w:szCs w:val="18"/>
              </w:rPr>
            </w:pPr>
            <w:r>
              <w:rPr>
                <w:rFonts w:hint="eastAsia" w:ascii="宋体" w:hAnsi="宋体"/>
                <w:bCs/>
                <w:sz w:val="18"/>
                <w:szCs w:val="18"/>
              </w:rPr>
              <w:t>使用及维护保养情况完损状况</w:t>
            </w:r>
          </w:p>
        </w:tc>
        <w:tc>
          <w:tcPr>
            <w:tcW w:w="7015" w:type="dxa"/>
            <w:gridSpan w:val="7"/>
            <w:vAlign w:val="center"/>
          </w:tcPr>
          <w:p>
            <w:pPr>
              <w:adjustRightInd w:val="0"/>
              <w:snapToGrid w:val="0"/>
              <w:spacing w:line="276" w:lineRule="auto"/>
              <w:jc w:val="center"/>
              <w:rPr>
                <w:rFonts w:ascii="宋体" w:hAnsi="宋体"/>
                <w:sz w:val="18"/>
                <w:szCs w:val="18"/>
              </w:rPr>
            </w:pPr>
            <w:r>
              <w:rPr>
                <w:rFonts w:hint="eastAsia" w:ascii="宋体" w:hAnsi="宋体"/>
                <w:sz w:val="18"/>
                <w:szCs w:val="18"/>
              </w:rPr>
              <w:t>至价值时点，</w:t>
            </w:r>
            <w:bookmarkStart w:id="95" w:name="_Hlk527566983"/>
            <w:r>
              <w:rPr>
                <w:rFonts w:hint="eastAsia" w:ascii="宋体" w:hAnsi="宋体"/>
                <w:sz w:val="18"/>
                <w:szCs w:val="18"/>
              </w:rPr>
              <w:t>估价对象工程质量较好，但其维护、保养、使用情况</w:t>
            </w:r>
            <w:bookmarkEnd w:id="95"/>
            <w:r>
              <w:rPr>
                <w:rFonts w:hint="eastAsia" w:ascii="宋体" w:hAnsi="宋体"/>
                <w:sz w:val="18"/>
                <w:szCs w:val="18"/>
              </w:rPr>
              <w:t>较好；从外观来看，</w:t>
            </w:r>
            <w:bookmarkStart w:id="96" w:name="_Hlk527566992"/>
            <w:r>
              <w:rPr>
                <w:rFonts w:hint="eastAsia" w:ascii="宋体" w:hAnsi="宋体"/>
                <w:sz w:val="18"/>
                <w:szCs w:val="18"/>
              </w:rPr>
              <w:t>整体建筑成新度</w:t>
            </w:r>
            <w:bookmarkEnd w:id="96"/>
            <w:r>
              <w:rPr>
                <w:rFonts w:hint="eastAsia" w:ascii="宋体" w:hAnsi="宋体"/>
                <w:sz w:val="18"/>
                <w:szCs w:val="18"/>
                <w:lang w:val="en-US" w:eastAsia="zh-CN"/>
              </w:rPr>
              <w:t>良好</w:t>
            </w:r>
            <w:r>
              <w:rPr>
                <w:rFonts w:hint="eastAsia" w:ascii="宋体" w:hAnsi="宋体"/>
                <w:sz w:val="18"/>
                <w:szCs w:val="18"/>
              </w:rPr>
              <w:t>，约</w:t>
            </w:r>
            <w:r>
              <w:rPr>
                <w:rFonts w:hint="eastAsia" w:ascii="宋体" w:hAnsi="宋体"/>
                <w:sz w:val="18"/>
                <w:szCs w:val="18"/>
                <w:lang w:val="en-US" w:eastAsia="zh-CN"/>
              </w:rPr>
              <w:t>8</w:t>
            </w:r>
            <w:r>
              <w:rPr>
                <w:rFonts w:ascii="宋体" w:hAnsi="宋体"/>
                <w:sz w:val="18"/>
                <w:szCs w:val="18"/>
              </w:rPr>
              <w:t>成新</w:t>
            </w:r>
            <w:r>
              <w:rPr>
                <w:rFonts w:hint="eastAsia" w:ascii="宋体" w:hAnsi="宋体"/>
                <w:sz w:val="18"/>
                <w:szCs w:val="18"/>
              </w:rPr>
              <w:t>，估价对象房屋未出现影响正常使用的工程质量问题。</w:t>
            </w:r>
          </w:p>
        </w:tc>
      </w:tr>
      <w:bookmarkEnd w:id="90"/>
      <w:bookmarkEnd w:id="93"/>
      <w:bookmarkEnd w:id="94"/>
    </w:tbl>
    <w:p>
      <w:pPr>
        <w:spacing w:line="360" w:lineRule="auto"/>
        <w:ind w:firstLine="480" w:firstLineChars="200"/>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3、估价对象权益状况</w:t>
      </w:r>
    </w:p>
    <w:p>
      <w:pPr>
        <w:spacing w:line="360" w:lineRule="auto"/>
        <w:ind w:firstLine="480" w:firstLineChars="200"/>
        <w:jc w:val="center"/>
        <w:rPr>
          <w:rFonts w:cs="宋体"/>
          <w:color w:val="000000" w:themeColor="text1"/>
          <w:sz w:val="24"/>
          <w:szCs w:val="24"/>
          <w14:textFill>
            <w14:solidFill>
              <w14:schemeClr w14:val="tx1"/>
            </w14:solidFill>
          </w14:textFill>
        </w:rPr>
      </w:pPr>
      <w:bookmarkStart w:id="97" w:name="_Hlk521505796"/>
      <w:r>
        <w:rPr>
          <w:rFonts w:hint="eastAsia" w:cs="宋体"/>
          <w:color w:val="000000" w:themeColor="text1"/>
          <w:sz w:val="24"/>
          <w:szCs w:val="24"/>
          <w14:textFill>
            <w14:solidFill>
              <w14:schemeClr w14:val="tx1"/>
            </w14:solidFill>
          </w14:textFill>
        </w:rPr>
        <w:t>房屋所有权及土地使用权状况表</w:t>
      </w:r>
    </w:p>
    <w:bookmarkEnd w:id="97"/>
    <w:tbl>
      <w:tblPr>
        <w:tblStyle w:val="34"/>
        <w:tblW w:w="902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70"/>
        <w:gridCol w:w="2371"/>
        <w:gridCol w:w="1598"/>
        <w:gridCol w:w="30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1970" w:type="dxa"/>
            <w:vAlign w:val="center"/>
          </w:tcPr>
          <w:p>
            <w:pPr>
              <w:spacing w:line="240" w:lineRule="auto"/>
              <w:jc w:val="center"/>
              <w:rPr>
                <w:rFonts w:ascii="宋体" w:hAnsi="宋体"/>
                <w:bCs/>
                <w:color w:val="000000" w:themeColor="text1"/>
                <w:sz w:val="18"/>
                <w:szCs w:val="18"/>
                <w14:textFill>
                  <w14:solidFill>
                    <w14:schemeClr w14:val="tx1"/>
                  </w14:solidFill>
                </w14:textFill>
              </w:rPr>
            </w:pPr>
            <w:bookmarkStart w:id="98" w:name="_Hlk531612998"/>
            <w:r>
              <w:rPr>
                <w:rFonts w:hint="eastAsia" w:ascii="宋体" w:hAnsi="宋体"/>
                <w:bCs/>
                <w:color w:val="000000" w:themeColor="text1"/>
                <w:sz w:val="18"/>
                <w:szCs w:val="18"/>
                <w14:textFill>
                  <w14:solidFill>
                    <w14:schemeClr w14:val="tx1"/>
                  </w14:solidFill>
                </w14:textFill>
              </w:rPr>
              <w:t>估价对象名称及坐落</w:t>
            </w:r>
          </w:p>
        </w:tc>
        <w:tc>
          <w:tcPr>
            <w:tcW w:w="7059" w:type="dxa"/>
            <w:gridSpan w:val="3"/>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lang w:eastAsia="zh-CN"/>
                <w14:textFill>
                  <w14:solidFill>
                    <w14:schemeClr w14:val="tx1"/>
                  </w14:solidFill>
                </w14:textFill>
              </w:rPr>
              <w:t>绵竹市剑南镇宿迁街93号蔚泉新村安居房17栋2单元3层1号</w:t>
            </w:r>
            <w:r>
              <w:rPr>
                <w:rFonts w:hint="eastAsia" w:ascii="宋体" w:hAnsi="宋体"/>
                <w:color w:val="000000" w:themeColor="text1"/>
                <w:sz w:val="18"/>
                <w:szCs w:val="18"/>
                <w14:textFill>
                  <w14:solidFill>
                    <w14:schemeClr w14:val="tx1"/>
                  </w14:solidFill>
                </w14:textFill>
              </w:rPr>
              <w:t>住宅用房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1970" w:type="dxa"/>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房屋产权证号</w:t>
            </w:r>
          </w:p>
        </w:tc>
        <w:tc>
          <w:tcPr>
            <w:tcW w:w="2371" w:type="dxa"/>
            <w:vAlign w:val="center"/>
          </w:tcPr>
          <w:p>
            <w:pPr>
              <w:spacing w:line="240" w:lineRule="auto"/>
              <w:jc w:val="cente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绵竹房权证字第0028301号</w:t>
            </w:r>
          </w:p>
        </w:tc>
        <w:tc>
          <w:tcPr>
            <w:tcW w:w="1598" w:type="dxa"/>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房屋所有权人</w:t>
            </w:r>
          </w:p>
        </w:tc>
        <w:tc>
          <w:tcPr>
            <w:tcW w:w="3090" w:type="dxa"/>
            <w:vAlign w:val="center"/>
          </w:tcPr>
          <w:p>
            <w:pPr>
              <w:spacing w:line="240" w:lineRule="auto"/>
              <w:jc w:val="center"/>
              <w:rPr>
                <w:rFonts w:hint="eastAsia" w:ascii="宋体" w:hAnsi="宋体" w:eastAsia="宋体"/>
                <w:color w:val="000000" w:themeColor="text1"/>
                <w:sz w:val="18"/>
                <w:szCs w:val="18"/>
                <w:lang w:eastAsia="zh-CN"/>
                <w14:textFill>
                  <w14:solidFill>
                    <w14:schemeClr w14:val="tx1"/>
                  </w14:solidFill>
                </w14:textFill>
              </w:rPr>
            </w:pPr>
            <w:r>
              <w:rPr>
                <w:rFonts w:hint="eastAsia" w:ascii="宋体" w:hAnsi="宋体"/>
                <w:color w:val="000000" w:themeColor="text1"/>
                <w:sz w:val="18"/>
                <w:szCs w:val="18"/>
                <w:lang w:eastAsia="zh-CN"/>
                <w14:textFill>
                  <w14:solidFill>
                    <w14:schemeClr w14:val="tx1"/>
                  </w14:solidFill>
                </w14:textFill>
              </w:rPr>
              <w:t>朱莉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1970" w:type="dxa"/>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业务件号</w:t>
            </w:r>
          </w:p>
        </w:tc>
        <w:tc>
          <w:tcPr>
            <w:tcW w:w="2371" w:type="dxa"/>
            <w:vAlign w:val="center"/>
          </w:tcPr>
          <w:p>
            <w:pPr>
              <w:spacing w:line="240" w:lineRule="auto"/>
              <w:jc w:val="cente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w:t>
            </w:r>
          </w:p>
        </w:tc>
        <w:tc>
          <w:tcPr>
            <w:tcW w:w="1598" w:type="dxa"/>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共有情况</w:t>
            </w:r>
          </w:p>
        </w:tc>
        <w:tc>
          <w:tcPr>
            <w:tcW w:w="3090" w:type="dxa"/>
            <w:vAlign w:val="center"/>
          </w:tcPr>
          <w:p>
            <w:pPr>
              <w:spacing w:line="240" w:lineRule="auto"/>
              <w:jc w:val="center"/>
              <w:rPr>
                <w:rFonts w:hint="eastAsia" w:ascii="宋体" w:hAnsi="宋体" w:eastAsia="宋体"/>
                <w:color w:val="000000" w:themeColor="text1"/>
                <w:sz w:val="18"/>
                <w:szCs w:val="18"/>
                <w:lang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单独所有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1970" w:type="dxa"/>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规划用途</w:t>
            </w:r>
          </w:p>
        </w:tc>
        <w:tc>
          <w:tcPr>
            <w:tcW w:w="2371"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住宅</w:t>
            </w:r>
          </w:p>
        </w:tc>
        <w:tc>
          <w:tcPr>
            <w:tcW w:w="1598" w:type="dxa"/>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实际用途</w:t>
            </w:r>
          </w:p>
        </w:tc>
        <w:tc>
          <w:tcPr>
            <w:tcW w:w="3090"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住宅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1970" w:type="dxa"/>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建筑面积（㎡）</w:t>
            </w:r>
          </w:p>
        </w:tc>
        <w:tc>
          <w:tcPr>
            <w:tcW w:w="2371" w:type="dxa"/>
            <w:vAlign w:val="center"/>
          </w:tcPr>
          <w:p>
            <w:pPr>
              <w:spacing w:line="240" w:lineRule="auto"/>
              <w:jc w:val="cente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77.6</w:t>
            </w:r>
          </w:p>
        </w:tc>
        <w:tc>
          <w:tcPr>
            <w:tcW w:w="1598" w:type="dxa"/>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租赁及利用现状</w:t>
            </w:r>
          </w:p>
        </w:tc>
        <w:tc>
          <w:tcPr>
            <w:tcW w:w="3090" w:type="dxa"/>
            <w:vAlign w:val="center"/>
          </w:tcPr>
          <w:p>
            <w:pPr>
              <w:spacing w:line="240" w:lineRule="auto"/>
              <w:jc w:val="cente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空置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2" w:hRule="atLeast"/>
          <w:jc w:val="center"/>
        </w:trPr>
        <w:tc>
          <w:tcPr>
            <w:tcW w:w="1970" w:type="dxa"/>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土地所有权状况</w:t>
            </w:r>
          </w:p>
        </w:tc>
        <w:tc>
          <w:tcPr>
            <w:tcW w:w="2371"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所有权属国家</w:t>
            </w:r>
          </w:p>
        </w:tc>
        <w:tc>
          <w:tcPr>
            <w:tcW w:w="1598" w:type="dxa"/>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土地使用权状况</w:t>
            </w:r>
          </w:p>
        </w:tc>
        <w:tc>
          <w:tcPr>
            <w:tcW w:w="3090" w:type="dxa"/>
            <w:vAlign w:val="center"/>
          </w:tcPr>
          <w:p>
            <w:pPr>
              <w:spacing w:line="240" w:lineRule="auto"/>
              <w:jc w:val="center"/>
              <w:rPr>
                <w:rFonts w:hint="eastAsia" w:ascii="宋体" w:hAnsi="宋体" w:eastAsia="宋体"/>
                <w:color w:val="000000" w:themeColor="text1"/>
                <w:sz w:val="18"/>
                <w:szCs w:val="18"/>
                <w:lang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划拨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1970" w:type="dxa"/>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土地使用权人</w:t>
            </w:r>
          </w:p>
        </w:tc>
        <w:tc>
          <w:tcPr>
            <w:tcW w:w="2371" w:type="dxa"/>
            <w:vAlign w:val="center"/>
          </w:tcPr>
          <w:p>
            <w:pPr>
              <w:spacing w:line="240" w:lineRule="auto"/>
              <w:jc w:val="center"/>
              <w:rPr>
                <w:rFonts w:hint="eastAsia" w:ascii="宋体" w:hAnsi="宋体" w:eastAsia="宋体"/>
                <w:color w:val="000000" w:themeColor="text1"/>
                <w:sz w:val="18"/>
                <w:szCs w:val="18"/>
                <w:lang w:eastAsia="zh-CN"/>
                <w14:textFill>
                  <w14:solidFill>
                    <w14:schemeClr w14:val="tx1"/>
                  </w14:solidFill>
                </w14:textFill>
              </w:rPr>
            </w:pPr>
            <w:r>
              <w:rPr>
                <w:rFonts w:hint="eastAsia" w:ascii="宋体" w:hAnsi="宋体"/>
                <w:color w:val="000000" w:themeColor="text1"/>
                <w:sz w:val="18"/>
                <w:szCs w:val="18"/>
                <w:lang w:eastAsia="zh-CN"/>
                <w14:textFill>
                  <w14:solidFill>
                    <w14:schemeClr w14:val="tx1"/>
                  </w14:solidFill>
                </w14:textFill>
              </w:rPr>
              <w:t>朱莉</w:t>
            </w:r>
          </w:p>
        </w:tc>
        <w:tc>
          <w:tcPr>
            <w:tcW w:w="1598" w:type="dxa"/>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坐落</w:t>
            </w:r>
          </w:p>
        </w:tc>
        <w:tc>
          <w:tcPr>
            <w:tcW w:w="3090"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lang w:eastAsia="zh-CN"/>
                <w14:textFill>
                  <w14:solidFill>
                    <w14:schemeClr w14:val="tx1"/>
                  </w14:solidFill>
                </w14:textFill>
              </w:rPr>
              <w:t>绵竹市剑南镇宿迁街93号蔚泉新村安居房17栋2单元3层1号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1970" w:type="dxa"/>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物业管理</w:t>
            </w:r>
          </w:p>
        </w:tc>
        <w:tc>
          <w:tcPr>
            <w:tcW w:w="7059" w:type="dxa"/>
            <w:gridSpan w:val="3"/>
            <w:vAlign w:val="center"/>
          </w:tcPr>
          <w:p>
            <w:pPr>
              <w:spacing w:line="240" w:lineRule="auto"/>
              <w:jc w:val="cente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绵竹美家乐物业有限公司</w:t>
            </w:r>
          </w:p>
        </w:tc>
      </w:tr>
      <w:bookmarkEnd w:id="98"/>
    </w:tbl>
    <w:p>
      <w:pPr>
        <w:spacing w:line="400" w:lineRule="exact"/>
        <w:ind w:firstLine="480" w:firstLineChars="200"/>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4、区位状况</w:t>
      </w:r>
    </w:p>
    <w:p>
      <w:pPr>
        <w:spacing w:line="400" w:lineRule="exact"/>
        <w:ind w:firstLine="480" w:firstLineChars="200"/>
        <w:jc w:val="center"/>
        <w:rPr>
          <w:rFonts w:cs="宋体"/>
          <w:color w:val="000000" w:themeColor="text1"/>
          <w:sz w:val="24"/>
          <w:szCs w:val="24"/>
          <w14:textFill>
            <w14:solidFill>
              <w14:schemeClr w14:val="tx1"/>
            </w14:solidFill>
          </w14:textFill>
        </w:rPr>
      </w:pPr>
      <w:bookmarkStart w:id="99" w:name="_Hlk521505825"/>
      <w:r>
        <w:rPr>
          <w:rFonts w:hint="eastAsia" w:cs="宋体"/>
          <w:color w:val="000000" w:themeColor="text1"/>
          <w:sz w:val="24"/>
          <w:szCs w:val="24"/>
          <w14:textFill>
            <w14:solidFill>
              <w14:schemeClr w14:val="tx1"/>
            </w14:solidFill>
          </w14:textFill>
        </w:rPr>
        <w:t>估价对象区位状况表</w:t>
      </w:r>
    </w:p>
    <w:tbl>
      <w:tblPr>
        <w:tblStyle w:val="34"/>
        <w:tblW w:w="899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11"/>
        <w:gridCol w:w="2026"/>
        <w:gridCol w:w="64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1" w:type="dxa"/>
            <w:vMerge w:val="restart"/>
            <w:vAlign w:val="center"/>
          </w:tcPr>
          <w:p>
            <w:pPr>
              <w:spacing w:line="240" w:lineRule="auto"/>
              <w:jc w:val="center"/>
              <w:rPr>
                <w:rFonts w:ascii="宋体" w:hAnsi="宋体"/>
                <w:bCs/>
                <w:color w:val="000000" w:themeColor="text1"/>
                <w:sz w:val="18"/>
                <w:szCs w:val="18"/>
                <w14:textFill>
                  <w14:solidFill>
                    <w14:schemeClr w14:val="tx1"/>
                  </w14:solidFill>
                </w14:textFill>
              </w:rPr>
            </w:pPr>
            <w:bookmarkStart w:id="100" w:name="_Hlk531613154"/>
            <w:bookmarkStart w:id="101" w:name="_Toc435111912"/>
            <w:r>
              <w:rPr>
                <w:rFonts w:hint="eastAsia" w:ascii="宋体" w:hAnsi="宋体"/>
                <w:bCs/>
                <w:color w:val="000000" w:themeColor="text1"/>
                <w:sz w:val="18"/>
                <w:szCs w:val="18"/>
                <w14:textFill>
                  <w14:solidFill>
                    <w14:schemeClr w14:val="tx1"/>
                  </w14:solidFill>
                </w14:textFill>
              </w:rPr>
              <w:t>位置</w:t>
            </w:r>
          </w:p>
        </w:tc>
        <w:tc>
          <w:tcPr>
            <w:tcW w:w="2026" w:type="dxa"/>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估价对象物业名称</w:t>
            </w:r>
          </w:p>
        </w:tc>
        <w:tc>
          <w:tcPr>
            <w:tcW w:w="6460" w:type="dxa"/>
            <w:vAlign w:val="center"/>
          </w:tcPr>
          <w:p>
            <w:pPr>
              <w:spacing w:line="240" w:lineRule="auto"/>
              <w:jc w:val="center"/>
              <w:rPr>
                <w:rFonts w:hint="eastAsia" w:ascii="宋体" w:hAnsi="宋体" w:eastAsia="宋体"/>
                <w:color w:val="000000" w:themeColor="text1"/>
                <w:sz w:val="18"/>
                <w:szCs w:val="18"/>
                <w:lang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蔚泉新村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1" w:type="dxa"/>
            <w:vMerge w:val="continue"/>
            <w:vAlign w:val="center"/>
          </w:tcPr>
          <w:p>
            <w:pPr>
              <w:spacing w:line="240" w:lineRule="auto"/>
              <w:jc w:val="center"/>
              <w:rPr>
                <w:rFonts w:ascii="宋体" w:hAnsi="宋体"/>
                <w:bCs/>
                <w:color w:val="000000" w:themeColor="text1"/>
                <w:sz w:val="18"/>
                <w:szCs w:val="18"/>
                <w14:textFill>
                  <w14:solidFill>
                    <w14:schemeClr w14:val="tx1"/>
                  </w14:solidFill>
                </w14:textFill>
              </w:rPr>
            </w:pPr>
          </w:p>
        </w:tc>
        <w:tc>
          <w:tcPr>
            <w:tcW w:w="2026" w:type="dxa"/>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坐落</w:t>
            </w:r>
          </w:p>
        </w:tc>
        <w:tc>
          <w:tcPr>
            <w:tcW w:w="6460" w:type="dxa"/>
            <w:vAlign w:val="center"/>
          </w:tcPr>
          <w:p>
            <w:pPr>
              <w:spacing w:line="240" w:lineRule="auto"/>
              <w:jc w:val="center"/>
              <w:rPr>
                <w:rFonts w:hint="eastAsia" w:ascii="宋体" w:hAnsi="宋体" w:eastAsia="宋体"/>
                <w:color w:val="000000" w:themeColor="text1"/>
                <w:sz w:val="18"/>
                <w:szCs w:val="18"/>
                <w:lang w:eastAsia="zh-CN"/>
                <w14:textFill>
                  <w14:solidFill>
                    <w14:schemeClr w14:val="tx1"/>
                  </w14:solidFill>
                </w14:textFill>
              </w:rPr>
            </w:pPr>
            <w:r>
              <w:rPr>
                <w:rFonts w:hint="eastAsia" w:ascii="宋体" w:hAnsi="宋体"/>
                <w:color w:val="000000" w:themeColor="text1"/>
                <w:sz w:val="18"/>
                <w:szCs w:val="18"/>
                <w:lang w:eastAsia="zh-CN"/>
                <w14:textFill>
                  <w14:solidFill>
                    <w14:schemeClr w14:val="tx1"/>
                  </w14:solidFill>
                </w14:textFill>
              </w:rPr>
              <w:t>绵竹市剑南镇宿迁街93号蔚泉新村安居房17栋2单元3层1号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1" w:type="dxa"/>
            <w:vMerge w:val="continue"/>
            <w:vAlign w:val="center"/>
          </w:tcPr>
          <w:p>
            <w:pPr>
              <w:spacing w:line="240" w:lineRule="auto"/>
              <w:jc w:val="center"/>
              <w:rPr>
                <w:rFonts w:ascii="宋体" w:hAnsi="宋体"/>
                <w:bCs/>
                <w:color w:val="000000" w:themeColor="text1"/>
                <w:sz w:val="18"/>
                <w:szCs w:val="18"/>
                <w14:textFill>
                  <w14:solidFill>
                    <w14:schemeClr w14:val="tx1"/>
                  </w14:solidFill>
                </w14:textFill>
              </w:rPr>
            </w:pPr>
          </w:p>
        </w:tc>
        <w:tc>
          <w:tcPr>
            <w:tcW w:w="2026" w:type="dxa"/>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方位</w:t>
            </w:r>
          </w:p>
        </w:tc>
        <w:tc>
          <w:tcPr>
            <w:tcW w:w="6460" w:type="dxa"/>
            <w:vAlign w:val="center"/>
          </w:tcPr>
          <w:p>
            <w:pPr>
              <w:spacing w:line="240" w:lineRule="auto"/>
              <w:jc w:val="cente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绵竹市老城区临近天河片区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1" w:type="dxa"/>
            <w:vMerge w:val="continue"/>
            <w:vAlign w:val="center"/>
          </w:tcPr>
          <w:p>
            <w:pPr>
              <w:spacing w:line="240" w:lineRule="auto"/>
              <w:jc w:val="center"/>
              <w:rPr>
                <w:rFonts w:ascii="宋体" w:hAnsi="宋体"/>
                <w:bCs/>
                <w:color w:val="000000" w:themeColor="text1"/>
                <w:sz w:val="18"/>
                <w:szCs w:val="18"/>
                <w14:textFill>
                  <w14:solidFill>
                    <w14:schemeClr w14:val="tx1"/>
                  </w14:solidFill>
                </w14:textFill>
              </w:rPr>
            </w:pPr>
          </w:p>
        </w:tc>
        <w:tc>
          <w:tcPr>
            <w:tcW w:w="2026" w:type="dxa"/>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与相关场所的距离</w:t>
            </w:r>
          </w:p>
        </w:tc>
        <w:tc>
          <w:tcPr>
            <w:tcW w:w="6460"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距</w:t>
            </w:r>
            <w:r>
              <w:rPr>
                <w:rFonts w:hint="eastAsia" w:ascii="宋体" w:hAnsi="宋体"/>
                <w:color w:val="000000" w:themeColor="text1"/>
                <w:sz w:val="18"/>
                <w:szCs w:val="18"/>
                <w:lang w:val="en-US" w:eastAsia="zh-CN"/>
                <w14:textFill>
                  <w14:solidFill>
                    <w14:schemeClr w14:val="tx1"/>
                  </w14:solidFill>
                </w14:textFill>
              </w:rPr>
              <w:t>绵竹站</w:t>
            </w:r>
            <w:r>
              <w:rPr>
                <w:rFonts w:hint="eastAsia" w:ascii="宋体" w:hAnsi="宋体"/>
                <w:color w:val="000000" w:themeColor="text1"/>
                <w:sz w:val="18"/>
                <w:szCs w:val="18"/>
                <w14:textFill>
                  <w14:solidFill>
                    <w14:schemeClr w14:val="tx1"/>
                  </w14:solidFill>
                </w14:textFill>
              </w:rPr>
              <w:t>约</w:t>
            </w:r>
            <w:r>
              <w:rPr>
                <w:rFonts w:hint="eastAsia" w:ascii="宋体" w:hAnsi="宋体"/>
                <w:color w:val="000000" w:themeColor="text1"/>
                <w:sz w:val="18"/>
                <w:szCs w:val="18"/>
                <w:lang w:val="en-US" w:eastAsia="zh-CN"/>
                <w14:textFill>
                  <w14:solidFill>
                    <w14:schemeClr w14:val="tx1"/>
                  </w14:solidFill>
                </w14:textFill>
              </w:rPr>
              <w:t>1.8km</w:t>
            </w:r>
            <w:r>
              <w:rPr>
                <w:rFonts w:hint="eastAsia" w:ascii="宋体" w:hAnsi="宋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1" w:type="dxa"/>
            <w:vMerge w:val="continue"/>
            <w:vAlign w:val="center"/>
          </w:tcPr>
          <w:p>
            <w:pPr>
              <w:spacing w:line="240" w:lineRule="auto"/>
              <w:jc w:val="center"/>
              <w:rPr>
                <w:rFonts w:ascii="宋体" w:hAnsi="宋体"/>
                <w:bCs/>
                <w:color w:val="000000" w:themeColor="text1"/>
                <w:sz w:val="18"/>
                <w:szCs w:val="18"/>
                <w14:textFill>
                  <w14:solidFill>
                    <w14:schemeClr w14:val="tx1"/>
                  </w14:solidFill>
                </w14:textFill>
              </w:rPr>
            </w:pPr>
          </w:p>
        </w:tc>
        <w:tc>
          <w:tcPr>
            <w:tcW w:w="2026" w:type="dxa"/>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商业繁华度</w:t>
            </w:r>
          </w:p>
        </w:tc>
        <w:tc>
          <w:tcPr>
            <w:tcW w:w="6460"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估价对象</w:t>
            </w:r>
            <w:r>
              <w:rPr>
                <w:rFonts w:hint="eastAsia" w:ascii="宋体" w:hAnsi="宋体"/>
                <w:color w:val="000000" w:themeColor="text1"/>
                <w:sz w:val="18"/>
                <w:szCs w:val="18"/>
                <w:lang w:val="en-US" w:eastAsia="zh-CN"/>
                <w14:textFill>
                  <w14:solidFill>
                    <w14:schemeClr w14:val="tx1"/>
                  </w14:solidFill>
                </w14:textFill>
              </w:rPr>
              <w:t>位于老城区玉妃路二段东侧</w:t>
            </w:r>
            <w:r>
              <w:rPr>
                <w:rFonts w:hint="eastAsia"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lang w:val="en-US" w:eastAsia="zh-CN"/>
                <w14:textFill>
                  <w14:solidFill>
                    <w14:schemeClr w14:val="tx1"/>
                  </w14:solidFill>
                </w14:textFill>
              </w:rPr>
              <w:t>人流量较小，</w:t>
            </w:r>
            <w:r>
              <w:rPr>
                <w:rFonts w:hint="eastAsia" w:ascii="宋体" w:hAnsi="宋体"/>
                <w:color w:val="000000" w:themeColor="text1"/>
                <w:sz w:val="18"/>
                <w:szCs w:val="18"/>
                <w14:textFill>
                  <w14:solidFill>
                    <w14:schemeClr w14:val="tx1"/>
                  </w14:solidFill>
                </w14:textFill>
              </w:rPr>
              <w:t>商业繁华度</w:t>
            </w:r>
            <w:r>
              <w:rPr>
                <w:rFonts w:hint="eastAsia" w:ascii="宋体" w:hAnsi="宋体"/>
                <w:color w:val="000000" w:themeColor="text1"/>
                <w:sz w:val="18"/>
                <w:szCs w:val="18"/>
                <w:lang w:val="en-US" w:eastAsia="zh-CN"/>
                <w14:textFill>
                  <w14:solidFill>
                    <w14:schemeClr w14:val="tx1"/>
                  </w14:solidFill>
                </w14:textFill>
              </w:rPr>
              <w:t>一般</w:t>
            </w:r>
            <w:r>
              <w:rPr>
                <w:rFonts w:hint="eastAsia" w:ascii="宋体" w:hAnsi="宋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1" w:type="dxa"/>
            <w:vMerge w:val="continue"/>
            <w:vAlign w:val="center"/>
          </w:tcPr>
          <w:p>
            <w:pPr>
              <w:spacing w:line="240" w:lineRule="auto"/>
              <w:jc w:val="center"/>
              <w:rPr>
                <w:rFonts w:ascii="宋体" w:hAnsi="宋体"/>
                <w:bCs/>
                <w:color w:val="000000" w:themeColor="text1"/>
                <w:sz w:val="18"/>
                <w:szCs w:val="18"/>
                <w14:textFill>
                  <w14:solidFill>
                    <w14:schemeClr w14:val="tx1"/>
                  </w14:solidFill>
                </w14:textFill>
              </w:rPr>
            </w:pPr>
          </w:p>
        </w:tc>
        <w:tc>
          <w:tcPr>
            <w:tcW w:w="2026" w:type="dxa"/>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临街状况</w:t>
            </w:r>
          </w:p>
        </w:tc>
        <w:tc>
          <w:tcPr>
            <w:tcW w:w="6460" w:type="dxa"/>
            <w:vAlign w:val="center"/>
          </w:tcPr>
          <w:p>
            <w:pPr>
              <w:spacing w:line="240" w:lineRule="auto"/>
              <w:jc w:val="center"/>
              <w:rPr>
                <w:rFonts w:hint="eastAsia"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估价对象所在小区临</w:t>
            </w:r>
            <w:r>
              <w:rPr>
                <w:rFonts w:hint="eastAsia" w:ascii="宋体" w:hAnsi="宋体"/>
                <w:color w:val="000000" w:themeColor="text1"/>
                <w:sz w:val="18"/>
                <w:szCs w:val="18"/>
                <w:lang w:val="en-US" w:eastAsia="zh-CN"/>
                <w14:textFill>
                  <w14:solidFill>
                    <w14:schemeClr w14:val="tx1"/>
                  </w14:solidFill>
                </w14:textFill>
              </w:rPr>
              <w:t>宿迁街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1" w:type="dxa"/>
            <w:vMerge w:val="continue"/>
            <w:vAlign w:val="center"/>
          </w:tcPr>
          <w:p>
            <w:pPr>
              <w:spacing w:line="240" w:lineRule="auto"/>
              <w:jc w:val="center"/>
              <w:rPr>
                <w:rFonts w:ascii="宋体" w:hAnsi="宋体"/>
                <w:bCs/>
                <w:color w:val="000000" w:themeColor="text1"/>
                <w:sz w:val="18"/>
                <w:szCs w:val="18"/>
                <w14:textFill>
                  <w14:solidFill>
                    <w14:schemeClr w14:val="tx1"/>
                  </w14:solidFill>
                </w14:textFill>
              </w:rPr>
            </w:pPr>
          </w:p>
        </w:tc>
        <w:tc>
          <w:tcPr>
            <w:tcW w:w="2026" w:type="dxa"/>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楼幢</w:t>
            </w:r>
          </w:p>
        </w:tc>
        <w:tc>
          <w:tcPr>
            <w:tcW w:w="6460" w:type="dxa"/>
            <w:vAlign w:val="center"/>
          </w:tcPr>
          <w:p>
            <w:pPr>
              <w:spacing w:line="240" w:lineRule="auto"/>
              <w:jc w:val="center"/>
              <w:rPr>
                <w:rFonts w:hint="eastAsia" w:ascii="宋体" w:hAnsi="宋体" w:eastAsia="宋体"/>
                <w:color w:val="000000" w:themeColor="text1"/>
                <w:sz w:val="18"/>
                <w:szCs w:val="18"/>
                <w:lang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17幢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1" w:type="dxa"/>
            <w:vMerge w:val="continue"/>
            <w:vAlign w:val="center"/>
          </w:tcPr>
          <w:p>
            <w:pPr>
              <w:spacing w:line="240" w:lineRule="auto"/>
              <w:jc w:val="center"/>
              <w:rPr>
                <w:rFonts w:ascii="宋体" w:hAnsi="宋体"/>
                <w:bCs/>
                <w:color w:val="000000" w:themeColor="text1"/>
                <w:sz w:val="18"/>
                <w:szCs w:val="18"/>
                <w14:textFill>
                  <w14:solidFill>
                    <w14:schemeClr w14:val="tx1"/>
                  </w14:solidFill>
                </w14:textFill>
              </w:rPr>
            </w:pPr>
          </w:p>
        </w:tc>
        <w:tc>
          <w:tcPr>
            <w:tcW w:w="2026" w:type="dxa"/>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所在楼层</w:t>
            </w:r>
          </w:p>
        </w:tc>
        <w:tc>
          <w:tcPr>
            <w:tcW w:w="6460"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3</w:t>
            </w:r>
            <w:r>
              <w:rPr>
                <w:rFonts w:hint="eastAsia" w:ascii="宋体" w:hAnsi="宋体"/>
                <w:color w:val="000000" w:themeColor="text1"/>
                <w:sz w:val="18"/>
                <w:szCs w:val="18"/>
                <w14:textFill>
                  <w14:solidFill>
                    <w14:schemeClr w14:val="tx1"/>
                  </w14:solidFill>
                </w14:textFill>
              </w:rPr>
              <w:t>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1" w:type="dxa"/>
            <w:vMerge w:val="continue"/>
            <w:vAlign w:val="center"/>
          </w:tcPr>
          <w:p>
            <w:pPr>
              <w:spacing w:line="240" w:lineRule="auto"/>
              <w:jc w:val="center"/>
              <w:rPr>
                <w:rFonts w:ascii="宋体" w:hAnsi="宋体"/>
                <w:bCs/>
                <w:color w:val="000000" w:themeColor="text1"/>
                <w:sz w:val="18"/>
                <w:szCs w:val="18"/>
                <w14:textFill>
                  <w14:solidFill>
                    <w14:schemeClr w14:val="tx1"/>
                  </w14:solidFill>
                </w14:textFill>
              </w:rPr>
            </w:pPr>
          </w:p>
        </w:tc>
        <w:tc>
          <w:tcPr>
            <w:tcW w:w="2026" w:type="dxa"/>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朝向</w:t>
            </w:r>
          </w:p>
        </w:tc>
        <w:tc>
          <w:tcPr>
            <w:tcW w:w="6460" w:type="dxa"/>
            <w:vAlign w:val="center"/>
          </w:tcPr>
          <w:p>
            <w:pPr>
              <w:spacing w:line="240" w:lineRule="auto"/>
              <w:jc w:val="center"/>
              <w:rPr>
                <w:rFonts w:hint="eastAsia" w:ascii="宋体" w:hAnsi="宋体" w:eastAsia="宋体"/>
                <w:color w:val="000000" w:themeColor="text1"/>
                <w:sz w:val="18"/>
                <w:szCs w:val="18"/>
                <w:lang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1" w:type="dxa"/>
            <w:vMerge w:val="restart"/>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交通条件</w:t>
            </w:r>
          </w:p>
        </w:tc>
        <w:tc>
          <w:tcPr>
            <w:tcW w:w="2026" w:type="dxa"/>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道路等级及路网条件</w:t>
            </w:r>
          </w:p>
        </w:tc>
        <w:tc>
          <w:tcPr>
            <w:tcW w:w="6460"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区域内分布有玉妃路二段、成青路等主干道，路网密度较高，道路通达状况较好。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1" w:type="dxa"/>
            <w:vMerge w:val="continue"/>
            <w:vAlign w:val="center"/>
          </w:tcPr>
          <w:p>
            <w:pPr>
              <w:spacing w:line="240" w:lineRule="auto"/>
              <w:jc w:val="center"/>
              <w:rPr>
                <w:rFonts w:ascii="宋体" w:hAnsi="宋体"/>
                <w:bCs/>
                <w:color w:val="000000" w:themeColor="text1"/>
                <w:sz w:val="18"/>
                <w:szCs w:val="18"/>
                <w14:textFill>
                  <w14:solidFill>
                    <w14:schemeClr w14:val="tx1"/>
                  </w14:solidFill>
                </w14:textFill>
              </w:rPr>
            </w:pPr>
          </w:p>
        </w:tc>
        <w:tc>
          <w:tcPr>
            <w:tcW w:w="2026" w:type="dxa"/>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公共交通及对内、对外交通状况</w:t>
            </w:r>
          </w:p>
        </w:tc>
        <w:tc>
          <w:tcPr>
            <w:tcW w:w="6460" w:type="dxa"/>
            <w:vAlign w:val="center"/>
          </w:tcPr>
          <w:p>
            <w:pPr>
              <w:widowControl/>
              <w:shd w:val="clear" w:color="auto" w:fill="FFFFFF"/>
              <w:spacing w:line="240" w:lineRule="auto"/>
              <w:jc w:val="center"/>
              <w:rPr>
                <w:rFonts w:ascii="Arial" w:hAnsi="Arial" w:cs="Arial"/>
                <w:color w:val="4C4C4C"/>
                <w:kern w:val="0"/>
                <w:sz w:val="18"/>
                <w:szCs w:val="18"/>
              </w:rPr>
            </w:pPr>
            <w:r>
              <w:rPr>
                <w:rFonts w:hint="eastAsia" w:ascii="宋体" w:hAnsi="宋体"/>
                <w:color w:val="000000" w:themeColor="text1"/>
                <w:sz w:val="18"/>
                <w:szCs w:val="18"/>
                <w14:textFill>
                  <w14:solidFill>
                    <w14:schemeClr w14:val="tx1"/>
                  </w14:solidFill>
                </w14:textFill>
              </w:rPr>
              <w:t>距公交站约200M，附近仅有绵竹2路公交车通行等;距客运中心约2.6km，公共交通便捷度一般。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1" w:type="dxa"/>
            <w:vMerge w:val="continue"/>
            <w:vAlign w:val="center"/>
          </w:tcPr>
          <w:p>
            <w:pPr>
              <w:spacing w:line="240" w:lineRule="auto"/>
              <w:jc w:val="center"/>
              <w:rPr>
                <w:rFonts w:ascii="宋体" w:hAnsi="宋体"/>
                <w:bCs/>
                <w:color w:val="000000" w:themeColor="text1"/>
                <w:sz w:val="18"/>
                <w:szCs w:val="18"/>
                <w14:textFill>
                  <w14:solidFill>
                    <w14:schemeClr w14:val="tx1"/>
                  </w14:solidFill>
                </w14:textFill>
              </w:rPr>
            </w:pPr>
          </w:p>
        </w:tc>
        <w:tc>
          <w:tcPr>
            <w:tcW w:w="2026" w:type="dxa"/>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交通管制情况</w:t>
            </w:r>
          </w:p>
        </w:tc>
        <w:tc>
          <w:tcPr>
            <w:tcW w:w="6460"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1" w:type="dxa"/>
            <w:vMerge w:val="continue"/>
            <w:vAlign w:val="center"/>
          </w:tcPr>
          <w:p>
            <w:pPr>
              <w:spacing w:line="240" w:lineRule="auto"/>
              <w:jc w:val="center"/>
              <w:rPr>
                <w:rFonts w:ascii="宋体" w:hAnsi="宋体"/>
                <w:bCs/>
                <w:color w:val="000000" w:themeColor="text1"/>
                <w:sz w:val="18"/>
                <w:szCs w:val="18"/>
                <w14:textFill>
                  <w14:solidFill>
                    <w14:schemeClr w14:val="tx1"/>
                  </w14:solidFill>
                </w14:textFill>
              </w:rPr>
            </w:pPr>
          </w:p>
        </w:tc>
        <w:tc>
          <w:tcPr>
            <w:tcW w:w="2026" w:type="dxa"/>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停车方便程度</w:t>
            </w:r>
          </w:p>
        </w:tc>
        <w:tc>
          <w:tcPr>
            <w:tcW w:w="6460"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区域内设有地面</w:t>
            </w:r>
            <w:r>
              <w:rPr>
                <w:rFonts w:hint="eastAsia" w:ascii="宋体" w:hAnsi="宋体"/>
                <w:color w:val="000000" w:themeColor="text1"/>
                <w:sz w:val="18"/>
                <w:szCs w:val="18"/>
                <w:lang w:val="en-US" w:eastAsia="zh-CN"/>
                <w14:textFill>
                  <w14:solidFill>
                    <w14:schemeClr w14:val="tx1"/>
                  </w14:solidFill>
                </w14:textFill>
              </w:rPr>
              <w:t>临街</w:t>
            </w:r>
            <w:r>
              <w:rPr>
                <w:rFonts w:hint="eastAsia" w:ascii="宋体" w:hAnsi="宋体"/>
                <w:color w:val="000000" w:themeColor="text1"/>
                <w:sz w:val="18"/>
                <w:szCs w:val="18"/>
                <w14:textFill>
                  <w14:solidFill>
                    <w14:schemeClr w14:val="tx1"/>
                  </w14:solidFill>
                </w14:textFill>
              </w:rPr>
              <w:t>停车位，停车</w:t>
            </w:r>
            <w:r>
              <w:rPr>
                <w:rFonts w:hint="eastAsia" w:ascii="宋体" w:hAnsi="宋体"/>
                <w:color w:val="000000" w:themeColor="text1"/>
                <w:sz w:val="18"/>
                <w:szCs w:val="18"/>
                <w:lang w:val="en-US" w:eastAsia="zh-CN"/>
                <w14:textFill>
                  <w14:solidFill>
                    <w14:schemeClr w14:val="tx1"/>
                  </w14:solidFill>
                </w14:textFill>
              </w:rPr>
              <w:t>便利程度一般</w:t>
            </w:r>
            <w:r>
              <w:rPr>
                <w:rFonts w:hint="eastAsia" w:ascii="宋体" w:hAnsi="宋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537" w:type="dxa"/>
            <w:gridSpan w:val="2"/>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城市基础设施状况</w:t>
            </w:r>
          </w:p>
        </w:tc>
        <w:tc>
          <w:tcPr>
            <w:tcW w:w="6460"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所在区域内水、电、气、视、讯、路、宽带网等城市基础设施配套完善。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537" w:type="dxa"/>
            <w:gridSpan w:val="2"/>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公共服务设施</w:t>
            </w:r>
          </w:p>
        </w:tc>
        <w:tc>
          <w:tcPr>
            <w:tcW w:w="6460"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附近无银行营业网点，有邮政储蓄、工行、农行ATM；附近有万安广场购物和生活便利超市；有绵竹市江苏红十字天河小学、特殊教育中心、绵竹市侨爱道行中学；有绵竹市口腔医院、绵竹孙氏中医骨伤医院；公共服务设施完备程度一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537" w:type="dxa"/>
            <w:gridSpan w:val="2"/>
            <w:vMerge w:val="restart"/>
            <w:vAlign w:val="center"/>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周围环境和景观</w:t>
            </w:r>
          </w:p>
        </w:tc>
        <w:tc>
          <w:tcPr>
            <w:tcW w:w="6460" w:type="dxa"/>
            <w:vAlign w:val="center"/>
          </w:tcPr>
          <w:p>
            <w:pPr>
              <w:spacing w:line="240" w:lineRule="auto"/>
              <w:jc w:val="cente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自然环境：周边主要为</w:t>
            </w:r>
            <w:r>
              <w:rPr>
                <w:rFonts w:hint="eastAsia" w:ascii="宋体" w:hAnsi="宋体"/>
                <w:color w:val="000000" w:themeColor="text1"/>
                <w:sz w:val="18"/>
                <w:szCs w:val="18"/>
                <w:lang w:val="en-US" w:eastAsia="zh-CN"/>
                <w14:textFill>
                  <w14:solidFill>
                    <w14:schemeClr w14:val="tx1"/>
                  </w14:solidFill>
                </w14:textFill>
              </w:rPr>
              <w:t>居住区</w:t>
            </w:r>
            <w:r>
              <w:rPr>
                <w:rFonts w:hint="eastAsia" w:ascii="宋体" w:hAnsi="宋体"/>
                <w:color w:val="000000" w:themeColor="text1"/>
                <w:sz w:val="18"/>
                <w:szCs w:val="18"/>
                <w14:textFill>
                  <w14:solidFill>
                    <w14:schemeClr w14:val="tx1"/>
                  </w14:solidFill>
                </w14:textFill>
              </w:rPr>
              <w:t>，空气质量状况较好。</w:t>
            </w:r>
            <w:r>
              <w:rPr>
                <w:rFonts w:hint="eastAsia" w:ascii="宋体" w:hAnsi="宋体"/>
                <w:color w:val="000000" w:themeColor="text1"/>
                <w:sz w:val="18"/>
                <w:szCs w:val="18"/>
                <w:lang w:val="en-US" w:eastAsia="zh-CN"/>
                <w14:textFill>
                  <w14:solidFill>
                    <w14:schemeClr w14:val="tx1"/>
                  </w14:solidFill>
                </w14:textFill>
              </w:rPr>
              <w:t>小区东侧有一条铁路线，存在一定噪音污染。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537" w:type="dxa"/>
            <w:gridSpan w:val="2"/>
            <w:vMerge w:val="continue"/>
            <w:vAlign w:val="center"/>
          </w:tcPr>
          <w:p>
            <w:pPr>
              <w:spacing w:line="240" w:lineRule="auto"/>
              <w:jc w:val="center"/>
              <w:rPr>
                <w:rFonts w:ascii="宋体" w:hAnsi="宋体"/>
                <w:bCs/>
                <w:color w:val="000000" w:themeColor="text1"/>
                <w:sz w:val="18"/>
                <w:szCs w:val="18"/>
                <w14:textFill>
                  <w14:solidFill>
                    <w14:schemeClr w14:val="tx1"/>
                  </w14:solidFill>
                </w14:textFill>
              </w:rPr>
            </w:pPr>
          </w:p>
        </w:tc>
        <w:tc>
          <w:tcPr>
            <w:tcW w:w="6460"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人文环境：周边主要为</w:t>
            </w:r>
            <w:r>
              <w:rPr>
                <w:rFonts w:hint="eastAsia" w:ascii="宋体" w:hAnsi="宋体"/>
                <w:color w:val="000000" w:themeColor="text1"/>
                <w:sz w:val="18"/>
                <w:szCs w:val="18"/>
                <w:lang w:val="en-US" w:eastAsia="zh-CN"/>
                <w14:textFill>
                  <w14:solidFill>
                    <w14:schemeClr w14:val="tx1"/>
                  </w14:solidFill>
                </w14:textFill>
              </w:rPr>
              <w:t>居住</w:t>
            </w:r>
            <w:r>
              <w:rPr>
                <w:rFonts w:hint="eastAsia" w:ascii="宋体" w:hAnsi="宋体"/>
                <w:color w:val="000000" w:themeColor="text1"/>
                <w:sz w:val="18"/>
                <w:szCs w:val="18"/>
                <w14:textFill>
                  <w14:solidFill>
                    <w14:schemeClr w14:val="tx1"/>
                  </w14:solidFill>
                </w14:textFill>
              </w:rPr>
              <w:t>区，所在区域人口密度较高，人口年龄段分布较均衡，人均收入</w:t>
            </w:r>
            <w:r>
              <w:rPr>
                <w:rFonts w:hint="eastAsia" w:ascii="宋体" w:hAnsi="宋体"/>
                <w:color w:val="000000" w:themeColor="text1"/>
                <w:sz w:val="18"/>
                <w:szCs w:val="18"/>
                <w:lang w:val="en-US" w:eastAsia="zh-CN"/>
                <w14:textFill>
                  <w14:solidFill>
                    <w14:schemeClr w14:val="tx1"/>
                  </w14:solidFill>
                </w14:textFill>
              </w:rPr>
              <w:t>一般</w:t>
            </w:r>
            <w:r>
              <w:rPr>
                <w:rFonts w:hint="eastAsia" w:ascii="宋体" w:hAnsi="宋体"/>
                <w:color w:val="000000" w:themeColor="text1"/>
                <w:sz w:val="18"/>
                <w:szCs w:val="18"/>
                <w14:textFill>
                  <w14:solidFill>
                    <w14:schemeClr w14:val="tx1"/>
                  </w14:solidFill>
                </w14:textFill>
              </w:rPr>
              <w:t>，治安状况</w:t>
            </w:r>
            <w:r>
              <w:rPr>
                <w:rFonts w:hint="eastAsia" w:ascii="宋体" w:hAnsi="宋体"/>
                <w:color w:val="000000" w:themeColor="text1"/>
                <w:sz w:val="18"/>
                <w:szCs w:val="18"/>
                <w:lang w:val="en-US" w:eastAsia="zh-CN"/>
                <w14:textFill>
                  <w14:solidFill>
                    <w14:schemeClr w14:val="tx1"/>
                  </w14:solidFill>
                </w14:textFill>
              </w:rPr>
              <w:t>较好</w:t>
            </w:r>
            <w:r>
              <w:rPr>
                <w:rFonts w:hint="eastAsia" w:ascii="宋体" w:hAnsi="宋体"/>
                <w:color w:val="000000" w:themeColor="text1"/>
                <w:sz w:val="18"/>
                <w:szCs w:val="18"/>
                <w14:textFill>
                  <w14:solidFill>
                    <w14:schemeClr w14:val="tx1"/>
                  </w14:solidFill>
                </w14:textFill>
              </w:rPr>
              <w:t>,人文环境</w:t>
            </w:r>
            <w:r>
              <w:rPr>
                <w:rFonts w:hint="eastAsia" w:ascii="宋体" w:hAnsi="宋体"/>
                <w:color w:val="000000" w:themeColor="text1"/>
                <w:sz w:val="18"/>
                <w:szCs w:val="18"/>
                <w:lang w:val="en-US" w:eastAsia="zh-CN"/>
                <w14:textFill>
                  <w14:solidFill>
                    <w14:schemeClr w14:val="tx1"/>
                  </w14:solidFill>
                </w14:textFill>
              </w:rPr>
              <w:t>一般</w:t>
            </w:r>
            <w:r>
              <w:rPr>
                <w:rFonts w:hint="eastAsia" w:ascii="宋体" w:hAnsi="宋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537" w:type="dxa"/>
            <w:gridSpan w:val="2"/>
            <w:vMerge w:val="continue"/>
            <w:vAlign w:val="center"/>
          </w:tcPr>
          <w:p>
            <w:pPr>
              <w:spacing w:line="240" w:lineRule="auto"/>
              <w:jc w:val="center"/>
              <w:rPr>
                <w:rFonts w:ascii="宋体" w:hAnsi="宋体"/>
                <w:bCs/>
                <w:color w:val="000000" w:themeColor="text1"/>
                <w:sz w:val="18"/>
                <w:szCs w:val="18"/>
                <w14:textFill>
                  <w14:solidFill>
                    <w14:schemeClr w14:val="tx1"/>
                  </w14:solidFill>
                </w14:textFill>
              </w:rPr>
            </w:pPr>
          </w:p>
        </w:tc>
        <w:tc>
          <w:tcPr>
            <w:tcW w:w="6460"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景观：</w:t>
            </w:r>
            <w:r>
              <w:rPr>
                <w:rFonts w:hint="eastAsia" w:ascii="宋体" w:hAnsi="宋体"/>
                <w:color w:val="000000" w:themeColor="text1"/>
                <w:sz w:val="18"/>
                <w:szCs w:val="18"/>
                <w:lang w:val="en-US" w:eastAsia="zh-CN"/>
                <w14:textFill>
                  <w14:solidFill>
                    <w14:schemeClr w14:val="tx1"/>
                  </w14:solidFill>
                </w14:textFill>
              </w:rPr>
              <w:t>区域内有祥符寺、绵竹中心广场</w:t>
            </w:r>
            <w:r>
              <w:rPr>
                <w:rFonts w:hint="eastAsia" w:ascii="宋体" w:hAnsi="宋体"/>
                <w:color w:val="000000" w:themeColor="text1"/>
                <w:sz w:val="18"/>
                <w:szCs w:val="18"/>
                <w14:textFill>
                  <w14:solidFill>
                    <w14:schemeClr w14:val="tx1"/>
                  </w14:solidFill>
                </w14:textFill>
              </w:rPr>
              <w:t>，主要以街头绿化为主。</w:t>
            </w:r>
          </w:p>
        </w:tc>
      </w:tr>
      <w:bookmarkEnd w:id="99"/>
      <w:bookmarkEnd w:id="100"/>
    </w:tbl>
    <w:p>
      <w:pPr>
        <w:spacing w:line="500" w:lineRule="exact"/>
        <w:ind w:firstLine="480" w:firstLineChars="200"/>
        <w:outlineLvl w:val="1"/>
        <w:rPr>
          <w:rFonts w:ascii="宋体" w:hAnsi="宋体" w:cs="宋体"/>
          <w:b/>
          <w:color w:val="000000" w:themeColor="text1"/>
          <w:sz w:val="24"/>
          <w:szCs w:val="24"/>
          <w14:textFill>
            <w14:solidFill>
              <w14:schemeClr w14:val="tx1"/>
            </w14:solidFill>
          </w14:textFill>
        </w:rPr>
      </w:pPr>
      <w:bookmarkStart w:id="102" w:name="_Toc3900554"/>
      <w:r>
        <w:rPr>
          <w:rFonts w:hint="eastAsia" w:ascii="宋体" w:hAnsi="宋体" w:cs="宋体"/>
          <w:b/>
          <w:color w:val="000000" w:themeColor="text1"/>
          <w:sz w:val="24"/>
          <w:szCs w:val="24"/>
          <w14:textFill>
            <w14:solidFill>
              <w14:schemeClr w14:val="tx1"/>
            </w14:solidFill>
          </w14:textFill>
        </w:rPr>
        <w:t>（五）价值时点</w:t>
      </w:r>
      <w:bookmarkEnd w:id="101"/>
      <w:bookmarkEnd w:id="102"/>
    </w:p>
    <w:p>
      <w:pPr>
        <w:pStyle w:val="18"/>
        <w:spacing w:line="360" w:lineRule="auto"/>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价值时点：</w:t>
      </w:r>
      <w:r>
        <w:rPr>
          <w:rFonts w:hint="eastAsia"/>
          <w:b w:val="0"/>
          <w:bCs w:val="0"/>
          <w:color w:val="000000" w:themeColor="text1"/>
          <w:sz w:val="24"/>
          <w:szCs w:val="24"/>
          <w:lang w:eastAsia="zh-CN"/>
          <w14:textFill>
            <w14:solidFill>
              <w14:schemeClr w14:val="tx1"/>
            </w14:solidFill>
          </w14:textFill>
        </w:rPr>
        <w:t>2021年4月1日</w:t>
      </w:r>
      <w:r>
        <w:rPr>
          <w:rFonts w:hint="eastAsia"/>
          <w:b w:val="0"/>
          <w:bCs w:val="0"/>
          <w:color w:val="000000" w:themeColor="text1"/>
          <w:sz w:val="24"/>
          <w:szCs w:val="24"/>
          <w14:textFill>
            <w14:solidFill>
              <w14:schemeClr w14:val="tx1"/>
            </w14:solidFill>
          </w14:textFill>
        </w:rPr>
        <w:t>。</w:t>
      </w:r>
    </w:p>
    <w:p>
      <w:pPr>
        <w:pStyle w:val="18"/>
        <w:spacing w:line="360" w:lineRule="auto"/>
        <w:ind w:firstLine="480" w:firstLineChars="200"/>
        <w:rPr>
          <w:b w:val="0"/>
          <w:bCs w:val="0"/>
          <w:color w:val="000000" w:themeColor="text1"/>
          <w:sz w:val="24"/>
          <w:szCs w:val="24"/>
          <w14:textFill>
            <w14:solidFill>
              <w14:schemeClr w14:val="tx1"/>
            </w14:solidFill>
          </w14:textFill>
        </w:rPr>
      </w:pPr>
      <w:r>
        <w:rPr>
          <w:rFonts w:hint="eastAsia" w:ascii="宋体" w:hAnsi="宋体"/>
          <w:b w:val="0"/>
          <w:color w:val="000000" w:themeColor="text1"/>
          <w:sz w:val="24"/>
          <w:szCs w:val="24"/>
          <w14:textFill>
            <w14:solidFill>
              <w14:schemeClr w14:val="tx1"/>
            </w14:solidFill>
          </w14:textFill>
        </w:rPr>
        <w:t>本次估价，价值时点</w:t>
      </w:r>
      <w:r>
        <w:rPr>
          <w:rFonts w:hint="eastAsia" w:ascii="宋体" w:hAnsi="宋体"/>
          <w:b w:val="0"/>
          <w:color w:val="000000" w:themeColor="text1"/>
          <w:sz w:val="24"/>
          <w:szCs w:val="24"/>
          <w:lang w:val="en-US" w:eastAsia="zh-CN"/>
          <w14:textFill>
            <w14:solidFill>
              <w14:schemeClr w14:val="tx1"/>
            </w14:solidFill>
          </w14:textFill>
        </w:rPr>
        <w:t>采用</w:t>
      </w:r>
      <w:r>
        <w:rPr>
          <w:rFonts w:hint="eastAsia" w:ascii="宋体" w:hAnsi="宋体"/>
          <w:b w:val="0"/>
          <w:color w:val="000000" w:themeColor="text1"/>
          <w:sz w:val="24"/>
          <w:szCs w:val="24"/>
          <w14:textFill>
            <w14:solidFill>
              <w14:schemeClr w14:val="tx1"/>
            </w14:solidFill>
          </w14:textFill>
        </w:rPr>
        <w:t>注册房地产估价师现场查勘日，</w:t>
      </w:r>
      <w:r>
        <w:rPr>
          <w:rFonts w:hint="eastAsia" w:ascii="宋体" w:hAnsi="宋体"/>
          <w:b w:val="0"/>
          <w:color w:val="000000" w:themeColor="text1"/>
          <w:sz w:val="24"/>
          <w:szCs w:val="24"/>
          <w:lang w:val="en-US" w:eastAsia="zh-CN"/>
          <w14:textFill>
            <w14:solidFill>
              <w14:schemeClr w14:val="tx1"/>
            </w14:solidFill>
          </w14:textFill>
        </w:rPr>
        <w:t>该日期</w:t>
      </w:r>
      <w:r>
        <w:rPr>
          <w:rFonts w:hint="eastAsia" w:ascii="宋体" w:hAnsi="宋体"/>
          <w:b w:val="0"/>
          <w:color w:val="000000" w:themeColor="text1"/>
          <w:sz w:val="24"/>
          <w:szCs w:val="24"/>
          <w14:textFill>
            <w14:solidFill>
              <w14:schemeClr w14:val="tx1"/>
            </w14:solidFill>
          </w14:textFill>
        </w:rPr>
        <w:t>能使估价结果有效地服务于估价目的。</w:t>
      </w:r>
    </w:p>
    <w:p>
      <w:pPr>
        <w:spacing w:line="500" w:lineRule="exact"/>
        <w:ind w:firstLine="480" w:firstLineChars="200"/>
        <w:outlineLvl w:val="1"/>
        <w:rPr>
          <w:rFonts w:ascii="宋体" w:hAnsi="宋体" w:cs="宋体"/>
          <w:b/>
          <w:color w:val="000000" w:themeColor="text1"/>
          <w:sz w:val="24"/>
          <w:szCs w:val="24"/>
          <w14:textFill>
            <w14:solidFill>
              <w14:schemeClr w14:val="tx1"/>
            </w14:solidFill>
          </w14:textFill>
        </w:rPr>
      </w:pPr>
      <w:bookmarkStart w:id="103" w:name="_Toc3900555"/>
      <w:r>
        <w:rPr>
          <w:rFonts w:hint="eastAsia" w:ascii="宋体" w:hAnsi="宋体" w:cs="宋体"/>
          <w:b/>
          <w:color w:val="000000" w:themeColor="text1"/>
          <w:sz w:val="24"/>
          <w:szCs w:val="24"/>
          <w14:textFill>
            <w14:solidFill>
              <w14:schemeClr w14:val="tx1"/>
            </w14:solidFill>
          </w14:textFill>
        </w:rPr>
        <w:t>（六）价值类型</w:t>
      </w:r>
      <w:bookmarkEnd w:id="103"/>
    </w:p>
    <w:p>
      <w:pPr>
        <w:pStyle w:val="18"/>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价值类型：市场价值</w:t>
      </w:r>
    </w:p>
    <w:p>
      <w:pPr>
        <w:pStyle w:val="18"/>
        <w:spacing w:line="360" w:lineRule="auto"/>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价值内涵：估价对象经适当营销后，由熟悉情况、谨慎行事且不受强迫的交易双方，以公平交易方式在价值时点自愿进行交易的金额。</w:t>
      </w:r>
    </w:p>
    <w:p>
      <w:pPr>
        <w:pStyle w:val="18"/>
        <w:spacing w:line="360" w:lineRule="auto"/>
        <w:ind w:firstLine="480" w:firstLineChars="200"/>
        <w:rPr>
          <w:b w:val="0"/>
          <w:bCs w:val="0"/>
          <w:sz w:val="24"/>
          <w:szCs w:val="24"/>
        </w:rPr>
      </w:pPr>
      <w:r>
        <w:rPr>
          <w:b w:val="0"/>
          <w:bCs w:val="0"/>
          <w:sz w:val="24"/>
          <w:szCs w:val="24"/>
        </w:rPr>
        <w:t>1</w:t>
      </w:r>
      <w:r>
        <w:rPr>
          <w:rFonts w:hint="eastAsia"/>
          <w:b w:val="0"/>
          <w:bCs w:val="0"/>
          <w:sz w:val="24"/>
          <w:szCs w:val="24"/>
        </w:rPr>
        <w:t>、用途：法定用途；</w:t>
      </w:r>
    </w:p>
    <w:p>
      <w:pPr>
        <w:pStyle w:val="18"/>
        <w:spacing w:line="360" w:lineRule="auto"/>
        <w:ind w:firstLine="480" w:firstLineChars="200"/>
        <w:rPr>
          <w:rFonts w:hint="eastAsia"/>
          <w:b w:val="0"/>
          <w:bCs w:val="0"/>
          <w:sz w:val="24"/>
          <w:szCs w:val="24"/>
        </w:rPr>
      </w:pPr>
      <w:r>
        <w:rPr>
          <w:b w:val="0"/>
          <w:bCs w:val="0"/>
          <w:sz w:val="24"/>
          <w:szCs w:val="24"/>
        </w:rPr>
        <w:t>2</w:t>
      </w:r>
      <w:r>
        <w:rPr>
          <w:rFonts w:hint="eastAsia"/>
          <w:b w:val="0"/>
          <w:bCs w:val="0"/>
          <w:sz w:val="24"/>
          <w:szCs w:val="24"/>
        </w:rPr>
        <w:t>、本次估价范围包括估价对象实物、权益及其</w:t>
      </w:r>
      <w:r>
        <w:rPr>
          <w:rFonts w:hint="eastAsia"/>
          <w:b w:val="0"/>
          <w:bCs w:val="0"/>
          <w:sz w:val="24"/>
          <w:szCs w:val="24"/>
          <w:lang w:val="en-US" w:eastAsia="zh-CN"/>
        </w:rPr>
        <w:t>分摊</w:t>
      </w:r>
      <w:r>
        <w:rPr>
          <w:rFonts w:hint="eastAsia"/>
          <w:b w:val="0"/>
          <w:bCs w:val="0"/>
          <w:sz w:val="24"/>
          <w:szCs w:val="24"/>
        </w:rPr>
        <w:t>土地使用权，含室内</w:t>
      </w:r>
      <w:r>
        <w:rPr>
          <w:rFonts w:hint="eastAsia"/>
          <w:b w:val="0"/>
          <w:bCs w:val="0"/>
          <w:sz w:val="24"/>
          <w:szCs w:val="24"/>
          <w:lang w:val="en-US" w:eastAsia="zh-CN"/>
        </w:rPr>
        <w:t>家具家电、</w:t>
      </w:r>
      <w:r>
        <w:rPr>
          <w:rFonts w:hint="eastAsia"/>
          <w:b w:val="0"/>
          <w:bCs w:val="0"/>
          <w:sz w:val="24"/>
          <w:szCs w:val="24"/>
        </w:rPr>
        <w:t>不可移动装饰装修；</w:t>
      </w:r>
    </w:p>
    <w:p>
      <w:pPr>
        <w:pStyle w:val="18"/>
        <w:spacing w:line="360" w:lineRule="auto"/>
        <w:ind w:firstLine="480" w:firstLineChars="200"/>
        <w:rPr>
          <w:rFonts w:hint="eastAsia" w:eastAsia="宋体"/>
          <w:b w:val="0"/>
          <w:bCs w:val="0"/>
          <w:lang w:val="en-US" w:eastAsia="zh-CN"/>
        </w:rPr>
      </w:pPr>
      <w:r>
        <w:rPr>
          <w:rFonts w:hint="eastAsia"/>
          <w:b w:val="0"/>
          <w:bCs w:val="0"/>
          <w:sz w:val="24"/>
          <w:szCs w:val="24"/>
          <w:lang w:val="en-US" w:eastAsia="zh-CN"/>
        </w:rPr>
        <w:t>3、本次</w:t>
      </w:r>
      <w:r>
        <w:rPr>
          <w:rFonts w:hint="eastAsia" w:ascii="宋体" w:hAnsi="宋体" w:cs="宋体"/>
          <w:b w:val="0"/>
          <w:bCs w:val="0"/>
          <w:color w:val="000000" w:themeColor="text1"/>
          <w:kern w:val="0"/>
          <w:sz w:val="24"/>
          <w:szCs w:val="24"/>
          <w:lang w:val="en-US" w:eastAsia="zh-CN"/>
          <w14:textFill>
            <w14:solidFill>
              <w14:schemeClr w14:val="tx1"/>
            </w14:solidFill>
          </w14:textFill>
        </w:rPr>
        <w:t>估价对象房地产评估价值为划拨土地条件下的价格，家具家电评估价值为包含拆除、搬运的价值。</w:t>
      </w:r>
    </w:p>
    <w:p>
      <w:pPr>
        <w:pStyle w:val="18"/>
        <w:spacing w:line="360" w:lineRule="auto"/>
        <w:ind w:firstLine="480" w:firstLineChars="200"/>
        <w:rPr>
          <w:rFonts w:hint="eastAsia"/>
          <w:b w:val="0"/>
          <w:bCs w:val="0"/>
          <w:sz w:val="24"/>
          <w:szCs w:val="24"/>
        </w:rPr>
      </w:pPr>
      <w:r>
        <w:rPr>
          <w:rFonts w:hint="eastAsia"/>
          <w:b w:val="0"/>
          <w:bCs w:val="0"/>
          <w:sz w:val="24"/>
          <w:szCs w:val="24"/>
          <w:lang w:val="en-US" w:eastAsia="zh-CN"/>
        </w:rPr>
        <w:t>4</w:t>
      </w:r>
      <w:r>
        <w:rPr>
          <w:rFonts w:hint="eastAsia"/>
          <w:b w:val="0"/>
          <w:bCs w:val="0"/>
          <w:sz w:val="24"/>
          <w:szCs w:val="24"/>
        </w:rPr>
        <w:t>、本报告确定的价格为交易双方按相关法规的规定负担各自应负担税费下的价格；</w:t>
      </w:r>
    </w:p>
    <w:p>
      <w:pPr>
        <w:pStyle w:val="18"/>
        <w:spacing w:line="360" w:lineRule="auto"/>
        <w:ind w:firstLine="480" w:firstLineChars="200"/>
        <w:rPr>
          <w:rFonts w:hint="default"/>
          <w:b w:val="0"/>
          <w:bCs w:val="0"/>
          <w:sz w:val="24"/>
          <w:szCs w:val="24"/>
          <w:lang w:val="en-US" w:eastAsia="zh-CN"/>
        </w:rPr>
      </w:pPr>
      <w:r>
        <w:rPr>
          <w:rFonts w:hint="eastAsia"/>
          <w:b w:val="0"/>
          <w:bCs w:val="0"/>
          <w:sz w:val="24"/>
          <w:szCs w:val="24"/>
          <w:lang w:val="en-US" w:eastAsia="zh-CN"/>
        </w:rPr>
        <w:t>5、本报告确定的价格不包括房屋处置过程中产生的处置费用；</w:t>
      </w:r>
    </w:p>
    <w:p>
      <w:pPr>
        <w:pStyle w:val="18"/>
        <w:spacing w:line="360" w:lineRule="auto"/>
        <w:ind w:firstLine="480" w:firstLineChars="200"/>
        <w:rPr>
          <w:b w:val="0"/>
          <w:bCs w:val="0"/>
          <w:sz w:val="24"/>
          <w:szCs w:val="24"/>
        </w:rPr>
      </w:pPr>
      <w:r>
        <w:rPr>
          <w:rFonts w:hint="eastAsia"/>
          <w:b w:val="0"/>
          <w:bCs w:val="0"/>
          <w:sz w:val="24"/>
          <w:szCs w:val="24"/>
          <w:lang w:val="en-US" w:eastAsia="zh-CN"/>
        </w:rPr>
        <w:t>6</w:t>
      </w:r>
      <w:r>
        <w:rPr>
          <w:rFonts w:hint="eastAsia"/>
          <w:b w:val="0"/>
          <w:bCs w:val="0"/>
          <w:sz w:val="24"/>
          <w:szCs w:val="24"/>
        </w:rPr>
        <w:t>、币种为人民币。</w:t>
      </w:r>
    </w:p>
    <w:p>
      <w:pPr>
        <w:spacing w:line="500" w:lineRule="exact"/>
        <w:ind w:firstLine="480" w:firstLineChars="200"/>
        <w:outlineLvl w:val="1"/>
        <w:rPr>
          <w:rFonts w:ascii="宋体" w:hAnsi="宋体" w:cs="宋体"/>
          <w:b/>
          <w:color w:val="000000" w:themeColor="text1"/>
          <w:sz w:val="24"/>
          <w:szCs w:val="24"/>
          <w14:textFill>
            <w14:solidFill>
              <w14:schemeClr w14:val="tx1"/>
            </w14:solidFill>
          </w14:textFill>
        </w:rPr>
      </w:pPr>
      <w:bookmarkStart w:id="104" w:name="_Toc3900556"/>
      <w:r>
        <w:rPr>
          <w:rFonts w:hint="eastAsia" w:ascii="宋体" w:hAnsi="宋体" w:cs="宋体"/>
          <w:b/>
          <w:color w:val="000000" w:themeColor="text1"/>
          <w:sz w:val="24"/>
          <w:szCs w:val="24"/>
          <w14:textFill>
            <w14:solidFill>
              <w14:schemeClr w14:val="tx1"/>
            </w14:solidFill>
          </w14:textFill>
        </w:rPr>
        <w:t>（七）估价原则</w:t>
      </w:r>
      <w:bookmarkEnd w:id="104"/>
    </w:p>
    <w:p>
      <w:pPr>
        <w:pStyle w:val="18"/>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1、独立、客观、公正原则</w:t>
      </w:r>
    </w:p>
    <w:p>
      <w:pPr>
        <w:pStyle w:val="18"/>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独立、客观、公正原则要求站在中立的立场上，实事求是、公平正直地评估出对各方估价利害关系人均是公平合理的价值或价格的原则。</w:t>
      </w:r>
    </w:p>
    <w:p>
      <w:pPr>
        <w:pStyle w:val="18"/>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所谓“独立”，就是要求注册房地产估价师和房地产估价机构与估价委托人及估价利害关系人没有利害关系，在估价中不受包括估价委托人在内的任何单位和个人的影响，应凭自己的专业知识、实践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种的任何一方，应坚持原则、公平正直地进行估价。</w:t>
      </w:r>
    </w:p>
    <w:p>
      <w:pPr>
        <w:pStyle w:val="18"/>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2、合法原则</w:t>
      </w:r>
    </w:p>
    <w:p>
      <w:pPr>
        <w:pStyle w:val="18"/>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合法原则要求估价结果是在依法判定的估价对象状况下的价值或价格的原则。</w:t>
      </w:r>
    </w:p>
    <w:p>
      <w:pPr>
        <w:pStyle w:val="18"/>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合法权益包括合法产权、合法使用、合法处分等方面。在合法产权方面，应以房地产权属证书和有关证件为依据；在合法使用方面，应以城市规划、土地用途管制等为依据；在合法处分方面，应以法律、行政法规或合同（如土地使用权出让合同）等允许的处分方式为依据；在其他方面，如评估出的价格必须符合国家的价格政策。</w:t>
      </w:r>
    </w:p>
    <w:p>
      <w:pPr>
        <w:numPr>
          <w:ilvl w:val="0"/>
          <w:numId w:val="2"/>
        </w:num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价值时点原则</w:t>
      </w:r>
    </w:p>
    <w:p>
      <w:pPr>
        <w:pStyle w:val="18"/>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价值时点原则要求估价结果是在根据估价目的确定的某一特定时间的价值或价格的原则。</w:t>
      </w:r>
    </w:p>
    <w:p>
      <w:pPr>
        <w:pStyle w:val="18"/>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估价通常仅是求取估价对象在某个特定时间上的价格，而且这个特定时间不是注册房地产估价师可以随意假定的，必须依据估价目的来确定，这个特定时间就是价值时点。</w:t>
      </w:r>
    </w:p>
    <w:p>
      <w:pPr>
        <w:pStyle w:val="18"/>
        <w:numPr>
          <w:ilvl w:val="0"/>
          <w:numId w:val="2"/>
        </w:numPr>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替代原则</w:t>
      </w:r>
    </w:p>
    <w:p>
      <w:pPr>
        <w:pStyle w:val="18"/>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替代原则要求估价结果与估价对象的类似房地产在同等条件下的价值或价格偏差在合理范围内的原则。</w:t>
      </w:r>
    </w:p>
    <w:p>
      <w:pPr>
        <w:pStyle w:val="18"/>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类似房地产是指与估价对象房地产的区位，用途、权利性质、规模、档次、建筑结构、新旧程度等相同或相近的房地产。</w:t>
      </w:r>
    </w:p>
    <w:p>
      <w:pPr>
        <w:pStyle w:val="18"/>
        <w:numPr>
          <w:ilvl w:val="0"/>
          <w:numId w:val="2"/>
        </w:numPr>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最高最佳利用原则</w:t>
      </w:r>
    </w:p>
    <w:p>
      <w:pPr>
        <w:pStyle w:val="18"/>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最高最佳利用原则要求估价结果是在估价对象最高最佳利用状况下的价值或价格的原则。</w:t>
      </w:r>
    </w:p>
    <w:p>
      <w:pPr>
        <w:pStyle w:val="18"/>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最高最佳利用是指房地产在法律上允许、技术上可能、财务上可行并使价值最大的合理、可能的利用。包括最佳的用途、规模、档次等。</w:t>
      </w:r>
    </w:p>
    <w:p>
      <w:pPr>
        <w:pStyle w:val="18"/>
        <w:numPr>
          <w:ilvl w:val="0"/>
          <w:numId w:val="2"/>
        </w:numPr>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谨慎原则</w:t>
      </w:r>
    </w:p>
    <w:p>
      <w:pPr>
        <w:pStyle w:val="18"/>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谨慎原则要求在影响估价对象价值或价格的因素存在不确定性的情况下对其做出判断时，应充分考虑其导致估价对象价值或价格偏低的一面，慎重考虑其导致估价对象价值或价格偏高的一面的原则。</w:t>
      </w:r>
    </w:p>
    <w:p>
      <w:pPr>
        <w:pStyle w:val="18"/>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房地产估价师在存在不确定因素的情况下作出判断时，应当保持必要的谨慎，充分估计到房地产处置时可能受到的限制、未来可能发生的风险和损失。对于收益性房地产，不高估经营收入，不低估运营费用；对于非经营性房地产，不高估市场价值。</w:t>
      </w:r>
    </w:p>
    <w:p>
      <w:pPr>
        <w:spacing w:line="500" w:lineRule="exact"/>
        <w:ind w:firstLine="480" w:firstLineChars="200"/>
        <w:outlineLvl w:val="1"/>
        <w:rPr>
          <w:rFonts w:ascii="宋体" w:hAnsi="宋体" w:cs="宋体"/>
          <w:b/>
          <w:color w:val="000000" w:themeColor="text1"/>
          <w:sz w:val="24"/>
          <w:szCs w:val="24"/>
          <w14:textFill>
            <w14:solidFill>
              <w14:schemeClr w14:val="tx1"/>
            </w14:solidFill>
          </w14:textFill>
        </w:rPr>
      </w:pPr>
      <w:bookmarkStart w:id="105" w:name="_Toc3900557"/>
      <w:r>
        <w:rPr>
          <w:rFonts w:hint="eastAsia" w:ascii="宋体" w:hAnsi="宋体" w:cs="宋体"/>
          <w:b/>
          <w:color w:val="000000" w:themeColor="text1"/>
          <w:sz w:val="24"/>
          <w:szCs w:val="24"/>
          <w14:textFill>
            <w14:solidFill>
              <w14:schemeClr w14:val="tx1"/>
            </w14:solidFill>
          </w14:textFill>
        </w:rPr>
        <w:t>（八）估价依据</w:t>
      </w:r>
      <w:bookmarkEnd w:id="105"/>
    </w:p>
    <w:p>
      <w:pPr>
        <w:pStyle w:val="18"/>
        <w:spacing w:line="500" w:lineRule="exact"/>
        <w:ind w:firstLine="480" w:firstLineChars="200"/>
        <w:rPr>
          <w:b w:val="0"/>
          <w:bCs w:val="0"/>
          <w:color w:val="000000" w:themeColor="text1"/>
          <w:sz w:val="24"/>
          <w:szCs w:val="24"/>
          <w14:textFill>
            <w14:solidFill>
              <w14:schemeClr w14:val="tx1"/>
            </w14:solidFill>
          </w14:textFill>
        </w:rPr>
      </w:pPr>
      <w:r>
        <w:rPr>
          <w:b w:val="0"/>
          <w:bCs w:val="0"/>
          <w:color w:val="000000" w:themeColor="text1"/>
          <w:sz w:val="24"/>
          <w:szCs w:val="24"/>
          <w14:textFill>
            <w14:solidFill>
              <w14:schemeClr w14:val="tx1"/>
            </w14:solidFill>
          </w14:textFill>
        </w:rPr>
        <w:t>1</w:t>
      </w:r>
      <w:r>
        <w:rPr>
          <w:rFonts w:hint="eastAsia"/>
          <w:b w:val="0"/>
          <w:bCs w:val="0"/>
          <w:color w:val="000000" w:themeColor="text1"/>
          <w:sz w:val="24"/>
          <w:szCs w:val="24"/>
          <w14:textFill>
            <w14:solidFill>
              <w14:schemeClr w14:val="tx1"/>
            </w14:solidFill>
          </w14:textFill>
        </w:rPr>
        <w:t>、国家及地方相关法律、法规、文件</w:t>
      </w:r>
    </w:p>
    <w:p>
      <w:pPr>
        <w:pStyle w:val="18"/>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（1）《中华人民共和国资产评估法》（中华人民共和国主席令第46号，2016年12月1日起实施）；</w:t>
      </w:r>
    </w:p>
    <w:p>
      <w:pPr>
        <w:pStyle w:val="18"/>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（2）《</w:t>
      </w:r>
      <w:r>
        <w:rPr>
          <w:rFonts w:hint="eastAsia"/>
          <w:b w:val="0"/>
          <w:bCs w:val="0"/>
          <w:color w:val="000000" w:themeColor="text1"/>
          <w:sz w:val="24"/>
          <w:szCs w:val="24"/>
          <w:lang w:val="en-US" w:eastAsia="zh-CN"/>
          <w14:textFill>
            <w14:solidFill>
              <w14:schemeClr w14:val="tx1"/>
            </w14:solidFill>
          </w14:textFill>
        </w:rPr>
        <w:t>中华人民共和国民法典</w:t>
      </w:r>
      <w:r>
        <w:rPr>
          <w:rFonts w:hint="eastAsia"/>
          <w:b w:val="0"/>
          <w:bCs w:val="0"/>
          <w:color w:val="000000" w:themeColor="text1"/>
          <w:sz w:val="24"/>
          <w:szCs w:val="24"/>
          <w14:textFill>
            <w14:solidFill>
              <w14:schemeClr w14:val="tx1"/>
            </w14:solidFill>
          </w14:textFill>
        </w:rPr>
        <w:t>》（中华人民共和国主席令第</w:t>
      </w:r>
      <w:r>
        <w:rPr>
          <w:rFonts w:hint="eastAsia"/>
          <w:b w:val="0"/>
          <w:bCs w:val="0"/>
          <w:color w:val="000000" w:themeColor="text1"/>
          <w:sz w:val="24"/>
          <w:szCs w:val="24"/>
          <w:lang w:val="en-US" w:eastAsia="zh-CN"/>
          <w14:textFill>
            <w14:solidFill>
              <w14:schemeClr w14:val="tx1"/>
            </w14:solidFill>
          </w14:textFill>
        </w:rPr>
        <w:t>45</w:t>
      </w:r>
      <w:r>
        <w:rPr>
          <w:rFonts w:hint="eastAsia"/>
          <w:b w:val="0"/>
          <w:bCs w:val="0"/>
          <w:color w:val="000000" w:themeColor="text1"/>
          <w:sz w:val="24"/>
          <w:szCs w:val="24"/>
          <w14:textFill>
            <w14:solidFill>
              <w14:schemeClr w14:val="tx1"/>
            </w14:solidFill>
          </w14:textFill>
        </w:rPr>
        <w:t>号，20</w:t>
      </w:r>
      <w:r>
        <w:rPr>
          <w:rFonts w:hint="eastAsia"/>
          <w:b w:val="0"/>
          <w:bCs w:val="0"/>
          <w:color w:val="000000" w:themeColor="text1"/>
          <w:sz w:val="24"/>
          <w:szCs w:val="24"/>
          <w:lang w:val="en-US" w:eastAsia="zh-CN"/>
          <w14:textFill>
            <w14:solidFill>
              <w14:schemeClr w14:val="tx1"/>
            </w14:solidFill>
          </w14:textFill>
        </w:rPr>
        <w:t>21</w:t>
      </w:r>
      <w:r>
        <w:rPr>
          <w:rFonts w:hint="eastAsia"/>
          <w:b w:val="0"/>
          <w:bCs w:val="0"/>
          <w:color w:val="000000" w:themeColor="text1"/>
          <w:sz w:val="24"/>
          <w:szCs w:val="24"/>
          <w14:textFill>
            <w14:solidFill>
              <w14:schemeClr w14:val="tx1"/>
            </w14:solidFill>
          </w14:textFill>
        </w:rPr>
        <w:t>年1月1日起施行）；</w:t>
      </w:r>
    </w:p>
    <w:p>
      <w:pPr>
        <w:pStyle w:val="18"/>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w:t>
      </w:r>
      <w:r>
        <w:rPr>
          <w:b w:val="0"/>
          <w:bCs w:val="0"/>
          <w:color w:val="000000" w:themeColor="text1"/>
          <w:sz w:val="24"/>
          <w:szCs w:val="24"/>
          <w14:textFill>
            <w14:solidFill>
              <w14:schemeClr w14:val="tx1"/>
            </w14:solidFill>
          </w14:textFill>
        </w:rPr>
        <w:t>3</w:t>
      </w:r>
      <w:r>
        <w:rPr>
          <w:rFonts w:hint="eastAsia"/>
          <w:b w:val="0"/>
          <w:bCs w:val="0"/>
          <w:color w:val="000000" w:themeColor="text1"/>
          <w:sz w:val="24"/>
          <w:szCs w:val="24"/>
          <w14:textFill>
            <w14:solidFill>
              <w14:schemeClr w14:val="tx1"/>
            </w14:solidFill>
          </w14:textFill>
        </w:rPr>
        <w:t>）《中华人民共和国城市房地产管理法》（中华人民共和国主席令第72号，</w:t>
      </w:r>
      <w:r>
        <w:rPr>
          <w:rFonts w:hint="eastAsia"/>
          <w:b w:val="0"/>
          <w:bCs w:val="0"/>
          <w:color w:val="000000" w:themeColor="text1"/>
          <w:sz w:val="24"/>
          <w:szCs w:val="24"/>
          <w:lang w:val="en-US" w:eastAsia="zh-CN"/>
          <w14:textFill>
            <w14:solidFill>
              <w14:schemeClr w14:val="tx1"/>
            </w14:solidFill>
          </w14:textFill>
        </w:rPr>
        <w:t>2019年8月26日修订</w:t>
      </w:r>
      <w:r>
        <w:rPr>
          <w:rFonts w:hint="eastAsia"/>
          <w:b w:val="0"/>
          <w:bCs w:val="0"/>
          <w:color w:val="000000" w:themeColor="text1"/>
          <w:sz w:val="24"/>
          <w:szCs w:val="24"/>
          <w14:textFill>
            <w14:solidFill>
              <w14:schemeClr w14:val="tx1"/>
            </w14:solidFill>
          </w14:textFill>
        </w:rPr>
        <w:t>）；</w:t>
      </w:r>
    </w:p>
    <w:p>
      <w:pPr>
        <w:pStyle w:val="18"/>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w:t>
      </w:r>
      <w:r>
        <w:rPr>
          <w:b w:val="0"/>
          <w:bCs w:val="0"/>
          <w:color w:val="000000" w:themeColor="text1"/>
          <w:sz w:val="24"/>
          <w:szCs w:val="24"/>
          <w14:textFill>
            <w14:solidFill>
              <w14:schemeClr w14:val="tx1"/>
            </w14:solidFill>
          </w14:textFill>
        </w:rPr>
        <w:t>4</w:t>
      </w:r>
      <w:r>
        <w:rPr>
          <w:rFonts w:hint="eastAsia"/>
          <w:b w:val="0"/>
          <w:bCs w:val="0"/>
          <w:color w:val="000000" w:themeColor="text1"/>
          <w:sz w:val="24"/>
          <w:szCs w:val="24"/>
          <w14:textFill>
            <w14:solidFill>
              <w14:schemeClr w14:val="tx1"/>
            </w14:solidFill>
          </w14:textFill>
        </w:rPr>
        <w:t>）《中华人民共和国土地管理法》（中华人民共和国主席令第28号，</w:t>
      </w:r>
      <w:r>
        <w:rPr>
          <w:rFonts w:hint="eastAsia"/>
          <w:b w:val="0"/>
          <w:bCs w:val="0"/>
          <w:color w:val="000000" w:themeColor="text1"/>
          <w:sz w:val="24"/>
          <w:szCs w:val="24"/>
          <w:lang w:val="en-US" w:eastAsia="zh-CN"/>
          <w14:textFill>
            <w14:solidFill>
              <w14:schemeClr w14:val="tx1"/>
            </w14:solidFill>
          </w14:textFill>
        </w:rPr>
        <w:t>2019年8月26日修订</w:t>
      </w:r>
      <w:r>
        <w:rPr>
          <w:rFonts w:hint="eastAsia"/>
          <w:b w:val="0"/>
          <w:bCs w:val="0"/>
          <w:color w:val="000000" w:themeColor="text1"/>
          <w:sz w:val="24"/>
          <w:szCs w:val="24"/>
          <w14:textFill>
            <w14:solidFill>
              <w14:schemeClr w14:val="tx1"/>
            </w14:solidFill>
          </w14:textFill>
        </w:rPr>
        <w:t>）；</w:t>
      </w:r>
    </w:p>
    <w:p>
      <w:pPr>
        <w:pStyle w:val="18"/>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w:t>
      </w:r>
      <w:r>
        <w:rPr>
          <w:b w:val="0"/>
          <w:bCs w:val="0"/>
          <w:color w:val="000000" w:themeColor="text1"/>
          <w:sz w:val="24"/>
          <w:szCs w:val="24"/>
          <w14:textFill>
            <w14:solidFill>
              <w14:schemeClr w14:val="tx1"/>
            </w14:solidFill>
          </w14:textFill>
        </w:rPr>
        <w:t>5</w:t>
      </w:r>
      <w:r>
        <w:rPr>
          <w:rFonts w:hint="eastAsia"/>
          <w:b w:val="0"/>
          <w:bCs w:val="0"/>
          <w:color w:val="000000" w:themeColor="text1"/>
          <w:sz w:val="24"/>
          <w:szCs w:val="24"/>
          <w14:textFill>
            <w14:solidFill>
              <w14:schemeClr w14:val="tx1"/>
            </w14:solidFill>
          </w14:textFill>
        </w:rPr>
        <w:t>）《中华人民共和国城乡规划法》（中华人民共和国主席令74号，2008年1月1日起实施）；</w:t>
      </w:r>
    </w:p>
    <w:p>
      <w:pPr>
        <w:pStyle w:val="18"/>
        <w:spacing w:line="500" w:lineRule="exact"/>
        <w:ind w:left="480"/>
        <w:rPr>
          <w:rFonts w:hint="eastAsia" w:eastAsia="宋体"/>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14:textFill>
            <w14:solidFill>
              <w14:schemeClr w14:val="tx1"/>
            </w14:solidFill>
          </w14:textFill>
        </w:rPr>
        <w:t>（</w:t>
      </w:r>
      <w:r>
        <w:rPr>
          <w:b w:val="0"/>
          <w:bCs w:val="0"/>
          <w:color w:val="000000" w:themeColor="text1"/>
          <w:sz w:val="24"/>
          <w:szCs w:val="24"/>
          <w14:textFill>
            <w14:solidFill>
              <w14:schemeClr w14:val="tx1"/>
            </w14:solidFill>
          </w14:textFill>
        </w:rPr>
        <w:t>6</w:t>
      </w:r>
      <w:r>
        <w:rPr>
          <w:rFonts w:hint="eastAsia"/>
          <w:b w:val="0"/>
          <w:bCs w:val="0"/>
          <w:color w:val="000000" w:themeColor="text1"/>
          <w:sz w:val="24"/>
          <w:szCs w:val="24"/>
          <w14:textFill>
            <w14:solidFill>
              <w14:schemeClr w14:val="tx1"/>
            </w14:solidFill>
          </w14:textFill>
        </w:rPr>
        <w:t>）《关于调整房地产交易环节契税营业税优惠政策的通知》（财税[2016]23号）</w:t>
      </w:r>
      <w:r>
        <w:rPr>
          <w:rFonts w:hint="eastAsia"/>
          <w:b w:val="0"/>
          <w:bCs w:val="0"/>
          <w:color w:val="000000" w:themeColor="text1"/>
          <w:sz w:val="24"/>
          <w:szCs w:val="24"/>
          <w:lang w:eastAsia="zh-CN"/>
          <w14:textFill>
            <w14:solidFill>
              <w14:schemeClr w14:val="tx1"/>
            </w14:solidFill>
          </w14:textFill>
        </w:rPr>
        <w:t>；</w:t>
      </w:r>
    </w:p>
    <w:p>
      <w:pPr>
        <w:pStyle w:val="18"/>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w:t>
      </w:r>
      <w:r>
        <w:rPr>
          <w:b w:val="0"/>
          <w:bCs w:val="0"/>
          <w:color w:val="000000" w:themeColor="text1"/>
          <w:sz w:val="24"/>
          <w:szCs w:val="24"/>
          <w14:textFill>
            <w14:solidFill>
              <w14:schemeClr w14:val="tx1"/>
            </w14:solidFill>
          </w14:textFill>
        </w:rPr>
        <w:t>7</w:t>
      </w:r>
      <w:r>
        <w:rPr>
          <w:rFonts w:hint="eastAsia"/>
          <w:b w:val="0"/>
          <w:bCs w:val="0"/>
          <w:color w:val="000000" w:themeColor="text1"/>
          <w:sz w:val="24"/>
          <w:szCs w:val="24"/>
          <w14:textFill>
            <w14:solidFill>
              <w14:schemeClr w14:val="tx1"/>
            </w14:solidFill>
          </w14:textFill>
        </w:rPr>
        <w:t>）国办发〔2013〕17号《国务院办公厅关于继续做好房地产市场调控工作的通知》（称“国五条”）；</w:t>
      </w:r>
    </w:p>
    <w:p>
      <w:pPr>
        <w:pStyle w:val="18"/>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w:t>
      </w:r>
      <w:r>
        <w:rPr>
          <w:b w:val="0"/>
          <w:bCs w:val="0"/>
          <w:color w:val="000000" w:themeColor="text1"/>
          <w:sz w:val="24"/>
          <w:szCs w:val="24"/>
          <w14:textFill>
            <w14:solidFill>
              <w14:schemeClr w14:val="tx1"/>
            </w14:solidFill>
          </w14:textFill>
        </w:rPr>
        <w:t>8</w:t>
      </w:r>
      <w:r>
        <w:rPr>
          <w:rFonts w:hint="eastAsia"/>
          <w:b w:val="0"/>
          <w:bCs w:val="0"/>
          <w:color w:val="000000" w:themeColor="text1"/>
          <w:sz w:val="24"/>
          <w:szCs w:val="24"/>
          <w14:textFill>
            <w14:solidFill>
              <w14:schemeClr w14:val="tx1"/>
            </w14:solidFill>
          </w14:textFill>
        </w:rPr>
        <w:t>）《最高人民法院关于人民法院委托评估拍卖工作的若干规定》（法释〔2011〕21号）；</w:t>
      </w:r>
    </w:p>
    <w:p>
      <w:pPr>
        <w:pStyle w:val="18"/>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w:t>
      </w:r>
      <w:r>
        <w:rPr>
          <w:b w:val="0"/>
          <w:bCs w:val="0"/>
          <w:color w:val="000000" w:themeColor="text1"/>
          <w:sz w:val="24"/>
          <w:szCs w:val="24"/>
          <w14:textFill>
            <w14:solidFill>
              <w14:schemeClr w14:val="tx1"/>
            </w14:solidFill>
          </w14:textFill>
        </w:rPr>
        <w:t>9</w:t>
      </w:r>
      <w:r>
        <w:rPr>
          <w:rFonts w:hint="eastAsia"/>
          <w:b w:val="0"/>
          <w:bCs w:val="0"/>
          <w:color w:val="000000" w:themeColor="text1"/>
          <w:sz w:val="24"/>
          <w:szCs w:val="24"/>
          <w14:textFill>
            <w14:solidFill>
              <w14:schemeClr w14:val="tx1"/>
            </w14:solidFill>
          </w14:textFill>
        </w:rPr>
        <w:t>）《最高人民法院关于人民法院委托评估、拍卖和变卖工作的若干规定》（法释〔2009〕16号）；</w:t>
      </w:r>
    </w:p>
    <w:p>
      <w:pPr>
        <w:pStyle w:val="18"/>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（1</w:t>
      </w:r>
      <w:r>
        <w:rPr>
          <w:b w:val="0"/>
          <w:bCs w:val="0"/>
          <w:color w:val="000000" w:themeColor="text1"/>
          <w:sz w:val="24"/>
          <w:szCs w:val="24"/>
          <w14:textFill>
            <w14:solidFill>
              <w14:schemeClr w14:val="tx1"/>
            </w14:solidFill>
          </w14:textFill>
        </w:rPr>
        <w:t>0</w:t>
      </w:r>
      <w:r>
        <w:rPr>
          <w:rFonts w:hint="eastAsia"/>
          <w:b w:val="0"/>
          <w:bCs w:val="0"/>
          <w:color w:val="000000" w:themeColor="text1"/>
          <w:sz w:val="24"/>
          <w:szCs w:val="24"/>
          <w14:textFill>
            <w14:solidFill>
              <w14:schemeClr w14:val="tx1"/>
            </w14:solidFill>
          </w14:textFill>
        </w:rPr>
        <w:t>）《四川省高级人民法院委托鉴定管理办法》、《四川省高级人民法院委托评估拍卖和变卖管理办法》（川高法〔2011〕177号）；</w:t>
      </w:r>
    </w:p>
    <w:p>
      <w:pPr>
        <w:pStyle w:val="18"/>
        <w:spacing w:line="500" w:lineRule="exact"/>
        <w:ind w:left="480"/>
        <w:rPr>
          <w:rFonts w:hint="eastAsia"/>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（1</w:t>
      </w:r>
      <w:r>
        <w:rPr>
          <w:b w:val="0"/>
          <w:bCs w:val="0"/>
          <w:color w:val="000000" w:themeColor="text1"/>
          <w:sz w:val="24"/>
          <w:szCs w:val="24"/>
          <w14:textFill>
            <w14:solidFill>
              <w14:schemeClr w14:val="tx1"/>
            </w14:solidFill>
          </w14:textFill>
        </w:rPr>
        <w:t>1</w:t>
      </w:r>
      <w:r>
        <w:rPr>
          <w:rFonts w:hint="eastAsia"/>
          <w:b w:val="0"/>
          <w:bCs w:val="0"/>
          <w:color w:val="000000" w:themeColor="text1"/>
          <w:sz w:val="24"/>
          <w:szCs w:val="24"/>
          <w14:textFill>
            <w14:solidFill>
              <w14:schemeClr w14:val="tx1"/>
            </w14:solidFill>
          </w14:textFill>
        </w:rPr>
        <w:t>）《房地产司法鉴定评估指导意见》（试行）（川建房发[2011]89号）；</w:t>
      </w:r>
    </w:p>
    <w:p>
      <w:pPr>
        <w:pStyle w:val="18"/>
        <w:spacing w:line="500" w:lineRule="exact"/>
        <w:ind w:left="480"/>
        <w:rPr>
          <w:rFonts w:hint="eastAsia" w:eastAsia="宋体"/>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14:textFill>
            <w14:solidFill>
              <w14:schemeClr w14:val="tx1"/>
            </w14:solidFill>
          </w14:textFill>
        </w:rPr>
        <w:t>（1</w:t>
      </w:r>
      <w:r>
        <w:rPr>
          <w:rFonts w:hint="eastAsia"/>
          <w:b w:val="0"/>
          <w:bCs w:val="0"/>
          <w:color w:val="000000" w:themeColor="text1"/>
          <w:sz w:val="24"/>
          <w:szCs w:val="24"/>
          <w:lang w:val="en-US" w:eastAsia="zh-CN"/>
          <w14:textFill>
            <w14:solidFill>
              <w14:schemeClr w14:val="tx1"/>
            </w14:solidFill>
          </w14:textFill>
        </w:rPr>
        <w:t>2</w:t>
      </w:r>
      <w:r>
        <w:rPr>
          <w:rFonts w:hint="eastAsia"/>
          <w:b w:val="0"/>
          <w:bCs w:val="0"/>
          <w:color w:val="000000" w:themeColor="text1"/>
          <w:sz w:val="24"/>
          <w:szCs w:val="24"/>
          <w14:textFill>
            <w14:solidFill>
              <w14:schemeClr w14:val="tx1"/>
            </w14:solidFill>
          </w14:textFill>
        </w:rPr>
        <w:t>）《最高人民法院关于人民法院确定财产处置参考价若干问题的规定》</w:t>
      </w:r>
      <w:r>
        <w:rPr>
          <w:rFonts w:hint="eastAsia"/>
          <w:b w:val="0"/>
          <w:bCs w:val="0"/>
          <w:color w:val="000000" w:themeColor="text1"/>
          <w:sz w:val="24"/>
          <w:szCs w:val="24"/>
          <w:lang w:eastAsia="zh-CN"/>
          <w14:textFill>
            <w14:solidFill>
              <w14:schemeClr w14:val="tx1"/>
            </w14:solidFill>
          </w14:textFill>
        </w:rPr>
        <w:t>（</w:t>
      </w:r>
      <w:r>
        <w:rPr>
          <w:rFonts w:hint="eastAsia"/>
          <w:b w:val="0"/>
          <w:bCs w:val="0"/>
          <w:color w:val="000000" w:themeColor="text1"/>
          <w:sz w:val="24"/>
          <w:szCs w:val="24"/>
          <w:lang w:val="en-US" w:eastAsia="zh-CN"/>
          <w14:textFill>
            <w14:solidFill>
              <w14:schemeClr w14:val="tx1"/>
            </w14:solidFill>
          </w14:textFill>
        </w:rPr>
        <w:t>法释[2018]15号，</w:t>
      </w:r>
      <w:r>
        <w:rPr>
          <w:rFonts w:hint="eastAsia"/>
          <w:b w:val="0"/>
          <w:bCs w:val="0"/>
          <w:color w:val="000000" w:themeColor="text1"/>
          <w:sz w:val="24"/>
          <w:szCs w:val="24"/>
          <w:lang w:eastAsia="zh-CN"/>
          <w14:textFill>
            <w14:solidFill>
              <w14:schemeClr w14:val="tx1"/>
            </w14:solidFill>
          </w14:textFill>
        </w:rPr>
        <w:t>2018年9月1日）</w:t>
      </w:r>
    </w:p>
    <w:p>
      <w:pPr>
        <w:pStyle w:val="18"/>
        <w:spacing w:line="500" w:lineRule="exact"/>
        <w:ind w:left="48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（1</w:t>
      </w:r>
      <w:r>
        <w:rPr>
          <w:rFonts w:hint="eastAsia"/>
          <w:b w:val="0"/>
          <w:bCs w:val="0"/>
          <w:color w:val="000000" w:themeColor="text1"/>
          <w:sz w:val="24"/>
          <w:szCs w:val="24"/>
          <w:lang w:val="en-US" w:eastAsia="zh-CN"/>
          <w14:textFill>
            <w14:solidFill>
              <w14:schemeClr w14:val="tx1"/>
            </w14:solidFill>
          </w14:textFill>
        </w:rPr>
        <w:t>3</w:t>
      </w:r>
      <w:r>
        <w:rPr>
          <w:rFonts w:hint="eastAsia"/>
          <w:b w:val="0"/>
          <w:bCs w:val="0"/>
          <w:color w:val="000000" w:themeColor="text1"/>
          <w:sz w:val="24"/>
          <w:szCs w:val="24"/>
          <w14:textFill>
            <w14:solidFill>
              <w14:schemeClr w14:val="tx1"/>
            </w14:solidFill>
          </w14:textFill>
        </w:rPr>
        <w:t>）本次评估中涉及的国家其他相关法律法规。</w:t>
      </w:r>
    </w:p>
    <w:p>
      <w:pPr>
        <w:pStyle w:val="18"/>
        <w:spacing w:line="500" w:lineRule="exact"/>
        <w:ind w:firstLine="480" w:firstLineChars="200"/>
        <w:rPr>
          <w:b w:val="0"/>
          <w:bCs w:val="0"/>
          <w:color w:val="000000" w:themeColor="text1"/>
          <w:sz w:val="24"/>
          <w:szCs w:val="24"/>
          <w14:textFill>
            <w14:solidFill>
              <w14:schemeClr w14:val="tx1"/>
            </w14:solidFill>
          </w14:textFill>
        </w:rPr>
      </w:pPr>
      <w:r>
        <w:rPr>
          <w:b w:val="0"/>
          <w:bCs w:val="0"/>
          <w:color w:val="000000" w:themeColor="text1"/>
          <w:sz w:val="24"/>
          <w:szCs w:val="24"/>
          <w14:textFill>
            <w14:solidFill>
              <w14:schemeClr w14:val="tx1"/>
            </w14:solidFill>
          </w14:textFill>
        </w:rPr>
        <w:t>2</w:t>
      </w:r>
      <w:r>
        <w:rPr>
          <w:rFonts w:hint="eastAsia"/>
          <w:b w:val="0"/>
          <w:bCs w:val="0"/>
          <w:color w:val="000000" w:themeColor="text1"/>
          <w:sz w:val="24"/>
          <w:szCs w:val="24"/>
          <w14:textFill>
            <w14:solidFill>
              <w14:schemeClr w14:val="tx1"/>
            </w14:solidFill>
          </w14:textFill>
        </w:rPr>
        <w:t>、房地产估价相关技术规程</w:t>
      </w:r>
    </w:p>
    <w:p>
      <w:pPr>
        <w:pStyle w:val="18"/>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w:t>
      </w:r>
      <w:r>
        <w:rPr>
          <w:b w:val="0"/>
          <w:bCs w:val="0"/>
          <w:color w:val="000000" w:themeColor="text1"/>
          <w:sz w:val="24"/>
          <w:szCs w:val="24"/>
          <w14:textFill>
            <w14:solidFill>
              <w14:schemeClr w14:val="tx1"/>
            </w14:solidFill>
          </w14:textFill>
        </w:rPr>
        <w:t>1</w:t>
      </w:r>
      <w:r>
        <w:rPr>
          <w:rFonts w:hint="eastAsia"/>
          <w:b w:val="0"/>
          <w:bCs w:val="0"/>
          <w:color w:val="000000" w:themeColor="text1"/>
          <w:sz w:val="24"/>
          <w:szCs w:val="24"/>
          <w14:textFill>
            <w14:solidFill>
              <w14:schemeClr w14:val="tx1"/>
            </w14:solidFill>
          </w14:textFill>
        </w:rPr>
        <w:t>）《房地产估价规范》（</w:t>
      </w:r>
      <w:r>
        <w:rPr>
          <w:b w:val="0"/>
          <w:bCs w:val="0"/>
          <w:color w:val="000000" w:themeColor="text1"/>
          <w:sz w:val="24"/>
          <w:szCs w:val="24"/>
          <w14:textFill>
            <w14:solidFill>
              <w14:schemeClr w14:val="tx1"/>
            </w14:solidFill>
          </w14:textFill>
        </w:rPr>
        <w:t>GB/T50291-2015</w:t>
      </w:r>
      <w:r>
        <w:rPr>
          <w:rFonts w:hint="eastAsia"/>
          <w:b w:val="0"/>
          <w:bCs w:val="0"/>
          <w:color w:val="000000" w:themeColor="text1"/>
          <w:sz w:val="24"/>
          <w:szCs w:val="24"/>
          <w14:textFill>
            <w14:solidFill>
              <w14:schemeClr w14:val="tx1"/>
            </w14:solidFill>
          </w14:textFill>
        </w:rPr>
        <w:t>）；</w:t>
      </w:r>
    </w:p>
    <w:p>
      <w:pPr>
        <w:pStyle w:val="18"/>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w:t>
      </w:r>
      <w:r>
        <w:rPr>
          <w:b w:val="0"/>
          <w:bCs w:val="0"/>
          <w:color w:val="000000" w:themeColor="text1"/>
          <w:sz w:val="24"/>
          <w:szCs w:val="24"/>
          <w14:textFill>
            <w14:solidFill>
              <w14:schemeClr w14:val="tx1"/>
            </w14:solidFill>
          </w14:textFill>
        </w:rPr>
        <w:t>2</w:t>
      </w:r>
      <w:r>
        <w:rPr>
          <w:rFonts w:hint="eastAsia"/>
          <w:b w:val="0"/>
          <w:bCs w:val="0"/>
          <w:color w:val="000000" w:themeColor="text1"/>
          <w:sz w:val="24"/>
          <w:szCs w:val="24"/>
          <w14:textFill>
            <w14:solidFill>
              <w14:schemeClr w14:val="tx1"/>
            </w14:solidFill>
          </w14:textFill>
        </w:rPr>
        <w:t>）《房地产估价基本术语》（</w:t>
      </w:r>
      <w:r>
        <w:rPr>
          <w:b w:val="0"/>
          <w:bCs w:val="0"/>
          <w:color w:val="000000" w:themeColor="text1"/>
          <w:sz w:val="24"/>
          <w:szCs w:val="24"/>
          <w14:textFill>
            <w14:solidFill>
              <w14:schemeClr w14:val="tx1"/>
            </w14:solidFill>
          </w14:textFill>
        </w:rPr>
        <w:t>GB/T50899-2013</w:t>
      </w:r>
      <w:r>
        <w:rPr>
          <w:rFonts w:hint="eastAsia"/>
          <w:b w:val="0"/>
          <w:bCs w:val="0"/>
          <w:color w:val="000000" w:themeColor="text1"/>
          <w:sz w:val="24"/>
          <w:szCs w:val="24"/>
          <w14:textFill>
            <w14:solidFill>
              <w14:schemeClr w14:val="tx1"/>
            </w14:solidFill>
          </w14:textFill>
        </w:rPr>
        <w:t>）。</w:t>
      </w:r>
    </w:p>
    <w:p>
      <w:pPr>
        <w:pStyle w:val="18"/>
        <w:spacing w:line="500" w:lineRule="exact"/>
        <w:ind w:firstLine="480" w:firstLineChars="200"/>
        <w:rPr>
          <w:b w:val="0"/>
          <w:bCs w:val="0"/>
          <w:color w:val="000000" w:themeColor="text1"/>
          <w:sz w:val="24"/>
          <w:szCs w:val="24"/>
          <w14:textFill>
            <w14:solidFill>
              <w14:schemeClr w14:val="tx1"/>
            </w14:solidFill>
          </w14:textFill>
        </w:rPr>
      </w:pPr>
      <w:r>
        <w:rPr>
          <w:b w:val="0"/>
          <w:bCs w:val="0"/>
          <w:color w:val="000000" w:themeColor="text1"/>
          <w:sz w:val="24"/>
          <w:szCs w:val="24"/>
          <w14:textFill>
            <w14:solidFill>
              <w14:schemeClr w14:val="tx1"/>
            </w14:solidFill>
          </w14:textFill>
        </w:rPr>
        <w:t>3</w:t>
      </w:r>
      <w:r>
        <w:rPr>
          <w:rFonts w:hint="eastAsia"/>
          <w:b w:val="0"/>
          <w:bCs w:val="0"/>
          <w:color w:val="000000" w:themeColor="text1"/>
          <w:sz w:val="24"/>
          <w:szCs w:val="24"/>
          <w14:textFill>
            <w14:solidFill>
              <w14:schemeClr w14:val="tx1"/>
            </w14:solidFill>
          </w14:textFill>
        </w:rPr>
        <w:t>、估价委托人提供的估价对象权属证明文件和其他有关资料：</w:t>
      </w:r>
    </w:p>
    <w:p>
      <w:pPr>
        <w:pStyle w:val="18"/>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w:t>
      </w:r>
      <w:r>
        <w:rPr>
          <w:b w:val="0"/>
          <w:bCs w:val="0"/>
          <w:color w:val="000000" w:themeColor="text1"/>
          <w:sz w:val="24"/>
          <w:szCs w:val="24"/>
          <w14:textFill>
            <w14:solidFill>
              <w14:schemeClr w14:val="tx1"/>
            </w14:solidFill>
          </w14:textFill>
        </w:rPr>
        <w:t>1</w:t>
      </w:r>
      <w:r>
        <w:rPr>
          <w:rFonts w:hint="eastAsia"/>
          <w:b w:val="0"/>
          <w:bCs w:val="0"/>
          <w:color w:val="000000" w:themeColor="text1"/>
          <w:sz w:val="24"/>
          <w:szCs w:val="24"/>
          <w14:textFill>
            <w14:solidFill>
              <w14:schemeClr w14:val="tx1"/>
            </w14:solidFill>
          </w14:textFill>
        </w:rPr>
        <w:t>）</w:t>
      </w:r>
      <w:r>
        <w:rPr>
          <w:rFonts w:hint="eastAsia"/>
          <w:b w:val="0"/>
          <w:bCs w:val="0"/>
          <w:color w:val="000000" w:themeColor="text1"/>
          <w:sz w:val="24"/>
          <w:szCs w:val="24"/>
          <w:lang w:eastAsia="zh-CN"/>
          <w14:textFill>
            <w14:solidFill>
              <w14:schemeClr w14:val="tx1"/>
            </w14:solidFill>
          </w14:textFill>
        </w:rPr>
        <w:t>《绵竹市人民法院司法评估委托书》（2021）川0683执恢26号</w:t>
      </w:r>
      <w:r>
        <w:rPr>
          <w:rFonts w:hint="eastAsia"/>
          <w:b w:val="0"/>
          <w:bCs w:val="0"/>
          <w:color w:val="000000" w:themeColor="text1"/>
          <w:sz w:val="24"/>
          <w:szCs w:val="24"/>
          <w14:textFill>
            <w14:solidFill>
              <w14:schemeClr w14:val="tx1"/>
            </w14:solidFill>
          </w14:textFill>
        </w:rPr>
        <w:t>；</w:t>
      </w:r>
    </w:p>
    <w:p>
      <w:pPr>
        <w:pStyle w:val="18"/>
        <w:spacing w:line="500" w:lineRule="exact"/>
        <w:ind w:firstLine="480" w:firstLineChars="200"/>
        <w:rPr>
          <w:rFonts w:hint="eastAsia"/>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w:t>
      </w:r>
      <w:r>
        <w:rPr>
          <w:b w:val="0"/>
          <w:bCs w:val="0"/>
          <w:color w:val="000000" w:themeColor="text1"/>
          <w:sz w:val="24"/>
          <w:szCs w:val="24"/>
          <w14:textFill>
            <w14:solidFill>
              <w14:schemeClr w14:val="tx1"/>
            </w14:solidFill>
          </w14:textFill>
        </w:rPr>
        <w:t>2</w:t>
      </w:r>
      <w:r>
        <w:rPr>
          <w:rFonts w:hint="eastAsia"/>
          <w:b w:val="0"/>
          <w:bCs w:val="0"/>
          <w:color w:val="000000" w:themeColor="text1"/>
          <w:sz w:val="24"/>
          <w:szCs w:val="24"/>
          <w14:textFill>
            <w14:solidFill>
              <w14:schemeClr w14:val="tx1"/>
            </w14:solidFill>
          </w14:textFill>
        </w:rPr>
        <w:t>）估价对象的《</w:t>
      </w:r>
      <w:r>
        <w:rPr>
          <w:rFonts w:hint="eastAsia"/>
          <w:b w:val="0"/>
          <w:bCs w:val="0"/>
          <w:color w:val="000000" w:themeColor="text1"/>
          <w:sz w:val="24"/>
          <w:szCs w:val="24"/>
          <w:lang w:eastAsia="zh-CN"/>
          <w14:textFill>
            <w14:solidFill>
              <w14:schemeClr w14:val="tx1"/>
            </w14:solidFill>
          </w14:textFill>
        </w:rPr>
        <w:t>不动产登记信息查询结果单</w:t>
      </w:r>
      <w:r>
        <w:rPr>
          <w:rFonts w:hint="eastAsia"/>
          <w:b w:val="0"/>
          <w:bCs w:val="0"/>
          <w:color w:val="000000" w:themeColor="text1"/>
          <w:sz w:val="24"/>
          <w:szCs w:val="24"/>
          <w14:textFill>
            <w14:solidFill>
              <w14:schemeClr w14:val="tx1"/>
            </w14:solidFill>
          </w14:textFill>
        </w:rPr>
        <w:t>》复印件；</w:t>
      </w:r>
    </w:p>
    <w:p>
      <w:pPr>
        <w:pStyle w:val="18"/>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w:t>
      </w:r>
      <w:r>
        <w:rPr>
          <w:b w:val="0"/>
          <w:bCs w:val="0"/>
          <w:color w:val="000000" w:themeColor="text1"/>
          <w:sz w:val="24"/>
          <w:szCs w:val="24"/>
          <w14:textFill>
            <w14:solidFill>
              <w14:schemeClr w14:val="tx1"/>
            </w14:solidFill>
          </w14:textFill>
        </w:rPr>
        <w:t>3</w:t>
      </w:r>
      <w:r>
        <w:rPr>
          <w:rFonts w:hint="eastAsia"/>
          <w:b w:val="0"/>
          <w:bCs w:val="0"/>
          <w:color w:val="000000" w:themeColor="text1"/>
          <w:sz w:val="24"/>
          <w:szCs w:val="24"/>
          <w14:textFill>
            <w14:solidFill>
              <w14:schemeClr w14:val="tx1"/>
            </w14:solidFill>
          </w14:textFill>
        </w:rPr>
        <w:t>）</w:t>
      </w:r>
      <w:r>
        <w:rPr>
          <w:rFonts w:hint="eastAsia"/>
          <w:b w:val="0"/>
          <w:bCs w:val="0"/>
          <w:color w:val="000000" w:themeColor="text1"/>
          <w:sz w:val="24"/>
          <w:szCs w:val="24"/>
          <w:lang w:val="en-US" w:eastAsia="zh-CN"/>
          <w14:textFill>
            <w14:solidFill>
              <w14:schemeClr w14:val="tx1"/>
            </w14:solidFill>
          </w14:textFill>
        </w:rPr>
        <w:t>估价对象产权资料复印件</w:t>
      </w:r>
      <w:r>
        <w:rPr>
          <w:rFonts w:hint="eastAsia"/>
          <w:b w:val="0"/>
          <w:bCs w:val="0"/>
          <w:color w:val="000000" w:themeColor="text1"/>
          <w:sz w:val="24"/>
          <w:szCs w:val="24"/>
          <w14:textFill>
            <w14:solidFill>
              <w14:schemeClr w14:val="tx1"/>
            </w14:solidFill>
          </w14:textFill>
        </w:rPr>
        <w:t>。</w:t>
      </w:r>
    </w:p>
    <w:p>
      <w:pPr>
        <w:pStyle w:val="18"/>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w:t>
      </w:r>
      <w:r>
        <w:rPr>
          <w:rFonts w:hint="eastAsia"/>
          <w:b w:val="0"/>
          <w:bCs w:val="0"/>
          <w:color w:val="000000" w:themeColor="text1"/>
          <w:sz w:val="24"/>
          <w:szCs w:val="24"/>
          <w:lang w:val="en-US" w:eastAsia="zh-CN"/>
          <w14:textFill>
            <w14:solidFill>
              <w14:schemeClr w14:val="tx1"/>
            </w14:solidFill>
          </w14:textFill>
        </w:rPr>
        <w:t>4</w:t>
      </w:r>
      <w:r>
        <w:rPr>
          <w:rFonts w:hint="eastAsia"/>
          <w:b w:val="0"/>
          <w:bCs w:val="0"/>
          <w:color w:val="000000" w:themeColor="text1"/>
          <w:sz w:val="24"/>
          <w:szCs w:val="24"/>
          <w14:textFill>
            <w14:solidFill>
              <w14:schemeClr w14:val="tx1"/>
            </w14:solidFill>
          </w14:textFill>
        </w:rPr>
        <w:t>）其他相关资料。</w:t>
      </w:r>
    </w:p>
    <w:p>
      <w:pPr>
        <w:pStyle w:val="18"/>
        <w:spacing w:line="500" w:lineRule="exact"/>
        <w:ind w:firstLine="480" w:firstLineChars="200"/>
        <w:rPr>
          <w:b w:val="0"/>
          <w:bCs w:val="0"/>
          <w:color w:val="000000" w:themeColor="text1"/>
          <w:sz w:val="24"/>
          <w:szCs w:val="24"/>
          <w14:textFill>
            <w14:solidFill>
              <w14:schemeClr w14:val="tx1"/>
            </w14:solidFill>
          </w14:textFill>
        </w:rPr>
      </w:pPr>
      <w:r>
        <w:rPr>
          <w:b w:val="0"/>
          <w:bCs w:val="0"/>
          <w:color w:val="000000" w:themeColor="text1"/>
          <w:sz w:val="24"/>
          <w:szCs w:val="24"/>
          <w14:textFill>
            <w14:solidFill>
              <w14:schemeClr w14:val="tx1"/>
            </w14:solidFill>
          </w14:textFill>
        </w:rPr>
        <w:t>4</w:t>
      </w:r>
      <w:r>
        <w:rPr>
          <w:rFonts w:hint="eastAsia"/>
          <w:b w:val="0"/>
          <w:bCs w:val="0"/>
          <w:color w:val="000000" w:themeColor="text1"/>
          <w:sz w:val="24"/>
          <w:szCs w:val="24"/>
          <w14:textFill>
            <w14:solidFill>
              <w14:schemeClr w14:val="tx1"/>
            </w14:solidFill>
          </w14:textFill>
        </w:rPr>
        <w:t>、估价对象实地查勘记录。</w:t>
      </w:r>
    </w:p>
    <w:p>
      <w:pPr>
        <w:pStyle w:val="18"/>
        <w:spacing w:line="500" w:lineRule="exact"/>
        <w:ind w:firstLine="480" w:firstLineChars="200"/>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5、本公司掌握和搜集的有关资料。</w:t>
      </w:r>
    </w:p>
    <w:p>
      <w:pPr>
        <w:spacing w:line="500" w:lineRule="exact"/>
        <w:ind w:firstLine="480" w:firstLineChars="200"/>
        <w:outlineLvl w:val="1"/>
        <w:rPr>
          <w:rFonts w:ascii="宋体" w:hAnsi="宋体" w:cs="宋体"/>
          <w:b/>
          <w:color w:val="000000" w:themeColor="text1"/>
          <w:sz w:val="24"/>
          <w:szCs w:val="24"/>
          <w14:textFill>
            <w14:solidFill>
              <w14:schemeClr w14:val="tx1"/>
            </w14:solidFill>
          </w14:textFill>
        </w:rPr>
      </w:pPr>
      <w:bookmarkStart w:id="106" w:name="_Toc435111913"/>
      <w:bookmarkStart w:id="107" w:name="_Toc3900558"/>
      <w:bookmarkStart w:id="108" w:name="_Toc435111914"/>
      <w:r>
        <w:rPr>
          <w:rFonts w:hint="eastAsia" w:ascii="宋体" w:hAnsi="宋体" w:cs="宋体"/>
          <w:b/>
          <w:color w:val="000000" w:themeColor="text1"/>
          <w:sz w:val="24"/>
          <w:szCs w:val="24"/>
          <w14:textFill>
            <w14:solidFill>
              <w14:schemeClr w14:val="tx1"/>
            </w14:solidFill>
          </w14:textFill>
        </w:rPr>
        <w:t>（九）估价方法</w:t>
      </w:r>
      <w:bookmarkEnd w:id="106"/>
      <w:bookmarkEnd w:id="107"/>
    </w:p>
    <w:p>
      <w:pPr>
        <w:pStyle w:val="19"/>
        <w:spacing w:line="360" w:lineRule="auto"/>
        <w:ind w:firstLine="480" w:firstLineChars="200"/>
        <w:rPr>
          <w:rFonts w:ascii="黑体" w:hAnsi="黑体" w:eastAsia="黑体"/>
          <w:color w:val="000000" w:themeColor="text1"/>
          <w:sz w:val="24"/>
          <w:szCs w:val="24"/>
          <w14:textFill>
            <w14:solidFill>
              <w14:schemeClr w14:val="tx1"/>
            </w14:solidFill>
          </w14:textFill>
        </w:rPr>
      </w:pPr>
      <w:bookmarkStart w:id="109" w:name="_Hlk522196137"/>
      <w:bookmarkStart w:id="110" w:name="_Hlk531616344"/>
      <w:r>
        <w:rPr>
          <w:rFonts w:ascii="黑体" w:hAnsi="黑体" w:eastAsia="黑体"/>
          <w:color w:val="000000" w:themeColor="text1"/>
          <w:sz w:val="24"/>
          <w:szCs w:val="24"/>
          <w14:textFill>
            <w14:solidFill>
              <w14:schemeClr w14:val="tx1"/>
            </w14:solidFill>
          </w14:textFill>
        </w:rPr>
        <w:t>1</w:t>
      </w:r>
      <w:r>
        <w:rPr>
          <w:rFonts w:hint="eastAsia" w:ascii="黑体" w:hAnsi="黑体" w:eastAsia="黑体"/>
          <w:color w:val="000000" w:themeColor="text1"/>
          <w:sz w:val="24"/>
          <w:szCs w:val="24"/>
          <w14:textFill>
            <w14:solidFill>
              <w14:schemeClr w14:val="tx1"/>
            </w14:solidFill>
          </w14:textFill>
        </w:rPr>
        <w:t>、估价技术路线</w:t>
      </w:r>
    </w:p>
    <w:p>
      <w:pPr>
        <w:pStyle w:val="19"/>
        <w:spacing w:line="360" w:lineRule="auto"/>
        <w:ind w:firstLine="480" w:firstLineChars="200"/>
        <w:rPr>
          <w:color w:val="000000" w:themeColor="text1"/>
          <w:sz w:val="24"/>
          <w:szCs w:val="24"/>
          <w14:textFill>
            <w14:solidFill>
              <w14:schemeClr w14:val="tx1"/>
            </w14:solidFill>
          </w14:textFill>
        </w:rPr>
      </w:pPr>
      <w:bookmarkStart w:id="111" w:name="_Hlk527568867"/>
      <w:r>
        <w:rPr>
          <w:rFonts w:hint="eastAsia"/>
          <w:color w:val="000000" w:themeColor="text1"/>
          <w:sz w:val="24"/>
          <w:szCs w:val="24"/>
          <w14:textFill>
            <w14:solidFill>
              <w14:schemeClr w14:val="tx1"/>
            </w14:solidFill>
          </w14:textFill>
        </w:rPr>
        <w:t>本次估价目的系</w:t>
      </w:r>
      <w:r>
        <w:rPr>
          <w:rFonts w:hint="eastAsia"/>
          <w:b w:val="0"/>
          <w:bCs w:val="0"/>
          <w:color w:val="000000" w:themeColor="text1"/>
          <w:sz w:val="24"/>
          <w:szCs w:val="24"/>
          <w:lang w:val="en-US" w:eastAsia="zh-CN"/>
          <w14:textFill>
            <w14:solidFill>
              <w14:schemeClr w14:val="tx1"/>
            </w14:solidFill>
          </w14:textFill>
        </w:rPr>
        <w:t>为司法拍卖（变卖）提供房地产市场价值参考依据</w:t>
      </w:r>
      <w:r>
        <w:rPr>
          <w:rFonts w:hint="eastAsia"/>
          <w:color w:val="000000" w:themeColor="text1"/>
          <w:sz w:val="24"/>
          <w:szCs w:val="24"/>
          <w14:textFill>
            <w14:solidFill>
              <w14:schemeClr w14:val="tx1"/>
            </w14:solidFill>
          </w14:textFill>
        </w:rPr>
        <w:t>。</w:t>
      </w:r>
    </w:p>
    <w:bookmarkEnd w:id="111"/>
    <w:p>
      <w:pPr>
        <w:pStyle w:val="19"/>
        <w:spacing w:line="360" w:lineRule="auto"/>
        <w:ind w:firstLine="480" w:firstLineChars="200"/>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2、</w:t>
      </w:r>
      <w:bookmarkStart w:id="112" w:name="_Hlk527568880"/>
      <w:r>
        <w:rPr>
          <w:rFonts w:hint="eastAsia" w:ascii="黑体" w:hAnsi="黑体" w:eastAsia="黑体"/>
          <w:color w:val="000000" w:themeColor="text1"/>
          <w:sz w:val="24"/>
          <w:szCs w:val="24"/>
          <w:lang w:val="en-US" w:eastAsia="zh-CN"/>
          <w14:textFill>
            <w14:solidFill>
              <w14:schemeClr w14:val="tx1"/>
            </w14:solidFill>
          </w14:textFill>
        </w:rPr>
        <w:t>房地产</w:t>
      </w:r>
      <w:r>
        <w:rPr>
          <w:rFonts w:hint="eastAsia" w:ascii="黑体" w:hAnsi="黑体" w:eastAsia="黑体"/>
          <w:color w:val="000000" w:themeColor="text1"/>
          <w:sz w:val="24"/>
          <w:szCs w:val="24"/>
          <w14:textFill>
            <w14:solidFill>
              <w14:schemeClr w14:val="tx1"/>
            </w14:solidFill>
          </w14:textFill>
        </w:rPr>
        <w:t>估价方法适用性分析</w:t>
      </w:r>
      <w:bookmarkEnd w:id="112"/>
    </w:p>
    <w:p>
      <w:pPr>
        <w:pStyle w:val="19"/>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房地产估价的常用方法有比较法、收益法、成本法、假设开发法等，估价方法的选用应符合《房地产估价规范》（</w:t>
      </w:r>
      <w:r>
        <w:rPr>
          <w:color w:val="000000" w:themeColor="text1"/>
          <w:sz w:val="24"/>
          <w:szCs w:val="24"/>
          <w14:textFill>
            <w14:solidFill>
              <w14:schemeClr w14:val="tx1"/>
            </w14:solidFill>
          </w14:textFill>
        </w:rPr>
        <w:t>GB/T50291-2015</w:t>
      </w:r>
      <w:r>
        <w:rPr>
          <w:rFonts w:hint="eastAsia"/>
          <w:color w:val="000000" w:themeColor="text1"/>
          <w:sz w:val="24"/>
          <w:szCs w:val="24"/>
          <w14:textFill>
            <w14:solidFill>
              <w14:schemeClr w14:val="tx1"/>
            </w14:solidFill>
          </w14:textFill>
        </w:rPr>
        <w:t>）的有关规定。</w:t>
      </w:r>
    </w:p>
    <w:p>
      <w:pPr>
        <w:pStyle w:val="19"/>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（1）估价方法的定义</w:t>
      </w:r>
    </w:p>
    <w:p>
      <w:pPr>
        <w:pStyle w:val="19"/>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比较法的定义为：将估价对象与在价值时点近期有过交易的类似房地产进行比较，对这些类似房地产的已知价格作适当的修正，以此估算估价对象的客观合理价格或价值的方法。在房地产市场比较发达的情况下，是一种说服力强、适用范围广的估价方法。</w:t>
      </w:r>
    </w:p>
    <w:p>
      <w:pPr>
        <w:pStyle w:val="19"/>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收益法的定义为：预计估价对象未来的正常净收益，选用适当的资本化率将其折现到价值时点后累加，以此估算估价对象的客观合理价格或价值的方法。适用于有收益或有潜在收益的房地产的估价。</w:t>
      </w:r>
    </w:p>
    <w:p>
      <w:pPr>
        <w:pStyle w:val="19"/>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假设开发法的定义为：预计估价对象开发完成后的价值，扣除预计的正常开发成本，税费和利润等，以此估算估价对象的客观合理价格或价值的方法。主要适用于具有投资开发或再开发潜力的房地产的估价。</w:t>
      </w:r>
    </w:p>
    <w:p>
      <w:pPr>
        <w:pStyle w:val="19"/>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成本法定义为：求取估价对象在价值时点的重置价格或重建价格，扣除折旧，以此估算估价对象的客观合理价格或价值的方法。在无市场依据或市场依据不充分而不宜采用比较法、收益法、假设开发法进行估价的情况下，可采用成本法作为主要的估价方法。</w:t>
      </w:r>
    </w:p>
    <w:p>
      <w:pPr>
        <w:pStyle w:val="19"/>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（2）估价方法的选择要求</w:t>
      </w:r>
    </w:p>
    <w:p>
      <w:pPr>
        <w:pStyle w:val="19"/>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估价方法选用应按照《房地产估价技术规范》（GB/T50291-2015）要求，根据估价对象及其所在地的房地产市场状况等客观条件，对各种估价方法进行适用性分析，并符合以下规定：</w:t>
      </w:r>
    </w:p>
    <w:p>
      <w:pPr>
        <w:pStyle w:val="19"/>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A、估价对象的同类房地产有较多交易的，应选用比较法。</w:t>
      </w:r>
    </w:p>
    <w:p>
      <w:pPr>
        <w:pStyle w:val="19"/>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B、估价对象或其同类房地产通常有租金等经济收入的，应选用收益法。</w:t>
      </w:r>
    </w:p>
    <w:p>
      <w:pPr>
        <w:pStyle w:val="19"/>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C、估价对象可假定为独立的开发建设项目进行重新开发建设的，宜选用成本法；当估价对象的同类房地产没有交易或交易很少，且估价对象或其同类房地产没有租金等经济收入时，应选用成本法。</w:t>
      </w:r>
    </w:p>
    <w:p>
      <w:pPr>
        <w:pStyle w:val="19"/>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D、估价对象具有开发或再开发潜力且开发完成后的价值可以采用除成本法以外的方法测算的，应选用假设开发法。</w:t>
      </w:r>
    </w:p>
    <w:p>
      <w:pPr>
        <w:pStyle w:val="19"/>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（3）估价方法的选用</w:t>
      </w:r>
    </w:p>
    <w:p>
      <w:pPr>
        <w:pStyle w:val="19"/>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A、估价对象所处区域</w:t>
      </w:r>
      <w:r>
        <w:rPr>
          <w:rFonts w:ascii="宋体" w:hAnsi="宋体"/>
          <w:color w:val="000000" w:themeColor="text1"/>
          <w:sz w:val="24"/>
          <w:szCs w:val="24"/>
          <w14:textFill>
            <w14:solidFill>
              <w14:schemeClr w14:val="tx1"/>
            </w14:solidFill>
          </w14:textFill>
        </w:rPr>
        <w:t>与估价对象类似、可比的</w:t>
      </w:r>
      <w:r>
        <w:rPr>
          <w:rFonts w:hint="eastAsia" w:ascii="宋体" w:hAnsi="宋体"/>
          <w:color w:val="000000" w:themeColor="text1"/>
          <w:sz w:val="24"/>
          <w:szCs w:val="24"/>
          <w14:textFill>
            <w14:solidFill>
              <w14:schemeClr w14:val="tx1"/>
            </w14:solidFill>
          </w14:textFill>
        </w:rPr>
        <w:t>住宅用房交易案例较多</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故本次评估可采用比较法对估价对象进行评估。</w:t>
      </w:r>
    </w:p>
    <w:p>
      <w:pPr>
        <w:pStyle w:val="19"/>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B、据估价人员调查，虽然与估价对象类似的住宅用房对外租赁情况较多，但区域租售比较低，收益价值无法反映估价对象市场价值，故此次评估估价对象不采用收益法进行评估</w:t>
      </w:r>
      <w:r>
        <w:rPr>
          <w:rFonts w:ascii="宋体" w:hAnsi="宋体"/>
          <w:color w:val="000000" w:themeColor="text1"/>
          <w:sz w:val="24"/>
          <w:szCs w:val="24"/>
          <w14:textFill>
            <w14:solidFill>
              <w14:schemeClr w14:val="tx1"/>
            </w14:solidFill>
          </w14:textFill>
        </w:rPr>
        <w:t>。</w:t>
      </w:r>
    </w:p>
    <w:p>
      <w:pPr>
        <w:pStyle w:val="19"/>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C、估价对象为已建成并已投入使用的房地产，经规划、房地产等管理部门的验收，房地产在合法原则下能够得到最高最佳使用，故不宜采用假设开发法进行评估。</w:t>
      </w:r>
    </w:p>
    <w:p>
      <w:pPr>
        <w:pStyle w:val="19"/>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D、估价对象作为住宅用房，影响价格高低主要的因素是房地产市场供求关系，而不是房地产开发建设成本高低，运用成本法计算出来结果不能反应其市场接受程度，故不宜采用成本法进行评估。</w:t>
      </w:r>
    </w:p>
    <w:p>
      <w:pPr>
        <w:pStyle w:val="19"/>
        <w:spacing w:line="360" w:lineRule="auto"/>
        <w:ind w:firstLine="480" w:firstLineChars="200"/>
        <w:rPr>
          <w:rFonts w:hint="eastAsia"/>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根据本公司掌握的有关资料，同时结合估</w:t>
      </w:r>
      <w:r>
        <w:rPr>
          <w:color w:val="000000" w:themeColor="text1"/>
          <w:sz w:val="24"/>
          <w:szCs w:val="24"/>
          <w14:textFill>
            <w14:solidFill>
              <w14:schemeClr w14:val="tx1"/>
            </w14:solidFill>
          </w14:textFill>
        </w:rPr>
        <w:t>价对象的具体情况，本报告</w:t>
      </w:r>
      <w:r>
        <w:rPr>
          <w:rFonts w:hint="eastAsia"/>
          <w:color w:val="000000" w:themeColor="text1"/>
          <w:sz w:val="24"/>
          <w:szCs w:val="24"/>
          <w14:textFill>
            <w14:solidFill>
              <w14:schemeClr w14:val="tx1"/>
            </w14:solidFill>
          </w14:textFill>
        </w:rPr>
        <w:t>估价对象</w:t>
      </w:r>
      <w:r>
        <w:rPr>
          <w:color w:val="000000" w:themeColor="text1"/>
          <w:sz w:val="24"/>
          <w:szCs w:val="24"/>
          <w14:textFill>
            <w14:solidFill>
              <w14:schemeClr w14:val="tx1"/>
            </w14:solidFill>
          </w14:textFill>
        </w:rPr>
        <w:t>采用</w:t>
      </w:r>
      <w:r>
        <w:rPr>
          <w:rFonts w:hint="eastAsia"/>
          <w:color w:val="000000" w:themeColor="text1"/>
          <w:sz w:val="24"/>
          <w:szCs w:val="24"/>
          <w14:textFill>
            <w14:solidFill>
              <w14:schemeClr w14:val="tx1"/>
            </w14:solidFill>
          </w14:textFill>
        </w:rPr>
        <w:t>比较法进行评估。</w:t>
      </w:r>
    </w:p>
    <w:p>
      <w:pPr>
        <w:numPr>
          <w:ilvl w:val="0"/>
          <w:numId w:val="3"/>
        </w:numPr>
        <w:tabs>
          <w:tab w:val="left" w:pos="8340"/>
        </w:tabs>
        <w:spacing w:line="500" w:lineRule="exact"/>
        <w:ind w:firstLine="480" w:firstLineChars="200"/>
        <w:rPr>
          <w:rFonts w:hint="eastAsia" w:ascii="黑体" w:eastAsia="黑体" w:cs="黑体"/>
          <w:color w:val="000000"/>
          <w:sz w:val="24"/>
          <w:szCs w:val="24"/>
          <w:lang w:val="en-US" w:eastAsia="zh-CN"/>
        </w:rPr>
      </w:pPr>
      <w:r>
        <w:rPr>
          <w:rFonts w:hint="eastAsia" w:ascii="黑体" w:eastAsia="黑体" w:cs="黑体"/>
          <w:color w:val="000000"/>
          <w:sz w:val="24"/>
          <w:szCs w:val="24"/>
          <w:lang w:val="en-US" w:eastAsia="zh-CN"/>
        </w:rPr>
        <w:t>家具家电评估方法</w:t>
      </w:r>
    </w:p>
    <w:p>
      <w:pPr>
        <w:tabs>
          <w:tab w:val="left" w:pos="1005"/>
        </w:tabs>
        <w:spacing w:line="360" w:lineRule="auto"/>
        <w:ind w:firstLine="480" w:firstLineChars="200"/>
        <w:rPr>
          <w:rFonts w:hint="default" w:ascii="黑体" w:eastAsia="宋体" w:cs="黑体"/>
          <w:color w:val="000000"/>
          <w:sz w:val="24"/>
          <w:szCs w:val="24"/>
          <w:lang w:val="en-US" w:eastAsia="zh-CN"/>
        </w:rPr>
      </w:pPr>
      <w:r>
        <w:rPr>
          <w:rFonts w:hint="eastAsia" w:ascii="宋体" w:hAnsi="宋体"/>
          <w:color w:val="000000" w:themeColor="text1"/>
          <w:kern w:val="0"/>
          <w:sz w:val="24"/>
          <w14:textFill>
            <w14:solidFill>
              <w14:schemeClr w14:val="tx1"/>
            </w14:solidFill>
          </w14:textFill>
        </w:rPr>
        <w:t>本次估价，估价对象中的</w:t>
      </w:r>
      <w:r>
        <w:rPr>
          <w:rFonts w:hint="eastAsia" w:ascii="宋体" w:hAnsi="宋体"/>
          <w:color w:val="000000" w:themeColor="text1"/>
          <w:kern w:val="0"/>
          <w:sz w:val="24"/>
          <w:lang w:val="en-US" w:eastAsia="zh-CN"/>
          <w14:textFill>
            <w14:solidFill>
              <w14:schemeClr w14:val="tx1"/>
            </w14:solidFill>
          </w14:textFill>
        </w:rPr>
        <w:t>家具家电</w:t>
      </w:r>
      <w:r>
        <w:rPr>
          <w:rFonts w:hint="eastAsia" w:ascii="宋体" w:hAnsi="宋体"/>
          <w:color w:val="000000" w:themeColor="text1"/>
          <w:kern w:val="0"/>
          <w:sz w:val="24"/>
          <w14:textFill>
            <w14:solidFill>
              <w14:schemeClr w14:val="tx1"/>
            </w14:solidFill>
          </w14:textFill>
        </w:rPr>
        <w:t>的价值采用市场询价的方式。估价人员通过向二手家具</w:t>
      </w:r>
      <w:r>
        <w:rPr>
          <w:rFonts w:hint="eastAsia" w:ascii="宋体" w:hAnsi="宋体"/>
          <w:color w:val="000000" w:themeColor="text1"/>
          <w:kern w:val="0"/>
          <w:sz w:val="24"/>
          <w:lang w:val="en-US" w:eastAsia="zh-CN"/>
          <w14:textFill>
            <w14:solidFill>
              <w14:schemeClr w14:val="tx1"/>
            </w14:solidFill>
          </w14:textFill>
        </w:rPr>
        <w:t>家电</w:t>
      </w:r>
      <w:r>
        <w:rPr>
          <w:rFonts w:hint="eastAsia" w:ascii="宋体" w:hAnsi="宋体"/>
          <w:color w:val="000000" w:themeColor="text1"/>
          <w:kern w:val="0"/>
          <w:sz w:val="24"/>
          <w14:textFill>
            <w14:solidFill>
              <w14:schemeClr w14:val="tx1"/>
            </w14:solidFill>
          </w14:textFill>
        </w:rPr>
        <w:t>回收厂家进行询价</w:t>
      </w:r>
      <w:r>
        <w:rPr>
          <w:rFonts w:hint="eastAsia" w:ascii="宋体" w:hAnsi="宋体"/>
          <w:color w:val="000000" w:themeColor="text1"/>
          <w:kern w:val="0"/>
          <w:sz w:val="24"/>
          <w:lang w:val="en-US" w:eastAsia="zh-CN"/>
          <w14:textFill>
            <w14:solidFill>
              <w14:schemeClr w14:val="tx1"/>
            </w14:solidFill>
          </w14:textFill>
        </w:rPr>
        <w:t>来确定市场价值。</w:t>
      </w:r>
    </w:p>
    <w:bookmarkEnd w:id="109"/>
    <w:p>
      <w:pPr>
        <w:numPr>
          <w:ilvl w:val="0"/>
          <w:numId w:val="3"/>
        </w:numPr>
        <w:tabs>
          <w:tab w:val="left" w:pos="8340"/>
        </w:tabs>
        <w:spacing w:line="500" w:lineRule="exact"/>
        <w:ind w:firstLine="480" w:firstLineChars="200"/>
        <w:rPr>
          <w:rFonts w:ascii="黑体" w:eastAsia="黑体"/>
          <w:color w:val="000000"/>
          <w:sz w:val="24"/>
          <w:szCs w:val="24"/>
        </w:rPr>
      </w:pPr>
      <w:bookmarkStart w:id="113" w:name="_Hlk522196163"/>
      <w:bookmarkStart w:id="114" w:name="_Hlk521509919"/>
      <w:r>
        <w:rPr>
          <w:rFonts w:hint="eastAsia" w:ascii="黑体" w:eastAsia="黑体" w:cs="黑体"/>
          <w:color w:val="000000"/>
          <w:sz w:val="24"/>
          <w:szCs w:val="24"/>
        </w:rPr>
        <w:t>估价</w:t>
      </w:r>
      <w:r>
        <w:rPr>
          <w:rFonts w:hint="eastAsia" w:ascii="黑体" w:eastAsia="黑体" w:cs="黑体"/>
          <w:color w:val="000000"/>
          <w:sz w:val="24"/>
          <w:szCs w:val="24"/>
          <w:lang w:val="en-US" w:eastAsia="zh-CN"/>
        </w:rPr>
        <w:t>测算</w:t>
      </w:r>
      <w:r>
        <w:rPr>
          <w:rFonts w:hint="eastAsia" w:ascii="黑体" w:eastAsia="黑体" w:cs="黑体"/>
          <w:color w:val="000000"/>
          <w:sz w:val="24"/>
          <w:szCs w:val="24"/>
        </w:rPr>
        <w:t>过程</w:t>
      </w:r>
    </w:p>
    <w:p>
      <w:pPr>
        <w:tabs>
          <w:tab w:val="left" w:pos="1005"/>
        </w:tabs>
        <w:spacing w:line="360" w:lineRule="auto"/>
        <w:ind w:firstLine="480" w:firstLineChars="200"/>
        <w:rPr>
          <w:rFonts w:ascii="宋体" w:hAnsi="宋体"/>
          <w:color w:val="000000" w:themeColor="text1"/>
          <w:sz w:val="24"/>
          <w:szCs w:val="24"/>
          <w14:textFill>
            <w14:solidFill>
              <w14:schemeClr w14:val="tx1"/>
            </w14:solidFill>
          </w14:textFill>
        </w:rPr>
      </w:pPr>
      <w:bookmarkStart w:id="115" w:name="_Hlk522196884"/>
      <w:r>
        <w:rPr>
          <w:rFonts w:hint="eastAsia" w:ascii="宋体" w:hAnsi="宋体"/>
          <w:kern w:val="0"/>
          <w:sz w:val="24"/>
        </w:rPr>
        <w:t>比较法的</w:t>
      </w:r>
      <w:bookmarkEnd w:id="115"/>
      <w:r>
        <w:rPr>
          <w:rFonts w:hint="eastAsia" w:ascii="宋体" w:hAnsi="宋体"/>
          <w:kern w:val="0"/>
          <w:sz w:val="24"/>
        </w:rPr>
        <w:t>测算过程：</w:t>
      </w:r>
    </w:p>
    <w:p>
      <w:pPr>
        <w:tabs>
          <w:tab w:val="left" w:pos="1005"/>
        </w:tabs>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步骤：①搜集交易实例；②选取可比实例；③建立价格比较基础；④进行交易情况修正；⑤进行交易日期修正；⑥进行权益状况因素修正；⑦进行区位状况因素修正；⑧进行实物状况因素修正；⑨求出比准价格。</w:t>
      </w:r>
    </w:p>
    <w:p>
      <w:pPr>
        <w:pStyle w:val="13"/>
        <w:spacing w:line="360" w:lineRule="auto"/>
        <w:ind w:firstLine="360" w:firstLineChars="15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基本公式：估价对象比准价格=可比实例房地产的交易价格×交易情况修正系数×交易日期修正系数×权益状况因素修正系数×区位状况因素修正系数×实物状况因素修正系数</w:t>
      </w:r>
      <w:bookmarkEnd w:id="110"/>
    </w:p>
    <w:bookmarkEnd w:id="113"/>
    <w:bookmarkEnd w:id="114"/>
    <w:p>
      <w:pPr>
        <w:spacing w:line="500" w:lineRule="exact"/>
        <w:ind w:firstLine="480" w:firstLineChars="200"/>
        <w:outlineLvl w:val="1"/>
        <w:rPr>
          <w:rFonts w:ascii="宋体" w:hAnsi="宋体" w:cs="宋体"/>
          <w:b/>
          <w:color w:val="000000" w:themeColor="text1"/>
          <w:sz w:val="24"/>
          <w:szCs w:val="24"/>
          <w14:textFill>
            <w14:solidFill>
              <w14:schemeClr w14:val="tx1"/>
            </w14:solidFill>
          </w14:textFill>
        </w:rPr>
      </w:pPr>
      <w:bookmarkStart w:id="116" w:name="_Toc3900559"/>
      <w:r>
        <w:rPr>
          <w:rFonts w:hint="eastAsia" w:ascii="宋体" w:hAnsi="宋体" w:cs="宋体"/>
          <w:b/>
          <w:color w:val="000000" w:themeColor="text1"/>
          <w:sz w:val="24"/>
          <w:szCs w:val="24"/>
          <w14:textFill>
            <w14:solidFill>
              <w14:schemeClr w14:val="tx1"/>
            </w14:solidFill>
          </w14:textFill>
        </w:rPr>
        <w:t>（十）估价结果</w:t>
      </w:r>
      <w:bookmarkEnd w:id="108"/>
      <w:bookmarkEnd w:id="116"/>
    </w:p>
    <w:p>
      <w:pPr>
        <w:pStyle w:val="19"/>
        <w:autoSpaceDE/>
        <w:autoSpaceDN/>
        <w:adjustRightInd/>
        <w:spacing w:line="500" w:lineRule="exact"/>
        <w:ind w:firstLine="484" w:firstLineChars="202"/>
        <w:textAlignment w:val="auto"/>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历经上述评估程序和评估方法后，最后确定估价对象在价值时点</w:t>
      </w:r>
      <w:r>
        <w:rPr>
          <w:rFonts w:hint="eastAsia"/>
          <w:color w:val="000000" w:themeColor="text1"/>
          <w:sz w:val="24"/>
          <w:szCs w:val="24"/>
          <w:lang w:eastAsia="zh-CN"/>
          <w14:textFill>
            <w14:solidFill>
              <w14:schemeClr w14:val="tx1"/>
            </w14:solidFill>
          </w14:textFill>
        </w:rPr>
        <w:t>2021年4月1日</w:t>
      </w:r>
      <w:r>
        <w:rPr>
          <w:rFonts w:hint="eastAsia" w:cs="宋体"/>
          <w:color w:val="000000" w:themeColor="text1"/>
          <w:sz w:val="24"/>
          <w:szCs w:val="24"/>
          <w14:textFill>
            <w14:solidFill>
              <w14:schemeClr w14:val="tx1"/>
            </w14:solidFill>
          </w14:textFill>
        </w:rPr>
        <w:t>的评估价值为：</w:t>
      </w:r>
      <w:bookmarkStart w:id="117" w:name="_Toc435111916"/>
    </w:p>
    <w:p>
      <w:pPr>
        <w:pStyle w:val="19"/>
        <w:autoSpaceDE/>
        <w:autoSpaceDN/>
        <w:adjustRightInd/>
        <w:spacing w:line="500" w:lineRule="exact"/>
        <w:ind w:firstLine="484" w:firstLineChars="202"/>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评估总价：人民币（小写）</w:t>
      </w:r>
      <w:r>
        <w:rPr>
          <w:rFonts w:hint="eastAsia"/>
          <w:color w:val="000000" w:themeColor="text1"/>
          <w:sz w:val="24"/>
          <w:szCs w:val="24"/>
          <w:lang w:eastAsia="zh-CN"/>
          <w14:textFill>
            <w14:solidFill>
              <w14:schemeClr w14:val="tx1"/>
            </w14:solidFill>
          </w14:textFill>
        </w:rPr>
        <w:t>29.29</w:t>
      </w:r>
      <w:r>
        <w:rPr>
          <w:rFonts w:hint="eastAsia"/>
          <w:color w:val="000000" w:themeColor="text1"/>
          <w:sz w:val="24"/>
          <w:szCs w:val="24"/>
          <w14:textFill>
            <w14:solidFill>
              <w14:schemeClr w14:val="tx1"/>
            </w14:solidFill>
          </w14:textFill>
        </w:rPr>
        <w:t>万元（四舍五入至佰位）；</w:t>
      </w:r>
    </w:p>
    <w:p>
      <w:pPr>
        <w:pStyle w:val="19"/>
        <w:autoSpaceDE/>
        <w:autoSpaceDN/>
        <w:adjustRightInd/>
        <w:spacing w:line="500" w:lineRule="exact"/>
        <w:ind w:firstLine="1684" w:firstLineChars="702"/>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人民币（大写）</w:t>
      </w:r>
      <w:r>
        <w:rPr>
          <w:rFonts w:hint="eastAsia"/>
          <w:color w:val="000000" w:themeColor="text1"/>
          <w:sz w:val="24"/>
          <w:szCs w:val="24"/>
          <w:lang w:eastAsia="zh-CN"/>
          <w14:textFill>
            <w14:solidFill>
              <w14:schemeClr w14:val="tx1"/>
            </w14:solidFill>
          </w14:textFill>
        </w:rPr>
        <w:t>贰拾玖万贰仟玖佰</w:t>
      </w:r>
      <w:r>
        <w:rPr>
          <w:rFonts w:hint="eastAsia"/>
          <w:color w:val="000000" w:themeColor="text1"/>
          <w:sz w:val="24"/>
          <w:szCs w:val="24"/>
          <w14:textFill>
            <w14:solidFill>
              <w14:schemeClr w14:val="tx1"/>
            </w14:solidFill>
          </w14:textFill>
        </w:rPr>
        <w:t>元整。</w:t>
      </w:r>
    </w:p>
    <w:p>
      <w:pPr>
        <w:pStyle w:val="19"/>
        <w:autoSpaceDE/>
        <w:autoSpaceDN/>
        <w:adjustRightInd/>
        <w:spacing w:line="480" w:lineRule="auto"/>
        <w:ind w:firstLine="565" w:firstLineChars="202"/>
        <w:jc w:val="center"/>
        <w:textAlignment w:val="auto"/>
        <w:rPr>
          <w:rFonts w:hint="eastAsia"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估价结果汇总表</w:t>
      </w:r>
    </w:p>
    <w:tbl>
      <w:tblPr>
        <w:tblStyle w:val="34"/>
        <w:tblW w:w="4146"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657"/>
        <w:gridCol w:w="2940"/>
        <w:gridCol w:w="1606"/>
        <w:gridCol w:w="16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atLeast"/>
          <w:jc w:val="center"/>
        </w:trPr>
        <w:tc>
          <w:tcPr>
            <w:tcW w:w="2943" w:type="pct"/>
            <w:gridSpan w:val="2"/>
            <w:tcBorders>
              <w:top w:val="single" w:color="auto" w:sz="12" w:space="0"/>
              <w:bottom w:val="single" w:color="auto" w:sz="6" w:space="0"/>
              <w:tl2br w:val="single" w:color="auto" w:sz="8" w:space="0"/>
            </w:tcBorders>
            <w:vAlign w:val="center"/>
          </w:tcPr>
          <w:p>
            <w:pPr>
              <w:ind w:left="3600" w:hanging="3600" w:hangingChars="2000"/>
              <w:jc w:val="left"/>
              <w:rPr>
                <w:rFonts w:ascii="宋体" w:hAns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                   </w:t>
            </w: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估价对象</w:t>
            </w:r>
          </w:p>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相关结果</w:t>
            </w:r>
          </w:p>
        </w:tc>
        <w:tc>
          <w:tcPr>
            <w:tcW w:w="1028" w:type="pct"/>
            <w:vAlign w:val="center"/>
          </w:tcPr>
          <w:p>
            <w:pPr>
              <w:jc w:val="cente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住宅用房</w:t>
            </w:r>
          </w:p>
        </w:tc>
        <w:tc>
          <w:tcPr>
            <w:tcW w:w="1028"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室内财产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61" w:type="pct"/>
            <w:vMerge w:val="restart"/>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评估价值</w:t>
            </w:r>
          </w:p>
        </w:tc>
        <w:tc>
          <w:tcPr>
            <w:tcW w:w="1881"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单价（元</w:t>
            </w:r>
            <w:r>
              <w:rPr>
                <w:rFonts w:ascii="宋体" w:hAnsi="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w:t>
            </w:r>
          </w:p>
        </w:tc>
        <w:tc>
          <w:tcPr>
            <w:tcW w:w="1028" w:type="pct"/>
            <w:vAlign w:val="center"/>
          </w:tcPr>
          <w:p>
            <w:pPr>
              <w:jc w:val="cente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3735</w:t>
            </w:r>
          </w:p>
        </w:tc>
        <w:tc>
          <w:tcPr>
            <w:tcW w:w="1028"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61" w:type="pct"/>
            <w:vMerge w:val="continue"/>
            <w:vAlign w:val="center"/>
          </w:tcPr>
          <w:p>
            <w:pPr>
              <w:rPr>
                <w:rFonts w:ascii="宋体" w:hAnsi="宋体"/>
                <w:color w:val="000000" w:themeColor="text1"/>
                <w:sz w:val="18"/>
                <w:szCs w:val="18"/>
                <w14:textFill>
                  <w14:solidFill>
                    <w14:schemeClr w14:val="tx1"/>
                  </w14:solidFill>
                </w14:textFill>
              </w:rPr>
            </w:pPr>
          </w:p>
        </w:tc>
        <w:tc>
          <w:tcPr>
            <w:tcW w:w="1881" w:type="pc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总价（万元）</w:t>
            </w:r>
          </w:p>
        </w:tc>
        <w:tc>
          <w:tcPr>
            <w:tcW w:w="1028" w:type="pct"/>
            <w:vAlign w:val="center"/>
          </w:tcPr>
          <w:p>
            <w:pPr>
              <w:jc w:val="cente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28.98</w:t>
            </w:r>
          </w:p>
        </w:tc>
        <w:tc>
          <w:tcPr>
            <w:tcW w:w="1028" w:type="pct"/>
            <w:vAlign w:val="center"/>
          </w:tcPr>
          <w:p>
            <w:pPr>
              <w:jc w:val="cente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lang w:val="en-US" w:eastAsia="zh-CN"/>
                <w14:textFill>
                  <w14:solidFill>
                    <w14:schemeClr w14:val="tx1"/>
                  </w14:solidFill>
                </w14:textFill>
              </w:rPr>
              <w:t>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61" w:type="pct"/>
            <w:vMerge w:val="continue"/>
            <w:vAlign w:val="center"/>
          </w:tcPr>
          <w:p>
            <w:pPr>
              <w:rPr>
                <w:rFonts w:ascii="宋体" w:hAnsi="宋体"/>
                <w:color w:val="000000" w:themeColor="text1"/>
                <w:sz w:val="18"/>
                <w:szCs w:val="18"/>
                <w14:textFill>
                  <w14:solidFill>
                    <w14:schemeClr w14:val="tx1"/>
                  </w14:solidFill>
                </w14:textFill>
              </w:rPr>
            </w:pPr>
          </w:p>
        </w:tc>
        <w:tc>
          <w:tcPr>
            <w:tcW w:w="1881" w:type="pct"/>
            <w:vAlign w:val="center"/>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综合总价（万元）</w:t>
            </w:r>
          </w:p>
        </w:tc>
        <w:tc>
          <w:tcPr>
            <w:tcW w:w="2056" w:type="pct"/>
            <w:gridSpan w:val="2"/>
            <w:vAlign w:val="center"/>
          </w:tcPr>
          <w:p>
            <w:pPr>
              <w:jc w:val="cente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29.29</w:t>
            </w:r>
          </w:p>
        </w:tc>
      </w:tr>
    </w:tbl>
    <w:p>
      <w:pPr>
        <w:pStyle w:val="19"/>
        <w:autoSpaceDE/>
        <w:autoSpaceDN/>
        <w:adjustRightInd/>
        <w:spacing w:line="480" w:lineRule="auto"/>
        <w:ind w:firstLine="565" w:firstLineChars="202"/>
        <w:jc w:val="center"/>
        <w:textAlignment w:val="auto"/>
        <w:rPr>
          <w:rFonts w:hint="eastAsia" w:eastAsia="宋体" w:cs="宋体"/>
          <w:b w:val="0"/>
          <w:bCs/>
          <w:color w:val="000000" w:themeColor="text1"/>
          <w:lang w:val="en-US" w:eastAsia="zh-CN"/>
          <w14:textFill>
            <w14:solidFill>
              <w14:schemeClr w14:val="tx1"/>
            </w14:solidFill>
          </w14:textFill>
        </w:rPr>
      </w:pPr>
      <w:bookmarkStart w:id="118" w:name="_Toc3900560"/>
      <w:r>
        <w:rPr>
          <w:rFonts w:hint="eastAsia" w:cs="宋体"/>
          <w:b w:val="0"/>
          <w:bCs/>
          <w:color w:val="000000" w:themeColor="text1"/>
          <w14:textFill>
            <w14:solidFill>
              <w14:schemeClr w14:val="tx1"/>
            </w14:solidFill>
          </w14:textFill>
        </w:rPr>
        <w:t>估价对象</w:t>
      </w:r>
      <w:r>
        <w:rPr>
          <w:rFonts w:hint="eastAsia" w:cs="宋体"/>
          <w:b w:val="0"/>
          <w:bCs/>
          <w:color w:val="000000" w:themeColor="text1"/>
          <w:lang w:val="en-US" w:eastAsia="zh-CN"/>
          <w14:textFill>
            <w14:solidFill>
              <w14:schemeClr w14:val="tx1"/>
            </w14:solidFill>
          </w14:textFill>
        </w:rPr>
        <w:t>家具家电</w:t>
      </w:r>
      <w:r>
        <w:rPr>
          <w:rFonts w:hint="eastAsia" w:cs="宋体"/>
          <w:b w:val="0"/>
          <w:bCs/>
          <w:color w:val="000000" w:themeColor="text1"/>
          <w14:textFill>
            <w14:solidFill>
              <w14:schemeClr w14:val="tx1"/>
            </w14:solidFill>
          </w14:textFill>
        </w:rPr>
        <w:t>价格</w:t>
      </w:r>
      <w:r>
        <w:rPr>
          <w:rFonts w:hint="eastAsia" w:cs="宋体"/>
          <w:b w:val="0"/>
          <w:bCs/>
          <w:color w:val="000000" w:themeColor="text1"/>
          <w:lang w:val="en-US" w:eastAsia="zh-CN"/>
          <w14:textFill>
            <w14:solidFill>
              <w14:schemeClr w14:val="tx1"/>
            </w14:solidFill>
          </w14:textFill>
        </w:rPr>
        <w:t>明细</w:t>
      </w:r>
    </w:p>
    <w:tbl>
      <w:tblPr>
        <w:tblStyle w:val="34"/>
        <w:tblW w:w="4846" w:type="pct"/>
        <w:tblInd w:w="148" w:type="dxa"/>
        <w:shd w:val="clear" w:color="auto" w:fill="auto"/>
        <w:tblLayout w:type="autofit"/>
        <w:tblCellMar>
          <w:top w:w="0" w:type="dxa"/>
          <w:left w:w="108" w:type="dxa"/>
          <w:bottom w:w="0" w:type="dxa"/>
          <w:right w:w="108" w:type="dxa"/>
        </w:tblCellMar>
      </w:tblPr>
      <w:tblGrid>
        <w:gridCol w:w="576"/>
        <w:gridCol w:w="1139"/>
        <w:gridCol w:w="3307"/>
        <w:gridCol w:w="838"/>
        <w:gridCol w:w="765"/>
        <w:gridCol w:w="1127"/>
        <w:gridCol w:w="1375"/>
      </w:tblGrid>
      <w:tr>
        <w:tblPrEx>
          <w:shd w:val="clear" w:color="auto" w:fill="auto"/>
          <w:tblCellMar>
            <w:top w:w="0" w:type="dxa"/>
            <w:left w:w="108" w:type="dxa"/>
            <w:bottom w:w="0" w:type="dxa"/>
            <w:right w:w="108" w:type="dxa"/>
          </w:tblCellMar>
        </w:tblPrEx>
        <w:trPr>
          <w:trHeight w:val="472" w:hRule="atLeast"/>
        </w:trPr>
        <w:tc>
          <w:tcPr>
            <w:tcW w:w="315"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62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1811"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规格型号</w:t>
            </w:r>
          </w:p>
        </w:tc>
        <w:tc>
          <w:tcPr>
            <w:tcW w:w="45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41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617"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单价</w:t>
            </w:r>
            <w:r>
              <w:rPr>
                <w:rFonts w:hint="eastAsia" w:ascii="宋体" w:hAnsi="宋体" w:cs="宋体"/>
                <w:i w:val="0"/>
                <w:iCs w:val="0"/>
                <w:color w:val="000000"/>
                <w:kern w:val="0"/>
                <w:sz w:val="18"/>
                <w:szCs w:val="18"/>
                <w:u w:val="none"/>
                <w:lang w:val="en-US" w:eastAsia="zh-CN" w:bidi="ar"/>
              </w:rPr>
              <w:t>（元）</w:t>
            </w:r>
          </w:p>
        </w:tc>
        <w:tc>
          <w:tcPr>
            <w:tcW w:w="75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总价</w:t>
            </w:r>
            <w:r>
              <w:rPr>
                <w:rFonts w:hint="eastAsia" w:ascii="宋体" w:hAnsi="宋体" w:cs="宋体"/>
                <w:i w:val="0"/>
                <w:iCs w:val="0"/>
                <w:color w:val="000000"/>
                <w:kern w:val="0"/>
                <w:sz w:val="18"/>
                <w:szCs w:val="18"/>
                <w:u w:val="none"/>
                <w:lang w:val="en-US" w:eastAsia="zh-CN" w:bidi="ar"/>
              </w:rPr>
              <w:t>（元）</w:t>
            </w:r>
          </w:p>
        </w:tc>
      </w:tr>
      <w:tr>
        <w:tblPrEx>
          <w:shd w:val="clear" w:color="auto" w:fill="auto"/>
          <w:tblCellMar>
            <w:top w:w="0" w:type="dxa"/>
            <w:left w:w="108" w:type="dxa"/>
            <w:bottom w:w="0" w:type="dxa"/>
            <w:right w:w="108" w:type="dxa"/>
          </w:tblCellMar>
        </w:tblPrEx>
        <w:trPr>
          <w:trHeight w:val="272" w:hRule="atLeast"/>
        </w:trPr>
        <w:tc>
          <w:tcPr>
            <w:tcW w:w="315"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2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空调</w:t>
            </w:r>
          </w:p>
        </w:tc>
        <w:tc>
          <w:tcPr>
            <w:tcW w:w="1811"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美的立柜</w:t>
            </w:r>
          </w:p>
        </w:tc>
        <w:tc>
          <w:tcPr>
            <w:tcW w:w="45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41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17"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75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r>
      <w:tr>
        <w:tblPrEx>
          <w:tblCellMar>
            <w:top w:w="0" w:type="dxa"/>
            <w:left w:w="108" w:type="dxa"/>
            <w:bottom w:w="0" w:type="dxa"/>
            <w:right w:w="108" w:type="dxa"/>
          </w:tblCellMar>
        </w:tblPrEx>
        <w:trPr>
          <w:trHeight w:val="308" w:hRule="atLeast"/>
        </w:trPr>
        <w:tc>
          <w:tcPr>
            <w:tcW w:w="315"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2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沙发</w:t>
            </w:r>
          </w:p>
        </w:tc>
        <w:tc>
          <w:tcPr>
            <w:tcW w:w="1811"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L型沙发</w:t>
            </w:r>
          </w:p>
        </w:tc>
        <w:tc>
          <w:tcPr>
            <w:tcW w:w="45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41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17"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75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r>
      <w:tr>
        <w:tblPrEx>
          <w:shd w:val="clear" w:color="auto" w:fill="auto"/>
          <w:tblCellMar>
            <w:top w:w="0" w:type="dxa"/>
            <w:left w:w="108" w:type="dxa"/>
            <w:bottom w:w="0" w:type="dxa"/>
            <w:right w:w="108" w:type="dxa"/>
          </w:tblCellMar>
        </w:tblPrEx>
        <w:trPr>
          <w:trHeight w:val="308" w:hRule="atLeast"/>
        </w:trPr>
        <w:tc>
          <w:tcPr>
            <w:tcW w:w="315"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2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茶几</w:t>
            </w:r>
          </w:p>
        </w:tc>
        <w:tc>
          <w:tcPr>
            <w:tcW w:w="1811"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长1.31m，宽0.71m，高0.4m</w:t>
            </w:r>
          </w:p>
        </w:tc>
        <w:tc>
          <w:tcPr>
            <w:tcW w:w="45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41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17"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5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CellMar>
            <w:top w:w="0" w:type="dxa"/>
            <w:left w:w="108" w:type="dxa"/>
            <w:bottom w:w="0" w:type="dxa"/>
            <w:right w:w="108" w:type="dxa"/>
          </w:tblCellMar>
        </w:tblPrEx>
        <w:trPr>
          <w:trHeight w:val="308" w:hRule="atLeast"/>
        </w:trPr>
        <w:tc>
          <w:tcPr>
            <w:tcW w:w="315"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2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电视柜</w:t>
            </w:r>
          </w:p>
        </w:tc>
        <w:tc>
          <w:tcPr>
            <w:tcW w:w="1811"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长2.75m，宽0.44m，高0.33m</w:t>
            </w:r>
          </w:p>
        </w:tc>
        <w:tc>
          <w:tcPr>
            <w:tcW w:w="45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41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17"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5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CellMar>
            <w:top w:w="0" w:type="dxa"/>
            <w:left w:w="108" w:type="dxa"/>
            <w:bottom w:w="0" w:type="dxa"/>
            <w:right w:w="108" w:type="dxa"/>
          </w:tblCellMar>
        </w:tblPrEx>
        <w:trPr>
          <w:trHeight w:val="308" w:hRule="atLeast"/>
        </w:trPr>
        <w:tc>
          <w:tcPr>
            <w:tcW w:w="315"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2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入户柜</w:t>
            </w:r>
          </w:p>
        </w:tc>
        <w:tc>
          <w:tcPr>
            <w:tcW w:w="1811"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w:t>
            </w:r>
          </w:p>
        </w:tc>
        <w:tc>
          <w:tcPr>
            <w:tcW w:w="45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41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17"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75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r>
      <w:tr>
        <w:tblPrEx>
          <w:shd w:val="clear" w:color="auto" w:fill="auto"/>
          <w:tblCellMar>
            <w:top w:w="0" w:type="dxa"/>
            <w:left w:w="108" w:type="dxa"/>
            <w:bottom w:w="0" w:type="dxa"/>
            <w:right w:w="108" w:type="dxa"/>
          </w:tblCellMar>
        </w:tblPrEx>
        <w:trPr>
          <w:trHeight w:val="308" w:hRule="atLeast"/>
        </w:trPr>
        <w:tc>
          <w:tcPr>
            <w:tcW w:w="315"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2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鱼缸</w:t>
            </w:r>
          </w:p>
        </w:tc>
        <w:tc>
          <w:tcPr>
            <w:tcW w:w="1811"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w:t>
            </w:r>
          </w:p>
        </w:tc>
        <w:tc>
          <w:tcPr>
            <w:tcW w:w="45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1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17"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75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r>
      <w:tr>
        <w:tblPrEx>
          <w:shd w:val="clear" w:color="auto" w:fill="auto"/>
          <w:tblCellMar>
            <w:top w:w="0" w:type="dxa"/>
            <w:left w:w="108" w:type="dxa"/>
            <w:bottom w:w="0" w:type="dxa"/>
            <w:right w:w="108" w:type="dxa"/>
          </w:tblCellMar>
        </w:tblPrEx>
        <w:trPr>
          <w:trHeight w:val="308" w:hRule="atLeast"/>
        </w:trPr>
        <w:tc>
          <w:tcPr>
            <w:tcW w:w="315"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2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饭桌</w:t>
            </w:r>
          </w:p>
        </w:tc>
        <w:tc>
          <w:tcPr>
            <w:tcW w:w="1811"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长1.3m，宽0.8m，高0.75m</w:t>
            </w:r>
          </w:p>
        </w:tc>
        <w:tc>
          <w:tcPr>
            <w:tcW w:w="45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41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17"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75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r>
      <w:tr>
        <w:tblPrEx>
          <w:tblCellMar>
            <w:top w:w="0" w:type="dxa"/>
            <w:left w:w="108" w:type="dxa"/>
            <w:bottom w:w="0" w:type="dxa"/>
            <w:right w:w="108" w:type="dxa"/>
          </w:tblCellMar>
        </w:tblPrEx>
        <w:trPr>
          <w:trHeight w:val="308" w:hRule="atLeast"/>
        </w:trPr>
        <w:tc>
          <w:tcPr>
            <w:tcW w:w="315"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2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洗碗机</w:t>
            </w:r>
          </w:p>
        </w:tc>
        <w:tc>
          <w:tcPr>
            <w:tcW w:w="1811"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 xml:space="preserve">樱花牌 </w:t>
            </w:r>
          </w:p>
        </w:tc>
        <w:tc>
          <w:tcPr>
            <w:tcW w:w="45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41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17"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75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r>
      <w:tr>
        <w:tblPrEx>
          <w:tblCellMar>
            <w:top w:w="0" w:type="dxa"/>
            <w:left w:w="108" w:type="dxa"/>
            <w:bottom w:w="0" w:type="dxa"/>
            <w:right w:w="108" w:type="dxa"/>
          </w:tblCellMar>
        </w:tblPrEx>
        <w:trPr>
          <w:trHeight w:val="308" w:hRule="atLeast"/>
        </w:trPr>
        <w:tc>
          <w:tcPr>
            <w:tcW w:w="315"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2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油烟机</w:t>
            </w:r>
          </w:p>
        </w:tc>
        <w:tc>
          <w:tcPr>
            <w:tcW w:w="1811"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樱花牌</w:t>
            </w:r>
          </w:p>
        </w:tc>
        <w:tc>
          <w:tcPr>
            <w:tcW w:w="45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41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17"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75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r>
      <w:tr>
        <w:tblPrEx>
          <w:shd w:val="clear" w:color="auto" w:fill="auto"/>
          <w:tblCellMar>
            <w:top w:w="0" w:type="dxa"/>
            <w:left w:w="108" w:type="dxa"/>
            <w:bottom w:w="0" w:type="dxa"/>
            <w:right w:w="108" w:type="dxa"/>
          </w:tblCellMar>
        </w:tblPrEx>
        <w:trPr>
          <w:trHeight w:val="308" w:hRule="atLeast"/>
        </w:trPr>
        <w:tc>
          <w:tcPr>
            <w:tcW w:w="315"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2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冰箱</w:t>
            </w:r>
          </w:p>
        </w:tc>
        <w:tc>
          <w:tcPr>
            <w:tcW w:w="1811"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美菱牌</w:t>
            </w:r>
          </w:p>
        </w:tc>
        <w:tc>
          <w:tcPr>
            <w:tcW w:w="45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41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17"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5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CellMar>
            <w:top w:w="0" w:type="dxa"/>
            <w:left w:w="108" w:type="dxa"/>
            <w:bottom w:w="0" w:type="dxa"/>
            <w:right w:w="108" w:type="dxa"/>
          </w:tblCellMar>
        </w:tblPrEx>
        <w:trPr>
          <w:trHeight w:val="308" w:hRule="atLeast"/>
        </w:trPr>
        <w:tc>
          <w:tcPr>
            <w:tcW w:w="315"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62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热水器</w:t>
            </w:r>
          </w:p>
        </w:tc>
        <w:tc>
          <w:tcPr>
            <w:tcW w:w="1811"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樱花牌</w:t>
            </w:r>
          </w:p>
        </w:tc>
        <w:tc>
          <w:tcPr>
            <w:tcW w:w="45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41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17"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75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r>
      <w:tr>
        <w:tblPrEx>
          <w:shd w:val="clear" w:color="auto" w:fill="auto"/>
          <w:tblCellMar>
            <w:top w:w="0" w:type="dxa"/>
            <w:left w:w="108" w:type="dxa"/>
            <w:bottom w:w="0" w:type="dxa"/>
            <w:right w:w="108" w:type="dxa"/>
          </w:tblCellMar>
        </w:tblPrEx>
        <w:trPr>
          <w:trHeight w:val="308" w:hRule="atLeast"/>
        </w:trPr>
        <w:tc>
          <w:tcPr>
            <w:tcW w:w="315"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62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饮水机</w:t>
            </w:r>
          </w:p>
        </w:tc>
        <w:tc>
          <w:tcPr>
            <w:tcW w:w="1811"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安吉尔牌</w:t>
            </w:r>
          </w:p>
        </w:tc>
        <w:tc>
          <w:tcPr>
            <w:tcW w:w="45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41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17"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75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r>
      <w:tr>
        <w:tblPrEx>
          <w:tblCellMar>
            <w:top w:w="0" w:type="dxa"/>
            <w:left w:w="108" w:type="dxa"/>
            <w:bottom w:w="0" w:type="dxa"/>
            <w:right w:w="108" w:type="dxa"/>
          </w:tblCellMar>
        </w:tblPrEx>
        <w:trPr>
          <w:trHeight w:val="308" w:hRule="atLeast"/>
        </w:trPr>
        <w:tc>
          <w:tcPr>
            <w:tcW w:w="315"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62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衣柜</w:t>
            </w:r>
          </w:p>
        </w:tc>
        <w:tc>
          <w:tcPr>
            <w:tcW w:w="1811"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宽2m，进深0.57m，高2.2m</w:t>
            </w:r>
          </w:p>
        </w:tc>
        <w:tc>
          <w:tcPr>
            <w:tcW w:w="45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41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17"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75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r>
      <w:tr>
        <w:tblPrEx>
          <w:shd w:val="clear" w:color="auto" w:fill="auto"/>
          <w:tblCellMar>
            <w:top w:w="0" w:type="dxa"/>
            <w:left w:w="108" w:type="dxa"/>
            <w:bottom w:w="0" w:type="dxa"/>
            <w:right w:w="108" w:type="dxa"/>
          </w:tblCellMar>
        </w:tblPrEx>
        <w:trPr>
          <w:trHeight w:val="308" w:hRule="atLeast"/>
        </w:trPr>
        <w:tc>
          <w:tcPr>
            <w:tcW w:w="315"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62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床</w:t>
            </w:r>
          </w:p>
        </w:tc>
        <w:tc>
          <w:tcPr>
            <w:tcW w:w="1811"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宽1.8m，长2m</w:t>
            </w:r>
          </w:p>
        </w:tc>
        <w:tc>
          <w:tcPr>
            <w:tcW w:w="45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41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17"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75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r>
      <w:tr>
        <w:tblPrEx>
          <w:shd w:val="clear" w:color="auto" w:fill="auto"/>
          <w:tblCellMar>
            <w:top w:w="0" w:type="dxa"/>
            <w:left w:w="108" w:type="dxa"/>
            <w:bottom w:w="0" w:type="dxa"/>
            <w:right w:w="108" w:type="dxa"/>
          </w:tblCellMar>
        </w:tblPrEx>
        <w:trPr>
          <w:trHeight w:val="308" w:hRule="atLeast"/>
        </w:trPr>
        <w:tc>
          <w:tcPr>
            <w:tcW w:w="315"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62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床头柜</w:t>
            </w:r>
          </w:p>
        </w:tc>
        <w:tc>
          <w:tcPr>
            <w:tcW w:w="1811"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宽0.51m，长0.38m，高0.49m</w:t>
            </w:r>
          </w:p>
        </w:tc>
        <w:tc>
          <w:tcPr>
            <w:tcW w:w="45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41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17"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75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r>
      <w:tr>
        <w:tblPrEx>
          <w:tblCellMar>
            <w:top w:w="0" w:type="dxa"/>
            <w:left w:w="108" w:type="dxa"/>
            <w:bottom w:w="0" w:type="dxa"/>
            <w:right w:w="108" w:type="dxa"/>
          </w:tblCellMar>
        </w:tblPrEx>
        <w:trPr>
          <w:trHeight w:val="308" w:hRule="atLeast"/>
        </w:trPr>
        <w:tc>
          <w:tcPr>
            <w:tcW w:w="315"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2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梳妆台</w:t>
            </w:r>
          </w:p>
        </w:tc>
        <w:tc>
          <w:tcPr>
            <w:tcW w:w="1811"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长1.06m，高0.76m，进深0.43m</w:t>
            </w:r>
          </w:p>
        </w:tc>
        <w:tc>
          <w:tcPr>
            <w:tcW w:w="45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41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17"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75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r>
      <w:tr>
        <w:tblPrEx>
          <w:shd w:val="clear" w:color="auto" w:fill="auto"/>
          <w:tblCellMar>
            <w:top w:w="0" w:type="dxa"/>
            <w:left w:w="108" w:type="dxa"/>
            <w:bottom w:w="0" w:type="dxa"/>
            <w:right w:w="108" w:type="dxa"/>
          </w:tblCellMar>
        </w:tblPrEx>
        <w:trPr>
          <w:trHeight w:val="308" w:hRule="atLeast"/>
        </w:trPr>
        <w:tc>
          <w:tcPr>
            <w:tcW w:w="315"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62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衣帽架</w:t>
            </w:r>
          </w:p>
        </w:tc>
        <w:tc>
          <w:tcPr>
            <w:tcW w:w="1811"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w:t>
            </w:r>
          </w:p>
        </w:tc>
        <w:tc>
          <w:tcPr>
            <w:tcW w:w="45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1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17"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75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shd w:val="clear" w:color="auto" w:fill="auto"/>
          <w:tblCellMar>
            <w:top w:w="0" w:type="dxa"/>
            <w:left w:w="108" w:type="dxa"/>
            <w:bottom w:w="0" w:type="dxa"/>
            <w:right w:w="108" w:type="dxa"/>
          </w:tblCellMar>
        </w:tblPrEx>
        <w:trPr>
          <w:trHeight w:val="308" w:hRule="atLeast"/>
        </w:trPr>
        <w:tc>
          <w:tcPr>
            <w:tcW w:w="315"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62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椅子</w:t>
            </w:r>
          </w:p>
        </w:tc>
        <w:tc>
          <w:tcPr>
            <w:tcW w:w="1811"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木椅，高0.95m</w:t>
            </w:r>
          </w:p>
        </w:tc>
        <w:tc>
          <w:tcPr>
            <w:tcW w:w="45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41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17"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75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r>
      <w:tr>
        <w:tblPrEx>
          <w:tblCellMar>
            <w:top w:w="0" w:type="dxa"/>
            <w:left w:w="108" w:type="dxa"/>
            <w:bottom w:w="0" w:type="dxa"/>
            <w:right w:w="108" w:type="dxa"/>
          </w:tblCellMar>
        </w:tblPrEx>
        <w:trPr>
          <w:trHeight w:val="308" w:hRule="atLeast"/>
        </w:trPr>
        <w:tc>
          <w:tcPr>
            <w:tcW w:w="315"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62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床</w:t>
            </w:r>
          </w:p>
        </w:tc>
        <w:tc>
          <w:tcPr>
            <w:tcW w:w="1811"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宽1.5m，长2m</w:t>
            </w:r>
          </w:p>
        </w:tc>
        <w:tc>
          <w:tcPr>
            <w:tcW w:w="45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41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17"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5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CellMar>
            <w:top w:w="0" w:type="dxa"/>
            <w:left w:w="108" w:type="dxa"/>
            <w:bottom w:w="0" w:type="dxa"/>
            <w:right w:w="108" w:type="dxa"/>
          </w:tblCellMar>
        </w:tblPrEx>
        <w:trPr>
          <w:trHeight w:val="308" w:hRule="atLeast"/>
        </w:trPr>
        <w:tc>
          <w:tcPr>
            <w:tcW w:w="315"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62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衣柜</w:t>
            </w:r>
          </w:p>
        </w:tc>
        <w:tc>
          <w:tcPr>
            <w:tcW w:w="1811"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宽1.6m，进深0.6m，高2m</w:t>
            </w:r>
          </w:p>
        </w:tc>
        <w:tc>
          <w:tcPr>
            <w:tcW w:w="45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41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17"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75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r>
      <w:tr>
        <w:tblPrEx>
          <w:tblCellMar>
            <w:top w:w="0" w:type="dxa"/>
            <w:left w:w="108" w:type="dxa"/>
            <w:bottom w:w="0" w:type="dxa"/>
            <w:right w:w="108" w:type="dxa"/>
          </w:tblCellMar>
        </w:tblPrEx>
        <w:trPr>
          <w:trHeight w:val="308" w:hRule="atLeast"/>
        </w:trPr>
        <w:tc>
          <w:tcPr>
            <w:tcW w:w="315"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62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床头柜</w:t>
            </w:r>
          </w:p>
        </w:tc>
        <w:tc>
          <w:tcPr>
            <w:tcW w:w="1811"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宽0.58m，进深0.4m，高0.58m</w:t>
            </w:r>
          </w:p>
        </w:tc>
        <w:tc>
          <w:tcPr>
            <w:tcW w:w="45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41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17"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75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r>
      <w:tr>
        <w:tblPrEx>
          <w:shd w:val="clear" w:color="auto" w:fill="auto"/>
          <w:tblCellMar>
            <w:top w:w="0" w:type="dxa"/>
            <w:left w:w="108" w:type="dxa"/>
            <w:bottom w:w="0" w:type="dxa"/>
            <w:right w:w="108" w:type="dxa"/>
          </w:tblCellMar>
        </w:tblPrEx>
        <w:trPr>
          <w:trHeight w:val="308" w:hRule="atLeast"/>
        </w:trPr>
        <w:tc>
          <w:tcPr>
            <w:tcW w:w="315"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62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空调</w:t>
            </w:r>
          </w:p>
        </w:tc>
        <w:tc>
          <w:tcPr>
            <w:tcW w:w="1811"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美的挂式</w:t>
            </w:r>
          </w:p>
        </w:tc>
        <w:tc>
          <w:tcPr>
            <w:tcW w:w="45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41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17"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75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r>
      <w:tr>
        <w:tblPrEx>
          <w:tblCellMar>
            <w:top w:w="0" w:type="dxa"/>
            <w:left w:w="108" w:type="dxa"/>
            <w:bottom w:w="0" w:type="dxa"/>
            <w:right w:w="108" w:type="dxa"/>
          </w:tblCellMar>
        </w:tblPrEx>
        <w:trPr>
          <w:trHeight w:val="308" w:hRule="atLeast"/>
        </w:trPr>
        <w:tc>
          <w:tcPr>
            <w:tcW w:w="315"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62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空调</w:t>
            </w:r>
          </w:p>
        </w:tc>
        <w:tc>
          <w:tcPr>
            <w:tcW w:w="1811"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格力挂式</w:t>
            </w:r>
          </w:p>
        </w:tc>
        <w:tc>
          <w:tcPr>
            <w:tcW w:w="45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41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17"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75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r>
      <w:tr>
        <w:tblPrEx>
          <w:tblCellMar>
            <w:top w:w="0" w:type="dxa"/>
            <w:left w:w="108" w:type="dxa"/>
            <w:bottom w:w="0" w:type="dxa"/>
            <w:right w:w="108" w:type="dxa"/>
          </w:tblCellMar>
        </w:tblPrEx>
        <w:trPr>
          <w:trHeight w:val="362" w:hRule="atLeast"/>
        </w:trPr>
        <w:tc>
          <w:tcPr>
            <w:tcW w:w="939" w:type="pct"/>
            <w:gridSpan w:val="2"/>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汇总</w:t>
            </w:r>
          </w:p>
        </w:tc>
        <w:tc>
          <w:tcPr>
            <w:tcW w:w="1811"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kinsoku/>
              <w:wordWrap/>
              <w:overflowPunct/>
              <w:topLinePunct w:val="0"/>
              <w:bidi w:val="0"/>
              <w:snapToGrid/>
              <w:spacing w:line="240" w:lineRule="auto"/>
              <w:jc w:val="center"/>
              <w:rPr>
                <w:rFonts w:hint="eastAsia" w:ascii="宋体" w:hAnsi="宋体" w:eastAsia="宋体" w:cs="宋体"/>
                <w:i w:val="0"/>
                <w:iCs w:val="0"/>
                <w:color w:val="000000"/>
                <w:sz w:val="18"/>
                <w:szCs w:val="18"/>
                <w:u w:val="none"/>
              </w:rPr>
            </w:pPr>
          </w:p>
        </w:tc>
        <w:tc>
          <w:tcPr>
            <w:tcW w:w="45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kinsoku/>
              <w:wordWrap/>
              <w:overflowPunct/>
              <w:topLinePunct w:val="0"/>
              <w:bidi w:val="0"/>
              <w:snapToGrid/>
              <w:spacing w:line="240" w:lineRule="auto"/>
              <w:jc w:val="center"/>
              <w:rPr>
                <w:rFonts w:hint="eastAsia" w:ascii="宋体" w:hAnsi="宋体" w:eastAsia="宋体" w:cs="宋体"/>
                <w:i w:val="0"/>
                <w:iCs w:val="0"/>
                <w:color w:val="000000"/>
                <w:sz w:val="18"/>
                <w:szCs w:val="18"/>
                <w:u w:val="none"/>
              </w:rPr>
            </w:pPr>
          </w:p>
        </w:tc>
        <w:tc>
          <w:tcPr>
            <w:tcW w:w="419"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29</w:t>
            </w:r>
          </w:p>
        </w:tc>
        <w:tc>
          <w:tcPr>
            <w:tcW w:w="617"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kinsoku/>
              <w:wordWrap/>
              <w:overflowPunct/>
              <w:topLinePunct w:val="0"/>
              <w:bidi w:val="0"/>
              <w:snapToGrid/>
              <w:spacing w:line="240" w:lineRule="auto"/>
              <w:jc w:val="center"/>
              <w:rPr>
                <w:rFonts w:hint="eastAsia" w:ascii="宋体" w:hAnsi="宋体" w:eastAsia="宋体" w:cs="宋体"/>
                <w:b/>
                <w:bCs/>
                <w:i w:val="0"/>
                <w:iCs w:val="0"/>
                <w:color w:val="000000"/>
                <w:sz w:val="18"/>
                <w:szCs w:val="18"/>
                <w:u w:val="none"/>
              </w:rPr>
            </w:pPr>
          </w:p>
        </w:tc>
        <w:tc>
          <w:tcPr>
            <w:tcW w:w="753" w:type="pct"/>
            <w:tcBorders>
              <w:top w:val="single" w:color="000000" w:sz="12" w:space="0"/>
              <w:left w:val="single" w:color="000000" w:sz="8" w:space="0"/>
              <w:bottom w:val="single" w:color="000000" w:sz="12"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3050</w:t>
            </w:r>
          </w:p>
        </w:tc>
      </w:tr>
    </w:tbl>
    <w:p>
      <w:pPr>
        <w:spacing w:line="500" w:lineRule="exact"/>
        <w:ind w:firstLine="480" w:firstLineChars="200"/>
        <w:outlineLvl w:val="1"/>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（十一）</w:t>
      </w:r>
      <w:bookmarkEnd w:id="117"/>
      <w:r>
        <w:rPr>
          <w:rFonts w:hint="eastAsia" w:ascii="宋体" w:hAnsi="宋体" w:cs="宋体"/>
          <w:b/>
          <w:color w:val="000000" w:themeColor="text1"/>
          <w:sz w:val="24"/>
          <w:szCs w:val="24"/>
          <w14:textFill>
            <w14:solidFill>
              <w14:schemeClr w14:val="tx1"/>
            </w14:solidFill>
          </w14:textFill>
        </w:rPr>
        <w:t>注册房地产估价师</w:t>
      </w:r>
      <w:bookmarkEnd w:id="118"/>
    </w:p>
    <w:tbl>
      <w:tblPr>
        <w:tblStyle w:val="34"/>
        <w:tblW w:w="917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648"/>
        <w:gridCol w:w="1977"/>
        <w:gridCol w:w="3358"/>
        <w:gridCol w:w="21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648" w:type="dxa"/>
            <w:vAlign w:val="center"/>
          </w:tcPr>
          <w:p>
            <w:pPr>
              <w:spacing w:line="240" w:lineRule="auto"/>
              <w:jc w:val="center"/>
              <w:rPr>
                <w:rFonts w:ascii="宋体" w:hAnsi="宋体"/>
                <w:color w:val="000000" w:themeColor="text1"/>
                <w:sz w:val="18"/>
                <w:szCs w:val="18"/>
                <w14:textFill>
                  <w14:solidFill>
                    <w14:schemeClr w14:val="tx1"/>
                  </w14:solidFill>
                </w14:textFill>
              </w:rPr>
            </w:pPr>
            <w:bookmarkStart w:id="119" w:name="_Toc435111917"/>
            <w:r>
              <w:rPr>
                <w:rFonts w:ascii="宋体" w:hAnsi="宋体"/>
                <w:color w:val="000000" w:themeColor="text1"/>
                <w:sz w:val="18"/>
                <w:szCs w:val="18"/>
                <w14:textFill>
                  <w14:solidFill>
                    <w14:schemeClr w14:val="tx1"/>
                  </w14:solidFill>
                </w14:textFill>
              </w:rPr>
              <w:t>姓名</w:t>
            </w:r>
          </w:p>
        </w:tc>
        <w:tc>
          <w:tcPr>
            <w:tcW w:w="1977"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注册号</w:t>
            </w:r>
          </w:p>
        </w:tc>
        <w:tc>
          <w:tcPr>
            <w:tcW w:w="3358"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签名</w:t>
            </w:r>
          </w:p>
        </w:tc>
        <w:tc>
          <w:tcPr>
            <w:tcW w:w="2188"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34" w:hRule="atLeast"/>
          <w:jc w:val="center"/>
        </w:trPr>
        <w:tc>
          <w:tcPr>
            <w:tcW w:w="1648"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肖 </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琴</w:t>
            </w:r>
          </w:p>
        </w:tc>
        <w:tc>
          <w:tcPr>
            <w:tcW w:w="1977"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5120000120</w:t>
            </w:r>
          </w:p>
        </w:tc>
        <w:tc>
          <w:tcPr>
            <w:tcW w:w="3358" w:type="dxa"/>
            <w:vAlign w:val="center"/>
          </w:tcPr>
          <w:p>
            <w:pPr>
              <w:spacing w:line="240" w:lineRule="auto"/>
              <w:jc w:val="center"/>
              <w:rPr>
                <w:rFonts w:ascii="宋体" w:hAnsi="宋体"/>
                <w:color w:val="000000" w:themeColor="text1"/>
                <w:sz w:val="18"/>
                <w:szCs w:val="18"/>
                <w14:textFill>
                  <w14:solidFill>
                    <w14:schemeClr w14:val="tx1"/>
                  </w14:solidFill>
                </w14:textFill>
              </w:rPr>
            </w:pPr>
          </w:p>
        </w:tc>
        <w:tc>
          <w:tcPr>
            <w:tcW w:w="2188"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34" w:hRule="atLeast"/>
          <w:jc w:val="center"/>
        </w:trPr>
        <w:tc>
          <w:tcPr>
            <w:tcW w:w="1648"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杨秀容</w:t>
            </w:r>
          </w:p>
        </w:tc>
        <w:tc>
          <w:tcPr>
            <w:tcW w:w="1977"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5120070061</w:t>
            </w:r>
          </w:p>
        </w:tc>
        <w:tc>
          <w:tcPr>
            <w:tcW w:w="3358" w:type="dxa"/>
            <w:vAlign w:val="center"/>
          </w:tcPr>
          <w:p>
            <w:pPr>
              <w:spacing w:line="240" w:lineRule="auto"/>
              <w:jc w:val="center"/>
              <w:rPr>
                <w:rFonts w:ascii="宋体" w:hAnsi="宋体"/>
                <w:color w:val="000000" w:themeColor="text1"/>
                <w:sz w:val="18"/>
                <w:szCs w:val="18"/>
                <w14:textFill>
                  <w14:solidFill>
                    <w14:schemeClr w14:val="tx1"/>
                  </w14:solidFill>
                </w14:textFill>
              </w:rPr>
            </w:pPr>
          </w:p>
        </w:tc>
        <w:tc>
          <w:tcPr>
            <w:tcW w:w="2188"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    年  月  日</w:t>
            </w:r>
          </w:p>
        </w:tc>
      </w:tr>
    </w:tbl>
    <w:p>
      <w:pPr>
        <w:spacing w:line="500" w:lineRule="exact"/>
        <w:ind w:firstLine="480" w:firstLineChars="200"/>
        <w:outlineLvl w:val="1"/>
        <w:rPr>
          <w:rFonts w:ascii="宋体" w:hAnsi="宋体" w:cs="宋体"/>
          <w:b/>
          <w:color w:val="000000" w:themeColor="text1"/>
          <w:sz w:val="24"/>
          <w:szCs w:val="24"/>
          <w14:textFill>
            <w14:solidFill>
              <w14:schemeClr w14:val="tx1"/>
            </w14:solidFill>
          </w14:textFill>
        </w:rPr>
      </w:pPr>
      <w:bookmarkStart w:id="120" w:name="_Toc3900561"/>
      <w:r>
        <w:rPr>
          <w:rFonts w:hint="eastAsia" w:ascii="宋体" w:hAnsi="宋体" w:cs="宋体"/>
          <w:b/>
          <w:color w:val="000000" w:themeColor="text1"/>
          <w:sz w:val="24"/>
          <w:szCs w:val="24"/>
          <w14:textFill>
            <w14:solidFill>
              <w14:schemeClr w14:val="tx1"/>
            </w14:solidFill>
          </w14:textFill>
        </w:rPr>
        <w:t>（十二）实地查勘期</w:t>
      </w:r>
      <w:bookmarkEnd w:id="120"/>
    </w:p>
    <w:p>
      <w:pPr>
        <w:spacing w:line="50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于</w:t>
      </w:r>
      <w:r>
        <w:rPr>
          <w:rFonts w:hint="eastAsia"/>
          <w:color w:val="000000" w:themeColor="text1"/>
          <w:sz w:val="24"/>
          <w:szCs w:val="24"/>
          <w:lang w:eastAsia="zh-CN"/>
          <w14:textFill>
            <w14:solidFill>
              <w14:schemeClr w14:val="tx1"/>
            </w14:solidFill>
          </w14:textFill>
        </w:rPr>
        <w:t>2021年4月1日</w:t>
      </w:r>
      <w:r>
        <w:rPr>
          <w:rFonts w:hint="eastAsia"/>
          <w:color w:val="000000" w:themeColor="text1"/>
          <w:sz w:val="24"/>
          <w:szCs w:val="24"/>
          <w14:textFill>
            <w14:solidFill>
              <w14:schemeClr w14:val="tx1"/>
            </w14:solidFill>
          </w14:textFill>
        </w:rPr>
        <w:t>进入现场，并于当日完成实地查勘。</w:t>
      </w:r>
    </w:p>
    <w:p>
      <w:pPr>
        <w:spacing w:line="500" w:lineRule="exact"/>
        <w:ind w:firstLine="480" w:firstLineChars="200"/>
        <w:outlineLvl w:val="1"/>
        <w:rPr>
          <w:rFonts w:ascii="宋体" w:hAnsi="宋体" w:cs="宋体"/>
          <w:b/>
          <w:color w:val="000000" w:themeColor="text1"/>
          <w:sz w:val="24"/>
          <w:szCs w:val="24"/>
          <w14:textFill>
            <w14:solidFill>
              <w14:schemeClr w14:val="tx1"/>
            </w14:solidFill>
          </w14:textFill>
        </w:rPr>
      </w:pPr>
      <w:bookmarkStart w:id="121" w:name="_Toc3900562"/>
      <w:r>
        <w:rPr>
          <w:rFonts w:hint="eastAsia" w:ascii="宋体" w:hAnsi="宋体" w:cs="宋体"/>
          <w:b/>
          <w:color w:val="000000" w:themeColor="text1"/>
          <w:sz w:val="24"/>
          <w:szCs w:val="24"/>
          <w14:textFill>
            <w14:solidFill>
              <w14:schemeClr w14:val="tx1"/>
            </w14:solidFill>
          </w14:textFill>
        </w:rPr>
        <w:t>（十三）估价作业期</w:t>
      </w:r>
      <w:bookmarkEnd w:id="119"/>
      <w:bookmarkEnd w:id="121"/>
    </w:p>
    <w:p>
      <w:pPr>
        <w:spacing w:line="50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lang w:eastAsia="zh-CN"/>
          <w14:textFill>
            <w14:solidFill>
              <w14:schemeClr w14:val="tx1"/>
            </w14:solidFill>
          </w14:textFill>
        </w:rPr>
        <w:t>2021年4月1日</w:t>
      </w:r>
      <w:r>
        <w:rPr>
          <w:rFonts w:hint="eastAsia" w:cs="宋体"/>
          <w:color w:val="000000" w:themeColor="text1"/>
          <w:sz w:val="24"/>
          <w:szCs w:val="24"/>
          <w14:textFill>
            <w14:solidFill>
              <w14:schemeClr w14:val="tx1"/>
            </w14:solidFill>
          </w14:textFill>
        </w:rPr>
        <w:t>至</w:t>
      </w:r>
      <w:r>
        <w:rPr>
          <w:rFonts w:hint="eastAsia"/>
          <w:color w:val="000000" w:themeColor="text1"/>
          <w:sz w:val="24"/>
          <w:szCs w:val="24"/>
          <w:lang w:eastAsia="zh-CN"/>
          <w14:textFill>
            <w14:solidFill>
              <w14:schemeClr w14:val="tx1"/>
            </w14:solidFill>
          </w14:textFill>
        </w:rPr>
        <w:t>2021年4月26日</w:t>
      </w:r>
      <w:r>
        <w:rPr>
          <w:rFonts w:hint="eastAsia"/>
          <w:color w:val="000000" w:themeColor="text1"/>
          <w:sz w:val="24"/>
          <w:szCs w:val="24"/>
          <w14:textFill>
            <w14:solidFill>
              <w14:schemeClr w14:val="tx1"/>
            </w14:solidFill>
          </w14:textFill>
        </w:rPr>
        <w:t>。</w:t>
      </w:r>
    </w:p>
    <w:p>
      <w:pPr>
        <w:autoSpaceDE w:val="0"/>
        <w:autoSpaceDN w:val="0"/>
        <w:adjustRightInd w:val="0"/>
        <w:spacing w:line="360" w:lineRule="auto"/>
        <w:ind w:right="560" w:firstLine="570"/>
        <w:jc w:val="right"/>
        <w:rPr>
          <w:rFonts w:hint="eastAsia" w:ascii="宋体" w:hAnsi="宋体"/>
          <w:b/>
          <w:bCs/>
          <w:color w:val="000000" w:themeColor="text1"/>
          <w:sz w:val="24"/>
          <w:szCs w:val="24"/>
          <w:lang w:eastAsia="zh-CN"/>
          <w14:textFill>
            <w14:solidFill>
              <w14:schemeClr w14:val="tx1"/>
            </w14:solidFill>
          </w14:textFill>
        </w:rPr>
      </w:pPr>
    </w:p>
    <w:p>
      <w:pPr>
        <w:autoSpaceDE w:val="0"/>
        <w:autoSpaceDN w:val="0"/>
        <w:adjustRightInd w:val="0"/>
        <w:spacing w:line="360" w:lineRule="auto"/>
        <w:ind w:right="560" w:firstLine="570"/>
        <w:jc w:val="right"/>
        <w:rPr>
          <w:rFonts w:hint="eastAsia" w:ascii="宋体" w:hAnsi="宋体" w:eastAsia="宋体"/>
          <w:b/>
          <w:bCs/>
          <w:color w:val="000000" w:themeColor="text1"/>
          <w:sz w:val="24"/>
          <w:szCs w:val="24"/>
          <w:lang w:eastAsia="zh-CN"/>
          <w14:textFill>
            <w14:solidFill>
              <w14:schemeClr w14:val="tx1"/>
            </w14:solidFill>
          </w14:textFill>
        </w:rPr>
      </w:pPr>
      <w:r>
        <w:rPr>
          <w:rFonts w:hint="eastAsia" w:ascii="宋体" w:hAnsi="宋体"/>
          <w:b/>
          <w:bCs/>
          <w:color w:val="000000" w:themeColor="text1"/>
          <w:sz w:val="24"/>
          <w:szCs w:val="24"/>
          <w:lang w:eastAsia="zh-CN"/>
          <w14:textFill>
            <w14:solidFill>
              <w14:schemeClr w14:val="tx1"/>
            </w14:solidFill>
          </w14:textFill>
        </w:rPr>
        <w:t>四川海盛林房地产土地资产评估有限公司</w:t>
      </w:r>
    </w:p>
    <w:p>
      <w:pPr>
        <w:jc w:val="center"/>
        <w:rPr>
          <w:rFonts w:hint="eastAsia" w:ascii="宋体" w:hAnsi="宋体" w:eastAsia="宋体"/>
          <w:b/>
          <w:color w:val="000000" w:themeColor="text1"/>
          <w:sz w:val="24"/>
          <w:szCs w:val="24"/>
          <w:lang w:eastAsia="zh-CN"/>
          <w14:textFill>
            <w14:solidFill>
              <w14:schemeClr w14:val="tx1"/>
            </w14:solidFill>
          </w14:textFill>
        </w:rPr>
      </w:pPr>
      <w:bookmarkStart w:id="122" w:name="_Toc265584075"/>
      <w:r>
        <w:rPr>
          <w:rFonts w:hint="eastAsia" w:ascii="宋体" w:hAnsi="宋体"/>
          <w:b/>
          <w:color w:val="000000" w:themeColor="text1"/>
          <w:sz w:val="24"/>
          <w:szCs w:val="24"/>
          <w14:textFill>
            <w14:solidFill>
              <w14:schemeClr w14:val="tx1"/>
            </w14:solidFill>
          </w14:textFill>
        </w:rPr>
        <w:t xml:space="preserve">                                            </w:t>
      </w:r>
      <w:bookmarkEnd w:id="122"/>
      <w:r>
        <w:rPr>
          <w:rFonts w:hint="eastAsia" w:ascii="宋体" w:hAnsi="宋体"/>
          <w:b/>
          <w:color w:val="000000" w:themeColor="text1"/>
          <w:sz w:val="24"/>
          <w:szCs w:val="24"/>
          <w14:textFill>
            <w14:solidFill>
              <w14:schemeClr w14:val="tx1"/>
            </w14:solidFill>
          </w14:textFill>
        </w:rPr>
        <w:t xml:space="preserve">   </w:t>
      </w:r>
      <w:r>
        <w:rPr>
          <w:rFonts w:hint="eastAsia" w:ascii="宋体" w:hAnsi="宋体"/>
          <w:b/>
          <w:color w:val="000000" w:themeColor="text1"/>
          <w:sz w:val="24"/>
          <w:szCs w:val="24"/>
          <w:lang w:eastAsia="zh-CN"/>
          <w14:textFill>
            <w14:solidFill>
              <w14:schemeClr w14:val="tx1"/>
            </w14:solidFill>
          </w14:textFill>
        </w:rPr>
        <w:t>二О二一年四月二十六日</w:t>
      </w:r>
    </w:p>
    <w:p>
      <w:pPr>
        <w:pStyle w:val="18"/>
        <w:spacing w:line="480" w:lineRule="exact"/>
        <w:jc w:val="center"/>
        <w:outlineLvl w:val="0"/>
        <w:rPr>
          <w:rFonts w:ascii="黑体" w:eastAsia="黑体" w:cs="黑体"/>
          <w:b w:val="0"/>
          <w:bCs w:val="0"/>
          <w:color w:val="000000" w:themeColor="text1"/>
          <w:sz w:val="32"/>
          <w:szCs w:val="32"/>
          <w14:textFill>
            <w14:solidFill>
              <w14:schemeClr w14:val="tx1"/>
            </w14:solidFill>
          </w14:textFill>
        </w:rPr>
      </w:pPr>
      <w:r>
        <w:rPr>
          <w:rFonts w:ascii="黑体" w:eastAsia="黑体" w:cs="黑体"/>
          <w:b w:val="0"/>
          <w:bCs w:val="0"/>
          <w:color w:val="000000" w:themeColor="text1"/>
          <w:sz w:val="32"/>
          <w:szCs w:val="32"/>
          <w14:textFill>
            <w14:solidFill>
              <w14:schemeClr w14:val="tx1"/>
            </w14:solidFill>
          </w14:textFill>
        </w:rPr>
        <w:br w:type="page"/>
      </w:r>
      <w:bookmarkStart w:id="123" w:name="_Toc3900563"/>
      <w:r>
        <w:rPr>
          <w:rFonts w:hint="eastAsia" w:ascii="黑体" w:eastAsia="黑体" w:cs="黑体"/>
          <w:b w:val="0"/>
          <w:bCs w:val="0"/>
          <w:color w:val="000000" w:themeColor="text1"/>
          <w:sz w:val="32"/>
          <w:szCs w:val="32"/>
          <w14:textFill>
            <w14:solidFill>
              <w14:schemeClr w14:val="tx1"/>
            </w14:solidFill>
          </w14:textFill>
        </w:rPr>
        <w:t>四、附   件</w:t>
      </w:r>
      <w:bookmarkEnd w:id="123"/>
    </w:p>
    <w:p>
      <w:pPr>
        <w:rPr>
          <w:color w:val="000000" w:themeColor="text1"/>
          <w14:textFill>
            <w14:solidFill>
              <w14:schemeClr w14:val="tx1"/>
            </w14:solidFill>
          </w14:textFill>
        </w:rPr>
      </w:pPr>
    </w:p>
    <w:p>
      <w:pPr>
        <w:pStyle w:val="18"/>
        <w:spacing w:line="480" w:lineRule="exact"/>
        <w:ind w:firstLine="480" w:firstLineChars="200"/>
        <w:jc w:val="left"/>
        <w:outlineLvl w:val="0"/>
        <w:rPr>
          <w:rFonts w:ascii="宋体" w:hAnsi="宋体" w:cs="黑体"/>
          <w:b w:val="0"/>
          <w:bCs w:val="0"/>
          <w:color w:val="000000" w:themeColor="text1"/>
          <w:sz w:val="24"/>
          <w:szCs w:val="24"/>
          <w14:textFill>
            <w14:solidFill>
              <w14:schemeClr w14:val="tx1"/>
            </w14:solidFill>
          </w14:textFill>
        </w:rPr>
      </w:pPr>
      <w:bookmarkStart w:id="124" w:name="_Toc3900564"/>
      <w:r>
        <w:rPr>
          <w:rFonts w:ascii="宋体" w:hAnsi="宋体" w:cs="黑体"/>
          <w:b w:val="0"/>
          <w:bCs w:val="0"/>
          <w:color w:val="000000" w:themeColor="text1"/>
          <w:sz w:val="24"/>
          <w:szCs w:val="24"/>
          <w14:textFill>
            <w14:solidFill>
              <w14:schemeClr w14:val="tx1"/>
            </w14:solidFill>
          </w14:textFill>
        </w:rPr>
        <w:t>1</w:t>
      </w:r>
      <w:r>
        <w:rPr>
          <w:rFonts w:hint="eastAsia" w:ascii="宋体" w:hAnsi="宋体" w:cs="黑体"/>
          <w:b w:val="0"/>
          <w:bCs w:val="0"/>
          <w:color w:val="000000" w:themeColor="text1"/>
          <w:sz w:val="24"/>
          <w:szCs w:val="24"/>
          <w14:textFill>
            <w14:solidFill>
              <w14:schemeClr w14:val="tx1"/>
            </w14:solidFill>
          </w14:textFill>
        </w:rPr>
        <w:t>、</w:t>
      </w:r>
      <w:r>
        <w:rPr>
          <w:rFonts w:hint="eastAsia" w:ascii="宋体" w:hAnsi="宋体" w:cs="黑体"/>
          <w:b w:val="0"/>
          <w:bCs w:val="0"/>
          <w:color w:val="000000" w:themeColor="text1"/>
          <w:sz w:val="24"/>
          <w:szCs w:val="24"/>
          <w:lang w:eastAsia="zh-CN"/>
          <w14:textFill>
            <w14:solidFill>
              <w14:schemeClr w14:val="tx1"/>
            </w14:solidFill>
          </w14:textFill>
        </w:rPr>
        <w:t>《绵竹市人民法院司法评估委托书》（2021）川0683执恢26号</w:t>
      </w:r>
      <w:r>
        <w:rPr>
          <w:rFonts w:hint="eastAsia" w:ascii="宋体" w:hAnsi="宋体" w:cs="黑体"/>
          <w:b w:val="0"/>
          <w:bCs w:val="0"/>
          <w:color w:val="000000" w:themeColor="text1"/>
          <w:sz w:val="24"/>
          <w:szCs w:val="24"/>
          <w14:textFill>
            <w14:solidFill>
              <w14:schemeClr w14:val="tx1"/>
            </w14:solidFill>
          </w14:textFill>
        </w:rPr>
        <w:t>；</w:t>
      </w:r>
      <w:bookmarkEnd w:id="124"/>
    </w:p>
    <w:p>
      <w:pPr>
        <w:pStyle w:val="18"/>
        <w:spacing w:line="480" w:lineRule="exact"/>
        <w:ind w:firstLine="480" w:firstLineChars="200"/>
        <w:jc w:val="left"/>
        <w:outlineLvl w:val="0"/>
        <w:rPr>
          <w:rFonts w:hint="eastAsia" w:ascii="宋体" w:hAnsi="宋体" w:cs="黑体"/>
          <w:b w:val="0"/>
          <w:bCs w:val="0"/>
          <w:color w:val="000000" w:themeColor="text1"/>
          <w:sz w:val="24"/>
          <w:szCs w:val="24"/>
          <w14:textFill>
            <w14:solidFill>
              <w14:schemeClr w14:val="tx1"/>
            </w14:solidFill>
          </w14:textFill>
        </w:rPr>
      </w:pPr>
      <w:bookmarkStart w:id="125" w:name="_Toc3900565"/>
      <w:r>
        <w:rPr>
          <w:rFonts w:ascii="宋体" w:hAnsi="宋体" w:cs="黑体"/>
          <w:b w:val="0"/>
          <w:bCs w:val="0"/>
          <w:color w:val="000000" w:themeColor="text1"/>
          <w:sz w:val="24"/>
          <w:szCs w:val="24"/>
          <w14:textFill>
            <w14:solidFill>
              <w14:schemeClr w14:val="tx1"/>
            </w14:solidFill>
          </w14:textFill>
        </w:rPr>
        <w:t>2</w:t>
      </w:r>
      <w:r>
        <w:rPr>
          <w:rFonts w:hint="eastAsia" w:ascii="宋体" w:hAnsi="宋体" w:cs="黑体"/>
          <w:b w:val="0"/>
          <w:bCs w:val="0"/>
          <w:color w:val="000000" w:themeColor="text1"/>
          <w:sz w:val="24"/>
          <w:szCs w:val="24"/>
          <w14:textFill>
            <w14:solidFill>
              <w14:schemeClr w14:val="tx1"/>
            </w14:solidFill>
          </w14:textFill>
        </w:rPr>
        <w:t>、估价对象《</w:t>
      </w:r>
      <w:r>
        <w:rPr>
          <w:rFonts w:hint="eastAsia" w:ascii="宋体" w:hAnsi="宋体" w:cs="黑体"/>
          <w:b w:val="0"/>
          <w:bCs w:val="0"/>
          <w:color w:val="000000" w:themeColor="text1"/>
          <w:sz w:val="24"/>
          <w:szCs w:val="24"/>
          <w:lang w:eastAsia="zh-CN"/>
          <w14:textFill>
            <w14:solidFill>
              <w14:schemeClr w14:val="tx1"/>
            </w14:solidFill>
          </w14:textFill>
        </w:rPr>
        <w:t>不动产登记信息查询结果单</w:t>
      </w:r>
      <w:r>
        <w:rPr>
          <w:rFonts w:hint="eastAsia" w:ascii="宋体" w:hAnsi="宋体" w:cs="黑体"/>
          <w:b w:val="0"/>
          <w:bCs w:val="0"/>
          <w:color w:val="000000" w:themeColor="text1"/>
          <w:sz w:val="24"/>
          <w:szCs w:val="24"/>
          <w14:textFill>
            <w14:solidFill>
              <w14:schemeClr w14:val="tx1"/>
            </w14:solidFill>
          </w14:textFill>
        </w:rPr>
        <w:t>》复印件；</w:t>
      </w:r>
      <w:bookmarkEnd w:id="125"/>
    </w:p>
    <w:p>
      <w:pPr>
        <w:pStyle w:val="18"/>
        <w:spacing w:line="480" w:lineRule="exact"/>
        <w:ind w:firstLine="480" w:firstLineChars="200"/>
        <w:jc w:val="left"/>
        <w:outlineLvl w:val="0"/>
        <w:rPr>
          <w:rFonts w:ascii="宋体" w:hAnsi="宋体" w:cs="黑体"/>
          <w:b w:val="0"/>
          <w:bCs w:val="0"/>
          <w:color w:val="000000" w:themeColor="text1"/>
          <w:sz w:val="24"/>
          <w:szCs w:val="24"/>
          <w14:textFill>
            <w14:solidFill>
              <w14:schemeClr w14:val="tx1"/>
            </w14:solidFill>
          </w14:textFill>
        </w:rPr>
      </w:pPr>
      <w:bookmarkStart w:id="126" w:name="_Toc3900566"/>
      <w:r>
        <w:rPr>
          <w:rFonts w:ascii="宋体" w:hAnsi="宋体" w:cs="黑体"/>
          <w:b w:val="0"/>
          <w:bCs w:val="0"/>
          <w:color w:val="000000" w:themeColor="text1"/>
          <w:sz w:val="24"/>
          <w:szCs w:val="24"/>
          <w14:textFill>
            <w14:solidFill>
              <w14:schemeClr w14:val="tx1"/>
            </w14:solidFill>
          </w14:textFill>
        </w:rPr>
        <w:t>3</w:t>
      </w:r>
      <w:r>
        <w:rPr>
          <w:rFonts w:hint="eastAsia" w:ascii="宋体" w:hAnsi="宋体" w:cs="黑体"/>
          <w:b w:val="0"/>
          <w:bCs w:val="0"/>
          <w:color w:val="000000" w:themeColor="text1"/>
          <w:sz w:val="24"/>
          <w:szCs w:val="24"/>
          <w14:textFill>
            <w14:solidFill>
              <w14:schemeClr w14:val="tx1"/>
            </w14:solidFill>
          </w14:textFill>
        </w:rPr>
        <w:t>、估价对象</w:t>
      </w:r>
      <w:r>
        <w:rPr>
          <w:rFonts w:hint="eastAsia" w:ascii="宋体" w:hAnsi="宋体" w:cs="黑体"/>
          <w:b w:val="0"/>
          <w:bCs w:val="0"/>
          <w:color w:val="000000" w:themeColor="text1"/>
          <w:sz w:val="24"/>
          <w:szCs w:val="24"/>
          <w:lang w:val="en-US" w:eastAsia="zh-CN"/>
          <w14:textFill>
            <w14:solidFill>
              <w14:schemeClr w14:val="tx1"/>
            </w14:solidFill>
          </w14:textFill>
        </w:rPr>
        <w:t>产权资料复印件</w:t>
      </w:r>
      <w:r>
        <w:rPr>
          <w:rFonts w:hint="eastAsia" w:ascii="宋体" w:hAnsi="宋体" w:cs="黑体"/>
          <w:b w:val="0"/>
          <w:bCs w:val="0"/>
          <w:color w:val="000000" w:themeColor="text1"/>
          <w:sz w:val="24"/>
          <w:szCs w:val="24"/>
          <w14:textFill>
            <w14:solidFill>
              <w14:schemeClr w14:val="tx1"/>
            </w14:solidFill>
          </w14:textFill>
        </w:rPr>
        <w:t>；</w:t>
      </w:r>
    </w:p>
    <w:p>
      <w:pPr>
        <w:pStyle w:val="18"/>
        <w:spacing w:line="480" w:lineRule="exact"/>
        <w:ind w:firstLine="480" w:firstLineChars="200"/>
        <w:jc w:val="left"/>
        <w:outlineLvl w:val="0"/>
        <w:rPr>
          <w:rFonts w:ascii="宋体" w:hAnsi="宋体" w:cs="黑体"/>
          <w:b w:val="0"/>
          <w:bCs w:val="0"/>
          <w:color w:val="000000" w:themeColor="text1"/>
          <w:sz w:val="24"/>
          <w:szCs w:val="24"/>
          <w14:textFill>
            <w14:solidFill>
              <w14:schemeClr w14:val="tx1"/>
            </w14:solidFill>
          </w14:textFill>
        </w:rPr>
      </w:pPr>
      <w:r>
        <w:rPr>
          <w:rFonts w:hint="eastAsia" w:ascii="宋体" w:hAnsi="宋体" w:cs="黑体"/>
          <w:b w:val="0"/>
          <w:bCs w:val="0"/>
          <w:color w:val="000000" w:themeColor="text1"/>
          <w:sz w:val="24"/>
          <w:szCs w:val="24"/>
          <w:lang w:val="en-US" w:eastAsia="zh-CN"/>
          <w14:textFill>
            <w14:solidFill>
              <w14:schemeClr w14:val="tx1"/>
            </w14:solidFill>
          </w14:textFill>
        </w:rPr>
        <w:t>4</w:t>
      </w:r>
      <w:r>
        <w:rPr>
          <w:rFonts w:hint="eastAsia" w:ascii="宋体" w:hAnsi="宋体" w:cs="黑体"/>
          <w:b w:val="0"/>
          <w:bCs w:val="0"/>
          <w:color w:val="000000" w:themeColor="text1"/>
          <w:sz w:val="24"/>
          <w:szCs w:val="24"/>
          <w14:textFill>
            <w14:solidFill>
              <w14:schemeClr w14:val="tx1"/>
            </w14:solidFill>
          </w14:textFill>
        </w:rPr>
        <w:t>、估价对象所在区域位置示意图；</w:t>
      </w:r>
      <w:bookmarkEnd w:id="126"/>
    </w:p>
    <w:p>
      <w:pPr>
        <w:pStyle w:val="18"/>
        <w:spacing w:line="480" w:lineRule="exact"/>
        <w:ind w:firstLine="480" w:firstLineChars="200"/>
        <w:jc w:val="left"/>
        <w:outlineLvl w:val="0"/>
        <w:rPr>
          <w:rFonts w:ascii="宋体" w:hAnsi="宋体" w:cs="黑体"/>
          <w:b w:val="0"/>
          <w:bCs w:val="0"/>
          <w:color w:val="000000" w:themeColor="text1"/>
          <w:sz w:val="24"/>
          <w:szCs w:val="24"/>
          <w14:textFill>
            <w14:solidFill>
              <w14:schemeClr w14:val="tx1"/>
            </w14:solidFill>
          </w14:textFill>
        </w:rPr>
      </w:pPr>
      <w:bookmarkStart w:id="127" w:name="_Toc3900567"/>
      <w:r>
        <w:rPr>
          <w:rFonts w:hint="eastAsia" w:ascii="宋体" w:hAnsi="宋体" w:cs="黑体"/>
          <w:b w:val="0"/>
          <w:bCs w:val="0"/>
          <w:color w:val="000000" w:themeColor="text1"/>
          <w:sz w:val="24"/>
          <w:szCs w:val="24"/>
          <w:lang w:val="en-US" w:eastAsia="zh-CN"/>
          <w14:textFill>
            <w14:solidFill>
              <w14:schemeClr w14:val="tx1"/>
            </w14:solidFill>
          </w14:textFill>
        </w:rPr>
        <w:t>5</w:t>
      </w:r>
      <w:r>
        <w:rPr>
          <w:rFonts w:hint="eastAsia" w:ascii="宋体" w:hAnsi="宋体" w:cs="黑体"/>
          <w:b w:val="0"/>
          <w:bCs w:val="0"/>
          <w:color w:val="000000" w:themeColor="text1"/>
          <w:sz w:val="24"/>
          <w:szCs w:val="24"/>
          <w14:textFill>
            <w14:solidFill>
              <w14:schemeClr w14:val="tx1"/>
            </w14:solidFill>
          </w14:textFill>
        </w:rPr>
        <w:t>、估价对象相关照片及可比实例照片；</w:t>
      </w:r>
      <w:bookmarkEnd w:id="127"/>
    </w:p>
    <w:p>
      <w:pPr>
        <w:pStyle w:val="18"/>
        <w:spacing w:line="480" w:lineRule="exact"/>
        <w:ind w:firstLine="480" w:firstLineChars="200"/>
        <w:jc w:val="left"/>
        <w:outlineLvl w:val="0"/>
        <w:rPr>
          <w:rFonts w:ascii="宋体" w:hAnsi="宋体" w:cs="黑体"/>
          <w:b w:val="0"/>
          <w:bCs w:val="0"/>
          <w:color w:val="000000" w:themeColor="text1"/>
          <w:sz w:val="24"/>
          <w:szCs w:val="24"/>
          <w14:textFill>
            <w14:solidFill>
              <w14:schemeClr w14:val="tx1"/>
            </w14:solidFill>
          </w14:textFill>
        </w:rPr>
      </w:pPr>
      <w:bookmarkStart w:id="128" w:name="_Toc3900568"/>
      <w:r>
        <w:rPr>
          <w:rFonts w:hint="eastAsia" w:ascii="宋体" w:hAnsi="宋体" w:cs="黑体"/>
          <w:b w:val="0"/>
          <w:bCs w:val="0"/>
          <w:color w:val="000000" w:themeColor="text1"/>
          <w:sz w:val="24"/>
          <w:szCs w:val="24"/>
          <w:lang w:val="en-US" w:eastAsia="zh-CN"/>
          <w14:textFill>
            <w14:solidFill>
              <w14:schemeClr w14:val="tx1"/>
            </w14:solidFill>
          </w14:textFill>
        </w:rPr>
        <w:t>6</w:t>
      </w:r>
      <w:r>
        <w:rPr>
          <w:rFonts w:hint="eastAsia" w:ascii="宋体" w:hAnsi="宋体" w:cs="黑体"/>
          <w:b w:val="0"/>
          <w:bCs w:val="0"/>
          <w:color w:val="000000" w:themeColor="text1"/>
          <w:sz w:val="24"/>
          <w:szCs w:val="24"/>
          <w14:textFill>
            <w14:solidFill>
              <w14:schemeClr w14:val="tx1"/>
            </w14:solidFill>
          </w14:textFill>
        </w:rPr>
        <w:t>、房地产评估机构营业执照和估价资质证书复印件；</w:t>
      </w:r>
      <w:bookmarkEnd w:id="128"/>
    </w:p>
    <w:p>
      <w:pPr>
        <w:pStyle w:val="18"/>
        <w:spacing w:line="480" w:lineRule="exact"/>
        <w:ind w:firstLine="480" w:firstLineChars="200"/>
        <w:jc w:val="left"/>
        <w:outlineLvl w:val="0"/>
        <w:rPr>
          <w:rFonts w:ascii="宋体" w:hAnsi="宋体" w:cs="黑体"/>
          <w:b w:val="0"/>
          <w:bCs w:val="0"/>
          <w:color w:val="000000" w:themeColor="text1"/>
          <w:sz w:val="24"/>
          <w:szCs w:val="24"/>
          <w14:textFill>
            <w14:solidFill>
              <w14:schemeClr w14:val="tx1"/>
            </w14:solidFill>
          </w14:textFill>
        </w:rPr>
      </w:pPr>
      <w:bookmarkStart w:id="129" w:name="_Toc3900569"/>
      <w:r>
        <w:rPr>
          <w:rFonts w:hint="eastAsia" w:ascii="宋体" w:hAnsi="宋体" w:cs="黑体"/>
          <w:b w:val="0"/>
          <w:bCs w:val="0"/>
          <w:color w:val="000000" w:themeColor="text1"/>
          <w:sz w:val="24"/>
          <w:szCs w:val="24"/>
          <w:lang w:val="en-US" w:eastAsia="zh-CN"/>
          <w14:textFill>
            <w14:solidFill>
              <w14:schemeClr w14:val="tx1"/>
            </w14:solidFill>
          </w14:textFill>
        </w:rPr>
        <w:t>7</w:t>
      </w:r>
      <w:r>
        <w:rPr>
          <w:rFonts w:hint="eastAsia" w:ascii="宋体" w:hAnsi="宋体" w:cs="黑体"/>
          <w:b w:val="0"/>
          <w:bCs w:val="0"/>
          <w:color w:val="000000" w:themeColor="text1"/>
          <w:sz w:val="24"/>
          <w:szCs w:val="24"/>
          <w14:textFill>
            <w14:solidFill>
              <w14:schemeClr w14:val="tx1"/>
            </w14:solidFill>
          </w14:textFill>
        </w:rPr>
        <w:t>、注册房地产估价师估价资格证书复印。</w:t>
      </w:r>
      <w:bookmarkEnd w:id="129"/>
    </w:p>
    <w:sectPr>
      <w:headerReference r:id="rId14" w:type="first"/>
      <w:footerReference r:id="rId16" w:type="first"/>
      <w:footerReference r:id="rId15" w:type="default"/>
      <w:pgSz w:w="11906" w:h="16838"/>
      <w:pgMar w:top="1418" w:right="1287" w:bottom="1418" w:left="1418" w:header="851" w:footer="680" w:gutter="0"/>
      <w:pgNumType w:start="1"/>
      <w:cols w:space="720" w:num="1"/>
      <w:titlePg/>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长城黑体">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5280031"/>
      <w:docPartObj>
        <w:docPartGallery w:val="autotext"/>
      </w:docPartObj>
    </w:sdtPr>
    <w:sdtContent>
      <w:p>
        <w:pPr>
          <w:pStyle w:val="21"/>
          <w:jc w:val="center"/>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6696251"/>
      <w:docPartObj>
        <w:docPartGallery w:val="autotext"/>
      </w:docPartObj>
    </w:sdtPr>
    <w:sdtContent>
      <w:p>
        <w:pPr>
          <w:pStyle w:val="21"/>
          <w:jc w:val="center"/>
        </w:pPr>
        <w:r>
          <w:fldChar w:fldCharType="begin"/>
        </w:r>
        <w:r>
          <w:instrText xml:space="preserve">PAGE   \* MERGEFORMAT</w:instrText>
        </w:r>
        <w:r>
          <w:fldChar w:fldCharType="separate"/>
        </w:r>
        <w:r>
          <w:rPr>
            <w:lang w:val="zh-CN"/>
          </w:rPr>
          <w:t>2</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3067976"/>
      <w:docPartObj>
        <w:docPartGallery w:val="autotext"/>
      </w:docPartObj>
    </w:sdtPr>
    <w:sdtContent>
      <w:p>
        <w:pPr>
          <w:pStyle w:val="21"/>
          <w:jc w:val="cente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60717"/>
      <w:docPartObj>
        <w:docPartGallery w:val="autotext"/>
      </w:docPartObj>
    </w:sdtPr>
    <w:sdtContent>
      <w:p>
        <w:pPr>
          <w:pStyle w:val="21"/>
          <w:jc w:val="center"/>
        </w:pPr>
      </w:p>
    </w:sdtContent>
  </w:sdt>
  <w:p>
    <w:pPr>
      <w:pStyle w:val="2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0823922"/>
      <w:docPartObj>
        <w:docPartGallery w:val="autotext"/>
      </w:docPartObj>
    </w:sdtPr>
    <w:sdtContent>
      <w:p>
        <w:pPr>
          <w:pStyle w:val="21"/>
          <w:jc w:val="center"/>
        </w:pPr>
        <w:r>
          <w:fldChar w:fldCharType="begin"/>
        </w:r>
        <w:r>
          <w:instrText xml:space="preserve">PAGE   \* MERGEFORMAT</w:instrText>
        </w:r>
        <w:r>
          <w:fldChar w:fldCharType="separate"/>
        </w:r>
        <w:r>
          <w:rPr>
            <w:lang w:val="zh-CN"/>
          </w:rPr>
          <w:t>2</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4361461"/>
      <w:docPartObj>
        <w:docPartGallery w:val="autotext"/>
      </w:docPartObj>
    </w:sdtPr>
    <w:sdtContent>
      <w:p>
        <w:pPr>
          <w:pStyle w:val="21"/>
          <w:jc w:val="center"/>
        </w:pPr>
        <w:r>
          <w:fldChar w:fldCharType="begin"/>
        </w:r>
        <w:r>
          <w:instrText xml:space="preserve">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4"/>
      </w:pBdr>
      <w:spacing w:line="240" w:lineRule="auto"/>
      <w:ind w:left="525" w:hanging="525" w:hangingChars="250"/>
      <w:rPr>
        <w:sz w:val="18"/>
      </w:rPr>
    </w:pPr>
    <w:r>
      <w:rPr>
        <w:rFonts w:eastAsia="黑体"/>
      </w:rPr>
      <w:drawing>
        <wp:anchor distT="0" distB="0" distL="114300" distR="114300" simplePos="0" relativeHeight="251659264" behindDoc="0" locked="0" layoutInCell="1" allowOverlap="1">
          <wp:simplePos x="0" y="0"/>
          <wp:positionH relativeFrom="column">
            <wp:posOffset>-123825</wp:posOffset>
          </wp:positionH>
          <wp:positionV relativeFrom="paragraph">
            <wp:posOffset>-57150</wp:posOffset>
          </wp:positionV>
          <wp:extent cx="440055" cy="314325"/>
          <wp:effectExtent l="0" t="0" r="0" b="0"/>
          <wp:wrapNone/>
          <wp:docPr id="1" name="Picture 5" descr="海林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海林标志"/>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40055" cy="314325"/>
                  </a:xfrm>
                  <a:prstGeom prst="rect">
                    <a:avLst/>
                  </a:prstGeom>
                  <a:noFill/>
                  <a:ln>
                    <a:noFill/>
                  </a:ln>
                  <a:effectLst/>
                </pic:spPr>
              </pic:pic>
            </a:graphicData>
          </a:graphic>
        </wp:anchor>
      </w:drawing>
    </w:r>
    <w:r>
      <w:rPr>
        <w:rFonts w:eastAsia="黑体"/>
      </w:rPr>
      <w:t xml:space="preserve">     </w:t>
    </w:r>
    <w:r>
      <w:rPr>
        <w:rFonts w:hint="eastAsia" w:ascii="黑体" w:eastAsia="黑体"/>
        <w:sz w:val="18"/>
        <w:lang w:eastAsia="zh-CN"/>
      </w:rPr>
      <w:t>四川海盛林房地产土地资产评估有限公司</w:t>
    </w:r>
    <w:r>
      <w:rPr>
        <w:rFonts w:hint="eastAsia" w:ascii="黑体" w:eastAsia="黑体"/>
        <w:sz w:val="18"/>
      </w:rPr>
      <w:t xml:space="preserve">           </w:t>
    </w:r>
    <w:r>
      <w:rPr>
        <w:rFonts w:ascii="黑体" w:eastAsia="黑体"/>
        <w:sz w:val="18"/>
      </w:rPr>
      <w:t xml:space="preserve">   </w:t>
    </w:r>
    <w:r>
      <w:rPr>
        <w:rFonts w:hint="eastAsia" w:ascii="黑体" w:eastAsia="黑体"/>
        <w:sz w:val="18"/>
      </w:rPr>
      <w:t xml:space="preserve">地址：成都市洗面桥街33号艺墅花乡大厦14楼       Sichuan haishenglin Real Estate Land Assets Appraisal Co., Ltd.  </w:t>
    </w:r>
    <w:r>
      <w:rPr>
        <w:rFonts w:ascii="黑体" w:eastAsia="黑体"/>
        <w:sz w:val="18"/>
      </w:rPr>
      <w:t xml:space="preserve"> </w:t>
    </w:r>
    <w:r>
      <w:rPr>
        <w:rFonts w:hint="eastAsia" w:ascii="黑体" w:eastAsia="黑体"/>
        <w:sz w:val="18"/>
      </w:rPr>
      <w:t>TEL：028-85561958  FAX:028-85560542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4"/>
      </w:pBdr>
      <w:spacing w:line="240" w:lineRule="auto"/>
      <w:ind w:left="525" w:hanging="525" w:hangingChars="250"/>
      <w:rPr>
        <w:sz w:val="18"/>
      </w:rPr>
    </w:pPr>
    <w:r>
      <w:rPr>
        <w:rFonts w:eastAsia="黑体"/>
      </w:rPr>
      <w:drawing>
        <wp:anchor distT="0" distB="0" distL="114300" distR="114300" simplePos="0" relativeHeight="251660288" behindDoc="0" locked="0" layoutInCell="1" allowOverlap="1">
          <wp:simplePos x="0" y="0"/>
          <wp:positionH relativeFrom="column">
            <wp:posOffset>-114300</wp:posOffset>
          </wp:positionH>
          <wp:positionV relativeFrom="paragraph">
            <wp:posOffset>5715</wp:posOffset>
          </wp:positionV>
          <wp:extent cx="393065" cy="280035"/>
          <wp:effectExtent l="0" t="0" r="0" b="0"/>
          <wp:wrapNone/>
          <wp:docPr id="5" name="Picture 5" descr="海林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海林标志"/>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93065" cy="280035"/>
                  </a:xfrm>
                  <a:prstGeom prst="rect">
                    <a:avLst/>
                  </a:prstGeom>
                  <a:noFill/>
                  <a:ln>
                    <a:noFill/>
                  </a:ln>
                  <a:effectLst/>
                </pic:spPr>
              </pic:pic>
            </a:graphicData>
          </a:graphic>
        </wp:anchor>
      </w:drawing>
    </w:r>
    <w:r>
      <w:rPr>
        <w:rFonts w:eastAsia="黑体"/>
      </w:rPr>
      <w:t xml:space="preserve">     </w:t>
    </w:r>
    <w:r>
      <w:rPr>
        <w:rFonts w:hint="eastAsia" w:ascii="黑体" w:eastAsia="黑体"/>
        <w:sz w:val="18"/>
        <w:lang w:eastAsia="zh-CN"/>
      </w:rPr>
      <w:t>四川海盛林房地产土地资产评估有限公司</w:t>
    </w:r>
    <w:r>
      <w:rPr>
        <w:rFonts w:hint="eastAsia" w:ascii="黑体" w:eastAsia="黑体"/>
        <w:sz w:val="18"/>
      </w:rPr>
      <w:t xml:space="preserve">           </w:t>
    </w:r>
    <w:r>
      <w:rPr>
        <w:rFonts w:ascii="黑体" w:eastAsia="黑体"/>
        <w:sz w:val="18"/>
      </w:rPr>
      <w:t xml:space="preserve">   </w:t>
    </w:r>
    <w:r>
      <w:rPr>
        <w:rFonts w:hint="eastAsia" w:ascii="黑体" w:eastAsia="黑体"/>
        <w:sz w:val="18"/>
      </w:rPr>
      <w:t xml:space="preserve">地址：成都市洗面桥街33号艺墅花乡大厦14楼      </w:t>
    </w:r>
    <w:r>
      <w:rPr>
        <w:rFonts w:hint="eastAsia" w:ascii="黑体"/>
        <w:sz w:val="18"/>
      </w:rPr>
      <w:t xml:space="preserve"> Sichuan haishenglin Real Estate Land Assets Appraisal Co., Ltd. </w:t>
    </w:r>
    <w:r>
      <w:rPr>
        <w:rFonts w:hint="eastAsia" w:ascii="黑体"/>
        <w:sz w:val="15"/>
      </w:rPr>
      <w:t xml:space="preserve"> </w:t>
    </w:r>
    <w:r>
      <w:rPr>
        <w:rFonts w:ascii="黑体"/>
        <w:sz w:val="15"/>
      </w:rPr>
      <w:t xml:space="preserve"> </w:t>
    </w:r>
    <w:r>
      <w:rPr>
        <w:rFonts w:hint="eastAsia"/>
        <w:sz w:val="15"/>
      </w:rPr>
      <w:t>TEL</w:t>
    </w:r>
    <w:r>
      <w:rPr>
        <w:rFonts w:hint="eastAsia" w:ascii="黑体" w:eastAsia="黑体"/>
        <w:sz w:val="18"/>
      </w:rPr>
      <w:t>：028-85561958  FAX:028-85560542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4"/>
      </w:pBdr>
      <w:spacing w:line="240" w:lineRule="auto"/>
      <w:ind w:left="525" w:hanging="525" w:hangingChars="250"/>
      <w:rPr>
        <w:sz w:val="18"/>
      </w:rPr>
    </w:pPr>
    <w:r>
      <w:rPr>
        <w:rFonts w:eastAsia="黑体"/>
      </w:rPr>
      <w:drawing>
        <wp:anchor distT="0" distB="0" distL="114300" distR="114300" simplePos="0" relativeHeight="251662336" behindDoc="0" locked="0" layoutInCell="1" allowOverlap="1">
          <wp:simplePos x="0" y="0"/>
          <wp:positionH relativeFrom="column">
            <wp:posOffset>-123825</wp:posOffset>
          </wp:positionH>
          <wp:positionV relativeFrom="paragraph">
            <wp:posOffset>-57150</wp:posOffset>
          </wp:positionV>
          <wp:extent cx="440055" cy="314325"/>
          <wp:effectExtent l="0" t="0" r="0" b="0"/>
          <wp:wrapNone/>
          <wp:docPr id="6" name="Picture 5" descr="海林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海林标志"/>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40055" cy="314325"/>
                  </a:xfrm>
                  <a:prstGeom prst="rect">
                    <a:avLst/>
                  </a:prstGeom>
                  <a:noFill/>
                  <a:ln>
                    <a:noFill/>
                  </a:ln>
                  <a:effectLst/>
                </pic:spPr>
              </pic:pic>
            </a:graphicData>
          </a:graphic>
        </wp:anchor>
      </w:drawing>
    </w:r>
    <w:r>
      <w:rPr>
        <w:rFonts w:eastAsia="黑体"/>
      </w:rPr>
      <w:t xml:space="preserve">     </w:t>
    </w:r>
    <w:r>
      <w:rPr>
        <w:rFonts w:hint="eastAsia" w:ascii="黑体" w:eastAsia="黑体"/>
        <w:sz w:val="18"/>
        <w:lang w:eastAsia="zh-CN"/>
      </w:rPr>
      <w:t>四川海盛林房地产土地资产评估有限公司</w:t>
    </w:r>
    <w:r>
      <w:rPr>
        <w:rFonts w:hint="eastAsia" w:ascii="黑体" w:eastAsia="黑体"/>
        <w:sz w:val="18"/>
      </w:rPr>
      <w:t xml:space="preserve">           </w:t>
    </w:r>
    <w:r>
      <w:rPr>
        <w:rFonts w:ascii="黑体" w:eastAsia="黑体"/>
        <w:sz w:val="18"/>
      </w:rPr>
      <w:t xml:space="preserve">   </w:t>
    </w:r>
    <w:r>
      <w:rPr>
        <w:rFonts w:hint="eastAsia" w:ascii="黑体" w:eastAsia="黑体"/>
        <w:sz w:val="18"/>
      </w:rPr>
      <w:t xml:space="preserve">地址：成都市洗面桥街33号艺墅花乡大厦14楼      </w:t>
    </w:r>
    <w:r>
      <w:rPr>
        <w:rFonts w:hint="eastAsia" w:ascii="黑体"/>
        <w:sz w:val="18"/>
      </w:rPr>
      <w:t xml:space="preserve"> Sichuan haishenglin Real Estate Land Assets Appraisal Co., Ltd. </w:t>
    </w:r>
    <w:r>
      <w:rPr>
        <w:rFonts w:hint="eastAsia" w:ascii="黑体"/>
        <w:sz w:val="18"/>
        <w:lang w:val="en-US" w:eastAsia="zh-CN"/>
      </w:rPr>
      <w:t xml:space="preserve"> </w:t>
    </w:r>
    <w:r>
      <w:rPr>
        <w:rFonts w:ascii="黑体"/>
        <w:sz w:val="15"/>
      </w:rPr>
      <w:t xml:space="preserve"> </w:t>
    </w:r>
    <w:r>
      <w:rPr>
        <w:rFonts w:hint="eastAsia"/>
        <w:sz w:val="15"/>
      </w:rPr>
      <w:t>TEL</w:t>
    </w:r>
    <w:r>
      <w:rPr>
        <w:rFonts w:hint="eastAsia" w:ascii="黑体" w:eastAsia="黑体"/>
        <w:sz w:val="18"/>
      </w:rPr>
      <w:t>：028-85561958  FAX:028-85560542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4"/>
      </w:pBdr>
      <w:spacing w:line="240" w:lineRule="auto"/>
      <w:ind w:left="525" w:hanging="525" w:hangingChars="250"/>
      <w:rPr>
        <w:sz w:val="18"/>
      </w:rPr>
    </w:pPr>
    <w:r>
      <w:rPr>
        <w:rFonts w:eastAsia="黑体"/>
      </w:rPr>
      <w:drawing>
        <wp:anchor distT="0" distB="0" distL="114300" distR="114300" simplePos="0" relativeHeight="251661312" behindDoc="0" locked="0" layoutInCell="1" allowOverlap="1">
          <wp:simplePos x="0" y="0"/>
          <wp:positionH relativeFrom="column">
            <wp:posOffset>-114300</wp:posOffset>
          </wp:positionH>
          <wp:positionV relativeFrom="paragraph">
            <wp:posOffset>5715</wp:posOffset>
          </wp:positionV>
          <wp:extent cx="393065" cy="280035"/>
          <wp:effectExtent l="0" t="0" r="0" b="0"/>
          <wp:wrapNone/>
          <wp:docPr id="7" name="Picture 5" descr="海林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海林标志"/>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93065" cy="280035"/>
                  </a:xfrm>
                  <a:prstGeom prst="rect">
                    <a:avLst/>
                  </a:prstGeom>
                  <a:noFill/>
                  <a:ln>
                    <a:noFill/>
                  </a:ln>
                  <a:effectLst/>
                </pic:spPr>
              </pic:pic>
            </a:graphicData>
          </a:graphic>
        </wp:anchor>
      </w:drawing>
    </w:r>
    <w:r>
      <w:rPr>
        <w:rFonts w:eastAsia="黑体"/>
      </w:rPr>
      <w:t xml:space="preserve">     </w:t>
    </w:r>
    <w:r>
      <w:rPr>
        <w:rFonts w:hint="eastAsia" w:ascii="黑体" w:eastAsia="黑体"/>
        <w:sz w:val="18"/>
        <w:lang w:eastAsia="zh-CN"/>
      </w:rPr>
      <w:t>四川海盛林房地产土地资产评估有限公司</w:t>
    </w:r>
    <w:r>
      <w:rPr>
        <w:rFonts w:hint="eastAsia" w:ascii="黑体" w:eastAsia="黑体"/>
        <w:sz w:val="18"/>
      </w:rPr>
      <w:t xml:space="preserve">           </w:t>
    </w:r>
    <w:r>
      <w:rPr>
        <w:rFonts w:ascii="黑体" w:eastAsia="黑体"/>
        <w:sz w:val="18"/>
      </w:rPr>
      <w:t xml:space="preserve">   </w:t>
    </w:r>
    <w:r>
      <w:rPr>
        <w:rFonts w:hint="eastAsia" w:ascii="黑体" w:eastAsia="黑体"/>
        <w:sz w:val="18"/>
      </w:rPr>
      <w:t xml:space="preserve">地址：成都市洗面桥街33号艺墅花乡大厦14楼      </w:t>
    </w:r>
    <w:r>
      <w:rPr>
        <w:rFonts w:hint="eastAsia" w:ascii="黑体"/>
        <w:sz w:val="18"/>
      </w:rPr>
      <w:t xml:space="preserve"> Sichuan haishenglin Real Estate Land Assets Appraisal Co., Ltd. </w:t>
    </w:r>
    <w:r>
      <w:rPr>
        <w:rFonts w:hint="eastAsia" w:ascii="黑体"/>
        <w:sz w:val="15"/>
      </w:rPr>
      <w:t xml:space="preserve"> </w:t>
    </w:r>
    <w:r>
      <w:rPr>
        <w:rFonts w:ascii="黑体"/>
        <w:sz w:val="15"/>
      </w:rPr>
      <w:t xml:space="preserve"> </w:t>
    </w:r>
    <w:r>
      <w:rPr>
        <w:rFonts w:hint="eastAsia"/>
        <w:sz w:val="15"/>
      </w:rPr>
      <w:t>TEL</w:t>
    </w:r>
    <w:r>
      <w:rPr>
        <w:rFonts w:hint="eastAsia" w:ascii="黑体" w:eastAsia="黑体"/>
        <w:sz w:val="18"/>
      </w:rPr>
      <w:t>：028-85561958  FAX:028-85560542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4"/>
      </w:pBdr>
      <w:spacing w:line="240" w:lineRule="auto"/>
      <w:ind w:left="525" w:hanging="525" w:hangingChars="250"/>
      <w:rPr>
        <w:sz w:val="18"/>
      </w:rPr>
    </w:pPr>
    <w:r>
      <w:rPr>
        <w:rFonts w:eastAsia="黑体"/>
      </w:rPr>
      <w:drawing>
        <wp:anchor distT="0" distB="0" distL="114300" distR="114300" simplePos="0" relativeHeight="251663360" behindDoc="0" locked="0" layoutInCell="1" allowOverlap="1">
          <wp:simplePos x="0" y="0"/>
          <wp:positionH relativeFrom="column">
            <wp:posOffset>-114300</wp:posOffset>
          </wp:positionH>
          <wp:positionV relativeFrom="paragraph">
            <wp:posOffset>5715</wp:posOffset>
          </wp:positionV>
          <wp:extent cx="393065" cy="280035"/>
          <wp:effectExtent l="0" t="0" r="0" b="0"/>
          <wp:wrapNone/>
          <wp:docPr id="13" name="Picture 5" descr="海林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 descr="海林标志"/>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93065" cy="280035"/>
                  </a:xfrm>
                  <a:prstGeom prst="rect">
                    <a:avLst/>
                  </a:prstGeom>
                  <a:noFill/>
                  <a:ln>
                    <a:noFill/>
                  </a:ln>
                  <a:effectLst/>
                </pic:spPr>
              </pic:pic>
            </a:graphicData>
          </a:graphic>
        </wp:anchor>
      </w:drawing>
    </w:r>
    <w:r>
      <w:rPr>
        <w:rFonts w:eastAsia="黑体"/>
      </w:rPr>
      <w:t xml:space="preserve">     </w:t>
    </w:r>
    <w:r>
      <w:rPr>
        <w:rFonts w:hint="eastAsia" w:ascii="黑体" w:eastAsia="黑体"/>
        <w:sz w:val="18"/>
        <w:lang w:eastAsia="zh-CN"/>
      </w:rPr>
      <w:t>四川海盛林房地产土地资产评估有限公司</w:t>
    </w:r>
    <w:r>
      <w:rPr>
        <w:rFonts w:hint="eastAsia" w:ascii="黑体" w:eastAsia="黑体"/>
        <w:sz w:val="18"/>
      </w:rPr>
      <w:t xml:space="preserve">           </w:t>
    </w:r>
    <w:r>
      <w:rPr>
        <w:rFonts w:ascii="黑体" w:eastAsia="黑体"/>
        <w:sz w:val="18"/>
      </w:rPr>
      <w:t xml:space="preserve">   </w:t>
    </w:r>
    <w:r>
      <w:rPr>
        <w:rFonts w:hint="eastAsia" w:ascii="黑体" w:eastAsia="黑体"/>
        <w:sz w:val="18"/>
      </w:rPr>
      <w:t xml:space="preserve">地址：成都市洗面桥街33号艺墅花乡大厦14楼      </w:t>
    </w:r>
    <w:r>
      <w:rPr>
        <w:rFonts w:hint="eastAsia" w:ascii="黑体"/>
        <w:sz w:val="18"/>
      </w:rPr>
      <w:t xml:space="preserve"> Sichuan haishenglin Real Estate Land Assets Appraisal Co., Ltd. </w:t>
    </w:r>
    <w:r>
      <w:rPr>
        <w:rFonts w:ascii="黑体"/>
        <w:sz w:val="15"/>
      </w:rPr>
      <w:t xml:space="preserve">  </w:t>
    </w:r>
    <w:r>
      <w:rPr>
        <w:rFonts w:hint="eastAsia"/>
        <w:sz w:val="15"/>
      </w:rPr>
      <w:t>TEL</w:t>
    </w:r>
    <w:r>
      <w:rPr>
        <w:rFonts w:hint="eastAsia" w:ascii="黑体" w:eastAsia="黑体"/>
        <w:sz w:val="18"/>
      </w:rPr>
      <w:t>：028-85561958  FAX:028-85560542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949F11"/>
    <w:multiLevelType w:val="singleLevel"/>
    <w:tmpl w:val="94949F11"/>
    <w:lvl w:ilvl="0" w:tentative="0">
      <w:start w:val="3"/>
      <w:numFmt w:val="decimal"/>
      <w:suff w:val="nothing"/>
      <w:lvlText w:val="%1、"/>
      <w:lvlJc w:val="left"/>
    </w:lvl>
  </w:abstractNum>
  <w:abstractNum w:abstractNumId="1">
    <w:nsid w:val="03A20E67"/>
    <w:multiLevelType w:val="multilevel"/>
    <w:tmpl w:val="03A20E67"/>
    <w:lvl w:ilvl="0" w:tentative="0">
      <w:start w:val="1"/>
      <w:numFmt w:val="decimal"/>
      <w:lvlText w:val="（%1）"/>
      <w:lvlJc w:val="left"/>
      <w:pPr>
        <w:tabs>
          <w:tab w:val="left" w:pos="1296"/>
        </w:tabs>
        <w:ind w:left="1296" w:hanging="720"/>
      </w:pPr>
      <w:rPr>
        <w:rFonts w:hint="eastAsia"/>
      </w:rPr>
    </w:lvl>
    <w:lvl w:ilvl="1" w:tentative="0">
      <w:start w:val="1"/>
      <w:numFmt w:val="upperLetter"/>
      <w:pStyle w:val="3"/>
      <w:lvlText w:val="%2．"/>
      <w:lvlJc w:val="left"/>
      <w:pPr>
        <w:tabs>
          <w:tab w:val="left" w:pos="1716"/>
        </w:tabs>
        <w:ind w:left="1716" w:hanging="720"/>
      </w:pPr>
      <w:rPr>
        <w:rFonts w:hint="eastAsia"/>
      </w:rPr>
    </w:lvl>
    <w:lvl w:ilvl="2" w:tentative="0">
      <w:start w:val="1"/>
      <w:numFmt w:val="lowerRoman"/>
      <w:lvlText w:val="%3."/>
      <w:lvlJc w:val="right"/>
      <w:pPr>
        <w:tabs>
          <w:tab w:val="left" w:pos="1836"/>
        </w:tabs>
        <w:ind w:left="1836" w:hanging="420"/>
      </w:pPr>
    </w:lvl>
    <w:lvl w:ilvl="3" w:tentative="0">
      <w:start w:val="1"/>
      <w:numFmt w:val="decimal"/>
      <w:lvlText w:val="%4."/>
      <w:lvlJc w:val="left"/>
      <w:pPr>
        <w:tabs>
          <w:tab w:val="left" w:pos="2256"/>
        </w:tabs>
        <w:ind w:left="2256" w:hanging="420"/>
      </w:pPr>
    </w:lvl>
    <w:lvl w:ilvl="4" w:tentative="0">
      <w:start w:val="1"/>
      <w:numFmt w:val="lowerLetter"/>
      <w:lvlText w:val="%5)"/>
      <w:lvlJc w:val="left"/>
      <w:pPr>
        <w:tabs>
          <w:tab w:val="left" w:pos="2676"/>
        </w:tabs>
        <w:ind w:left="2676" w:hanging="420"/>
      </w:pPr>
    </w:lvl>
    <w:lvl w:ilvl="5" w:tentative="0">
      <w:start w:val="1"/>
      <w:numFmt w:val="lowerRoman"/>
      <w:lvlText w:val="%6."/>
      <w:lvlJc w:val="right"/>
      <w:pPr>
        <w:tabs>
          <w:tab w:val="left" w:pos="3096"/>
        </w:tabs>
        <w:ind w:left="3096" w:hanging="420"/>
      </w:pPr>
    </w:lvl>
    <w:lvl w:ilvl="6" w:tentative="0">
      <w:start w:val="1"/>
      <w:numFmt w:val="decimal"/>
      <w:lvlText w:val="%7."/>
      <w:lvlJc w:val="left"/>
      <w:pPr>
        <w:tabs>
          <w:tab w:val="left" w:pos="3516"/>
        </w:tabs>
        <w:ind w:left="3516" w:hanging="420"/>
      </w:pPr>
    </w:lvl>
    <w:lvl w:ilvl="7" w:tentative="0">
      <w:start w:val="1"/>
      <w:numFmt w:val="lowerLetter"/>
      <w:lvlText w:val="%8)"/>
      <w:lvlJc w:val="left"/>
      <w:pPr>
        <w:tabs>
          <w:tab w:val="left" w:pos="3936"/>
        </w:tabs>
        <w:ind w:left="3936" w:hanging="420"/>
      </w:pPr>
    </w:lvl>
    <w:lvl w:ilvl="8" w:tentative="0">
      <w:start w:val="1"/>
      <w:numFmt w:val="lowerRoman"/>
      <w:lvlText w:val="%9."/>
      <w:lvlJc w:val="right"/>
      <w:pPr>
        <w:tabs>
          <w:tab w:val="left" w:pos="4356"/>
        </w:tabs>
        <w:ind w:left="4356" w:hanging="420"/>
      </w:pPr>
    </w:lvl>
  </w:abstractNum>
  <w:abstractNum w:abstractNumId="2">
    <w:nsid w:val="587F44C6"/>
    <w:multiLevelType w:val="singleLevel"/>
    <w:tmpl w:val="587F44C6"/>
    <w:lvl w:ilvl="0" w:tentative="0">
      <w:start w:val="3"/>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D9"/>
    <w:rsid w:val="00000970"/>
    <w:rsid w:val="00000D5C"/>
    <w:rsid w:val="0000165A"/>
    <w:rsid w:val="00001712"/>
    <w:rsid w:val="00002493"/>
    <w:rsid w:val="00002A08"/>
    <w:rsid w:val="00002C28"/>
    <w:rsid w:val="00002FF6"/>
    <w:rsid w:val="00003041"/>
    <w:rsid w:val="00003150"/>
    <w:rsid w:val="00003342"/>
    <w:rsid w:val="00003452"/>
    <w:rsid w:val="00003641"/>
    <w:rsid w:val="00003772"/>
    <w:rsid w:val="00003D26"/>
    <w:rsid w:val="00003DD4"/>
    <w:rsid w:val="0000440C"/>
    <w:rsid w:val="00005228"/>
    <w:rsid w:val="000057D4"/>
    <w:rsid w:val="00006C90"/>
    <w:rsid w:val="00006EF4"/>
    <w:rsid w:val="00007310"/>
    <w:rsid w:val="0000738D"/>
    <w:rsid w:val="00007DB0"/>
    <w:rsid w:val="00010C40"/>
    <w:rsid w:val="0001250B"/>
    <w:rsid w:val="00012688"/>
    <w:rsid w:val="00012769"/>
    <w:rsid w:val="00012AC7"/>
    <w:rsid w:val="0001327D"/>
    <w:rsid w:val="000134AF"/>
    <w:rsid w:val="00014045"/>
    <w:rsid w:val="0001408C"/>
    <w:rsid w:val="0001483B"/>
    <w:rsid w:val="00014CED"/>
    <w:rsid w:val="00015276"/>
    <w:rsid w:val="00015317"/>
    <w:rsid w:val="00015904"/>
    <w:rsid w:val="00015C82"/>
    <w:rsid w:val="00015DB6"/>
    <w:rsid w:val="0001618B"/>
    <w:rsid w:val="00016981"/>
    <w:rsid w:val="00016A68"/>
    <w:rsid w:val="000172AE"/>
    <w:rsid w:val="0001747A"/>
    <w:rsid w:val="0001767F"/>
    <w:rsid w:val="00020521"/>
    <w:rsid w:val="00020ACF"/>
    <w:rsid w:val="00020C98"/>
    <w:rsid w:val="000211AA"/>
    <w:rsid w:val="0002140C"/>
    <w:rsid w:val="000216BB"/>
    <w:rsid w:val="000217FA"/>
    <w:rsid w:val="00021B2B"/>
    <w:rsid w:val="00022224"/>
    <w:rsid w:val="00022AEA"/>
    <w:rsid w:val="00022C58"/>
    <w:rsid w:val="00023BF4"/>
    <w:rsid w:val="000244DA"/>
    <w:rsid w:val="0002481F"/>
    <w:rsid w:val="000249A7"/>
    <w:rsid w:val="0002601F"/>
    <w:rsid w:val="0002610B"/>
    <w:rsid w:val="000264E4"/>
    <w:rsid w:val="00026976"/>
    <w:rsid w:val="00026BB8"/>
    <w:rsid w:val="00026EB9"/>
    <w:rsid w:val="000275BF"/>
    <w:rsid w:val="000276D6"/>
    <w:rsid w:val="000277C7"/>
    <w:rsid w:val="0002793D"/>
    <w:rsid w:val="00027CE3"/>
    <w:rsid w:val="00027F6A"/>
    <w:rsid w:val="0003009A"/>
    <w:rsid w:val="0003094E"/>
    <w:rsid w:val="00030B8D"/>
    <w:rsid w:val="00030B98"/>
    <w:rsid w:val="0003105C"/>
    <w:rsid w:val="00031372"/>
    <w:rsid w:val="00031383"/>
    <w:rsid w:val="000314B6"/>
    <w:rsid w:val="00031BD2"/>
    <w:rsid w:val="00031E28"/>
    <w:rsid w:val="0003214E"/>
    <w:rsid w:val="000328F9"/>
    <w:rsid w:val="00032F64"/>
    <w:rsid w:val="00033BC6"/>
    <w:rsid w:val="00033C04"/>
    <w:rsid w:val="00034131"/>
    <w:rsid w:val="000349C2"/>
    <w:rsid w:val="00034BE5"/>
    <w:rsid w:val="00034E09"/>
    <w:rsid w:val="00034E14"/>
    <w:rsid w:val="00035152"/>
    <w:rsid w:val="00035384"/>
    <w:rsid w:val="000355C8"/>
    <w:rsid w:val="0003585A"/>
    <w:rsid w:val="00035E27"/>
    <w:rsid w:val="00036090"/>
    <w:rsid w:val="000361B9"/>
    <w:rsid w:val="0003733C"/>
    <w:rsid w:val="000377DC"/>
    <w:rsid w:val="00037C80"/>
    <w:rsid w:val="00040092"/>
    <w:rsid w:val="00040866"/>
    <w:rsid w:val="00040ACF"/>
    <w:rsid w:val="00040BA8"/>
    <w:rsid w:val="00040CC3"/>
    <w:rsid w:val="00040DBF"/>
    <w:rsid w:val="00040E7B"/>
    <w:rsid w:val="00041034"/>
    <w:rsid w:val="00041705"/>
    <w:rsid w:val="00041E7E"/>
    <w:rsid w:val="00041EB5"/>
    <w:rsid w:val="00041FB1"/>
    <w:rsid w:val="00042273"/>
    <w:rsid w:val="00042299"/>
    <w:rsid w:val="00042494"/>
    <w:rsid w:val="00042DA6"/>
    <w:rsid w:val="0004316F"/>
    <w:rsid w:val="00044380"/>
    <w:rsid w:val="00044496"/>
    <w:rsid w:val="00044964"/>
    <w:rsid w:val="00044A72"/>
    <w:rsid w:val="00044C67"/>
    <w:rsid w:val="00045253"/>
    <w:rsid w:val="0004541B"/>
    <w:rsid w:val="0004578D"/>
    <w:rsid w:val="00045DFC"/>
    <w:rsid w:val="00046194"/>
    <w:rsid w:val="00046FAD"/>
    <w:rsid w:val="00047A3F"/>
    <w:rsid w:val="00050EA6"/>
    <w:rsid w:val="000513DB"/>
    <w:rsid w:val="0005150C"/>
    <w:rsid w:val="000517D4"/>
    <w:rsid w:val="00051BBB"/>
    <w:rsid w:val="00052DA1"/>
    <w:rsid w:val="00053123"/>
    <w:rsid w:val="00053A79"/>
    <w:rsid w:val="00053BAE"/>
    <w:rsid w:val="00053F49"/>
    <w:rsid w:val="00054299"/>
    <w:rsid w:val="00054597"/>
    <w:rsid w:val="0005499F"/>
    <w:rsid w:val="00055499"/>
    <w:rsid w:val="0005598F"/>
    <w:rsid w:val="000562B9"/>
    <w:rsid w:val="0005633C"/>
    <w:rsid w:val="00056469"/>
    <w:rsid w:val="00056D35"/>
    <w:rsid w:val="00056FF9"/>
    <w:rsid w:val="00057BEA"/>
    <w:rsid w:val="00057FCD"/>
    <w:rsid w:val="000609D1"/>
    <w:rsid w:val="00060E59"/>
    <w:rsid w:val="0006175D"/>
    <w:rsid w:val="00061769"/>
    <w:rsid w:val="00061EBE"/>
    <w:rsid w:val="00061FDE"/>
    <w:rsid w:val="0006232B"/>
    <w:rsid w:val="00062C00"/>
    <w:rsid w:val="00062F9C"/>
    <w:rsid w:val="00063036"/>
    <w:rsid w:val="0006350B"/>
    <w:rsid w:val="00063894"/>
    <w:rsid w:val="00063B99"/>
    <w:rsid w:val="00063F83"/>
    <w:rsid w:val="000640B0"/>
    <w:rsid w:val="00064E94"/>
    <w:rsid w:val="000651E3"/>
    <w:rsid w:val="000653CC"/>
    <w:rsid w:val="00065622"/>
    <w:rsid w:val="00065AAB"/>
    <w:rsid w:val="00065B6F"/>
    <w:rsid w:val="00066C82"/>
    <w:rsid w:val="00066E2F"/>
    <w:rsid w:val="00067D3B"/>
    <w:rsid w:val="00067D3E"/>
    <w:rsid w:val="00067D65"/>
    <w:rsid w:val="000703B1"/>
    <w:rsid w:val="00070699"/>
    <w:rsid w:val="00070CD9"/>
    <w:rsid w:val="00071023"/>
    <w:rsid w:val="0007129D"/>
    <w:rsid w:val="00071429"/>
    <w:rsid w:val="00071490"/>
    <w:rsid w:val="00071A0D"/>
    <w:rsid w:val="000725E0"/>
    <w:rsid w:val="00072630"/>
    <w:rsid w:val="0007263D"/>
    <w:rsid w:val="00072BEB"/>
    <w:rsid w:val="00072EFF"/>
    <w:rsid w:val="000731BE"/>
    <w:rsid w:val="000733C2"/>
    <w:rsid w:val="000734C1"/>
    <w:rsid w:val="0007388E"/>
    <w:rsid w:val="00075967"/>
    <w:rsid w:val="000759FA"/>
    <w:rsid w:val="00076584"/>
    <w:rsid w:val="000768E8"/>
    <w:rsid w:val="00077268"/>
    <w:rsid w:val="00077766"/>
    <w:rsid w:val="00077FAF"/>
    <w:rsid w:val="0008096E"/>
    <w:rsid w:val="00081031"/>
    <w:rsid w:val="000811DC"/>
    <w:rsid w:val="0008186A"/>
    <w:rsid w:val="0008196B"/>
    <w:rsid w:val="000819B9"/>
    <w:rsid w:val="00081F27"/>
    <w:rsid w:val="00082626"/>
    <w:rsid w:val="00082A3B"/>
    <w:rsid w:val="00082B14"/>
    <w:rsid w:val="00082CDE"/>
    <w:rsid w:val="0008301F"/>
    <w:rsid w:val="00083138"/>
    <w:rsid w:val="00083188"/>
    <w:rsid w:val="00083350"/>
    <w:rsid w:val="000836DF"/>
    <w:rsid w:val="000836FA"/>
    <w:rsid w:val="000838A7"/>
    <w:rsid w:val="000838A8"/>
    <w:rsid w:val="00084035"/>
    <w:rsid w:val="000845C9"/>
    <w:rsid w:val="00084C1A"/>
    <w:rsid w:val="00085222"/>
    <w:rsid w:val="000853CD"/>
    <w:rsid w:val="0008558B"/>
    <w:rsid w:val="00086CC3"/>
    <w:rsid w:val="0008764C"/>
    <w:rsid w:val="00087846"/>
    <w:rsid w:val="00087C41"/>
    <w:rsid w:val="00087E0F"/>
    <w:rsid w:val="000903A1"/>
    <w:rsid w:val="00090876"/>
    <w:rsid w:val="00090AF6"/>
    <w:rsid w:val="00090B12"/>
    <w:rsid w:val="00090D7E"/>
    <w:rsid w:val="00091307"/>
    <w:rsid w:val="000915AE"/>
    <w:rsid w:val="000915E9"/>
    <w:rsid w:val="000919C1"/>
    <w:rsid w:val="00091FD5"/>
    <w:rsid w:val="0009316A"/>
    <w:rsid w:val="00093194"/>
    <w:rsid w:val="00093285"/>
    <w:rsid w:val="0009383D"/>
    <w:rsid w:val="00093D83"/>
    <w:rsid w:val="00094921"/>
    <w:rsid w:val="00094A41"/>
    <w:rsid w:val="00094AD3"/>
    <w:rsid w:val="0009518C"/>
    <w:rsid w:val="00095203"/>
    <w:rsid w:val="0009554C"/>
    <w:rsid w:val="00095AD8"/>
    <w:rsid w:val="00095F4B"/>
    <w:rsid w:val="0009653E"/>
    <w:rsid w:val="000968C5"/>
    <w:rsid w:val="0009694F"/>
    <w:rsid w:val="00096F2B"/>
    <w:rsid w:val="0009719C"/>
    <w:rsid w:val="0009746A"/>
    <w:rsid w:val="00097D12"/>
    <w:rsid w:val="000A068E"/>
    <w:rsid w:val="000A087C"/>
    <w:rsid w:val="000A0E18"/>
    <w:rsid w:val="000A1B0C"/>
    <w:rsid w:val="000A1D25"/>
    <w:rsid w:val="000A1D46"/>
    <w:rsid w:val="000A31BE"/>
    <w:rsid w:val="000A3530"/>
    <w:rsid w:val="000A3597"/>
    <w:rsid w:val="000A3A04"/>
    <w:rsid w:val="000A3BA8"/>
    <w:rsid w:val="000A440D"/>
    <w:rsid w:val="000A4FB4"/>
    <w:rsid w:val="000A68B2"/>
    <w:rsid w:val="000A6CB5"/>
    <w:rsid w:val="000A6E34"/>
    <w:rsid w:val="000A70B7"/>
    <w:rsid w:val="000A7486"/>
    <w:rsid w:val="000A7656"/>
    <w:rsid w:val="000A7B16"/>
    <w:rsid w:val="000B0E6D"/>
    <w:rsid w:val="000B0F66"/>
    <w:rsid w:val="000B1C5A"/>
    <w:rsid w:val="000B1C70"/>
    <w:rsid w:val="000B1E5E"/>
    <w:rsid w:val="000B1FE3"/>
    <w:rsid w:val="000B2455"/>
    <w:rsid w:val="000B336C"/>
    <w:rsid w:val="000B4028"/>
    <w:rsid w:val="000B4540"/>
    <w:rsid w:val="000B4F8B"/>
    <w:rsid w:val="000B5F18"/>
    <w:rsid w:val="000B64F8"/>
    <w:rsid w:val="000B65CE"/>
    <w:rsid w:val="000B6F30"/>
    <w:rsid w:val="000B6F78"/>
    <w:rsid w:val="000B73D5"/>
    <w:rsid w:val="000B7A31"/>
    <w:rsid w:val="000B7A9E"/>
    <w:rsid w:val="000B7E67"/>
    <w:rsid w:val="000C0061"/>
    <w:rsid w:val="000C052E"/>
    <w:rsid w:val="000C07AD"/>
    <w:rsid w:val="000C0829"/>
    <w:rsid w:val="000C0961"/>
    <w:rsid w:val="000C09AC"/>
    <w:rsid w:val="000C0A1F"/>
    <w:rsid w:val="000C1218"/>
    <w:rsid w:val="000C1467"/>
    <w:rsid w:val="000C1715"/>
    <w:rsid w:val="000C1E2B"/>
    <w:rsid w:val="000C1F26"/>
    <w:rsid w:val="000C22EC"/>
    <w:rsid w:val="000C269C"/>
    <w:rsid w:val="000C3279"/>
    <w:rsid w:val="000C327D"/>
    <w:rsid w:val="000C3877"/>
    <w:rsid w:val="000C3B58"/>
    <w:rsid w:val="000C45C1"/>
    <w:rsid w:val="000C45DC"/>
    <w:rsid w:val="000C4B69"/>
    <w:rsid w:val="000C504C"/>
    <w:rsid w:val="000C517C"/>
    <w:rsid w:val="000C51FD"/>
    <w:rsid w:val="000C5822"/>
    <w:rsid w:val="000C605C"/>
    <w:rsid w:val="000C625D"/>
    <w:rsid w:val="000C641B"/>
    <w:rsid w:val="000C6B84"/>
    <w:rsid w:val="000C6D0B"/>
    <w:rsid w:val="000C7158"/>
    <w:rsid w:val="000C7819"/>
    <w:rsid w:val="000C795F"/>
    <w:rsid w:val="000C7DDB"/>
    <w:rsid w:val="000C7DF1"/>
    <w:rsid w:val="000C7E98"/>
    <w:rsid w:val="000C7F12"/>
    <w:rsid w:val="000D09E0"/>
    <w:rsid w:val="000D0AE1"/>
    <w:rsid w:val="000D0C93"/>
    <w:rsid w:val="000D0E8B"/>
    <w:rsid w:val="000D0F25"/>
    <w:rsid w:val="000D18EF"/>
    <w:rsid w:val="000D2172"/>
    <w:rsid w:val="000D223B"/>
    <w:rsid w:val="000D26E3"/>
    <w:rsid w:val="000D3705"/>
    <w:rsid w:val="000D3D6E"/>
    <w:rsid w:val="000D40F0"/>
    <w:rsid w:val="000D4A3D"/>
    <w:rsid w:val="000D5D4B"/>
    <w:rsid w:val="000D5E78"/>
    <w:rsid w:val="000D629E"/>
    <w:rsid w:val="000D66F0"/>
    <w:rsid w:val="000D7167"/>
    <w:rsid w:val="000D79F6"/>
    <w:rsid w:val="000E0127"/>
    <w:rsid w:val="000E0260"/>
    <w:rsid w:val="000E055E"/>
    <w:rsid w:val="000E080E"/>
    <w:rsid w:val="000E1049"/>
    <w:rsid w:val="000E1866"/>
    <w:rsid w:val="000E1A18"/>
    <w:rsid w:val="000E1FDD"/>
    <w:rsid w:val="000E255D"/>
    <w:rsid w:val="000E2A60"/>
    <w:rsid w:val="000E2E0B"/>
    <w:rsid w:val="000E2F9D"/>
    <w:rsid w:val="000E32EF"/>
    <w:rsid w:val="000E3AA7"/>
    <w:rsid w:val="000E4101"/>
    <w:rsid w:val="000E454D"/>
    <w:rsid w:val="000E463B"/>
    <w:rsid w:val="000E47CB"/>
    <w:rsid w:val="000E4E37"/>
    <w:rsid w:val="000E5048"/>
    <w:rsid w:val="000E509B"/>
    <w:rsid w:val="000E5CF4"/>
    <w:rsid w:val="000E6136"/>
    <w:rsid w:val="000E616E"/>
    <w:rsid w:val="000E6328"/>
    <w:rsid w:val="000E66B5"/>
    <w:rsid w:val="000E69EF"/>
    <w:rsid w:val="000E6C24"/>
    <w:rsid w:val="000E7493"/>
    <w:rsid w:val="000E74FD"/>
    <w:rsid w:val="000E7A89"/>
    <w:rsid w:val="000F0819"/>
    <w:rsid w:val="000F0B1B"/>
    <w:rsid w:val="000F0CBC"/>
    <w:rsid w:val="000F13CD"/>
    <w:rsid w:val="000F1C27"/>
    <w:rsid w:val="000F24C1"/>
    <w:rsid w:val="000F2902"/>
    <w:rsid w:val="000F35DD"/>
    <w:rsid w:val="000F3D4B"/>
    <w:rsid w:val="000F5447"/>
    <w:rsid w:val="000F54A1"/>
    <w:rsid w:val="000F569E"/>
    <w:rsid w:val="000F598E"/>
    <w:rsid w:val="000F5F7D"/>
    <w:rsid w:val="000F63EF"/>
    <w:rsid w:val="000F6558"/>
    <w:rsid w:val="000F6F36"/>
    <w:rsid w:val="000F7073"/>
    <w:rsid w:val="000F7865"/>
    <w:rsid w:val="000F7866"/>
    <w:rsid w:val="000F7CC1"/>
    <w:rsid w:val="001004B0"/>
    <w:rsid w:val="001004C2"/>
    <w:rsid w:val="00100649"/>
    <w:rsid w:val="00100F78"/>
    <w:rsid w:val="0010162E"/>
    <w:rsid w:val="00101C24"/>
    <w:rsid w:val="0010343C"/>
    <w:rsid w:val="001035E8"/>
    <w:rsid w:val="001036F7"/>
    <w:rsid w:val="00103AF4"/>
    <w:rsid w:val="001042CB"/>
    <w:rsid w:val="00104A48"/>
    <w:rsid w:val="00104E82"/>
    <w:rsid w:val="00104EA6"/>
    <w:rsid w:val="0010512F"/>
    <w:rsid w:val="001055AA"/>
    <w:rsid w:val="0010578C"/>
    <w:rsid w:val="00105C48"/>
    <w:rsid w:val="00106555"/>
    <w:rsid w:val="00106639"/>
    <w:rsid w:val="0010677F"/>
    <w:rsid w:val="001067A5"/>
    <w:rsid w:val="00106BC9"/>
    <w:rsid w:val="001073AE"/>
    <w:rsid w:val="00107488"/>
    <w:rsid w:val="00107CED"/>
    <w:rsid w:val="00110FF6"/>
    <w:rsid w:val="00111BFE"/>
    <w:rsid w:val="00111E5B"/>
    <w:rsid w:val="00111F35"/>
    <w:rsid w:val="00111FAF"/>
    <w:rsid w:val="0011284C"/>
    <w:rsid w:val="00112AB8"/>
    <w:rsid w:val="00112E6A"/>
    <w:rsid w:val="001131BB"/>
    <w:rsid w:val="001131C7"/>
    <w:rsid w:val="00113A27"/>
    <w:rsid w:val="00113F26"/>
    <w:rsid w:val="00114035"/>
    <w:rsid w:val="00114403"/>
    <w:rsid w:val="001146A7"/>
    <w:rsid w:val="00114B45"/>
    <w:rsid w:val="00115154"/>
    <w:rsid w:val="001153B2"/>
    <w:rsid w:val="001158D4"/>
    <w:rsid w:val="001158F5"/>
    <w:rsid w:val="0011614D"/>
    <w:rsid w:val="00116357"/>
    <w:rsid w:val="00116C46"/>
    <w:rsid w:val="00116DC8"/>
    <w:rsid w:val="0011717A"/>
    <w:rsid w:val="0011786C"/>
    <w:rsid w:val="001178A0"/>
    <w:rsid w:val="00117B76"/>
    <w:rsid w:val="00117BFA"/>
    <w:rsid w:val="00117D0A"/>
    <w:rsid w:val="00120133"/>
    <w:rsid w:val="0012044F"/>
    <w:rsid w:val="00120757"/>
    <w:rsid w:val="00120D6B"/>
    <w:rsid w:val="00120FDB"/>
    <w:rsid w:val="00121473"/>
    <w:rsid w:val="00121492"/>
    <w:rsid w:val="00121792"/>
    <w:rsid w:val="00121E51"/>
    <w:rsid w:val="0012219B"/>
    <w:rsid w:val="00122E3B"/>
    <w:rsid w:val="00123163"/>
    <w:rsid w:val="0012317B"/>
    <w:rsid w:val="001235CE"/>
    <w:rsid w:val="00123777"/>
    <w:rsid w:val="00123D44"/>
    <w:rsid w:val="00124356"/>
    <w:rsid w:val="00124669"/>
    <w:rsid w:val="00124AF9"/>
    <w:rsid w:val="0012523D"/>
    <w:rsid w:val="00125667"/>
    <w:rsid w:val="00125BCC"/>
    <w:rsid w:val="0012676A"/>
    <w:rsid w:val="001275BD"/>
    <w:rsid w:val="001275BF"/>
    <w:rsid w:val="00127F62"/>
    <w:rsid w:val="001307D2"/>
    <w:rsid w:val="00130B1A"/>
    <w:rsid w:val="00130C46"/>
    <w:rsid w:val="00131FF7"/>
    <w:rsid w:val="00132137"/>
    <w:rsid w:val="001329FF"/>
    <w:rsid w:val="0013326E"/>
    <w:rsid w:val="0013411C"/>
    <w:rsid w:val="001350BD"/>
    <w:rsid w:val="001357C7"/>
    <w:rsid w:val="001359A6"/>
    <w:rsid w:val="00136764"/>
    <w:rsid w:val="001370EC"/>
    <w:rsid w:val="001370F9"/>
    <w:rsid w:val="0013710E"/>
    <w:rsid w:val="001371AF"/>
    <w:rsid w:val="00137267"/>
    <w:rsid w:val="00137388"/>
    <w:rsid w:val="001374DF"/>
    <w:rsid w:val="00137B26"/>
    <w:rsid w:val="00137B6C"/>
    <w:rsid w:val="00137E34"/>
    <w:rsid w:val="00140AFE"/>
    <w:rsid w:val="00140BFE"/>
    <w:rsid w:val="001419B9"/>
    <w:rsid w:val="00141B40"/>
    <w:rsid w:val="00141E16"/>
    <w:rsid w:val="00141E27"/>
    <w:rsid w:val="0014201B"/>
    <w:rsid w:val="0014207C"/>
    <w:rsid w:val="00142B3B"/>
    <w:rsid w:val="00142BD3"/>
    <w:rsid w:val="00143161"/>
    <w:rsid w:val="001431DF"/>
    <w:rsid w:val="001433F5"/>
    <w:rsid w:val="001435AC"/>
    <w:rsid w:val="00143D4B"/>
    <w:rsid w:val="00143E3D"/>
    <w:rsid w:val="00143F0F"/>
    <w:rsid w:val="0014410C"/>
    <w:rsid w:val="0014424D"/>
    <w:rsid w:val="00144312"/>
    <w:rsid w:val="00144E38"/>
    <w:rsid w:val="00144EB5"/>
    <w:rsid w:val="001452BC"/>
    <w:rsid w:val="00145899"/>
    <w:rsid w:val="00146072"/>
    <w:rsid w:val="001463ED"/>
    <w:rsid w:val="00146407"/>
    <w:rsid w:val="00146DB8"/>
    <w:rsid w:val="0014724F"/>
    <w:rsid w:val="00147486"/>
    <w:rsid w:val="001477EE"/>
    <w:rsid w:val="00147F7A"/>
    <w:rsid w:val="001500C2"/>
    <w:rsid w:val="00150384"/>
    <w:rsid w:val="0015061B"/>
    <w:rsid w:val="00150851"/>
    <w:rsid w:val="00150F5A"/>
    <w:rsid w:val="00151258"/>
    <w:rsid w:val="0015153B"/>
    <w:rsid w:val="0015155C"/>
    <w:rsid w:val="001515D6"/>
    <w:rsid w:val="0015172E"/>
    <w:rsid w:val="00151975"/>
    <w:rsid w:val="0015245E"/>
    <w:rsid w:val="00152C7B"/>
    <w:rsid w:val="001532E0"/>
    <w:rsid w:val="00153728"/>
    <w:rsid w:val="001539A4"/>
    <w:rsid w:val="00153C73"/>
    <w:rsid w:val="00153DC3"/>
    <w:rsid w:val="0015404F"/>
    <w:rsid w:val="00154504"/>
    <w:rsid w:val="00154E03"/>
    <w:rsid w:val="001554B3"/>
    <w:rsid w:val="00155C0A"/>
    <w:rsid w:val="00155C84"/>
    <w:rsid w:val="0015604C"/>
    <w:rsid w:val="001562F5"/>
    <w:rsid w:val="00156602"/>
    <w:rsid w:val="00156999"/>
    <w:rsid w:val="00156AA8"/>
    <w:rsid w:val="00157048"/>
    <w:rsid w:val="001570DE"/>
    <w:rsid w:val="00157947"/>
    <w:rsid w:val="00157BE2"/>
    <w:rsid w:val="00157FAC"/>
    <w:rsid w:val="001606CF"/>
    <w:rsid w:val="001609D0"/>
    <w:rsid w:val="00160D9A"/>
    <w:rsid w:val="0016138C"/>
    <w:rsid w:val="001613FA"/>
    <w:rsid w:val="00162ECC"/>
    <w:rsid w:val="00162F18"/>
    <w:rsid w:val="00163160"/>
    <w:rsid w:val="00164645"/>
    <w:rsid w:val="0016465F"/>
    <w:rsid w:val="0016501E"/>
    <w:rsid w:val="00165B91"/>
    <w:rsid w:val="00165D98"/>
    <w:rsid w:val="00165E5C"/>
    <w:rsid w:val="0016629F"/>
    <w:rsid w:val="001663E0"/>
    <w:rsid w:val="0016665F"/>
    <w:rsid w:val="00166B39"/>
    <w:rsid w:val="00166B75"/>
    <w:rsid w:val="00166DCE"/>
    <w:rsid w:val="00167772"/>
    <w:rsid w:val="00170248"/>
    <w:rsid w:val="0017033E"/>
    <w:rsid w:val="0017079A"/>
    <w:rsid w:val="0017094B"/>
    <w:rsid w:val="00170A99"/>
    <w:rsid w:val="00170B06"/>
    <w:rsid w:val="00170D7E"/>
    <w:rsid w:val="00171049"/>
    <w:rsid w:val="00171900"/>
    <w:rsid w:val="00171A9E"/>
    <w:rsid w:val="00171CD9"/>
    <w:rsid w:val="00172568"/>
    <w:rsid w:val="00172696"/>
    <w:rsid w:val="00173028"/>
    <w:rsid w:val="00173227"/>
    <w:rsid w:val="001732D6"/>
    <w:rsid w:val="00173306"/>
    <w:rsid w:val="00173B29"/>
    <w:rsid w:val="00173B64"/>
    <w:rsid w:val="00173F31"/>
    <w:rsid w:val="00174072"/>
    <w:rsid w:val="001740BA"/>
    <w:rsid w:val="0017444A"/>
    <w:rsid w:val="001745D4"/>
    <w:rsid w:val="001745E7"/>
    <w:rsid w:val="001750C2"/>
    <w:rsid w:val="00175F02"/>
    <w:rsid w:val="00175F51"/>
    <w:rsid w:val="00176222"/>
    <w:rsid w:val="001766E4"/>
    <w:rsid w:val="00176C34"/>
    <w:rsid w:val="00177867"/>
    <w:rsid w:val="00177A21"/>
    <w:rsid w:val="00177BEC"/>
    <w:rsid w:val="00177E3B"/>
    <w:rsid w:val="001800A3"/>
    <w:rsid w:val="001808D0"/>
    <w:rsid w:val="00180A43"/>
    <w:rsid w:val="00180B98"/>
    <w:rsid w:val="0018108B"/>
    <w:rsid w:val="00181744"/>
    <w:rsid w:val="00181984"/>
    <w:rsid w:val="00181A8A"/>
    <w:rsid w:val="00181AEA"/>
    <w:rsid w:val="00182046"/>
    <w:rsid w:val="001820AE"/>
    <w:rsid w:val="0018272C"/>
    <w:rsid w:val="00183135"/>
    <w:rsid w:val="00184748"/>
    <w:rsid w:val="001847E8"/>
    <w:rsid w:val="00184BA3"/>
    <w:rsid w:val="00184C96"/>
    <w:rsid w:val="00184F83"/>
    <w:rsid w:val="00185086"/>
    <w:rsid w:val="001850E8"/>
    <w:rsid w:val="00185767"/>
    <w:rsid w:val="00185944"/>
    <w:rsid w:val="0018608E"/>
    <w:rsid w:val="0018663F"/>
    <w:rsid w:val="00186B9E"/>
    <w:rsid w:val="00186DAC"/>
    <w:rsid w:val="00186F8C"/>
    <w:rsid w:val="00187123"/>
    <w:rsid w:val="001873D2"/>
    <w:rsid w:val="0018764A"/>
    <w:rsid w:val="00187AEA"/>
    <w:rsid w:val="00190263"/>
    <w:rsid w:val="001905AC"/>
    <w:rsid w:val="00190B4B"/>
    <w:rsid w:val="00190B9D"/>
    <w:rsid w:val="00190CEE"/>
    <w:rsid w:val="00191030"/>
    <w:rsid w:val="00191D50"/>
    <w:rsid w:val="00193905"/>
    <w:rsid w:val="00193AA3"/>
    <w:rsid w:val="0019412D"/>
    <w:rsid w:val="00194936"/>
    <w:rsid w:val="001951E4"/>
    <w:rsid w:val="00196268"/>
    <w:rsid w:val="001962EF"/>
    <w:rsid w:val="001967D5"/>
    <w:rsid w:val="00196812"/>
    <w:rsid w:val="00196B5F"/>
    <w:rsid w:val="00196F4D"/>
    <w:rsid w:val="00197533"/>
    <w:rsid w:val="001975C5"/>
    <w:rsid w:val="00197EAE"/>
    <w:rsid w:val="001A019D"/>
    <w:rsid w:val="001A038D"/>
    <w:rsid w:val="001A120F"/>
    <w:rsid w:val="001A1991"/>
    <w:rsid w:val="001A1A39"/>
    <w:rsid w:val="001A1A90"/>
    <w:rsid w:val="001A1E30"/>
    <w:rsid w:val="001A25E4"/>
    <w:rsid w:val="001A2C9E"/>
    <w:rsid w:val="001A2FC4"/>
    <w:rsid w:val="001A3143"/>
    <w:rsid w:val="001A315E"/>
    <w:rsid w:val="001A3427"/>
    <w:rsid w:val="001A38F7"/>
    <w:rsid w:val="001A43D6"/>
    <w:rsid w:val="001A44E7"/>
    <w:rsid w:val="001A4963"/>
    <w:rsid w:val="001A4A2B"/>
    <w:rsid w:val="001A4B07"/>
    <w:rsid w:val="001A4B16"/>
    <w:rsid w:val="001A4C8F"/>
    <w:rsid w:val="001A4CB2"/>
    <w:rsid w:val="001A57DC"/>
    <w:rsid w:val="001A58D3"/>
    <w:rsid w:val="001A58D9"/>
    <w:rsid w:val="001A5CCD"/>
    <w:rsid w:val="001A61A6"/>
    <w:rsid w:val="001A61AC"/>
    <w:rsid w:val="001A6270"/>
    <w:rsid w:val="001A69DD"/>
    <w:rsid w:val="001A7B78"/>
    <w:rsid w:val="001B07B0"/>
    <w:rsid w:val="001B07C9"/>
    <w:rsid w:val="001B0A36"/>
    <w:rsid w:val="001B0ED9"/>
    <w:rsid w:val="001B19AA"/>
    <w:rsid w:val="001B1D00"/>
    <w:rsid w:val="001B1DBF"/>
    <w:rsid w:val="001B1F12"/>
    <w:rsid w:val="001B22EC"/>
    <w:rsid w:val="001B296F"/>
    <w:rsid w:val="001B2AC7"/>
    <w:rsid w:val="001B2EF7"/>
    <w:rsid w:val="001B36D2"/>
    <w:rsid w:val="001B37DB"/>
    <w:rsid w:val="001B4DCF"/>
    <w:rsid w:val="001B5120"/>
    <w:rsid w:val="001B51AA"/>
    <w:rsid w:val="001B5687"/>
    <w:rsid w:val="001B5947"/>
    <w:rsid w:val="001B60AF"/>
    <w:rsid w:val="001B672E"/>
    <w:rsid w:val="001B74BB"/>
    <w:rsid w:val="001B759E"/>
    <w:rsid w:val="001B7C38"/>
    <w:rsid w:val="001B7CED"/>
    <w:rsid w:val="001C1AB9"/>
    <w:rsid w:val="001C232B"/>
    <w:rsid w:val="001C270C"/>
    <w:rsid w:val="001C27E0"/>
    <w:rsid w:val="001C2833"/>
    <w:rsid w:val="001C29AD"/>
    <w:rsid w:val="001C33B4"/>
    <w:rsid w:val="001C35A3"/>
    <w:rsid w:val="001C3E5F"/>
    <w:rsid w:val="001C4C70"/>
    <w:rsid w:val="001C4F10"/>
    <w:rsid w:val="001C515F"/>
    <w:rsid w:val="001C5398"/>
    <w:rsid w:val="001C5AFD"/>
    <w:rsid w:val="001C62D0"/>
    <w:rsid w:val="001C6E2D"/>
    <w:rsid w:val="001C6EA8"/>
    <w:rsid w:val="001C6F75"/>
    <w:rsid w:val="001C738E"/>
    <w:rsid w:val="001C7618"/>
    <w:rsid w:val="001C7702"/>
    <w:rsid w:val="001C7E93"/>
    <w:rsid w:val="001D02C2"/>
    <w:rsid w:val="001D0BF1"/>
    <w:rsid w:val="001D1234"/>
    <w:rsid w:val="001D16A3"/>
    <w:rsid w:val="001D1CFD"/>
    <w:rsid w:val="001D225B"/>
    <w:rsid w:val="001D2426"/>
    <w:rsid w:val="001D2571"/>
    <w:rsid w:val="001D26B8"/>
    <w:rsid w:val="001D2CC2"/>
    <w:rsid w:val="001D34A0"/>
    <w:rsid w:val="001D34DE"/>
    <w:rsid w:val="001D3593"/>
    <w:rsid w:val="001D4A46"/>
    <w:rsid w:val="001D4ADE"/>
    <w:rsid w:val="001D5A54"/>
    <w:rsid w:val="001D5C66"/>
    <w:rsid w:val="001D5C87"/>
    <w:rsid w:val="001D65D7"/>
    <w:rsid w:val="001D6641"/>
    <w:rsid w:val="001D6EAA"/>
    <w:rsid w:val="001D7E89"/>
    <w:rsid w:val="001E0391"/>
    <w:rsid w:val="001E03C6"/>
    <w:rsid w:val="001E09FB"/>
    <w:rsid w:val="001E09FC"/>
    <w:rsid w:val="001E0CE0"/>
    <w:rsid w:val="001E0FDD"/>
    <w:rsid w:val="001E10B1"/>
    <w:rsid w:val="001E1369"/>
    <w:rsid w:val="001E1E01"/>
    <w:rsid w:val="001E1F05"/>
    <w:rsid w:val="001E2014"/>
    <w:rsid w:val="001E23CC"/>
    <w:rsid w:val="001E278D"/>
    <w:rsid w:val="001E2AEC"/>
    <w:rsid w:val="001E2BE3"/>
    <w:rsid w:val="001E2BF9"/>
    <w:rsid w:val="001E3558"/>
    <w:rsid w:val="001E35E2"/>
    <w:rsid w:val="001E37CD"/>
    <w:rsid w:val="001E3B97"/>
    <w:rsid w:val="001E40D5"/>
    <w:rsid w:val="001E47DF"/>
    <w:rsid w:val="001E5922"/>
    <w:rsid w:val="001E5A4D"/>
    <w:rsid w:val="001E5F11"/>
    <w:rsid w:val="001E62BD"/>
    <w:rsid w:val="001E642E"/>
    <w:rsid w:val="001E6816"/>
    <w:rsid w:val="001E6F38"/>
    <w:rsid w:val="001E709E"/>
    <w:rsid w:val="001E7184"/>
    <w:rsid w:val="001E749B"/>
    <w:rsid w:val="001E7520"/>
    <w:rsid w:val="001E78BC"/>
    <w:rsid w:val="001E7A2E"/>
    <w:rsid w:val="001F0299"/>
    <w:rsid w:val="001F0301"/>
    <w:rsid w:val="001F05AB"/>
    <w:rsid w:val="001F0C32"/>
    <w:rsid w:val="001F0E6A"/>
    <w:rsid w:val="001F0F9B"/>
    <w:rsid w:val="001F106B"/>
    <w:rsid w:val="001F13A8"/>
    <w:rsid w:val="001F1536"/>
    <w:rsid w:val="001F1A99"/>
    <w:rsid w:val="001F1B0F"/>
    <w:rsid w:val="001F1EE7"/>
    <w:rsid w:val="001F217B"/>
    <w:rsid w:val="001F2423"/>
    <w:rsid w:val="001F2B02"/>
    <w:rsid w:val="001F3B9E"/>
    <w:rsid w:val="001F3EC6"/>
    <w:rsid w:val="001F3FE8"/>
    <w:rsid w:val="001F4759"/>
    <w:rsid w:val="001F4A40"/>
    <w:rsid w:val="001F4E11"/>
    <w:rsid w:val="001F5119"/>
    <w:rsid w:val="001F52ED"/>
    <w:rsid w:val="001F55D9"/>
    <w:rsid w:val="001F5B71"/>
    <w:rsid w:val="001F5E2A"/>
    <w:rsid w:val="001F5F49"/>
    <w:rsid w:val="001F61A0"/>
    <w:rsid w:val="001F644A"/>
    <w:rsid w:val="001F695B"/>
    <w:rsid w:val="001F6A45"/>
    <w:rsid w:val="001F6B34"/>
    <w:rsid w:val="001F6CAC"/>
    <w:rsid w:val="001F6D47"/>
    <w:rsid w:val="001F6EF4"/>
    <w:rsid w:val="001F714A"/>
    <w:rsid w:val="001F74A1"/>
    <w:rsid w:val="001F7619"/>
    <w:rsid w:val="001F7A6E"/>
    <w:rsid w:val="001F7B8B"/>
    <w:rsid w:val="001F7E44"/>
    <w:rsid w:val="002000A2"/>
    <w:rsid w:val="00200296"/>
    <w:rsid w:val="002002D7"/>
    <w:rsid w:val="0020069A"/>
    <w:rsid w:val="00200F99"/>
    <w:rsid w:val="0020118A"/>
    <w:rsid w:val="002019BD"/>
    <w:rsid w:val="00201AD7"/>
    <w:rsid w:val="00202547"/>
    <w:rsid w:val="00202673"/>
    <w:rsid w:val="00202AA0"/>
    <w:rsid w:val="00202C71"/>
    <w:rsid w:val="00202D9A"/>
    <w:rsid w:val="00203158"/>
    <w:rsid w:val="00203273"/>
    <w:rsid w:val="002035D9"/>
    <w:rsid w:val="00203789"/>
    <w:rsid w:val="00203DAF"/>
    <w:rsid w:val="002042CE"/>
    <w:rsid w:val="002043D6"/>
    <w:rsid w:val="002046E0"/>
    <w:rsid w:val="002049E8"/>
    <w:rsid w:val="00204AEB"/>
    <w:rsid w:val="00204CE7"/>
    <w:rsid w:val="00205177"/>
    <w:rsid w:val="0020553B"/>
    <w:rsid w:val="00205863"/>
    <w:rsid w:val="00205A2E"/>
    <w:rsid w:val="00205A9B"/>
    <w:rsid w:val="00205BCA"/>
    <w:rsid w:val="002060A6"/>
    <w:rsid w:val="002060D1"/>
    <w:rsid w:val="002062A5"/>
    <w:rsid w:val="00206301"/>
    <w:rsid w:val="002069FB"/>
    <w:rsid w:val="00206D43"/>
    <w:rsid w:val="00206D69"/>
    <w:rsid w:val="00207314"/>
    <w:rsid w:val="00207395"/>
    <w:rsid w:val="002076BB"/>
    <w:rsid w:val="002077DD"/>
    <w:rsid w:val="002078D0"/>
    <w:rsid w:val="00207B52"/>
    <w:rsid w:val="00210186"/>
    <w:rsid w:val="00210E47"/>
    <w:rsid w:val="002111CE"/>
    <w:rsid w:val="00211B83"/>
    <w:rsid w:val="002124B5"/>
    <w:rsid w:val="00213157"/>
    <w:rsid w:val="00213340"/>
    <w:rsid w:val="00213347"/>
    <w:rsid w:val="002134EA"/>
    <w:rsid w:val="00213694"/>
    <w:rsid w:val="00213D96"/>
    <w:rsid w:val="00213E0A"/>
    <w:rsid w:val="00214B14"/>
    <w:rsid w:val="00214B79"/>
    <w:rsid w:val="0021542D"/>
    <w:rsid w:val="0021623C"/>
    <w:rsid w:val="002162A6"/>
    <w:rsid w:val="00216599"/>
    <w:rsid w:val="002167D6"/>
    <w:rsid w:val="002167E8"/>
    <w:rsid w:val="00216930"/>
    <w:rsid w:val="002169BB"/>
    <w:rsid w:val="00216CC9"/>
    <w:rsid w:val="00216DE4"/>
    <w:rsid w:val="00217467"/>
    <w:rsid w:val="0021793B"/>
    <w:rsid w:val="00217D59"/>
    <w:rsid w:val="002203FA"/>
    <w:rsid w:val="0022078B"/>
    <w:rsid w:val="002208C8"/>
    <w:rsid w:val="00220953"/>
    <w:rsid w:val="0022097D"/>
    <w:rsid w:val="002213BC"/>
    <w:rsid w:val="0022141B"/>
    <w:rsid w:val="002216C8"/>
    <w:rsid w:val="00221BD5"/>
    <w:rsid w:val="0022223B"/>
    <w:rsid w:val="002224CF"/>
    <w:rsid w:val="00222FA9"/>
    <w:rsid w:val="00223077"/>
    <w:rsid w:val="002241DA"/>
    <w:rsid w:val="002250C1"/>
    <w:rsid w:val="002252AF"/>
    <w:rsid w:val="0022543C"/>
    <w:rsid w:val="002255A5"/>
    <w:rsid w:val="00225C21"/>
    <w:rsid w:val="00225CD0"/>
    <w:rsid w:val="00225D03"/>
    <w:rsid w:val="00225DE8"/>
    <w:rsid w:val="00225F98"/>
    <w:rsid w:val="002269DD"/>
    <w:rsid w:val="00226F2D"/>
    <w:rsid w:val="002276CA"/>
    <w:rsid w:val="00227AC8"/>
    <w:rsid w:val="00227B2F"/>
    <w:rsid w:val="00227E69"/>
    <w:rsid w:val="00230442"/>
    <w:rsid w:val="002308A0"/>
    <w:rsid w:val="00230B33"/>
    <w:rsid w:val="002317F9"/>
    <w:rsid w:val="00231936"/>
    <w:rsid w:val="00231C90"/>
    <w:rsid w:val="002320DC"/>
    <w:rsid w:val="00232194"/>
    <w:rsid w:val="0023235F"/>
    <w:rsid w:val="00233706"/>
    <w:rsid w:val="00233C08"/>
    <w:rsid w:val="0023400D"/>
    <w:rsid w:val="002347B7"/>
    <w:rsid w:val="00234884"/>
    <w:rsid w:val="002349CF"/>
    <w:rsid w:val="0023558E"/>
    <w:rsid w:val="002355BB"/>
    <w:rsid w:val="002357D6"/>
    <w:rsid w:val="002357E6"/>
    <w:rsid w:val="00235A6D"/>
    <w:rsid w:val="00235B22"/>
    <w:rsid w:val="00236492"/>
    <w:rsid w:val="0023671C"/>
    <w:rsid w:val="00236837"/>
    <w:rsid w:val="00236CBD"/>
    <w:rsid w:val="00236DD2"/>
    <w:rsid w:val="002375A8"/>
    <w:rsid w:val="0023793C"/>
    <w:rsid w:val="00237A04"/>
    <w:rsid w:val="00237A50"/>
    <w:rsid w:val="0024089D"/>
    <w:rsid w:val="00240A24"/>
    <w:rsid w:val="00241175"/>
    <w:rsid w:val="0024124B"/>
    <w:rsid w:val="00241795"/>
    <w:rsid w:val="00241B68"/>
    <w:rsid w:val="00241E38"/>
    <w:rsid w:val="00242117"/>
    <w:rsid w:val="002425A6"/>
    <w:rsid w:val="00242896"/>
    <w:rsid w:val="00242EEA"/>
    <w:rsid w:val="0024347A"/>
    <w:rsid w:val="00243644"/>
    <w:rsid w:val="00243CDC"/>
    <w:rsid w:val="00243CED"/>
    <w:rsid w:val="002440CD"/>
    <w:rsid w:val="00244AFC"/>
    <w:rsid w:val="00245220"/>
    <w:rsid w:val="00245A0D"/>
    <w:rsid w:val="002462F0"/>
    <w:rsid w:val="002465D1"/>
    <w:rsid w:val="002466C6"/>
    <w:rsid w:val="00246A79"/>
    <w:rsid w:val="00246C40"/>
    <w:rsid w:val="00246EA1"/>
    <w:rsid w:val="00247147"/>
    <w:rsid w:val="00247628"/>
    <w:rsid w:val="002479D9"/>
    <w:rsid w:val="00247A13"/>
    <w:rsid w:val="00247B63"/>
    <w:rsid w:val="00247BC5"/>
    <w:rsid w:val="00250E73"/>
    <w:rsid w:val="00251309"/>
    <w:rsid w:val="00251846"/>
    <w:rsid w:val="0025196D"/>
    <w:rsid w:val="00251A41"/>
    <w:rsid w:val="00252695"/>
    <w:rsid w:val="00252942"/>
    <w:rsid w:val="0025340A"/>
    <w:rsid w:val="00253722"/>
    <w:rsid w:val="0025378E"/>
    <w:rsid w:val="00253A56"/>
    <w:rsid w:val="00253AED"/>
    <w:rsid w:val="00253B05"/>
    <w:rsid w:val="00253BC1"/>
    <w:rsid w:val="00255E67"/>
    <w:rsid w:val="00255EE2"/>
    <w:rsid w:val="0025625A"/>
    <w:rsid w:val="0025644D"/>
    <w:rsid w:val="00256685"/>
    <w:rsid w:val="0025799B"/>
    <w:rsid w:val="00257A9A"/>
    <w:rsid w:val="00257EBA"/>
    <w:rsid w:val="0026066B"/>
    <w:rsid w:val="002606C8"/>
    <w:rsid w:val="00261639"/>
    <w:rsid w:val="00261703"/>
    <w:rsid w:val="00262041"/>
    <w:rsid w:val="0026242C"/>
    <w:rsid w:val="0026251C"/>
    <w:rsid w:val="00263011"/>
    <w:rsid w:val="0026312E"/>
    <w:rsid w:val="002635AF"/>
    <w:rsid w:val="00263672"/>
    <w:rsid w:val="00263984"/>
    <w:rsid w:val="00263C0A"/>
    <w:rsid w:val="002645DE"/>
    <w:rsid w:val="002647A0"/>
    <w:rsid w:val="00264A50"/>
    <w:rsid w:val="00265343"/>
    <w:rsid w:val="0026545F"/>
    <w:rsid w:val="0026551B"/>
    <w:rsid w:val="00265859"/>
    <w:rsid w:val="0026599E"/>
    <w:rsid w:val="00265C31"/>
    <w:rsid w:val="00265C96"/>
    <w:rsid w:val="00265CE1"/>
    <w:rsid w:val="00265F1A"/>
    <w:rsid w:val="002663D7"/>
    <w:rsid w:val="0026641C"/>
    <w:rsid w:val="002671FE"/>
    <w:rsid w:val="00267224"/>
    <w:rsid w:val="0026794D"/>
    <w:rsid w:val="00270057"/>
    <w:rsid w:val="00270194"/>
    <w:rsid w:val="00270DEB"/>
    <w:rsid w:val="00270FA4"/>
    <w:rsid w:val="00271B40"/>
    <w:rsid w:val="00271DE6"/>
    <w:rsid w:val="00271E28"/>
    <w:rsid w:val="002720A3"/>
    <w:rsid w:val="00272736"/>
    <w:rsid w:val="002728B2"/>
    <w:rsid w:val="00272E7E"/>
    <w:rsid w:val="00273019"/>
    <w:rsid w:val="002735C3"/>
    <w:rsid w:val="00273DB8"/>
    <w:rsid w:val="00273E29"/>
    <w:rsid w:val="00273F7C"/>
    <w:rsid w:val="002741BE"/>
    <w:rsid w:val="0027422F"/>
    <w:rsid w:val="00274DC2"/>
    <w:rsid w:val="0027561A"/>
    <w:rsid w:val="002764E8"/>
    <w:rsid w:val="00276979"/>
    <w:rsid w:val="002769EC"/>
    <w:rsid w:val="00277011"/>
    <w:rsid w:val="002774E5"/>
    <w:rsid w:val="002777E2"/>
    <w:rsid w:val="00277B07"/>
    <w:rsid w:val="00277D06"/>
    <w:rsid w:val="0028056E"/>
    <w:rsid w:val="00280D5E"/>
    <w:rsid w:val="00280EE3"/>
    <w:rsid w:val="00280F4F"/>
    <w:rsid w:val="002810CC"/>
    <w:rsid w:val="0028125B"/>
    <w:rsid w:val="00281491"/>
    <w:rsid w:val="002816B7"/>
    <w:rsid w:val="00281B1C"/>
    <w:rsid w:val="002823E3"/>
    <w:rsid w:val="0028251D"/>
    <w:rsid w:val="00282556"/>
    <w:rsid w:val="00282597"/>
    <w:rsid w:val="00282620"/>
    <w:rsid w:val="002828D1"/>
    <w:rsid w:val="00282F2D"/>
    <w:rsid w:val="00283370"/>
    <w:rsid w:val="00283A21"/>
    <w:rsid w:val="00283F62"/>
    <w:rsid w:val="002844C3"/>
    <w:rsid w:val="00284905"/>
    <w:rsid w:val="00284974"/>
    <w:rsid w:val="00284C97"/>
    <w:rsid w:val="0028527A"/>
    <w:rsid w:val="0028573C"/>
    <w:rsid w:val="00285B89"/>
    <w:rsid w:val="00286191"/>
    <w:rsid w:val="00286306"/>
    <w:rsid w:val="002864B6"/>
    <w:rsid w:val="0028652E"/>
    <w:rsid w:val="00286861"/>
    <w:rsid w:val="00286BC7"/>
    <w:rsid w:val="00286CF8"/>
    <w:rsid w:val="002878A2"/>
    <w:rsid w:val="00290538"/>
    <w:rsid w:val="00290612"/>
    <w:rsid w:val="00290910"/>
    <w:rsid w:val="002917F8"/>
    <w:rsid w:val="00291D0B"/>
    <w:rsid w:val="002935DF"/>
    <w:rsid w:val="0029393A"/>
    <w:rsid w:val="00293A51"/>
    <w:rsid w:val="002940A3"/>
    <w:rsid w:val="00294449"/>
    <w:rsid w:val="0029490D"/>
    <w:rsid w:val="00294AFA"/>
    <w:rsid w:val="00294C6E"/>
    <w:rsid w:val="00294DE6"/>
    <w:rsid w:val="00294F76"/>
    <w:rsid w:val="002955D7"/>
    <w:rsid w:val="00295FD5"/>
    <w:rsid w:val="00296A08"/>
    <w:rsid w:val="00296A30"/>
    <w:rsid w:val="00296FDC"/>
    <w:rsid w:val="0029751E"/>
    <w:rsid w:val="00297A65"/>
    <w:rsid w:val="002A0A7A"/>
    <w:rsid w:val="002A0ABB"/>
    <w:rsid w:val="002A0E5C"/>
    <w:rsid w:val="002A0EF9"/>
    <w:rsid w:val="002A12C0"/>
    <w:rsid w:val="002A171C"/>
    <w:rsid w:val="002A3313"/>
    <w:rsid w:val="002A339C"/>
    <w:rsid w:val="002A36D8"/>
    <w:rsid w:val="002A37DC"/>
    <w:rsid w:val="002A4439"/>
    <w:rsid w:val="002A4B88"/>
    <w:rsid w:val="002A5E8D"/>
    <w:rsid w:val="002A610A"/>
    <w:rsid w:val="002A6502"/>
    <w:rsid w:val="002A742D"/>
    <w:rsid w:val="002A764C"/>
    <w:rsid w:val="002A7FC9"/>
    <w:rsid w:val="002B04B5"/>
    <w:rsid w:val="002B0911"/>
    <w:rsid w:val="002B0EF2"/>
    <w:rsid w:val="002B1DA7"/>
    <w:rsid w:val="002B21F2"/>
    <w:rsid w:val="002B2BF8"/>
    <w:rsid w:val="002B3225"/>
    <w:rsid w:val="002B3477"/>
    <w:rsid w:val="002B3640"/>
    <w:rsid w:val="002B3849"/>
    <w:rsid w:val="002B3C48"/>
    <w:rsid w:val="002B423A"/>
    <w:rsid w:val="002B4396"/>
    <w:rsid w:val="002B463F"/>
    <w:rsid w:val="002B4901"/>
    <w:rsid w:val="002B4EF8"/>
    <w:rsid w:val="002B5236"/>
    <w:rsid w:val="002B5637"/>
    <w:rsid w:val="002B594D"/>
    <w:rsid w:val="002B647D"/>
    <w:rsid w:val="002B7B66"/>
    <w:rsid w:val="002B7BFE"/>
    <w:rsid w:val="002C01EC"/>
    <w:rsid w:val="002C0774"/>
    <w:rsid w:val="002C0798"/>
    <w:rsid w:val="002C07C2"/>
    <w:rsid w:val="002C07DB"/>
    <w:rsid w:val="002C0DF9"/>
    <w:rsid w:val="002C104E"/>
    <w:rsid w:val="002C16A1"/>
    <w:rsid w:val="002C1861"/>
    <w:rsid w:val="002C18AB"/>
    <w:rsid w:val="002C18B0"/>
    <w:rsid w:val="002C1A99"/>
    <w:rsid w:val="002C1BFD"/>
    <w:rsid w:val="002C1FBE"/>
    <w:rsid w:val="002C1FCB"/>
    <w:rsid w:val="002C2256"/>
    <w:rsid w:val="002C255A"/>
    <w:rsid w:val="002C3942"/>
    <w:rsid w:val="002C3C99"/>
    <w:rsid w:val="002C43FE"/>
    <w:rsid w:val="002C442C"/>
    <w:rsid w:val="002C450D"/>
    <w:rsid w:val="002C4634"/>
    <w:rsid w:val="002C46BD"/>
    <w:rsid w:val="002C4B69"/>
    <w:rsid w:val="002C4B89"/>
    <w:rsid w:val="002C4EB1"/>
    <w:rsid w:val="002C514A"/>
    <w:rsid w:val="002C56E4"/>
    <w:rsid w:val="002C6298"/>
    <w:rsid w:val="002C63E1"/>
    <w:rsid w:val="002C6430"/>
    <w:rsid w:val="002C6DB8"/>
    <w:rsid w:val="002C70FA"/>
    <w:rsid w:val="002C72C9"/>
    <w:rsid w:val="002C7AFA"/>
    <w:rsid w:val="002C7E52"/>
    <w:rsid w:val="002C7EA6"/>
    <w:rsid w:val="002C7FB3"/>
    <w:rsid w:val="002D03EB"/>
    <w:rsid w:val="002D0605"/>
    <w:rsid w:val="002D0ABD"/>
    <w:rsid w:val="002D11C7"/>
    <w:rsid w:val="002D1848"/>
    <w:rsid w:val="002D272F"/>
    <w:rsid w:val="002D2993"/>
    <w:rsid w:val="002D3075"/>
    <w:rsid w:val="002D32A5"/>
    <w:rsid w:val="002D373E"/>
    <w:rsid w:val="002D4313"/>
    <w:rsid w:val="002D48F3"/>
    <w:rsid w:val="002D4A22"/>
    <w:rsid w:val="002D4CB5"/>
    <w:rsid w:val="002D53CF"/>
    <w:rsid w:val="002D5555"/>
    <w:rsid w:val="002D5E9F"/>
    <w:rsid w:val="002D622D"/>
    <w:rsid w:val="002D664C"/>
    <w:rsid w:val="002D67B6"/>
    <w:rsid w:val="002D6D90"/>
    <w:rsid w:val="002D74FD"/>
    <w:rsid w:val="002D7589"/>
    <w:rsid w:val="002D765E"/>
    <w:rsid w:val="002D7821"/>
    <w:rsid w:val="002D7C5E"/>
    <w:rsid w:val="002E0077"/>
    <w:rsid w:val="002E0597"/>
    <w:rsid w:val="002E06FF"/>
    <w:rsid w:val="002E09A2"/>
    <w:rsid w:val="002E0CD8"/>
    <w:rsid w:val="002E1184"/>
    <w:rsid w:val="002E129B"/>
    <w:rsid w:val="002E20C6"/>
    <w:rsid w:val="002E267A"/>
    <w:rsid w:val="002E2A5E"/>
    <w:rsid w:val="002E30E6"/>
    <w:rsid w:val="002E3580"/>
    <w:rsid w:val="002E36D8"/>
    <w:rsid w:val="002E3820"/>
    <w:rsid w:val="002E3D0B"/>
    <w:rsid w:val="002E3EEA"/>
    <w:rsid w:val="002E3EFB"/>
    <w:rsid w:val="002E400F"/>
    <w:rsid w:val="002E4728"/>
    <w:rsid w:val="002E47F8"/>
    <w:rsid w:val="002E4A99"/>
    <w:rsid w:val="002E6159"/>
    <w:rsid w:val="002E61BC"/>
    <w:rsid w:val="002E6812"/>
    <w:rsid w:val="002E6F6D"/>
    <w:rsid w:val="002E75B8"/>
    <w:rsid w:val="002E7FBB"/>
    <w:rsid w:val="002E7FE1"/>
    <w:rsid w:val="002F0650"/>
    <w:rsid w:val="002F0CFE"/>
    <w:rsid w:val="002F0FC3"/>
    <w:rsid w:val="002F1205"/>
    <w:rsid w:val="002F1E00"/>
    <w:rsid w:val="002F1E18"/>
    <w:rsid w:val="002F2418"/>
    <w:rsid w:val="002F253E"/>
    <w:rsid w:val="002F26F5"/>
    <w:rsid w:val="002F2BEE"/>
    <w:rsid w:val="002F396D"/>
    <w:rsid w:val="002F3C07"/>
    <w:rsid w:val="002F3CAA"/>
    <w:rsid w:val="002F3FA4"/>
    <w:rsid w:val="002F423A"/>
    <w:rsid w:val="002F428F"/>
    <w:rsid w:val="002F53CD"/>
    <w:rsid w:val="002F5AFA"/>
    <w:rsid w:val="002F5BEC"/>
    <w:rsid w:val="002F673D"/>
    <w:rsid w:val="002F6A87"/>
    <w:rsid w:val="002F6F29"/>
    <w:rsid w:val="002F71D2"/>
    <w:rsid w:val="002F7C1F"/>
    <w:rsid w:val="0030060D"/>
    <w:rsid w:val="00300730"/>
    <w:rsid w:val="00301229"/>
    <w:rsid w:val="003012C8"/>
    <w:rsid w:val="003013C1"/>
    <w:rsid w:val="003014DC"/>
    <w:rsid w:val="003017D7"/>
    <w:rsid w:val="00301CA9"/>
    <w:rsid w:val="00301D2B"/>
    <w:rsid w:val="003022FA"/>
    <w:rsid w:val="00303553"/>
    <w:rsid w:val="003037B4"/>
    <w:rsid w:val="00305063"/>
    <w:rsid w:val="003051F6"/>
    <w:rsid w:val="0030581F"/>
    <w:rsid w:val="00305CA0"/>
    <w:rsid w:val="00305E13"/>
    <w:rsid w:val="003063A7"/>
    <w:rsid w:val="00306743"/>
    <w:rsid w:val="003068CD"/>
    <w:rsid w:val="0030720F"/>
    <w:rsid w:val="003079BB"/>
    <w:rsid w:val="00307B6A"/>
    <w:rsid w:val="00307D04"/>
    <w:rsid w:val="00307E0B"/>
    <w:rsid w:val="00307E1E"/>
    <w:rsid w:val="0031043D"/>
    <w:rsid w:val="00310A21"/>
    <w:rsid w:val="00310CCF"/>
    <w:rsid w:val="00310CDE"/>
    <w:rsid w:val="00311028"/>
    <w:rsid w:val="0031128D"/>
    <w:rsid w:val="00311C90"/>
    <w:rsid w:val="003124D8"/>
    <w:rsid w:val="003128AA"/>
    <w:rsid w:val="00312B30"/>
    <w:rsid w:val="00312F0F"/>
    <w:rsid w:val="00313044"/>
    <w:rsid w:val="003132B9"/>
    <w:rsid w:val="00313577"/>
    <w:rsid w:val="003135C4"/>
    <w:rsid w:val="00313671"/>
    <w:rsid w:val="00313B39"/>
    <w:rsid w:val="00313CE2"/>
    <w:rsid w:val="0031498B"/>
    <w:rsid w:val="0031509F"/>
    <w:rsid w:val="0031533B"/>
    <w:rsid w:val="003155F3"/>
    <w:rsid w:val="003157B0"/>
    <w:rsid w:val="00315AAA"/>
    <w:rsid w:val="0031627A"/>
    <w:rsid w:val="003167C9"/>
    <w:rsid w:val="003167E8"/>
    <w:rsid w:val="00316873"/>
    <w:rsid w:val="00316B07"/>
    <w:rsid w:val="00316CB4"/>
    <w:rsid w:val="003170E2"/>
    <w:rsid w:val="00317412"/>
    <w:rsid w:val="00317A11"/>
    <w:rsid w:val="00317A95"/>
    <w:rsid w:val="00317EE4"/>
    <w:rsid w:val="0032013D"/>
    <w:rsid w:val="003205C1"/>
    <w:rsid w:val="00320BB7"/>
    <w:rsid w:val="00320DAD"/>
    <w:rsid w:val="003217CE"/>
    <w:rsid w:val="0032183B"/>
    <w:rsid w:val="00321AE5"/>
    <w:rsid w:val="00321D7D"/>
    <w:rsid w:val="00322226"/>
    <w:rsid w:val="00322255"/>
    <w:rsid w:val="003224D6"/>
    <w:rsid w:val="003226F7"/>
    <w:rsid w:val="0032357E"/>
    <w:rsid w:val="003239DF"/>
    <w:rsid w:val="00323ABE"/>
    <w:rsid w:val="0032512A"/>
    <w:rsid w:val="00325195"/>
    <w:rsid w:val="00325CA0"/>
    <w:rsid w:val="003266E6"/>
    <w:rsid w:val="0032758E"/>
    <w:rsid w:val="00327B29"/>
    <w:rsid w:val="00330089"/>
    <w:rsid w:val="0033048D"/>
    <w:rsid w:val="00330741"/>
    <w:rsid w:val="00330894"/>
    <w:rsid w:val="003309F2"/>
    <w:rsid w:val="00330A97"/>
    <w:rsid w:val="00331440"/>
    <w:rsid w:val="00331DA4"/>
    <w:rsid w:val="00331EA6"/>
    <w:rsid w:val="003322E0"/>
    <w:rsid w:val="00332449"/>
    <w:rsid w:val="00332843"/>
    <w:rsid w:val="00332942"/>
    <w:rsid w:val="003333B1"/>
    <w:rsid w:val="00333B0A"/>
    <w:rsid w:val="0033435E"/>
    <w:rsid w:val="003345EE"/>
    <w:rsid w:val="00334B45"/>
    <w:rsid w:val="003354D5"/>
    <w:rsid w:val="0033588B"/>
    <w:rsid w:val="00335D00"/>
    <w:rsid w:val="003360C9"/>
    <w:rsid w:val="0033615E"/>
    <w:rsid w:val="00336712"/>
    <w:rsid w:val="0033710C"/>
    <w:rsid w:val="003372C4"/>
    <w:rsid w:val="003373D5"/>
    <w:rsid w:val="003375ED"/>
    <w:rsid w:val="00337679"/>
    <w:rsid w:val="003377DA"/>
    <w:rsid w:val="00337B45"/>
    <w:rsid w:val="00340531"/>
    <w:rsid w:val="003407B3"/>
    <w:rsid w:val="003408AC"/>
    <w:rsid w:val="00340B1C"/>
    <w:rsid w:val="00340E0B"/>
    <w:rsid w:val="00341086"/>
    <w:rsid w:val="00341210"/>
    <w:rsid w:val="0034133E"/>
    <w:rsid w:val="0034138C"/>
    <w:rsid w:val="00342183"/>
    <w:rsid w:val="003423CF"/>
    <w:rsid w:val="003429E2"/>
    <w:rsid w:val="0034306D"/>
    <w:rsid w:val="0034316D"/>
    <w:rsid w:val="0034394B"/>
    <w:rsid w:val="00343FFB"/>
    <w:rsid w:val="0034414E"/>
    <w:rsid w:val="0034462E"/>
    <w:rsid w:val="003451CE"/>
    <w:rsid w:val="0034524A"/>
    <w:rsid w:val="00345546"/>
    <w:rsid w:val="00345643"/>
    <w:rsid w:val="00345A00"/>
    <w:rsid w:val="00345D83"/>
    <w:rsid w:val="00347611"/>
    <w:rsid w:val="003476BD"/>
    <w:rsid w:val="00347CD6"/>
    <w:rsid w:val="003505CC"/>
    <w:rsid w:val="00350741"/>
    <w:rsid w:val="00350B7B"/>
    <w:rsid w:val="00350FC0"/>
    <w:rsid w:val="00351833"/>
    <w:rsid w:val="00351A71"/>
    <w:rsid w:val="00352243"/>
    <w:rsid w:val="003534A0"/>
    <w:rsid w:val="00353900"/>
    <w:rsid w:val="003539CD"/>
    <w:rsid w:val="00353B13"/>
    <w:rsid w:val="0035407C"/>
    <w:rsid w:val="00354198"/>
    <w:rsid w:val="003541DD"/>
    <w:rsid w:val="00354651"/>
    <w:rsid w:val="0035564E"/>
    <w:rsid w:val="00355D0C"/>
    <w:rsid w:val="00355F29"/>
    <w:rsid w:val="00356B06"/>
    <w:rsid w:val="00356E5E"/>
    <w:rsid w:val="00356F72"/>
    <w:rsid w:val="00357218"/>
    <w:rsid w:val="003601EC"/>
    <w:rsid w:val="0036051D"/>
    <w:rsid w:val="00360559"/>
    <w:rsid w:val="003611F0"/>
    <w:rsid w:val="00361E23"/>
    <w:rsid w:val="0036212D"/>
    <w:rsid w:val="00362E87"/>
    <w:rsid w:val="00362E9B"/>
    <w:rsid w:val="00363390"/>
    <w:rsid w:val="00363712"/>
    <w:rsid w:val="003639BD"/>
    <w:rsid w:val="00363B0E"/>
    <w:rsid w:val="00363C62"/>
    <w:rsid w:val="00363D92"/>
    <w:rsid w:val="00364C17"/>
    <w:rsid w:val="00364E39"/>
    <w:rsid w:val="0036531A"/>
    <w:rsid w:val="00365909"/>
    <w:rsid w:val="00366A1B"/>
    <w:rsid w:val="00367051"/>
    <w:rsid w:val="003675DA"/>
    <w:rsid w:val="003677F9"/>
    <w:rsid w:val="00367ADE"/>
    <w:rsid w:val="00367D33"/>
    <w:rsid w:val="00370002"/>
    <w:rsid w:val="003705A6"/>
    <w:rsid w:val="0037084E"/>
    <w:rsid w:val="003709BA"/>
    <w:rsid w:val="00370E67"/>
    <w:rsid w:val="003710F7"/>
    <w:rsid w:val="0037156D"/>
    <w:rsid w:val="00371ABF"/>
    <w:rsid w:val="00372910"/>
    <w:rsid w:val="00372E48"/>
    <w:rsid w:val="00372E5F"/>
    <w:rsid w:val="003733BE"/>
    <w:rsid w:val="003735ED"/>
    <w:rsid w:val="00373E5A"/>
    <w:rsid w:val="00373EC8"/>
    <w:rsid w:val="0037447D"/>
    <w:rsid w:val="003746DE"/>
    <w:rsid w:val="00374CA8"/>
    <w:rsid w:val="00374FBA"/>
    <w:rsid w:val="003751C6"/>
    <w:rsid w:val="003754F5"/>
    <w:rsid w:val="003756EB"/>
    <w:rsid w:val="003757AB"/>
    <w:rsid w:val="00375BF9"/>
    <w:rsid w:val="00375C1D"/>
    <w:rsid w:val="00375F7D"/>
    <w:rsid w:val="003769FF"/>
    <w:rsid w:val="0037755D"/>
    <w:rsid w:val="00377621"/>
    <w:rsid w:val="003776A5"/>
    <w:rsid w:val="0037779E"/>
    <w:rsid w:val="003800CD"/>
    <w:rsid w:val="003803BB"/>
    <w:rsid w:val="00380DBA"/>
    <w:rsid w:val="003811A2"/>
    <w:rsid w:val="00381D74"/>
    <w:rsid w:val="00381D7A"/>
    <w:rsid w:val="003820FE"/>
    <w:rsid w:val="003821D8"/>
    <w:rsid w:val="00382463"/>
    <w:rsid w:val="003824F2"/>
    <w:rsid w:val="003826AC"/>
    <w:rsid w:val="00382945"/>
    <w:rsid w:val="00382B29"/>
    <w:rsid w:val="00382CCF"/>
    <w:rsid w:val="00382EEC"/>
    <w:rsid w:val="00383283"/>
    <w:rsid w:val="00383B5A"/>
    <w:rsid w:val="00383D0F"/>
    <w:rsid w:val="00383D99"/>
    <w:rsid w:val="00383E5E"/>
    <w:rsid w:val="00384B88"/>
    <w:rsid w:val="00384CB3"/>
    <w:rsid w:val="00385B0A"/>
    <w:rsid w:val="003861AD"/>
    <w:rsid w:val="003871E4"/>
    <w:rsid w:val="00387429"/>
    <w:rsid w:val="00387535"/>
    <w:rsid w:val="00387846"/>
    <w:rsid w:val="00387F92"/>
    <w:rsid w:val="003901C4"/>
    <w:rsid w:val="00390553"/>
    <w:rsid w:val="00390668"/>
    <w:rsid w:val="00390998"/>
    <w:rsid w:val="00390D99"/>
    <w:rsid w:val="00391133"/>
    <w:rsid w:val="003915CF"/>
    <w:rsid w:val="003916EB"/>
    <w:rsid w:val="00391D8B"/>
    <w:rsid w:val="0039200A"/>
    <w:rsid w:val="00392392"/>
    <w:rsid w:val="003926C7"/>
    <w:rsid w:val="0039277E"/>
    <w:rsid w:val="00393662"/>
    <w:rsid w:val="0039395D"/>
    <w:rsid w:val="00393AC5"/>
    <w:rsid w:val="00393E8D"/>
    <w:rsid w:val="003942A5"/>
    <w:rsid w:val="003944C7"/>
    <w:rsid w:val="0039495E"/>
    <w:rsid w:val="00394B83"/>
    <w:rsid w:val="00394C9D"/>
    <w:rsid w:val="00394D92"/>
    <w:rsid w:val="00394F60"/>
    <w:rsid w:val="003951EB"/>
    <w:rsid w:val="00395591"/>
    <w:rsid w:val="00395A24"/>
    <w:rsid w:val="00396762"/>
    <w:rsid w:val="003968C2"/>
    <w:rsid w:val="00396BED"/>
    <w:rsid w:val="00396C98"/>
    <w:rsid w:val="00396EB6"/>
    <w:rsid w:val="0039720C"/>
    <w:rsid w:val="003974D9"/>
    <w:rsid w:val="003976C7"/>
    <w:rsid w:val="0039779E"/>
    <w:rsid w:val="003A02F0"/>
    <w:rsid w:val="003A0407"/>
    <w:rsid w:val="003A0D0E"/>
    <w:rsid w:val="003A0DEB"/>
    <w:rsid w:val="003A121D"/>
    <w:rsid w:val="003A13CD"/>
    <w:rsid w:val="003A14E2"/>
    <w:rsid w:val="003A20E5"/>
    <w:rsid w:val="003A2E99"/>
    <w:rsid w:val="003A31AB"/>
    <w:rsid w:val="003A3549"/>
    <w:rsid w:val="003A35CA"/>
    <w:rsid w:val="003A3CC5"/>
    <w:rsid w:val="003A4ED0"/>
    <w:rsid w:val="003A4EE7"/>
    <w:rsid w:val="003A56E1"/>
    <w:rsid w:val="003A56F9"/>
    <w:rsid w:val="003A5ABE"/>
    <w:rsid w:val="003A5C33"/>
    <w:rsid w:val="003A653B"/>
    <w:rsid w:val="003A6A51"/>
    <w:rsid w:val="003A731B"/>
    <w:rsid w:val="003A775C"/>
    <w:rsid w:val="003A7D68"/>
    <w:rsid w:val="003B01BD"/>
    <w:rsid w:val="003B05BD"/>
    <w:rsid w:val="003B20C0"/>
    <w:rsid w:val="003B20D0"/>
    <w:rsid w:val="003B2319"/>
    <w:rsid w:val="003B250C"/>
    <w:rsid w:val="003B2D75"/>
    <w:rsid w:val="003B3009"/>
    <w:rsid w:val="003B3303"/>
    <w:rsid w:val="003B355E"/>
    <w:rsid w:val="003B37B5"/>
    <w:rsid w:val="003B439D"/>
    <w:rsid w:val="003B45E8"/>
    <w:rsid w:val="003B4631"/>
    <w:rsid w:val="003B474D"/>
    <w:rsid w:val="003B4D29"/>
    <w:rsid w:val="003B52C2"/>
    <w:rsid w:val="003B53A8"/>
    <w:rsid w:val="003B5A65"/>
    <w:rsid w:val="003B5AD1"/>
    <w:rsid w:val="003B5F8D"/>
    <w:rsid w:val="003B6255"/>
    <w:rsid w:val="003B6AD7"/>
    <w:rsid w:val="003B6CF8"/>
    <w:rsid w:val="003B7A09"/>
    <w:rsid w:val="003C0366"/>
    <w:rsid w:val="003C0571"/>
    <w:rsid w:val="003C05B4"/>
    <w:rsid w:val="003C06E2"/>
    <w:rsid w:val="003C07BF"/>
    <w:rsid w:val="003C0FD7"/>
    <w:rsid w:val="003C160F"/>
    <w:rsid w:val="003C17A8"/>
    <w:rsid w:val="003C18C6"/>
    <w:rsid w:val="003C217B"/>
    <w:rsid w:val="003C2504"/>
    <w:rsid w:val="003C3050"/>
    <w:rsid w:val="003C386E"/>
    <w:rsid w:val="003C41CF"/>
    <w:rsid w:val="003C47A5"/>
    <w:rsid w:val="003C4832"/>
    <w:rsid w:val="003C4F77"/>
    <w:rsid w:val="003C5A35"/>
    <w:rsid w:val="003C5D1B"/>
    <w:rsid w:val="003C5EA7"/>
    <w:rsid w:val="003C5F50"/>
    <w:rsid w:val="003C6370"/>
    <w:rsid w:val="003C65A3"/>
    <w:rsid w:val="003C709A"/>
    <w:rsid w:val="003C72B4"/>
    <w:rsid w:val="003D02C3"/>
    <w:rsid w:val="003D08EB"/>
    <w:rsid w:val="003D0A60"/>
    <w:rsid w:val="003D1241"/>
    <w:rsid w:val="003D13CE"/>
    <w:rsid w:val="003D166D"/>
    <w:rsid w:val="003D2A44"/>
    <w:rsid w:val="003D2EE0"/>
    <w:rsid w:val="003D31B4"/>
    <w:rsid w:val="003D32B3"/>
    <w:rsid w:val="003D37CE"/>
    <w:rsid w:val="003D389D"/>
    <w:rsid w:val="003D44F0"/>
    <w:rsid w:val="003D469B"/>
    <w:rsid w:val="003D4ECD"/>
    <w:rsid w:val="003D55BA"/>
    <w:rsid w:val="003D5D19"/>
    <w:rsid w:val="003D5DDF"/>
    <w:rsid w:val="003D652F"/>
    <w:rsid w:val="003D6BB6"/>
    <w:rsid w:val="003D72C9"/>
    <w:rsid w:val="003D7534"/>
    <w:rsid w:val="003D7725"/>
    <w:rsid w:val="003D7D1A"/>
    <w:rsid w:val="003D7F7A"/>
    <w:rsid w:val="003E033F"/>
    <w:rsid w:val="003E0441"/>
    <w:rsid w:val="003E09B3"/>
    <w:rsid w:val="003E0AFA"/>
    <w:rsid w:val="003E0CF6"/>
    <w:rsid w:val="003E1053"/>
    <w:rsid w:val="003E1133"/>
    <w:rsid w:val="003E178C"/>
    <w:rsid w:val="003E1CC1"/>
    <w:rsid w:val="003E23D8"/>
    <w:rsid w:val="003E25C2"/>
    <w:rsid w:val="003E2616"/>
    <w:rsid w:val="003E2885"/>
    <w:rsid w:val="003E2F23"/>
    <w:rsid w:val="003E37CC"/>
    <w:rsid w:val="003E3A31"/>
    <w:rsid w:val="003E4345"/>
    <w:rsid w:val="003E442D"/>
    <w:rsid w:val="003E5395"/>
    <w:rsid w:val="003E546B"/>
    <w:rsid w:val="003E546E"/>
    <w:rsid w:val="003E5AF9"/>
    <w:rsid w:val="003E6572"/>
    <w:rsid w:val="003E6F92"/>
    <w:rsid w:val="003E7B25"/>
    <w:rsid w:val="003E7E64"/>
    <w:rsid w:val="003E7E9D"/>
    <w:rsid w:val="003E7FA4"/>
    <w:rsid w:val="003F02DF"/>
    <w:rsid w:val="003F0752"/>
    <w:rsid w:val="003F0879"/>
    <w:rsid w:val="003F0B03"/>
    <w:rsid w:val="003F11C0"/>
    <w:rsid w:val="003F1711"/>
    <w:rsid w:val="003F1DEF"/>
    <w:rsid w:val="003F1EB5"/>
    <w:rsid w:val="003F2992"/>
    <w:rsid w:val="003F303E"/>
    <w:rsid w:val="003F32F4"/>
    <w:rsid w:val="003F3321"/>
    <w:rsid w:val="003F3485"/>
    <w:rsid w:val="003F35A7"/>
    <w:rsid w:val="003F3A6C"/>
    <w:rsid w:val="003F3B14"/>
    <w:rsid w:val="003F4162"/>
    <w:rsid w:val="003F43C9"/>
    <w:rsid w:val="003F4DBF"/>
    <w:rsid w:val="003F52E6"/>
    <w:rsid w:val="003F5431"/>
    <w:rsid w:val="003F55AB"/>
    <w:rsid w:val="003F56F8"/>
    <w:rsid w:val="003F5A79"/>
    <w:rsid w:val="003F5CC3"/>
    <w:rsid w:val="003F5F7C"/>
    <w:rsid w:val="003F7636"/>
    <w:rsid w:val="003F7936"/>
    <w:rsid w:val="003F7C8D"/>
    <w:rsid w:val="003F7CC2"/>
    <w:rsid w:val="004005D6"/>
    <w:rsid w:val="00400DC8"/>
    <w:rsid w:val="004011D2"/>
    <w:rsid w:val="004015F7"/>
    <w:rsid w:val="00402012"/>
    <w:rsid w:val="0040237D"/>
    <w:rsid w:val="00402A3D"/>
    <w:rsid w:val="00402C0B"/>
    <w:rsid w:val="00402EA8"/>
    <w:rsid w:val="004035C2"/>
    <w:rsid w:val="0040370A"/>
    <w:rsid w:val="004038FE"/>
    <w:rsid w:val="0040431A"/>
    <w:rsid w:val="00404569"/>
    <w:rsid w:val="00404821"/>
    <w:rsid w:val="00405443"/>
    <w:rsid w:val="0040685F"/>
    <w:rsid w:val="00406AE4"/>
    <w:rsid w:val="00406B01"/>
    <w:rsid w:val="00406DCB"/>
    <w:rsid w:val="0040700B"/>
    <w:rsid w:val="004071EB"/>
    <w:rsid w:val="0040743F"/>
    <w:rsid w:val="0040760D"/>
    <w:rsid w:val="00407647"/>
    <w:rsid w:val="0040796D"/>
    <w:rsid w:val="00407A15"/>
    <w:rsid w:val="00410672"/>
    <w:rsid w:val="00410C1B"/>
    <w:rsid w:val="00410DDC"/>
    <w:rsid w:val="00411473"/>
    <w:rsid w:val="00411633"/>
    <w:rsid w:val="004121A2"/>
    <w:rsid w:val="004139C4"/>
    <w:rsid w:val="00413A04"/>
    <w:rsid w:val="00413A5E"/>
    <w:rsid w:val="004140F5"/>
    <w:rsid w:val="004141EA"/>
    <w:rsid w:val="00414C78"/>
    <w:rsid w:val="00415076"/>
    <w:rsid w:val="004151F0"/>
    <w:rsid w:val="00415816"/>
    <w:rsid w:val="004158AC"/>
    <w:rsid w:val="00415A22"/>
    <w:rsid w:val="00415BFB"/>
    <w:rsid w:val="00415D93"/>
    <w:rsid w:val="00415F4A"/>
    <w:rsid w:val="00416CEA"/>
    <w:rsid w:val="00416EE5"/>
    <w:rsid w:val="00416F40"/>
    <w:rsid w:val="004177DD"/>
    <w:rsid w:val="00417C28"/>
    <w:rsid w:val="00417F12"/>
    <w:rsid w:val="004202A7"/>
    <w:rsid w:val="00420C1B"/>
    <w:rsid w:val="00421BA7"/>
    <w:rsid w:val="0042276A"/>
    <w:rsid w:val="00422B5A"/>
    <w:rsid w:val="00422EE2"/>
    <w:rsid w:val="00422F18"/>
    <w:rsid w:val="004230EF"/>
    <w:rsid w:val="00423271"/>
    <w:rsid w:val="004237E6"/>
    <w:rsid w:val="00423B05"/>
    <w:rsid w:val="00423D56"/>
    <w:rsid w:val="00423DD4"/>
    <w:rsid w:val="00424903"/>
    <w:rsid w:val="00424BD1"/>
    <w:rsid w:val="00424D38"/>
    <w:rsid w:val="00424FB8"/>
    <w:rsid w:val="00425A22"/>
    <w:rsid w:val="004272E4"/>
    <w:rsid w:val="004276B2"/>
    <w:rsid w:val="004276B8"/>
    <w:rsid w:val="004279BF"/>
    <w:rsid w:val="00430E37"/>
    <w:rsid w:val="004319AA"/>
    <w:rsid w:val="00431D2A"/>
    <w:rsid w:val="00432364"/>
    <w:rsid w:val="00432CB5"/>
    <w:rsid w:val="004336EC"/>
    <w:rsid w:val="00433FDA"/>
    <w:rsid w:val="00434113"/>
    <w:rsid w:val="004341A9"/>
    <w:rsid w:val="004343B2"/>
    <w:rsid w:val="00434ECB"/>
    <w:rsid w:val="00435145"/>
    <w:rsid w:val="00435372"/>
    <w:rsid w:val="0043553D"/>
    <w:rsid w:val="0043583C"/>
    <w:rsid w:val="004359A6"/>
    <w:rsid w:val="00436912"/>
    <w:rsid w:val="00436B35"/>
    <w:rsid w:val="004373F5"/>
    <w:rsid w:val="004378B0"/>
    <w:rsid w:val="00437EF7"/>
    <w:rsid w:val="00440A17"/>
    <w:rsid w:val="00440C6A"/>
    <w:rsid w:val="00440CFB"/>
    <w:rsid w:val="00440D7A"/>
    <w:rsid w:val="00440EFF"/>
    <w:rsid w:val="00440F9D"/>
    <w:rsid w:val="004411D7"/>
    <w:rsid w:val="004411F0"/>
    <w:rsid w:val="00441394"/>
    <w:rsid w:val="004413DD"/>
    <w:rsid w:val="00441C43"/>
    <w:rsid w:val="00442465"/>
    <w:rsid w:val="0044258A"/>
    <w:rsid w:val="0044338B"/>
    <w:rsid w:val="004435E7"/>
    <w:rsid w:val="00443C76"/>
    <w:rsid w:val="00444215"/>
    <w:rsid w:val="00444221"/>
    <w:rsid w:val="00444801"/>
    <w:rsid w:val="00444EED"/>
    <w:rsid w:val="00445C8F"/>
    <w:rsid w:val="004460EF"/>
    <w:rsid w:val="00446838"/>
    <w:rsid w:val="00446913"/>
    <w:rsid w:val="00446FCC"/>
    <w:rsid w:val="00447407"/>
    <w:rsid w:val="00447FFE"/>
    <w:rsid w:val="00450316"/>
    <w:rsid w:val="004508F5"/>
    <w:rsid w:val="004514D9"/>
    <w:rsid w:val="004515A1"/>
    <w:rsid w:val="00451A4B"/>
    <w:rsid w:val="00451B45"/>
    <w:rsid w:val="00451EE7"/>
    <w:rsid w:val="004530A0"/>
    <w:rsid w:val="00453704"/>
    <w:rsid w:val="004538BC"/>
    <w:rsid w:val="00453AF2"/>
    <w:rsid w:val="0045403C"/>
    <w:rsid w:val="004541C8"/>
    <w:rsid w:val="004544CE"/>
    <w:rsid w:val="00454883"/>
    <w:rsid w:val="00454DEE"/>
    <w:rsid w:val="00455198"/>
    <w:rsid w:val="00455C7D"/>
    <w:rsid w:val="00456A04"/>
    <w:rsid w:val="00456C0B"/>
    <w:rsid w:val="00456CA3"/>
    <w:rsid w:val="00457724"/>
    <w:rsid w:val="00457F60"/>
    <w:rsid w:val="004610B9"/>
    <w:rsid w:val="004611CB"/>
    <w:rsid w:val="0046183C"/>
    <w:rsid w:val="00461A88"/>
    <w:rsid w:val="00461CE6"/>
    <w:rsid w:val="00461FE8"/>
    <w:rsid w:val="00462422"/>
    <w:rsid w:val="00462DD3"/>
    <w:rsid w:val="00463320"/>
    <w:rsid w:val="004635CC"/>
    <w:rsid w:val="004639DC"/>
    <w:rsid w:val="00463E53"/>
    <w:rsid w:val="00464461"/>
    <w:rsid w:val="0046454A"/>
    <w:rsid w:val="004646B5"/>
    <w:rsid w:val="00464712"/>
    <w:rsid w:val="00464823"/>
    <w:rsid w:val="0046511D"/>
    <w:rsid w:val="00465368"/>
    <w:rsid w:val="0046598F"/>
    <w:rsid w:val="00465CEA"/>
    <w:rsid w:val="00466389"/>
    <w:rsid w:val="0046666C"/>
    <w:rsid w:val="004666CF"/>
    <w:rsid w:val="0046672D"/>
    <w:rsid w:val="00466AA9"/>
    <w:rsid w:val="0046752F"/>
    <w:rsid w:val="00467565"/>
    <w:rsid w:val="00467615"/>
    <w:rsid w:val="004677CD"/>
    <w:rsid w:val="00467950"/>
    <w:rsid w:val="0047002E"/>
    <w:rsid w:val="00470156"/>
    <w:rsid w:val="004706A2"/>
    <w:rsid w:val="00470B27"/>
    <w:rsid w:val="00470B5F"/>
    <w:rsid w:val="004713CB"/>
    <w:rsid w:val="004716C8"/>
    <w:rsid w:val="00472027"/>
    <w:rsid w:val="00472B68"/>
    <w:rsid w:val="00472BA6"/>
    <w:rsid w:val="00472D30"/>
    <w:rsid w:val="00473163"/>
    <w:rsid w:val="00473319"/>
    <w:rsid w:val="00473577"/>
    <w:rsid w:val="004743FB"/>
    <w:rsid w:val="004747F2"/>
    <w:rsid w:val="00474875"/>
    <w:rsid w:val="00474C8C"/>
    <w:rsid w:val="00474D58"/>
    <w:rsid w:val="00474D5A"/>
    <w:rsid w:val="00475C27"/>
    <w:rsid w:val="00476629"/>
    <w:rsid w:val="00476BF9"/>
    <w:rsid w:val="00476CB3"/>
    <w:rsid w:val="00476FD4"/>
    <w:rsid w:val="00477D9C"/>
    <w:rsid w:val="0048021B"/>
    <w:rsid w:val="00481000"/>
    <w:rsid w:val="00481155"/>
    <w:rsid w:val="0048249E"/>
    <w:rsid w:val="00483120"/>
    <w:rsid w:val="004833DC"/>
    <w:rsid w:val="004836D0"/>
    <w:rsid w:val="0048443F"/>
    <w:rsid w:val="004853CB"/>
    <w:rsid w:val="00485454"/>
    <w:rsid w:val="00485A6B"/>
    <w:rsid w:val="00485D27"/>
    <w:rsid w:val="00485E24"/>
    <w:rsid w:val="00486755"/>
    <w:rsid w:val="0048726A"/>
    <w:rsid w:val="004877A5"/>
    <w:rsid w:val="00487806"/>
    <w:rsid w:val="00487A32"/>
    <w:rsid w:val="00487D6C"/>
    <w:rsid w:val="004902CA"/>
    <w:rsid w:val="00491C9F"/>
    <w:rsid w:val="00491FE1"/>
    <w:rsid w:val="00492AFC"/>
    <w:rsid w:val="00492CF4"/>
    <w:rsid w:val="004955DE"/>
    <w:rsid w:val="004958CE"/>
    <w:rsid w:val="00495B0B"/>
    <w:rsid w:val="004962BD"/>
    <w:rsid w:val="00496B25"/>
    <w:rsid w:val="00496B57"/>
    <w:rsid w:val="00496C76"/>
    <w:rsid w:val="00496DA4"/>
    <w:rsid w:val="00497085"/>
    <w:rsid w:val="004974E1"/>
    <w:rsid w:val="00497FC9"/>
    <w:rsid w:val="004A01C3"/>
    <w:rsid w:val="004A0783"/>
    <w:rsid w:val="004A0835"/>
    <w:rsid w:val="004A1154"/>
    <w:rsid w:val="004A1527"/>
    <w:rsid w:val="004A1813"/>
    <w:rsid w:val="004A1BEF"/>
    <w:rsid w:val="004A27D6"/>
    <w:rsid w:val="004A2A52"/>
    <w:rsid w:val="004A304A"/>
    <w:rsid w:val="004A3778"/>
    <w:rsid w:val="004A3FAA"/>
    <w:rsid w:val="004A4058"/>
    <w:rsid w:val="004A408B"/>
    <w:rsid w:val="004A40C0"/>
    <w:rsid w:val="004A41F6"/>
    <w:rsid w:val="004A4686"/>
    <w:rsid w:val="004A4F85"/>
    <w:rsid w:val="004A5D05"/>
    <w:rsid w:val="004A5E67"/>
    <w:rsid w:val="004A61E1"/>
    <w:rsid w:val="004A6514"/>
    <w:rsid w:val="004A6640"/>
    <w:rsid w:val="004A6732"/>
    <w:rsid w:val="004A6821"/>
    <w:rsid w:val="004A697C"/>
    <w:rsid w:val="004A6B0B"/>
    <w:rsid w:val="004A6B67"/>
    <w:rsid w:val="004A6BB2"/>
    <w:rsid w:val="004A733C"/>
    <w:rsid w:val="004A74B8"/>
    <w:rsid w:val="004A7603"/>
    <w:rsid w:val="004A7E31"/>
    <w:rsid w:val="004B1825"/>
    <w:rsid w:val="004B1C4C"/>
    <w:rsid w:val="004B1D45"/>
    <w:rsid w:val="004B1E4A"/>
    <w:rsid w:val="004B1ECE"/>
    <w:rsid w:val="004B1FB1"/>
    <w:rsid w:val="004B25D6"/>
    <w:rsid w:val="004B2694"/>
    <w:rsid w:val="004B2DB2"/>
    <w:rsid w:val="004B2F8D"/>
    <w:rsid w:val="004B33E1"/>
    <w:rsid w:val="004B3828"/>
    <w:rsid w:val="004B3897"/>
    <w:rsid w:val="004B38BC"/>
    <w:rsid w:val="004B406C"/>
    <w:rsid w:val="004B4339"/>
    <w:rsid w:val="004B4703"/>
    <w:rsid w:val="004B4E86"/>
    <w:rsid w:val="004B4F76"/>
    <w:rsid w:val="004B5A87"/>
    <w:rsid w:val="004B6006"/>
    <w:rsid w:val="004B64EB"/>
    <w:rsid w:val="004B67B6"/>
    <w:rsid w:val="004B7465"/>
    <w:rsid w:val="004B762A"/>
    <w:rsid w:val="004B7E1D"/>
    <w:rsid w:val="004B7E8B"/>
    <w:rsid w:val="004B7F9C"/>
    <w:rsid w:val="004C0008"/>
    <w:rsid w:val="004C0267"/>
    <w:rsid w:val="004C0723"/>
    <w:rsid w:val="004C0875"/>
    <w:rsid w:val="004C089F"/>
    <w:rsid w:val="004C0C86"/>
    <w:rsid w:val="004C1066"/>
    <w:rsid w:val="004C193A"/>
    <w:rsid w:val="004C1FD3"/>
    <w:rsid w:val="004C3A7D"/>
    <w:rsid w:val="004C3ECF"/>
    <w:rsid w:val="004C3F56"/>
    <w:rsid w:val="004C44A4"/>
    <w:rsid w:val="004C4B9A"/>
    <w:rsid w:val="004C4CA9"/>
    <w:rsid w:val="004C4D2E"/>
    <w:rsid w:val="004C4E7A"/>
    <w:rsid w:val="004C52B7"/>
    <w:rsid w:val="004C57A3"/>
    <w:rsid w:val="004C5A9C"/>
    <w:rsid w:val="004C62B7"/>
    <w:rsid w:val="004C6312"/>
    <w:rsid w:val="004C635A"/>
    <w:rsid w:val="004C63D2"/>
    <w:rsid w:val="004C6F76"/>
    <w:rsid w:val="004D019E"/>
    <w:rsid w:val="004D0F7E"/>
    <w:rsid w:val="004D10DE"/>
    <w:rsid w:val="004D111B"/>
    <w:rsid w:val="004D11BC"/>
    <w:rsid w:val="004D1A41"/>
    <w:rsid w:val="004D22C0"/>
    <w:rsid w:val="004D268D"/>
    <w:rsid w:val="004D28AB"/>
    <w:rsid w:val="004D28F7"/>
    <w:rsid w:val="004D2DD6"/>
    <w:rsid w:val="004D2EB5"/>
    <w:rsid w:val="004D30EB"/>
    <w:rsid w:val="004D5FBB"/>
    <w:rsid w:val="004D6309"/>
    <w:rsid w:val="004D63CA"/>
    <w:rsid w:val="004D690A"/>
    <w:rsid w:val="004D7841"/>
    <w:rsid w:val="004D7CD2"/>
    <w:rsid w:val="004D7D7E"/>
    <w:rsid w:val="004D7F4B"/>
    <w:rsid w:val="004E01D8"/>
    <w:rsid w:val="004E0255"/>
    <w:rsid w:val="004E0524"/>
    <w:rsid w:val="004E0825"/>
    <w:rsid w:val="004E0EF0"/>
    <w:rsid w:val="004E0F52"/>
    <w:rsid w:val="004E12FF"/>
    <w:rsid w:val="004E159C"/>
    <w:rsid w:val="004E1719"/>
    <w:rsid w:val="004E1A13"/>
    <w:rsid w:val="004E20EE"/>
    <w:rsid w:val="004E2FA4"/>
    <w:rsid w:val="004E37A4"/>
    <w:rsid w:val="004E407B"/>
    <w:rsid w:val="004E42A2"/>
    <w:rsid w:val="004E45D4"/>
    <w:rsid w:val="004E4915"/>
    <w:rsid w:val="004E493C"/>
    <w:rsid w:val="004E4BF0"/>
    <w:rsid w:val="004E4C4C"/>
    <w:rsid w:val="004E4CA3"/>
    <w:rsid w:val="004E57BB"/>
    <w:rsid w:val="004E65A0"/>
    <w:rsid w:val="004E6D93"/>
    <w:rsid w:val="004E7D2C"/>
    <w:rsid w:val="004E7FA0"/>
    <w:rsid w:val="004F063E"/>
    <w:rsid w:val="004F085E"/>
    <w:rsid w:val="004F1152"/>
    <w:rsid w:val="004F1239"/>
    <w:rsid w:val="004F16C0"/>
    <w:rsid w:val="004F18D8"/>
    <w:rsid w:val="004F1C57"/>
    <w:rsid w:val="004F30D9"/>
    <w:rsid w:val="004F4CF7"/>
    <w:rsid w:val="004F513E"/>
    <w:rsid w:val="004F5460"/>
    <w:rsid w:val="004F553D"/>
    <w:rsid w:val="004F5676"/>
    <w:rsid w:val="004F59AA"/>
    <w:rsid w:val="004F5D72"/>
    <w:rsid w:val="004F5DC4"/>
    <w:rsid w:val="004F6218"/>
    <w:rsid w:val="004F63BA"/>
    <w:rsid w:val="004F6B6E"/>
    <w:rsid w:val="004F6B84"/>
    <w:rsid w:val="004F6FDC"/>
    <w:rsid w:val="004F718E"/>
    <w:rsid w:val="004F7344"/>
    <w:rsid w:val="004F7627"/>
    <w:rsid w:val="004F7689"/>
    <w:rsid w:val="004F7DB1"/>
    <w:rsid w:val="00500119"/>
    <w:rsid w:val="00500941"/>
    <w:rsid w:val="00500BE9"/>
    <w:rsid w:val="005011CC"/>
    <w:rsid w:val="00501CF4"/>
    <w:rsid w:val="00501ED0"/>
    <w:rsid w:val="00502589"/>
    <w:rsid w:val="00503618"/>
    <w:rsid w:val="00504016"/>
    <w:rsid w:val="00504908"/>
    <w:rsid w:val="00504958"/>
    <w:rsid w:val="0050501F"/>
    <w:rsid w:val="00505400"/>
    <w:rsid w:val="00505542"/>
    <w:rsid w:val="005055B5"/>
    <w:rsid w:val="0050589B"/>
    <w:rsid w:val="00505B47"/>
    <w:rsid w:val="005065DA"/>
    <w:rsid w:val="00506AE4"/>
    <w:rsid w:val="00506B6D"/>
    <w:rsid w:val="00506CB0"/>
    <w:rsid w:val="00506EE6"/>
    <w:rsid w:val="00506F5C"/>
    <w:rsid w:val="0050746A"/>
    <w:rsid w:val="00507AD5"/>
    <w:rsid w:val="00507CEC"/>
    <w:rsid w:val="005102D7"/>
    <w:rsid w:val="00510754"/>
    <w:rsid w:val="00510C2B"/>
    <w:rsid w:val="0051103B"/>
    <w:rsid w:val="0051241E"/>
    <w:rsid w:val="00512CF4"/>
    <w:rsid w:val="00512F8D"/>
    <w:rsid w:val="0051328B"/>
    <w:rsid w:val="005139B7"/>
    <w:rsid w:val="00514EC9"/>
    <w:rsid w:val="00515022"/>
    <w:rsid w:val="00515495"/>
    <w:rsid w:val="005154D8"/>
    <w:rsid w:val="00515838"/>
    <w:rsid w:val="005159D3"/>
    <w:rsid w:val="00516BC2"/>
    <w:rsid w:val="00517111"/>
    <w:rsid w:val="005175B8"/>
    <w:rsid w:val="00517714"/>
    <w:rsid w:val="00517A60"/>
    <w:rsid w:val="00517D2D"/>
    <w:rsid w:val="00517D3D"/>
    <w:rsid w:val="00517FAE"/>
    <w:rsid w:val="00520285"/>
    <w:rsid w:val="00520352"/>
    <w:rsid w:val="00520494"/>
    <w:rsid w:val="00520535"/>
    <w:rsid w:val="0052058E"/>
    <w:rsid w:val="0052093E"/>
    <w:rsid w:val="00520BA3"/>
    <w:rsid w:val="00520E3B"/>
    <w:rsid w:val="00521069"/>
    <w:rsid w:val="005212BC"/>
    <w:rsid w:val="00521C48"/>
    <w:rsid w:val="005220F0"/>
    <w:rsid w:val="0052214E"/>
    <w:rsid w:val="00522BBC"/>
    <w:rsid w:val="00522C84"/>
    <w:rsid w:val="00523047"/>
    <w:rsid w:val="005237F9"/>
    <w:rsid w:val="005242AB"/>
    <w:rsid w:val="0052432B"/>
    <w:rsid w:val="0052453B"/>
    <w:rsid w:val="0052487B"/>
    <w:rsid w:val="005249B4"/>
    <w:rsid w:val="005252AC"/>
    <w:rsid w:val="005253CF"/>
    <w:rsid w:val="005255B0"/>
    <w:rsid w:val="00525C7F"/>
    <w:rsid w:val="005260E9"/>
    <w:rsid w:val="00527319"/>
    <w:rsid w:val="005303FA"/>
    <w:rsid w:val="00530989"/>
    <w:rsid w:val="00530D38"/>
    <w:rsid w:val="00531442"/>
    <w:rsid w:val="0053185A"/>
    <w:rsid w:val="00531987"/>
    <w:rsid w:val="005327A7"/>
    <w:rsid w:val="00532B22"/>
    <w:rsid w:val="00532B54"/>
    <w:rsid w:val="005333C1"/>
    <w:rsid w:val="00533527"/>
    <w:rsid w:val="00534765"/>
    <w:rsid w:val="00534BBA"/>
    <w:rsid w:val="00534CD0"/>
    <w:rsid w:val="00534F35"/>
    <w:rsid w:val="005365F7"/>
    <w:rsid w:val="00536698"/>
    <w:rsid w:val="0053756C"/>
    <w:rsid w:val="0053765F"/>
    <w:rsid w:val="00537B6F"/>
    <w:rsid w:val="005400E1"/>
    <w:rsid w:val="0054033A"/>
    <w:rsid w:val="00540764"/>
    <w:rsid w:val="00541017"/>
    <w:rsid w:val="00541611"/>
    <w:rsid w:val="005417A4"/>
    <w:rsid w:val="00541AC4"/>
    <w:rsid w:val="00541ED8"/>
    <w:rsid w:val="00543660"/>
    <w:rsid w:val="005436D5"/>
    <w:rsid w:val="00543D9B"/>
    <w:rsid w:val="005442B8"/>
    <w:rsid w:val="00544C7B"/>
    <w:rsid w:val="00545275"/>
    <w:rsid w:val="00545282"/>
    <w:rsid w:val="005453F6"/>
    <w:rsid w:val="00545937"/>
    <w:rsid w:val="00545986"/>
    <w:rsid w:val="00545BDC"/>
    <w:rsid w:val="00546ACA"/>
    <w:rsid w:val="005473B5"/>
    <w:rsid w:val="00547659"/>
    <w:rsid w:val="005479A4"/>
    <w:rsid w:val="00547CE9"/>
    <w:rsid w:val="00547ED9"/>
    <w:rsid w:val="00550A5B"/>
    <w:rsid w:val="00550AE7"/>
    <w:rsid w:val="00550DFD"/>
    <w:rsid w:val="00550FD7"/>
    <w:rsid w:val="005511F4"/>
    <w:rsid w:val="005517F4"/>
    <w:rsid w:val="00551A74"/>
    <w:rsid w:val="00551F2B"/>
    <w:rsid w:val="005523B6"/>
    <w:rsid w:val="0055277C"/>
    <w:rsid w:val="00552D9A"/>
    <w:rsid w:val="00552DB0"/>
    <w:rsid w:val="00552E5C"/>
    <w:rsid w:val="005530A1"/>
    <w:rsid w:val="0055313A"/>
    <w:rsid w:val="00553E52"/>
    <w:rsid w:val="0055459E"/>
    <w:rsid w:val="0055467C"/>
    <w:rsid w:val="00554B97"/>
    <w:rsid w:val="00554E95"/>
    <w:rsid w:val="0055541C"/>
    <w:rsid w:val="00555DA5"/>
    <w:rsid w:val="00555FC3"/>
    <w:rsid w:val="005565AB"/>
    <w:rsid w:val="005566C7"/>
    <w:rsid w:val="00556D26"/>
    <w:rsid w:val="00557455"/>
    <w:rsid w:val="00560FED"/>
    <w:rsid w:val="00561706"/>
    <w:rsid w:val="005619D8"/>
    <w:rsid w:val="00561DE2"/>
    <w:rsid w:val="00561F54"/>
    <w:rsid w:val="005628B2"/>
    <w:rsid w:val="00562E15"/>
    <w:rsid w:val="005633D5"/>
    <w:rsid w:val="0056340E"/>
    <w:rsid w:val="00563A88"/>
    <w:rsid w:val="00563C1E"/>
    <w:rsid w:val="00564151"/>
    <w:rsid w:val="00564264"/>
    <w:rsid w:val="005646E8"/>
    <w:rsid w:val="00564884"/>
    <w:rsid w:val="00564918"/>
    <w:rsid w:val="00564D11"/>
    <w:rsid w:val="00564EAF"/>
    <w:rsid w:val="00565734"/>
    <w:rsid w:val="005658E0"/>
    <w:rsid w:val="00565BA2"/>
    <w:rsid w:val="00567C99"/>
    <w:rsid w:val="00567ED4"/>
    <w:rsid w:val="005701A0"/>
    <w:rsid w:val="0057034E"/>
    <w:rsid w:val="005704B8"/>
    <w:rsid w:val="00570C2B"/>
    <w:rsid w:val="00571458"/>
    <w:rsid w:val="00571AF5"/>
    <w:rsid w:val="00571E2D"/>
    <w:rsid w:val="00571F11"/>
    <w:rsid w:val="00572432"/>
    <w:rsid w:val="00572B8F"/>
    <w:rsid w:val="005733F7"/>
    <w:rsid w:val="00573755"/>
    <w:rsid w:val="00573847"/>
    <w:rsid w:val="00573898"/>
    <w:rsid w:val="005739C0"/>
    <w:rsid w:val="00573E8D"/>
    <w:rsid w:val="00574814"/>
    <w:rsid w:val="00574890"/>
    <w:rsid w:val="00575467"/>
    <w:rsid w:val="00575F44"/>
    <w:rsid w:val="00575FE8"/>
    <w:rsid w:val="00576917"/>
    <w:rsid w:val="005769E4"/>
    <w:rsid w:val="00576C86"/>
    <w:rsid w:val="005771D6"/>
    <w:rsid w:val="005776E5"/>
    <w:rsid w:val="00577C27"/>
    <w:rsid w:val="00580231"/>
    <w:rsid w:val="00581118"/>
    <w:rsid w:val="00581175"/>
    <w:rsid w:val="0058224F"/>
    <w:rsid w:val="005822D8"/>
    <w:rsid w:val="00582331"/>
    <w:rsid w:val="005823C6"/>
    <w:rsid w:val="00582D1A"/>
    <w:rsid w:val="00582D24"/>
    <w:rsid w:val="00582EB2"/>
    <w:rsid w:val="00583464"/>
    <w:rsid w:val="00583AD4"/>
    <w:rsid w:val="005842AA"/>
    <w:rsid w:val="00584A8F"/>
    <w:rsid w:val="00585FD0"/>
    <w:rsid w:val="00585FF3"/>
    <w:rsid w:val="005864B7"/>
    <w:rsid w:val="0058690D"/>
    <w:rsid w:val="00586964"/>
    <w:rsid w:val="00586F71"/>
    <w:rsid w:val="005871E1"/>
    <w:rsid w:val="0058740C"/>
    <w:rsid w:val="00587604"/>
    <w:rsid w:val="00587C37"/>
    <w:rsid w:val="0059009A"/>
    <w:rsid w:val="00590188"/>
    <w:rsid w:val="00590CB5"/>
    <w:rsid w:val="00590D26"/>
    <w:rsid w:val="00591603"/>
    <w:rsid w:val="00591DBD"/>
    <w:rsid w:val="00591E96"/>
    <w:rsid w:val="005927D1"/>
    <w:rsid w:val="0059293D"/>
    <w:rsid w:val="005929B3"/>
    <w:rsid w:val="00592EC8"/>
    <w:rsid w:val="005943A6"/>
    <w:rsid w:val="00594700"/>
    <w:rsid w:val="0059535B"/>
    <w:rsid w:val="00595447"/>
    <w:rsid w:val="0059567E"/>
    <w:rsid w:val="0059590A"/>
    <w:rsid w:val="005965AA"/>
    <w:rsid w:val="00596DFF"/>
    <w:rsid w:val="0059771F"/>
    <w:rsid w:val="005A0EEC"/>
    <w:rsid w:val="005A1066"/>
    <w:rsid w:val="005A1AF5"/>
    <w:rsid w:val="005A1AF8"/>
    <w:rsid w:val="005A1EAE"/>
    <w:rsid w:val="005A1EB3"/>
    <w:rsid w:val="005A1EEB"/>
    <w:rsid w:val="005A2141"/>
    <w:rsid w:val="005A2D22"/>
    <w:rsid w:val="005A2E78"/>
    <w:rsid w:val="005A3A59"/>
    <w:rsid w:val="005A4E7A"/>
    <w:rsid w:val="005A4E7C"/>
    <w:rsid w:val="005A5152"/>
    <w:rsid w:val="005A52C0"/>
    <w:rsid w:val="005A56E1"/>
    <w:rsid w:val="005A60E6"/>
    <w:rsid w:val="005A654B"/>
    <w:rsid w:val="005A6924"/>
    <w:rsid w:val="005A7ABF"/>
    <w:rsid w:val="005A7EBE"/>
    <w:rsid w:val="005B0830"/>
    <w:rsid w:val="005B14C6"/>
    <w:rsid w:val="005B20B6"/>
    <w:rsid w:val="005B2CFA"/>
    <w:rsid w:val="005B302F"/>
    <w:rsid w:val="005B368E"/>
    <w:rsid w:val="005B37B7"/>
    <w:rsid w:val="005B4200"/>
    <w:rsid w:val="005B4212"/>
    <w:rsid w:val="005B4801"/>
    <w:rsid w:val="005B4A86"/>
    <w:rsid w:val="005B4B11"/>
    <w:rsid w:val="005B4EE9"/>
    <w:rsid w:val="005B4FFB"/>
    <w:rsid w:val="005B51D8"/>
    <w:rsid w:val="005B56BB"/>
    <w:rsid w:val="005B633C"/>
    <w:rsid w:val="005B6541"/>
    <w:rsid w:val="005B6C36"/>
    <w:rsid w:val="005B7108"/>
    <w:rsid w:val="005B73EF"/>
    <w:rsid w:val="005B7419"/>
    <w:rsid w:val="005B7A39"/>
    <w:rsid w:val="005C0CAD"/>
    <w:rsid w:val="005C11DC"/>
    <w:rsid w:val="005C1339"/>
    <w:rsid w:val="005C1D7C"/>
    <w:rsid w:val="005C1EFD"/>
    <w:rsid w:val="005C2641"/>
    <w:rsid w:val="005C292A"/>
    <w:rsid w:val="005C29CF"/>
    <w:rsid w:val="005C2A12"/>
    <w:rsid w:val="005C2B6C"/>
    <w:rsid w:val="005C2C9F"/>
    <w:rsid w:val="005C2E11"/>
    <w:rsid w:val="005C2FD3"/>
    <w:rsid w:val="005C359F"/>
    <w:rsid w:val="005C37F0"/>
    <w:rsid w:val="005C38F0"/>
    <w:rsid w:val="005C39DA"/>
    <w:rsid w:val="005C3D61"/>
    <w:rsid w:val="005C4384"/>
    <w:rsid w:val="005C43C5"/>
    <w:rsid w:val="005C5D51"/>
    <w:rsid w:val="005C5FE8"/>
    <w:rsid w:val="005C6DAA"/>
    <w:rsid w:val="005C6FBD"/>
    <w:rsid w:val="005C7139"/>
    <w:rsid w:val="005C7465"/>
    <w:rsid w:val="005C74D0"/>
    <w:rsid w:val="005C762A"/>
    <w:rsid w:val="005C7DFD"/>
    <w:rsid w:val="005D07FA"/>
    <w:rsid w:val="005D0A8B"/>
    <w:rsid w:val="005D0B9C"/>
    <w:rsid w:val="005D12AB"/>
    <w:rsid w:val="005D13D1"/>
    <w:rsid w:val="005D15BC"/>
    <w:rsid w:val="005D1AFC"/>
    <w:rsid w:val="005D1CAD"/>
    <w:rsid w:val="005D1F8D"/>
    <w:rsid w:val="005D2042"/>
    <w:rsid w:val="005D2104"/>
    <w:rsid w:val="005D22EB"/>
    <w:rsid w:val="005D2463"/>
    <w:rsid w:val="005D387B"/>
    <w:rsid w:val="005D4389"/>
    <w:rsid w:val="005D44DD"/>
    <w:rsid w:val="005D4EB1"/>
    <w:rsid w:val="005D5B31"/>
    <w:rsid w:val="005D5B9F"/>
    <w:rsid w:val="005D66A9"/>
    <w:rsid w:val="005D6719"/>
    <w:rsid w:val="005D731B"/>
    <w:rsid w:val="005D7539"/>
    <w:rsid w:val="005D7797"/>
    <w:rsid w:val="005D796B"/>
    <w:rsid w:val="005D7E69"/>
    <w:rsid w:val="005D7FD8"/>
    <w:rsid w:val="005E0485"/>
    <w:rsid w:val="005E06B9"/>
    <w:rsid w:val="005E1325"/>
    <w:rsid w:val="005E1396"/>
    <w:rsid w:val="005E146C"/>
    <w:rsid w:val="005E14C0"/>
    <w:rsid w:val="005E1841"/>
    <w:rsid w:val="005E1AFE"/>
    <w:rsid w:val="005E1D8A"/>
    <w:rsid w:val="005E21ED"/>
    <w:rsid w:val="005E231F"/>
    <w:rsid w:val="005E2BDE"/>
    <w:rsid w:val="005E3F2C"/>
    <w:rsid w:val="005E52B8"/>
    <w:rsid w:val="005E53B0"/>
    <w:rsid w:val="005E5ADB"/>
    <w:rsid w:val="005E5F79"/>
    <w:rsid w:val="005E62F5"/>
    <w:rsid w:val="005E64B4"/>
    <w:rsid w:val="005E6955"/>
    <w:rsid w:val="005E71DD"/>
    <w:rsid w:val="005E79BE"/>
    <w:rsid w:val="005E7CB5"/>
    <w:rsid w:val="005E7F00"/>
    <w:rsid w:val="005F00FB"/>
    <w:rsid w:val="005F080C"/>
    <w:rsid w:val="005F0CB4"/>
    <w:rsid w:val="005F0D56"/>
    <w:rsid w:val="005F0DB1"/>
    <w:rsid w:val="005F1227"/>
    <w:rsid w:val="005F18D7"/>
    <w:rsid w:val="005F1941"/>
    <w:rsid w:val="005F2157"/>
    <w:rsid w:val="005F320E"/>
    <w:rsid w:val="005F46BB"/>
    <w:rsid w:val="005F4A17"/>
    <w:rsid w:val="005F4BE8"/>
    <w:rsid w:val="005F4FCC"/>
    <w:rsid w:val="005F4FD8"/>
    <w:rsid w:val="005F5123"/>
    <w:rsid w:val="005F5157"/>
    <w:rsid w:val="005F51E1"/>
    <w:rsid w:val="005F5252"/>
    <w:rsid w:val="005F5E27"/>
    <w:rsid w:val="005F61E8"/>
    <w:rsid w:val="005F6433"/>
    <w:rsid w:val="005F6461"/>
    <w:rsid w:val="005F64CB"/>
    <w:rsid w:val="005F6F1A"/>
    <w:rsid w:val="005F6F84"/>
    <w:rsid w:val="005F707D"/>
    <w:rsid w:val="005F743D"/>
    <w:rsid w:val="005F77BE"/>
    <w:rsid w:val="005F7A1A"/>
    <w:rsid w:val="005F7C44"/>
    <w:rsid w:val="00600258"/>
    <w:rsid w:val="00600C8A"/>
    <w:rsid w:val="006014CE"/>
    <w:rsid w:val="0060153B"/>
    <w:rsid w:val="006015BB"/>
    <w:rsid w:val="00601A1E"/>
    <w:rsid w:val="00601CBA"/>
    <w:rsid w:val="00602B8C"/>
    <w:rsid w:val="00602C9A"/>
    <w:rsid w:val="00602D83"/>
    <w:rsid w:val="00603564"/>
    <w:rsid w:val="0060378C"/>
    <w:rsid w:val="0060382C"/>
    <w:rsid w:val="00603C55"/>
    <w:rsid w:val="00603E6B"/>
    <w:rsid w:val="00604A86"/>
    <w:rsid w:val="00604D09"/>
    <w:rsid w:val="00605197"/>
    <w:rsid w:val="00605C00"/>
    <w:rsid w:val="00605ECB"/>
    <w:rsid w:val="0060629E"/>
    <w:rsid w:val="00606605"/>
    <w:rsid w:val="0060715E"/>
    <w:rsid w:val="006072D5"/>
    <w:rsid w:val="006078CD"/>
    <w:rsid w:val="006079E6"/>
    <w:rsid w:val="00607E63"/>
    <w:rsid w:val="006103E0"/>
    <w:rsid w:val="00610689"/>
    <w:rsid w:val="006106C6"/>
    <w:rsid w:val="00610BA9"/>
    <w:rsid w:val="00611FF8"/>
    <w:rsid w:val="006130D2"/>
    <w:rsid w:val="0061351A"/>
    <w:rsid w:val="00613A3F"/>
    <w:rsid w:val="00613DD8"/>
    <w:rsid w:val="00614CDB"/>
    <w:rsid w:val="00615107"/>
    <w:rsid w:val="00615590"/>
    <w:rsid w:val="00616014"/>
    <w:rsid w:val="00616245"/>
    <w:rsid w:val="006164DE"/>
    <w:rsid w:val="006168C1"/>
    <w:rsid w:val="00616D97"/>
    <w:rsid w:val="00617295"/>
    <w:rsid w:val="0061763A"/>
    <w:rsid w:val="00617926"/>
    <w:rsid w:val="0062037E"/>
    <w:rsid w:val="006203D8"/>
    <w:rsid w:val="006204AB"/>
    <w:rsid w:val="0062082C"/>
    <w:rsid w:val="006208BC"/>
    <w:rsid w:val="00621674"/>
    <w:rsid w:val="00621A58"/>
    <w:rsid w:val="00621E74"/>
    <w:rsid w:val="00622DE0"/>
    <w:rsid w:val="00622F73"/>
    <w:rsid w:val="00622FB0"/>
    <w:rsid w:val="006230B2"/>
    <w:rsid w:val="0062319B"/>
    <w:rsid w:val="0062330B"/>
    <w:rsid w:val="00623596"/>
    <w:rsid w:val="006236AC"/>
    <w:rsid w:val="006243E1"/>
    <w:rsid w:val="00624660"/>
    <w:rsid w:val="00624C3C"/>
    <w:rsid w:val="00624D8C"/>
    <w:rsid w:val="00624E61"/>
    <w:rsid w:val="00625374"/>
    <w:rsid w:val="00625527"/>
    <w:rsid w:val="0062558A"/>
    <w:rsid w:val="00625F9A"/>
    <w:rsid w:val="00625FBA"/>
    <w:rsid w:val="00626203"/>
    <w:rsid w:val="00626553"/>
    <w:rsid w:val="00626A1D"/>
    <w:rsid w:val="00626B61"/>
    <w:rsid w:val="00626C9E"/>
    <w:rsid w:val="00627ADC"/>
    <w:rsid w:val="00630644"/>
    <w:rsid w:val="00630E5E"/>
    <w:rsid w:val="00631B2D"/>
    <w:rsid w:val="00632675"/>
    <w:rsid w:val="00633065"/>
    <w:rsid w:val="006336AC"/>
    <w:rsid w:val="00633861"/>
    <w:rsid w:val="0063386B"/>
    <w:rsid w:val="00633A7C"/>
    <w:rsid w:val="00633EA8"/>
    <w:rsid w:val="00635A85"/>
    <w:rsid w:val="00635CEF"/>
    <w:rsid w:val="00635CFD"/>
    <w:rsid w:val="00636505"/>
    <w:rsid w:val="00636CD5"/>
    <w:rsid w:val="0063722C"/>
    <w:rsid w:val="00637720"/>
    <w:rsid w:val="00637903"/>
    <w:rsid w:val="0063798E"/>
    <w:rsid w:val="00637DD7"/>
    <w:rsid w:val="00640133"/>
    <w:rsid w:val="0064041A"/>
    <w:rsid w:val="006404FE"/>
    <w:rsid w:val="0064051F"/>
    <w:rsid w:val="00640812"/>
    <w:rsid w:val="00640A6C"/>
    <w:rsid w:val="00640DA7"/>
    <w:rsid w:val="00640FAF"/>
    <w:rsid w:val="00641CA6"/>
    <w:rsid w:val="00641DDE"/>
    <w:rsid w:val="00642071"/>
    <w:rsid w:val="00642353"/>
    <w:rsid w:val="006423B8"/>
    <w:rsid w:val="00643888"/>
    <w:rsid w:val="00643A90"/>
    <w:rsid w:val="00643C54"/>
    <w:rsid w:val="006442E3"/>
    <w:rsid w:val="00644C4F"/>
    <w:rsid w:val="0064532B"/>
    <w:rsid w:val="006459E8"/>
    <w:rsid w:val="00645FB7"/>
    <w:rsid w:val="00646287"/>
    <w:rsid w:val="00646A7A"/>
    <w:rsid w:val="00646CB7"/>
    <w:rsid w:val="00646CD7"/>
    <w:rsid w:val="00646D7D"/>
    <w:rsid w:val="006473D5"/>
    <w:rsid w:val="00647808"/>
    <w:rsid w:val="00647979"/>
    <w:rsid w:val="00647C7D"/>
    <w:rsid w:val="00647D9D"/>
    <w:rsid w:val="00647DDD"/>
    <w:rsid w:val="006505FB"/>
    <w:rsid w:val="00650CA9"/>
    <w:rsid w:val="00650E1E"/>
    <w:rsid w:val="00650E4F"/>
    <w:rsid w:val="00651006"/>
    <w:rsid w:val="00651774"/>
    <w:rsid w:val="00651930"/>
    <w:rsid w:val="00651CDB"/>
    <w:rsid w:val="00651DEB"/>
    <w:rsid w:val="0065216F"/>
    <w:rsid w:val="00652430"/>
    <w:rsid w:val="00652571"/>
    <w:rsid w:val="00652650"/>
    <w:rsid w:val="00653060"/>
    <w:rsid w:val="00653727"/>
    <w:rsid w:val="00653EA6"/>
    <w:rsid w:val="00653F04"/>
    <w:rsid w:val="00654293"/>
    <w:rsid w:val="0065483E"/>
    <w:rsid w:val="006549F0"/>
    <w:rsid w:val="00654BC5"/>
    <w:rsid w:val="00654F92"/>
    <w:rsid w:val="0065551D"/>
    <w:rsid w:val="006556F9"/>
    <w:rsid w:val="006557CD"/>
    <w:rsid w:val="00655B4E"/>
    <w:rsid w:val="00655CB3"/>
    <w:rsid w:val="006560E6"/>
    <w:rsid w:val="0065628B"/>
    <w:rsid w:val="006565FE"/>
    <w:rsid w:val="00656E52"/>
    <w:rsid w:val="00656F09"/>
    <w:rsid w:val="00656F17"/>
    <w:rsid w:val="00656F56"/>
    <w:rsid w:val="00657045"/>
    <w:rsid w:val="00657306"/>
    <w:rsid w:val="00657A36"/>
    <w:rsid w:val="00657BC9"/>
    <w:rsid w:val="00660BD5"/>
    <w:rsid w:val="00660D59"/>
    <w:rsid w:val="00661114"/>
    <w:rsid w:val="00663383"/>
    <w:rsid w:val="00663680"/>
    <w:rsid w:val="00663740"/>
    <w:rsid w:val="006638D3"/>
    <w:rsid w:val="006644AC"/>
    <w:rsid w:val="006646FA"/>
    <w:rsid w:val="006649C2"/>
    <w:rsid w:val="00664A85"/>
    <w:rsid w:val="00664AE0"/>
    <w:rsid w:val="00664C31"/>
    <w:rsid w:val="00664C6D"/>
    <w:rsid w:val="00664DBC"/>
    <w:rsid w:val="00665B0F"/>
    <w:rsid w:val="00666BA5"/>
    <w:rsid w:val="00666BE3"/>
    <w:rsid w:val="00667376"/>
    <w:rsid w:val="00667488"/>
    <w:rsid w:val="00667C39"/>
    <w:rsid w:val="00667F57"/>
    <w:rsid w:val="00670189"/>
    <w:rsid w:val="006706D5"/>
    <w:rsid w:val="0067094D"/>
    <w:rsid w:val="006731EC"/>
    <w:rsid w:val="00673399"/>
    <w:rsid w:val="00673518"/>
    <w:rsid w:val="0067390A"/>
    <w:rsid w:val="00673923"/>
    <w:rsid w:val="00674DAD"/>
    <w:rsid w:val="006750FC"/>
    <w:rsid w:val="00675270"/>
    <w:rsid w:val="00675DF2"/>
    <w:rsid w:val="00675E12"/>
    <w:rsid w:val="00675EAD"/>
    <w:rsid w:val="006760D5"/>
    <w:rsid w:val="0067621E"/>
    <w:rsid w:val="0067656C"/>
    <w:rsid w:val="006771EF"/>
    <w:rsid w:val="006773D8"/>
    <w:rsid w:val="00677993"/>
    <w:rsid w:val="006779F4"/>
    <w:rsid w:val="00677D3E"/>
    <w:rsid w:val="00677E38"/>
    <w:rsid w:val="00681010"/>
    <w:rsid w:val="006826F5"/>
    <w:rsid w:val="00682A2F"/>
    <w:rsid w:val="00683070"/>
    <w:rsid w:val="00683F2C"/>
    <w:rsid w:val="00684368"/>
    <w:rsid w:val="006844E9"/>
    <w:rsid w:val="0068501B"/>
    <w:rsid w:val="0068582A"/>
    <w:rsid w:val="00685D6D"/>
    <w:rsid w:val="0068676E"/>
    <w:rsid w:val="00687411"/>
    <w:rsid w:val="0068761F"/>
    <w:rsid w:val="00687BA1"/>
    <w:rsid w:val="00687F14"/>
    <w:rsid w:val="00690A6A"/>
    <w:rsid w:val="006911B0"/>
    <w:rsid w:val="0069124D"/>
    <w:rsid w:val="006919A9"/>
    <w:rsid w:val="00692344"/>
    <w:rsid w:val="00692648"/>
    <w:rsid w:val="00692696"/>
    <w:rsid w:val="00692D23"/>
    <w:rsid w:val="006934BA"/>
    <w:rsid w:val="0069368E"/>
    <w:rsid w:val="00693B96"/>
    <w:rsid w:val="00693D0A"/>
    <w:rsid w:val="00693EC6"/>
    <w:rsid w:val="00694591"/>
    <w:rsid w:val="00694694"/>
    <w:rsid w:val="0069475E"/>
    <w:rsid w:val="00694E9A"/>
    <w:rsid w:val="00694F7F"/>
    <w:rsid w:val="00695427"/>
    <w:rsid w:val="00695C09"/>
    <w:rsid w:val="0069602E"/>
    <w:rsid w:val="006961A8"/>
    <w:rsid w:val="00696BF5"/>
    <w:rsid w:val="00696CBE"/>
    <w:rsid w:val="00697144"/>
    <w:rsid w:val="00697229"/>
    <w:rsid w:val="00697FA8"/>
    <w:rsid w:val="006A00E9"/>
    <w:rsid w:val="006A084E"/>
    <w:rsid w:val="006A08D7"/>
    <w:rsid w:val="006A11A4"/>
    <w:rsid w:val="006A14F9"/>
    <w:rsid w:val="006A19D7"/>
    <w:rsid w:val="006A1AC3"/>
    <w:rsid w:val="006A22A2"/>
    <w:rsid w:val="006A22D7"/>
    <w:rsid w:val="006A263D"/>
    <w:rsid w:val="006A2EF1"/>
    <w:rsid w:val="006A3002"/>
    <w:rsid w:val="006A316A"/>
    <w:rsid w:val="006A31B2"/>
    <w:rsid w:val="006A332D"/>
    <w:rsid w:val="006A337B"/>
    <w:rsid w:val="006A3D46"/>
    <w:rsid w:val="006A3DC4"/>
    <w:rsid w:val="006A4570"/>
    <w:rsid w:val="006A466D"/>
    <w:rsid w:val="006A4CFE"/>
    <w:rsid w:val="006A548B"/>
    <w:rsid w:val="006A5C55"/>
    <w:rsid w:val="006A5F97"/>
    <w:rsid w:val="006A6382"/>
    <w:rsid w:val="006A6432"/>
    <w:rsid w:val="006A6CBF"/>
    <w:rsid w:val="006A6DB2"/>
    <w:rsid w:val="006A725E"/>
    <w:rsid w:val="006A7947"/>
    <w:rsid w:val="006A79F9"/>
    <w:rsid w:val="006B01E4"/>
    <w:rsid w:val="006B0253"/>
    <w:rsid w:val="006B0567"/>
    <w:rsid w:val="006B05A1"/>
    <w:rsid w:val="006B16A7"/>
    <w:rsid w:val="006B1A81"/>
    <w:rsid w:val="006B2335"/>
    <w:rsid w:val="006B2B70"/>
    <w:rsid w:val="006B2DCF"/>
    <w:rsid w:val="006B3596"/>
    <w:rsid w:val="006B362C"/>
    <w:rsid w:val="006B38C4"/>
    <w:rsid w:val="006B3A37"/>
    <w:rsid w:val="006B3A9E"/>
    <w:rsid w:val="006B3E63"/>
    <w:rsid w:val="006B3F2F"/>
    <w:rsid w:val="006B4068"/>
    <w:rsid w:val="006B42A2"/>
    <w:rsid w:val="006B438F"/>
    <w:rsid w:val="006B4492"/>
    <w:rsid w:val="006B4538"/>
    <w:rsid w:val="006B47CB"/>
    <w:rsid w:val="006B4920"/>
    <w:rsid w:val="006B4C16"/>
    <w:rsid w:val="006B523E"/>
    <w:rsid w:val="006B53E4"/>
    <w:rsid w:val="006B5F51"/>
    <w:rsid w:val="006B6C8E"/>
    <w:rsid w:val="006B7347"/>
    <w:rsid w:val="006B754F"/>
    <w:rsid w:val="006B7910"/>
    <w:rsid w:val="006B7A40"/>
    <w:rsid w:val="006B7C4B"/>
    <w:rsid w:val="006C02E6"/>
    <w:rsid w:val="006C03AF"/>
    <w:rsid w:val="006C03F8"/>
    <w:rsid w:val="006C05BF"/>
    <w:rsid w:val="006C1097"/>
    <w:rsid w:val="006C11F8"/>
    <w:rsid w:val="006C1239"/>
    <w:rsid w:val="006C24FE"/>
    <w:rsid w:val="006C25E6"/>
    <w:rsid w:val="006C2D1A"/>
    <w:rsid w:val="006C2ECE"/>
    <w:rsid w:val="006C301D"/>
    <w:rsid w:val="006C35F1"/>
    <w:rsid w:val="006C3704"/>
    <w:rsid w:val="006C3ABB"/>
    <w:rsid w:val="006C3E40"/>
    <w:rsid w:val="006C4493"/>
    <w:rsid w:val="006C487B"/>
    <w:rsid w:val="006C4894"/>
    <w:rsid w:val="006C48C3"/>
    <w:rsid w:val="006C4C2D"/>
    <w:rsid w:val="006C4F14"/>
    <w:rsid w:val="006C6082"/>
    <w:rsid w:val="006C63D6"/>
    <w:rsid w:val="006C7E66"/>
    <w:rsid w:val="006D0345"/>
    <w:rsid w:val="006D0432"/>
    <w:rsid w:val="006D21B7"/>
    <w:rsid w:val="006D23A5"/>
    <w:rsid w:val="006D3106"/>
    <w:rsid w:val="006D3300"/>
    <w:rsid w:val="006D3464"/>
    <w:rsid w:val="006D3955"/>
    <w:rsid w:val="006D43FA"/>
    <w:rsid w:val="006D45D1"/>
    <w:rsid w:val="006D4877"/>
    <w:rsid w:val="006D4E8A"/>
    <w:rsid w:val="006D4F12"/>
    <w:rsid w:val="006D53B8"/>
    <w:rsid w:val="006D55C1"/>
    <w:rsid w:val="006D5774"/>
    <w:rsid w:val="006D6028"/>
    <w:rsid w:val="006D7786"/>
    <w:rsid w:val="006E023C"/>
    <w:rsid w:val="006E036C"/>
    <w:rsid w:val="006E0620"/>
    <w:rsid w:val="006E0CD9"/>
    <w:rsid w:val="006E0EA9"/>
    <w:rsid w:val="006E0F84"/>
    <w:rsid w:val="006E0FCF"/>
    <w:rsid w:val="006E157D"/>
    <w:rsid w:val="006E1F3B"/>
    <w:rsid w:val="006E2815"/>
    <w:rsid w:val="006E284F"/>
    <w:rsid w:val="006E2BB3"/>
    <w:rsid w:val="006E2D8A"/>
    <w:rsid w:val="006E2EE7"/>
    <w:rsid w:val="006E384E"/>
    <w:rsid w:val="006E40A8"/>
    <w:rsid w:val="006E4185"/>
    <w:rsid w:val="006E49FB"/>
    <w:rsid w:val="006E4A65"/>
    <w:rsid w:val="006E51C7"/>
    <w:rsid w:val="006E5460"/>
    <w:rsid w:val="006E56FE"/>
    <w:rsid w:val="006E5FAD"/>
    <w:rsid w:val="006E687F"/>
    <w:rsid w:val="006E6BBC"/>
    <w:rsid w:val="006E6BE1"/>
    <w:rsid w:val="006E735D"/>
    <w:rsid w:val="006E7FAA"/>
    <w:rsid w:val="006F0423"/>
    <w:rsid w:val="006F0860"/>
    <w:rsid w:val="006F0D78"/>
    <w:rsid w:val="006F1387"/>
    <w:rsid w:val="006F28AC"/>
    <w:rsid w:val="006F2BB8"/>
    <w:rsid w:val="006F2C94"/>
    <w:rsid w:val="006F2E21"/>
    <w:rsid w:val="006F324A"/>
    <w:rsid w:val="006F34E2"/>
    <w:rsid w:val="006F3533"/>
    <w:rsid w:val="006F3D74"/>
    <w:rsid w:val="006F3F9E"/>
    <w:rsid w:val="006F45FC"/>
    <w:rsid w:val="006F4A3F"/>
    <w:rsid w:val="006F4A41"/>
    <w:rsid w:val="006F4AB5"/>
    <w:rsid w:val="006F4C67"/>
    <w:rsid w:val="006F5031"/>
    <w:rsid w:val="006F5356"/>
    <w:rsid w:val="006F5659"/>
    <w:rsid w:val="006F5732"/>
    <w:rsid w:val="006F5764"/>
    <w:rsid w:val="006F5AEE"/>
    <w:rsid w:val="006F61FA"/>
    <w:rsid w:val="006F64BC"/>
    <w:rsid w:val="006F6586"/>
    <w:rsid w:val="006F669D"/>
    <w:rsid w:val="006F6A66"/>
    <w:rsid w:val="006F6B04"/>
    <w:rsid w:val="006F6B41"/>
    <w:rsid w:val="006F6DA1"/>
    <w:rsid w:val="006F75B8"/>
    <w:rsid w:val="006F7E7D"/>
    <w:rsid w:val="00700643"/>
    <w:rsid w:val="007021A9"/>
    <w:rsid w:val="00702282"/>
    <w:rsid w:val="007024DC"/>
    <w:rsid w:val="00702CCC"/>
    <w:rsid w:val="007037C0"/>
    <w:rsid w:val="00703A49"/>
    <w:rsid w:val="00703FFF"/>
    <w:rsid w:val="00704513"/>
    <w:rsid w:val="0070525D"/>
    <w:rsid w:val="0070530E"/>
    <w:rsid w:val="007053C9"/>
    <w:rsid w:val="007058C9"/>
    <w:rsid w:val="007058FF"/>
    <w:rsid w:val="00705C9E"/>
    <w:rsid w:val="007065A6"/>
    <w:rsid w:val="00706862"/>
    <w:rsid w:val="00706870"/>
    <w:rsid w:val="00706914"/>
    <w:rsid w:val="00706AC2"/>
    <w:rsid w:val="00706DF0"/>
    <w:rsid w:val="00707D47"/>
    <w:rsid w:val="00707DCD"/>
    <w:rsid w:val="00707EDF"/>
    <w:rsid w:val="00710041"/>
    <w:rsid w:val="00710313"/>
    <w:rsid w:val="0071098F"/>
    <w:rsid w:val="0071180A"/>
    <w:rsid w:val="007121CA"/>
    <w:rsid w:val="0071239B"/>
    <w:rsid w:val="00712E9A"/>
    <w:rsid w:val="00713173"/>
    <w:rsid w:val="00713622"/>
    <w:rsid w:val="00713656"/>
    <w:rsid w:val="00713723"/>
    <w:rsid w:val="00713A54"/>
    <w:rsid w:val="00713A76"/>
    <w:rsid w:val="00713AEA"/>
    <w:rsid w:val="00714A53"/>
    <w:rsid w:val="00714FBD"/>
    <w:rsid w:val="00715F27"/>
    <w:rsid w:val="00716669"/>
    <w:rsid w:val="00716769"/>
    <w:rsid w:val="00716867"/>
    <w:rsid w:val="00716BA7"/>
    <w:rsid w:val="00716C89"/>
    <w:rsid w:val="00716E02"/>
    <w:rsid w:val="00717542"/>
    <w:rsid w:val="007175A5"/>
    <w:rsid w:val="00717E0A"/>
    <w:rsid w:val="00717E15"/>
    <w:rsid w:val="00717EAE"/>
    <w:rsid w:val="007200DF"/>
    <w:rsid w:val="00720319"/>
    <w:rsid w:val="007204A6"/>
    <w:rsid w:val="007209FC"/>
    <w:rsid w:val="00720B1D"/>
    <w:rsid w:val="00720B3C"/>
    <w:rsid w:val="00720F58"/>
    <w:rsid w:val="0072105E"/>
    <w:rsid w:val="007216DB"/>
    <w:rsid w:val="0072193D"/>
    <w:rsid w:val="00721A6D"/>
    <w:rsid w:val="00721BBE"/>
    <w:rsid w:val="00721CDE"/>
    <w:rsid w:val="00722686"/>
    <w:rsid w:val="00722781"/>
    <w:rsid w:val="00722FE8"/>
    <w:rsid w:val="00724C14"/>
    <w:rsid w:val="00724CE7"/>
    <w:rsid w:val="00725F07"/>
    <w:rsid w:val="00725F41"/>
    <w:rsid w:val="00726003"/>
    <w:rsid w:val="00726383"/>
    <w:rsid w:val="0072656D"/>
    <w:rsid w:val="00726A31"/>
    <w:rsid w:val="00726E67"/>
    <w:rsid w:val="00727BDA"/>
    <w:rsid w:val="0073025B"/>
    <w:rsid w:val="0073088B"/>
    <w:rsid w:val="00731B69"/>
    <w:rsid w:val="007322ED"/>
    <w:rsid w:val="0073248A"/>
    <w:rsid w:val="00732F79"/>
    <w:rsid w:val="00733427"/>
    <w:rsid w:val="00733578"/>
    <w:rsid w:val="00733872"/>
    <w:rsid w:val="00733A6A"/>
    <w:rsid w:val="0073458A"/>
    <w:rsid w:val="007350DD"/>
    <w:rsid w:val="00735263"/>
    <w:rsid w:val="0073542A"/>
    <w:rsid w:val="00735581"/>
    <w:rsid w:val="007356A9"/>
    <w:rsid w:val="00735C64"/>
    <w:rsid w:val="00736011"/>
    <w:rsid w:val="007363B2"/>
    <w:rsid w:val="00736DAF"/>
    <w:rsid w:val="007370B5"/>
    <w:rsid w:val="007370B9"/>
    <w:rsid w:val="00737987"/>
    <w:rsid w:val="00737C57"/>
    <w:rsid w:val="00737C8F"/>
    <w:rsid w:val="00737F1E"/>
    <w:rsid w:val="0074000C"/>
    <w:rsid w:val="007405C9"/>
    <w:rsid w:val="007419E6"/>
    <w:rsid w:val="00742695"/>
    <w:rsid w:val="007428E3"/>
    <w:rsid w:val="00742E73"/>
    <w:rsid w:val="00742F8A"/>
    <w:rsid w:val="00743BB7"/>
    <w:rsid w:val="00743C02"/>
    <w:rsid w:val="00743C98"/>
    <w:rsid w:val="0074412F"/>
    <w:rsid w:val="00744885"/>
    <w:rsid w:val="00744AB8"/>
    <w:rsid w:val="00744C32"/>
    <w:rsid w:val="00745355"/>
    <w:rsid w:val="0074539F"/>
    <w:rsid w:val="007453BA"/>
    <w:rsid w:val="00745505"/>
    <w:rsid w:val="007459E3"/>
    <w:rsid w:val="00746045"/>
    <w:rsid w:val="007467CC"/>
    <w:rsid w:val="0074683C"/>
    <w:rsid w:val="007469A6"/>
    <w:rsid w:val="00746B9B"/>
    <w:rsid w:val="00746DFA"/>
    <w:rsid w:val="00746E92"/>
    <w:rsid w:val="00746FD0"/>
    <w:rsid w:val="00747667"/>
    <w:rsid w:val="0075014B"/>
    <w:rsid w:val="0075083F"/>
    <w:rsid w:val="00750A12"/>
    <w:rsid w:val="00750B4B"/>
    <w:rsid w:val="00750BD5"/>
    <w:rsid w:val="00751117"/>
    <w:rsid w:val="00751331"/>
    <w:rsid w:val="007516EE"/>
    <w:rsid w:val="00751A03"/>
    <w:rsid w:val="00751A3D"/>
    <w:rsid w:val="0075226C"/>
    <w:rsid w:val="00752A3C"/>
    <w:rsid w:val="00752BBA"/>
    <w:rsid w:val="00752C3D"/>
    <w:rsid w:val="00752F46"/>
    <w:rsid w:val="00752FEA"/>
    <w:rsid w:val="00754354"/>
    <w:rsid w:val="00754C87"/>
    <w:rsid w:val="00754D08"/>
    <w:rsid w:val="0075569F"/>
    <w:rsid w:val="0075596B"/>
    <w:rsid w:val="00755D26"/>
    <w:rsid w:val="00756347"/>
    <w:rsid w:val="007570BE"/>
    <w:rsid w:val="00757183"/>
    <w:rsid w:val="00757571"/>
    <w:rsid w:val="007575AB"/>
    <w:rsid w:val="00757621"/>
    <w:rsid w:val="00757B40"/>
    <w:rsid w:val="00757DAB"/>
    <w:rsid w:val="00760172"/>
    <w:rsid w:val="007604D5"/>
    <w:rsid w:val="007617AF"/>
    <w:rsid w:val="00761EEF"/>
    <w:rsid w:val="00762008"/>
    <w:rsid w:val="0076209A"/>
    <w:rsid w:val="00762315"/>
    <w:rsid w:val="00762980"/>
    <w:rsid w:val="00763E1F"/>
    <w:rsid w:val="0076436E"/>
    <w:rsid w:val="00765492"/>
    <w:rsid w:val="007658AB"/>
    <w:rsid w:val="00765E0F"/>
    <w:rsid w:val="007663C8"/>
    <w:rsid w:val="00766697"/>
    <w:rsid w:val="00766FA0"/>
    <w:rsid w:val="007671FD"/>
    <w:rsid w:val="007706CB"/>
    <w:rsid w:val="0077072B"/>
    <w:rsid w:val="007707D5"/>
    <w:rsid w:val="00770910"/>
    <w:rsid w:val="00770C41"/>
    <w:rsid w:val="007710BF"/>
    <w:rsid w:val="007710C2"/>
    <w:rsid w:val="00771F5E"/>
    <w:rsid w:val="0077269B"/>
    <w:rsid w:val="00772781"/>
    <w:rsid w:val="00772F25"/>
    <w:rsid w:val="0077359E"/>
    <w:rsid w:val="00773B26"/>
    <w:rsid w:val="00774AE2"/>
    <w:rsid w:val="00774BB5"/>
    <w:rsid w:val="00774D7D"/>
    <w:rsid w:val="00774E27"/>
    <w:rsid w:val="00774F3E"/>
    <w:rsid w:val="00775C8A"/>
    <w:rsid w:val="0077622D"/>
    <w:rsid w:val="0077625D"/>
    <w:rsid w:val="007765E7"/>
    <w:rsid w:val="007771CF"/>
    <w:rsid w:val="00777ABA"/>
    <w:rsid w:val="00780083"/>
    <w:rsid w:val="00780698"/>
    <w:rsid w:val="00780CFC"/>
    <w:rsid w:val="00780DC7"/>
    <w:rsid w:val="0078159D"/>
    <w:rsid w:val="007816FF"/>
    <w:rsid w:val="0078187D"/>
    <w:rsid w:val="00782359"/>
    <w:rsid w:val="007823E7"/>
    <w:rsid w:val="00782581"/>
    <w:rsid w:val="007826F5"/>
    <w:rsid w:val="007827DB"/>
    <w:rsid w:val="00783242"/>
    <w:rsid w:val="007835BA"/>
    <w:rsid w:val="007835EF"/>
    <w:rsid w:val="00784304"/>
    <w:rsid w:val="00784587"/>
    <w:rsid w:val="00784760"/>
    <w:rsid w:val="007852BA"/>
    <w:rsid w:val="00785419"/>
    <w:rsid w:val="00785760"/>
    <w:rsid w:val="00785C6A"/>
    <w:rsid w:val="00785C84"/>
    <w:rsid w:val="00785EA6"/>
    <w:rsid w:val="0078672B"/>
    <w:rsid w:val="00786BA3"/>
    <w:rsid w:val="00786F8A"/>
    <w:rsid w:val="00787539"/>
    <w:rsid w:val="00787556"/>
    <w:rsid w:val="0078761B"/>
    <w:rsid w:val="00787BD0"/>
    <w:rsid w:val="00787BF4"/>
    <w:rsid w:val="00787D51"/>
    <w:rsid w:val="00787E79"/>
    <w:rsid w:val="00790F19"/>
    <w:rsid w:val="00791AFE"/>
    <w:rsid w:val="00792FC0"/>
    <w:rsid w:val="00793624"/>
    <w:rsid w:val="007937C0"/>
    <w:rsid w:val="00793D47"/>
    <w:rsid w:val="00794570"/>
    <w:rsid w:val="00795B4C"/>
    <w:rsid w:val="00795D85"/>
    <w:rsid w:val="00795E34"/>
    <w:rsid w:val="007960F1"/>
    <w:rsid w:val="00796163"/>
    <w:rsid w:val="00796764"/>
    <w:rsid w:val="00797364"/>
    <w:rsid w:val="007A0477"/>
    <w:rsid w:val="007A05E5"/>
    <w:rsid w:val="007A06E7"/>
    <w:rsid w:val="007A0C48"/>
    <w:rsid w:val="007A15B7"/>
    <w:rsid w:val="007A1ADF"/>
    <w:rsid w:val="007A2600"/>
    <w:rsid w:val="007A2B5A"/>
    <w:rsid w:val="007A3270"/>
    <w:rsid w:val="007A34B9"/>
    <w:rsid w:val="007A3BE4"/>
    <w:rsid w:val="007A4461"/>
    <w:rsid w:val="007A4486"/>
    <w:rsid w:val="007A4834"/>
    <w:rsid w:val="007A4921"/>
    <w:rsid w:val="007A4A0B"/>
    <w:rsid w:val="007A4DAA"/>
    <w:rsid w:val="007A4E1F"/>
    <w:rsid w:val="007A4EB8"/>
    <w:rsid w:val="007A5582"/>
    <w:rsid w:val="007A55FF"/>
    <w:rsid w:val="007A5893"/>
    <w:rsid w:val="007A5F12"/>
    <w:rsid w:val="007A5F50"/>
    <w:rsid w:val="007A616B"/>
    <w:rsid w:val="007A62B4"/>
    <w:rsid w:val="007A7096"/>
    <w:rsid w:val="007A7C21"/>
    <w:rsid w:val="007A7F1C"/>
    <w:rsid w:val="007A7FF7"/>
    <w:rsid w:val="007B0316"/>
    <w:rsid w:val="007B0676"/>
    <w:rsid w:val="007B08CD"/>
    <w:rsid w:val="007B1343"/>
    <w:rsid w:val="007B1636"/>
    <w:rsid w:val="007B194F"/>
    <w:rsid w:val="007B1C5D"/>
    <w:rsid w:val="007B23A6"/>
    <w:rsid w:val="007B2764"/>
    <w:rsid w:val="007B2B29"/>
    <w:rsid w:val="007B2EAD"/>
    <w:rsid w:val="007B31F1"/>
    <w:rsid w:val="007B3495"/>
    <w:rsid w:val="007B3BD6"/>
    <w:rsid w:val="007B3BE7"/>
    <w:rsid w:val="007B3FE0"/>
    <w:rsid w:val="007B422D"/>
    <w:rsid w:val="007B4C56"/>
    <w:rsid w:val="007B519F"/>
    <w:rsid w:val="007B529F"/>
    <w:rsid w:val="007B5602"/>
    <w:rsid w:val="007B5A97"/>
    <w:rsid w:val="007B5CA6"/>
    <w:rsid w:val="007B6166"/>
    <w:rsid w:val="007B6460"/>
    <w:rsid w:val="007B6744"/>
    <w:rsid w:val="007B7120"/>
    <w:rsid w:val="007B721A"/>
    <w:rsid w:val="007B729A"/>
    <w:rsid w:val="007B7597"/>
    <w:rsid w:val="007B76AA"/>
    <w:rsid w:val="007B78BA"/>
    <w:rsid w:val="007B7A04"/>
    <w:rsid w:val="007B7B19"/>
    <w:rsid w:val="007B7BDD"/>
    <w:rsid w:val="007C006A"/>
    <w:rsid w:val="007C0C33"/>
    <w:rsid w:val="007C1B0C"/>
    <w:rsid w:val="007C1BD1"/>
    <w:rsid w:val="007C1BE0"/>
    <w:rsid w:val="007C21E4"/>
    <w:rsid w:val="007C22C0"/>
    <w:rsid w:val="007C2AE6"/>
    <w:rsid w:val="007C2D54"/>
    <w:rsid w:val="007C2F46"/>
    <w:rsid w:val="007C31B3"/>
    <w:rsid w:val="007C33B5"/>
    <w:rsid w:val="007C367D"/>
    <w:rsid w:val="007C3853"/>
    <w:rsid w:val="007C38DD"/>
    <w:rsid w:val="007C3F4D"/>
    <w:rsid w:val="007C40FB"/>
    <w:rsid w:val="007C486F"/>
    <w:rsid w:val="007C4B30"/>
    <w:rsid w:val="007C5180"/>
    <w:rsid w:val="007C576D"/>
    <w:rsid w:val="007C5F5D"/>
    <w:rsid w:val="007C607F"/>
    <w:rsid w:val="007C6494"/>
    <w:rsid w:val="007C6E66"/>
    <w:rsid w:val="007C6F8F"/>
    <w:rsid w:val="007C75E3"/>
    <w:rsid w:val="007C7CDE"/>
    <w:rsid w:val="007C7E90"/>
    <w:rsid w:val="007D000C"/>
    <w:rsid w:val="007D04F0"/>
    <w:rsid w:val="007D04F3"/>
    <w:rsid w:val="007D073F"/>
    <w:rsid w:val="007D1630"/>
    <w:rsid w:val="007D1B2D"/>
    <w:rsid w:val="007D1E9A"/>
    <w:rsid w:val="007D2222"/>
    <w:rsid w:val="007D25F9"/>
    <w:rsid w:val="007D2764"/>
    <w:rsid w:val="007D298D"/>
    <w:rsid w:val="007D2CDA"/>
    <w:rsid w:val="007D32A3"/>
    <w:rsid w:val="007D33D9"/>
    <w:rsid w:val="007D34EA"/>
    <w:rsid w:val="007D3661"/>
    <w:rsid w:val="007D46DC"/>
    <w:rsid w:val="007D4C5B"/>
    <w:rsid w:val="007D5648"/>
    <w:rsid w:val="007D6080"/>
    <w:rsid w:val="007D73BC"/>
    <w:rsid w:val="007D7959"/>
    <w:rsid w:val="007D7FD1"/>
    <w:rsid w:val="007E0CB9"/>
    <w:rsid w:val="007E0EEC"/>
    <w:rsid w:val="007E1626"/>
    <w:rsid w:val="007E197E"/>
    <w:rsid w:val="007E20FE"/>
    <w:rsid w:val="007E2EA9"/>
    <w:rsid w:val="007E2F43"/>
    <w:rsid w:val="007E3272"/>
    <w:rsid w:val="007E3589"/>
    <w:rsid w:val="007E3B1E"/>
    <w:rsid w:val="007E3CB6"/>
    <w:rsid w:val="007E3D3E"/>
    <w:rsid w:val="007E49EA"/>
    <w:rsid w:val="007E4CCD"/>
    <w:rsid w:val="007E4E24"/>
    <w:rsid w:val="007E52B8"/>
    <w:rsid w:val="007E6468"/>
    <w:rsid w:val="007E67DE"/>
    <w:rsid w:val="007E6BA3"/>
    <w:rsid w:val="007E6C9D"/>
    <w:rsid w:val="007E6CA7"/>
    <w:rsid w:val="007E7361"/>
    <w:rsid w:val="007E76C9"/>
    <w:rsid w:val="007E7795"/>
    <w:rsid w:val="007E77A2"/>
    <w:rsid w:val="007E7AF6"/>
    <w:rsid w:val="007E7D77"/>
    <w:rsid w:val="007F00F5"/>
    <w:rsid w:val="007F0209"/>
    <w:rsid w:val="007F0405"/>
    <w:rsid w:val="007F12B6"/>
    <w:rsid w:val="007F1367"/>
    <w:rsid w:val="007F14FC"/>
    <w:rsid w:val="007F1783"/>
    <w:rsid w:val="007F1DFE"/>
    <w:rsid w:val="007F2154"/>
    <w:rsid w:val="007F222F"/>
    <w:rsid w:val="007F2B01"/>
    <w:rsid w:val="007F2F28"/>
    <w:rsid w:val="007F3178"/>
    <w:rsid w:val="007F3193"/>
    <w:rsid w:val="007F33E1"/>
    <w:rsid w:val="007F387A"/>
    <w:rsid w:val="007F4A30"/>
    <w:rsid w:val="007F4C6A"/>
    <w:rsid w:val="007F550F"/>
    <w:rsid w:val="007F57FA"/>
    <w:rsid w:val="007F5CD4"/>
    <w:rsid w:val="007F60B9"/>
    <w:rsid w:val="007F61FB"/>
    <w:rsid w:val="007F6213"/>
    <w:rsid w:val="007F6236"/>
    <w:rsid w:val="007F6274"/>
    <w:rsid w:val="007F6B92"/>
    <w:rsid w:val="007F6B9C"/>
    <w:rsid w:val="007F7671"/>
    <w:rsid w:val="007F76DE"/>
    <w:rsid w:val="007F7B2D"/>
    <w:rsid w:val="008002AE"/>
    <w:rsid w:val="00800AAF"/>
    <w:rsid w:val="00800F3B"/>
    <w:rsid w:val="00801369"/>
    <w:rsid w:val="0080193B"/>
    <w:rsid w:val="00801977"/>
    <w:rsid w:val="008020E8"/>
    <w:rsid w:val="0080234A"/>
    <w:rsid w:val="00802696"/>
    <w:rsid w:val="008028A2"/>
    <w:rsid w:val="00802C83"/>
    <w:rsid w:val="00802F64"/>
    <w:rsid w:val="00803181"/>
    <w:rsid w:val="008037BC"/>
    <w:rsid w:val="00804858"/>
    <w:rsid w:val="0080509A"/>
    <w:rsid w:val="008053DF"/>
    <w:rsid w:val="00805CED"/>
    <w:rsid w:val="00805D4A"/>
    <w:rsid w:val="008067A3"/>
    <w:rsid w:val="0080693A"/>
    <w:rsid w:val="00807CFE"/>
    <w:rsid w:val="008100AA"/>
    <w:rsid w:val="00810425"/>
    <w:rsid w:val="008105F8"/>
    <w:rsid w:val="00810DDA"/>
    <w:rsid w:val="00810F02"/>
    <w:rsid w:val="00811047"/>
    <w:rsid w:val="008117F3"/>
    <w:rsid w:val="00811A64"/>
    <w:rsid w:val="008120ED"/>
    <w:rsid w:val="00812346"/>
    <w:rsid w:val="008124E8"/>
    <w:rsid w:val="00812B02"/>
    <w:rsid w:val="008135B6"/>
    <w:rsid w:val="008136A5"/>
    <w:rsid w:val="0081395C"/>
    <w:rsid w:val="0081430E"/>
    <w:rsid w:val="00815102"/>
    <w:rsid w:val="008153BE"/>
    <w:rsid w:val="00815877"/>
    <w:rsid w:val="008159BD"/>
    <w:rsid w:val="008163D4"/>
    <w:rsid w:val="00816586"/>
    <w:rsid w:val="00817056"/>
    <w:rsid w:val="0081742C"/>
    <w:rsid w:val="0081757A"/>
    <w:rsid w:val="00817BEC"/>
    <w:rsid w:val="00820257"/>
    <w:rsid w:val="00820E88"/>
    <w:rsid w:val="00821A75"/>
    <w:rsid w:val="00821EEF"/>
    <w:rsid w:val="00821F09"/>
    <w:rsid w:val="00822137"/>
    <w:rsid w:val="008226E9"/>
    <w:rsid w:val="00822BD3"/>
    <w:rsid w:val="00822CA9"/>
    <w:rsid w:val="0082338C"/>
    <w:rsid w:val="008238FB"/>
    <w:rsid w:val="0082416B"/>
    <w:rsid w:val="0082425E"/>
    <w:rsid w:val="0082426D"/>
    <w:rsid w:val="00824D2F"/>
    <w:rsid w:val="0082516C"/>
    <w:rsid w:val="008254C9"/>
    <w:rsid w:val="00825620"/>
    <w:rsid w:val="0082666F"/>
    <w:rsid w:val="0082675D"/>
    <w:rsid w:val="00826918"/>
    <w:rsid w:val="008272BB"/>
    <w:rsid w:val="008272D4"/>
    <w:rsid w:val="008272F9"/>
    <w:rsid w:val="00827519"/>
    <w:rsid w:val="0082780A"/>
    <w:rsid w:val="008279D6"/>
    <w:rsid w:val="00830024"/>
    <w:rsid w:val="008302D9"/>
    <w:rsid w:val="00830A26"/>
    <w:rsid w:val="00830CE7"/>
    <w:rsid w:val="00831232"/>
    <w:rsid w:val="00831A9B"/>
    <w:rsid w:val="008320F0"/>
    <w:rsid w:val="0083250B"/>
    <w:rsid w:val="008325E0"/>
    <w:rsid w:val="00832645"/>
    <w:rsid w:val="0083319A"/>
    <w:rsid w:val="008331FF"/>
    <w:rsid w:val="00833552"/>
    <w:rsid w:val="00833BA7"/>
    <w:rsid w:val="00833E2D"/>
    <w:rsid w:val="008341B6"/>
    <w:rsid w:val="0083479F"/>
    <w:rsid w:val="00834841"/>
    <w:rsid w:val="008350AD"/>
    <w:rsid w:val="00835A0F"/>
    <w:rsid w:val="00836C23"/>
    <w:rsid w:val="00836C45"/>
    <w:rsid w:val="0083716B"/>
    <w:rsid w:val="008372C8"/>
    <w:rsid w:val="008379EA"/>
    <w:rsid w:val="00837B3A"/>
    <w:rsid w:val="008407A9"/>
    <w:rsid w:val="00841362"/>
    <w:rsid w:val="00841793"/>
    <w:rsid w:val="008418A6"/>
    <w:rsid w:val="00842122"/>
    <w:rsid w:val="00842211"/>
    <w:rsid w:val="00842567"/>
    <w:rsid w:val="00842CE5"/>
    <w:rsid w:val="008431F5"/>
    <w:rsid w:val="00843AB6"/>
    <w:rsid w:val="00843BEC"/>
    <w:rsid w:val="00844916"/>
    <w:rsid w:val="00844BA4"/>
    <w:rsid w:val="00844BF7"/>
    <w:rsid w:val="00845309"/>
    <w:rsid w:val="008453E2"/>
    <w:rsid w:val="00845741"/>
    <w:rsid w:val="008458E2"/>
    <w:rsid w:val="00845916"/>
    <w:rsid w:val="008464E0"/>
    <w:rsid w:val="00846A9A"/>
    <w:rsid w:val="0084704E"/>
    <w:rsid w:val="00847221"/>
    <w:rsid w:val="00847252"/>
    <w:rsid w:val="008472D5"/>
    <w:rsid w:val="00847333"/>
    <w:rsid w:val="00847DF6"/>
    <w:rsid w:val="00850B96"/>
    <w:rsid w:val="00850BD9"/>
    <w:rsid w:val="00850BDC"/>
    <w:rsid w:val="008511B2"/>
    <w:rsid w:val="008517B1"/>
    <w:rsid w:val="0085180D"/>
    <w:rsid w:val="00851812"/>
    <w:rsid w:val="008519E9"/>
    <w:rsid w:val="00851D6A"/>
    <w:rsid w:val="00851FF9"/>
    <w:rsid w:val="00852CB5"/>
    <w:rsid w:val="00852E46"/>
    <w:rsid w:val="00852E97"/>
    <w:rsid w:val="00852EA1"/>
    <w:rsid w:val="00853326"/>
    <w:rsid w:val="00853946"/>
    <w:rsid w:val="00853DFC"/>
    <w:rsid w:val="00853E31"/>
    <w:rsid w:val="008542F5"/>
    <w:rsid w:val="00854D38"/>
    <w:rsid w:val="00855577"/>
    <w:rsid w:val="0085589A"/>
    <w:rsid w:val="00855A01"/>
    <w:rsid w:val="00855B26"/>
    <w:rsid w:val="00855B62"/>
    <w:rsid w:val="00855C16"/>
    <w:rsid w:val="00856055"/>
    <w:rsid w:val="00856531"/>
    <w:rsid w:val="00856FA1"/>
    <w:rsid w:val="00857534"/>
    <w:rsid w:val="0085770E"/>
    <w:rsid w:val="00860400"/>
    <w:rsid w:val="008608F9"/>
    <w:rsid w:val="0086102A"/>
    <w:rsid w:val="008610FA"/>
    <w:rsid w:val="00861585"/>
    <w:rsid w:val="008620B0"/>
    <w:rsid w:val="008623DB"/>
    <w:rsid w:val="0086254D"/>
    <w:rsid w:val="0086276E"/>
    <w:rsid w:val="0086279C"/>
    <w:rsid w:val="00862C73"/>
    <w:rsid w:val="00863FE0"/>
    <w:rsid w:val="008649D2"/>
    <w:rsid w:val="008652A8"/>
    <w:rsid w:val="008655FC"/>
    <w:rsid w:val="00865EA5"/>
    <w:rsid w:val="0086619C"/>
    <w:rsid w:val="008661C0"/>
    <w:rsid w:val="008675C4"/>
    <w:rsid w:val="008676DA"/>
    <w:rsid w:val="008677FD"/>
    <w:rsid w:val="00867A53"/>
    <w:rsid w:val="00867FB0"/>
    <w:rsid w:val="008706EF"/>
    <w:rsid w:val="00870853"/>
    <w:rsid w:val="00870BB8"/>
    <w:rsid w:val="00870E53"/>
    <w:rsid w:val="008713D2"/>
    <w:rsid w:val="00871AC1"/>
    <w:rsid w:val="00871DF1"/>
    <w:rsid w:val="00872DC6"/>
    <w:rsid w:val="0087300D"/>
    <w:rsid w:val="008742DC"/>
    <w:rsid w:val="008743EE"/>
    <w:rsid w:val="0087520C"/>
    <w:rsid w:val="00875615"/>
    <w:rsid w:val="00875746"/>
    <w:rsid w:val="00875A7E"/>
    <w:rsid w:val="00875C4A"/>
    <w:rsid w:val="00876816"/>
    <w:rsid w:val="00876833"/>
    <w:rsid w:val="00876EDD"/>
    <w:rsid w:val="00877575"/>
    <w:rsid w:val="008775EE"/>
    <w:rsid w:val="008776DD"/>
    <w:rsid w:val="00877F4A"/>
    <w:rsid w:val="00880C22"/>
    <w:rsid w:val="008810F1"/>
    <w:rsid w:val="00881463"/>
    <w:rsid w:val="00881B57"/>
    <w:rsid w:val="008821B4"/>
    <w:rsid w:val="00882763"/>
    <w:rsid w:val="00883FA8"/>
    <w:rsid w:val="00883FEC"/>
    <w:rsid w:val="008841E6"/>
    <w:rsid w:val="0088458C"/>
    <w:rsid w:val="00884622"/>
    <w:rsid w:val="0088468C"/>
    <w:rsid w:val="00884955"/>
    <w:rsid w:val="00884DA5"/>
    <w:rsid w:val="008853BF"/>
    <w:rsid w:val="0088558A"/>
    <w:rsid w:val="00885851"/>
    <w:rsid w:val="00885F92"/>
    <w:rsid w:val="00885FA5"/>
    <w:rsid w:val="008862B9"/>
    <w:rsid w:val="00886696"/>
    <w:rsid w:val="0088670F"/>
    <w:rsid w:val="00886D14"/>
    <w:rsid w:val="00886FAA"/>
    <w:rsid w:val="0088704D"/>
    <w:rsid w:val="008871A2"/>
    <w:rsid w:val="00887235"/>
    <w:rsid w:val="00887288"/>
    <w:rsid w:val="008872E1"/>
    <w:rsid w:val="00887949"/>
    <w:rsid w:val="00890373"/>
    <w:rsid w:val="00890D5F"/>
    <w:rsid w:val="00891319"/>
    <w:rsid w:val="00891378"/>
    <w:rsid w:val="00891F45"/>
    <w:rsid w:val="00891F9C"/>
    <w:rsid w:val="008929D7"/>
    <w:rsid w:val="00892A2C"/>
    <w:rsid w:val="00892B1C"/>
    <w:rsid w:val="00893AA4"/>
    <w:rsid w:val="00893CDE"/>
    <w:rsid w:val="00894117"/>
    <w:rsid w:val="008948DC"/>
    <w:rsid w:val="008948F1"/>
    <w:rsid w:val="00894A39"/>
    <w:rsid w:val="00894E5E"/>
    <w:rsid w:val="00895828"/>
    <w:rsid w:val="00896645"/>
    <w:rsid w:val="00896C8C"/>
    <w:rsid w:val="00897499"/>
    <w:rsid w:val="0089749E"/>
    <w:rsid w:val="00897724"/>
    <w:rsid w:val="00897FDF"/>
    <w:rsid w:val="008A017A"/>
    <w:rsid w:val="008A08EB"/>
    <w:rsid w:val="008A167E"/>
    <w:rsid w:val="008A1E61"/>
    <w:rsid w:val="008A29D4"/>
    <w:rsid w:val="008A32E6"/>
    <w:rsid w:val="008A3603"/>
    <w:rsid w:val="008A3BD5"/>
    <w:rsid w:val="008A44B4"/>
    <w:rsid w:val="008A4B66"/>
    <w:rsid w:val="008A592E"/>
    <w:rsid w:val="008A5B99"/>
    <w:rsid w:val="008A5BF6"/>
    <w:rsid w:val="008A5C37"/>
    <w:rsid w:val="008A5EB9"/>
    <w:rsid w:val="008A6532"/>
    <w:rsid w:val="008A6651"/>
    <w:rsid w:val="008A787A"/>
    <w:rsid w:val="008B024E"/>
    <w:rsid w:val="008B0524"/>
    <w:rsid w:val="008B054D"/>
    <w:rsid w:val="008B06B4"/>
    <w:rsid w:val="008B0847"/>
    <w:rsid w:val="008B0E31"/>
    <w:rsid w:val="008B10DD"/>
    <w:rsid w:val="008B12DD"/>
    <w:rsid w:val="008B173F"/>
    <w:rsid w:val="008B20B5"/>
    <w:rsid w:val="008B22BA"/>
    <w:rsid w:val="008B23F5"/>
    <w:rsid w:val="008B2881"/>
    <w:rsid w:val="008B2AD8"/>
    <w:rsid w:val="008B3605"/>
    <w:rsid w:val="008B3B5B"/>
    <w:rsid w:val="008B3C58"/>
    <w:rsid w:val="008B3D1D"/>
    <w:rsid w:val="008B41A2"/>
    <w:rsid w:val="008B4309"/>
    <w:rsid w:val="008B4CA7"/>
    <w:rsid w:val="008B4DB9"/>
    <w:rsid w:val="008B519A"/>
    <w:rsid w:val="008B55F1"/>
    <w:rsid w:val="008B569A"/>
    <w:rsid w:val="008B5749"/>
    <w:rsid w:val="008B5F6E"/>
    <w:rsid w:val="008B62C4"/>
    <w:rsid w:val="008B6369"/>
    <w:rsid w:val="008B6470"/>
    <w:rsid w:val="008B6745"/>
    <w:rsid w:val="008B69E0"/>
    <w:rsid w:val="008B7390"/>
    <w:rsid w:val="008B7C50"/>
    <w:rsid w:val="008C00BE"/>
    <w:rsid w:val="008C0FBA"/>
    <w:rsid w:val="008C1467"/>
    <w:rsid w:val="008C17C4"/>
    <w:rsid w:val="008C1A67"/>
    <w:rsid w:val="008C1F83"/>
    <w:rsid w:val="008C23FF"/>
    <w:rsid w:val="008C2503"/>
    <w:rsid w:val="008C2772"/>
    <w:rsid w:val="008C296B"/>
    <w:rsid w:val="008C2F2A"/>
    <w:rsid w:val="008C32D6"/>
    <w:rsid w:val="008C3513"/>
    <w:rsid w:val="008C3831"/>
    <w:rsid w:val="008C38D1"/>
    <w:rsid w:val="008C39E4"/>
    <w:rsid w:val="008C3A69"/>
    <w:rsid w:val="008C3B68"/>
    <w:rsid w:val="008C3CD7"/>
    <w:rsid w:val="008C4363"/>
    <w:rsid w:val="008C47F1"/>
    <w:rsid w:val="008C4C53"/>
    <w:rsid w:val="008C4FC0"/>
    <w:rsid w:val="008C51C0"/>
    <w:rsid w:val="008C5D5C"/>
    <w:rsid w:val="008C671E"/>
    <w:rsid w:val="008C7380"/>
    <w:rsid w:val="008C7577"/>
    <w:rsid w:val="008C75D6"/>
    <w:rsid w:val="008C793B"/>
    <w:rsid w:val="008D0281"/>
    <w:rsid w:val="008D0341"/>
    <w:rsid w:val="008D0774"/>
    <w:rsid w:val="008D07B6"/>
    <w:rsid w:val="008D0968"/>
    <w:rsid w:val="008D09CE"/>
    <w:rsid w:val="008D0B4E"/>
    <w:rsid w:val="008D14CA"/>
    <w:rsid w:val="008D17A0"/>
    <w:rsid w:val="008D20F6"/>
    <w:rsid w:val="008D2553"/>
    <w:rsid w:val="008D2B96"/>
    <w:rsid w:val="008D3542"/>
    <w:rsid w:val="008D3A85"/>
    <w:rsid w:val="008D3FBD"/>
    <w:rsid w:val="008D4094"/>
    <w:rsid w:val="008D4612"/>
    <w:rsid w:val="008D46F9"/>
    <w:rsid w:val="008D470B"/>
    <w:rsid w:val="008D490C"/>
    <w:rsid w:val="008D4B31"/>
    <w:rsid w:val="008D4CC6"/>
    <w:rsid w:val="008D4E55"/>
    <w:rsid w:val="008D5779"/>
    <w:rsid w:val="008D58CA"/>
    <w:rsid w:val="008D5F4D"/>
    <w:rsid w:val="008D6234"/>
    <w:rsid w:val="008D6373"/>
    <w:rsid w:val="008D6379"/>
    <w:rsid w:val="008D63FF"/>
    <w:rsid w:val="008D643D"/>
    <w:rsid w:val="008D64C2"/>
    <w:rsid w:val="008D68AA"/>
    <w:rsid w:val="008D6D81"/>
    <w:rsid w:val="008D6DD4"/>
    <w:rsid w:val="008D7006"/>
    <w:rsid w:val="008D711D"/>
    <w:rsid w:val="008D7584"/>
    <w:rsid w:val="008D7DB0"/>
    <w:rsid w:val="008D7FF9"/>
    <w:rsid w:val="008E00BA"/>
    <w:rsid w:val="008E0A7D"/>
    <w:rsid w:val="008E134F"/>
    <w:rsid w:val="008E1776"/>
    <w:rsid w:val="008E179B"/>
    <w:rsid w:val="008E1B5C"/>
    <w:rsid w:val="008E1E12"/>
    <w:rsid w:val="008E1F6F"/>
    <w:rsid w:val="008E28E5"/>
    <w:rsid w:val="008E29EC"/>
    <w:rsid w:val="008E33FD"/>
    <w:rsid w:val="008E3D4C"/>
    <w:rsid w:val="008E3E7D"/>
    <w:rsid w:val="008E40CA"/>
    <w:rsid w:val="008E4C72"/>
    <w:rsid w:val="008E5232"/>
    <w:rsid w:val="008E5414"/>
    <w:rsid w:val="008E56FA"/>
    <w:rsid w:val="008E5F39"/>
    <w:rsid w:val="008E61E8"/>
    <w:rsid w:val="008E6B97"/>
    <w:rsid w:val="008E7064"/>
    <w:rsid w:val="008E71F7"/>
    <w:rsid w:val="008E7368"/>
    <w:rsid w:val="008E78E1"/>
    <w:rsid w:val="008E7A7A"/>
    <w:rsid w:val="008E7A87"/>
    <w:rsid w:val="008E7FE3"/>
    <w:rsid w:val="008F0B5E"/>
    <w:rsid w:val="008F1114"/>
    <w:rsid w:val="008F16CC"/>
    <w:rsid w:val="008F1AA6"/>
    <w:rsid w:val="008F1B17"/>
    <w:rsid w:val="008F2618"/>
    <w:rsid w:val="008F2871"/>
    <w:rsid w:val="008F2BDD"/>
    <w:rsid w:val="008F3305"/>
    <w:rsid w:val="008F3657"/>
    <w:rsid w:val="008F404F"/>
    <w:rsid w:val="008F521C"/>
    <w:rsid w:val="008F55C9"/>
    <w:rsid w:val="008F5A85"/>
    <w:rsid w:val="008F6682"/>
    <w:rsid w:val="008F6B18"/>
    <w:rsid w:val="008F7A2F"/>
    <w:rsid w:val="008F7B0A"/>
    <w:rsid w:val="009002BC"/>
    <w:rsid w:val="009011A5"/>
    <w:rsid w:val="009013A9"/>
    <w:rsid w:val="009016ED"/>
    <w:rsid w:val="00901705"/>
    <w:rsid w:val="00901F0D"/>
    <w:rsid w:val="00901F41"/>
    <w:rsid w:val="0090220B"/>
    <w:rsid w:val="009029E1"/>
    <w:rsid w:val="009031A6"/>
    <w:rsid w:val="009035D2"/>
    <w:rsid w:val="00903B18"/>
    <w:rsid w:val="00903B57"/>
    <w:rsid w:val="009043B0"/>
    <w:rsid w:val="00904C25"/>
    <w:rsid w:val="00905568"/>
    <w:rsid w:val="009055CD"/>
    <w:rsid w:val="009056AB"/>
    <w:rsid w:val="00905F77"/>
    <w:rsid w:val="00906142"/>
    <w:rsid w:val="009061E0"/>
    <w:rsid w:val="009068B9"/>
    <w:rsid w:val="0090720F"/>
    <w:rsid w:val="00907380"/>
    <w:rsid w:val="0090751B"/>
    <w:rsid w:val="00907973"/>
    <w:rsid w:val="00907F5A"/>
    <w:rsid w:val="009102EF"/>
    <w:rsid w:val="0091041E"/>
    <w:rsid w:val="00910B90"/>
    <w:rsid w:val="009111DA"/>
    <w:rsid w:val="00911CD6"/>
    <w:rsid w:val="009128B7"/>
    <w:rsid w:val="00912AC5"/>
    <w:rsid w:val="00912C07"/>
    <w:rsid w:val="0091324E"/>
    <w:rsid w:val="00913AE9"/>
    <w:rsid w:val="00913CC1"/>
    <w:rsid w:val="00913DCD"/>
    <w:rsid w:val="00914886"/>
    <w:rsid w:val="00914A63"/>
    <w:rsid w:val="00914D1D"/>
    <w:rsid w:val="009153D3"/>
    <w:rsid w:val="00915B36"/>
    <w:rsid w:val="00915FC7"/>
    <w:rsid w:val="00915FEE"/>
    <w:rsid w:val="009162EE"/>
    <w:rsid w:val="009164BB"/>
    <w:rsid w:val="009164D8"/>
    <w:rsid w:val="009165A8"/>
    <w:rsid w:val="0091710C"/>
    <w:rsid w:val="0091712E"/>
    <w:rsid w:val="009171A1"/>
    <w:rsid w:val="00917814"/>
    <w:rsid w:val="0091783C"/>
    <w:rsid w:val="00917C02"/>
    <w:rsid w:val="00917F58"/>
    <w:rsid w:val="00917F5A"/>
    <w:rsid w:val="0092017B"/>
    <w:rsid w:val="009206B0"/>
    <w:rsid w:val="0092084D"/>
    <w:rsid w:val="00920EF2"/>
    <w:rsid w:val="009215E1"/>
    <w:rsid w:val="00921766"/>
    <w:rsid w:val="009218BE"/>
    <w:rsid w:val="009219AC"/>
    <w:rsid w:val="00921B2C"/>
    <w:rsid w:val="00921C59"/>
    <w:rsid w:val="00922C1A"/>
    <w:rsid w:val="00922E30"/>
    <w:rsid w:val="00922FD3"/>
    <w:rsid w:val="00923036"/>
    <w:rsid w:val="009234BE"/>
    <w:rsid w:val="0092357A"/>
    <w:rsid w:val="00924088"/>
    <w:rsid w:val="0092471A"/>
    <w:rsid w:val="00925016"/>
    <w:rsid w:val="00925863"/>
    <w:rsid w:val="00927007"/>
    <w:rsid w:val="00927697"/>
    <w:rsid w:val="00927F00"/>
    <w:rsid w:val="0093020E"/>
    <w:rsid w:val="00930BFE"/>
    <w:rsid w:val="00930C28"/>
    <w:rsid w:val="00930CBA"/>
    <w:rsid w:val="00930F3B"/>
    <w:rsid w:val="00931287"/>
    <w:rsid w:val="00931969"/>
    <w:rsid w:val="00931B00"/>
    <w:rsid w:val="00931E3D"/>
    <w:rsid w:val="00932043"/>
    <w:rsid w:val="0093214E"/>
    <w:rsid w:val="0093226D"/>
    <w:rsid w:val="00933160"/>
    <w:rsid w:val="0093319C"/>
    <w:rsid w:val="0093388D"/>
    <w:rsid w:val="00933B8E"/>
    <w:rsid w:val="00933C56"/>
    <w:rsid w:val="0093403B"/>
    <w:rsid w:val="00934116"/>
    <w:rsid w:val="009348C0"/>
    <w:rsid w:val="00934B34"/>
    <w:rsid w:val="00934D4A"/>
    <w:rsid w:val="00934DA2"/>
    <w:rsid w:val="00935CD1"/>
    <w:rsid w:val="00935D0C"/>
    <w:rsid w:val="009361D9"/>
    <w:rsid w:val="00936278"/>
    <w:rsid w:val="00936832"/>
    <w:rsid w:val="00936ABD"/>
    <w:rsid w:val="00936CD5"/>
    <w:rsid w:val="00936DC9"/>
    <w:rsid w:val="00937171"/>
    <w:rsid w:val="009375F6"/>
    <w:rsid w:val="00937702"/>
    <w:rsid w:val="00937D7D"/>
    <w:rsid w:val="00940035"/>
    <w:rsid w:val="00940161"/>
    <w:rsid w:val="00940687"/>
    <w:rsid w:val="00940736"/>
    <w:rsid w:val="00940A2F"/>
    <w:rsid w:val="00940D22"/>
    <w:rsid w:val="00940E75"/>
    <w:rsid w:val="00940F67"/>
    <w:rsid w:val="009416E2"/>
    <w:rsid w:val="0094195A"/>
    <w:rsid w:val="00941B81"/>
    <w:rsid w:val="00941C5B"/>
    <w:rsid w:val="0094418F"/>
    <w:rsid w:val="00944425"/>
    <w:rsid w:val="00944AA3"/>
    <w:rsid w:val="00945023"/>
    <w:rsid w:val="0094513C"/>
    <w:rsid w:val="009451EA"/>
    <w:rsid w:val="0094533B"/>
    <w:rsid w:val="009456F0"/>
    <w:rsid w:val="00945C20"/>
    <w:rsid w:val="00946414"/>
    <w:rsid w:val="009464E1"/>
    <w:rsid w:val="009466CA"/>
    <w:rsid w:val="00946BE5"/>
    <w:rsid w:val="00946D87"/>
    <w:rsid w:val="00946EDF"/>
    <w:rsid w:val="0094734C"/>
    <w:rsid w:val="00947F41"/>
    <w:rsid w:val="0095022D"/>
    <w:rsid w:val="0095095E"/>
    <w:rsid w:val="00950C9B"/>
    <w:rsid w:val="009514D6"/>
    <w:rsid w:val="009516EC"/>
    <w:rsid w:val="009516ED"/>
    <w:rsid w:val="00952036"/>
    <w:rsid w:val="00952430"/>
    <w:rsid w:val="0095254A"/>
    <w:rsid w:val="00952E45"/>
    <w:rsid w:val="00953336"/>
    <w:rsid w:val="00953453"/>
    <w:rsid w:val="009540DA"/>
    <w:rsid w:val="009554F2"/>
    <w:rsid w:val="0095564D"/>
    <w:rsid w:val="0095747F"/>
    <w:rsid w:val="009575BF"/>
    <w:rsid w:val="00957B68"/>
    <w:rsid w:val="009605D4"/>
    <w:rsid w:val="00960726"/>
    <w:rsid w:val="0096100A"/>
    <w:rsid w:val="00961308"/>
    <w:rsid w:val="00962BE0"/>
    <w:rsid w:val="00963664"/>
    <w:rsid w:val="0096392F"/>
    <w:rsid w:val="00963D0B"/>
    <w:rsid w:val="00963E59"/>
    <w:rsid w:val="00963FDE"/>
    <w:rsid w:val="00964030"/>
    <w:rsid w:val="00964055"/>
    <w:rsid w:val="0096446F"/>
    <w:rsid w:val="009646D3"/>
    <w:rsid w:val="00964B6C"/>
    <w:rsid w:val="009650A2"/>
    <w:rsid w:val="009652D3"/>
    <w:rsid w:val="009652F5"/>
    <w:rsid w:val="00965D43"/>
    <w:rsid w:val="0096605B"/>
    <w:rsid w:val="009664CA"/>
    <w:rsid w:val="0096681C"/>
    <w:rsid w:val="00966934"/>
    <w:rsid w:val="00966A11"/>
    <w:rsid w:val="009670AC"/>
    <w:rsid w:val="00967871"/>
    <w:rsid w:val="00967DE6"/>
    <w:rsid w:val="00967F13"/>
    <w:rsid w:val="00970BF2"/>
    <w:rsid w:val="009712F0"/>
    <w:rsid w:val="00971ABD"/>
    <w:rsid w:val="0097264A"/>
    <w:rsid w:val="00973343"/>
    <w:rsid w:val="00973E60"/>
    <w:rsid w:val="00973F04"/>
    <w:rsid w:val="00975312"/>
    <w:rsid w:val="009754D7"/>
    <w:rsid w:val="00975780"/>
    <w:rsid w:val="00975BB9"/>
    <w:rsid w:val="00976AC8"/>
    <w:rsid w:val="00976F75"/>
    <w:rsid w:val="009779E3"/>
    <w:rsid w:val="00977BA7"/>
    <w:rsid w:val="00977BA8"/>
    <w:rsid w:val="00977DB7"/>
    <w:rsid w:val="00977F1A"/>
    <w:rsid w:val="00980017"/>
    <w:rsid w:val="009801B0"/>
    <w:rsid w:val="009804AB"/>
    <w:rsid w:val="00980EC7"/>
    <w:rsid w:val="0098101A"/>
    <w:rsid w:val="009812DA"/>
    <w:rsid w:val="009813C3"/>
    <w:rsid w:val="00981910"/>
    <w:rsid w:val="00981942"/>
    <w:rsid w:val="00982344"/>
    <w:rsid w:val="00982644"/>
    <w:rsid w:val="00982E5A"/>
    <w:rsid w:val="00982E5C"/>
    <w:rsid w:val="00982EFB"/>
    <w:rsid w:val="00982F0B"/>
    <w:rsid w:val="00982FC5"/>
    <w:rsid w:val="00983157"/>
    <w:rsid w:val="00983586"/>
    <w:rsid w:val="009835B3"/>
    <w:rsid w:val="00983B1C"/>
    <w:rsid w:val="00983B20"/>
    <w:rsid w:val="0098400E"/>
    <w:rsid w:val="0098486E"/>
    <w:rsid w:val="009849F2"/>
    <w:rsid w:val="00985233"/>
    <w:rsid w:val="00985416"/>
    <w:rsid w:val="0098545B"/>
    <w:rsid w:val="009859D8"/>
    <w:rsid w:val="00985B24"/>
    <w:rsid w:val="00985E91"/>
    <w:rsid w:val="00986162"/>
    <w:rsid w:val="00986B2C"/>
    <w:rsid w:val="009876AC"/>
    <w:rsid w:val="00987B52"/>
    <w:rsid w:val="0099013F"/>
    <w:rsid w:val="00990405"/>
    <w:rsid w:val="00990F2A"/>
    <w:rsid w:val="009919F4"/>
    <w:rsid w:val="00991BD6"/>
    <w:rsid w:val="00992252"/>
    <w:rsid w:val="00992F07"/>
    <w:rsid w:val="009934D6"/>
    <w:rsid w:val="00993DB2"/>
    <w:rsid w:val="009945CB"/>
    <w:rsid w:val="00994E57"/>
    <w:rsid w:val="00995B09"/>
    <w:rsid w:val="00995C23"/>
    <w:rsid w:val="00996F01"/>
    <w:rsid w:val="00997301"/>
    <w:rsid w:val="0099751C"/>
    <w:rsid w:val="00997671"/>
    <w:rsid w:val="00997B3F"/>
    <w:rsid w:val="00997ED2"/>
    <w:rsid w:val="009A0366"/>
    <w:rsid w:val="009A0367"/>
    <w:rsid w:val="009A0700"/>
    <w:rsid w:val="009A1233"/>
    <w:rsid w:val="009A1A47"/>
    <w:rsid w:val="009A1D25"/>
    <w:rsid w:val="009A2573"/>
    <w:rsid w:val="009A29BE"/>
    <w:rsid w:val="009A2A4C"/>
    <w:rsid w:val="009A2D36"/>
    <w:rsid w:val="009A2E9B"/>
    <w:rsid w:val="009A380A"/>
    <w:rsid w:val="009A391F"/>
    <w:rsid w:val="009A4327"/>
    <w:rsid w:val="009A4603"/>
    <w:rsid w:val="009A46BC"/>
    <w:rsid w:val="009A4812"/>
    <w:rsid w:val="009A62ED"/>
    <w:rsid w:val="009A7654"/>
    <w:rsid w:val="009A7726"/>
    <w:rsid w:val="009A7BEF"/>
    <w:rsid w:val="009A7CF0"/>
    <w:rsid w:val="009B088A"/>
    <w:rsid w:val="009B097D"/>
    <w:rsid w:val="009B09B1"/>
    <w:rsid w:val="009B10CF"/>
    <w:rsid w:val="009B1573"/>
    <w:rsid w:val="009B226B"/>
    <w:rsid w:val="009B2663"/>
    <w:rsid w:val="009B27E0"/>
    <w:rsid w:val="009B2F21"/>
    <w:rsid w:val="009B32E5"/>
    <w:rsid w:val="009B3520"/>
    <w:rsid w:val="009B3BF5"/>
    <w:rsid w:val="009B4415"/>
    <w:rsid w:val="009B4694"/>
    <w:rsid w:val="009B5737"/>
    <w:rsid w:val="009B5F7B"/>
    <w:rsid w:val="009B6391"/>
    <w:rsid w:val="009B6790"/>
    <w:rsid w:val="009B6ACC"/>
    <w:rsid w:val="009B6F03"/>
    <w:rsid w:val="009B7081"/>
    <w:rsid w:val="009B744B"/>
    <w:rsid w:val="009B797F"/>
    <w:rsid w:val="009B7D44"/>
    <w:rsid w:val="009B7D5B"/>
    <w:rsid w:val="009C00C2"/>
    <w:rsid w:val="009C0B3A"/>
    <w:rsid w:val="009C1559"/>
    <w:rsid w:val="009C1A66"/>
    <w:rsid w:val="009C2402"/>
    <w:rsid w:val="009C285E"/>
    <w:rsid w:val="009C2BCC"/>
    <w:rsid w:val="009C2D20"/>
    <w:rsid w:val="009C3024"/>
    <w:rsid w:val="009C3577"/>
    <w:rsid w:val="009C3EE7"/>
    <w:rsid w:val="009C4672"/>
    <w:rsid w:val="009C46AC"/>
    <w:rsid w:val="009C50CB"/>
    <w:rsid w:val="009C6003"/>
    <w:rsid w:val="009C611E"/>
    <w:rsid w:val="009C65F9"/>
    <w:rsid w:val="009C6E41"/>
    <w:rsid w:val="009C7296"/>
    <w:rsid w:val="009C73BE"/>
    <w:rsid w:val="009C773D"/>
    <w:rsid w:val="009D06ED"/>
    <w:rsid w:val="009D0E2E"/>
    <w:rsid w:val="009D113C"/>
    <w:rsid w:val="009D1B40"/>
    <w:rsid w:val="009D2475"/>
    <w:rsid w:val="009D2731"/>
    <w:rsid w:val="009D371A"/>
    <w:rsid w:val="009D3855"/>
    <w:rsid w:val="009D3BF3"/>
    <w:rsid w:val="009D4760"/>
    <w:rsid w:val="009D4B04"/>
    <w:rsid w:val="009D4EFA"/>
    <w:rsid w:val="009D53BC"/>
    <w:rsid w:val="009D584E"/>
    <w:rsid w:val="009D5B55"/>
    <w:rsid w:val="009D62AD"/>
    <w:rsid w:val="009D69AD"/>
    <w:rsid w:val="009D713A"/>
    <w:rsid w:val="009D77EF"/>
    <w:rsid w:val="009D7FF6"/>
    <w:rsid w:val="009E01CC"/>
    <w:rsid w:val="009E05FE"/>
    <w:rsid w:val="009E0A47"/>
    <w:rsid w:val="009E0E13"/>
    <w:rsid w:val="009E0F6D"/>
    <w:rsid w:val="009E1F78"/>
    <w:rsid w:val="009E28E3"/>
    <w:rsid w:val="009E28E8"/>
    <w:rsid w:val="009E2B60"/>
    <w:rsid w:val="009E32E4"/>
    <w:rsid w:val="009E33FC"/>
    <w:rsid w:val="009E374C"/>
    <w:rsid w:val="009E43D8"/>
    <w:rsid w:val="009E43DB"/>
    <w:rsid w:val="009E4905"/>
    <w:rsid w:val="009E4B74"/>
    <w:rsid w:val="009E4F0A"/>
    <w:rsid w:val="009E5280"/>
    <w:rsid w:val="009E5E71"/>
    <w:rsid w:val="009E6E31"/>
    <w:rsid w:val="009E6FF8"/>
    <w:rsid w:val="009E71F4"/>
    <w:rsid w:val="009E7453"/>
    <w:rsid w:val="009E7750"/>
    <w:rsid w:val="009E7A3C"/>
    <w:rsid w:val="009F04CE"/>
    <w:rsid w:val="009F0742"/>
    <w:rsid w:val="009F0812"/>
    <w:rsid w:val="009F0834"/>
    <w:rsid w:val="009F0AB7"/>
    <w:rsid w:val="009F0C1C"/>
    <w:rsid w:val="009F1258"/>
    <w:rsid w:val="009F1F22"/>
    <w:rsid w:val="009F1F2A"/>
    <w:rsid w:val="009F2594"/>
    <w:rsid w:val="009F280F"/>
    <w:rsid w:val="009F36C8"/>
    <w:rsid w:val="009F3FBE"/>
    <w:rsid w:val="009F4337"/>
    <w:rsid w:val="009F4BFF"/>
    <w:rsid w:val="009F51E3"/>
    <w:rsid w:val="009F54B3"/>
    <w:rsid w:val="009F5B8B"/>
    <w:rsid w:val="009F5D0E"/>
    <w:rsid w:val="009F604E"/>
    <w:rsid w:val="009F60E4"/>
    <w:rsid w:val="009F6171"/>
    <w:rsid w:val="009F630C"/>
    <w:rsid w:val="009F67DA"/>
    <w:rsid w:val="009F6A04"/>
    <w:rsid w:val="009F713C"/>
    <w:rsid w:val="009F7240"/>
    <w:rsid w:val="009F75DE"/>
    <w:rsid w:val="009F7D43"/>
    <w:rsid w:val="009F7E14"/>
    <w:rsid w:val="00A003C1"/>
    <w:rsid w:val="00A005A2"/>
    <w:rsid w:val="00A00D25"/>
    <w:rsid w:val="00A01BE0"/>
    <w:rsid w:val="00A02C25"/>
    <w:rsid w:val="00A02EEC"/>
    <w:rsid w:val="00A03161"/>
    <w:rsid w:val="00A0317B"/>
    <w:rsid w:val="00A0403C"/>
    <w:rsid w:val="00A04814"/>
    <w:rsid w:val="00A04816"/>
    <w:rsid w:val="00A04A86"/>
    <w:rsid w:val="00A04AA5"/>
    <w:rsid w:val="00A05251"/>
    <w:rsid w:val="00A05B05"/>
    <w:rsid w:val="00A069FD"/>
    <w:rsid w:val="00A07706"/>
    <w:rsid w:val="00A078AE"/>
    <w:rsid w:val="00A07C5E"/>
    <w:rsid w:val="00A10607"/>
    <w:rsid w:val="00A10933"/>
    <w:rsid w:val="00A10935"/>
    <w:rsid w:val="00A11860"/>
    <w:rsid w:val="00A118DB"/>
    <w:rsid w:val="00A119D9"/>
    <w:rsid w:val="00A11AB2"/>
    <w:rsid w:val="00A11BB2"/>
    <w:rsid w:val="00A12606"/>
    <w:rsid w:val="00A12ACE"/>
    <w:rsid w:val="00A130C2"/>
    <w:rsid w:val="00A136D1"/>
    <w:rsid w:val="00A141EB"/>
    <w:rsid w:val="00A14AEA"/>
    <w:rsid w:val="00A15562"/>
    <w:rsid w:val="00A15625"/>
    <w:rsid w:val="00A1562C"/>
    <w:rsid w:val="00A15F7E"/>
    <w:rsid w:val="00A15FF0"/>
    <w:rsid w:val="00A16507"/>
    <w:rsid w:val="00A16553"/>
    <w:rsid w:val="00A16A65"/>
    <w:rsid w:val="00A16D98"/>
    <w:rsid w:val="00A173E8"/>
    <w:rsid w:val="00A179CD"/>
    <w:rsid w:val="00A17B85"/>
    <w:rsid w:val="00A2094E"/>
    <w:rsid w:val="00A2153C"/>
    <w:rsid w:val="00A22022"/>
    <w:rsid w:val="00A226FC"/>
    <w:rsid w:val="00A2312F"/>
    <w:rsid w:val="00A23858"/>
    <w:rsid w:val="00A23E94"/>
    <w:rsid w:val="00A2594E"/>
    <w:rsid w:val="00A25DC3"/>
    <w:rsid w:val="00A25EC3"/>
    <w:rsid w:val="00A26616"/>
    <w:rsid w:val="00A26630"/>
    <w:rsid w:val="00A2670E"/>
    <w:rsid w:val="00A26C23"/>
    <w:rsid w:val="00A27067"/>
    <w:rsid w:val="00A27AD2"/>
    <w:rsid w:val="00A27FBA"/>
    <w:rsid w:val="00A30162"/>
    <w:rsid w:val="00A307CF"/>
    <w:rsid w:val="00A30840"/>
    <w:rsid w:val="00A30987"/>
    <w:rsid w:val="00A30CA4"/>
    <w:rsid w:val="00A30DA9"/>
    <w:rsid w:val="00A31019"/>
    <w:rsid w:val="00A319EA"/>
    <w:rsid w:val="00A31A44"/>
    <w:rsid w:val="00A32491"/>
    <w:rsid w:val="00A32782"/>
    <w:rsid w:val="00A32AF3"/>
    <w:rsid w:val="00A32DC7"/>
    <w:rsid w:val="00A330AE"/>
    <w:rsid w:val="00A33A7D"/>
    <w:rsid w:val="00A33CE7"/>
    <w:rsid w:val="00A33E08"/>
    <w:rsid w:val="00A34109"/>
    <w:rsid w:val="00A347F7"/>
    <w:rsid w:val="00A34AA9"/>
    <w:rsid w:val="00A34B38"/>
    <w:rsid w:val="00A34B77"/>
    <w:rsid w:val="00A34F3F"/>
    <w:rsid w:val="00A34F4E"/>
    <w:rsid w:val="00A35540"/>
    <w:rsid w:val="00A357A6"/>
    <w:rsid w:val="00A37068"/>
    <w:rsid w:val="00A37610"/>
    <w:rsid w:val="00A37977"/>
    <w:rsid w:val="00A4004A"/>
    <w:rsid w:val="00A403C0"/>
    <w:rsid w:val="00A4064A"/>
    <w:rsid w:val="00A40696"/>
    <w:rsid w:val="00A40D6E"/>
    <w:rsid w:val="00A41358"/>
    <w:rsid w:val="00A417FF"/>
    <w:rsid w:val="00A41D29"/>
    <w:rsid w:val="00A42094"/>
    <w:rsid w:val="00A42295"/>
    <w:rsid w:val="00A422DA"/>
    <w:rsid w:val="00A422FB"/>
    <w:rsid w:val="00A4264E"/>
    <w:rsid w:val="00A427E1"/>
    <w:rsid w:val="00A44611"/>
    <w:rsid w:val="00A448D0"/>
    <w:rsid w:val="00A44B5F"/>
    <w:rsid w:val="00A450EC"/>
    <w:rsid w:val="00A450F1"/>
    <w:rsid w:val="00A45738"/>
    <w:rsid w:val="00A45759"/>
    <w:rsid w:val="00A459E8"/>
    <w:rsid w:val="00A45D56"/>
    <w:rsid w:val="00A4636F"/>
    <w:rsid w:val="00A474FC"/>
    <w:rsid w:val="00A4796D"/>
    <w:rsid w:val="00A50933"/>
    <w:rsid w:val="00A50A98"/>
    <w:rsid w:val="00A50C34"/>
    <w:rsid w:val="00A511A1"/>
    <w:rsid w:val="00A513D8"/>
    <w:rsid w:val="00A51424"/>
    <w:rsid w:val="00A51AF6"/>
    <w:rsid w:val="00A528A0"/>
    <w:rsid w:val="00A52BB2"/>
    <w:rsid w:val="00A52DED"/>
    <w:rsid w:val="00A533BB"/>
    <w:rsid w:val="00A53975"/>
    <w:rsid w:val="00A539D6"/>
    <w:rsid w:val="00A53CFE"/>
    <w:rsid w:val="00A54293"/>
    <w:rsid w:val="00A5434A"/>
    <w:rsid w:val="00A543B6"/>
    <w:rsid w:val="00A545E2"/>
    <w:rsid w:val="00A54E35"/>
    <w:rsid w:val="00A552CB"/>
    <w:rsid w:val="00A567F3"/>
    <w:rsid w:val="00A56A9E"/>
    <w:rsid w:val="00A56BDD"/>
    <w:rsid w:val="00A56FB5"/>
    <w:rsid w:val="00A57908"/>
    <w:rsid w:val="00A6044F"/>
    <w:rsid w:val="00A61057"/>
    <w:rsid w:val="00A6191C"/>
    <w:rsid w:val="00A61BE9"/>
    <w:rsid w:val="00A621AB"/>
    <w:rsid w:val="00A621CC"/>
    <w:rsid w:val="00A6228E"/>
    <w:rsid w:val="00A6237C"/>
    <w:rsid w:val="00A6297F"/>
    <w:rsid w:val="00A62D75"/>
    <w:rsid w:val="00A62ED9"/>
    <w:rsid w:val="00A62F70"/>
    <w:rsid w:val="00A632A3"/>
    <w:rsid w:val="00A63338"/>
    <w:rsid w:val="00A633EC"/>
    <w:rsid w:val="00A63433"/>
    <w:rsid w:val="00A63668"/>
    <w:rsid w:val="00A63845"/>
    <w:rsid w:val="00A641CC"/>
    <w:rsid w:val="00A6436D"/>
    <w:rsid w:val="00A64BFF"/>
    <w:rsid w:val="00A64CC4"/>
    <w:rsid w:val="00A65071"/>
    <w:rsid w:val="00A655EF"/>
    <w:rsid w:val="00A657E5"/>
    <w:rsid w:val="00A6657F"/>
    <w:rsid w:val="00A66696"/>
    <w:rsid w:val="00A666D2"/>
    <w:rsid w:val="00A6677F"/>
    <w:rsid w:val="00A667C4"/>
    <w:rsid w:val="00A6690B"/>
    <w:rsid w:val="00A66AEA"/>
    <w:rsid w:val="00A66D08"/>
    <w:rsid w:val="00A6769A"/>
    <w:rsid w:val="00A67877"/>
    <w:rsid w:val="00A67D57"/>
    <w:rsid w:val="00A70242"/>
    <w:rsid w:val="00A704CC"/>
    <w:rsid w:val="00A70737"/>
    <w:rsid w:val="00A709C8"/>
    <w:rsid w:val="00A709F8"/>
    <w:rsid w:val="00A7133E"/>
    <w:rsid w:val="00A71979"/>
    <w:rsid w:val="00A72448"/>
    <w:rsid w:val="00A72913"/>
    <w:rsid w:val="00A72A75"/>
    <w:rsid w:val="00A73096"/>
    <w:rsid w:val="00A73240"/>
    <w:rsid w:val="00A73CA3"/>
    <w:rsid w:val="00A7413C"/>
    <w:rsid w:val="00A74420"/>
    <w:rsid w:val="00A74653"/>
    <w:rsid w:val="00A746F4"/>
    <w:rsid w:val="00A74739"/>
    <w:rsid w:val="00A74B10"/>
    <w:rsid w:val="00A74C23"/>
    <w:rsid w:val="00A75418"/>
    <w:rsid w:val="00A75528"/>
    <w:rsid w:val="00A7562B"/>
    <w:rsid w:val="00A757E8"/>
    <w:rsid w:val="00A75E00"/>
    <w:rsid w:val="00A76D05"/>
    <w:rsid w:val="00A76D91"/>
    <w:rsid w:val="00A77399"/>
    <w:rsid w:val="00A77A1A"/>
    <w:rsid w:val="00A77E7D"/>
    <w:rsid w:val="00A8000E"/>
    <w:rsid w:val="00A80068"/>
    <w:rsid w:val="00A80EAA"/>
    <w:rsid w:val="00A81700"/>
    <w:rsid w:val="00A8173E"/>
    <w:rsid w:val="00A81897"/>
    <w:rsid w:val="00A81FF2"/>
    <w:rsid w:val="00A8393C"/>
    <w:rsid w:val="00A83C4D"/>
    <w:rsid w:val="00A845C1"/>
    <w:rsid w:val="00A849B7"/>
    <w:rsid w:val="00A84D4C"/>
    <w:rsid w:val="00A85095"/>
    <w:rsid w:val="00A857C3"/>
    <w:rsid w:val="00A857F5"/>
    <w:rsid w:val="00A8693B"/>
    <w:rsid w:val="00A86A59"/>
    <w:rsid w:val="00A8741E"/>
    <w:rsid w:val="00A90599"/>
    <w:rsid w:val="00A90D45"/>
    <w:rsid w:val="00A9168E"/>
    <w:rsid w:val="00A916F5"/>
    <w:rsid w:val="00A9203D"/>
    <w:rsid w:val="00A923CE"/>
    <w:rsid w:val="00A92519"/>
    <w:rsid w:val="00A926FE"/>
    <w:rsid w:val="00A928BB"/>
    <w:rsid w:val="00A92AD2"/>
    <w:rsid w:val="00A93186"/>
    <w:rsid w:val="00A9321D"/>
    <w:rsid w:val="00A93563"/>
    <w:rsid w:val="00A93F78"/>
    <w:rsid w:val="00A94B46"/>
    <w:rsid w:val="00A95220"/>
    <w:rsid w:val="00A961DA"/>
    <w:rsid w:val="00A9673E"/>
    <w:rsid w:val="00A972D5"/>
    <w:rsid w:val="00A9763D"/>
    <w:rsid w:val="00A979F6"/>
    <w:rsid w:val="00A97E1C"/>
    <w:rsid w:val="00AA008E"/>
    <w:rsid w:val="00AA0290"/>
    <w:rsid w:val="00AA09F3"/>
    <w:rsid w:val="00AA09F4"/>
    <w:rsid w:val="00AA0FCE"/>
    <w:rsid w:val="00AA10E6"/>
    <w:rsid w:val="00AA154A"/>
    <w:rsid w:val="00AA159B"/>
    <w:rsid w:val="00AA2697"/>
    <w:rsid w:val="00AA28AB"/>
    <w:rsid w:val="00AA29DC"/>
    <w:rsid w:val="00AA2C62"/>
    <w:rsid w:val="00AA2EA9"/>
    <w:rsid w:val="00AA3233"/>
    <w:rsid w:val="00AA338A"/>
    <w:rsid w:val="00AA33CD"/>
    <w:rsid w:val="00AA345D"/>
    <w:rsid w:val="00AA3479"/>
    <w:rsid w:val="00AA34A3"/>
    <w:rsid w:val="00AA36DF"/>
    <w:rsid w:val="00AA37D0"/>
    <w:rsid w:val="00AA3C81"/>
    <w:rsid w:val="00AA507F"/>
    <w:rsid w:val="00AA5281"/>
    <w:rsid w:val="00AA5591"/>
    <w:rsid w:val="00AA5887"/>
    <w:rsid w:val="00AA5B87"/>
    <w:rsid w:val="00AA5DE4"/>
    <w:rsid w:val="00AA65A1"/>
    <w:rsid w:val="00AA67BC"/>
    <w:rsid w:val="00AA68DF"/>
    <w:rsid w:val="00AA6A1C"/>
    <w:rsid w:val="00AA6FFE"/>
    <w:rsid w:val="00AA73D2"/>
    <w:rsid w:val="00AA742E"/>
    <w:rsid w:val="00AA7938"/>
    <w:rsid w:val="00AA7DD6"/>
    <w:rsid w:val="00AB011D"/>
    <w:rsid w:val="00AB04DA"/>
    <w:rsid w:val="00AB0969"/>
    <w:rsid w:val="00AB0A38"/>
    <w:rsid w:val="00AB0BCA"/>
    <w:rsid w:val="00AB0D04"/>
    <w:rsid w:val="00AB1347"/>
    <w:rsid w:val="00AB17BE"/>
    <w:rsid w:val="00AB22DD"/>
    <w:rsid w:val="00AB23C8"/>
    <w:rsid w:val="00AB26B1"/>
    <w:rsid w:val="00AB287F"/>
    <w:rsid w:val="00AB2C9A"/>
    <w:rsid w:val="00AB3B0A"/>
    <w:rsid w:val="00AB3BFD"/>
    <w:rsid w:val="00AB40DF"/>
    <w:rsid w:val="00AB41A3"/>
    <w:rsid w:val="00AB438C"/>
    <w:rsid w:val="00AB47A8"/>
    <w:rsid w:val="00AB4A66"/>
    <w:rsid w:val="00AB4D5A"/>
    <w:rsid w:val="00AB5076"/>
    <w:rsid w:val="00AB517F"/>
    <w:rsid w:val="00AB51CE"/>
    <w:rsid w:val="00AB5AA0"/>
    <w:rsid w:val="00AB5AAA"/>
    <w:rsid w:val="00AB5AD2"/>
    <w:rsid w:val="00AB5E6A"/>
    <w:rsid w:val="00AB5F28"/>
    <w:rsid w:val="00AB5FBD"/>
    <w:rsid w:val="00AB60B8"/>
    <w:rsid w:val="00AB64C4"/>
    <w:rsid w:val="00AB6E11"/>
    <w:rsid w:val="00AB6E43"/>
    <w:rsid w:val="00AB7C13"/>
    <w:rsid w:val="00AB7CEF"/>
    <w:rsid w:val="00AC00ED"/>
    <w:rsid w:val="00AC02CD"/>
    <w:rsid w:val="00AC0697"/>
    <w:rsid w:val="00AC0D7F"/>
    <w:rsid w:val="00AC0E5B"/>
    <w:rsid w:val="00AC14AD"/>
    <w:rsid w:val="00AC16F6"/>
    <w:rsid w:val="00AC1A4E"/>
    <w:rsid w:val="00AC1F35"/>
    <w:rsid w:val="00AC2055"/>
    <w:rsid w:val="00AC2228"/>
    <w:rsid w:val="00AC23E1"/>
    <w:rsid w:val="00AC241A"/>
    <w:rsid w:val="00AC24B0"/>
    <w:rsid w:val="00AC3477"/>
    <w:rsid w:val="00AC36CD"/>
    <w:rsid w:val="00AC3814"/>
    <w:rsid w:val="00AC4874"/>
    <w:rsid w:val="00AC4C15"/>
    <w:rsid w:val="00AC4E8E"/>
    <w:rsid w:val="00AC5936"/>
    <w:rsid w:val="00AC62D3"/>
    <w:rsid w:val="00AC696C"/>
    <w:rsid w:val="00AC705E"/>
    <w:rsid w:val="00AC737B"/>
    <w:rsid w:val="00AC784E"/>
    <w:rsid w:val="00AC7C89"/>
    <w:rsid w:val="00AD0D4E"/>
    <w:rsid w:val="00AD1060"/>
    <w:rsid w:val="00AD12AD"/>
    <w:rsid w:val="00AD1383"/>
    <w:rsid w:val="00AD165D"/>
    <w:rsid w:val="00AD22DD"/>
    <w:rsid w:val="00AD2439"/>
    <w:rsid w:val="00AD2707"/>
    <w:rsid w:val="00AD2E76"/>
    <w:rsid w:val="00AD382C"/>
    <w:rsid w:val="00AD45FA"/>
    <w:rsid w:val="00AD4984"/>
    <w:rsid w:val="00AD5930"/>
    <w:rsid w:val="00AD68FC"/>
    <w:rsid w:val="00AD7062"/>
    <w:rsid w:val="00AD7475"/>
    <w:rsid w:val="00AD7B1E"/>
    <w:rsid w:val="00AE039D"/>
    <w:rsid w:val="00AE0724"/>
    <w:rsid w:val="00AE09CF"/>
    <w:rsid w:val="00AE0A87"/>
    <w:rsid w:val="00AE0CC7"/>
    <w:rsid w:val="00AE0EA1"/>
    <w:rsid w:val="00AE1A2B"/>
    <w:rsid w:val="00AE1BEF"/>
    <w:rsid w:val="00AE1F24"/>
    <w:rsid w:val="00AE2271"/>
    <w:rsid w:val="00AE2410"/>
    <w:rsid w:val="00AE243B"/>
    <w:rsid w:val="00AE26A6"/>
    <w:rsid w:val="00AE2C0E"/>
    <w:rsid w:val="00AE308C"/>
    <w:rsid w:val="00AE36A7"/>
    <w:rsid w:val="00AE3955"/>
    <w:rsid w:val="00AE3B7B"/>
    <w:rsid w:val="00AE40AA"/>
    <w:rsid w:val="00AE463D"/>
    <w:rsid w:val="00AE4F8C"/>
    <w:rsid w:val="00AE5224"/>
    <w:rsid w:val="00AE5998"/>
    <w:rsid w:val="00AE5C01"/>
    <w:rsid w:val="00AE5DBE"/>
    <w:rsid w:val="00AE64B2"/>
    <w:rsid w:val="00AE6571"/>
    <w:rsid w:val="00AE6C0D"/>
    <w:rsid w:val="00AE6DF5"/>
    <w:rsid w:val="00AE7743"/>
    <w:rsid w:val="00AE7A88"/>
    <w:rsid w:val="00AE7AB5"/>
    <w:rsid w:val="00AF0393"/>
    <w:rsid w:val="00AF091E"/>
    <w:rsid w:val="00AF119C"/>
    <w:rsid w:val="00AF12F6"/>
    <w:rsid w:val="00AF1681"/>
    <w:rsid w:val="00AF1BFF"/>
    <w:rsid w:val="00AF2323"/>
    <w:rsid w:val="00AF2669"/>
    <w:rsid w:val="00AF304C"/>
    <w:rsid w:val="00AF337E"/>
    <w:rsid w:val="00AF4370"/>
    <w:rsid w:val="00AF4528"/>
    <w:rsid w:val="00AF4F26"/>
    <w:rsid w:val="00AF542E"/>
    <w:rsid w:val="00AF54AE"/>
    <w:rsid w:val="00AF5C39"/>
    <w:rsid w:val="00AF62AB"/>
    <w:rsid w:val="00AF690C"/>
    <w:rsid w:val="00AF7278"/>
    <w:rsid w:val="00AF744B"/>
    <w:rsid w:val="00AF7498"/>
    <w:rsid w:val="00AF75FC"/>
    <w:rsid w:val="00AF7B63"/>
    <w:rsid w:val="00B00263"/>
    <w:rsid w:val="00B00E9D"/>
    <w:rsid w:val="00B01723"/>
    <w:rsid w:val="00B0192A"/>
    <w:rsid w:val="00B0199B"/>
    <w:rsid w:val="00B01EC9"/>
    <w:rsid w:val="00B02257"/>
    <w:rsid w:val="00B0269D"/>
    <w:rsid w:val="00B02C29"/>
    <w:rsid w:val="00B030F4"/>
    <w:rsid w:val="00B035FF"/>
    <w:rsid w:val="00B03C4F"/>
    <w:rsid w:val="00B03D0B"/>
    <w:rsid w:val="00B03FBB"/>
    <w:rsid w:val="00B04307"/>
    <w:rsid w:val="00B043FC"/>
    <w:rsid w:val="00B0499F"/>
    <w:rsid w:val="00B050E3"/>
    <w:rsid w:val="00B051C0"/>
    <w:rsid w:val="00B054A9"/>
    <w:rsid w:val="00B05DB0"/>
    <w:rsid w:val="00B0609E"/>
    <w:rsid w:val="00B06162"/>
    <w:rsid w:val="00B06202"/>
    <w:rsid w:val="00B06374"/>
    <w:rsid w:val="00B067D3"/>
    <w:rsid w:val="00B06BE0"/>
    <w:rsid w:val="00B070E3"/>
    <w:rsid w:val="00B07341"/>
    <w:rsid w:val="00B0758A"/>
    <w:rsid w:val="00B0777D"/>
    <w:rsid w:val="00B07952"/>
    <w:rsid w:val="00B079BA"/>
    <w:rsid w:val="00B102C6"/>
    <w:rsid w:val="00B10607"/>
    <w:rsid w:val="00B10895"/>
    <w:rsid w:val="00B10B15"/>
    <w:rsid w:val="00B10E18"/>
    <w:rsid w:val="00B10EF8"/>
    <w:rsid w:val="00B11282"/>
    <w:rsid w:val="00B1176E"/>
    <w:rsid w:val="00B12CC7"/>
    <w:rsid w:val="00B138C9"/>
    <w:rsid w:val="00B139C1"/>
    <w:rsid w:val="00B13B89"/>
    <w:rsid w:val="00B13C69"/>
    <w:rsid w:val="00B13D58"/>
    <w:rsid w:val="00B13F8D"/>
    <w:rsid w:val="00B142EC"/>
    <w:rsid w:val="00B14CBB"/>
    <w:rsid w:val="00B153B7"/>
    <w:rsid w:val="00B15FEC"/>
    <w:rsid w:val="00B160B5"/>
    <w:rsid w:val="00B1679D"/>
    <w:rsid w:val="00B16F0B"/>
    <w:rsid w:val="00B17823"/>
    <w:rsid w:val="00B2088A"/>
    <w:rsid w:val="00B20F56"/>
    <w:rsid w:val="00B2114A"/>
    <w:rsid w:val="00B211BE"/>
    <w:rsid w:val="00B214FA"/>
    <w:rsid w:val="00B215D0"/>
    <w:rsid w:val="00B21CDE"/>
    <w:rsid w:val="00B21FC6"/>
    <w:rsid w:val="00B22524"/>
    <w:rsid w:val="00B22799"/>
    <w:rsid w:val="00B22A46"/>
    <w:rsid w:val="00B22F3B"/>
    <w:rsid w:val="00B233F9"/>
    <w:rsid w:val="00B24537"/>
    <w:rsid w:val="00B246B3"/>
    <w:rsid w:val="00B24DA0"/>
    <w:rsid w:val="00B251E4"/>
    <w:rsid w:val="00B25A1C"/>
    <w:rsid w:val="00B25D57"/>
    <w:rsid w:val="00B25E35"/>
    <w:rsid w:val="00B25E40"/>
    <w:rsid w:val="00B25FDA"/>
    <w:rsid w:val="00B260BE"/>
    <w:rsid w:val="00B2613A"/>
    <w:rsid w:val="00B274D0"/>
    <w:rsid w:val="00B27534"/>
    <w:rsid w:val="00B2788E"/>
    <w:rsid w:val="00B3053F"/>
    <w:rsid w:val="00B3076C"/>
    <w:rsid w:val="00B307FD"/>
    <w:rsid w:val="00B30BAE"/>
    <w:rsid w:val="00B30FAA"/>
    <w:rsid w:val="00B32674"/>
    <w:rsid w:val="00B32C14"/>
    <w:rsid w:val="00B32EA1"/>
    <w:rsid w:val="00B32EF8"/>
    <w:rsid w:val="00B32FED"/>
    <w:rsid w:val="00B33845"/>
    <w:rsid w:val="00B34093"/>
    <w:rsid w:val="00B3445D"/>
    <w:rsid w:val="00B344B7"/>
    <w:rsid w:val="00B35301"/>
    <w:rsid w:val="00B355B8"/>
    <w:rsid w:val="00B35A6F"/>
    <w:rsid w:val="00B35C46"/>
    <w:rsid w:val="00B36031"/>
    <w:rsid w:val="00B361EF"/>
    <w:rsid w:val="00B369EF"/>
    <w:rsid w:val="00B36B13"/>
    <w:rsid w:val="00B36D72"/>
    <w:rsid w:val="00B3712C"/>
    <w:rsid w:val="00B37388"/>
    <w:rsid w:val="00B37401"/>
    <w:rsid w:val="00B37AEA"/>
    <w:rsid w:val="00B40036"/>
    <w:rsid w:val="00B400FC"/>
    <w:rsid w:val="00B413AA"/>
    <w:rsid w:val="00B41D36"/>
    <w:rsid w:val="00B41F4E"/>
    <w:rsid w:val="00B421A5"/>
    <w:rsid w:val="00B42263"/>
    <w:rsid w:val="00B4308C"/>
    <w:rsid w:val="00B43226"/>
    <w:rsid w:val="00B44A55"/>
    <w:rsid w:val="00B44AA7"/>
    <w:rsid w:val="00B44B0D"/>
    <w:rsid w:val="00B44BE3"/>
    <w:rsid w:val="00B44E9C"/>
    <w:rsid w:val="00B44F18"/>
    <w:rsid w:val="00B451AF"/>
    <w:rsid w:val="00B45AAE"/>
    <w:rsid w:val="00B45E8B"/>
    <w:rsid w:val="00B46124"/>
    <w:rsid w:val="00B46225"/>
    <w:rsid w:val="00B462F0"/>
    <w:rsid w:val="00B4637E"/>
    <w:rsid w:val="00B46568"/>
    <w:rsid w:val="00B46690"/>
    <w:rsid w:val="00B466E6"/>
    <w:rsid w:val="00B468A0"/>
    <w:rsid w:val="00B469E5"/>
    <w:rsid w:val="00B46C87"/>
    <w:rsid w:val="00B47562"/>
    <w:rsid w:val="00B475BA"/>
    <w:rsid w:val="00B476E4"/>
    <w:rsid w:val="00B47E80"/>
    <w:rsid w:val="00B50449"/>
    <w:rsid w:val="00B504D3"/>
    <w:rsid w:val="00B50DCF"/>
    <w:rsid w:val="00B51092"/>
    <w:rsid w:val="00B5168B"/>
    <w:rsid w:val="00B51A8E"/>
    <w:rsid w:val="00B521C6"/>
    <w:rsid w:val="00B52C59"/>
    <w:rsid w:val="00B53105"/>
    <w:rsid w:val="00B5322C"/>
    <w:rsid w:val="00B5343B"/>
    <w:rsid w:val="00B5372B"/>
    <w:rsid w:val="00B539E9"/>
    <w:rsid w:val="00B53D1A"/>
    <w:rsid w:val="00B53E76"/>
    <w:rsid w:val="00B5509C"/>
    <w:rsid w:val="00B56E9E"/>
    <w:rsid w:val="00B57870"/>
    <w:rsid w:val="00B57B51"/>
    <w:rsid w:val="00B600CC"/>
    <w:rsid w:val="00B60461"/>
    <w:rsid w:val="00B6187E"/>
    <w:rsid w:val="00B63461"/>
    <w:rsid w:val="00B639C8"/>
    <w:rsid w:val="00B63D94"/>
    <w:rsid w:val="00B644F7"/>
    <w:rsid w:val="00B648B9"/>
    <w:rsid w:val="00B649BB"/>
    <w:rsid w:val="00B650D9"/>
    <w:rsid w:val="00B6560E"/>
    <w:rsid w:val="00B65F20"/>
    <w:rsid w:val="00B664A9"/>
    <w:rsid w:val="00B664CB"/>
    <w:rsid w:val="00B66C95"/>
    <w:rsid w:val="00B6753F"/>
    <w:rsid w:val="00B67884"/>
    <w:rsid w:val="00B678A0"/>
    <w:rsid w:val="00B67BA1"/>
    <w:rsid w:val="00B67FA3"/>
    <w:rsid w:val="00B706BB"/>
    <w:rsid w:val="00B712CA"/>
    <w:rsid w:val="00B712EE"/>
    <w:rsid w:val="00B71381"/>
    <w:rsid w:val="00B71C89"/>
    <w:rsid w:val="00B71FA1"/>
    <w:rsid w:val="00B7222A"/>
    <w:rsid w:val="00B72260"/>
    <w:rsid w:val="00B7233F"/>
    <w:rsid w:val="00B728CF"/>
    <w:rsid w:val="00B730FA"/>
    <w:rsid w:val="00B73CA5"/>
    <w:rsid w:val="00B746F3"/>
    <w:rsid w:val="00B74881"/>
    <w:rsid w:val="00B74889"/>
    <w:rsid w:val="00B74B10"/>
    <w:rsid w:val="00B74F98"/>
    <w:rsid w:val="00B751EF"/>
    <w:rsid w:val="00B754A3"/>
    <w:rsid w:val="00B76238"/>
    <w:rsid w:val="00B767B3"/>
    <w:rsid w:val="00B76C49"/>
    <w:rsid w:val="00B77238"/>
    <w:rsid w:val="00B77D18"/>
    <w:rsid w:val="00B802D7"/>
    <w:rsid w:val="00B803DA"/>
    <w:rsid w:val="00B80815"/>
    <w:rsid w:val="00B80A06"/>
    <w:rsid w:val="00B80D4C"/>
    <w:rsid w:val="00B8103A"/>
    <w:rsid w:val="00B8107D"/>
    <w:rsid w:val="00B82A7C"/>
    <w:rsid w:val="00B82EC2"/>
    <w:rsid w:val="00B830AC"/>
    <w:rsid w:val="00B83258"/>
    <w:rsid w:val="00B835A1"/>
    <w:rsid w:val="00B83971"/>
    <w:rsid w:val="00B83B34"/>
    <w:rsid w:val="00B83BFA"/>
    <w:rsid w:val="00B84117"/>
    <w:rsid w:val="00B843B3"/>
    <w:rsid w:val="00B84426"/>
    <w:rsid w:val="00B844C6"/>
    <w:rsid w:val="00B84BFB"/>
    <w:rsid w:val="00B84C20"/>
    <w:rsid w:val="00B8630B"/>
    <w:rsid w:val="00B865BC"/>
    <w:rsid w:val="00B86815"/>
    <w:rsid w:val="00B86B19"/>
    <w:rsid w:val="00B86B47"/>
    <w:rsid w:val="00B86D89"/>
    <w:rsid w:val="00B86E18"/>
    <w:rsid w:val="00B877A3"/>
    <w:rsid w:val="00B87F98"/>
    <w:rsid w:val="00B90A10"/>
    <w:rsid w:val="00B91133"/>
    <w:rsid w:val="00B91508"/>
    <w:rsid w:val="00B91935"/>
    <w:rsid w:val="00B92253"/>
    <w:rsid w:val="00B92C49"/>
    <w:rsid w:val="00B93240"/>
    <w:rsid w:val="00B9358B"/>
    <w:rsid w:val="00B935E1"/>
    <w:rsid w:val="00B95419"/>
    <w:rsid w:val="00B964C2"/>
    <w:rsid w:val="00B965CB"/>
    <w:rsid w:val="00B96867"/>
    <w:rsid w:val="00B96928"/>
    <w:rsid w:val="00B96969"/>
    <w:rsid w:val="00B96C83"/>
    <w:rsid w:val="00B974CE"/>
    <w:rsid w:val="00B979D3"/>
    <w:rsid w:val="00B97CA8"/>
    <w:rsid w:val="00BA00C6"/>
    <w:rsid w:val="00BA085F"/>
    <w:rsid w:val="00BA13ED"/>
    <w:rsid w:val="00BA1AF5"/>
    <w:rsid w:val="00BA1E7B"/>
    <w:rsid w:val="00BA21C5"/>
    <w:rsid w:val="00BA2EC5"/>
    <w:rsid w:val="00BA4405"/>
    <w:rsid w:val="00BA44B2"/>
    <w:rsid w:val="00BA45B7"/>
    <w:rsid w:val="00BA4D3B"/>
    <w:rsid w:val="00BA4DC9"/>
    <w:rsid w:val="00BA536B"/>
    <w:rsid w:val="00BA5554"/>
    <w:rsid w:val="00BA5958"/>
    <w:rsid w:val="00BA5A93"/>
    <w:rsid w:val="00BA5C2D"/>
    <w:rsid w:val="00BA5D41"/>
    <w:rsid w:val="00BA5EDF"/>
    <w:rsid w:val="00BA6824"/>
    <w:rsid w:val="00BA6E46"/>
    <w:rsid w:val="00BA6F07"/>
    <w:rsid w:val="00BA71F4"/>
    <w:rsid w:val="00BA72B1"/>
    <w:rsid w:val="00BA75F2"/>
    <w:rsid w:val="00BA7D16"/>
    <w:rsid w:val="00BA7D33"/>
    <w:rsid w:val="00BA7DEB"/>
    <w:rsid w:val="00BA7F95"/>
    <w:rsid w:val="00BB064C"/>
    <w:rsid w:val="00BB06C0"/>
    <w:rsid w:val="00BB0AD1"/>
    <w:rsid w:val="00BB10E6"/>
    <w:rsid w:val="00BB1538"/>
    <w:rsid w:val="00BB165C"/>
    <w:rsid w:val="00BB17FD"/>
    <w:rsid w:val="00BB1B94"/>
    <w:rsid w:val="00BB1BF6"/>
    <w:rsid w:val="00BB1F21"/>
    <w:rsid w:val="00BB206A"/>
    <w:rsid w:val="00BB2477"/>
    <w:rsid w:val="00BB249A"/>
    <w:rsid w:val="00BB24F9"/>
    <w:rsid w:val="00BB374A"/>
    <w:rsid w:val="00BB40FB"/>
    <w:rsid w:val="00BB42DA"/>
    <w:rsid w:val="00BB439D"/>
    <w:rsid w:val="00BB51C8"/>
    <w:rsid w:val="00BB54AE"/>
    <w:rsid w:val="00BB575B"/>
    <w:rsid w:val="00BB588D"/>
    <w:rsid w:val="00BB5AF1"/>
    <w:rsid w:val="00BB5E1A"/>
    <w:rsid w:val="00BB65F6"/>
    <w:rsid w:val="00BB67C2"/>
    <w:rsid w:val="00BB6977"/>
    <w:rsid w:val="00BB70CC"/>
    <w:rsid w:val="00BB75C7"/>
    <w:rsid w:val="00BB7FB6"/>
    <w:rsid w:val="00BC00A7"/>
    <w:rsid w:val="00BC0169"/>
    <w:rsid w:val="00BC0717"/>
    <w:rsid w:val="00BC0959"/>
    <w:rsid w:val="00BC1869"/>
    <w:rsid w:val="00BC1D51"/>
    <w:rsid w:val="00BC2105"/>
    <w:rsid w:val="00BC217F"/>
    <w:rsid w:val="00BC22F9"/>
    <w:rsid w:val="00BC2E13"/>
    <w:rsid w:val="00BC31BF"/>
    <w:rsid w:val="00BC34E1"/>
    <w:rsid w:val="00BC4190"/>
    <w:rsid w:val="00BC43C7"/>
    <w:rsid w:val="00BC4C4C"/>
    <w:rsid w:val="00BC54E4"/>
    <w:rsid w:val="00BC5881"/>
    <w:rsid w:val="00BC60A0"/>
    <w:rsid w:val="00BC628A"/>
    <w:rsid w:val="00BC6788"/>
    <w:rsid w:val="00BC6A2D"/>
    <w:rsid w:val="00BC7B4D"/>
    <w:rsid w:val="00BC7E6A"/>
    <w:rsid w:val="00BD00F5"/>
    <w:rsid w:val="00BD1188"/>
    <w:rsid w:val="00BD1B2F"/>
    <w:rsid w:val="00BD2000"/>
    <w:rsid w:val="00BD23FE"/>
    <w:rsid w:val="00BD256C"/>
    <w:rsid w:val="00BD2B4D"/>
    <w:rsid w:val="00BD3701"/>
    <w:rsid w:val="00BD3A6B"/>
    <w:rsid w:val="00BD3B8C"/>
    <w:rsid w:val="00BD3D85"/>
    <w:rsid w:val="00BD4B47"/>
    <w:rsid w:val="00BD4C63"/>
    <w:rsid w:val="00BD53EA"/>
    <w:rsid w:val="00BD59D6"/>
    <w:rsid w:val="00BD6391"/>
    <w:rsid w:val="00BD6BF5"/>
    <w:rsid w:val="00BD760E"/>
    <w:rsid w:val="00BD7BDD"/>
    <w:rsid w:val="00BE0286"/>
    <w:rsid w:val="00BE0A93"/>
    <w:rsid w:val="00BE11B6"/>
    <w:rsid w:val="00BE1872"/>
    <w:rsid w:val="00BE1950"/>
    <w:rsid w:val="00BE2130"/>
    <w:rsid w:val="00BE228F"/>
    <w:rsid w:val="00BE252E"/>
    <w:rsid w:val="00BE255A"/>
    <w:rsid w:val="00BE2609"/>
    <w:rsid w:val="00BE2800"/>
    <w:rsid w:val="00BE3AB1"/>
    <w:rsid w:val="00BE407A"/>
    <w:rsid w:val="00BE47AD"/>
    <w:rsid w:val="00BE4B23"/>
    <w:rsid w:val="00BE5D76"/>
    <w:rsid w:val="00BE6882"/>
    <w:rsid w:val="00BE68E3"/>
    <w:rsid w:val="00BE76D2"/>
    <w:rsid w:val="00BF01CD"/>
    <w:rsid w:val="00BF0403"/>
    <w:rsid w:val="00BF1076"/>
    <w:rsid w:val="00BF17ED"/>
    <w:rsid w:val="00BF1F3E"/>
    <w:rsid w:val="00BF2592"/>
    <w:rsid w:val="00BF2823"/>
    <w:rsid w:val="00BF2836"/>
    <w:rsid w:val="00BF2AB9"/>
    <w:rsid w:val="00BF2B3D"/>
    <w:rsid w:val="00BF3122"/>
    <w:rsid w:val="00BF373F"/>
    <w:rsid w:val="00BF39C4"/>
    <w:rsid w:val="00BF4042"/>
    <w:rsid w:val="00BF4054"/>
    <w:rsid w:val="00BF40C2"/>
    <w:rsid w:val="00BF46F0"/>
    <w:rsid w:val="00BF495A"/>
    <w:rsid w:val="00BF4A19"/>
    <w:rsid w:val="00BF4EDF"/>
    <w:rsid w:val="00BF533F"/>
    <w:rsid w:val="00BF5B39"/>
    <w:rsid w:val="00BF5B65"/>
    <w:rsid w:val="00BF5D06"/>
    <w:rsid w:val="00BF5EAF"/>
    <w:rsid w:val="00BF61D7"/>
    <w:rsid w:val="00BF6897"/>
    <w:rsid w:val="00BF7119"/>
    <w:rsid w:val="00BF71FC"/>
    <w:rsid w:val="00BF73E1"/>
    <w:rsid w:val="00BF7E46"/>
    <w:rsid w:val="00C002FF"/>
    <w:rsid w:val="00C004B6"/>
    <w:rsid w:val="00C018DF"/>
    <w:rsid w:val="00C01CE1"/>
    <w:rsid w:val="00C01E67"/>
    <w:rsid w:val="00C0217C"/>
    <w:rsid w:val="00C025D7"/>
    <w:rsid w:val="00C03454"/>
    <w:rsid w:val="00C0356C"/>
    <w:rsid w:val="00C04498"/>
    <w:rsid w:val="00C0458D"/>
    <w:rsid w:val="00C04672"/>
    <w:rsid w:val="00C04A41"/>
    <w:rsid w:val="00C05018"/>
    <w:rsid w:val="00C052DD"/>
    <w:rsid w:val="00C0577B"/>
    <w:rsid w:val="00C05F19"/>
    <w:rsid w:val="00C05FBD"/>
    <w:rsid w:val="00C06014"/>
    <w:rsid w:val="00C063AA"/>
    <w:rsid w:val="00C0640D"/>
    <w:rsid w:val="00C07777"/>
    <w:rsid w:val="00C07BEC"/>
    <w:rsid w:val="00C1042B"/>
    <w:rsid w:val="00C11245"/>
    <w:rsid w:val="00C112AE"/>
    <w:rsid w:val="00C11769"/>
    <w:rsid w:val="00C11D2D"/>
    <w:rsid w:val="00C11D34"/>
    <w:rsid w:val="00C12199"/>
    <w:rsid w:val="00C12204"/>
    <w:rsid w:val="00C12249"/>
    <w:rsid w:val="00C123C4"/>
    <w:rsid w:val="00C1296A"/>
    <w:rsid w:val="00C136EA"/>
    <w:rsid w:val="00C139EC"/>
    <w:rsid w:val="00C13ED5"/>
    <w:rsid w:val="00C14501"/>
    <w:rsid w:val="00C14598"/>
    <w:rsid w:val="00C14DF5"/>
    <w:rsid w:val="00C1515B"/>
    <w:rsid w:val="00C15171"/>
    <w:rsid w:val="00C1548B"/>
    <w:rsid w:val="00C154DD"/>
    <w:rsid w:val="00C1573E"/>
    <w:rsid w:val="00C15954"/>
    <w:rsid w:val="00C159FB"/>
    <w:rsid w:val="00C15D20"/>
    <w:rsid w:val="00C163AD"/>
    <w:rsid w:val="00C166F3"/>
    <w:rsid w:val="00C167FB"/>
    <w:rsid w:val="00C1680F"/>
    <w:rsid w:val="00C16B7D"/>
    <w:rsid w:val="00C16D3B"/>
    <w:rsid w:val="00C1708E"/>
    <w:rsid w:val="00C17429"/>
    <w:rsid w:val="00C17519"/>
    <w:rsid w:val="00C175B0"/>
    <w:rsid w:val="00C17D95"/>
    <w:rsid w:val="00C201BF"/>
    <w:rsid w:val="00C2033D"/>
    <w:rsid w:val="00C20534"/>
    <w:rsid w:val="00C20655"/>
    <w:rsid w:val="00C20882"/>
    <w:rsid w:val="00C209E1"/>
    <w:rsid w:val="00C21481"/>
    <w:rsid w:val="00C2154B"/>
    <w:rsid w:val="00C21AE4"/>
    <w:rsid w:val="00C223B3"/>
    <w:rsid w:val="00C22B7F"/>
    <w:rsid w:val="00C235D3"/>
    <w:rsid w:val="00C240AE"/>
    <w:rsid w:val="00C24331"/>
    <w:rsid w:val="00C244E6"/>
    <w:rsid w:val="00C2464E"/>
    <w:rsid w:val="00C246E2"/>
    <w:rsid w:val="00C249A5"/>
    <w:rsid w:val="00C24EB3"/>
    <w:rsid w:val="00C2530F"/>
    <w:rsid w:val="00C2536B"/>
    <w:rsid w:val="00C254B5"/>
    <w:rsid w:val="00C26250"/>
    <w:rsid w:val="00C262CB"/>
    <w:rsid w:val="00C267B7"/>
    <w:rsid w:val="00C26F32"/>
    <w:rsid w:val="00C27F94"/>
    <w:rsid w:val="00C3036F"/>
    <w:rsid w:val="00C303AE"/>
    <w:rsid w:val="00C30511"/>
    <w:rsid w:val="00C30A7D"/>
    <w:rsid w:val="00C30C24"/>
    <w:rsid w:val="00C30DA5"/>
    <w:rsid w:val="00C31B4C"/>
    <w:rsid w:val="00C32485"/>
    <w:rsid w:val="00C3282A"/>
    <w:rsid w:val="00C33341"/>
    <w:rsid w:val="00C33CE3"/>
    <w:rsid w:val="00C33E1F"/>
    <w:rsid w:val="00C33EB3"/>
    <w:rsid w:val="00C34646"/>
    <w:rsid w:val="00C34843"/>
    <w:rsid w:val="00C34D5C"/>
    <w:rsid w:val="00C35A27"/>
    <w:rsid w:val="00C35CDB"/>
    <w:rsid w:val="00C35D48"/>
    <w:rsid w:val="00C365E4"/>
    <w:rsid w:val="00C365E7"/>
    <w:rsid w:val="00C366EE"/>
    <w:rsid w:val="00C368C1"/>
    <w:rsid w:val="00C36C8C"/>
    <w:rsid w:val="00C37400"/>
    <w:rsid w:val="00C3761F"/>
    <w:rsid w:val="00C37CB2"/>
    <w:rsid w:val="00C4006A"/>
    <w:rsid w:val="00C402B6"/>
    <w:rsid w:val="00C4035D"/>
    <w:rsid w:val="00C408EA"/>
    <w:rsid w:val="00C409ED"/>
    <w:rsid w:val="00C41322"/>
    <w:rsid w:val="00C424AF"/>
    <w:rsid w:val="00C42553"/>
    <w:rsid w:val="00C42796"/>
    <w:rsid w:val="00C42C93"/>
    <w:rsid w:val="00C42E1F"/>
    <w:rsid w:val="00C42EF6"/>
    <w:rsid w:val="00C43093"/>
    <w:rsid w:val="00C444FB"/>
    <w:rsid w:val="00C44F9F"/>
    <w:rsid w:val="00C44FF6"/>
    <w:rsid w:val="00C45A74"/>
    <w:rsid w:val="00C45E4B"/>
    <w:rsid w:val="00C46077"/>
    <w:rsid w:val="00C46B14"/>
    <w:rsid w:val="00C4715B"/>
    <w:rsid w:val="00C47EE6"/>
    <w:rsid w:val="00C50028"/>
    <w:rsid w:val="00C50357"/>
    <w:rsid w:val="00C50386"/>
    <w:rsid w:val="00C5044C"/>
    <w:rsid w:val="00C505A7"/>
    <w:rsid w:val="00C518C0"/>
    <w:rsid w:val="00C51960"/>
    <w:rsid w:val="00C51E21"/>
    <w:rsid w:val="00C52232"/>
    <w:rsid w:val="00C525A8"/>
    <w:rsid w:val="00C52926"/>
    <w:rsid w:val="00C53873"/>
    <w:rsid w:val="00C53CDA"/>
    <w:rsid w:val="00C541B0"/>
    <w:rsid w:val="00C55A66"/>
    <w:rsid w:val="00C55BA4"/>
    <w:rsid w:val="00C55E3D"/>
    <w:rsid w:val="00C56540"/>
    <w:rsid w:val="00C56B70"/>
    <w:rsid w:val="00C5708E"/>
    <w:rsid w:val="00C6008F"/>
    <w:rsid w:val="00C603D3"/>
    <w:rsid w:val="00C6062B"/>
    <w:rsid w:val="00C606F0"/>
    <w:rsid w:val="00C60964"/>
    <w:rsid w:val="00C61068"/>
    <w:rsid w:val="00C61134"/>
    <w:rsid w:val="00C62193"/>
    <w:rsid w:val="00C6245E"/>
    <w:rsid w:val="00C62533"/>
    <w:rsid w:val="00C6255D"/>
    <w:rsid w:val="00C625A0"/>
    <w:rsid w:val="00C625C1"/>
    <w:rsid w:val="00C62D5C"/>
    <w:rsid w:val="00C633A2"/>
    <w:rsid w:val="00C63B33"/>
    <w:rsid w:val="00C63BFB"/>
    <w:rsid w:val="00C63E68"/>
    <w:rsid w:val="00C64AC5"/>
    <w:rsid w:val="00C6521A"/>
    <w:rsid w:val="00C655AF"/>
    <w:rsid w:val="00C661FA"/>
    <w:rsid w:val="00C66711"/>
    <w:rsid w:val="00C66B28"/>
    <w:rsid w:val="00C66BFE"/>
    <w:rsid w:val="00C7010B"/>
    <w:rsid w:val="00C70428"/>
    <w:rsid w:val="00C71377"/>
    <w:rsid w:val="00C7156C"/>
    <w:rsid w:val="00C71596"/>
    <w:rsid w:val="00C72505"/>
    <w:rsid w:val="00C72A08"/>
    <w:rsid w:val="00C72B66"/>
    <w:rsid w:val="00C735ED"/>
    <w:rsid w:val="00C7367D"/>
    <w:rsid w:val="00C73E22"/>
    <w:rsid w:val="00C74281"/>
    <w:rsid w:val="00C7456C"/>
    <w:rsid w:val="00C74612"/>
    <w:rsid w:val="00C749D5"/>
    <w:rsid w:val="00C74BA7"/>
    <w:rsid w:val="00C7509F"/>
    <w:rsid w:val="00C759D5"/>
    <w:rsid w:val="00C768AB"/>
    <w:rsid w:val="00C76E12"/>
    <w:rsid w:val="00C77081"/>
    <w:rsid w:val="00C774A8"/>
    <w:rsid w:val="00C77BD5"/>
    <w:rsid w:val="00C800F2"/>
    <w:rsid w:val="00C81487"/>
    <w:rsid w:val="00C829FF"/>
    <w:rsid w:val="00C83A11"/>
    <w:rsid w:val="00C83B43"/>
    <w:rsid w:val="00C83D32"/>
    <w:rsid w:val="00C83F36"/>
    <w:rsid w:val="00C841DD"/>
    <w:rsid w:val="00C844A3"/>
    <w:rsid w:val="00C8497E"/>
    <w:rsid w:val="00C84D45"/>
    <w:rsid w:val="00C85AEC"/>
    <w:rsid w:val="00C85B88"/>
    <w:rsid w:val="00C85C76"/>
    <w:rsid w:val="00C85CC1"/>
    <w:rsid w:val="00C87841"/>
    <w:rsid w:val="00C90448"/>
    <w:rsid w:val="00C9048D"/>
    <w:rsid w:val="00C90564"/>
    <w:rsid w:val="00C915BB"/>
    <w:rsid w:val="00C91BE6"/>
    <w:rsid w:val="00C91C9E"/>
    <w:rsid w:val="00C927C4"/>
    <w:rsid w:val="00C92AF8"/>
    <w:rsid w:val="00C92E0A"/>
    <w:rsid w:val="00C931AF"/>
    <w:rsid w:val="00C93277"/>
    <w:rsid w:val="00C937A9"/>
    <w:rsid w:val="00C947B9"/>
    <w:rsid w:val="00C949C0"/>
    <w:rsid w:val="00C94D78"/>
    <w:rsid w:val="00C95081"/>
    <w:rsid w:val="00C9556B"/>
    <w:rsid w:val="00C95E95"/>
    <w:rsid w:val="00C95FFD"/>
    <w:rsid w:val="00C96755"/>
    <w:rsid w:val="00C9684F"/>
    <w:rsid w:val="00C96B01"/>
    <w:rsid w:val="00C96B9A"/>
    <w:rsid w:val="00C9748D"/>
    <w:rsid w:val="00C975E0"/>
    <w:rsid w:val="00C97FF2"/>
    <w:rsid w:val="00CA0C9D"/>
    <w:rsid w:val="00CA0D50"/>
    <w:rsid w:val="00CA10D3"/>
    <w:rsid w:val="00CA1B58"/>
    <w:rsid w:val="00CA1D0D"/>
    <w:rsid w:val="00CA23BE"/>
    <w:rsid w:val="00CA244A"/>
    <w:rsid w:val="00CA2A68"/>
    <w:rsid w:val="00CA39C0"/>
    <w:rsid w:val="00CA3A0C"/>
    <w:rsid w:val="00CA3FB3"/>
    <w:rsid w:val="00CA4779"/>
    <w:rsid w:val="00CA4B40"/>
    <w:rsid w:val="00CA4CFE"/>
    <w:rsid w:val="00CA5E81"/>
    <w:rsid w:val="00CA6161"/>
    <w:rsid w:val="00CA65A1"/>
    <w:rsid w:val="00CA6A49"/>
    <w:rsid w:val="00CA6B66"/>
    <w:rsid w:val="00CA6FFD"/>
    <w:rsid w:val="00CA7A58"/>
    <w:rsid w:val="00CB003B"/>
    <w:rsid w:val="00CB0866"/>
    <w:rsid w:val="00CB10BA"/>
    <w:rsid w:val="00CB116D"/>
    <w:rsid w:val="00CB1F20"/>
    <w:rsid w:val="00CB2329"/>
    <w:rsid w:val="00CB29BF"/>
    <w:rsid w:val="00CB2C1A"/>
    <w:rsid w:val="00CB2F9D"/>
    <w:rsid w:val="00CB4256"/>
    <w:rsid w:val="00CB573F"/>
    <w:rsid w:val="00CB59B5"/>
    <w:rsid w:val="00CB5B10"/>
    <w:rsid w:val="00CB61FA"/>
    <w:rsid w:val="00CB64C7"/>
    <w:rsid w:val="00CB672D"/>
    <w:rsid w:val="00CB6DC9"/>
    <w:rsid w:val="00CB71CC"/>
    <w:rsid w:val="00CB788D"/>
    <w:rsid w:val="00CB7D08"/>
    <w:rsid w:val="00CC020B"/>
    <w:rsid w:val="00CC098E"/>
    <w:rsid w:val="00CC0D0A"/>
    <w:rsid w:val="00CC0EF9"/>
    <w:rsid w:val="00CC18FE"/>
    <w:rsid w:val="00CC2328"/>
    <w:rsid w:val="00CC236C"/>
    <w:rsid w:val="00CC2782"/>
    <w:rsid w:val="00CC27EC"/>
    <w:rsid w:val="00CC29C7"/>
    <w:rsid w:val="00CC2FDA"/>
    <w:rsid w:val="00CC31B8"/>
    <w:rsid w:val="00CC3E7A"/>
    <w:rsid w:val="00CC3F5C"/>
    <w:rsid w:val="00CC4446"/>
    <w:rsid w:val="00CC4476"/>
    <w:rsid w:val="00CC4590"/>
    <w:rsid w:val="00CC47E0"/>
    <w:rsid w:val="00CC485E"/>
    <w:rsid w:val="00CC4CAA"/>
    <w:rsid w:val="00CC4D1C"/>
    <w:rsid w:val="00CC5113"/>
    <w:rsid w:val="00CC5672"/>
    <w:rsid w:val="00CC59D0"/>
    <w:rsid w:val="00CC5DA1"/>
    <w:rsid w:val="00CC6362"/>
    <w:rsid w:val="00CC7656"/>
    <w:rsid w:val="00CC7ACD"/>
    <w:rsid w:val="00CD04E8"/>
    <w:rsid w:val="00CD0516"/>
    <w:rsid w:val="00CD0615"/>
    <w:rsid w:val="00CD0B39"/>
    <w:rsid w:val="00CD142E"/>
    <w:rsid w:val="00CD1975"/>
    <w:rsid w:val="00CD1A50"/>
    <w:rsid w:val="00CD1DAE"/>
    <w:rsid w:val="00CD1EA8"/>
    <w:rsid w:val="00CD2568"/>
    <w:rsid w:val="00CD28E3"/>
    <w:rsid w:val="00CD2AD7"/>
    <w:rsid w:val="00CD3649"/>
    <w:rsid w:val="00CD3EC4"/>
    <w:rsid w:val="00CD4697"/>
    <w:rsid w:val="00CD46D3"/>
    <w:rsid w:val="00CD49AC"/>
    <w:rsid w:val="00CD56E6"/>
    <w:rsid w:val="00CD576B"/>
    <w:rsid w:val="00CD5818"/>
    <w:rsid w:val="00CD5AAE"/>
    <w:rsid w:val="00CD65DD"/>
    <w:rsid w:val="00CD65FF"/>
    <w:rsid w:val="00CD6849"/>
    <w:rsid w:val="00CD6E0B"/>
    <w:rsid w:val="00CD7395"/>
    <w:rsid w:val="00CD73CA"/>
    <w:rsid w:val="00CD747C"/>
    <w:rsid w:val="00CD7D69"/>
    <w:rsid w:val="00CE075C"/>
    <w:rsid w:val="00CE0B09"/>
    <w:rsid w:val="00CE13FB"/>
    <w:rsid w:val="00CE17F5"/>
    <w:rsid w:val="00CE29A4"/>
    <w:rsid w:val="00CE2E2B"/>
    <w:rsid w:val="00CE2EE9"/>
    <w:rsid w:val="00CE2EED"/>
    <w:rsid w:val="00CE2F59"/>
    <w:rsid w:val="00CE30D5"/>
    <w:rsid w:val="00CE3B21"/>
    <w:rsid w:val="00CE4322"/>
    <w:rsid w:val="00CE43D2"/>
    <w:rsid w:val="00CE45EE"/>
    <w:rsid w:val="00CE4887"/>
    <w:rsid w:val="00CE4AD4"/>
    <w:rsid w:val="00CE4C27"/>
    <w:rsid w:val="00CE5248"/>
    <w:rsid w:val="00CE54A7"/>
    <w:rsid w:val="00CE5AAC"/>
    <w:rsid w:val="00CE5DC0"/>
    <w:rsid w:val="00CE617C"/>
    <w:rsid w:val="00CE6321"/>
    <w:rsid w:val="00CE657F"/>
    <w:rsid w:val="00CE7124"/>
    <w:rsid w:val="00CE7541"/>
    <w:rsid w:val="00CE75AF"/>
    <w:rsid w:val="00CF1386"/>
    <w:rsid w:val="00CF192B"/>
    <w:rsid w:val="00CF2B55"/>
    <w:rsid w:val="00CF2ED8"/>
    <w:rsid w:val="00CF318E"/>
    <w:rsid w:val="00CF33A2"/>
    <w:rsid w:val="00CF3884"/>
    <w:rsid w:val="00CF3949"/>
    <w:rsid w:val="00CF3A3B"/>
    <w:rsid w:val="00CF3BE2"/>
    <w:rsid w:val="00CF58FE"/>
    <w:rsid w:val="00CF59CE"/>
    <w:rsid w:val="00CF5F18"/>
    <w:rsid w:val="00CF604E"/>
    <w:rsid w:val="00CF6C9A"/>
    <w:rsid w:val="00CF6DD4"/>
    <w:rsid w:val="00CF6DE8"/>
    <w:rsid w:val="00CF765B"/>
    <w:rsid w:val="00CF78EE"/>
    <w:rsid w:val="00CF7A7E"/>
    <w:rsid w:val="00CF7F3E"/>
    <w:rsid w:val="00D00219"/>
    <w:rsid w:val="00D00477"/>
    <w:rsid w:val="00D005D8"/>
    <w:rsid w:val="00D00728"/>
    <w:rsid w:val="00D007E5"/>
    <w:rsid w:val="00D008D5"/>
    <w:rsid w:val="00D0189D"/>
    <w:rsid w:val="00D026F5"/>
    <w:rsid w:val="00D02B26"/>
    <w:rsid w:val="00D02F03"/>
    <w:rsid w:val="00D0306C"/>
    <w:rsid w:val="00D030EC"/>
    <w:rsid w:val="00D03A5A"/>
    <w:rsid w:val="00D03B36"/>
    <w:rsid w:val="00D044B6"/>
    <w:rsid w:val="00D05071"/>
    <w:rsid w:val="00D056B9"/>
    <w:rsid w:val="00D05C23"/>
    <w:rsid w:val="00D05F03"/>
    <w:rsid w:val="00D05F1A"/>
    <w:rsid w:val="00D06FF5"/>
    <w:rsid w:val="00D07AD8"/>
    <w:rsid w:val="00D07E69"/>
    <w:rsid w:val="00D07F34"/>
    <w:rsid w:val="00D10E04"/>
    <w:rsid w:val="00D117E4"/>
    <w:rsid w:val="00D11AA2"/>
    <w:rsid w:val="00D11BDF"/>
    <w:rsid w:val="00D11F2D"/>
    <w:rsid w:val="00D12254"/>
    <w:rsid w:val="00D12869"/>
    <w:rsid w:val="00D13EE0"/>
    <w:rsid w:val="00D148AB"/>
    <w:rsid w:val="00D150FD"/>
    <w:rsid w:val="00D1573C"/>
    <w:rsid w:val="00D15AB4"/>
    <w:rsid w:val="00D15EC2"/>
    <w:rsid w:val="00D165FA"/>
    <w:rsid w:val="00D169BD"/>
    <w:rsid w:val="00D1711C"/>
    <w:rsid w:val="00D17126"/>
    <w:rsid w:val="00D17602"/>
    <w:rsid w:val="00D17741"/>
    <w:rsid w:val="00D1783E"/>
    <w:rsid w:val="00D17922"/>
    <w:rsid w:val="00D17E01"/>
    <w:rsid w:val="00D205D5"/>
    <w:rsid w:val="00D213E0"/>
    <w:rsid w:val="00D215A7"/>
    <w:rsid w:val="00D21643"/>
    <w:rsid w:val="00D22468"/>
    <w:rsid w:val="00D22F94"/>
    <w:rsid w:val="00D2324D"/>
    <w:rsid w:val="00D2361C"/>
    <w:rsid w:val="00D249BE"/>
    <w:rsid w:val="00D25B64"/>
    <w:rsid w:val="00D268FB"/>
    <w:rsid w:val="00D270B1"/>
    <w:rsid w:val="00D30231"/>
    <w:rsid w:val="00D303CE"/>
    <w:rsid w:val="00D30512"/>
    <w:rsid w:val="00D306EA"/>
    <w:rsid w:val="00D30A19"/>
    <w:rsid w:val="00D310BC"/>
    <w:rsid w:val="00D31B65"/>
    <w:rsid w:val="00D325F1"/>
    <w:rsid w:val="00D32689"/>
    <w:rsid w:val="00D327B3"/>
    <w:rsid w:val="00D3294C"/>
    <w:rsid w:val="00D33129"/>
    <w:rsid w:val="00D334D1"/>
    <w:rsid w:val="00D34F65"/>
    <w:rsid w:val="00D3544C"/>
    <w:rsid w:val="00D356AE"/>
    <w:rsid w:val="00D363E0"/>
    <w:rsid w:val="00D367EF"/>
    <w:rsid w:val="00D36E44"/>
    <w:rsid w:val="00D36F88"/>
    <w:rsid w:val="00D37141"/>
    <w:rsid w:val="00D37E45"/>
    <w:rsid w:val="00D40031"/>
    <w:rsid w:val="00D409CD"/>
    <w:rsid w:val="00D4100B"/>
    <w:rsid w:val="00D414C0"/>
    <w:rsid w:val="00D42287"/>
    <w:rsid w:val="00D42C49"/>
    <w:rsid w:val="00D42DFC"/>
    <w:rsid w:val="00D43468"/>
    <w:rsid w:val="00D434BE"/>
    <w:rsid w:val="00D44002"/>
    <w:rsid w:val="00D44046"/>
    <w:rsid w:val="00D44048"/>
    <w:rsid w:val="00D4461B"/>
    <w:rsid w:val="00D4471C"/>
    <w:rsid w:val="00D44814"/>
    <w:rsid w:val="00D44E4E"/>
    <w:rsid w:val="00D45076"/>
    <w:rsid w:val="00D453C5"/>
    <w:rsid w:val="00D45609"/>
    <w:rsid w:val="00D46256"/>
    <w:rsid w:val="00D46697"/>
    <w:rsid w:val="00D466C5"/>
    <w:rsid w:val="00D46987"/>
    <w:rsid w:val="00D46BDE"/>
    <w:rsid w:val="00D46D4E"/>
    <w:rsid w:val="00D4730A"/>
    <w:rsid w:val="00D47947"/>
    <w:rsid w:val="00D500BA"/>
    <w:rsid w:val="00D505A6"/>
    <w:rsid w:val="00D50BAE"/>
    <w:rsid w:val="00D50EF8"/>
    <w:rsid w:val="00D51768"/>
    <w:rsid w:val="00D52E1A"/>
    <w:rsid w:val="00D52E22"/>
    <w:rsid w:val="00D53049"/>
    <w:rsid w:val="00D53086"/>
    <w:rsid w:val="00D536B9"/>
    <w:rsid w:val="00D53EB5"/>
    <w:rsid w:val="00D543BA"/>
    <w:rsid w:val="00D5479F"/>
    <w:rsid w:val="00D54CA9"/>
    <w:rsid w:val="00D54F37"/>
    <w:rsid w:val="00D55AA1"/>
    <w:rsid w:val="00D55C1F"/>
    <w:rsid w:val="00D56555"/>
    <w:rsid w:val="00D566A6"/>
    <w:rsid w:val="00D567B0"/>
    <w:rsid w:val="00D5688F"/>
    <w:rsid w:val="00D56A66"/>
    <w:rsid w:val="00D56D19"/>
    <w:rsid w:val="00D56D82"/>
    <w:rsid w:val="00D56DEE"/>
    <w:rsid w:val="00D57263"/>
    <w:rsid w:val="00D573C6"/>
    <w:rsid w:val="00D57417"/>
    <w:rsid w:val="00D5770A"/>
    <w:rsid w:val="00D6044F"/>
    <w:rsid w:val="00D61246"/>
    <w:rsid w:val="00D61379"/>
    <w:rsid w:val="00D61698"/>
    <w:rsid w:val="00D62563"/>
    <w:rsid w:val="00D63624"/>
    <w:rsid w:val="00D63672"/>
    <w:rsid w:val="00D636F2"/>
    <w:rsid w:val="00D639D1"/>
    <w:rsid w:val="00D63EAF"/>
    <w:rsid w:val="00D64553"/>
    <w:rsid w:val="00D648EB"/>
    <w:rsid w:val="00D64B5C"/>
    <w:rsid w:val="00D64ECB"/>
    <w:rsid w:val="00D66514"/>
    <w:rsid w:val="00D66EF6"/>
    <w:rsid w:val="00D67058"/>
    <w:rsid w:val="00D671CC"/>
    <w:rsid w:val="00D6785A"/>
    <w:rsid w:val="00D67D47"/>
    <w:rsid w:val="00D67E9B"/>
    <w:rsid w:val="00D705EC"/>
    <w:rsid w:val="00D71287"/>
    <w:rsid w:val="00D71C75"/>
    <w:rsid w:val="00D722C8"/>
    <w:rsid w:val="00D72986"/>
    <w:rsid w:val="00D72C08"/>
    <w:rsid w:val="00D72E9D"/>
    <w:rsid w:val="00D73049"/>
    <w:rsid w:val="00D733ED"/>
    <w:rsid w:val="00D73D60"/>
    <w:rsid w:val="00D743C7"/>
    <w:rsid w:val="00D743F2"/>
    <w:rsid w:val="00D74405"/>
    <w:rsid w:val="00D74AE9"/>
    <w:rsid w:val="00D75030"/>
    <w:rsid w:val="00D752F5"/>
    <w:rsid w:val="00D75419"/>
    <w:rsid w:val="00D75834"/>
    <w:rsid w:val="00D7587F"/>
    <w:rsid w:val="00D75F28"/>
    <w:rsid w:val="00D76012"/>
    <w:rsid w:val="00D76656"/>
    <w:rsid w:val="00D76917"/>
    <w:rsid w:val="00D769E0"/>
    <w:rsid w:val="00D772DE"/>
    <w:rsid w:val="00D77E5C"/>
    <w:rsid w:val="00D80043"/>
    <w:rsid w:val="00D801A0"/>
    <w:rsid w:val="00D8045A"/>
    <w:rsid w:val="00D805C3"/>
    <w:rsid w:val="00D80A5A"/>
    <w:rsid w:val="00D80C63"/>
    <w:rsid w:val="00D80F2C"/>
    <w:rsid w:val="00D80F89"/>
    <w:rsid w:val="00D81291"/>
    <w:rsid w:val="00D812B8"/>
    <w:rsid w:val="00D822EE"/>
    <w:rsid w:val="00D82894"/>
    <w:rsid w:val="00D82942"/>
    <w:rsid w:val="00D82955"/>
    <w:rsid w:val="00D83457"/>
    <w:rsid w:val="00D8381B"/>
    <w:rsid w:val="00D83A7D"/>
    <w:rsid w:val="00D8441C"/>
    <w:rsid w:val="00D848DF"/>
    <w:rsid w:val="00D84945"/>
    <w:rsid w:val="00D85049"/>
    <w:rsid w:val="00D85557"/>
    <w:rsid w:val="00D85A21"/>
    <w:rsid w:val="00D85B89"/>
    <w:rsid w:val="00D85C87"/>
    <w:rsid w:val="00D85F4E"/>
    <w:rsid w:val="00D8652B"/>
    <w:rsid w:val="00D865F5"/>
    <w:rsid w:val="00D87982"/>
    <w:rsid w:val="00D87A98"/>
    <w:rsid w:val="00D87D01"/>
    <w:rsid w:val="00D90594"/>
    <w:rsid w:val="00D90D98"/>
    <w:rsid w:val="00D9100D"/>
    <w:rsid w:val="00D91351"/>
    <w:rsid w:val="00D9257B"/>
    <w:rsid w:val="00D925FD"/>
    <w:rsid w:val="00D92834"/>
    <w:rsid w:val="00D92AC1"/>
    <w:rsid w:val="00D92B33"/>
    <w:rsid w:val="00D92B4D"/>
    <w:rsid w:val="00D932E2"/>
    <w:rsid w:val="00D93332"/>
    <w:rsid w:val="00D9490B"/>
    <w:rsid w:val="00D94A85"/>
    <w:rsid w:val="00D94DF0"/>
    <w:rsid w:val="00D956B3"/>
    <w:rsid w:val="00D9648B"/>
    <w:rsid w:val="00D96ACB"/>
    <w:rsid w:val="00D96CCF"/>
    <w:rsid w:val="00D96D2D"/>
    <w:rsid w:val="00D96EDD"/>
    <w:rsid w:val="00D97724"/>
    <w:rsid w:val="00D97893"/>
    <w:rsid w:val="00DA075C"/>
    <w:rsid w:val="00DA0762"/>
    <w:rsid w:val="00DA08B4"/>
    <w:rsid w:val="00DA11E2"/>
    <w:rsid w:val="00DA1703"/>
    <w:rsid w:val="00DA2CB4"/>
    <w:rsid w:val="00DA2E3D"/>
    <w:rsid w:val="00DA306F"/>
    <w:rsid w:val="00DA3107"/>
    <w:rsid w:val="00DA346E"/>
    <w:rsid w:val="00DA35EC"/>
    <w:rsid w:val="00DA368C"/>
    <w:rsid w:val="00DA396E"/>
    <w:rsid w:val="00DA3EE5"/>
    <w:rsid w:val="00DA4120"/>
    <w:rsid w:val="00DA4AB6"/>
    <w:rsid w:val="00DA4D54"/>
    <w:rsid w:val="00DA5B71"/>
    <w:rsid w:val="00DA6AB6"/>
    <w:rsid w:val="00DA6B5D"/>
    <w:rsid w:val="00DA7C3D"/>
    <w:rsid w:val="00DB0540"/>
    <w:rsid w:val="00DB068E"/>
    <w:rsid w:val="00DB0953"/>
    <w:rsid w:val="00DB1ED7"/>
    <w:rsid w:val="00DB1F9C"/>
    <w:rsid w:val="00DB21F8"/>
    <w:rsid w:val="00DB2471"/>
    <w:rsid w:val="00DB2926"/>
    <w:rsid w:val="00DB2B3E"/>
    <w:rsid w:val="00DB2B93"/>
    <w:rsid w:val="00DB2E30"/>
    <w:rsid w:val="00DB3320"/>
    <w:rsid w:val="00DB34F4"/>
    <w:rsid w:val="00DB39A5"/>
    <w:rsid w:val="00DB3A61"/>
    <w:rsid w:val="00DB3E8B"/>
    <w:rsid w:val="00DB3F3E"/>
    <w:rsid w:val="00DB43A3"/>
    <w:rsid w:val="00DB4595"/>
    <w:rsid w:val="00DB4D54"/>
    <w:rsid w:val="00DB4EDC"/>
    <w:rsid w:val="00DB56C0"/>
    <w:rsid w:val="00DB57BF"/>
    <w:rsid w:val="00DB5A4C"/>
    <w:rsid w:val="00DB5BA3"/>
    <w:rsid w:val="00DB5DA3"/>
    <w:rsid w:val="00DB638F"/>
    <w:rsid w:val="00DB65A4"/>
    <w:rsid w:val="00DB6711"/>
    <w:rsid w:val="00DB70C3"/>
    <w:rsid w:val="00DB730F"/>
    <w:rsid w:val="00DB7A80"/>
    <w:rsid w:val="00DC01E8"/>
    <w:rsid w:val="00DC020B"/>
    <w:rsid w:val="00DC035C"/>
    <w:rsid w:val="00DC0BD6"/>
    <w:rsid w:val="00DC10F9"/>
    <w:rsid w:val="00DC1499"/>
    <w:rsid w:val="00DC1B36"/>
    <w:rsid w:val="00DC30F1"/>
    <w:rsid w:val="00DC323E"/>
    <w:rsid w:val="00DC330C"/>
    <w:rsid w:val="00DC35BF"/>
    <w:rsid w:val="00DC3C3E"/>
    <w:rsid w:val="00DC3F41"/>
    <w:rsid w:val="00DC467E"/>
    <w:rsid w:val="00DC47D9"/>
    <w:rsid w:val="00DC490A"/>
    <w:rsid w:val="00DC55A9"/>
    <w:rsid w:val="00DC566F"/>
    <w:rsid w:val="00DC626C"/>
    <w:rsid w:val="00DC6C95"/>
    <w:rsid w:val="00DC710E"/>
    <w:rsid w:val="00DC721C"/>
    <w:rsid w:val="00DC725D"/>
    <w:rsid w:val="00DC744F"/>
    <w:rsid w:val="00DC7DB1"/>
    <w:rsid w:val="00DC7EAC"/>
    <w:rsid w:val="00DD03D3"/>
    <w:rsid w:val="00DD04B4"/>
    <w:rsid w:val="00DD092F"/>
    <w:rsid w:val="00DD12CC"/>
    <w:rsid w:val="00DD13E6"/>
    <w:rsid w:val="00DD16A4"/>
    <w:rsid w:val="00DD19AB"/>
    <w:rsid w:val="00DD1D23"/>
    <w:rsid w:val="00DD22BA"/>
    <w:rsid w:val="00DD2FDD"/>
    <w:rsid w:val="00DD3054"/>
    <w:rsid w:val="00DD3663"/>
    <w:rsid w:val="00DD4069"/>
    <w:rsid w:val="00DD4219"/>
    <w:rsid w:val="00DD4CD9"/>
    <w:rsid w:val="00DD5344"/>
    <w:rsid w:val="00DD5DAF"/>
    <w:rsid w:val="00DD5E25"/>
    <w:rsid w:val="00DD5E36"/>
    <w:rsid w:val="00DD5E7F"/>
    <w:rsid w:val="00DD66A6"/>
    <w:rsid w:val="00DD69B2"/>
    <w:rsid w:val="00DD6C35"/>
    <w:rsid w:val="00DD6C9B"/>
    <w:rsid w:val="00DD75B0"/>
    <w:rsid w:val="00DD79F1"/>
    <w:rsid w:val="00DD7CC4"/>
    <w:rsid w:val="00DD7F83"/>
    <w:rsid w:val="00DD7FE9"/>
    <w:rsid w:val="00DE08FA"/>
    <w:rsid w:val="00DE0967"/>
    <w:rsid w:val="00DE119F"/>
    <w:rsid w:val="00DE2F5F"/>
    <w:rsid w:val="00DE355D"/>
    <w:rsid w:val="00DE3A71"/>
    <w:rsid w:val="00DE4070"/>
    <w:rsid w:val="00DE4412"/>
    <w:rsid w:val="00DE44EF"/>
    <w:rsid w:val="00DE51AC"/>
    <w:rsid w:val="00DE51BE"/>
    <w:rsid w:val="00DE57EA"/>
    <w:rsid w:val="00DE5FF0"/>
    <w:rsid w:val="00DE6041"/>
    <w:rsid w:val="00DE6052"/>
    <w:rsid w:val="00DE62C9"/>
    <w:rsid w:val="00DE71FF"/>
    <w:rsid w:val="00DE734D"/>
    <w:rsid w:val="00DE7707"/>
    <w:rsid w:val="00DE7F52"/>
    <w:rsid w:val="00DF0288"/>
    <w:rsid w:val="00DF06D5"/>
    <w:rsid w:val="00DF0CCB"/>
    <w:rsid w:val="00DF0CDE"/>
    <w:rsid w:val="00DF1A0C"/>
    <w:rsid w:val="00DF1B9C"/>
    <w:rsid w:val="00DF1F4A"/>
    <w:rsid w:val="00DF248E"/>
    <w:rsid w:val="00DF26B2"/>
    <w:rsid w:val="00DF2DFA"/>
    <w:rsid w:val="00DF2F5A"/>
    <w:rsid w:val="00DF35E0"/>
    <w:rsid w:val="00DF36D7"/>
    <w:rsid w:val="00DF3C39"/>
    <w:rsid w:val="00DF3E18"/>
    <w:rsid w:val="00DF4946"/>
    <w:rsid w:val="00DF5014"/>
    <w:rsid w:val="00DF5413"/>
    <w:rsid w:val="00DF55A2"/>
    <w:rsid w:val="00DF5724"/>
    <w:rsid w:val="00DF5EC3"/>
    <w:rsid w:val="00DF6078"/>
    <w:rsid w:val="00DF6F52"/>
    <w:rsid w:val="00DF78CD"/>
    <w:rsid w:val="00DF7C96"/>
    <w:rsid w:val="00E006CE"/>
    <w:rsid w:val="00E012FE"/>
    <w:rsid w:val="00E014FB"/>
    <w:rsid w:val="00E018EA"/>
    <w:rsid w:val="00E01B6F"/>
    <w:rsid w:val="00E01D26"/>
    <w:rsid w:val="00E02221"/>
    <w:rsid w:val="00E02673"/>
    <w:rsid w:val="00E02F83"/>
    <w:rsid w:val="00E031B9"/>
    <w:rsid w:val="00E03BCE"/>
    <w:rsid w:val="00E03D32"/>
    <w:rsid w:val="00E03E80"/>
    <w:rsid w:val="00E0438B"/>
    <w:rsid w:val="00E04605"/>
    <w:rsid w:val="00E05973"/>
    <w:rsid w:val="00E05D33"/>
    <w:rsid w:val="00E05F2F"/>
    <w:rsid w:val="00E06783"/>
    <w:rsid w:val="00E06B21"/>
    <w:rsid w:val="00E071BF"/>
    <w:rsid w:val="00E10C75"/>
    <w:rsid w:val="00E10D9D"/>
    <w:rsid w:val="00E11123"/>
    <w:rsid w:val="00E112AA"/>
    <w:rsid w:val="00E11325"/>
    <w:rsid w:val="00E11584"/>
    <w:rsid w:val="00E11CA1"/>
    <w:rsid w:val="00E120B4"/>
    <w:rsid w:val="00E125F5"/>
    <w:rsid w:val="00E1276A"/>
    <w:rsid w:val="00E13B9C"/>
    <w:rsid w:val="00E1432F"/>
    <w:rsid w:val="00E14602"/>
    <w:rsid w:val="00E14C72"/>
    <w:rsid w:val="00E1591C"/>
    <w:rsid w:val="00E165BB"/>
    <w:rsid w:val="00E170B1"/>
    <w:rsid w:val="00E171D8"/>
    <w:rsid w:val="00E173BE"/>
    <w:rsid w:val="00E17575"/>
    <w:rsid w:val="00E176BA"/>
    <w:rsid w:val="00E17F05"/>
    <w:rsid w:val="00E201A6"/>
    <w:rsid w:val="00E20551"/>
    <w:rsid w:val="00E20C13"/>
    <w:rsid w:val="00E20D2D"/>
    <w:rsid w:val="00E21669"/>
    <w:rsid w:val="00E21841"/>
    <w:rsid w:val="00E221C6"/>
    <w:rsid w:val="00E2245D"/>
    <w:rsid w:val="00E22731"/>
    <w:rsid w:val="00E22793"/>
    <w:rsid w:val="00E22932"/>
    <w:rsid w:val="00E22A84"/>
    <w:rsid w:val="00E22AD6"/>
    <w:rsid w:val="00E22B6F"/>
    <w:rsid w:val="00E22E17"/>
    <w:rsid w:val="00E232B4"/>
    <w:rsid w:val="00E23618"/>
    <w:rsid w:val="00E244D3"/>
    <w:rsid w:val="00E24D4B"/>
    <w:rsid w:val="00E24D73"/>
    <w:rsid w:val="00E250CD"/>
    <w:rsid w:val="00E2556F"/>
    <w:rsid w:val="00E25773"/>
    <w:rsid w:val="00E25B37"/>
    <w:rsid w:val="00E25CFE"/>
    <w:rsid w:val="00E25F35"/>
    <w:rsid w:val="00E2607A"/>
    <w:rsid w:val="00E261EC"/>
    <w:rsid w:val="00E27080"/>
    <w:rsid w:val="00E27854"/>
    <w:rsid w:val="00E300A3"/>
    <w:rsid w:val="00E30616"/>
    <w:rsid w:val="00E309C8"/>
    <w:rsid w:val="00E30F22"/>
    <w:rsid w:val="00E311F8"/>
    <w:rsid w:val="00E31251"/>
    <w:rsid w:val="00E31D76"/>
    <w:rsid w:val="00E32182"/>
    <w:rsid w:val="00E323C1"/>
    <w:rsid w:val="00E323F5"/>
    <w:rsid w:val="00E32DFF"/>
    <w:rsid w:val="00E3308F"/>
    <w:rsid w:val="00E347D8"/>
    <w:rsid w:val="00E34BD5"/>
    <w:rsid w:val="00E34BF2"/>
    <w:rsid w:val="00E351A2"/>
    <w:rsid w:val="00E35809"/>
    <w:rsid w:val="00E36B61"/>
    <w:rsid w:val="00E3757F"/>
    <w:rsid w:val="00E40413"/>
    <w:rsid w:val="00E40A32"/>
    <w:rsid w:val="00E41ACA"/>
    <w:rsid w:val="00E41BA0"/>
    <w:rsid w:val="00E42634"/>
    <w:rsid w:val="00E42A49"/>
    <w:rsid w:val="00E42FF0"/>
    <w:rsid w:val="00E4452C"/>
    <w:rsid w:val="00E44658"/>
    <w:rsid w:val="00E44EE0"/>
    <w:rsid w:val="00E455F5"/>
    <w:rsid w:val="00E45C70"/>
    <w:rsid w:val="00E462F0"/>
    <w:rsid w:val="00E463AA"/>
    <w:rsid w:val="00E47186"/>
    <w:rsid w:val="00E4736C"/>
    <w:rsid w:val="00E4749D"/>
    <w:rsid w:val="00E47C35"/>
    <w:rsid w:val="00E5038E"/>
    <w:rsid w:val="00E50614"/>
    <w:rsid w:val="00E50667"/>
    <w:rsid w:val="00E506C5"/>
    <w:rsid w:val="00E50838"/>
    <w:rsid w:val="00E508F4"/>
    <w:rsid w:val="00E50B6A"/>
    <w:rsid w:val="00E50EB5"/>
    <w:rsid w:val="00E51179"/>
    <w:rsid w:val="00E5125E"/>
    <w:rsid w:val="00E5185A"/>
    <w:rsid w:val="00E51C38"/>
    <w:rsid w:val="00E51CC7"/>
    <w:rsid w:val="00E51D8B"/>
    <w:rsid w:val="00E51EAA"/>
    <w:rsid w:val="00E51F98"/>
    <w:rsid w:val="00E5227F"/>
    <w:rsid w:val="00E52EEB"/>
    <w:rsid w:val="00E53237"/>
    <w:rsid w:val="00E53A24"/>
    <w:rsid w:val="00E53AB9"/>
    <w:rsid w:val="00E53BAE"/>
    <w:rsid w:val="00E53C5B"/>
    <w:rsid w:val="00E53D5B"/>
    <w:rsid w:val="00E53DDA"/>
    <w:rsid w:val="00E54536"/>
    <w:rsid w:val="00E54568"/>
    <w:rsid w:val="00E54C79"/>
    <w:rsid w:val="00E54D0A"/>
    <w:rsid w:val="00E55261"/>
    <w:rsid w:val="00E55386"/>
    <w:rsid w:val="00E55500"/>
    <w:rsid w:val="00E559C0"/>
    <w:rsid w:val="00E561EF"/>
    <w:rsid w:val="00E57B35"/>
    <w:rsid w:val="00E57BB2"/>
    <w:rsid w:val="00E57D63"/>
    <w:rsid w:val="00E57E41"/>
    <w:rsid w:val="00E60131"/>
    <w:rsid w:val="00E601A3"/>
    <w:rsid w:val="00E60582"/>
    <w:rsid w:val="00E60B3F"/>
    <w:rsid w:val="00E611E0"/>
    <w:rsid w:val="00E616E4"/>
    <w:rsid w:val="00E6177B"/>
    <w:rsid w:val="00E617D2"/>
    <w:rsid w:val="00E61BD1"/>
    <w:rsid w:val="00E61CDE"/>
    <w:rsid w:val="00E620C8"/>
    <w:rsid w:val="00E621CE"/>
    <w:rsid w:val="00E621DC"/>
    <w:rsid w:val="00E62842"/>
    <w:rsid w:val="00E62CB1"/>
    <w:rsid w:val="00E6337A"/>
    <w:rsid w:val="00E63A34"/>
    <w:rsid w:val="00E63CC4"/>
    <w:rsid w:val="00E64134"/>
    <w:rsid w:val="00E646B8"/>
    <w:rsid w:val="00E65271"/>
    <w:rsid w:val="00E65993"/>
    <w:rsid w:val="00E65DFD"/>
    <w:rsid w:val="00E65F96"/>
    <w:rsid w:val="00E66671"/>
    <w:rsid w:val="00E666CE"/>
    <w:rsid w:val="00E669B0"/>
    <w:rsid w:val="00E66C22"/>
    <w:rsid w:val="00E66C55"/>
    <w:rsid w:val="00E670F3"/>
    <w:rsid w:val="00E67C99"/>
    <w:rsid w:val="00E67EF3"/>
    <w:rsid w:val="00E7005F"/>
    <w:rsid w:val="00E700EC"/>
    <w:rsid w:val="00E708E5"/>
    <w:rsid w:val="00E71060"/>
    <w:rsid w:val="00E72716"/>
    <w:rsid w:val="00E72FCF"/>
    <w:rsid w:val="00E739A7"/>
    <w:rsid w:val="00E746AA"/>
    <w:rsid w:val="00E74A40"/>
    <w:rsid w:val="00E74BC9"/>
    <w:rsid w:val="00E74DD4"/>
    <w:rsid w:val="00E75161"/>
    <w:rsid w:val="00E7539D"/>
    <w:rsid w:val="00E76375"/>
    <w:rsid w:val="00E76523"/>
    <w:rsid w:val="00E76731"/>
    <w:rsid w:val="00E76978"/>
    <w:rsid w:val="00E769D8"/>
    <w:rsid w:val="00E76C48"/>
    <w:rsid w:val="00E772D2"/>
    <w:rsid w:val="00E778E1"/>
    <w:rsid w:val="00E80C93"/>
    <w:rsid w:val="00E80E5D"/>
    <w:rsid w:val="00E81174"/>
    <w:rsid w:val="00E8123A"/>
    <w:rsid w:val="00E81661"/>
    <w:rsid w:val="00E81A07"/>
    <w:rsid w:val="00E81D2D"/>
    <w:rsid w:val="00E81EE1"/>
    <w:rsid w:val="00E829FD"/>
    <w:rsid w:val="00E82FBD"/>
    <w:rsid w:val="00E832D2"/>
    <w:rsid w:val="00E83869"/>
    <w:rsid w:val="00E83A52"/>
    <w:rsid w:val="00E83F59"/>
    <w:rsid w:val="00E8436C"/>
    <w:rsid w:val="00E84C4C"/>
    <w:rsid w:val="00E8572D"/>
    <w:rsid w:val="00E85C67"/>
    <w:rsid w:val="00E86083"/>
    <w:rsid w:val="00E86097"/>
    <w:rsid w:val="00E86663"/>
    <w:rsid w:val="00E8695A"/>
    <w:rsid w:val="00E86BBC"/>
    <w:rsid w:val="00E86D47"/>
    <w:rsid w:val="00E86D65"/>
    <w:rsid w:val="00E873F9"/>
    <w:rsid w:val="00E8762C"/>
    <w:rsid w:val="00E8776B"/>
    <w:rsid w:val="00E87C69"/>
    <w:rsid w:val="00E87FF2"/>
    <w:rsid w:val="00E90542"/>
    <w:rsid w:val="00E90D69"/>
    <w:rsid w:val="00E90F48"/>
    <w:rsid w:val="00E91EAA"/>
    <w:rsid w:val="00E9249D"/>
    <w:rsid w:val="00E92CC0"/>
    <w:rsid w:val="00E92F87"/>
    <w:rsid w:val="00E9361F"/>
    <w:rsid w:val="00E93867"/>
    <w:rsid w:val="00E93A52"/>
    <w:rsid w:val="00E93AD7"/>
    <w:rsid w:val="00E93B62"/>
    <w:rsid w:val="00E949B4"/>
    <w:rsid w:val="00E951A4"/>
    <w:rsid w:val="00E95F58"/>
    <w:rsid w:val="00E965A3"/>
    <w:rsid w:val="00E969E2"/>
    <w:rsid w:val="00E973CB"/>
    <w:rsid w:val="00E97ADF"/>
    <w:rsid w:val="00EA02DD"/>
    <w:rsid w:val="00EA03B7"/>
    <w:rsid w:val="00EA057B"/>
    <w:rsid w:val="00EA0638"/>
    <w:rsid w:val="00EA0879"/>
    <w:rsid w:val="00EA0A5D"/>
    <w:rsid w:val="00EA0CC6"/>
    <w:rsid w:val="00EA0CEA"/>
    <w:rsid w:val="00EA0CEB"/>
    <w:rsid w:val="00EA12DF"/>
    <w:rsid w:val="00EA1420"/>
    <w:rsid w:val="00EA1B33"/>
    <w:rsid w:val="00EA2D7F"/>
    <w:rsid w:val="00EA3289"/>
    <w:rsid w:val="00EA4CC1"/>
    <w:rsid w:val="00EA4EB4"/>
    <w:rsid w:val="00EA5D5F"/>
    <w:rsid w:val="00EA62A2"/>
    <w:rsid w:val="00EA62E5"/>
    <w:rsid w:val="00EA635F"/>
    <w:rsid w:val="00EA6414"/>
    <w:rsid w:val="00EA64A6"/>
    <w:rsid w:val="00EA65DF"/>
    <w:rsid w:val="00EA66B4"/>
    <w:rsid w:val="00EA6A9A"/>
    <w:rsid w:val="00EA6DBC"/>
    <w:rsid w:val="00EA7155"/>
    <w:rsid w:val="00EA71D2"/>
    <w:rsid w:val="00EA7362"/>
    <w:rsid w:val="00EA73A0"/>
    <w:rsid w:val="00EA75D6"/>
    <w:rsid w:val="00EA7714"/>
    <w:rsid w:val="00EA7E49"/>
    <w:rsid w:val="00EA7FF6"/>
    <w:rsid w:val="00EB08D1"/>
    <w:rsid w:val="00EB0B21"/>
    <w:rsid w:val="00EB0D2F"/>
    <w:rsid w:val="00EB160B"/>
    <w:rsid w:val="00EB1C39"/>
    <w:rsid w:val="00EB305D"/>
    <w:rsid w:val="00EB373B"/>
    <w:rsid w:val="00EB3BB0"/>
    <w:rsid w:val="00EB40CA"/>
    <w:rsid w:val="00EB4CEF"/>
    <w:rsid w:val="00EB5DBB"/>
    <w:rsid w:val="00EB5E0A"/>
    <w:rsid w:val="00EB61E2"/>
    <w:rsid w:val="00EB6298"/>
    <w:rsid w:val="00EB6348"/>
    <w:rsid w:val="00EB6383"/>
    <w:rsid w:val="00EB638E"/>
    <w:rsid w:val="00EB639F"/>
    <w:rsid w:val="00EB66E1"/>
    <w:rsid w:val="00EB68DD"/>
    <w:rsid w:val="00EC000E"/>
    <w:rsid w:val="00EC0558"/>
    <w:rsid w:val="00EC0F8D"/>
    <w:rsid w:val="00EC0FDA"/>
    <w:rsid w:val="00EC20D2"/>
    <w:rsid w:val="00EC232D"/>
    <w:rsid w:val="00EC2330"/>
    <w:rsid w:val="00EC38DB"/>
    <w:rsid w:val="00EC3B2F"/>
    <w:rsid w:val="00EC3F42"/>
    <w:rsid w:val="00EC3FDF"/>
    <w:rsid w:val="00EC452B"/>
    <w:rsid w:val="00EC460C"/>
    <w:rsid w:val="00EC4BE4"/>
    <w:rsid w:val="00EC532C"/>
    <w:rsid w:val="00EC566A"/>
    <w:rsid w:val="00EC5C1E"/>
    <w:rsid w:val="00EC62BD"/>
    <w:rsid w:val="00EC6334"/>
    <w:rsid w:val="00EC63B0"/>
    <w:rsid w:val="00EC6A31"/>
    <w:rsid w:val="00EC6A41"/>
    <w:rsid w:val="00ED09A2"/>
    <w:rsid w:val="00ED0B3C"/>
    <w:rsid w:val="00ED15E3"/>
    <w:rsid w:val="00ED15E8"/>
    <w:rsid w:val="00ED1630"/>
    <w:rsid w:val="00ED1CF5"/>
    <w:rsid w:val="00ED296F"/>
    <w:rsid w:val="00ED2B78"/>
    <w:rsid w:val="00ED2D03"/>
    <w:rsid w:val="00ED3506"/>
    <w:rsid w:val="00ED3D47"/>
    <w:rsid w:val="00ED4F50"/>
    <w:rsid w:val="00ED514D"/>
    <w:rsid w:val="00ED5D06"/>
    <w:rsid w:val="00ED623A"/>
    <w:rsid w:val="00ED66DD"/>
    <w:rsid w:val="00ED6A4D"/>
    <w:rsid w:val="00ED714D"/>
    <w:rsid w:val="00ED72B5"/>
    <w:rsid w:val="00ED7FC8"/>
    <w:rsid w:val="00EE00AE"/>
    <w:rsid w:val="00EE05B6"/>
    <w:rsid w:val="00EE20C0"/>
    <w:rsid w:val="00EE21C9"/>
    <w:rsid w:val="00EE2728"/>
    <w:rsid w:val="00EE274B"/>
    <w:rsid w:val="00EE276C"/>
    <w:rsid w:val="00EE278B"/>
    <w:rsid w:val="00EE280D"/>
    <w:rsid w:val="00EE2876"/>
    <w:rsid w:val="00EE297F"/>
    <w:rsid w:val="00EE3148"/>
    <w:rsid w:val="00EE32A8"/>
    <w:rsid w:val="00EE37DC"/>
    <w:rsid w:val="00EE3C48"/>
    <w:rsid w:val="00EE3DDE"/>
    <w:rsid w:val="00EE4025"/>
    <w:rsid w:val="00EE461D"/>
    <w:rsid w:val="00EE4660"/>
    <w:rsid w:val="00EE53D8"/>
    <w:rsid w:val="00EE5632"/>
    <w:rsid w:val="00EE5DEF"/>
    <w:rsid w:val="00EE6AED"/>
    <w:rsid w:val="00EE6B4B"/>
    <w:rsid w:val="00EE76EC"/>
    <w:rsid w:val="00EE76FB"/>
    <w:rsid w:val="00EE790D"/>
    <w:rsid w:val="00EE7B17"/>
    <w:rsid w:val="00EE7B3D"/>
    <w:rsid w:val="00EF001F"/>
    <w:rsid w:val="00EF0069"/>
    <w:rsid w:val="00EF0550"/>
    <w:rsid w:val="00EF0A73"/>
    <w:rsid w:val="00EF0ADE"/>
    <w:rsid w:val="00EF2038"/>
    <w:rsid w:val="00EF2244"/>
    <w:rsid w:val="00EF2894"/>
    <w:rsid w:val="00EF2951"/>
    <w:rsid w:val="00EF2D75"/>
    <w:rsid w:val="00EF3253"/>
    <w:rsid w:val="00EF3933"/>
    <w:rsid w:val="00EF3BC1"/>
    <w:rsid w:val="00EF4200"/>
    <w:rsid w:val="00EF424C"/>
    <w:rsid w:val="00EF457F"/>
    <w:rsid w:val="00EF471C"/>
    <w:rsid w:val="00EF4C3B"/>
    <w:rsid w:val="00EF523E"/>
    <w:rsid w:val="00EF53E8"/>
    <w:rsid w:val="00EF5464"/>
    <w:rsid w:val="00EF5D03"/>
    <w:rsid w:val="00EF6310"/>
    <w:rsid w:val="00EF64D9"/>
    <w:rsid w:val="00EF6BED"/>
    <w:rsid w:val="00EF6C4E"/>
    <w:rsid w:val="00EF727B"/>
    <w:rsid w:val="00EF7BC8"/>
    <w:rsid w:val="00EF7BCF"/>
    <w:rsid w:val="00F00565"/>
    <w:rsid w:val="00F00939"/>
    <w:rsid w:val="00F00A73"/>
    <w:rsid w:val="00F01015"/>
    <w:rsid w:val="00F01C43"/>
    <w:rsid w:val="00F01EFF"/>
    <w:rsid w:val="00F029B1"/>
    <w:rsid w:val="00F02F6D"/>
    <w:rsid w:val="00F03055"/>
    <w:rsid w:val="00F035D9"/>
    <w:rsid w:val="00F03C55"/>
    <w:rsid w:val="00F04B0F"/>
    <w:rsid w:val="00F05551"/>
    <w:rsid w:val="00F05B4C"/>
    <w:rsid w:val="00F05B58"/>
    <w:rsid w:val="00F061D1"/>
    <w:rsid w:val="00F06209"/>
    <w:rsid w:val="00F06639"/>
    <w:rsid w:val="00F07286"/>
    <w:rsid w:val="00F07452"/>
    <w:rsid w:val="00F077A9"/>
    <w:rsid w:val="00F07D5A"/>
    <w:rsid w:val="00F07EA5"/>
    <w:rsid w:val="00F10DF4"/>
    <w:rsid w:val="00F10E70"/>
    <w:rsid w:val="00F113B8"/>
    <w:rsid w:val="00F115A6"/>
    <w:rsid w:val="00F121AF"/>
    <w:rsid w:val="00F12538"/>
    <w:rsid w:val="00F12F82"/>
    <w:rsid w:val="00F1317F"/>
    <w:rsid w:val="00F13C91"/>
    <w:rsid w:val="00F13D24"/>
    <w:rsid w:val="00F140B5"/>
    <w:rsid w:val="00F14419"/>
    <w:rsid w:val="00F1470E"/>
    <w:rsid w:val="00F14BEC"/>
    <w:rsid w:val="00F15F3C"/>
    <w:rsid w:val="00F163C7"/>
    <w:rsid w:val="00F16852"/>
    <w:rsid w:val="00F16F10"/>
    <w:rsid w:val="00F173D7"/>
    <w:rsid w:val="00F178B2"/>
    <w:rsid w:val="00F17A44"/>
    <w:rsid w:val="00F17F61"/>
    <w:rsid w:val="00F2055F"/>
    <w:rsid w:val="00F20727"/>
    <w:rsid w:val="00F20A46"/>
    <w:rsid w:val="00F20C25"/>
    <w:rsid w:val="00F20E4F"/>
    <w:rsid w:val="00F20E56"/>
    <w:rsid w:val="00F21F59"/>
    <w:rsid w:val="00F224AD"/>
    <w:rsid w:val="00F226AE"/>
    <w:rsid w:val="00F22CA4"/>
    <w:rsid w:val="00F22D3B"/>
    <w:rsid w:val="00F22EB3"/>
    <w:rsid w:val="00F2334E"/>
    <w:rsid w:val="00F234ED"/>
    <w:rsid w:val="00F23A9C"/>
    <w:rsid w:val="00F23DD8"/>
    <w:rsid w:val="00F23EC6"/>
    <w:rsid w:val="00F246BB"/>
    <w:rsid w:val="00F24913"/>
    <w:rsid w:val="00F25500"/>
    <w:rsid w:val="00F257DA"/>
    <w:rsid w:val="00F258A3"/>
    <w:rsid w:val="00F25C3A"/>
    <w:rsid w:val="00F25D99"/>
    <w:rsid w:val="00F2603C"/>
    <w:rsid w:val="00F260A5"/>
    <w:rsid w:val="00F261D0"/>
    <w:rsid w:val="00F26239"/>
    <w:rsid w:val="00F2680C"/>
    <w:rsid w:val="00F26925"/>
    <w:rsid w:val="00F27BC2"/>
    <w:rsid w:val="00F302E5"/>
    <w:rsid w:val="00F30AB5"/>
    <w:rsid w:val="00F30BC2"/>
    <w:rsid w:val="00F30C2D"/>
    <w:rsid w:val="00F310F7"/>
    <w:rsid w:val="00F312D4"/>
    <w:rsid w:val="00F313F9"/>
    <w:rsid w:val="00F316DF"/>
    <w:rsid w:val="00F31850"/>
    <w:rsid w:val="00F31933"/>
    <w:rsid w:val="00F3208E"/>
    <w:rsid w:val="00F3217B"/>
    <w:rsid w:val="00F3228D"/>
    <w:rsid w:val="00F3247E"/>
    <w:rsid w:val="00F3257C"/>
    <w:rsid w:val="00F3266E"/>
    <w:rsid w:val="00F33CA2"/>
    <w:rsid w:val="00F3408F"/>
    <w:rsid w:val="00F34244"/>
    <w:rsid w:val="00F349E9"/>
    <w:rsid w:val="00F34CB0"/>
    <w:rsid w:val="00F35597"/>
    <w:rsid w:val="00F35661"/>
    <w:rsid w:val="00F358C0"/>
    <w:rsid w:val="00F359F8"/>
    <w:rsid w:val="00F35C3E"/>
    <w:rsid w:val="00F35EE4"/>
    <w:rsid w:val="00F36EFC"/>
    <w:rsid w:val="00F37195"/>
    <w:rsid w:val="00F37775"/>
    <w:rsid w:val="00F3780A"/>
    <w:rsid w:val="00F37A67"/>
    <w:rsid w:val="00F37BDA"/>
    <w:rsid w:val="00F40222"/>
    <w:rsid w:val="00F402B5"/>
    <w:rsid w:val="00F402FE"/>
    <w:rsid w:val="00F40F3E"/>
    <w:rsid w:val="00F41704"/>
    <w:rsid w:val="00F41B35"/>
    <w:rsid w:val="00F41C81"/>
    <w:rsid w:val="00F41F19"/>
    <w:rsid w:val="00F42697"/>
    <w:rsid w:val="00F44668"/>
    <w:rsid w:val="00F450A9"/>
    <w:rsid w:val="00F45450"/>
    <w:rsid w:val="00F458AF"/>
    <w:rsid w:val="00F45CDA"/>
    <w:rsid w:val="00F466C9"/>
    <w:rsid w:val="00F46AF5"/>
    <w:rsid w:val="00F46D91"/>
    <w:rsid w:val="00F47200"/>
    <w:rsid w:val="00F47283"/>
    <w:rsid w:val="00F475BF"/>
    <w:rsid w:val="00F50391"/>
    <w:rsid w:val="00F5099E"/>
    <w:rsid w:val="00F50B0B"/>
    <w:rsid w:val="00F50D49"/>
    <w:rsid w:val="00F520E3"/>
    <w:rsid w:val="00F542BD"/>
    <w:rsid w:val="00F543FD"/>
    <w:rsid w:val="00F54E92"/>
    <w:rsid w:val="00F5582C"/>
    <w:rsid w:val="00F56978"/>
    <w:rsid w:val="00F56AD2"/>
    <w:rsid w:val="00F570E8"/>
    <w:rsid w:val="00F57108"/>
    <w:rsid w:val="00F57520"/>
    <w:rsid w:val="00F57A3C"/>
    <w:rsid w:val="00F6099A"/>
    <w:rsid w:val="00F60D53"/>
    <w:rsid w:val="00F60E8A"/>
    <w:rsid w:val="00F6120A"/>
    <w:rsid w:val="00F61281"/>
    <w:rsid w:val="00F612C9"/>
    <w:rsid w:val="00F6141B"/>
    <w:rsid w:val="00F61969"/>
    <w:rsid w:val="00F61CB8"/>
    <w:rsid w:val="00F621B1"/>
    <w:rsid w:val="00F63012"/>
    <w:rsid w:val="00F6305B"/>
    <w:rsid w:val="00F642EC"/>
    <w:rsid w:val="00F644B0"/>
    <w:rsid w:val="00F647AD"/>
    <w:rsid w:val="00F648C7"/>
    <w:rsid w:val="00F648E5"/>
    <w:rsid w:val="00F6514A"/>
    <w:rsid w:val="00F65709"/>
    <w:rsid w:val="00F6586D"/>
    <w:rsid w:val="00F65D53"/>
    <w:rsid w:val="00F65D7E"/>
    <w:rsid w:val="00F6612C"/>
    <w:rsid w:val="00F66312"/>
    <w:rsid w:val="00F667CE"/>
    <w:rsid w:val="00F6760E"/>
    <w:rsid w:val="00F67D82"/>
    <w:rsid w:val="00F7164C"/>
    <w:rsid w:val="00F7183B"/>
    <w:rsid w:val="00F71B02"/>
    <w:rsid w:val="00F71D78"/>
    <w:rsid w:val="00F71DB6"/>
    <w:rsid w:val="00F71F62"/>
    <w:rsid w:val="00F71FEA"/>
    <w:rsid w:val="00F722DA"/>
    <w:rsid w:val="00F7276F"/>
    <w:rsid w:val="00F72989"/>
    <w:rsid w:val="00F72D36"/>
    <w:rsid w:val="00F73502"/>
    <w:rsid w:val="00F736A4"/>
    <w:rsid w:val="00F73752"/>
    <w:rsid w:val="00F73E90"/>
    <w:rsid w:val="00F73FB5"/>
    <w:rsid w:val="00F7409E"/>
    <w:rsid w:val="00F7438D"/>
    <w:rsid w:val="00F7496D"/>
    <w:rsid w:val="00F74EF7"/>
    <w:rsid w:val="00F75242"/>
    <w:rsid w:val="00F756B0"/>
    <w:rsid w:val="00F75CEA"/>
    <w:rsid w:val="00F7620B"/>
    <w:rsid w:val="00F76831"/>
    <w:rsid w:val="00F76B30"/>
    <w:rsid w:val="00F76E81"/>
    <w:rsid w:val="00F77034"/>
    <w:rsid w:val="00F770E6"/>
    <w:rsid w:val="00F77162"/>
    <w:rsid w:val="00F772C5"/>
    <w:rsid w:val="00F802C8"/>
    <w:rsid w:val="00F803C2"/>
    <w:rsid w:val="00F805D4"/>
    <w:rsid w:val="00F8103F"/>
    <w:rsid w:val="00F810E1"/>
    <w:rsid w:val="00F81357"/>
    <w:rsid w:val="00F814D3"/>
    <w:rsid w:val="00F81545"/>
    <w:rsid w:val="00F815C2"/>
    <w:rsid w:val="00F81BF5"/>
    <w:rsid w:val="00F81DE1"/>
    <w:rsid w:val="00F82784"/>
    <w:rsid w:val="00F82A37"/>
    <w:rsid w:val="00F82A58"/>
    <w:rsid w:val="00F82DF9"/>
    <w:rsid w:val="00F82E69"/>
    <w:rsid w:val="00F82EF6"/>
    <w:rsid w:val="00F83157"/>
    <w:rsid w:val="00F83BB6"/>
    <w:rsid w:val="00F844BA"/>
    <w:rsid w:val="00F848BF"/>
    <w:rsid w:val="00F84ACB"/>
    <w:rsid w:val="00F85082"/>
    <w:rsid w:val="00F850B8"/>
    <w:rsid w:val="00F850EB"/>
    <w:rsid w:val="00F85918"/>
    <w:rsid w:val="00F859FB"/>
    <w:rsid w:val="00F85D72"/>
    <w:rsid w:val="00F86F41"/>
    <w:rsid w:val="00F871C8"/>
    <w:rsid w:val="00F871DE"/>
    <w:rsid w:val="00F87930"/>
    <w:rsid w:val="00F87AD2"/>
    <w:rsid w:val="00F900AD"/>
    <w:rsid w:val="00F90860"/>
    <w:rsid w:val="00F908EF"/>
    <w:rsid w:val="00F90AD6"/>
    <w:rsid w:val="00F90EB0"/>
    <w:rsid w:val="00F91DA9"/>
    <w:rsid w:val="00F92AAE"/>
    <w:rsid w:val="00F92CEC"/>
    <w:rsid w:val="00F92CFC"/>
    <w:rsid w:val="00F93159"/>
    <w:rsid w:val="00F93580"/>
    <w:rsid w:val="00F9374E"/>
    <w:rsid w:val="00F93DC0"/>
    <w:rsid w:val="00F9492C"/>
    <w:rsid w:val="00F95237"/>
    <w:rsid w:val="00F95277"/>
    <w:rsid w:val="00F9569E"/>
    <w:rsid w:val="00F95AC4"/>
    <w:rsid w:val="00F95AED"/>
    <w:rsid w:val="00F96088"/>
    <w:rsid w:val="00F960E0"/>
    <w:rsid w:val="00F961A9"/>
    <w:rsid w:val="00F96532"/>
    <w:rsid w:val="00F96DAE"/>
    <w:rsid w:val="00FA024E"/>
    <w:rsid w:val="00FA0FB3"/>
    <w:rsid w:val="00FA0FBD"/>
    <w:rsid w:val="00FA117D"/>
    <w:rsid w:val="00FA1A35"/>
    <w:rsid w:val="00FA20D4"/>
    <w:rsid w:val="00FA274D"/>
    <w:rsid w:val="00FA31D9"/>
    <w:rsid w:val="00FA323F"/>
    <w:rsid w:val="00FA3551"/>
    <w:rsid w:val="00FA3582"/>
    <w:rsid w:val="00FA36ED"/>
    <w:rsid w:val="00FA396F"/>
    <w:rsid w:val="00FA3B96"/>
    <w:rsid w:val="00FA3EB9"/>
    <w:rsid w:val="00FA3EBD"/>
    <w:rsid w:val="00FA43E4"/>
    <w:rsid w:val="00FA4D29"/>
    <w:rsid w:val="00FA5326"/>
    <w:rsid w:val="00FA5A41"/>
    <w:rsid w:val="00FA5E01"/>
    <w:rsid w:val="00FA5E43"/>
    <w:rsid w:val="00FA6546"/>
    <w:rsid w:val="00FA6773"/>
    <w:rsid w:val="00FA6B18"/>
    <w:rsid w:val="00FA6BB3"/>
    <w:rsid w:val="00FA72B3"/>
    <w:rsid w:val="00FA72FD"/>
    <w:rsid w:val="00FA7942"/>
    <w:rsid w:val="00FA7B70"/>
    <w:rsid w:val="00FA7E82"/>
    <w:rsid w:val="00FB09D1"/>
    <w:rsid w:val="00FB1DAE"/>
    <w:rsid w:val="00FB1FF6"/>
    <w:rsid w:val="00FB219F"/>
    <w:rsid w:val="00FB23DC"/>
    <w:rsid w:val="00FB24BF"/>
    <w:rsid w:val="00FB26BC"/>
    <w:rsid w:val="00FB2A6D"/>
    <w:rsid w:val="00FB3186"/>
    <w:rsid w:val="00FB36CE"/>
    <w:rsid w:val="00FB3B3F"/>
    <w:rsid w:val="00FB3D91"/>
    <w:rsid w:val="00FB4155"/>
    <w:rsid w:val="00FB4211"/>
    <w:rsid w:val="00FB45AC"/>
    <w:rsid w:val="00FB4802"/>
    <w:rsid w:val="00FB4DE3"/>
    <w:rsid w:val="00FB5B7E"/>
    <w:rsid w:val="00FB5BFB"/>
    <w:rsid w:val="00FB607C"/>
    <w:rsid w:val="00FB6758"/>
    <w:rsid w:val="00FB6A86"/>
    <w:rsid w:val="00FB6C7A"/>
    <w:rsid w:val="00FB7334"/>
    <w:rsid w:val="00FB74B0"/>
    <w:rsid w:val="00FC02C4"/>
    <w:rsid w:val="00FC072C"/>
    <w:rsid w:val="00FC0941"/>
    <w:rsid w:val="00FC0DB0"/>
    <w:rsid w:val="00FC146A"/>
    <w:rsid w:val="00FC15A5"/>
    <w:rsid w:val="00FC25A5"/>
    <w:rsid w:val="00FC28E8"/>
    <w:rsid w:val="00FC301C"/>
    <w:rsid w:val="00FC30CD"/>
    <w:rsid w:val="00FC36A1"/>
    <w:rsid w:val="00FC3DF3"/>
    <w:rsid w:val="00FC3E6A"/>
    <w:rsid w:val="00FC3EFF"/>
    <w:rsid w:val="00FC481C"/>
    <w:rsid w:val="00FC4963"/>
    <w:rsid w:val="00FC4CDF"/>
    <w:rsid w:val="00FC4D98"/>
    <w:rsid w:val="00FC5255"/>
    <w:rsid w:val="00FC5295"/>
    <w:rsid w:val="00FC5579"/>
    <w:rsid w:val="00FC561B"/>
    <w:rsid w:val="00FC565C"/>
    <w:rsid w:val="00FC62DB"/>
    <w:rsid w:val="00FC6B36"/>
    <w:rsid w:val="00FC7353"/>
    <w:rsid w:val="00FC765F"/>
    <w:rsid w:val="00FC7FD7"/>
    <w:rsid w:val="00FD0491"/>
    <w:rsid w:val="00FD0A3D"/>
    <w:rsid w:val="00FD0CC9"/>
    <w:rsid w:val="00FD0E18"/>
    <w:rsid w:val="00FD0E1B"/>
    <w:rsid w:val="00FD0F34"/>
    <w:rsid w:val="00FD136E"/>
    <w:rsid w:val="00FD13B2"/>
    <w:rsid w:val="00FD175E"/>
    <w:rsid w:val="00FD2090"/>
    <w:rsid w:val="00FD2130"/>
    <w:rsid w:val="00FD23A5"/>
    <w:rsid w:val="00FD27E3"/>
    <w:rsid w:val="00FD29CD"/>
    <w:rsid w:val="00FD3331"/>
    <w:rsid w:val="00FD3EBE"/>
    <w:rsid w:val="00FD3F0B"/>
    <w:rsid w:val="00FD4D0C"/>
    <w:rsid w:val="00FD5341"/>
    <w:rsid w:val="00FD55E8"/>
    <w:rsid w:val="00FD5866"/>
    <w:rsid w:val="00FD5902"/>
    <w:rsid w:val="00FD5A72"/>
    <w:rsid w:val="00FD622F"/>
    <w:rsid w:val="00FD690D"/>
    <w:rsid w:val="00FD694B"/>
    <w:rsid w:val="00FD6B2E"/>
    <w:rsid w:val="00FD6D38"/>
    <w:rsid w:val="00FD7059"/>
    <w:rsid w:val="00FD7B78"/>
    <w:rsid w:val="00FD7BF7"/>
    <w:rsid w:val="00FD7C5F"/>
    <w:rsid w:val="00FD7F98"/>
    <w:rsid w:val="00FE0769"/>
    <w:rsid w:val="00FE0E94"/>
    <w:rsid w:val="00FE18D1"/>
    <w:rsid w:val="00FE24FD"/>
    <w:rsid w:val="00FE2715"/>
    <w:rsid w:val="00FE27BD"/>
    <w:rsid w:val="00FE2D7D"/>
    <w:rsid w:val="00FE2E9B"/>
    <w:rsid w:val="00FE3380"/>
    <w:rsid w:val="00FE36DB"/>
    <w:rsid w:val="00FE3933"/>
    <w:rsid w:val="00FE4579"/>
    <w:rsid w:val="00FE464B"/>
    <w:rsid w:val="00FE4924"/>
    <w:rsid w:val="00FE4DFA"/>
    <w:rsid w:val="00FE5010"/>
    <w:rsid w:val="00FE5975"/>
    <w:rsid w:val="00FE5ECE"/>
    <w:rsid w:val="00FE6549"/>
    <w:rsid w:val="00FE65F0"/>
    <w:rsid w:val="00FE69E7"/>
    <w:rsid w:val="00FE6BF2"/>
    <w:rsid w:val="00FE78A4"/>
    <w:rsid w:val="00FE7940"/>
    <w:rsid w:val="00FE7FB8"/>
    <w:rsid w:val="00FF0A69"/>
    <w:rsid w:val="00FF0BBC"/>
    <w:rsid w:val="00FF137D"/>
    <w:rsid w:val="00FF14C8"/>
    <w:rsid w:val="00FF14D3"/>
    <w:rsid w:val="00FF25DA"/>
    <w:rsid w:val="00FF28C8"/>
    <w:rsid w:val="00FF3324"/>
    <w:rsid w:val="00FF3571"/>
    <w:rsid w:val="00FF4154"/>
    <w:rsid w:val="00FF5001"/>
    <w:rsid w:val="00FF5532"/>
    <w:rsid w:val="00FF586E"/>
    <w:rsid w:val="00FF632B"/>
    <w:rsid w:val="00FF6557"/>
    <w:rsid w:val="00FF6972"/>
    <w:rsid w:val="00FF6AC8"/>
    <w:rsid w:val="00FF7C6D"/>
    <w:rsid w:val="00FF7F08"/>
    <w:rsid w:val="010D285A"/>
    <w:rsid w:val="018D1E76"/>
    <w:rsid w:val="020B216A"/>
    <w:rsid w:val="024B18FC"/>
    <w:rsid w:val="02BD4BEC"/>
    <w:rsid w:val="03AD03C1"/>
    <w:rsid w:val="054174CB"/>
    <w:rsid w:val="097563EB"/>
    <w:rsid w:val="0D3A276B"/>
    <w:rsid w:val="0DB92C4F"/>
    <w:rsid w:val="0F2538A2"/>
    <w:rsid w:val="13163711"/>
    <w:rsid w:val="133553A9"/>
    <w:rsid w:val="133E3430"/>
    <w:rsid w:val="13EB5D55"/>
    <w:rsid w:val="166970E7"/>
    <w:rsid w:val="17CC5E23"/>
    <w:rsid w:val="183915C9"/>
    <w:rsid w:val="18904145"/>
    <w:rsid w:val="1A5E1E48"/>
    <w:rsid w:val="1CC4497E"/>
    <w:rsid w:val="1D6859CE"/>
    <w:rsid w:val="1DA11B4A"/>
    <w:rsid w:val="1E4E4ACB"/>
    <w:rsid w:val="20365EC2"/>
    <w:rsid w:val="23B918F8"/>
    <w:rsid w:val="24824763"/>
    <w:rsid w:val="24B3193B"/>
    <w:rsid w:val="254F06E6"/>
    <w:rsid w:val="26F326A5"/>
    <w:rsid w:val="27E07AA3"/>
    <w:rsid w:val="284B33A8"/>
    <w:rsid w:val="2A136410"/>
    <w:rsid w:val="2ECF439A"/>
    <w:rsid w:val="2F3D0F4E"/>
    <w:rsid w:val="2FA076AD"/>
    <w:rsid w:val="317552AA"/>
    <w:rsid w:val="32FE2F4B"/>
    <w:rsid w:val="34B46691"/>
    <w:rsid w:val="371B00FD"/>
    <w:rsid w:val="37593A8F"/>
    <w:rsid w:val="3793552B"/>
    <w:rsid w:val="37D22F88"/>
    <w:rsid w:val="3861666C"/>
    <w:rsid w:val="394B05DC"/>
    <w:rsid w:val="395D5882"/>
    <w:rsid w:val="3A1E4E33"/>
    <w:rsid w:val="3AE325BE"/>
    <w:rsid w:val="3BC96BD5"/>
    <w:rsid w:val="3BFD5E6A"/>
    <w:rsid w:val="3C8F00B8"/>
    <w:rsid w:val="3CCE47C0"/>
    <w:rsid w:val="3D58279B"/>
    <w:rsid w:val="3D7C4487"/>
    <w:rsid w:val="3F055B5A"/>
    <w:rsid w:val="41440A53"/>
    <w:rsid w:val="47646444"/>
    <w:rsid w:val="47784AFA"/>
    <w:rsid w:val="49541D3F"/>
    <w:rsid w:val="4ABD5675"/>
    <w:rsid w:val="4B803422"/>
    <w:rsid w:val="4BB7536D"/>
    <w:rsid w:val="4C5234D6"/>
    <w:rsid w:val="4C862377"/>
    <w:rsid w:val="4D7710BE"/>
    <w:rsid w:val="5124497A"/>
    <w:rsid w:val="52BB18D1"/>
    <w:rsid w:val="52D21CF9"/>
    <w:rsid w:val="52F3349E"/>
    <w:rsid w:val="540A272E"/>
    <w:rsid w:val="54E40A61"/>
    <w:rsid w:val="5534208F"/>
    <w:rsid w:val="567D1193"/>
    <w:rsid w:val="56C03367"/>
    <w:rsid w:val="56DF3DAF"/>
    <w:rsid w:val="56FF2028"/>
    <w:rsid w:val="586E1E55"/>
    <w:rsid w:val="589A5F3E"/>
    <w:rsid w:val="58CA3249"/>
    <w:rsid w:val="597058BD"/>
    <w:rsid w:val="5A040941"/>
    <w:rsid w:val="5A2A763D"/>
    <w:rsid w:val="5B45084F"/>
    <w:rsid w:val="5B9000A4"/>
    <w:rsid w:val="5BE73FDC"/>
    <w:rsid w:val="5E510D8A"/>
    <w:rsid w:val="5FC23468"/>
    <w:rsid w:val="60483780"/>
    <w:rsid w:val="60DD7D36"/>
    <w:rsid w:val="62E72BCA"/>
    <w:rsid w:val="63C31DE2"/>
    <w:rsid w:val="65EC23AD"/>
    <w:rsid w:val="66F9751A"/>
    <w:rsid w:val="67173BDE"/>
    <w:rsid w:val="67355D87"/>
    <w:rsid w:val="67AD1A82"/>
    <w:rsid w:val="68610F8A"/>
    <w:rsid w:val="6B1234ED"/>
    <w:rsid w:val="6C7166E9"/>
    <w:rsid w:val="6D013780"/>
    <w:rsid w:val="6E683628"/>
    <w:rsid w:val="6E8F342B"/>
    <w:rsid w:val="70231CBD"/>
    <w:rsid w:val="709516D3"/>
    <w:rsid w:val="75AF06BA"/>
    <w:rsid w:val="76192C19"/>
    <w:rsid w:val="77260154"/>
    <w:rsid w:val="78E60FA5"/>
    <w:rsid w:val="7B7B6B18"/>
    <w:rsid w:val="7BE70D0F"/>
    <w:rsid w:val="7C977968"/>
    <w:rsid w:val="7CB11656"/>
    <w:rsid w:val="7D217386"/>
    <w:rsid w:val="7E054658"/>
    <w:rsid w:val="7F570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iPriority="99" w:semiHidden="0" w:name="footnote text" w:locked="1"/>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40" w:lineRule="exact"/>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76"/>
    <w:qFormat/>
    <w:uiPriority w:val="99"/>
    <w:pPr>
      <w:keepNext/>
      <w:autoSpaceDE w:val="0"/>
      <w:autoSpaceDN w:val="0"/>
      <w:adjustRightInd w:val="0"/>
      <w:textAlignment w:val="baseline"/>
      <w:outlineLvl w:val="0"/>
    </w:pPr>
    <w:rPr>
      <w:rFonts w:ascii="宋体" w:cs="宋体"/>
      <w:sz w:val="28"/>
      <w:szCs w:val="28"/>
    </w:rPr>
  </w:style>
  <w:style w:type="paragraph" w:styleId="3">
    <w:name w:val="heading 2"/>
    <w:basedOn w:val="1"/>
    <w:next w:val="1"/>
    <w:link w:val="85"/>
    <w:qFormat/>
    <w:uiPriority w:val="99"/>
    <w:pPr>
      <w:keepNext/>
      <w:numPr>
        <w:ilvl w:val="1"/>
        <w:numId w:val="1"/>
      </w:numPr>
      <w:spacing w:line="560" w:lineRule="exact"/>
      <w:outlineLvl w:val="1"/>
    </w:pPr>
    <w:rPr>
      <w:rFonts w:ascii="宋体" w:cs="宋体"/>
      <w:sz w:val="28"/>
      <w:szCs w:val="28"/>
    </w:rPr>
  </w:style>
  <w:style w:type="paragraph" w:styleId="4">
    <w:name w:val="heading 3"/>
    <w:basedOn w:val="1"/>
    <w:next w:val="1"/>
    <w:link w:val="90"/>
    <w:qFormat/>
    <w:uiPriority w:val="99"/>
    <w:pPr>
      <w:tabs>
        <w:tab w:val="left" w:pos="720"/>
      </w:tabs>
      <w:autoSpaceDE w:val="0"/>
      <w:autoSpaceDN w:val="0"/>
      <w:adjustRightInd w:val="0"/>
      <w:spacing w:before="120"/>
      <w:textAlignment w:val="baseline"/>
      <w:outlineLvl w:val="2"/>
    </w:pPr>
    <w:rPr>
      <w:rFonts w:ascii="宋体" w:hAnsi="Tms Rmn" w:cs="宋体"/>
      <w:b/>
      <w:bCs/>
      <w:kern w:val="0"/>
      <w:sz w:val="24"/>
      <w:szCs w:val="24"/>
    </w:rPr>
  </w:style>
  <w:style w:type="paragraph" w:styleId="5">
    <w:name w:val="heading 4"/>
    <w:basedOn w:val="1"/>
    <w:next w:val="1"/>
    <w:link w:val="91"/>
    <w:qFormat/>
    <w:uiPriority w:val="99"/>
    <w:pPr>
      <w:keepNext/>
      <w:keepLines/>
      <w:spacing w:before="280" w:after="290" w:line="376" w:lineRule="auto"/>
      <w:outlineLvl w:val="3"/>
    </w:pPr>
    <w:rPr>
      <w:rFonts w:ascii="Arial" w:hAnsi="Arial" w:eastAsia="黑体" w:cs="Arial"/>
      <w:b/>
      <w:bCs/>
      <w:sz w:val="28"/>
      <w:szCs w:val="28"/>
    </w:rPr>
  </w:style>
  <w:style w:type="character" w:default="1" w:styleId="36">
    <w:name w:val="Default Paragraph Font"/>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99"/>
    <w:pPr>
      <w:ind w:left="2520" w:leftChars="1200"/>
    </w:pPr>
    <w:rPr>
      <w:rFonts w:ascii="Calibri" w:hAnsi="Calibri" w:cs="Calibri"/>
    </w:rPr>
  </w:style>
  <w:style w:type="paragraph" w:styleId="7">
    <w:name w:val="Normal Indent"/>
    <w:basedOn w:val="1"/>
    <w:qFormat/>
    <w:uiPriority w:val="99"/>
    <w:pPr>
      <w:ind w:firstLine="420" w:firstLineChars="200"/>
    </w:pPr>
  </w:style>
  <w:style w:type="paragraph" w:styleId="8">
    <w:name w:val="caption"/>
    <w:basedOn w:val="1"/>
    <w:next w:val="1"/>
    <w:qFormat/>
    <w:uiPriority w:val="99"/>
    <w:rPr>
      <w:rFonts w:ascii="Cambria" w:hAnsi="Cambria" w:eastAsia="黑体" w:cs="Cambria"/>
      <w:sz w:val="20"/>
      <w:szCs w:val="20"/>
    </w:rPr>
  </w:style>
  <w:style w:type="paragraph" w:styleId="9">
    <w:name w:val="Document Map"/>
    <w:basedOn w:val="1"/>
    <w:link w:val="118"/>
    <w:semiHidden/>
    <w:qFormat/>
    <w:locked/>
    <w:uiPriority w:val="99"/>
    <w:pPr>
      <w:shd w:val="clear" w:color="auto" w:fill="000080"/>
    </w:pPr>
    <w:rPr>
      <w:kern w:val="0"/>
      <w:sz w:val="2"/>
      <w:szCs w:val="2"/>
    </w:rPr>
  </w:style>
  <w:style w:type="paragraph" w:styleId="10">
    <w:name w:val="annotation text"/>
    <w:basedOn w:val="1"/>
    <w:link w:val="83"/>
    <w:qFormat/>
    <w:uiPriority w:val="0"/>
    <w:pPr>
      <w:autoSpaceDE w:val="0"/>
      <w:autoSpaceDN w:val="0"/>
      <w:adjustRightInd w:val="0"/>
      <w:jc w:val="left"/>
      <w:textAlignment w:val="baseline"/>
    </w:pPr>
    <w:rPr>
      <w:rFonts w:ascii="宋体" w:hAnsi="宋体" w:cs="宋体"/>
      <w:color w:val="000000"/>
    </w:rPr>
  </w:style>
  <w:style w:type="paragraph" w:styleId="11">
    <w:name w:val="Body Text 3"/>
    <w:basedOn w:val="1"/>
    <w:link w:val="60"/>
    <w:qFormat/>
    <w:uiPriority w:val="99"/>
    <w:pPr>
      <w:spacing w:line="240" w:lineRule="atLeast"/>
    </w:pPr>
    <w:rPr>
      <w:rFonts w:ascii="宋体" w:cs="宋体"/>
      <w:color w:val="FF0000"/>
    </w:rPr>
  </w:style>
  <w:style w:type="paragraph" w:styleId="12">
    <w:name w:val="Body Text"/>
    <w:basedOn w:val="1"/>
    <w:link w:val="61"/>
    <w:qFormat/>
    <w:uiPriority w:val="99"/>
    <w:rPr>
      <w:sz w:val="24"/>
      <w:szCs w:val="24"/>
    </w:rPr>
  </w:style>
  <w:style w:type="paragraph" w:styleId="13">
    <w:name w:val="Body Text Indent"/>
    <w:basedOn w:val="1"/>
    <w:link w:val="117"/>
    <w:qFormat/>
    <w:uiPriority w:val="0"/>
    <w:pPr>
      <w:ind w:firstLine="576"/>
    </w:pPr>
    <w:rPr>
      <w:rFonts w:ascii="宋体" w:cs="宋体"/>
      <w:sz w:val="28"/>
      <w:szCs w:val="28"/>
    </w:rPr>
  </w:style>
  <w:style w:type="paragraph" w:styleId="14">
    <w:name w:val="toc 5"/>
    <w:basedOn w:val="1"/>
    <w:next w:val="1"/>
    <w:qFormat/>
    <w:uiPriority w:val="99"/>
    <w:pPr>
      <w:ind w:left="1680" w:leftChars="800"/>
    </w:pPr>
    <w:rPr>
      <w:rFonts w:ascii="Calibri" w:hAnsi="Calibri" w:cs="Calibri"/>
    </w:rPr>
  </w:style>
  <w:style w:type="paragraph" w:styleId="15">
    <w:name w:val="toc 3"/>
    <w:basedOn w:val="1"/>
    <w:next w:val="1"/>
    <w:qFormat/>
    <w:uiPriority w:val="39"/>
    <w:pPr>
      <w:ind w:left="840" w:leftChars="400"/>
    </w:pPr>
    <w:rPr>
      <w:rFonts w:ascii="Calibri" w:hAnsi="Calibri" w:cs="Calibri"/>
    </w:rPr>
  </w:style>
  <w:style w:type="paragraph" w:styleId="16">
    <w:name w:val="Plain Text"/>
    <w:basedOn w:val="1"/>
    <w:link w:val="51"/>
    <w:qFormat/>
    <w:uiPriority w:val="99"/>
    <w:rPr>
      <w:rFonts w:ascii="宋体" w:hAnsi="Courier New" w:cs="宋体"/>
    </w:rPr>
  </w:style>
  <w:style w:type="paragraph" w:styleId="17">
    <w:name w:val="toc 8"/>
    <w:basedOn w:val="1"/>
    <w:next w:val="1"/>
    <w:qFormat/>
    <w:uiPriority w:val="99"/>
    <w:pPr>
      <w:ind w:left="2940" w:leftChars="1400"/>
    </w:pPr>
    <w:rPr>
      <w:rFonts w:ascii="Calibri" w:hAnsi="Calibri" w:cs="Calibri"/>
    </w:rPr>
  </w:style>
  <w:style w:type="paragraph" w:styleId="18">
    <w:name w:val="Date"/>
    <w:basedOn w:val="1"/>
    <w:next w:val="1"/>
    <w:link w:val="43"/>
    <w:qFormat/>
    <w:uiPriority w:val="99"/>
    <w:pPr>
      <w:autoSpaceDE w:val="0"/>
      <w:autoSpaceDN w:val="0"/>
      <w:adjustRightInd w:val="0"/>
      <w:textAlignment w:val="baseline"/>
    </w:pPr>
    <w:rPr>
      <w:b/>
      <w:bCs/>
    </w:rPr>
  </w:style>
  <w:style w:type="paragraph" w:styleId="19">
    <w:name w:val="Body Text Indent 2"/>
    <w:basedOn w:val="1"/>
    <w:link w:val="81"/>
    <w:qFormat/>
    <w:uiPriority w:val="99"/>
    <w:pPr>
      <w:autoSpaceDE w:val="0"/>
      <w:autoSpaceDN w:val="0"/>
      <w:adjustRightInd w:val="0"/>
      <w:spacing w:line="400" w:lineRule="exact"/>
      <w:ind w:firstLine="570"/>
      <w:textAlignment w:val="baseline"/>
    </w:pPr>
    <w:rPr>
      <w:sz w:val="28"/>
      <w:szCs w:val="28"/>
    </w:rPr>
  </w:style>
  <w:style w:type="paragraph" w:styleId="20">
    <w:name w:val="Balloon Text"/>
    <w:basedOn w:val="1"/>
    <w:link w:val="104"/>
    <w:qFormat/>
    <w:uiPriority w:val="99"/>
    <w:rPr>
      <w:sz w:val="18"/>
      <w:szCs w:val="18"/>
    </w:rPr>
  </w:style>
  <w:style w:type="paragraph" w:styleId="21">
    <w:name w:val="footer"/>
    <w:basedOn w:val="1"/>
    <w:link w:val="111"/>
    <w:qFormat/>
    <w:uiPriority w:val="99"/>
    <w:pPr>
      <w:tabs>
        <w:tab w:val="center" w:pos="4153"/>
        <w:tab w:val="right" w:pos="8306"/>
      </w:tabs>
      <w:snapToGrid w:val="0"/>
      <w:jc w:val="left"/>
    </w:pPr>
    <w:rPr>
      <w:sz w:val="18"/>
      <w:szCs w:val="18"/>
    </w:rPr>
  </w:style>
  <w:style w:type="paragraph" w:styleId="22">
    <w:name w:val="header"/>
    <w:basedOn w:val="1"/>
    <w:link w:val="84"/>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tabs>
        <w:tab w:val="left" w:pos="565"/>
        <w:tab w:val="right" w:leader="dot" w:pos="9191"/>
      </w:tabs>
      <w:spacing w:line="460" w:lineRule="exact"/>
    </w:pPr>
    <w:rPr>
      <w:sz w:val="28"/>
      <w:szCs w:val="28"/>
    </w:rPr>
  </w:style>
  <w:style w:type="paragraph" w:styleId="24">
    <w:name w:val="toc 4"/>
    <w:basedOn w:val="1"/>
    <w:next w:val="1"/>
    <w:qFormat/>
    <w:uiPriority w:val="99"/>
    <w:pPr>
      <w:ind w:left="1260" w:leftChars="600"/>
    </w:pPr>
    <w:rPr>
      <w:rFonts w:ascii="Calibri" w:hAnsi="Calibri" w:cs="Calibri"/>
    </w:rPr>
  </w:style>
  <w:style w:type="paragraph" w:styleId="25">
    <w:name w:val="footnote text"/>
    <w:basedOn w:val="1"/>
    <w:link w:val="95"/>
    <w:unhideWhenUsed/>
    <w:qFormat/>
    <w:locked/>
    <w:uiPriority w:val="99"/>
    <w:pPr>
      <w:snapToGrid w:val="0"/>
      <w:jc w:val="left"/>
    </w:pPr>
    <w:rPr>
      <w:sz w:val="18"/>
      <w:szCs w:val="18"/>
    </w:rPr>
  </w:style>
  <w:style w:type="paragraph" w:styleId="26">
    <w:name w:val="toc 6"/>
    <w:basedOn w:val="1"/>
    <w:next w:val="1"/>
    <w:qFormat/>
    <w:uiPriority w:val="99"/>
    <w:pPr>
      <w:ind w:left="2100" w:leftChars="1000"/>
    </w:pPr>
    <w:rPr>
      <w:rFonts w:ascii="Calibri" w:hAnsi="Calibri" w:cs="Calibri"/>
    </w:rPr>
  </w:style>
  <w:style w:type="paragraph" w:styleId="27">
    <w:name w:val="Body Text Indent 3"/>
    <w:basedOn w:val="1"/>
    <w:link w:val="86"/>
    <w:qFormat/>
    <w:uiPriority w:val="99"/>
    <w:pPr>
      <w:tabs>
        <w:tab w:val="left" w:pos="1005"/>
      </w:tabs>
      <w:autoSpaceDE w:val="0"/>
      <w:autoSpaceDN w:val="0"/>
      <w:adjustRightInd w:val="0"/>
      <w:spacing w:line="500" w:lineRule="exact"/>
      <w:ind w:firstLine="538" w:firstLineChars="192"/>
      <w:textAlignment w:val="baseline"/>
    </w:pPr>
    <w:rPr>
      <w:rFonts w:ascii="宋体" w:cs="宋体"/>
      <w:sz w:val="28"/>
      <w:szCs w:val="28"/>
    </w:rPr>
  </w:style>
  <w:style w:type="paragraph" w:styleId="28">
    <w:name w:val="toc 2"/>
    <w:basedOn w:val="1"/>
    <w:next w:val="1"/>
    <w:qFormat/>
    <w:uiPriority w:val="39"/>
    <w:pPr>
      <w:tabs>
        <w:tab w:val="right" w:leader="dot" w:pos="9191"/>
      </w:tabs>
      <w:spacing w:line="480" w:lineRule="exact"/>
      <w:ind w:left="420" w:leftChars="200"/>
    </w:pPr>
    <w:rPr>
      <w:rFonts w:eastAsia="黑体"/>
      <w:color w:val="FF0000"/>
      <w:sz w:val="28"/>
      <w:szCs w:val="28"/>
    </w:rPr>
  </w:style>
  <w:style w:type="paragraph" w:styleId="29">
    <w:name w:val="toc 9"/>
    <w:basedOn w:val="1"/>
    <w:next w:val="1"/>
    <w:qFormat/>
    <w:uiPriority w:val="99"/>
    <w:pPr>
      <w:ind w:left="3360" w:leftChars="1600"/>
    </w:pPr>
    <w:rPr>
      <w:rFonts w:ascii="Calibri" w:hAnsi="Calibri" w:cs="Calibri"/>
    </w:rPr>
  </w:style>
  <w:style w:type="paragraph" w:styleId="30">
    <w:name w:val="Body Text 2"/>
    <w:basedOn w:val="1"/>
    <w:link w:val="66"/>
    <w:qFormat/>
    <w:uiPriority w:val="99"/>
    <w:pPr>
      <w:spacing w:line="240" w:lineRule="atLeast"/>
      <w:jc w:val="center"/>
    </w:pPr>
    <w:rPr>
      <w:rFonts w:ascii="宋体" w:cs="宋体"/>
      <w:spacing w:val="-20"/>
      <w:sz w:val="24"/>
      <w:szCs w:val="24"/>
    </w:rPr>
  </w:style>
  <w:style w:type="paragraph" w:styleId="31">
    <w:name w:val="HTML Preformatted"/>
    <w:basedOn w:val="1"/>
    <w:link w:val="7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paragraph" w:styleId="32">
    <w:name w:val="Normal (Web)"/>
    <w:basedOn w:val="1"/>
    <w:qFormat/>
    <w:uiPriority w:val="99"/>
    <w:pPr>
      <w:widowControl/>
      <w:spacing w:before="100" w:beforeAutospacing="1" w:after="100" w:afterAutospacing="1"/>
      <w:jc w:val="left"/>
    </w:pPr>
    <w:rPr>
      <w:rFonts w:ascii="宋体" w:hAnsi="宋体" w:cs="宋体"/>
      <w:kern w:val="0"/>
      <w:sz w:val="18"/>
      <w:szCs w:val="18"/>
    </w:rPr>
  </w:style>
  <w:style w:type="paragraph" w:styleId="33">
    <w:name w:val="annotation subject"/>
    <w:basedOn w:val="10"/>
    <w:next w:val="10"/>
    <w:link w:val="123"/>
    <w:qFormat/>
    <w:uiPriority w:val="99"/>
    <w:pPr>
      <w:autoSpaceDE/>
      <w:autoSpaceDN/>
      <w:adjustRightInd/>
      <w:textAlignment w:val="auto"/>
    </w:pPr>
    <w:rPr>
      <w:b/>
      <w:bCs/>
      <w:sz w:val="24"/>
      <w:szCs w:val="24"/>
    </w:rPr>
  </w:style>
  <w:style w:type="table" w:styleId="35">
    <w:name w:val="Table Grid"/>
    <w:basedOn w:val="3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qFormat/>
    <w:uiPriority w:val="99"/>
    <w:rPr>
      <w:b/>
      <w:bCs/>
    </w:rPr>
  </w:style>
  <w:style w:type="character" w:styleId="38">
    <w:name w:val="page number"/>
    <w:basedOn w:val="36"/>
    <w:qFormat/>
    <w:uiPriority w:val="99"/>
  </w:style>
  <w:style w:type="character" w:styleId="39">
    <w:name w:val="FollowedHyperlink"/>
    <w:qFormat/>
    <w:uiPriority w:val="99"/>
    <w:rPr>
      <w:color w:val="333333"/>
      <w:sz w:val="18"/>
      <w:szCs w:val="18"/>
      <w:u w:val="none"/>
    </w:rPr>
  </w:style>
  <w:style w:type="character" w:styleId="40">
    <w:name w:val="Emphasis"/>
    <w:qFormat/>
    <w:uiPriority w:val="99"/>
    <w:rPr>
      <w:color w:val="auto"/>
    </w:rPr>
  </w:style>
  <w:style w:type="character" w:styleId="41">
    <w:name w:val="Hyperlink"/>
    <w:qFormat/>
    <w:uiPriority w:val="99"/>
    <w:rPr>
      <w:color w:val="333333"/>
      <w:sz w:val="18"/>
      <w:szCs w:val="18"/>
      <w:u w:val="none"/>
    </w:rPr>
  </w:style>
  <w:style w:type="character" w:styleId="42">
    <w:name w:val="annotation reference"/>
    <w:qFormat/>
    <w:uiPriority w:val="99"/>
    <w:rPr>
      <w:sz w:val="21"/>
      <w:szCs w:val="21"/>
    </w:rPr>
  </w:style>
  <w:style w:type="character" w:customStyle="1" w:styleId="43">
    <w:name w:val="日期 字符"/>
    <w:link w:val="18"/>
    <w:qFormat/>
    <w:locked/>
    <w:uiPriority w:val="99"/>
    <w:rPr>
      <w:b/>
      <w:bCs/>
      <w:kern w:val="2"/>
      <w:sz w:val="21"/>
      <w:szCs w:val="21"/>
    </w:rPr>
  </w:style>
  <w:style w:type="character" w:customStyle="1" w:styleId="44">
    <w:name w:val="占位符文本1"/>
    <w:qFormat/>
    <w:uiPriority w:val="99"/>
    <w:rPr>
      <w:color w:val="808080"/>
    </w:rPr>
  </w:style>
  <w:style w:type="character" w:customStyle="1" w:styleId="45">
    <w:name w:val="页脚 Char1"/>
    <w:qFormat/>
    <w:uiPriority w:val="99"/>
    <w:rPr>
      <w:sz w:val="18"/>
      <w:szCs w:val="18"/>
    </w:rPr>
  </w:style>
  <w:style w:type="character" w:customStyle="1" w:styleId="46">
    <w:name w:val="正文文本缩进 3 Char1"/>
    <w:qFormat/>
    <w:uiPriority w:val="99"/>
    <w:rPr>
      <w:kern w:val="2"/>
      <w:sz w:val="28"/>
      <w:szCs w:val="28"/>
    </w:rPr>
  </w:style>
  <w:style w:type="character" w:customStyle="1" w:styleId="47">
    <w:name w:val="Header Char1"/>
    <w:qFormat/>
    <w:uiPriority w:val="99"/>
    <w:rPr>
      <w:sz w:val="18"/>
      <w:szCs w:val="18"/>
    </w:rPr>
  </w:style>
  <w:style w:type="character" w:customStyle="1" w:styleId="48">
    <w:name w:val="正文文本缩进 3 Char"/>
    <w:qFormat/>
    <w:uiPriority w:val="99"/>
    <w:rPr>
      <w:rFonts w:eastAsia="宋体"/>
      <w:kern w:val="2"/>
      <w:sz w:val="28"/>
      <w:szCs w:val="28"/>
      <w:lang w:val="en-US" w:eastAsia="zh-CN"/>
    </w:rPr>
  </w:style>
  <w:style w:type="character" w:customStyle="1" w:styleId="49">
    <w:name w:val="Char Char1"/>
    <w:qFormat/>
    <w:uiPriority w:val="99"/>
    <w:rPr>
      <w:rFonts w:eastAsia="宋体"/>
      <w:kern w:val="2"/>
      <w:sz w:val="18"/>
      <w:szCs w:val="18"/>
      <w:lang w:val="en-US" w:eastAsia="zh-CN"/>
    </w:rPr>
  </w:style>
  <w:style w:type="character" w:customStyle="1" w:styleId="50">
    <w:name w:val="标题8（1） Char Char"/>
    <w:qFormat/>
    <w:uiPriority w:val="99"/>
    <w:rPr>
      <w:rFonts w:ascii="宋体" w:hAnsi="宋体" w:eastAsia="宋体" w:cs="宋体"/>
      <w:kern w:val="2"/>
      <w:sz w:val="26"/>
      <w:szCs w:val="26"/>
      <w:lang w:val="en-US" w:eastAsia="zh-CN"/>
    </w:rPr>
  </w:style>
  <w:style w:type="character" w:customStyle="1" w:styleId="51">
    <w:name w:val="纯文本 字符"/>
    <w:link w:val="16"/>
    <w:qFormat/>
    <w:locked/>
    <w:uiPriority w:val="99"/>
    <w:rPr>
      <w:rFonts w:ascii="宋体" w:hAnsi="Courier New" w:cs="宋体"/>
      <w:kern w:val="2"/>
      <w:sz w:val="21"/>
      <w:szCs w:val="21"/>
    </w:rPr>
  </w:style>
  <w:style w:type="character" w:customStyle="1" w:styleId="52">
    <w:name w:val="Body Text Indent Char1"/>
    <w:link w:val="53"/>
    <w:qFormat/>
    <w:locked/>
    <w:uiPriority w:val="99"/>
    <w:rPr>
      <w:sz w:val="21"/>
      <w:szCs w:val="21"/>
    </w:rPr>
  </w:style>
  <w:style w:type="paragraph" w:customStyle="1" w:styleId="53">
    <w:name w:val="正文文本缩进1"/>
    <w:basedOn w:val="1"/>
    <w:link w:val="52"/>
    <w:qFormat/>
    <w:uiPriority w:val="99"/>
    <w:pPr>
      <w:ind w:firstLine="540"/>
    </w:pPr>
    <w:rPr>
      <w:kern w:val="0"/>
    </w:rPr>
  </w:style>
  <w:style w:type="character" w:customStyle="1" w:styleId="54">
    <w:name w:val="zib1"/>
    <w:qFormat/>
    <w:uiPriority w:val="99"/>
    <w:rPr>
      <w:color w:val="auto"/>
      <w:u w:val="single"/>
    </w:rPr>
  </w:style>
  <w:style w:type="character" w:customStyle="1" w:styleId="55">
    <w:name w:val="HTML Preformatted Char1"/>
    <w:link w:val="56"/>
    <w:qFormat/>
    <w:locked/>
    <w:uiPriority w:val="99"/>
    <w:rPr>
      <w:rFonts w:ascii="Courier New" w:hAnsi="Courier New" w:cs="Courier New"/>
    </w:rPr>
  </w:style>
  <w:style w:type="paragraph" w:customStyle="1" w:styleId="56">
    <w:name w:val="HTML 预设格式1"/>
    <w:basedOn w:val="1"/>
    <w:link w:val="5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57">
    <w:name w:val="biaoti"/>
    <w:qFormat/>
    <w:uiPriority w:val="99"/>
    <w:rPr>
      <w:rFonts w:cs="Times New Roman"/>
    </w:rPr>
  </w:style>
  <w:style w:type="character" w:customStyle="1" w:styleId="58">
    <w:name w:val="Comment Subject Char1"/>
    <w:link w:val="59"/>
    <w:qFormat/>
    <w:locked/>
    <w:uiPriority w:val="99"/>
    <w:rPr>
      <w:rFonts w:ascii="宋体" w:hAnsi="宋体" w:eastAsia="宋体" w:cs="宋体"/>
      <w:b/>
      <w:bCs/>
      <w:color w:val="000000"/>
      <w:kern w:val="2"/>
      <w:sz w:val="21"/>
      <w:szCs w:val="21"/>
      <w:lang w:val="en-US" w:eastAsia="zh-CN"/>
    </w:rPr>
  </w:style>
  <w:style w:type="paragraph" w:customStyle="1" w:styleId="59">
    <w:name w:val="批注主题1"/>
    <w:basedOn w:val="10"/>
    <w:next w:val="10"/>
    <w:link w:val="58"/>
    <w:qFormat/>
    <w:uiPriority w:val="99"/>
    <w:pPr>
      <w:autoSpaceDE/>
      <w:autoSpaceDN/>
      <w:adjustRightInd/>
      <w:textAlignment w:val="auto"/>
    </w:pPr>
    <w:rPr>
      <w:rFonts w:cs="Times New Roman"/>
      <w:b/>
      <w:bCs/>
    </w:rPr>
  </w:style>
  <w:style w:type="character" w:customStyle="1" w:styleId="60">
    <w:name w:val="正文文本 3 字符"/>
    <w:link w:val="11"/>
    <w:qFormat/>
    <w:locked/>
    <w:uiPriority w:val="99"/>
    <w:rPr>
      <w:rFonts w:ascii="宋体" w:eastAsia="宋体" w:cs="宋体"/>
      <w:color w:val="FF0000"/>
      <w:kern w:val="2"/>
      <w:sz w:val="21"/>
      <w:szCs w:val="21"/>
    </w:rPr>
  </w:style>
  <w:style w:type="character" w:customStyle="1" w:styleId="61">
    <w:name w:val="正文文本 字符"/>
    <w:link w:val="12"/>
    <w:qFormat/>
    <w:locked/>
    <w:uiPriority w:val="99"/>
    <w:rPr>
      <w:kern w:val="2"/>
      <w:sz w:val="24"/>
      <w:szCs w:val="24"/>
    </w:rPr>
  </w:style>
  <w:style w:type="character" w:customStyle="1" w:styleId="62">
    <w:name w:val="Balloon Text Char1"/>
    <w:qFormat/>
    <w:uiPriority w:val="99"/>
    <w:rPr>
      <w:sz w:val="2"/>
      <w:szCs w:val="2"/>
    </w:rPr>
  </w:style>
  <w:style w:type="character" w:customStyle="1" w:styleId="63">
    <w:name w:val="apple-converted-space"/>
    <w:qFormat/>
    <w:uiPriority w:val="99"/>
  </w:style>
  <w:style w:type="character" w:customStyle="1" w:styleId="64">
    <w:name w:val="style841"/>
    <w:qFormat/>
    <w:uiPriority w:val="99"/>
    <w:rPr>
      <w:b/>
      <w:bCs/>
      <w:color w:val="FF0000"/>
      <w:sz w:val="30"/>
      <w:szCs w:val="30"/>
    </w:rPr>
  </w:style>
  <w:style w:type="character" w:customStyle="1" w:styleId="65">
    <w:name w:val="正文文本缩进 字符"/>
    <w:qFormat/>
    <w:uiPriority w:val="0"/>
    <w:rPr>
      <w:kern w:val="2"/>
      <w:sz w:val="21"/>
      <w:szCs w:val="24"/>
    </w:rPr>
  </w:style>
  <w:style w:type="character" w:customStyle="1" w:styleId="66">
    <w:name w:val="正文文本 2 字符"/>
    <w:link w:val="30"/>
    <w:qFormat/>
    <w:locked/>
    <w:uiPriority w:val="99"/>
    <w:rPr>
      <w:rFonts w:ascii="宋体" w:cs="宋体"/>
      <w:spacing w:val="-20"/>
      <w:kern w:val="2"/>
      <w:sz w:val="24"/>
      <w:szCs w:val="24"/>
    </w:rPr>
  </w:style>
  <w:style w:type="character" w:customStyle="1" w:styleId="67">
    <w:name w:val="Plain Text Char1"/>
    <w:link w:val="68"/>
    <w:qFormat/>
    <w:locked/>
    <w:uiPriority w:val="99"/>
    <w:rPr>
      <w:rFonts w:ascii="宋体" w:hAnsi="Courier New" w:cs="宋体"/>
      <w:sz w:val="21"/>
      <w:szCs w:val="21"/>
    </w:rPr>
  </w:style>
  <w:style w:type="paragraph" w:customStyle="1" w:styleId="68">
    <w:name w:val="纯文本1"/>
    <w:basedOn w:val="1"/>
    <w:link w:val="67"/>
    <w:qFormat/>
    <w:uiPriority w:val="99"/>
    <w:rPr>
      <w:rFonts w:ascii="宋体" w:hAnsi="Courier New"/>
      <w:kern w:val="0"/>
    </w:rPr>
  </w:style>
  <w:style w:type="character" w:customStyle="1" w:styleId="69">
    <w:name w:val="Char Char4"/>
    <w:qFormat/>
    <w:uiPriority w:val="99"/>
    <w:rPr>
      <w:rFonts w:cs="Times New Roman"/>
      <w:kern w:val="2"/>
      <w:sz w:val="24"/>
      <w:szCs w:val="24"/>
    </w:rPr>
  </w:style>
  <w:style w:type="character" w:customStyle="1" w:styleId="70">
    <w:name w:val="HTML 预设格式 字符"/>
    <w:link w:val="31"/>
    <w:qFormat/>
    <w:locked/>
    <w:uiPriority w:val="99"/>
    <w:rPr>
      <w:rFonts w:ascii="Courier New" w:hAnsi="Courier New" w:cs="Courier New"/>
      <w:kern w:val="2"/>
    </w:rPr>
  </w:style>
  <w:style w:type="character" w:customStyle="1" w:styleId="71">
    <w:name w:val="Date Char1"/>
    <w:link w:val="72"/>
    <w:qFormat/>
    <w:locked/>
    <w:uiPriority w:val="99"/>
    <w:rPr>
      <w:sz w:val="21"/>
      <w:szCs w:val="21"/>
    </w:rPr>
  </w:style>
  <w:style w:type="paragraph" w:customStyle="1" w:styleId="72">
    <w:name w:val="日期1"/>
    <w:basedOn w:val="1"/>
    <w:next w:val="1"/>
    <w:link w:val="71"/>
    <w:qFormat/>
    <w:uiPriority w:val="99"/>
    <w:rPr>
      <w:kern w:val="0"/>
    </w:rPr>
  </w:style>
  <w:style w:type="character" w:customStyle="1" w:styleId="73">
    <w:name w:val="Document Map Char1"/>
    <w:link w:val="74"/>
    <w:qFormat/>
    <w:locked/>
    <w:uiPriority w:val="99"/>
    <w:rPr>
      <w:kern w:val="2"/>
      <w:sz w:val="21"/>
      <w:szCs w:val="21"/>
      <w:shd w:val="clear" w:color="auto" w:fill="000080"/>
    </w:rPr>
  </w:style>
  <w:style w:type="paragraph" w:customStyle="1" w:styleId="74">
    <w:name w:val="文档结构图1"/>
    <w:basedOn w:val="1"/>
    <w:link w:val="73"/>
    <w:qFormat/>
    <w:uiPriority w:val="99"/>
    <w:pPr>
      <w:shd w:val="clear" w:color="auto" w:fill="000080"/>
    </w:pPr>
  </w:style>
  <w:style w:type="character" w:customStyle="1" w:styleId="75">
    <w:name w:val="正文文本缩进 2 字符"/>
    <w:qFormat/>
    <w:uiPriority w:val="0"/>
    <w:rPr>
      <w:kern w:val="2"/>
      <w:sz w:val="21"/>
      <w:szCs w:val="24"/>
    </w:rPr>
  </w:style>
  <w:style w:type="character" w:customStyle="1" w:styleId="76">
    <w:name w:val="标题 1 字符"/>
    <w:link w:val="2"/>
    <w:qFormat/>
    <w:locked/>
    <w:uiPriority w:val="99"/>
    <w:rPr>
      <w:rFonts w:ascii="宋体" w:cs="宋体"/>
      <w:kern w:val="2"/>
      <w:sz w:val="28"/>
      <w:szCs w:val="28"/>
    </w:rPr>
  </w:style>
  <w:style w:type="character" w:customStyle="1" w:styleId="77">
    <w:name w:val="cp"/>
    <w:qFormat/>
    <w:uiPriority w:val="99"/>
  </w:style>
  <w:style w:type="character" w:customStyle="1" w:styleId="78">
    <w:name w:val="yuedu1"/>
    <w:qFormat/>
    <w:uiPriority w:val="0"/>
    <w:rPr>
      <w:color w:val="000000"/>
      <w:spacing w:val="360"/>
      <w:sz w:val="28"/>
      <w:szCs w:val="28"/>
    </w:rPr>
  </w:style>
  <w:style w:type="character" w:customStyle="1" w:styleId="79">
    <w:name w:val="Char Char3"/>
    <w:qFormat/>
    <w:uiPriority w:val="99"/>
    <w:rPr>
      <w:rFonts w:ascii="宋体"/>
      <w:kern w:val="2"/>
      <w:sz w:val="28"/>
    </w:rPr>
  </w:style>
  <w:style w:type="character" w:customStyle="1" w:styleId="80">
    <w:name w:val="content3"/>
    <w:qFormat/>
    <w:uiPriority w:val="99"/>
  </w:style>
  <w:style w:type="character" w:customStyle="1" w:styleId="81">
    <w:name w:val="正文文本缩进 2 字符1"/>
    <w:link w:val="19"/>
    <w:qFormat/>
    <w:locked/>
    <w:uiPriority w:val="99"/>
    <w:rPr>
      <w:kern w:val="2"/>
      <w:sz w:val="28"/>
      <w:szCs w:val="28"/>
    </w:rPr>
  </w:style>
  <w:style w:type="character" w:customStyle="1" w:styleId="82">
    <w:name w:val="style16"/>
    <w:qFormat/>
    <w:uiPriority w:val="99"/>
  </w:style>
  <w:style w:type="character" w:customStyle="1" w:styleId="83">
    <w:name w:val="批注文字 字符"/>
    <w:link w:val="10"/>
    <w:qFormat/>
    <w:locked/>
    <w:uiPriority w:val="99"/>
    <w:rPr>
      <w:rFonts w:ascii="宋体" w:hAnsi="宋体" w:eastAsia="宋体" w:cs="宋体"/>
      <w:color w:val="000000"/>
      <w:kern w:val="2"/>
      <w:sz w:val="21"/>
      <w:szCs w:val="21"/>
      <w:lang w:val="en-US" w:eastAsia="zh-CN"/>
    </w:rPr>
  </w:style>
  <w:style w:type="character" w:customStyle="1" w:styleId="84">
    <w:name w:val="页眉 字符"/>
    <w:link w:val="22"/>
    <w:qFormat/>
    <w:locked/>
    <w:uiPriority w:val="0"/>
    <w:rPr>
      <w:rFonts w:eastAsia="宋体"/>
      <w:kern w:val="2"/>
      <w:sz w:val="18"/>
      <w:szCs w:val="18"/>
      <w:lang w:val="en-US" w:eastAsia="zh-CN"/>
    </w:rPr>
  </w:style>
  <w:style w:type="character" w:customStyle="1" w:styleId="85">
    <w:name w:val="标题 2 字符"/>
    <w:link w:val="3"/>
    <w:qFormat/>
    <w:locked/>
    <w:uiPriority w:val="99"/>
    <w:rPr>
      <w:rFonts w:ascii="宋体" w:cs="宋体"/>
      <w:kern w:val="2"/>
      <w:sz w:val="28"/>
      <w:szCs w:val="28"/>
    </w:rPr>
  </w:style>
  <w:style w:type="character" w:customStyle="1" w:styleId="86">
    <w:name w:val="正文文本缩进 3 字符"/>
    <w:link w:val="27"/>
    <w:qFormat/>
    <w:locked/>
    <w:uiPriority w:val="99"/>
    <w:rPr>
      <w:rFonts w:ascii="宋体" w:cs="宋体"/>
      <w:kern w:val="2"/>
      <w:sz w:val="28"/>
      <w:szCs w:val="28"/>
    </w:rPr>
  </w:style>
  <w:style w:type="character" w:customStyle="1" w:styleId="87">
    <w:name w:val="页码1"/>
    <w:qFormat/>
    <w:uiPriority w:val="99"/>
  </w:style>
  <w:style w:type="character" w:customStyle="1" w:styleId="88">
    <w:name w:val="moduletitle_menuitemsel"/>
    <w:qFormat/>
    <w:uiPriority w:val="0"/>
    <w:rPr>
      <w:rFonts w:ascii="Tahoma" w:hAnsi="Tahoma" w:eastAsia="Tahoma" w:cs="Tahoma"/>
      <w:b/>
      <w:color w:val="000000"/>
      <w:sz w:val="18"/>
      <w:szCs w:val="18"/>
    </w:rPr>
  </w:style>
  <w:style w:type="character" w:customStyle="1" w:styleId="89">
    <w:name w:val="Char Char11"/>
    <w:qFormat/>
    <w:uiPriority w:val="99"/>
    <w:rPr>
      <w:rFonts w:eastAsia="宋体" w:cs="Times New Roman"/>
      <w:kern w:val="2"/>
      <w:sz w:val="18"/>
      <w:szCs w:val="18"/>
      <w:lang w:val="en-US" w:eastAsia="zh-CN"/>
    </w:rPr>
  </w:style>
  <w:style w:type="character" w:customStyle="1" w:styleId="90">
    <w:name w:val="标题 3 字符"/>
    <w:link w:val="4"/>
    <w:qFormat/>
    <w:locked/>
    <w:uiPriority w:val="0"/>
    <w:rPr>
      <w:rFonts w:ascii="宋体" w:hAnsi="Tms Rmn" w:cs="宋体"/>
      <w:b/>
      <w:bCs/>
      <w:sz w:val="24"/>
      <w:szCs w:val="24"/>
    </w:rPr>
  </w:style>
  <w:style w:type="character" w:customStyle="1" w:styleId="91">
    <w:name w:val="标题 4 字符"/>
    <w:link w:val="5"/>
    <w:qFormat/>
    <w:locked/>
    <w:uiPriority w:val="99"/>
    <w:rPr>
      <w:rFonts w:ascii="Arial" w:hAnsi="Arial" w:eastAsia="黑体" w:cs="Arial"/>
      <w:b/>
      <w:bCs/>
      <w:kern w:val="2"/>
      <w:sz w:val="28"/>
      <w:szCs w:val="28"/>
    </w:rPr>
  </w:style>
  <w:style w:type="character" w:customStyle="1" w:styleId="92">
    <w:name w:val="hidden cinfo"/>
    <w:qFormat/>
    <w:uiPriority w:val="99"/>
  </w:style>
  <w:style w:type="character" w:customStyle="1" w:styleId="93">
    <w:name w:val="文档结构图 字符"/>
    <w:qFormat/>
    <w:uiPriority w:val="99"/>
    <w:rPr>
      <w:sz w:val="2"/>
      <w:szCs w:val="2"/>
    </w:rPr>
  </w:style>
  <w:style w:type="character" w:customStyle="1" w:styleId="94">
    <w:name w:val="ca-12"/>
    <w:qFormat/>
    <w:uiPriority w:val="99"/>
  </w:style>
  <w:style w:type="character" w:customStyle="1" w:styleId="95">
    <w:name w:val="脚注文本 字符"/>
    <w:link w:val="25"/>
    <w:semiHidden/>
    <w:qFormat/>
    <w:uiPriority w:val="99"/>
    <w:rPr>
      <w:kern w:val="2"/>
      <w:sz w:val="18"/>
      <w:szCs w:val="18"/>
    </w:rPr>
  </w:style>
  <w:style w:type="character" w:customStyle="1" w:styleId="96">
    <w:name w:val="Body Text Indent 2 Char1"/>
    <w:link w:val="97"/>
    <w:qFormat/>
    <w:locked/>
    <w:uiPriority w:val="99"/>
    <w:rPr>
      <w:kern w:val="2"/>
      <w:sz w:val="21"/>
      <w:szCs w:val="21"/>
    </w:rPr>
  </w:style>
  <w:style w:type="paragraph" w:customStyle="1" w:styleId="97">
    <w:name w:val="正文文本缩进 21"/>
    <w:basedOn w:val="1"/>
    <w:link w:val="96"/>
    <w:qFormat/>
    <w:uiPriority w:val="99"/>
    <w:pPr>
      <w:spacing w:line="680" w:lineRule="exact"/>
      <w:ind w:firstLine="573"/>
    </w:pPr>
  </w:style>
  <w:style w:type="character" w:customStyle="1" w:styleId="98">
    <w:name w:val="Char Char2"/>
    <w:qFormat/>
    <w:uiPriority w:val="99"/>
    <w:rPr>
      <w:rFonts w:eastAsia="宋体"/>
      <w:kern w:val="2"/>
      <w:sz w:val="28"/>
      <w:szCs w:val="28"/>
      <w:lang w:val="en-US" w:eastAsia="zh-CN"/>
    </w:rPr>
  </w:style>
  <w:style w:type="character" w:customStyle="1" w:styleId="99">
    <w:name w:val="批注引用1"/>
    <w:qFormat/>
    <w:uiPriority w:val="99"/>
    <w:rPr>
      <w:sz w:val="21"/>
      <w:szCs w:val="21"/>
    </w:rPr>
  </w:style>
  <w:style w:type="character" w:customStyle="1" w:styleId="100">
    <w:name w:val="edit_font_color"/>
    <w:qFormat/>
    <w:uiPriority w:val="99"/>
  </w:style>
  <w:style w:type="character" w:customStyle="1" w:styleId="101">
    <w:name w:val="Body Text Indent 3 Char1"/>
    <w:link w:val="102"/>
    <w:qFormat/>
    <w:locked/>
    <w:uiPriority w:val="99"/>
    <w:rPr>
      <w:kern w:val="2"/>
      <w:sz w:val="28"/>
      <w:szCs w:val="28"/>
    </w:rPr>
  </w:style>
  <w:style w:type="paragraph" w:customStyle="1" w:styleId="102">
    <w:name w:val="正文文本缩进 31"/>
    <w:basedOn w:val="1"/>
    <w:link w:val="101"/>
    <w:qFormat/>
    <w:uiPriority w:val="99"/>
    <w:pPr>
      <w:ind w:firstLine="570"/>
    </w:pPr>
    <w:rPr>
      <w:sz w:val="28"/>
      <w:szCs w:val="28"/>
    </w:rPr>
  </w:style>
  <w:style w:type="character" w:customStyle="1" w:styleId="103">
    <w:name w:val="gray61"/>
    <w:qFormat/>
    <w:uiPriority w:val="99"/>
    <w:rPr>
      <w:color w:val="auto"/>
    </w:rPr>
  </w:style>
  <w:style w:type="character" w:customStyle="1" w:styleId="104">
    <w:name w:val="批注框文本 字符"/>
    <w:link w:val="20"/>
    <w:qFormat/>
    <w:locked/>
    <w:uiPriority w:val="99"/>
    <w:rPr>
      <w:kern w:val="2"/>
      <w:sz w:val="18"/>
      <w:szCs w:val="18"/>
    </w:rPr>
  </w:style>
  <w:style w:type="character" w:customStyle="1" w:styleId="105">
    <w:name w:val="HTML 样本1"/>
    <w:qFormat/>
    <w:uiPriority w:val="99"/>
    <w:rPr>
      <w:rFonts w:ascii="宋体" w:hAnsi="宋体" w:eastAsia="宋体" w:cs="宋体"/>
    </w:rPr>
  </w:style>
  <w:style w:type="character" w:customStyle="1" w:styleId="106">
    <w:name w:val="texta1"/>
    <w:qFormat/>
    <w:uiPriority w:val="99"/>
    <w:rPr>
      <w:spacing w:val="320"/>
    </w:rPr>
  </w:style>
  <w:style w:type="character" w:customStyle="1" w:styleId="107">
    <w:name w:val="font21"/>
    <w:qFormat/>
    <w:uiPriority w:val="99"/>
    <w:rPr>
      <w:rFonts w:ascii="Verdana" w:hAnsi="Verdana" w:cs="Verdana"/>
      <w:color w:val="000000"/>
      <w:sz w:val="21"/>
      <w:szCs w:val="21"/>
    </w:rPr>
  </w:style>
  <w:style w:type="character" w:customStyle="1" w:styleId="108">
    <w:name w:val="HTML Preformatted Char"/>
    <w:qFormat/>
    <w:locked/>
    <w:uiPriority w:val="99"/>
    <w:rPr>
      <w:rFonts w:ascii="Arial" w:hAnsi="Arial" w:cs="Arial"/>
      <w:sz w:val="24"/>
      <w:szCs w:val="24"/>
    </w:rPr>
  </w:style>
  <w:style w:type="character" w:customStyle="1" w:styleId="109">
    <w:name w:val="ellipsis"/>
    <w:qFormat/>
    <w:uiPriority w:val="99"/>
  </w:style>
  <w:style w:type="character" w:customStyle="1" w:styleId="110">
    <w:name w:val="Char Char"/>
    <w:qFormat/>
    <w:uiPriority w:val="99"/>
    <w:rPr>
      <w:rFonts w:eastAsia="宋体"/>
      <w:kern w:val="2"/>
      <w:sz w:val="18"/>
      <w:lang w:val="en-US" w:eastAsia="zh-CN"/>
    </w:rPr>
  </w:style>
  <w:style w:type="character" w:customStyle="1" w:styleId="111">
    <w:name w:val="页脚 字符"/>
    <w:link w:val="21"/>
    <w:qFormat/>
    <w:locked/>
    <w:uiPriority w:val="99"/>
    <w:rPr>
      <w:kern w:val="2"/>
      <w:sz w:val="18"/>
      <w:szCs w:val="18"/>
    </w:rPr>
  </w:style>
  <w:style w:type="character" w:customStyle="1" w:styleId="112">
    <w:name w:val="批注主题 Char"/>
    <w:qFormat/>
    <w:uiPriority w:val="99"/>
    <w:rPr>
      <w:rFonts w:ascii="宋体" w:hAnsi="宋体" w:eastAsia="宋体" w:cs="宋体"/>
      <w:b/>
      <w:bCs/>
      <w:color w:val="000000"/>
      <w:kern w:val="2"/>
      <w:sz w:val="21"/>
      <w:szCs w:val="21"/>
      <w:lang w:val="en-US" w:eastAsia="zh-CN"/>
    </w:rPr>
  </w:style>
  <w:style w:type="character" w:customStyle="1" w:styleId="113">
    <w:name w:val="正文缩进 Char"/>
    <w:link w:val="114"/>
    <w:qFormat/>
    <w:locked/>
    <w:uiPriority w:val="99"/>
    <w:rPr>
      <w:kern w:val="2"/>
      <w:sz w:val="24"/>
      <w:szCs w:val="24"/>
    </w:rPr>
  </w:style>
  <w:style w:type="paragraph" w:customStyle="1" w:styleId="114">
    <w:name w:val="正文缩进1"/>
    <w:basedOn w:val="1"/>
    <w:link w:val="113"/>
    <w:qFormat/>
    <w:uiPriority w:val="99"/>
    <w:pPr>
      <w:ind w:firstLine="420" w:firstLineChars="200"/>
    </w:pPr>
    <w:rPr>
      <w:sz w:val="24"/>
      <w:szCs w:val="24"/>
    </w:rPr>
  </w:style>
  <w:style w:type="character" w:customStyle="1" w:styleId="115">
    <w:name w:val="lxm11"/>
    <w:qFormat/>
    <w:uiPriority w:val="99"/>
    <w:rPr>
      <w:sz w:val="18"/>
      <w:szCs w:val="18"/>
    </w:rPr>
  </w:style>
  <w:style w:type="character" w:customStyle="1" w:styleId="116">
    <w:name w:val="Char Char6"/>
    <w:qFormat/>
    <w:uiPriority w:val="99"/>
    <w:rPr>
      <w:rFonts w:eastAsia="宋体"/>
      <w:kern w:val="2"/>
      <w:sz w:val="28"/>
      <w:szCs w:val="28"/>
      <w:lang w:val="en-US" w:eastAsia="zh-CN"/>
    </w:rPr>
  </w:style>
  <w:style w:type="character" w:customStyle="1" w:styleId="117">
    <w:name w:val="正文文本缩进 字符1"/>
    <w:link w:val="13"/>
    <w:qFormat/>
    <w:locked/>
    <w:uiPriority w:val="0"/>
    <w:rPr>
      <w:rFonts w:ascii="宋体" w:eastAsia="宋体" w:cs="宋体"/>
      <w:kern w:val="2"/>
      <w:sz w:val="28"/>
      <w:szCs w:val="28"/>
      <w:lang w:val="en-US" w:eastAsia="zh-CN"/>
    </w:rPr>
  </w:style>
  <w:style w:type="character" w:customStyle="1" w:styleId="118">
    <w:name w:val="文档结构图 字符1"/>
    <w:link w:val="9"/>
    <w:semiHidden/>
    <w:qFormat/>
    <w:uiPriority w:val="99"/>
    <w:rPr>
      <w:rFonts w:ascii="宋体"/>
      <w:kern w:val="2"/>
      <w:sz w:val="18"/>
      <w:szCs w:val="18"/>
    </w:rPr>
  </w:style>
  <w:style w:type="character" w:customStyle="1" w:styleId="119">
    <w:name w:val="ca-9"/>
    <w:qFormat/>
    <w:uiPriority w:val="99"/>
  </w:style>
  <w:style w:type="character" w:customStyle="1" w:styleId="120">
    <w:name w:val="a121"/>
    <w:qFormat/>
    <w:uiPriority w:val="99"/>
  </w:style>
  <w:style w:type="character" w:customStyle="1" w:styleId="121">
    <w:name w:val="批注文字 Char1"/>
    <w:qFormat/>
    <w:uiPriority w:val="99"/>
    <w:rPr>
      <w:sz w:val="21"/>
      <w:szCs w:val="21"/>
    </w:rPr>
  </w:style>
  <w:style w:type="character" w:customStyle="1" w:styleId="122">
    <w:name w:val="style1"/>
    <w:qFormat/>
    <w:uiPriority w:val="99"/>
  </w:style>
  <w:style w:type="character" w:customStyle="1" w:styleId="123">
    <w:name w:val="批注主题 字符"/>
    <w:link w:val="33"/>
    <w:qFormat/>
    <w:locked/>
    <w:uiPriority w:val="99"/>
    <w:rPr>
      <w:rFonts w:ascii="宋体" w:hAnsi="宋体" w:eastAsia="宋体" w:cs="宋体"/>
      <w:b/>
      <w:bCs/>
      <w:color w:val="000000"/>
      <w:kern w:val="2"/>
      <w:sz w:val="24"/>
      <w:szCs w:val="24"/>
      <w:lang w:val="en-US" w:eastAsia="zh-CN"/>
    </w:rPr>
  </w:style>
  <w:style w:type="paragraph" w:customStyle="1" w:styleId="124">
    <w:name w:val="Char12"/>
    <w:basedOn w:val="1"/>
    <w:qFormat/>
    <w:uiPriority w:val="99"/>
    <w:pPr>
      <w:spacing w:line="360" w:lineRule="auto"/>
      <w:ind w:firstLine="1653" w:firstLineChars="588"/>
    </w:pPr>
    <w:rPr>
      <w:b/>
      <w:sz w:val="28"/>
      <w:szCs w:val="28"/>
    </w:rPr>
  </w:style>
  <w:style w:type="paragraph" w:customStyle="1" w:styleId="125">
    <w:name w:val="xl2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cs="Arial Unicode MS"/>
      <w:kern w:val="0"/>
      <w:sz w:val="20"/>
      <w:szCs w:val="20"/>
    </w:rPr>
  </w:style>
  <w:style w:type="paragraph" w:customStyle="1" w:styleId="126">
    <w:name w:val="xl34"/>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18"/>
      <w:szCs w:val="18"/>
    </w:rPr>
  </w:style>
  <w:style w:type="paragraph" w:customStyle="1" w:styleId="127">
    <w:name w:val="Char Char Char Char"/>
    <w:basedOn w:val="74"/>
    <w:qFormat/>
    <w:uiPriority w:val="99"/>
    <w:pPr>
      <w:adjustRightInd w:val="0"/>
      <w:snapToGrid w:val="0"/>
      <w:spacing w:line="360" w:lineRule="auto"/>
    </w:pPr>
    <w:rPr>
      <w:rFonts w:ascii="Tahoma" w:hAnsi="Tahoma" w:cs="Tahoma"/>
      <w:sz w:val="24"/>
      <w:szCs w:val="24"/>
    </w:rPr>
  </w:style>
  <w:style w:type="paragraph" w:customStyle="1" w:styleId="12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color w:val="000000"/>
      <w:kern w:val="0"/>
      <w:sz w:val="18"/>
      <w:szCs w:val="18"/>
    </w:rPr>
  </w:style>
  <w:style w:type="paragraph" w:styleId="129">
    <w:name w:val="List Paragraph"/>
    <w:basedOn w:val="1"/>
    <w:qFormat/>
    <w:uiPriority w:val="99"/>
    <w:pPr>
      <w:widowControl/>
      <w:ind w:firstLine="420" w:firstLineChars="200"/>
      <w:jc w:val="left"/>
    </w:pPr>
    <w:rPr>
      <w:rFonts w:ascii="宋体" w:hAnsi="宋体" w:cs="宋体"/>
      <w:kern w:val="0"/>
      <w:sz w:val="24"/>
      <w:szCs w:val="24"/>
    </w:rPr>
  </w:style>
  <w:style w:type="paragraph" w:customStyle="1" w:styleId="130">
    <w:name w:val="xl40"/>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131">
    <w:name w:val="Default"/>
    <w:qFormat/>
    <w:uiPriority w:val="0"/>
    <w:pPr>
      <w:widowControl w:val="0"/>
      <w:autoSpaceDE w:val="0"/>
      <w:autoSpaceDN w:val="0"/>
      <w:adjustRightInd w:val="0"/>
      <w:spacing w:line="640" w:lineRule="exact"/>
      <w:jc w:val="center"/>
    </w:pPr>
    <w:rPr>
      <w:rFonts w:ascii="微软雅黑" w:hAnsi="Times New Roman" w:eastAsia="微软雅黑" w:cs="微软雅黑"/>
      <w:color w:val="000000"/>
      <w:sz w:val="24"/>
      <w:szCs w:val="24"/>
      <w:lang w:val="en-US" w:eastAsia="zh-CN" w:bidi="ar-SA"/>
    </w:rPr>
  </w:style>
  <w:style w:type="paragraph" w:customStyle="1" w:styleId="132">
    <w:name w:val="普通(网站)1"/>
    <w:basedOn w:val="1"/>
    <w:qFormat/>
    <w:uiPriority w:val="99"/>
    <w:pPr>
      <w:widowControl/>
      <w:spacing w:before="100" w:beforeAutospacing="1" w:after="100" w:afterAutospacing="1"/>
      <w:jc w:val="left"/>
    </w:pPr>
    <w:rPr>
      <w:rFonts w:ascii="Arial Unicode MS" w:hAnsi="Arial Unicode MS" w:cs="Arial Unicode MS"/>
      <w:kern w:val="0"/>
      <w:sz w:val="24"/>
      <w:szCs w:val="24"/>
    </w:rPr>
  </w:style>
  <w:style w:type="paragraph" w:customStyle="1" w:styleId="133">
    <w:name w:val="xl26"/>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cs="Arial Unicode MS"/>
      <w:kern w:val="0"/>
      <w:sz w:val="18"/>
      <w:szCs w:val="18"/>
    </w:rPr>
  </w:style>
  <w:style w:type="paragraph" w:customStyle="1" w:styleId="134">
    <w:name w:val="标题8（1） Char"/>
    <w:basedOn w:val="1"/>
    <w:qFormat/>
    <w:uiPriority w:val="99"/>
    <w:pPr>
      <w:spacing w:line="360" w:lineRule="auto"/>
      <w:ind w:firstLine="200" w:firstLineChars="200"/>
      <w:outlineLvl w:val="7"/>
    </w:pPr>
    <w:rPr>
      <w:rFonts w:ascii="宋体" w:hAnsi="宋体" w:cs="宋体"/>
      <w:sz w:val="26"/>
      <w:szCs w:val="26"/>
    </w:rPr>
  </w:style>
  <w:style w:type="paragraph" w:customStyle="1" w:styleId="135">
    <w:name w:val="Char Char Char Char Char Char Char Char Char Char Char Char Char Char1 Char Char Char Char1"/>
    <w:basedOn w:val="1"/>
    <w:qFormat/>
    <w:uiPriority w:val="99"/>
  </w:style>
  <w:style w:type="paragraph" w:customStyle="1" w:styleId="136">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37">
    <w:name w:val="标题7 1"/>
    <w:basedOn w:val="138"/>
    <w:qFormat/>
    <w:uiPriority w:val="99"/>
  </w:style>
  <w:style w:type="paragraph" w:customStyle="1" w:styleId="138">
    <w:name w:val="正文2 Char"/>
    <w:basedOn w:val="1"/>
    <w:qFormat/>
    <w:uiPriority w:val="99"/>
    <w:pPr>
      <w:spacing w:line="360" w:lineRule="auto"/>
      <w:ind w:firstLine="520" w:firstLineChars="200"/>
    </w:pPr>
    <w:rPr>
      <w:rFonts w:ascii="宋体" w:hAnsi="宋体" w:cs="宋体"/>
      <w:sz w:val="26"/>
      <w:szCs w:val="26"/>
    </w:rPr>
  </w:style>
  <w:style w:type="paragraph" w:customStyle="1" w:styleId="139">
    <w:name w:val="xl39"/>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140">
    <w:name w:val="列出段落1"/>
    <w:basedOn w:val="1"/>
    <w:qFormat/>
    <w:uiPriority w:val="99"/>
    <w:pPr>
      <w:ind w:firstLine="420" w:firstLineChars="200"/>
    </w:pPr>
  </w:style>
  <w:style w:type="paragraph" w:customStyle="1" w:styleId="141">
    <w:name w:val="xl36"/>
    <w:basedOn w:val="1"/>
    <w:qFormat/>
    <w:uiPriority w:val="99"/>
    <w:pPr>
      <w:widowControl/>
      <w:pBdr>
        <w:bottom w:val="single" w:color="auto" w:sz="4" w:space="0"/>
        <w:right w:val="single" w:color="auto" w:sz="4" w:space="0"/>
      </w:pBdr>
      <w:spacing w:before="100" w:beforeAutospacing="1" w:after="100" w:afterAutospacing="1"/>
      <w:jc w:val="center"/>
      <w:textAlignment w:val="center"/>
    </w:pPr>
    <w:rPr>
      <w:kern w:val="0"/>
    </w:rPr>
  </w:style>
  <w:style w:type="paragraph" w:customStyle="1" w:styleId="142">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cs="Arial Unicode MS"/>
      <w:kern w:val="0"/>
      <w:sz w:val="18"/>
      <w:szCs w:val="18"/>
    </w:rPr>
  </w:style>
  <w:style w:type="paragraph" w:customStyle="1" w:styleId="143">
    <w:name w:val="xl71"/>
    <w:basedOn w:val="1"/>
    <w:qFormat/>
    <w:uiPriority w:val="0"/>
    <w:pPr>
      <w:widowControl/>
      <w:pBdr>
        <w:left w:val="single" w:color="auto" w:sz="4" w:space="0"/>
        <w:right w:val="single" w:color="auto" w:sz="4" w:space="0"/>
      </w:pBdr>
      <w:spacing w:before="100" w:beforeAutospacing="1" w:after="100" w:afterAutospacing="1"/>
      <w:jc w:val="center"/>
    </w:pPr>
    <w:rPr>
      <w:color w:val="000000"/>
      <w:kern w:val="0"/>
      <w:sz w:val="18"/>
      <w:szCs w:val="18"/>
    </w:rPr>
  </w:style>
  <w:style w:type="paragraph" w:customStyle="1" w:styleId="144">
    <w:name w:val="Char1"/>
    <w:basedOn w:val="1"/>
    <w:qFormat/>
    <w:uiPriority w:val="99"/>
    <w:pPr>
      <w:spacing w:line="360" w:lineRule="auto"/>
      <w:ind w:firstLine="1653" w:firstLineChars="588"/>
    </w:pPr>
    <w:rPr>
      <w:b/>
      <w:bCs/>
      <w:sz w:val="28"/>
      <w:szCs w:val="28"/>
    </w:rPr>
  </w:style>
  <w:style w:type="paragraph" w:customStyle="1" w:styleId="145">
    <w:name w:val="reader-word-layer reader-word-s6-9"/>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46">
    <w:name w:val="修订1"/>
    <w:qFormat/>
    <w:uiPriority w:val="99"/>
    <w:pPr>
      <w:spacing w:line="640" w:lineRule="exact"/>
      <w:jc w:val="center"/>
    </w:pPr>
    <w:rPr>
      <w:rFonts w:ascii="Times New Roman" w:hAnsi="Times New Roman" w:eastAsia="宋体" w:cs="Times New Roman"/>
      <w:kern w:val="2"/>
      <w:sz w:val="21"/>
      <w:szCs w:val="21"/>
      <w:lang w:val="en-US" w:eastAsia="zh-CN" w:bidi="ar-SA"/>
    </w:rPr>
  </w:style>
  <w:style w:type="paragraph" w:customStyle="1" w:styleId="147">
    <w:name w:val="样式1"/>
    <w:basedOn w:val="3"/>
    <w:qFormat/>
    <w:uiPriority w:val="99"/>
    <w:pPr>
      <w:keepNext w:val="0"/>
      <w:widowControl/>
      <w:numPr>
        <w:ilvl w:val="0"/>
        <w:numId w:val="0"/>
      </w:numPr>
      <w:spacing w:before="100" w:beforeAutospacing="1" w:line="360" w:lineRule="auto"/>
      <w:ind w:left="1716" w:hanging="720"/>
      <w:jc w:val="center"/>
    </w:pPr>
    <w:rPr>
      <w:rFonts w:hAnsi="宋体"/>
      <w:b/>
      <w:bCs/>
      <w:sz w:val="32"/>
      <w:szCs w:val="32"/>
    </w:rPr>
  </w:style>
  <w:style w:type="paragraph" w:customStyle="1" w:styleId="148">
    <w:name w:val="默认段落字体 Para Char Char Char Char Char Char Char"/>
    <w:basedOn w:val="1"/>
    <w:qFormat/>
    <w:uiPriority w:val="99"/>
    <w:rPr>
      <w:rFonts w:ascii="Tahoma" w:hAnsi="Tahoma" w:cs="Tahoma"/>
      <w:sz w:val="24"/>
      <w:szCs w:val="24"/>
    </w:rPr>
  </w:style>
  <w:style w:type="paragraph" w:customStyle="1" w:styleId="149">
    <w:name w:val="样式6"/>
    <w:qFormat/>
    <w:uiPriority w:val="99"/>
    <w:pPr>
      <w:widowControl w:val="0"/>
      <w:spacing w:line="360" w:lineRule="auto"/>
      <w:ind w:firstLine="567"/>
      <w:jc w:val="center"/>
    </w:pPr>
    <w:rPr>
      <w:rFonts w:ascii="仿宋_GB2312" w:hAnsi="Times New Roman" w:eastAsia="仿宋_GB2312" w:cs="仿宋_GB2312"/>
      <w:sz w:val="28"/>
      <w:szCs w:val="28"/>
      <w:lang w:val="en-US" w:eastAsia="zh-CN" w:bidi="ar-SA"/>
    </w:rPr>
  </w:style>
  <w:style w:type="paragraph" w:customStyle="1" w:styleId="150">
    <w:name w:val="Char Char Char Char Char Char Char Char Char Char Char Char Char Char1 Char Char Char Char"/>
    <w:basedOn w:val="1"/>
    <w:qFormat/>
    <w:uiPriority w:val="99"/>
  </w:style>
  <w:style w:type="paragraph" w:customStyle="1" w:styleId="151">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rPr>
  </w:style>
  <w:style w:type="paragraph" w:customStyle="1" w:styleId="152">
    <w:name w:val="Char Char Char Char Char Char Char Char Char Char Char Char Char Char1 Char Char Char Char2"/>
    <w:basedOn w:val="1"/>
    <w:qFormat/>
    <w:uiPriority w:val="99"/>
  </w:style>
  <w:style w:type="paragraph" w:customStyle="1" w:styleId="153">
    <w:name w:val="reader-word-layer reader-word-s6-7"/>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54">
    <w:name w:val="xl41"/>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155">
    <w:name w:val="修订2"/>
    <w:qFormat/>
    <w:uiPriority w:val="99"/>
    <w:pPr>
      <w:spacing w:line="640" w:lineRule="exact"/>
      <w:jc w:val="center"/>
    </w:pPr>
    <w:rPr>
      <w:rFonts w:ascii="Times New Roman" w:hAnsi="Times New Roman" w:eastAsia="宋体" w:cs="Times New Roman"/>
      <w:kern w:val="2"/>
      <w:sz w:val="21"/>
      <w:szCs w:val="21"/>
      <w:lang w:val="en-US" w:eastAsia="zh-CN" w:bidi="ar-SA"/>
    </w:rPr>
  </w:style>
  <w:style w:type="paragraph" w:customStyle="1" w:styleId="156">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kern w:val="0"/>
      <w:sz w:val="18"/>
      <w:szCs w:val="18"/>
    </w:rPr>
  </w:style>
  <w:style w:type="paragraph" w:customStyle="1" w:styleId="15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color w:val="000000"/>
      <w:kern w:val="0"/>
      <w:sz w:val="18"/>
      <w:szCs w:val="18"/>
    </w:rPr>
  </w:style>
  <w:style w:type="paragraph" w:customStyle="1" w:styleId="158">
    <w:name w:val="Char Char Char Char Char Char Char Char Char Char Char Char Char Char Char"/>
    <w:basedOn w:val="1"/>
    <w:qFormat/>
    <w:uiPriority w:val="99"/>
    <w:rPr>
      <w:rFonts w:ascii="Tahoma" w:hAnsi="Tahoma" w:cs="Tahoma"/>
      <w:sz w:val="24"/>
      <w:szCs w:val="24"/>
    </w:rPr>
  </w:style>
  <w:style w:type="paragraph" w:customStyle="1" w:styleId="159">
    <w:name w:val="xl33"/>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18"/>
      <w:szCs w:val="18"/>
    </w:rPr>
  </w:style>
  <w:style w:type="paragraph" w:customStyle="1" w:styleId="160">
    <w:name w:val="xl7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color w:val="000000"/>
      <w:kern w:val="0"/>
      <w:sz w:val="18"/>
      <w:szCs w:val="18"/>
    </w:rPr>
  </w:style>
  <w:style w:type="paragraph" w:customStyle="1" w:styleId="16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62">
    <w:name w:val="标题3（章）"/>
    <w:qFormat/>
    <w:uiPriority w:val="99"/>
    <w:pPr>
      <w:spacing w:line="640" w:lineRule="exact"/>
      <w:jc w:val="center"/>
      <w:outlineLvl w:val="2"/>
    </w:pPr>
    <w:rPr>
      <w:rFonts w:ascii="宋体" w:hAnsi="宋体" w:eastAsia="宋体" w:cs="宋体"/>
      <w:b/>
      <w:bCs/>
      <w:kern w:val="2"/>
      <w:sz w:val="32"/>
      <w:szCs w:val="32"/>
      <w:lang w:val="en-US" w:eastAsia="zh-CN" w:bidi="ar-SA"/>
    </w:rPr>
  </w:style>
  <w:style w:type="paragraph" w:customStyle="1" w:styleId="16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18"/>
      <w:szCs w:val="18"/>
    </w:rPr>
  </w:style>
  <w:style w:type="paragraph" w:customStyle="1" w:styleId="164">
    <w:name w:val="custom_unionsty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65">
    <w:name w:val="xl37"/>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kern w:val="0"/>
    </w:rPr>
  </w:style>
  <w:style w:type="paragraph" w:customStyle="1" w:styleId="166">
    <w:name w:val="xl27"/>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18"/>
      <w:szCs w:val="18"/>
    </w:rPr>
  </w:style>
  <w:style w:type="paragraph" w:customStyle="1" w:styleId="167">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color w:val="000000"/>
      <w:kern w:val="0"/>
      <w:sz w:val="18"/>
      <w:szCs w:val="18"/>
    </w:rPr>
  </w:style>
  <w:style w:type="paragraph" w:customStyle="1" w:styleId="168">
    <w:name w:val="xl38"/>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kern w:val="0"/>
    </w:rPr>
  </w:style>
  <w:style w:type="paragraph" w:customStyle="1" w:styleId="169">
    <w:name w:val="xl35"/>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18"/>
      <w:szCs w:val="18"/>
    </w:rPr>
  </w:style>
  <w:style w:type="paragraph" w:customStyle="1" w:styleId="170">
    <w:name w:val="标题6（一）"/>
    <w:basedOn w:val="1"/>
    <w:qFormat/>
    <w:uiPriority w:val="99"/>
    <w:pPr>
      <w:spacing w:line="360" w:lineRule="auto"/>
      <w:ind w:firstLine="200" w:firstLineChars="200"/>
      <w:outlineLvl w:val="5"/>
    </w:pPr>
    <w:rPr>
      <w:rFonts w:ascii="宋体" w:hAnsi="宋体" w:cs="宋体"/>
      <w:sz w:val="26"/>
      <w:szCs w:val="26"/>
    </w:rPr>
  </w:style>
  <w:style w:type="paragraph" w:customStyle="1" w:styleId="171">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kern w:val="0"/>
      <w:sz w:val="18"/>
      <w:szCs w:val="18"/>
    </w:rPr>
  </w:style>
  <w:style w:type="paragraph" w:customStyle="1" w:styleId="172">
    <w:name w:val="TOC 标题1"/>
    <w:basedOn w:val="2"/>
    <w:next w:val="1"/>
    <w:qFormat/>
    <w:uiPriority w:val="39"/>
    <w:pPr>
      <w:keepLines/>
      <w:widowControl/>
      <w:autoSpaceDE/>
      <w:autoSpaceDN/>
      <w:adjustRightInd/>
      <w:spacing w:before="480" w:line="276" w:lineRule="auto"/>
      <w:jc w:val="left"/>
      <w:textAlignment w:val="auto"/>
      <w:outlineLvl w:val="9"/>
    </w:pPr>
    <w:rPr>
      <w:rFonts w:ascii="Cambria" w:hAnsi="Cambria" w:cs="Cambria"/>
      <w:b/>
      <w:bCs/>
      <w:color w:val="365F91"/>
      <w:kern w:val="0"/>
    </w:rPr>
  </w:style>
  <w:style w:type="paragraph" w:customStyle="1" w:styleId="173">
    <w:name w:val="正文文本缩进2"/>
    <w:basedOn w:val="1"/>
    <w:qFormat/>
    <w:uiPriority w:val="0"/>
    <w:pPr>
      <w:spacing w:line="480" w:lineRule="auto"/>
      <w:ind w:firstLine="705"/>
    </w:pPr>
    <w:rPr>
      <w:sz w:val="24"/>
      <w:szCs w:val="24"/>
    </w:rPr>
  </w:style>
  <w:style w:type="paragraph" w:customStyle="1" w:styleId="174">
    <w:name w:val="修订3"/>
    <w:qFormat/>
    <w:uiPriority w:val="99"/>
    <w:pPr>
      <w:spacing w:line="640" w:lineRule="exact"/>
      <w:jc w:val="center"/>
    </w:pPr>
    <w:rPr>
      <w:rFonts w:ascii="Times New Roman" w:hAnsi="Times New Roman" w:eastAsia="宋体" w:cs="Times New Roman"/>
      <w:kern w:val="2"/>
      <w:sz w:val="21"/>
      <w:szCs w:val="21"/>
      <w:lang w:val="en-US" w:eastAsia="zh-CN" w:bidi="ar-SA"/>
    </w:rPr>
  </w:style>
  <w:style w:type="paragraph" w:customStyle="1" w:styleId="175">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76">
    <w:name w:val="标题8（1）"/>
    <w:basedOn w:val="1"/>
    <w:qFormat/>
    <w:uiPriority w:val="99"/>
    <w:pPr>
      <w:spacing w:line="360" w:lineRule="auto"/>
      <w:ind w:firstLine="200" w:firstLineChars="200"/>
      <w:outlineLvl w:val="7"/>
    </w:pPr>
    <w:rPr>
      <w:rFonts w:ascii="宋体" w:hAnsi="宋体" w:cs="宋体"/>
      <w:sz w:val="26"/>
      <w:szCs w:val="26"/>
    </w:rPr>
  </w:style>
  <w:style w:type="paragraph" w:customStyle="1" w:styleId="177">
    <w:name w:val="标题4（节）"/>
    <w:qFormat/>
    <w:uiPriority w:val="99"/>
    <w:pPr>
      <w:spacing w:before="100" w:beforeAutospacing="1" w:line="360" w:lineRule="auto"/>
      <w:jc w:val="center"/>
      <w:outlineLvl w:val="2"/>
    </w:pPr>
    <w:rPr>
      <w:rFonts w:ascii="宋体" w:hAnsi="宋体" w:eastAsia="宋体" w:cs="宋体"/>
      <w:b/>
      <w:bCs/>
      <w:kern w:val="2"/>
      <w:sz w:val="26"/>
      <w:szCs w:val="26"/>
      <w:lang w:val="en-US" w:eastAsia="zh-CN" w:bidi="ar-SA"/>
    </w:rPr>
  </w:style>
  <w:style w:type="paragraph" w:customStyle="1" w:styleId="178">
    <w:name w:val="font7"/>
    <w:basedOn w:val="1"/>
    <w:qFormat/>
    <w:uiPriority w:val="0"/>
    <w:pPr>
      <w:widowControl/>
      <w:spacing w:before="100" w:beforeAutospacing="1" w:after="100" w:afterAutospacing="1"/>
      <w:jc w:val="left"/>
    </w:pPr>
    <w:rPr>
      <w:color w:val="000000"/>
      <w:kern w:val="0"/>
      <w:sz w:val="18"/>
      <w:szCs w:val="18"/>
    </w:rPr>
  </w:style>
  <w:style w:type="paragraph" w:customStyle="1" w:styleId="179">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80">
    <w:name w:val="xl29"/>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0"/>
      <w:szCs w:val="20"/>
    </w:rPr>
  </w:style>
  <w:style w:type="paragraph" w:customStyle="1" w:styleId="181">
    <w:name w:val="Char11"/>
    <w:basedOn w:val="1"/>
    <w:qFormat/>
    <w:uiPriority w:val="99"/>
    <w:pPr>
      <w:spacing w:line="360" w:lineRule="auto"/>
      <w:ind w:firstLine="551" w:firstLineChars="196"/>
    </w:pPr>
    <w:rPr>
      <w:b/>
      <w:bCs/>
      <w:sz w:val="28"/>
      <w:szCs w:val="28"/>
    </w:rPr>
  </w:style>
  <w:style w:type="paragraph" w:customStyle="1" w:styleId="182">
    <w:name w:val="font6"/>
    <w:basedOn w:val="1"/>
    <w:qFormat/>
    <w:uiPriority w:val="99"/>
    <w:pPr>
      <w:widowControl/>
      <w:spacing w:before="100" w:beforeAutospacing="1" w:after="100" w:afterAutospacing="1"/>
      <w:jc w:val="left"/>
    </w:pPr>
    <w:rPr>
      <w:kern w:val="0"/>
      <w:sz w:val="18"/>
      <w:szCs w:val="18"/>
    </w:rPr>
  </w:style>
  <w:style w:type="paragraph" w:customStyle="1" w:styleId="183">
    <w:name w:val="reader-word-layer reader-word-s6-8"/>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84">
    <w:name w:val="Char Char Char Char Char Char Char Char Char Char Char Char Char Char1 Char Char Char Char3"/>
    <w:basedOn w:val="1"/>
    <w:qFormat/>
    <w:uiPriority w:val="99"/>
  </w:style>
  <w:style w:type="paragraph" w:customStyle="1" w:styleId="185">
    <w:name w:val="xl25"/>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textAlignment w:val="center"/>
    </w:pPr>
    <w:rPr>
      <w:rFonts w:ascii="Arial Unicode MS" w:hAnsi="Arial Unicode MS" w:cs="Arial Unicode MS"/>
      <w:kern w:val="0"/>
      <w:sz w:val="18"/>
      <w:szCs w:val="18"/>
    </w:rPr>
  </w:style>
  <w:style w:type="paragraph" w:customStyle="1" w:styleId="18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87">
    <w:name w:val="1"/>
    <w:qFormat/>
    <w:uiPriority w:val="99"/>
    <w:pPr>
      <w:widowControl w:val="0"/>
      <w:spacing w:line="640" w:lineRule="exact"/>
      <w:jc w:val="both"/>
    </w:pPr>
    <w:rPr>
      <w:rFonts w:ascii="Times New Roman" w:hAnsi="Times New Roman" w:eastAsia="宋体" w:cs="Times New Roman"/>
      <w:kern w:val="2"/>
      <w:sz w:val="21"/>
      <w:szCs w:val="21"/>
      <w:lang w:val="en-US" w:eastAsia="zh-CN" w:bidi="ar-SA"/>
    </w:rPr>
  </w:style>
  <w:style w:type="paragraph" w:customStyle="1" w:styleId="188">
    <w:name w:val="样式7"/>
    <w:basedOn w:val="1"/>
    <w:qFormat/>
    <w:uiPriority w:val="99"/>
    <w:pPr>
      <w:spacing w:line="360" w:lineRule="auto"/>
      <w:ind w:firstLine="567"/>
    </w:pPr>
    <w:rPr>
      <w:rFonts w:ascii="仿宋_GB2312" w:eastAsia="仿宋_GB2312" w:cs="仿宋_GB2312"/>
      <w:sz w:val="28"/>
      <w:szCs w:val="28"/>
    </w:rPr>
  </w:style>
  <w:style w:type="paragraph" w:customStyle="1" w:styleId="189">
    <w:name w:val="标题5 一"/>
    <w:basedOn w:val="1"/>
    <w:qFormat/>
    <w:uiPriority w:val="99"/>
    <w:pPr>
      <w:adjustRightInd w:val="0"/>
      <w:snapToGrid w:val="0"/>
      <w:spacing w:line="360" w:lineRule="auto"/>
      <w:ind w:firstLine="800" w:firstLineChars="200"/>
    </w:pPr>
    <w:rPr>
      <w:sz w:val="40"/>
      <w:szCs w:val="40"/>
    </w:rPr>
  </w:style>
  <w:style w:type="character" w:customStyle="1" w:styleId="190">
    <w:name w:val="页眉 Char"/>
    <w:qFormat/>
    <w:locked/>
    <w:uiPriority w:val="0"/>
    <w:rPr>
      <w:rFonts w:eastAsia="宋体" w:cs="Times New Roman"/>
      <w:kern w:val="2"/>
      <w:sz w:val="18"/>
      <w:lang w:val="en-US" w:eastAsia="zh-CN"/>
    </w:rPr>
  </w:style>
  <w:style w:type="character" w:styleId="191">
    <w:name w:val="Placeholder Text"/>
    <w:basedOn w:val="36"/>
    <w:unhideWhenUsed/>
    <w:qFormat/>
    <w:uiPriority w:val="99"/>
    <w:rPr>
      <w:color w:val="808080"/>
    </w:rPr>
  </w:style>
  <w:style w:type="character" w:customStyle="1" w:styleId="192">
    <w:name w:val="l1"/>
    <w:qFormat/>
    <w:uiPriority w:val="0"/>
    <w:rPr>
      <w:rFonts w:ascii="Tahoma" w:hAnsi="Tahoma"/>
      <w:kern w:val="2"/>
      <w:sz w:val="24"/>
    </w:rPr>
  </w:style>
  <w:style w:type="character" w:customStyle="1" w:styleId="193">
    <w:name w:val="generalinfo-address-text"/>
    <w:basedOn w:val="36"/>
    <w:qFormat/>
    <w:uiPriority w:val="0"/>
  </w:style>
  <w:style w:type="character" w:customStyle="1" w:styleId="194">
    <w:name w:val="Unresolved Mention"/>
    <w:basedOn w:val="3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AB5150-600C-46BC-AAEB-4332FF43244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1991</Words>
  <Characters>11355</Characters>
  <Lines>94</Lines>
  <Paragraphs>26</Paragraphs>
  <TotalTime>9</TotalTime>
  <ScaleCrop>false</ScaleCrop>
  <LinksUpToDate>false</LinksUpToDate>
  <CharactersWithSpaces>13320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2018-08-08T09:44:00Z</dcterms:created>
  <dc:creator>Administrator</dc:creator>
  <cp:lastModifiedBy>54919</cp:lastModifiedBy>
  <cp:lastPrinted>2021-04-30T05:37:58Z</cp:lastPrinted>
  <dcterms:modified xsi:type="dcterms:W3CDTF">2021-04-30T05:38:41Z</dcterms:modified>
  <dc:title>房地产价格评估报告</dc:title>
  <cp:revision>194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3D0A7A1295D8427DBCF4D5A3AB599D58</vt:lpwstr>
  </property>
</Properties>
</file>