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0aad54d007dd40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33号楼9单元3层1号住宅市场价值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083</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弓长岭区汤河镇柳河村御泉▪巴塞罗那城33号楼9单元3层1号住宅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评估范围为住宅，评估对象为弓长岭区汤河镇柳河村御泉▪巴塞罗那城33号楼9单元3层1号住宅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评估范围为住宅，评估对象为弓长岭区汤河镇柳河村御泉▪巴塞罗那城33号楼9单元3层1号住宅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弓长岭区汤河镇柳河村御泉▪巴塞罗那城33号楼9单元3层1号住宅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457,463.40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肆拾伍万柒仟肆佰陆拾叁元肆角</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64E506A"/>
    <w:rsid w:val="06CC1942"/>
    <w:rsid w:val="076B4FAE"/>
    <w:rsid w:val="07952929"/>
    <w:rsid w:val="089B5509"/>
    <w:rsid w:val="0A321653"/>
    <w:rsid w:val="0B935EF8"/>
    <w:rsid w:val="0C0704EC"/>
    <w:rsid w:val="0D741832"/>
    <w:rsid w:val="0E055B3A"/>
    <w:rsid w:val="0F2B4001"/>
    <w:rsid w:val="0F585629"/>
    <w:rsid w:val="0FD66BEE"/>
    <w:rsid w:val="1000350E"/>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43D51AF"/>
    <w:rsid w:val="26E2648B"/>
    <w:rsid w:val="26F71618"/>
    <w:rsid w:val="27842C7C"/>
    <w:rsid w:val="28693A83"/>
    <w:rsid w:val="28913C0F"/>
    <w:rsid w:val="28FA527F"/>
    <w:rsid w:val="290C4762"/>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FD4B54"/>
    <w:rsid w:val="55FC1070"/>
    <w:rsid w:val="566F599F"/>
    <w:rsid w:val="56933EC8"/>
    <w:rsid w:val="593F60E9"/>
    <w:rsid w:val="5A507BA8"/>
    <w:rsid w:val="5CDC7BE0"/>
    <w:rsid w:val="5D2828A8"/>
    <w:rsid w:val="5DED3540"/>
    <w:rsid w:val="5E487AFF"/>
    <w:rsid w:val="5EEC0A3B"/>
    <w:rsid w:val="60560C1E"/>
    <w:rsid w:val="64597C81"/>
    <w:rsid w:val="662E61D6"/>
    <w:rsid w:val="6796224A"/>
    <w:rsid w:val="67C215C5"/>
    <w:rsid w:val="69E31FCD"/>
    <w:rsid w:val="6A0045D8"/>
    <w:rsid w:val="6A424682"/>
    <w:rsid w:val="6BDE2E19"/>
    <w:rsid w:val="6D2A77F3"/>
    <w:rsid w:val="6E270FFF"/>
    <w:rsid w:val="72276DC6"/>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2021-05-23T02:54:26Z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