
<file path=[Content_Types].xml><?xml version="1.0" encoding="utf-8"?>
<Types xmlns="http://schemas.openxmlformats.org/package/2006/content-types">
  <Default Extension="xml" ContentType="application/xml"/>
  <Default Extension="rels" ContentType="application/vnd.openxmlformats-package.relationships+xml"/>
  <Default Extension="dat" ContentType="text/plain"/>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&#65279;<?xml version="1.0" encoding="utf-8"?><Relationships xmlns="http://schemas.openxmlformats.org/package/2006/relationships"><Relationship Type="http://schemas.openxmlformats.org/officeDocument/2006/relationships/officeDocument" Target="word/document.xml" Id="rId4" /><Relationship Type="http://schemas.openxmlformats.org/package/2006/relationships/metadata/core-properties" Target="docProps/core.xml" Id="rId2" /><Relationship Type="http://schemas.openxmlformats.org/officeDocument/2006/relationships/extended-properties" Target="docProps/app.xml" Id="rId1" /><Relationship Type="http://schemas.openxmlformats.org/officeDocument/2006/relationships/custom-properties" Target="docProps/custom.xml" Id="rId3" /><Relationship Type="http://schemas.microsoft.com/office/2006/relationships/txt" Target="/udata/data.dat" Id="R1a73636d5693428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弓长岭区汤河镇柳河村御泉▪巴塞罗那城</w:t>
      </w:r>
    </w:p>
    <w:p>
      <w:pPr>
        <w:widowControl/>
        <w:autoSpaceDE w:val="0"/>
        <w:autoSpaceDN w:val="0"/>
        <w:spacing w:before="40" w:after="40" w:line="360" w:lineRule="auto"/>
        <w:jc w:val="center"/>
        <w:textAlignment w:val="bottom"/>
        <w:rPr>
          <w:rFonts w:hint="eastAsia" w:ascii="宋体" w:hAnsi="宋体" w:cs="宋体"/>
          <w:bCs/>
          <w:sz w:val="44"/>
          <w:szCs w:val="44"/>
          <w:lang w:eastAsia="zh-CN"/>
        </w:rPr>
      </w:pPr>
      <w:r>
        <w:rPr>
          <w:rFonts w:hint="eastAsia" w:ascii="宋体" w:hAnsi="宋体" w:cs="宋体"/>
          <w:bCs/>
          <w:sz w:val="44"/>
          <w:szCs w:val="44"/>
          <w:lang w:eastAsia="zh-CN"/>
        </w:rPr>
        <w:t>33号楼6单元1层1号网点市场价值</w:t>
      </w:r>
    </w:p>
    <w:p>
      <w:pPr>
        <w:widowControl/>
        <w:autoSpaceDE w:val="0"/>
        <w:autoSpaceDN w:val="0"/>
        <w:spacing w:before="40" w:after="40" w:line="360" w:lineRule="auto"/>
        <w:jc w:val="center"/>
        <w:textAlignment w:val="bottom"/>
        <w:rPr>
          <w:rFonts w:ascii="宋体" w:cs="宋体"/>
          <w:sz w:val="44"/>
          <w:szCs w:val="44"/>
        </w:rPr>
      </w:pPr>
      <w:r>
        <w:rPr>
          <w:rFonts w:hint="eastAsia" w:ascii="宋体" w:hAnsi="宋体" w:cs="宋体"/>
          <w:bCs/>
          <w:sz w:val="44"/>
          <w:szCs w:val="44"/>
        </w:rPr>
        <w:t>资产评估报告书</w:t>
      </w:r>
    </w:p>
    <w:p>
      <w:pPr>
        <w:jc w:val="center"/>
        <w:outlineLvl w:val="0"/>
        <w:rPr>
          <w:rFonts w:ascii="仿宋" w:hAnsi="仿宋" w:eastAsia="仿宋" w:cs="仿宋"/>
          <w:w w:val="200"/>
          <w:sz w:val="32"/>
        </w:rPr>
      </w:pPr>
      <w:r>
        <w:rPr>
          <w:rFonts w:hint="eastAsia" w:ascii="仿宋" w:hAnsi="仿宋" w:eastAsia="仿宋" w:cs="仿宋"/>
          <w:sz w:val="28"/>
          <w:szCs w:val="28"/>
        </w:rPr>
        <w:t>辽智评报字</w:t>
      </w:r>
      <w:r>
        <w:rPr>
          <w:rFonts w:ascii="仿宋" w:hAnsi="仿宋" w:eastAsia="仿宋" w:cs="仿宋"/>
          <w:sz w:val="28"/>
          <w:szCs w:val="28"/>
        </w:rPr>
        <w:t>(</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ascii="仿宋" w:hAnsi="仿宋" w:eastAsia="仿宋" w:cs="仿宋"/>
          <w:sz w:val="28"/>
          <w:szCs w:val="28"/>
        </w:rPr>
        <w:t>)</w:t>
      </w:r>
      <w:r>
        <w:rPr>
          <w:rFonts w:hint="eastAsia" w:ascii="仿宋" w:hAnsi="仿宋" w:eastAsia="仿宋" w:cs="仿宋"/>
          <w:sz w:val="28"/>
          <w:szCs w:val="28"/>
        </w:rPr>
        <w:t>第</w:t>
      </w:r>
      <w:r>
        <w:rPr>
          <w:rFonts w:hint="eastAsia" w:ascii="仿宋" w:hAnsi="仿宋" w:eastAsia="仿宋" w:cs="仿宋"/>
          <w:color w:val="FF0000"/>
          <w:sz w:val="28"/>
          <w:szCs w:val="28"/>
          <w:lang w:val="en-US" w:eastAsia="zh-CN"/>
        </w:rPr>
        <w:t>087</w:t>
      </w:r>
      <w:r>
        <w:rPr>
          <w:rFonts w:hint="eastAsia" w:ascii="仿宋" w:hAnsi="仿宋" w:eastAsia="仿宋" w:cs="仿宋"/>
          <w:sz w:val="28"/>
          <w:szCs w:val="28"/>
        </w:rPr>
        <w:t>号</w:t>
      </w:r>
    </w:p>
    <w:p>
      <w:pPr>
        <w:outlineLvl w:val="0"/>
        <w:rPr>
          <w:rFonts w:ascii="楷体_GB2312" w:eastAsia="楷体_GB2312"/>
          <w:sz w:val="32"/>
        </w:rPr>
      </w:pPr>
      <w:r>
        <w:pict>
          <v:line id="直线 9" o:spid="_x0000_s1030" o:spt="20" style="position:absolute;left:0pt;margin-left:30.15pt;margin-top:11.2pt;height:0pt;width:415.95pt;z-index:251661312;mso-width-relative:page;mso-height-relative:page;" coordsize="21600,21600">
            <v:path arrowok="t"/>
            <v:fill focussize="0,0"/>
            <v:stroke weight="1.5pt"/>
            <v:imagedata o:title=""/>
            <o:lock v:ext="edit"/>
          </v:line>
        </w:pict>
      </w:r>
    </w:p>
    <w:p>
      <w:pPr>
        <w:spacing w:line="580" w:lineRule="exact"/>
        <w:outlineLvl w:val="0"/>
        <w:rPr>
          <w:rFonts w:ascii="仿宋" w:hAnsi="仿宋" w:eastAsia="仿宋" w:cs="仿宋"/>
          <w:sz w:val="28"/>
          <w:szCs w:val="28"/>
        </w:rPr>
      </w:pP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辽阳智达资产评估事务所接受</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szCs w:val="28"/>
        </w:rPr>
        <w:t>委托，根据国家有关的评估规定，本着独立、客观、公正的原则，按照国家标准的评估方法，对委估</w:t>
      </w:r>
      <w:r>
        <w:rPr>
          <w:rFonts w:hint="eastAsia" w:ascii="仿宋" w:hAnsi="仿宋" w:eastAsia="仿宋" w:cs="仿宋"/>
          <w:sz w:val="28"/>
          <w:szCs w:val="28"/>
          <w:lang w:eastAsia="zh-CN"/>
        </w:rPr>
        <w:t>标的的</w:t>
      </w:r>
      <w:r>
        <w:rPr>
          <w:rFonts w:hint="eastAsia" w:ascii="仿宋" w:hAnsi="仿宋" w:eastAsia="仿宋"/>
          <w:sz w:val="28"/>
        </w:rPr>
        <w:t>市场价值</w:t>
      </w:r>
      <w:r>
        <w:rPr>
          <w:rFonts w:hint="eastAsia" w:ascii="仿宋" w:hAnsi="仿宋" w:eastAsia="仿宋" w:cs="仿宋"/>
          <w:sz w:val="28"/>
          <w:szCs w:val="28"/>
        </w:rPr>
        <w:t>进行了评估。本所评估人员按照必要的评估程序对委估对象实施了实地勘察、市场调查与询证。对委估</w:t>
      </w:r>
      <w:r>
        <w:rPr>
          <w:rFonts w:hint="eastAsia" w:ascii="仿宋" w:hAnsi="仿宋" w:eastAsia="仿宋" w:cs="仿宋"/>
          <w:sz w:val="28"/>
          <w:szCs w:val="28"/>
          <w:lang w:val="en-US" w:eastAsia="zh-CN"/>
        </w:rPr>
        <w:t>的</w:t>
      </w:r>
      <w:r>
        <w:rPr>
          <w:rFonts w:hint="eastAsia" w:ascii="仿宋" w:hAnsi="仿宋" w:eastAsia="仿宋" w:cs="仿宋"/>
          <w:sz w:val="28"/>
          <w:szCs w:val="28"/>
          <w:lang w:eastAsia="zh-CN"/>
        </w:rPr>
        <w:t>弓长岭区汤河镇柳河村御泉▪巴塞罗那城33号楼6单元1层1号网点</w:t>
      </w:r>
      <w:r>
        <w:rPr>
          <w:rFonts w:hint="eastAsia" w:ascii="仿宋" w:hAnsi="仿宋" w:eastAsia="仿宋" w:cs="仿宋"/>
          <w:sz w:val="28"/>
          <w:szCs w:val="28"/>
        </w:rPr>
        <w:t>在</w:t>
      </w:r>
      <w:r>
        <w:rPr>
          <w:rFonts w:hint="eastAsia" w:ascii="仿宋" w:hAnsi="仿宋" w:eastAsia="仿宋" w:cs="仿宋"/>
          <w:color w:val="FF0000"/>
          <w:sz w:val="28"/>
          <w:szCs w:val="28"/>
          <w:lang w:eastAsia="zh-CN"/>
        </w:rPr>
        <w:t>2021年04月23日</w:t>
      </w:r>
      <w:r>
        <w:rPr>
          <w:rFonts w:hint="eastAsia" w:ascii="仿宋" w:hAnsi="仿宋" w:eastAsia="仿宋" w:cs="仿宋"/>
          <w:sz w:val="28"/>
          <w:szCs w:val="28"/>
        </w:rPr>
        <w:t>所反映的市场价值进行了测算。现将评估情况及评估结果报告如下：</w:t>
      </w:r>
    </w:p>
    <w:p>
      <w:pPr>
        <w:numPr>
          <w:ilvl w:val="0"/>
          <w:numId w:val="1"/>
        </w:num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委托方：</w:t>
      </w:r>
      <w:r>
        <w:rPr>
          <w:rFonts w:hint="eastAsia" w:ascii="仿宋" w:hAnsi="仿宋" w:eastAsia="仿宋" w:cs="仿宋"/>
          <w:b w:val="0"/>
          <w:bCs w:val="0"/>
          <w:sz w:val="28"/>
          <w:szCs w:val="28"/>
          <w:lang w:eastAsia="zh-CN"/>
        </w:rPr>
        <w:t>辽阳市中级人民法院</w:t>
      </w:r>
      <w:r>
        <w:rPr>
          <w:rFonts w:hint="eastAsia" w:ascii="仿宋" w:hAnsi="仿宋" w:eastAsia="仿宋" w:cs="仿宋"/>
          <w:sz w:val="28"/>
          <w:szCs w:val="28"/>
        </w:rPr>
        <w:t>。</w:t>
      </w:r>
    </w:p>
    <w:p>
      <w:pPr>
        <w:spacing w:line="580" w:lineRule="exact"/>
        <w:outlineLvl w:val="0"/>
        <w:rPr>
          <w:rFonts w:hint="eastAsia" w:ascii="仿宋" w:hAnsi="仿宋" w:eastAsia="仿宋" w:cs="仿宋"/>
          <w:sz w:val="28"/>
          <w:szCs w:val="28"/>
          <w:lang w:eastAsia="zh-CN"/>
        </w:rPr>
      </w:pPr>
      <w:r>
        <w:rPr>
          <w:rFonts w:ascii="仿宋" w:hAnsi="仿宋" w:eastAsia="仿宋" w:cs="仿宋"/>
          <w:sz w:val="28"/>
          <w:szCs w:val="28"/>
        </w:rPr>
        <w:t xml:space="preserve">        </w:t>
      </w:r>
      <w:r>
        <w:rPr>
          <w:rFonts w:hint="eastAsia" w:ascii="仿宋" w:hAnsi="仿宋" w:eastAsia="仿宋" w:cs="仿宋"/>
          <w:b/>
          <w:bCs/>
          <w:sz w:val="28"/>
          <w:szCs w:val="28"/>
        </w:rPr>
        <w:t>其他报告使用者：</w:t>
      </w:r>
      <w:r>
        <w:rPr>
          <w:rFonts w:hint="eastAsia" w:ascii="仿宋" w:hAnsi="仿宋" w:eastAsia="仿宋" w:cs="仿宋"/>
          <w:b w:val="0"/>
          <w:bCs w:val="0"/>
          <w:sz w:val="28"/>
          <w:szCs w:val="28"/>
          <w:lang w:val="en-US" w:eastAsia="zh-CN"/>
        </w:rPr>
        <w:t>辽阳市白塔区人民法院</w:t>
      </w:r>
      <w:r>
        <w:rPr>
          <w:rFonts w:hint="eastAsia" w:ascii="仿宋" w:hAnsi="仿宋" w:eastAsia="仿宋" w:cs="仿宋"/>
          <w:sz w:val="28"/>
          <w:szCs w:val="28"/>
          <w:lang w:eastAsia="zh-CN"/>
        </w:rPr>
        <w:t>。</w:t>
      </w:r>
    </w:p>
    <w:p>
      <w:pPr>
        <w:spacing w:line="580" w:lineRule="exact"/>
        <w:ind w:firstLine="528" w:firstLineChars="188"/>
        <w:outlineLvl w:val="0"/>
        <w:rPr>
          <w:rFonts w:ascii="仿宋" w:hAnsi="仿宋" w:eastAsia="仿宋" w:cs="仿宋"/>
          <w:sz w:val="28"/>
          <w:szCs w:val="28"/>
        </w:rPr>
      </w:pPr>
      <w:r>
        <w:rPr>
          <w:rFonts w:hint="eastAsia" w:ascii="仿宋" w:hAnsi="仿宋" w:eastAsia="仿宋" w:cs="仿宋"/>
          <w:b/>
          <w:bCs/>
          <w:sz w:val="28"/>
          <w:szCs w:val="28"/>
        </w:rPr>
        <w:t>二、评估目的：</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sz w:val="28"/>
        </w:rPr>
        <w:t>。</w:t>
      </w:r>
    </w:p>
    <w:p>
      <w:pPr>
        <w:spacing w:line="360" w:lineRule="auto"/>
        <w:ind w:firstLine="555"/>
        <w:rPr>
          <w:rFonts w:hint="eastAsia" w:ascii="仿宋" w:hAnsi="仿宋" w:eastAsia="仿宋" w:cs="仿宋"/>
          <w:b/>
          <w:bCs/>
          <w:sz w:val="28"/>
          <w:szCs w:val="28"/>
        </w:rPr>
      </w:pPr>
      <w:r>
        <w:rPr>
          <w:rFonts w:hint="eastAsia" w:ascii="仿宋" w:hAnsi="仿宋" w:eastAsia="仿宋" w:cs="仿宋"/>
          <w:b/>
          <w:bCs/>
          <w:sz w:val="28"/>
          <w:szCs w:val="28"/>
        </w:rPr>
        <w:t>三、评估对象和评估范围：</w:t>
      </w:r>
      <w:r>
        <w:rPr>
          <w:rFonts w:hint="eastAsia" w:ascii="仿宋" w:hAnsi="仿宋" w:eastAsia="仿宋" w:cs="仿宋"/>
          <w:sz w:val="28"/>
          <w:lang w:eastAsia="zh-CN"/>
        </w:rPr>
        <w:t>评估范围为网点，评估对象为弓长岭区汤河镇柳河村御泉▪巴塞罗那城33号楼6单元1层1号网点</w:t>
      </w:r>
      <w:r>
        <w:rPr>
          <w:rFonts w:hint="eastAsia" w:ascii="仿宋" w:hAnsi="仿宋" w:eastAsia="仿宋" w:cs="仿宋"/>
          <w:sz w:val="28"/>
        </w:rPr>
        <w:t>。</w:t>
      </w:r>
    </w:p>
    <w:p>
      <w:pPr>
        <w:spacing w:line="360" w:lineRule="auto"/>
        <w:ind w:firstLine="555"/>
        <w:rPr>
          <w:rFonts w:ascii="仿宋_GB2312" w:eastAsia="仿宋_GB2312"/>
          <w:sz w:val="28"/>
        </w:rPr>
      </w:pPr>
      <w:r>
        <w:rPr>
          <w:rFonts w:hint="eastAsia" w:ascii="仿宋" w:hAnsi="仿宋" w:eastAsia="仿宋" w:cs="仿宋"/>
          <w:b/>
          <w:bCs/>
          <w:sz w:val="28"/>
          <w:szCs w:val="28"/>
        </w:rPr>
        <w:t>四、价值类型及定义</w:t>
      </w:r>
      <w:r>
        <w:rPr>
          <w:rFonts w:hint="eastAsia" w:ascii="仿宋_GB2312" w:eastAsia="仿宋_GB2312"/>
          <w:b/>
          <w:bCs/>
          <w:sz w:val="28"/>
        </w:rPr>
        <w:t>：</w:t>
      </w:r>
      <w:r>
        <w:rPr>
          <w:rFonts w:hint="eastAsia" w:ascii="仿宋" w:hAnsi="仿宋" w:eastAsia="仿宋" w:cs="仿宋"/>
          <w:sz w:val="28"/>
          <w:szCs w:val="28"/>
        </w:rPr>
        <w:t>本次评估的价值类型为市场价值。</w:t>
      </w:r>
    </w:p>
    <w:p>
      <w:pPr>
        <w:spacing w:line="360" w:lineRule="auto"/>
        <w:ind w:firstLine="560" w:firstLineChars="200"/>
        <w:rPr>
          <w:rFonts w:ascii="仿宋" w:hAnsi="仿宋" w:eastAsia="仿宋" w:cs="仿宋"/>
          <w:sz w:val="28"/>
          <w:szCs w:val="28"/>
        </w:rPr>
      </w:pPr>
      <w:r>
        <w:rPr>
          <w:rFonts w:hint="eastAsia" w:ascii="仿宋" w:hAnsi="仿宋" w:eastAsia="仿宋" w:cs="仿宋"/>
          <w:sz w:val="28"/>
          <w:szCs w:val="28"/>
        </w:rPr>
        <w:t>市场价值是指自愿买方和自愿卖方在各自理性行事且未受任何强迫的情况下，评估对象在评估基准日进行正常公平交易的价值数额。</w:t>
      </w:r>
    </w:p>
    <w:p>
      <w:pPr>
        <w:spacing w:line="580" w:lineRule="exact"/>
        <w:outlineLvl w:val="0"/>
        <w:rPr>
          <w:rFonts w:ascii="仿宋" w:hAnsi="仿宋" w:eastAsia="仿宋" w:cs="仿宋"/>
          <w:sz w:val="28"/>
          <w:szCs w:val="28"/>
        </w:rPr>
      </w:pPr>
      <w:r>
        <w:rPr>
          <w:rFonts w:ascii="仿宋" w:hAnsi="仿宋" w:eastAsia="仿宋" w:cs="仿宋"/>
          <w:sz w:val="28"/>
          <w:szCs w:val="28"/>
        </w:rPr>
        <w:t xml:space="preserve">    </w:t>
      </w:r>
      <w:r>
        <w:rPr>
          <w:rFonts w:hint="eastAsia" w:ascii="仿宋" w:hAnsi="仿宋" w:eastAsia="仿宋" w:cs="仿宋"/>
          <w:b/>
          <w:bCs/>
          <w:sz w:val="28"/>
          <w:szCs w:val="28"/>
        </w:rPr>
        <w:t>五、评估基准日：</w:t>
      </w:r>
      <w:r>
        <w:rPr>
          <w:rFonts w:hint="eastAsia" w:ascii="仿宋" w:hAnsi="仿宋" w:eastAsia="仿宋" w:cs="仿宋"/>
          <w:sz w:val="28"/>
          <w:szCs w:val="28"/>
        </w:rPr>
        <w:t>本项目资产评估基准日是</w:t>
      </w:r>
      <w:r>
        <w:rPr>
          <w:rFonts w:hint="eastAsia" w:ascii="仿宋" w:hAnsi="仿宋" w:eastAsia="仿宋" w:cs="仿宋"/>
          <w:color w:val="FF0000"/>
          <w:sz w:val="28"/>
          <w:szCs w:val="28"/>
          <w:u w:val="none"/>
          <w:lang w:eastAsia="zh-CN"/>
        </w:rPr>
        <w:t>2021年04月23日</w:t>
      </w:r>
      <w:r>
        <w:rPr>
          <w:rFonts w:hint="eastAsia" w:ascii="仿宋" w:hAnsi="仿宋" w:eastAsia="仿宋" w:cs="仿宋"/>
          <w:sz w:val="28"/>
          <w:szCs w:val="28"/>
        </w:rPr>
        <w:t>，本项目评估基准日的确定是根据其特定的经济行为并与委托方协商确定。</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六、评估依据</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（一）法律依据</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、《中华人民共和国资产评估法》</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、《中华人民共和国</w:t>
      </w:r>
      <w:r>
        <w:rPr>
          <w:rFonts w:hint="eastAsia" w:ascii="仿宋" w:hAnsi="仿宋" w:eastAsia="仿宋" w:cs="仿宋"/>
          <w:sz w:val="28"/>
          <w:szCs w:val="28"/>
          <w:lang w:val="en-US" w:eastAsia="zh-CN"/>
        </w:rPr>
        <w:t>民法典</w:t>
      </w:r>
      <w:r>
        <w:rPr>
          <w:rFonts w:hint="eastAsia" w:ascii="仿宋" w:hAnsi="仿宋" w:eastAsia="仿宋" w:cs="仿宋"/>
          <w:sz w:val="28"/>
          <w:szCs w:val="28"/>
        </w:rPr>
        <w:t>》</w:t>
      </w:r>
      <w:r>
        <w:rPr>
          <w:rFonts w:hint="eastAsia" w:ascii="仿宋" w:hAnsi="仿宋" w:eastAsia="仿宋" w:cs="仿宋"/>
          <w:sz w:val="28"/>
          <w:szCs w:val="28"/>
          <w:lang w:eastAsia="zh-CN"/>
        </w:rPr>
        <w:t>；</w:t>
      </w:r>
    </w:p>
    <w:p>
      <w:pPr>
        <w:spacing w:line="580" w:lineRule="exact"/>
        <w:ind w:firstLine="560" w:firstLineChars="200"/>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、《中华人民共和国公司法》</w:t>
      </w:r>
      <w:r>
        <w:rPr>
          <w:rFonts w:hint="eastAsia" w:ascii="仿宋" w:hAnsi="仿宋" w:eastAsia="仿宋" w:cs="仿宋"/>
          <w:sz w:val="28"/>
          <w:szCs w:val="28"/>
          <w:lang w:eastAsia="zh-CN"/>
        </w:rPr>
        <w:t>；</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4</w:t>
      </w:r>
      <w:r>
        <w:rPr>
          <w:rFonts w:hint="eastAsia" w:ascii="仿宋" w:hAnsi="仿宋" w:eastAsia="仿宋" w:cs="仿宋"/>
          <w:sz w:val="28"/>
          <w:szCs w:val="28"/>
        </w:rPr>
        <w:t>、其他于评估相关的法律、法规和规章制度。</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w:t>
      </w:r>
      <w:r>
        <w:rPr>
          <w:rFonts w:hint="eastAsia" w:ascii="仿宋" w:hAnsi="仿宋" w:eastAsia="仿宋" w:cs="仿宋"/>
          <w:sz w:val="28"/>
          <w:szCs w:val="28"/>
        </w:rPr>
        <w:t>二）权属依据</w:t>
      </w:r>
    </w:p>
    <w:p>
      <w:pPr>
        <w:spacing w:line="540" w:lineRule="exact"/>
        <w:ind w:firstLine="526" w:firstLineChars="188"/>
        <w:rPr>
          <w:rFonts w:ascii="仿宋" w:hAnsi="仿宋" w:eastAsia="仿宋" w:cs="仿宋"/>
          <w:sz w:val="28"/>
          <w:szCs w:val="28"/>
        </w:rPr>
      </w:pPr>
      <w:r>
        <w:rPr>
          <w:rFonts w:hint="eastAsia" w:ascii="仿宋" w:hAnsi="仿宋" w:eastAsia="仿宋" w:cs="仿宋"/>
          <w:color w:val="FF0000"/>
          <w:sz w:val="28"/>
          <w:szCs w:val="28"/>
        </w:rPr>
        <w:t>委托人提供权属证明（详见附件）。</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（三）经济行为依据</w:t>
      </w:r>
    </w:p>
    <w:p>
      <w:pPr>
        <w:spacing w:line="580" w:lineRule="exact"/>
        <w:ind w:firstLine="526" w:firstLineChars="188"/>
        <w:rPr>
          <w:rFonts w:ascii="仿宋" w:hAnsi="仿宋" w:eastAsia="仿宋" w:cs="仿宋"/>
          <w:sz w:val="28"/>
          <w:szCs w:val="28"/>
          <w:u w:val="none"/>
        </w:rPr>
      </w:pPr>
      <w:r>
        <w:rPr>
          <w:rFonts w:hint="eastAsia" w:ascii="仿宋" w:hAnsi="仿宋" w:eastAsia="仿宋" w:cs="仿宋"/>
          <w:color w:val="FF0000"/>
          <w:sz w:val="28"/>
          <w:szCs w:val="28"/>
          <w:u w:val="none"/>
          <w:lang w:val="en-US" w:eastAsia="zh-CN"/>
        </w:rPr>
        <w:t>司法鉴定评估委托书</w:t>
      </w:r>
      <w:r>
        <w:rPr>
          <w:rFonts w:hint="eastAsia" w:ascii="仿宋" w:hAnsi="仿宋" w:eastAsia="仿宋" w:cs="仿宋"/>
          <w:sz w:val="28"/>
          <w:szCs w:val="28"/>
          <w:u w:val="none"/>
        </w:rPr>
        <w:t>。</w:t>
      </w:r>
    </w:p>
    <w:p>
      <w:pPr>
        <w:numPr>
          <w:ilvl w:val="0"/>
          <w:numId w:val="2"/>
        </w:num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取价依据</w:t>
      </w:r>
    </w:p>
    <w:p>
      <w:pPr>
        <w:spacing w:line="580" w:lineRule="exact"/>
        <w:rPr>
          <w:rFonts w:ascii="仿宋" w:hAnsi="仿宋" w:eastAsia="仿宋" w:cs="仿宋"/>
          <w:sz w:val="28"/>
          <w:szCs w:val="28"/>
        </w:rPr>
      </w:pPr>
      <w:r>
        <w:rPr>
          <w:rFonts w:ascii="仿宋" w:hAnsi="仿宋" w:eastAsia="仿宋" w:cs="仿宋"/>
          <w:sz w:val="28"/>
          <w:szCs w:val="28"/>
        </w:rPr>
        <w:t xml:space="preserve">    </w:t>
      </w:r>
      <w:r>
        <w:rPr>
          <w:rFonts w:ascii="仿宋" w:hAnsi="仿宋" w:eastAsia="仿宋" w:cs="仿宋"/>
          <w:color w:val="FF0000"/>
          <w:sz w:val="28"/>
          <w:szCs w:val="28"/>
        </w:rPr>
        <w:t xml:space="preserve"> </w:t>
      </w:r>
      <w:r>
        <w:rPr>
          <w:rFonts w:hint="eastAsia" w:ascii="仿宋" w:hAnsi="仿宋" w:eastAsia="仿宋" w:cs="仿宋"/>
          <w:sz w:val="28"/>
          <w:szCs w:val="28"/>
        </w:rPr>
        <w:t>评估人员实地查看委估资产情况以及调查掌握的标的在</w:t>
      </w:r>
      <w:r>
        <w:rPr>
          <w:rFonts w:hint="eastAsia" w:ascii="仿宋" w:hAnsi="仿宋" w:eastAsia="仿宋" w:cs="仿宋"/>
          <w:color w:val="FF0000"/>
          <w:sz w:val="28"/>
          <w:szCs w:val="28"/>
        </w:rPr>
        <w:t>基准日</w:t>
      </w:r>
      <w:r>
        <w:rPr>
          <w:rFonts w:hint="eastAsia" w:ascii="仿宋" w:hAnsi="仿宋" w:eastAsia="仿宋" w:cs="仿宋"/>
          <w:color w:val="FF0000"/>
          <w:sz w:val="28"/>
          <w:szCs w:val="28"/>
          <w:lang w:val="en-US" w:eastAsia="zh-CN"/>
        </w:rPr>
        <w:t>近期</w:t>
      </w:r>
      <w:r>
        <w:rPr>
          <w:rFonts w:hint="eastAsia" w:ascii="仿宋" w:hAnsi="仿宋" w:eastAsia="仿宋" w:cs="仿宋"/>
          <w:color w:val="FF0000"/>
          <w:sz w:val="28"/>
          <w:szCs w:val="28"/>
        </w:rPr>
        <w:t>价格资料</w:t>
      </w:r>
      <w:r>
        <w:rPr>
          <w:rFonts w:hint="eastAsia" w:ascii="仿宋" w:hAnsi="仿宋" w:eastAsia="仿宋" w:cs="仿宋"/>
          <w:sz w:val="28"/>
          <w:szCs w:val="28"/>
        </w:rPr>
        <w:t>。</w:t>
      </w:r>
    </w:p>
    <w:p>
      <w:pPr>
        <w:spacing w:line="580" w:lineRule="exact"/>
        <w:ind w:firstLine="562" w:firstLineChars="200"/>
        <w:outlineLvl w:val="0"/>
        <w:rPr>
          <w:rFonts w:ascii="仿宋" w:hAnsi="仿宋" w:eastAsia="仿宋" w:cs="仿宋"/>
          <w:b/>
          <w:bCs/>
          <w:sz w:val="28"/>
          <w:szCs w:val="28"/>
        </w:rPr>
      </w:pPr>
      <w:r>
        <w:rPr>
          <w:rFonts w:hint="eastAsia" w:ascii="仿宋" w:hAnsi="仿宋" w:eastAsia="仿宋" w:cs="仿宋"/>
          <w:b/>
          <w:bCs/>
          <w:sz w:val="28"/>
          <w:szCs w:val="28"/>
        </w:rPr>
        <w:t>七、评估方法</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此次评估采用</w:t>
      </w:r>
      <w:r>
        <w:rPr>
          <w:rFonts w:hint="eastAsia" w:ascii="仿宋" w:hAnsi="仿宋" w:eastAsia="仿宋" w:cs="仿宋"/>
          <w:color w:val="FF0000"/>
          <w:sz w:val="28"/>
          <w:szCs w:val="28"/>
        </w:rPr>
        <w:t>市场法</w:t>
      </w:r>
      <w:r>
        <w:rPr>
          <w:rFonts w:hint="eastAsia" w:ascii="仿宋" w:hAnsi="仿宋" w:eastAsia="仿宋" w:cs="仿宋"/>
          <w:sz w:val="28"/>
          <w:szCs w:val="28"/>
        </w:rPr>
        <w:t>。</w:t>
      </w:r>
    </w:p>
    <w:p>
      <w:pPr>
        <w:spacing w:line="520" w:lineRule="exact"/>
        <w:jc w:val="left"/>
        <w:rPr>
          <w:rFonts w:ascii="仿宋" w:hAnsi="仿宋" w:eastAsia="仿宋" w:cs="仿宋"/>
          <w:sz w:val="28"/>
          <w:szCs w:val="28"/>
        </w:rPr>
      </w:pPr>
      <w:r>
        <w:rPr>
          <w:rFonts w:hint="eastAsia" w:ascii="仿宋" w:hAnsi="仿宋" w:eastAsia="仿宋" w:cs="仿宋"/>
          <w:sz w:val="28"/>
          <w:szCs w:val="28"/>
        </w:rPr>
        <w:t>根据评估目的和委估对象的特点，评估人员对委估标的采用市场法进行评估。</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市场法公式：</w:t>
      </w:r>
    </w:p>
    <w:p>
      <w:pPr>
        <w:spacing w:line="52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评估值</w:t>
      </w:r>
      <w:r>
        <w:rPr>
          <w:rFonts w:ascii="仿宋" w:hAnsi="仿宋" w:eastAsia="仿宋" w:cs="仿宋"/>
          <w:sz w:val="28"/>
          <w:szCs w:val="28"/>
        </w:rPr>
        <w:t>=</w:t>
      </w:r>
      <w:r>
        <w:rPr>
          <w:rFonts w:hint="eastAsia" w:ascii="仿宋" w:hAnsi="仿宋" w:eastAsia="仿宋" w:cs="仿宋"/>
          <w:sz w:val="28"/>
          <w:szCs w:val="28"/>
        </w:rPr>
        <w:t>（询价</w:t>
      </w:r>
      <w:r>
        <w:rPr>
          <w:rFonts w:ascii="仿宋" w:hAnsi="仿宋" w:eastAsia="仿宋" w:cs="仿宋"/>
          <w:sz w:val="28"/>
          <w:szCs w:val="28"/>
        </w:rPr>
        <w:t>1*</w:t>
      </w:r>
      <w:r>
        <w:rPr>
          <w:rFonts w:hint="eastAsia" w:ascii="仿宋" w:hAnsi="仿宋" w:eastAsia="仿宋" w:cs="仿宋"/>
          <w:sz w:val="28"/>
          <w:szCs w:val="28"/>
        </w:rPr>
        <w:t>修正系数</w:t>
      </w:r>
      <w:r>
        <w:rPr>
          <w:rFonts w:ascii="仿宋" w:hAnsi="仿宋" w:eastAsia="仿宋" w:cs="仿宋"/>
          <w:sz w:val="28"/>
          <w:szCs w:val="28"/>
        </w:rPr>
        <w:t>1+</w:t>
      </w:r>
      <w:r>
        <w:rPr>
          <w:rFonts w:hint="eastAsia" w:ascii="仿宋" w:hAnsi="仿宋" w:eastAsia="仿宋" w:cs="仿宋"/>
          <w:sz w:val="28"/>
          <w:szCs w:val="28"/>
        </w:rPr>
        <w:t>询价</w:t>
      </w:r>
      <w:r>
        <w:rPr>
          <w:rFonts w:ascii="仿宋" w:hAnsi="仿宋" w:eastAsia="仿宋" w:cs="仿宋"/>
          <w:sz w:val="28"/>
          <w:szCs w:val="28"/>
        </w:rPr>
        <w:t>2*</w:t>
      </w:r>
      <w:r>
        <w:rPr>
          <w:rFonts w:hint="eastAsia" w:ascii="仿宋" w:hAnsi="仿宋" w:eastAsia="仿宋" w:cs="仿宋"/>
          <w:sz w:val="28"/>
          <w:szCs w:val="28"/>
        </w:rPr>
        <w:t>修正系数</w:t>
      </w:r>
      <w:r>
        <w:rPr>
          <w:rFonts w:ascii="仿宋" w:hAnsi="仿宋" w:eastAsia="仿宋" w:cs="仿宋"/>
          <w:sz w:val="28"/>
          <w:szCs w:val="28"/>
        </w:rPr>
        <w:t>2+</w:t>
      </w:r>
      <w:r>
        <w:rPr>
          <w:rFonts w:hint="eastAsia" w:ascii="仿宋" w:hAnsi="仿宋" w:eastAsia="仿宋" w:cs="仿宋"/>
          <w:sz w:val="28"/>
          <w:szCs w:val="28"/>
        </w:rPr>
        <w:t>询价</w:t>
      </w:r>
      <w:r>
        <w:rPr>
          <w:rFonts w:ascii="仿宋" w:hAnsi="仿宋" w:eastAsia="仿宋" w:cs="仿宋"/>
          <w:sz w:val="28"/>
          <w:szCs w:val="28"/>
        </w:rPr>
        <w:t>3*</w:t>
      </w:r>
      <w:r>
        <w:rPr>
          <w:rFonts w:hint="eastAsia" w:ascii="仿宋" w:hAnsi="仿宋" w:eastAsia="仿宋" w:cs="仿宋"/>
          <w:sz w:val="28"/>
          <w:szCs w:val="28"/>
        </w:rPr>
        <w:t>修正系数</w:t>
      </w:r>
      <w:r>
        <w:rPr>
          <w:rFonts w:ascii="仿宋" w:hAnsi="仿宋" w:eastAsia="仿宋" w:cs="仿宋"/>
          <w:sz w:val="28"/>
          <w:szCs w:val="28"/>
        </w:rPr>
        <w:t>3+...+</w:t>
      </w:r>
      <w:r>
        <w:rPr>
          <w:rFonts w:hint="eastAsia" w:ascii="仿宋" w:hAnsi="仿宋" w:eastAsia="仿宋" w:cs="仿宋"/>
          <w:sz w:val="28"/>
          <w:szCs w:val="28"/>
        </w:rPr>
        <w:t>询价</w:t>
      </w:r>
      <w:r>
        <w:rPr>
          <w:rFonts w:ascii="仿宋" w:hAnsi="仿宋" w:eastAsia="仿宋" w:cs="仿宋"/>
          <w:sz w:val="28"/>
          <w:szCs w:val="28"/>
        </w:rPr>
        <w:t>N*</w:t>
      </w:r>
      <w:r>
        <w:rPr>
          <w:rFonts w:hint="eastAsia" w:ascii="仿宋" w:hAnsi="仿宋" w:eastAsia="仿宋" w:cs="仿宋"/>
          <w:sz w:val="28"/>
          <w:szCs w:val="28"/>
        </w:rPr>
        <w:t>修正系数</w:t>
      </w:r>
      <w:r>
        <w:rPr>
          <w:rFonts w:ascii="仿宋" w:hAnsi="仿宋" w:eastAsia="仿宋" w:cs="仿宋"/>
          <w:sz w:val="28"/>
          <w:szCs w:val="28"/>
        </w:rPr>
        <w:t>N</w:t>
      </w:r>
      <w:r>
        <w:rPr>
          <w:rFonts w:hint="eastAsia" w:ascii="仿宋" w:hAnsi="仿宋" w:eastAsia="仿宋" w:cs="仿宋"/>
          <w:sz w:val="28"/>
          <w:szCs w:val="28"/>
        </w:rPr>
        <w:t>）</w:t>
      </w:r>
      <w:r>
        <w:rPr>
          <w:rFonts w:ascii="仿宋" w:hAnsi="仿宋" w:eastAsia="仿宋" w:cs="仿宋"/>
          <w:sz w:val="28"/>
          <w:szCs w:val="28"/>
        </w:rPr>
        <w:t>/N</w:t>
      </w:r>
    </w:p>
    <w:p>
      <w:pPr>
        <w:numPr>
          <w:ilvl w:val="0"/>
          <w:numId w:val="0"/>
        </w:numPr>
        <w:spacing w:line="520" w:lineRule="exact"/>
        <w:ind w:firstLine="560" w:firstLineChars="200"/>
        <w:jc w:val="left"/>
        <w:rPr>
          <w:rFonts w:hint="eastAsia" w:ascii="仿宋" w:hAnsi="仿宋" w:eastAsia="仿宋" w:cs="仿宋"/>
          <w:b w:val="0"/>
          <w:bCs w:val="0"/>
          <w:sz w:val="28"/>
          <w:szCs w:val="28"/>
          <w:lang w:val="en-US" w:eastAsia="zh-CN"/>
        </w:rPr>
      </w:pPr>
      <w:r>
        <w:rPr>
          <w:rFonts w:hint="eastAsia" w:ascii="仿宋" w:hAnsi="仿宋" w:eastAsia="仿宋" w:cs="仿宋"/>
          <w:b w:val="0"/>
          <w:bCs w:val="0"/>
          <w:sz w:val="28"/>
          <w:szCs w:val="28"/>
          <w:lang w:val="en-US" w:eastAsia="zh-CN"/>
        </w:rPr>
        <w:t>本次委估网点选取市场法评估的理由：（1）本次委估标的为混合结构网点，无法掌握具体完工时间，故无法采用成本法进行评估。（2）当事人（产权持有者）未能提供相关资产收益数据，所以不具备运用收益法的前提，故不能采用收益法。（3）委估网点所处区域类似房地产交易频繁，市场活跃，可比交易案例较多，故采用市场法进行评估。</w:t>
      </w:r>
    </w:p>
    <w:p>
      <w:pPr>
        <w:numPr>
          <w:ilvl w:val="0"/>
          <w:numId w:val="3"/>
        </w:numPr>
        <w:spacing w:line="520" w:lineRule="exact"/>
        <w:ind w:firstLine="528" w:firstLineChars="188"/>
        <w:jc w:val="left"/>
        <w:rPr>
          <w:rFonts w:ascii="仿宋" w:hAnsi="仿宋" w:eastAsia="仿宋" w:cs="仿宋"/>
          <w:b/>
          <w:bCs/>
          <w:sz w:val="28"/>
          <w:szCs w:val="28"/>
        </w:rPr>
      </w:pPr>
      <w:r>
        <w:rPr>
          <w:rFonts w:hint="eastAsia" w:ascii="仿宋" w:hAnsi="仿宋" w:eastAsia="仿宋" w:cs="仿宋"/>
          <w:b/>
          <w:bCs/>
          <w:sz w:val="28"/>
          <w:szCs w:val="28"/>
        </w:rPr>
        <w:t>评估程序实施过程和情况</w:t>
      </w:r>
    </w:p>
    <w:p>
      <w:pPr>
        <w:spacing w:line="580" w:lineRule="exact"/>
        <w:ind w:firstLine="648"/>
        <w:rPr>
          <w:rFonts w:ascii="仿宋" w:hAnsi="仿宋" w:eastAsia="仿宋" w:cs="仿宋"/>
          <w:sz w:val="28"/>
          <w:szCs w:val="28"/>
        </w:rPr>
      </w:pPr>
      <w:r>
        <w:rPr>
          <w:rFonts w:hint="eastAsia" w:ascii="仿宋" w:hAnsi="仿宋" w:eastAsia="仿宋" w:cs="仿宋"/>
          <w:color w:val="FF0000"/>
          <w:sz w:val="28"/>
          <w:szCs w:val="28"/>
          <w:lang w:eastAsia="zh-CN"/>
        </w:rPr>
        <w:t>2021年04月23日至</w:t>
      </w:r>
      <w:r>
        <w:rPr>
          <w:rFonts w:hint="eastAsia" w:ascii="仿宋" w:hAnsi="仿宋" w:eastAsia="仿宋" w:cs="仿宋"/>
          <w:color w:val="FF0000"/>
          <w:sz w:val="28"/>
          <w:szCs w:val="28"/>
          <w:lang w:val="en-US" w:eastAsia="zh-CN"/>
        </w:rPr>
        <w:t>05月24日</w:t>
      </w:r>
      <w:r>
        <w:rPr>
          <w:rFonts w:hint="eastAsia" w:ascii="仿宋" w:hAnsi="仿宋" w:eastAsia="仿宋" w:cs="仿宋"/>
          <w:sz w:val="28"/>
          <w:szCs w:val="28"/>
        </w:rPr>
        <w:t>，我机构评估人员对委估标的进行了清查核实和评估计算，经审核出具资产评估报告。本次评估的主要工作步骤如下：</w:t>
      </w:r>
    </w:p>
    <w:p>
      <w:pPr>
        <w:spacing w:line="360" w:lineRule="auto"/>
        <w:ind w:firstLine="555"/>
        <w:rPr>
          <w:rFonts w:ascii="仿宋" w:hAnsi="仿宋" w:eastAsia="仿宋" w:cs="仿宋"/>
          <w:color w:val="FF0000"/>
          <w:sz w:val="28"/>
          <w:szCs w:val="28"/>
        </w:rPr>
      </w:pPr>
      <w:r>
        <w:rPr>
          <w:rFonts w:hint="eastAsia" w:ascii="仿宋" w:hAnsi="仿宋" w:eastAsia="仿宋" w:cs="仿宋"/>
          <w:sz w:val="28"/>
          <w:szCs w:val="28"/>
          <w:lang w:val="en-US" w:eastAsia="zh-CN"/>
        </w:rPr>
        <w:t>1、</w:t>
      </w:r>
      <w:r>
        <w:rPr>
          <w:rFonts w:hint="eastAsia" w:ascii="仿宋" w:hAnsi="仿宋" w:eastAsia="仿宋" w:cs="仿宋"/>
          <w:sz w:val="28"/>
          <w:szCs w:val="28"/>
        </w:rPr>
        <w:t>拟定评估方案，确定评估目的、评估对象及范围、评估基准日等评估业务基本情况。</w:t>
      </w:r>
      <w:r>
        <w:rPr>
          <w:rFonts w:hint="eastAsia" w:ascii="仿宋" w:hAnsi="仿宋" w:eastAsia="仿宋" w:cs="仿宋"/>
          <w:color w:val="FF0000"/>
          <w:sz w:val="28"/>
          <w:szCs w:val="28"/>
        </w:rPr>
        <w:t>评估目的是</w:t>
      </w:r>
      <w:r>
        <w:rPr>
          <w:rFonts w:hint="eastAsia" w:ascii="仿宋" w:hAnsi="仿宋" w:eastAsia="仿宋" w:cs="仿宋"/>
          <w:color w:val="FF0000"/>
          <w:sz w:val="28"/>
          <w:lang w:eastAsia="zh-CN"/>
        </w:rPr>
        <w:t>为人民法院确定财产处置参考价提供服务</w:t>
      </w:r>
      <w:r>
        <w:rPr>
          <w:rFonts w:hint="eastAsia" w:ascii="仿宋" w:hAnsi="仿宋" w:eastAsia="仿宋" w:cs="仿宋"/>
          <w:color w:val="FF0000"/>
          <w:sz w:val="28"/>
          <w:szCs w:val="28"/>
        </w:rPr>
        <w:t>。确定委托方为</w:t>
      </w:r>
      <w:r>
        <w:rPr>
          <w:rFonts w:hint="eastAsia" w:ascii="仿宋" w:hAnsi="仿宋" w:eastAsia="仿宋" w:cs="仿宋"/>
          <w:color w:val="FF0000"/>
          <w:sz w:val="28"/>
          <w:szCs w:val="28"/>
          <w:lang w:eastAsia="zh-CN"/>
        </w:rPr>
        <w:t>辽阳市中级人民法院</w:t>
      </w:r>
      <w:r>
        <w:rPr>
          <w:rFonts w:hint="eastAsia" w:ascii="仿宋" w:hAnsi="仿宋" w:eastAsia="仿宋" w:cs="仿宋"/>
          <w:sz w:val="28"/>
        </w:rPr>
        <w:t>，</w:t>
      </w:r>
      <w:r>
        <w:rPr>
          <w:rFonts w:hint="eastAsia" w:ascii="仿宋" w:hAnsi="仿宋" w:eastAsia="仿宋" w:cs="仿宋"/>
          <w:sz w:val="28"/>
          <w:lang w:val="en-US" w:eastAsia="zh-CN"/>
        </w:rPr>
        <w:t>评估范围为网点，评估对象为弓长岭区汤河镇柳河村御泉▪巴塞罗那城33号楼6单元1层1号网点</w:t>
      </w:r>
      <w:r>
        <w:rPr>
          <w:rFonts w:hint="eastAsia" w:ascii="仿宋" w:hAnsi="仿宋" w:eastAsia="仿宋" w:cs="仿宋"/>
          <w:color w:val="FF0000"/>
          <w:sz w:val="28"/>
          <w:szCs w:val="28"/>
        </w:rPr>
        <w:t>；评估基准日为</w:t>
      </w:r>
      <w:r>
        <w:rPr>
          <w:rFonts w:hint="eastAsia" w:ascii="仿宋" w:hAnsi="仿宋" w:eastAsia="仿宋" w:cs="仿宋"/>
          <w:color w:val="FF0000"/>
          <w:sz w:val="28"/>
          <w:szCs w:val="28"/>
          <w:lang w:eastAsia="zh-CN"/>
        </w:rPr>
        <w:t>2021年04月23日；</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、组成评估小组在领堪人带领下对估价对象和估价范围进行实地勘察和拍照</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、在市场上查询相关市场价格信息</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4</w:t>
      </w:r>
      <w:r>
        <w:rPr>
          <w:rFonts w:hint="eastAsia" w:ascii="仿宋" w:hAnsi="仿宋" w:eastAsia="仿宋" w:cs="仿宋"/>
          <w:sz w:val="28"/>
          <w:szCs w:val="28"/>
        </w:rPr>
        <w:t>、根据实际状况和特点，选择确定评估方法</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5</w:t>
      </w:r>
      <w:r>
        <w:rPr>
          <w:rFonts w:hint="eastAsia" w:ascii="仿宋" w:hAnsi="仿宋" w:eastAsia="仿宋" w:cs="仿宋"/>
          <w:sz w:val="28"/>
          <w:szCs w:val="28"/>
        </w:rPr>
        <w:t>、依据评估现场取得的资料，选定适当的评估方法和计算方式对委估资产进行评定估算并确定评估结果</w:t>
      </w:r>
      <w:r>
        <w:rPr>
          <w:rFonts w:hint="eastAsia" w:ascii="仿宋" w:hAnsi="仿宋" w:eastAsia="仿宋" w:cs="仿宋"/>
          <w:sz w:val="28"/>
          <w:szCs w:val="28"/>
          <w:lang w:eastAsia="zh-CN"/>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6</w:t>
      </w:r>
      <w:r>
        <w:rPr>
          <w:rFonts w:hint="eastAsia" w:ascii="仿宋" w:hAnsi="仿宋" w:eastAsia="仿宋" w:cs="仿宋"/>
          <w:sz w:val="28"/>
          <w:szCs w:val="28"/>
        </w:rPr>
        <w:t>、对各项评估结果进行复核验算、汇总分析后，最终确定评估结果</w:t>
      </w:r>
      <w:r>
        <w:rPr>
          <w:rFonts w:hint="eastAsia" w:ascii="仿宋" w:hAnsi="仿宋" w:eastAsia="仿宋" w:cs="仿宋"/>
          <w:sz w:val="28"/>
          <w:szCs w:val="28"/>
          <w:lang w:eastAsia="zh-CN"/>
        </w:rPr>
        <w:t>；</w:t>
      </w:r>
    </w:p>
    <w:p>
      <w:pPr>
        <w:spacing w:line="580" w:lineRule="exact"/>
        <w:ind w:firstLine="636"/>
        <w:rPr>
          <w:rFonts w:ascii="仿宋" w:hAnsi="仿宋" w:eastAsia="仿宋" w:cs="仿宋"/>
          <w:sz w:val="28"/>
          <w:szCs w:val="28"/>
        </w:rPr>
      </w:pPr>
      <w:r>
        <w:rPr>
          <w:rFonts w:ascii="仿宋" w:hAnsi="仿宋" w:eastAsia="仿宋" w:cs="仿宋"/>
          <w:sz w:val="28"/>
          <w:szCs w:val="28"/>
        </w:rPr>
        <w:t>7</w:t>
      </w:r>
      <w:r>
        <w:rPr>
          <w:rFonts w:hint="eastAsia" w:ascii="仿宋" w:hAnsi="仿宋" w:eastAsia="仿宋" w:cs="仿宋"/>
          <w:sz w:val="28"/>
          <w:szCs w:val="28"/>
        </w:rPr>
        <w:t>、整理有关资料，根据评估工作的实际情况，撰写评估报告书，经内部三级审核并与委托方交换意见后，向委托方提交正式的资产评估报告书。</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九、评估假设</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（一）一般假设</w:t>
      </w:r>
    </w:p>
    <w:p>
      <w:pPr>
        <w:tabs>
          <w:tab w:val="left" w:pos="804"/>
        </w:tabs>
        <w:spacing w:line="580" w:lineRule="exact"/>
        <w:ind w:firstLine="560" w:firstLineChars="200"/>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、资产持续经营假设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资产持续经营假设是指评估时需根据被评估资产按目前的用途和规模、环境、使用方式等情况继续使用，或者在有所改变的基础上使用，相应确定评估方法、参数和依据。</w:t>
      </w:r>
    </w:p>
    <w:p>
      <w:pPr>
        <w:spacing w:line="580" w:lineRule="exact"/>
        <w:ind w:firstLine="560" w:firstLineChars="200"/>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、交易假设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交易假设是假定所有待评估资产已经处在交易的过程中，评估师根据待评估资产的交易条件等模拟市场进行估价。交易假设是资产评估得以进行的一个最基本的前提假设。</w:t>
      </w:r>
    </w:p>
    <w:p>
      <w:pPr>
        <w:spacing w:line="580" w:lineRule="exact"/>
        <w:ind w:left="-720" w:leftChars="-343" w:firstLine="1156" w:firstLineChars="413"/>
        <w:rPr>
          <w:rFonts w:ascii="仿宋" w:hAnsi="仿宋" w:eastAsia="仿宋" w:cs="仿宋"/>
          <w:sz w:val="28"/>
          <w:szCs w:val="28"/>
        </w:rPr>
      </w:pPr>
      <w:r>
        <w:rPr>
          <w:rFonts w:ascii="仿宋" w:hAnsi="仿宋" w:eastAsia="仿宋" w:cs="仿宋"/>
          <w:sz w:val="28"/>
          <w:szCs w:val="28"/>
        </w:rPr>
        <w:t>3</w:t>
      </w:r>
      <w:r>
        <w:rPr>
          <w:rFonts w:hint="eastAsia" w:ascii="仿宋" w:hAnsi="仿宋" w:eastAsia="仿宋" w:cs="仿宋"/>
          <w:sz w:val="28"/>
          <w:szCs w:val="28"/>
        </w:rPr>
        <w:t>、公开市场假设</w:t>
      </w:r>
    </w:p>
    <w:p>
      <w:pPr>
        <w:spacing w:line="580" w:lineRule="exact"/>
        <w:ind w:firstLine="560" w:firstLineChars="200"/>
        <w:rPr>
          <w:rFonts w:ascii="仿宋" w:hAnsi="仿宋" w:eastAsia="仿宋" w:cs="仿宋"/>
          <w:sz w:val="28"/>
          <w:szCs w:val="28"/>
        </w:rPr>
      </w:pPr>
      <w:r>
        <w:rPr>
          <w:rFonts w:hint="eastAsia" w:ascii="仿宋" w:hAnsi="仿宋" w:eastAsia="仿宋" w:cs="仿宋"/>
          <w:sz w:val="28"/>
          <w:szCs w:val="28"/>
        </w:rPr>
        <w:t>公开市场假设，是假定在市场上交易的资产，或拟在市场上交易的资产，资产交易双方彼此地位平等，彼此都有获取足够的市场信息的机会和时间，以便于对资产的功能、用途及其交易价格等作出理智的判断。公开市场假设以资产在市场上可以公开买卖为基础。</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（二）特殊假设</w:t>
      </w:r>
    </w:p>
    <w:p>
      <w:pPr>
        <w:spacing w:line="580" w:lineRule="exact"/>
        <w:ind w:firstLine="645"/>
        <w:rPr>
          <w:rFonts w:ascii="仿宋" w:hAnsi="仿宋" w:eastAsia="仿宋" w:cs="仿宋"/>
          <w:sz w:val="28"/>
          <w:szCs w:val="28"/>
        </w:rPr>
      </w:pPr>
      <w:r>
        <w:rPr>
          <w:rFonts w:ascii="仿宋" w:hAnsi="仿宋" w:eastAsia="仿宋" w:cs="仿宋"/>
          <w:sz w:val="28"/>
          <w:szCs w:val="28"/>
        </w:rPr>
        <w:t>1</w:t>
      </w:r>
      <w:r>
        <w:rPr>
          <w:rFonts w:hint="eastAsia" w:ascii="仿宋" w:hAnsi="仿宋" w:eastAsia="仿宋" w:cs="仿宋"/>
          <w:sz w:val="28"/>
          <w:szCs w:val="28"/>
        </w:rPr>
        <w:t>、国家现行的宏观经济不发生重大变化。</w:t>
      </w:r>
    </w:p>
    <w:p>
      <w:pPr>
        <w:spacing w:line="580" w:lineRule="exact"/>
        <w:ind w:firstLine="645"/>
        <w:rPr>
          <w:rFonts w:ascii="仿宋" w:hAnsi="仿宋" w:eastAsia="仿宋" w:cs="仿宋"/>
          <w:sz w:val="28"/>
          <w:szCs w:val="28"/>
        </w:rPr>
      </w:pPr>
      <w:r>
        <w:rPr>
          <w:rFonts w:ascii="仿宋" w:hAnsi="仿宋" w:eastAsia="仿宋" w:cs="仿宋"/>
          <w:sz w:val="28"/>
          <w:szCs w:val="28"/>
        </w:rPr>
        <w:t>2</w:t>
      </w:r>
      <w:r>
        <w:rPr>
          <w:rFonts w:hint="eastAsia" w:ascii="仿宋" w:hAnsi="仿宋" w:eastAsia="仿宋" w:cs="仿宋"/>
          <w:sz w:val="28"/>
          <w:szCs w:val="28"/>
        </w:rPr>
        <w:t>、本次估算不考虑通货膨胀因素的影响。在本次评估假设前提下，依据本次评估目的，确定本次估算的价值类型为市场价值。估算中的一切取价标准均为估价基准日有效的价格标准及价值体系。</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十、评估结论</w:t>
      </w:r>
    </w:p>
    <w:p>
      <w:pPr>
        <w:spacing w:line="580" w:lineRule="exact"/>
        <w:ind w:firstLine="526" w:firstLineChars="188"/>
        <w:rPr>
          <w:rFonts w:ascii="仿宋" w:hAnsi="仿宋" w:eastAsia="仿宋" w:cs="仿宋"/>
          <w:sz w:val="28"/>
          <w:szCs w:val="28"/>
        </w:rPr>
      </w:pPr>
      <w:r>
        <w:rPr>
          <w:rFonts w:hint="eastAsia" w:ascii="仿宋" w:hAnsi="仿宋" w:eastAsia="仿宋" w:cs="仿宋"/>
          <w:sz w:val="28"/>
          <w:szCs w:val="28"/>
        </w:rPr>
        <w:t>经评定估算</w:t>
      </w:r>
      <w:r>
        <w:rPr>
          <w:rFonts w:hint="eastAsia" w:ascii="仿宋" w:hAnsi="仿宋" w:eastAsia="仿宋" w:cs="仿宋"/>
          <w:sz w:val="28"/>
          <w:szCs w:val="28"/>
          <w:lang w:eastAsia="zh-CN"/>
        </w:rPr>
        <w:t>，辽阳市中级人民法院委托评估的</w:t>
      </w:r>
      <w:r>
        <w:rPr>
          <w:rFonts w:hint="eastAsia" w:ascii="仿宋" w:hAnsi="仿宋" w:eastAsia="仿宋" w:cs="仿宋"/>
          <w:color w:val="FF0000"/>
          <w:sz w:val="28"/>
          <w:lang w:eastAsia="zh-CN"/>
        </w:rPr>
        <w:t>弓长岭区汤河镇柳河村御泉▪巴塞罗那城33号楼6单元1层1号网点</w:t>
      </w:r>
      <w:r>
        <w:rPr>
          <w:rFonts w:hint="eastAsia" w:ascii="仿宋_GB2312" w:eastAsia="仿宋_GB2312"/>
          <w:color w:val="FF0000"/>
          <w:sz w:val="28"/>
        </w:rPr>
        <w:t>市场价值</w:t>
      </w:r>
      <w:r>
        <w:rPr>
          <w:rFonts w:hint="eastAsia" w:ascii="仿宋" w:hAnsi="仿宋" w:eastAsia="仿宋" w:cs="仿宋"/>
          <w:color w:val="FF0000"/>
          <w:sz w:val="28"/>
          <w:szCs w:val="28"/>
        </w:rPr>
        <w:t>在评估基准日</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评估结果为</w:t>
      </w:r>
      <w:r>
        <w:rPr>
          <w:rFonts w:hint="eastAsia" w:ascii="仿宋" w:hAnsi="仿宋" w:eastAsia="仿宋" w:cs="仿宋"/>
          <w:sz w:val="28"/>
          <w:szCs w:val="28"/>
          <w:lang w:eastAsia="zh-CN"/>
        </w:rPr>
        <w:t>人民币</w:t>
      </w:r>
      <w:r>
        <w:rPr>
          <w:rFonts w:hint="eastAsia" w:ascii="仿宋" w:hAnsi="仿宋" w:eastAsia="仿宋" w:cs="仿宋"/>
          <w:color w:val="FF0000"/>
          <w:sz w:val="28"/>
          <w:szCs w:val="28"/>
          <w:lang w:val="en-US" w:eastAsia="zh-CN"/>
        </w:rPr>
        <w:t>1,074,810.00</w:t>
      </w:r>
      <w:r>
        <w:rPr>
          <w:rFonts w:hint="eastAsia" w:ascii="仿宋" w:hAnsi="仿宋" w:eastAsia="仿宋" w:cs="仿宋"/>
          <w:bCs/>
          <w:color w:val="FF0000"/>
          <w:sz w:val="28"/>
          <w:szCs w:val="28"/>
        </w:rPr>
        <w:t>元</w:t>
      </w:r>
      <w:r>
        <w:rPr>
          <w:rFonts w:ascii="仿宋" w:hAnsi="仿宋" w:eastAsia="仿宋" w:cs="仿宋"/>
          <w:bCs/>
          <w:color w:val="FF0000"/>
          <w:sz w:val="28"/>
          <w:szCs w:val="28"/>
        </w:rPr>
        <w:t>(</w:t>
      </w:r>
      <w:r>
        <w:rPr>
          <w:rFonts w:hint="eastAsia" w:ascii="仿宋" w:hAnsi="仿宋" w:eastAsia="仿宋" w:cs="仿宋"/>
          <w:bCs/>
          <w:color w:val="FF0000"/>
          <w:sz w:val="28"/>
          <w:szCs w:val="28"/>
        </w:rPr>
        <w:t>大写人民币</w:t>
      </w:r>
      <w:r>
        <w:rPr>
          <w:rFonts w:hint="eastAsia" w:ascii="仿宋" w:hAnsi="仿宋" w:eastAsia="仿宋" w:cs="仿宋"/>
          <w:bCs/>
          <w:color w:val="FF0000"/>
          <w:sz w:val="28"/>
          <w:szCs w:val="28"/>
          <w:lang w:val="en-US" w:eastAsia="zh-CN"/>
        </w:rPr>
        <w:t>壹佰零柒万肆仟捌佰壹拾元整</w:t>
      </w:r>
      <w:r>
        <w:rPr>
          <w:rFonts w:ascii="仿宋" w:hAnsi="仿宋" w:eastAsia="仿宋" w:cs="仿宋"/>
          <w:bCs/>
          <w:color w:val="FF0000"/>
          <w:sz w:val="28"/>
          <w:szCs w:val="28"/>
        </w:rPr>
        <w:t>)</w:t>
      </w:r>
      <w:bookmarkStart w:id="0" w:name="_GoBack"/>
      <w:bookmarkEnd w:id="0"/>
      <w:r>
        <w:rPr>
          <w:rFonts w:hint="eastAsia" w:ascii="仿宋" w:hAnsi="仿宋" w:eastAsia="仿宋" w:cs="仿宋"/>
          <w:sz w:val="28"/>
          <w:szCs w:val="28"/>
        </w:rPr>
        <w:t>，详见</w:t>
      </w:r>
      <w:r>
        <w:rPr>
          <w:rFonts w:hint="eastAsia" w:ascii="仿宋" w:hAnsi="仿宋" w:eastAsia="仿宋" w:cs="仿宋"/>
          <w:sz w:val="28"/>
          <w:szCs w:val="28"/>
          <w:lang w:eastAsia="zh-CN"/>
        </w:rPr>
        <w:t>《</w:t>
      </w:r>
      <w:r>
        <w:rPr>
          <w:rFonts w:hint="eastAsia" w:ascii="仿宋" w:hAnsi="仿宋" w:eastAsia="仿宋" w:cs="仿宋"/>
          <w:sz w:val="28"/>
          <w:szCs w:val="28"/>
        </w:rPr>
        <w:t>资产评估明细表</w:t>
      </w:r>
      <w:r>
        <w:rPr>
          <w:rFonts w:hint="eastAsia" w:ascii="仿宋" w:hAnsi="仿宋" w:eastAsia="仿宋" w:cs="仿宋"/>
          <w:sz w:val="28"/>
          <w:szCs w:val="28"/>
          <w:lang w:eastAsia="zh-CN"/>
        </w:rPr>
        <w:t>》</w:t>
      </w:r>
      <w:r>
        <w:rPr>
          <w:rFonts w:hint="eastAsia" w:ascii="仿宋" w:hAnsi="仿宋" w:eastAsia="仿宋" w:cs="仿宋"/>
          <w:sz w:val="28"/>
          <w:szCs w:val="28"/>
        </w:rPr>
        <w:t>。</w:t>
      </w:r>
      <w:r>
        <w:rPr>
          <w:rFonts w:ascii="仿宋" w:hAnsi="仿宋" w:eastAsia="仿宋" w:cs="仿宋"/>
          <w:sz w:val="28"/>
          <w:szCs w:val="28"/>
        </w:rPr>
        <w:t xml:space="preserve"> </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十一、特别事项说明</w:t>
      </w:r>
    </w:p>
    <w:p>
      <w:pPr>
        <w:spacing w:line="580" w:lineRule="exact"/>
        <w:ind w:firstLine="636"/>
        <w:rPr>
          <w:rFonts w:ascii="仿宋" w:hAnsi="仿宋" w:eastAsia="仿宋" w:cs="仿宋"/>
          <w:sz w:val="28"/>
          <w:szCs w:val="28"/>
        </w:rPr>
      </w:pPr>
      <w:r>
        <w:rPr>
          <w:rFonts w:hint="eastAsia" w:ascii="仿宋" w:hAnsi="仿宋" w:eastAsia="仿宋" w:cs="仿宋"/>
          <w:sz w:val="28"/>
          <w:szCs w:val="28"/>
        </w:rPr>
        <w:t>在本次项目的评估过程中，评估人员已发现可能影响评估结论，但非评估人员执业水平和能力所能评定估算的有关事项</w:t>
      </w:r>
      <w:r>
        <w:rPr>
          <w:rFonts w:ascii="仿宋" w:hAnsi="仿宋" w:eastAsia="仿宋" w:cs="仿宋"/>
          <w:sz w:val="28"/>
          <w:szCs w:val="28"/>
        </w:rPr>
        <w:t>:</w:t>
      </w:r>
    </w:p>
    <w:p>
      <w:pPr>
        <w:spacing w:line="520" w:lineRule="exact"/>
        <w:ind w:firstLine="618"/>
        <w:jc w:val="left"/>
        <w:rPr>
          <w:rFonts w:hint="eastAsia" w:ascii="仿宋" w:hAnsi="仿宋" w:eastAsia="仿宋" w:cs="仿宋"/>
          <w:sz w:val="28"/>
          <w:szCs w:val="28"/>
          <w:lang w:eastAsia="zh-CN"/>
        </w:rPr>
      </w:pPr>
      <w:r>
        <w:rPr>
          <w:rFonts w:ascii="仿宋" w:hAnsi="仿宋" w:eastAsia="仿宋" w:cs="仿宋"/>
          <w:sz w:val="28"/>
          <w:szCs w:val="28"/>
        </w:rPr>
        <w:t>1</w:t>
      </w:r>
      <w:r>
        <w:rPr>
          <w:rFonts w:hint="eastAsia" w:ascii="仿宋" w:hAnsi="仿宋" w:eastAsia="仿宋" w:cs="仿宋"/>
          <w:sz w:val="28"/>
          <w:szCs w:val="28"/>
        </w:rPr>
        <w:t>、由委托方、资产占有方提供的与评估资产相关的资料，是编制本报告之基础，其真实性、合法性由委托方、资产占有方负责</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2</w:t>
      </w:r>
      <w:r>
        <w:rPr>
          <w:rFonts w:hint="eastAsia" w:ascii="仿宋" w:hAnsi="仿宋" w:eastAsia="仿宋" w:cs="仿宋"/>
          <w:sz w:val="28"/>
          <w:szCs w:val="28"/>
        </w:rPr>
        <w:t>、对资产占有方存在的可能影响资产评估的瑕疵事项，在委托时未作特殊说明，而评估人员根据专业经验一般不能获知的情况下，评估机构及评估人员不承担相关责任</w:t>
      </w:r>
      <w:r>
        <w:rPr>
          <w:rFonts w:hint="eastAsia" w:ascii="仿宋" w:hAnsi="仿宋" w:eastAsia="仿宋" w:cs="仿宋"/>
          <w:sz w:val="28"/>
          <w:szCs w:val="28"/>
          <w:lang w:eastAsia="zh-CN"/>
        </w:rPr>
        <w:t>；</w:t>
      </w:r>
    </w:p>
    <w:p>
      <w:pPr>
        <w:spacing w:line="580" w:lineRule="exact"/>
        <w:ind w:firstLine="636"/>
        <w:rPr>
          <w:rFonts w:hint="eastAsia" w:ascii="仿宋" w:hAnsi="仿宋" w:eastAsia="仿宋" w:cs="仿宋"/>
          <w:sz w:val="28"/>
          <w:szCs w:val="28"/>
          <w:lang w:eastAsia="zh-CN"/>
        </w:rPr>
      </w:pPr>
      <w:r>
        <w:rPr>
          <w:rFonts w:ascii="仿宋" w:hAnsi="仿宋" w:eastAsia="仿宋" w:cs="仿宋"/>
          <w:sz w:val="28"/>
          <w:szCs w:val="28"/>
        </w:rPr>
        <w:t>3</w:t>
      </w:r>
      <w:r>
        <w:rPr>
          <w:rFonts w:hint="eastAsia" w:ascii="仿宋" w:hAnsi="仿宋" w:eastAsia="仿宋" w:cs="仿宋"/>
          <w:sz w:val="28"/>
          <w:szCs w:val="28"/>
        </w:rPr>
        <w:t>、本项目评估结果是反映评估对象在特定评估目的下，根据公开市场的原则确定的市场价值，没有考虑将来可能承担的抵押、担保事宜，以及特殊的交易方可能追加付出的价格等对评估结果的影响，也未考虑国家宏观经济政策发生变化以及遇有自然力和其他不可抗力因素对评估结果的影响，当前述条件及评估中遵循的持续使用原则等其他情况发生变化时，评估结果一般会失效</w:t>
      </w:r>
      <w:r>
        <w:rPr>
          <w:rFonts w:hint="eastAsia" w:ascii="仿宋" w:hAnsi="仿宋" w:eastAsia="仿宋" w:cs="仿宋"/>
          <w:sz w:val="28"/>
          <w:szCs w:val="28"/>
          <w:lang w:eastAsia="zh-CN"/>
        </w:rPr>
        <w:t>；</w:t>
      </w:r>
    </w:p>
    <w:p>
      <w:pPr>
        <w:ind w:firstLine="560" w:firstLineChars="200"/>
        <w:rPr>
          <w:rFonts w:hint="eastAsia" w:ascii="仿宋_GB2312" w:eastAsia="仿宋_GB2312"/>
          <w:sz w:val="30"/>
          <w:szCs w:val="30"/>
          <w:lang w:eastAsia="zh-CN"/>
        </w:rPr>
      </w:pPr>
      <w:r>
        <w:rPr>
          <w:rFonts w:hint="eastAsia" w:ascii="仿宋" w:hAnsi="仿宋" w:eastAsia="仿宋" w:cs="仿宋"/>
          <w:sz w:val="28"/>
          <w:szCs w:val="28"/>
        </w:rPr>
        <w:t>4、</w:t>
      </w:r>
      <w:r>
        <w:rPr>
          <w:rFonts w:hint="eastAsia" w:ascii="仿宋" w:hAnsi="仿宋" w:eastAsia="仿宋" w:cs="仿宋"/>
          <w:sz w:val="28"/>
          <w:szCs w:val="28"/>
          <w:lang w:eastAsia="zh-CN"/>
        </w:rPr>
        <w:t>本次评估范围内房屋面积根据</w:t>
      </w:r>
      <w:r>
        <w:rPr>
          <w:rFonts w:hint="eastAsia" w:ascii="仿宋" w:hAnsi="仿宋" w:eastAsia="仿宋" w:cs="仿宋"/>
          <w:sz w:val="28"/>
          <w:szCs w:val="28"/>
          <w:lang w:val="en-US" w:eastAsia="zh-CN"/>
        </w:rPr>
        <w:t>委托方提供权属证明材料确定</w:t>
      </w:r>
      <w:r>
        <w:rPr>
          <w:rFonts w:hint="eastAsia" w:ascii="仿宋" w:hAnsi="仿宋" w:eastAsia="仿宋" w:cs="仿宋"/>
          <w:sz w:val="28"/>
          <w:szCs w:val="28"/>
          <w:lang w:eastAsia="zh-CN"/>
        </w:rPr>
        <w:t>，并经当事人签字确认</w:t>
      </w:r>
      <w:r>
        <w:rPr>
          <w:rFonts w:hint="eastAsia" w:ascii="仿宋_GB2312" w:eastAsia="仿宋_GB2312"/>
          <w:sz w:val="30"/>
          <w:szCs w:val="30"/>
          <w:lang w:eastAsia="zh-CN"/>
        </w:rPr>
        <w:t>。</w:t>
      </w:r>
    </w:p>
    <w:p>
      <w:pPr>
        <w:spacing w:line="580" w:lineRule="exact"/>
        <w:ind w:firstLine="636"/>
        <w:rPr>
          <w:rFonts w:hint="default" w:ascii="仿宋_GB2312" w:eastAsia="仿宋_GB2312"/>
          <w:sz w:val="30"/>
          <w:szCs w:val="30"/>
          <w:lang w:val="en-US" w:eastAsia="zh-CN"/>
        </w:rPr>
      </w:pPr>
      <w:r>
        <w:rPr>
          <w:rFonts w:hint="eastAsia" w:ascii="仿宋_GB2312" w:eastAsia="仿宋_GB2312"/>
          <w:sz w:val="30"/>
          <w:szCs w:val="30"/>
          <w:lang w:val="en-US" w:eastAsia="zh-CN"/>
        </w:rPr>
        <w:t>5、</w:t>
      </w:r>
      <w:r>
        <w:rPr>
          <w:rFonts w:hint="eastAsia" w:ascii="仿宋" w:hAnsi="仿宋" w:eastAsia="仿宋" w:cs="仿宋"/>
          <w:sz w:val="28"/>
          <w:szCs w:val="28"/>
          <w:lang w:val="en-US" w:eastAsia="zh-CN"/>
        </w:rPr>
        <w:t>在履行评估程序过程中，评估人员依据评估的有关规定对被批评估单位提供的评估对象的相关文件、资料进行了必要的查验，对其真实性进行了关注，但对委估资产项目的真实性鉴定工作超出了评估工作的范围，我们不对委估资产项目的真实性发表意见</w:t>
      </w:r>
      <w:r>
        <w:rPr>
          <w:rFonts w:hint="eastAsia" w:ascii="仿宋_GB2312" w:eastAsia="仿宋_GB2312"/>
          <w:sz w:val="30"/>
          <w:szCs w:val="30"/>
          <w:lang w:val="en-US" w:eastAsia="zh-CN"/>
        </w:rPr>
        <w:t>。</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十二、评估报告使用限制说明</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（一）</w:t>
      </w:r>
      <w:r>
        <w:rPr>
          <w:rFonts w:hint="eastAsia" w:ascii="仿宋" w:hAnsi="仿宋" w:eastAsia="仿宋" w:cs="仿宋"/>
          <w:sz w:val="28"/>
          <w:szCs w:val="28"/>
        </w:rPr>
        <w:t>本次项目的评估结论是在产权明晰的情况下，以公开市场假设，持续使用假设为前提条件的</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（二）</w:t>
      </w:r>
      <w:r>
        <w:rPr>
          <w:rFonts w:hint="eastAsia" w:ascii="仿宋" w:hAnsi="仿宋" w:eastAsia="仿宋" w:cs="仿宋"/>
          <w:sz w:val="28"/>
          <w:szCs w:val="28"/>
        </w:rPr>
        <w:t>本评估报告经评估机构、两名以上注册资产评估师签字盖章后，依照国家的有关法律、法规发生法律效力</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（三）</w:t>
      </w:r>
      <w:r>
        <w:rPr>
          <w:rFonts w:hint="eastAsia" w:ascii="仿宋" w:hAnsi="仿宋" w:eastAsia="仿宋" w:cs="仿宋"/>
          <w:sz w:val="28"/>
          <w:szCs w:val="28"/>
        </w:rPr>
        <w:t>本评估报告有效期为一年，即从</w:t>
      </w:r>
      <w:r>
        <w:rPr>
          <w:rFonts w:hint="eastAsia" w:ascii="仿宋" w:hAnsi="仿宋" w:eastAsia="仿宋" w:cs="仿宋"/>
          <w:color w:val="FF0000"/>
          <w:sz w:val="28"/>
          <w:szCs w:val="28"/>
          <w:lang w:eastAsia="zh-CN"/>
        </w:rPr>
        <w:t>2021年04月23日</w:t>
      </w:r>
      <w:r>
        <w:rPr>
          <w:rFonts w:hint="eastAsia" w:ascii="仿宋" w:hAnsi="仿宋" w:eastAsia="仿宋" w:cs="仿宋"/>
          <w:color w:val="FF0000"/>
          <w:sz w:val="28"/>
          <w:szCs w:val="28"/>
        </w:rPr>
        <w:t>至</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04</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22</w:t>
      </w:r>
      <w:r>
        <w:rPr>
          <w:rFonts w:hint="eastAsia" w:ascii="仿宋" w:hAnsi="仿宋" w:eastAsia="仿宋" w:cs="仿宋"/>
          <w:color w:val="FF0000"/>
          <w:sz w:val="28"/>
          <w:szCs w:val="28"/>
        </w:rPr>
        <w:t>日</w:t>
      </w:r>
      <w:r>
        <w:rPr>
          <w:rFonts w:hint="eastAsia" w:ascii="仿宋" w:hAnsi="仿宋" w:eastAsia="仿宋" w:cs="仿宋"/>
          <w:sz w:val="28"/>
          <w:szCs w:val="28"/>
        </w:rPr>
        <w:t>，过期后本报告自然失效。评估结果仅适用于本次评估目的，用于其他目的无效</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eastAsia="zh-CN"/>
        </w:rPr>
      </w:pPr>
      <w:r>
        <w:rPr>
          <w:rFonts w:hint="eastAsia" w:ascii="仿宋" w:hAnsi="仿宋" w:eastAsia="仿宋" w:cs="仿宋"/>
          <w:sz w:val="28"/>
          <w:szCs w:val="28"/>
          <w:lang w:eastAsia="zh-CN"/>
        </w:rPr>
        <w:t>（四）</w:t>
      </w:r>
      <w:r>
        <w:rPr>
          <w:rFonts w:hint="eastAsia" w:ascii="仿宋" w:hAnsi="仿宋" w:eastAsia="仿宋" w:cs="仿宋"/>
          <w:sz w:val="28"/>
          <w:szCs w:val="28"/>
        </w:rPr>
        <w:t>本评估报告仅供委托方为其评估目的的使用。报告书的使用权归委托方所有，未经委托方同意评估机构不得随意向他人提供或公开</w:t>
      </w:r>
      <w:r>
        <w:rPr>
          <w:rFonts w:hint="eastAsia" w:ascii="仿宋" w:hAnsi="仿宋" w:eastAsia="仿宋" w:cs="仿宋"/>
          <w:sz w:val="28"/>
          <w:szCs w:val="28"/>
          <w:lang w:eastAsia="zh-CN"/>
        </w:rPr>
        <w:t>；</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（五）委托人或者其他资产评估报告使用人未按照法律、行政法规规定和资产评估报告载明的使用范围使用资产评估报告的，资产评估机构及其资产评估专业人员不承担责任；</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（六）除委托人、资产评估委托合同中约定的其他资产评估报告使用人和法律、行政法规规定的资产评估报告使用人之外，其他任何机构和个人不能成为资产评估报告的使用人；</w:t>
      </w:r>
    </w:p>
    <w:p>
      <w:pPr>
        <w:spacing w:line="580" w:lineRule="exact"/>
        <w:ind w:firstLine="648"/>
        <w:rPr>
          <w:rFonts w:hint="eastAsia" w:ascii="仿宋" w:hAnsi="仿宋" w:eastAsia="仿宋" w:cs="仿宋"/>
          <w:sz w:val="28"/>
          <w:szCs w:val="28"/>
          <w:lang w:val="en-US" w:eastAsia="zh-CN"/>
        </w:rPr>
      </w:pPr>
      <w:r>
        <w:rPr>
          <w:rFonts w:hint="eastAsia" w:ascii="仿宋" w:hAnsi="仿宋" w:eastAsia="仿宋" w:cs="仿宋"/>
          <w:sz w:val="28"/>
          <w:szCs w:val="28"/>
          <w:lang w:val="en-US" w:eastAsia="zh-CN"/>
        </w:rPr>
        <w:t>（七）资产评估报告使用人应当正确理解和使用评估结论。评估结论不等同于评估对象可实现价格，评估结论不应当被认为是评估对象可实现价格的保证。</w:t>
      </w:r>
    </w:p>
    <w:p>
      <w:pPr>
        <w:spacing w:line="580" w:lineRule="exact"/>
        <w:ind w:firstLine="528" w:firstLineChars="188"/>
        <w:rPr>
          <w:rFonts w:ascii="仿宋" w:hAnsi="仿宋" w:eastAsia="仿宋" w:cs="仿宋"/>
          <w:b/>
          <w:bCs/>
          <w:sz w:val="28"/>
          <w:szCs w:val="28"/>
        </w:rPr>
      </w:pPr>
      <w:r>
        <w:rPr>
          <w:rFonts w:hint="eastAsia" w:ascii="仿宋" w:hAnsi="仿宋" w:eastAsia="仿宋" w:cs="仿宋"/>
          <w:b/>
          <w:bCs/>
          <w:sz w:val="28"/>
          <w:szCs w:val="28"/>
        </w:rPr>
        <w:t>十三、评估报告日</w:t>
      </w:r>
    </w:p>
    <w:p>
      <w:pPr>
        <w:spacing w:line="580" w:lineRule="exact"/>
        <w:ind w:firstLine="585"/>
        <w:rPr>
          <w:rFonts w:ascii="仿宋_GB2312" w:hAnsi="Arial Narrow" w:eastAsia="仿宋_GB2312"/>
          <w:sz w:val="28"/>
        </w:rPr>
      </w:pPr>
      <w:r>
        <w:rPr>
          <w:rFonts w:hint="eastAsia" w:ascii="仿宋" w:hAnsi="仿宋" w:eastAsia="仿宋" w:cs="仿宋"/>
          <w:sz w:val="28"/>
          <w:szCs w:val="28"/>
        </w:rPr>
        <w:t>本评估报告日</w:t>
      </w:r>
      <w:r>
        <w:rPr>
          <w:rFonts w:hint="eastAsia" w:ascii="仿宋" w:hAnsi="仿宋" w:eastAsia="仿宋" w:cs="仿宋"/>
          <w:color w:val="FF0000"/>
          <w:sz w:val="28"/>
          <w:szCs w:val="28"/>
        </w:rPr>
        <w:t>为</w:t>
      </w:r>
      <w:r>
        <w:rPr>
          <w:rFonts w:ascii="仿宋" w:hAnsi="仿宋" w:eastAsia="仿宋" w:cs="仿宋"/>
          <w:color w:val="FF0000"/>
          <w:sz w:val="28"/>
          <w:szCs w:val="28"/>
        </w:rPr>
        <w:t>20</w:t>
      </w:r>
      <w:r>
        <w:rPr>
          <w:rFonts w:hint="eastAsia" w:ascii="仿宋" w:hAnsi="仿宋" w:eastAsia="仿宋" w:cs="仿宋"/>
          <w:color w:val="FF0000"/>
          <w:sz w:val="28"/>
          <w:szCs w:val="28"/>
          <w:lang w:val="en-US" w:eastAsia="zh-CN"/>
        </w:rPr>
        <w:t>21</w:t>
      </w:r>
      <w:r>
        <w:rPr>
          <w:rFonts w:hint="eastAsia" w:ascii="仿宋" w:hAnsi="仿宋" w:eastAsia="仿宋" w:cs="仿宋"/>
          <w:color w:val="FF0000"/>
          <w:sz w:val="28"/>
          <w:szCs w:val="28"/>
        </w:rPr>
        <w:t>年</w:t>
      </w:r>
      <w:r>
        <w:rPr>
          <w:rFonts w:hint="eastAsia" w:ascii="仿宋" w:hAnsi="仿宋" w:eastAsia="仿宋" w:cs="仿宋"/>
          <w:color w:val="FF0000"/>
          <w:sz w:val="28"/>
          <w:szCs w:val="28"/>
          <w:lang w:val="en-US" w:eastAsia="zh-CN"/>
        </w:rPr>
        <w:t>05</w:t>
      </w:r>
      <w:r>
        <w:rPr>
          <w:rFonts w:hint="eastAsia" w:ascii="仿宋" w:hAnsi="仿宋" w:eastAsia="仿宋" w:cs="仿宋"/>
          <w:color w:val="FF0000"/>
          <w:sz w:val="28"/>
          <w:szCs w:val="28"/>
        </w:rPr>
        <w:t>月</w:t>
      </w:r>
      <w:r>
        <w:rPr>
          <w:rFonts w:hint="eastAsia" w:ascii="仿宋" w:hAnsi="仿宋" w:eastAsia="仿宋" w:cs="仿宋"/>
          <w:color w:val="FF0000"/>
          <w:sz w:val="28"/>
          <w:szCs w:val="28"/>
          <w:lang w:val="en-US" w:eastAsia="zh-CN"/>
        </w:rPr>
        <w:t>14</w:t>
      </w:r>
      <w:r>
        <w:rPr>
          <w:rFonts w:hint="eastAsia" w:ascii="仿宋" w:hAnsi="仿宋" w:eastAsia="仿宋" w:cs="仿宋"/>
          <w:color w:val="FF0000"/>
          <w:sz w:val="28"/>
          <w:szCs w:val="28"/>
        </w:rPr>
        <w:t>日</w:t>
      </w:r>
      <w:r>
        <w:rPr>
          <w:rFonts w:hint="eastAsia" w:ascii="仿宋" w:hAnsi="仿宋" w:eastAsia="仿宋" w:cs="仿宋"/>
          <w:sz w:val="28"/>
          <w:szCs w:val="28"/>
        </w:rPr>
        <w:t>。</w:t>
      </w:r>
    </w:p>
    <w:p>
      <w:pPr>
        <w:spacing w:line="360" w:lineRule="exact"/>
        <w:rPr>
          <w:rFonts w:ascii="仿宋_GB2312" w:hAnsi="Arial Narrow" w:eastAsia="仿宋_GB2312"/>
          <w:sz w:val="28"/>
        </w:rPr>
      </w:pPr>
    </w:p>
    <w:p>
      <w:pPr>
        <w:numPr>
          <w:ilvl w:val="0"/>
          <w:numId w:val="4"/>
        </w:numPr>
        <w:spacing w:line="360" w:lineRule="exact"/>
        <w:ind w:firstLine="562" w:firstLineChars="200"/>
        <w:rPr>
          <w:rFonts w:hint="eastAsia" w:ascii="仿宋" w:hAnsi="仿宋" w:eastAsia="仿宋" w:cs="仿宋"/>
          <w:b/>
          <w:bCs/>
          <w:sz w:val="28"/>
          <w:lang w:eastAsia="zh-CN"/>
        </w:rPr>
      </w:pPr>
      <w:r>
        <w:rPr>
          <w:rFonts w:hint="eastAsia" w:ascii="仿宋" w:hAnsi="仿宋" w:eastAsia="仿宋" w:cs="仿宋"/>
          <w:b/>
          <w:bCs/>
          <w:sz w:val="28"/>
          <w:lang w:eastAsia="zh-CN"/>
        </w:rPr>
        <w:t>资产评估专业人员签名和资产评估机构印章</w:t>
      </w:r>
    </w:p>
    <w:p>
      <w:pPr>
        <w:widowControl w:val="0"/>
        <w:numPr>
          <w:ilvl w:val="0"/>
          <w:numId w:val="0"/>
        </w:numPr>
        <w:spacing w:line="360" w:lineRule="exact"/>
        <w:jc w:val="both"/>
        <w:rPr>
          <w:rFonts w:hint="eastAsia" w:ascii="仿宋" w:hAnsi="仿宋" w:eastAsia="仿宋" w:cs="仿宋"/>
          <w:b/>
          <w:bCs/>
          <w:sz w:val="28"/>
          <w:lang w:eastAsia="zh-CN"/>
        </w:rPr>
      </w:pPr>
    </w:p>
    <w:p>
      <w:pPr>
        <w:widowControl w:val="0"/>
        <w:numPr>
          <w:ilvl w:val="0"/>
          <w:numId w:val="0"/>
        </w:numPr>
        <w:spacing w:line="360" w:lineRule="exact"/>
        <w:jc w:val="both"/>
        <w:rPr>
          <w:rFonts w:hint="eastAsia" w:ascii="仿宋" w:hAnsi="仿宋" w:eastAsia="仿宋" w:cs="仿宋"/>
          <w:b/>
          <w:bCs/>
          <w:sz w:val="28"/>
          <w:lang w:eastAsia="zh-CN"/>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评估机构法定代表人</w:t>
      </w:r>
      <w:r>
        <w:rPr>
          <w:rFonts w:ascii="仿宋_GB2312" w:hAnsi="Arial Narrow" w:eastAsia="仿宋_GB2312"/>
          <w:sz w:val="28"/>
        </w:rPr>
        <w:t xml:space="preserve">: </w:t>
      </w: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rPr>
          <w:rFonts w:ascii="仿宋_GB2312" w:hAnsi="Arial Narrow" w:eastAsia="仿宋_GB2312"/>
          <w:sz w:val="28"/>
        </w:rPr>
      </w:pPr>
    </w:p>
    <w:p>
      <w:pPr>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360" w:lineRule="exact"/>
        <w:ind w:firstLine="2800" w:firstLineChars="1000"/>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rPr>
          <w:rFonts w:ascii="仿宋_GB2312" w:hAnsi="Arial Narrow" w:eastAsia="仿宋_GB2312"/>
          <w:sz w:val="28"/>
        </w:rPr>
      </w:pPr>
    </w:p>
    <w:p>
      <w:pPr>
        <w:tabs>
          <w:tab w:val="left" w:pos="6915"/>
        </w:tabs>
        <w:spacing w:line="360" w:lineRule="exact"/>
        <w:ind w:firstLine="2800" w:firstLineChars="1000"/>
        <w:rPr>
          <w:rFonts w:ascii="仿宋_GB2312" w:hAnsi="Arial Narrow" w:eastAsia="仿宋_GB2312"/>
          <w:sz w:val="28"/>
        </w:rPr>
      </w:pPr>
      <w:r>
        <w:rPr>
          <w:rFonts w:hint="eastAsia" w:ascii="仿宋_GB2312" w:hAnsi="Arial Narrow" w:eastAsia="仿宋_GB2312"/>
          <w:sz w:val="28"/>
        </w:rPr>
        <w:t>中国注册资产评估师：</w:t>
      </w: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rPr>
          <w:rFonts w:ascii="仿宋" w:hAnsi="仿宋" w:eastAsia="仿宋" w:cs="仿宋"/>
          <w:sz w:val="28"/>
          <w:szCs w:val="28"/>
        </w:rPr>
      </w:pPr>
    </w:p>
    <w:p>
      <w:pPr>
        <w:spacing w:line="400" w:lineRule="atLeast"/>
        <w:ind w:firstLine="5740" w:firstLineChars="2050"/>
        <w:rPr>
          <w:rFonts w:ascii="仿宋" w:hAnsi="仿宋" w:eastAsia="仿宋" w:cs="仿宋"/>
          <w:sz w:val="28"/>
          <w:szCs w:val="28"/>
        </w:rPr>
      </w:pPr>
      <w:r>
        <w:rPr>
          <w:rFonts w:hint="eastAsia" w:ascii="仿宋" w:hAnsi="仿宋" w:eastAsia="仿宋" w:cs="仿宋"/>
          <w:sz w:val="28"/>
          <w:szCs w:val="28"/>
        </w:rPr>
        <w:t>辽阳智达资产评估事务所</w:t>
      </w:r>
    </w:p>
    <w:p>
      <w:pPr>
        <w:spacing w:line="400" w:lineRule="atLeast"/>
        <w:ind w:firstLine="5740" w:firstLineChars="2050"/>
        <w:rPr>
          <w:rFonts w:hint="default" w:eastAsia="仿宋"/>
          <w:u w:val="none"/>
          <w:lang w:val="en-US" w:eastAsia="zh-CN"/>
        </w:rPr>
      </w:pPr>
      <w:r>
        <w:rPr>
          <w:rFonts w:hint="eastAsia" w:ascii="仿宋" w:hAnsi="仿宋" w:eastAsia="仿宋" w:cs="仿宋"/>
          <w:color w:val="FF0000"/>
          <w:sz w:val="28"/>
          <w:szCs w:val="28"/>
          <w:u w:val="none"/>
          <w:lang w:eastAsia="zh-CN"/>
        </w:rPr>
        <w:t>二〇二</w:t>
      </w:r>
      <w:r>
        <w:rPr>
          <w:rFonts w:hint="eastAsia" w:ascii="仿宋" w:hAnsi="仿宋" w:eastAsia="仿宋" w:cs="仿宋"/>
          <w:color w:val="FF0000"/>
          <w:sz w:val="28"/>
          <w:szCs w:val="28"/>
          <w:u w:val="none"/>
          <w:lang w:val="en-US" w:eastAsia="zh-CN"/>
        </w:rPr>
        <w:t>一</w:t>
      </w:r>
      <w:r>
        <w:rPr>
          <w:rFonts w:hint="eastAsia" w:ascii="仿宋" w:hAnsi="仿宋" w:eastAsia="仿宋" w:cs="仿宋"/>
          <w:color w:val="FF0000"/>
          <w:sz w:val="28"/>
          <w:szCs w:val="28"/>
          <w:u w:val="none"/>
          <w:lang w:eastAsia="zh-CN"/>
        </w:rPr>
        <w:t>年</w:t>
      </w:r>
      <w:r>
        <w:rPr>
          <w:rFonts w:hint="eastAsia" w:ascii="仿宋" w:hAnsi="仿宋" w:eastAsia="仿宋" w:cs="仿宋"/>
          <w:color w:val="FF0000"/>
          <w:sz w:val="28"/>
          <w:szCs w:val="28"/>
          <w:u w:val="none"/>
          <w:lang w:val="en-US" w:eastAsia="zh-CN"/>
        </w:rPr>
        <w:t>五月二十四日</w:t>
      </w:r>
    </w:p>
    <w:sectPr>
      <w:footerReference r:id="rId5" w:type="first"/>
      <w:footerReference r:id="rId3" w:type="default"/>
      <w:footerReference r:id="rId4" w:type="even"/>
      <w:pgSz w:w="11907" w:h="16840"/>
      <w:pgMar w:top="1247" w:right="1134" w:bottom="1134" w:left="1247" w:header="851" w:footer="851" w:gutter="0"/>
      <w:pgNumType w:start="6"/>
      <w:cols w:space="720" w:num="1"/>
      <w:titlePg/>
      <w:docGrid w:type="lines" w:linePitch="304" w:charSpace="392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Arial Narrow">
    <w:panose1 w:val="020B0606020202030204"/>
    <w:charset w:val="00"/>
    <w:family w:val="swiss"/>
    <w:pitch w:val="default"/>
    <w:sig w:usb0="00000287" w:usb1="000008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直线 1026" o:spid="_x0000_s2049" o:spt="20" style="position:absolute;left:0pt;margin-left:0pt;margin-top:0.95pt;height:0pt;width:442.2pt;z-index:251661312;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rPr>
        <w:b/>
        <w:bCs/>
      </w:rP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jc w:val="center"/>
    </w:pPr>
    <w:r>
      <w:pict>
        <v:shape id="_x0000_s2050" o:spid="_x0000_s2050"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11</w:t>
                </w:r>
                <w:r>
                  <w:fldChar w:fldCharType="end"/>
                </w:r>
                <w:r>
                  <w:t xml:space="preserve"> </w:t>
                </w:r>
                <w:r>
                  <w:rPr>
                    <w:rFonts w:hint="eastAsia"/>
                  </w:rPr>
                  <w:t>页</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rPr>
        <w:rStyle w:val="6"/>
      </w:rPr>
      <w:fldChar w:fldCharType="begin"/>
    </w:r>
    <w:r>
      <w:rPr>
        <w:rStyle w:val="6"/>
      </w:rPr>
      <w:instrText xml:space="preserve">PAGE  </w:instrText>
    </w:r>
    <w:r>
      <w:rPr>
        <w:rStyle w:val="6"/>
      </w:rPr>
      <w:fldChar w:fldCharType="end"/>
    </w:r>
  </w:p>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Style w:val="6"/>
      </w:rPr>
    </w:pPr>
  </w:p>
  <w:p>
    <w:pPr>
      <w:pStyle w:val="2"/>
      <w:jc w:val="center"/>
    </w:pPr>
    <w:r>
      <w:pict>
        <v:line id="_x0000_s2051" o:spid="_x0000_s2051" o:spt="20" style="position:absolute;left:0pt;margin-left:0pt;margin-top:0.95pt;height:0pt;width:442.2pt;z-index:251662336;mso-width-relative:page;mso-height-relative:page;" coordsize="21600,21600">
          <v:path arrowok="t"/>
          <v:fill focussize="0,0"/>
          <v:stroke/>
          <v:imagedata o:title=""/>
          <o:lock v:ext="edit"/>
        </v:line>
      </w:pict>
    </w:r>
    <w:r>
      <w:rPr>
        <w:rFonts w:hint="eastAsia"/>
      </w:rPr>
      <w:t>辽阳智达资产评估事务所</w:t>
    </w:r>
    <w:r>
      <w:t xml:space="preserve">     </w:t>
    </w:r>
  </w:p>
  <w:p>
    <w:pPr>
      <w:pStyle w:val="2"/>
      <w:jc w:val="center"/>
    </w:pPr>
    <w:r>
      <w:rPr>
        <w:rFonts w:hint="eastAsia"/>
      </w:rPr>
      <w:t>地址：辽阳市</w:t>
    </w:r>
    <w:r>
      <w:rPr>
        <w:rFonts w:hint="eastAsia"/>
        <w:lang w:eastAsia="zh-CN"/>
      </w:rPr>
      <w:t>青年大街</w:t>
    </w:r>
    <w:r>
      <w:rPr>
        <w:rFonts w:hint="eastAsia"/>
        <w:lang w:val="en-US" w:eastAsia="zh-CN"/>
      </w:rPr>
      <w:t>44号</w:t>
    </w:r>
    <w:r>
      <w:t xml:space="preserve">      </w:t>
    </w:r>
    <w:r>
      <w:rPr>
        <w:rFonts w:hint="eastAsia"/>
      </w:rPr>
      <w:t>电话：</w:t>
    </w:r>
    <w:r>
      <w:rPr>
        <w:b/>
        <w:bCs/>
      </w:rPr>
      <w:t xml:space="preserve">0419-2252948    </w:t>
    </w:r>
    <w:r>
      <w:t xml:space="preserve">       </w:t>
    </w:r>
    <w:r>
      <w:rPr>
        <w:rFonts w:hint="eastAsia"/>
      </w:rPr>
      <w:t>邮编：</w:t>
    </w:r>
    <w:r>
      <w:rPr>
        <w:b/>
        <w:bCs/>
      </w:rPr>
      <w:t>111000</w:t>
    </w:r>
  </w:p>
  <w:p>
    <w:pPr>
      <w:pStyle w:val="2"/>
    </w:pPr>
    <w:r>
      <w:pict>
        <v:shape id="_x0000_s2052" o:spid="_x0000_s2052"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weight="0.5pt" joinstyle="miter"/>
          <v:imagedata o:title=""/>
          <o:lock v:ext="edit"/>
          <v:textbox inset="0mm,0mm,0mm,0mm" style="mso-fit-shape-to-text:t;">
            <w:txbxContent>
              <w:p>
                <w:pPr>
                  <w:pStyle w:val="2"/>
                </w:pPr>
                <w:r>
                  <w:rPr>
                    <w:rFonts w:hint="eastAsia"/>
                  </w:rPr>
                  <w:t>第</w:t>
                </w:r>
                <w:r>
                  <w:t xml:space="preserve"> </w:t>
                </w:r>
                <w:r>
                  <w:fldChar w:fldCharType="begin"/>
                </w:r>
                <w:r>
                  <w:instrText xml:space="preserve"> PAGE  \* MERGEFORMAT </w:instrText>
                </w:r>
                <w:r>
                  <w:fldChar w:fldCharType="separate"/>
                </w:r>
                <w:r>
                  <w:t>6</w:t>
                </w:r>
                <w:r>
                  <w:fldChar w:fldCharType="end"/>
                </w:r>
                <w:r>
                  <w:t xml:space="preserve"> </w:t>
                </w:r>
                <w:r>
                  <w:rPr>
                    <w:rFonts w:hint="eastAsia"/>
                  </w:rPr>
                  <w:t>页</w:t>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19C67D0"/>
    <w:multiLevelType w:val="singleLevel"/>
    <w:tmpl w:val="119C67D0"/>
    <w:lvl w:ilvl="0" w:tentative="0">
      <w:start w:val="14"/>
      <w:numFmt w:val="chineseCounting"/>
      <w:suff w:val="nothing"/>
      <w:lvlText w:val="%1、"/>
      <w:lvlJc w:val="left"/>
      <w:rPr>
        <w:rFonts w:hint="eastAsia"/>
      </w:rPr>
    </w:lvl>
  </w:abstractNum>
  <w:abstractNum w:abstractNumId="1">
    <w:nsid w:val="582E7976"/>
    <w:multiLevelType w:val="singleLevel"/>
    <w:tmpl w:val="582E7976"/>
    <w:lvl w:ilvl="0" w:tentative="0">
      <w:start w:val="8"/>
      <w:numFmt w:val="chineseCounting"/>
      <w:suff w:val="nothing"/>
      <w:lvlText w:val="%1、"/>
      <w:lvlJc w:val="left"/>
      <w:rPr>
        <w:rFonts w:cs="Times New Roman"/>
      </w:rPr>
    </w:lvl>
  </w:abstractNum>
  <w:abstractNum w:abstractNumId="2">
    <w:nsid w:val="5833E99F"/>
    <w:multiLevelType w:val="singleLevel"/>
    <w:tmpl w:val="5833E99F"/>
    <w:lvl w:ilvl="0" w:tentative="0">
      <w:start w:val="4"/>
      <w:numFmt w:val="chineseCounting"/>
      <w:suff w:val="nothing"/>
      <w:lvlText w:val="（%1）"/>
      <w:lvlJc w:val="left"/>
      <w:rPr>
        <w:rFonts w:cs="Times New Roman"/>
      </w:rPr>
    </w:lvl>
  </w:abstractNum>
  <w:abstractNum w:abstractNumId="3">
    <w:nsid w:val="59A4E1FD"/>
    <w:multiLevelType w:val="singleLevel"/>
    <w:tmpl w:val="59A4E1FD"/>
    <w:lvl w:ilvl="0" w:tentative="0">
      <w:start w:val="1"/>
      <w:numFmt w:val="chineseCounting"/>
      <w:suff w:val="nothing"/>
      <w:lvlText w:val="%1、"/>
      <w:lvlJc w:val="left"/>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046B9"/>
    <w:rsid w:val="005012A0"/>
    <w:rsid w:val="006046B9"/>
    <w:rsid w:val="00616B8F"/>
    <w:rsid w:val="0070468D"/>
    <w:rsid w:val="00852BC3"/>
    <w:rsid w:val="0086685A"/>
    <w:rsid w:val="008B7B93"/>
    <w:rsid w:val="00AE5B99"/>
    <w:rsid w:val="00B868C2"/>
    <w:rsid w:val="00D04177"/>
    <w:rsid w:val="00EC4BC3"/>
    <w:rsid w:val="00F05D41"/>
    <w:rsid w:val="01242185"/>
    <w:rsid w:val="03DB7129"/>
    <w:rsid w:val="03F276CB"/>
    <w:rsid w:val="046C3D38"/>
    <w:rsid w:val="064E506A"/>
    <w:rsid w:val="076B4FAE"/>
    <w:rsid w:val="07952929"/>
    <w:rsid w:val="089B5509"/>
    <w:rsid w:val="08FC155E"/>
    <w:rsid w:val="0B935EF8"/>
    <w:rsid w:val="0D741832"/>
    <w:rsid w:val="0E055B3A"/>
    <w:rsid w:val="0F585629"/>
    <w:rsid w:val="105B6DEC"/>
    <w:rsid w:val="10F0113B"/>
    <w:rsid w:val="11AC59C3"/>
    <w:rsid w:val="125251B9"/>
    <w:rsid w:val="13866A18"/>
    <w:rsid w:val="14FC0A61"/>
    <w:rsid w:val="15870DC3"/>
    <w:rsid w:val="166E640A"/>
    <w:rsid w:val="17E200C1"/>
    <w:rsid w:val="1B8C46C2"/>
    <w:rsid w:val="1C7511F9"/>
    <w:rsid w:val="1E2A2256"/>
    <w:rsid w:val="201741AC"/>
    <w:rsid w:val="21220098"/>
    <w:rsid w:val="222979F6"/>
    <w:rsid w:val="222A7976"/>
    <w:rsid w:val="26E2648B"/>
    <w:rsid w:val="26F71618"/>
    <w:rsid w:val="27842C7C"/>
    <w:rsid w:val="28693A83"/>
    <w:rsid w:val="28913C0F"/>
    <w:rsid w:val="28FA527F"/>
    <w:rsid w:val="29891D79"/>
    <w:rsid w:val="29E2205E"/>
    <w:rsid w:val="2A6A37CA"/>
    <w:rsid w:val="2FA362C3"/>
    <w:rsid w:val="301728C7"/>
    <w:rsid w:val="305F75FE"/>
    <w:rsid w:val="31686F21"/>
    <w:rsid w:val="317C6B92"/>
    <w:rsid w:val="31FB2D3A"/>
    <w:rsid w:val="32735702"/>
    <w:rsid w:val="32D70521"/>
    <w:rsid w:val="36CD2D6E"/>
    <w:rsid w:val="373E7904"/>
    <w:rsid w:val="382F2E35"/>
    <w:rsid w:val="39FE5C83"/>
    <w:rsid w:val="3AB9393F"/>
    <w:rsid w:val="3B3B0C7C"/>
    <w:rsid w:val="3D4E3E4E"/>
    <w:rsid w:val="3D6A3F85"/>
    <w:rsid w:val="3DC70708"/>
    <w:rsid w:val="3FDB2604"/>
    <w:rsid w:val="409B3272"/>
    <w:rsid w:val="417A7066"/>
    <w:rsid w:val="42B96828"/>
    <w:rsid w:val="435A5422"/>
    <w:rsid w:val="437F498F"/>
    <w:rsid w:val="43883599"/>
    <w:rsid w:val="4395796D"/>
    <w:rsid w:val="43ED3569"/>
    <w:rsid w:val="451F7F1D"/>
    <w:rsid w:val="460F6526"/>
    <w:rsid w:val="46505DB0"/>
    <w:rsid w:val="47484342"/>
    <w:rsid w:val="4881624C"/>
    <w:rsid w:val="4BEF2F24"/>
    <w:rsid w:val="4D114057"/>
    <w:rsid w:val="4D69336A"/>
    <w:rsid w:val="4DBA23EE"/>
    <w:rsid w:val="50857A3C"/>
    <w:rsid w:val="50EA3671"/>
    <w:rsid w:val="515D53E7"/>
    <w:rsid w:val="52442D41"/>
    <w:rsid w:val="52FD4B54"/>
    <w:rsid w:val="55FC1070"/>
    <w:rsid w:val="56933EC8"/>
    <w:rsid w:val="593F60E9"/>
    <w:rsid w:val="5A220AD6"/>
    <w:rsid w:val="5A507BA8"/>
    <w:rsid w:val="5CDC7BE0"/>
    <w:rsid w:val="5D2828A8"/>
    <w:rsid w:val="5D7A6662"/>
    <w:rsid w:val="5DED3540"/>
    <w:rsid w:val="5E487AFF"/>
    <w:rsid w:val="5EEC0A3B"/>
    <w:rsid w:val="60560C1E"/>
    <w:rsid w:val="64597C81"/>
    <w:rsid w:val="662E61D6"/>
    <w:rsid w:val="6796224A"/>
    <w:rsid w:val="67C215C5"/>
    <w:rsid w:val="69E31FCD"/>
    <w:rsid w:val="6A0045D8"/>
    <w:rsid w:val="6A424682"/>
    <w:rsid w:val="6BDE2E19"/>
    <w:rsid w:val="6D2A77F3"/>
    <w:rsid w:val="6E270FFF"/>
    <w:rsid w:val="6EB8090E"/>
    <w:rsid w:val="72276DC6"/>
    <w:rsid w:val="73C65F31"/>
    <w:rsid w:val="74376F83"/>
    <w:rsid w:val="7A301750"/>
    <w:rsid w:val="7AB46FAB"/>
    <w:rsid w:val="7B2021F9"/>
    <w:rsid w:val="7F0914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99"/>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99"/>
    <w:pPr>
      <w:tabs>
        <w:tab w:val="center" w:pos="4153"/>
        <w:tab w:val="right" w:pos="8306"/>
      </w:tabs>
      <w:snapToGrid w:val="0"/>
      <w:jc w:val="left"/>
    </w:pPr>
    <w:rPr>
      <w:sz w:val="18"/>
      <w:szCs w:val="18"/>
    </w:rPr>
  </w:style>
  <w:style w:type="paragraph" w:styleId="3">
    <w:name w:val="header"/>
    <w:basedOn w:val="1"/>
    <w:link w:val="8"/>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styleId="6">
    <w:name w:val="page number"/>
    <w:basedOn w:val="5"/>
    <w:qFormat/>
    <w:uiPriority w:val="99"/>
    <w:rPr>
      <w:rFonts w:cs="Times New Roman"/>
    </w:rPr>
  </w:style>
  <w:style w:type="character" w:customStyle="1" w:styleId="7">
    <w:name w:val="Footer Char"/>
    <w:basedOn w:val="5"/>
    <w:link w:val="2"/>
    <w:semiHidden/>
    <w:qFormat/>
    <w:uiPriority w:val="99"/>
    <w:rPr>
      <w:sz w:val="18"/>
      <w:szCs w:val="18"/>
    </w:rPr>
  </w:style>
  <w:style w:type="character" w:customStyle="1" w:styleId="8">
    <w:name w:val="Header Char"/>
    <w:basedOn w:val="5"/>
    <w:link w:val="3"/>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customShpInfo spid="_x0000_s2050"/>
    <customShpInfo spid="_x0000_s2051"/>
    <customShpInfo spid="_x0000_s2052"/>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Pages>6</Pages>
  <Words>407</Words>
  <Characters>2324</Characters>
  <Lines>0</Lines>
  <Paragraphs>0</Paragraphs>
  <TotalTime>0</TotalTime>
  <ScaleCrop>false</ScaleCrop>
  <LinksUpToDate>false</LinksUpToDate>
  <CharactersWithSpaces>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cp:lastPrinted>2018-12-24T07:15:00Z</cp:lastPrinted>
  <dcterms:modified xsi:type="dcterms:W3CDTF">2021-05-23T03:10:19Z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2EBEAD0D2CF242E798D0FCC191554C1C</vt:lpwstr>
  </property>
</Properties>
</file>