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jc w:val="right"/>
        <w:rPr>
          <w:rFonts w:ascii="Times New Roman" w:hAnsi="Times New Roman" w:eastAsia="宋体" w:cs="Times New Roman"/>
          <w:szCs w:val="24"/>
        </w:rPr>
      </w:pPr>
    </w:p>
    <w:p>
      <w:pPr>
        <w:jc w:val="center"/>
        <w:rPr>
          <w:rFonts w:ascii="黑体" w:hAnsi="黑体" w:eastAsia="黑体" w:cs="黑体"/>
          <w:b/>
          <w:bCs/>
          <w:sz w:val="72"/>
          <w:szCs w:val="72"/>
        </w:rPr>
      </w:pPr>
      <w:r>
        <w:rPr>
          <w:rFonts w:hint="eastAsia" w:ascii="黑体" w:hAnsi="黑体" w:eastAsia="黑体" w:cs="黑体"/>
          <w:b/>
          <w:bCs/>
          <w:sz w:val="72"/>
          <w:szCs w:val="72"/>
        </w:rPr>
        <w:t>房</w:t>
      </w:r>
      <w:r>
        <w:rPr>
          <w:rFonts w:hint="eastAsia" w:ascii="黑体" w:hAnsi="黑体" w:eastAsia="黑体" w:cs="黑体"/>
          <w:b/>
          <w:bCs/>
          <w:sz w:val="72"/>
          <w:szCs w:val="72"/>
          <w:lang w:eastAsia="zh-CN"/>
        </w:rPr>
        <w:t>地</w:t>
      </w:r>
      <w:r>
        <w:rPr>
          <w:rFonts w:hint="eastAsia" w:ascii="黑体" w:hAnsi="黑体" w:eastAsia="黑体" w:cs="黑体"/>
          <w:b/>
          <w:bCs/>
          <w:sz w:val="72"/>
          <w:szCs w:val="72"/>
        </w:rPr>
        <w:t>产估价咨询报告</w:t>
      </w:r>
    </w:p>
    <w:p>
      <w:pPr>
        <w:spacing w:line="500" w:lineRule="exact"/>
        <w:ind w:firstLine="1044" w:firstLineChars="200"/>
        <w:jc w:val="center"/>
        <w:rPr>
          <w:rFonts w:ascii="楷体_GB2312" w:hAnsi="宋体" w:eastAsia="楷体_GB2312" w:cs="Times New Roman"/>
          <w:b/>
          <w:sz w:val="52"/>
          <w:szCs w:val="52"/>
        </w:rPr>
      </w:pPr>
    </w:p>
    <w:p>
      <w:pPr>
        <w:spacing w:line="500" w:lineRule="exact"/>
        <w:ind w:firstLine="1044" w:firstLineChars="200"/>
        <w:jc w:val="distribute"/>
        <w:rPr>
          <w:rFonts w:ascii="楷体_GB2312" w:hAnsi="宋体" w:eastAsia="楷体_GB2312" w:cs="Times New Roman"/>
          <w:b/>
          <w:sz w:val="52"/>
          <w:szCs w:val="52"/>
        </w:rPr>
      </w:pPr>
    </w:p>
    <w:p>
      <w:pPr>
        <w:spacing w:line="500" w:lineRule="exact"/>
        <w:ind w:firstLine="1044" w:firstLineChars="200"/>
        <w:jc w:val="distribute"/>
        <w:rPr>
          <w:rFonts w:ascii="楷体_GB2312" w:hAnsi="宋体" w:eastAsia="楷体_GB2312" w:cs="Times New Roman"/>
          <w:b/>
          <w:sz w:val="52"/>
          <w:szCs w:val="52"/>
        </w:rPr>
      </w:pPr>
    </w:p>
    <w:tbl>
      <w:tblPr>
        <w:tblStyle w:val="5"/>
        <w:tblpPr w:leftFromText="180" w:rightFromText="180" w:vertAnchor="text" w:horzAnchor="page" w:tblpX="1516" w:tblpY="216"/>
        <w:tblW w:w="8758" w:type="dxa"/>
        <w:tblInd w:w="0" w:type="dxa"/>
        <w:tblLayout w:type="fixed"/>
        <w:tblCellMar>
          <w:top w:w="0" w:type="dxa"/>
          <w:left w:w="108" w:type="dxa"/>
          <w:bottom w:w="0" w:type="dxa"/>
          <w:right w:w="108" w:type="dxa"/>
        </w:tblCellMar>
      </w:tblPr>
      <w:tblGrid>
        <w:gridCol w:w="2546"/>
        <w:gridCol w:w="346"/>
        <w:gridCol w:w="5866"/>
      </w:tblGrid>
      <w:tr>
        <w:tblPrEx>
          <w:tblCellMar>
            <w:top w:w="0" w:type="dxa"/>
            <w:left w:w="108" w:type="dxa"/>
            <w:bottom w:w="0" w:type="dxa"/>
            <w:right w:w="108" w:type="dxa"/>
          </w:tblCellMar>
        </w:tblPrEx>
        <w:trPr>
          <w:cantSplit/>
          <w:trHeight w:val="980" w:hRule="atLeast"/>
        </w:trPr>
        <w:tc>
          <w:tcPr>
            <w:tcW w:w="2546" w:type="dxa"/>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项目名称</w:t>
            </w:r>
          </w:p>
        </w:tc>
        <w:tc>
          <w:tcPr>
            <w:tcW w:w="346" w:type="dxa"/>
          </w:tcPr>
          <w:p>
            <w:pPr>
              <w:tabs>
                <w:tab w:val="left" w:pos="7781"/>
              </w:tabs>
              <w:ind w:left="-108" w:right="-108"/>
              <w:jc w:val="center"/>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1" w:rightChars="15"/>
              <w:jc w:val="both"/>
              <w:rPr>
                <w:rFonts w:ascii="黑体" w:hAnsi="黑体" w:eastAsia="黑体" w:cs="黑体"/>
                <w:b/>
                <w:sz w:val="32"/>
                <w:szCs w:val="32"/>
              </w:rPr>
            </w:pPr>
            <w:r>
              <w:rPr>
                <w:rFonts w:hint="eastAsia" w:ascii="黑体" w:hAnsi="黑体" w:eastAsia="黑体" w:cs="黑体"/>
                <w:b/>
                <w:bCs/>
                <w:sz w:val="32"/>
                <w:szCs w:val="32"/>
              </w:rPr>
              <w:t>关于</w:t>
            </w:r>
            <w:r>
              <w:rPr>
                <w:rFonts w:hint="eastAsia" w:ascii="黑体" w:hAnsi="黑体" w:eastAsia="黑体" w:cs="黑体"/>
                <w:b/>
                <w:bCs/>
                <w:sz w:val="32"/>
                <w:szCs w:val="32"/>
                <w:lang w:eastAsia="zh-CN"/>
              </w:rPr>
              <w:t>孝昌县人民法院委托的</w:t>
            </w:r>
            <w:r>
              <w:rPr>
                <w:rFonts w:hint="eastAsia" w:ascii="黑体" w:hAnsi="黑体" w:eastAsia="黑体" w:cs="黑体"/>
                <w:b/>
                <w:sz w:val="32"/>
                <w:szCs w:val="32"/>
                <w:lang w:eastAsia="zh-CN"/>
              </w:rPr>
              <w:t>肖运华</w:t>
            </w:r>
            <w:r>
              <w:rPr>
                <w:rFonts w:hint="eastAsia" w:ascii="黑体" w:hAnsi="黑体" w:eastAsia="黑体" w:cs="黑体"/>
                <w:b/>
                <w:sz w:val="32"/>
                <w:szCs w:val="32"/>
              </w:rPr>
              <w:t>所属</w:t>
            </w:r>
            <w:r>
              <w:rPr>
                <w:rFonts w:hint="eastAsia" w:ascii="黑体" w:hAnsi="黑体" w:eastAsia="黑体" w:cs="黑体"/>
                <w:b/>
                <w:sz w:val="32"/>
                <w:szCs w:val="32"/>
                <w:lang w:eastAsia="zh-CN"/>
              </w:rPr>
              <w:t>位于孝感市交通东路</w:t>
            </w:r>
            <w:r>
              <w:rPr>
                <w:rFonts w:hint="eastAsia" w:ascii="黑体" w:hAnsi="黑体" w:eastAsia="黑体" w:cs="黑体"/>
                <w:b/>
                <w:sz w:val="32"/>
                <w:szCs w:val="32"/>
                <w:lang w:val="en-US" w:eastAsia="zh-CN"/>
              </w:rPr>
              <w:t>1幢2层201室</w:t>
            </w:r>
            <w:r>
              <w:rPr>
                <w:rFonts w:hint="eastAsia" w:ascii="黑体" w:hAnsi="黑体" w:eastAsia="黑体" w:cs="黑体"/>
                <w:b/>
                <w:sz w:val="32"/>
                <w:szCs w:val="32"/>
              </w:rPr>
              <w:t>住宅房地产估价咨询报告</w:t>
            </w:r>
          </w:p>
        </w:tc>
      </w:tr>
      <w:tr>
        <w:tblPrEx>
          <w:tblCellMar>
            <w:top w:w="0" w:type="dxa"/>
            <w:left w:w="108" w:type="dxa"/>
            <w:bottom w:w="0" w:type="dxa"/>
            <w:right w:w="108" w:type="dxa"/>
          </w:tblCellMar>
        </w:tblPrEx>
        <w:trPr>
          <w:cantSplit/>
          <w:trHeight w:val="980" w:hRule="atLeast"/>
        </w:trPr>
        <w:tc>
          <w:tcPr>
            <w:tcW w:w="25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委托方</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4" w:rightChars="16"/>
              <w:jc w:val="left"/>
              <w:rPr>
                <w:rFonts w:ascii="黑体" w:hAnsi="黑体" w:eastAsia="黑体" w:cs="黑体"/>
                <w:b/>
                <w:color w:val="000000"/>
                <w:sz w:val="32"/>
                <w:szCs w:val="24"/>
              </w:rPr>
            </w:pPr>
            <w:r>
              <w:rPr>
                <w:rFonts w:hint="eastAsia" w:ascii="黑体" w:hAnsi="黑体" w:eastAsia="黑体" w:cs="黑体"/>
                <w:b/>
                <w:sz w:val="32"/>
                <w:szCs w:val="32"/>
                <w:lang w:eastAsia="zh-CN"/>
              </w:rPr>
              <w:t>孝昌县</w:t>
            </w:r>
            <w:r>
              <w:rPr>
                <w:rFonts w:hint="eastAsia" w:ascii="黑体" w:hAnsi="黑体" w:eastAsia="黑体" w:cs="黑体"/>
                <w:b/>
                <w:sz w:val="32"/>
                <w:szCs w:val="32"/>
              </w:rPr>
              <w:t>人民法院</w:t>
            </w:r>
          </w:p>
        </w:tc>
      </w:tr>
      <w:tr>
        <w:tblPrEx>
          <w:tblCellMar>
            <w:top w:w="0" w:type="dxa"/>
            <w:left w:w="108" w:type="dxa"/>
            <w:bottom w:w="0" w:type="dxa"/>
            <w:right w:w="108" w:type="dxa"/>
          </w:tblCellMar>
        </w:tblPrEx>
        <w:trPr>
          <w:cantSplit/>
          <w:trHeight w:val="980" w:hRule="atLeast"/>
        </w:trPr>
        <w:tc>
          <w:tcPr>
            <w:tcW w:w="25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估价机构</w:t>
            </w:r>
          </w:p>
        </w:tc>
        <w:tc>
          <w:tcPr>
            <w:tcW w:w="3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66" w:type="dxa"/>
            <w:vAlign w:val="center"/>
          </w:tcPr>
          <w:p>
            <w:pPr>
              <w:ind w:right="72"/>
              <w:rPr>
                <w:rFonts w:hint="eastAsia" w:ascii="黑体" w:hAnsi="黑体" w:eastAsia="黑体" w:cs="Times New Roman"/>
                <w:b/>
                <w:color w:val="000000"/>
                <w:sz w:val="32"/>
                <w:szCs w:val="24"/>
                <w:lang w:eastAsia="zh-CN"/>
              </w:rPr>
            </w:pPr>
            <w:r>
              <w:rPr>
                <w:rFonts w:hint="eastAsia" w:ascii="黑体" w:hAnsi="黑体" w:eastAsia="黑体" w:cs="Times New Roman"/>
                <w:b/>
                <w:color w:val="000000"/>
                <w:sz w:val="32"/>
                <w:szCs w:val="24"/>
                <w:lang w:eastAsia="zh-CN"/>
              </w:rPr>
              <w:t>湖北仲智衡房地资产价格评估有限公司</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hint="eastAsia" w:ascii="黑体" w:hAnsi="黑体" w:eastAsia="黑体" w:cs="Times New Roman"/>
                <w:b/>
                <w:color w:val="auto"/>
                <w:sz w:val="32"/>
                <w:szCs w:val="24"/>
                <w:lang w:eastAsia="zh-CN"/>
              </w:rPr>
            </w:pPr>
            <w:r>
              <w:rPr>
                <w:rFonts w:hint="eastAsia" w:ascii="黑体" w:hAnsi="黑体" w:eastAsia="黑体" w:cs="Times New Roman"/>
                <w:b/>
                <w:color w:val="auto"/>
                <w:spacing w:val="-11"/>
                <w:sz w:val="32"/>
                <w:szCs w:val="24"/>
                <w:lang w:eastAsia="zh-CN"/>
              </w:rPr>
              <w:t>估价专业人员</w:t>
            </w:r>
          </w:p>
        </w:tc>
        <w:tc>
          <w:tcPr>
            <w:tcW w:w="3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66" w:type="dxa"/>
            <w:vAlign w:val="center"/>
          </w:tcPr>
          <w:p>
            <w:pPr>
              <w:tabs>
                <w:tab w:val="left" w:pos="7781"/>
              </w:tabs>
              <w:ind w:left="-113" w:leftChars="-54" w:right="357"/>
              <w:rPr>
                <w:rFonts w:hint="eastAsia" w:ascii="黑体" w:hAnsi="黑体" w:eastAsia="黑体" w:cs="Times New Roman"/>
                <w:b/>
                <w:color w:val="auto"/>
                <w:sz w:val="32"/>
                <w:szCs w:val="24"/>
              </w:rPr>
            </w:pPr>
            <w:r>
              <w:rPr>
                <w:rFonts w:hint="eastAsia" w:ascii="黑体" w:hAnsi="黑体" w:eastAsia="黑体" w:cs="Times New Roman"/>
                <w:b/>
                <w:color w:val="auto"/>
                <w:sz w:val="32"/>
                <w:szCs w:val="24"/>
              </w:rPr>
              <w:t>王焰涛（登记</w:t>
            </w:r>
            <w:r>
              <w:rPr>
                <w:rFonts w:hint="eastAsia" w:ascii="黑体" w:hAnsi="黑体" w:eastAsia="黑体" w:cs="Times New Roman"/>
                <w:b/>
                <w:color w:val="auto"/>
                <w:sz w:val="32"/>
                <w:szCs w:val="24"/>
                <w:lang w:eastAsia="zh-CN"/>
              </w:rPr>
              <w:t>证</w:t>
            </w:r>
            <w:r>
              <w:rPr>
                <w:rFonts w:hint="eastAsia" w:ascii="黑体" w:hAnsi="黑体" w:eastAsia="黑体" w:cs="Times New Roman"/>
                <w:b/>
                <w:color w:val="auto"/>
                <w:sz w:val="32"/>
                <w:szCs w:val="24"/>
              </w:rPr>
              <w:t>号：0008236）</w:t>
            </w:r>
          </w:p>
          <w:p>
            <w:pPr>
              <w:tabs>
                <w:tab w:val="left" w:pos="7781"/>
              </w:tabs>
              <w:ind w:left="-113" w:leftChars="-54" w:right="357"/>
              <w:rPr>
                <w:rFonts w:hint="eastAsia" w:ascii="黑体" w:hAnsi="黑体" w:eastAsia="黑体" w:cs="Times New Roman"/>
                <w:b/>
                <w:color w:val="auto"/>
                <w:sz w:val="32"/>
                <w:szCs w:val="24"/>
              </w:rPr>
            </w:pPr>
            <w:r>
              <w:rPr>
                <w:rFonts w:hint="eastAsia" w:ascii="黑体" w:hAnsi="黑体" w:eastAsia="黑体" w:cs="Times New Roman"/>
                <w:b/>
                <w:color w:val="auto"/>
                <w:sz w:val="32"/>
                <w:szCs w:val="24"/>
              </w:rPr>
              <w:t>周建萍（登记</w:t>
            </w:r>
            <w:r>
              <w:rPr>
                <w:rFonts w:hint="eastAsia" w:ascii="黑体" w:hAnsi="黑体" w:eastAsia="黑体" w:cs="Times New Roman"/>
                <w:b/>
                <w:color w:val="auto"/>
                <w:sz w:val="32"/>
                <w:szCs w:val="24"/>
                <w:lang w:eastAsia="zh-CN"/>
              </w:rPr>
              <w:t>证</w:t>
            </w:r>
            <w:r>
              <w:rPr>
                <w:rFonts w:hint="eastAsia" w:ascii="黑体" w:hAnsi="黑体" w:eastAsia="黑体" w:cs="Times New Roman"/>
                <w:b/>
                <w:color w:val="auto"/>
                <w:sz w:val="32"/>
                <w:szCs w:val="24"/>
              </w:rPr>
              <w:t>号：00</w:t>
            </w:r>
            <w:r>
              <w:rPr>
                <w:rFonts w:hint="eastAsia" w:ascii="黑体" w:hAnsi="黑体" w:eastAsia="黑体" w:cs="Times New Roman"/>
                <w:b/>
                <w:color w:val="auto"/>
                <w:sz w:val="32"/>
                <w:szCs w:val="24"/>
                <w:lang w:val="en-US" w:eastAsia="zh-CN"/>
              </w:rPr>
              <w:t>11526</w:t>
            </w:r>
            <w:r>
              <w:rPr>
                <w:rFonts w:hint="eastAsia" w:ascii="黑体" w:hAnsi="黑体" w:eastAsia="黑体" w:cs="Times New Roman"/>
                <w:b/>
                <w:color w:val="auto"/>
                <w:sz w:val="32"/>
                <w:szCs w:val="24"/>
              </w:rPr>
              <w:t>）</w:t>
            </w:r>
          </w:p>
          <w:p>
            <w:pPr>
              <w:tabs>
                <w:tab w:val="left" w:pos="7781"/>
              </w:tabs>
              <w:ind w:left="-108" w:right="357"/>
              <w:rPr>
                <w:rFonts w:ascii="黑体" w:hAnsi="黑体" w:eastAsia="黑体" w:cs="Times New Roman"/>
                <w:b/>
                <w:color w:val="auto"/>
                <w:sz w:val="32"/>
                <w:szCs w:val="24"/>
              </w:rPr>
            </w:pPr>
            <w:r>
              <w:rPr>
                <w:rFonts w:hint="eastAsia" w:ascii="黑体" w:hAnsi="黑体" w:eastAsia="黑体" w:cs="Times New Roman"/>
                <w:b/>
                <w:color w:val="auto"/>
                <w:sz w:val="32"/>
                <w:szCs w:val="24"/>
              </w:rPr>
              <w:t>王  鑫（登记</w:t>
            </w:r>
            <w:r>
              <w:rPr>
                <w:rFonts w:hint="eastAsia" w:ascii="黑体" w:hAnsi="黑体" w:eastAsia="黑体" w:cs="Times New Roman"/>
                <w:b/>
                <w:color w:val="auto"/>
                <w:sz w:val="32"/>
                <w:szCs w:val="24"/>
                <w:lang w:eastAsia="zh-CN"/>
              </w:rPr>
              <w:t>证</w:t>
            </w:r>
            <w:r>
              <w:rPr>
                <w:rFonts w:hint="eastAsia" w:ascii="黑体" w:hAnsi="黑体" w:eastAsia="黑体" w:cs="Times New Roman"/>
                <w:b/>
                <w:color w:val="auto"/>
                <w:sz w:val="32"/>
                <w:szCs w:val="24"/>
              </w:rPr>
              <w:t>号：170006</w:t>
            </w:r>
            <w:r>
              <w:rPr>
                <w:rFonts w:hint="eastAsia" w:ascii="黑体" w:hAnsi="黑体" w:eastAsia="黑体" w:cs="Times New Roman"/>
                <w:b/>
                <w:color w:val="auto"/>
                <w:sz w:val="32"/>
                <w:szCs w:val="24"/>
                <w:lang w:val="en-US" w:eastAsia="zh-CN"/>
              </w:rPr>
              <w:t xml:space="preserve"> )</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估价作业期</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4" w:rightChars="16"/>
              <w:jc w:val="left"/>
              <w:rPr>
                <w:rFonts w:ascii="黑体" w:hAnsi="黑体" w:eastAsia="黑体" w:cs="黑体"/>
                <w:b/>
                <w:color w:val="000000"/>
                <w:sz w:val="32"/>
                <w:szCs w:val="24"/>
              </w:rPr>
            </w:pPr>
            <w:r>
              <w:rPr>
                <w:rFonts w:hint="eastAsia" w:ascii="黑体" w:hAnsi="黑体" w:eastAsia="黑体" w:cs="黑体"/>
                <w:b/>
                <w:spacing w:val="-20"/>
                <w:sz w:val="32"/>
                <w:szCs w:val="32"/>
              </w:rPr>
              <w:t>20</w:t>
            </w:r>
            <w:r>
              <w:rPr>
                <w:rFonts w:hint="eastAsia" w:ascii="黑体" w:hAnsi="黑体" w:eastAsia="黑体" w:cs="黑体"/>
                <w:b/>
                <w:spacing w:val="-20"/>
                <w:sz w:val="32"/>
                <w:szCs w:val="32"/>
                <w:lang w:val="en-US" w:eastAsia="zh-CN"/>
              </w:rPr>
              <w:t>20</w:t>
            </w:r>
            <w:r>
              <w:rPr>
                <w:rFonts w:hint="eastAsia" w:ascii="黑体" w:hAnsi="黑体" w:eastAsia="黑体" w:cs="黑体"/>
                <w:b/>
                <w:spacing w:val="-20"/>
                <w:sz w:val="32"/>
                <w:szCs w:val="32"/>
              </w:rPr>
              <w:t>年1</w:t>
            </w:r>
            <w:r>
              <w:rPr>
                <w:rFonts w:hint="eastAsia" w:ascii="黑体" w:hAnsi="黑体" w:eastAsia="黑体" w:cs="黑体"/>
                <w:b/>
                <w:spacing w:val="-20"/>
                <w:sz w:val="32"/>
                <w:szCs w:val="32"/>
                <w:lang w:val="en-US" w:eastAsia="zh-CN"/>
              </w:rPr>
              <w:t>0</w:t>
            </w:r>
            <w:r>
              <w:rPr>
                <w:rFonts w:hint="eastAsia" w:ascii="黑体" w:hAnsi="黑体" w:eastAsia="黑体" w:cs="黑体"/>
                <w:b/>
                <w:spacing w:val="-20"/>
                <w:sz w:val="32"/>
                <w:szCs w:val="32"/>
              </w:rPr>
              <w:t>月</w:t>
            </w:r>
            <w:r>
              <w:rPr>
                <w:rFonts w:hint="eastAsia" w:ascii="黑体" w:hAnsi="黑体" w:eastAsia="黑体" w:cs="黑体"/>
                <w:b/>
                <w:spacing w:val="-20"/>
                <w:sz w:val="32"/>
                <w:szCs w:val="32"/>
                <w:lang w:val="en-US" w:eastAsia="zh-CN"/>
              </w:rPr>
              <w:t>9</w:t>
            </w:r>
            <w:r>
              <w:rPr>
                <w:rFonts w:hint="eastAsia" w:ascii="黑体" w:hAnsi="黑体" w:eastAsia="黑体" w:cs="黑体"/>
                <w:b/>
                <w:spacing w:val="-20"/>
                <w:sz w:val="32"/>
                <w:szCs w:val="32"/>
              </w:rPr>
              <w:t>日-20</w:t>
            </w:r>
            <w:r>
              <w:rPr>
                <w:rFonts w:hint="eastAsia" w:ascii="黑体" w:hAnsi="黑体" w:eastAsia="黑体" w:cs="黑体"/>
                <w:b/>
                <w:spacing w:val="-20"/>
                <w:sz w:val="32"/>
                <w:szCs w:val="32"/>
                <w:lang w:val="en-US" w:eastAsia="zh-CN"/>
              </w:rPr>
              <w:t>20</w:t>
            </w:r>
            <w:r>
              <w:rPr>
                <w:rFonts w:hint="eastAsia" w:ascii="黑体" w:hAnsi="黑体" w:eastAsia="黑体" w:cs="黑体"/>
                <w:b/>
                <w:spacing w:val="-20"/>
                <w:sz w:val="32"/>
                <w:szCs w:val="32"/>
              </w:rPr>
              <w:t>年1</w:t>
            </w:r>
            <w:r>
              <w:rPr>
                <w:rFonts w:hint="eastAsia" w:ascii="黑体" w:hAnsi="黑体" w:eastAsia="黑体" w:cs="黑体"/>
                <w:b/>
                <w:spacing w:val="-20"/>
                <w:sz w:val="32"/>
                <w:szCs w:val="32"/>
                <w:lang w:val="en-US" w:eastAsia="zh-CN"/>
              </w:rPr>
              <w:t>0</w:t>
            </w:r>
            <w:r>
              <w:rPr>
                <w:rFonts w:hint="eastAsia" w:ascii="黑体" w:hAnsi="黑体" w:eastAsia="黑体" w:cs="黑体"/>
                <w:b/>
                <w:spacing w:val="-20"/>
                <w:sz w:val="32"/>
                <w:szCs w:val="32"/>
              </w:rPr>
              <w:t>月</w:t>
            </w:r>
            <w:r>
              <w:rPr>
                <w:rFonts w:hint="eastAsia" w:ascii="黑体" w:hAnsi="黑体" w:eastAsia="黑体" w:cs="黑体"/>
                <w:b/>
                <w:spacing w:val="-20"/>
                <w:sz w:val="32"/>
                <w:szCs w:val="32"/>
                <w:lang w:val="en-US" w:eastAsia="zh-CN"/>
              </w:rPr>
              <w:t>19</w:t>
            </w:r>
            <w:r>
              <w:rPr>
                <w:rFonts w:hint="eastAsia" w:ascii="黑体" w:hAnsi="黑体" w:eastAsia="黑体" w:cs="黑体"/>
                <w:b/>
                <w:spacing w:val="-20"/>
                <w:sz w:val="32"/>
                <w:szCs w:val="32"/>
              </w:rPr>
              <w:t>日</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估价报告编号</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tabs>
                <w:tab w:val="left" w:pos="5306"/>
                <w:tab w:val="left" w:pos="7781"/>
              </w:tabs>
              <w:rPr>
                <w:rFonts w:ascii="黑体" w:hAnsi="黑体" w:eastAsia="黑体" w:cs="黑体"/>
                <w:b/>
                <w:color w:val="000000"/>
                <w:sz w:val="32"/>
                <w:szCs w:val="24"/>
              </w:rPr>
            </w:pPr>
            <w:r>
              <w:rPr>
                <w:rFonts w:hint="eastAsia" w:ascii="黑体" w:hAnsi="黑体" w:eastAsia="黑体" w:cs="Times New Roman"/>
                <w:b/>
                <w:color w:val="000000"/>
                <w:sz w:val="32"/>
                <w:szCs w:val="24"/>
              </w:rPr>
              <w:t>鄂（孝）仲价评字〔20</w:t>
            </w:r>
            <w:r>
              <w:rPr>
                <w:rFonts w:hint="eastAsia" w:ascii="黑体" w:hAnsi="黑体" w:eastAsia="黑体" w:cs="Times New Roman"/>
                <w:b/>
                <w:color w:val="000000"/>
                <w:sz w:val="32"/>
                <w:szCs w:val="24"/>
                <w:lang w:val="en-US" w:eastAsia="zh-CN"/>
              </w:rPr>
              <w:t>20</w:t>
            </w:r>
            <w:r>
              <w:rPr>
                <w:rFonts w:hint="eastAsia" w:ascii="黑体" w:hAnsi="黑体" w:eastAsia="黑体" w:cs="Times New Roman"/>
                <w:b/>
                <w:color w:val="000000"/>
                <w:sz w:val="32"/>
                <w:szCs w:val="24"/>
              </w:rPr>
              <w:t>〕</w:t>
            </w:r>
            <w:r>
              <w:rPr>
                <w:rFonts w:hint="eastAsia" w:ascii="黑体" w:hAnsi="黑体" w:eastAsia="黑体" w:cs="Times New Roman"/>
                <w:b/>
                <w:color w:val="auto"/>
                <w:sz w:val="32"/>
                <w:szCs w:val="24"/>
                <w:lang w:val="en-US" w:eastAsia="zh-CN"/>
              </w:rPr>
              <w:t>37</w:t>
            </w:r>
            <w:r>
              <w:rPr>
                <w:rFonts w:hint="eastAsia" w:ascii="黑体" w:hAnsi="黑体" w:eastAsia="黑体" w:cs="Times New Roman"/>
                <w:b/>
                <w:color w:val="auto"/>
                <w:sz w:val="32"/>
                <w:szCs w:val="24"/>
              </w:rPr>
              <w:t>号</w:t>
            </w:r>
          </w:p>
        </w:tc>
      </w:tr>
    </w:tbl>
    <w:p>
      <w:pPr>
        <w:spacing w:line="500" w:lineRule="exact"/>
        <w:ind w:left="-2" w:leftChars="-1" w:right="34" w:rightChars="16" w:firstLine="643" w:firstLineChars="200"/>
        <w:jc w:val="left"/>
        <w:rPr>
          <w:rFonts w:ascii="楷体_GB2312" w:hAnsi="宋体" w:eastAsia="楷体_GB2312" w:cs="Times New Roman"/>
          <w:b/>
          <w:sz w:val="32"/>
          <w:szCs w:val="32"/>
        </w:rPr>
        <w:sectPr>
          <w:headerReference r:id="rId3" w:type="default"/>
          <w:pgSz w:w="11907" w:h="16834"/>
          <w:pgMar w:top="1440" w:right="1797" w:bottom="1440" w:left="1440" w:header="851" w:footer="992" w:gutter="0"/>
          <w:pgNumType w:start="1"/>
          <w:cols w:space="720" w:num="1"/>
          <w:docGrid w:type="lines" w:linePitch="312" w:charSpace="0"/>
        </w:sectPr>
      </w:pP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致委托</w:t>
      </w:r>
      <w:r>
        <w:rPr>
          <w:rFonts w:hint="eastAsia" w:ascii="黑体" w:hAnsi="黑体" w:eastAsia="黑体" w:cs="黑体"/>
          <w:b/>
          <w:bCs/>
          <w:sz w:val="44"/>
          <w:szCs w:val="44"/>
          <w:lang w:eastAsia="zh-CN"/>
        </w:rPr>
        <w:t>方</w:t>
      </w:r>
      <w:r>
        <w:rPr>
          <w:rFonts w:hint="eastAsia" w:ascii="黑体" w:hAnsi="黑体" w:eastAsia="黑体" w:cs="黑体"/>
          <w:b/>
          <w:bCs/>
          <w:sz w:val="44"/>
          <w:szCs w:val="44"/>
        </w:rPr>
        <w:t>函</w:t>
      </w:r>
    </w:p>
    <w:p>
      <w:pPr>
        <w:spacing w:line="660" w:lineRule="exact"/>
        <w:rPr>
          <w:rFonts w:ascii="宋体" w:hAnsi="宋体" w:eastAsia="宋体" w:cs="宋体"/>
          <w:bCs/>
          <w:sz w:val="28"/>
          <w:szCs w:val="28"/>
        </w:rPr>
      </w:pPr>
      <w:bookmarkStart w:id="0" w:name="_Toc463791709"/>
      <w:r>
        <w:rPr>
          <w:rFonts w:hint="eastAsia" w:ascii="宋体" w:hAnsi="宋体" w:eastAsia="宋体" w:cs="宋体"/>
          <w:sz w:val="28"/>
          <w:szCs w:val="28"/>
          <w:lang w:eastAsia="zh-CN"/>
        </w:rPr>
        <w:t>孝昌县人民法院</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我公司于20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日接受贵</w:t>
      </w:r>
      <w:r>
        <w:rPr>
          <w:rFonts w:hint="eastAsia" w:ascii="宋体" w:hAnsi="宋体" w:eastAsia="宋体" w:cs="宋体"/>
          <w:sz w:val="28"/>
          <w:szCs w:val="28"/>
          <w:lang w:eastAsia="zh-CN"/>
        </w:rPr>
        <w:t>院</w:t>
      </w:r>
      <w:r>
        <w:rPr>
          <w:rFonts w:hint="eastAsia" w:ascii="宋体" w:hAnsi="宋体" w:eastAsia="宋体" w:cs="宋体"/>
          <w:sz w:val="28"/>
          <w:szCs w:val="28"/>
        </w:rPr>
        <w:t>委托，对</w:t>
      </w:r>
      <w:r>
        <w:rPr>
          <w:rFonts w:hint="eastAsia" w:ascii="宋体" w:hAnsi="宋体" w:eastAsia="宋体" w:cs="宋体"/>
          <w:sz w:val="28"/>
          <w:szCs w:val="28"/>
          <w:lang w:eastAsia="zh-CN"/>
        </w:rPr>
        <w:t>委托的肖运华所属的</w:t>
      </w:r>
      <w:r>
        <w:rPr>
          <w:rFonts w:hint="eastAsia" w:ascii="宋体" w:hAnsi="宋体" w:eastAsia="宋体" w:cs="宋体"/>
          <w:sz w:val="28"/>
          <w:szCs w:val="28"/>
        </w:rPr>
        <w:t>位于</w:t>
      </w:r>
      <w:r>
        <w:rPr>
          <w:rFonts w:hint="eastAsia" w:ascii="宋体" w:hAnsi="宋体" w:eastAsia="宋体" w:cs="宋体"/>
          <w:bCs/>
          <w:sz w:val="28"/>
          <w:szCs w:val="28"/>
          <w:lang w:eastAsia="zh-CN"/>
        </w:rPr>
        <w:t>孝感市交通东路</w:t>
      </w:r>
      <w:r>
        <w:rPr>
          <w:rFonts w:hint="eastAsia" w:ascii="宋体" w:hAnsi="宋体" w:eastAsia="宋体" w:cs="宋体"/>
          <w:bCs/>
          <w:sz w:val="28"/>
          <w:szCs w:val="28"/>
          <w:lang w:val="en-US" w:eastAsia="zh-CN"/>
        </w:rPr>
        <w:t>1幢2层201室</w:t>
      </w:r>
      <w:r>
        <w:rPr>
          <w:rFonts w:hint="eastAsia" w:ascii="宋体" w:hAnsi="宋体" w:eastAsia="宋体" w:cs="宋体"/>
          <w:sz w:val="28"/>
          <w:szCs w:val="28"/>
        </w:rPr>
        <w:t>住宅房地产进行了估价测算。</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我公司估价人员在现场查勘的基础上，根据</w:t>
      </w:r>
      <w:r>
        <w:rPr>
          <w:rFonts w:hint="eastAsia" w:ascii="宋体" w:hAnsi="宋体" w:eastAsia="宋体" w:cs="宋体"/>
          <w:color w:val="auto"/>
          <w:sz w:val="28"/>
          <w:szCs w:val="28"/>
          <w:lang w:eastAsia="zh-CN"/>
        </w:rPr>
        <w:t>《价格鉴证评估执业规范》</w:t>
      </w:r>
      <w:r>
        <w:rPr>
          <w:rFonts w:hint="eastAsia" w:ascii="宋体" w:hAnsi="宋体" w:eastAsia="宋体" w:cs="宋体"/>
          <w:sz w:val="28"/>
          <w:szCs w:val="28"/>
        </w:rPr>
        <w:t>《房地产估价规范》</w:t>
      </w:r>
      <w:r>
        <w:rPr>
          <w:rFonts w:hint="eastAsia" w:ascii="宋体" w:hAnsi="宋体" w:eastAsia="宋体" w:cs="宋体"/>
          <w:sz w:val="28"/>
          <w:szCs w:val="28"/>
          <w:lang w:eastAsia="zh-CN"/>
        </w:rPr>
        <w:t>等</w:t>
      </w:r>
      <w:r>
        <w:rPr>
          <w:rFonts w:hint="eastAsia" w:ascii="宋体" w:hAnsi="宋体" w:eastAsia="宋体" w:cs="宋体"/>
          <w:sz w:val="28"/>
          <w:szCs w:val="28"/>
        </w:rPr>
        <w:t>有关政策法规和我公司掌握的房地产市场资料及长期积累的估价经验，结合贵方提供的资料和本次的估价目的，遵循独立、客观、公正的原则，按照估价程序，选取科学的估价方法，综合分析影响房地产价格的各项因素，经认真分析</w:t>
      </w:r>
      <w:r>
        <w:rPr>
          <w:rFonts w:hint="eastAsia" w:ascii="宋体" w:hAnsi="宋体" w:eastAsia="宋体" w:cs="宋体"/>
          <w:sz w:val="28"/>
          <w:szCs w:val="28"/>
          <w:lang w:eastAsia="zh-CN"/>
        </w:rPr>
        <w:t>测算</w:t>
      </w:r>
      <w:r>
        <w:rPr>
          <w:rFonts w:hint="eastAsia" w:ascii="宋体" w:hAnsi="宋体" w:eastAsia="宋体" w:cs="宋体"/>
          <w:sz w:val="28"/>
          <w:szCs w:val="28"/>
        </w:rPr>
        <w:t>，确定估价对象在价值时点20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日完整权利状态及满足各项假设限制条件下的未设立法定优先受偿权利的房地产市场价值为</w:t>
      </w:r>
      <w:r>
        <w:rPr>
          <w:rFonts w:hint="eastAsia" w:ascii="宋体" w:hAnsi="宋体" w:eastAsia="宋体" w:cs="宋体"/>
          <w:sz w:val="28"/>
          <w:szCs w:val="28"/>
          <w:lang w:eastAsia="zh-CN"/>
        </w:rPr>
        <w:t>人民币叁拾玖万伍仟柒佰贰拾陆元整（¥</w:t>
      </w:r>
      <w:r>
        <w:rPr>
          <w:rFonts w:hint="eastAsia" w:ascii="宋体" w:hAnsi="宋体" w:eastAsia="宋体" w:cs="宋体"/>
          <w:sz w:val="28"/>
          <w:szCs w:val="28"/>
          <w:lang w:val="en-US" w:eastAsia="zh-CN"/>
        </w:rPr>
        <w:t>395726</w:t>
      </w:r>
      <w:r>
        <w:rPr>
          <w:rFonts w:hint="eastAsia" w:ascii="宋体" w:hAnsi="宋体" w:eastAsia="宋体" w:cs="宋体"/>
          <w:sz w:val="28"/>
          <w:szCs w:val="28"/>
          <w:lang w:eastAsia="zh-CN"/>
        </w:rPr>
        <w:t>.00）</w:t>
      </w:r>
      <w:r>
        <w:rPr>
          <w:rFonts w:hint="eastAsia" w:ascii="宋体" w:hAnsi="宋体" w:eastAsia="宋体" w:cs="宋体"/>
          <w:sz w:val="28"/>
          <w:szCs w:val="28"/>
        </w:rPr>
        <w:t>，具体情况见估价结果一览表。</w:t>
      </w:r>
    </w:p>
    <w:p>
      <w:pPr>
        <w:spacing w:line="660" w:lineRule="exact"/>
        <w:ind w:firstLine="560" w:firstLineChars="200"/>
        <w:jc w:val="center"/>
        <w:rPr>
          <w:rFonts w:ascii="宋体" w:hAnsi="宋体" w:eastAsia="宋体" w:cs="宋体"/>
          <w:bCs/>
          <w:sz w:val="28"/>
          <w:szCs w:val="28"/>
        </w:rPr>
      </w:pPr>
      <w:r>
        <w:rPr>
          <w:rFonts w:hint="eastAsia" w:ascii="宋体" w:hAnsi="宋体" w:eastAsia="宋体" w:cs="宋体"/>
          <w:bCs/>
          <w:sz w:val="28"/>
          <w:szCs w:val="28"/>
        </w:rPr>
        <w:t>估价结果一览表</w:t>
      </w:r>
    </w:p>
    <w:tbl>
      <w:tblPr>
        <w:tblStyle w:val="5"/>
        <w:tblW w:w="8992"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35"/>
        <w:gridCol w:w="1139"/>
        <w:gridCol w:w="1133"/>
        <w:gridCol w:w="142"/>
        <w:gridCol w:w="1133"/>
        <w:gridCol w:w="522"/>
        <w:gridCol w:w="612"/>
        <w:gridCol w:w="1184"/>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估价项目名称</w:t>
            </w:r>
          </w:p>
        </w:tc>
        <w:tc>
          <w:tcPr>
            <w:tcW w:w="7312" w:type="dxa"/>
            <w:gridSpan w:val="8"/>
            <w:vAlign w:val="center"/>
          </w:tcPr>
          <w:p>
            <w:pPr>
              <w:tabs>
                <w:tab w:val="left" w:pos="5306"/>
                <w:tab w:val="left" w:pos="7781"/>
              </w:tabs>
              <w:spacing w:line="300" w:lineRule="exact"/>
              <w:jc w:val="center"/>
              <w:rPr>
                <w:rFonts w:ascii="宋体" w:hAnsi="宋体" w:eastAsia="宋体" w:cs="宋体"/>
                <w:bCs/>
                <w:szCs w:val="21"/>
              </w:rPr>
            </w:pPr>
            <w:r>
              <w:rPr>
                <w:rFonts w:hint="eastAsia" w:ascii="宋体" w:hAnsi="宋体" w:eastAsia="宋体" w:cs="宋体"/>
                <w:bCs/>
                <w:szCs w:val="21"/>
                <w:lang w:eastAsia="zh-CN"/>
              </w:rPr>
              <w:t>孝昌县人民法院</w:t>
            </w:r>
            <w:r>
              <w:rPr>
                <w:rFonts w:hint="eastAsia" w:ascii="宋体" w:hAnsi="宋体" w:eastAsia="宋体" w:cs="宋体"/>
                <w:bCs/>
                <w:szCs w:val="21"/>
              </w:rPr>
              <w:t>委托的</w:t>
            </w:r>
            <w:r>
              <w:rPr>
                <w:rFonts w:hint="eastAsia" w:ascii="宋体" w:hAnsi="宋体" w:eastAsia="宋体" w:cs="宋体"/>
                <w:bCs/>
                <w:szCs w:val="21"/>
                <w:lang w:eastAsia="zh-CN"/>
              </w:rPr>
              <w:t>肖运华</w:t>
            </w:r>
            <w:r>
              <w:rPr>
                <w:rFonts w:hint="eastAsia" w:ascii="宋体" w:hAnsi="宋体" w:eastAsia="宋体" w:cs="宋体"/>
                <w:bCs/>
                <w:szCs w:val="21"/>
              </w:rPr>
              <w:t>所属</w:t>
            </w:r>
            <w:r>
              <w:rPr>
                <w:rFonts w:hint="eastAsia" w:ascii="宋体" w:hAnsi="宋体" w:eastAsia="宋体" w:cs="宋体"/>
                <w:bCs/>
                <w:szCs w:val="21"/>
                <w:lang w:eastAsia="zh-CN"/>
              </w:rPr>
              <w:t>位于孝感市交通东路1幢2层201室</w:t>
            </w:r>
            <w:r>
              <w:rPr>
                <w:rFonts w:hint="eastAsia" w:ascii="宋体" w:hAnsi="宋体" w:eastAsia="宋体" w:cs="宋体"/>
                <w:bCs/>
                <w:szCs w:val="21"/>
              </w:rPr>
              <w:t>住宅房地产估价咨询报告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产权人</w:t>
            </w:r>
          </w:p>
        </w:tc>
        <w:tc>
          <w:tcPr>
            <w:tcW w:w="2272" w:type="dxa"/>
            <w:gridSpan w:val="2"/>
            <w:vAlign w:val="center"/>
          </w:tcPr>
          <w:p>
            <w:pPr>
              <w:snapToGrid w:val="0"/>
              <w:spacing w:before="50" w:line="300" w:lineRule="exact"/>
              <w:ind w:firstLine="105" w:firstLineChars="50"/>
              <w:jc w:val="center"/>
              <w:rPr>
                <w:rFonts w:hint="eastAsia" w:ascii="宋体" w:hAnsi="宋体" w:eastAsia="宋体" w:cs="宋体"/>
                <w:bCs/>
                <w:szCs w:val="21"/>
                <w:lang w:eastAsia="zh-CN"/>
              </w:rPr>
            </w:pPr>
            <w:r>
              <w:rPr>
                <w:rFonts w:hint="eastAsia" w:ascii="宋体" w:hAnsi="宋体" w:eastAsia="宋体" w:cs="宋体"/>
                <w:bCs/>
                <w:szCs w:val="21"/>
                <w:lang w:eastAsia="zh-CN"/>
              </w:rPr>
              <w:t>肖运华</w:t>
            </w:r>
          </w:p>
        </w:tc>
        <w:tc>
          <w:tcPr>
            <w:tcW w:w="1797" w:type="dxa"/>
            <w:gridSpan w:val="3"/>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估价委托人</w:t>
            </w:r>
          </w:p>
        </w:tc>
        <w:tc>
          <w:tcPr>
            <w:tcW w:w="3243" w:type="dxa"/>
            <w:gridSpan w:val="3"/>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孝昌县人民法院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估价目的</w:t>
            </w:r>
          </w:p>
        </w:tc>
        <w:tc>
          <w:tcPr>
            <w:tcW w:w="7312" w:type="dxa"/>
            <w:gridSpan w:val="8"/>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评估估价对象房地产的市场价值，为委托方办理</w:t>
            </w:r>
            <w:r>
              <w:rPr>
                <w:rFonts w:hint="eastAsia" w:ascii="宋体" w:hAnsi="宋体" w:eastAsia="宋体" w:cs="宋体"/>
                <w:bCs/>
                <w:color w:val="auto"/>
                <w:szCs w:val="21"/>
                <w:lang w:eastAsia="zh-CN"/>
              </w:rPr>
              <w:t>案件</w:t>
            </w:r>
            <w:r>
              <w:rPr>
                <w:rFonts w:hint="eastAsia" w:ascii="宋体" w:hAnsi="宋体" w:eastAsia="宋体" w:cs="宋体"/>
                <w:bCs/>
                <w:szCs w:val="21"/>
              </w:rPr>
              <w:t>提供价值参考。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估价对象范围</w:t>
            </w:r>
          </w:p>
        </w:tc>
        <w:tc>
          <w:tcPr>
            <w:tcW w:w="7312" w:type="dxa"/>
            <w:gridSpan w:val="8"/>
            <w:vAlign w:val="center"/>
          </w:tcPr>
          <w:p>
            <w:pPr>
              <w:snapToGrid w:val="0"/>
              <w:spacing w:before="50" w:line="300" w:lineRule="exact"/>
              <w:ind w:firstLine="420" w:firstLineChars="200"/>
              <w:rPr>
                <w:rFonts w:hint="eastAsia" w:ascii="宋体" w:hAnsi="宋体" w:eastAsia="仿宋" w:cs="宋体"/>
                <w:bCs/>
                <w:szCs w:val="21"/>
                <w:lang w:eastAsia="zh-CN"/>
              </w:rPr>
            </w:pPr>
            <w:r>
              <w:rPr>
                <w:rFonts w:hint="eastAsia" w:ascii="宋体" w:hAnsi="宋体" w:eastAsia="宋体" w:cs="宋体"/>
                <w:bCs/>
                <w:szCs w:val="21"/>
              </w:rPr>
              <w:t>本次估价对象位于</w:t>
            </w:r>
            <w:r>
              <w:rPr>
                <w:rFonts w:hint="eastAsia" w:ascii="宋体" w:hAnsi="宋体" w:eastAsia="宋体" w:cs="宋体"/>
                <w:bCs/>
                <w:szCs w:val="21"/>
                <w:lang w:eastAsia="zh-CN"/>
              </w:rPr>
              <w:t>孝感市交通东路1幢2层201室</w:t>
            </w:r>
            <w:r>
              <w:rPr>
                <w:rFonts w:hint="eastAsia" w:ascii="宋体" w:hAnsi="宋体" w:eastAsia="宋体" w:cs="宋体"/>
                <w:bCs/>
                <w:szCs w:val="21"/>
              </w:rPr>
              <w:t>，建筑面积为</w:t>
            </w:r>
            <w:r>
              <w:rPr>
                <w:rFonts w:hint="eastAsia" w:ascii="宋体" w:hAnsi="宋体" w:eastAsia="宋体" w:cs="宋体"/>
                <w:bCs/>
                <w:szCs w:val="21"/>
                <w:lang w:eastAsia="zh-CN"/>
              </w:rPr>
              <w:t>116.39</w:t>
            </w:r>
            <w:r>
              <w:rPr>
                <w:rFonts w:hint="eastAsia" w:ascii="宋体" w:hAnsi="宋体" w:eastAsia="宋体" w:cs="宋体"/>
                <w:bCs/>
                <w:szCs w:val="21"/>
              </w:rPr>
              <w:t>㎡，土地使用权面积</w:t>
            </w:r>
            <w:r>
              <w:rPr>
                <w:rFonts w:hint="eastAsia" w:ascii="宋体" w:hAnsi="宋体" w:eastAsia="宋体" w:cs="宋体"/>
                <w:bCs/>
                <w:szCs w:val="21"/>
                <w:lang w:val="en-US" w:eastAsia="zh-CN"/>
              </w:rPr>
              <w:t>17.13㎡</w:t>
            </w:r>
            <w:r>
              <w:rPr>
                <w:rFonts w:hint="eastAsia" w:ascii="仿宋" w:hAnsi="仿宋" w:eastAsia="仿宋" w:cs="仿宋"/>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房屋所有权证</w:t>
            </w:r>
          </w:p>
        </w:tc>
        <w:tc>
          <w:tcPr>
            <w:tcW w:w="2272" w:type="dxa"/>
            <w:gridSpan w:val="2"/>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eastAsia="zh-CN"/>
              </w:rPr>
              <w:t>孝感市房权证字第</w:t>
            </w:r>
            <w:r>
              <w:rPr>
                <w:rFonts w:hint="eastAsia" w:ascii="宋体" w:hAnsi="宋体" w:eastAsia="宋体" w:cs="宋体"/>
                <w:bCs/>
                <w:szCs w:val="21"/>
                <w:lang w:val="en-US" w:eastAsia="zh-CN"/>
              </w:rPr>
              <w:t>00142556号</w:t>
            </w:r>
          </w:p>
        </w:tc>
        <w:tc>
          <w:tcPr>
            <w:tcW w:w="1797" w:type="dxa"/>
            <w:gridSpan w:val="3"/>
            <w:vAlign w:val="center"/>
          </w:tcPr>
          <w:p>
            <w:pPr>
              <w:snapToGrid w:val="0"/>
              <w:spacing w:before="50" w:line="300" w:lineRule="exact"/>
              <w:jc w:val="center"/>
              <w:rPr>
                <w:rFonts w:ascii="宋体" w:hAnsi="宋体" w:eastAsia="宋体" w:cs="宋体"/>
                <w:b/>
                <w:bCs/>
                <w:szCs w:val="21"/>
              </w:rPr>
            </w:pPr>
            <w:r>
              <w:rPr>
                <w:rFonts w:hint="eastAsia" w:ascii="宋体" w:hAnsi="宋体" w:eastAsia="宋体" w:cs="宋体"/>
                <w:szCs w:val="21"/>
              </w:rPr>
              <w:t>土地证号</w:t>
            </w:r>
          </w:p>
        </w:tc>
        <w:tc>
          <w:tcPr>
            <w:tcW w:w="3243" w:type="dxa"/>
            <w:gridSpan w:val="3"/>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eastAsia="zh-CN"/>
              </w:rPr>
              <w:t>孝开国用（</w:t>
            </w:r>
            <w:r>
              <w:rPr>
                <w:rFonts w:hint="eastAsia" w:ascii="宋体" w:hAnsi="宋体" w:eastAsia="宋体" w:cs="宋体"/>
                <w:bCs/>
                <w:szCs w:val="21"/>
                <w:lang w:val="en-US" w:eastAsia="zh-CN"/>
              </w:rPr>
              <w:t>2013</w:t>
            </w:r>
            <w:r>
              <w:rPr>
                <w:rFonts w:hint="eastAsia" w:ascii="宋体" w:hAnsi="宋体" w:eastAsia="宋体" w:cs="宋体"/>
                <w:bCs/>
                <w:szCs w:val="21"/>
                <w:lang w:eastAsia="zh-CN"/>
              </w:rPr>
              <w:t>）第</w:t>
            </w:r>
            <w:r>
              <w:rPr>
                <w:rFonts w:hint="eastAsia" w:ascii="宋体" w:hAnsi="宋体" w:eastAsia="宋体" w:cs="宋体"/>
                <w:bCs/>
                <w:szCs w:val="21"/>
                <w:lang w:val="en-US" w:eastAsia="zh-CN"/>
              </w:rPr>
              <w:t>5-0505号补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房屋建筑面积</w:t>
            </w:r>
          </w:p>
        </w:tc>
        <w:tc>
          <w:tcPr>
            <w:tcW w:w="227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lang w:eastAsia="zh-CN"/>
              </w:rPr>
              <w:t>116.39</w:t>
            </w:r>
            <w:r>
              <w:rPr>
                <w:rFonts w:hint="eastAsia" w:ascii="宋体" w:hAnsi="宋体" w:eastAsia="宋体" w:cs="宋体"/>
                <w:bCs/>
                <w:szCs w:val="21"/>
              </w:rPr>
              <w:t>㎡</w:t>
            </w:r>
          </w:p>
        </w:tc>
        <w:tc>
          <w:tcPr>
            <w:tcW w:w="1797" w:type="dxa"/>
            <w:gridSpan w:val="3"/>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土地</w:t>
            </w:r>
            <w:r>
              <w:rPr>
                <w:rFonts w:hint="eastAsia" w:ascii="宋体" w:hAnsi="宋体" w:eastAsia="宋体" w:cs="宋体"/>
                <w:bCs/>
                <w:color w:val="auto"/>
                <w:szCs w:val="21"/>
                <w:lang w:eastAsia="zh-CN"/>
              </w:rPr>
              <w:t>分摊</w:t>
            </w:r>
            <w:r>
              <w:rPr>
                <w:rFonts w:hint="eastAsia" w:ascii="宋体" w:hAnsi="宋体" w:eastAsia="宋体" w:cs="宋体"/>
                <w:bCs/>
                <w:szCs w:val="21"/>
              </w:rPr>
              <w:t>面积</w:t>
            </w:r>
          </w:p>
        </w:tc>
        <w:tc>
          <w:tcPr>
            <w:tcW w:w="3243" w:type="dxa"/>
            <w:gridSpan w:val="3"/>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仿宋" w:hAnsi="仿宋" w:eastAsia="仿宋" w:cs="仿宋"/>
                <w:bCs/>
                <w:sz w:val="24"/>
                <w:szCs w:val="24"/>
                <w:lang w:val="en-US" w:eastAsia="zh-CN"/>
              </w:rPr>
              <w:t>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房屋设定用途</w:t>
            </w:r>
          </w:p>
        </w:tc>
        <w:tc>
          <w:tcPr>
            <w:tcW w:w="227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住宅</w:t>
            </w:r>
          </w:p>
        </w:tc>
        <w:tc>
          <w:tcPr>
            <w:tcW w:w="1797" w:type="dxa"/>
            <w:gridSpan w:val="3"/>
            <w:vAlign w:val="center"/>
          </w:tcPr>
          <w:p>
            <w:pPr>
              <w:snapToGrid w:val="0"/>
              <w:spacing w:before="50" w:line="300" w:lineRule="exact"/>
              <w:jc w:val="both"/>
              <w:rPr>
                <w:rFonts w:hint="eastAsia" w:ascii="宋体" w:hAnsi="宋体" w:eastAsia="宋体" w:cs="宋体"/>
                <w:bCs/>
                <w:szCs w:val="21"/>
                <w:lang w:eastAsia="zh-CN"/>
              </w:rPr>
            </w:pPr>
            <w:r>
              <w:rPr>
                <w:rFonts w:hint="eastAsia" w:ascii="宋体" w:hAnsi="宋体" w:eastAsia="宋体" w:cs="宋体"/>
                <w:bCs/>
                <w:szCs w:val="21"/>
              </w:rPr>
              <w:t>土地</w:t>
            </w:r>
            <w:r>
              <w:rPr>
                <w:rFonts w:hint="eastAsia" w:ascii="宋体" w:hAnsi="宋体" w:eastAsia="宋体" w:cs="宋体"/>
                <w:bCs/>
                <w:szCs w:val="21"/>
                <w:lang w:eastAsia="zh-CN"/>
              </w:rPr>
              <w:t>使用权类型</w:t>
            </w:r>
          </w:p>
        </w:tc>
        <w:tc>
          <w:tcPr>
            <w:tcW w:w="3243" w:type="dxa"/>
            <w:gridSpan w:val="3"/>
            <w:vAlign w:val="center"/>
          </w:tcPr>
          <w:p>
            <w:pPr>
              <w:snapToGrid w:val="0"/>
              <w:spacing w:before="50" w:line="300" w:lineRule="exact"/>
              <w:jc w:val="center"/>
              <w:rPr>
                <w:rFonts w:hint="eastAsia" w:ascii="宋体" w:hAnsi="宋体" w:eastAsia="宋体" w:cs="宋体"/>
                <w:bCs/>
                <w:szCs w:val="21"/>
                <w:lang w:eastAsia="zh-CN"/>
              </w:rPr>
            </w:pPr>
            <w:r>
              <w:rPr>
                <w:rFonts w:hint="eastAsia" w:ascii="仿宋" w:hAnsi="仿宋" w:eastAsia="仿宋" w:cs="仿宋"/>
                <w:sz w:val="24"/>
                <w:szCs w:val="24"/>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价值时点</w:t>
            </w:r>
          </w:p>
        </w:tc>
        <w:tc>
          <w:tcPr>
            <w:tcW w:w="7312" w:type="dxa"/>
            <w:gridSpan w:val="8"/>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20</w:t>
            </w:r>
            <w:r>
              <w:rPr>
                <w:rFonts w:hint="eastAsia" w:ascii="宋体" w:hAnsi="宋体" w:eastAsia="宋体" w:cs="宋体"/>
                <w:bCs/>
                <w:szCs w:val="21"/>
                <w:lang w:val="en-US" w:eastAsia="zh-CN"/>
              </w:rPr>
              <w:t>20</w:t>
            </w:r>
            <w:r>
              <w:rPr>
                <w:rFonts w:hint="eastAsia" w:ascii="宋体" w:hAnsi="宋体" w:eastAsia="宋体" w:cs="宋体"/>
                <w:bCs/>
                <w:szCs w:val="21"/>
              </w:rPr>
              <w:t>年1</w:t>
            </w:r>
            <w:r>
              <w:rPr>
                <w:rFonts w:hint="eastAsia" w:ascii="宋体" w:hAnsi="宋体" w:eastAsia="宋体" w:cs="宋体"/>
                <w:bCs/>
                <w:szCs w:val="21"/>
                <w:lang w:val="en-US" w:eastAsia="zh-CN"/>
              </w:rPr>
              <w:t>0</w:t>
            </w:r>
            <w:r>
              <w:rPr>
                <w:rFonts w:hint="eastAsia" w:ascii="宋体" w:hAnsi="宋体" w:eastAsia="宋体" w:cs="宋体"/>
                <w:bCs/>
                <w:szCs w:val="21"/>
              </w:rPr>
              <w:t>月</w:t>
            </w:r>
            <w:r>
              <w:rPr>
                <w:rFonts w:hint="eastAsia" w:ascii="宋体" w:hAnsi="宋体" w:eastAsia="宋体" w:cs="宋体"/>
                <w:bCs/>
                <w:szCs w:val="21"/>
                <w:lang w:val="en-US" w:eastAsia="zh-CN"/>
              </w:rPr>
              <w:t>9</w:t>
            </w:r>
            <w:r>
              <w:rPr>
                <w:rFonts w:hint="eastAsia" w:ascii="宋体" w:hAnsi="宋体" w:eastAsia="宋体" w:cs="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价值类型</w:t>
            </w:r>
          </w:p>
        </w:tc>
        <w:tc>
          <w:tcPr>
            <w:tcW w:w="7312" w:type="dxa"/>
            <w:gridSpan w:val="8"/>
            <w:vAlign w:val="center"/>
          </w:tcPr>
          <w:p>
            <w:pPr>
              <w:snapToGrid w:val="0"/>
              <w:spacing w:before="50" w:line="300" w:lineRule="exact"/>
              <w:ind w:firstLine="420" w:firstLineChars="200"/>
              <w:rPr>
                <w:rFonts w:ascii="宋体" w:hAnsi="宋体" w:eastAsia="宋体" w:cs="宋体"/>
                <w:bCs/>
                <w:szCs w:val="21"/>
              </w:rPr>
            </w:pPr>
            <w:r>
              <w:rPr>
                <w:rFonts w:hint="eastAsia" w:ascii="宋体" w:hAnsi="宋体" w:eastAsia="宋体" w:cs="宋体"/>
                <w:bCs/>
                <w:szCs w:val="21"/>
              </w:rPr>
              <w:t>本次估价价格为估价对象房地产在价值时点完整权利状态及满足各项假设限制条件下的房地产市场价值。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680"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估价方法</w:t>
            </w:r>
          </w:p>
        </w:tc>
        <w:tc>
          <w:tcPr>
            <w:tcW w:w="7312" w:type="dxa"/>
            <w:gridSpan w:val="8"/>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市场比较法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92" w:type="dxa"/>
            <w:gridSpan w:val="10"/>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评估结果明细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45"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权利人</w:t>
            </w:r>
          </w:p>
        </w:tc>
        <w:tc>
          <w:tcPr>
            <w:tcW w:w="1274" w:type="dxa"/>
            <w:gridSpan w:val="2"/>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所在楼层/总层数</w:t>
            </w:r>
          </w:p>
        </w:tc>
        <w:tc>
          <w:tcPr>
            <w:tcW w:w="1275" w:type="dxa"/>
            <w:gridSpan w:val="2"/>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实际用途</w:t>
            </w:r>
          </w:p>
        </w:tc>
        <w:tc>
          <w:tcPr>
            <w:tcW w:w="1133"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土地面积（㎡）</w:t>
            </w:r>
          </w:p>
        </w:tc>
        <w:tc>
          <w:tcPr>
            <w:tcW w:w="1134" w:type="dxa"/>
            <w:gridSpan w:val="2"/>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建筑面积（㎡）</w:t>
            </w:r>
          </w:p>
        </w:tc>
        <w:tc>
          <w:tcPr>
            <w:tcW w:w="1184"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评估单价（元/㎡）</w:t>
            </w:r>
          </w:p>
        </w:tc>
        <w:tc>
          <w:tcPr>
            <w:tcW w:w="1447"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45"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肖运华</w:t>
            </w:r>
          </w:p>
        </w:tc>
        <w:tc>
          <w:tcPr>
            <w:tcW w:w="1274" w:type="dxa"/>
            <w:gridSpan w:val="2"/>
            <w:vAlign w:val="center"/>
          </w:tcPr>
          <w:p>
            <w:pPr>
              <w:spacing w:line="400" w:lineRule="exact"/>
              <w:jc w:val="center"/>
              <w:rPr>
                <w:rFonts w:ascii="宋体" w:hAnsi="宋体" w:eastAsia="宋体" w:cs="宋体"/>
                <w:bCs/>
                <w:szCs w:val="21"/>
              </w:rPr>
            </w:pPr>
            <w:r>
              <w:rPr>
                <w:rFonts w:hint="eastAsia" w:ascii="宋体" w:hAnsi="宋体" w:eastAsia="宋体" w:cs="宋体"/>
                <w:bCs/>
                <w:szCs w:val="21"/>
                <w:lang w:val="en-US" w:eastAsia="zh-CN"/>
              </w:rPr>
              <w:t>2</w:t>
            </w:r>
            <w:r>
              <w:rPr>
                <w:rFonts w:hint="eastAsia" w:ascii="宋体" w:hAnsi="宋体" w:eastAsia="宋体" w:cs="宋体"/>
                <w:bCs/>
                <w:szCs w:val="21"/>
              </w:rPr>
              <w:t>/6</w:t>
            </w:r>
          </w:p>
        </w:tc>
        <w:tc>
          <w:tcPr>
            <w:tcW w:w="1275" w:type="dxa"/>
            <w:gridSpan w:val="2"/>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住宅</w:t>
            </w:r>
          </w:p>
        </w:tc>
        <w:tc>
          <w:tcPr>
            <w:tcW w:w="1133" w:type="dxa"/>
            <w:vAlign w:val="center"/>
          </w:tcPr>
          <w:p>
            <w:pPr>
              <w:spacing w:line="28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17.13</w:t>
            </w:r>
          </w:p>
        </w:tc>
        <w:tc>
          <w:tcPr>
            <w:tcW w:w="1134" w:type="dxa"/>
            <w:gridSpan w:val="2"/>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116.39</w:t>
            </w:r>
          </w:p>
        </w:tc>
        <w:tc>
          <w:tcPr>
            <w:tcW w:w="1184"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3400.00</w:t>
            </w:r>
          </w:p>
        </w:tc>
        <w:tc>
          <w:tcPr>
            <w:tcW w:w="1447"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39.5726</w:t>
            </w:r>
          </w:p>
        </w:tc>
      </w:tr>
    </w:tbl>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本次估价报告应用的有效期自完成估价报告日起为一年，即估价目的在20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日至202</w:t>
      </w:r>
      <w:r>
        <w:rPr>
          <w:rFonts w:hint="eastAsia" w:ascii="宋体" w:hAnsi="宋体" w:eastAsia="宋体" w:cs="宋体"/>
          <w:sz w:val="28"/>
          <w:szCs w:val="28"/>
          <w:lang w:val="en-US" w:eastAsia="zh-CN"/>
        </w:rPr>
        <w:t>1</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日实现时，评估结果有效。随时间的推移和用途的改变，估价结果需调整，甚至需重新估价。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特此致函！</w:t>
      </w:r>
    </w:p>
    <w:p>
      <w:pPr>
        <w:spacing w:line="660" w:lineRule="exact"/>
        <w:ind w:firstLine="560" w:firstLineChars="200"/>
        <w:jc w:val="right"/>
        <w:rPr>
          <w:rFonts w:ascii="宋体" w:hAnsi="宋体" w:eastAsia="宋体" w:cs="宋体"/>
          <w:sz w:val="28"/>
          <w:szCs w:val="28"/>
        </w:rPr>
      </w:pPr>
    </w:p>
    <w:p>
      <w:pPr>
        <w:spacing w:line="660" w:lineRule="exact"/>
        <w:ind w:firstLine="560" w:firstLineChars="200"/>
        <w:jc w:val="right"/>
        <w:rPr>
          <w:rFonts w:ascii="宋体" w:hAnsi="宋体" w:eastAsia="宋体" w:cs="宋体"/>
          <w:sz w:val="28"/>
          <w:szCs w:val="28"/>
        </w:rPr>
      </w:pPr>
    </w:p>
    <w:p>
      <w:pPr>
        <w:spacing w:line="660" w:lineRule="exact"/>
        <w:ind w:firstLine="560" w:firstLineChars="200"/>
        <w:jc w:val="right"/>
        <w:rPr>
          <w:rFonts w:ascii="宋体" w:hAnsi="宋体" w:eastAsia="宋体" w:cs="宋体"/>
          <w:sz w:val="28"/>
          <w:szCs w:val="28"/>
        </w:rPr>
      </w:pPr>
    </w:p>
    <w:p>
      <w:pPr>
        <w:spacing w:line="660" w:lineRule="exact"/>
        <w:jc w:val="center"/>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湖北仲智衡房地资产价格评估有限公司</w:t>
      </w:r>
    </w:p>
    <w:p>
      <w:pPr>
        <w:spacing w:line="660" w:lineRule="exact"/>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法定代表人（签章）：</w:t>
      </w:r>
      <w:r>
        <w:drawing>
          <wp:inline distT="0" distB="0" distL="114300" distR="114300">
            <wp:extent cx="861695" cy="361950"/>
            <wp:effectExtent l="0" t="0" r="14605" b="0"/>
            <wp:docPr id="2" name="图片 1" descr="签字 张康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签字 张康杰"/>
                    <pic:cNvPicPr>
                      <a:picLocks noChangeAspect="1"/>
                    </pic:cNvPicPr>
                  </pic:nvPicPr>
                  <pic:blipFill>
                    <a:blip r:embed="rId8">
                      <a:lum bright="-17999" contrast="90000"/>
                    </a:blip>
                    <a:stretch>
                      <a:fillRect/>
                    </a:stretch>
                  </pic:blipFill>
                  <pic:spPr>
                    <a:xfrm>
                      <a:off x="0" y="0"/>
                      <a:ext cx="861695" cy="361950"/>
                    </a:xfrm>
                    <a:prstGeom prst="rect">
                      <a:avLst/>
                    </a:prstGeom>
                    <a:noFill/>
                    <a:ln>
                      <a:noFill/>
                    </a:ln>
                  </pic:spPr>
                </pic:pic>
              </a:graphicData>
            </a:graphic>
          </wp:inline>
        </w:drawing>
      </w:r>
    </w:p>
    <w:p>
      <w:pPr>
        <w:spacing w:line="660" w:lineRule="exact"/>
        <w:jc w:val="center"/>
        <w:rPr>
          <w:rFonts w:ascii="Times New Roman" w:hAnsi="Times New Roman" w:eastAsia="宋体" w:cs="Times New Roman"/>
          <w:b/>
          <w:bCs/>
          <w:sz w:val="36"/>
          <w:szCs w:val="36"/>
        </w:rPr>
      </w:pPr>
      <w:r>
        <w:rPr>
          <w:rFonts w:hint="eastAsia" w:ascii="宋体" w:hAnsi="宋体" w:eastAsia="宋体" w:cs="宋体"/>
          <w:sz w:val="28"/>
          <w:szCs w:val="28"/>
        </w:rPr>
        <w:t xml:space="preserve">                        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p>
      <w:pPr>
        <w:spacing w:line="500" w:lineRule="exact"/>
        <w:ind w:firstLine="448" w:firstLineChars="124"/>
        <w:jc w:val="center"/>
        <w:rPr>
          <w:rFonts w:ascii="楷体_GB2312" w:hAnsi="Times New Roman" w:eastAsia="楷体_GB2312" w:cs="Times New Roman"/>
          <w:b/>
          <w:bCs/>
          <w:sz w:val="36"/>
          <w:szCs w:val="36"/>
        </w:rPr>
        <w:sectPr>
          <w:headerReference r:id="rId4" w:type="default"/>
          <w:footerReference r:id="rId5" w:type="default"/>
          <w:pgSz w:w="11907" w:h="16834"/>
          <w:pgMar w:top="1440" w:right="1440" w:bottom="1440" w:left="1440" w:header="851" w:footer="992" w:gutter="0"/>
          <w:pgNumType w:start="1"/>
          <w:cols w:space="720" w:num="1"/>
          <w:docGrid w:type="lines" w:linePitch="312" w:charSpace="0"/>
        </w:sectPr>
      </w:pPr>
    </w:p>
    <w:p>
      <w:pPr>
        <w:spacing w:line="500" w:lineRule="exact"/>
        <w:ind w:firstLine="548" w:firstLineChars="124"/>
        <w:jc w:val="center"/>
        <w:rPr>
          <w:rFonts w:ascii="黑体" w:hAnsi="黑体" w:eastAsia="黑体" w:cs="黑体"/>
          <w:b/>
          <w:bCs/>
          <w:sz w:val="44"/>
          <w:szCs w:val="44"/>
        </w:rPr>
      </w:pPr>
      <w:r>
        <w:rPr>
          <w:rFonts w:hint="eastAsia" w:ascii="黑体" w:hAnsi="黑体" w:eastAsia="黑体" w:cs="黑体"/>
          <w:b/>
          <w:bCs/>
          <w:sz w:val="44"/>
          <w:szCs w:val="44"/>
        </w:rPr>
        <w:t xml:space="preserve">目  录  </w:t>
      </w:r>
    </w:p>
    <w:p>
      <w:pPr>
        <w:tabs>
          <w:tab w:val="left" w:pos="239"/>
          <w:tab w:val="left" w:pos="6458"/>
        </w:tabs>
        <w:spacing w:line="500" w:lineRule="exact"/>
        <w:ind w:firstLine="548" w:firstLineChars="124"/>
        <w:jc w:val="left"/>
        <w:rPr>
          <w:rFonts w:hint="eastAsia" w:ascii="楷体_GB2312" w:hAnsi="Times New Roman" w:eastAsia="楷体_GB2312" w:cs="Times New Roman"/>
          <w:b/>
          <w:bCs/>
          <w:sz w:val="44"/>
          <w:szCs w:val="24"/>
          <w:lang w:eastAsia="zh-CN"/>
        </w:rPr>
      </w:pPr>
      <w:r>
        <w:rPr>
          <w:rFonts w:hint="eastAsia" w:ascii="楷体_GB2312" w:hAnsi="Times New Roman" w:eastAsia="楷体_GB2312" w:cs="Times New Roman"/>
          <w:b/>
          <w:bCs/>
          <w:sz w:val="44"/>
          <w:szCs w:val="24"/>
          <w:lang w:eastAsia="zh-CN"/>
        </w:rPr>
        <w:tab/>
      </w:r>
      <w:r>
        <w:rPr>
          <w:rFonts w:hint="eastAsia" w:ascii="楷体_GB2312" w:hAnsi="Times New Roman" w:eastAsia="楷体_GB2312" w:cs="Times New Roman"/>
          <w:b/>
          <w:bCs/>
          <w:sz w:val="44"/>
          <w:szCs w:val="24"/>
          <w:lang w:eastAsia="zh-CN"/>
        </w:rPr>
        <w:tab/>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"2-2" \h \z \t "标题 1,1"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"_Toc463791709" </w:instrText>
      </w:r>
      <w:r>
        <w:rPr>
          <w:rFonts w:hint="eastAsia" w:ascii="宋体" w:hAnsi="宋体" w:eastAsia="宋体" w:cs="宋体"/>
          <w:sz w:val="28"/>
          <w:szCs w:val="28"/>
        </w:rPr>
        <w:fldChar w:fldCharType="separate"/>
      </w:r>
      <w:r>
        <w:rPr>
          <w:rFonts w:hint="eastAsia" w:ascii="宋体" w:hAnsi="宋体" w:eastAsia="宋体" w:cs="宋体"/>
          <w:sz w:val="28"/>
          <w:szCs w:val="28"/>
        </w:rPr>
        <w:t>致委托方函</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"_Toc463791710" </w:instrText>
      </w:r>
      <w:r>
        <w:rPr>
          <w:rFonts w:hint="eastAsia" w:ascii="宋体" w:hAnsi="宋体" w:eastAsia="宋体" w:cs="宋体"/>
          <w:sz w:val="28"/>
          <w:szCs w:val="28"/>
        </w:rPr>
        <w:fldChar w:fldCharType="separate"/>
      </w:r>
      <w:r>
        <w:rPr>
          <w:rFonts w:hint="eastAsia" w:ascii="宋体" w:hAnsi="宋体" w:eastAsia="宋体" w:cs="宋体"/>
          <w:color w:val="auto"/>
          <w:sz w:val="28"/>
          <w:szCs w:val="28"/>
          <w:u w:val="single"/>
        </w:rPr>
        <w:t>估价</w:t>
      </w:r>
      <w:r>
        <w:rPr>
          <w:rFonts w:hint="eastAsia" w:ascii="宋体" w:hAnsi="宋体" w:eastAsia="宋体" w:cs="宋体"/>
          <w:color w:val="auto"/>
          <w:sz w:val="28"/>
          <w:szCs w:val="28"/>
          <w:u w:val="single"/>
          <w:lang w:eastAsia="zh-CN"/>
        </w:rPr>
        <w:t>专业人员</w:t>
      </w:r>
      <w:r>
        <w:rPr>
          <w:rFonts w:hint="eastAsia" w:ascii="宋体" w:hAnsi="宋体" w:eastAsia="宋体" w:cs="宋体"/>
          <w:color w:val="0000FF"/>
          <w:sz w:val="28"/>
          <w:szCs w:val="28"/>
          <w:u w:val="single"/>
        </w:rPr>
        <w:t>声明</w:t>
      </w:r>
      <w:r>
        <w:rPr>
          <w:rFonts w:hint="eastAsia" w:ascii="宋体" w:hAnsi="宋体" w:eastAsia="宋体" w:cs="宋体"/>
          <w:sz w:val="28"/>
          <w:szCs w:val="28"/>
        </w:rPr>
        <w:tab/>
      </w:r>
      <w:r>
        <w:rPr>
          <w:rFonts w:hint="eastAsia" w:ascii="宋体" w:hAnsi="宋体" w:eastAsia="宋体" w:cs="宋体"/>
          <w:sz w:val="28"/>
          <w:szCs w:val="28"/>
        </w:rPr>
        <w:t>4</w:t>
      </w:r>
      <w:r>
        <w:rPr>
          <w:rFonts w:hint="eastAsia" w:ascii="宋体" w:hAnsi="宋体" w:eastAsia="宋体" w:cs="宋体"/>
          <w:sz w:val="28"/>
          <w:szCs w:val="28"/>
        </w:rPr>
        <w:fldChar w:fldCharType="end"/>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"_Toc463791711" </w:instrText>
      </w:r>
      <w:r>
        <w:rPr>
          <w:rFonts w:hint="eastAsia" w:ascii="宋体" w:hAnsi="宋体" w:eastAsia="宋体" w:cs="宋体"/>
          <w:sz w:val="28"/>
          <w:szCs w:val="28"/>
        </w:rPr>
        <w:fldChar w:fldCharType="separate"/>
      </w:r>
      <w:r>
        <w:rPr>
          <w:rFonts w:hint="eastAsia" w:ascii="宋体" w:hAnsi="宋体" w:eastAsia="宋体" w:cs="宋体"/>
          <w:sz w:val="28"/>
          <w:szCs w:val="28"/>
        </w:rPr>
        <w:t>估价的假设和限制条件、变现能力分析及风险提示</w:t>
      </w:r>
      <w:r>
        <w:rPr>
          <w:rFonts w:hint="eastAsia" w:ascii="宋体" w:hAnsi="宋体" w:eastAsia="宋体" w:cs="宋体"/>
          <w:sz w:val="28"/>
          <w:szCs w:val="28"/>
        </w:rPr>
        <w:tab/>
      </w:r>
      <w:r>
        <w:rPr>
          <w:rFonts w:hint="eastAsia" w:ascii="宋体" w:hAnsi="宋体" w:eastAsia="宋体" w:cs="宋体"/>
          <w:sz w:val="28"/>
          <w:szCs w:val="28"/>
        </w:rPr>
        <w:t>5</w:t>
      </w:r>
      <w:r>
        <w:rPr>
          <w:rFonts w:hint="eastAsia" w:ascii="宋体" w:hAnsi="宋体" w:eastAsia="宋体" w:cs="宋体"/>
          <w:sz w:val="28"/>
          <w:szCs w:val="28"/>
        </w:rPr>
        <w:fldChar w:fldCharType="end"/>
      </w:r>
    </w:p>
    <w:p>
      <w:pPr>
        <w:spacing w:line="100" w:lineRule="exact"/>
        <w:rPr>
          <w:rFonts w:hint="eastAsia" w:ascii="宋体" w:hAnsi="宋体" w:eastAsia="宋体" w:cs="宋体"/>
          <w:sz w:val="28"/>
          <w:szCs w:val="28"/>
        </w:rPr>
      </w:pPr>
    </w:p>
    <w:p>
      <w:pPr>
        <w:spacing w:line="640" w:lineRule="exact"/>
        <w:jc w:val="distribute"/>
        <w:rPr>
          <w:rFonts w:hint="eastAsia" w:ascii="宋体" w:hAnsi="宋体" w:eastAsia="宋体" w:cs="宋体"/>
          <w:sz w:val="28"/>
          <w:szCs w:val="28"/>
          <w:lang w:val="en-US" w:eastAsia="zh-CN"/>
        </w:rPr>
      </w:pPr>
      <w:r>
        <w:rPr>
          <w:rFonts w:hint="eastAsia" w:ascii="宋体" w:hAnsi="宋体" w:eastAsia="宋体" w:cs="宋体"/>
          <w:sz w:val="28"/>
          <w:szCs w:val="28"/>
        </w:rPr>
        <w:t>四、结果报告.........................................</w:t>
      </w:r>
      <w:r>
        <w:rPr>
          <w:rFonts w:hint="eastAsia" w:ascii="宋体" w:hAnsi="宋体" w:eastAsia="宋体" w:cs="宋体"/>
          <w:sz w:val="28"/>
          <w:szCs w:val="28"/>
          <w:lang w:val="en-US" w:eastAsia="zh-CN"/>
        </w:rPr>
        <w:t>...9</w:t>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"_Toc463791712"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（一）估价委托方</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"_Toc463791713"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（二）房地产估价机构</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"_Toc463791714"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（三）估价目的</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0</w:t>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（四）估价对象概况</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"_Toc463791716"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（五）价值时点</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1</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"_Toc463791717"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（六）价值类型</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1</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"_Toc463791718"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（七）估价原则</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"_Toc463791719"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（八）估价依据</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3</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"_Toc463791720"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（九）估价思路及方法</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3</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"_Toc463791721"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（十）估价结果</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5</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"_Toc463791723"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一</w:t>
      </w:r>
      <w:r>
        <w:rPr>
          <w:rFonts w:hint="eastAsia" w:ascii="宋体" w:hAnsi="宋体" w:eastAsia="宋体" w:cs="宋体"/>
          <w:color w:val="0000FF"/>
          <w:sz w:val="28"/>
          <w:szCs w:val="28"/>
          <w:u w:val="single"/>
        </w:rPr>
        <w:t>）实地查勘期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"_Toc463791724"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二</w:t>
      </w:r>
      <w:r>
        <w:rPr>
          <w:rFonts w:hint="eastAsia" w:ascii="宋体" w:hAnsi="宋体" w:eastAsia="宋体" w:cs="宋体"/>
          <w:color w:val="0000FF"/>
          <w:sz w:val="28"/>
          <w:szCs w:val="28"/>
          <w:u w:val="single"/>
        </w:rPr>
        <w:t>）估价作业日期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三</w:t>
      </w:r>
      <w:r>
        <w:rPr>
          <w:rFonts w:hint="eastAsia" w:ascii="宋体" w:hAnsi="宋体" w:eastAsia="宋体" w:cs="宋体"/>
          <w:color w:val="0000FF"/>
          <w:sz w:val="28"/>
          <w:szCs w:val="28"/>
          <w:u w:val="single"/>
        </w:rPr>
        <w:t>）估价报告应用的有效期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ind w:firstLine="280" w:firstLineChars="100"/>
        <w:jc w:val="distribute"/>
        <w:rPr>
          <w:rFonts w:hint="eastAsia" w:ascii="宋体" w:hAnsi="宋体" w:eastAsia="宋体" w:cs="宋体"/>
          <w:sz w:val="28"/>
          <w:szCs w:val="28"/>
          <w:lang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"_Toc463791722"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四</w:t>
      </w:r>
      <w:r>
        <w:rPr>
          <w:rFonts w:hint="eastAsia" w:ascii="宋体" w:hAnsi="宋体" w:eastAsia="宋体" w:cs="宋体"/>
          <w:color w:val="0000FF"/>
          <w:sz w:val="28"/>
          <w:szCs w:val="28"/>
          <w:u w:val="single"/>
        </w:rPr>
        <w:t>）</w:t>
      </w:r>
      <w:r>
        <w:rPr>
          <w:rFonts w:hint="eastAsia" w:ascii="宋体" w:hAnsi="宋体" w:eastAsia="宋体" w:cs="宋体"/>
          <w:color w:val="0000FF"/>
          <w:sz w:val="28"/>
          <w:szCs w:val="28"/>
          <w:u w:val="single"/>
          <w:lang w:eastAsia="zh-CN"/>
        </w:rPr>
        <w:t>估价专业人员</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jc w:val="distribute"/>
        <w:rPr>
          <w:rFonts w:hint="eastAsia" w:ascii="宋体" w:hAnsi="宋体" w:eastAsia="宋体" w:cs="宋体"/>
          <w:sz w:val="28"/>
          <w:szCs w:val="28"/>
          <w:lang w:eastAsia="zh-CN"/>
        </w:rPr>
      </w:pPr>
      <w:r>
        <w:rPr>
          <w:rFonts w:hint="eastAsia" w:ascii="宋体" w:hAnsi="宋体" w:eastAsia="宋体" w:cs="宋体"/>
          <w:sz w:val="28"/>
          <w:szCs w:val="28"/>
        </w:rPr>
        <w:t>五、</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"_Toc463791735"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附件</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7</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fldChar w:fldCharType="end"/>
      </w:r>
    </w:p>
    <w:p>
      <w:pPr>
        <w:spacing w:line="500" w:lineRule="exact"/>
        <w:jc w:val="center"/>
        <w:rPr>
          <w:rFonts w:hint="eastAsia" w:ascii="黑体" w:hAnsi="黑体" w:eastAsia="黑体" w:cs="黑体"/>
          <w:b/>
          <w:bCs/>
          <w:color w:val="FF0000"/>
          <w:sz w:val="44"/>
          <w:szCs w:val="44"/>
          <w:lang w:eastAsia="zh-CN"/>
        </w:rPr>
      </w:pPr>
    </w:p>
    <w:p>
      <w:pPr>
        <w:spacing w:line="500" w:lineRule="exact"/>
        <w:jc w:val="center"/>
        <w:rPr>
          <w:rFonts w:ascii="黑体" w:hAnsi="黑体" w:eastAsia="黑体" w:cs="黑体"/>
          <w:b/>
          <w:bCs/>
          <w:sz w:val="44"/>
          <w:szCs w:val="44"/>
        </w:rPr>
      </w:pPr>
      <w:r>
        <w:rPr>
          <w:rFonts w:hint="eastAsia" w:ascii="黑体" w:hAnsi="黑体" w:eastAsia="黑体" w:cs="黑体"/>
          <w:b/>
          <w:bCs/>
          <w:color w:val="auto"/>
          <w:sz w:val="44"/>
          <w:szCs w:val="44"/>
          <w:lang w:eastAsia="zh-CN"/>
        </w:rPr>
        <w:t>估价专业人员</w:t>
      </w:r>
      <w:r>
        <w:rPr>
          <w:rFonts w:hint="eastAsia" w:ascii="黑体" w:hAnsi="黑体" w:eastAsia="黑体" w:cs="黑体"/>
          <w:b/>
          <w:bCs/>
          <w:sz w:val="44"/>
          <w:szCs w:val="44"/>
        </w:rPr>
        <w:t>声明</w:t>
      </w:r>
      <w:bookmarkEnd w:id="0"/>
    </w:p>
    <w:p>
      <w:pPr>
        <w:spacing w:line="500" w:lineRule="exact"/>
        <w:rPr>
          <w:rFonts w:ascii="楷体_GB2312" w:hAnsi="宋体" w:eastAsia="楷体_GB2312" w:cs="Times New Roman"/>
          <w:sz w:val="24"/>
          <w:szCs w:val="24"/>
        </w:rPr>
      </w:pPr>
    </w:p>
    <w:p>
      <w:pPr>
        <w:keepNext w:val="0"/>
        <w:keepLines w:val="0"/>
        <w:pageBreakBefore w:val="0"/>
        <w:kinsoku/>
        <w:wordWrap/>
        <w:overflowPunct/>
        <w:topLinePunct w:val="0"/>
        <w:autoSpaceDE/>
        <w:autoSpaceDN/>
        <w:bidi w:val="0"/>
        <w:adjustRightInd/>
        <w:snapToGrid/>
        <w:spacing w:line="660" w:lineRule="exact"/>
        <w:textAlignment w:val="auto"/>
        <w:rPr>
          <w:rFonts w:ascii="宋体" w:hAnsi="宋体" w:eastAsia="宋体" w:cs="宋体"/>
          <w:sz w:val="28"/>
          <w:szCs w:val="28"/>
        </w:rPr>
      </w:pPr>
      <w:r>
        <w:rPr>
          <w:rFonts w:hint="eastAsia" w:ascii="宋体" w:hAnsi="宋体" w:eastAsia="宋体" w:cs="宋体"/>
          <w:sz w:val="28"/>
          <w:szCs w:val="28"/>
        </w:rPr>
        <w:t>我们郑重声明：</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1、我们在本估价报告中陈述的事实是真实和准确的，没有虚假记载、误导性陈述和重大遗漏。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2、本估价报告中的分析、意见和结论是我们自己公正的专业分析、意见和结论，但受到本估价报告中已说明的假设和限制条件的限制。</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3、我们与本估价报告中的估价对象没有利害关系，与估价委托人及利害关系人没有个人利害关系或偏见。</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4、我们依据中华人民共和国国家标准《房地产估价规范》进行分析，形成意见和结论，撰写本估价报告。</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color w:val="auto"/>
          <w:sz w:val="28"/>
          <w:szCs w:val="28"/>
        </w:rPr>
      </w:pPr>
      <w:r>
        <w:rPr>
          <w:rFonts w:hint="eastAsia" w:ascii="宋体" w:hAnsi="宋体" w:eastAsia="宋体" w:cs="宋体"/>
          <w:sz w:val="28"/>
          <w:szCs w:val="28"/>
        </w:rPr>
        <w:t>5、参与本次估价项目的</w:t>
      </w:r>
      <w:r>
        <w:rPr>
          <w:rFonts w:hint="eastAsia" w:ascii="宋体" w:hAnsi="宋体" w:eastAsia="宋体" w:cs="宋体"/>
          <w:color w:val="auto"/>
          <w:sz w:val="28"/>
          <w:szCs w:val="28"/>
          <w:lang w:eastAsia="zh-CN"/>
        </w:rPr>
        <w:t>估价专业人员</w:t>
      </w:r>
      <w:r>
        <w:rPr>
          <w:rFonts w:hint="eastAsia" w:ascii="宋体" w:hAnsi="宋体" w:eastAsia="宋体" w:cs="宋体"/>
          <w:color w:val="auto"/>
          <w:sz w:val="28"/>
          <w:szCs w:val="28"/>
        </w:rPr>
        <w:t>对本报告中的估价对象进行了详细的实地查勘，并对勘察的客观性、真实性、公正性承担责任。</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color w:val="auto"/>
          <w:sz w:val="28"/>
          <w:szCs w:val="28"/>
        </w:rPr>
      </w:pPr>
      <w:r>
        <w:rPr>
          <w:rFonts w:hint="eastAsia" w:ascii="宋体" w:hAnsi="宋体" w:eastAsia="宋体" w:cs="宋体"/>
          <w:color w:val="auto"/>
          <w:sz w:val="28"/>
          <w:szCs w:val="28"/>
        </w:rPr>
        <w:t>6、没有人对本估价报告提供了重要专业帮助。</w:t>
      </w:r>
    </w:p>
    <w:p>
      <w:pPr>
        <w:spacing w:line="500" w:lineRule="exact"/>
        <w:jc w:val="center"/>
        <w:rPr>
          <w:rFonts w:ascii="楷体_GB2312" w:hAnsi="Times New Roman" w:eastAsia="楷体_GB2312" w:cs="Times New Roman"/>
          <w:b/>
          <w:bCs/>
          <w:color w:val="auto"/>
          <w:sz w:val="36"/>
          <w:szCs w:val="24"/>
        </w:rPr>
      </w:pPr>
      <w:bookmarkStart w:id="1" w:name="_Toc155258959"/>
    </w:p>
    <w:p>
      <w:pPr>
        <w:spacing w:line="500" w:lineRule="exact"/>
        <w:jc w:val="center"/>
        <w:rPr>
          <w:rFonts w:ascii="楷体_GB2312" w:hAnsi="Times New Roman" w:eastAsia="楷体_GB2312" w:cs="Times New Roman"/>
          <w:b/>
          <w:bCs/>
          <w:color w:val="auto"/>
          <w:sz w:val="36"/>
          <w:szCs w:val="36"/>
        </w:rPr>
      </w:pPr>
      <w:bookmarkStart w:id="2" w:name="_Toc463791710"/>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黑体" w:hAnsi="黑体" w:eastAsia="黑体" w:cs="黑体"/>
          <w:b/>
          <w:bCs/>
          <w:color w:val="auto"/>
          <w:sz w:val="40"/>
          <w:szCs w:val="40"/>
        </w:rPr>
      </w:pPr>
      <w:r>
        <w:rPr>
          <w:rFonts w:hint="eastAsia" w:ascii="黑体" w:hAnsi="黑体" w:eastAsia="黑体" w:cs="黑体"/>
          <w:b/>
          <w:bCs/>
          <w:color w:val="auto"/>
          <w:sz w:val="40"/>
          <w:szCs w:val="40"/>
        </w:rPr>
        <w:t>估价的假设和限制条件、变现能力分析及风险提示</w:t>
      </w:r>
      <w:bookmarkEnd w:id="1"/>
      <w:bookmarkEnd w:id="2"/>
    </w:p>
    <w:p>
      <w:pPr>
        <w:spacing w:line="500" w:lineRule="exact"/>
        <w:jc w:val="center"/>
        <w:rPr>
          <w:rFonts w:ascii="楷体_GB2312" w:hAnsi="Times New Roman" w:eastAsia="楷体_GB2312" w:cs="Times New Roman"/>
          <w:b/>
          <w:bCs/>
          <w:color w:val="auto"/>
          <w:sz w:val="44"/>
          <w:szCs w:val="24"/>
        </w:rPr>
      </w:pPr>
    </w:p>
    <w:p>
      <w:pPr>
        <w:spacing w:line="660" w:lineRule="exact"/>
        <w:ind w:firstLine="562" w:firstLineChars="200"/>
        <w:outlineLvl w:val="0"/>
        <w:rPr>
          <w:rFonts w:ascii="宋体" w:hAnsi="宋体" w:eastAsia="宋体" w:cs="宋体"/>
          <w:b/>
          <w:bCs/>
          <w:color w:val="auto"/>
          <w:sz w:val="28"/>
          <w:szCs w:val="28"/>
        </w:rPr>
      </w:pPr>
      <w:bookmarkStart w:id="3" w:name="_Toc155258960"/>
      <w:r>
        <w:rPr>
          <w:rFonts w:hint="eastAsia" w:ascii="宋体" w:hAnsi="宋体" w:eastAsia="宋体" w:cs="宋体"/>
          <w:b/>
          <w:bCs/>
          <w:color w:val="auto"/>
          <w:sz w:val="28"/>
          <w:szCs w:val="28"/>
        </w:rPr>
        <w:t>一、一般假设</w:t>
      </w:r>
      <w:bookmarkEnd w:id="3"/>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1、假定价值时点的房地产市场状况是公开、平等、自愿的交易市场。</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2、假设估价对象产权明晰合法，手续齐全，不存在任何产权纠纷。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4"/>
        </w:rPr>
      </w:pPr>
      <w:r>
        <w:rPr>
          <w:rFonts w:hint="eastAsia" w:ascii="宋体" w:hAnsi="宋体" w:eastAsia="宋体" w:cs="宋体"/>
          <w:color w:val="auto"/>
          <w:sz w:val="28"/>
          <w:szCs w:val="28"/>
        </w:rPr>
        <w:t>3、</w:t>
      </w:r>
      <w:r>
        <w:rPr>
          <w:rFonts w:hint="eastAsia" w:ascii="宋体" w:hAnsi="宋体" w:eastAsia="宋体" w:cs="宋体"/>
          <w:color w:val="auto"/>
          <w:sz w:val="28"/>
          <w:szCs w:val="24"/>
        </w:rPr>
        <w:t>本次估价对象的建筑面积共为</w:t>
      </w:r>
      <w:r>
        <w:rPr>
          <w:rFonts w:hint="eastAsia" w:ascii="宋体" w:hAnsi="宋体" w:eastAsia="宋体" w:cs="宋体"/>
          <w:color w:val="auto"/>
          <w:sz w:val="28"/>
          <w:szCs w:val="24"/>
          <w:lang w:eastAsia="zh-CN"/>
        </w:rPr>
        <w:t>116.39</w:t>
      </w:r>
      <w:r>
        <w:rPr>
          <w:rFonts w:hint="eastAsia" w:ascii="宋体" w:hAnsi="宋体" w:eastAsia="宋体" w:cs="宋体"/>
          <w:color w:val="auto"/>
          <w:sz w:val="28"/>
          <w:szCs w:val="24"/>
        </w:rPr>
        <w:t>㎡，土地</w:t>
      </w:r>
      <w:r>
        <w:rPr>
          <w:rFonts w:hint="eastAsia" w:ascii="宋体" w:hAnsi="宋体" w:eastAsia="宋体" w:cs="宋体"/>
          <w:color w:val="auto"/>
          <w:sz w:val="28"/>
          <w:szCs w:val="28"/>
        </w:rPr>
        <w:t>分摊面积为应分摊的国有土地使用权面积（未办理国有土地使用证），建筑面积来源于委托人提供的《房屋所有权证》</w:t>
      </w:r>
      <w:r>
        <w:rPr>
          <w:rFonts w:hint="eastAsia" w:ascii="宋体" w:hAnsi="宋体" w:eastAsia="宋体" w:cs="宋体"/>
          <w:color w:val="auto"/>
          <w:sz w:val="28"/>
          <w:szCs w:val="24"/>
        </w:rPr>
        <w:t>，</w:t>
      </w:r>
      <w:r>
        <w:rPr>
          <w:rFonts w:hint="eastAsia" w:ascii="宋体" w:hAnsi="宋体" w:eastAsia="宋体" w:cs="宋体"/>
          <w:color w:val="auto"/>
          <w:sz w:val="28"/>
          <w:szCs w:val="24"/>
          <w:lang w:eastAsia="zh-CN"/>
        </w:rPr>
        <w:t>价格鉴证</w:t>
      </w:r>
      <w:r>
        <w:rPr>
          <w:rFonts w:hint="eastAsia" w:ascii="宋体" w:hAnsi="宋体" w:eastAsia="宋体" w:cs="宋体"/>
          <w:color w:val="auto"/>
          <w:sz w:val="28"/>
          <w:szCs w:val="24"/>
        </w:rPr>
        <w:t>师未进行专业测量，本报告以证载面积为估价的前提条件。</w:t>
      </w:r>
    </w:p>
    <w:p>
      <w:pPr>
        <w:spacing w:line="66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4、我们在假设估价对象土地使用权法定年期内，该物业所有权人对该物业享有自由及不受干预的使用、转让、收益、处分等合法权益。</w:t>
      </w:r>
    </w:p>
    <w:p>
      <w:pPr>
        <w:spacing w:line="660" w:lineRule="exact"/>
        <w:ind w:firstLine="560" w:firstLineChars="200"/>
        <w:rPr>
          <w:rFonts w:ascii="宋体" w:hAnsi="宋体" w:eastAsia="宋体" w:cs="宋体"/>
          <w:sz w:val="28"/>
          <w:szCs w:val="24"/>
        </w:rPr>
      </w:pPr>
      <w:r>
        <w:rPr>
          <w:rFonts w:hint="eastAsia" w:ascii="宋体" w:hAnsi="宋体" w:eastAsia="宋体" w:cs="宋体"/>
          <w:color w:val="auto"/>
          <w:sz w:val="28"/>
          <w:szCs w:val="24"/>
        </w:rPr>
        <w:t>5、我们对估价对象进行了实地查勘，并进行了现场拍照（勘查照片见附件）。但估价</w:t>
      </w:r>
      <w:r>
        <w:rPr>
          <w:rFonts w:hint="eastAsia" w:ascii="宋体" w:hAnsi="宋体" w:eastAsia="宋体" w:cs="宋体"/>
          <w:color w:val="auto"/>
          <w:sz w:val="28"/>
          <w:szCs w:val="24"/>
          <w:lang w:eastAsia="zh-CN"/>
        </w:rPr>
        <w:t>专业</w:t>
      </w:r>
      <w:r>
        <w:rPr>
          <w:rFonts w:hint="eastAsia" w:ascii="宋体" w:hAnsi="宋体" w:eastAsia="宋体" w:cs="宋体"/>
          <w:color w:val="auto"/>
          <w:sz w:val="28"/>
          <w:szCs w:val="24"/>
        </w:rPr>
        <w:t>人员的</w:t>
      </w:r>
      <w:r>
        <w:rPr>
          <w:rFonts w:hint="eastAsia" w:ascii="宋体" w:hAnsi="宋体" w:eastAsia="宋体" w:cs="宋体"/>
          <w:sz w:val="28"/>
          <w:szCs w:val="24"/>
        </w:rPr>
        <w:t>现场勘查仅限于估价对象的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6、委托人提供的《</w:t>
      </w:r>
      <w:r>
        <w:rPr>
          <w:rFonts w:hint="eastAsia" w:ascii="宋体" w:hAnsi="宋体" w:eastAsia="宋体" w:cs="宋体"/>
          <w:sz w:val="28"/>
          <w:szCs w:val="24"/>
          <w:lang w:eastAsia="zh-CN"/>
        </w:rPr>
        <w:t>不动产权利及其他事项登记信息</w:t>
      </w:r>
      <w:r>
        <w:rPr>
          <w:rFonts w:hint="eastAsia" w:ascii="宋体" w:hAnsi="宋体" w:eastAsia="宋体" w:cs="宋体"/>
          <w:sz w:val="28"/>
          <w:szCs w:val="24"/>
        </w:rPr>
        <w:t>》可知，估价对象房屋设定用途为住宅，估价对象在价值时点的现状用途为住宅用途，假设估价对象房屋按照住宅用途持续使用的状态下进行。</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7、本报告确定的房地产评估价值为房地产在价值时点的市场价值，等于假定未设立法定优先受偿权利下的市场价值减去</w:t>
      </w:r>
      <w:r>
        <w:rPr>
          <w:rFonts w:hint="eastAsia" w:ascii="宋体" w:hAnsi="宋体" w:eastAsia="宋体" w:cs="宋体"/>
          <w:color w:val="auto"/>
          <w:sz w:val="28"/>
          <w:szCs w:val="24"/>
          <w:lang w:eastAsia="zh-CN"/>
        </w:rPr>
        <w:t>估价专业人员</w:t>
      </w:r>
      <w:r>
        <w:rPr>
          <w:rFonts w:hint="eastAsia" w:ascii="宋体" w:hAnsi="宋体" w:eastAsia="宋体" w:cs="宋体"/>
          <w:sz w:val="28"/>
          <w:szCs w:val="24"/>
        </w:rPr>
        <w:t>知悉的法定优先受偿款（法定优先受偿款是指假定在价值时点实现抵押权时，法律规定优先于本次抵押贷款受偿的款额，包括发包人拖欠承包人的建筑工程款，已抵押担保的债权数额，以及其他法定优先受偿款）。至价值时点，估价人员未发现估价对象存在优先受偿款。</w:t>
      </w:r>
      <w:bookmarkStart w:id="20" w:name="_GoBack"/>
      <w:bookmarkEnd w:id="20"/>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二、未定事实假设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lang w:eastAsia="zh-CN"/>
        </w:rPr>
      </w:pPr>
      <w:r>
        <w:rPr>
          <w:rFonts w:hint="eastAsia" w:ascii="宋体" w:hAnsi="宋体" w:eastAsia="宋体" w:cs="宋体"/>
          <w:sz w:val="28"/>
          <w:szCs w:val="24"/>
        </w:rPr>
        <w:t>1、本次估价对象由委托人及有关人员现场指认，若与实际不符，应重新估价</w:t>
      </w:r>
      <w:r>
        <w:rPr>
          <w:rFonts w:hint="eastAsia" w:ascii="宋体" w:hAnsi="宋体" w:eastAsia="宋体" w:cs="宋体"/>
          <w:sz w:val="28"/>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4"/>
        </w:rPr>
        <w:t>2、</w:t>
      </w:r>
      <w:r>
        <w:rPr>
          <w:rFonts w:hint="eastAsia" w:ascii="宋体" w:hAnsi="宋体" w:eastAsia="宋体" w:cs="宋体"/>
          <w:sz w:val="28"/>
          <w:szCs w:val="28"/>
        </w:rPr>
        <w:t>本次估价是以估价对象的房屋所有权及国有土地使用权不存在抵押权等为假设前提，故本次评估未考虑他项权利存在对估价结果的影响。</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三、背离事实假设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lang w:eastAsia="zh-CN"/>
        </w:rPr>
      </w:pPr>
      <w:r>
        <w:rPr>
          <w:rFonts w:hint="eastAsia" w:ascii="宋体" w:hAnsi="宋体" w:eastAsia="宋体" w:cs="宋体"/>
          <w:sz w:val="28"/>
          <w:szCs w:val="24"/>
        </w:rPr>
        <w:t>无</w:t>
      </w:r>
      <w:r>
        <w:rPr>
          <w:rFonts w:hint="eastAsia" w:ascii="宋体" w:hAnsi="宋体" w:eastAsia="宋体" w:cs="宋体"/>
          <w:sz w:val="28"/>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四、不相一致假设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本次评估实际用途、房屋登记用途、等之间一致。</w:t>
      </w:r>
    </w:p>
    <w:p>
      <w:pPr>
        <w:spacing w:line="660" w:lineRule="exact"/>
        <w:ind w:firstLine="562" w:firstLineChars="200"/>
        <w:rPr>
          <w:rFonts w:ascii="黑体" w:hAnsi="黑体" w:eastAsia="黑体" w:cs="黑体"/>
          <w:b/>
          <w:bCs/>
          <w:sz w:val="28"/>
          <w:szCs w:val="24"/>
        </w:rPr>
      </w:pPr>
      <w:r>
        <w:rPr>
          <w:rFonts w:hint="eastAsia" w:ascii="黑体" w:hAnsi="黑体" w:eastAsia="黑体" w:cs="黑体"/>
          <w:b/>
          <w:bCs/>
          <w:sz w:val="28"/>
          <w:szCs w:val="24"/>
        </w:rPr>
        <w:t>五、依据不足假设</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1、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贷款银行、相关报告使用人在利用本报告结果时应予以充分的考虑及重视。</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2、估价人员已查看《</w:t>
      </w:r>
      <w:r>
        <w:rPr>
          <w:rFonts w:hint="eastAsia" w:ascii="宋体" w:hAnsi="宋体" w:eastAsia="宋体" w:cs="宋体"/>
          <w:sz w:val="28"/>
          <w:szCs w:val="24"/>
          <w:lang w:eastAsia="zh-CN"/>
        </w:rPr>
        <w:t>不动产权利及其他事项登记信息</w:t>
      </w:r>
      <w:r>
        <w:rPr>
          <w:rFonts w:hint="eastAsia" w:ascii="宋体" w:hAnsi="宋体" w:eastAsia="宋体" w:cs="宋体"/>
          <w:sz w:val="28"/>
          <w:szCs w:val="24"/>
        </w:rPr>
        <w:t>》</w:t>
      </w:r>
      <w:r>
        <w:rPr>
          <w:rFonts w:hint="eastAsia" w:ascii="宋体" w:hAnsi="宋体" w:eastAsia="宋体" w:cs="宋体"/>
          <w:sz w:val="28"/>
          <w:szCs w:val="24"/>
          <w:lang w:eastAsia="zh-CN"/>
        </w:rPr>
        <w:t>《国有土地使用证》</w:t>
      </w:r>
      <w:r>
        <w:rPr>
          <w:rFonts w:hint="eastAsia" w:ascii="宋体" w:hAnsi="宋体" w:eastAsia="宋体" w:cs="宋体"/>
          <w:sz w:val="28"/>
          <w:szCs w:val="24"/>
        </w:rPr>
        <w:t>复印件及相关资料的复印件，</w:t>
      </w:r>
      <w:r>
        <w:rPr>
          <w:rFonts w:hint="eastAsia" w:ascii="宋体" w:hAnsi="宋体" w:eastAsia="宋体" w:cs="宋体"/>
          <w:color w:val="auto"/>
          <w:sz w:val="28"/>
          <w:szCs w:val="24"/>
        </w:rPr>
        <w:t>估价</w:t>
      </w:r>
      <w:r>
        <w:rPr>
          <w:rFonts w:hint="eastAsia" w:ascii="宋体" w:hAnsi="宋体" w:eastAsia="宋体" w:cs="宋体"/>
          <w:color w:val="auto"/>
          <w:sz w:val="28"/>
          <w:szCs w:val="24"/>
          <w:lang w:eastAsia="zh-CN"/>
        </w:rPr>
        <w:t>专业</w:t>
      </w:r>
      <w:r>
        <w:rPr>
          <w:rFonts w:hint="eastAsia" w:ascii="宋体" w:hAnsi="宋体" w:eastAsia="宋体" w:cs="宋体"/>
          <w:color w:val="auto"/>
          <w:sz w:val="28"/>
          <w:szCs w:val="24"/>
        </w:rPr>
        <w:t>人员无法在现有条件下对原件内容进行核实，同时估价</w:t>
      </w:r>
      <w:r>
        <w:rPr>
          <w:rFonts w:hint="eastAsia" w:ascii="宋体" w:hAnsi="宋体" w:eastAsia="宋体" w:cs="宋体"/>
          <w:color w:val="auto"/>
          <w:sz w:val="28"/>
          <w:szCs w:val="24"/>
          <w:lang w:eastAsia="zh-CN"/>
        </w:rPr>
        <w:t>专业</w:t>
      </w:r>
      <w:r>
        <w:rPr>
          <w:rFonts w:hint="eastAsia" w:ascii="宋体" w:hAnsi="宋体" w:eastAsia="宋体" w:cs="宋体"/>
          <w:color w:val="auto"/>
          <w:sz w:val="28"/>
          <w:szCs w:val="24"/>
        </w:rPr>
        <w:t>人员未能</w:t>
      </w:r>
      <w:r>
        <w:rPr>
          <w:rFonts w:hint="eastAsia" w:ascii="宋体" w:hAnsi="宋体" w:eastAsia="宋体" w:cs="宋体"/>
          <w:sz w:val="28"/>
          <w:szCs w:val="24"/>
        </w:rPr>
        <w:t>到有关主管部门对权属证明材料及其记载的内容进行核实，在无理由怀疑其完整性、准确性、真实性和合法性的前提下，本次估价是以委托人提供的与估价对象有关的法律文件、权属证明及相关资料真实有效为前提的，其合法性和真实性应由委托人负责。</w:t>
      </w:r>
    </w:p>
    <w:p>
      <w:pPr>
        <w:spacing w:line="660" w:lineRule="exact"/>
        <w:ind w:firstLine="560" w:firstLineChars="200"/>
        <w:rPr>
          <w:rFonts w:hint="eastAsia" w:ascii="宋体" w:hAnsi="宋体" w:eastAsia="宋体" w:cs="宋体"/>
          <w:sz w:val="28"/>
          <w:szCs w:val="24"/>
          <w:lang w:eastAsia="zh-CN"/>
        </w:rPr>
      </w:pPr>
      <w:r>
        <w:rPr>
          <w:rFonts w:hint="eastAsia" w:ascii="宋体" w:hAnsi="宋体" w:eastAsia="宋体" w:cs="宋体"/>
          <w:sz w:val="28"/>
          <w:szCs w:val="24"/>
        </w:rPr>
        <w:t>3、本次估价对象的建成年限由于没有准确的专业技术资料可证明，经估价人员现场勘查以及委托方和相关人员的介绍，本次估价假定估价对象房屋的建成年限与委托方及相关人员的介绍一致</w:t>
      </w:r>
      <w:r>
        <w:rPr>
          <w:rFonts w:hint="eastAsia" w:ascii="宋体" w:hAnsi="宋体" w:eastAsia="宋体" w:cs="宋体"/>
          <w:sz w:val="28"/>
          <w:szCs w:val="24"/>
          <w:lang w:eastAsia="zh-CN"/>
        </w:rPr>
        <w:t>。</w:t>
      </w:r>
    </w:p>
    <w:p>
      <w:pPr>
        <w:spacing w:line="660" w:lineRule="exact"/>
        <w:ind w:firstLine="562" w:firstLineChars="200"/>
        <w:rPr>
          <w:rFonts w:ascii="黑体" w:hAnsi="黑体" w:eastAsia="黑体" w:cs="黑体"/>
          <w:b/>
          <w:bCs/>
          <w:sz w:val="28"/>
          <w:szCs w:val="24"/>
        </w:rPr>
      </w:pPr>
      <w:r>
        <w:rPr>
          <w:rFonts w:hint="eastAsia" w:ascii="黑体" w:hAnsi="黑体" w:eastAsia="黑体" w:cs="黑体"/>
          <w:b/>
          <w:bCs/>
          <w:sz w:val="28"/>
          <w:szCs w:val="24"/>
        </w:rPr>
        <w:t>六、估价报告的限制条件</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1、本报告估价结果已包含估价对象所分摊国有土地使用权价值。</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3、本报告所确定的房地产价格，即该房地产的客观合理价格，是在公开市场条件下，在本次估价目的的特定条件下形成或者成立的正常价格，不对其他用途和目的负责。如改变估价目的，须另行估价。</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4、本报告必须完整使用方为有效，对仅使用本报告中部分内容而导致可能的损失，本估价机构不承担责任。</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5、本报告仅供相关政府部门、委托人及相关单位和部门使用，非为法律规定的情况，未经估价机构许可，不得提供给除上述部门或个人以外的任何单位和个人，其全部或部分内容不得刊载于任何文件、公告或公开媒体上。</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6、本报告及估价结果的应用日期与估价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pPr>
        <w:spacing w:line="600" w:lineRule="exact"/>
        <w:ind w:firstLine="560" w:firstLineChars="200"/>
        <w:rPr>
          <w:rFonts w:hint="eastAsia" w:ascii="宋体" w:hAnsi="宋体" w:eastAsia="宋体" w:cs="宋体"/>
          <w:sz w:val="28"/>
          <w:szCs w:val="24"/>
          <w:lang w:eastAsia="zh-CN"/>
        </w:rPr>
      </w:pPr>
      <w:r>
        <w:rPr>
          <w:rFonts w:hint="eastAsia" w:ascii="宋体" w:hAnsi="宋体" w:eastAsia="宋体" w:cs="宋体"/>
          <w:sz w:val="28"/>
          <w:szCs w:val="24"/>
        </w:rPr>
        <w:t>7、本报告的最终解释权归</w:t>
      </w:r>
      <w:r>
        <w:rPr>
          <w:rFonts w:hint="eastAsia" w:ascii="宋体" w:hAnsi="宋体" w:eastAsia="宋体" w:cs="宋体"/>
          <w:sz w:val="28"/>
          <w:szCs w:val="28"/>
          <w:lang w:eastAsia="zh-CN"/>
        </w:rPr>
        <w:t>湖北仲智衡房地资产价格评估有限公司</w:t>
      </w:r>
      <w:r>
        <w:rPr>
          <w:rFonts w:hint="eastAsia" w:ascii="宋体" w:hAnsi="宋体" w:eastAsia="宋体" w:cs="宋体"/>
          <w:sz w:val="28"/>
          <w:szCs w:val="24"/>
        </w:rPr>
        <w:t>所有</w:t>
      </w:r>
      <w:r>
        <w:rPr>
          <w:rFonts w:hint="eastAsia" w:ascii="宋体" w:hAnsi="宋体" w:eastAsia="宋体" w:cs="宋体"/>
          <w:sz w:val="28"/>
          <w:szCs w:val="24"/>
          <w:lang w:eastAsia="zh-CN"/>
        </w:rPr>
        <w:t>。</w:t>
      </w: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ascii="黑体" w:hAnsi="黑体" w:eastAsia="黑体" w:cs="黑体"/>
          <w:b/>
          <w:bCs/>
          <w:sz w:val="44"/>
          <w:szCs w:val="44"/>
        </w:rPr>
      </w:pPr>
      <w:r>
        <w:rPr>
          <w:rFonts w:hint="eastAsia" w:ascii="黑体" w:hAnsi="黑体" w:eastAsia="黑体" w:cs="黑体"/>
          <w:b/>
          <w:bCs/>
          <w:sz w:val="44"/>
          <w:szCs w:val="44"/>
        </w:rPr>
        <w:t>房地产估价结果报告</w:t>
      </w:r>
    </w:p>
    <w:p>
      <w:pPr>
        <w:spacing w:line="500" w:lineRule="exact"/>
        <w:ind w:firstLine="562" w:firstLineChars="200"/>
        <w:outlineLvl w:val="0"/>
        <w:rPr>
          <w:rFonts w:ascii="楷体_GB2312" w:hAnsi="Times New Roman" w:eastAsia="楷体_GB2312" w:cs="Times New Roman"/>
          <w:b/>
          <w:bCs/>
          <w:sz w:val="28"/>
          <w:szCs w:val="24"/>
        </w:rPr>
      </w:pPr>
    </w:p>
    <w:p>
      <w:pPr>
        <w:spacing w:line="660" w:lineRule="exact"/>
        <w:ind w:firstLine="562" w:firstLineChars="200"/>
        <w:outlineLvl w:val="0"/>
        <w:rPr>
          <w:rFonts w:ascii="黑体" w:hAnsi="黑体" w:eastAsia="黑体" w:cs="黑体"/>
          <w:b/>
          <w:bCs/>
          <w:sz w:val="28"/>
          <w:szCs w:val="28"/>
        </w:rPr>
      </w:pPr>
      <w:bookmarkStart w:id="4" w:name="_Toc463791712"/>
      <w:r>
        <w:rPr>
          <w:rFonts w:hint="eastAsia" w:ascii="黑体" w:hAnsi="黑体" w:eastAsia="黑体" w:cs="黑体"/>
          <w:b/>
          <w:bCs/>
          <w:sz w:val="28"/>
          <w:szCs w:val="28"/>
        </w:rPr>
        <w:t>一、委托方</w:t>
      </w:r>
      <w:bookmarkEnd w:id="4"/>
    </w:p>
    <w:p>
      <w:pPr>
        <w:spacing w:line="660" w:lineRule="exact"/>
        <w:outlineLvl w:val="0"/>
        <w:rPr>
          <w:rFonts w:hint="eastAsia" w:ascii="宋体" w:hAnsi="宋体" w:eastAsia="宋体" w:cs="宋体"/>
          <w:sz w:val="28"/>
          <w:szCs w:val="28"/>
          <w:lang w:eastAsia="zh-CN"/>
        </w:rPr>
      </w:pPr>
      <w:r>
        <w:rPr>
          <w:rFonts w:hint="eastAsia" w:ascii="宋体" w:hAnsi="宋体" w:eastAsia="宋体" w:cs="宋体"/>
          <w:sz w:val="28"/>
          <w:szCs w:val="28"/>
        </w:rPr>
        <w:t>名   称：</w:t>
      </w:r>
      <w:r>
        <w:rPr>
          <w:rFonts w:hint="eastAsia" w:ascii="宋体" w:hAnsi="宋体" w:eastAsia="宋体" w:cs="宋体"/>
          <w:sz w:val="28"/>
          <w:szCs w:val="28"/>
          <w:lang w:eastAsia="zh-CN"/>
        </w:rPr>
        <w:t>孝昌县人民法院</w:t>
      </w:r>
    </w:p>
    <w:p>
      <w:pPr>
        <w:spacing w:line="660" w:lineRule="exact"/>
        <w:outlineLvl w:val="0"/>
        <w:rPr>
          <w:rFonts w:hint="eastAsia" w:ascii="宋体" w:hAnsi="宋体" w:eastAsia="宋体" w:cs="宋体"/>
          <w:sz w:val="28"/>
          <w:szCs w:val="28"/>
          <w:lang w:val="en-US" w:eastAsia="zh-CN"/>
        </w:rPr>
      </w:pPr>
      <w:r>
        <w:rPr>
          <w:rFonts w:hint="eastAsia" w:ascii="宋体" w:hAnsi="宋体" w:eastAsia="宋体" w:cs="宋体"/>
          <w:sz w:val="28"/>
          <w:szCs w:val="28"/>
        </w:rPr>
        <w:t>地   址：</w:t>
      </w:r>
      <w:r>
        <w:rPr>
          <w:rFonts w:hint="eastAsia" w:ascii="宋体" w:hAnsi="宋体" w:eastAsia="宋体" w:cs="宋体"/>
          <w:sz w:val="28"/>
          <w:szCs w:val="28"/>
          <w:lang w:eastAsia="zh-CN"/>
        </w:rPr>
        <w:t>孝昌县平安大道</w:t>
      </w:r>
      <w:r>
        <w:rPr>
          <w:rFonts w:hint="eastAsia" w:ascii="宋体" w:hAnsi="宋体" w:eastAsia="宋体" w:cs="宋体"/>
          <w:sz w:val="28"/>
          <w:szCs w:val="28"/>
          <w:lang w:val="en-US" w:eastAsia="zh-CN"/>
        </w:rPr>
        <w:t>12号</w:t>
      </w:r>
    </w:p>
    <w:p>
      <w:pPr>
        <w:spacing w:line="660" w:lineRule="exact"/>
        <w:outlineLvl w:val="0"/>
        <w:rPr>
          <w:rFonts w:hint="default" w:ascii="宋体" w:hAnsi="宋体" w:eastAsia="宋体" w:cs="宋体"/>
          <w:sz w:val="28"/>
          <w:szCs w:val="28"/>
          <w:lang w:val="en-US" w:eastAsia="zh-CN"/>
        </w:rPr>
      </w:pPr>
      <w:r>
        <w:rPr>
          <w:rFonts w:hint="eastAsia" w:ascii="宋体" w:hAnsi="宋体" w:eastAsia="宋体" w:cs="宋体"/>
          <w:sz w:val="28"/>
          <w:szCs w:val="28"/>
        </w:rPr>
        <w:t xml:space="preserve">电话号码： </w:t>
      </w:r>
      <w:r>
        <w:rPr>
          <w:rFonts w:ascii="宋体" w:hAnsi="宋体" w:eastAsia="宋体" w:cs="宋体"/>
          <w:sz w:val="28"/>
          <w:szCs w:val="28"/>
        </w:rPr>
        <w:t>0712-</w:t>
      </w:r>
      <w:r>
        <w:rPr>
          <w:rFonts w:hint="eastAsia" w:ascii="宋体" w:hAnsi="宋体" w:eastAsia="宋体" w:cs="宋体"/>
          <w:sz w:val="28"/>
          <w:szCs w:val="28"/>
          <w:lang w:val="en-US" w:eastAsia="zh-CN"/>
        </w:rPr>
        <w:t>4778619</w:t>
      </w: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ind w:firstLine="562" w:firstLineChars="200"/>
        <w:textAlignment w:val="auto"/>
        <w:rPr>
          <w:rFonts w:hint="eastAsia" w:ascii="黑体" w:hAnsi="黑体" w:eastAsia="黑体" w:cs="黑体"/>
          <w:b/>
          <w:bCs/>
          <w:sz w:val="28"/>
          <w:szCs w:val="28"/>
        </w:rPr>
      </w:pPr>
      <w:bookmarkStart w:id="5" w:name="_Toc463791713"/>
      <w:r>
        <w:rPr>
          <w:rFonts w:hint="eastAsia" w:ascii="黑体" w:hAnsi="黑体" w:eastAsia="黑体" w:cs="黑体"/>
          <w:b/>
          <w:bCs/>
          <w:sz w:val="28"/>
          <w:szCs w:val="28"/>
          <w:lang w:eastAsia="zh-CN"/>
        </w:rPr>
        <w:t>二、</w:t>
      </w:r>
      <w:r>
        <w:rPr>
          <w:rFonts w:hint="eastAsia" w:ascii="黑体" w:hAnsi="黑体" w:eastAsia="黑体" w:cs="黑体"/>
          <w:b/>
          <w:bCs/>
          <w:sz w:val="28"/>
          <w:szCs w:val="28"/>
        </w:rPr>
        <w:t>估价方</w:t>
      </w:r>
      <w:bookmarkEnd w:id="5"/>
    </w:p>
    <w:p>
      <w:pPr>
        <w:numPr>
          <w:ilvl w:val="0"/>
          <w:numId w:val="0"/>
        </w:numPr>
        <w:spacing w:line="660" w:lineRule="exact"/>
        <w:rPr>
          <w:rFonts w:hint="eastAsia" w:ascii="宋体" w:hAnsi="宋体" w:eastAsia="宋体" w:cs="宋体"/>
          <w:sz w:val="28"/>
          <w:szCs w:val="28"/>
          <w:lang w:eastAsia="zh-CN"/>
        </w:rPr>
      </w:pPr>
      <w:r>
        <w:rPr>
          <w:rFonts w:hint="eastAsia" w:ascii="宋体" w:hAnsi="宋体" w:eastAsia="宋体" w:cs="宋体"/>
          <w:sz w:val="28"/>
          <w:szCs w:val="28"/>
        </w:rPr>
        <w:t>机构名称：</w:t>
      </w:r>
      <w:r>
        <w:rPr>
          <w:rFonts w:hint="eastAsia" w:ascii="宋体" w:hAnsi="宋体" w:eastAsia="宋体" w:cs="宋体"/>
          <w:sz w:val="28"/>
          <w:szCs w:val="28"/>
          <w:lang w:eastAsia="zh-CN"/>
        </w:rPr>
        <w:t>湖北仲智衡房地资产价格评估有限公司</w:t>
      </w:r>
    </w:p>
    <w:p>
      <w:pPr>
        <w:spacing w:line="660" w:lineRule="exact"/>
        <w:rPr>
          <w:rFonts w:hint="eastAsia" w:ascii="宋体" w:hAnsi="宋体" w:eastAsia="宋体" w:cs="宋体"/>
          <w:sz w:val="28"/>
          <w:szCs w:val="28"/>
          <w:lang w:val="en-US" w:eastAsia="zh-CN"/>
        </w:rPr>
      </w:pPr>
      <w:r>
        <w:rPr>
          <w:rFonts w:hint="eastAsia" w:ascii="宋体" w:hAnsi="宋体" w:eastAsia="宋体" w:cs="宋体"/>
          <w:sz w:val="28"/>
          <w:szCs w:val="28"/>
        </w:rPr>
        <w:t>住所：湖北</w:t>
      </w:r>
      <w:r>
        <w:rPr>
          <w:rFonts w:hint="eastAsia" w:ascii="宋体" w:hAnsi="宋体" w:eastAsia="宋体" w:cs="宋体"/>
          <w:sz w:val="28"/>
          <w:szCs w:val="28"/>
          <w:lang w:eastAsia="zh-CN"/>
        </w:rPr>
        <w:t>宜昌市西陵区西陵二路</w:t>
      </w:r>
      <w:r>
        <w:rPr>
          <w:rFonts w:hint="eastAsia" w:ascii="宋体" w:hAnsi="宋体" w:eastAsia="宋体" w:cs="宋体"/>
          <w:sz w:val="28"/>
          <w:szCs w:val="28"/>
          <w:lang w:val="en-US" w:eastAsia="zh-CN"/>
        </w:rPr>
        <w:t>47号E栋</w:t>
      </w:r>
    </w:p>
    <w:p>
      <w:pPr>
        <w:spacing w:line="660" w:lineRule="exact"/>
        <w:rPr>
          <w:rFonts w:ascii="宋体" w:hAnsi="宋体" w:eastAsia="宋体" w:cs="宋体"/>
          <w:sz w:val="28"/>
          <w:szCs w:val="28"/>
        </w:rPr>
      </w:pPr>
      <w:r>
        <w:rPr>
          <w:rFonts w:hint="eastAsia" w:ascii="宋体" w:hAnsi="宋体" w:eastAsia="宋体" w:cs="宋体"/>
          <w:sz w:val="28"/>
          <w:szCs w:val="28"/>
        </w:rPr>
        <w:t>法定代表人：张康杰</w:t>
      </w:r>
    </w:p>
    <w:p>
      <w:pPr>
        <w:spacing w:line="660" w:lineRule="exact"/>
        <w:rPr>
          <w:rFonts w:ascii="宋体" w:hAnsi="宋体" w:eastAsia="宋体" w:cs="宋体"/>
          <w:sz w:val="28"/>
          <w:szCs w:val="28"/>
        </w:rPr>
      </w:pPr>
      <w:r>
        <w:rPr>
          <w:rFonts w:hint="eastAsia" w:ascii="宋体" w:hAnsi="宋体" w:eastAsia="宋体" w:cs="宋体"/>
          <w:sz w:val="28"/>
          <w:szCs w:val="28"/>
        </w:rPr>
        <w:t>资质证书号：中J170001</w:t>
      </w:r>
    </w:p>
    <w:p>
      <w:pPr>
        <w:spacing w:line="660" w:lineRule="exact"/>
        <w:rPr>
          <w:rFonts w:ascii="宋体" w:hAnsi="宋体" w:eastAsia="宋体" w:cs="宋体"/>
          <w:sz w:val="28"/>
          <w:szCs w:val="28"/>
        </w:rPr>
      </w:pPr>
      <w:r>
        <w:rPr>
          <w:rFonts w:hint="eastAsia" w:ascii="宋体" w:hAnsi="宋体" w:eastAsia="宋体" w:cs="宋体"/>
          <w:sz w:val="28"/>
          <w:szCs w:val="28"/>
        </w:rPr>
        <w:t>孝感分公司：安陆市汉丹路135号</w:t>
      </w:r>
    </w:p>
    <w:p>
      <w:pPr>
        <w:spacing w:line="660" w:lineRule="exact"/>
        <w:rPr>
          <w:rFonts w:ascii="宋体" w:hAnsi="宋体" w:eastAsia="宋体" w:cs="宋体"/>
          <w:sz w:val="28"/>
          <w:szCs w:val="28"/>
        </w:rPr>
      </w:pPr>
      <w:r>
        <w:rPr>
          <w:rFonts w:hint="eastAsia" w:ascii="宋体" w:hAnsi="宋体" w:eastAsia="宋体" w:cs="宋体"/>
          <w:sz w:val="28"/>
          <w:szCs w:val="28"/>
        </w:rPr>
        <w:t>联系方式：0712-5221977</w:t>
      </w:r>
    </w:p>
    <w:p>
      <w:pPr>
        <w:keepNext w:val="0"/>
        <w:keepLines w:val="0"/>
        <w:pageBreakBefore w:val="0"/>
        <w:widowControl w:val="0"/>
        <w:kinsoku/>
        <w:wordWrap/>
        <w:overflowPunct/>
        <w:topLinePunct w:val="0"/>
        <w:autoSpaceDE/>
        <w:autoSpaceDN/>
        <w:bidi w:val="0"/>
        <w:adjustRightInd/>
        <w:snapToGrid/>
        <w:spacing w:line="1000" w:lineRule="exact"/>
        <w:ind w:firstLine="562" w:firstLineChars="200"/>
        <w:textAlignment w:val="auto"/>
        <w:outlineLvl w:val="0"/>
        <w:rPr>
          <w:rFonts w:ascii="黑体" w:hAnsi="黑体" w:eastAsia="黑体" w:cs="黑体"/>
          <w:b/>
          <w:bCs/>
          <w:sz w:val="28"/>
          <w:szCs w:val="28"/>
        </w:rPr>
      </w:pPr>
      <w:bookmarkStart w:id="6" w:name="_Toc463791714"/>
      <w:r>
        <w:rPr>
          <w:rFonts w:hint="eastAsia" w:ascii="黑体" w:hAnsi="黑体" w:eastAsia="黑体" w:cs="黑体"/>
          <w:b/>
          <w:bCs/>
          <w:sz w:val="28"/>
          <w:szCs w:val="28"/>
          <w:lang w:eastAsia="zh-CN"/>
        </w:rPr>
        <w:t>三、</w:t>
      </w:r>
      <w:r>
        <w:rPr>
          <w:rFonts w:hint="eastAsia" w:ascii="黑体" w:hAnsi="黑体" w:eastAsia="黑体" w:cs="黑体"/>
          <w:b/>
          <w:bCs/>
          <w:sz w:val="28"/>
          <w:szCs w:val="28"/>
        </w:rPr>
        <w:t>估价目的</w:t>
      </w:r>
      <w:bookmarkEnd w:id="6"/>
    </w:p>
    <w:p>
      <w:pPr>
        <w:tabs>
          <w:tab w:val="left" w:pos="388"/>
        </w:tabs>
        <w:spacing w:line="660" w:lineRule="exact"/>
        <w:ind w:firstLine="560" w:firstLineChars="200"/>
        <w:rPr>
          <w:rFonts w:ascii="宋体" w:hAnsi="宋体" w:eastAsia="宋体" w:cs="宋体"/>
          <w:sz w:val="28"/>
          <w:szCs w:val="28"/>
        </w:rPr>
      </w:pPr>
      <w:bookmarkStart w:id="7" w:name="_Toc463791715"/>
      <w:r>
        <w:rPr>
          <w:rFonts w:hint="eastAsia" w:ascii="宋体" w:hAnsi="宋体" w:eastAsia="宋体" w:cs="宋体"/>
          <w:sz w:val="28"/>
          <w:szCs w:val="28"/>
        </w:rPr>
        <w:t>评估估价对象房地产的市场价值，为委托方办理</w:t>
      </w:r>
      <w:r>
        <w:rPr>
          <w:rFonts w:hint="eastAsia" w:ascii="宋体" w:hAnsi="宋体" w:eastAsia="宋体" w:cs="宋体"/>
          <w:color w:val="auto"/>
          <w:sz w:val="28"/>
          <w:szCs w:val="28"/>
          <w:lang w:eastAsia="zh-CN"/>
        </w:rPr>
        <w:t>案件</w:t>
      </w:r>
      <w:r>
        <w:rPr>
          <w:rFonts w:hint="eastAsia" w:ascii="宋体" w:hAnsi="宋体" w:eastAsia="宋体" w:cs="宋体"/>
          <w:sz w:val="28"/>
          <w:szCs w:val="28"/>
        </w:rPr>
        <w:t>提供价值参考。</w:t>
      </w:r>
    </w:p>
    <w:p>
      <w:pPr>
        <w:keepNext w:val="0"/>
        <w:keepLines w:val="0"/>
        <w:pageBreakBefore w:val="0"/>
        <w:widowControl w:val="0"/>
        <w:kinsoku/>
        <w:wordWrap/>
        <w:overflowPunct/>
        <w:topLinePunct w:val="0"/>
        <w:autoSpaceDE/>
        <w:autoSpaceDN/>
        <w:bidi w:val="0"/>
        <w:adjustRightInd/>
        <w:snapToGrid/>
        <w:spacing w:line="1000" w:lineRule="exact"/>
        <w:ind w:firstLine="562" w:firstLineChars="200"/>
        <w:textAlignment w:val="auto"/>
        <w:outlineLvl w:val="0"/>
        <w:rPr>
          <w:rFonts w:ascii="黑体" w:hAnsi="黑体" w:eastAsia="黑体" w:cs="黑体"/>
          <w:b/>
          <w:bCs/>
          <w:sz w:val="28"/>
          <w:szCs w:val="28"/>
        </w:rPr>
      </w:pPr>
      <w:r>
        <w:rPr>
          <w:rFonts w:hint="eastAsia" w:ascii="黑体" w:hAnsi="黑体" w:eastAsia="黑体" w:cs="黑体"/>
          <w:b/>
          <w:bCs/>
          <w:sz w:val="28"/>
          <w:szCs w:val="28"/>
          <w:lang w:eastAsia="zh-CN"/>
        </w:rPr>
        <w:t>四、</w:t>
      </w:r>
      <w:r>
        <w:rPr>
          <w:rFonts w:hint="eastAsia" w:ascii="黑体" w:hAnsi="黑体" w:eastAsia="黑体" w:cs="黑体"/>
          <w:b/>
          <w:bCs/>
          <w:sz w:val="28"/>
          <w:szCs w:val="28"/>
        </w:rPr>
        <w:t>估价对象概况</w:t>
      </w:r>
      <w:bookmarkEnd w:id="7"/>
    </w:p>
    <w:p>
      <w:pPr>
        <w:spacing w:line="660" w:lineRule="exact"/>
        <w:ind w:firstLine="281" w:firstLineChars="100"/>
        <w:rPr>
          <w:rFonts w:ascii="黑体" w:hAnsi="黑体" w:eastAsia="黑体" w:cs="黑体"/>
          <w:b/>
          <w:sz w:val="28"/>
          <w:szCs w:val="28"/>
        </w:rPr>
      </w:pPr>
      <w:r>
        <w:rPr>
          <w:rFonts w:hint="eastAsia" w:ascii="黑体" w:hAnsi="黑体" w:eastAsia="黑体" w:cs="黑体"/>
          <w:b/>
          <w:sz w:val="28"/>
          <w:szCs w:val="28"/>
        </w:rPr>
        <w:t>（一）估价对象范围</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根据委托方提供的《</w:t>
      </w:r>
      <w:r>
        <w:rPr>
          <w:rFonts w:hint="eastAsia" w:ascii="宋体" w:hAnsi="宋体" w:eastAsia="宋体" w:cs="宋体"/>
          <w:sz w:val="28"/>
          <w:szCs w:val="28"/>
          <w:lang w:eastAsia="zh-CN"/>
        </w:rPr>
        <w:t>不动产权利及其他事项登记信息</w:t>
      </w:r>
      <w:r>
        <w:rPr>
          <w:rFonts w:hint="eastAsia" w:ascii="宋体" w:hAnsi="宋体" w:eastAsia="宋体" w:cs="宋体"/>
          <w:sz w:val="28"/>
          <w:szCs w:val="28"/>
        </w:rPr>
        <w:t>》</w:t>
      </w:r>
      <w:r>
        <w:rPr>
          <w:rFonts w:hint="eastAsia" w:ascii="宋体" w:hAnsi="宋体" w:eastAsia="宋体" w:cs="宋体"/>
          <w:sz w:val="28"/>
          <w:szCs w:val="28"/>
          <w:lang w:eastAsia="zh-CN"/>
        </w:rPr>
        <w:t>《国有土地使用证》</w:t>
      </w:r>
      <w:r>
        <w:rPr>
          <w:rFonts w:hint="eastAsia" w:ascii="宋体" w:hAnsi="宋体" w:eastAsia="宋体" w:cs="宋体"/>
          <w:sz w:val="28"/>
          <w:szCs w:val="28"/>
        </w:rPr>
        <w:t>《</w:t>
      </w:r>
      <w:r>
        <w:rPr>
          <w:rFonts w:hint="eastAsia" w:ascii="宋体" w:hAnsi="宋体" w:eastAsia="宋体" w:cs="宋体"/>
          <w:sz w:val="28"/>
          <w:szCs w:val="28"/>
          <w:lang w:eastAsia="zh-CN"/>
        </w:rPr>
        <w:t>孝昌县人民法院司法鉴定委托书</w:t>
      </w:r>
      <w:r>
        <w:rPr>
          <w:rFonts w:hint="eastAsia" w:ascii="宋体" w:hAnsi="宋体" w:eastAsia="宋体" w:cs="宋体"/>
          <w:sz w:val="28"/>
          <w:szCs w:val="28"/>
        </w:rPr>
        <w:t>》并结合委托方的要求，本次估价对象的范围包括</w:t>
      </w:r>
      <w:r>
        <w:rPr>
          <w:rFonts w:hint="eastAsia" w:ascii="宋体" w:hAnsi="宋体" w:eastAsia="宋体" w:cs="宋体"/>
          <w:bCs/>
          <w:sz w:val="28"/>
          <w:szCs w:val="28"/>
          <w:lang w:eastAsia="zh-CN"/>
        </w:rPr>
        <w:t>肖运华</w:t>
      </w:r>
      <w:r>
        <w:rPr>
          <w:rFonts w:hint="eastAsia" w:ascii="宋体" w:hAnsi="宋体" w:eastAsia="宋体" w:cs="宋体"/>
          <w:bCs/>
          <w:sz w:val="28"/>
          <w:szCs w:val="28"/>
        </w:rPr>
        <w:t>位于</w:t>
      </w:r>
      <w:r>
        <w:rPr>
          <w:rFonts w:hint="eastAsia" w:ascii="宋体" w:hAnsi="宋体" w:eastAsia="宋体" w:cs="宋体"/>
          <w:bCs/>
          <w:sz w:val="28"/>
          <w:szCs w:val="28"/>
          <w:lang w:eastAsia="zh-CN"/>
        </w:rPr>
        <w:t>孝感市交通东路1幢2层201室</w:t>
      </w:r>
      <w:r>
        <w:rPr>
          <w:rFonts w:hint="eastAsia" w:ascii="宋体" w:hAnsi="宋体" w:eastAsia="宋体" w:cs="宋体"/>
          <w:sz w:val="28"/>
          <w:szCs w:val="28"/>
        </w:rPr>
        <w:t>的住宅房地产，建筑面积为</w:t>
      </w:r>
      <w:r>
        <w:rPr>
          <w:rFonts w:hint="eastAsia" w:ascii="宋体" w:hAnsi="宋体" w:eastAsia="宋体" w:cs="宋体"/>
          <w:sz w:val="28"/>
          <w:szCs w:val="28"/>
          <w:lang w:eastAsia="zh-CN"/>
        </w:rPr>
        <w:t>116.39</w:t>
      </w:r>
      <w:r>
        <w:rPr>
          <w:rFonts w:hint="eastAsia" w:ascii="宋体" w:hAnsi="宋体" w:eastAsia="宋体" w:cs="宋体"/>
          <w:sz w:val="28"/>
          <w:szCs w:val="28"/>
        </w:rPr>
        <w:t>㎡，土地使用权</w:t>
      </w:r>
      <w:r>
        <w:rPr>
          <w:rFonts w:hint="eastAsia" w:ascii="宋体" w:hAnsi="宋体" w:eastAsia="宋体" w:cs="宋体"/>
          <w:color w:val="auto"/>
          <w:sz w:val="28"/>
          <w:szCs w:val="28"/>
          <w:lang w:eastAsia="zh-CN"/>
        </w:rPr>
        <w:t>分摊</w:t>
      </w:r>
      <w:r>
        <w:rPr>
          <w:rFonts w:hint="eastAsia" w:ascii="宋体" w:hAnsi="宋体" w:eastAsia="宋体" w:cs="宋体"/>
          <w:sz w:val="28"/>
          <w:szCs w:val="28"/>
        </w:rPr>
        <w:t>面积</w:t>
      </w:r>
      <w:r>
        <w:rPr>
          <w:rFonts w:hint="eastAsia" w:ascii="宋体" w:hAnsi="宋体" w:eastAsia="宋体" w:cs="宋体"/>
          <w:sz w:val="28"/>
          <w:szCs w:val="28"/>
          <w:lang w:val="en-US" w:eastAsia="zh-CN"/>
        </w:rPr>
        <w:t>17.13㎡</w:t>
      </w:r>
      <w:r>
        <w:rPr>
          <w:rFonts w:hint="eastAsia" w:ascii="宋体" w:hAnsi="宋体" w:eastAsia="宋体" w:cs="宋体"/>
          <w:sz w:val="28"/>
          <w:szCs w:val="28"/>
        </w:rPr>
        <w:t>，以及与房地产不可分割的满足其使用功能的供水、供电、排水等配套设施。</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firstLine="281" w:firstLineChars="100"/>
        <w:textAlignment w:val="auto"/>
        <w:rPr>
          <w:rFonts w:hint="eastAsia" w:ascii="黑体" w:hAnsi="黑体" w:eastAsia="黑体" w:cs="黑体"/>
          <w:b/>
          <w:sz w:val="28"/>
          <w:szCs w:val="28"/>
        </w:rPr>
      </w:pPr>
      <w:r>
        <w:rPr>
          <w:rFonts w:hint="eastAsia" w:ascii="黑体" w:hAnsi="黑体" w:eastAsia="黑体" w:cs="黑体"/>
          <w:b/>
          <w:sz w:val="28"/>
          <w:szCs w:val="28"/>
        </w:rPr>
        <w:t>估价对象区位状况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sz w:val="28"/>
          <w:szCs w:val="28"/>
          <w:lang w:eastAsia="zh-CN"/>
        </w:rPr>
      </w:pPr>
      <w:r>
        <w:rPr>
          <w:rFonts w:hint="eastAsia" w:ascii="黑体" w:hAnsi="黑体" w:eastAsia="黑体" w:cs="黑体"/>
          <w:b/>
          <w:sz w:val="28"/>
          <w:szCs w:val="28"/>
          <w:lang w:eastAsia="zh-CN"/>
        </w:rPr>
        <w:drawing>
          <wp:anchor distT="0" distB="0" distL="114300" distR="114300" simplePos="0" relativeHeight="251661312" behindDoc="1" locked="0" layoutInCell="1" allowOverlap="1">
            <wp:simplePos x="0" y="0"/>
            <wp:positionH relativeFrom="column">
              <wp:posOffset>130175</wp:posOffset>
            </wp:positionH>
            <wp:positionV relativeFrom="paragraph">
              <wp:posOffset>21590</wp:posOffset>
            </wp:positionV>
            <wp:extent cx="5487670" cy="3613150"/>
            <wp:effectExtent l="0" t="0" r="17780" b="6350"/>
            <wp:wrapNone/>
            <wp:docPr id="8" name="图片 8" descr="QQ截图2020101609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201016091440"/>
                    <pic:cNvPicPr>
                      <a:picLocks noChangeAspect="1"/>
                    </pic:cNvPicPr>
                  </pic:nvPicPr>
                  <pic:blipFill>
                    <a:blip r:embed="rId9"/>
                    <a:stretch>
                      <a:fillRect/>
                    </a:stretch>
                  </pic:blipFill>
                  <pic:spPr>
                    <a:xfrm>
                      <a:off x="0" y="0"/>
                      <a:ext cx="5487670" cy="361315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sz w:val="28"/>
          <w:szCs w:val="28"/>
        </w:rPr>
      </w:pP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bCs/>
          <w:sz w:val="28"/>
          <w:szCs w:val="28"/>
        </w:rPr>
      </w:pPr>
      <w:r>
        <w:rPr>
          <w:rFonts w:hint="eastAsia" w:ascii="宋体" w:hAnsi="宋体" w:eastAsia="宋体" w:cs="宋体"/>
          <w:bCs/>
          <w:sz w:val="28"/>
          <w:szCs w:val="28"/>
        </w:rPr>
        <w:t>估价对象现位于</w:t>
      </w:r>
      <w:r>
        <w:rPr>
          <w:rFonts w:hint="eastAsia" w:ascii="宋体" w:hAnsi="宋体" w:eastAsia="宋体" w:cs="宋体"/>
          <w:bCs/>
          <w:sz w:val="28"/>
          <w:szCs w:val="28"/>
          <w:lang w:eastAsia="zh-CN"/>
        </w:rPr>
        <w:t>孝感市</w:t>
      </w:r>
      <w:r>
        <w:rPr>
          <w:rFonts w:hint="eastAsia" w:ascii="宋体" w:hAnsi="宋体" w:eastAsia="宋体" w:cs="宋体"/>
          <w:bCs/>
          <w:color w:val="auto"/>
          <w:sz w:val="28"/>
          <w:szCs w:val="28"/>
          <w:lang w:eastAsia="zh-CN"/>
        </w:rPr>
        <w:t>开发区群升社区群升小区，</w:t>
      </w:r>
      <w:r>
        <w:rPr>
          <w:rFonts w:hint="eastAsia" w:ascii="宋体" w:hAnsi="宋体" w:eastAsia="宋体" w:cs="宋体"/>
          <w:bCs/>
          <w:sz w:val="28"/>
          <w:szCs w:val="28"/>
          <w:lang w:eastAsia="zh-CN"/>
        </w:rPr>
        <w:t>交通东路1幢2层201室，</w:t>
      </w:r>
      <w:r>
        <w:rPr>
          <w:rFonts w:hint="eastAsia" w:ascii="宋体" w:hAnsi="宋体" w:eastAsia="宋体" w:cs="宋体"/>
          <w:bCs/>
          <w:sz w:val="28"/>
          <w:szCs w:val="28"/>
        </w:rPr>
        <w:t>东临</w:t>
      </w:r>
      <w:r>
        <w:rPr>
          <w:rFonts w:hint="eastAsia" w:ascii="宋体" w:hAnsi="宋体" w:eastAsia="宋体" w:cs="宋体"/>
          <w:bCs/>
          <w:sz w:val="28"/>
          <w:szCs w:val="28"/>
          <w:lang w:eastAsia="zh-CN"/>
        </w:rPr>
        <w:t>北京</w:t>
      </w:r>
      <w:r>
        <w:rPr>
          <w:rFonts w:hint="eastAsia" w:ascii="宋体" w:hAnsi="宋体" w:eastAsia="宋体" w:cs="宋体"/>
          <w:bCs/>
          <w:sz w:val="28"/>
          <w:szCs w:val="28"/>
        </w:rPr>
        <w:t>路，南临</w:t>
      </w:r>
      <w:r>
        <w:rPr>
          <w:rFonts w:hint="eastAsia" w:ascii="宋体" w:hAnsi="宋体" w:eastAsia="宋体" w:cs="宋体"/>
          <w:bCs/>
          <w:sz w:val="28"/>
          <w:szCs w:val="28"/>
          <w:lang w:eastAsia="zh-CN"/>
        </w:rPr>
        <w:t>交通大道</w:t>
      </w:r>
      <w:r>
        <w:rPr>
          <w:rFonts w:hint="eastAsia" w:ascii="宋体" w:hAnsi="宋体" w:eastAsia="宋体" w:cs="宋体"/>
          <w:bCs/>
          <w:sz w:val="28"/>
          <w:szCs w:val="28"/>
        </w:rPr>
        <w:t>，街道较繁华,出租车辆较多，道路等级较高，交通便捷度高。附近有</w:t>
      </w:r>
      <w:r>
        <w:rPr>
          <w:rFonts w:hint="eastAsia" w:ascii="宋体" w:hAnsi="宋体" w:eastAsia="宋体" w:cs="宋体"/>
          <w:bCs/>
          <w:sz w:val="28"/>
          <w:szCs w:val="28"/>
          <w:lang w:eastAsia="zh-CN"/>
        </w:rPr>
        <w:t>万峰苑</w:t>
      </w:r>
      <w:r>
        <w:rPr>
          <w:rFonts w:hint="eastAsia" w:ascii="宋体" w:hAnsi="宋体" w:eastAsia="宋体" w:cs="宋体"/>
          <w:bCs/>
          <w:sz w:val="28"/>
          <w:szCs w:val="28"/>
        </w:rPr>
        <w:t>小区、</w:t>
      </w:r>
      <w:r>
        <w:rPr>
          <w:rFonts w:hint="eastAsia" w:ascii="宋体" w:hAnsi="宋体" w:eastAsia="宋体" w:cs="宋体"/>
          <w:bCs/>
          <w:sz w:val="28"/>
          <w:szCs w:val="28"/>
          <w:lang w:eastAsia="zh-CN"/>
        </w:rPr>
        <w:t>红峰苑</w:t>
      </w:r>
      <w:r>
        <w:rPr>
          <w:rFonts w:hint="eastAsia" w:ascii="宋体" w:hAnsi="宋体" w:eastAsia="宋体" w:cs="宋体"/>
          <w:bCs/>
          <w:sz w:val="28"/>
          <w:szCs w:val="28"/>
        </w:rPr>
        <w:t>小区，</w:t>
      </w:r>
      <w:r>
        <w:rPr>
          <w:rFonts w:hint="eastAsia" w:ascii="宋体" w:hAnsi="宋体" w:eastAsia="宋体" w:cs="宋体"/>
          <w:bCs/>
          <w:sz w:val="28"/>
          <w:szCs w:val="28"/>
          <w:lang w:eastAsia="zh-CN"/>
        </w:rPr>
        <w:t>金利来小区，</w:t>
      </w:r>
      <w:r>
        <w:rPr>
          <w:rFonts w:hint="eastAsia" w:ascii="宋体" w:hAnsi="宋体" w:eastAsia="宋体" w:cs="宋体"/>
          <w:bCs/>
          <w:sz w:val="28"/>
          <w:szCs w:val="28"/>
        </w:rPr>
        <w:t>给排水、供电、供气、通路、通信等市政基础设施齐全完善，估价对象周边有</w:t>
      </w:r>
      <w:r>
        <w:rPr>
          <w:rFonts w:hint="eastAsia" w:ascii="宋体" w:hAnsi="宋体" w:eastAsia="宋体" w:cs="宋体"/>
          <w:bCs/>
          <w:sz w:val="28"/>
          <w:szCs w:val="28"/>
          <w:lang w:eastAsia="zh-CN"/>
        </w:rPr>
        <w:t>高新区群升小学</w:t>
      </w:r>
      <w:r>
        <w:rPr>
          <w:rFonts w:hint="eastAsia" w:ascii="宋体" w:hAnsi="宋体" w:eastAsia="宋体" w:cs="宋体"/>
          <w:bCs/>
          <w:sz w:val="28"/>
          <w:szCs w:val="28"/>
        </w:rPr>
        <w:t>、</w:t>
      </w:r>
      <w:r>
        <w:rPr>
          <w:rFonts w:hint="eastAsia" w:ascii="宋体" w:hAnsi="宋体" w:eastAsia="宋体" w:cs="宋体"/>
          <w:bCs/>
          <w:sz w:val="28"/>
          <w:szCs w:val="28"/>
          <w:lang w:eastAsia="zh-CN"/>
        </w:rPr>
        <w:t>国贸广场</w:t>
      </w:r>
      <w:r>
        <w:rPr>
          <w:rFonts w:hint="eastAsia" w:ascii="宋体" w:hAnsi="宋体" w:eastAsia="宋体" w:cs="宋体"/>
          <w:bCs/>
          <w:sz w:val="28"/>
          <w:szCs w:val="28"/>
        </w:rPr>
        <w:t>、</w:t>
      </w:r>
      <w:r>
        <w:rPr>
          <w:rFonts w:hint="eastAsia" w:ascii="宋体" w:hAnsi="宋体" w:eastAsia="宋体" w:cs="宋体"/>
          <w:bCs/>
          <w:sz w:val="28"/>
          <w:szCs w:val="28"/>
          <w:lang w:eastAsia="zh-CN"/>
        </w:rPr>
        <w:t>工商银行等</w:t>
      </w:r>
      <w:r>
        <w:rPr>
          <w:rFonts w:hint="eastAsia" w:ascii="宋体" w:hAnsi="宋体" w:eastAsia="宋体" w:cs="宋体"/>
          <w:bCs/>
          <w:sz w:val="28"/>
          <w:szCs w:val="28"/>
        </w:rPr>
        <w:t>公共配套设施，环境状况良好</w:t>
      </w:r>
      <w:r>
        <w:rPr>
          <w:rFonts w:hint="eastAsia" w:ascii="宋体" w:hAnsi="宋体" w:eastAsia="宋体" w:cs="宋体"/>
          <w:bCs/>
          <w:sz w:val="28"/>
          <w:szCs w:val="28"/>
          <w:lang w:eastAsia="zh-CN"/>
        </w:rPr>
        <w:t>，</w:t>
      </w:r>
      <w:r>
        <w:rPr>
          <w:rFonts w:hint="eastAsia" w:ascii="宋体" w:hAnsi="宋体" w:eastAsia="宋体" w:cs="宋体"/>
          <w:bCs/>
          <w:sz w:val="28"/>
          <w:szCs w:val="28"/>
        </w:rPr>
        <w:t>能满足居民日常生活所需。</w:t>
      </w:r>
    </w:p>
    <w:p>
      <w:pPr>
        <w:keepNext w:val="0"/>
        <w:keepLines w:val="0"/>
        <w:pageBreakBefore w:val="0"/>
        <w:widowControl w:val="0"/>
        <w:kinsoku/>
        <w:wordWrap/>
        <w:overflowPunct/>
        <w:topLinePunct w:val="0"/>
        <w:autoSpaceDE/>
        <w:autoSpaceDN/>
        <w:bidi w:val="0"/>
        <w:adjustRightInd/>
        <w:snapToGrid/>
        <w:spacing w:line="660" w:lineRule="exact"/>
        <w:ind w:firstLine="281" w:firstLineChars="100"/>
        <w:textAlignment w:val="auto"/>
        <w:rPr>
          <w:rFonts w:ascii="黑体" w:hAnsi="黑体" w:eastAsia="黑体" w:cs="黑体"/>
          <w:b/>
          <w:sz w:val="28"/>
          <w:szCs w:val="28"/>
        </w:rPr>
      </w:pPr>
      <w:r>
        <w:rPr>
          <w:rFonts w:hint="eastAsia" w:ascii="黑体" w:hAnsi="黑体" w:eastAsia="黑体" w:cs="黑体"/>
          <w:b/>
          <w:sz w:val="28"/>
          <w:szCs w:val="28"/>
        </w:rPr>
        <w:t>（三）估价对象实物状况</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8"/>
        </w:rPr>
      </w:pPr>
      <w:bookmarkStart w:id="8" w:name="实物"/>
      <w:r>
        <w:rPr>
          <w:rFonts w:hint="eastAsia" w:ascii="黑体" w:hAnsi="黑体" w:eastAsia="黑体" w:cs="黑体"/>
          <w:b/>
          <w:bCs/>
          <w:sz w:val="28"/>
          <w:szCs w:val="28"/>
        </w:rPr>
        <w:t>1、建筑物实物状况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本次估价对象房地产位于</w:t>
      </w:r>
      <w:r>
        <w:rPr>
          <w:rFonts w:hint="eastAsia" w:ascii="宋体" w:hAnsi="宋体" w:eastAsia="宋体" w:cs="宋体"/>
          <w:bCs/>
          <w:sz w:val="28"/>
          <w:szCs w:val="28"/>
          <w:lang w:eastAsia="zh-CN"/>
        </w:rPr>
        <w:t>孝感市交通东路1幢2层201室</w:t>
      </w:r>
      <w:r>
        <w:rPr>
          <w:rFonts w:hint="eastAsia" w:ascii="宋体" w:hAnsi="宋体" w:eastAsia="宋体" w:cs="宋体"/>
          <w:sz w:val="28"/>
          <w:szCs w:val="28"/>
        </w:rPr>
        <w:t>，</w:t>
      </w:r>
      <w:r>
        <w:rPr>
          <w:rFonts w:hint="eastAsia" w:ascii="宋体" w:hAnsi="宋体" w:eastAsia="宋体" w:cs="宋体"/>
          <w:bCs/>
          <w:sz w:val="28"/>
          <w:szCs w:val="28"/>
        </w:rPr>
        <w:t>房屋总层数6层，所在层第</w:t>
      </w:r>
      <w:r>
        <w:rPr>
          <w:rFonts w:hint="eastAsia" w:ascii="宋体" w:hAnsi="宋体" w:eastAsia="宋体" w:cs="宋体"/>
          <w:bCs/>
          <w:sz w:val="28"/>
          <w:szCs w:val="28"/>
          <w:lang w:val="en-US" w:eastAsia="zh-CN"/>
        </w:rPr>
        <w:t>2</w:t>
      </w:r>
      <w:r>
        <w:rPr>
          <w:rFonts w:hint="eastAsia" w:ascii="宋体" w:hAnsi="宋体" w:eastAsia="宋体" w:cs="宋体"/>
          <w:bCs/>
          <w:sz w:val="28"/>
          <w:szCs w:val="28"/>
        </w:rPr>
        <w:t>层，估价对象建于</w:t>
      </w:r>
      <w:r>
        <w:rPr>
          <w:rFonts w:hint="eastAsia" w:ascii="宋体" w:hAnsi="宋体" w:eastAsia="宋体" w:cs="宋体"/>
          <w:bCs/>
          <w:color w:val="auto"/>
          <w:sz w:val="28"/>
          <w:szCs w:val="28"/>
          <w:lang w:val="en-US" w:eastAsia="zh-CN"/>
        </w:rPr>
        <w:t>2002</w:t>
      </w:r>
      <w:r>
        <w:rPr>
          <w:rFonts w:hint="eastAsia" w:ascii="宋体" w:hAnsi="宋体" w:eastAsia="宋体" w:cs="宋体"/>
          <w:bCs/>
          <w:sz w:val="28"/>
          <w:szCs w:val="28"/>
        </w:rPr>
        <w:t>年左右，混合结构，楼梯房，房屋建筑面积为</w:t>
      </w:r>
      <w:r>
        <w:rPr>
          <w:rFonts w:hint="eastAsia" w:ascii="宋体" w:hAnsi="宋体" w:eastAsia="宋体" w:cs="宋体"/>
          <w:bCs/>
          <w:sz w:val="28"/>
          <w:szCs w:val="28"/>
          <w:lang w:eastAsia="zh-CN"/>
        </w:rPr>
        <w:t>116.39</w:t>
      </w:r>
      <w:r>
        <w:rPr>
          <w:rFonts w:hint="eastAsia" w:ascii="宋体" w:hAnsi="宋体" w:eastAsia="宋体" w:cs="宋体"/>
          <w:bCs/>
          <w:sz w:val="28"/>
          <w:szCs w:val="28"/>
        </w:rPr>
        <w:t>㎡，产权人为</w:t>
      </w:r>
      <w:r>
        <w:rPr>
          <w:rFonts w:hint="eastAsia" w:ascii="宋体" w:hAnsi="宋体" w:eastAsia="宋体" w:cs="宋体"/>
          <w:bCs/>
          <w:sz w:val="28"/>
          <w:szCs w:val="28"/>
          <w:lang w:eastAsia="zh-CN"/>
        </w:rPr>
        <w:t>肖运华单独所有</w:t>
      </w:r>
      <w:r>
        <w:rPr>
          <w:rFonts w:hint="eastAsia" w:ascii="宋体" w:hAnsi="宋体" w:eastAsia="宋体" w:cs="宋体"/>
          <w:bCs/>
          <w:sz w:val="28"/>
          <w:szCs w:val="28"/>
        </w:rPr>
        <w:t>。经勘察，估价对象外墙为</w:t>
      </w:r>
      <w:r>
        <w:rPr>
          <w:rFonts w:hint="eastAsia" w:ascii="宋体" w:hAnsi="宋体" w:eastAsia="宋体" w:cs="宋体"/>
          <w:bCs/>
          <w:sz w:val="28"/>
          <w:szCs w:val="28"/>
          <w:lang w:eastAsia="zh-CN"/>
        </w:rPr>
        <w:t>水泥漆</w:t>
      </w:r>
      <w:r>
        <w:rPr>
          <w:rFonts w:hint="eastAsia" w:ascii="宋体" w:hAnsi="宋体" w:eastAsia="宋体" w:cs="宋体"/>
          <w:bCs/>
          <w:sz w:val="28"/>
          <w:szCs w:val="28"/>
        </w:rPr>
        <w:t>饰面，</w:t>
      </w:r>
      <w:r>
        <w:rPr>
          <w:rFonts w:hint="eastAsia" w:ascii="宋体" w:hAnsi="宋体" w:eastAsia="宋体" w:cs="宋体"/>
          <w:bCs/>
          <w:sz w:val="28"/>
          <w:szCs w:val="28"/>
          <w:lang w:eastAsia="zh-CN"/>
        </w:rPr>
        <w:t>室内普通装修：瓷砖地面，乳胶漆墙面，客厅、餐厅造型吊顶，其中一间卧室木地板地面，厨房，卫生间瓷砖地面，瓷砖墙面，扣板吊顶，塑钢窗，防盗门，水电卫设备安装齐全，</w:t>
      </w:r>
      <w:r>
        <w:rPr>
          <w:rFonts w:hint="eastAsia" w:ascii="宋体" w:hAnsi="宋体" w:eastAsia="宋体" w:cs="宋体"/>
          <w:sz w:val="28"/>
          <w:szCs w:val="28"/>
        </w:rPr>
        <w:t>根据现场勘查情况，综合评定房地产为完好房，综合成新率9</w:t>
      </w:r>
      <w:r>
        <w:rPr>
          <w:rFonts w:hint="eastAsia" w:ascii="宋体" w:hAnsi="宋体" w:eastAsia="宋体" w:cs="宋体"/>
          <w:sz w:val="28"/>
          <w:szCs w:val="28"/>
          <w:lang w:val="en-US" w:eastAsia="zh-CN"/>
        </w:rPr>
        <w:t>0</w:t>
      </w:r>
      <w:r>
        <w:rPr>
          <w:rFonts w:hint="eastAsia" w:ascii="宋体" w:hAnsi="宋体" w:eastAsia="宋体" w:cs="宋体"/>
          <w:sz w:val="28"/>
          <w:szCs w:val="28"/>
        </w:rPr>
        <w:t>%。估价对象房地产基本情详见下图：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504180" cy="4940935"/>
            <wp:effectExtent l="0" t="0" r="1270" b="12065"/>
            <wp:docPr id="9" name="图片 9" descr="fba05bc79a674ffe47beae87dec5bbd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ba05bc79a674ffe47beae87dec5bbd_副本"/>
                    <pic:cNvPicPr>
                      <a:picLocks noChangeAspect="1"/>
                    </pic:cNvPicPr>
                  </pic:nvPicPr>
                  <pic:blipFill>
                    <a:blip r:embed="rId10"/>
                    <a:stretch>
                      <a:fillRect/>
                    </a:stretch>
                  </pic:blipFill>
                  <pic:spPr>
                    <a:xfrm>
                      <a:off x="0" y="0"/>
                      <a:ext cx="5504180" cy="4940935"/>
                    </a:xfrm>
                    <a:prstGeom prst="rect">
                      <a:avLst/>
                    </a:prstGeom>
                  </pic:spPr>
                </pic:pic>
              </a:graphicData>
            </a:graphic>
          </wp:inline>
        </w:drawing>
      </w:r>
    </w:p>
    <w:p>
      <w:pPr>
        <w:spacing w:line="6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2、土地实物状况</w:t>
      </w:r>
    </w:p>
    <w:p>
      <w:pPr>
        <w:spacing w:line="6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估价对象土地坐落</w:t>
      </w:r>
      <w:r>
        <w:rPr>
          <w:rFonts w:hint="eastAsia" w:ascii="宋体" w:hAnsi="宋体" w:eastAsia="宋体" w:cs="宋体"/>
          <w:bCs/>
          <w:sz w:val="28"/>
          <w:szCs w:val="28"/>
          <w:lang w:eastAsia="zh-CN"/>
        </w:rPr>
        <w:t>孝感市交通东路1幢2层201室</w:t>
      </w:r>
      <w:r>
        <w:rPr>
          <w:rFonts w:hint="eastAsia" w:ascii="宋体" w:hAnsi="宋体" w:eastAsia="宋体" w:cs="宋体"/>
          <w:sz w:val="28"/>
          <w:szCs w:val="28"/>
        </w:rPr>
        <w:t>，土地</w:t>
      </w:r>
      <w:r>
        <w:rPr>
          <w:rFonts w:hint="eastAsia" w:ascii="宋体" w:hAnsi="宋体" w:eastAsia="宋体" w:cs="宋体"/>
          <w:sz w:val="28"/>
          <w:szCs w:val="28"/>
          <w:lang w:eastAsia="zh-CN"/>
        </w:rPr>
        <w:t>使用权</w:t>
      </w:r>
      <w:r>
        <w:rPr>
          <w:rFonts w:hint="eastAsia" w:ascii="宋体" w:hAnsi="宋体" w:eastAsia="宋体" w:cs="宋体"/>
          <w:sz w:val="28"/>
          <w:szCs w:val="28"/>
        </w:rPr>
        <w:t>面积</w:t>
      </w:r>
      <w:bookmarkEnd w:id="8"/>
      <w:r>
        <w:rPr>
          <w:rFonts w:hint="eastAsia" w:ascii="宋体" w:hAnsi="宋体" w:eastAsia="宋体" w:cs="宋体"/>
          <w:sz w:val="28"/>
          <w:szCs w:val="28"/>
          <w:lang w:val="en-US" w:eastAsia="zh-CN"/>
        </w:rPr>
        <w:t>17.13㎡</w:t>
      </w:r>
      <w:r>
        <w:rPr>
          <w:rFonts w:hint="eastAsia" w:ascii="宋体" w:hAnsi="宋体" w:eastAsia="宋体" w:cs="宋体"/>
          <w:sz w:val="28"/>
          <w:szCs w:val="28"/>
        </w:rPr>
        <w:t>。地势、地质、水文状况：地势较平坦，地基承载力较高，地质状况较良好</w:t>
      </w:r>
      <w:r>
        <w:rPr>
          <w:rFonts w:hint="eastAsia" w:ascii="宋体" w:hAnsi="宋体" w:eastAsia="宋体" w:cs="宋体"/>
          <w:sz w:val="28"/>
          <w:szCs w:val="28"/>
          <w:lang w:eastAsia="zh-CN"/>
        </w:rPr>
        <w:t>，</w:t>
      </w:r>
      <w:r>
        <w:rPr>
          <w:rFonts w:hint="eastAsia" w:ascii="宋体" w:hAnsi="宋体" w:eastAsia="宋体" w:cs="宋体"/>
          <w:sz w:val="28"/>
          <w:szCs w:val="28"/>
        </w:rPr>
        <w:t>宗地形状为较规则。</w:t>
      </w:r>
    </w:p>
    <w:p>
      <w:p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8"/>
        </w:rPr>
        <w:t>3、权益状况</w:t>
      </w:r>
    </w:p>
    <w:p>
      <w:pPr>
        <w:spacing w:line="660" w:lineRule="exact"/>
        <w:ind w:firstLine="560" w:firstLineChars="200"/>
        <w:rPr>
          <w:rFonts w:ascii="宋体" w:hAnsi="宋体" w:eastAsia="宋体" w:cs="宋体"/>
          <w:sz w:val="28"/>
          <w:szCs w:val="28"/>
        </w:rPr>
      </w:pPr>
      <w:bookmarkStart w:id="9" w:name="_Toc463791716"/>
      <w:r>
        <w:rPr>
          <w:rFonts w:hint="eastAsia" w:ascii="宋体" w:hAnsi="宋体" w:eastAsia="宋体" w:cs="宋体"/>
          <w:sz w:val="28"/>
          <w:szCs w:val="28"/>
          <w:lang w:eastAsia="zh-CN"/>
        </w:rPr>
        <w:t>委托方提供了</w:t>
      </w:r>
      <w:r>
        <w:rPr>
          <w:rFonts w:hint="eastAsia" w:ascii="宋体" w:hAnsi="宋体" w:eastAsia="宋体" w:cs="宋体"/>
          <w:sz w:val="28"/>
          <w:szCs w:val="28"/>
        </w:rPr>
        <w:t>估价对象《</w:t>
      </w:r>
      <w:r>
        <w:rPr>
          <w:rFonts w:hint="eastAsia" w:ascii="宋体" w:hAnsi="宋体" w:eastAsia="宋体" w:cs="宋体"/>
          <w:sz w:val="28"/>
          <w:szCs w:val="28"/>
          <w:lang w:eastAsia="zh-CN"/>
        </w:rPr>
        <w:t>不动产权利及其他事项登记信息</w:t>
      </w:r>
      <w:r>
        <w:rPr>
          <w:rFonts w:hint="eastAsia" w:ascii="宋体" w:hAnsi="宋体" w:eastAsia="宋体" w:cs="宋体"/>
          <w:sz w:val="28"/>
          <w:szCs w:val="28"/>
        </w:rPr>
        <w:t>》，情况如下：</w:t>
      </w:r>
    </w:p>
    <w:tbl>
      <w:tblPr>
        <w:tblStyle w:val="5"/>
        <w:tblW w:w="871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858" w:type="dxa"/>
            <w:vAlign w:val="center"/>
          </w:tcPr>
          <w:p>
            <w:pPr>
              <w:spacing w:line="300" w:lineRule="exact"/>
              <w:jc w:val="center"/>
              <w:outlineLvl w:val="0"/>
              <w:rPr>
                <w:rFonts w:ascii="宋体" w:hAnsi="宋体" w:eastAsia="宋体" w:cs="宋体"/>
                <w:szCs w:val="21"/>
              </w:rPr>
            </w:pPr>
            <w:r>
              <w:rPr>
                <w:rFonts w:hint="eastAsia" w:ascii="宋体" w:hAnsi="宋体" w:eastAsia="宋体" w:cs="宋体"/>
                <w:szCs w:val="21"/>
              </w:rPr>
              <w:t>房产证号</w:t>
            </w:r>
          </w:p>
        </w:tc>
        <w:tc>
          <w:tcPr>
            <w:tcW w:w="5858" w:type="dxa"/>
            <w:vAlign w:val="center"/>
          </w:tcPr>
          <w:p>
            <w:pPr>
              <w:spacing w:line="300" w:lineRule="exact"/>
              <w:jc w:val="center"/>
              <w:outlineLvl w:val="0"/>
              <w:rPr>
                <w:rFonts w:ascii="宋体" w:hAnsi="宋体" w:eastAsia="宋体" w:cs="宋体"/>
                <w:szCs w:val="21"/>
              </w:rPr>
            </w:pPr>
            <w:r>
              <w:rPr>
                <w:rFonts w:hint="eastAsia" w:ascii="宋体" w:hAnsi="宋体" w:eastAsia="宋体" w:cs="宋体"/>
                <w:szCs w:val="21"/>
                <w:lang w:eastAsia="zh-CN"/>
              </w:rPr>
              <w:t>孝感市房权证</w:t>
            </w:r>
            <w:r>
              <w:rPr>
                <w:rFonts w:hint="eastAsia" w:ascii="宋体" w:hAnsi="宋体" w:eastAsia="宋体" w:cs="宋体"/>
                <w:szCs w:val="21"/>
              </w:rPr>
              <w:t>字第00</w:t>
            </w:r>
            <w:r>
              <w:rPr>
                <w:rFonts w:hint="eastAsia" w:ascii="宋体" w:hAnsi="宋体" w:eastAsia="宋体" w:cs="宋体"/>
                <w:szCs w:val="21"/>
                <w:lang w:val="en-US" w:eastAsia="zh-CN"/>
              </w:rPr>
              <w:t>142556</w:t>
            </w:r>
            <w:r>
              <w:rPr>
                <w:rFonts w:hint="eastAsia" w:ascii="宋体" w:hAnsi="宋体" w:eastAsia="宋体" w:cs="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858" w:type="dxa"/>
            <w:vAlign w:val="center"/>
          </w:tcPr>
          <w:p>
            <w:pPr>
              <w:spacing w:line="300" w:lineRule="exact"/>
              <w:jc w:val="center"/>
              <w:outlineLvl w:val="0"/>
              <w:rPr>
                <w:rFonts w:ascii="宋体" w:hAnsi="宋体" w:eastAsia="宋体" w:cs="宋体"/>
                <w:szCs w:val="21"/>
              </w:rPr>
            </w:pPr>
            <w:r>
              <w:rPr>
                <w:rFonts w:hint="eastAsia" w:ascii="宋体" w:hAnsi="宋体" w:eastAsia="宋体" w:cs="宋体"/>
                <w:szCs w:val="21"/>
              </w:rPr>
              <w:t>房屋所有权人</w:t>
            </w:r>
          </w:p>
        </w:tc>
        <w:tc>
          <w:tcPr>
            <w:tcW w:w="5858"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肖运华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858"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房屋共有情况</w:t>
            </w:r>
          </w:p>
        </w:tc>
        <w:tc>
          <w:tcPr>
            <w:tcW w:w="5858"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858"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szCs w:val="21"/>
              </w:rPr>
              <w:t>房屋坐落</w:t>
            </w:r>
          </w:p>
        </w:tc>
        <w:tc>
          <w:tcPr>
            <w:tcW w:w="5858"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szCs w:val="21"/>
                <w:lang w:eastAsia="zh-CN"/>
              </w:rPr>
              <w:t>孝感市交通东路</w:t>
            </w:r>
            <w:r>
              <w:rPr>
                <w:rFonts w:hint="eastAsia" w:ascii="宋体" w:hAnsi="宋体" w:eastAsia="宋体" w:cs="宋体"/>
                <w:szCs w:val="21"/>
                <w:lang w:val="en-US" w:eastAsia="zh-CN"/>
              </w:rPr>
              <w:t>1幢2层201室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58"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结构</w:t>
            </w:r>
          </w:p>
        </w:tc>
        <w:tc>
          <w:tcPr>
            <w:tcW w:w="5858"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858"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szCs w:val="21"/>
              </w:rPr>
              <w:t>所在层数/总层数</w:t>
            </w:r>
          </w:p>
        </w:tc>
        <w:tc>
          <w:tcPr>
            <w:tcW w:w="5858"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szCs w:val="21"/>
                <w:lang w:val="en-US" w:eastAsia="zh-CN"/>
              </w:rPr>
              <w:t>2</w:t>
            </w:r>
            <w:r>
              <w:rPr>
                <w:rFonts w:hint="eastAsia" w:ascii="宋体" w:hAnsi="宋体" w:eastAsia="宋体" w:cs="宋体"/>
                <w:szCs w:val="21"/>
              </w:rPr>
              <w:t>层/6层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58"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szCs w:val="21"/>
              </w:rPr>
              <w:t>建筑面积</w:t>
            </w:r>
          </w:p>
        </w:tc>
        <w:tc>
          <w:tcPr>
            <w:tcW w:w="5858"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szCs w:val="21"/>
                <w:lang w:eastAsia="zh-CN"/>
              </w:rPr>
              <w:t>116.39</w:t>
            </w:r>
            <w:r>
              <w:rPr>
                <w:rFonts w:hint="eastAsia" w:ascii="宋体" w:hAnsi="宋体" w:eastAsia="宋体" w:cs="宋体"/>
                <w:szCs w:val="21"/>
              </w:rPr>
              <w:t>㎡</w:t>
            </w:r>
          </w:p>
        </w:tc>
      </w:tr>
    </w:tbl>
    <w:p>
      <w:pPr>
        <w:spacing w:line="6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委托方提供了估价对象</w:t>
      </w:r>
      <w:r>
        <w:rPr>
          <w:rFonts w:hint="eastAsia" w:ascii="宋体" w:hAnsi="宋体" w:eastAsia="宋体" w:cs="宋体"/>
          <w:sz w:val="28"/>
          <w:szCs w:val="28"/>
        </w:rPr>
        <w:t>估价《国有土地使用证》</w:t>
      </w:r>
      <w:r>
        <w:rPr>
          <w:rFonts w:hint="eastAsia" w:ascii="宋体" w:hAnsi="宋体" w:eastAsia="宋体" w:cs="宋体"/>
          <w:sz w:val="28"/>
          <w:szCs w:val="28"/>
          <w:lang w:eastAsia="zh-CN"/>
        </w:rPr>
        <w:t>证载情况如下：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Cs w:val="21"/>
                <w:lang w:eastAsia="zh-CN"/>
              </w:rPr>
              <w:t>土地证号</w:t>
            </w:r>
          </w:p>
        </w:tc>
        <w:tc>
          <w:tcPr>
            <w:tcW w:w="5947" w:type="dxa"/>
            <w:vAlign w:val="top"/>
          </w:tcPr>
          <w:p>
            <w:pPr>
              <w:spacing w:line="660" w:lineRule="exact"/>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孝开国用（</w:t>
            </w:r>
            <w:r>
              <w:rPr>
                <w:rFonts w:hint="eastAsia" w:ascii="宋体" w:hAnsi="宋体" w:eastAsia="宋体" w:cs="宋体"/>
                <w:sz w:val="21"/>
                <w:szCs w:val="21"/>
                <w:vertAlign w:val="baseline"/>
                <w:lang w:val="en-US" w:eastAsia="zh-CN"/>
              </w:rPr>
              <w:t>2013</w:t>
            </w:r>
            <w:r>
              <w:rPr>
                <w:rFonts w:hint="eastAsia" w:ascii="宋体" w:hAnsi="宋体" w:eastAsia="宋体" w:cs="宋体"/>
                <w:sz w:val="21"/>
                <w:szCs w:val="21"/>
                <w:vertAlign w:val="baseline"/>
                <w:lang w:eastAsia="zh-CN"/>
              </w:rPr>
              <w:t>）第</w:t>
            </w:r>
            <w:r>
              <w:rPr>
                <w:rFonts w:hint="eastAsia" w:ascii="宋体" w:hAnsi="宋体" w:eastAsia="宋体" w:cs="宋体"/>
                <w:sz w:val="21"/>
                <w:szCs w:val="21"/>
                <w:vertAlign w:val="baseline"/>
                <w:lang w:val="en-US" w:eastAsia="zh-CN"/>
              </w:rPr>
              <w:t>5-0505号补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土地使用权人</w:t>
            </w:r>
          </w:p>
        </w:tc>
        <w:tc>
          <w:tcPr>
            <w:tcW w:w="5947"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肖运华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坐落</w:t>
            </w:r>
          </w:p>
        </w:tc>
        <w:tc>
          <w:tcPr>
            <w:tcW w:w="5947"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孝感市开发区群升社区群升北区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地类用途</w:t>
            </w:r>
          </w:p>
        </w:tc>
        <w:tc>
          <w:tcPr>
            <w:tcW w:w="5947"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使用权类型</w:t>
            </w:r>
          </w:p>
        </w:tc>
        <w:tc>
          <w:tcPr>
            <w:tcW w:w="5947"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终止日期</w:t>
            </w:r>
          </w:p>
        </w:tc>
        <w:tc>
          <w:tcPr>
            <w:tcW w:w="5947" w:type="dxa"/>
            <w:vAlign w:val="top"/>
          </w:tcPr>
          <w:p>
            <w:pPr>
              <w:spacing w:line="660" w:lineRule="exact"/>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2045年1月6日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2939" w:type="dxa"/>
            <w:vAlign w:val="top"/>
          </w:tcPr>
          <w:p>
            <w:pPr>
              <w:spacing w:line="66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使用权面积</w:t>
            </w:r>
          </w:p>
        </w:tc>
        <w:tc>
          <w:tcPr>
            <w:tcW w:w="5947" w:type="dxa"/>
            <w:vAlign w:val="top"/>
          </w:tcPr>
          <w:p>
            <w:pPr>
              <w:spacing w:line="660" w:lineRule="exact"/>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17.13㎡</w:t>
            </w:r>
          </w:p>
        </w:tc>
      </w:tr>
    </w:tbl>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r>
        <w:rPr>
          <w:rFonts w:hint="eastAsia" w:ascii="黑体" w:hAnsi="黑体" w:eastAsia="黑体" w:cs="黑体"/>
          <w:b/>
          <w:bCs/>
          <w:sz w:val="28"/>
          <w:szCs w:val="28"/>
        </w:rPr>
        <w:t>五、价值时点</w:t>
      </w:r>
      <w:bookmarkEnd w:id="9"/>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本次估价以</w:t>
      </w:r>
      <w:r>
        <w:rPr>
          <w:rFonts w:hint="eastAsia" w:ascii="宋体" w:hAnsi="宋体" w:eastAsia="宋体" w:cs="宋体"/>
          <w:sz w:val="28"/>
          <w:szCs w:val="28"/>
          <w:lang w:eastAsia="zh-CN"/>
        </w:rPr>
        <w:t>委托日期</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日作为价值时点。</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bookmarkStart w:id="10" w:name="_Toc463791717"/>
      <w:r>
        <w:rPr>
          <w:rFonts w:hint="eastAsia" w:ascii="黑体" w:hAnsi="黑体" w:eastAsia="黑体" w:cs="黑体"/>
          <w:b/>
          <w:bCs/>
          <w:sz w:val="28"/>
          <w:szCs w:val="28"/>
        </w:rPr>
        <w:t>六、价值类型</w:t>
      </w:r>
      <w:bookmarkEnd w:id="10"/>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本次估价价格为估价对象在价值时点完整权利状态及满足各项假设限制条件下的房地产市场价值，所采用的价值标准为市场价值标准。</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bookmarkStart w:id="11" w:name="_Toc463791718"/>
      <w:r>
        <w:rPr>
          <w:rFonts w:hint="eastAsia" w:ascii="黑体" w:hAnsi="黑体" w:eastAsia="黑体" w:cs="黑体"/>
          <w:b/>
          <w:bCs/>
          <w:sz w:val="28"/>
          <w:szCs w:val="28"/>
        </w:rPr>
        <w:t>七、估价原则</w:t>
      </w:r>
      <w:bookmarkEnd w:id="11"/>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本次评估在遵循公正、公平、公开、客观、科学原则的前提下，具体依据下列原则：</w:t>
      </w:r>
    </w:p>
    <w:p>
      <w:pPr>
        <w:keepNext w:val="0"/>
        <w:keepLines w:val="0"/>
        <w:pageBreakBefore w:val="0"/>
        <w:widowControl w:val="0"/>
        <w:kinsoku/>
        <w:wordWrap/>
        <w:overflowPunct/>
        <w:topLinePunct w:val="0"/>
        <w:autoSpaceDE/>
        <w:autoSpaceDN/>
        <w:bidi w:val="0"/>
        <w:adjustRightInd/>
        <w:snapToGrid/>
        <w:spacing w:line="660" w:lineRule="exact"/>
        <w:ind w:firstLine="281" w:firstLineChars="100"/>
        <w:jc w:val="left"/>
        <w:textAlignment w:val="auto"/>
        <w:rPr>
          <w:rFonts w:ascii="黑体" w:hAnsi="黑体" w:eastAsia="黑体" w:cs="黑体"/>
          <w:b/>
          <w:bCs/>
          <w:sz w:val="28"/>
          <w:szCs w:val="28"/>
        </w:rPr>
      </w:pPr>
      <w:r>
        <w:rPr>
          <w:rFonts w:hint="eastAsia" w:ascii="黑体" w:hAnsi="黑体" w:eastAsia="黑体" w:cs="黑体"/>
          <w:b/>
          <w:bCs/>
          <w:sz w:val="28"/>
          <w:szCs w:val="28"/>
        </w:rPr>
        <w:t>（一）合法原则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keepNext w:val="0"/>
        <w:keepLines w:val="0"/>
        <w:pageBreakBefore w:val="0"/>
        <w:widowControl w:val="0"/>
        <w:kinsoku/>
        <w:wordWrap/>
        <w:overflowPunct/>
        <w:topLinePunct w:val="0"/>
        <w:autoSpaceDE/>
        <w:autoSpaceDN/>
        <w:bidi w:val="0"/>
        <w:adjustRightInd/>
        <w:snapToGrid/>
        <w:spacing w:line="660" w:lineRule="exact"/>
        <w:ind w:firstLine="281" w:firstLineChars="100"/>
        <w:textAlignment w:val="auto"/>
        <w:rPr>
          <w:rFonts w:ascii="黑体" w:hAnsi="黑体" w:eastAsia="黑体" w:cs="黑体"/>
          <w:b/>
          <w:bCs/>
          <w:sz w:val="28"/>
          <w:szCs w:val="28"/>
        </w:rPr>
      </w:pPr>
      <w:r>
        <w:rPr>
          <w:rFonts w:hint="eastAsia" w:ascii="黑体" w:hAnsi="黑体" w:eastAsia="黑体" w:cs="黑体"/>
          <w:b/>
          <w:bCs/>
          <w:sz w:val="28"/>
          <w:szCs w:val="28"/>
        </w:rPr>
        <w:t>（二）最高最佳使用原则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color w:val="auto"/>
          <w:sz w:val="28"/>
          <w:szCs w:val="28"/>
        </w:rPr>
        <w:t>所谓最高最佳使用，要求房地产估价应以估价对象的最高最佳使用为前提进行。它是指法律上允许，技术上可能，财务上可行，经过充分</w:t>
      </w:r>
      <w:r>
        <w:rPr>
          <w:rFonts w:hint="eastAsia" w:ascii="宋体" w:hAnsi="宋体" w:eastAsia="宋体" w:cs="宋体"/>
          <w:sz w:val="28"/>
          <w:szCs w:val="28"/>
        </w:rPr>
        <w:t>合理的论证，能使估价对象的价值达到最大的一种最可能的使用。</w:t>
      </w:r>
    </w:p>
    <w:p>
      <w:pPr>
        <w:keepNext w:val="0"/>
        <w:keepLines w:val="0"/>
        <w:pageBreakBefore w:val="0"/>
        <w:widowControl w:val="0"/>
        <w:kinsoku/>
        <w:wordWrap/>
        <w:overflowPunct/>
        <w:topLinePunct w:val="0"/>
        <w:autoSpaceDE/>
        <w:autoSpaceDN/>
        <w:bidi w:val="0"/>
        <w:adjustRightInd/>
        <w:snapToGrid/>
        <w:spacing w:line="660" w:lineRule="exact"/>
        <w:ind w:firstLine="281" w:firstLineChars="100"/>
        <w:textAlignment w:val="auto"/>
        <w:rPr>
          <w:rFonts w:ascii="黑体" w:hAnsi="黑体" w:eastAsia="黑体" w:cs="黑体"/>
          <w:b/>
          <w:bCs/>
          <w:sz w:val="28"/>
          <w:szCs w:val="28"/>
        </w:rPr>
      </w:pPr>
      <w:r>
        <w:rPr>
          <w:rFonts w:hint="eastAsia" w:ascii="黑体" w:hAnsi="黑体" w:eastAsia="黑体" w:cs="黑体"/>
          <w:b/>
          <w:bCs/>
          <w:sz w:val="28"/>
          <w:szCs w:val="28"/>
        </w:rPr>
        <w:t>（三）房地产替代性原则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spacing w:line="660" w:lineRule="exact"/>
        <w:ind w:firstLine="281" w:firstLineChars="100"/>
        <w:rPr>
          <w:rFonts w:ascii="黑体" w:hAnsi="黑体" w:eastAsia="黑体" w:cs="黑体"/>
          <w:b/>
          <w:bCs/>
          <w:sz w:val="28"/>
          <w:szCs w:val="28"/>
        </w:rPr>
      </w:pPr>
      <w:r>
        <w:rPr>
          <w:rFonts w:hint="eastAsia" w:ascii="黑体" w:hAnsi="黑体" w:eastAsia="黑体" w:cs="黑体"/>
          <w:b/>
          <w:bCs/>
          <w:sz w:val="28"/>
          <w:szCs w:val="28"/>
        </w:rPr>
        <w:t>（四）价值时点原则</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spacing w:line="660" w:lineRule="exact"/>
        <w:ind w:firstLine="562" w:firstLineChars="200"/>
        <w:outlineLvl w:val="0"/>
        <w:rPr>
          <w:rFonts w:ascii="黑体" w:hAnsi="黑体" w:eastAsia="黑体" w:cs="黑体"/>
          <w:b/>
          <w:bCs/>
          <w:sz w:val="28"/>
          <w:szCs w:val="28"/>
        </w:rPr>
      </w:pPr>
      <w:bookmarkStart w:id="12" w:name="_Toc463791719"/>
      <w:r>
        <w:rPr>
          <w:rFonts w:hint="eastAsia" w:ascii="黑体" w:hAnsi="黑体" w:eastAsia="黑体" w:cs="黑体"/>
          <w:b/>
          <w:bCs/>
          <w:sz w:val="28"/>
          <w:szCs w:val="28"/>
        </w:rPr>
        <w:t>八、估价依据</w:t>
      </w:r>
      <w:bookmarkEnd w:id="12"/>
    </w:p>
    <w:p>
      <w:pPr>
        <w:spacing w:line="6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w:t>
      </w:r>
      <w:r>
        <w:rPr>
          <w:rFonts w:hint="eastAsia" w:ascii="宋体" w:hAnsi="宋体" w:eastAsia="宋体" w:cs="宋体"/>
          <w:color w:val="auto"/>
          <w:sz w:val="28"/>
          <w:szCs w:val="28"/>
          <w:lang w:eastAsia="zh-CN"/>
        </w:rPr>
        <w:t>价格</w:t>
      </w:r>
      <w:r>
        <w:rPr>
          <w:rFonts w:hint="eastAsia" w:ascii="宋体" w:hAnsi="宋体" w:eastAsia="宋体" w:cs="宋体"/>
          <w:color w:val="auto"/>
          <w:sz w:val="28"/>
          <w:szCs w:val="28"/>
        </w:rPr>
        <w:t>法》。</w:t>
      </w:r>
    </w:p>
    <w:p>
      <w:pPr>
        <w:spacing w:line="6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w:t>
      </w:r>
      <w:r>
        <w:rPr>
          <w:rFonts w:hint="eastAsia" w:ascii="宋体" w:hAnsi="宋体" w:eastAsia="宋体" w:cs="宋体"/>
          <w:color w:val="auto"/>
          <w:sz w:val="28"/>
          <w:szCs w:val="28"/>
          <w:lang w:eastAsia="zh-CN"/>
        </w:rPr>
        <w:t>资产评估</w:t>
      </w:r>
      <w:r>
        <w:rPr>
          <w:rFonts w:hint="eastAsia" w:ascii="宋体" w:hAnsi="宋体" w:eastAsia="宋体" w:cs="宋体"/>
          <w:color w:val="auto"/>
          <w:sz w:val="28"/>
          <w:szCs w:val="28"/>
        </w:rPr>
        <w:t>法》。</w:t>
      </w:r>
    </w:p>
    <w:p>
      <w:pPr>
        <w:spacing w:line="66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《中华人民共和国城市房地产管理法》</w:t>
      </w:r>
      <w:r>
        <w:rPr>
          <w:rFonts w:hint="eastAsia" w:ascii="宋体" w:hAnsi="宋体" w:eastAsia="宋体" w:cs="宋体"/>
          <w:color w:val="auto"/>
          <w:sz w:val="28"/>
          <w:szCs w:val="28"/>
          <w:lang w:eastAsia="zh-CN"/>
        </w:rPr>
        <w:t>。</w:t>
      </w:r>
    </w:p>
    <w:p>
      <w:pPr>
        <w:spacing w:line="66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《中华人民共和国物权法》（2007年3月16日主席令第62号发布）</w:t>
      </w:r>
    </w:p>
    <w:p>
      <w:pPr>
        <w:spacing w:line="6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价格鉴证评估执业规范</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（中价协</w:t>
      </w:r>
      <w:r>
        <w:rPr>
          <w:rFonts w:hint="eastAsia" w:ascii="宋体" w:hAnsi="宋体" w:eastAsia="宋体" w:cs="宋体"/>
          <w:color w:val="auto"/>
          <w:sz w:val="28"/>
          <w:szCs w:val="28"/>
          <w:lang w:val="en-US" w:eastAsia="zh-CN"/>
        </w:rPr>
        <w:t>[2020]31号</w:t>
      </w:r>
      <w:r>
        <w:rPr>
          <w:rFonts w:hint="eastAsia" w:ascii="宋体" w:hAnsi="宋体" w:eastAsia="宋体" w:cs="宋体"/>
          <w:color w:val="auto"/>
          <w:sz w:val="28"/>
          <w:szCs w:val="28"/>
          <w:lang w:eastAsia="zh-CN"/>
        </w:rPr>
        <w:t>）。</w:t>
      </w:r>
    </w:p>
    <w:p>
      <w:pPr>
        <w:spacing w:line="6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不动产价格鉴证评估技术规范</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（中价协</w:t>
      </w:r>
      <w:r>
        <w:rPr>
          <w:rFonts w:hint="eastAsia" w:ascii="宋体" w:hAnsi="宋体" w:eastAsia="宋体" w:cs="宋体"/>
          <w:color w:val="auto"/>
          <w:sz w:val="28"/>
          <w:szCs w:val="28"/>
          <w:lang w:val="en-US" w:eastAsia="zh-CN"/>
        </w:rPr>
        <w:t>[2020]39号</w:t>
      </w:r>
      <w:r>
        <w:rPr>
          <w:rFonts w:hint="eastAsia" w:ascii="宋体" w:hAnsi="宋体" w:eastAsia="宋体" w:cs="宋体"/>
          <w:color w:val="auto"/>
          <w:sz w:val="28"/>
          <w:szCs w:val="28"/>
          <w:lang w:eastAsia="zh-CN"/>
        </w:rPr>
        <w:t>）。</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《房地产估价规范》（GB/T 50291—2015）。</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、《房地产估价基本术语标准》(GB/T 50899-2013)</w:t>
      </w:r>
    </w:p>
    <w:p>
      <w:pPr>
        <w:spacing w:line="660" w:lineRule="exact"/>
        <w:ind w:firstLine="560" w:firstLineChars="200"/>
        <w:rPr>
          <w:rFonts w:ascii="宋体" w:hAnsi="宋体" w:eastAsia="宋体" w:cs="宋体"/>
          <w:bCs/>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、《房屋完损等级评定标准》</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、委托方提供的资料：</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rPr>
        <w:t>（1）估价对象《</w:t>
      </w:r>
      <w:r>
        <w:rPr>
          <w:rFonts w:hint="eastAsia" w:ascii="宋体" w:hAnsi="宋体" w:eastAsia="宋体" w:cs="宋体"/>
          <w:sz w:val="28"/>
          <w:szCs w:val="28"/>
          <w:lang w:eastAsia="zh-CN"/>
        </w:rPr>
        <w:t>不动产权利及其他事项登记信息</w:t>
      </w:r>
      <w:r>
        <w:rPr>
          <w:rFonts w:hint="eastAsia" w:ascii="宋体" w:hAnsi="宋体" w:eastAsia="宋体" w:cs="宋体"/>
          <w:sz w:val="28"/>
          <w:szCs w:val="28"/>
        </w:rPr>
        <w:t>》</w:t>
      </w:r>
      <w:r>
        <w:rPr>
          <w:rFonts w:hint="eastAsia" w:ascii="宋体" w:hAnsi="宋体" w:eastAsia="宋体" w:cs="宋体"/>
          <w:sz w:val="28"/>
          <w:szCs w:val="28"/>
          <w:lang w:eastAsia="zh-CN"/>
        </w:rPr>
        <w:t>《国用土地使用证》</w:t>
      </w:r>
      <w:r>
        <w:rPr>
          <w:rFonts w:hint="eastAsia" w:ascii="宋体" w:hAnsi="宋体" w:eastAsia="宋体" w:cs="宋体"/>
          <w:sz w:val="28"/>
          <w:szCs w:val="28"/>
        </w:rPr>
        <w:t>复印件</w:t>
      </w:r>
    </w:p>
    <w:p>
      <w:pPr>
        <w:spacing w:line="6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Theme="minorEastAsia" w:hAnsiTheme="minorEastAsia" w:cstheme="minorEastAsia"/>
          <w:sz w:val="28"/>
          <w:szCs w:val="24"/>
          <w:lang w:eastAsia="zh-CN"/>
        </w:rPr>
        <w:t>司法鉴定</w:t>
      </w:r>
      <w:r>
        <w:rPr>
          <w:rFonts w:hint="eastAsia" w:asciiTheme="minorEastAsia" w:hAnsiTheme="minorEastAsia" w:eastAsiaTheme="minorEastAsia" w:cstheme="minorEastAsia"/>
          <w:sz w:val="28"/>
          <w:szCs w:val="24"/>
        </w:rPr>
        <w:t>委托书</w:t>
      </w:r>
      <w:r>
        <w:rPr>
          <w:rFonts w:hint="eastAsia" w:ascii="宋体" w:hAnsi="宋体" w:eastAsia="宋体" w:cs="宋体"/>
          <w:sz w:val="28"/>
          <w:szCs w:val="28"/>
          <w:lang w:eastAsia="zh-CN"/>
        </w:rPr>
        <w:t>；</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、本评估机构掌握的评估相关资料。</w:t>
      </w:r>
    </w:p>
    <w:p>
      <w:pPr>
        <w:spacing w:line="660" w:lineRule="exact"/>
        <w:ind w:firstLine="562" w:firstLineChars="200"/>
        <w:outlineLvl w:val="0"/>
        <w:rPr>
          <w:rFonts w:ascii="黑体" w:hAnsi="黑体" w:eastAsia="黑体" w:cs="黑体"/>
          <w:b/>
          <w:bCs/>
          <w:sz w:val="28"/>
          <w:szCs w:val="28"/>
        </w:rPr>
      </w:pPr>
      <w:bookmarkStart w:id="13" w:name="_Toc463791720"/>
      <w:r>
        <w:rPr>
          <w:rFonts w:hint="eastAsia" w:ascii="黑体" w:hAnsi="黑体" w:eastAsia="黑体" w:cs="黑体"/>
          <w:b/>
          <w:bCs/>
          <w:sz w:val="28"/>
          <w:szCs w:val="28"/>
        </w:rPr>
        <w:t>九、估价思路及方法</w:t>
      </w:r>
      <w:bookmarkEnd w:id="13"/>
    </w:p>
    <w:p>
      <w:pPr>
        <w:spacing w:line="66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根据《</w:t>
      </w:r>
      <w:r>
        <w:rPr>
          <w:rFonts w:hint="eastAsia" w:ascii="宋体" w:hAnsi="宋体" w:eastAsia="宋体" w:cs="宋体"/>
          <w:color w:val="auto"/>
          <w:sz w:val="28"/>
          <w:szCs w:val="28"/>
          <w:lang w:eastAsia="zh-CN"/>
        </w:rPr>
        <w:t>价格鉴证评估执业规范</w:t>
      </w:r>
      <w:r>
        <w:rPr>
          <w:rFonts w:hint="eastAsia" w:ascii="宋体" w:hAnsi="宋体" w:eastAsia="宋体" w:cs="宋体"/>
          <w:color w:val="auto"/>
          <w:sz w:val="28"/>
          <w:szCs w:val="28"/>
        </w:rPr>
        <w:t>》《房地产估价规范》，通行的估价方法有比较法、收益法、成本法、假设开发法等。估价方法的选择应按照《</w:t>
      </w:r>
      <w:r>
        <w:rPr>
          <w:rFonts w:hint="eastAsia" w:ascii="宋体" w:hAnsi="宋体" w:eastAsia="宋体" w:cs="宋体"/>
          <w:color w:val="auto"/>
          <w:sz w:val="28"/>
          <w:szCs w:val="28"/>
          <w:lang w:eastAsia="zh-CN"/>
        </w:rPr>
        <w:t>不动产价格鉴证评估技术规范</w:t>
      </w:r>
      <w:r>
        <w:rPr>
          <w:rFonts w:hint="eastAsia" w:ascii="宋体" w:hAnsi="宋体" w:eastAsia="宋体" w:cs="宋体"/>
          <w:color w:val="auto"/>
          <w:sz w:val="28"/>
          <w:szCs w:val="28"/>
        </w:rPr>
        <w:t>》《房地产估价规范》，结合估价机构的估价经验、有关资料，根据当地地产市场发育情况并结合估价对象的具体特点及估价目的等，选择适当的估价方法。</w:t>
      </w:r>
    </w:p>
    <w:p>
      <w:pPr>
        <w:spacing w:line="660" w:lineRule="exact"/>
        <w:ind w:firstLine="560" w:firstLineChars="200"/>
        <w:rPr>
          <w:rFonts w:ascii="宋体" w:hAnsi="宋体" w:eastAsia="宋体" w:cs="宋体"/>
          <w:color w:val="auto"/>
          <w:sz w:val="28"/>
          <w:szCs w:val="28"/>
        </w:rPr>
      </w:pPr>
      <w:bookmarkStart w:id="14" w:name="_Toc463791721"/>
      <w:r>
        <w:rPr>
          <w:rFonts w:hint="eastAsia" w:ascii="宋体" w:hAnsi="宋体" w:eastAsia="宋体" w:cs="宋体"/>
          <w:color w:val="auto"/>
          <w:sz w:val="28"/>
          <w:szCs w:val="28"/>
        </w:rPr>
        <w:t>本次估价考虑到评估估价对象房地产的市场价值，为委托方办理</w:t>
      </w:r>
      <w:r>
        <w:rPr>
          <w:rFonts w:hint="eastAsia" w:ascii="宋体" w:hAnsi="宋体" w:eastAsia="宋体" w:cs="宋体"/>
          <w:color w:val="auto"/>
          <w:sz w:val="28"/>
          <w:szCs w:val="28"/>
          <w:lang w:eastAsia="zh-CN"/>
        </w:rPr>
        <w:t>案件</w:t>
      </w:r>
      <w:r>
        <w:rPr>
          <w:rFonts w:hint="eastAsia" w:ascii="宋体" w:hAnsi="宋体" w:eastAsia="宋体" w:cs="宋体"/>
          <w:color w:val="auto"/>
          <w:sz w:val="28"/>
          <w:szCs w:val="28"/>
        </w:rPr>
        <w:t>提供价值参考之目的，采用的价值标准为市场价值标准。为反映其客观合理的价值，从最高最佳利用条件下分析为住宅，我们选择比较法进行评估。这主要是从以下几个方面考虑：</w:t>
      </w:r>
    </w:p>
    <w:p>
      <w:pPr>
        <w:spacing w:line="660" w:lineRule="exact"/>
        <w:ind w:firstLine="560" w:firstLineChars="200"/>
        <w:rPr>
          <w:rFonts w:ascii="宋体" w:hAnsi="宋体" w:eastAsia="宋体" w:cs="宋体"/>
          <w:sz w:val="28"/>
          <w:szCs w:val="28"/>
        </w:rPr>
      </w:pPr>
      <w:bookmarkStart w:id="15" w:name="方法分析"/>
      <w:r>
        <w:rPr>
          <w:rFonts w:hint="eastAsia" w:ascii="宋体" w:hAnsi="宋体" w:eastAsia="宋体" w:cs="宋体"/>
          <w:sz w:val="28"/>
          <w:szCs w:val="28"/>
        </w:rPr>
        <w:t>（1）估价对象位于</w:t>
      </w:r>
      <w:r>
        <w:rPr>
          <w:rFonts w:hint="eastAsia" w:ascii="宋体" w:hAnsi="宋体" w:eastAsia="宋体" w:cs="宋体"/>
          <w:sz w:val="28"/>
          <w:szCs w:val="28"/>
          <w:lang w:eastAsia="zh-CN"/>
        </w:rPr>
        <w:t>孝感市交通东路</w:t>
      </w:r>
      <w:r>
        <w:rPr>
          <w:rFonts w:hint="eastAsia" w:ascii="宋体" w:hAnsi="宋体" w:eastAsia="宋体" w:cs="宋体"/>
          <w:sz w:val="28"/>
          <w:szCs w:val="28"/>
        </w:rPr>
        <w:t>，在同一供求圈内类似的住宅房地产交易市场比较活跃，市场依据充足，交易实例较多，故本次评估宜采用比较法；</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估价对象为住宅，采用成本法计算出的积算价值无法真实反映其市场价值水平，故不采用成本法；</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估价对象房地产为</w:t>
      </w:r>
      <w:r>
        <w:rPr>
          <w:rFonts w:hint="eastAsia" w:ascii="宋体" w:hAnsi="宋体" w:eastAsia="宋体" w:cs="宋体"/>
          <w:color w:val="auto"/>
          <w:sz w:val="28"/>
          <w:szCs w:val="28"/>
        </w:rPr>
        <w:t>200</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eastAsia="宋体" w:cs="宋体"/>
          <w:sz w:val="28"/>
          <w:szCs w:val="28"/>
        </w:rPr>
        <w:t>左右建</w:t>
      </w:r>
      <w:r>
        <w:rPr>
          <w:rFonts w:hint="eastAsia" w:ascii="宋体" w:hAnsi="宋体" w:eastAsia="宋体" w:cs="宋体"/>
          <w:sz w:val="28"/>
          <w:szCs w:val="28"/>
          <w:lang w:eastAsia="zh-CN"/>
        </w:rPr>
        <w:t>造</w:t>
      </w:r>
      <w:r>
        <w:rPr>
          <w:rFonts w:hint="eastAsia" w:ascii="宋体" w:hAnsi="宋体" w:eastAsia="宋体" w:cs="宋体"/>
          <w:sz w:val="28"/>
          <w:szCs w:val="28"/>
        </w:rPr>
        <w:t>并投入使用的房地产，无需重新规划利用，而假设开发法适用于具有开发或者再开发潜力的房地产的估价，故本次评估不宜采用假设开发法；</w:t>
      </w:r>
    </w:p>
    <w:p>
      <w:pPr>
        <w:spacing w:line="6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估价对象为住宅，同一供求圈内的类似住宅房地产的出租案例较少，租金很难通过调查和计算得到，故本次评估不宜采用收益法；</w:t>
      </w:r>
    </w:p>
    <w:bookmarkEnd w:id="15"/>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比较法估价原理：比较法是根据替代原则，将估价对象房地产与在近期已经发生了交易的类似房地产进行比较，并根据类似房地产的成交价格，参照估价对象和类似房地产在交易情况、市场状况、房地产状况等方面的差别，进行价格修正，得出估价对象在估价时点的正常市场价格的一种评估方法。通常把市场法测算出的价值称为比准价值。</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vertAlign w:val="subscript"/>
        </w:rPr>
      </w:pPr>
      <w:r>
        <w:rPr>
          <w:rFonts w:hint="eastAsia" w:ascii="宋体" w:hAnsi="宋体" w:eastAsia="宋体" w:cs="宋体"/>
          <w:sz w:val="28"/>
          <w:szCs w:val="28"/>
        </w:rPr>
        <w:t>房地产价格=比较实例价格×K</w:t>
      </w:r>
      <w:r>
        <w:rPr>
          <w:rFonts w:hint="eastAsia" w:ascii="宋体" w:hAnsi="宋体" w:eastAsia="宋体" w:cs="宋体"/>
          <w:sz w:val="28"/>
          <w:szCs w:val="28"/>
          <w:vertAlign w:val="subscript"/>
        </w:rPr>
        <w:t>1</w:t>
      </w:r>
      <w:r>
        <w:rPr>
          <w:rFonts w:hint="eastAsia" w:ascii="宋体" w:hAnsi="宋体" w:eastAsia="宋体" w:cs="宋体"/>
          <w:sz w:val="28"/>
          <w:szCs w:val="28"/>
        </w:rPr>
        <w:t>×K</w:t>
      </w:r>
      <w:r>
        <w:rPr>
          <w:rFonts w:hint="eastAsia" w:ascii="宋体" w:hAnsi="宋体" w:eastAsia="宋体" w:cs="宋体"/>
          <w:sz w:val="28"/>
          <w:szCs w:val="28"/>
          <w:vertAlign w:val="subscript"/>
        </w:rPr>
        <w:t>2</w:t>
      </w:r>
      <w:r>
        <w:rPr>
          <w:rFonts w:hint="eastAsia" w:ascii="宋体" w:hAnsi="宋体" w:eastAsia="宋体" w:cs="宋体"/>
          <w:sz w:val="28"/>
          <w:szCs w:val="28"/>
        </w:rPr>
        <w:t>×K</w:t>
      </w:r>
      <w:r>
        <w:rPr>
          <w:rFonts w:hint="eastAsia" w:ascii="宋体" w:hAnsi="宋体" w:eastAsia="宋体" w:cs="宋体"/>
          <w:sz w:val="28"/>
          <w:szCs w:val="28"/>
          <w:vertAlign w:val="subscript"/>
        </w:rPr>
        <w:t>3</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式中： K</w:t>
      </w:r>
      <w:r>
        <w:rPr>
          <w:rFonts w:hint="eastAsia" w:ascii="宋体" w:hAnsi="宋体" w:eastAsia="宋体" w:cs="宋体"/>
          <w:sz w:val="28"/>
          <w:szCs w:val="28"/>
          <w:vertAlign w:val="subscript"/>
        </w:rPr>
        <w:t>1</w:t>
      </w:r>
      <w:r>
        <w:rPr>
          <w:rFonts w:hint="eastAsia" w:ascii="宋体" w:hAnsi="宋体" w:eastAsia="宋体" w:cs="宋体"/>
          <w:sz w:val="28"/>
          <w:szCs w:val="28"/>
        </w:rPr>
        <w:t>：交易情况修正</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sz w:val="28"/>
          <w:szCs w:val="28"/>
        </w:rPr>
        <w:t xml:space="preserve">     </w:t>
      </w:r>
      <w:r>
        <w:rPr>
          <w:rFonts w:hint="eastAsia" w:ascii="宋体" w:hAnsi="宋体" w:eastAsia="宋体" w:cs="宋体"/>
          <w:color w:val="auto"/>
          <w:sz w:val="28"/>
          <w:szCs w:val="28"/>
        </w:rPr>
        <w:t xml:space="preserve">  K</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区域因素修正</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 xml:space="preserve">       K</w:t>
      </w:r>
      <w:r>
        <w:rPr>
          <w:rFonts w:hint="eastAsia" w:ascii="宋体" w:hAnsi="宋体" w:eastAsia="宋体" w:cs="宋体"/>
          <w:color w:val="auto"/>
          <w:sz w:val="28"/>
          <w:szCs w:val="28"/>
          <w:vertAlign w:val="subscript"/>
        </w:rPr>
        <w:t>3</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个别因素修正</w:t>
      </w: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r>
        <w:rPr>
          <w:rFonts w:hint="eastAsia" w:ascii="黑体" w:hAnsi="黑体" w:eastAsia="黑体" w:cs="黑体"/>
          <w:b/>
          <w:bCs/>
          <w:sz w:val="28"/>
          <w:szCs w:val="28"/>
        </w:rPr>
        <w:t>十、估价结果</w:t>
      </w:r>
      <w:bookmarkEnd w:id="14"/>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受估价委托</w:t>
      </w:r>
      <w:r>
        <w:rPr>
          <w:rFonts w:hint="eastAsia" w:ascii="宋体" w:hAnsi="宋体" w:eastAsia="宋体" w:cs="宋体"/>
          <w:sz w:val="28"/>
          <w:szCs w:val="28"/>
          <w:lang w:eastAsia="zh-CN"/>
        </w:rPr>
        <w:t>方</w:t>
      </w:r>
      <w:r>
        <w:rPr>
          <w:rFonts w:hint="eastAsia" w:ascii="宋体" w:hAnsi="宋体" w:eastAsia="宋体" w:cs="宋体"/>
          <w:sz w:val="28"/>
          <w:szCs w:val="28"/>
        </w:rPr>
        <w:t>委托，我公司对</w:t>
      </w:r>
      <w:r>
        <w:rPr>
          <w:rFonts w:hint="eastAsia" w:ascii="宋体" w:hAnsi="宋体" w:eastAsia="宋体" w:cs="宋体"/>
          <w:sz w:val="28"/>
          <w:szCs w:val="28"/>
          <w:lang w:eastAsia="zh-CN"/>
        </w:rPr>
        <w:t>肖运华位于孝感市交通东路</w:t>
      </w:r>
      <w:r>
        <w:rPr>
          <w:rFonts w:hint="eastAsia" w:ascii="宋体" w:hAnsi="宋体" w:eastAsia="宋体" w:cs="宋体"/>
          <w:sz w:val="28"/>
          <w:szCs w:val="28"/>
          <w:lang w:val="en-US" w:eastAsia="zh-CN"/>
        </w:rPr>
        <w:t>1幢2层201室的</w:t>
      </w:r>
      <w:r>
        <w:rPr>
          <w:rFonts w:hint="eastAsia" w:ascii="宋体" w:hAnsi="宋体" w:eastAsia="宋体" w:cs="宋体"/>
          <w:sz w:val="28"/>
          <w:szCs w:val="28"/>
        </w:rPr>
        <w:t>住宅房地产进行了估价，经过估价人员勘察、资料分析与计算论证，并结合当地房地产行情，确定估价对象在价值时点20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日、完整权利状态及满足各项假设限制条件下的房地产市场价值</w:t>
      </w:r>
      <w:bookmarkStart w:id="16" w:name="_Toc463791722"/>
      <w:r>
        <w:rPr>
          <w:rFonts w:hint="eastAsia" w:ascii="宋体" w:hAnsi="宋体" w:eastAsia="宋体" w:cs="宋体"/>
          <w:sz w:val="28"/>
          <w:szCs w:val="28"/>
          <w:lang w:eastAsia="zh-CN"/>
        </w:rPr>
        <w:t>为人民币叁拾玖万伍仟柒佰贰拾陆元整（¥</w:t>
      </w:r>
      <w:r>
        <w:rPr>
          <w:rFonts w:hint="eastAsia" w:ascii="宋体" w:hAnsi="宋体" w:eastAsia="宋体" w:cs="宋体"/>
          <w:sz w:val="28"/>
          <w:szCs w:val="28"/>
          <w:lang w:val="en-US" w:eastAsia="zh-CN"/>
        </w:rPr>
        <w:t>395726.00元</w:t>
      </w: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4"/>
        </w:rPr>
        <w:t>具体</w:t>
      </w:r>
      <w:r>
        <w:rPr>
          <w:rFonts w:hint="eastAsia" w:asciiTheme="minorEastAsia" w:hAnsiTheme="minorEastAsia" w:cstheme="minorEastAsia"/>
          <w:sz w:val="28"/>
          <w:szCs w:val="24"/>
          <w:lang w:eastAsia="zh-CN"/>
        </w:rPr>
        <w:t>详</w:t>
      </w:r>
      <w:r>
        <w:rPr>
          <w:rFonts w:hint="eastAsia" w:asciiTheme="minorEastAsia" w:hAnsiTheme="minorEastAsia" w:eastAsiaTheme="minorEastAsia" w:cstheme="minorEastAsia"/>
          <w:sz w:val="28"/>
          <w:szCs w:val="24"/>
        </w:rPr>
        <w:t>见房地产评估明细表</w:t>
      </w:r>
      <w:r>
        <w:rPr>
          <w:rFonts w:hint="eastAsia" w:asciiTheme="minorEastAsia" w:hAnsiTheme="minorEastAsia" w:cstheme="minorEastAsia"/>
          <w:sz w:val="28"/>
          <w:szCs w:val="24"/>
          <w:lang w:eastAsia="zh-CN"/>
        </w:rPr>
        <w:t>：</w:t>
      </w:r>
    </w:p>
    <w:tbl>
      <w:tblPr>
        <w:tblStyle w:val="5"/>
        <w:tblW w:w="865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569"/>
        <w:gridCol w:w="1350"/>
        <w:gridCol w:w="1213"/>
        <w:gridCol w:w="1134"/>
        <w:gridCol w:w="118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95"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权利人</w:t>
            </w:r>
          </w:p>
        </w:tc>
        <w:tc>
          <w:tcPr>
            <w:tcW w:w="1569" w:type="dxa"/>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所在楼层/</w:t>
            </w:r>
          </w:p>
          <w:p>
            <w:pPr>
              <w:spacing w:line="400" w:lineRule="exact"/>
              <w:jc w:val="center"/>
              <w:rPr>
                <w:rFonts w:ascii="宋体" w:hAnsi="宋体" w:eastAsia="宋体" w:cs="宋体"/>
                <w:bCs/>
                <w:szCs w:val="21"/>
              </w:rPr>
            </w:pPr>
            <w:r>
              <w:rPr>
                <w:rFonts w:hint="eastAsia" w:ascii="宋体" w:hAnsi="宋体" w:eastAsia="宋体" w:cs="宋体"/>
                <w:bCs/>
                <w:szCs w:val="21"/>
              </w:rPr>
              <w:t>总层数</w:t>
            </w:r>
          </w:p>
        </w:tc>
        <w:tc>
          <w:tcPr>
            <w:tcW w:w="1350"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实际用途</w:t>
            </w:r>
          </w:p>
        </w:tc>
        <w:tc>
          <w:tcPr>
            <w:tcW w:w="1213"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土地面积（㎡）</w:t>
            </w:r>
          </w:p>
        </w:tc>
        <w:tc>
          <w:tcPr>
            <w:tcW w:w="1134"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建筑面积（㎡）</w:t>
            </w:r>
          </w:p>
        </w:tc>
        <w:tc>
          <w:tcPr>
            <w:tcW w:w="1184"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评估单价（元/㎡）</w:t>
            </w:r>
          </w:p>
        </w:tc>
        <w:tc>
          <w:tcPr>
            <w:tcW w:w="1110"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095"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肖运华</w:t>
            </w:r>
          </w:p>
        </w:tc>
        <w:tc>
          <w:tcPr>
            <w:tcW w:w="1569"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lang w:val="en-US" w:eastAsia="zh-CN"/>
              </w:rPr>
              <w:t>2</w:t>
            </w:r>
            <w:r>
              <w:rPr>
                <w:rFonts w:hint="eastAsia" w:ascii="宋体" w:hAnsi="宋体" w:eastAsia="宋体" w:cs="宋体"/>
                <w:bCs/>
                <w:szCs w:val="21"/>
              </w:rPr>
              <w:t>/6</w:t>
            </w:r>
          </w:p>
        </w:tc>
        <w:tc>
          <w:tcPr>
            <w:tcW w:w="1350"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住宅</w:t>
            </w:r>
          </w:p>
        </w:tc>
        <w:tc>
          <w:tcPr>
            <w:tcW w:w="1213" w:type="dxa"/>
            <w:vAlign w:val="center"/>
          </w:tcPr>
          <w:p>
            <w:pPr>
              <w:spacing w:line="28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17.13</w:t>
            </w:r>
          </w:p>
        </w:tc>
        <w:tc>
          <w:tcPr>
            <w:tcW w:w="1134"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116.39</w:t>
            </w:r>
          </w:p>
        </w:tc>
        <w:tc>
          <w:tcPr>
            <w:tcW w:w="1184"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3400.00</w:t>
            </w:r>
          </w:p>
        </w:tc>
        <w:tc>
          <w:tcPr>
            <w:tcW w:w="1110"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39.5726</w:t>
            </w:r>
          </w:p>
        </w:tc>
      </w:tr>
    </w:tbl>
    <w:p>
      <w:pPr>
        <w:spacing w:line="660" w:lineRule="exact"/>
        <w:ind w:firstLine="562" w:firstLineChars="200"/>
        <w:outlineLvl w:val="0"/>
        <w:rPr>
          <w:rFonts w:ascii="黑体" w:hAnsi="黑体" w:eastAsia="黑体" w:cs="黑体"/>
          <w:b/>
          <w:bCs/>
          <w:sz w:val="28"/>
          <w:szCs w:val="28"/>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一</w:t>
      </w:r>
      <w:r>
        <w:rPr>
          <w:rFonts w:hint="eastAsia" w:ascii="黑体" w:hAnsi="黑体" w:eastAsia="黑体" w:cs="黑体"/>
          <w:b/>
          <w:bCs/>
          <w:sz w:val="28"/>
          <w:szCs w:val="28"/>
        </w:rPr>
        <w:t>、实地查勘期</w:t>
      </w:r>
    </w:p>
    <w:p>
      <w:pPr>
        <w:spacing w:line="660" w:lineRule="exact"/>
        <w:ind w:firstLine="560" w:firstLineChars="200"/>
        <w:rPr>
          <w:rFonts w:ascii="宋体" w:hAnsi="宋体" w:eastAsia="宋体" w:cs="宋体"/>
          <w:b/>
          <w:bCs/>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15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bookmarkStart w:id="17" w:name="_Toc463791724"/>
      <w:r>
        <w:rPr>
          <w:rFonts w:hint="eastAsia" w:ascii="黑体" w:hAnsi="黑体" w:eastAsia="黑体" w:cs="黑体"/>
          <w:b/>
          <w:bCs/>
          <w:sz w:val="28"/>
          <w:szCs w:val="28"/>
        </w:rPr>
        <w:t>十</w:t>
      </w:r>
      <w:r>
        <w:rPr>
          <w:rFonts w:hint="eastAsia" w:ascii="黑体" w:hAnsi="黑体" w:eastAsia="黑体" w:cs="黑体"/>
          <w:b/>
          <w:bCs/>
          <w:sz w:val="28"/>
          <w:szCs w:val="28"/>
          <w:lang w:eastAsia="zh-CN"/>
        </w:rPr>
        <w:t>二</w:t>
      </w:r>
      <w:r>
        <w:rPr>
          <w:rFonts w:hint="eastAsia" w:ascii="黑体" w:hAnsi="黑体" w:eastAsia="黑体" w:cs="黑体"/>
          <w:b/>
          <w:bCs/>
          <w:sz w:val="28"/>
          <w:szCs w:val="28"/>
        </w:rPr>
        <w:t>、估价作业日期</w:t>
      </w:r>
      <w:bookmarkEnd w:id="17"/>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日至</w:t>
      </w:r>
      <w:r>
        <w:rPr>
          <w:rFonts w:hint="eastAsia" w:ascii="宋体" w:hAnsi="宋体" w:eastAsia="宋体" w:cs="宋体"/>
          <w:bCs/>
          <w:sz w:val="28"/>
          <w:szCs w:val="28"/>
        </w:rPr>
        <w:t>20</w:t>
      </w:r>
      <w:r>
        <w:rPr>
          <w:rFonts w:hint="eastAsia" w:ascii="宋体" w:hAnsi="宋体" w:eastAsia="宋体" w:cs="宋体"/>
          <w:bCs/>
          <w:sz w:val="28"/>
          <w:szCs w:val="28"/>
          <w:lang w:val="en-US" w:eastAsia="zh-CN"/>
        </w:rPr>
        <w:t>20</w:t>
      </w:r>
      <w:r>
        <w:rPr>
          <w:rFonts w:hint="eastAsia" w:ascii="宋体" w:hAnsi="宋体" w:eastAsia="宋体" w:cs="宋体"/>
          <w:bCs/>
          <w:sz w:val="28"/>
          <w:szCs w:val="28"/>
        </w:rPr>
        <w:t>年1</w:t>
      </w:r>
      <w:r>
        <w:rPr>
          <w:rFonts w:hint="eastAsia" w:ascii="宋体" w:hAnsi="宋体" w:eastAsia="宋体" w:cs="宋体"/>
          <w:bCs/>
          <w:sz w:val="28"/>
          <w:szCs w:val="28"/>
          <w:lang w:val="en-US" w:eastAsia="zh-CN"/>
        </w:rPr>
        <w:t>0</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19</w:t>
      </w:r>
      <w:r>
        <w:rPr>
          <w:rFonts w:hint="eastAsia" w:ascii="宋体" w:hAnsi="宋体" w:eastAsia="宋体" w:cs="宋体"/>
          <w:bCs/>
          <w:sz w:val="28"/>
          <w:szCs w:val="28"/>
        </w:rPr>
        <w:t>日</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bookmarkStart w:id="18" w:name="_Toc463791725"/>
      <w:r>
        <w:rPr>
          <w:rFonts w:hint="eastAsia" w:ascii="黑体" w:hAnsi="黑体" w:eastAsia="黑体" w:cs="黑体"/>
          <w:b/>
          <w:bCs/>
          <w:sz w:val="28"/>
          <w:szCs w:val="28"/>
        </w:rPr>
        <w:t>十</w:t>
      </w:r>
      <w:r>
        <w:rPr>
          <w:rFonts w:hint="eastAsia" w:ascii="黑体" w:hAnsi="黑体" w:eastAsia="黑体" w:cs="黑体"/>
          <w:b/>
          <w:bCs/>
          <w:sz w:val="28"/>
          <w:szCs w:val="28"/>
          <w:lang w:eastAsia="zh-CN"/>
        </w:rPr>
        <w:t>三</w:t>
      </w:r>
      <w:r>
        <w:rPr>
          <w:rFonts w:hint="eastAsia" w:ascii="黑体" w:hAnsi="黑体" w:eastAsia="黑体" w:cs="黑体"/>
          <w:b/>
          <w:bCs/>
          <w:sz w:val="28"/>
          <w:szCs w:val="28"/>
        </w:rPr>
        <w:t>、估价报告应用的有效期</w:t>
      </w:r>
      <w:bookmarkEnd w:id="18"/>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本次估价报告应用的有效期自完成估价报告日起为一年，即估价目的在</w:t>
      </w:r>
      <w:r>
        <w:rPr>
          <w:rFonts w:hint="eastAsia" w:ascii="宋体" w:hAnsi="宋体" w:eastAsia="宋体" w:cs="宋体"/>
          <w:bCs/>
          <w:sz w:val="28"/>
          <w:szCs w:val="28"/>
        </w:rPr>
        <w:t>20</w:t>
      </w:r>
      <w:r>
        <w:rPr>
          <w:rFonts w:hint="eastAsia" w:ascii="宋体" w:hAnsi="宋体" w:eastAsia="宋体" w:cs="宋体"/>
          <w:bCs/>
          <w:sz w:val="28"/>
          <w:szCs w:val="28"/>
          <w:lang w:val="en-US" w:eastAsia="zh-CN"/>
        </w:rPr>
        <w:t>20</w:t>
      </w:r>
      <w:r>
        <w:rPr>
          <w:rFonts w:hint="eastAsia" w:ascii="宋体" w:hAnsi="宋体" w:eastAsia="宋体" w:cs="宋体"/>
          <w:bCs/>
          <w:sz w:val="28"/>
          <w:szCs w:val="28"/>
        </w:rPr>
        <w:t>年1</w:t>
      </w:r>
      <w:r>
        <w:rPr>
          <w:rFonts w:hint="eastAsia" w:ascii="宋体" w:hAnsi="宋体" w:eastAsia="宋体" w:cs="宋体"/>
          <w:bCs/>
          <w:sz w:val="28"/>
          <w:szCs w:val="28"/>
          <w:lang w:val="en-US" w:eastAsia="zh-CN"/>
        </w:rPr>
        <w:t>0</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19</w:t>
      </w:r>
      <w:r>
        <w:rPr>
          <w:rFonts w:hint="eastAsia" w:ascii="宋体" w:hAnsi="宋体" w:eastAsia="宋体" w:cs="宋体"/>
          <w:bCs/>
          <w:sz w:val="28"/>
          <w:szCs w:val="28"/>
        </w:rPr>
        <w:t>日</w:t>
      </w:r>
      <w:r>
        <w:rPr>
          <w:rFonts w:hint="eastAsia" w:ascii="宋体" w:hAnsi="宋体" w:eastAsia="宋体" w:cs="宋体"/>
          <w:sz w:val="28"/>
          <w:szCs w:val="28"/>
        </w:rPr>
        <w:t>至202</w:t>
      </w:r>
      <w:r>
        <w:rPr>
          <w:rFonts w:hint="eastAsia" w:ascii="宋体" w:hAnsi="宋体" w:eastAsia="宋体" w:cs="宋体"/>
          <w:sz w:val="28"/>
          <w:szCs w:val="28"/>
          <w:lang w:val="en-US" w:eastAsia="zh-CN"/>
        </w:rPr>
        <w:t>1</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日实现时，评估结果有效。随时间的推移和用途的改变，估价结果需调整，甚至需重新估价。</w:t>
      </w:r>
    </w:p>
    <w:p>
      <w:pPr>
        <w:spacing w:line="560" w:lineRule="exact"/>
        <w:ind w:firstLine="562" w:firstLineChars="200"/>
        <w:rPr>
          <w:rFonts w:ascii="黑体" w:hAnsi="黑体" w:eastAsia="黑体" w:cs="Times New Roman"/>
          <w:color w:val="000000"/>
          <w:szCs w:val="32"/>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四</w:t>
      </w:r>
      <w:r>
        <w:rPr>
          <w:rFonts w:hint="eastAsia" w:ascii="黑体" w:hAnsi="黑体" w:eastAsia="黑体" w:cs="黑体"/>
          <w:b/>
          <w:bCs/>
          <w:sz w:val="28"/>
          <w:szCs w:val="28"/>
        </w:rPr>
        <w:t>、</w:t>
      </w:r>
      <w:bookmarkEnd w:id="16"/>
      <w:bookmarkStart w:id="19" w:name="_Toc463791723"/>
      <w:r>
        <w:rPr>
          <w:rFonts w:hint="eastAsia" w:ascii="黑体" w:hAnsi="黑体" w:eastAsia="黑体" w:cs="Times New Roman"/>
          <w:b/>
          <w:bCs/>
          <w:color w:val="000000"/>
          <w:sz w:val="28"/>
          <w:szCs w:val="44"/>
        </w:rPr>
        <w:t>价格评估专业人员</w:t>
      </w:r>
    </w:p>
    <w:tbl>
      <w:tblPr>
        <w:tblStyle w:val="5"/>
        <w:tblW w:w="869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2124"/>
        <w:gridCol w:w="2162"/>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3" w:type="dxa"/>
            <w:vAlign w:val="center"/>
          </w:tcPr>
          <w:p>
            <w:pPr>
              <w:spacing w:line="520" w:lineRule="exact"/>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姓</w:t>
            </w:r>
            <w:r>
              <w:rPr>
                <w:rFonts w:ascii="仿宋_GB2312" w:hAnsi="Calibri" w:eastAsia="仿宋_GB2312" w:cs="Times New Roman"/>
                <w:color w:val="000000"/>
                <w:sz w:val="24"/>
                <w:szCs w:val="40"/>
              </w:rPr>
              <w:t xml:space="preserve">    </w:t>
            </w:r>
            <w:r>
              <w:rPr>
                <w:rFonts w:hint="eastAsia" w:ascii="仿宋_GB2312" w:hAnsi="Calibri" w:eastAsia="仿宋_GB2312" w:cs="Times New Roman"/>
                <w:color w:val="000000"/>
                <w:sz w:val="24"/>
                <w:szCs w:val="40"/>
              </w:rPr>
              <w:t>名</w:t>
            </w:r>
          </w:p>
        </w:tc>
        <w:tc>
          <w:tcPr>
            <w:tcW w:w="2124" w:type="dxa"/>
            <w:tcBorders>
              <w:left w:val="nil"/>
            </w:tcBorders>
            <w:vAlign w:val="center"/>
          </w:tcPr>
          <w:p>
            <w:pPr>
              <w:spacing w:line="520" w:lineRule="exact"/>
              <w:ind w:right="-13" w:rightChars="-6"/>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王焰涛</w:t>
            </w:r>
          </w:p>
        </w:tc>
        <w:tc>
          <w:tcPr>
            <w:tcW w:w="2162" w:type="dxa"/>
            <w:tcBorders>
              <w:left w:val="nil"/>
            </w:tcBorders>
            <w:vAlign w:val="center"/>
          </w:tcPr>
          <w:p>
            <w:pPr>
              <w:spacing w:line="500" w:lineRule="exact"/>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周建萍</w:t>
            </w:r>
          </w:p>
        </w:tc>
        <w:tc>
          <w:tcPr>
            <w:tcW w:w="2425" w:type="dxa"/>
            <w:tcBorders>
              <w:left w:val="nil"/>
            </w:tcBorders>
            <w:vAlign w:val="center"/>
          </w:tcPr>
          <w:p>
            <w:pPr>
              <w:spacing w:line="560" w:lineRule="exact"/>
              <w:ind w:right="-13" w:rightChars="-6"/>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王</w:t>
            </w:r>
            <w:r>
              <w:rPr>
                <w:rFonts w:ascii="仿宋_GB2312" w:hAnsi="Calibri" w:eastAsia="仿宋_GB2312" w:cs="Times New Roman"/>
                <w:color w:val="000000"/>
                <w:sz w:val="24"/>
                <w:szCs w:val="40"/>
              </w:rPr>
              <w:t xml:space="preserve"> </w:t>
            </w:r>
            <w:r>
              <w:rPr>
                <w:rFonts w:hint="eastAsia" w:ascii="仿宋_GB2312" w:hAnsi="Calibri" w:eastAsia="仿宋_GB2312" w:cs="Times New Roman"/>
                <w:color w:val="000000"/>
                <w:sz w:val="24"/>
                <w:szCs w:val="40"/>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83" w:type="dxa"/>
            <w:vAlign w:val="center"/>
          </w:tcPr>
          <w:p>
            <w:pPr>
              <w:spacing w:line="520" w:lineRule="exact"/>
              <w:jc w:val="center"/>
              <w:rPr>
                <w:rFonts w:ascii="仿宋_GB2312" w:hAnsi="宋体" w:eastAsia="仿宋_GB2312" w:cs="宋体"/>
                <w:color w:val="000000"/>
                <w:spacing w:val="-20"/>
                <w:sz w:val="24"/>
                <w:szCs w:val="40"/>
              </w:rPr>
            </w:pPr>
            <w:r>
              <w:rPr>
                <w:rFonts w:hint="eastAsia" w:ascii="仿宋_GB2312" w:hAnsi="Calibri" w:eastAsia="仿宋_GB2312" w:cs="Times New Roman"/>
                <w:color w:val="000000"/>
                <w:spacing w:val="-20"/>
                <w:sz w:val="24"/>
                <w:szCs w:val="40"/>
              </w:rPr>
              <w:t>职业资格名称</w:t>
            </w:r>
          </w:p>
        </w:tc>
        <w:tc>
          <w:tcPr>
            <w:tcW w:w="2124" w:type="dxa"/>
            <w:tcBorders>
              <w:left w:val="nil"/>
            </w:tcBorders>
            <w:vAlign w:val="center"/>
          </w:tcPr>
          <w:p>
            <w:pPr>
              <w:spacing w:line="520" w:lineRule="exact"/>
              <w:ind w:right="-13" w:rightChars="-6"/>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价格鉴证师</w:t>
            </w:r>
          </w:p>
        </w:tc>
        <w:tc>
          <w:tcPr>
            <w:tcW w:w="2162" w:type="dxa"/>
            <w:tcBorders>
              <w:left w:val="nil"/>
            </w:tcBorders>
            <w:vAlign w:val="center"/>
          </w:tcPr>
          <w:p>
            <w:pPr>
              <w:spacing w:line="520" w:lineRule="exact"/>
              <w:jc w:val="center"/>
              <w:rPr>
                <w:rFonts w:ascii="仿宋_GB2312" w:hAnsi="宋体" w:eastAsia="仿宋_GB2312" w:cs="宋体"/>
                <w:color w:val="000000"/>
                <w:spacing w:val="-30"/>
                <w:sz w:val="24"/>
                <w:szCs w:val="40"/>
              </w:rPr>
            </w:pPr>
            <w:r>
              <w:rPr>
                <w:rFonts w:hint="eastAsia" w:ascii="仿宋_GB2312" w:hAnsi="Calibri" w:eastAsia="仿宋_GB2312" w:cs="Times New Roman"/>
                <w:color w:val="000000"/>
                <w:sz w:val="24"/>
                <w:szCs w:val="40"/>
              </w:rPr>
              <w:t>价格鉴证师</w:t>
            </w:r>
          </w:p>
        </w:tc>
        <w:tc>
          <w:tcPr>
            <w:tcW w:w="2425" w:type="dxa"/>
            <w:tcBorders>
              <w:left w:val="nil"/>
            </w:tcBorders>
            <w:vAlign w:val="center"/>
          </w:tcPr>
          <w:p>
            <w:pPr>
              <w:spacing w:line="520" w:lineRule="exact"/>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鉴定估价师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83" w:type="dxa"/>
            <w:vAlign w:val="center"/>
          </w:tcPr>
          <w:p>
            <w:pPr>
              <w:spacing w:line="520" w:lineRule="exact"/>
              <w:jc w:val="center"/>
              <w:rPr>
                <w:rFonts w:ascii="仿宋_GB2312" w:hAnsi="宋体" w:eastAsia="仿宋_GB2312" w:cs="宋体"/>
                <w:color w:val="000000"/>
                <w:sz w:val="24"/>
                <w:szCs w:val="40"/>
              </w:rPr>
            </w:pPr>
            <w:r>
              <w:rPr>
                <w:rFonts w:hint="eastAsia" w:ascii="仿宋_GB2312" w:hAnsi="Calibri" w:eastAsia="仿宋_GB2312" w:cs="Times New Roman"/>
                <w:color w:val="000000"/>
                <w:spacing w:val="-24"/>
                <w:sz w:val="24"/>
                <w:szCs w:val="40"/>
              </w:rPr>
              <w:t>资格证书证号</w:t>
            </w:r>
          </w:p>
        </w:tc>
        <w:tc>
          <w:tcPr>
            <w:tcW w:w="2124" w:type="dxa"/>
            <w:tcBorders>
              <w:left w:val="nil"/>
            </w:tcBorders>
            <w:vAlign w:val="center"/>
          </w:tcPr>
          <w:p>
            <w:pPr>
              <w:spacing w:line="520" w:lineRule="exact"/>
              <w:ind w:right="-13" w:rightChars="-6"/>
              <w:jc w:val="center"/>
              <w:rPr>
                <w:rFonts w:ascii="仿宋_GB2312" w:hAnsi="宋体" w:eastAsia="仿宋_GB2312" w:cs="宋体"/>
                <w:color w:val="000000"/>
                <w:spacing w:val="-20"/>
                <w:sz w:val="24"/>
                <w:szCs w:val="40"/>
              </w:rPr>
            </w:pPr>
            <w:r>
              <w:rPr>
                <w:rFonts w:ascii="仿宋_GB2312" w:hAnsi="Calibri" w:eastAsia="仿宋_GB2312" w:cs="Times New Roman"/>
                <w:color w:val="000000"/>
                <w:sz w:val="24"/>
                <w:szCs w:val="40"/>
              </w:rPr>
              <w:t>0008236</w:t>
            </w:r>
          </w:p>
        </w:tc>
        <w:tc>
          <w:tcPr>
            <w:tcW w:w="2162" w:type="dxa"/>
            <w:tcBorders>
              <w:left w:val="nil"/>
            </w:tcBorders>
            <w:vAlign w:val="center"/>
          </w:tcPr>
          <w:p>
            <w:pPr>
              <w:spacing w:line="520" w:lineRule="exact"/>
              <w:jc w:val="center"/>
              <w:rPr>
                <w:rFonts w:ascii="仿宋_GB2312" w:hAnsi="宋体" w:eastAsia="仿宋_GB2312" w:cs="宋体"/>
                <w:color w:val="000000"/>
                <w:sz w:val="24"/>
                <w:szCs w:val="40"/>
              </w:rPr>
            </w:pPr>
            <w:r>
              <w:rPr>
                <w:rFonts w:ascii="仿宋_GB2312" w:hAnsi="Calibri" w:eastAsia="仿宋_GB2312" w:cs="Times New Roman"/>
                <w:color w:val="000000"/>
                <w:sz w:val="24"/>
                <w:szCs w:val="40"/>
              </w:rPr>
              <w:t>0011526</w:t>
            </w:r>
          </w:p>
        </w:tc>
        <w:tc>
          <w:tcPr>
            <w:tcW w:w="2425" w:type="dxa"/>
            <w:tcBorders>
              <w:left w:val="nil"/>
            </w:tcBorders>
            <w:vAlign w:val="center"/>
          </w:tcPr>
          <w:p>
            <w:pPr>
              <w:spacing w:line="520" w:lineRule="exact"/>
              <w:jc w:val="center"/>
              <w:rPr>
                <w:rFonts w:ascii="仿宋_GB2312" w:hAnsi="宋体" w:eastAsia="仿宋_GB2312" w:cs="宋体"/>
                <w:color w:val="000000"/>
                <w:sz w:val="24"/>
                <w:szCs w:val="40"/>
              </w:rPr>
            </w:pPr>
            <w:r>
              <w:rPr>
                <w:rFonts w:ascii="仿宋_GB2312" w:hAnsi="Calibri" w:eastAsia="仿宋_GB2312" w:cs="Times New Roman"/>
                <w:color w:val="000000"/>
                <w:sz w:val="24"/>
                <w:szCs w:val="40"/>
              </w:rPr>
              <w:t>170006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983" w:type="dxa"/>
            <w:vAlign w:val="center"/>
          </w:tcPr>
          <w:p>
            <w:pPr>
              <w:spacing w:line="273" w:lineRule="auto"/>
              <w:jc w:val="center"/>
              <w:rPr>
                <w:rFonts w:ascii="仿宋_GB2312" w:hAnsi="宋体" w:eastAsia="仿宋_GB2312" w:cs="宋体"/>
                <w:color w:val="000000"/>
                <w:sz w:val="24"/>
                <w:szCs w:val="40"/>
              </w:rPr>
            </w:pPr>
            <w:r>
              <w:rPr>
                <w:rFonts w:hint="eastAsia" w:ascii="仿宋_GB2312" w:hAnsi="Calibri" w:eastAsia="仿宋_GB2312" w:cs="Times New Roman"/>
                <w:color w:val="000000"/>
                <w:sz w:val="24"/>
                <w:szCs w:val="40"/>
              </w:rPr>
              <w:t>签名或签章</w:t>
            </w:r>
          </w:p>
        </w:tc>
        <w:tc>
          <w:tcPr>
            <w:tcW w:w="2124" w:type="dxa"/>
            <w:tcBorders>
              <w:left w:val="nil"/>
            </w:tcBorders>
            <w:vAlign w:val="center"/>
          </w:tcPr>
          <w:p>
            <w:pPr>
              <w:spacing w:line="900" w:lineRule="exact"/>
              <w:ind w:right="-13" w:rightChars="-6"/>
              <w:jc w:val="center"/>
              <w:rPr>
                <w:rFonts w:ascii="仿宋_GB2312" w:hAnsi="宋体" w:eastAsia="仿宋_GB2312" w:cs="宋体"/>
                <w:color w:val="000000"/>
                <w:spacing w:val="-20"/>
                <w:sz w:val="24"/>
                <w:szCs w:val="40"/>
              </w:rPr>
            </w:pPr>
            <w:r>
              <w:rPr>
                <w:spacing w:val="-24"/>
                <w:sz w:val="24"/>
                <w:szCs w:val="28"/>
              </w:rPr>
              <w:drawing>
                <wp:inline distT="0" distB="0" distL="114300" distR="114300">
                  <wp:extent cx="1074420" cy="451485"/>
                  <wp:effectExtent l="0" t="0" r="11430" b="5715"/>
                  <wp:docPr id="1" name="图片 1" descr="签字  王焰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字  王焰涛"/>
                          <pic:cNvPicPr>
                            <a:picLocks noChangeAspect="1"/>
                          </pic:cNvPicPr>
                        </pic:nvPicPr>
                        <pic:blipFill>
                          <a:blip r:embed="rId11">
                            <a:lum bright="-20001" contrast="96000"/>
                          </a:blip>
                          <a:stretch>
                            <a:fillRect/>
                          </a:stretch>
                        </pic:blipFill>
                        <pic:spPr>
                          <a:xfrm>
                            <a:off x="0" y="0"/>
                            <a:ext cx="1074420" cy="451485"/>
                          </a:xfrm>
                          <a:prstGeom prst="rect">
                            <a:avLst/>
                          </a:prstGeom>
                          <a:noFill/>
                          <a:ln>
                            <a:noFill/>
                          </a:ln>
                        </pic:spPr>
                      </pic:pic>
                    </a:graphicData>
                  </a:graphic>
                </wp:inline>
              </w:drawing>
            </w:r>
          </w:p>
        </w:tc>
        <w:tc>
          <w:tcPr>
            <w:tcW w:w="2162" w:type="dxa"/>
            <w:tcBorders>
              <w:left w:val="nil"/>
            </w:tcBorders>
            <w:vAlign w:val="center"/>
          </w:tcPr>
          <w:p>
            <w:pPr>
              <w:spacing w:line="900" w:lineRule="exact"/>
              <w:jc w:val="center"/>
              <w:rPr>
                <w:rFonts w:ascii="仿宋_GB2312" w:hAnsi="宋体" w:eastAsia="仿宋_GB2312" w:cs="宋体"/>
                <w:color w:val="000000"/>
                <w:sz w:val="24"/>
                <w:szCs w:val="40"/>
              </w:rPr>
            </w:pPr>
            <w:r>
              <w:rPr>
                <w:sz w:val="24"/>
                <w:szCs w:val="28"/>
              </w:rPr>
              <w:drawing>
                <wp:anchor distT="0" distB="0" distL="114300" distR="114300" simplePos="0" relativeHeight="251659264" behindDoc="1" locked="0" layoutInCell="1" allowOverlap="1">
                  <wp:simplePos x="0" y="0"/>
                  <wp:positionH relativeFrom="column">
                    <wp:posOffset>56515</wp:posOffset>
                  </wp:positionH>
                  <wp:positionV relativeFrom="paragraph">
                    <wp:posOffset>145415</wp:posOffset>
                  </wp:positionV>
                  <wp:extent cx="1189990" cy="556260"/>
                  <wp:effectExtent l="0" t="0" r="10160" b="15240"/>
                  <wp:wrapNone/>
                  <wp:docPr id="5" name="图片 2" descr="签字 周建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签字 周建萍"/>
                          <pic:cNvPicPr>
                            <a:picLocks noChangeAspect="1"/>
                          </pic:cNvPicPr>
                        </pic:nvPicPr>
                        <pic:blipFill>
                          <a:blip r:embed="rId12">
                            <a:lum bright="-17999" contrast="94000"/>
                          </a:blip>
                          <a:stretch>
                            <a:fillRect/>
                          </a:stretch>
                        </pic:blipFill>
                        <pic:spPr>
                          <a:xfrm>
                            <a:off x="0" y="0"/>
                            <a:ext cx="1189990" cy="556260"/>
                          </a:xfrm>
                          <a:prstGeom prst="rect">
                            <a:avLst/>
                          </a:prstGeom>
                          <a:noFill/>
                          <a:ln>
                            <a:noFill/>
                          </a:ln>
                        </pic:spPr>
                      </pic:pic>
                    </a:graphicData>
                  </a:graphic>
                </wp:anchor>
              </w:drawing>
            </w:r>
          </w:p>
        </w:tc>
        <w:tc>
          <w:tcPr>
            <w:tcW w:w="2425" w:type="dxa"/>
            <w:tcBorders>
              <w:left w:val="nil"/>
            </w:tcBorders>
            <w:vAlign w:val="center"/>
          </w:tcPr>
          <w:p>
            <w:pPr>
              <w:spacing w:line="900" w:lineRule="exact"/>
              <w:ind w:right="-13" w:rightChars="-6"/>
              <w:jc w:val="center"/>
              <w:rPr>
                <w:rFonts w:ascii="仿宋_GB2312" w:hAnsi="宋体" w:eastAsia="仿宋_GB2312" w:cs="宋体"/>
                <w:color w:val="000000"/>
                <w:sz w:val="24"/>
                <w:szCs w:val="40"/>
              </w:rPr>
            </w:pPr>
            <w:r>
              <w:rPr>
                <w:rFonts w:hint="eastAsia"/>
                <w:sz w:val="24"/>
                <w:szCs w:val="28"/>
              </w:rPr>
              <w:drawing>
                <wp:inline distT="0" distB="0" distL="114300" distR="114300">
                  <wp:extent cx="1323340" cy="541020"/>
                  <wp:effectExtent l="0" t="0" r="10160" b="11430"/>
                  <wp:docPr id="6" name="图片 3" descr="QQ图片2017121314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QQ图片20171213143810"/>
                          <pic:cNvPicPr>
                            <a:picLocks noChangeAspect="1"/>
                          </pic:cNvPicPr>
                        </pic:nvPicPr>
                        <pic:blipFill>
                          <a:blip r:embed="rId13">
                            <a:lum bright="-20001" contrast="90000"/>
                          </a:blip>
                          <a:stretch>
                            <a:fillRect/>
                          </a:stretch>
                        </pic:blipFill>
                        <pic:spPr>
                          <a:xfrm>
                            <a:off x="0" y="0"/>
                            <a:ext cx="1323340" cy="541020"/>
                          </a:xfrm>
                          <a:prstGeom prst="rect">
                            <a:avLst/>
                          </a:prstGeom>
                          <a:noFill/>
                          <a:ln>
                            <a:noFill/>
                          </a:ln>
                        </pic:spPr>
                      </pic:pic>
                    </a:graphicData>
                  </a:graphic>
                </wp:inline>
              </w:drawing>
            </w:r>
          </w:p>
        </w:tc>
      </w:tr>
    </w:tbl>
    <w:p>
      <w:pPr>
        <w:spacing w:line="660" w:lineRule="exact"/>
        <w:rPr>
          <w:rFonts w:ascii="黑体" w:hAnsi="黑体" w:eastAsia="黑体" w:cs="黑体"/>
          <w:b/>
          <w:bCs/>
          <w:sz w:val="28"/>
          <w:szCs w:val="28"/>
        </w:rPr>
      </w:pPr>
    </w:p>
    <w:bookmarkEnd w:id="19"/>
    <w:p>
      <w:pPr>
        <w:spacing w:line="660" w:lineRule="exact"/>
        <w:ind w:firstLine="560" w:firstLineChars="200"/>
        <w:rPr>
          <w:rFonts w:ascii="宋体" w:hAnsi="宋体" w:eastAsia="宋体" w:cs="宋体"/>
          <w:sz w:val="28"/>
          <w:szCs w:val="28"/>
        </w:rPr>
      </w:pP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湖北仲智衡房地资产价格评估有限公司</w:t>
      </w:r>
    </w:p>
    <w:p>
      <w:pPr>
        <w:ind w:firstLine="5040" w:firstLineChars="1800"/>
      </w:pP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年1</w:t>
      </w:r>
      <w:r>
        <w:rPr>
          <w:rFonts w:hint="eastAsia" w:ascii="Times New Roman" w:hAnsi="Times New Roman" w:eastAsia="宋体" w:cs="Times New Roman"/>
          <w:sz w:val="28"/>
          <w:szCs w:val="28"/>
          <w:lang w:val="en-US" w:eastAsia="zh-CN"/>
        </w:rPr>
        <w:t>0</w:t>
      </w:r>
      <w:r>
        <w:rPr>
          <w:rFonts w:hint="eastAsia" w:ascii="Times New Roman" w:hAnsi="Times New Roman" w:eastAsia="宋体" w:cs="Times New Roman"/>
          <w:sz w:val="28"/>
          <w:szCs w:val="28"/>
        </w:rPr>
        <w:t>月</w:t>
      </w:r>
      <w:r>
        <w:rPr>
          <w:rFonts w:hint="eastAsia" w:ascii="Times New Roman" w:hAnsi="Times New Roman" w:eastAsia="宋体" w:cs="Times New Roman"/>
          <w:sz w:val="28"/>
          <w:szCs w:val="28"/>
          <w:lang w:val="en-US" w:eastAsia="zh-CN"/>
        </w:rPr>
        <w:t>19</w:t>
      </w:r>
      <w:r>
        <w:rPr>
          <w:rFonts w:hint="eastAsia" w:ascii="Times New Roman" w:hAnsi="Times New Roman" w:eastAsia="宋体" w:cs="Times New Roman"/>
          <w:sz w:val="28"/>
          <w:szCs w:val="28"/>
        </w:rPr>
        <w:t>日</w:t>
      </w:r>
    </w:p>
    <w:p>
      <w:pPr>
        <w:rPr>
          <w:rFonts w:ascii="Times New Roman" w:hAnsi="Times New Roman" w:eastAsia="宋体" w:cs="Times New Roman"/>
          <w:szCs w:val="24"/>
        </w:rPr>
      </w:pPr>
    </w:p>
    <w:p>
      <w:pPr>
        <w:rPr>
          <w:rFonts w:ascii="Times New Roman" w:hAnsi="Times New Roman" w:eastAsia="宋体" w:cs="Times New Roman"/>
          <w:szCs w:val="24"/>
        </w:rPr>
      </w:pPr>
    </w:p>
    <w:p>
      <w:pPr>
        <w:spacing w:line="500" w:lineRule="exact"/>
        <w:jc w:val="center"/>
        <w:rPr>
          <w:rFonts w:hint="eastAsia" w:ascii="黑体" w:hAnsi="黑体" w:eastAsia="黑体" w:cs="黑体"/>
          <w:b/>
          <w:bCs/>
          <w:sz w:val="44"/>
          <w:szCs w:val="44"/>
        </w:rPr>
      </w:pPr>
    </w:p>
    <w:p>
      <w:pPr>
        <w:spacing w:line="500" w:lineRule="exact"/>
        <w:jc w:val="center"/>
        <w:rPr>
          <w:rFonts w:hint="eastAsia" w:ascii="黑体" w:hAnsi="黑体" w:eastAsia="黑体" w:cs="黑体"/>
          <w:b/>
          <w:bCs/>
          <w:sz w:val="44"/>
          <w:szCs w:val="44"/>
        </w:rPr>
      </w:pPr>
    </w:p>
    <w:p>
      <w:pPr>
        <w:spacing w:line="500" w:lineRule="exact"/>
        <w:jc w:val="center"/>
        <w:rPr>
          <w:rFonts w:hint="eastAsia" w:ascii="黑体" w:hAnsi="黑体" w:eastAsia="黑体" w:cs="黑体"/>
          <w:b/>
          <w:bCs/>
          <w:sz w:val="44"/>
          <w:szCs w:val="44"/>
        </w:rPr>
      </w:pPr>
    </w:p>
    <w:p>
      <w:pPr>
        <w:spacing w:line="500" w:lineRule="exact"/>
        <w:jc w:val="center"/>
        <w:rPr>
          <w:rFonts w:hint="eastAsia" w:ascii="黑体" w:hAnsi="黑体" w:eastAsia="黑体" w:cs="黑体"/>
          <w:b/>
          <w:bCs/>
          <w:sz w:val="44"/>
          <w:szCs w:val="44"/>
        </w:rPr>
      </w:pPr>
    </w:p>
    <w:p>
      <w:pPr>
        <w:spacing w:line="500" w:lineRule="exact"/>
        <w:jc w:val="center"/>
        <w:rPr>
          <w:rFonts w:hint="eastAsia" w:ascii="黑体" w:hAnsi="黑体" w:eastAsia="黑体" w:cs="黑体"/>
          <w:b/>
          <w:bCs/>
          <w:sz w:val="44"/>
          <w:szCs w:val="44"/>
        </w:rPr>
      </w:pPr>
    </w:p>
    <w:p>
      <w:pPr>
        <w:spacing w:line="500" w:lineRule="exact"/>
        <w:jc w:val="center"/>
        <w:rPr>
          <w:rFonts w:hint="eastAsia" w:ascii="黑体" w:hAnsi="黑体" w:eastAsia="黑体" w:cs="黑体"/>
          <w:b/>
          <w:bCs/>
          <w:sz w:val="44"/>
          <w:szCs w:val="44"/>
        </w:rPr>
      </w:pP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 xml:space="preserve">附 </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 xml:space="preserve"> 件</w:t>
      </w:r>
    </w:p>
    <w:p>
      <w:pPr>
        <w:spacing w:line="500" w:lineRule="exact"/>
        <w:ind w:left="640"/>
        <w:jc w:val="center"/>
        <w:rPr>
          <w:rFonts w:ascii="楷体_GB2312" w:hAnsi="Times New Roman" w:eastAsia="楷体_GB2312" w:cs="Times New Roman"/>
          <w:b/>
          <w:bCs/>
          <w:sz w:val="44"/>
          <w:szCs w:val="24"/>
        </w:rPr>
      </w:pP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w:t>
      </w:r>
      <w:r>
        <w:rPr>
          <w:rFonts w:hint="eastAsia" w:asciiTheme="minorEastAsia" w:hAnsiTheme="minorEastAsia" w:cstheme="minorEastAsia"/>
          <w:sz w:val="28"/>
          <w:szCs w:val="24"/>
          <w:lang w:eastAsia="zh-CN"/>
        </w:rPr>
        <w:t>司法鉴定</w:t>
      </w:r>
      <w:r>
        <w:rPr>
          <w:rFonts w:hint="eastAsia" w:asciiTheme="minorEastAsia" w:hAnsiTheme="minorEastAsia" w:eastAsiaTheme="minorEastAsia" w:cstheme="minorEastAsia"/>
          <w:sz w:val="28"/>
          <w:szCs w:val="24"/>
        </w:rPr>
        <w:t>委托书</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2、估价对象房地产现场勘查照片和地理位置示意图</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3、估价对象《</w:t>
      </w:r>
      <w:r>
        <w:rPr>
          <w:rFonts w:hint="eastAsia" w:asciiTheme="minorEastAsia" w:hAnsiTheme="minorEastAsia" w:cstheme="minorEastAsia"/>
          <w:sz w:val="28"/>
          <w:szCs w:val="24"/>
          <w:lang w:eastAsia="zh-CN"/>
        </w:rPr>
        <w:t>不动产权利及其他事项登记信息</w:t>
      </w:r>
      <w:r>
        <w:rPr>
          <w:rFonts w:hint="eastAsia" w:asciiTheme="minorEastAsia" w:hAnsiTheme="minorEastAsia" w:eastAsiaTheme="minorEastAsia" w:cstheme="minorEastAsia"/>
          <w:sz w:val="28"/>
          <w:szCs w:val="24"/>
        </w:rPr>
        <w:t>》复印件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Theme="minorEastAsia" w:hAnsiTheme="minorEastAsia" w:eastAsiaTheme="minorEastAsia" w:cstheme="minorEastAsia"/>
          <w:sz w:val="28"/>
          <w:szCs w:val="24"/>
          <w:lang w:val="en-US" w:eastAsia="zh-CN"/>
        </w:rPr>
      </w:pPr>
      <w:r>
        <w:rPr>
          <w:rFonts w:hint="eastAsia" w:asciiTheme="minorEastAsia" w:hAnsiTheme="minorEastAsia" w:cstheme="minorEastAsia"/>
          <w:sz w:val="28"/>
          <w:szCs w:val="24"/>
          <w:lang w:val="en-US" w:eastAsia="zh-CN"/>
        </w:rPr>
        <w:t>4、估价对象《国有土地使用证》复印件</w:t>
      </w:r>
    </w:p>
    <w:p>
      <w:pPr>
        <w:keepNext w:val="0"/>
        <w:keepLines w:val="0"/>
        <w:pageBreakBefore w:val="0"/>
        <w:widowControl w:val="0"/>
        <w:kinsoku/>
        <w:wordWrap/>
        <w:overflowPunct/>
        <w:topLinePunct w:val="0"/>
        <w:autoSpaceDE/>
        <w:autoSpaceDN/>
        <w:bidi w:val="0"/>
        <w:adjustRightInd/>
        <w:snapToGrid/>
        <w:spacing w:line="700" w:lineRule="exact"/>
        <w:ind w:left="560"/>
        <w:textAlignment w:val="auto"/>
        <w:rPr>
          <w:rFonts w:hint="eastAsia" w:asciiTheme="minorEastAsia" w:hAnsiTheme="minorEastAsia" w:eastAsiaTheme="minorEastAsia" w:cstheme="minorEastAsia"/>
          <w:sz w:val="28"/>
          <w:szCs w:val="24"/>
        </w:rPr>
      </w:pPr>
      <w:r>
        <w:rPr>
          <w:rFonts w:hint="eastAsia" w:asciiTheme="minorEastAsia" w:hAnsiTheme="minorEastAsia" w:cstheme="minorEastAsia"/>
          <w:sz w:val="28"/>
          <w:szCs w:val="24"/>
          <w:lang w:val="en-US" w:eastAsia="zh-CN"/>
        </w:rPr>
        <w:t>5</w:t>
      </w:r>
      <w:r>
        <w:rPr>
          <w:rFonts w:hint="eastAsia" w:asciiTheme="minorEastAsia" w:hAnsiTheme="minorEastAsia" w:eastAsiaTheme="minorEastAsia" w:cstheme="minorEastAsia"/>
          <w:sz w:val="28"/>
          <w:szCs w:val="24"/>
        </w:rPr>
        <w:t>、评估机构企业营业执照复印件</w:t>
      </w:r>
    </w:p>
    <w:p>
      <w:pPr>
        <w:keepNext w:val="0"/>
        <w:keepLines w:val="0"/>
        <w:pageBreakBefore w:val="0"/>
        <w:widowControl w:val="0"/>
        <w:kinsoku/>
        <w:wordWrap/>
        <w:overflowPunct/>
        <w:topLinePunct w:val="0"/>
        <w:autoSpaceDE/>
        <w:autoSpaceDN/>
        <w:bidi w:val="0"/>
        <w:adjustRightInd/>
        <w:snapToGrid/>
        <w:spacing w:line="700" w:lineRule="exact"/>
        <w:ind w:left="560"/>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cstheme="minorEastAsia"/>
          <w:color w:val="auto"/>
          <w:sz w:val="28"/>
          <w:szCs w:val="24"/>
          <w:lang w:val="en-US" w:eastAsia="zh-CN"/>
        </w:rPr>
        <w:t>6</w:t>
      </w:r>
      <w:r>
        <w:rPr>
          <w:rFonts w:hint="eastAsia" w:asciiTheme="minorEastAsia" w:hAnsiTheme="minorEastAsia" w:eastAsiaTheme="minorEastAsia" w:cstheme="minorEastAsia"/>
          <w:color w:val="auto"/>
          <w:sz w:val="28"/>
          <w:szCs w:val="24"/>
        </w:rPr>
        <w:t>、评估机构资质证复印件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ascii="楷体_GB2312" w:hAnsi="Times New Roman" w:eastAsia="楷体_GB2312" w:cs="Times New Roman"/>
          <w:color w:val="auto"/>
          <w:sz w:val="28"/>
          <w:szCs w:val="24"/>
        </w:rPr>
      </w:pPr>
      <w:r>
        <w:rPr>
          <w:rFonts w:hint="eastAsia" w:asciiTheme="minorEastAsia" w:hAnsiTheme="minorEastAsia" w:cstheme="minorEastAsia"/>
          <w:color w:val="auto"/>
          <w:sz w:val="28"/>
          <w:szCs w:val="24"/>
          <w:lang w:val="en-US" w:eastAsia="zh-CN"/>
        </w:rPr>
        <w:t>7</w:t>
      </w:r>
      <w:r>
        <w:rPr>
          <w:rFonts w:hint="eastAsia" w:asciiTheme="minorEastAsia" w:hAnsiTheme="minorEastAsia" w:eastAsiaTheme="minorEastAsia" w:cstheme="minorEastAsia"/>
          <w:color w:val="auto"/>
          <w:sz w:val="28"/>
          <w:szCs w:val="24"/>
        </w:rPr>
        <w:t>、</w:t>
      </w:r>
      <w:r>
        <w:rPr>
          <w:rFonts w:hint="eastAsia" w:asciiTheme="minorEastAsia" w:hAnsiTheme="minorEastAsia" w:cstheme="minorEastAsia"/>
          <w:color w:val="auto"/>
          <w:sz w:val="28"/>
          <w:szCs w:val="24"/>
          <w:lang w:eastAsia="zh-CN"/>
        </w:rPr>
        <w:t>价格评估专业人员登记证书</w:t>
      </w:r>
      <w:r>
        <w:rPr>
          <w:rFonts w:hint="eastAsia" w:asciiTheme="minorEastAsia" w:hAnsiTheme="minorEastAsia" w:eastAsiaTheme="minorEastAsia" w:cstheme="minorEastAsia"/>
          <w:color w:val="auto"/>
          <w:sz w:val="28"/>
          <w:szCs w:val="24"/>
        </w:rPr>
        <w:t>复印件</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r>
        <w:rPr>
          <w:rFonts w:hint="eastAsia" w:ascii="黑体" w:hAnsi="黑体" w:eastAsia="黑体" w:cs="黑体"/>
          <w:b/>
          <w:sz w:val="32"/>
          <w:szCs w:val="32"/>
        </w:rPr>
        <w:t>现场勘查照片</w:t>
      </w:r>
    </w:p>
    <w:p>
      <w:pPr>
        <w:spacing w:line="240" w:lineRule="auto"/>
        <w:jc w:val="both"/>
        <w:rPr>
          <w:rFonts w:hint="eastAsia" w:ascii="黑体" w:hAnsi="黑体" w:eastAsia="黑体" w:cs="黑体"/>
          <w:b/>
          <w:sz w:val="32"/>
          <w:szCs w:val="32"/>
          <w:lang w:eastAsia="zh-CN"/>
        </w:rPr>
      </w:pPr>
      <w:r>
        <w:rPr>
          <w:rFonts w:hint="eastAsia" w:ascii="宋体" w:hAnsi="宋体" w:eastAsia="宋体" w:cs="宋体"/>
          <w:sz w:val="28"/>
          <w:szCs w:val="28"/>
          <w:lang w:eastAsia="zh-CN"/>
        </w:rPr>
        <w:drawing>
          <wp:inline distT="0" distB="0" distL="114300" distR="114300">
            <wp:extent cx="5504180" cy="4629150"/>
            <wp:effectExtent l="0" t="0" r="1270" b="0"/>
            <wp:docPr id="10" name="图片 10" descr="fba05bc79a674ffe47beae87dec5bbd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ba05bc79a674ffe47beae87dec5bbd_副本"/>
                    <pic:cNvPicPr>
                      <a:picLocks noChangeAspect="1"/>
                    </pic:cNvPicPr>
                  </pic:nvPicPr>
                  <pic:blipFill>
                    <a:blip r:embed="rId10"/>
                    <a:stretch>
                      <a:fillRect/>
                    </a:stretch>
                  </pic:blipFill>
                  <pic:spPr>
                    <a:xfrm>
                      <a:off x="0" y="0"/>
                      <a:ext cx="5504180" cy="4629150"/>
                    </a:xfrm>
                    <a:prstGeom prst="rect">
                      <a:avLst/>
                    </a:prstGeom>
                  </pic:spPr>
                </pic:pic>
              </a:graphicData>
            </a:graphic>
          </wp:inline>
        </w:drawing>
      </w:r>
    </w:p>
    <w:p>
      <w:pPr>
        <w:jc w:val="center"/>
        <w:rPr>
          <w:rFonts w:hint="eastAsia" w:ascii="黑体" w:hAnsi="黑体" w:eastAsia="黑体" w:cs="黑体"/>
          <w:b/>
          <w:sz w:val="32"/>
          <w:szCs w:val="32"/>
        </w:rPr>
      </w:pPr>
      <w:r>
        <w:rPr>
          <w:rFonts w:hint="eastAsia" w:ascii="黑体" w:hAnsi="黑体" w:eastAsia="黑体" w:cs="黑体"/>
          <w:b/>
          <w:sz w:val="32"/>
          <w:szCs w:val="32"/>
        </w:rPr>
        <w:t>估价对象地理位置示意图</w:t>
      </w:r>
    </w:p>
    <w:p>
      <w:pPr>
        <w:jc w:val="both"/>
        <w:rPr>
          <w:rFonts w:hint="eastAsia" w:ascii="黑体" w:hAnsi="黑体" w:eastAsia="黑体" w:cs="黑体"/>
          <w:b/>
          <w:sz w:val="32"/>
          <w:szCs w:val="32"/>
          <w:lang w:eastAsia="zh-CN"/>
        </w:rPr>
      </w:pPr>
      <w:r>
        <w:rPr>
          <w:rFonts w:hint="eastAsia" w:ascii="黑体" w:hAnsi="黑体" w:eastAsia="黑体" w:cs="黑体"/>
          <w:b/>
          <w:sz w:val="28"/>
          <w:szCs w:val="28"/>
          <w:lang w:eastAsia="zh-CN"/>
        </w:rPr>
        <w:drawing>
          <wp:anchor distT="0" distB="0" distL="114300" distR="114300" simplePos="0" relativeHeight="251665408" behindDoc="1" locked="0" layoutInCell="1" allowOverlap="1">
            <wp:simplePos x="0" y="0"/>
            <wp:positionH relativeFrom="column">
              <wp:posOffset>69850</wp:posOffset>
            </wp:positionH>
            <wp:positionV relativeFrom="paragraph">
              <wp:posOffset>635</wp:posOffset>
            </wp:positionV>
            <wp:extent cx="5487670" cy="3241040"/>
            <wp:effectExtent l="0" t="0" r="17780" b="16510"/>
            <wp:wrapNone/>
            <wp:docPr id="11" name="图片 11" descr="QQ截图2020101609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截图20201016091440"/>
                    <pic:cNvPicPr>
                      <a:picLocks noChangeAspect="1"/>
                    </pic:cNvPicPr>
                  </pic:nvPicPr>
                  <pic:blipFill>
                    <a:blip r:embed="rId9"/>
                    <a:stretch>
                      <a:fillRect/>
                    </a:stretch>
                  </pic:blipFill>
                  <pic:spPr>
                    <a:xfrm>
                      <a:off x="0" y="0"/>
                      <a:ext cx="5487670" cy="3241040"/>
                    </a:xfrm>
                    <a:prstGeom prst="rect">
                      <a:avLst/>
                    </a:prstGeom>
                  </pic:spPr>
                </pic:pic>
              </a:graphicData>
            </a:graphic>
          </wp:anchor>
        </w:drawing>
      </w:r>
    </w:p>
    <w:p/>
    <w:sectPr>
      <w:headerReference r:id="rId6" w:type="default"/>
      <w:pgSz w:w="11907" w:h="16834"/>
      <w:pgMar w:top="1440" w:right="1797"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rPr>
        <w:rFonts w:ascii="黑体" w:hAnsi="黑体" w:eastAsia="黑体" w:cs="黑体"/>
        <w:b/>
        <w:bCs/>
        <w:sz w:val="16"/>
        <w:szCs w:val="16"/>
      </w:rPr>
    </w:pPr>
    <w:r>
      <w:rPr>
        <w:rFonts w:hint="eastAsia" w:ascii="黑体" w:hAnsi="黑体" w:eastAsia="黑体" w:cs="黑体"/>
        <w:b w:val="0"/>
        <w:bCs w:val="0"/>
        <w:sz w:val="16"/>
        <w:szCs w:val="16"/>
        <w:lang w:eastAsia="zh-CN"/>
      </w:rPr>
      <w:t>湖北仲智衡房地资产价格评估有限公司</w:t>
    </w:r>
    <w:r>
      <w:rPr>
        <w:rFonts w:hint="eastAsia" w:ascii="黑体" w:hAnsi="黑体" w:eastAsia="黑体" w:cs="黑体"/>
        <w:b/>
        <w:bCs/>
        <w:sz w:val="16"/>
        <w:szCs w:val="16"/>
      </w:rPr>
      <w:t xml:space="preserve">  </w:t>
    </w:r>
    <w:r>
      <w:rPr>
        <w:rFonts w:hint="eastAsia" w:eastAsia="楷体_GB2312"/>
        <w:i/>
        <w:iCs/>
      </w:rPr>
      <w:t xml:space="preserve"> </w:t>
    </w:r>
    <w:r>
      <w:rPr>
        <w:rFonts w:hint="eastAsia" w:eastAsia="楷体_GB2312"/>
        <w:i/>
        <w:iCs/>
        <w:lang w:val="en-US" w:eastAsia="zh-CN"/>
      </w:rPr>
      <w:t xml:space="preserve"> </w:t>
    </w:r>
    <w:r>
      <w:rPr>
        <w:sz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69570" cy="147955"/>
              <wp:effectExtent l="1905"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369570" cy="147955"/>
                      </a:xfrm>
                      <a:prstGeom prst="rect">
                        <a:avLst/>
                      </a:prstGeom>
                      <a:noFill/>
                      <a:ln>
                        <a:noFill/>
                      </a:ln>
                    </wps:spPr>
                    <wps:txbx>
                      <w:txbxContent>
                        <w:p>
                          <w:pPr>
                            <w:pStyle w:val="3"/>
                          </w:pPr>
                          <w:r>
                            <w:rPr>
                              <w:rFonts w:hint="eastAsia" w:ascii="黑体" w:hAnsi="黑体" w:eastAsia="黑体" w:cs="黑体"/>
                              <w:b/>
                              <w:bCs/>
                              <w:sz w:val="16"/>
                              <w:szCs w:val="16"/>
                            </w:rPr>
                            <w:t xml:space="preserve">第 </w:t>
                          </w:r>
                          <w:r>
                            <w:rPr>
                              <w:rFonts w:hint="eastAsia" w:ascii="黑体" w:hAnsi="黑体" w:eastAsia="黑体" w:cs="黑体"/>
                              <w:b/>
                              <w:bCs/>
                              <w:sz w:val="16"/>
                              <w:szCs w:val="16"/>
                            </w:rPr>
                            <w:fldChar w:fldCharType="begin"/>
                          </w:r>
                          <w:r>
                            <w:rPr>
                              <w:rFonts w:hint="eastAsia" w:ascii="黑体" w:hAnsi="黑体" w:eastAsia="黑体" w:cs="黑体"/>
                              <w:b/>
                              <w:bCs/>
                              <w:sz w:val="16"/>
                              <w:szCs w:val="16"/>
                            </w:rPr>
                            <w:instrText xml:space="preserve"> PAGE  \* MERGEFORMAT </w:instrText>
                          </w:r>
                          <w:r>
                            <w:rPr>
                              <w:rFonts w:hint="eastAsia" w:ascii="黑体" w:hAnsi="黑体" w:eastAsia="黑体" w:cs="黑体"/>
                              <w:b/>
                              <w:bCs/>
                              <w:sz w:val="16"/>
                              <w:szCs w:val="16"/>
                            </w:rPr>
                            <w:fldChar w:fldCharType="separate"/>
                          </w:r>
                          <w:r>
                            <w:rPr>
                              <w:rFonts w:ascii="黑体" w:hAnsi="黑体" w:eastAsia="黑体" w:cs="黑体"/>
                              <w:b/>
                              <w:bCs/>
                              <w:sz w:val="16"/>
                              <w:szCs w:val="16"/>
                            </w:rPr>
                            <w:t>17</w:t>
                          </w:r>
                          <w:r>
                            <w:rPr>
                              <w:rFonts w:hint="eastAsia" w:ascii="黑体" w:hAnsi="黑体" w:eastAsia="黑体" w:cs="黑体"/>
                              <w:b/>
                              <w:bCs/>
                              <w:sz w:val="16"/>
                              <w:szCs w:val="16"/>
                            </w:rPr>
                            <w:fldChar w:fldCharType="end"/>
                          </w:r>
                          <w:r>
                            <w:rPr>
                              <w:rFonts w:hint="eastAsia" w:ascii="黑体" w:hAnsi="黑体" w:eastAsia="黑体" w:cs="黑体"/>
                              <w:b/>
                              <w:bCs/>
                              <w:sz w:val="16"/>
                              <w:szCs w:val="16"/>
                            </w:rP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9.1pt;mso-position-horizontal:right;mso-position-horizontal-relative:margin;mso-wrap-style:none;z-index:251659264;mso-width-relative:page;mso-height-relative:page;" filled="f" stroked="f" coordsize="21600,21600" o:gfxdata="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6kXr0QAAAAMBAAAPAAAAAAAAAAEAIAAAACIAAABk&#10;cnMvZG93bnJldi54bWxQSwECFAAUAAAACACHTuJABlTRbw0CAAAEBAAADgAAAAAAAAABACAAAAAg&#10;AQAAZHJzL2Uyb0RvYy54bWxQSwUGAAAAAAYABgBZAQAAnwUAAAAA&#10;">
              <v:fill on="f" focussize="0,0"/>
              <v:stroke on="f"/>
              <v:imagedata o:title=""/>
              <o:lock v:ext="edit" aspectratio="f"/>
              <v:textbox inset="0mm,0mm,0mm,0mm" style="mso-fit-shape-to-text:t;">
                <w:txbxContent>
                  <w:p>
                    <w:pPr>
                      <w:pStyle w:val="3"/>
                    </w:pPr>
                    <w:r>
                      <w:rPr>
                        <w:rFonts w:hint="eastAsia" w:ascii="黑体" w:hAnsi="黑体" w:eastAsia="黑体" w:cs="黑体"/>
                        <w:b/>
                        <w:bCs/>
                        <w:sz w:val="16"/>
                        <w:szCs w:val="16"/>
                      </w:rPr>
                      <w:t xml:space="preserve">第 </w:t>
                    </w:r>
                    <w:r>
                      <w:rPr>
                        <w:rFonts w:hint="eastAsia" w:ascii="黑体" w:hAnsi="黑体" w:eastAsia="黑体" w:cs="黑体"/>
                        <w:b/>
                        <w:bCs/>
                        <w:sz w:val="16"/>
                        <w:szCs w:val="16"/>
                      </w:rPr>
                      <w:fldChar w:fldCharType="begin"/>
                    </w:r>
                    <w:r>
                      <w:rPr>
                        <w:rFonts w:hint="eastAsia" w:ascii="黑体" w:hAnsi="黑体" w:eastAsia="黑体" w:cs="黑体"/>
                        <w:b/>
                        <w:bCs/>
                        <w:sz w:val="16"/>
                        <w:szCs w:val="16"/>
                      </w:rPr>
                      <w:instrText xml:space="preserve"> PAGE  \* MERGEFORMAT </w:instrText>
                    </w:r>
                    <w:r>
                      <w:rPr>
                        <w:rFonts w:hint="eastAsia" w:ascii="黑体" w:hAnsi="黑体" w:eastAsia="黑体" w:cs="黑体"/>
                        <w:b/>
                        <w:bCs/>
                        <w:sz w:val="16"/>
                        <w:szCs w:val="16"/>
                      </w:rPr>
                      <w:fldChar w:fldCharType="separate"/>
                    </w:r>
                    <w:r>
                      <w:rPr>
                        <w:rFonts w:ascii="黑体" w:hAnsi="黑体" w:eastAsia="黑体" w:cs="黑体"/>
                        <w:b/>
                        <w:bCs/>
                        <w:sz w:val="16"/>
                        <w:szCs w:val="16"/>
                      </w:rPr>
                      <w:t>17</w:t>
                    </w:r>
                    <w:r>
                      <w:rPr>
                        <w:rFonts w:hint="eastAsia" w:ascii="黑体" w:hAnsi="黑体" w:eastAsia="黑体" w:cs="黑体"/>
                        <w:b/>
                        <w:bCs/>
                        <w:sz w:val="16"/>
                        <w:szCs w:val="16"/>
                      </w:rPr>
                      <w:fldChar w:fldCharType="end"/>
                    </w:r>
                    <w:r>
                      <w:rPr>
                        <w:rFonts w:hint="eastAsia" w:ascii="黑体" w:hAnsi="黑体" w:eastAsia="黑体" w:cs="黑体"/>
                        <w:b/>
                        <w:bCs/>
                        <w:sz w:val="16"/>
                        <w:szCs w:val="16"/>
                      </w:rPr>
                      <w:t xml:space="preserve"> </w:t>
                    </w:r>
                    <w:r>
                      <w:rPr>
                        <w:rFonts w:hint="eastAsia"/>
                      </w:rPr>
                      <w:t>页</w:t>
                    </w:r>
                  </w:p>
                </w:txbxContent>
              </v:textbox>
            </v:shape>
          </w:pict>
        </mc:Fallback>
      </mc:AlternateContent>
    </w:r>
    <w:r>
      <w:rPr>
        <w:rFonts w:hint="eastAsia" w:ascii="黑体" w:hAnsi="黑体" w:eastAsia="黑体" w:cs="黑体"/>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5D43"/>
    <w:multiLevelType w:val="singleLevel"/>
    <w:tmpl w:val="65325D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A3"/>
    <w:rsid w:val="000211C9"/>
    <w:rsid w:val="000363A3"/>
    <w:rsid w:val="00041D0C"/>
    <w:rsid w:val="0005758D"/>
    <w:rsid w:val="00076BE5"/>
    <w:rsid w:val="0014062A"/>
    <w:rsid w:val="00141BB3"/>
    <w:rsid w:val="001A590F"/>
    <w:rsid w:val="001E424D"/>
    <w:rsid w:val="002019B6"/>
    <w:rsid w:val="002D471D"/>
    <w:rsid w:val="00305093"/>
    <w:rsid w:val="00331265"/>
    <w:rsid w:val="003C2291"/>
    <w:rsid w:val="004270FE"/>
    <w:rsid w:val="004B1C58"/>
    <w:rsid w:val="005A74D5"/>
    <w:rsid w:val="00622D8A"/>
    <w:rsid w:val="00773272"/>
    <w:rsid w:val="00783D87"/>
    <w:rsid w:val="00784D83"/>
    <w:rsid w:val="009931A7"/>
    <w:rsid w:val="00A25F0A"/>
    <w:rsid w:val="00A70DEF"/>
    <w:rsid w:val="00A7405E"/>
    <w:rsid w:val="00B36A73"/>
    <w:rsid w:val="00C657E3"/>
    <w:rsid w:val="00CE4A47"/>
    <w:rsid w:val="00D717F1"/>
    <w:rsid w:val="00E65690"/>
    <w:rsid w:val="00E8742D"/>
    <w:rsid w:val="00F27911"/>
    <w:rsid w:val="01295031"/>
    <w:rsid w:val="01306925"/>
    <w:rsid w:val="01410B09"/>
    <w:rsid w:val="01913D9E"/>
    <w:rsid w:val="01A14E2D"/>
    <w:rsid w:val="01A377DB"/>
    <w:rsid w:val="01CB027D"/>
    <w:rsid w:val="01E3495F"/>
    <w:rsid w:val="01E74B99"/>
    <w:rsid w:val="01F96020"/>
    <w:rsid w:val="020D6E7F"/>
    <w:rsid w:val="021C70F1"/>
    <w:rsid w:val="021E222A"/>
    <w:rsid w:val="02212C2D"/>
    <w:rsid w:val="023A4A4A"/>
    <w:rsid w:val="02435380"/>
    <w:rsid w:val="024671CD"/>
    <w:rsid w:val="024F5F1A"/>
    <w:rsid w:val="02511774"/>
    <w:rsid w:val="02581270"/>
    <w:rsid w:val="02646D34"/>
    <w:rsid w:val="028977A3"/>
    <w:rsid w:val="02906517"/>
    <w:rsid w:val="02A239E7"/>
    <w:rsid w:val="02AE1048"/>
    <w:rsid w:val="02DD7A00"/>
    <w:rsid w:val="02DE52E3"/>
    <w:rsid w:val="02DF5020"/>
    <w:rsid w:val="02E678AC"/>
    <w:rsid w:val="031F7F6C"/>
    <w:rsid w:val="032D2831"/>
    <w:rsid w:val="033220C1"/>
    <w:rsid w:val="0332450F"/>
    <w:rsid w:val="03345DF9"/>
    <w:rsid w:val="034D0DAA"/>
    <w:rsid w:val="03552CF8"/>
    <w:rsid w:val="035951A5"/>
    <w:rsid w:val="035B5A1C"/>
    <w:rsid w:val="035E297E"/>
    <w:rsid w:val="038A0C20"/>
    <w:rsid w:val="03925F49"/>
    <w:rsid w:val="03A210E1"/>
    <w:rsid w:val="03A84B76"/>
    <w:rsid w:val="03B03A93"/>
    <w:rsid w:val="03BE7A56"/>
    <w:rsid w:val="03BF38F4"/>
    <w:rsid w:val="03D118C5"/>
    <w:rsid w:val="03EB6615"/>
    <w:rsid w:val="03EB6F7D"/>
    <w:rsid w:val="041B363B"/>
    <w:rsid w:val="04263BAF"/>
    <w:rsid w:val="04453402"/>
    <w:rsid w:val="044A18E4"/>
    <w:rsid w:val="047925F9"/>
    <w:rsid w:val="048A1043"/>
    <w:rsid w:val="04A25203"/>
    <w:rsid w:val="04BE745F"/>
    <w:rsid w:val="04DF24DA"/>
    <w:rsid w:val="0520798C"/>
    <w:rsid w:val="052512D7"/>
    <w:rsid w:val="052F2A87"/>
    <w:rsid w:val="05326EA6"/>
    <w:rsid w:val="053716F5"/>
    <w:rsid w:val="05507177"/>
    <w:rsid w:val="0556307C"/>
    <w:rsid w:val="05661A67"/>
    <w:rsid w:val="05690935"/>
    <w:rsid w:val="0572057C"/>
    <w:rsid w:val="05770703"/>
    <w:rsid w:val="058424B6"/>
    <w:rsid w:val="058560AB"/>
    <w:rsid w:val="05CD31F8"/>
    <w:rsid w:val="05DF10EE"/>
    <w:rsid w:val="05F14F50"/>
    <w:rsid w:val="05F95ED1"/>
    <w:rsid w:val="06092EA4"/>
    <w:rsid w:val="06112302"/>
    <w:rsid w:val="06116E93"/>
    <w:rsid w:val="06254328"/>
    <w:rsid w:val="06382881"/>
    <w:rsid w:val="06400DAC"/>
    <w:rsid w:val="065F4367"/>
    <w:rsid w:val="066A409D"/>
    <w:rsid w:val="066C7A9D"/>
    <w:rsid w:val="067A5445"/>
    <w:rsid w:val="06917E9E"/>
    <w:rsid w:val="06B85DAE"/>
    <w:rsid w:val="06C5241C"/>
    <w:rsid w:val="06C90A4A"/>
    <w:rsid w:val="06DA1857"/>
    <w:rsid w:val="071A5409"/>
    <w:rsid w:val="074D6CBF"/>
    <w:rsid w:val="07523981"/>
    <w:rsid w:val="07626935"/>
    <w:rsid w:val="077D5DD1"/>
    <w:rsid w:val="078913A7"/>
    <w:rsid w:val="07971EA3"/>
    <w:rsid w:val="07983000"/>
    <w:rsid w:val="079E74FF"/>
    <w:rsid w:val="07A1457D"/>
    <w:rsid w:val="07AB26A8"/>
    <w:rsid w:val="07AE050D"/>
    <w:rsid w:val="07C13521"/>
    <w:rsid w:val="07CE5A1C"/>
    <w:rsid w:val="07FD055E"/>
    <w:rsid w:val="07FE0D96"/>
    <w:rsid w:val="080C3B80"/>
    <w:rsid w:val="08194668"/>
    <w:rsid w:val="08306C9D"/>
    <w:rsid w:val="08320962"/>
    <w:rsid w:val="083A42A6"/>
    <w:rsid w:val="0860473C"/>
    <w:rsid w:val="08642C8D"/>
    <w:rsid w:val="087E393B"/>
    <w:rsid w:val="087F74D7"/>
    <w:rsid w:val="08856579"/>
    <w:rsid w:val="089D5DC9"/>
    <w:rsid w:val="08A54EC5"/>
    <w:rsid w:val="08A829CB"/>
    <w:rsid w:val="08AB1818"/>
    <w:rsid w:val="08BB6AAB"/>
    <w:rsid w:val="08C411A0"/>
    <w:rsid w:val="08CD4D7A"/>
    <w:rsid w:val="08DE1ADE"/>
    <w:rsid w:val="08F235D7"/>
    <w:rsid w:val="08FE1B98"/>
    <w:rsid w:val="09053A57"/>
    <w:rsid w:val="091A5CEF"/>
    <w:rsid w:val="091E4901"/>
    <w:rsid w:val="0943761C"/>
    <w:rsid w:val="094D53EE"/>
    <w:rsid w:val="09574088"/>
    <w:rsid w:val="09676E74"/>
    <w:rsid w:val="096D0451"/>
    <w:rsid w:val="09746CD3"/>
    <w:rsid w:val="09753195"/>
    <w:rsid w:val="09901CFD"/>
    <w:rsid w:val="099242DD"/>
    <w:rsid w:val="099917A8"/>
    <w:rsid w:val="09996256"/>
    <w:rsid w:val="099F28A1"/>
    <w:rsid w:val="09A11439"/>
    <w:rsid w:val="09D20834"/>
    <w:rsid w:val="09D72DEA"/>
    <w:rsid w:val="09E77308"/>
    <w:rsid w:val="0A121DBF"/>
    <w:rsid w:val="0A563BA6"/>
    <w:rsid w:val="0A5A0ECC"/>
    <w:rsid w:val="0A62547F"/>
    <w:rsid w:val="0A7735B0"/>
    <w:rsid w:val="0A900429"/>
    <w:rsid w:val="0A9E75E9"/>
    <w:rsid w:val="0AAF6282"/>
    <w:rsid w:val="0AD406DA"/>
    <w:rsid w:val="0AEB2952"/>
    <w:rsid w:val="0AEF545B"/>
    <w:rsid w:val="0B00788E"/>
    <w:rsid w:val="0B124F65"/>
    <w:rsid w:val="0B17711A"/>
    <w:rsid w:val="0B1B6585"/>
    <w:rsid w:val="0B1F43C7"/>
    <w:rsid w:val="0B2F0EDA"/>
    <w:rsid w:val="0B325335"/>
    <w:rsid w:val="0B584266"/>
    <w:rsid w:val="0B6B6C0A"/>
    <w:rsid w:val="0B775783"/>
    <w:rsid w:val="0B96293B"/>
    <w:rsid w:val="0BC4615F"/>
    <w:rsid w:val="0BD41775"/>
    <w:rsid w:val="0BD443F3"/>
    <w:rsid w:val="0BE51875"/>
    <w:rsid w:val="0C150988"/>
    <w:rsid w:val="0C194392"/>
    <w:rsid w:val="0C4C3800"/>
    <w:rsid w:val="0C5A7B4E"/>
    <w:rsid w:val="0C5C5DE0"/>
    <w:rsid w:val="0C5E2CA3"/>
    <w:rsid w:val="0C64790C"/>
    <w:rsid w:val="0C6936F0"/>
    <w:rsid w:val="0C9A580D"/>
    <w:rsid w:val="0C9D1514"/>
    <w:rsid w:val="0CB337B0"/>
    <w:rsid w:val="0CBA17B9"/>
    <w:rsid w:val="0CC66057"/>
    <w:rsid w:val="0CCA3935"/>
    <w:rsid w:val="0CFF7173"/>
    <w:rsid w:val="0D1F6A7D"/>
    <w:rsid w:val="0D3772D6"/>
    <w:rsid w:val="0D5A0EBE"/>
    <w:rsid w:val="0D9212E2"/>
    <w:rsid w:val="0D9547F4"/>
    <w:rsid w:val="0DBF2798"/>
    <w:rsid w:val="0DD44134"/>
    <w:rsid w:val="0DD83F55"/>
    <w:rsid w:val="0DE740D9"/>
    <w:rsid w:val="0DF36AA6"/>
    <w:rsid w:val="0DF81C6E"/>
    <w:rsid w:val="0E0D63EC"/>
    <w:rsid w:val="0E117069"/>
    <w:rsid w:val="0E186AF8"/>
    <w:rsid w:val="0E1A3359"/>
    <w:rsid w:val="0E1E05B7"/>
    <w:rsid w:val="0E273336"/>
    <w:rsid w:val="0E3E17CA"/>
    <w:rsid w:val="0E5F0A31"/>
    <w:rsid w:val="0E7475BE"/>
    <w:rsid w:val="0E7A6822"/>
    <w:rsid w:val="0EC20EFB"/>
    <w:rsid w:val="0ED241F8"/>
    <w:rsid w:val="0ED42215"/>
    <w:rsid w:val="0EE872CB"/>
    <w:rsid w:val="0EF1614F"/>
    <w:rsid w:val="0EFF124A"/>
    <w:rsid w:val="0F3D2105"/>
    <w:rsid w:val="0F57108A"/>
    <w:rsid w:val="0F5A3346"/>
    <w:rsid w:val="0F7C1517"/>
    <w:rsid w:val="0F9050AB"/>
    <w:rsid w:val="0F955839"/>
    <w:rsid w:val="0FA32B9A"/>
    <w:rsid w:val="0FAC4F5F"/>
    <w:rsid w:val="0FC94FDB"/>
    <w:rsid w:val="0FDB1B54"/>
    <w:rsid w:val="0FEA1114"/>
    <w:rsid w:val="0FF75775"/>
    <w:rsid w:val="0FF94F07"/>
    <w:rsid w:val="104236CA"/>
    <w:rsid w:val="104C0087"/>
    <w:rsid w:val="10661952"/>
    <w:rsid w:val="107C231D"/>
    <w:rsid w:val="10821F25"/>
    <w:rsid w:val="10855D51"/>
    <w:rsid w:val="10907C0B"/>
    <w:rsid w:val="10916EC1"/>
    <w:rsid w:val="109263D3"/>
    <w:rsid w:val="109F3C91"/>
    <w:rsid w:val="10B92E11"/>
    <w:rsid w:val="10C93491"/>
    <w:rsid w:val="10D23D8B"/>
    <w:rsid w:val="10D9321C"/>
    <w:rsid w:val="10F65FB1"/>
    <w:rsid w:val="110660A0"/>
    <w:rsid w:val="11143BA0"/>
    <w:rsid w:val="111632B2"/>
    <w:rsid w:val="111A6CB6"/>
    <w:rsid w:val="112A64DA"/>
    <w:rsid w:val="112F5A4F"/>
    <w:rsid w:val="113B69D7"/>
    <w:rsid w:val="113E42E7"/>
    <w:rsid w:val="117054F9"/>
    <w:rsid w:val="117C51AE"/>
    <w:rsid w:val="11800816"/>
    <w:rsid w:val="1182050F"/>
    <w:rsid w:val="11B10F5A"/>
    <w:rsid w:val="11D13B71"/>
    <w:rsid w:val="11D524F6"/>
    <w:rsid w:val="11E354C2"/>
    <w:rsid w:val="12295E56"/>
    <w:rsid w:val="12390C9E"/>
    <w:rsid w:val="123F36CD"/>
    <w:rsid w:val="124176CC"/>
    <w:rsid w:val="12465D1C"/>
    <w:rsid w:val="12867BBC"/>
    <w:rsid w:val="129F3295"/>
    <w:rsid w:val="12A727A5"/>
    <w:rsid w:val="12BE0294"/>
    <w:rsid w:val="12BF5607"/>
    <w:rsid w:val="12CF2963"/>
    <w:rsid w:val="12DB3BC1"/>
    <w:rsid w:val="12E57788"/>
    <w:rsid w:val="12F26F6C"/>
    <w:rsid w:val="12FB4D8B"/>
    <w:rsid w:val="130B1716"/>
    <w:rsid w:val="13177B67"/>
    <w:rsid w:val="132E71F9"/>
    <w:rsid w:val="1346310B"/>
    <w:rsid w:val="13496592"/>
    <w:rsid w:val="1364298F"/>
    <w:rsid w:val="136A3C7E"/>
    <w:rsid w:val="136B2CFF"/>
    <w:rsid w:val="1383676A"/>
    <w:rsid w:val="138E5758"/>
    <w:rsid w:val="13983280"/>
    <w:rsid w:val="13B16A17"/>
    <w:rsid w:val="13B50758"/>
    <w:rsid w:val="13DE5A2B"/>
    <w:rsid w:val="13E6516D"/>
    <w:rsid w:val="140A7B6B"/>
    <w:rsid w:val="140F1786"/>
    <w:rsid w:val="1412755C"/>
    <w:rsid w:val="14205848"/>
    <w:rsid w:val="142952A3"/>
    <w:rsid w:val="143746F5"/>
    <w:rsid w:val="145604F9"/>
    <w:rsid w:val="146A3135"/>
    <w:rsid w:val="14747CB8"/>
    <w:rsid w:val="14864D8D"/>
    <w:rsid w:val="14874520"/>
    <w:rsid w:val="14914A4B"/>
    <w:rsid w:val="1495052E"/>
    <w:rsid w:val="14954748"/>
    <w:rsid w:val="14965E35"/>
    <w:rsid w:val="14BA3C22"/>
    <w:rsid w:val="14C0009A"/>
    <w:rsid w:val="14E871D6"/>
    <w:rsid w:val="14E919DF"/>
    <w:rsid w:val="14EA7128"/>
    <w:rsid w:val="14ED69B4"/>
    <w:rsid w:val="14F51393"/>
    <w:rsid w:val="1541708B"/>
    <w:rsid w:val="155A2A55"/>
    <w:rsid w:val="15674861"/>
    <w:rsid w:val="15753D0C"/>
    <w:rsid w:val="15AB2F88"/>
    <w:rsid w:val="15B713ED"/>
    <w:rsid w:val="15CA04CF"/>
    <w:rsid w:val="15DF120E"/>
    <w:rsid w:val="15F1721F"/>
    <w:rsid w:val="15F954A2"/>
    <w:rsid w:val="1614153E"/>
    <w:rsid w:val="1615011C"/>
    <w:rsid w:val="16223A78"/>
    <w:rsid w:val="162C591E"/>
    <w:rsid w:val="16706129"/>
    <w:rsid w:val="16805F99"/>
    <w:rsid w:val="16816E70"/>
    <w:rsid w:val="16895F7A"/>
    <w:rsid w:val="168F22A7"/>
    <w:rsid w:val="1699793D"/>
    <w:rsid w:val="16A7601D"/>
    <w:rsid w:val="16A9444A"/>
    <w:rsid w:val="16C1605B"/>
    <w:rsid w:val="16CE1966"/>
    <w:rsid w:val="16DA4A4B"/>
    <w:rsid w:val="16E04886"/>
    <w:rsid w:val="16E25E55"/>
    <w:rsid w:val="16EB0DFA"/>
    <w:rsid w:val="16FC2C1F"/>
    <w:rsid w:val="16FF4641"/>
    <w:rsid w:val="170B048C"/>
    <w:rsid w:val="172F260B"/>
    <w:rsid w:val="17476487"/>
    <w:rsid w:val="176B5042"/>
    <w:rsid w:val="17756E8C"/>
    <w:rsid w:val="177F1464"/>
    <w:rsid w:val="17805E72"/>
    <w:rsid w:val="17887EF9"/>
    <w:rsid w:val="17952DCA"/>
    <w:rsid w:val="17C32028"/>
    <w:rsid w:val="17C4189C"/>
    <w:rsid w:val="17E70B46"/>
    <w:rsid w:val="17E82997"/>
    <w:rsid w:val="17F64B98"/>
    <w:rsid w:val="1815254F"/>
    <w:rsid w:val="18480634"/>
    <w:rsid w:val="185E3315"/>
    <w:rsid w:val="18663824"/>
    <w:rsid w:val="18842500"/>
    <w:rsid w:val="18955B02"/>
    <w:rsid w:val="18974621"/>
    <w:rsid w:val="18C54F15"/>
    <w:rsid w:val="18D97B7E"/>
    <w:rsid w:val="18DC4A4E"/>
    <w:rsid w:val="19151D19"/>
    <w:rsid w:val="19170F8E"/>
    <w:rsid w:val="19292005"/>
    <w:rsid w:val="192E13B4"/>
    <w:rsid w:val="19367B85"/>
    <w:rsid w:val="19480D2D"/>
    <w:rsid w:val="195E3E34"/>
    <w:rsid w:val="196D185F"/>
    <w:rsid w:val="196E51B5"/>
    <w:rsid w:val="197443C9"/>
    <w:rsid w:val="19757498"/>
    <w:rsid w:val="197600C9"/>
    <w:rsid w:val="19943442"/>
    <w:rsid w:val="19B0373E"/>
    <w:rsid w:val="19CD620D"/>
    <w:rsid w:val="19CE5311"/>
    <w:rsid w:val="19DE1081"/>
    <w:rsid w:val="19FB3B05"/>
    <w:rsid w:val="1A0167D6"/>
    <w:rsid w:val="1A0A617B"/>
    <w:rsid w:val="1A141129"/>
    <w:rsid w:val="1A225B48"/>
    <w:rsid w:val="1A2860F9"/>
    <w:rsid w:val="1A3A5B5E"/>
    <w:rsid w:val="1A4A2938"/>
    <w:rsid w:val="1A5004DA"/>
    <w:rsid w:val="1A7B0172"/>
    <w:rsid w:val="1A910A05"/>
    <w:rsid w:val="1A9E1511"/>
    <w:rsid w:val="1ABB62A8"/>
    <w:rsid w:val="1AE63893"/>
    <w:rsid w:val="1B3E2422"/>
    <w:rsid w:val="1B654D1D"/>
    <w:rsid w:val="1B8A6B6C"/>
    <w:rsid w:val="1BA00CDC"/>
    <w:rsid w:val="1BAE23D3"/>
    <w:rsid w:val="1BB77D4F"/>
    <w:rsid w:val="1BC46548"/>
    <w:rsid w:val="1C0128D0"/>
    <w:rsid w:val="1C1F4F99"/>
    <w:rsid w:val="1C320968"/>
    <w:rsid w:val="1C356F40"/>
    <w:rsid w:val="1C366068"/>
    <w:rsid w:val="1C400CA2"/>
    <w:rsid w:val="1C5833FC"/>
    <w:rsid w:val="1C732AA4"/>
    <w:rsid w:val="1C9223AD"/>
    <w:rsid w:val="1C9E0EED"/>
    <w:rsid w:val="1CB1761D"/>
    <w:rsid w:val="1CB94CAE"/>
    <w:rsid w:val="1CC77A1B"/>
    <w:rsid w:val="1CDD371A"/>
    <w:rsid w:val="1D161DD7"/>
    <w:rsid w:val="1D380ADF"/>
    <w:rsid w:val="1D48417D"/>
    <w:rsid w:val="1D504613"/>
    <w:rsid w:val="1D6472A2"/>
    <w:rsid w:val="1D873E82"/>
    <w:rsid w:val="1D924230"/>
    <w:rsid w:val="1DA736A4"/>
    <w:rsid w:val="1DB81E42"/>
    <w:rsid w:val="1DC735F1"/>
    <w:rsid w:val="1DCB0948"/>
    <w:rsid w:val="1DD2473C"/>
    <w:rsid w:val="1DD3504B"/>
    <w:rsid w:val="1DE623E4"/>
    <w:rsid w:val="1E2B52CF"/>
    <w:rsid w:val="1E650B0D"/>
    <w:rsid w:val="1EA25CAF"/>
    <w:rsid w:val="1EBE7405"/>
    <w:rsid w:val="1EFD7D20"/>
    <w:rsid w:val="1F133F61"/>
    <w:rsid w:val="1F2B7A0D"/>
    <w:rsid w:val="1F2F105F"/>
    <w:rsid w:val="1F321B9F"/>
    <w:rsid w:val="1F4D6F6A"/>
    <w:rsid w:val="1F4E65AE"/>
    <w:rsid w:val="1F6A07B9"/>
    <w:rsid w:val="1F70684F"/>
    <w:rsid w:val="1F773277"/>
    <w:rsid w:val="1F795B05"/>
    <w:rsid w:val="1F79744A"/>
    <w:rsid w:val="1F896780"/>
    <w:rsid w:val="1FA65759"/>
    <w:rsid w:val="1FBD6108"/>
    <w:rsid w:val="1FC42F73"/>
    <w:rsid w:val="1FCA5C8B"/>
    <w:rsid w:val="1FD925A0"/>
    <w:rsid w:val="1FDE3AB7"/>
    <w:rsid w:val="2000285D"/>
    <w:rsid w:val="20090448"/>
    <w:rsid w:val="202A1584"/>
    <w:rsid w:val="203446E0"/>
    <w:rsid w:val="20392D4C"/>
    <w:rsid w:val="2054795E"/>
    <w:rsid w:val="206271CC"/>
    <w:rsid w:val="20685E80"/>
    <w:rsid w:val="206A50FC"/>
    <w:rsid w:val="20760819"/>
    <w:rsid w:val="209F042A"/>
    <w:rsid w:val="20C25709"/>
    <w:rsid w:val="20D41726"/>
    <w:rsid w:val="2112080F"/>
    <w:rsid w:val="2123187A"/>
    <w:rsid w:val="2124771C"/>
    <w:rsid w:val="21267016"/>
    <w:rsid w:val="2129565C"/>
    <w:rsid w:val="214958D9"/>
    <w:rsid w:val="21C4070B"/>
    <w:rsid w:val="21D55841"/>
    <w:rsid w:val="21D566FF"/>
    <w:rsid w:val="2200668E"/>
    <w:rsid w:val="22095EA7"/>
    <w:rsid w:val="22345EC2"/>
    <w:rsid w:val="22536D65"/>
    <w:rsid w:val="22546485"/>
    <w:rsid w:val="22614747"/>
    <w:rsid w:val="226C0F01"/>
    <w:rsid w:val="2292009E"/>
    <w:rsid w:val="22974D8B"/>
    <w:rsid w:val="22984E3D"/>
    <w:rsid w:val="22B464BC"/>
    <w:rsid w:val="22C6764A"/>
    <w:rsid w:val="22CC297A"/>
    <w:rsid w:val="22E70B15"/>
    <w:rsid w:val="22E95022"/>
    <w:rsid w:val="22EB09B9"/>
    <w:rsid w:val="22F15E4F"/>
    <w:rsid w:val="23047170"/>
    <w:rsid w:val="2334155A"/>
    <w:rsid w:val="237659F9"/>
    <w:rsid w:val="23773BA2"/>
    <w:rsid w:val="2379700C"/>
    <w:rsid w:val="23973CBD"/>
    <w:rsid w:val="239E3B96"/>
    <w:rsid w:val="23AC761D"/>
    <w:rsid w:val="23B04E6F"/>
    <w:rsid w:val="23C73FFA"/>
    <w:rsid w:val="23DC7060"/>
    <w:rsid w:val="24004FB6"/>
    <w:rsid w:val="240209A3"/>
    <w:rsid w:val="241B7674"/>
    <w:rsid w:val="241D0479"/>
    <w:rsid w:val="241E34B0"/>
    <w:rsid w:val="243A5F22"/>
    <w:rsid w:val="245F1A3B"/>
    <w:rsid w:val="247B310F"/>
    <w:rsid w:val="247E6558"/>
    <w:rsid w:val="24812EA5"/>
    <w:rsid w:val="24881963"/>
    <w:rsid w:val="24954316"/>
    <w:rsid w:val="24EE0385"/>
    <w:rsid w:val="24EF7E07"/>
    <w:rsid w:val="24F72D90"/>
    <w:rsid w:val="250202E8"/>
    <w:rsid w:val="25054C69"/>
    <w:rsid w:val="250B0457"/>
    <w:rsid w:val="25140534"/>
    <w:rsid w:val="25390A3C"/>
    <w:rsid w:val="25481827"/>
    <w:rsid w:val="25552B17"/>
    <w:rsid w:val="25621942"/>
    <w:rsid w:val="25701A15"/>
    <w:rsid w:val="2571450D"/>
    <w:rsid w:val="25780879"/>
    <w:rsid w:val="25C36DBA"/>
    <w:rsid w:val="26060BFD"/>
    <w:rsid w:val="260C6169"/>
    <w:rsid w:val="26207A23"/>
    <w:rsid w:val="262764E8"/>
    <w:rsid w:val="262A1AEE"/>
    <w:rsid w:val="26534BF7"/>
    <w:rsid w:val="265963D1"/>
    <w:rsid w:val="266942B4"/>
    <w:rsid w:val="267B5368"/>
    <w:rsid w:val="267E089A"/>
    <w:rsid w:val="26894443"/>
    <w:rsid w:val="26AB2916"/>
    <w:rsid w:val="26BF6408"/>
    <w:rsid w:val="26CF6EAE"/>
    <w:rsid w:val="26D75407"/>
    <w:rsid w:val="26DA1D1B"/>
    <w:rsid w:val="26E90ACB"/>
    <w:rsid w:val="270E2D28"/>
    <w:rsid w:val="270F08F9"/>
    <w:rsid w:val="271643BD"/>
    <w:rsid w:val="27204DFB"/>
    <w:rsid w:val="27206108"/>
    <w:rsid w:val="272D7399"/>
    <w:rsid w:val="275260F9"/>
    <w:rsid w:val="2768351D"/>
    <w:rsid w:val="276C0CF2"/>
    <w:rsid w:val="27866F54"/>
    <w:rsid w:val="278C2CAD"/>
    <w:rsid w:val="27945852"/>
    <w:rsid w:val="279B1A7A"/>
    <w:rsid w:val="279B3D53"/>
    <w:rsid w:val="279D5BDA"/>
    <w:rsid w:val="27AF02E5"/>
    <w:rsid w:val="27B82A58"/>
    <w:rsid w:val="27BF39D3"/>
    <w:rsid w:val="27CF506A"/>
    <w:rsid w:val="27D81313"/>
    <w:rsid w:val="28157062"/>
    <w:rsid w:val="28456DED"/>
    <w:rsid w:val="28543F24"/>
    <w:rsid w:val="28605586"/>
    <w:rsid w:val="286B0B39"/>
    <w:rsid w:val="287B65FB"/>
    <w:rsid w:val="28843359"/>
    <w:rsid w:val="28A02F20"/>
    <w:rsid w:val="28AF00DB"/>
    <w:rsid w:val="28BA1929"/>
    <w:rsid w:val="28C174F8"/>
    <w:rsid w:val="28D02BE8"/>
    <w:rsid w:val="28D60C36"/>
    <w:rsid w:val="28D83693"/>
    <w:rsid w:val="28D87E38"/>
    <w:rsid w:val="28DE7D48"/>
    <w:rsid w:val="29005A10"/>
    <w:rsid w:val="290B10FC"/>
    <w:rsid w:val="29170BB7"/>
    <w:rsid w:val="292547DC"/>
    <w:rsid w:val="292D55B0"/>
    <w:rsid w:val="292E745A"/>
    <w:rsid w:val="29386489"/>
    <w:rsid w:val="29516CDA"/>
    <w:rsid w:val="29687ADF"/>
    <w:rsid w:val="29752968"/>
    <w:rsid w:val="297E7560"/>
    <w:rsid w:val="2989063D"/>
    <w:rsid w:val="29910784"/>
    <w:rsid w:val="29C86E05"/>
    <w:rsid w:val="29D829CC"/>
    <w:rsid w:val="29E52FD3"/>
    <w:rsid w:val="2A0F6250"/>
    <w:rsid w:val="2A1B7E8B"/>
    <w:rsid w:val="2A395D27"/>
    <w:rsid w:val="2A5B658E"/>
    <w:rsid w:val="2A5E13AB"/>
    <w:rsid w:val="2A7D479D"/>
    <w:rsid w:val="2A7F77D4"/>
    <w:rsid w:val="2AAE7DFB"/>
    <w:rsid w:val="2AB61970"/>
    <w:rsid w:val="2AD01485"/>
    <w:rsid w:val="2AD25623"/>
    <w:rsid w:val="2AD8799F"/>
    <w:rsid w:val="2AE15735"/>
    <w:rsid w:val="2AF445A6"/>
    <w:rsid w:val="2AFA6BFF"/>
    <w:rsid w:val="2B04478E"/>
    <w:rsid w:val="2B0B6963"/>
    <w:rsid w:val="2B202E7C"/>
    <w:rsid w:val="2B3A4ED9"/>
    <w:rsid w:val="2B410570"/>
    <w:rsid w:val="2B43257B"/>
    <w:rsid w:val="2B4D2B2A"/>
    <w:rsid w:val="2B5735F9"/>
    <w:rsid w:val="2B656E08"/>
    <w:rsid w:val="2B7718BB"/>
    <w:rsid w:val="2BA13D02"/>
    <w:rsid w:val="2BB74D07"/>
    <w:rsid w:val="2BC03BBC"/>
    <w:rsid w:val="2BC720DB"/>
    <w:rsid w:val="2BC87C8C"/>
    <w:rsid w:val="2BD84D0F"/>
    <w:rsid w:val="2BE92BA9"/>
    <w:rsid w:val="2BFE0CCD"/>
    <w:rsid w:val="2C2209F9"/>
    <w:rsid w:val="2C2959FB"/>
    <w:rsid w:val="2C34535C"/>
    <w:rsid w:val="2C41670D"/>
    <w:rsid w:val="2C512CEC"/>
    <w:rsid w:val="2C5D5AA4"/>
    <w:rsid w:val="2C637BE3"/>
    <w:rsid w:val="2C66635E"/>
    <w:rsid w:val="2C8047BD"/>
    <w:rsid w:val="2C882435"/>
    <w:rsid w:val="2C8A3E96"/>
    <w:rsid w:val="2CBE2962"/>
    <w:rsid w:val="2D026847"/>
    <w:rsid w:val="2D217B9C"/>
    <w:rsid w:val="2D29731E"/>
    <w:rsid w:val="2D452A1F"/>
    <w:rsid w:val="2D482EA0"/>
    <w:rsid w:val="2D52404F"/>
    <w:rsid w:val="2D6870B8"/>
    <w:rsid w:val="2D7676EB"/>
    <w:rsid w:val="2D885747"/>
    <w:rsid w:val="2D93371D"/>
    <w:rsid w:val="2DA359AE"/>
    <w:rsid w:val="2DAC14E9"/>
    <w:rsid w:val="2DC3464C"/>
    <w:rsid w:val="2DD23B18"/>
    <w:rsid w:val="2DE53B45"/>
    <w:rsid w:val="2DF4472F"/>
    <w:rsid w:val="2E306DE9"/>
    <w:rsid w:val="2E3E4A41"/>
    <w:rsid w:val="2E3F12F0"/>
    <w:rsid w:val="2E4E16EC"/>
    <w:rsid w:val="2E517B32"/>
    <w:rsid w:val="2E52396D"/>
    <w:rsid w:val="2E55457F"/>
    <w:rsid w:val="2E6E515C"/>
    <w:rsid w:val="2E7C7BA7"/>
    <w:rsid w:val="2EB41D2F"/>
    <w:rsid w:val="2ED317B6"/>
    <w:rsid w:val="2EF24F6E"/>
    <w:rsid w:val="2F0F101E"/>
    <w:rsid w:val="2F0F63A7"/>
    <w:rsid w:val="2F126EA1"/>
    <w:rsid w:val="2F251A58"/>
    <w:rsid w:val="2F2E4F81"/>
    <w:rsid w:val="2F5043DC"/>
    <w:rsid w:val="2F613C90"/>
    <w:rsid w:val="2F785C80"/>
    <w:rsid w:val="2F7A107F"/>
    <w:rsid w:val="2F7E0CCD"/>
    <w:rsid w:val="2F9B372B"/>
    <w:rsid w:val="2FA75B9A"/>
    <w:rsid w:val="2FAD7B0D"/>
    <w:rsid w:val="2FAE3835"/>
    <w:rsid w:val="2FB94878"/>
    <w:rsid w:val="30041D2B"/>
    <w:rsid w:val="300612A4"/>
    <w:rsid w:val="3009662D"/>
    <w:rsid w:val="3011256B"/>
    <w:rsid w:val="302640F5"/>
    <w:rsid w:val="303A3AD0"/>
    <w:rsid w:val="30561ED9"/>
    <w:rsid w:val="30741B7F"/>
    <w:rsid w:val="308476EF"/>
    <w:rsid w:val="30952074"/>
    <w:rsid w:val="309532A7"/>
    <w:rsid w:val="30C33B59"/>
    <w:rsid w:val="30CF0536"/>
    <w:rsid w:val="30D04AFE"/>
    <w:rsid w:val="30D22B51"/>
    <w:rsid w:val="30DC64E1"/>
    <w:rsid w:val="30DE7F11"/>
    <w:rsid w:val="30E604BA"/>
    <w:rsid w:val="30E8629D"/>
    <w:rsid w:val="310C0C87"/>
    <w:rsid w:val="311D1C4F"/>
    <w:rsid w:val="31287F25"/>
    <w:rsid w:val="312F3CBF"/>
    <w:rsid w:val="313A2FC4"/>
    <w:rsid w:val="314A5367"/>
    <w:rsid w:val="31546DB6"/>
    <w:rsid w:val="31566765"/>
    <w:rsid w:val="316664AE"/>
    <w:rsid w:val="317655EB"/>
    <w:rsid w:val="318718F8"/>
    <w:rsid w:val="318F28E6"/>
    <w:rsid w:val="319E63BB"/>
    <w:rsid w:val="31BD0E3A"/>
    <w:rsid w:val="31E24098"/>
    <w:rsid w:val="31FC2668"/>
    <w:rsid w:val="31FF7F5B"/>
    <w:rsid w:val="32054439"/>
    <w:rsid w:val="321B514D"/>
    <w:rsid w:val="32205A57"/>
    <w:rsid w:val="3243066D"/>
    <w:rsid w:val="325403F2"/>
    <w:rsid w:val="32694907"/>
    <w:rsid w:val="32786196"/>
    <w:rsid w:val="327962FA"/>
    <w:rsid w:val="32850EAD"/>
    <w:rsid w:val="32982C60"/>
    <w:rsid w:val="32B649DC"/>
    <w:rsid w:val="32D57C43"/>
    <w:rsid w:val="32F65A56"/>
    <w:rsid w:val="32F72807"/>
    <w:rsid w:val="330D53EB"/>
    <w:rsid w:val="33140362"/>
    <w:rsid w:val="33330C7A"/>
    <w:rsid w:val="33456234"/>
    <w:rsid w:val="334637BB"/>
    <w:rsid w:val="334C1C40"/>
    <w:rsid w:val="334C5EAF"/>
    <w:rsid w:val="337E1E5B"/>
    <w:rsid w:val="33A33728"/>
    <w:rsid w:val="33AE5C74"/>
    <w:rsid w:val="33CB4072"/>
    <w:rsid w:val="33D91A28"/>
    <w:rsid w:val="33DC77D5"/>
    <w:rsid w:val="33E636F4"/>
    <w:rsid w:val="33EF6FE0"/>
    <w:rsid w:val="33F34995"/>
    <w:rsid w:val="341609BC"/>
    <w:rsid w:val="341E4160"/>
    <w:rsid w:val="342C3D79"/>
    <w:rsid w:val="346169D5"/>
    <w:rsid w:val="34892773"/>
    <w:rsid w:val="34A51105"/>
    <w:rsid w:val="34AE0E10"/>
    <w:rsid w:val="34E35DAE"/>
    <w:rsid w:val="34F21886"/>
    <w:rsid w:val="350C640B"/>
    <w:rsid w:val="350D5651"/>
    <w:rsid w:val="35126DAD"/>
    <w:rsid w:val="351D70C6"/>
    <w:rsid w:val="353A5796"/>
    <w:rsid w:val="354C31FE"/>
    <w:rsid w:val="354F699A"/>
    <w:rsid w:val="35630469"/>
    <w:rsid w:val="357E3B9E"/>
    <w:rsid w:val="35807AE7"/>
    <w:rsid w:val="35895B83"/>
    <w:rsid w:val="35920599"/>
    <w:rsid w:val="35AD42C3"/>
    <w:rsid w:val="35CC59DE"/>
    <w:rsid w:val="35CF754D"/>
    <w:rsid w:val="35D027A2"/>
    <w:rsid w:val="35E56884"/>
    <w:rsid w:val="35EF7259"/>
    <w:rsid w:val="360853F4"/>
    <w:rsid w:val="3612751A"/>
    <w:rsid w:val="36141CD1"/>
    <w:rsid w:val="363E4D1B"/>
    <w:rsid w:val="364A0BBC"/>
    <w:rsid w:val="365F36D0"/>
    <w:rsid w:val="367667B0"/>
    <w:rsid w:val="367D7E26"/>
    <w:rsid w:val="368D4E19"/>
    <w:rsid w:val="368E6628"/>
    <w:rsid w:val="3695684E"/>
    <w:rsid w:val="36A109DB"/>
    <w:rsid w:val="36C924C6"/>
    <w:rsid w:val="36CC6BA7"/>
    <w:rsid w:val="36CF1117"/>
    <w:rsid w:val="36D272CF"/>
    <w:rsid w:val="36DF2EC1"/>
    <w:rsid w:val="36EC5914"/>
    <w:rsid w:val="37002021"/>
    <w:rsid w:val="37005AAA"/>
    <w:rsid w:val="37033E6E"/>
    <w:rsid w:val="37034168"/>
    <w:rsid w:val="37104F9F"/>
    <w:rsid w:val="371F7240"/>
    <w:rsid w:val="3730469D"/>
    <w:rsid w:val="3737007B"/>
    <w:rsid w:val="375438DF"/>
    <w:rsid w:val="376F6B44"/>
    <w:rsid w:val="3792420E"/>
    <w:rsid w:val="37983D14"/>
    <w:rsid w:val="37A726A2"/>
    <w:rsid w:val="37AC699B"/>
    <w:rsid w:val="37CE5039"/>
    <w:rsid w:val="37CE56FB"/>
    <w:rsid w:val="37ED09FF"/>
    <w:rsid w:val="38035B73"/>
    <w:rsid w:val="38072DB5"/>
    <w:rsid w:val="380F6066"/>
    <w:rsid w:val="381A5EAA"/>
    <w:rsid w:val="382341FC"/>
    <w:rsid w:val="3831060A"/>
    <w:rsid w:val="384F2045"/>
    <w:rsid w:val="385F2CA2"/>
    <w:rsid w:val="38660661"/>
    <w:rsid w:val="3873658C"/>
    <w:rsid w:val="38794130"/>
    <w:rsid w:val="38840870"/>
    <w:rsid w:val="38864E85"/>
    <w:rsid w:val="388C5319"/>
    <w:rsid w:val="38912691"/>
    <w:rsid w:val="38A26A4C"/>
    <w:rsid w:val="38B613B5"/>
    <w:rsid w:val="38BB633D"/>
    <w:rsid w:val="38C07F71"/>
    <w:rsid w:val="38CC387A"/>
    <w:rsid w:val="38D04A18"/>
    <w:rsid w:val="38DB0DB3"/>
    <w:rsid w:val="38EC5DC3"/>
    <w:rsid w:val="390424A6"/>
    <w:rsid w:val="39072CED"/>
    <w:rsid w:val="390A30D3"/>
    <w:rsid w:val="391E1D0A"/>
    <w:rsid w:val="391F3BDC"/>
    <w:rsid w:val="39762773"/>
    <w:rsid w:val="398A0686"/>
    <w:rsid w:val="398E2AEB"/>
    <w:rsid w:val="399746D2"/>
    <w:rsid w:val="39AA47D2"/>
    <w:rsid w:val="39DE1F9D"/>
    <w:rsid w:val="39E160C7"/>
    <w:rsid w:val="39EF0F88"/>
    <w:rsid w:val="39F63D30"/>
    <w:rsid w:val="3A034948"/>
    <w:rsid w:val="3A034FA4"/>
    <w:rsid w:val="3A0B6C96"/>
    <w:rsid w:val="3A1846F3"/>
    <w:rsid w:val="3A1B5BB2"/>
    <w:rsid w:val="3A370891"/>
    <w:rsid w:val="3A371DF7"/>
    <w:rsid w:val="3A3F61A3"/>
    <w:rsid w:val="3A4E477F"/>
    <w:rsid w:val="3A602CE1"/>
    <w:rsid w:val="3A647119"/>
    <w:rsid w:val="3A7442E3"/>
    <w:rsid w:val="3A7A5E0B"/>
    <w:rsid w:val="3A7E083A"/>
    <w:rsid w:val="3A8B25D3"/>
    <w:rsid w:val="3A8E3D27"/>
    <w:rsid w:val="3AB20008"/>
    <w:rsid w:val="3AC46D69"/>
    <w:rsid w:val="3AD40785"/>
    <w:rsid w:val="3AFB728D"/>
    <w:rsid w:val="3AFF5553"/>
    <w:rsid w:val="3B01188B"/>
    <w:rsid w:val="3B022E7D"/>
    <w:rsid w:val="3B1911C5"/>
    <w:rsid w:val="3B1E3E0C"/>
    <w:rsid w:val="3B242636"/>
    <w:rsid w:val="3B24763B"/>
    <w:rsid w:val="3B5A60BC"/>
    <w:rsid w:val="3B5B136C"/>
    <w:rsid w:val="3B611B7F"/>
    <w:rsid w:val="3B8174BB"/>
    <w:rsid w:val="3B9604EC"/>
    <w:rsid w:val="3BA45389"/>
    <w:rsid w:val="3BC06F0A"/>
    <w:rsid w:val="3BDE7044"/>
    <w:rsid w:val="3BF823F0"/>
    <w:rsid w:val="3C051F06"/>
    <w:rsid w:val="3C362097"/>
    <w:rsid w:val="3C466599"/>
    <w:rsid w:val="3C603F10"/>
    <w:rsid w:val="3C845602"/>
    <w:rsid w:val="3C8908D3"/>
    <w:rsid w:val="3C8E223A"/>
    <w:rsid w:val="3CB50714"/>
    <w:rsid w:val="3CF951F1"/>
    <w:rsid w:val="3D010B04"/>
    <w:rsid w:val="3D0A1B14"/>
    <w:rsid w:val="3D0F0441"/>
    <w:rsid w:val="3D1171F4"/>
    <w:rsid w:val="3D1A6BE5"/>
    <w:rsid w:val="3D1D1568"/>
    <w:rsid w:val="3D1E6C6C"/>
    <w:rsid w:val="3D517A46"/>
    <w:rsid w:val="3D8E6A8E"/>
    <w:rsid w:val="3D900045"/>
    <w:rsid w:val="3DB10D93"/>
    <w:rsid w:val="3DC51AE6"/>
    <w:rsid w:val="3DDF70E5"/>
    <w:rsid w:val="3DE04A54"/>
    <w:rsid w:val="3DF82BD3"/>
    <w:rsid w:val="3E0302D9"/>
    <w:rsid w:val="3E07169C"/>
    <w:rsid w:val="3E1774D9"/>
    <w:rsid w:val="3E240D4E"/>
    <w:rsid w:val="3E3B1AB6"/>
    <w:rsid w:val="3E6477A7"/>
    <w:rsid w:val="3E713CD9"/>
    <w:rsid w:val="3E850D00"/>
    <w:rsid w:val="3E8B2205"/>
    <w:rsid w:val="3E98217C"/>
    <w:rsid w:val="3EB74162"/>
    <w:rsid w:val="3EBD2AEA"/>
    <w:rsid w:val="3ED30C05"/>
    <w:rsid w:val="3ED34DA7"/>
    <w:rsid w:val="3ED615D2"/>
    <w:rsid w:val="3F033562"/>
    <w:rsid w:val="3F0500CE"/>
    <w:rsid w:val="3F07386A"/>
    <w:rsid w:val="3F0C0E78"/>
    <w:rsid w:val="3F240F94"/>
    <w:rsid w:val="3F2F4307"/>
    <w:rsid w:val="3F4F70B1"/>
    <w:rsid w:val="3F57566B"/>
    <w:rsid w:val="3F732399"/>
    <w:rsid w:val="3F747790"/>
    <w:rsid w:val="3F7F5D05"/>
    <w:rsid w:val="3FE559D8"/>
    <w:rsid w:val="3FED6748"/>
    <w:rsid w:val="3FF74FB4"/>
    <w:rsid w:val="405672F8"/>
    <w:rsid w:val="40783220"/>
    <w:rsid w:val="408435E0"/>
    <w:rsid w:val="40933F29"/>
    <w:rsid w:val="409752B1"/>
    <w:rsid w:val="40A77303"/>
    <w:rsid w:val="40AA2082"/>
    <w:rsid w:val="40C40C2D"/>
    <w:rsid w:val="40D36F47"/>
    <w:rsid w:val="40E4297B"/>
    <w:rsid w:val="410E1F3A"/>
    <w:rsid w:val="410E3785"/>
    <w:rsid w:val="41246E94"/>
    <w:rsid w:val="41251D63"/>
    <w:rsid w:val="41340E2A"/>
    <w:rsid w:val="41375F6B"/>
    <w:rsid w:val="413D2A78"/>
    <w:rsid w:val="41456DA1"/>
    <w:rsid w:val="41507F6E"/>
    <w:rsid w:val="41643B9F"/>
    <w:rsid w:val="417D06A6"/>
    <w:rsid w:val="41833144"/>
    <w:rsid w:val="41835750"/>
    <w:rsid w:val="41997E4E"/>
    <w:rsid w:val="41A20271"/>
    <w:rsid w:val="41B54E89"/>
    <w:rsid w:val="41B7604E"/>
    <w:rsid w:val="41BF0856"/>
    <w:rsid w:val="41D504D0"/>
    <w:rsid w:val="41DB549E"/>
    <w:rsid w:val="41E0116D"/>
    <w:rsid w:val="41EC2CAD"/>
    <w:rsid w:val="41F71970"/>
    <w:rsid w:val="420A0F11"/>
    <w:rsid w:val="42104568"/>
    <w:rsid w:val="421F1899"/>
    <w:rsid w:val="42236FB5"/>
    <w:rsid w:val="423A7219"/>
    <w:rsid w:val="42524B35"/>
    <w:rsid w:val="42526732"/>
    <w:rsid w:val="42630947"/>
    <w:rsid w:val="42757F82"/>
    <w:rsid w:val="4296043A"/>
    <w:rsid w:val="42CC6F87"/>
    <w:rsid w:val="42CF168F"/>
    <w:rsid w:val="42D5416B"/>
    <w:rsid w:val="42E367FA"/>
    <w:rsid w:val="430621C9"/>
    <w:rsid w:val="430F7FB7"/>
    <w:rsid w:val="43136059"/>
    <w:rsid w:val="431D66B5"/>
    <w:rsid w:val="43286E1D"/>
    <w:rsid w:val="433A0AA6"/>
    <w:rsid w:val="434A3EFA"/>
    <w:rsid w:val="43914EBD"/>
    <w:rsid w:val="439D3DB3"/>
    <w:rsid w:val="439D6B83"/>
    <w:rsid w:val="43A806E3"/>
    <w:rsid w:val="43BF54DF"/>
    <w:rsid w:val="43C90C61"/>
    <w:rsid w:val="43CD0989"/>
    <w:rsid w:val="43D41E3A"/>
    <w:rsid w:val="43F02048"/>
    <w:rsid w:val="442D3842"/>
    <w:rsid w:val="44533C00"/>
    <w:rsid w:val="446D3FEE"/>
    <w:rsid w:val="44726D60"/>
    <w:rsid w:val="447B01BC"/>
    <w:rsid w:val="44B132CA"/>
    <w:rsid w:val="44B854C8"/>
    <w:rsid w:val="44D46256"/>
    <w:rsid w:val="44D9779C"/>
    <w:rsid w:val="44F160C5"/>
    <w:rsid w:val="45300B60"/>
    <w:rsid w:val="454B3765"/>
    <w:rsid w:val="455A51E3"/>
    <w:rsid w:val="456465DC"/>
    <w:rsid w:val="45742FAE"/>
    <w:rsid w:val="457740D6"/>
    <w:rsid w:val="45822AD7"/>
    <w:rsid w:val="4596006B"/>
    <w:rsid w:val="459E5BA4"/>
    <w:rsid w:val="45B04532"/>
    <w:rsid w:val="45B3745B"/>
    <w:rsid w:val="45B70342"/>
    <w:rsid w:val="45C33E38"/>
    <w:rsid w:val="45D81110"/>
    <w:rsid w:val="45E20C3E"/>
    <w:rsid w:val="45E85509"/>
    <w:rsid w:val="45ED29E3"/>
    <w:rsid w:val="45ED6453"/>
    <w:rsid w:val="45F72ECF"/>
    <w:rsid w:val="4607611D"/>
    <w:rsid w:val="46077DBB"/>
    <w:rsid w:val="46207104"/>
    <w:rsid w:val="462A33AC"/>
    <w:rsid w:val="463A6DCF"/>
    <w:rsid w:val="463F2E4C"/>
    <w:rsid w:val="464D6C88"/>
    <w:rsid w:val="465C6D03"/>
    <w:rsid w:val="46747143"/>
    <w:rsid w:val="46792284"/>
    <w:rsid w:val="4690261E"/>
    <w:rsid w:val="469847EF"/>
    <w:rsid w:val="469A3AA5"/>
    <w:rsid w:val="469B41F3"/>
    <w:rsid w:val="46AF54C7"/>
    <w:rsid w:val="46FC127D"/>
    <w:rsid w:val="474D0379"/>
    <w:rsid w:val="477E18B9"/>
    <w:rsid w:val="4781437D"/>
    <w:rsid w:val="47844049"/>
    <w:rsid w:val="47951294"/>
    <w:rsid w:val="479C432B"/>
    <w:rsid w:val="47A94E03"/>
    <w:rsid w:val="47AA73E0"/>
    <w:rsid w:val="47AB72F1"/>
    <w:rsid w:val="47AD7D27"/>
    <w:rsid w:val="47BA7F3C"/>
    <w:rsid w:val="47CB4309"/>
    <w:rsid w:val="4805438C"/>
    <w:rsid w:val="48127544"/>
    <w:rsid w:val="481A3421"/>
    <w:rsid w:val="485A49B9"/>
    <w:rsid w:val="486E4119"/>
    <w:rsid w:val="487E2E48"/>
    <w:rsid w:val="487F705C"/>
    <w:rsid w:val="489B5B5D"/>
    <w:rsid w:val="48A963C3"/>
    <w:rsid w:val="48B465D2"/>
    <w:rsid w:val="48B943DB"/>
    <w:rsid w:val="48C73756"/>
    <w:rsid w:val="48D179D3"/>
    <w:rsid w:val="49107DA9"/>
    <w:rsid w:val="491C2BC2"/>
    <w:rsid w:val="4936412E"/>
    <w:rsid w:val="4963168B"/>
    <w:rsid w:val="497A6141"/>
    <w:rsid w:val="498709E0"/>
    <w:rsid w:val="498E1E1D"/>
    <w:rsid w:val="499161BB"/>
    <w:rsid w:val="49A74A53"/>
    <w:rsid w:val="49A74BB8"/>
    <w:rsid w:val="49AB2FE5"/>
    <w:rsid w:val="49B0531C"/>
    <w:rsid w:val="49C42E81"/>
    <w:rsid w:val="49E31D7F"/>
    <w:rsid w:val="49EF0A91"/>
    <w:rsid w:val="49F63CED"/>
    <w:rsid w:val="4A0A097D"/>
    <w:rsid w:val="4A12440D"/>
    <w:rsid w:val="4A34526D"/>
    <w:rsid w:val="4A437EAB"/>
    <w:rsid w:val="4A4917C3"/>
    <w:rsid w:val="4A6616B5"/>
    <w:rsid w:val="4A933447"/>
    <w:rsid w:val="4AA012B7"/>
    <w:rsid w:val="4ACF71A3"/>
    <w:rsid w:val="4AD91343"/>
    <w:rsid w:val="4AE43B23"/>
    <w:rsid w:val="4AFE179E"/>
    <w:rsid w:val="4B164A4C"/>
    <w:rsid w:val="4B352B8E"/>
    <w:rsid w:val="4B3E2113"/>
    <w:rsid w:val="4B480153"/>
    <w:rsid w:val="4B4A63A1"/>
    <w:rsid w:val="4B505C8C"/>
    <w:rsid w:val="4B7B7BDA"/>
    <w:rsid w:val="4BA33BDC"/>
    <w:rsid w:val="4BA9470D"/>
    <w:rsid w:val="4BC175A0"/>
    <w:rsid w:val="4BEB4DFA"/>
    <w:rsid w:val="4BFF4C05"/>
    <w:rsid w:val="4C075EF2"/>
    <w:rsid w:val="4C122374"/>
    <w:rsid w:val="4C442DF4"/>
    <w:rsid w:val="4C690142"/>
    <w:rsid w:val="4C733CAB"/>
    <w:rsid w:val="4CA31A31"/>
    <w:rsid w:val="4CBF7217"/>
    <w:rsid w:val="4CE11251"/>
    <w:rsid w:val="4CE64D80"/>
    <w:rsid w:val="4CE74AE0"/>
    <w:rsid w:val="4CEA62C8"/>
    <w:rsid w:val="4CEE1B4E"/>
    <w:rsid w:val="4CF737F2"/>
    <w:rsid w:val="4CFC7B6E"/>
    <w:rsid w:val="4D0077FD"/>
    <w:rsid w:val="4D0E76F3"/>
    <w:rsid w:val="4D173AC9"/>
    <w:rsid w:val="4D241785"/>
    <w:rsid w:val="4D2A6D7D"/>
    <w:rsid w:val="4D5321DA"/>
    <w:rsid w:val="4D5C6A25"/>
    <w:rsid w:val="4D74276D"/>
    <w:rsid w:val="4D933D49"/>
    <w:rsid w:val="4D9362A6"/>
    <w:rsid w:val="4DAB2AA6"/>
    <w:rsid w:val="4DC63C9C"/>
    <w:rsid w:val="4DCD2E59"/>
    <w:rsid w:val="4DDA68B1"/>
    <w:rsid w:val="4E2D53FF"/>
    <w:rsid w:val="4E425EBB"/>
    <w:rsid w:val="4E715DD7"/>
    <w:rsid w:val="4E7843D4"/>
    <w:rsid w:val="4E7B5CFD"/>
    <w:rsid w:val="4E7C330F"/>
    <w:rsid w:val="4E865C8F"/>
    <w:rsid w:val="4EA22F51"/>
    <w:rsid w:val="4EAB7890"/>
    <w:rsid w:val="4EAD5680"/>
    <w:rsid w:val="4EC60085"/>
    <w:rsid w:val="4EC83E48"/>
    <w:rsid w:val="4EF92760"/>
    <w:rsid w:val="4F077B47"/>
    <w:rsid w:val="4F210CE5"/>
    <w:rsid w:val="4F473E1F"/>
    <w:rsid w:val="4F4B6344"/>
    <w:rsid w:val="4F4F5C70"/>
    <w:rsid w:val="4F500251"/>
    <w:rsid w:val="4F530CA6"/>
    <w:rsid w:val="4F7132E4"/>
    <w:rsid w:val="4F7B5D06"/>
    <w:rsid w:val="4F8801CB"/>
    <w:rsid w:val="4F8C38B5"/>
    <w:rsid w:val="4FAE5847"/>
    <w:rsid w:val="4FCE3287"/>
    <w:rsid w:val="4FF410DA"/>
    <w:rsid w:val="4FF77AD4"/>
    <w:rsid w:val="4FFF2921"/>
    <w:rsid w:val="500E3D2A"/>
    <w:rsid w:val="50391CCB"/>
    <w:rsid w:val="503C1035"/>
    <w:rsid w:val="505369D9"/>
    <w:rsid w:val="5057363B"/>
    <w:rsid w:val="50652861"/>
    <w:rsid w:val="50707F64"/>
    <w:rsid w:val="50782C2C"/>
    <w:rsid w:val="5085307D"/>
    <w:rsid w:val="508968FA"/>
    <w:rsid w:val="50934480"/>
    <w:rsid w:val="50A95237"/>
    <w:rsid w:val="50AE2A69"/>
    <w:rsid w:val="50D41999"/>
    <w:rsid w:val="50DB5D46"/>
    <w:rsid w:val="50F5666F"/>
    <w:rsid w:val="510728A6"/>
    <w:rsid w:val="51105E7C"/>
    <w:rsid w:val="511C3636"/>
    <w:rsid w:val="512F49A9"/>
    <w:rsid w:val="51346FB9"/>
    <w:rsid w:val="51392F82"/>
    <w:rsid w:val="51831905"/>
    <w:rsid w:val="51895305"/>
    <w:rsid w:val="519306D9"/>
    <w:rsid w:val="51962AF8"/>
    <w:rsid w:val="51990366"/>
    <w:rsid w:val="51B06564"/>
    <w:rsid w:val="51BD614D"/>
    <w:rsid w:val="51C44212"/>
    <w:rsid w:val="51C57CD0"/>
    <w:rsid w:val="51CB1C3A"/>
    <w:rsid w:val="51D17F60"/>
    <w:rsid w:val="51E067F7"/>
    <w:rsid w:val="522054B4"/>
    <w:rsid w:val="52307233"/>
    <w:rsid w:val="52316350"/>
    <w:rsid w:val="523166E1"/>
    <w:rsid w:val="52530376"/>
    <w:rsid w:val="52575894"/>
    <w:rsid w:val="526806DB"/>
    <w:rsid w:val="529B48AF"/>
    <w:rsid w:val="52C6479C"/>
    <w:rsid w:val="52E665B2"/>
    <w:rsid w:val="52F445F9"/>
    <w:rsid w:val="52F775CE"/>
    <w:rsid w:val="52FF56AB"/>
    <w:rsid w:val="53136F63"/>
    <w:rsid w:val="5324260C"/>
    <w:rsid w:val="532C2DF2"/>
    <w:rsid w:val="532C7DB9"/>
    <w:rsid w:val="535964C1"/>
    <w:rsid w:val="53737756"/>
    <w:rsid w:val="537652FB"/>
    <w:rsid w:val="53994704"/>
    <w:rsid w:val="5399573C"/>
    <w:rsid w:val="53A62EF0"/>
    <w:rsid w:val="53AB483A"/>
    <w:rsid w:val="53EC3FE3"/>
    <w:rsid w:val="53F81877"/>
    <w:rsid w:val="53F86F5B"/>
    <w:rsid w:val="5400059F"/>
    <w:rsid w:val="541535E7"/>
    <w:rsid w:val="5426145F"/>
    <w:rsid w:val="54302F92"/>
    <w:rsid w:val="54520D4E"/>
    <w:rsid w:val="545C2D87"/>
    <w:rsid w:val="54625AC0"/>
    <w:rsid w:val="54765613"/>
    <w:rsid w:val="548051D3"/>
    <w:rsid w:val="54851FC9"/>
    <w:rsid w:val="54880D52"/>
    <w:rsid w:val="54A33B04"/>
    <w:rsid w:val="54A81780"/>
    <w:rsid w:val="54AB40C0"/>
    <w:rsid w:val="54AF3F31"/>
    <w:rsid w:val="54CB44C4"/>
    <w:rsid w:val="54E27A7D"/>
    <w:rsid w:val="54EE49A2"/>
    <w:rsid w:val="550A510B"/>
    <w:rsid w:val="5514065F"/>
    <w:rsid w:val="552E7AC5"/>
    <w:rsid w:val="553C18AC"/>
    <w:rsid w:val="554E0512"/>
    <w:rsid w:val="556C252E"/>
    <w:rsid w:val="55773C9E"/>
    <w:rsid w:val="558809F3"/>
    <w:rsid w:val="55AB3C81"/>
    <w:rsid w:val="55E908A6"/>
    <w:rsid w:val="55ED3A6C"/>
    <w:rsid w:val="562061E4"/>
    <w:rsid w:val="56326351"/>
    <w:rsid w:val="5636127A"/>
    <w:rsid w:val="564A38B5"/>
    <w:rsid w:val="565F52F9"/>
    <w:rsid w:val="56791789"/>
    <w:rsid w:val="56A01154"/>
    <w:rsid w:val="56A82D3F"/>
    <w:rsid w:val="56C57C27"/>
    <w:rsid w:val="56CF599A"/>
    <w:rsid w:val="570B21E4"/>
    <w:rsid w:val="571A7B66"/>
    <w:rsid w:val="571B7468"/>
    <w:rsid w:val="57221DC2"/>
    <w:rsid w:val="575B7F33"/>
    <w:rsid w:val="57731A1E"/>
    <w:rsid w:val="578062DC"/>
    <w:rsid w:val="57AE210C"/>
    <w:rsid w:val="57E303C2"/>
    <w:rsid w:val="57F75C62"/>
    <w:rsid w:val="583E7975"/>
    <w:rsid w:val="584C2283"/>
    <w:rsid w:val="58600C0D"/>
    <w:rsid w:val="58625F8E"/>
    <w:rsid w:val="586402CE"/>
    <w:rsid w:val="586C193B"/>
    <w:rsid w:val="58A77CA5"/>
    <w:rsid w:val="58A877A4"/>
    <w:rsid w:val="58B16AE2"/>
    <w:rsid w:val="58B83156"/>
    <w:rsid w:val="58BC272E"/>
    <w:rsid w:val="58DB60B5"/>
    <w:rsid w:val="58EA55BC"/>
    <w:rsid w:val="58FF6BB8"/>
    <w:rsid w:val="59067DDA"/>
    <w:rsid w:val="59316A34"/>
    <w:rsid w:val="593A2ABC"/>
    <w:rsid w:val="593C2FF6"/>
    <w:rsid w:val="594066BA"/>
    <w:rsid w:val="59450D9A"/>
    <w:rsid w:val="594E71B2"/>
    <w:rsid w:val="59585F74"/>
    <w:rsid w:val="595A0D88"/>
    <w:rsid w:val="5975196E"/>
    <w:rsid w:val="5997127B"/>
    <w:rsid w:val="59AA5729"/>
    <w:rsid w:val="59B5570F"/>
    <w:rsid w:val="59FD625A"/>
    <w:rsid w:val="5A0C4D75"/>
    <w:rsid w:val="5A1B4E04"/>
    <w:rsid w:val="5A1E0E46"/>
    <w:rsid w:val="5A1F3D95"/>
    <w:rsid w:val="5A761CE5"/>
    <w:rsid w:val="5A813C0A"/>
    <w:rsid w:val="5A8C0407"/>
    <w:rsid w:val="5A967B61"/>
    <w:rsid w:val="5A9B77BD"/>
    <w:rsid w:val="5AA43412"/>
    <w:rsid w:val="5AAC5A02"/>
    <w:rsid w:val="5AAD44F7"/>
    <w:rsid w:val="5AB53863"/>
    <w:rsid w:val="5AEF7526"/>
    <w:rsid w:val="5AF02AD1"/>
    <w:rsid w:val="5AF33436"/>
    <w:rsid w:val="5B1508BD"/>
    <w:rsid w:val="5B1A7EC6"/>
    <w:rsid w:val="5B515AD3"/>
    <w:rsid w:val="5B5F3ED3"/>
    <w:rsid w:val="5B722C1A"/>
    <w:rsid w:val="5BA63142"/>
    <w:rsid w:val="5BAE33BB"/>
    <w:rsid w:val="5BDC5160"/>
    <w:rsid w:val="5C125AAD"/>
    <w:rsid w:val="5C143CA4"/>
    <w:rsid w:val="5C393FB8"/>
    <w:rsid w:val="5C4D5637"/>
    <w:rsid w:val="5C5A441F"/>
    <w:rsid w:val="5C7B0C21"/>
    <w:rsid w:val="5CA61BD3"/>
    <w:rsid w:val="5CA73034"/>
    <w:rsid w:val="5CD96E18"/>
    <w:rsid w:val="5CF24CF4"/>
    <w:rsid w:val="5CF63F34"/>
    <w:rsid w:val="5CFB4C54"/>
    <w:rsid w:val="5D2337D7"/>
    <w:rsid w:val="5D316A6E"/>
    <w:rsid w:val="5D36118A"/>
    <w:rsid w:val="5D5425FE"/>
    <w:rsid w:val="5D6400A6"/>
    <w:rsid w:val="5DA21811"/>
    <w:rsid w:val="5DAF757B"/>
    <w:rsid w:val="5DB97F66"/>
    <w:rsid w:val="5DC725AB"/>
    <w:rsid w:val="5DD17E15"/>
    <w:rsid w:val="5DF91F93"/>
    <w:rsid w:val="5E147E64"/>
    <w:rsid w:val="5E3A482F"/>
    <w:rsid w:val="5E55601B"/>
    <w:rsid w:val="5E5F7848"/>
    <w:rsid w:val="5E7248D3"/>
    <w:rsid w:val="5EB46368"/>
    <w:rsid w:val="5ECA5C4F"/>
    <w:rsid w:val="5ED030DC"/>
    <w:rsid w:val="5EDC5F7F"/>
    <w:rsid w:val="5F05556D"/>
    <w:rsid w:val="5F283754"/>
    <w:rsid w:val="5F2E7169"/>
    <w:rsid w:val="5F392286"/>
    <w:rsid w:val="5F4144B1"/>
    <w:rsid w:val="5F422491"/>
    <w:rsid w:val="5F477586"/>
    <w:rsid w:val="5F6A0B92"/>
    <w:rsid w:val="5F746AA1"/>
    <w:rsid w:val="5F831C5C"/>
    <w:rsid w:val="5FFD0035"/>
    <w:rsid w:val="60106E79"/>
    <w:rsid w:val="60164BBC"/>
    <w:rsid w:val="60222506"/>
    <w:rsid w:val="60296D43"/>
    <w:rsid w:val="602B7474"/>
    <w:rsid w:val="602D7611"/>
    <w:rsid w:val="606940A9"/>
    <w:rsid w:val="606A04EF"/>
    <w:rsid w:val="606B0C3A"/>
    <w:rsid w:val="60762D23"/>
    <w:rsid w:val="60A7714D"/>
    <w:rsid w:val="60C54A98"/>
    <w:rsid w:val="60C61D3B"/>
    <w:rsid w:val="60CD2DF2"/>
    <w:rsid w:val="60DF3CE7"/>
    <w:rsid w:val="6118642C"/>
    <w:rsid w:val="614F7CF3"/>
    <w:rsid w:val="616E7390"/>
    <w:rsid w:val="618E5316"/>
    <w:rsid w:val="61A34584"/>
    <w:rsid w:val="61A3545B"/>
    <w:rsid w:val="61CC6AE9"/>
    <w:rsid w:val="61D71937"/>
    <w:rsid w:val="61EA1AAF"/>
    <w:rsid w:val="61F54CCF"/>
    <w:rsid w:val="61FE6B26"/>
    <w:rsid w:val="620D3B49"/>
    <w:rsid w:val="62136752"/>
    <w:rsid w:val="628406EF"/>
    <w:rsid w:val="62896B3F"/>
    <w:rsid w:val="62951B61"/>
    <w:rsid w:val="62A869E0"/>
    <w:rsid w:val="62D51C77"/>
    <w:rsid w:val="62D9346D"/>
    <w:rsid w:val="62ED3EA4"/>
    <w:rsid w:val="63210134"/>
    <w:rsid w:val="63240033"/>
    <w:rsid w:val="63453C6A"/>
    <w:rsid w:val="63684FFF"/>
    <w:rsid w:val="638A1F87"/>
    <w:rsid w:val="638F09D2"/>
    <w:rsid w:val="63932446"/>
    <w:rsid w:val="63C17D75"/>
    <w:rsid w:val="63C44FED"/>
    <w:rsid w:val="63D454AF"/>
    <w:rsid w:val="63F5464E"/>
    <w:rsid w:val="64776FF5"/>
    <w:rsid w:val="648D48E1"/>
    <w:rsid w:val="649C304D"/>
    <w:rsid w:val="64AA52E4"/>
    <w:rsid w:val="64AF66CA"/>
    <w:rsid w:val="64B45DA6"/>
    <w:rsid w:val="64C5733C"/>
    <w:rsid w:val="64EF2199"/>
    <w:rsid w:val="64F7237A"/>
    <w:rsid w:val="64FC2ECF"/>
    <w:rsid w:val="64FF1449"/>
    <w:rsid w:val="65020873"/>
    <w:rsid w:val="652E267B"/>
    <w:rsid w:val="653D4127"/>
    <w:rsid w:val="6569693D"/>
    <w:rsid w:val="657D2C0C"/>
    <w:rsid w:val="658234E5"/>
    <w:rsid w:val="659E5AFA"/>
    <w:rsid w:val="65AC20C0"/>
    <w:rsid w:val="65B569DD"/>
    <w:rsid w:val="65D859E2"/>
    <w:rsid w:val="65EA0CA1"/>
    <w:rsid w:val="6622191B"/>
    <w:rsid w:val="66360C49"/>
    <w:rsid w:val="663C2E7C"/>
    <w:rsid w:val="666C79C2"/>
    <w:rsid w:val="667218E4"/>
    <w:rsid w:val="66817CAD"/>
    <w:rsid w:val="66B95F35"/>
    <w:rsid w:val="66C25B7A"/>
    <w:rsid w:val="66C62CCD"/>
    <w:rsid w:val="66D36467"/>
    <w:rsid w:val="66DE74CA"/>
    <w:rsid w:val="66DF4FE8"/>
    <w:rsid w:val="66F81B2C"/>
    <w:rsid w:val="6711250E"/>
    <w:rsid w:val="67170F9C"/>
    <w:rsid w:val="671B341F"/>
    <w:rsid w:val="673225B5"/>
    <w:rsid w:val="673875C1"/>
    <w:rsid w:val="673D7E1F"/>
    <w:rsid w:val="67570828"/>
    <w:rsid w:val="675853AE"/>
    <w:rsid w:val="67672A24"/>
    <w:rsid w:val="676E0091"/>
    <w:rsid w:val="67A20C93"/>
    <w:rsid w:val="67A6038A"/>
    <w:rsid w:val="67BB28F8"/>
    <w:rsid w:val="67CC320C"/>
    <w:rsid w:val="67CE3281"/>
    <w:rsid w:val="67DF65B0"/>
    <w:rsid w:val="681E731C"/>
    <w:rsid w:val="68245BCE"/>
    <w:rsid w:val="683F007B"/>
    <w:rsid w:val="684656F9"/>
    <w:rsid w:val="68575D12"/>
    <w:rsid w:val="68630D87"/>
    <w:rsid w:val="68994E8A"/>
    <w:rsid w:val="689C49D6"/>
    <w:rsid w:val="68B12370"/>
    <w:rsid w:val="68B46C28"/>
    <w:rsid w:val="68C64226"/>
    <w:rsid w:val="68E84539"/>
    <w:rsid w:val="69081BB1"/>
    <w:rsid w:val="690B2C17"/>
    <w:rsid w:val="692A1C47"/>
    <w:rsid w:val="693A5441"/>
    <w:rsid w:val="69571706"/>
    <w:rsid w:val="6987438D"/>
    <w:rsid w:val="69886817"/>
    <w:rsid w:val="69A835BC"/>
    <w:rsid w:val="69B45C27"/>
    <w:rsid w:val="69B80162"/>
    <w:rsid w:val="69C80BCE"/>
    <w:rsid w:val="69E04B48"/>
    <w:rsid w:val="69E31E94"/>
    <w:rsid w:val="69EA7C45"/>
    <w:rsid w:val="69EF42FD"/>
    <w:rsid w:val="69F13C26"/>
    <w:rsid w:val="6A091656"/>
    <w:rsid w:val="6A092B9D"/>
    <w:rsid w:val="6A220D42"/>
    <w:rsid w:val="6A4F2B2E"/>
    <w:rsid w:val="6A5B0728"/>
    <w:rsid w:val="6A5B6430"/>
    <w:rsid w:val="6A900B8A"/>
    <w:rsid w:val="6AA81A77"/>
    <w:rsid w:val="6AC44181"/>
    <w:rsid w:val="6AC92AE9"/>
    <w:rsid w:val="6AD56B69"/>
    <w:rsid w:val="6AD9376B"/>
    <w:rsid w:val="6AF728D6"/>
    <w:rsid w:val="6AFE0DBC"/>
    <w:rsid w:val="6B0F06B6"/>
    <w:rsid w:val="6B1676A4"/>
    <w:rsid w:val="6B176DAD"/>
    <w:rsid w:val="6B180A89"/>
    <w:rsid w:val="6B1B3AF3"/>
    <w:rsid w:val="6B7B5CA5"/>
    <w:rsid w:val="6B8F3C0D"/>
    <w:rsid w:val="6BA7244C"/>
    <w:rsid w:val="6BB23964"/>
    <w:rsid w:val="6BD5653E"/>
    <w:rsid w:val="6BDF7F22"/>
    <w:rsid w:val="6BED34F0"/>
    <w:rsid w:val="6BF62E65"/>
    <w:rsid w:val="6BF8258B"/>
    <w:rsid w:val="6C0356E5"/>
    <w:rsid w:val="6C097F18"/>
    <w:rsid w:val="6C0E0A9C"/>
    <w:rsid w:val="6C257E79"/>
    <w:rsid w:val="6C4F344F"/>
    <w:rsid w:val="6C60065A"/>
    <w:rsid w:val="6C61263E"/>
    <w:rsid w:val="6C6D55A2"/>
    <w:rsid w:val="6C6E6125"/>
    <w:rsid w:val="6C795283"/>
    <w:rsid w:val="6C7C1738"/>
    <w:rsid w:val="6C98595B"/>
    <w:rsid w:val="6CA0513A"/>
    <w:rsid w:val="6CBD1D88"/>
    <w:rsid w:val="6CCD144A"/>
    <w:rsid w:val="6CD93635"/>
    <w:rsid w:val="6D01610E"/>
    <w:rsid w:val="6D0B583B"/>
    <w:rsid w:val="6D1703EE"/>
    <w:rsid w:val="6D3C5FAF"/>
    <w:rsid w:val="6D524E28"/>
    <w:rsid w:val="6D8E0677"/>
    <w:rsid w:val="6DAF4E56"/>
    <w:rsid w:val="6DB02DDA"/>
    <w:rsid w:val="6DBF614A"/>
    <w:rsid w:val="6DD838A5"/>
    <w:rsid w:val="6DDC37D2"/>
    <w:rsid w:val="6DE754B8"/>
    <w:rsid w:val="6DEE2218"/>
    <w:rsid w:val="6DFB65D4"/>
    <w:rsid w:val="6E172F64"/>
    <w:rsid w:val="6E192A87"/>
    <w:rsid w:val="6E2D765E"/>
    <w:rsid w:val="6E343F9A"/>
    <w:rsid w:val="6E383B7D"/>
    <w:rsid w:val="6E3E69AA"/>
    <w:rsid w:val="6E447262"/>
    <w:rsid w:val="6E4F0987"/>
    <w:rsid w:val="6E6275A3"/>
    <w:rsid w:val="6E72607A"/>
    <w:rsid w:val="6E8B323A"/>
    <w:rsid w:val="6EB8746B"/>
    <w:rsid w:val="6EB95ED3"/>
    <w:rsid w:val="6EDB3192"/>
    <w:rsid w:val="6EDE6BC5"/>
    <w:rsid w:val="6EEB3B00"/>
    <w:rsid w:val="6F170A6F"/>
    <w:rsid w:val="6F180071"/>
    <w:rsid w:val="6F232878"/>
    <w:rsid w:val="6F371B4B"/>
    <w:rsid w:val="6F561EC9"/>
    <w:rsid w:val="6F82735A"/>
    <w:rsid w:val="6F866263"/>
    <w:rsid w:val="6F866ADE"/>
    <w:rsid w:val="6F8E2718"/>
    <w:rsid w:val="6FA96C54"/>
    <w:rsid w:val="6FAA5341"/>
    <w:rsid w:val="6FB147D5"/>
    <w:rsid w:val="6FBB74E4"/>
    <w:rsid w:val="6FC60A99"/>
    <w:rsid w:val="6FE40672"/>
    <w:rsid w:val="6FFE571D"/>
    <w:rsid w:val="702E4FB5"/>
    <w:rsid w:val="702F2CCD"/>
    <w:rsid w:val="70396242"/>
    <w:rsid w:val="70547277"/>
    <w:rsid w:val="705F17C8"/>
    <w:rsid w:val="707367FA"/>
    <w:rsid w:val="70C928F8"/>
    <w:rsid w:val="70D03331"/>
    <w:rsid w:val="70E90990"/>
    <w:rsid w:val="70FA3CB7"/>
    <w:rsid w:val="7107583B"/>
    <w:rsid w:val="71137925"/>
    <w:rsid w:val="71170CB8"/>
    <w:rsid w:val="71222CC8"/>
    <w:rsid w:val="712E20A1"/>
    <w:rsid w:val="715400D3"/>
    <w:rsid w:val="715776BC"/>
    <w:rsid w:val="716A5048"/>
    <w:rsid w:val="71A216F5"/>
    <w:rsid w:val="71B90ACF"/>
    <w:rsid w:val="71BB2969"/>
    <w:rsid w:val="72205508"/>
    <w:rsid w:val="72357981"/>
    <w:rsid w:val="724A0CAC"/>
    <w:rsid w:val="724F1865"/>
    <w:rsid w:val="725F065A"/>
    <w:rsid w:val="726159A9"/>
    <w:rsid w:val="727244A6"/>
    <w:rsid w:val="72741047"/>
    <w:rsid w:val="72757E86"/>
    <w:rsid w:val="728F3A13"/>
    <w:rsid w:val="729F39B0"/>
    <w:rsid w:val="72D31862"/>
    <w:rsid w:val="72E252E6"/>
    <w:rsid w:val="72E9330E"/>
    <w:rsid w:val="72F30807"/>
    <w:rsid w:val="72F94F78"/>
    <w:rsid w:val="730B1577"/>
    <w:rsid w:val="731D1555"/>
    <w:rsid w:val="734561B5"/>
    <w:rsid w:val="736754C7"/>
    <w:rsid w:val="737B2B7B"/>
    <w:rsid w:val="7395639B"/>
    <w:rsid w:val="73996FF9"/>
    <w:rsid w:val="73A47C83"/>
    <w:rsid w:val="73A95D41"/>
    <w:rsid w:val="73C866C1"/>
    <w:rsid w:val="73DA5588"/>
    <w:rsid w:val="73E57FEF"/>
    <w:rsid w:val="73EC7922"/>
    <w:rsid w:val="73F56C81"/>
    <w:rsid w:val="73F97857"/>
    <w:rsid w:val="741B0FD4"/>
    <w:rsid w:val="742D08E1"/>
    <w:rsid w:val="74355D65"/>
    <w:rsid w:val="743751A7"/>
    <w:rsid w:val="74402139"/>
    <w:rsid w:val="744623A6"/>
    <w:rsid w:val="744B5C41"/>
    <w:rsid w:val="747930BA"/>
    <w:rsid w:val="747F551B"/>
    <w:rsid w:val="748941FD"/>
    <w:rsid w:val="748B7CF5"/>
    <w:rsid w:val="74976F11"/>
    <w:rsid w:val="74A268FD"/>
    <w:rsid w:val="74B17396"/>
    <w:rsid w:val="74C8018B"/>
    <w:rsid w:val="74CF69B5"/>
    <w:rsid w:val="74D50FE4"/>
    <w:rsid w:val="74D52FDD"/>
    <w:rsid w:val="74E25A0D"/>
    <w:rsid w:val="74E85C9C"/>
    <w:rsid w:val="74ED4D9B"/>
    <w:rsid w:val="74F6045C"/>
    <w:rsid w:val="74F63261"/>
    <w:rsid w:val="751023D8"/>
    <w:rsid w:val="75106238"/>
    <w:rsid w:val="751B45E2"/>
    <w:rsid w:val="751D6744"/>
    <w:rsid w:val="75457ED3"/>
    <w:rsid w:val="754E268A"/>
    <w:rsid w:val="755C0B47"/>
    <w:rsid w:val="756377B9"/>
    <w:rsid w:val="756734FE"/>
    <w:rsid w:val="756B5A0F"/>
    <w:rsid w:val="75794DE0"/>
    <w:rsid w:val="757A4174"/>
    <w:rsid w:val="75890313"/>
    <w:rsid w:val="75B5225D"/>
    <w:rsid w:val="75CE05F6"/>
    <w:rsid w:val="76130290"/>
    <w:rsid w:val="761A1336"/>
    <w:rsid w:val="761C14C0"/>
    <w:rsid w:val="761F246B"/>
    <w:rsid w:val="7638039D"/>
    <w:rsid w:val="7638671A"/>
    <w:rsid w:val="765C5DA1"/>
    <w:rsid w:val="766656C2"/>
    <w:rsid w:val="767276B3"/>
    <w:rsid w:val="767E15E7"/>
    <w:rsid w:val="769F7504"/>
    <w:rsid w:val="76BA25BB"/>
    <w:rsid w:val="76C42A60"/>
    <w:rsid w:val="76E609EB"/>
    <w:rsid w:val="76ED6EDB"/>
    <w:rsid w:val="771F72B4"/>
    <w:rsid w:val="7725375A"/>
    <w:rsid w:val="77470854"/>
    <w:rsid w:val="778060BE"/>
    <w:rsid w:val="77902BC4"/>
    <w:rsid w:val="77907E59"/>
    <w:rsid w:val="77AE69B5"/>
    <w:rsid w:val="77CD1D04"/>
    <w:rsid w:val="77E37990"/>
    <w:rsid w:val="780E6EBD"/>
    <w:rsid w:val="783F2A8A"/>
    <w:rsid w:val="78487F50"/>
    <w:rsid w:val="785F465F"/>
    <w:rsid w:val="786F4384"/>
    <w:rsid w:val="788571C8"/>
    <w:rsid w:val="78961994"/>
    <w:rsid w:val="78994BB9"/>
    <w:rsid w:val="78B24C65"/>
    <w:rsid w:val="78DA1D5C"/>
    <w:rsid w:val="78DC5E15"/>
    <w:rsid w:val="78EB6E59"/>
    <w:rsid w:val="78FF7BF0"/>
    <w:rsid w:val="79310195"/>
    <w:rsid w:val="793106D1"/>
    <w:rsid w:val="79311287"/>
    <w:rsid w:val="79357C44"/>
    <w:rsid w:val="79417E8E"/>
    <w:rsid w:val="794C1DF9"/>
    <w:rsid w:val="794E04CF"/>
    <w:rsid w:val="79700982"/>
    <w:rsid w:val="79875BD6"/>
    <w:rsid w:val="79914EDC"/>
    <w:rsid w:val="79B6098B"/>
    <w:rsid w:val="79C25025"/>
    <w:rsid w:val="79D264D4"/>
    <w:rsid w:val="79E25093"/>
    <w:rsid w:val="7A015173"/>
    <w:rsid w:val="7A0254D2"/>
    <w:rsid w:val="7A0812A8"/>
    <w:rsid w:val="7A5B779B"/>
    <w:rsid w:val="7AA54A75"/>
    <w:rsid w:val="7AAB74CB"/>
    <w:rsid w:val="7AAF5B49"/>
    <w:rsid w:val="7AC43E26"/>
    <w:rsid w:val="7AC514E0"/>
    <w:rsid w:val="7ADC7DFA"/>
    <w:rsid w:val="7AFC687A"/>
    <w:rsid w:val="7AFD07C0"/>
    <w:rsid w:val="7B184E3A"/>
    <w:rsid w:val="7B19260F"/>
    <w:rsid w:val="7B1D40AE"/>
    <w:rsid w:val="7B325C64"/>
    <w:rsid w:val="7B365729"/>
    <w:rsid w:val="7B6967E8"/>
    <w:rsid w:val="7B6A2FD3"/>
    <w:rsid w:val="7B7C16A3"/>
    <w:rsid w:val="7B823929"/>
    <w:rsid w:val="7B835658"/>
    <w:rsid w:val="7B8A1157"/>
    <w:rsid w:val="7BA07FD9"/>
    <w:rsid w:val="7BA43288"/>
    <w:rsid w:val="7BBE5BD0"/>
    <w:rsid w:val="7BC2220B"/>
    <w:rsid w:val="7BE5457C"/>
    <w:rsid w:val="7BE81AC7"/>
    <w:rsid w:val="7BE8285C"/>
    <w:rsid w:val="7C423342"/>
    <w:rsid w:val="7C6514BE"/>
    <w:rsid w:val="7C7E5860"/>
    <w:rsid w:val="7C845439"/>
    <w:rsid w:val="7C9B627B"/>
    <w:rsid w:val="7CB97CD3"/>
    <w:rsid w:val="7CC74D8E"/>
    <w:rsid w:val="7CC900DB"/>
    <w:rsid w:val="7CD262F9"/>
    <w:rsid w:val="7CD415A3"/>
    <w:rsid w:val="7CD7442A"/>
    <w:rsid w:val="7CF32A5B"/>
    <w:rsid w:val="7CF538B7"/>
    <w:rsid w:val="7D09799F"/>
    <w:rsid w:val="7D0B3E6E"/>
    <w:rsid w:val="7D296669"/>
    <w:rsid w:val="7D3A4F18"/>
    <w:rsid w:val="7D3C7A51"/>
    <w:rsid w:val="7D6007C0"/>
    <w:rsid w:val="7D6A60E8"/>
    <w:rsid w:val="7D6B2D8A"/>
    <w:rsid w:val="7D7A3A99"/>
    <w:rsid w:val="7D983898"/>
    <w:rsid w:val="7DA36C4C"/>
    <w:rsid w:val="7DD16EC4"/>
    <w:rsid w:val="7DD565C0"/>
    <w:rsid w:val="7DE10542"/>
    <w:rsid w:val="7DFB1F65"/>
    <w:rsid w:val="7E2A1D89"/>
    <w:rsid w:val="7E2D5181"/>
    <w:rsid w:val="7E4F69F2"/>
    <w:rsid w:val="7E50271F"/>
    <w:rsid w:val="7E6E6C7E"/>
    <w:rsid w:val="7E747856"/>
    <w:rsid w:val="7E776B55"/>
    <w:rsid w:val="7E800392"/>
    <w:rsid w:val="7E8A37ED"/>
    <w:rsid w:val="7EA77C6F"/>
    <w:rsid w:val="7EBD225D"/>
    <w:rsid w:val="7EF854C9"/>
    <w:rsid w:val="7EFE13B4"/>
    <w:rsid w:val="7F110692"/>
    <w:rsid w:val="7F20197F"/>
    <w:rsid w:val="7F3415EE"/>
    <w:rsid w:val="7F4946C6"/>
    <w:rsid w:val="7F4B683F"/>
    <w:rsid w:val="7F572EAA"/>
    <w:rsid w:val="7F770125"/>
    <w:rsid w:val="7F807C4C"/>
    <w:rsid w:val="7F9E4004"/>
    <w:rsid w:val="7F9F0ABA"/>
    <w:rsid w:val="7FA56ED7"/>
    <w:rsid w:val="7FA854B1"/>
    <w:rsid w:val="7FBE1088"/>
    <w:rsid w:val="7FF40EE9"/>
    <w:rsid w:val="7FFA0090"/>
    <w:rsid w:val="7FFB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1247</Words>
  <Characters>7109</Characters>
  <Lines>59</Lines>
  <Paragraphs>16</Paragraphs>
  <TotalTime>13</TotalTime>
  <ScaleCrop>false</ScaleCrop>
  <LinksUpToDate>false</LinksUpToDate>
  <CharactersWithSpaces>8340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2019-11-27T03:37:00Z</dcterms:created>
  <dc:creator>Administrator</dc:creator>
  <cp:lastModifiedBy>程凤</cp:lastModifiedBy>
  <dcterms:modified xsi:type="dcterms:W3CDTF">2020-10-21T02:06:52Z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