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5"/>
        </w:tabs>
        <w:spacing w:line="600" w:lineRule="exact"/>
        <w:jc w:val="center"/>
        <w:rPr>
          <w:sz w:val="28"/>
        </w:rPr>
      </w:pPr>
    </w:p>
    <w:p>
      <w:pPr>
        <w:tabs>
          <w:tab w:val="left" w:pos="3045"/>
        </w:tabs>
        <w:spacing w:line="600" w:lineRule="exact"/>
        <w:jc w:val="center"/>
        <w:rPr>
          <w:sz w:val="28"/>
        </w:rPr>
      </w:pPr>
    </w:p>
    <w:p>
      <w:pPr>
        <w:tabs>
          <w:tab w:val="left" w:pos="3045"/>
        </w:tabs>
        <w:spacing w:line="600" w:lineRule="exact"/>
        <w:jc w:val="center"/>
        <w:rPr>
          <w:sz w:val="28"/>
        </w:rPr>
      </w:pPr>
    </w:p>
    <w:p>
      <w:pPr>
        <w:spacing w:line="600" w:lineRule="exact"/>
        <w:jc w:val="center"/>
        <w:rPr>
          <w:sz w:val="28"/>
        </w:rPr>
      </w:pPr>
    </w:p>
    <w:p>
      <w:pPr>
        <w:tabs>
          <w:tab w:val="left" w:pos="3045"/>
        </w:tabs>
        <w:spacing w:line="560" w:lineRule="exact"/>
        <w:ind w:left="-5" w:leftChars="-50" w:hanging="100" w:hangingChars="18"/>
        <w:jc w:val="center"/>
        <w:rPr>
          <w:rFonts w:eastAsia="黑体"/>
          <w:spacing w:val="20"/>
          <w:sz w:val="52"/>
        </w:rPr>
      </w:pPr>
      <w:r>
        <w:rPr>
          <w:rFonts w:eastAsia="黑体"/>
          <w:spacing w:val="20"/>
          <w:sz w:val="52"/>
        </w:rPr>
        <w:t>房地产司法处置估价报告</w:t>
      </w:r>
    </w:p>
    <w:p>
      <w:pPr>
        <w:tabs>
          <w:tab w:val="left" w:pos="3045"/>
          <w:tab w:val="left" w:pos="3150"/>
        </w:tabs>
        <w:spacing w:line="500" w:lineRule="exact"/>
        <w:ind w:left="3416" w:leftChars="516" w:hanging="2332" w:hangingChars="833"/>
        <w:rPr>
          <w:sz w:val="28"/>
        </w:rPr>
      </w:pPr>
    </w:p>
    <w:p>
      <w:pPr>
        <w:tabs>
          <w:tab w:val="left" w:pos="3045"/>
          <w:tab w:val="left" w:pos="3150"/>
        </w:tabs>
        <w:spacing w:line="500" w:lineRule="exact"/>
        <w:ind w:left="3416" w:leftChars="516" w:hanging="2332" w:hangingChars="833"/>
        <w:rPr>
          <w:sz w:val="28"/>
        </w:rPr>
      </w:pPr>
    </w:p>
    <w:p>
      <w:pPr>
        <w:tabs>
          <w:tab w:val="left" w:pos="3045"/>
          <w:tab w:val="left" w:pos="3150"/>
        </w:tabs>
        <w:spacing w:line="500" w:lineRule="exact"/>
        <w:ind w:left="3416" w:leftChars="516" w:hanging="2332" w:hangingChars="833"/>
        <w:rPr>
          <w:sz w:val="28"/>
        </w:rPr>
      </w:pPr>
    </w:p>
    <w:p>
      <w:pPr>
        <w:tabs>
          <w:tab w:val="left" w:pos="3045"/>
          <w:tab w:val="left" w:pos="3150"/>
        </w:tabs>
        <w:spacing w:line="500" w:lineRule="exact"/>
        <w:ind w:left="3416" w:leftChars="516" w:hanging="2332" w:hangingChars="833"/>
        <w:rPr>
          <w:sz w:val="28"/>
        </w:rPr>
      </w:pPr>
    </w:p>
    <w:p>
      <w:pPr>
        <w:tabs>
          <w:tab w:val="left" w:pos="3045"/>
          <w:tab w:val="left" w:pos="3150"/>
        </w:tabs>
        <w:spacing w:line="500" w:lineRule="exact"/>
        <w:ind w:left="3416" w:leftChars="516" w:hanging="2332" w:hangingChars="833"/>
        <w:rPr>
          <w:sz w:val="28"/>
        </w:rPr>
      </w:pPr>
    </w:p>
    <w:tbl>
      <w:tblPr>
        <w:tblStyle w:val="44"/>
        <w:tblW w:w="0" w:type="auto"/>
        <w:tblInd w:w="675" w:type="dxa"/>
        <w:tblLayout w:type="fixed"/>
        <w:tblCellMar>
          <w:top w:w="0" w:type="dxa"/>
          <w:left w:w="0" w:type="dxa"/>
          <w:bottom w:w="0" w:type="dxa"/>
          <w:right w:w="28" w:type="dxa"/>
        </w:tblCellMar>
      </w:tblPr>
      <w:tblGrid>
        <w:gridCol w:w="2160"/>
        <w:gridCol w:w="6237"/>
      </w:tblGrid>
      <w:tr>
        <w:tblPrEx>
          <w:tblCellMar>
            <w:top w:w="0" w:type="dxa"/>
            <w:left w:w="0" w:type="dxa"/>
            <w:bottom w:w="0" w:type="dxa"/>
            <w:right w:w="28" w:type="dxa"/>
          </w:tblCellMar>
        </w:tblPrEx>
        <w:trPr>
          <w:trHeight w:val="678" w:hRule="atLeast"/>
        </w:trPr>
        <w:tc>
          <w:tcPr>
            <w:tcW w:w="2160" w:type="dxa"/>
          </w:tcPr>
          <w:p>
            <w:pPr>
              <w:tabs>
                <w:tab w:val="left" w:pos="3045"/>
                <w:tab w:val="left" w:pos="3150"/>
              </w:tabs>
              <w:spacing w:line="600" w:lineRule="exact"/>
              <w:jc w:val="distribute"/>
              <w:rPr>
                <w:w w:val="90"/>
                <w:sz w:val="28"/>
              </w:rPr>
            </w:pPr>
            <w:r>
              <w:rPr>
                <w:w w:val="90"/>
                <w:sz w:val="28"/>
              </w:rPr>
              <w:t>估价报告编号：</w:t>
            </w:r>
          </w:p>
        </w:tc>
        <w:tc>
          <w:tcPr>
            <w:tcW w:w="6237" w:type="dxa"/>
          </w:tcPr>
          <w:p>
            <w:pPr>
              <w:tabs>
                <w:tab w:val="left" w:pos="3045"/>
                <w:tab w:val="left" w:pos="3150"/>
              </w:tabs>
              <w:spacing w:line="600" w:lineRule="exact"/>
              <w:rPr>
                <w:w w:val="90"/>
                <w:sz w:val="28"/>
              </w:rPr>
            </w:pPr>
            <w:r>
              <w:rPr>
                <w:w w:val="90"/>
                <w:sz w:val="28"/>
              </w:rPr>
              <w:t>九鼎司鉴（2020）0119号</w:t>
            </w:r>
          </w:p>
        </w:tc>
      </w:tr>
      <w:tr>
        <w:tblPrEx>
          <w:tblCellMar>
            <w:top w:w="0" w:type="dxa"/>
            <w:left w:w="0" w:type="dxa"/>
            <w:bottom w:w="0" w:type="dxa"/>
            <w:right w:w="28" w:type="dxa"/>
          </w:tblCellMar>
        </w:tblPrEx>
        <w:trPr>
          <w:trHeight w:val="678" w:hRule="atLeast"/>
        </w:trPr>
        <w:tc>
          <w:tcPr>
            <w:tcW w:w="2160" w:type="dxa"/>
          </w:tcPr>
          <w:p>
            <w:pPr>
              <w:tabs>
                <w:tab w:val="left" w:pos="3045"/>
                <w:tab w:val="left" w:pos="3150"/>
              </w:tabs>
              <w:spacing w:line="600" w:lineRule="exact"/>
              <w:jc w:val="distribute"/>
              <w:rPr>
                <w:sz w:val="28"/>
              </w:rPr>
            </w:pPr>
            <w:r>
              <w:rPr>
                <w:w w:val="90"/>
                <w:sz w:val="28"/>
              </w:rPr>
              <w:t>估价项目名称：</w:t>
            </w:r>
          </w:p>
        </w:tc>
        <w:tc>
          <w:tcPr>
            <w:tcW w:w="6237" w:type="dxa"/>
          </w:tcPr>
          <w:p>
            <w:pPr>
              <w:tabs>
                <w:tab w:val="left" w:pos="3045"/>
                <w:tab w:val="left" w:pos="3150"/>
              </w:tabs>
              <w:spacing w:line="600" w:lineRule="exact"/>
              <w:rPr>
                <w:spacing w:val="-6"/>
                <w:sz w:val="28"/>
              </w:rPr>
            </w:pPr>
            <w:r>
              <w:rPr>
                <w:spacing w:val="-6"/>
                <w:w w:val="90"/>
                <w:sz w:val="28"/>
              </w:rPr>
              <w:t>为确定财产处置参考价评估资阳市雁江区爱国居委会八组营业用房、住宅、车库房地产市场价值</w:t>
            </w:r>
          </w:p>
        </w:tc>
      </w:tr>
      <w:tr>
        <w:tblPrEx>
          <w:tblCellMar>
            <w:top w:w="0" w:type="dxa"/>
            <w:left w:w="0" w:type="dxa"/>
            <w:bottom w:w="0" w:type="dxa"/>
            <w:right w:w="28" w:type="dxa"/>
          </w:tblCellMar>
        </w:tblPrEx>
        <w:trPr>
          <w:trHeight w:val="680" w:hRule="atLeast"/>
        </w:trPr>
        <w:tc>
          <w:tcPr>
            <w:tcW w:w="2160" w:type="dxa"/>
          </w:tcPr>
          <w:p>
            <w:pPr>
              <w:tabs>
                <w:tab w:val="left" w:pos="3045"/>
                <w:tab w:val="left" w:pos="3150"/>
              </w:tabs>
              <w:spacing w:line="600" w:lineRule="exact"/>
              <w:jc w:val="distribute"/>
              <w:rPr>
                <w:sz w:val="28"/>
              </w:rPr>
            </w:pPr>
            <w:r>
              <w:rPr>
                <w:spacing w:val="44"/>
                <w:w w:val="90"/>
                <w:sz w:val="28"/>
              </w:rPr>
              <w:t>估价委托</w:t>
            </w:r>
            <w:r>
              <w:rPr>
                <w:w w:val="90"/>
                <w:sz w:val="28"/>
              </w:rPr>
              <w:t>人：</w:t>
            </w:r>
          </w:p>
        </w:tc>
        <w:tc>
          <w:tcPr>
            <w:tcW w:w="6237" w:type="dxa"/>
          </w:tcPr>
          <w:p>
            <w:pPr>
              <w:tabs>
                <w:tab w:val="left" w:pos="3045"/>
                <w:tab w:val="left" w:pos="3150"/>
              </w:tabs>
              <w:spacing w:line="600" w:lineRule="exact"/>
              <w:rPr>
                <w:w w:val="90"/>
                <w:sz w:val="28"/>
              </w:rPr>
            </w:pPr>
            <w:r>
              <w:rPr>
                <w:w w:val="90"/>
                <w:sz w:val="28"/>
              </w:rPr>
              <w:t>资阳市雁江区人民法院</w:t>
            </w:r>
          </w:p>
        </w:tc>
      </w:tr>
      <w:tr>
        <w:tblPrEx>
          <w:tblCellMar>
            <w:top w:w="0" w:type="dxa"/>
            <w:left w:w="0" w:type="dxa"/>
            <w:bottom w:w="0" w:type="dxa"/>
            <w:right w:w="28" w:type="dxa"/>
          </w:tblCellMar>
        </w:tblPrEx>
        <w:trPr>
          <w:trHeight w:val="680" w:hRule="atLeast"/>
        </w:trPr>
        <w:tc>
          <w:tcPr>
            <w:tcW w:w="2160" w:type="dxa"/>
          </w:tcPr>
          <w:p>
            <w:pPr>
              <w:tabs>
                <w:tab w:val="left" w:pos="3045"/>
                <w:tab w:val="left" w:pos="3150"/>
              </w:tabs>
              <w:spacing w:line="600" w:lineRule="exact"/>
              <w:jc w:val="distribute"/>
              <w:rPr>
                <w:sz w:val="28"/>
              </w:rPr>
            </w:pPr>
            <w:r>
              <w:rPr>
                <w:w w:val="90"/>
                <w:sz w:val="28"/>
              </w:rPr>
              <w:t>房地产估价机构：</w:t>
            </w:r>
          </w:p>
        </w:tc>
        <w:tc>
          <w:tcPr>
            <w:tcW w:w="6237" w:type="dxa"/>
          </w:tcPr>
          <w:p>
            <w:pPr>
              <w:tabs>
                <w:tab w:val="left" w:pos="3045"/>
                <w:tab w:val="left" w:pos="3150"/>
              </w:tabs>
              <w:spacing w:line="600" w:lineRule="exact"/>
              <w:rPr>
                <w:sz w:val="28"/>
              </w:rPr>
            </w:pPr>
            <w:r>
              <w:rPr>
                <w:w w:val="90"/>
                <w:sz w:val="28"/>
              </w:rPr>
              <w:t>成都九鼎房地产交易评估有限公司</w:t>
            </w:r>
          </w:p>
        </w:tc>
      </w:tr>
      <w:tr>
        <w:tblPrEx>
          <w:tblCellMar>
            <w:top w:w="0" w:type="dxa"/>
            <w:left w:w="0" w:type="dxa"/>
            <w:bottom w:w="0" w:type="dxa"/>
            <w:right w:w="28" w:type="dxa"/>
          </w:tblCellMar>
        </w:tblPrEx>
        <w:trPr>
          <w:trHeight w:val="680" w:hRule="atLeast"/>
        </w:trPr>
        <w:tc>
          <w:tcPr>
            <w:tcW w:w="2160" w:type="dxa"/>
          </w:tcPr>
          <w:p>
            <w:pPr>
              <w:tabs>
                <w:tab w:val="left" w:pos="3045"/>
                <w:tab w:val="left" w:pos="3150"/>
              </w:tabs>
              <w:spacing w:line="600" w:lineRule="exact"/>
              <w:jc w:val="left"/>
              <w:rPr>
                <w:spacing w:val="-12"/>
                <w:sz w:val="28"/>
              </w:rPr>
            </w:pPr>
            <w:r>
              <w:rPr>
                <w:spacing w:val="-12"/>
                <w:w w:val="90"/>
                <w:sz w:val="28"/>
              </w:rPr>
              <w:t>注册房地产估价师：</w:t>
            </w:r>
          </w:p>
        </w:tc>
        <w:tc>
          <w:tcPr>
            <w:tcW w:w="6237" w:type="dxa"/>
          </w:tcPr>
          <w:p>
            <w:pPr>
              <w:tabs>
                <w:tab w:val="left" w:pos="3045"/>
                <w:tab w:val="left" w:pos="3150"/>
              </w:tabs>
              <w:spacing w:line="600" w:lineRule="exact"/>
              <w:rPr>
                <w:w w:val="90"/>
                <w:sz w:val="28"/>
              </w:rPr>
            </w:pPr>
            <w:r>
              <w:rPr>
                <w:w w:val="90"/>
                <w:sz w:val="28"/>
                <w:szCs w:val="28"/>
              </w:rPr>
              <w:t>钟晓兰注册房地产估价师注册号：</w:t>
            </w:r>
            <w:r>
              <w:rPr>
                <w:w w:val="90"/>
                <w:sz w:val="28"/>
              </w:rPr>
              <w:t>5120040388</w:t>
            </w:r>
          </w:p>
        </w:tc>
      </w:tr>
      <w:tr>
        <w:tblPrEx>
          <w:tblCellMar>
            <w:top w:w="0" w:type="dxa"/>
            <w:left w:w="0" w:type="dxa"/>
            <w:bottom w:w="0" w:type="dxa"/>
            <w:right w:w="28" w:type="dxa"/>
          </w:tblCellMar>
        </w:tblPrEx>
        <w:trPr>
          <w:trHeight w:val="680" w:hRule="atLeast"/>
        </w:trPr>
        <w:tc>
          <w:tcPr>
            <w:tcW w:w="2160" w:type="dxa"/>
          </w:tcPr>
          <w:p>
            <w:pPr>
              <w:tabs>
                <w:tab w:val="left" w:pos="3045"/>
                <w:tab w:val="left" w:pos="3150"/>
              </w:tabs>
              <w:spacing w:line="600" w:lineRule="exact"/>
              <w:rPr>
                <w:sz w:val="28"/>
              </w:rPr>
            </w:pPr>
          </w:p>
        </w:tc>
        <w:tc>
          <w:tcPr>
            <w:tcW w:w="6237" w:type="dxa"/>
          </w:tcPr>
          <w:p>
            <w:pPr>
              <w:tabs>
                <w:tab w:val="left" w:pos="3045"/>
                <w:tab w:val="left" w:pos="3150"/>
              </w:tabs>
              <w:spacing w:line="600" w:lineRule="exact"/>
              <w:rPr>
                <w:w w:val="90"/>
                <w:sz w:val="28"/>
              </w:rPr>
            </w:pPr>
            <w:r>
              <w:rPr>
                <w:w w:val="90"/>
                <w:sz w:val="28"/>
              </w:rPr>
              <w:t>但莉注册房地产估价师注册号：5120090017</w:t>
            </w:r>
          </w:p>
        </w:tc>
      </w:tr>
      <w:tr>
        <w:tblPrEx>
          <w:tblCellMar>
            <w:top w:w="0" w:type="dxa"/>
            <w:left w:w="0" w:type="dxa"/>
            <w:bottom w:w="0" w:type="dxa"/>
            <w:right w:w="28" w:type="dxa"/>
          </w:tblCellMar>
        </w:tblPrEx>
        <w:trPr>
          <w:trHeight w:val="680" w:hRule="atLeast"/>
        </w:trPr>
        <w:tc>
          <w:tcPr>
            <w:tcW w:w="2160" w:type="dxa"/>
          </w:tcPr>
          <w:p>
            <w:pPr>
              <w:tabs>
                <w:tab w:val="left" w:pos="3045"/>
                <w:tab w:val="left" w:pos="3150"/>
              </w:tabs>
              <w:spacing w:line="600" w:lineRule="exact"/>
              <w:jc w:val="distribute"/>
              <w:rPr>
                <w:sz w:val="28"/>
              </w:rPr>
            </w:pPr>
            <w:r>
              <w:rPr>
                <w:spacing w:val="-12"/>
                <w:w w:val="90"/>
                <w:sz w:val="28"/>
              </w:rPr>
              <w:t>估价报告出具日</w:t>
            </w:r>
            <w:r>
              <w:rPr>
                <w:w w:val="90"/>
                <w:sz w:val="28"/>
              </w:rPr>
              <w:t>期：</w:t>
            </w:r>
          </w:p>
        </w:tc>
        <w:tc>
          <w:tcPr>
            <w:tcW w:w="6237" w:type="dxa"/>
          </w:tcPr>
          <w:p>
            <w:pPr>
              <w:tabs>
                <w:tab w:val="left" w:pos="3045"/>
                <w:tab w:val="left" w:pos="3150"/>
              </w:tabs>
              <w:spacing w:line="600" w:lineRule="exact"/>
              <w:rPr>
                <w:color w:val="000000"/>
                <w:w w:val="90"/>
                <w:sz w:val="28"/>
              </w:rPr>
            </w:pPr>
            <w:r>
              <w:rPr>
                <w:color w:val="000000"/>
                <w:w w:val="90"/>
                <w:sz w:val="28"/>
              </w:rPr>
              <w:t>2020年12月15日</w:t>
            </w:r>
          </w:p>
        </w:tc>
      </w:tr>
    </w:tbl>
    <w:p>
      <w:pPr>
        <w:spacing w:line="600" w:lineRule="exact"/>
        <w:rPr>
          <w:rFonts w:eastAsia="黑体"/>
          <w:sz w:val="44"/>
        </w:rPr>
      </w:pPr>
    </w:p>
    <w:p>
      <w:pPr>
        <w:spacing w:line="580" w:lineRule="exact"/>
        <w:jc w:val="center"/>
        <w:rPr>
          <w:rFonts w:eastAsia="黑体"/>
          <w:sz w:val="32"/>
        </w:rPr>
      </w:pPr>
      <w:r>
        <w:rPr>
          <w:rFonts w:eastAsia="黑体"/>
          <w:sz w:val="44"/>
        </w:rPr>
        <w:br w:type="page"/>
      </w:r>
      <w:r>
        <w:rPr>
          <w:rFonts w:eastAsia="黑体"/>
          <w:sz w:val="32"/>
        </w:rPr>
        <w:t>致估价委托人函</w:t>
      </w:r>
    </w:p>
    <w:p>
      <w:pPr>
        <w:spacing w:line="500" w:lineRule="exact"/>
        <w:jc w:val="center"/>
        <w:rPr>
          <w:rFonts w:eastAsia="黑体"/>
          <w:sz w:val="32"/>
        </w:rPr>
      </w:pPr>
    </w:p>
    <w:p>
      <w:pPr>
        <w:pStyle w:val="19"/>
        <w:spacing w:line="640" w:lineRule="exact"/>
        <w:ind w:firstLine="0"/>
        <w:rPr>
          <w:rFonts w:ascii="Times New Roman"/>
          <w:szCs w:val="24"/>
        </w:rPr>
      </w:pPr>
      <w:r>
        <w:rPr>
          <w:rFonts w:ascii="Times New Roman"/>
        </w:rPr>
        <w:t>资阳市雁江区人民法院</w:t>
      </w:r>
      <w:r>
        <w:rPr>
          <w:rFonts w:ascii="Times New Roman"/>
          <w:szCs w:val="24"/>
        </w:rPr>
        <w:t>：</w:t>
      </w:r>
    </w:p>
    <w:p>
      <w:pPr>
        <w:spacing w:line="640" w:lineRule="exact"/>
        <w:ind w:firstLine="576"/>
        <w:rPr>
          <w:sz w:val="28"/>
          <w:szCs w:val="28"/>
          <w:lang w:val="zh-CN"/>
        </w:rPr>
      </w:pPr>
      <w:r>
        <w:rPr>
          <w:sz w:val="28"/>
        </w:rPr>
        <w:t>承蒙委托，我公司</w:t>
      </w:r>
      <w:r>
        <w:rPr>
          <w:sz w:val="28"/>
          <w:szCs w:val="28"/>
          <w:lang w:val="zh-CN"/>
        </w:rPr>
        <w:t>依据我国现行有关法律、法规政策的规定，利用贵方提供的资料以及注册房地产估价师实地查勘和市场调查取得的资料，根据估价目的，遵循估价原则，按照估价程序，选取适宜的估价方法，并在综合分析影响房地产价格因素的基础上，对估价对象于价值时点的市场价值进行分析、估算和判定，完成了估价工作。</w:t>
      </w:r>
    </w:p>
    <w:p>
      <w:pPr>
        <w:spacing w:line="640" w:lineRule="exact"/>
        <w:ind w:firstLine="422" w:firstLineChars="150"/>
        <w:rPr>
          <w:sz w:val="28"/>
          <w:szCs w:val="28"/>
          <w:lang w:val="zh-CN"/>
        </w:rPr>
      </w:pPr>
      <w:r>
        <w:rPr>
          <w:b/>
          <w:sz w:val="28"/>
          <w:szCs w:val="20"/>
        </w:rPr>
        <w:t>（一）估价对象</w:t>
      </w:r>
    </w:p>
    <w:p>
      <w:pPr>
        <w:pStyle w:val="19"/>
        <w:spacing w:line="640" w:lineRule="exact"/>
        <w:ind w:firstLine="560" w:firstLineChars="200"/>
        <w:rPr>
          <w:rFonts w:ascii="Times New Roman"/>
        </w:rPr>
      </w:pPr>
      <w:r>
        <w:rPr>
          <w:rFonts w:ascii="Times New Roman"/>
        </w:rPr>
        <w:t>周莉单独所有的位于资阳市雁江区爱国居委会八组建筑面积合计为272.09㎡的营业、住宅、车库用房</w:t>
      </w:r>
      <w:r>
        <w:rPr>
          <w:rFonts w:ascii="Times New Roman"/>
          <w:szCs w:val="28"/>
        </w:rPr>
        <w:t>（含不可剥离附属设备设施、室内装修）</w:t>
      </w:r>
      <w:r>
        <w:rPr>
          <w:rFonts w:ascii="Times New Roman"/>
        </w:rPr>
        <w:t>及其分摊占用的国有出让商业、住宅建设用地使用权。</w:t>
      </w:r>
    </w:p>
    <w:p>
      <w:pPr>
        <w:pStyle w:val="34"/>
        <w:adjustRightInd/>
        <w:spacing w:line="640" w:lineRule="exact"/>
        <w:ind w:firstLine="422" w:firstLineChars="150"/>
        <w:rPr>
          <w:rFonts w:ascii="Times New Roman"/>
          <w:b/>
        </w:rPr>
      </w:pPr>
      <w:r>
        <w:rPr>
          <w:rFonts w:ascii="Times New Roman"/>
          <w:b/>
        </w:rPr>
        <w:t>（二）估价目的：</w:t>
      </w:r>
      <w:r>
        <w:rPr>
          <w:rFonts w:ascii="Times New Roman"/>
        </w:rPr>
        <w:t>为人民法院确定财产处置参考价提供参考依据。</w:t>
      </w:r>
    </w:p>
    <w:p>
      <w:pPr>
        <w:autoSpaceDE w:val="0"/>
        <w:autoSpaceDN w:val="0"/>
        <w:spacing w:line="640" w:lineRule="exact"/>
        <w:ind w:firstLine="422" w:firstLineChars="150"/>
        <w:textAlignment w:val="baseline"/>
        <w:rPr>
          <w:sz w:val="28"/>
        </w:rPr>
      </w:pPr>
      <w:r>
        <w:rPr>
          <w:b/>
          <w:sz w:val="28"/>
        </w:rPr>
        <w:t>（三）价值时点：</w:t>
      </w:r>
      <w:r>
        <w:rPr>
          <w:sz w:val="28"/>
        </w:rPr>
        <w:t>2020年11月19日</w:t>
      </w:r>
    </w:p>
    <w:p>
      <w:pPr>
        <w:autoSpaceDE w:val="0"/>
        <w:autoSpaceDN w:val="0"/>
        <w:spacing w:line="640" w:lineRule="exact"/>
        <w:ind w:firstLine="422" w:firstLineChars="150"/>
        <w:textAlignment w:val="baseline"/>
        <w:rPr>
          <w:sz w:val="28"/>
        </w:rPr>
      </w:pPr>
      <w:r>
        <w:rPr>
          <w:b/>
          <w:sz w:val="28"/>
        </w:rPr>
        <w:t>（四）价值类型：</w:t>
      </w:r>
      <w:r>
        <w:rPr>
          <w:sz w:val="28"/>
        </w:rPr>
        <w:t>市场价值</w:t>
      </w:r>
    </w:p>
    <w:p>
      <w:pPr>
        <w:autoSpaceDE w:val="0"/>
        <w:autoSpaceDN w:val="0"/>
        <w:spacing w:line="640" w:lineRule="exact"/>
        <w:ind w:firstLine="422" w:firstLineChars="150"/>
        <w:textAlignment w:val="baseline"/>
        <w:rPr>
          <w:sz w:val="28"/>
          <w:szCs w:val="28"/>
        </w:rPr>
      </w:pPr>
      <w:r>
        <w:rPr>
          <w:b/>
          <w:sz w:val="28"/>
          <w:szCs w:val="28"/>
        </w:rPr>
        <w:t>（五）估价方法：</w:t>
      </w:r>
      <w:r>
        <w:rPr>
          <w:sz w:val="28"/>
          <w:szCs w:val="28"/>
        </w:rPr>
        <w:t>比较法、收益法</w:t>
      </w:r>
    </w:p>
    <w:p>
      <w:pPr>
        <w:pStyle w:val="25"/>
        <w:adjustRightInd/>
        <w:spacing w:line="640" w:lineRule="exact"/>
        <w:ind w:firstLine="422" w:firstLineChars="150"/>
      </w:pPr>
      <w:r>
        <w:rPr>
          <w:b/>
        </w:rPr>
        <w:t>（六）估价结果：</w:t>
      </w:r>
      <w:r>
        <w:t>估价对象在价值时点并满足本报告所述价值定义及“估价假设和限制条件”的市场价值为：</w:t>
      </w:r>
    </w:p>
    <w:p>
      <w:pPr>
        <w:pStyle w:val="25"/>
        <w:autoSpaceDE/>
        <w:adjustRightInd/>
        <w:spacing w:line="640" w:lineRule="exact"/>
        <w:ind w:firstLine="705" w:firstLineChars="252"/>
      </w:pPr>
      <w:r>
        <w:t>评估总价：人民币（小写）</w:t>
      </w:r>
      <w:r>
        <w:rPr>
          <w:rFonts w:hint="eastAsia"/>
        </w:rPr>
        <w:t>206.83</w:t>
      </w:r>
      <w:r>
        <w:t>万元（</w:t>
      </w:r>
      <w:r>
        <w:rPr>
          <w:rFonts w:hint="eastAsia"/>
        </w:rPr>
        <w:t>佰元</w:t>
      </w:r>
      <w:r>
        <w:t>取整）；</w:t>
      </w:r>
    </w:p>
    <w:p>
      <w:pPr>
        <w:pStyle w:val="25"/>
        <w:autoSpaceDE/>
        <w:autoSpaceDN/>
        <w:adjustRightInd/>
        <w:spacing w:line="640" w:lineRule="exact"/>
        <w:ind w:right="560" w:firstLine="2105" w:firstLineChars="752"/>
        <w:textAlignment w:val="auto"/>
      </w:pPr>
      <w:r>
        <w:t>人民币（大写）贰佰</w:t>
      </w:r>
      <w:r>
        <w:rPr>
          <w:rFonts w:hint="eastAsia"/>
        </w:rPr>
        <w:t>零</w:t>
      </w:r>
      <w:r>
        <w:t>陆万</w:t>
      </w:r>
      <w:r>
        <w:rPr>
          <w:rFonts w:hint="eastAsia"/>
        </w:rPr>
        <w:t>捌仟叁佰</w:t>
      </w:r>
      <w:r>
        <w:t>元整。</w:t>
      </w:r>
    </w:p>
    <w:p>
      <w:pPr>
        <w:pStyle w:val="25"/>
        <w:autoSpaceDE/>
        <w:autoSpaceDN/>
        <w:adjustRightInd/>
        <w:spacing w:line="640" w:lineRule="exact"/>
        <w:ind w:firstLine="568" w:firstLineChars="202"/>
        <w:jc w:val="center"/>
        <w:textAlignment w:val="auto"/>
        <w:rPr>
          <w:b/>
        </w:rPr>
      </w:pPr>
    </w:p>
    <w:p>
      <w:pPr>
        <w:pStyle w:val="25"/>
        <w:autoSpaceDE/>
        <w:autoSpaceDN/>
        <w:adjustRightInd/>
        <w:spacing w:line="640" w:lineRule="exact"/>
        <w:ind w:firstLine="568" w:firstLineChars="202"/>
        <w:jc w:val="center"/>
        <w:textAlignment w:val="auto"/>
        <w:rPr>
          <w:b/>
        </w:rPr>
      </w:pPr>
      <w:r>
        <w:rPr>
          <w:b/>
        </w:rPr>
        <w:t>估价结果一览表</w:t>
      </w:r>
    </w:p>
    <w:tbl>
      <w:tblPr>
        <w:tblStyle w:val="44"/>
        <w:tblW w:w="9878" w:type="dxa"/>
        <w:jc w:val="center"/>
        <w:tblLayout w:type="autofit"/>
        <w:tblCellMar>
          <w:top w:w="0" w:type="dxa"/>
          <w:left w:w="108" w:type="dxa"/>
          <w:bottom w:w="0" w:type="dxa"/>
          <w:right w:w="108" w:type="dxa"/>
        </w:tblCellMar>
      </w:tblPr>
      <w:tblGrid>
        <w:gridCol w:w="732"/>
        <w:gridCol w:w="545"/>
        <w:gridCol w:w="1377"/>
        <w:gridCol w:w="845"/>
        <w:gridCol w:w="1418"/>
        <w:gridCol w:w="433"/>
        <w:gridCol w:w="626"/>
        <w:gridCol w:w="517"/>
        <w:gridCol w:w="626"/>
        <w:gridCol w:w="824"/>
        <w:gridCol w:w="943"/>
        <w:gridCol w:w="992"/>
      </w:tblGrid>
      <w:tr>
        <w:tblPrEx>
          <w:tblCellMar>
            <w:top w:w="0" w:type="dxa"/>
            <w:left w:w="108" w:type="dxa"/>
            <w:bottom w:w="0" w:type="dxa"/>
            <w:right w:w="108" w:type="dxa"/>
          </w:tblCellMar>
        </w:tblPrEx>
        <w:trPr>
          <w:trHeight w:val="420" w:hRule="atLeast"/>
          <w:jc w:val="center"/>
        </w:trPr>
        <w:tc>
          <w:tcPr>
            <w:tcW w:w="7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项目名称</w:t>
            </w:r>
          </w:p>
        </w:tc>
        <w:tc>
          <w:tcPr>
            <w:tcW w:w="54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序号</w:t>
            </w:r>
          </w:p>
        </w:tc>
        <w:tc>
          <w:tcPr>
            <w:tcW w:w="13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房屋所有权证号</w:t>
            </w:r>
          </w:p>
        </w:tc>
        <w:tc>
          <w:tcPr>
            <w:tcW w:w="84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房屋所有权人</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房屋坐落</w:t>
            </w:r>
          </w:p>
        </w:tc>
        <w:tc>
          <w:tcPr>
            <w:tcW w:w="4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幢号</w:t>
            </w:r>
          </w:p>
        </w:tc>
        <w:tc>
          <w:tcPr>
            <w:tcW w:w="6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所在楼层</w:t>
            </w:r>
          </w:p>
        </w:tc>
        <w:tc>
          <w:tcPr>
            <w:tcW w:w="5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房号</w:t>
            </w:r>
          </w:p>
        </w:tc>
        <w:tc>
          <w:tcPr>
            <w:tcW w:w="6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规划用途</w:t>
            </w:r>
          </w:p>
        </w:tc>
        <w:tc>
          <w:tcPr>
            <w:tcW w:w="82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建筑面积（㎡）</w:t>
            </w:r>
          </w:p>
        </w:tc>
        <w:tc>
          <w:tcPr>
            <w:tcW w:w="9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评估单价（元</w:t>
            </w:r>
            <w:r>
              <w:rPr>
                <w:b/>
                <w:bCs/>
                <w:color w:val="000000"/>
                <w:kern w:val="0"/>
                <w:sz w:val="16"/>
                <w:szCs w:val="16"/>
              </w:rPr>
              <w:t>/</w:t>
            </w:r>
            <w:r>
              <w:rPr>
                <w:rFonts w:hAnsi="宋体"/>
                <w:b/>
                <w:bCs/>
                <w:color w:val="000000"/>
                <w:kern w:val="0"/>
                <w:sz w:val="16"/>
                <w:szCs w:val="16"/>
              </w:rPr>
              <w:t>㎡）</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Ansi="宋体"/>
                <w:b/>
                <w:bCs/>
                <w:color w:val="000000"/>
                <w:kern w:val="0"/>
                <w:sz w:val="16"/>
                <w:szCs w:val="16"/>
              </w:rPr>
            </w:pPr>
            <w:r>
              <w:rPr>
                <w:rFonts w:hAnsi="宋体"/>
                <w:b/>
                <w:bCs/>
                <w:color w:val="000000"/>
                <w:kern w:val="0"/>
                <w:sz w:val="16"/>
                <w:szCs w:val="16"/>
              </w:rPr>
              <w:t>评估总价</w:t>
            </w:r>
          </w:p>
          <w:p>
            <w:pPr>
              <w:widowControl/>
              <w:jc w:val="center"/>
              <w:rPr>
                <w:b/>
                <w:bCs/>
                <w:color w:val="000000"/>
                <w:kern w:val="0"/>
                <w:sz w:val="16"/>
                <w:szCs w:val="16"/>
              </w:rPr>
            </w:pPr>
            <w:r>
              <w:rPr>
                <w:rFonts w:hAnsi="宋体"/>
                <w:b/>
                <w:bCs/>
                <w:color w:val="000000"/>
                <w:kern w:val="0"/>
                <w:sz w:val="16"/>
                <w:szCs w:val="16"/>
              </w:rPr>
              <w:t>（万元、</w:t>
            </w:r>
            <w:r>
              <w:rPr>
                <w:rFonts w:hint="eastAsia" w:hAnsi="宋体"/>
                <w:b/>
                <w:bCs/>
                <w:color w:val="000000"/>
                <w:kern w:val="0"/>
                <w:sz w:val="16"/>
                <w:szCs w:val="16"/>
              </w:rPr>
              <w:t>佰元</w:t>
            </w:r>
            <w:r>
              <w:rPr>
                <w:rFonts w:hAnsi="宋体"/>
                <w:b/>
                <w:bCs/>
                <w:color w:val="000000"/>
                <w:kern w:val="0"/>
                <w:sz w:val="16"/>
                <w:szCs w:val="16"/>
              </w:rPr>
              <w:t>取整）</w:t>
            </w:r>
          </w:p>
        </w:tc>
      </w:tr>
      <w:tr>
        <w:tblPrEx>
          <w:tblCellMar>
            <w:top w:w="0" w:type="dxa"/>
            <w:left w:w="108" w:type="dxa"/>
            <w:bottom w:w="0" w:type="dxa"/>
            <w:right w:w="108" w:type="dxa"/>
          </w:tblCellMar>
        </w:tblPrEx>
        <w:trPr>
          <w:trHeight w:val="633" w:hRule="atLeast"/>
          <w:jc w:val="center"/>
        </w:trPr>
        <w:tc>
          <w:tcPr>
            <w:tcW w:w="7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资阳市雁江区爱国居委会八组营业、住宅、车库用房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1377"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2005-028483</w:t>
            </w:r>
            <w:r>
              <w:rPr>
                <w:rFonts w:hAnsi="宋体"/>
                <w:color w:val="000000"/>
                <w:kern w:val="0"/>
                <w:sz w:val="16"/>
                <w:szCs w:val="16"/>
              </w:rPr>
              <w:t>号</w:t>
            </w:r>
          </w:p>
        </w:tc>
        <w:tc>
          <w:tcPr>
            <w:tcW w:w="845"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626"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517"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3</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营业用房</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29.88</w:t>
            </w:r>
          </w:p>
        </w:tc>
        <w:tc>
          <w:tcPr>
            <w:tcW w:w="943"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color w:val="000000"/>
                <w:kern w:val="0"/>
                <w:sz w:val="16"/>
                <w:szCs w:val="16"/>
              </w:rPr>
              <w:t>13300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rFonts w:hint="eastAsia"/>
                <w:color w:val="000000"/>
                <w:kern w:val="0"/>
                <w:sz w:val="16"/>
                <w:szCs w:val="16"/>
              </w:rPr>
              <w:t>39.74</w:t>
            </w:r>
          </w:p>
        </w:tc>
      </w:tr>
      <w:tr>
        <w:tblPrEx>
          <w:tblCellMar>
            <w:top w:w="0" w:type="dxa"/>
            <w:left w:w="108" w:type="dxa"/>
            <w:bottom w:w="0" w:type="dxa"/>
            <w:right w:w="108" w:type="dxa"/>
          </w:tblCellMar>
        </w:tblPrEx>
        <w:trPr>
          <w:trHeight w:val="700" w:hRule="atLeast"/>
          <w:jc w:val="center"/>
        </w:trPr>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6"/>
                <w:szCs w:val="16"/>
              </w:rPr>
            </w:pP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2</w:t>
            </w:r>
          </w:p>
        </w:tc>
        <w:tc>
          <w:tcPr>
            <w:tcW w:w="137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2005-028484</w:t>
            </w:r>
            <w:r>
              <w:rPr>
                <w:rFonts w:hAnsi="宋体"/>
                <w:color w:val="000000"/>
                <w:kern w:val="0"/>
                <w:sz w:val="16"/>
                <w:szCs w:val="16"/>
              </w:rPr>
              <w:t>号</w:t>
            </w:r>
          </w:p>
        </w:tc>
        <w:tc>
          <w:tcPr>
            <w:tcW w:w="845"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w:t>
            </w:r>
          </w:p>
        </w:tc>
        <w:tc>
          <w:tcPr>
            <w:tcW w:w="626"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51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3-4</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营业用房</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82.46</w:t>
            </w:r>
          </w:p>
        </w:tc>
        <w:tc>
          <w:tcPr>
            <w:tcW w:w="943"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color w:val="000000"/>
                <w:kern w:val="0"/>
                <w:sz w:val="16"/>
                <w:szCs w:val="16"/>
              </w:rPr>
              <w:t>12200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rFonts w:hint="eastAsia"/>
                <w:color w:val="000000"/>
                <w:kern w:val="0"/>
                <w:sz w:val="16"/>
                <w:szCs w:val="16"/>
              </w:rPr>
              <w:t>100.6</w:t>
            </w:r>
          </w:p>
        </w:tc>
      </w:tr>
      <w:tr>
        <w:tblPrEx>
          <w:tblCellMar>
            <w:top w:w="0" w:type="dxa"/>
            <w:left w:w="108" w:type="dxa"/>
            <w:bottom w:w="0" w:type="dxa"/>
            <w:right w:w="108" w:type="dxa"/>
          </w:tblCellMar>
        </w:tblPrEx>
        <w:trPr>
          <w:trHeight w:val="685" w:hRule="atLeast"/>
          <w:jc w:val="center"/>
        </w:trPr>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6"/>
                <w:szCs w:val="16"/>
              </w:rPr>
            </w:pP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3</w:t>
            </w:r>
          </w:p>
        </w:tc>
        <w:tc>
          <w:tcPr>
            <w:tcW w:w="137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2005-028482</w:t>
            </w:r>
            <w:r>
              <w:rPr>
                <w:rFonts w:hAnsi="宋体"/>
                <w:color w:val="000000"/>
                <w:kern w:val="0"/>
                <w:sz w:val="16"/>
                <w:szCs w:val="16"/>
              </w:rPr>
              <w:t>号</w:t>
            </w:r>
          </w:p>
        </w:tc>
        <w:tc>
          <w:tcPr>
            <w:tcW w:w="845"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2-3</w:t>
            </w:r>
          </w:p>
        </w:tc>
        <w:tc>
          <w:tcPr>
            <w:tcW w:w="626"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w:t>
            </w:r>
          </w:p>
        </w:tc>
        <w:tc>
          <w:tcPr>
            <w:tcW w:w="51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501</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住宅</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129.73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4200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54</w:t>
            </w:r>
            <w:r>
              <w:rPr>
                <w:rFonts w:hint="eastAsia"/>
                <w:color w:val="000000"/>
                <w:kern w:val="0"/>
                <w:sz w:val="16"/>
                <w:szCs w:val="16"/>
              </w:rPr>
              <w:t>.49</w:t>
            </w:r>
          </w:p>
        </w:tc>
      </w:tr>
      <w:tr>
        <w:tblPrEx>
          <w:tblCellMar>
            <w:top w:w="0" w:type="dxa"/>
            <w:left w:w="108" w:type="dxa"/>
            <w:bottom w:w="0" w:type="dxa"/>
            <w:right w:w="108" w:type="dxa"/>
          </w:tblCellMar>
        </w:tblPrEx>
        <w:trPr>
          <w:trHeight w:val="704" w:hRule="atLeast"/>
          <w:jc w:val="center"/>
        </w:trPr>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6"/>
                <w:szCs w:val="16"/>
              </w:rPr>
            </w:pP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4</w:t>
            </w:r>
          </w:p>
        </w:tc>
        <w:tc>
          <w:tcPr>
            <w:tcW w:w="137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2005-027038</w:t>
            </w:r>
            <w:r>
              <w:rPr>
                <w:rFonts w:hAnsi="宋体"/>
                <w:color w:val="000000"/>
                <w:kern w:val="0"/>
                <w:sz w:val="16"/>
                <w:szCs w:val="16"/>
              </w:rPr>
              <w:t>号</w:t>
            </w:r>
          </w:p>
        </w:tc>
        <w:tc>
          <w:tcPr>
            <w:tcW w:w="845"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4-4</w:t>
            </w:r>
          </w:p>
        </w:tc>
        <w:tc>
          <w:tcPr>
            <w:tcW w:w="626"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51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车库</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30.02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int="eastAsia"/>
                <w:color w:val="000000"/>
                <w:kern w:val="0"/>
                <w:sz w:val="16"/>
                <w:szCs w:val="16"/>
              </w:rPr>
              <w:t>3997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12.00</w:t>
            </w:r>
          </w:p>
        </w:tc>
      </w:tr>
      <w:tr>
        <w:tblPrEx>
          <w:tblCellMar>
            <w:top w:w="0" w:type="dxa"/>
            <w:left w:w="108" w:type="dxa"/>
            <w:bottom w:w="0" w:type="dxa"/>
            <w:right w:w="108" w:type="dxa"/>
          </w:tblCellMar>
        </w:tblPrEx>
        <w:trPr>
          <w:trHeight w:val="270" w:hRule="atLeast"/>
          <w:jc w:val="center"/>
        </w:trPr>
        <w:tc>
          <w:tcPr>
            <w:tcW w:w="711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合计</w:t>
            </w:r>
          </w:p>
        </w:tc>
        <w:tc>
          <w:tcPr>
            <w:tcW w:w="824" w:type="dxa"/>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6"/>
                <w:szCs w:val="16"/>
              </w:rPr>
            </w:pPr>
            <w:r>
              <w:rPr>
                <w:b/>
                <w:bCs/>
                <w:color w:val="000000"/>
                <w:kern w:val="0"/>
                <w:sz w:val="16"/>
                <w:szCs w:val="16"/>
              </w:rPr>
              <w:t>272.09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b/>
                <w:bCs/>
                <w:color w:val="000000"/>
                <w:kern w:val="0"/>
                <w:sz w:val="16"/>
                <w:szCs w:val="16"/>
              </w:rPr>
            </w:pPr>
            <w:r>
              <w:rPr>
                <w:b/>
                <w:bCs/>
                <w:color w:val="000000"/>
                <w:kern w:val="0"/>
                <w:sz w:val="16"/>
                <w:szCs w:val="16"/>
              </w:rPr>
              <w:t>2</w:t>
            </w:r>
            <w:r>
              <w:rPr>
                <w:rFonts w:hint="eastAsia"/>
                <w:b/>
                <w:bCs/>
                <w:color w:val="000000"/>
                <w:kern w:val="0"/>
                <w:sz w:val="16"/>
                <w:szCs w:val="16"/>
              </w:rPr>
              <w:t>06.83</w:t>
            </w:r>
          </w:p>
        </w:tc>
      </w:tr>
    </w:tbl>
    <w:p>
      <w:pPr>
        <w:widowControl/>
        <w:spacing w:line="560" w:lineRule="exact"/>
        <w:ind w:firstLine="422" w:firstLineChars="150"/>
        <w:rPr>
          <w:b/>
          <w:bCs/>
          <w:sz w:val="28"/>
          <w:szCs w:val="28"/>
        </w:rPr>
      </w:pPr>
      <w:r>
        <w:rPr>
          <w:b/>
          <w:bCs/>
          <w:sz w:val="28"/>
          <w:szCs w:val="28"/>
        </w:rPr>
        <w:t>（七）特别事项提醒：</w:t>
      </w:r>
    </w:p>
    <w:p>
      <w:pPr>
        <w:widowControl/>
        <w:spacing w:line="560" w:lineRule="exact"/>
        <w:ind w:firstLine="562" w:firstLineChars="200"/>
        <w:rPr>
          <w:b/>
          <w:bCs/>
          <w:sz w:val="28"/>
          <w:szCs w:val="28"/>
        </w:rPr>
      </w:pPr>
      <w:r>
        <w:rPr>
          <w:b/>
          <w:bCs/>
          <w:sz w:val="28"/>
          <w:szCs w:val="28"/>
        </w:rPr>
        <w:t>1、注册房地产估价师未调查到估价对象是否存在欠缴的税费、物业费、水电气费等，本次评估结果为估价对象的市场价值，假设估价对象不存在欠缴的税费、物业费、水电气费等情况。</w:t>
      </w:r>
    </w:p>
    <w:p>
      <w:pPr>
        <w:widowControl/>
        <w:spacing w:line="560" w:lineRule="exact"/>
        <w:ind w:firstLine="562" w:firstLineChars="200"/>
        <w:rPr>
          <w:b/>
          <w:bCs/>
          <w:sz w:val="28"/>
          <w:szCs w:val="28"/>
        </w:rPr>
      </w:pPr>
      <w:r>
        <w:rPr>
          <w:b/>
          <w:bCs/>
          <w:sz w:val="28"/>
          <w:szCs w:val="28"/>
        </w:rPr>
        <w:t>2、根据估价对象《资阳市房产档案馆房产档案及商品房网签信息查询结果单》，估价对象均已设定抵押权，但未</w:t>
      </w:r>
      <w:r>
        <w:rPr>
          <w:rFonts w:hint="eastAsia"/>
          <w:b/>
          <w:bCs/>
          <w:sz w:val="28"/>
          <w:szCs w:val="28"/>
        </w:rPr>
        <w:t>被</w:t>
      </w:r>
      <w:r>
        <w:rPr>
          <w:b/>
          <w:bCs/>
          <w:sz w:val="28"/>
          <w:szCs w:val="28"/>
        </w:rPr>
        <w:t>查封。根据本次司法处置估价目的和《房地产估价规范》、《房地产司法鉴定评估指导意见》（试行）相关规定，本次估价不考虑估价对象原有的担保物权和其他优先受偿权情况及强制变现等因素对估价对象市场价值的影响。</w:t>
      </w:r>
    </w:p>
    <w:p>
      <w:pPr>
        <w:spacing w:line="560" w:lineRule="exact"/>
        <w:ind w:firstLine="562" w:firstLineChars="200"/>
        <w:rPr>
          <w:b/>
          <w:bCs/>
          <w:sz w:val="28"/>
          <w:szCs w:val="28"/>
        </w:rPr>
      </w:pPr>
      <w:r>
        <w:rPr>
          <w:b/>
          <w:bCs/>
          <w:sz w:val="28"/>
          <w:szCs w:val="28"/>
        </w:rPr>
        <w:t>3、根据申请执行方代表及被执行方代表带领注册房地产估价师实地查勘及被执行方代表现场介绍，至价值时点（2020年11月19日），估价对象1-2营业用房以及估价对象</w:t>
      </w:r>
      <w:r>
        <w:rPr>
          <w:rFonts w:hint="eastAsia"/>
          <w:b/>
          <w:bCs/>
          <w:sz w:val="28"/>
          <w:szCs w:val="28"/>
        </w:rPr>
        <w:t>4车库</w:t>
      </w:r>
      <w:r>
        <w:rPr>
          <w:b/>
          <w:bCs/>
          <w:sz w:val="28"/>
          <w:szCs w:val="28"/>
        </w:rPr>
        <w:t>均为出租状态，但估价对象</w:t>
      </w:r>
      <w:r>
        <w:rPr>
          <w:rFonts w:hint="eastAsia"/>
          <w:b/>
          <w:bCs/>
          <w:sz w:val="28"/>
          <w:szCs w:val="28"/>
        </w:rPr>
        <w:t>1、4未签定正式的租赁合同，</w:t>
      </w:r>
      <w:r>
        <w:rPr>
          <w:b/>
          <w:bCs/>
          <w:sz w:val="28"/>
          <w:szCs w:val="28"/>
        </w:rPr>
        <w:t>估价委托人仅提供估价对象2营业用房《房屋租赁合同》。根据该《房屋租赁合同》记载，估价对象2租赁期为2020年3月15日至2025年3月14日，又根据估价对象《资阳市房产档案馆房产档案及商品房网签信息查询结果单》，其</w:t>
      </w:r>
      <w:r>
        <w:rPr>
          <w:rFonts w:hint="eastAsia"/>
          <w:b/>
          <w:bCs/>
          <w:sz w:val="28"/>
          <w:szCs w:val="28"/>
        </w:rPr>
        <w:t>抵押权登记的</w:t>
      </w:r>
      <w:r>
        <w:rPr>
          <w:b/>
          <w:bCs/>
          <w:sz w:val="28"/>
          <w:szCs w:val="28"/>
        </w:rPr>
        <w:t>债务履行期初始日为2017年6月14日。根据《中华人民共和国物权法》第一百九十条“订立抵押合同前抵押财产已出租的，原租赁关系不受该抵押权的影响。抵押权设立后抵押财产出租的，该租赁关系不得对抗已登记的抵押权”。估价对象2租赁权设立在抵押权之后，故该租赁关系不得对抗已登记的抵押权</w:t>
      </w:r>
      <w:r>
        <w:rPr>
          <w:rFonts w:hint="eastAsia"/>
          <w:b/>
          <w:bCs/>
          <w:sz w:val="28"/>
          <w:szCs w:val="28"/>
        </w:rPr>
        <w:t>，估价对象1、4未签定正式的租赁合同</w:t>
      </w:r>
      <w:r>
        <w:rPr>
          <w:b/>
          <w:bCs/>
          <w:sz w:val="28"/>
          <w:szCs w:val="28"/>
        </w:rPr>
        <w:t>。</w:t>
      </w:r>
      <w:r>
        <w:rPr>
          <w:rFonts w:hint="eastAsia"/>
          <w:b/>
          <w:bCs/>
          <w:sz w:val="28"/>
          <w:szCs w:val="28"/>
        </w:rPr>
        <w:t>故</w:t>
      </w:r>
      <w:r>
        <w:rPr>
          <w:b/>
          <w:bCs/>
          <w:sz w:val="28"/>
          <w:szCs w:val="28"/>
        </w:rPr>
        <w:t>本次评估未考虑租约限制对估价对象</w:t>
      </w:r>
      <w:r>
        <w:rPr>
          <w:rFonts w:hint="eastAsia"/>
          <w:b/>
          <w:bCs/>
          <w:sz w:val="28"/>
          <w:szCs w:val="28"/>
        </w:rPr>
        <w:t>1、2、4</w:t>
      </w:r>
      <w:r>
        <w:rPr>
          <w:b/>
          <w:bCs/>
          <w:sz w:val="28"/>
          <w:szCs w:val="28"/>
        </w:rPr>
        <w:t>市场价值的影响，提请报告使用人关注！</w:t>
      </w:r>
    </w:p>
    <w:p>
      <w:pPr>
        <w:spacing w:line="560" w:lineRule="exact"/>
        <w:ind w:firstLine="562" w:firstLineChars="200"/>
        <w:rPr>
          <w:b/>
          <w:bCs/>
          <w:sz w:val="28"/>
          <w:szCs w:val="28"/>
        </w:rPr>
      </w:pPr>
      <w:r>
        <w:rPr>
          <w:rFonts w:hint="eastAsia"/>
          <w:b/>
          <w:bCs/>
          <w:sz w:val="28"/>
          <w:szCs w:val="28"/>
        </w:rPr>
        <w:t>4、</w:t>
      </w:r>
      <w:r>
        <w:rPr>
          <w:b/>
          <w:bCs/>
          <w:sz w:val="28"/>
          <w:szCs w:val="28"/>
        </w:rPr>
        <w:t>根据申请执行方代表及被执行方代表带领注册房地产估价师实地查勘，</w:t>
      </w:r>
      <w:r>
        <w:rPr>
          <w:rFonts w:hint="eastAsia"/>
          <w:b/>
          <w:bCs/>
          <w:sz w:val="28"/>
          <w:szCs w:val="28"/>
        </w:rPr>
        <w:t>估价对象1、2、4未查见栋号，估价对象1实地查勘地址为：松涛路一段212号，估价对象2实地查勘地址为：台阳路84号，估价对象3位于新苑小区内，无门牌标示。本次评估假设</w:t>
      </w:r>
      <w:r>
        <w:rPr>
          <w:b/>
          <w:bCs/>
          <w:sz w:val="28"/>
          <w:szCs w:val="28"/>
        </w:rPr>
        <w:t>申请执行方代表及被执行方代表</w:t>
      </w:r>
      <w:r>
        <w:rPr>
          <w:rFonts w:hint="eastAsia"/>
          <w:b/>
          <w:bCs/>
          <w:sz w:val="28"/>
          <w:szCs w:val="28"/>
        </w:rPr>
        <w:t>现场指认房地产（见本报告书中“估价对象照片”）与估价委托人提供的《房屋所有权证》、</w:t>
      </w:r>
      <w:r>
        <w:rPr>
          <w:b/>
          <w:bCs/>
          <w:sz w:val="28"/>
          <w:szCs w:val="28"/>
        </w:rPr>
        <w:t>《</w:t>
      </w:r>
      <w:r>
        <w:rPr>
          <w:rFonts w:hint="eastAsia"/>
          <w:b/>
          <w:bCs/>
          <w:sz w:val="28"/>
          <w:szCs w:val="28"/>
        </w:rPr>
        <w:t>国有土地使用证</w:t>
      </w:r>
      <w:r>
        <w:rPr>
          <w:b/>
          <w:bCs/>
          <w:sz w:val="28"/>
          <w:szCs w:val="28"/>
        </w:rPr>
        <w:t>》</w:t>
      </w:r>
      <w:r>
        <w:rPr>
          <w:rFonts w:hint="eastAsia"/>
          <w:b/>
          <w:bCs/>
          <w:sz w:val="28"/>
          <w:szCs w:val="28"/>
        </w:rPr>
        <w:t>界定房地产系同一房地产，若二者不一致，则本估价结果无效！</w:t>
      </w:r>
    </w:p>
    <w:p>
      <w:pPr>
        <w:spacing w:line="560" w:lineRule="exact"/>
        <w:ind w:firstLine="562" w:firstLineChars="200"/>
        <w:rPr>
          <w:b/>
          <w:bCs/>
          <w:sz w:val="28"/>
          <w:szCs w:val="28"/>
        </w:rPr>
      </w:pPr>
      <w:r>
        <w:rPr>
          <w:rFonts w:hint="eastAsia"/>
          <w:b/>
          <w:bCs/>
          <w:sz w:val="28"/>
          <w:szCs w:val="28"/>
        </w:rPr>
        <w:t>5、因承租方不在，注册房地产估价师未能进入估价对象1部分房屋以及估价对象4室内进行实地查勘，本次评估假设其室内为清水状态、均能正常使用、室内无影响其价值的不利因素。</w:t>
      </w:r>
    </w:p>
    <w:p>
      <w:pPr>
        <w:spacing w:line="560" w:lineRule="exact"/>
        <w:ind w:firstLine="562" w:firstLineChars="200"/>
        <w:rPr>
          <w:b/>
          <w:bCs/>
          <w:sz w:val="28"/>
          <w:szCs w:val="28"/>
        </w:rPr>
      </w:pPr>
      <w:r>
        <w:rPr>
          <w:rFonts w:hint="eastAsia"/>
          <w:b/>
          <w:bCs/>
          <w:sz w:val="28"/>
          <w:szCs w:val="28"/>
        </w:rPr>
        <w:t>6、估价对象2《国有土地使用证》登记土地使用终止日期为2019年2月26日，至本次评估价值时点，土地使用年限已逾期，需到相关部门补缴土地续期的土地出让金，本次评估未考虑估价对象因已逾期补缴可能会存在的滞纳金等费用，</w:t>
      </w:r>
      <w:r>
        <w:rPr>
          <w:b/>
          <w:bCs/>
          <w:sz w:val="28"/>
          <w:szCs w:val="28"/>
        </w:rPr>
        <w:t>提请报告使用人关注！</w:t>
      </w:r>
    </w:p>
    <w:p>
      <w:pPr>
        <w:spacing w:line="560" w:lineRule="exact"/>
        <w:ind w:firstLine="562" w:firstLineChars="200"/>
        <w:rPr>
          <w:b/>
          <w:bCs/>
          <w:sz w:val="28"/>
          <w:szCs w:val="28"/>
        </w:rPr>
      </w:pPr>
      <w:r>
        <w:rPr>
          <w:rFonts w:hint="eastAsia"/>
          <w:b/>
          <w:bCs/>
          <w:sz w:val="28"/>
          <w:szCs w:val="28"/>
        </w:rPr>
        <w:t>7、估价对象3《国有土地使用证》登记终止日期为2019年2月26日，在本次评估价值时点土地使用年限已逾期，但另根据估价委托人提供的《房产登记信息查询情况说明》，其终止时间为2075年4月20日，因《国有土地使用证》登记时间约为2000年左右，《房产登记信息查询情况说明》查询时点为2020年10月14日，本次评估以《房产登记信息查询情况说明》记载终止日期为准，若与不动产登记部门最终确定的土地终止日期不一致，则估价报告需据实调整，</w:t>
      </w:r>
      <w:r>
        <w:rPr>
          <w:b/>
          <w:bCs/>
          <w:sz w:val="28"/>
          <w:szCs w:val="28"/>
        </w:rPr>
        <w:t>提请报告使用人关注！</w:t>
      </w:r>
    </w:p>
    <w:p>
      <w:pPr>
        <w:spacing w:line="560" w:lineRule="exact"/>
        <w:ind w:firstLine="562" w:firstLineChars="200"/>
        <w:rPr>
          <w:b/>
          <w:bCs/>
          <w:sz w:val="28"/>
          <w:szCs w:val="28"/>
        </w:rPr>
      </w:pPr>
      <w:r>
        <w:rPr>
          <w:rFonts w:hint="eastAsia"/>
          <w:b/>
          <w:bCs/>
          <w:sz w:val="28"/>
          <w:szCs w:val="28"/>
        </w:rPr>
        <w:t>8、估价对象4《房屋所有权证》登记用途为车库，</w:t>
      </w:r>
      <w:r>
        <w:rPr>
          <w:b/>
          <w:bCs/>
          <w:sz w:val="28"/>
          <w:szCs w:val="28"/>
        </w:rPr>
        <w:t>《房产登记信息查询情况说明》记载用途为经营，注册房地产估价师实地查勘时被执行方代表介绍在价值时点实际出租作为库房使用，三者用途均不一致，本次评估以《房屋所有权证》登记用途进行评估</w:t>
      </w:r>
      <w:r>
        <w:rPr>
          <w:sz w:val="28"/>
        </w:rPr>
        <w:t>，</w:t>
      </w:r>
      <w:r>
        <w:rPr>
          <w:b/>
          <w:bCs/>
          <w:sz w:val="28"/>
          <w:szCs w:val="28"/>
        </w:rPr>
        <w:t>提请报告使用人关注！</w:t>
      </w:r>
    </w:p>
    <w:p>
      <w:pPr>
        <w:spacing w:line="560" w:lineRule="exact"/>
        <w:ind w:firstLine="562" w:firstLineChars="200"/>
        <w:rPr>
          <w:b/>
          <w:bCs/>
          <w:sz w:val="28"/>
          <w:szCs w:val="28"/>
        </w:rPr>
      </w:pPr>
      <w:r>
        <w:rPr>
          <w:rFonts w:hint="eastAsia"/>
          <w:b/>
          <w:bCs/>
          <w:sz w:val="28"/>
          <w:szCs w:val="28"/>
        </w:rPr>
        <w:t>9</w:t>
      </w:r>
      <w:r>
        <w:rPr>
          <w:b/>
          <w:bCs/>
          <w:sz w:val="28"/>
          <w:szCs w:val="28"/>
        </w:rPr>
        <w:t>、由于估价对象《房屋所有权证》、《资阳市房产档案馆房产档案及商品房网签信息查询结果单》未记载估价对象房屋的建成年份，经注册房地产估价师实地调查，房屋建成年份约为2000年，本次评估我们据此设定估价对象房屋建成年份。鉴于注册房地产估价师的专业能力，我们无法确定其建成年代的准确性，对于估价对象的准确建成年代应以相关管理部门的档案资料为准。</w:t>
      </w:r>
    </w:p>
    <w:p>
      <w:pPr>
        <w:spacing w:line="560" w:lineRule="exact"/>
        <w:ind w:firstLine="562" w:firstLineChars="200"/>
        <w:rPr>
          <w:b/>
          <w:bCs/>
          <w:sz w:val="28"/>
          <w:szCs w:val="28"/>
        </w:rPr>
      </w:pPr>
      <w:r>
        <w:rPr>
          <w:rFonts w:hint="eastAsia"/>
          <w:b/>
          <w:bCs/>
          <w:sz w:val="28"/>
          <w:szCs w:val="28"/>
        </w:rPr>
        <w:t>10</w:t>
      </w:r>
      <w:r>
        <w:rPr>
          <w:b/>
          <w:bCs/>
          <w:sz w:val="28"/>
          <w:szCs w:val="28"/>
        </w:rPr>
        <w:t>、报告使用人在使用本估价报告之前须对报告全文，特别是“估价假设和限制条件”认真阅读，以免使用不当，造成损失。</w:t>
      </w:r>
    </w:p>
    <w:p>
      <w:pPr>
        <w:adjustRightInd w:val="0"/>
        <w:spacing w:line="560" w:lineRule="exact"/>
        <w:ind w:firstLine="548" w:firstLineChars="195"/>
        <w:rPr>
          <w:b/>
          <w:bCs/>
          <w:sz w:val="28"/>
          <w:szCs w:val="28"/>
        </w:rPr>
      </w:pPr>
      <w:r>
        <w:rPr>
          <w:rFonts w:hint="eastAsia"/>
          <w:b/>
          <w:bCs/>
          <w:sz w:val="28"/>
          <w:szCs w:val="28"/>
        </w:rPr>
        <w:t>11</w:t>
      </w:r>
      <w:r>
        <w:rPr>
          <w:b/>
          <w:bCs/>
          <w:sz w:val="28"/>
          <w:szCs w:val="28"/>
        </w:rPr>
        <w:t>、当事人或其他利害关系人对估价报告有异议的，可以在收到评估报告之日起五日内通过资阳市雁江区人民法院向我公司书面提出。</w:t>
      </w:r>
    </w:p>
    <w:p>
      <w:pPr>
        <w:pStyle w:val="24"/>
        <w:spacing w:line="600" w:lineRule="exact"/>
        <w:ind w:firstLine="4060" w:firstLineChars="1450"/>
        <w:jc w:val="right"/>
        <w:rPr>
          <w:b w:val="0"/>
          <w:sz w:val="28"/>
          <w:szCs w:val="24"/>
        </w:rPr>
      </w:pPr>
    </w:p>
    <w:p>
      <w:pPr>
        <w:pStyle w:val="24"/>
        <w:spacing w:line="600" w:lineRule="exact"/>
        <w:ind w:firstLine="4060" w:firstLineChars="1450"/>
        <w:jc w:val="right"/>
        <w:rPr>
          <w:b w:val="0"/>
          <w:sz w:val="28"/>
          <w:szCs w:val="24"/>
        </w:rPr>
      </w:pPr>
      <w:r>
        <w:rPr>
          <w:b w:val="0"/>
          <w:sz w:val="28"/>
          <w:szCs w:val="24"/>
        </w:rPr>
        <w:t>成都九鼎房地产交易评估有限公司</w:t>
      </w:r>
    </w:p>
    <w:p>
      <w:pPr>
        <w:pStyle w:val="24"/>
        <w:spacing w:line="600" w:lineRule="exact"/>
        <w:ind w:firstLine="4060" w:firstLineChars="1450"/>
        <w:jc w:val="right"/>
        <w:rPr>
          <w:b w:val="0"/>
          <w:sz w:val="28"/>
          <w:szCs w:val="24"/>
        </w:rPr>
      </w:pPr>
      <w:r>
        <w:rPr>
          <w:b w:val="0"/>
          <w:sz w:val="28"/>
          <w:szCs w:val="24"/>
        </w:rPr>
        <w:t>法定代表人：余相</w:t>
      </w:r>
    </w:p>
    <w:p>
      <w:pPr>
        <w:pStyle w:val="24"/>
        <w:spacing w:line="600" w:lineRule="exact"/>
        <w:ind w:firstLine="4060" w:firstLineChars="1450"/>
        <w:jc w:val="right"/>
        <w:rPr>
          <w:b w:val="0"/>
          <w:sz w:val="28"/>
          <w:szCs w:val="24"/>
        </w:rPr>
      </w:pPr>
      <w:r>
        <w:rPr>
          <w:b w:val="0"/>
          <w:sz w:val="28"/>
          <w:szCs w:val="24"/>
        </w:rPr>
        <w:t>二〇二〇年十二月十五日</w:t>
      </w:r>
    </w:p>
    <w:p>
      <w:pPr>
        <w:spacing w:line="500" w:lineRule="exact"/>
        <w:jc w:val="center"/>
        <w:rPr>
          <w:rFonts w:eastAsia="黑体"/>
          <w:sz w:val="44"/>
        </w:rPr>
      </w:pPr>
      <w:r>
        <w:rPr>
          <w:rFonts w:eastAsia="黑体"/>
          <w:sz w:val="44"/>
        </w:rPr>
        <w:br w:type="page"/>
      </w:r>
      <w:bookmarkStart w:id="0" w:name="_Toc6940"/>
      <w:bookmarkStart w:id="1" w:name="_Toc49273743"/>
      <w:bookmarkStart w:id="2" w:name="_Toc466027620"/>
      <w:r>
        <w:rPr>
          <w:rFonts w:eastAsia="黑体"/>
          <w:sz w:val="44"/>
        </w:rPr>
        <w:t>目录</w:t>
      </w:r>
      <w:bookmarkEnd w:id="0"/>
      <w:bookmarkEnd w:id="1"/>
    </w:p>
    <w:p>
      <w:pPr>
        <w:pStyle w:val="29"/>
        <w:spacing w:line="500" w:lineRule="exact"/>
        <w:rPr>
          <w:sz w:val="21"/>
        </w:rPr>
      </w:pPr>
      <w:r>
        <w:rPr>
          <w:rFonts w:eastAsia="黑体"/>
          <w:sz w:val="44"/>
        </w:rPr>
        <w:fldChar w:fldCharType="begin"/>
      </w:r>
      <w:r>
        <w:rPr>
          <w:rFonts w:eastAsia="黑体"/>
          <w:sz w:val="44"/>
        </w:rPr>
        <w:instrText xml:space="preserve"> TOC \o "1-3" \h \z \u </w:instrText>
      </w:r>
      <w:r>
        <w:rPr>
          <w:rFonts w:eastAsia="黑体"/>
          <w:sz w:val="44"/>
        </w:rPr>
        <w:fldChar w:fldCharType="separate"/>
      </w:r>
      <w:r>
        <w:fldChar w:fldCharType="begin"/>
      </w:r>
      <w:r>
        <w:instrText xml:space="preserve"> HYPERLINK \l "_Toc60058804" </w:instrText>
      </w:r>
      <w:r>
        <w:fldChar w:fldCharType="separate"/>
      </w:r>
      <w:r>
        <w:rPr>
          <w:rStyle w:val="52"/>
          <w:rFonts w:hint="eastAsia" w:eastAsia="黑体"/>
          <w:color w:val="auto"/>
        </w:rPr>
        <w:t>一、估价师声明</w:t>
      </w:r>
      <w:r>
        <w:tab/>
      </w:r>
      <w:r>
        <w:fldChar w:fldCharType="begin"/>
      </w:r>
      <w:r>
        <w:instrText xml:space="preserve"> PAGEREF _Toc60058804 \h </w:instrText>
      </w:r>
      <w:r>
        <w:fldChar w:fldCharType="separate"/>
      </w:r>
      <w:r>
        <w:t>6</w:t>
      </w:r>
      <w:r>
        <w:fldChar w:fldCharType="end"/>
      </w:r>
      <w:r>
        <w:fldChar w:fldCharType="end"/>
      </w:r>
    </w:p>
    <w:p>
      <w:pPr>
        <w:pStyle w:val="29"/>
        <w:spacing w:line="500" w:lineRule="exact"/>
        <w:rPr>
          <w:sz w:val="21"/>
        </w:rPr>
      </w:pPr>
      <w:r>
        <w:fldChar w:fldCharType="begin"/>
      </w:r>
      <w:r>
        <w:instrText xml:space="preserve"> HYPERLINK \l "_Toc60058805" </w:instrText>
      </w:r>
      <w:r>
        <w:fldChar w:fldCharType="separate"/>
      </w:r>
      <w:r>
        <w:rPr>
          <w:rStyle w:val="52"/>
          <w:rFonts w:hint="eastAsia" w:eastAsia="黑体"/>
          <w:color w:val="auto"/>
        </w:rPr>
        <w:t>二、估价假设和限制条件</w:t>
      </w:r>
      <w:r>
        <w:tab/>
      </w:r>
      <w:r>
        <w:fldChar w:fldCharType="begin"/>
      </w:r>
      <w:r>
        <w:instrText xml:space="preserve"> PAGEREF _Toc60058805 \h </w:instrText>
      </w:r>
      <w:r>
        <w:fldChar w:fldCharType="separate"/>
      </w:r>
      <w:r>
        <w:t>7</w:t>
      </w:r>
      <w:r>
        <w:fldChar w:fldCharType="end"/>
      </w:r>
      <w:r>
        <w:fldChar w:fldCharType="end"/>
      </w:r>
    </w:p>
    <w:p>
      <w:pPr>
        <w:pStyle w:val="29"/>
        <w:spacing w:line="500" w:lineRule="exact"/>
        <w:rPr>
          <w:sz w:val="21"/>
        </w:rPr>
      </w:pPr>
      <w:r>
        <w:fldChar w:fldCharType="begin"/>
      </w:r>
      <w:r>
        <w:instrText xml:space="preserve"> HYPERLINK \l "_Toc60058806" </w:instrText>
      </w:r>
      <w:r>
        <w:fldChar w:fldCharType="separate"/>
      </w:r>
      <w:r>
        <w:rPr>
          <w:rStyle w:val="52"/>
          <w:rFonts w:hint="eastAsia" w:eastAsia="黑体"/>
          <w:color w:val="auto"/>
        </w:rPr>
        <w:t>三、估价结果报告</w:t>
      </w:r>
      <w:r>
        <w:tab/>
      </w:r>
      <w:r>
        <w:fldChar w:fldCharType="begin"/>
      </w:r>
      <w:r>
        <w:instrText xml:space="preserve"> PAGEREF _Toc60058806 \h </w:instrText>
      </w:r>
      <w:r>
        <w:fldChar w:fldCharType="separate"/>
      </w:r>
      <w:r>
        <w:t>12</w:t>
      </w:r>
      <w:r>
        <w:fldChar w:fldCharType="end"/>
      </w:r>
      <w:r>
        <w:fldChar w:fldCharType="end"/>
      </w:r>
    </w:p>
    <w:p>
      <w:pPr>
        <w:pStyle w:val="35"/>
        <w:spacing w:line="500" w:lineRule="exact"/>
        <w:rPr>
          <w:rFonts w:eastAsiaTheme="minorEastAsia"/>
          <w:color w:val="auto"/>
          <w:sz w:val="21"/>
        </w:rPr>
      </w:pPr>
      <w:r>
        <w:fldChar w:fldCharType="begin"/>
      </w:r>
      <w:r>
        <w:instrText xml:space="preserve"> HYPERLINK \l "_Toc60058807" </w:instrText>
      </w:r>
      <w:r>
        <w:fldChar w:fldCharType="separate"/>
      </w:r>
      <w:r>
        <w:rPr>
          <w:rStyle w:val="52"/>
          <w:rFonts w:hint="eastAsia"/>
          <w:color w:val="auto"/>
        </w:rPr>
        <w:t>（一）估价委托人</w:t>
      </w:r>
      <w:r>
        <w:rPr>
          <w:color w:val="auto"/>
        </w:rPr>
        <w:tab/>
      </w:r>
      <w:r>
        <w:rPr>
          <w:color w:val="auto"/>
        </w:rPr>
        <w:fldChar w:fldCharType="begin"/>
      </w:r>
      <w:r>
        <w:rPr>
          <w:color w:val="auto"/>
        </w:rPr>
        <w:instrText xml:space="preserve"> PAGEREF _Toc60058807 \h </w:instrText>
      </w:r>
      <w:r>
        <w:rPr>
          <w:color w:val="auto"/>
        </w:rPr>
        <w:fldChar w:fldCharType="separate"/>
      </w:r>
      <w:r>
        <w:rPr>
          <w:color w:val="auto"/>
        </w:rPr>
        <w:t>12</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"_Toc60058808" </w:instrText>
      </w:r>
      <w:r>
        <w:fldChar w:fldCharType="separate"/>
      </w:r>
      <w:r>
        <w:rPr>
          <w:rStyle w:val="52"/>
          <w:rFonts w:hint="eastAsia"/>
          <w:color w:val="auto"/>
        </w:rPr>
        <w:t>（二）房地产估价机构</w:t>
      </w:r>
      <w:r>
        <w:rPr>
          <w:color w:val="auto"/>
        </w:rPr>
        <w:tab/>
      </w:r>
      <w:r>
        <w:rPr>
          <w:color w:val="auto"/>
        </w:rPr>
        <w:fldChar w:fldCharType="begin"/>
      </w:r>
      <w:r>
        <w:rPr>
          <w:color w:val="auto"/>
        </w:rPr>
        <w:instrText xml:space="preserve"> PAGEREF _Toc60058808 \h </w:instrText>
      </w:r>
      <w:r>
        <w:rPr>
          <w:color w:val="auto"/>
        </w:rPr>
        <w:fldChar w:fldCharType="separate"/>
      </w:r>
      <w:r>
        <w:rPr>
          <w:color w:val="auto"/>
        </w:rPr>
        <w:t>12</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"_Toc60058809" </w:instrText>
      </w:r>
      <w:r>
        <w:fldChar w:fldCharType="separate"/>
      </w:r>
      <w:r>
        <w:rPr>
          <w:rStyle w:val="52"/>
          <w:rFonts w:hint="eastAsia"/>
          <w:color w:val="auto"/>
        </w:rPr>
        <w:t>（三）估价目的</w:t>
      </w:r>
      <w:r>
        <w:rPr>
          <w:color w:val="auto"/>
        </w:rPr>
        <w:tab/>
      </w:r>
      <w:r>
        <w:rPr>
          <w:color w:val="auto"/>
        </w:rPr>
        <w:fldChar w:fldCharType="begin"/>
      </w:r>
      <w:r>
        <w:rPr>
          <w:color w:val="auto"/>
        </w:rPr>
        <w:instrText xml:space="preserve"> PAGEREF _Toc60058809 \h </w:instrText>
      </w:r>
      <w:r>
        <w:rPr>
          <w:color w:val="auto"/>
        </w:rPr>
        <w:fldChar w:fldCharType="separate"/>
      </w:r>
      <w:r>
        <w:rPr>
          <w:color w:val="auto"/>
        </w:rPr>
        <w:t>12</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"_Toc60058810" </w:instrText>
      </w:r>
      <w:r>
        <w:fldChar w:fldCharType="separate"/>
      </w:r>
      <w:r>
        <w:rPr>
          <w:rStyle w:val="52"/>
          <w:rFonts w:hint="eastAsia"/>
          <w:color w:val="auto"/>
        </w:rPr>
        <w:t>（四）估价对象</w:t>
      </w:r>
      <w:r>
        <w:rPr>
          <w:color w:val="auto"/>
        </w:rPr>
        <w:tab/>
      </w:r>
      <w:r>
        <w:rPr>
          <w:color w:val="auto"/>
        </w:rPr>
        <w:fldChar w:fldCharType="begin"/>
      </w:r>
      <w:r>
        <w:rPr>
          <w:color w:val="auto"/>
        </w:rPr>
        <w:instrText xml:space="preserve"> PAGEREF _Toc60058810 \h </w:instrText>
      </w:r>
      <w:r>
        <w:rPr>
          <w:color w:val="auto"/>
        </w:rPr>
        <w:fldChar w:fldCharType="separate"/>
      </w:r>
      <w:r>
        <w:rPr>
          <w:color w:val="auto"/>
        </w:rPr>
        <w:t>12</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"_Toc60058811" </w:instrText>
      </w:r>
      <w:r>
        <w:fldChar w:fldCharType="separate"/>
      </w:r>
      <w:r>
        <w:rPr>
          <w:rStyle w:val="52"/>
          <w:rFonts w:hint="eastAsia"/>
          <w:color w:val="auto"/>
        </w:rPr>
        <w:t>（五）价值时点</w:t>
      </w:r>
      <w:r>
        <w:rPr>
          <w:color w:val="auto"/>
        </w:rPr>
        <w:tab/>
      </w:r>
      <w:r>
        <w:rPr>
          <w:color w:val="auto"/>
        </w:rPr>
        <w:fldChar w:fldCharType="begin"/>
      </w:r>
      <w:r>
        <w:rPr>
          <w:color w:val="auto"/>
        </w:rPr>
        <w:instrText xml:space="preserve"> PAGEREF _Toc60058811 \h </w:instrText>
      </w:r>
      <w:r>
        <w:rPr>
          <w:color w:val="auto"/>
        </w:rPr>
        <w:fldChar w:fldCharType="separate"/>
      </w:r>
      <w:r>
        <w:rPr>
          <w:color w:val="auto"/>
        </w:rPr>
        <w:t>20</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"_Toc60058812" </w:instrText>
      </w:r>
      <w:r>
        <w:fldChar w:fldCharType="separate"/>
      </w:r>
      <w:r>
        <w:rPr>
          <w:rStyle w:val="52"/>
          <w:rFonts w:hint="eastAsia"/>
          <w:color w:val="auto"/>
        </w:rPr>
        <w:t>（六）价值类型</w:t>
      </w:r>
      <w:r>
        <w:rPr>
          <w:color w:val="auto"/>
        </w:rPr>
        <w:tab/>
      </w:r>
      <w:r>
        <w:rPr>
          <w:color w:val="auto"/>
        </w:rPr>
        <w:fldChar w:fldCharType="begin"/>
      </w:r>
      <w:r>
        <w:rPr>
          <w:color w:val="auto"/>
        </w:rPr>
        <w:instrText xml:space="preserve"> PAGEREF _Toc60058812 \h </w:instrText>
      </w:r>
      <w:r>
        <w:rPr>
          <w:color w:val="auto"/>
        </w:rPr>
        <w:fldChar w:fldCharType="separate"/>
      </w:r>
      <w:r>
        <w:rPr>
          <w:color w:val="auto"/>
        </w:rPr>
        <w:t>20</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"_Toc60058813" </w:instrText>
      </w:r>
      <w:r>
        <w:fldChar w:fldCharType="separate"/>
      </w:r>
      <w:r>
        <w:rPr>
          <w:rStyle w:val="52"/>
          <w:rFonts w:hint="eastAsia"/>
          <w:color w:val="auto"/>
        </w:rPr>
        <w:t>（七）估价原则</w:t>
      </w:r>
      <w:r>
        <w:rPr>
          <w:color w:val="auto"/>
        </w:rPr>
        <w:tab/>
      </w:r>
      <w:r>
        <w:rPr>
          <w:color w:val="auto"/>
        </w:rPr>
        <w:fldChar w:fldCharType="begin"/>
      </w:r>
      <w:r>
        <w:rPr>
          <w:color w:val="auto"/>
        </w:rPr>
        <w:instrText xml:space="preserve"> PAGEREF _Toc60058813 \h </w:instrText>
      </w:r>
      <w:r>
        <w:rPr>
          <w:color w:val="auto"/>
        </w:rPr>
        <w:fldChar w:fldCharType="separate"/>
      </w:r>
      <w:r>
        <w:rPr>
          <w:color w:val="auto"/>
        </w:rPr>
        <w:t>20</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"_Toc60058814" </w:instrText>
      </w:r>
      <w:r>
        <w:fldChar w:fldCharType="separate"/>
      </w:r>
      <w:r>
        <w:rPr>
          <w:rStyle w:val="52"/>
          <w:rFonts w:hint="eastAsia"/>
          <w:color w:val="auto"/>
        </w:rPr>
        <w:t>（八）估价依据</w:t>
      </w:r>
      <w:r>
        <w:rPr>
          <w:color w:val="auto"/>
        </w:rPr>
        <w:tab/>
      </w:r>
      <w:r>
        <w:rPr>
          <w:color w:val="auto"/>
        </w:rPr>
        <w:fldChar w:fldCharType="begin"/>
      </w:r>
      <w:r>
        <w:rPr>
          <w:color w:val="auto"/>
        </w:rPr>
        <w:instrText xml:space="preserve"> PAGEREF _Toc60058814 \h </w:instrText>
      </w:r>
      <w:r>
        <w:rPr>
          <w:color w:val="auto"/>
        </w:rPr>
        <w:fldChar w:fldCharType="separate"/>
      </w:r>
      <w:r>
        <w:rPr>
          <w:color w:val="auto"/>
        </w:rPr>
        <w:t>22</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"_Toc60058815" </w:instrText>
      </w:r>
      <w:r>
        <w:fldChar w:fldCharType="separate"/>
      </w:r>
      <w:r>
        <w:rPr>
          <w:rStyle w:val="52"/>
          <w:rFonts w:hint="eastAsia"/>
          <w:color w:val="auto"/>
        </w:rPr>
        <w:t>（九）估价方法</w:t>
      </w:r>
      <w:r>
        <w:rPr>
          <w:color w:val="auto"/>
        </w:rPr>
        <w:tab/>
      </w:r>
      <w:r>
        <w:rPr>
          <w:color w:val="auto"/>
        </w:rPr>
        <w:fldChar w:fldCharType="begin"/>
      </w:r>
      <w:r>
        <w:rPr>
          <w:color w:val="auto"/>
        </w:rPr>
        <w:instrText xml:space="preserve"> PAGEREF _Toc60058815 \h </w:instrText>
      </w:r>
      <w:r>
        <w:rPr>
          <w:color w:val="auto"/>
        </w:rPr>
        <w:fldChar w:fldCharType="separate"/>
      </w:r>
      <w:r>
        <w:rPr>
          <w:color w:val="auto"/>
        </w:rPr>
        <w:t>23</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"_Toc60058816" </w:instrText>
      </w:r>
      <w:r>
        <w:fldChar w:fldCharType="separate"/>
      </w:r>
      <w:r>
        <w:rPr>
          <w:rStyle w:val="52"/>
          <w:rFonts w:hint="eastAsia"/>
          <w:color w:val="auto"/>
        </w:rPr>
        <w:t>（十）估价结果</w:t>
      </w:r>
      <w:r>
        <w:rPr>
          <w:color w:val="auto"/>
        </w:rPr>
        <w:tab/>
      </w:r>
      <w:r>
        <w:rPr>
          <w:color w:val="auto"/>
        </w:rPr>
        <w:fldChar w:fldCharType="begin"/>
      </w:r>
      <w:r>
        <w:rPr>
          <w:color w:val="auto"/>
        </w:rPr>
        <w:instrText xml:space="preserve"> PAGEREF _Toc60058816 \h </w:instrText>
      </w:r>
      <w:r>
        <w:rPr>
          <w:color w:val="auto"/>
        </w:rPr>
        <w:fldChar w:fldCharType="separate"/>
      </w:r>
      <w:r>
        <w:rPr>
          <w:color w:val="auto"/>
        </w:rPr>
        <w:t>24</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"_Toc60058817" </w:instrText>
      </w:r>
      <w:r>
        <w:fldChar w:fldCharType="separate"/>
      </w:r>
      <w:r>
        <w:rPr>
          <w:rStyle w:val="52"/>
          <w:rFonts w:hint="eastAsia"/>
          <w:color w:val="auto"/>
        </w:rPr>
        <w:t>（十一）注册房地产估价师</w:t>
      </w:r>
      <w:r>
        <w:rPr>
          <w:color w:val="auto"/>
        </w:rPr>
        <w:tab/>
      </w:r>
      <w:r>
        <w:rPr>
          <w:color w:val="auto"/>
        </w:rPr>
        <w:fldChar w:fldCharType="begin"/>
      </w:r>
      <w:r>
        <w:rPr>
          <w:color w:val="auto"/>
        </w:rPr>
        <w:instrText xml:space="preserve"> PAGEREF _Toc60058817 \h </w:instrText>
      </w:r>
      <w:r>
        <w:rPr>
          <w:color w:val="auto"/>
        </w:rPr>
        <w:fldChar w:fldCharType="separate"/>
      </w:r>
      <w:r>
        <w:rPr>
          <w:color w:val="auto"/>
        </w:rPr>
        <w:t>24</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"_Toc60058818" </w:instrText>
      </w:r>
      <w:r>
        <w:fldChar w:fldCharType="separate"/>
      </w:r>
      <w:r>
        <w:rPr>
          <w:rStyle w:val="52"/>
          <w:rFonts w:hint="eastAsia"/>
          <w:color w:val="auto"/>
        </w:rPr>
        <w:t>（十二）实地查勘期</w:t>
      </w:r>
      <w:r>
        <w:rPr>
          <w:color w:val="auto"/>
        </w:rPr>
        <w:tab/>
      </w:r>
      <w:r>
        <w:rPr>
          <w:color w:val="auto"/>
        </w:rPr>
        <w:fldChar w:fldCharType="begin"/>
      </w:r>
      <w:r>
        <w:rPr>
          <w:color w:val="auto"/>
        </w:rPr>
        <w:instrText xml:space="preserve"> PAGEREF _Toc60058818 \h </w:instrText>
      </w:r>
      <w:r>
        <w:rPr>
          <w:color w:val="auto"/>
        </w:rPr>
        <w:fldChar w:fldCharType="separate"/>
      </w:r>
      <w:r>
        <w:rPr>
          <w:color w:val="auto"/>
        </w:rPr>
        <w:t>25</w:t>
      </w:r>
      <w:r>
        <w:rPr>
          <w:color w:val="auto"/>
        </w:rPr>
        <w:fldChar w:fldCharType="end"/>
      </w:r>
      <w:r>
        <w:rPr>
          <w:color w:val="auto"/>
        </w:rPr>
        <w:fldChar w:fldCharType="end"/>
      </w:r>
    </w:p>
    <w:p>
      <w:pPr>
        <w:pStyle w:val="35"/>
        <w:spacing w:line="500" w:lineRule="exact"/>
        <w:rPr>
          <w:rFonts w:eastAsiaTheme="minorEastAsia"/>
          <w:color w:val="auto"/>
          <w:sz w:val="21"/>
        </w:rPr>
      </w:pPr>
      <w:r>
        <w:fldChar w:fldCharType="begin"/>
      </w:r>
      <w:r>
        <w:instrText xml:space="preserve"> HYPERLINK \l "_Toc60058819" </w:instrText>
      </w:r>
      <w:r>
        <w:fldChar w:fldCharType="separate"/>
      </w:r>
      <w:r>
        <w:rPr>
          <w:rStyle w:val="52"/>
          <w:rFonts w:hint="eastAsia"/>
          <w:color w:val="auto"/>
        </w:rPr>
        <w:t>（十三）估价作业期</w:t>
      </w:r>
      <w:r>
        <w:rPr>
          <w:color w:val="auto"/>
        </w:rPr>
        <w:tab/>
      </w:r>
      <w:r>
        <w:rPr>
          <w:color w:val="auto"/>
        </w:rPr>
        <w:fldChar w:fldCharType="begin"/>
      </w:r>
      <w:r>
        <w:rPr>
          <w:color w:val="auto"/>
        </w:rPr>
        <w:instrText xml:space="preserve"> PAGEREF _Toc60058819 \h </w:instrText>
      </w:r>
      <w:r>
        <w:rPr>
          <w:color w:val="auto"/>
        </w:rPr>
        <w:fldChar w:fldCharType="separate"/>
      </w:r>
      <w:r>
        <w:rPr>
          <w:color w:val="auto"/>
        </w:rPr>
        <w:t>25</w:t>
      </w:r>
      <w:r>
        <w:rPr>
          <w:color w:val="auto"/>
        </w:rPr>
        <w:fldChar w:fldCharType="end"/>
      </w:r>
      <w:r>
        <w:rPr>
          <w:color w:val="auto"/>
        </w:rPr>
        <w:fldChar w:fldCharType="end"/>
      </w:r>
    </w:p>
    <w:p>
      <w:pPr>
        <w:pStyle w:val="29"/>
        <w:spacing w:line="500" w:lineRule="exact"/>
        <w:rPr>
          <w:sz w:val="21"/>
        </w:rPr>
      </w:pPr>
      <w:r>
        <w:fldChar w:fldCharType="begin"/>
      </w:r>
      <w:r>
        <w:instrText xml:space="preserve"> HYPERLINK \l "_Toc60058820" </w:instrText>
      </w:r>
      <w:r>
        <w:fldChar w:fldCharType="separate"/>
      </w:r>
      <w:r>
        <w:rPr>
          <w:rStyle w:val="52"/>
          <w:rFonts w:hint="eastAsia"/>
          <w:b/>
          <w:color w:val="auto"/>
        </w:rPr>
        <w:t>四、附件</w:t>
      </w:r>
      <w:r>
        <w:tab/>
      </w:r>
      <w:r>
        <w:fldChar w:fldCharType="begin"/>
      </w:r>
      <w:r>
        <w:instrText xml:space="preserve"> PAGEREF _Toc60058820 \h </w:instrText>
      </w:r>
      <w:r>
        <w:fldChar w:fldCharType="separate"/>
      </w:r>
      <w:r>
        <w:t>26</w:t>
      </w:r>
      <w:r>
        <w:fldChar w:fldCharType="end"/>
      </w:r>
      <w:r>
        <w:fldChar w:fldCharType="end"/>
      </w:r>
    </w:p>
    <w:p>
      <w:pPr>
        <w:pStyle w:val="21"/>
        <w:tabs>
          <w:tab w:val="right" w:leader="dot" w:pos="9191"/>
        </w:tabs>
        <w:spacing w:line="500" w:lineRule="exact"/>
        <w:rPr>
          <w:rFonts w:asciiTheme="minorHAnsi" w:hAnsiTheme="minorHAnsi"/>
        </w:rPr>
      </w:pPr>
      <w:r>
        <w:fldChar w:fldCharType="begin"/>
      </w:r>
      <w:r>
        <w:instrText xml:space="preserve"> HYPERLINK \l "_Toc60058821" </w:instrText>
      </w:r>
      <w:r>
        <w:fldChar w:fldCharType="separate"/>
      </w:r>
      <w:r>
        <w:rPr>
          <w:rStyle w:val="52"/>
          <w:rFonts w:ascii="Times New Roman" w:hAnsi="Times New Roman"/>
          <w:color w:val="auto"/>
        </w:rPr>
        <w:t>1</w:t>
      </w:r>
      <w:r>
        <w:rPr>
          <w:rStyle w:val="52"/>
          <w:rFonts w:hint="eastAsia" w:ascii="Times New Roman" w:hAnsi="Times New Roman"/>
          <w:color w:val="auto"/>
        </w:rPr>
        <w:t>、（</w:t>
      </w:r>
      <w:r>
        <w:rPr>
          <w:rStyle w:val="52"/>
          <w:rFonts w:ascii="Times New Roman" w:hAnsi="Times New Roman"/>
          <w:color w:val="auto"/>
        </w:rPr>
        <w:t>2020</w:t>
      </w:r>
      <w:r>
        <w:rPr>
          <w:rStyle w:val="52"/>
          <w:rFonts w:hint="eastAsia" w:ascii="Times New Roman" w:hAnsi="Times New Roman"/>
          <w:color w:val="auto"/>
        </w:rPr>
        <w:t>）川</w:t>
      </w:r>
      <w:r>
        <w:rPr>
          <w:rStyle w:val="52"/>
          <w:rFonts w:ascii="Times New Roman" w:hAnsi="Times New Roman"/>
          <w:color w:val="auto"/>
        </w:rPr>
        <w:t>2002</w:t>
      </w:r>
      <w:r>
        <w:rPr>
          <w:rStyle w:val="52"/>
          <w:rFonts w:hint="eastAsia" w:ascii="Times New Roman" w:hAnsi="Times New Roman"/>
          <w:color w:val="auto"/>
        </w:rPr>
        <w:t>执</w:t>
      </w:r>
      <w:r>
        <w:rPr>
          <w:rStyle w:val="52"/>
          <w:rFonts w:ascii="Times New Roman" w:hAnsi="Times New Roman"/>
          <w:color w:val="auto"/>
        </w:rPr>
        <w:t>2791</w:t>
      </w:r>
      <w:r>
        <w:rPr>
          <w:rStyle w:val="52"/>
          <w:rFonts w:hint="eastAsia" w:ascii="Times New Roman" w:hAnsi="Times New Roman"/>
          <w:color w:val="auto"/>
        </w:rPr>
        <w:t>号《资阳市雁江区人民法院委托书》</w:t>
      </w:r>
      <w:r>
        <w:tab/>
      </w:r>
      <w:r>
        <w:fldChar w:fldCharType="begin"/>
      </w:r>
      <w:r>
        <w:instrText xml:space="preserve"> PAGEREF _Toc60058821 \h </w:instrText>
      </w:r>
      <w:r>
        <w:fldChar w:fldCharType="separate"/>
      </w:r>
      <w:r>
        <w:t>27</w:t>
      </w:r>
      <w:r>
        <w:fldChar w:fldCharType="end"/>
      </w:r>
      <w:r>
        <w:fldChar w:fldCharType="end"/>
      </w:r>
    </w:p>
    <w:p>
      <w:pPr>
        <w:pStyle w:val="21"/>
        <w:tabs>
          <w:tab w:val="right" w:leader="dot" w:pos="9191"/>
        </w:tabs>
        <w:spacing w:line="500" w:lineRule="exact"/>
        <w:rPr>
          <w:rFonts w:asciiTheme="minorHAnsi" w:hAnsiTheme="minorHAnsi"/>
        </w:rPr>
      </w:pPr>
      <w:r>
        <w:fldChar w:fldCharType="begin"/>
      </w:r>
      <w:r>
        <w:instrText xml:space="preserve"> HYPERLINK \l "_Toc60058822" </w:instrText>
      </w:r>
      <w:r>
        <w:fldChar w:fldCharType="separate"/>
      </w:r>
      <w:r>
        <w:rPr>
          <w:rStyle w:val="52"/>
          <w:rFonts w:ascii="Times New Roman" w:hAnsi="Times New Roman"/>
          <w:color w:val="auto"/>
        </w:rPr>
        <w:t>2</w:t>
      </w:r>
      <w:r>
        <w:rPr>
          <w:rStyle w:val="52"/>
          <w:rFonts w:hint="eastAsia" w:ascii="Times New Roman" w:hAnsi="Times New Roman"/>
          <w:color w:val="auto"/>
        </w:rPr>
        <w:t>、估价对象照片及所在区域位置示意图</w:t>
      </w:r>
      <w:r>
        <w:tab/>
      </w:r>
      <w:r>
        <w:fldChar w:fldCharType="begin"/>
      </w:r>
      <w:r>
        <w:instrText xml:space="preserve"> PAGEREF _Toc60058822 \h </w:instrText>
      </w:r>
      <w:r>
        <w:fldChar w:fldCharType="separate"/>
      </w:r>
      <w:r>
        <w:t>28</w:t>
      </w:r>
      <w:r>
        <w:fldChar w:fldCharType="end"/>
      </w:r>
      <w:r>
        <w:fldChar w:fldCharType="end"/>
      </w:r>
    </w:p>
    <w:p>
      <w:pPr>
        <w:pStyle w:val="21"/>
        <w:tabs>
          <w:tab w:val="right" w:leader="dot" w:pos="9191"/>
        </w:tabs>
        <w:spacing w:line="500" w:lineRule="exact"/>
        <w:rPr>
          <w:rFonts w:asciiTheme="minorHAnsi" w:hAnsiTheme="minorHAnsi"/>
        </w:rPr>
      </w:pPr>
      <w:r>
        <w:fldChar w:fldCharType="begin"/>
      </w:r>
      <w:r>
        <w:instrText xml:space="preserve"> HYPERLINK \l "_Toc60058823" </w:instrText>
      </w:r>
      <w:r>
        <w:fldChar w:fldCharType="separate"/>
      </w:r>
      <w:r>
        <w:rPr>
          <w:rStyle w:val="52"/>
          <w:rFonts w:ascii="Times New Roman" w:hAnsi="Times New Roman"/>
          <w:color w:val="auto"/>
        </w:rPr>
        <w:t>3</w:t>
      </w:r>
      <w:r>
        <w:rPr>
          <w:rStyle w:val="52"/>
          <w:rFonts w:hint="eastAsia" w:ascii="Times New Roman" w:hAnsi="Times New Roman"/>
          <w:color w:val="auto"/>
        </w:rPr>
        <w:t>、《房屋所有权证》、《国有土地使用证》、《资阳市房产档案馆房产档案及商品房网签信息查询结果单》、《房产登记信息查询情况说明》复印件</w:t>
      </w:r>
      <w:r>
        <w:tab/>
      </w:r>
      <w:r>
        <w:fldChar w:fldCharType="begin"/>
      </w:r>
      <w:r>
        <w:instrText xml:space="preserve"> PAGEREF _Toc60058823 \h </w:instrText>
      </w:r>
      <w:r>
        <w:fldChar w:fldCharType="separate"/>
      </w:r>
      <w:r>
        <w:t>31</w:t>
      </w:r>
      <w:r>
        <w:fldChar w:fldCharType="end"/>
      </w:r>
      <w:r>
        <w:fldChar w:fldCharType="end"/>
      </w:r>
    </w:p>
    <w:p>
      <w:pPr>
        <w:pStyle w:val="21"/>
        <w:tabs>
          <w:tab w:val="right" w:leader="dot" w:pos="9191"/>
        </w:tabs>
        <w:spacing w:line="500" w:lineRule="exact"/>
        <w:rPr>
          <w:rFonts w:asciiTheme="minorHAnsi" w:hAnsiTheme="minorHAnsi"/>
        </w:rPr>
      </w:pPr>
      <w:r>
        <w:fldChar w:fldCharType="begin"/>
      </w:r>
      <w:r>
        <w:instrText xml:space="preserve"> HYPERLINK \l "_Toc60058824" </w:instrText>
      </w:r>
      <w:r>
        <w:fldChar w:fldCharType="separate"/>
      </w:r>
      <w:r>
        <w:rPr>
          <w:rStyle w:val="52"/>
          <w:rFonts w:ascii="Times New Roman" w:hAnsi="Times New Roman"/>
          <w:color w:val="auto"/>
        </w:rPr>
        <w:t>4</w:t>
      </w:r>
      <w:r>
        <w:rPr>
          <w:rStyle w:val="52"/>
          <w:rFonts w:hint="eastAsia" w:ascii="Times New Roman" w:hAnsi="Times New Roman"/>
          <w:color w:val="auto"/>
        </w:rPr>
        <w:t>、《房屋租赁合同》复印件</w:t>
      </w:r>
      <w:r>
        <w:tab/>
      </w:r>
      <w:r>
        <w:fldChar w:fldCharType="begin"/>
      </w:r>
      <w:r>
        <w:instrText xml:space="preserve"> PAGEREF _Toc60058824 \h </w:instrText>
      </w:r>
      <w:r>
        <w:fldChar w:fldCharType="separate"/>
      </w:r>
      <w:r>
        <w:t>45</w:t>
      </w:r>
      <w:r>
        <w:fldChar w:fldCharType="end"/>
      </w:r>
      <w:r>
        <w:fldChar w:fldCharType="end"/>
      </w:r>
    </w:p>
    <w:p>
      <w:pPr>
        <w:pStyle w:val="21"/>
        <w:tabs>
          <w:tab w:val="right" w:leader="dot" w:pos="9191"/>
        </w:tabs>
        <w:spacing w:line="500" w:lineRule="exact"/>
        <w:rPr>
          <w:rFonts w:asciiTheme="minorHAnsi" w:hAnsiTheme="minorHAnsi"/>
        </w:rPr>
      </w:pPr>
      <w:r>
        <w:fldChar w:fldCharType="begin"/>
      </w:r>
      <w:r>
        <w:instrText xml:space="preserve"> HYPERLINK \l "_Toc60058825" </w:instrText>
      </w:r>
      <w:r>
        <w:fldChar w:fldCharType="separate"/>
      </w:r>
      <w:r>
        <w:rPr>
          <w:rStyle w:val="52"/>
          <w:rFonts w:ascii="Times New Roman" w:hAnsi="Times New Roman"/>
          <w:color w:val="auto"/>
        </w:rPr>
        <w:t>5</w:t>
      </w:r>
      <w:r>
        <w:rPr>
          <w:rStyle w:val="52"/>
          <w:rFonts w:hint="eastAsia" w:ascii="Times New Roman" w:hAnsi="Times New Roman"/>
          <w:color w:val="auto"/>
        </w:rPr>
        <w:t>、可比实例位置图及外观照片</w:t>
      </w:r>
      <w:r>
        <w:tab/>
      </w:r>
      <w:r>
        <w:fldChar w:fldCharType="begin"/>
      </w:r>
      <w:r>
        <w:instrText xml:space="preserve"> PAGEREF _Toc60058825 \h </w:instrText>
      </w:r>
      <w:r>
        <w:fldChar w:fldCharType="separate"/>
      </w:r>
      <w:r>
        <w:t>48</w:t>
      </w:r>
      <w:r>
        <w:fldChar w:fldCharType="end"/>
      </w:r>
      <w:r>
        <w:fldChar w:fldCharType="end"/>
      </w:r>
    </w:p>
    <w:p>
      <w:pPr>
        <w:pStyle w:val="21"/>
        <w:tabs>
          <w:tab w:val="right" w:leader="dot" w:pos="9191"/>
        </w:tabs>
        <w:spacing w:line="500" w:lineRule="exact"/>
        <w:rPr>
          <w:rFonts w:asciiTheme="minorHAnsi" w:hAnsiTheme="minorHAnsi"/>
        </w:rPr>
      </w:pPr>
      <w:r>
        <w:fldChar w:fldCharType="begin"/>
      </w:r>
      <w:r>
        <w:instrText xml:space="preserve"> HYPERLINK \l "_Toc60058826" </w:instrText>
      </w:r>
      <w:r>
        <w:fldChar w:fldCharType="separate"/>
      </w:r>
      <w:r>
        <w:rPr>
          <w:rStyle w:val="52"/>
          <w:rFonts w:ascii="Times New Roman" w:hAnsi="Times New Roman"/>
          <w:color w:val="auto"/>
        </w:rPr>
        <w:t>6</w:t>
      </w:r>
      <w:r>
        <w:rPr>
          <w:rStyle w:val="52"/>
          <w:rFonts w:hint="eastAsia" w:ascii="Times New Roman" w:hAnsi="Times New Roman"/>
          <w:color w:val="auto"/>
        </w:rPr>
        <w:t>、没有专业帮助并未依据相关专业意见</w:t>
      </w:r>
      <w:r>
        <w:tab/>
      </w:r>
      <w:r>
        <w:fldChar w:fldCharType="begin"/>
      </w:r>
      <w:r>
        <w:instrText xml:space="preserve"> PAGEREF _Toc60058826 \h </w:instrText>
      </w:r>
      <w:r>
        <w:fldChar w:fldCharType="separate"/>
      </w:r>
      <w:r>
        <w:t>52</w:t>
      </w:r>
      <w:r>
        <w:fldChar w:fldCharType="end"/>
      </w:r>
      <w:r>
        <w:fldChar w:fldCharType="end"/>
      </w:r>
    </w:p>
    <w:p>
      <w:pPr>
        <w:pStyle w:val="21"/>
        <w:tabs>
          <w:tab w:val="right" w:leader="dot" w:pos="9191"/>
        </w:tabs>
        <w:spacing w:line="500" w:lineRule="exact"/>
        <w:rPr>
          <w:rFonts w:asciiTheme="minorHAnsi" w:hAnsiTheme="minorHAnsi"/>
        </w:rPr>
      </w:pPr>
      <w:r>
        <w:fldChar w:fldCharType="begin"/>
      </w:r>
      <w:r>
        <w:instrText xml:space="preserve"> HYPERLINK \l "_Toc60058827" </w:instrText>
      </w:r>
      <w:r>
        <w:fldChar w:fldCharType="separate"/>
      </w:r>
      <w:r>
        <w:rPr>
          <w:rStyle w:val="52"/>
          <w:rFonts w:ascii="Times New Roman" w:hAnsi="Times New Roman"/>
          <w:color w:val="auto"/>
        </w:rPr>
        <w:t>7</w:t>
      </w:r>
      <w:r>
        <w:rPr>
          <w:rStyle w:val="52"/>
          <w:rFonts w:hint="eastAsia" w:ascii="Times New Roman" w:hAnsi="Times New Roman"/>
          <w:color w:val="auto"/>
        </w:rPr>
        <w:t>、注册房地产估价师和估价机构的资格证复印件</w:t>
      </w:r>
      <w:r>
        <w:tab/>
      </w:r>
      <w:r>
        <w:fldChar w:fldCharType="begin"/>
      </w:r>
      <w:r>
        <w:instrText xml:space="preserve"> PAGEREF _Toc60058827 \h </w:instrText>
      </w:r>
      <w:r>
        <w:fldChar w:fldCharType="separate"/>
      </w:r>
      <w:r>
        <w:t>52</w:t>
      </w:r>
      <w:r>
        <w:fldChar w:fldCharType="end"/>
      </w:r>
      <w:r>
        <w:fldChar w:fldCharType="end"/>
      </w:r>
    </w:p>
    <w:p>
      <w:pPr>
        <w:spacing w:line="700" w:lineRule="exact"/>
        <w:jc w:val="center"/>
        <w:outlineLvl w:val="0"/>
        <w:rPr>
          <w:rFonts w:eastAsia="黑体"/>
          <w:sz w:val="32"/>
          <w:szCs w:val="32"/>
        </w:rPr>
      </w:pPr>
      <w:r>
        <w:rPr>
          <w:rFonts w:eastAsia="黑体"/>
          <w:sz w:val="44"/>
        </w:rPr>
        <w:fldChar w:fldCharType="end"/>
      </w:r>
      <w:r>
        <w:rPr>
          <w:rFonts w:eastAsia="黑体"/>
          <w:sz w:val="44"/>
        </w:rPr>
        <w:br w:type="page"/>
      </w:r>
      <w:bookmarkEnd w:id="2"/>
      <w:bookmarkStart w:id="3" w:name="_Toc60058804"/>
      <w:bookmarkStart w:id="4" w:name="_Toc36197812"/>
      <w:r>
        <w:rPr>
          <w:rFonts w:eastAsia="黑体"/>
          <w:sz w:val="32"/>
          <w:szCs w:val="32"/>
        </w:rPr>
        <w:t>一、估价师声明</w:t>
      </w:r>
      <w:bookmarkEnd w:id="3"/>
      <w:bookmarkEnd w:id="4"/>
    </w:p>
    <w:p>
      <w:pPr>
        <w:spacing w:line="700" w:lineRule="exact"/>
        <w:jc w:val="left"/>
      </w:pPr>
      <w:bookmarkStart w:id="5" w:name="_Toc49273745"/>
      <w:r>
        <w:rPr>
          <w:sz w:val="28"/>
          <w:szCs w:val="28"/>
        </w:rPr>
        <w:t>我们郑重声明</w:t>
      </w:r>
      <w:r>
        <w:t>：</w:t>
      </w:r>
      <w:bookmarkEnd w:id="5"/>
    </w:p>
    <w:p>
      <w:pPr>
        <w:spacing w:line="600" w:lineRule="exact"/>
        <w:ind w:firstLine="570"/>
        <w:rPr>
          <w:sz w:val="28"/>
        </w:rPr>
      </w:pPr>
      <w:r>
        <w:rPr>
          <w:sz w:val="28"/>
        </w:rPr>
        <w:t>1、注册房地产估价师在估价报告中对事实的说明是真实和准确的，没有虚假记载、误导性陈述和重大遗漏；</w:t>
      </w:r>
    </w:p>
    <w:p>
      <w:pPr>
        <w:widowControl/>
        <w:spacing w:line="600" w:lineRule="exact"/>
        <w:ind w:firstLine="560" w:firstLineChars="200"/>
        <w:jc w:val="left"/>
        <w:rPr>
          <w:sz w:val="28"/>
        </w:rPr>
      </w:pPr>
      <w:r>
        <w:rPr>
          <w:sz w:val="28"/>
        </w:rPr>
        <w:t>2、估价报告中的分析、意见和结论是注册房地产估价师独立、客观、公正的专业分析、意见和结论，但受到估价报告中已说明的假设和限制条件的限制；</w:t>
      </w:r>
    </w:p>
    <w:p>
      <w:pPr>
        <w:spacing w:line="600" w:lineRule="exact"/>
        <w:ind w:firstLine="570"/>
        <w:rPr>
          <w:sz w:val="28"/>
        </w:rPr>
      </w:pPr>
      <w:r>
        <w:rPr>
          <w:sz w:val="28"/>
        </w:rPr>
        <w:t>3、注册房地产估价师与估价报告中的估价对象没有现实或潜在的利益，与估价委托人及估价利害关系人没有利害关系，也对估价对象、估价委托人及估价利害人没有偏见。</w:t>
      </w:r>
    </w:p>
    <w:p>
      <w:pPr>
        <w:spacing w:line="600" w:lineRule="exact"/>
        <w:ind w:firstLine="570"/>
        <w:rPr>
          <w:sz w:val="28"/>
        </w:rPr>
      </w:pPr>
      <w:r>
        <w:rPr>
          <w:sz w:val="28"/>
        </w:rPr>
        <w:t>4、注册房地产估价师是按照有关房地产估价标准的规定进行估价工作，撰写估价报告。</w:t>
      </w:r>
    </w:p>
    <w:p>
      <w:pPr>
        <w:spacing w:line="600" w:lineRule="exact"/>
        <w:ind w:firstLine="560" w:firstLineChars="200"/>
        <w:rPr>
          <w:sz w:val="28"/>
        </w:rPr>
      </w:pPr>
      <w:r>
        <w:rPr>
          <w:sz w:val="28"/>
        </w:rPr>
        <w:t>5、注册房地产估价师签字：</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560"/>
        <w:gridCol w:w="1559"/>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701" w:type="dxa"/>
            <w:vAlign w:val="center"/>
          </w:tcPr>
          <w:p>
            <w:pPr>
              <w:spacing w:line="520" w:lineRule="exact"/>
              <w:jc w:val="center"/>
              <w:rPr>
                <w:b/>
                <w:sz w:val="24"/>
              </w:rPr>
            </w:pPr>
            <w:bookmarkStart w:id="6" w:name="_Toc466027621"/>
            <w:bookmarkStart w:id="7" w:name="_Toc19714"/>
            <w:r>
              <w:rPr>
                <w:b/>
                <w:sz w:val="24"/>
              </w:rPr>
              <w:t>注册房地产</w:t>
            </w:r>
          </w:p>
          <w:p>
            <w:pPr>
              <w:spacing w:line="520" w:lineRule="exact"/>
              <w:jc w:val="center"/>
              <w:rPr>
                <w:b/>
                <w:sz w:val="24"/>
              </w:rPr>
            </w:pPr>
            <w:r>
              <w:rPr>
                <w:b/>
                <w:sz w:val="24"/>
              </w:rPr>
              <w:t>估价师</w:t>
            </w:r>
          </w:p>
        </w:tc>
        <w:tc>
          <w:tcPr>
            <w:tcW w:w="1560" w:type="dxa"/>
            <w:vAlign w:val="center"/>
          </w:tcPr>
          <w:p>
            <w:pPr>
              <w:spacing w:line="520" w:lineRule="exact"/>
              <w:jc w:val="center"/>
              <w:rPr>
                <w:b/>
                <w:sz w:val="24"/>
              </w:rPr>
            </w:pPr>
            <w:r>
              <w:rPr>
                <w:b/>
                <w:sz w:val="24"/>
              </w:rPr>
              <w:t>姓名</w:t>
            </w:r>
          </w:p>
        </w:tc>
        <w:tc>
          <w:tcPr>
            <w:tcW w:w="1559" w:type="dxa"/>
            <w:vAlign w:val="center"/>
          </w:tcPr>
          <w:p>
            <w:pPr>
              <w:spacing w:line="520" w:lineRule="exact"/>
              <w:jc w:val="center"/>
              <w:rPr>
                <w:b/>
                <w:sz w:val="24"/>
              </w:rPr>
            </w:pPr>
            <w:r>
              <w:rPr>
                <w:b/>
                <w:sz w:val="24"/>
              </w:rPr>
              <w:t>注册号</w:t>
            </w:r>
          </w:p>
        </w:tc>
        <w:tc>
          <w:tcPr>
            <w:tcW w:w="2268" w:type="dxa"/>
            <w:vAlign w:val="center"/>
          </w:tcPr>
          <w:p>
            <w:pPr>
              <w:spacing w:line="520" w:lineRule="exact"/>
              <w:jc w:val="center"/>
              <w:rPr>
                <w:b/>
                <w:sz w:val="24"/>
              </w:rPr>
            </w:pPr>
            <w:r>
              <w:rPr>
                <w:b/>
                <w:sz w:val="24"/>
              </w:rPr>
              <w:t>签名</w:t>
            </w:r>
          </w:p>
        </w:tc>
        <w:tc>
          <w:tcPr>
            <w:tcW w:w="2268" w:type="dxa"/>
            <w:vAlign w:val="center"/>
          </w:tcPr>
          <w:p>
            <w:pPr>
              <w:spacing w:line="520" w:lineRule="exact"/>
              <w:jc w:val="center"/>
              <w:rPr>
                <w:b/>
                <w:sz w:val="24"/>
              </w:rPr>
            </w:pPr>
            <w:r>
              <w:rPr>
                <w:b/>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701" w:type="dxa"/>
            <w:vAlign w:val="center"/>
          </w:tcPr>
          <w:p>
            <w:pPr>
              <w:spacing w:line="520" w:lineRule="exact"/>
              <w:jc w:val="center"/>
              <w:rPr>
                <w:sz w:val="24"/>
              </w:rPr>
            </w:pPr>
            <w:r>
              <w:rPr>
                <w:sz w:val="24"/>
              </w:rPr>
              <w:t>项目负责人</w:t>
            </w:r>
          </w:p>
        </w:tc>
        <w:tc>
          <w:tcPr>
            <w:tcW w:w="1560" w:type="dxa"/>
            <w:vAlign w:val="center"/>
          </w:tcPr>
          <w:p>
            <w:pPr>
              <w:spacing w:line="520" w:lineRule="exact"/>
              <w:jc w:val="center"/>
              <w:rPr>
                <w:sz w:val="24"/>
              </w:rPr>
            </w:pPr>
            <w:r>
              <w:rPr>
                <w:sz w:val="24"/>
              </w:rPr>
              <w:t>钟晓兰</w:t>
            </w:r>
          </w:p>
        </w:tc>
        <w:tc>
          <w:tcPr>
            <w:tcW w:w="1559" w:type="dxa"/>
            <w:vAlign w:val="center"/>
          </w:tcPr>
          <w:p>
            <w:pPr>
              <w:spacing w:line="520" w:lineRule="exact"/>
              <w:jc w:val="center"/>
              <w:rPr>
                <w:sz w:val="24"/>
              </w:rPr>
            </w:pPr>
            <w:r>
              <w:rPr>
                <w:sz w:val="24"/>
              </w:rPr>
              <w:t>5120040388</w:t>
            </w:r>
          </w:p>
        </w:tc>
        <w:tc>
          <w:tcPr>
            <w:tcW w:w="2268" w:type="dxa"/>
            <w:vAlign w:val="center"/>
          </w:tcPr>
          <w:p>
            <w:pPr>
              <w:spacing w:line="520" w:lineRule="exact"/>
              <w:jc w:val="center"/>
              <w:rPr>
                <w:sz w:val="24"/>
              </w:rPr>
            </w:pPr>
          </w:p>
        </w:tc>
        <w:tc>
          <w:tcPr>
            <w:tcW w:w="2268" w:type="dxa"/>
            <w:vAlign w:val="center"/>
          </w:tcPr>
          <w:p>
            <w:pPr>
              <w:spacing w:line="520" w:lineRule="exact"/>
              <w:jc w:val="center"/>
              <w:rPr>
                <w:sz w:val="24"/>
              </w:rPr>
            </w:pPr>
            <w:r>
              <w:rPr>
                <w:sz w:val="24"/>
              </w:rPr>
              <w:t>2020年12月15日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701" w:type="dxa"/>
            <w:vAlign w:val="center"/>
          </w:tcPr>
          <w:p>
            <w:pPr>
              <w:spacing w:line="520" w:lineRule="exact"/>
              <w:jc w:val="center"/>
              <w:rPr>
                <w:sz w:val="24"/>
              </w:rPr>
            </w:pPr>
            <w:r>
              <w:rPr>
                <w:sz w:val="24"/>
              </w:rPr>
              <w:t>项目参与人</w:t>
            </w:r>
          </w:p>
        </w:tc>
        <w:tc>
          <w:tcPr>
            <w:tcW w:w="1560" w:type="dxa"/>
            <w:vAlign w:val="center"/>
          </w:tcPr>
          <w:p>
            <w:pPr>
              <w:spacing w:line="520" w:lineRule="exact"/>
              <w:jc w:val="center"/>
              <w:rPr>
                <w:sz w:val="24"/>
              </w:rPr>
            </w:pPr>
            <w:r>
              <w:rPr>
                <w:sz w:val="24"/>
              </w:rPr>
              <w:t>但莉</w:t>
            </w:r>
          </w:p>
        </w:tc>
        <w:tc>
          <w:tcPr>
            <w:tcW w:w="1559" w:type="dxa"/>
            <w:vAlign w:val="center"/>
          </w:tcPr>
          <w:p>
            <w:pPr>
              <w:spacing w:line="520" w:lineRule="exact"/>
              <w:jc w:val="center"/>
              <w:rPr>
                <w:sz w:val="24"/>
              </w:rPr>
            </w:pPr>
            <w:r>
              <w:rPr>
                <w:sz w:val="24"/>
              </w:rPr>
              <w:t>5120090017</w:t>
            </w:r>
          </w:p>
        </w:tc>
        <w:tc>
          <w:tcPr>
            <w:tcW w:w="2268" w:type="dxa"/>
            <w:vAlign w:val="center"/>
          </w:tcPr>
          <w:p>
            <w:pPr>
              <w:spacing w:line="520" w:lineRule="exact"/>
              <w:jc w:val="center"/>
              <w:rPr>
                <w:sz w:val="24"/>
              </w:rPr>
            </w:pPr>
          </w:p>
        </w:tc>
        <w:tc>
          <w:tcPr>
            <w:tcW w:w="2268" w:type="dxa"/>
            <w:vAlign w:val="center"/>
          </w:tcPr>
          <w:p>
            <w:pPr>
              <w:spacing w:line="520" w:lineRule="exact"/>
              <w:jc w:val="center"/>
              <w:rPr>
                <w:sz w:val="24"/>
              </w:rPr>
            </w:pPr>
            <w:r>
              <w:rPr>
                <w:sz w:val="24"/>
              </w:rPr>
              <w:t>2020年12月15日</w:t>
            </w:r>
          </w:p>
        </w:tc>
      </w:tr>
    </w:tbl>
    <w:p>
      <w:pPr>
        <w:pStyle w:val="24"/>
        <w:spacing w:line="640" w:lineRule="exact"/>
        <w:jc w:val="center"/>
        <w:rPr>
          <w:b w:val="0"/>
          <w:sz w:val="32"/>
          <w:szCs w:val="32"/>
        </w:rPr>
      </w:pPr>
    </w:p>
    <w:p>
      <w:pPr>
        <w:spacing w:line="520" w:lineRule="exact"/>
        <w:jc w:val="center"/>
        <w:outlineLvl w:val="0"/>
        <w:rPr>
          <w:b/>
          <w:sz w:val="32"/>
          <w:szCs w:val="32"/>
        </w:rPr>
      </w:pPr>
      <w:r>
        <w:br w:type="page"/>
      </w:r>
      <w:bookmarkStart w:id="8" w:name="_Toc60058805"/>
      <w:r>
        <w:rPr>
          <w:rFonts w:eastAsia="黑体"/>
          <w:sz w:val="32"/>
          <w:szCs w:val="32"/>
        </w:rPr>
        <w:t>二、估价假设和限制条件</w:t>
      </w:r>
      <w:bookmarkEnd w:id="6"/>
      <w:bookmarkEnd w:id="7"/>
      <w:bookmarkEnd w:id="8"/>
    </w:p>
    <w:p>
      <w:pPr>
        <w:spacing w:line="600" w:lineRule="exact"/>
        <w:ind w:firstLine="420" w:firstLineChars="150"/>
        <w:rPr>
          <w:sz w:val="28"/>
        </w:rPr>
      </w:pPr>
      <w:r>
        <w:rPr>
          <w:sz w:val="28"/>
        </w:rPr>
        <w:t>（一）本报告假设前提条件</w:t>
      </w:r>
    </w:p>
    <w:p>
      <w:pPr>
        <w:spacing w:line="600" w:lineRule="exact"/>
        <w:ind w:firstLine="560" w:firstLineChars="200"/>
        <w:rPr>
          <w:sz w:val="28"/>
        </w:rPr>
      </w:pPr>
      <w:r>
        <w:rPr>
          <w:sz w:val="28"/>
        </w:rPr>
        <w:t>1、一般假设</w:t>
      </w:r>
    </w:p>
    <w:p>
      <w:pPr>
        <w:spacing w:line="600" w:lineRule="exact"/>
        <w:ind w:firstLine="420" w:firstLineChars="150"/>
        <w:rPr>
          <w:sz w:val="28"/>
        </w:rPr>
      </w:pPr>
      <w:r>
        <w:rPr>
          <w:sz w:val="28"/>
          <w:szCs w:val="28"/>
        </w:rPr>
        <w:t>（1）</w:t>
      </w:r>
      <w:r>
        <w:rPr>
          <w:sz w:val="28"/>
        </w:rPr>
        <w:t>在价值时点，估价委托人提供的估价对象房地产权属、估价所必需的反映估价对象状况的资料真实、合法、有效，估价对象符合国家相关法律法规房地产转让的有关规定。</w:t>
      </w:r>
    </w:p>
    <w:p>
      <w:pPr>
        <w:spacing w:line="600" w:lineRule="exact"/>
        <w:ind w:firstLine="420" w:firstLineChars="150"/>
        <w:rPr>
          <w:sz w:val="28"/>
        </w:rPr>
      </w:pPr>
      <w:r>
        <w:rPr>
          <w:sz w:val="28"/>
        </w:rPr>
        <w:t>（2）价值时点的房地产市场是公开、公平、自愿的均衡市场。</w:t>
      </w:r>
    </w:p>
    <w:p>
      <w:pPr>
        <w:autoSpaceDE w:val="0"/>
        <w:autoSpaceDN w:val="0"/>
        <w:adjustRightInd w:val="0"/>
        <w:spacing w:line="600" w:lineRule="exact"/>
        <w:ind w:firstLine="420" w:firstLineChars="150"/>
        <w:rPr>
          <w:sz w:val="28"/>
        </w:rPr>
      </w:pPr>
      <w:r>
        <w:rPr>
          <w:sz w:val="28"/>
        </w:rPr>
        <w:t>（3）估价对象能顺利进入司法处置程序。</w:t>
      </w:r>
    </w:p>
    <w:p>
      <w:pPr>
        <w:spacing w:line="600" w:lineRule="exact"/>
        <w:ind w:firstLine="420" w:firstLineChars="150"/>
        <w:rPr>
          <w:sz w:val="28"/>
        </w:rPr>
      </w:pPr>
      <w:r>
        <w:rPr>
          <w:sz w:val="28"/>
        </w:rPr>
        <w:t>（4）估价对象能合理正常使用公共附属设施设备。</w:t>
      </w:r>
    </w:p>
    <w:p>
      <w:pPr>
        <w:spacing w:line="600" w:lineRule="exact"/>
        <w:ind w:firstLine="420" w:firstLineChars="150"/>
        <w:rPr>
          <w:sz w:val="28"/>
        </w:rPr>
      </w:pPr>
      <w:r>
        <w:rPr>
          <w:sz w:val="28"/>
        </w:rPr>
        <w:t>（5）估价对象应以保持价值时点时《房屋所有权证》、《国有土地使用证》、《房产登记信息查询情况说明》载明的用途继续使用，且为估价对象合法的最高最佳利用用途。</w:t>
      </w:r>
    </w:p>
    <w:p>
      <w:pPr>
        <w:spacing w:line="600" w:lineRule="exact"/>
        <w:ind w:firstLine="420" w:firstLineChars="150"/>
        <w:rPr>
          <w:sz w:val="28"/>
        </w:rPr>
      </w:pPr>
      <w:r>
        <w:rPr>
          <w:sz w:val="28"/>
        </w:rPr>
        <w:t>（6）我公司注册房地产估价师对估价对象的查勘仅限于估价对象在价值时点的外观和使用状况，无法对估价对象的隐蔽工程（地基、电气管线、供水管线等需要覆盖、掩盖的工程）、建筑结构质量等进行专业检测。注册房地产估价师对房屋安全、环境污染等影响估价对象价值的重大因素给予了关注，在无理由怀疑估价对象存在安全隐患且无相应的专业机构进行鉴定、检测的情况下，假定估价对象不存在房屋安全隐患及重大环境污染的情形。</w:t>
      </w:r>
    </w:p>
    <w:p>
      <w:pPr>
        <w:spacing w:line="600" w:lineRule="exact"/>
        <w:ind w:firstLine="420" w:firstLineChars="150"/>
        <w:rPr>
          <w:sz w:val="28"/>
        </w:rPr>
      </w:pPr>
      <w:r>
        <w:rPr>
          <w:sz w:val="28"/>
        </w:rPr>
        <w:t>（7）注册房地产估价师现场拍摄的估价对象实体照片内容系由申请执行方代表及被执行方代表现场确定之评估范围的实体状况，本报告设定其无遗漏和偏离。</w:t>
      </w:r>
    </w:p>
    <w:p>
      <w:pPr>
        <w:spacing w:line="600" w:lineRule="exact"/>
        <w:ind w:firstLine="560" w:firstLineChars="200"/>
        <w:rPr>
          <w:sz w:val="28"/>
        </w:rPr>
      </w:pPr>
      <w:r>
        <w:rPr>
          <w:sz w:val="28"/>
        </w:rPr>
        <w:t>2、未定事项假设</w:t>
      </w:r>
    </w:p>
    <w:p>
      <w:pPr>
        <w:spacing w:line="600" w:lineRule="exact"/>
        <w:ind w:firstLine="560" w:firstLineChars="200"/>
        <w:rPr>
          <w:sz w:val="28"/>
        </w:rPr>
      </w:pPr>
      <w:r>
        <w:rPr>
          <w:sz w:val="28"/>
        </w:rPr>
        <w:t>无。</w:t>
      </w:r>
    </w:p>
    <w:p>
      <w:pPr>
        <w:spacing w:line="600" w:lineRule="exact"/>
        <w:ind w:firstLine="560" w:firstLineChars="200"/>
        <w:rPr>
          <w:sz w:val="28"/>
        </w:rPr>
      </w:pPr>
      <w:r>
        <w:rPr>
          <w:sz w:val="28"/>
        </w:rPr>
        <w:t>3、背离事实假设</w:t>
      </w:r>
    </w:p>
    <w:p>
      <w:pPr>
        <w:spacing w:line="600" w:lineRule="exact"/>
        <w:ind w:firstLine="560" w:firstLineChars="200"/>
        <w:rPr>
          <w:bCs/>
          <w:sz w:val="28"/>
          <w:szCs w:val="28"/>
        </w:rPr>
      </w:pPr>
      <w:r>
        <w:rPr>
          <w:sz w:val="28"/>
          <w:szCs w:val="28"/>
        </w:rPr>
        <w:t>根据估价对象《资阳市房产档案馆房产档案及商品房网签信息查询结果单》，估价对象均已设定抵押权，但</w:t>
      </w:r>
      <w:r>
        <w:rPr>
          <w:rFonts w:hint="eastAsia"/>
          <w:sz w:val="28"/>
          <w:szCs w:val="28"/>
        </w:rPr>
        <w:t>未被</w:t>
      </w:r>
      <w:r>
        <w:rPr>
          <w:sz w:val="28"/>
          <w:szCs w:val="28"/>
        </w:rPr>
        <w:t>查封。根据司法处置估价目的和《房地产估价规范》、《房地产司法鉴定评估指导意见》（试行）相关规定，本次估价不考虑估价对象原有的担保物权和其他优先受偿权情况及强制变现等因素对估价对象市场价值的影响，并假设估价对象不存在担保物权和其他优先受偿权等</w:t>
      </w:r>
      <w:r>
        <w:rPr>
          <w:bCs/>
          <w:sz w:val="28"/>
          <w:szCs w:val="28"/>
        </w:rPr>
        <w:t>。</w:t>
      </w:r>
    </w:p>
    <w:p>
      <w:pPr>
        <w:spacing w:line="600" w:lineRule="exact"/>
        <w:ind w:firstLine="560" w:firstLineChars="200"/>
        <w:rPr>
          <w:sz w:val="28"/>
          <w:szCs w:val="28"/>
        </w:rPr>
      </w:pPr>
      <w:r>
        <w:rPr>
          <w:sz w:val="28"/>
          <w:szCs w:val="28"/>
        </w:rPr>
        <w:t>4、不相一致假设</w:t>
      </w:r>
    </w:p>
    <w:p>
      <w:pPr>
        <w:adjustRightInd w:val="0"/>
        <w:snapToGrid w:val="0"/>
        <w:spacing w:line="600" w:lineRule="exact"/>
        <w:ind w:firstLine="560" w:firstLineChars="200"/>
        <w:rPr>
          <w:sz w:val="28"/>
        </w:rPr>
      </w:pPr>
      <w:r>
        <w:rPr>
          <w:sz w:val="28"/>
        </w:rPr>
        <w:fldChar w:fldCharType="begin"/>
      </w:r>
      <w:r>
        <w:rPr>
          <w:rFonts w:hint="eastAsia"/>
          <w:sz w:val="28"/>
        </w:rPr>
        <w:instrText xml:space="preserve">= 1 \* GB3</w:instrText>
      </w:r>
      <w:r>
        <w:rPr>
          <w:sz w:val="28"/>
        </w:rPr>
        <w:fldChar w:fldCharType="separate"/>
      </w:r>
      <w:r>
        <w:rPr>
          <w:rFonts w:hint="eastAsia"/>
          <w:sz w:val="28"/>
        </w:rPr>
        <w:t>①</w:t>
      </w:r>
      <w:r>
        <w:rPr>
          <w:sz w:val="28"/>
        </w:rPr>
        <w:fldChar w:fldCharType="end"/>
      </w:r>
      <w:r>
        <w:rPr>
          <w:rFonts w:hint="eastAsia"/>
          <w:sz w:val="28"/>
        </w:rPr>
        <w:t>估价对象3《国有土地使用证》登记终止日期为2019年2月26日，在本次评估价值时点土地使用年限已逾期，但另根据估价委托人提供的《房产登记信息查询情况说明》，其终止时间为2075年4月20日，因《国有土地使用证》登记时间约为2000年左右，《房产登记信息查询情况说明》查询时点为2020年10月14日，本次评估以《房产登记信息查询情况说明》记载终止日期为准，并假设与不动产登记部门最终确定的土地终止日期一致。</w:t>
      </w:r>
    </w:p>
    <w:p>
      <w:pPr>
        <w:adjustRightInd w:val="0"/>
        <w:snapToGrid w:val="0"/>
        <w:spacing w:line="600" w:lineRule="exact"/>
        <w:ind w:firstLine="560" w:firstLineChars="200"/>
        <w:rPr>
          <w:sz w:val="28"/>
        </w:rPr>
      </w:pPr>
      <w:r>
        <w:rPr>
          <w:rFonts w:hAnsi="宋体"/>
          <w:sz w:val="28"/>
        </w:rPr>
        <w:t>②</w:t>
      </w:r>
      <w:r>
        <w:rPr>
          <w:rFonts w:hint="eastAsia"/>
          <w:sz w:val="28"/>
        </w:rPr>
        <w:t>估价对象4《房屋所有权证》登记用途为车库，《房产登记信息查询情况说明》记载用途为经营，注册房地产估价师实地查勘时被执行方代表介绍在价值时点实际出租作为库房使用，三者用途均不一致，本次评估以《房屋所有权证》登记用途进行评估。</w:t>
      </w:r>
    </w:p>
    <w:p>
      <w:pPr>
        <w:autoSpaceDE w:val="0"/>
        <w:autoSpaceDN w:val="0"/>
        <w:adjustRightInd w:val="0"/>
        <w:spacing w:line="600" w:lineRule="exact"/>
        <w:ind w:firstLine="560" w:firstLineChars="200"/>
        <w:rPr>
          <w:sz w:val="28"/>
          <w:szCs w:val="28"/>
          <w:lang w:val="zh-CN"/>
        </w:rPr>
      </w:pPr>
      <w:r>
        <w:rPr>
          <w:sz w:val="28"/>
          <w:szCs w:val="28"/>
        </w:rPr>
        <w:t>5</w:t>
      </w:r>
      <w:r>
        <w:rPr>
          <w:sz w:val="28"/>
          <w:szCs w:val="28"/>
          <w:lang w:val="zh-CN"/>
        </w:rPr>
        <w:t>、</w:t>
      </w:r>
      <w:r>
        <w:rPr>
          <w:sz w:val="28"/>
        </w:rPr>
        <w:t>依据</w:t>
      </w:r>
      <w:r>
        <w:rPr>
          <w:sz w:val="28"/>
          <w:szCs w:val="28"/>
          <w:lang w:val="zh-CN"/>
        </w:rPr>
        <w:t>不足假设</w:t>
      </w:r>
    </w:p>
    <w:p>
      <w:pPr>
        <w:spacing w:line="600" w:lineRule="exact"/>
        <w:ind w:firstLine="420" w:firstLineChars="150"/>
        <w:rPr>
          <w:bCs/>
          <w:sz w:val="28"/>
          <w:szCs w:val="28"/>
        </w:rPr>
      </w:pPr>
      <w:r>
        <w:rPr>
          <w:rFonts w:hAnsi="宋体"/>
          <w:bCs/>
          <w:sz w:val="28"/>
          <w:szCs w:val="28"/>
        </w:rPr>
        <w:t>①</w:t>
      </w:r>
      <w:r>
        <w:rPr>
          <w:bCs/>
          <w:sz w:val="28"/>
          <w:szCs w:val="28"/>
        </w:rPr>
        <w:t>本次评估注册房地产估价师未调查到估价对象是否存在欠缴的税费、物业费、水电气费等，本次评估结果为估价对象的市场价值，未考虑其可能存在欠缴的税费、物业费、水电气费等情况及金额。</w:t>
      </w:r>
    </w:p>
    <w:p>
      <w:pPr>
        <w:spacing w:line="600" w:lineRule="exact"/>
        <w:ind w:firstLine="560" w:firstLineChars="200"/>
        <w:rPr>
          <w:sz w:val="28"/>
        </w:rPr>
      </w:pPr>
      <w:r>
        <w:rPr>
          <w:rFonts w:hAnsi="宋体"/>
          <w:sz w:val="28"/>
        </w:rPr>
        <w:t>②</w:t>
      </w:r>
      <w:r>
        <w:rPr>
          <w:sz w:val="28"/>
        </w:rPr>
        <w:t>由于估价委托人未能提供《房屋所有权证》、《国有土地使用证》、《房产登记信息查询情况说明》、《资阳市房产档案馆房产档案及商品房网签信息查询结果单》等资料原件，故注册房地产估价师无法将估价委托人提供的复印件与原件进行核对，在无理由怀疑其合法性、真实性、准确性和完整性的情况下，假设估价委托人提供的复印件与原件一致且是合法、真实、准确、完整的。</w:t>
      </w:r>
    </w:p>
    <w:p>
      <w:pPr>
        <w:autoSpaceDE w:val="0"/>
        <w:autoSpaceDN w:val="0"/>
        <w:adjustRightInd w:val="0"/>
        <w:spacing w:line="600" w:lineRule="exact"/>
        <w:ind w:firstLine="420" w:firstLineChars="150"/>
        <w:rPr>
          <w:sz w:val="28"/>
        </w:rPr>
      </w:pPr>
      <w:r>
        <w:rPr>
          <w:rFonts w:hAnsi="宋体"/>
          <w:sz w:val="28"/>
        </w:rPr>
        <w:t>③</w:t>
      </w:r>
      <w:r>
        <w:rPr>
          <w:sz w:val="28"/>
        </w:rPr>
        <w:t>由于估价对象《房屋所有权证》、《资阳市房产档案馆房产档案及商品房网签信息查询结果单》未记载估价对象房屋的建成年份，经注册房地产估价师实地调查，房屋建成年份约为2000年，本次评估我们据此设定估价对象房屋建成年份为2000年。</w:t>
      </w:r>
    </w:p>
    <w:p>
      <w:pPr>
        <w:autoSpaceDE w:val="0"/>
        <w:autoSpaceDN w:val="0"/>
        <w:adjustRightInd w:val="0"/>
        <w:spacing w:line="600" w:lineRule="exact"/>
        <w:ind w:firstLine="420" w:firstLineChars="150"/>
        <w:rPr>
          <w:sz w:val="28"/>
        </w:rPr>
      </w:pPr>
      <w:r>
        <w:rPr>
          <w:sz w:val="28"/>
        </w:rPr>
        <w:fldChar w:fldCharType="begin"/>
      </w:r>
      <w:r>
        <w:rPr>
          <w:rFonts w:hint="eastAsia"/>
          <w:sz w:val="28"/>
        </w:rPr>
        <w:instrText xml:space="preserve">= 4 \* GB3</w:instrText>
      </w:r>
      <w:r>
        <w:rPr>
          <w:sz w:val="28"/>
        </w:rPr>
        <w:fldChar w:fldCharType="separate"/>
      </w:r>
      <w:r>
        <w:rPr>
          <w:rFonts w:hint="eastAsia"/>
          <w:sz w:val="28"/>
        </w:rPr>
        <w:t>④</w:t>
      </w:r>
      <w:r>
        <w:rPr>
          <w:sz w:val="28"/>
        </w:rPr>
        <w:fldChar w:fldCharType="end"/>
      </w:r>
      <w:r>
        <w:rPr>
          <w:rFonts w:hint="eastAsia"/>
          <w:sz w:val="28"/>
        </w:rPr>
        <w:t>根据申请执行方代表及被执行方代表带领注册房地产估价师实地查勘，估价对象1-3未查见栋号，</w:t>
      </w:r>
      <w:r>
        <w:rPr>
          <w:rFonts w:hint="eastAsia"/>
          <w:bCs/>
          <w:sz w:val="28"/>
          <w:szCs w:val="28"/>
        </w:rPr>
        <w:t>估价对象1实地查勘地址为：松涛路一段212号，估价对象2实地查勘地址为：台阳路84号，估价对象3位于新苑小区内，无门牌标示。</w:t>
      </w:r>
      <w:r>
        <w:rPr>
          <w:rFonts w:hint="eastAsia"/>
          <w:sz w:val="28"/>
        </w:rPr>
        <w:t>本次评估假设申请执行方代表及被执行方代表现场指认房地产（见本报告书中“估价对象照片”）与估价委托人提供的《房屋所有权证》、《国有土地使用证》界定房地产系同一房地产。</w:t>
      </w:r>
    </w:p>
    <w:p>
      <w:pPr>
        <w:autoSpaceDE w:val="0"/>
        <w:autoSpaceDN w:val="0"/>
        <w:adjustRightInd w:val="0"/>
        <w:spacing w:line="600" w:lineRule="exact"/>
        <w:ind w:firstLine="420" w:firstLineChars="150"/>
        <w:rPr>
          <w:sz w:val="28"/>
        </w:rPr>
      </w:pPr>
      <w:r>
        <w:rPr>
          <w:sz w:val="28"/>
        </w:rPr>
        <w:fldChar w:fldCharType="begin"/>
      </w:r>
      <w:r>
        <w:rPr>
          <w:rFonts w:hint="eastAsia"/>
          <w:sz w:val="28"/>
        </w:rPr>
        <w:instrText xml:space="preserve">= 5 \* GB3</w:instrText>
      </w:r>
      <w:r>
        <w:rPr>
          <w:sz w:val="28"/>
        </w:rPr>
        <w:fldChar w:fldCharType="separate"/>
      </w:r>
      <w:r>
        <w:rPr>
          <w:rFonts w:hint="eastAsia"/>
          <w:sz w:val="28"/>
        </w:rPr>
        <w:t>⑤</w:t>
      </w:r>
      <w:r>
        <w:rPr>
          <w:sz w:val="28"/>
        </w:rPr>
        <w:fldChar w:fldCharType="end"/>
      </w:r>
      <w:r>
        <w:rPr>
          <w:rFonts w:hint="eastAsia"/>
          <w:sz w:val="28"/>
        </w:rPr>
        <w:t>因承租方不在，注册房地产估价师未能进入估价对象1部分房屋以及估价对象4室内进行实地查勘，本次评估假设其室内为清水状态、均能正常使用、室内无影响其价值的不利因素。</w:t>
      </w:r>
    </w:p>
    <w:p>
      <w:pPr>
        <w:autoSpaceDE w:val="0"/>
        <w:autoSpaceDN w:val="0"/>
        <w:adjustRightInd w:val="0"/>
        <w:spacing w:line="600" w:lineRule="exact"/>
        <w:ind w:firstLine="420" w:firstLineChars="150"/>
        <w:rPr>
          <w:sz w:val="28"/>
        </w:rPr>
      </w:pPr>
      <w:r>
        <w:rPr>
          <w:sz w:val="28"/>
        </w:rPr>
        <w:fldChar w:fldCharType="begin"/>
      </w:r>
      <w:r>
        <w:rPr>
          <w:rFonts w:hint="eastAsia"/>
          <w:sz w:val="28"/>
        </w:rPr>
        <w:instrText xml:space="preserve">= 6 \* GB3</w:instrText>
      </w:r>
      <w:r>
        <w:rPr>
          <w:sz w:val="28"/>
        </w:rPr>
        <w:fldChar w:fldCharType="separate"/>
      </w:r>
      <w:r>
        <w:rPr>
          <w:rFonts w:hint="eastAsia"/>
          <w:sz w:val="28"/>
        </w:rPr>
        <w:t>⑥</w:t>
      </w:r>
      <w:r>
        <w:rPr>
          <w:sz w:val="28"/>
        </w:rPr>
        <w:fldChar w:fldCharType="end"/>
      </w:r>
      <w:r>
        <w:rPr>
          <w:rFonts w:hint="eastAsia"/>
          <w:sz w:val="28"/>
        </w:rPr>
        <w:t>估价对象2《国有土地使用证》登记土地使用终止日期为2019年2月26日，至本次评估价值时点，土地使用年限已逾期，需到相关部门补缴土地续期的土地出让金，本次评估假设估价对象不存在因已逾期补缴可能会存在的滞纳金等费用。</w:t>
      </w:r>
    </w:p>
    <w:p>
      <w:pPr>
        <w:autoSpaceDE w:val="0"/>
        <w:autoSpaceDN w:val="0"/>
        <w:adjustRightInd w:val="0"/>
        <w:spacing w:line="600" w:lineRule="exact"/>
        <w:ind w:firstLine="420" w:firstLineChars="150"/>
        <w:rPr>
          <w:sz w:val="28"/>
        </w:rPr>
      </w:pPr>
      <w:r>
        <w:rPr>
          <w:sz w:val="28"/>
        </w:rPr>
        <w:fldChar w:fldCharType="begin"/>
      </w:r>
      <w:r>
        <w:rPr>
          <w:rFonts w:hint="eastAsia"/>
          <w:sz w:val="28"/>
        </w:rPr>
        <w:instrText xml:space="preserve">= 7 \* GB3</w:instrText>
      </w:r>
      <w:r>
        <w:rPr>
          <w:sz w:val="28"/>
        </w:rPr>
        <w:fldChar w:fldCharType="separate"/>
      </w:r>
      <w:r>
        <w:rPr>
          <w:rFonts w:hint="eastAsia"/>
          <w:sz w:val="28"/>
        </w:rPr>
        <w:t>⑦</w:t>
      </w:r>
      <w:r>
        <w:rPr>
          <w:sz w:val="28"/>
        </w:rPr>
        <w:fldChar w:fldCharType="end"/>
      </w:r>
      <w:r>
        <w:rPr>
          <w:rFonts w:hint="eastAsia"/>
          <w:sz w:val="28"/>
        </w:rPr>
        <w:t>根据申请执行方代表及被执行方代表带领注册房地产估价师实地查勘及被执行方代表现场介绍，至价值时点（2020年11月19日），估价对象1-2营业用房以及估价对象4车库均为出租状态，但估价对象1、4未签定正式的租赁合同，本次估价假设被执行方代表现场介绍属实。</w:t>
      </w:r>
    </w:p>
    <w:p>
      <w:pPr>
        <w:autoSpaceDE w:val="0"/>
        <w:autoSpaceDN w:val="0"/>
        <w:adjustRightInd w:val="0"/>
        <w:spacing w:line="600" w:lineRule="exact"/>
        <w:ind w:firstLine="420" w:firstLineChars="150"/>
        <w:rPr>
          <w:sz w:val="28"/>
        </w:rPr>
      </w:pPr>
      <w:r>
        <w:rPr>
          <w:sz w:val="28"/>
        </w:rPr>
        <w:t>（二）估价报告使用限制</w:t>
      </w:r>
    </w:p>
    <w:p>
      <w:pPr>
        <w:spacing w:line="630" w:lineRule="exact"/>
        <w:ind w:firstLine="573"/>
        <w:rPr>
          <w:sz w:val="28"/>
          <w:szCs w:val="28"/>
        </w:rPr>
      </w:pPr>
      <w:r>
        <w:rPr>
          <w:spacing w:val="-6"/>
          <w:sz w:val="28"/>
          <w:szCs w:val="28"/>
        </w:rPr>
        <w:t>1、</w:t>
      </w:r>
      <w:r>
        <w:rPr>
          <w:sz w:val="28"/>
          <w:szCs w:val="28"/>
        </w:rPr>
        <w:t>估价对象的房屋建筑面积和房地产权属状况是根据估价委托人提供的</w:t>
      </w:r>
      <w:r>
        <w:rPr>
          <w:sz w:val="28"/>
        </w:rPr>
        <w:t>《房屋所有权证》、《国有土地使用证》、《房产登记信息查询情况说明》、《资阳市房产档案馆房产档案及商品房网签信息查询结果单》</w:t>
      </w:r>
      <w:r>
        <w:rPr>
          <w:sz w:val="28"/>
          <w:szCs w:val="28"/>
        </w:rPr>
        <w:t>复印件登记情况为依据，我们无法确保本报告估价对象的建筑面积和房地产权属状况与不动产登记部门所记</w:t>
      </w:r>
      <w:r>
        <w:rPr>
          <w:spacing w:val="-6"/>
          <w:sz w:val="28"/>
          <w:szCs w:val="28"/>
        </w:rPr>
        <w:t>载的上述内容有无差异，故本报告不能作为确定估价对象权属和面积的依据。</w:t>
      </w:r>
    </w:p>
    <w:p>
      <w:pPr>
        <w:spacing w:line="600" w:lineRule="exact"/>
        <w:ind w:firstLine="573"/>
        <w:rPr>
          <w:sz w:val="28"/>
          <w:szCs w:val="28"/>
        </w:rPr>
      </w:pPr>
      <w:r>
        <w:rPr>
          <w:spacing w:val="-6"/>
          <w:sz w:val="28"/>
          <w:szCs w:val="28"/>
        </w:rPr>
        <w:t>2、</w:t>
      </w:r>
      <w:r>
        <w:rPr>
          <w:sz w:val="28"/>
          <w:szCs w:val="28"/>
        </w:rPr>
        <w:t>估价委托人提供的资料和陈述的情况直接影响我们的估价分析和结论，因此估价委托人应对提供资料和陈述情况的合法性、真实性、完整性及其引起的后果负责；注册房地产估价师对所收集资料的真实性、准确性负责。评估机构对评估结果的公正性、准确性负责。因估价委托人提供的资料和陈述的情况失实造成评估结果有误的，评估机构和评估人员不承担相应责任。</w:t>
      </w:r>
    </w:p>
    <w:p>
      <w:pPr>
        <w:spacing w:line="600" w:lineRule="exact"/>
        <w:ind w:firstLine="573"/>
        <w:rPr>
          <w:sz w:val="28"/>
          <w:szCs w:val="28"/>
        </w:rPr>
      </w:pPr>
      <w:r>
        <w:rPr>
          <w:sz w:val="28"/>
          <w:szCs w:val="28"/>
        </w:rPr>
        <w:t>3、本估价结果包括房屋（含不可剥离附属设备设施、室内装修）及其占用分摊的建设用地使用权的价值，但不包含可移动的家具家电等。该建设用地使用权、附属设施设备及室内装修若与房屋割离处置，本估价结果无效。</w:t>
      </w:r>
    </w:p>
    <w:p>
      <w:pPr>
        <w:spacing w:line="600" w:lineRule="exact"/>
        <w:ind w:firstLine="573"/>
        <w:rPr>
          <w:sz w:val="28"/>
          <w:szCs w:val="28"/>
        </w:rPr>
      </w:pPr>
      <w:r>
        <w:rPr>
          <w:sz w:val="28"/>
          <w:szCs w:val="28"/>
        </w:rPr>
        <w:t>4、本报告使用期限为壹年（2020年12月15日至2021年12月14日）。若报告使用期限内，国家和地方政策、房地产市场或估价对象状况发生重大变化、本报告假设前提变化等，估价结果需做相应调整或委托估价机构重新估价。</w:t>
      </w:r>
    </w:p>
    <w:p>
      <w:pPr>
        <w:spacing w:line="600" w:lineRule="exact"/>
        <w:ind w:firstLine="573"/>
        <w:rPr>
          <w:sz w:val="28"/>
          <w:szCs w:val="28"/>
        </w:rPr>
      </w:pPr>
      <w:r>
        <w:rPr>
          <w:sz w:val="28"/>
          <w:szCs w:val="28"/>
        </w:rPr>
        <w:t>5、如发现本报告内的文字或数字因打印或其它原因出现误差时，请通知本公司进行更正。</w:t>
      </w:r>
    </w:p>
    <w:p>
      <w:pPr>
        <w:pStyle w:val="25"/>
        <w:tabs>
          <w:tab w:val="left" w:pos="180"/>
        </w:tabs>
        <w:spacing w:line="600" w:lineRule="exact"/>
        <w:ind w:firstLine="573"/>
        <w:textAlignment w:val="auto"/>
        <w:rPr>
          <w:snapToGrid w:val="0"/>
        </w:rPr>
      </w:pPr>
      <w:r>
        <w:rPr>
          <w:szCs w:val="28"/>
        </w:rPr>
        <w:t>6、本报告使用期限内，为确定之评估目的服务，不得用于其他目的。</w:t>
      </w:r>
      <w:r>
        <w:rPr>
          <w:snapToGrid w:val="0"/>
        </w:rPr>
        <w:t>未经评估机构同意，本报告书的全部或部分内容不得向估价委托人和评估报告审查部门之外的单位和个人提供，也不得发表于任何公开媒体。</w:t>
      </w:r>
    </w:p>
    <w:p>
      <w:pPr>
        <w:pStyle w:val="25"/>
        <w:tabs>
          <w:tab w:val="left" w:pos="180"/>
        </w:tabs>
        <w:spacing w:line="600" w:lineRule="exact"/>
        <w:ind w:firstLine="573"/>
        <w:textAlignment w:val="auto"/>
        <w:rPr>
          <w:szCs w:val="28"/>
        </w:rPr>
      </w:pPr>
      <w:r>
        <w:rPr>
          <w:szCs w:val="28"/>
        </w:rPr>
        <w:t>7、</w:t>
      </w:r>
      <w:r>
        <w:rPr>
          <w:rFonts w:eastAsia="黑体"/>
          <w:szCs w:val="28"/>
        </w:rPr>
        <w:t>本报告书应与《资阳市雁江区人民法院委托书》及估价委托人提供的相关资料一并使用方才有效，评估机构仅对正确使用本报告者负责</w:t>
      </w:r>
      <w:r>
        <w:rPr>
          <w:szCs w:val="28"/>
        </w:rPr>
        <w:t>。</w:t>
      </w:r>
    </w:p>
    <w:p>
      <w:pPr>
        <w:pStyle w:val="25"/>
        <w:tabs>
          <w:tab w:val="left" w:pos="180"/>
        </w:tabs>
        <w:spacing w:line="600" w:lineRule="exact"/>
        <w:ind w:firstLine="573"/>
        <w:textAlignment w:val="auto"/>
        <w:rPr>
          <w:szCs w:val="28"/>
        </w:rPr>
      </w:pPr>
      <w:r>
        <w:rPr>
          <w:szCs w:val="28"/>
        </w:rPr>
        <w:t>8、本报告书由“致估价委托人函”、“估价师声明”、“估价假设和限制条件”、“估价结果报告”和“附件”构成完整的估价报告</w:t>
      </w:r>
      <w:r>
        <w:t>。</w:t>
      </w:r>
      <w:r>
        <w:rPr>
          <w:szCs w:val="28"/>
        </w:rPr>
        <w:t>报告使用人应严格按照本估价报告全部完整地应用，我们不对任何割裂使用的应用行为负责。否则由此引起的后果与本公司和注册房地产估价师无关。本报告经法定代</w:t>
      </w:r>
      <w:r>
        <w:rPr>
          <w:spacing w:val="-6"/>
          <w:szCs w:val="28"/>
        </w:rPr>
        <w:t>表人签章，注册房地产估价师签字，评估机构盖章并作为一个整体时有效。</w:t>
      </w:r>
    </w:p>
    <w:p>
      <w:pPr>
        <w:spacing w:line="520" w:lineRule="exact"/>
        <w:jc w:val="center"/>
        <w:outlineLvl w:val="0"/>
        <w:rPr>
          <w:rFonts w:eastAsia="黑体"/>
          <w:sz w:val="32"/>
          <w:szCs w:val="32"/>
        </w:rPr>
      </w:pPr>
      <w:r>
        <w:br w:type="page"/>
      </w:r>
      <w:bookmarkStart w:id="9" w:name="_Toc60058806"/>
      <w:bookmarkStart w:id="10" w:name="_Toc466027622"/>
      <w:r>
        <w:rPr>
          <w:rFonts w:eastAsia="黑体"/>
          <w:sz w:val="32"/>
          <w:szCs w:val="32"/>
        </w:rPr>
        <w:t>三、估价结果报告</w:t>
      </w:r>
      <w:bookmarkEnd w:id="9"/>
      <w:bookmarkEnd w:id="10"/>
    </w:p>
    <w:p>
      <w:pPr>
        <w:spacing w:line="600" w:lineRule="exact"/>
        <w:ind w:firstLine="420" w:firstLineChars="150"/>
        <w:outlineLvl w:val="1"/>
        <w:rPr>
          <w:rFonts w:eastAsia="黑体"/>
          <w:sz w:val="28"/>
        </w:rPr>
      </w:pPr>
      <w:bookmarkStart w:id="11" w:name="_Toc60058807"/>
      <w:bookmarkStart w:id="12" w:name="_Toc27786"/>
      <w:bookmarkStart w:id="13" w:name="_Toc466027623"/>
      <w:r>
        <w:rPr>
          <w:rFonts w:eastAsia="黑体"/>
          <w:sz w:val="28"/>
        </w:rPr>
        <w:t>（一）估价委托人</w:t>
      </w:r>
      <w:bookmarkEnd w:id="11"/>
      <w:bookmarkEnd w:id="12"/>
      <w:bookmarkEnd w:id="13"/>
    </w:p>
    <w:p>
      <w:pPr>
        <w:tabs>
          <w:tab w:val="left" w:pos="540"/>
        </w:tabs>
        <w:spacing w:line="600" w:lineRule="exact"/>
        <w:ind w:firstLine="560" w:firstLineChars="200"/>
        <w:rPr>
          <w:sz w:val="28"/>
        </w:rPr>
      </w:pPr>
      <w:bookmarkStart w:id="14" w:name="_Toc16444"/>
      <w:bookmarkStart w:id="15" w:name="_Toc466027624"/>
      <w:r>
        <w:rPr>
          <w:sz w:val="28"/>
        </w:rPr>
        <w:t>名称：资阳市雁江区人民法院</w:t>
      </w:r>
    </w:p>
    <w:p>
      <w:pPr>
        <w:spacing w:line="600" w:lineRule="exact"/>
        <w:ind w:firstLine="420" w:firstLineChars="150"/>
        <w:outlineLvl w:val="1"/>
        <w:rPr>
          <w:rFonts w:eastAsia="黑体"/>
          <w:sz w:val="28"/>
        </w:rPr>
      </w:pPr>
      <w:bookmarkStart w:id="16" w:name="_Toc60058808"/>
      <w:r>
        <w:rPr>
          <w:rFonts w:eastAsia="黑体"/>
          <w:sz w:val="28"/>
        </w:rPr>
        <w:t>（二）房地产估价机构</w:t>
      </w:r>
      <w:bookmarkEnd w:id="14"/>
      <w:bookmarkEnd w:id="15"/>
      <w:bookmarkEnd w:id="16"/>
    </w:p>
    <w:p>
      <w:pPr>
        <w:spacing w:line="600" w:lineRule="exact"/>
        <w:ind w:firstLine="560" w:firstLineChars="200"/>
        <w:rPr>
          <w:sz w:val="28"/>
        </w:rPr>
      </w:pPr>
      <w:r>
        <w:rPr>
          <w:sz w:val="28"/>
        </w:rPr>
        <w:t>名称：成都九鼎房地产交易评估有限公司</w:t>
      </w:r>
    </w:p>
    <w:p>
      <w:pPr>
        <w:spacing w:line="600" w:lineRule="exact"/>
        <w:ind w:firstLine="560" w:firstLineChars="200"/>
        <w:rPr>
          <w:sz w:val="28"/>
        </w:rPr>
      </w:pPr>
      <w:r>
        <w:rPr>
          <w:sz w:val="28"/>
        </w:rPr>
        <w:t>法定代表人：余相</w:t>
      </w:r>
    </w:p>
    <w:p>
      <w:pPr>
        <w:spacing w:line="600" w:lineRule="exact"/>
        <w:ind w:firstLine="560" w:firstLineChars="200"/>
        <w:rPr>
          <w:sz w:val="28"/>
        </w:rPr>
      </w:pPr>
      <w:r>
        <w:rPr>
          <w:sz w:val="28"/>
        </w:rPr>
        <w:t>住所：成都市青羊区西华门街15-17号1幢1单元12层</w:t>
      </w:r>
    </w:p>
    <w:p>
      <w:pPr>
        <w:spacing w:line="600" w:lineRule="exact"/>
        <w:ind w:firstLine="536" w:firstLineChars="200"/>
        <w:rPr>
          <w:spacing w:val="-6"/>
          <w:sz w:val="28"/>
        </w:rPr>
      </w:pPr>
      <w:r>
        <w:rPr>
          <w:spacing w:val="-6"/>
          <w:sz w:val="28"/>
        </w:rPr>
        <w:t>房地产评估资格等级：房地产评估国家壹级（建房估证字[2019]0230号）</w:t>
      </w:r>
    </w:p>
    <w:p>
      <w:pPr>
        <w:spacing w:line="600" w:lineRule="exact"/>
        <w:ind w:firstLine="560" w:firstLineChars="200"/>
        <w:rPr>
          <w:sz w:val="28"/>
        </w:rPr>
      </w:pPr>
      <w:r>
        <w:rPr>
          <w:sz w:val="28"/>
        </w:rPr>
        <w:t>有效期限：2019年07月08日至2022年07月08日</w:t>
      </w:r>
    </w:p>
    <w:p>
      <w:pPr>
        <w:spacing w:line="600" w:lineRule="exact"/>
        <w:ind w:firstLine="560" w:firstLineChars="200"/>
        <w:rPr>
          <w:sz w:val="28"/>
        </w:rPr>
      </w:pPr>
      <w:r>
        <w:rPr>
          <w:sz w:val="28"/>
        </w:rPr>
        <w:t>土地评估执业范围：全国范围内从事土地评估业务（A201151011）</w:t>
      </w:r>
    </w:p>
    <w:p>
      <w:pPr>
        <w:spacing w:line="600" w:lineRule="exact"/>
        <w:ind w:firstLine="560" w:firstLineChars="200"/>
        <w:rPr>
          <w:sz w:val="28"/>
        </w:rPr>
      </w:pPr>
      <w:r>
        <w:rPr>
          <w:sz w:val="28"/>
        </w:rPr>
        <w:t>有效期限：2021年6月30日</w:t>
      </w:r>
    </w:p>
    <w:p>
      <w:pPr>
        <w:spacing w:line="600" w:lineRule="exact"/>
        <w:ind w:firstLine="420" w:firstLineChars="150"/>
        <w:outlineLvl w:val="1"/>
        <w:rPr>
          <w:rFonts w:eastAsia="黑体"/>
          <w:sz w:val="28"/>
        </w:rPr>
      </w:pPr>
      <w:bookmarkStart w:id="17" w:name="_Toc466027625"/>
      <w:bookmarkStart w:id="18" w:name="_Toc60058809"/>
      <w:bookmarkStart w:id="19" w:name="_Toc4726"/>
      <w:r>
        <w:rPr>
          <w:rFonts w:eastAsia="黑体"/>
          <w:sz w:val="28"/>
        </w:rPr>
        <w:t>（三）估价目的</w:t>
      </w:r>
      <w:bookmarkEnd w:id="17"/>
      <w:bookmarkEnd w:id="18"/>
      <w:bookmarkEnd w:id="19"/>
    </w:p>
    <w:p>
      <w:pPr>
        <w:spacing w:line="600" w:lineRule="exact"/>
        <w:ind w:firstLine="560" w:firstLineChars="200"/>
        <w:rPr>
          <w:sz w:val="28"/>
        </w:rPr>
      </w:pPr>
      <w:bookmarkStart w:id="20" w:name="_Toc466027626"/>
      <w:bookmarkStart w:id="21" w:name="_Toc11237"/>
      <w:r>
        <w:rPr>
          <w:sz w:val="28"/>
        </w:rPr>
        <w:t>为人民法院确定财产处置参考价提供参考依据。</w:t>
      </w:r>
    </w:p>
    <w:p>
      <w:pPr>
        <w:spacing w:line="600" w:lineRule="exact"/>
        <w:ind w:firstLine="420" w:firstLineChars="150"/>
        <w:outlineLvl w:val="1"/>
        <w:rPr>
          <w:rFonts w:eastAsia="黑体"/>
          <w:sz w:val="28"/>
        </w:rPr>
      </w:pPr>
      <w:bookmarkStart w:id="22" w:name="_Toc60058810"/>
      <w:r>
        <w:rPr>
          <w:rFonts w:eastAsia="黑体"/>
          <w:sz w:val="28"/>
        </w:rPr>
        <w:t>（四）估价对象</w:t>
      </w:r>
      <w:bookmarkEnd w:id="20"/>
      <w:bookmarkEnd w:id="21"/>
      <w:bookmarkEnd w:id="22"/>
    </w:p>
    <w:p>
      <w:pPr>
        <w:spacing w:line="640" w:lineRule="exact"/>
        <w:ind w:firstLine="560" w:firstLineChars="200"/>
        <w:rPr>
          <w:sz w:val="28"/>
          <w:szCs w:val="28"/>
        </w:rPr>
      </w:pPr>
      <w:r>
        <w:rPr>
          <w:sz w:val="28"/>
          <w:szCs w:val="28"/>
        </w:rPr>
        <w:t>1、估价对象范围</w:t>
      </w:r>
    </w:p>
    <w:p>
      <w:pPr>
        <w:spacing w:line="640" w:lineRule="exact"/>
        <w:ind w:firstLine="560" w:firstLineChars="200"/>
        <w:rPr>
          <w:sz w:val="28"/>
          <w:szCs w:val="28"/>
        </w:rPr>
      </w:pPr>
      <w:r>
        <w:rPr>
          <w:sz w:val="28"/>
          <w:szCs w:val="28"/>
        </w:rPr>
        <w:t>周莉单独所有的位于资阳市雁江区资阳市雁江区爱国居委会八组建筑面积合计为272.09㎡的营业、住宅、车库用房（含不可剥离附属设备设施、室内装修）及其分摊占用的国有出让商业、住宅建设用地使用权。</w:t>
      </w:r>
    </w:p>
    <w:p>
      <w:pPr>
        <w:tabs>
          <w:tab w:val="left" w:pos="540"/>
        </w:tabs>
        <w:spacing w:line="600" w:lineRule="exact"/>
        <w:ind w:firstLine="573"/>
        <w:rPr>
          <w:sz w:val="28"/>
        </w:rPr>
      </w:pPr>
      <w:r>
        <w:rPr>
          <w:sz w:val="28"/>
        </w:rPr>
        <w:t>2、估价对象基本情况</w:t>
      </w:r>
    </w:p>
    <w:tbl>
      <w:tblPr>
        <w:tblStyle w:val="44"/>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22"/>
        <w:gridCol w:w="422"/>
        <w:gridCol w:w="247"/>
        <w:gridCol w:w="420"/>
        <w:gridCol w:w="1028"/>
        <w:gridCol w:w="844"/>
        <w:gridCol w:w="711"/>
        <w:gridCol w:w="411"/>
        <w:gridCol w:w="127"/>
        <w:gridCol w:w="565"/>
        <w:gridCol w:w="590"/>
        <w:gridCol w:w="736"/>
        <w:gridCol w:w="821"/>
        <w:gridCol w:w="1297"/>
        <w:gridCol w:w="355"/>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restart"/>
            <w:vAlign w:val="center"/>
          </w:tcPr>
          <w:p>
            <w:pPr>
              <w:jc w:val="center"/>
              <w:rPr>
                <w:sz w:val="18"/>
                <w:szCs w:val="18"/>
              </w:rPr>
            </w:pPr>
            <w:r>
              <w:rPr>
                <w:sz w:val="18"/>
                <w:szCs w:val="18"/>
              </w:rPr>
              <w:t>基本状况</w:t>
            </w:r>
          </w:p>
        </w:tc>
        <w:tc>
          <w:tcPr>
            <w:tcW w:w="347" w:type="pct"/>
            <w:gridSpan w:val="2"/>
            <w:vAlign w:val="center"/>
          </w:tcPr>
          <w:p>
            <w:pPr>
              <w:jc w:val="center"/>
              <w:rPr>
                <w:sz w:val="18"/>
                <w:szCs w:val="18"/>
              </w:rPr>
            </w:pPr>
            <w:r>
              <w:rPr>
                <w:sz w:val="18"/>
                <w:szCs w:val="18"/>
              </w:rPr>
              <w:t>名称</w:t>
            </w:r>
          </w:p>
        </w:tc>
        <w:tc>
          <w:tcPr>
            <w:tcW w:w="4434" w:type="pct"/>
            <w:gridSpan w:val="13"/>
            <w:vAlign w:val="center"/>
          </w:tcPr>
          <w:p>
            <w:pPr>
              <w:jc w:val="center"/>
              <w:rPr>
                <w:sz w:val="18"/>
                <w:szCs w:val="18"/>
              </w:rPr>
            </w:pPr>
            <w:r>
              <w:rPr>
                <w:sz w:val="18"/>
                <w:szCs w:val="18"/>
              </w:rPr>
              <w:t>资阳市雁江区爱国居委会八组营业、住宅、车库用房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 w:hRule="atLeast"/>
        </w:trPr>
        <w:tc>
          <w:tcPr>
            <w:tcW w:w="219" w:type="pct"/>
            <w:vMerge w:val="continue"/>
          </w:tcPr>
          <w:p>
            <w:pPr>
              <w:rPr>
                <w:sz w:val="18"/>
                <w:szCs w:val="18"/>
              </w:rPr>
            </w:pPr>
          </w:p>
        </w:tc>
        <w:tc>
          <w:tcPr>
            <w:tcW w:w="347" w:type="pct"/>
            <w:gridSpan w:val="2"/>
            <w:vAlign w:val="center"/>
          </w:tcPr>
          <w:p>
            <w:pPr>
              <w:jc w:val="center"/>
              <w:rPr>
                <w:sz w:val="18"/>
                <w:szCs w:val="18"/>
              </w:rPr>
            </w:pPr>
            <w:r>
              <w:rPr>
                <w:sz w:val="18"/>
                <w:szCs w:val="18"/>
              </w:rPr>
              <w:t>坐落</w:t>
            </w:r>
          </w:p>
        </w:tc>
        <w:tc>
          <w:tcPr>
            <w:tcW w:w="4434" w:type="pct"/>
            <w:gridSpan w:val="13"/>
            <w:vAlign w:val="center"/>
          </w:tcPr>
          <w:p>
            <w:pPr>
              <w:jc w:val="center"/>
              <w:rPr>
                <w:sz w:val="18"/>
                <w:szCs w:val="18"/>
              </w:rPr>
            </w:pPr>
            <w:r>
              <w:rPr>
                <w:sz w:val="18"/>
                <w:szCs w:val="18"/>
              </w:rPr>
              <w:t>资阳市雁江区爱国居委会八组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347" w:type="pct"/>
            <w:gridSpan w:val="2"/>
            <w:vAlign w:val="center"/>
          </w:tcPr>
          <w:p>
            <w:pPr>
              <w:jc w:val="center"/>
              <w:rPr>
                <w:sz w:val="18"/>
                <w:szCs w:val="18"/>
              </w:rPr>
            </w:pPr>
            <w:r>
              <w:rPr>
                <w:sz w:val="18"/>
                <w:szCs w:val="18"/>
              </w:rPr>
              <w:t>规模</w:t>
            </w:r>
          </w:p>
        </w:tc>
        <w:tc>
          <w:tcPr>
            <w:tcW w:w="751" w:type="pct"/>
            <w:gridSpan w:val="2"/>
            <w:vAlign w:val="center"/>
          </w:tcPr>
          <w:p>
            <w:pPr>
              <w:jc w:val="center"/>
              <w:rPr>
                <w:spacing w:val="-12"/>
                <w:sz w:val="18"/>
                <w:szCs w:val="18"/>
              </w:rPr>
            </w:pPr>
            <w:r>
              <w:rPr>
                <w:spacing w:val="-12"/>
                <w:sz w:val="18"/>
                <w:szCs w:val="18"/>
              </w:rPr>
              <w:t>土地面积</w:t>
            </w:r>
          </w:p>
        </w:tc>
        <w:tc>
          <w:tcPr>
            <w:tcW w:w="1020" w:type="pct"/>
            <w:gridSpan w:val="3"/>
            <w:vAlign w:val="center"/>
          </w:tcPr>
          <w:p>
            <w:pPr>
              <w:jc w:val="center"/>
              <w:rPr>
                <w:sz w:val="18"/>
                <w:szCs w:val="18"/>
              </w:rPr>
            </w:pPr>
            <w:r>
              <w:rPr>
                <w:sz w:val="18"/>
                <w:szCs w:val="18"/>
              </w:rPr>
              <w:t>合计56.92㎡</w:t>
            </w:r>
          </w:p>
        </w:tc>
        <w:tc>
          <w:tcPr>
            <w:tcW w:w="665" w:type="pct"/>
            <w:gridSpan w:val="3"/>
            <w:vAlign w:val="center"/>
          </w:tcPr>
          <w:p>
            <w:pPr>
              <w:jc w:val="center"/>
              <w:rPr>
                <w:sz w:val="18"/>
                <w:szCs w:val="18"/>
              </w:rPr>
            </w:pPr>
            <w:r>
              <w:rPr>
                <w:sz w:val="18"/>
                <w:szCs w:val="18"/>
              </w:rPr>
              <w:t>建筑面积</w:t>
            </w:r>
          </w:p>
        </w:tc>
        <w:tc>
          <w:tcPr>
            <w:tcW w:w="808" w:type="pct"/>
            <w:gridSpan w:val="2"/>
            <w:vAlign w:val="center"/>
          </w:tcPr>
          <w:p>
            <w:pPr>
              <w:jc w:val="center"/>
              <w:rPr>
                <w:sz w:val="18"/>
                <w:szCs w:val="18"/>
              </w:rPr>
            </w:pPr>
            <w:r>
              <w:rPr>
                <w:sz w:val="18"/>
                <w:szCs w:val="18"/>
              </w:rPr>
              <w:t>共计272.09㎡</w:t>
            </w:r>
          </w:p>
        </w:tc>
        <w:tc>
          <w:tcPr>
            <w:tcW w:w="673" w:type="pct"/>
            <w:vAlign w:val="center"/>
          </w:tcPr>
          <w:p>
            <w:pPr>
              <w:jc w:val="center"/>
              <w:rPr>
                <w:sz w:val="18"/>
                <w:szCs w:val="18"/>
              </w:rPr>
            </w:pPr>
            <w:r>
              <w:rPr>
                <w:sz w:val="18"/>
                <w:szCs w:val="18"/>
              </w:rPr>
              <w:t>其他</w:t>
            </w:r>
          </w:p>
        </w:tc>
        <w:tc>
          <w:tcPr>
            <w:tcW w:w="517" w:type="pct"/>
            <w:gridSpan w:val="2"/>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347" w:type="pct"/>
            <w:gridSpan w:val="2"/>
            <w:vMerge w:val="restart"/>
            <w:vAlign w:val="center"/>
          </w:tcPr>
          <w:p>
            <w:pPr>
              <w:jc w:val="center"/>
              <w:rPr>
                <w:sz w:val="18"/>
                <w:szCs w:val="18"/>
              </w:rPr>
            </w:pPr>
            <w:r>
              <w:rPr>
                <w:sz w:val="18"/>
                <w:szCs w:val="18"/>
              </w:rPr>
              <w:t>用途</w:t>
            </w:r>
          </w:p>
        </w:tc>
        <w:tc>
          <w:tcPr>
            <w:tcW w:w="751" w:type="pct"/>
            <w:gridSpan w:val="2"/>
            <w:vAlign w:val="center"/>
          </w:tcPr>
          <w:p>
            <w:pPr>
              <w:jc w:val="center"/>
              <w:rPr>
                <w:spacing w:val="-12"/>
                <w:sz w:val="18"/>
                <w:szCs w:val="18"/>
              </w:rPr>
            </w:pPr>
            <w:r>
              <w:rPr>
                <w:spacing w:val="-12"/>
                <w:sz w:val="18"/>
                <w:szCs w:val="18"/>
              </w:rPr>
              <w:t>规划用途</w:t>
            </w:r>
          </w:p>
        </w:tc>
        <w:tc>
          <w:tcPr>
            <w:tcW w:w="1685" w:type="pct"/>
            <w:gridSpan w:val="6"/>
            <w:vAlign w:val="center"/>
          </w:tcPr>
          <w:p>
            <w:pPr>
              <w:jc w:val="center"/>
              <w:rPr>
                <w:sz w:val="18"/>
                <w:szCs w:val="18"/>
              </w:rPr>
            </w:pPr>
            <w:r>
              <w:rPr>
                <w:sz w:val="18"/>
                <w:szCs w:val="18"/>
              </w:rPr>
              <w:t>商业用地/营业用房、住宅用地/住宅、住宅用地/车库</w:t>
            </w:r>
          </w:p>
        </w:tc>
        <w:tc>
          <w:tcPr>
            <w:tcW w:w="808" w:type="pct"/>
            <w:gridSpan w:val="2"/>
            <w:vAlign w:val="center"/>
          </w:tcPr>
          <w:p>
            <w:pPr>
              <w:jc w:val="center"/>
              <w:rPr>
                <w:sz w:val="18"/>
                <w:szCs w:val="18"/>
              </w:rPr>
            </w:pPr>
            <w:r>
              <w:rPr>
                <w:sz w:val="18"/>
                <w:szCs w:val="18"/>
              </w:rPr>
              <w:t>设计用途</w:t>
            </w:r>
          </w:p>
        </w:tc>
        <w:tc>
          <w:tcPr>
            <w:tcW w:w="1190" w:type="pct"/>
            <w:gridSpan w:val="3"/>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347" w:type="pct"/>
            <w:gridSpan w:val="2"/>
            <w:vMerge w:val="continue"/>
          </w:tcPr>
          <w:p>
            <w:pPr>
              <w:rPr>
                <w:sz w:val="18"/>
                <w:szCs w:val="18"/>
              </w:rPr>
            </w:pPr>
          </w:p>
        </w:tc>
        <w:tc>
          <w:tcPr>
            <w:tcW w:w="751" w:type="pct"/>
            <w:gridSpan w:val="2"/>
            <w:vAlign w:val="center"/>
          </w:tcPr>
          <w:p>
            <w:pPr>
              <w:jc w:val="center"/>
              <w:rPr>
                <w:spacing w:val="-12"/>
                <w:sz w:val="18"/>
                <w:szCs w:val="18"/>
              </w:rPr>
            </w:pPr>
            <w:r>
              <w:rPr>
                <w:spacing w:val="-12"/>
                <w:sz w:val="18"/>
                <w:szCs w:val="18"/>
              </w:rPr>
              <w:t>登记用途</w:t>
            </w:r>
          </w:p>
        </w:tc>
        <w:tc>
          <w:tcPr>
            <w:tcW w:w="1685" w:type="pct"/>
            <w:gridSpan w:val="6"/>
            <w:vAlign w:val="center"/>
          </w:tcPr>
          <w:p>
            <w:pPr>
              <w:jc w:val="center"/>
              <w:rPr>
                <w:sz w:val="18"/>
                <w:szCs w:val="18"/>
              </w:rPr>
            </w:pPr>
            <w:r>
              <w:rPr>
                <w:sz w:val="18"/>
                <w:szCs w:val="18"/>
              </w:rPr>
              <w:t>商业用地/营业用房、住宅用地/住宅、住宅用地/车库</w:t>
            </w:r>
          </w:p>
        </w:tc>
        <w:tc>
          <w:tcPr>
            <w:tcW w:w="808" w:type="pct"/>
            <w:gridSpan w:val="2"/>
            <w:vAlign w:val="center"/>
          </w:tcPr>
          <w:p>
            <w:pPr>
              <w:jc w:val="center"/>
              <w:rPr>
                <w:sz w:val="18"/>
                <w:szCs w:val="18"/>
              </w:rPr>
            </w:pPr>
            <w:r>
              <w:rPr>
                <w:sz w:val="18"/>
                <w:szCs w:val="18"/>
              </w:rPr>
              <w:t>实际用途</w:t>
            </w:r>
          </w:p>
        </w:tc>
        <w:tc>
          <w:tcPr>
            <w:tcW w:w="1190" w:type="pct"/>
            <w:gridSpan w:val="3"/>
            <w:vAlign w:val="center"/>
          </w:tcPr>
          <w:p>
            <w:pPr>
              <w:jc w:val="center"/>
              <w:rPr>
                <w:sz w:val="18"/>
                <w:szCs w:val="18"/>
              </w:rPr>
            </w:pPr>
            <w:r>
              <w:rPr>
                <w:sz w:val="18"/>
                <w:szCs w:val="18"/>
              </w:rPr>
              <w:t>商业用地/营业用房、住宅用地/住宅、住宅用地/车库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219" w:type="pct"/>
            <w:vMerge w:val="restart"/>
            <w:vAlign w:val="center"/>
          </w:tcPr>
          <w:p>
            <w:pPr>
              <w:jc w:val="center"/>
              <w:rPr>
                <w:sz w:val="18"/>
                <w:szCs w:val="18"/>
              </w:rPr>
            </w:pPr>
            <w:r>
              <w:rPr>
                <w:sz w:val="18"/>
                <w:szCs w:val="18"/>
              </w:rPr>
              <w:t>权属</w:t>
            </w:r>
          </w:p>
        </w:tc>
        <w:tc>
          <w:tcPr>
            <w:tcW w:w="879" w:type="pct"/>
            <w:gridSpan w:val="3"/>
            <w:vAlign w:val="center"/>
          </w:tcPr>
          <w:p>
            <w:pPr>
              <w:jc w:val="center"/>
              <w:rPr>
                <w:sz w:val="18"/>
                <w:szCs w:val="18"/>
              </w:rPr>
            </w:pPr>
            <w:r>
              <w:rPr>
                <w:sz w:val="18"/>
                <w:szCs w:val="18"/>
              </w:rPr>
              <w:t>土地所有权</w:t>
            </w:r>
          </w:p>
        </w:tc>
        <w:tc>
          <w:tcPr>
            <w:tcW w:w="438" w:type="pct"/>
            <w:vAlign w:val="center"/>
          </w:tcPr>
          <w:p>
            <w:pPr>
              <w:jc w:val="center"/>
              <w:rPr>
                <w:spacing w:val="-10"/>
                <w:sz w:val="18"/>
                <w:szCs w:val="18"/>
              </w:rPr>
            </w:pPr>
            <w:r>
              <w:rPr>
                <w:spacing w:val="-10"/>
                <w:sz w:val="18"/>
                <w:szCs w:val="18"/>
              </w:rPr>
              <w:t>国有土地</w:t>
            </w:r>
          </w:p>
        </w:tc>
        <w:tc>
          <w:tcPr>
            <w:tcW w:w="1247" w:type="pct"/>
            <w:gridSpan w:val="5"/>
            <w:vAlign w:val="center"/>
          </w:tcPr>
          <w:p>
            <w:pPr>
              <w:jc w:val="center"/>
              <w:rPr>
                <w:sz w:val="18"/>
                <w:szCs w:val="18"/>
              </w:rPr>
            </w:pPr>
            <w:r>
              <w:rPr>
                <w:sz w:val="18"/>
                <w:szCs w:val="18"/>
              </w:rPr>
              <w:t>是</w:t>
            </w:r>
          </w:p>
        </w:tc>
        <w:tc>
          <w:tcPr>
            <w:tcW w:w="808" w:type="pct"/>
            <w:gridSpan w:val="2"/>
            <w:vAlign w:val="center"/>
          </w:tcPr>
          <w:p>
            <w:pPr>
              <w:jc w:val="center"/>
              <w:rPr>
                <w:sz w:val="18"/>
                <w:szCs w:val="18"/>
              </w:rPr>
            </w:pPr>
            <w:r>
              <w:rPr>
                <w:sz w:val="18"/>
                <w:szCs w:val="18"/>
              </w:rPr>
              <w:t>集体土地</w:t>
            </w:r>
          </w:p>
        </w:tc>
        <w:tc>
          <w:tcPr>
            <w:tcW w:w="1190" w:type="pct"/>
            <w:gridSpan w:val="3"/>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219" w:type="pct"/>
            <w:vMerge w:val="continue"/>
          </w:tcPr>
          <w:p>
            <w:pPr>
              <w:rPr>
                <w:sz w:val="18"/>
                <w:szCs w:val="18"/>
              </w:rPr>
            </w:pPr>
          </w:p>
        </w:tc>
        <w:tc>
          <w:tcPr>
            <w:tcW w:w="346" w:type="pct"/>
            <w:gridSpan w:val="2"/>
            <w:vMerge w:val="restart"/>
            <w:vAlign w:val="center"/>
          </w:tcPr>
          <w:p>
            <w:pPr>
              <w:jc w:val="center"/>
              <w:rPr>
                <w:sz w:val="18"/>
                <w:szCs w:val="18"/>
              </w:rPr>
            </w:pPr>
            <w:r>
              <w:rPr>
                <w:sz w:val="18"/>
                <w:szCs w:val="18"/>
              </w:rPr>
              <w:t>土地使用权</w:t>
            </w:r>
          </w:p>
        </w:tc>
        <w:tc>
          <w:tcPr>
            <w:tcW w:w="533" w:type="pct"/>
            <w:vMerge w:val="restart"/>
            <w:vAlign w:val="center"/>
          </w:tcPr>
          <w:p>
            <w:pPr>
              <w:jc w:val="center"/>
              <w:rPr>
                <w:sz w:val="18"/>
                <w:szCs w:val="18"/>
              </w:rPr>
            </w:pPr>
            <w:r>
              <w:rPr>
                <w:sz w:val="18"/>
                <w:szCs w:val="18"/>
              </w:rPr>
              <w:t>权利</w:t>
            </w:r>
          </w:p>
          <w:p>
            <w:pPr>
              <w:jc w:val="center"/>
              <w:rPr>
                <w:sz w:val="18"/>
                <w:szCs w:val="18"/>
              </w:rPr>
            </w:pPr>
            <w:r>
              <w:rPr>
                <w:sz w:val="18"/>
                <w:szCs w:val="18"/>
              </w:rPr>
              <w:t>种类</w:t>
            </w:r>
          </w:p>
        </w:tc>
        <w:tc>
          <w:tcPr>
            <w:tcW w:w="438" w:type="pct"/>
            <w:vMerge w:val="restart"/>
            <w:vAlign w:val="center"/>
          </w:tcPr>
          <w:p>
            <w:pPr>
              <w:jc w:val="center"/>
              <w:rPr>
                <w:sz w:val="18"/>
                <w:szCs w:val="18"/>
              </w:rPr>
            </w:pPr>
            <w:r>
              <w:rPr>
                <w:sz w:val="18"/>
                <w:szCs w:val="18"/>
              </w:rPr>
              <w:t>建设用地使用权</w:t>
            </w:r>
          </w:p>
        </w:tc>
        <w:tc>
          <w:tcPr>
            <w:tcW w:w="369" w:type="pct"/>
            <w:vAlign w:val="center"/>
          </w:tcPr>
          <w:p>
            <w:pPr>
              <w:jc w:val="center"/>
              <w:rPr>
                <w:sz w:val="18"/>
                <w:szCs w:val="18"/>
              </w:rPr>
            </w:pPr>
            <w:r>
              <w:rPr>
                <w:sz w:val="18"/>
                <w:szCs w:val="18"/>
              </w:rPr>
              <w:t>出让</w:t>
            </w:r>
          </w:p>
        </w:tc>
        <w:tc>
          <w:tcPr>
            <w:tcW w:w="279" w:type="pct"/>
            <w:gridSpan w:val="2"/>
            <w:vAlign w:val="center"/>
          </w:tcPr>
          <w:p>
            <w:pPr>
              <w:jc w:val="center"/>
              <w:rPr>
                <w:sz w:val="18"/>
                <w:szCs w:val="18"/>
              </w:rPr>
            </w:pPr>
            <w:r>
              <w:rPr>
                <w:sz w:val="18"/>
                <w:szCs w:val="18"/>
              </w:rPr>
              <w:t>是</w:t>
            </w:r>
          </w:p>
        </w:tc>
        <w:tc>
          <w:tcPr>
            <w:tcW w:w="293" w:type="pct"/>
            <w:vAlign w:val="center"/>
          </w:tcPr>
          <w:p>
            <w:pPr>
              <w:jc w:val="center"/>
              <w:rPr>
                <w:spacing w:val="-10"/>
                <w:sz w:val="18"/>
                <w:szCs w:val="18"/>
              </w:rPr>
            </w:pPr>
            <w:r>
              <w:rPr>
                <w:sz w:val="18"/>
                <w:szCs w:val="18"/>
              </w:rPr>
              <w:t>划拨</w:t>
            </w:r>
          </w:p>
        </w:tc>
        <w:tc>
          <w:tcPr>
            <w:tcW w:w="306" w:type="pct"/>
            <w:vAlign w:val="center"/>
          </w:tcPr>
          <w:p>
            <w:pPr>
              <w:jc w:val="center"/>
              <w:rPr>
                <w:sz w:val="18"/>
                <w:szCs w:val="18"/>
              </w:rPr>
            </w:pPr>
            <w:r>
              <w:rPr>
                <w:sz w:val="18"/>
                <w:szCs w:val="18"/>
              </w:rPr>
              <w:t>/</w:t>
            </w:r>
          </w:p>
        </w:tc>
        <w:tc>
          <w:tcPr>
            <w:tcW w:w="382" w:type="pct"/>
            <w:vAlign w:val="center"/>
          </w:tcPr>
          <w:p>
            <w:pPr>
              <w:jc w:val="center"/>
              <w:rPr>
                <w:spacing w:val="-10"/>
                <w:sz w:val="18"/>
                <w:szCs w:val="18"/>
              </w:rPr>
            </w:pPr>
            <w:r>
              <w:rPr>
                <w:spacing w:val="-10"/>
                <w:sz w:val="18"/>
                <w:szCs w:val="18"/>
              </w:rPr>
              <w:t>租赁</w:t>
            </w:r>
          </w:p>
        </w:tc>
        <w:tc>
          <w:tcPr>
            <w:tcW w:w="426" w:type="pct"/>
            <w:vAlign w:val="center"/>
          </w:tcPr>
          <w:p>
            <w:pPr>
              <w:jc w:val="center"/>
              <w:rPr>
                <w:sz w:val="18"/>
                <w:szCs w:val="18"/>
              </w:rPr>
            </w:pPr>
            <w:r>
              <w:rPr>
                <w:sz w:val="18"/>
                <w:szCs w:val="18"/>
              </w:rPr>
              <w:t>否</w:t>
            </w:r>
          </w:p>
        </w:tc>
        <w:tc>
          <w:tcPr>
            <w:tcW w:w="857" w:type="pct"/>
            <w:gridSpan w:val="2"/>
            <w:vAlign w:val="center"/>
          </w:tcPr>
          <w:p>
            <w:pPr>
              <w:jc w:val="center"/>
              <w:rPr>
                <w:spacing w:val="-8"/>
                <w:sz w:val="18"/>
                <w:szCs w:val="18"/>
              </w:rPr>
            </w:pPr>
            <w:r>
              <w:rPr>
                <w:spacing w:val="-8"/>
                <w:sz w:val="18"/>
                <w:szCs w:val="18"/>
              </w:rPr>
              <w:t>宅基地使用权</w:t>
            </w:r>
          </w:p>
        </w:tc>
        <w:tc>
          <w:tcPr>
            <w:tcW w:w="333" w:type="pct"/>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219" w:type="pct"/>
            <w:vMerge w:val="continue"/>
          </w:tcPr>
          <w:p>
            <w:pPr>
              <w:rPr>
                <w:sz w:val="18"/>
                <w:szCs w:val="18"/>
              </w:rPr>
            </w:pPr>
          </w:p>
        </w:tc>
        <w:tc>
          <w:tcPr>
            <w:tcW w:w="346" w:type="pct"/>
            <w:gridSpan w:val="2"/>
            <w:vMerge w:val="continue"/>
            <w:vAlign w:val="center"/>
          </w:tcPr>
          <w:p>
            <w:pPr>
              <w:jc w:val="center"/>
              <w:rPr>
                <w:sz w:val="18"/>
                <w:szCs w:val="18"/>
              </w:rPr>
            </w:pPr>
          </w:p>
        </w:tc>
        <w:tc>
          <w:tcPr>
            <w:tcW w:w="533" w:type="pct"/>
            <w:vMerge w:val="continue"/>
            <w:vAlign w:val="center"/>
          </w:tcPr>
          <w:p>
            <w:pPr>
              <w:jc w:val="center"/>
              <w:rPr>
                <w:sz w:val="18"/>
                <w:szCs w:val="18"/>
              </w:rPr>
            </w:pPr>
          </w:p>
        </w:tc>
        <w:tc>
          <w:tcPr>
            <w:tcW w:w="438" w:type="pct"/>
            <w:vMerge w:val="continue"/>
            <w:vAlign w:val="center"/>
          </w:tcPr>
          <w:p>
            <w:pPr>
              <w:jc w:val="center"/>
              <w:rPr>
                <w:sz w:val="18"/>
                <w:szCs w:val="18"/>
              </w:rPr>
            </w:pPr>
          </w:p>
        </w:tc>
        <w:tc>
          <w:tcPr>
            <w:tcW w:w="648" w:type="pct"/>
            <w:gridSpan w:val="3"/>
            <w:vAlign w:val="center"/>
          </w:tcPr>
          <w:p>
            <w:pPr>
              <w:jc w:val="center"/>
              <w:rPr>
                <w:spacing w:val="-8"/>
                <w:sz w:val="18"/>
                <w:szCs w:val="18"/>
              </w:rPr>
            </w:pPr>
            <w:r>
              <w:rPr>
                <w:spacing w:val="-8"/>
                <w:sz w:val="18"/>
                <w:szCs w:val="18"/>
              </w:rPr>
              <w:t>作价出资入股</w:t>
            </w:r>
          </w:p>
        </w:tc>
        <w:tc>
          <w:tcPr>
            <w:tcW w:w="293" w:type="pct"/>
            <w:vAlign w:val="center"/>
          </w:tcPr>
          <w:p>
            <w:pPr>
              <w:jc w:val="center"/>
              <w:rPr>
                <w:sz w:val="18"/>
                <w:szCs w:val="18"/>
              </w:rPr>
            </w:pPr>
            <w:r>
              <w:rPr>
                <w:sz w:val="18"/>
                <w:szCs w:val="18"/>
              </w:rPr>
              <w:t>/</w:t>
            </w:r>
          </w:p>
        </w:tc>
        <w:tc>
          <w:tcPr>
            <w:tcW w:w="306" w:type="pct"/>
            <w:vAlign w:val="center"/>
          </w:tcPr>
          <w:p>
            <w:pPr>
              <w:jc w:val="center"/>
              <w:rPr>
                <w:sz w:val="18"/>
                <w:szCs w:val="18"/>
              </w:rPr>
            </w:pPr>
            <w:r>
              <w:rPr>
                <w:sz w:val="18"/>
                <w:szCs w:val="18"/>
              </w:rPr>
              <w:t>其他</w:t>
            </w:r>
          </w:p>
        </w:tc>
        <w:tc>
          <w:tcPr>
            <w:tcW w:w="808" w:type="pct"/>
            <w:gridSpan w:val="2"/>
            <w:vAlign w:val="center"/>
          </w:tcPr>
          <w:p>
            <w:pPr>
              <w:jc w:val="center"/>
              <w:rPr>
                <w:sz w:val="18"/>
                <w:szCs w:val="18"/>
              </w:rPr>
            </w:pPr>
            <w:r>
              <w:rPr>
                <w:sz w:val="18"/>
                <w:szCs w:val="18"/>
              </w:rPr>
              <w:t>/</w:t>
            </w:r>
          </w:p>
        </w:tc>
        <w:tc>
          <w:tcPr>
            <w:tcW w:w="857" w:type="pct"/>
            <w:gridSpan w:val="2"/>
            <w:vAlign w:val="center"/>
          </w:tcPr>
          <w:p>
            <w:pPr>
              <w:jc w:val="center"/>
              <w:rPr>
                <w:spacing w:val="-8"/>
                <w:sz w:val="18"/>
                <w:szCs w:val="18"/>
              </w:rPr>
            </w:pPr>
            <w:r>
              <w:rPr>
                <w:spacing w:val="-8"/>
                <w:sz w:val="18"/>
                <w:szCs w:val="18"/>
              </w:rPr>
              <w:t>土地承包经营权</w:t>
            </w:r>
          </w:p>
        </w:tc>
        <w:tc>
          <w:tcPr>
            <w:tcW w:w="333" w:type="pct"/>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219" w:type="pct"/>
            <w:vMerge w:val="continue"/>
          </w:tcPr>
          <w:p>
            <w:pPr>
              <w:rPr>
                <w:sz w:val="18"/>
                <w:szCs w:val="18"/>
              </w:rPr>
            </w:pPr>
          </w:p>
        </w:tc>
        <w:tc>
          <w:tcPr>
            <w:tcW w:w="346" w:type="pct"/>
            <w:gridSpan w:val="2"/>
            <w:vMerge w:val="continue"/>
            <w:vAlign w:val="center"/>
          </w:tcPr>
          <w:p>
            <w:pPr>
              <w:jc w:val="center"/>
              <w:rPr>
                <w:sz w:val="18"/>
                <w:szCs w:val="18"/>
              </w:rPr>
            </w:pPr>
          </w:p>
        </w:tc>
        <w:tc>
          <w:tcPr>
            <w:tcW w:w="533" w:type="pct"/>
            <w:vAlign w:val="center"/>
          </w:tcPr>
          <w:p>
            <w:pPr>
              <w:jc w:val="center"/>
              <w:rPr>
                <w:spacing w:val="-14"/>
                <w:sz w:val="18"/>
                <w:szCs w:val="18"/>
              </w:rPr>
            </w:pPr>
            <w:r>
              <w:rPr>
                <w:spacing w:val="-14"/>
                <w:sz w:val="18"/>
                <w:szCs w:val="18"/>
              </w:rPr>
              <w:t>权利人</w:t>
            </w:r>
          </w:p>
        </w:tc>
        <w:tc>
          <w:tcPr>
            <w:tcW w:w="3682" w:type="pct"/>
            <w:gridSpan w:val="11"/>
            <w:vAlign w:val="center"/>
          </w:tcPr>
          <w:p>
            <w:pPr>
              <w:jc w:val="center"/>
              <w:rPr>
                <w:sz w:val="18"/>
                <w:szCs w:val="18"/>
              </w:rPr>
            </w:pPr>
            <w:r>
              <w:rPr>
                <w:sz w:val="18"/>
                <w:szCs w:val="18"/>
              </w:rPr>
              <w:t>周莉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219" w:type="pct"/>
            <w:vMerge w:val="continue"/>
          </w:tcPr>
          <w:p>
            <w:pPr>
              <w:rPr>
                <w:sz w:val="18"/>
                <w:szCs w:val="18"/>
              </w:rPr>
            </w:pPr>
          </w:p>
        </w:tc>
        <w:tc>
          <w:tcPr>
            <w:tcW w:w="219" w:type="pct"/>
            <w:vMerge w:val="continue"/>
          </w:tcPr>
          <w:p>
            <w:pPr>
              <w:rPr>
                <w:sz w:val="18"/>
                <w:szCs w:val="18"/>
              </w:rPr>
            </w:pPr>
          </w:p>
        </w:tc>
        <w:tc>
          <w:tcPr>
            <w:tcW w:w="879" w:type="pct"/>
            <w:gridSpan w:val="3"/>
            <w:vAlign w:val="center"/>
          </w:tcPr>
          <w:p>
            <w:pPr>
              <w:jc w:val="center"/>
              <w:rPr>
                <w:spacing w:val="-14"/>
                <w:sz w:val="18"/>
                <w:szCs w:val="18"/>
              </w:rPr>
            </w:pPr>
            <w:r>
              <w:rPr>
                <w:sz w:val="18"/>
                <w:szCs w:val="18"/>
              </w:rPr>
              <w:t>土地使用权人</w:t>
            </w:r>
          </w:p>
        </w:tc>
        <w:tc>
          <w:tcPr>
            <w:tcW w:w="3682" w:type="pct"/>
            <w:gridSpan w:val="11"/>
            <w:vAlign w:val="center"/>
          </w:tcPr>
          <w:p>
            <w:pPr>
              <w:jc w:val="center"/>
              <w:rPr>
                <w:sz w:val="18"/>
                <w:szCs w:val="18"/>
              </w:rPr>
            </w:pPr>
            <w:r>
              <w:rPr>
                <w:sz w:val="18"/>
                <w:szCs w:val="18"/>
              </w:rPr>
              <w:t>周莉</w:t>
            </w:r>
          </w:p>
        </w:tc>
      </w:tr>
    </w:tbl>
    <w:p>
      <w:pPr>
        <w:spacing w:line="600" w:lineRule="exact"/>
        <w:ind w:firstLine="560" w:firstLineChars="200"/>
        <w:jc w:val="left"/>
        <w:rPr>
          <w:sz w:val="28"/>
          <w:szCs w:val="28"/>
        </w:rPr>
      </w:pPr>
      <w:r>
        <w:rPr>
          <w:sz w:val="28"/>
          <w:szCs w:val="28"/>
        </w:rPr>
        <w:t>3、估价对象实物状况</w:t>
      </w:r>
    </w:p>
    <w:p>
      <w:pPr>
        <w:spacing w:line="600" w:lineRule="exact"/>
        <w:ind w:firstLine="560" w:firstLineChars="200"/>
        <w:jc w:val="left"/>
        <w:rPr>
          <w:sz w:val="28"/>
        </w:rPr>
      </w:pPr>
      <w:r>
        <w:rPr>
          <w:sz w:val="28"/>
        </w:rPr>
        <w:t>根据估价</w:t>
      </w:r>
      <w:r>
        <w:rPr>
          <w:sz w:val="28"/>
          <w:szCs w:val="28"/>
        </w:rPr>
        <w:t>委托人提供的相关权属资料，申请执行方代表及被执行方代表</w:t>
      </w:r>
      <w:r>
        <w:rPr>
          <w:sz w:val="28"/>
        </w:rPr>
        <w:t>带领注册房地产估价师实地查勘，估价对象实物状况如下：</w:t>
      </w:r>
    </w:p>
    <w:p>
      <w:pPr>
        <w:spacing w:line="600" w:lineRule="exact"/>
        <w:jc w:val="left"/>
        <w:rPr>
          <w:sz w:val="28"/>
          <w:szCs w:val="28"/>
        </w:rPr>
      </w:pPr>
      <w:r>
        <w:rPr>
          <w:sz w:val="28"/>
          <w:szCs w:val="28"/>
        </w:rPr>
        <w:t>（1）土地实物状况描述</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59" w:type="pct"/>
            <w:vAlign w:val="center"/>
          </w:tcPr>
          <w:p>
            <w:pPr>
              <w:spacing w:line="340" w:lineRule="exact"/>
              <w:jc w:val="center"/>
              <w:rPr>
                <w:sz w:val="18"/>
                <w:szCs w:val="18"/>
              </w:rPr>
            </w:pPr>
            <w:r>
              <w:rPr>
                <w:sz w:val="18"/>
                <w:szCs w:val="18"/>
              </w:rPr>
              <w:t>估价对象</w:t>
            </w:r>
          </w:p>
        </w:tc>
        <w:tc>
          <w:tcPr>
            <w:tcW w:w="3841" w:type="pct"/>
            <w:vAlign w:val="center"/>
          </w:tcPr>
          <w:p>
            <w:pPr>
              <w:spacing w:line="340" w:lineRule="exact"/>
              <w:jc w:val="center"/>
              <w:rPr>
                <w:sz w:val="18"/>
                <w:szCs w:val="18"/>
              </w:rPr>
            </w:pPr>
            <w:r>
              <w:rPr>
                <w:sz w:val="18"/>
                <w:szCs w:val="18"/>
              </w:rPr>
              <w:t>资阳市雁江区爱国居委会八组营业、住宅、车库用房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59" w:type="pct"/>
            <w:vAlign w:val="center"/>
          </w:tcPr>
          <w:p>
            <w:pPr>
              <w:spacing w:line="340" w:lineRule="exact"/>
              <w:jc w:val="center"/>
              <w:rPr>
                <w:sz w:val="18"/>
                <w:szCs w:val="18"/>
              </w:rPr>
            </w:pPr>
            <w:r>
              <w:rPr>
                <w:sz w:val="18"/>
                <w:szCs w:val="18"/>
              </w:rPr>
              <w:t>四至</w:t>
            </w:r>
          </w:p>
        </w:tc>
        <w:tc>
          <w:tcPr>
            <w:tcW w:w="3841" w:type="pct"/>
            <w:vAlign w:val="center"/>
          </w:tcPr>
          <w:p>
            <w:pPr>
              <w:spacing w:line="340" w:lineRule="exact"/>
              <w:ind w:firstLine="360" w:firstLineChars="200"/>
              <w:jc w:val="left"/>
              <w:rPr>
                <w:sz w:val="18"/>
                <w:szCs w:val="18"/>
                <w:lang w:val="zh-CN"/>
              </w:rPr>
            </w:pPr>
            <w:r>
              <w:rPr>
                <w:sz w:val="18"/>
                <w:szCs w:val="18"/>
                <w:lang w:val="zh-CN"/>
              </w:rPr>
              <w:t>据注册房地产估价师实地查勘，估价对象所在项目宗地东南临松涛路、西南临仁德东路、西北临新城路、东北临台阳路。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59" w:type="pct"/>
            <w:vAlign w:val="center"/>
          </w:tcPr>
          <w:p>
            <w:pPr>
              <w:spacing w:line="340" w:lineRule="exact"/>
              <w:jc w:val="center"/>
              <w:rPr>
                <w:sz w:val="18"/>
                <w:szCs w:val="18"/>
              </w:rPr>
            </w:pPr>
            <w:r>
              <w:rPr>
                <w:sz w:val="18"/>
                <w:szCs w:val="18"/>
              </w:rPr>
              <w:t>土地使用权面积</w:t>
            </w:r>
          </w:p>
        </w:tc>
        <w:tc>
          <w:tcPr>
            <w:tcW w:w="3841" w:type="pct"/>
            <w:vAlign w:val="center"/>
          </w:tcPr>
          <w:p>
            <w:pPr>
              <w:spacing w:line="340" w:lineRule="exact"/>
              <w:jc w:val="center"/>
              <w:rPr>
                <w:sz w:val="18"/>
                <w:szCs w:val="18"/>
              </w:rPr>
            </w:pPr>
            <w:r>
              <w:rPr>
                <w:sz w:val="18"/>
                <w:szCs w:val="18"/>
              </w:rPr>
              <w:t>合计56.92㎡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59" w:type="pct"/>
            <w:vAlign w:val="center"/>
          </w:tcPr>
          <w:p>
            <w:pPr>
              <w:spacing w:line="340" w:lineRule="exact"/>
              <w:jc w:val="center"/>
              <w:rPr>
                <w:sz w:val="18"/>
                <w:szCs w:val="18"/>
              </w:rPr>
            </w:pPr>
            <w:r>
              <w:rPr>
                <w:sz w:val="18"/>
                <w:szCs w:val="18"/>
              </w:rPr>
              <w:t>形状</w:t>
            </w:r>
          </w:p>
        </w:tc>
        <w:tc>
          <w:tcPr>
            <w:tcW w:w="3841" w:type="pct"/>
            <w:vAlign w:val="center"/>
          </w:tcPr>
          <w:p>
            <w:pPr>
              <w:spacing w:line="340" w:lineRule="exact"/>
              <w:jc w:val="center"/>
              <w:rPr>
                <w:sz w:val="18"/>
                <w:szCs w:val="18"/>
              </w:rPr>
            </w:pPr>
            <w:r>
              <w:rPr>
                <w:sz w:val="18"/>
                <w:szCs w:val="18"/>
              </w:rPr>
              <w:t>所在宗地为较规则多边形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59" w:type="pct"/>
            <w:vAlign w:val="center"/>
          </w:tcPr>
          <w:p>
            <w:pPr>
              <w:spacing w:line="340" w:lineRule="exact"/>
              <w:jc w:val="center"/>
              <w:rPr>
                <w:sz w:val="18"/>
                <w:szCs w:val="18"/>
              </w:rPr>
            </w:pPr>
            <w:r>
              <w:rPr>
                <w:sz w:val="18"/>
                <w:szCs w:val="18"/>
              </w:rPr>
              <w:t>土壤</w:t>
            </w:r>
          </w:p>
        </w:tc>
        <w:tc>
          <w:tcPr>
            <w:tcW w:w="3841" w:type="pct"/>
            <w:vAlign w:val="center"/>
          </w:tcPr>
          <w:p>
            <w:pPr>
              <w:spacing w:line="340" w:lineRule="exact"/>
              <w:jc w:val="center"/>
              <w:rPr>
                <w:sz w:val="18"/>
                <w:szCs w:val="18"/>
              </w:rPr>
            </w:pPr>
            <w:r>
              <w:rPr>
                <w:sz w:val="18"/>
                <w:szCs w:val="18"/>
              </w:rPr>
              <w:t>无污染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59" w:type="pct"/>
            <w:vAlign w:val="center"/>
          </w:tcPr>
          <w:p>
            <w:pPr>
              <w:spacing w:line="340" w:lineRule="exact"/>
              <w:jc w:val="center"/>
              <w:rPr>
                <w:sz w:val="18"/>
                <w:szCs w:val="18"/>
              </w:rPr>
            </w:pPr>
            <w:r>
              <w:rPr>
                <w:sz w:val="18"/>
                <w:szCs w:val="18"/>
              </w:rPr>
              <w:t>地形、地势及工程地质</w:t>
            </w:r>
          </w:p>
        </w:tc>
        <w:tc>
          <w:tcPr>
            <w:tcW w:w="3841" w:type="pct"/>
            <w:vAlign w:val="center"/>
          </w:tcPr>
          <w:p>
            <w:pPr>
              <w:spacing w:line="300" w:lineRule="exact"/>
              <w:jc w:val="center"/>
              <w:rPr>
                <w:sz w:val="18"/>
                <w:szCs w:val="18"/>
              </w:rPr>
            </w:pPr>
            <w:r>
              <w:rPr>
                <w:sz w:val="18"/>
                <w:szCs w:val="18"/>
              </w:rPr>
              <w:t>所在宗地地形平坦，无影响建筑修建的不良地势、地质和水文状况。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59" w:type="pct"/>
            <w:vAlign w:val="center"/>
          </w:tcPr>
          <w:p>
            <w:pPr>
              <w:spacing w:line="340" w:lineRule="exact"/>
              <w:jc w:val="center"/>
              <w:rPr>
                <w:sz w:val="18"/>
                <w:szCs w:val="18"/>
              </w:rPr>
            </w:pPr>
            <w:r>
              <w:rPr>
                <w:sz w:val="18"/>
                <w:szCs w:val="18"/>
              </w:rPr>
              <w:t>开发程度</w:t>
            </w:r>
          </w:p>
        </w:tc>
        <w:tc>
          <w:tcPr>
            <w:tcW w:w="3841" w:type="pct"/>
            <w:vAlign w:val="center"/>
          </w:tcPr>
          <w:p>
            <w:pPr>
              <w:snapToGrid w:val="0"/>
              <w:spacing w:line="340" w:lineRule="exact"/>
              <w:ind w:firstLine="360" w:firstLineChars="200"/>
              <w:jc w:val="left"/>
              <w:rPr>
                <w:sz w:val="18"/>
                <w:szCs w:val="18"/>
              </w:rPr>
            </w:pPr>
            <w:r>
              <w:rPr>
                <w:sz w:val="18"/>
                <w:szCs w:val="18"/>
              </w:rPr>
              <w:t>所在宗地的宗地外开发程度达“六通”（通上水、通下水、通电、通路、通讯、通气），宗地内开发程度达“六通一平”（通上水、通下水、通气、通电、通路、通讯及场地平整）。</w:t>
            </w:r>
          </w:p>
        </w:tc>
      </w:tr>
    </w:tbl>
    <w:p>
      <w:pPr>
        <w:spacing w:after="156" w:afterLines="50" w:line="640" w:lineRule="exact"/>
        <w:ind w:firstLine="420" w:firstLineChars="150"/>
        <w:jc w:val="left"/>
        <w:rPr>
          <w:sz w:val="28"/>
        </w:rPr>
      </w:pPr>
      <w:r>
        <w:rPr>
          <w:sz w:val="28"/>
        </w:rPr>
        <w:t>（2）建筑物实物状况</w:t>
      </w:r>
    </w:p>
    <w:tbl>
      <w:tblPr>
        <w:tblStyle w:val="44"/>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3834"/>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b/>
                <w:sz w:val="18"/>
                <w:szCs w:val="18"/>
              </w:rPr>
            </w:pPr>
            <w:r>
              <w:rPr>
                <w:b/>
                <w:sz w:val="18"/>
                <w:szCs w:val="18"/>
              </w:rPr>
              <w:t>估价对象</w:t>
            </w:r>
          </w:p>
        </w:tc>
        <w:tc>
          <w:tcPr>
            <w:tcW w:w="2096" w:type="pct"/>
            <w:vAlign w:val="center"/>
          </w:tcPr>
          <w:p>
            <w:pPr>
              <w:spacing w:line="300" w:lineRule="exact"/>
              <w:jc w:val="center"/>
              <w:rPr>
                <w:b/>
                <w:sz w:val="18"/>
                <w:szCs w:val="18"/>
              </w:rPr>
            </w:pPr>
            <w:r>
              <w:rPr>
                <w:b/>
                <w:sz w:val="18"/>
                <w:szCs w:val="18"/>
              </w:rPr>
              <w:t>1</w:t>
            </w:r>
          </w:p>
        </w:tc>
        <w:tc>
          <w:tcPr>
            <w:tcW w:w="2066" w:type="pct"/>
            <w:vAlign w:val="center"/>
          </w:tcPr>
          <w:p>
            <w:pPr>
              <w:spacing w:line="300" w:lineRule="exact"/>
              <w:jc w:val="center"/>
              <w:rPr>
                <w:b/>
                <w:sz w:val="18"/>
                <w:szCs w:val="18"/>
              </w:rPr>
            </w:pPr>
            <w:r>
              <w:rPr>
                <w:b/>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规划用途</w:t>
            </w:r>
          </w:p>
        </w:tc>
        <w:tc>
          <w:tcPr>
            <w:tcW w:w="2096" w:type="pct"/>
            <w:vAlign w:val="center"/>
          </w:tcPr>
          <w:p>
            <w:pPr>
              <w:spacing w:line="300" w:lineRule="exact"/>
              <w:jc w:val="center"/>
              <w:rPr>
                <w:sz w:val="18"/>
                <w:szCs w:val="18"/>
              </w:rPr>
            </w:pPr>
            <w:r>
              <w:rPr>
                <w:sz w:val="18"/>
                <w:szCs w:val="18"/>
              </w:rPr>
              <w:t>营业用房</w:t>
            </w:r>
          </w:p>
        </w:tc>
        <w:tc>
          <w:tcPr>
            <w:tcW w:w="2066" w:type="pct"/>
            <w:vAlign w:val="center"/>
          </w:tcPr>
          <w:p>
            <w:pPr>
              <w:spacing w:line="300" w:lineRule="exact"/>
              <w:jc w:val="center"/>
              <w:rPr>
                <w:sz w:val="18"/>
                <w:szCs w:val="18"/>
              </w:rPr>
            </w:pPr>
            <w:r>
              <w:rPr>
                <w:sz w:val="18"/>
                <w:szCs w:val="18"/>
              </w:rPr>
              <w:t>营业用房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实际用途</w:t>
            </w:r>
          </w:p>
        </w:tc>
        <w:tc>
          <w:tcPr>
            <w:tcW w:w="2096" w:type="pct"/>
            <w:vAlign w:val="center"/>
          </w:tcPr>
          <w:p>
            <w:pPr>
              <w:spacing w:line="300" w:lineRule="exact"/>
              <w:jc w:val="center"/>
              <w:rPr>
                <w:sz w:val="18"/>
                <w:szCs w:val="18"/>
              </w:rPr>
            </w:pPr>
            <w:r>
              <w:rPr>
                <w:sz w:val="18"/>
                <w:szCs w:val="18"/>
              </w:rPr>
              <w:t>营业用房</w:t>
            </w:r>
          </w:p>
        </w:tc>
        <w:tc>
          <w:tcPr>
            <w:tcW w:w="2066" w:type="pct"/>
            <w:vAlign w:val="center"/>
          </w:tcPr>
          <w:p>
            <w:pPr>
              <w:spacing w:line="300" w:lineRule="exact"/>
              <w:jc w:val="center"/>
              <w:rPr>
                <w:sz w:val="18"/>
                <w:szCs w:val="18"/>
              </w:rPr>
            </w:pPr>
            <w:r>
              <w:rPr>
                <w:sz w:val="18"/>
                <w:szCs w:val="18"/>
              </w:rPr>
              <w:t>营业用房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rFonts w:hint="eastAsia"/>
                <w:sz w:val="18"/>
                <w:szCs w:val="18"/>
              </w:rPr>
              <w:t>使用状况</w:t>
            </w:r>
          </w:p>
        </w:tc>
        <w:tc>
          <w:tcPr>
            <w:tcW w:w="2096" w:type="pct"/>
            <w:vAlign w:val="center"/>
          </w:tcPr>
          <w:p>
            <w:pPr>
              <w:spacing w:line="300" w:lineRule="exact"/>
              <w:jc w:val="center"/>
              <w:rPr>
                <w:sz w:val="18"/>
                <w:szCs w:val="18"/>
              </w:rPr>
            </w:pPr>
            <w:r>
              <w:rPr>
                <w:rFonts w:hint="eastAsia"/>
                <w:sz w:val="18"/>
                <w:szCs w:val="18"/>
              </w:rPr>
              <w:t>出租</w:t>
            </w:r>
            <w:r>
              <w:rPr>
                <w:sz w:val="18"/>
                <w:szCs w:val="18"/>
              </w:rPr>
              <w:t>给袁正作为“袁正副食”经营使用</w:t>
            </w:r>
            <w:r>
              <w:rPr>
                <w:rFonts w:hint="eastAsia"/>
                <w:sz w:val="18"/>
                <w:szCs w:val="18"/>
              </w:rPr>
              <w:t>。</w:t>
            </w:r>
          </w:p>
        </w:tc>
        <w:tc>
          <w:tcPr>
            <w:tcW w:w="2066" w:type="pct"/>
            <w:vAlign w:val="center"/>
          </w:tcPr>
          <w:p>
            <w:pPr>
              <w:spacing w:line="300" w:lineRule="exact"/>
              <w:jc w:val="center"/>
              <w:rPr>
                <w:sz w:val="18"/>
                <w:szCs w:val="18"/>
              </w:rPr>
            </w:pPr>
            <w:r>
              <w:rPr>
                <w:sz w:val="18"/>
                <w:szCs w:val="18"/>
              </w:rPr>
              <w:t>已出租给周玉英作为“肥肠烤鱼”经营使用</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建筑结构</w:t>
            </w:r>
          </w:p>
        </w:tc>
        <w:tc>
          <w:tcPr>
            <w:tcW w:w="2096" w:type="pct"/>
            <w:vAlign w:val="center"/>
          </w:tcPr>
          <w:p>
            <w:pPr>
              <w:pStyle w:val="28"/>
              <w:pBdr>
                <w:bottom w:val="none" w:color="auto" w:sz="0" w:space="0"/>
              </w:pBdr>
              <w:tabs>
                <w:tab w:val="clear" w:pos="4153"/>
                <w:tab w:val="clear" w:pos="8306"/>
              </w:tabs>
              <w:snapToGrid/>
              <w:spacing w:line="300" w:lineRule="exact"/>
            </w:pPr>
            <w:r>
              <w:t>混合</w:t>
            </w:r>
          </w:p>
        </w:tc>
        <w:tc>
          <w:tcPr>
            <w:tcW w:w="2066" w:type="pct"/>
            <w:vAlign w:val="center"/>
          </w:tcPr>
          <w:p>
            <w:pPr>
              <w:pStyle w:val="28"/>
              <w:pBdr>
                <w:bottom w:val="none" w:color="auto" w:sz="0" w:space="0"/>
              </w:pBdr>
              <w:tabs>
                <w:tab w:val="clear" w:pos="4153"/>
                <w:tab w:val="clear" w:pos="8306"/>
              </w:tabs>
              <w:snapToGrid/>
              <w:spacing w:line="300" w:lineRule="exact"/>
            </w:pPr>
            <w: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建筑功能</w:t>
            </w:r>
          </w:p>
        </w:tc>
        <w:tc>
          <w:tcPr>
            <w:tcW w:w="2096" w:type="pct"/>
            <w:vAlign w:val="center"/>
          </w:tcPr>
          <w:p>
            <w:pPr>
              <w:spacing w:line="300" w:lineRule="exact"/>
              <w:jc w:val="center"/>
              <w:rPr>
                <w:spacing w:val="-6"/>
                <w:sz w:val="18"/>
                <w:szCs w:val="18"/>
              </w:rPr>
            </w:pPr>
            <w:r>
              <w:rPr>
                <w:spacing w:val="-6"/>
                <w:sz w:val="18"/>
                <w:szCs w:val="18"/>
              </w:rPr>
              <w:t>营业</w:t>
            </w:r>
            <w:r>
              <w:rPr>
                <w:spacing w:val="-6"/>
                <w:sz w:val="18"/>
                <w:szCs w:val="20"/>
              </w:rPr>
              <w:t>功能，满足保温、隔热、通风、采光等功能。</w:t>
            </w:r>
          </w:p>
        </w:tc>
        <w:tc>
          <w:tcPr>
            <w:tcW w:w="2066" w:type="pct"/>
            <w:vAlign w:val="center"/>
          </w:tcPr>
          <w:p>
            <w:pPr>
              <w:spacing w:line="300" w:lineRule="exact"/>
              <w:jc w:val="center"/>
              <w:rPr>
                <w:spacing w:val="-8"/>
                <w:sz w:val="18"/>
                <w:szCs w:val="18"/>
              </w:rPr>
            </w:pPr>
            <w:r>
              <w:rPr>
                <w:spacing w:val="-8"/>
                <w:sz w:val="18"/>
                <w:szCs w:val="18"/>
              </w:rPr>
              <w:t>营业</w:t>
            </w:r>
            <w:r>
              <w:rPr>
                <w:spacing w:val="-8"/>
                <w:sz w:val="18"/>
                <w:szCs w:val="20"/>
              </w:rPr>
              <w:t>功能，满足保温、隔热、通风、采光等功能。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总层数</w:t>
            </w:r>
          </w:p>
        </w:tc>
        <w:tc>
          <w:tcPr>
            <w:tcW w:w="2096" w:type="pct"/>
            <w:vAlign w:val="center"/>
          </w:tcPr>
          <w:p>
            <w:pPr>
              <w:spacing w:line="300" w:lineRule="exact"/>
              <w:jc w:val="center"/>
              <w:rPr>
                <w:sz w:val="18"/>
                <w:szCs w:val="18"/>
              </w:rPr>
            </w:pPr>
            <w:r>
              <w:rPr>
                <w:sz w:val="18"/>
                <w:szCs w:val="18"/>
              </w:rPr>
              <w:t>4层（证载为1层）</w:t>
            </w:r>
          </w:p>
        </w:tc>
        <w:tc>
          <w:tcPr>
            <w:tcW w:w="2066" w:type="pct"/>
            <w:vAlign w:val="center"/>
          </w:tcPr>
          <w:p>
            <w:pPr>
              <w:spacing w:line="300" w:lineRule="exact"/>
              <w:jc w:val="center"/>
              <w:rPr>
                <w:sz w:val="18"/>
                <w:szCs w:val="18"/>
              </w:rPr>
            </w:pPr>
            <w:r>
              <w:rPr>
                <w:sz w:val="18"/>
                <w:szCs w:val="18"/>
              </w:rPr>
              <w:t>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建筑面积</w:t>
            </w:r>
          </w:p>
        </w:tc>
        <w:tc>
          <w:tcPr>
            <w:tcW w:w="2096" w:type="pct"/>
            <w:vAlign w:val="center"/>
          </w:tcPr>
          <w:p>
            <w:pPr>
              <w:spacing w:line="300" w:lineRule="exact"/>
              <w:jc w:val="center"/>
              <w:rPr>
                <w:sz w:val="18"/>
                <w:szCs w:val="18"/>
              </w:rPr>
            </w:pPr>
            <w:r>
              <w:rPr>
                <w:sz w:val="18"/>
                <w:szCs w:val="18"/>
              </w:rPr>
              <w:t>29.88</w:t>
            </w:r>
            <w:r>
              <w:t>㎡</w:t>
            </w:r>
          </w:p>
        </w:tc>
        <w:tc>
          <w:tcPr>
            <w:tcW w:w="2066" w:type="pct"/>
            <w:vAlign w:val="center"/>
          </w:tcPr>
          <w:p>
            <w:pPr>
              <w:spacing w:line="300" w:lineRule="exact"/>
              <w:jc w:val="center"/>
              <w:rPr>
                <w:sz w:val="18"/>
                <w:szCs w:val="18"/>
              </w:rPr>
            </w:pPr>
            <w:r>
              <w:rPr>
                <w:sz w:val="18"/>
                <w:szCs w:val="18"/>
              </w:rPr>
              <w:t>82.46</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层高</w:t>
            </w:r>
          </w:p>
        </w:tc>
        <w:tc>
          <w:tcPr>
            <w:tcW w:w="2096" w:type="pct"/>
            <w:vAlign w:val="center"/>
          </w:tcPr>
          <w:p>
            <w:pPr>
              <w:spacing w:line="300" w:lineRule="exact"/>
              <w:jc w:val="center"/>
              <w:rPr>
                <w:sz w:val="18"/>
                <w:szCs w:val="18"/>
              </w:rPr>
            </w:pPr>
            <w:r>
              <w:rPr>
                <w:sz w:val="18"/>
                <w:szCs w:val="18"/>
              </w:rPr>
              <w:t>约4米。</w:t>
            </w:r>
          </w:p>
        </w:tc>
        <w:tc>
          <w:tcPr>
            <w:tcW w:w="2066" w:type="pct"/>
            <w:vAlign w:val="center"/>
          </w:tcPr>
          <w:p>
            <w:pPr>
              <w:spacing w:line="300" w:lineRule="exact"/>
              <w:jc w:val="center"/>
              <w:rPr>
                <w:sz w:val="18"/>
                <w:szCs w:val="18"/>
              </w:rPr>
            </w:pPr>
            <w:r>
              <w:rPr>
                <w:sz w:val="18"/>
                <w:szCs w:val="18"/>
              </w:rPr>
              <w:t>约3.5米。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空间布局</w:t>
            </w:r>
          </w:p>
        </w:tc>
        <w:tc>
          <w:tcPr>
            <w:tcW w:w="2096" w:type="pct"/>
            <w:vAlign w:val="center"/>
          </w:tcPr>
          <w:p>
            <w:pPr>
              <w:spacing w:line="300" w:lineRule="exact"/>
              <w:ind w:firstLine="360" w:firstLineChars="200"/>
              <w:jc w:val="left"/>
              <w:rPr>
                <w:sz w:val="18"/>
                <w:szCs w:val="18"/>
              </w:rPr>
            </w:pPr>
            <w:r>
              <w:rPr>
                <w:sz w:val="18"/>
                <w:szCs w:val="18"/>
              </w:rPr>
              <w:t>临街商铺布局，开间约3.6米、进深约8米，形状较规则，利用较方便。</w:t>
            </w:r>
          </w:p>
        </w:tc>
        <w:tc>
          <w:tcPr>
            <w:tcW w:w="2066" w:type="pct"/>
            <w:vAlign w:val="center"/>
          </w:tcPr>
          <w:p>
            <w:pPr>
              <w:spacing w:line="300" w:lineRule="exact"/>
              <w:ind w:firstLine="360" w:firstLineChars="200"/>
              <w:jc w:val="left"/>
              <w:rPr>
                <w:sz w:val="18"/>
                <w:szCs w:val="18"/>
              </w:rPr>
            </w:pPr>
            <w:r>
              <w:rPr>
                <w:sz w:val="18"/>
                <w:szCs w:val="18"/>
              </w:rPr>
              <w:t>临街商铺布局，开间约6米、进深约12.5米，形状较规则，利用较方便。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bottom w:val="single" w:color="auto" w:sz="4" w:space="0"/>
            </w:tcBorders>
            <w:vAlign w:val="center"/>
          </w:tcPr>
          <w:p>
            <w:pPr>
              <w:spacing w:line="300" w:lineRule="exact"/>
              <w:jc w:val="center"/>
              <w:rPr>
                <w:sz w:val="18"/>
                <w:szCs w:val="18"/>
              </w:rPr>
            </w:pPr>
            <w:r>
              <w:rPr>
                <w:sz w:val="18"/>
                <w:szCs w:val="18"/>
              </w:rPr>
              <w:t>建成时间</w:t>
            </w:r>
          </w:p>
        </w:tc>
        <w:tc>
          <w:tcPr>
            <w:tcW w:w="2096" w:type="pct"/>
            <w:tcBorders>
              <w:bottom w:val="single" w:color="auto" w:sz="4" w:space="0"/>
            </w:tcBorders>
            <w:vAlign w:val="center"/>
          </w:tcPr>
          <w:p>
            <w:pPr>
              <w:spacing w:line="300" w:lineRule="exact"/>
              <w:jc w:val="center"/>
              <w:rPr>
                <w:sz w:val="18"/>
                <w:szCs w:val="18"/>
              </w:rPr>
            </w:pPr>
            <w:r>
              <w:rPr>
                <w:sz w:val="18"/>
                <w:szCs w:val="18"/>
              </w:rPr>
              <w:t>约2000年</w:t>
            </w:r>
          </w:p>
        </w:tc>
        <w:tc>
          <w:tcPr>
            <w:tcW w:w="2066" w:type="pct"/>
            <w:tcBorders>
              <w:bottom w:val="single" w:color="auto" w:sz="4" w:space="0"/>
            </w:tcBorders>
            <w:vAlign w:val="center"/>
          </w:tcPr>
          <w:p>
            <w:pPr>
              <w:spacing w:line="300" w:lineRule="exact"/>
              <w:jc w:val="center"/>
              <w:rPr>
                <w:sz w:val="18"/>
                <w:szCs w:val="18"/>
              </w:rPr>
            </w:pPr>
            <w:r>
              <w:rPr>
                <w:sz w:val="18"/>
                <w:szCs w:val="18"/>
              </w:rPr>
              <w:t>约2000年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bottom w:val="single" w:color="auto" w:sz="4" w:space="0"/>
            </w:tcBorders>
            <w:vAlign w:val="center"/>
          </w:tcPr>
          <w:p>
            <w:pPr>
              <w:spacing w:line="300" w:lineRule="exact"/>
              <w:jc w:val="center"/>
              <w:rPr>
                <w:sz w:val="18"/>
                <w:szCs w:val="18"/>
              </w:rPr>
            </w:pPr>
            <w:r>
              <w:rPr>
                <w:sz w:val="18"/>
                <w:szCs w:val="18"/>
              </w:rPr>
              <w:t>装修情况</w:t>
            </w:r>
          </w:p>
        </w:tc>
        <w:tc>
          <w:tcPr>
            <w:tcW w:w="2096" w:type="pct"/>
            <w:tcBorders>
              <w:bottom w:val="single" w:color="auto" w:sz="4" w:space="0"/>
            </w:tcBorders>
            <w:vAlign w:val="center"/>
          </w:tcPr>
          <w:p>
            <w:pPr>
              <w:spacing w:line="300" w:lineRule="exact"/>
              <w:ind w:firstLine="360" w:firstLineChars="200"/>
              <w:jc w:val="left"/>
              <w:rPr>
                <w:sz w:val="18"/>
                <w:szCs w:val="18"/>
              </w:rPr>
            </w:pPr>
            <w:r>
              <w:rPr>
                <w:sz w:val="18"/>
                <w:szCs w:val="18"/>
              </w:rPr>
              <w:t>外墙：面砖；</w:t>
            </w:r>
          </w:p>
          <w:p>
            <w:pPr>
              <w:spacing w:line="300" w:lineRule="exact"/>
              <w:jc w:val="left"/>
              <w:rPr>
                <w:sz w:val="18"/>
                <w:szCs w:val="18"/>
              </w:rPr>
            </w:pPr>
            <w:r>
              <w:rPr>
                <w:spacing w:val="-8"/>
                <w:sz w:val="18"/>
                <w:szCs w:val="18"/>
              </w:rPr>
              <w:t>室内：水泥地面，墙面及顶刷涂料，卷帘门</w:t>
            </w:r>
            <w:r>
              <w:rPr>
                <w:sz w:val="18"/>
                <w:szCs w:val="18"/>
              </w:rPr>
              <w:t>。</w:t>
            </w:r>
          </w:p>
        </w:tc>
        <w:tc>
          <w:tcPr>
            <w:tcW w:w="2066" w:type="pct"/>
            <w:tcBorders>
              <w:bottom w:val="single" w:color="auto" w:sz="4" w:space="0"/>
            </w:tcBorders>
            <w:vAlign w:val="center"/>
          </w:tcPr>
          <w:p>
            <w:pPr>
              <w:spacing w:line="300" w:lineRule="exact"/>
              <w:ind w:firstLine="360" w:firstLineChars="200"/>
              <w:jc w:val="left"/>
              <w:rPr>
                <w:sz w:val="18"/>
                <w:szCs w:val="18"/>
              </w:rPr>
            </w:pPr>
            <w:r>
              <w:rPr>
                <w:sz w:val="18"/>
                <w:szCs w:val="18"/>
              </w:rPr>
              <w:t>外墙：面砖；</w:t>
            </w:r>
          </w:p>
          <w:p>
            <w:pPr>
              <w:spacing w:line="300" w:lineRule="exact"/>
              <w:jc w:val="left"/>
              <w:rPr>
                <w:sz w:val="18"/>
                <w:szCs w:val="18"/>
              </w:rPr>
            </w:pPr>
            <w:r>
              <w:rPr>
                <w:spacing w:val="-8"/>
                <w:sz w:val="18"/>
                <w:szCs w:val="18"/>
              </w:rPr>
              <w:t>室内：地砖地面，墙面及顶刷乳胶漆、局部墙砖墙裙，天棚刷深色涂料，双开玻璃门</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tcBorders>
            <w:vAlign w:val="center"/>
          </w:tcPr>
          <w:p>
            <w:pPr>
              <w:spacing w:line="300" w:lineRule="exact"/>
              <w:jc w:val="center"/>
              <w:rPr>
                <w:spacing w:val="-10"/>
                <w:sz w:val="18"/>
                <w:szCs w:val="18"/>
              </w:rPr>
            </w:pPr>
            <w:r>
              <w:rPr>
                <w:spacing w:val="-10"/>
                <w:sz w:val="18"/>
                <w:szCs w:val="18"/>
              </w:rPr>
              <w:t>配套设备设施情况</w:t>
            </w:r>
          </w:p>
        </w:tc>
        <w:tc>
          <w:tcPr>
            <w:tcW w:w="2096" w:type="pct"/>
            <w:tcBorders>
              <w:top w:val="single" w:color="auto" w:sz="4" w:space="0"/>
            </w:tcBorders>
            <w:vAlign w:val="center"/>
          </w:tcPr>
          <w:p>
            <w:pPr>
              <w:spacing w:line="300" w:lineRule="exact"/>
              <w:jc w:val="center"/>
              <w:rPr>
                <w:sz w:val="18"/>
                <w:szCs w:val="18"/>
              </w:rPr>
            </w:pPr>
            <w:r>
              <w:rPr>
                <w:spacing w:val="-8"/>
                <w:sz w:val="18"/>
                <w:szCs w:val="18"/>
              </w:rPr>
              <w:t>通水、电、视、讯、路、宽带、消防栓。</w:t>
            </w:r>
          </w:p>
        </w:tc>
        <w:tc>
          <w:tcPr>
            <w:tcW w:w="2066" w:type="pct"/>
            <w:tcBorders>
              <w:top w:val="single" w:color="auto" w:sz="4" w:space="0"/>
            </w:tcBorders>
            <w:vAlign w:val="center"/>
          </w:tcPr>
          <w:p>
            <w:pPr>
              <w:spacing w:line="300" w:lineRule="exact"/>
              <w:jc w:val="center"/>
              <w:rPr>
                <w:sz w:val="18"/>
                <w:szCs w:val="18"/>
              </w:rPr>
            </w:pPr>
            <w:r>
              <w:rPr>
                <w:spacing w:val="-8"/>
                <w:sz w:val="18"/>
                <w:szCs w:val="18"/>
              </w:rPr>
              <w:t>通水、电、视、讯、路、宽带、消防栓。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z w:val="18"/>
                <w:szCs w:val="18"/>
              </w:rPr>
            </w:pPr>
            <w:r>
              <w:rPr>
                <w:sz w:val="18"/>
                <w:szCs w:val="18"/>
              </w:rPr>
              <w:t>工程质量</w:t>
            </w:r>
          </w:p>
        </w:tc>
        <w:tc>
          <w:tcPr>
            <w:tcW w:w="2096" w:type="pct"/>
            <w:vAlign w:val="center"/>
          </w:tcPr>
          <w:p>
            <w:pPr>
              <w:spacing w:line="300" w:lineRule="exact"/>
              <w:jc w:val="center"/>
              <w:rPr>
                <w:sz w:val="18"/>
                <w:szCs w:val="18"/>
              </w:rPr>
            </w:pPr>
            <w:r>
              <w:rPr>
                <w:sz w:val="18"/>
                <w:szCs w:val="18"/>
              </w:rPr>
              <w:t>合格</w:t>
            </w:r>
          </w:p>
        </w:tc>
        <w:tc>
          <w:tcPr>
            <w:tcW w:w="2066" w:type="pct"/>
            <w:vAlign w:val="center"/>
          </w:tcPr>
          <w:p>
            <w:pPr>
              <w:spacing w:line="300" w:lineRule="exact"/>
              <w:jc w:val="center"/>
              <w:rPr>
                <w:sz w:val="18"/>
                <w:szCs w:val="18"/>
              </w:rPr>
            </w:pPr>
            <w:r>
              <w:rPr>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vAlign w:val="center"/>
          </w:tcPr>
          <w:p>
            <w:pPr>
              <w:spacing w:line="300" w:lineRule="exact"/>
              <w:jc w:val="center"/>
              <w:rPr>
                <w:spacing w:val="-20"/>
                <w:sz w:val="18"/>
                <w:szCs w:val="18"/>
              </w:rPr>
            </w:pPr>
            <w:r>
              <w:rPr>
                <w:sz w:val="18"/>
                <w:szCs w:val="18"/>
              </w:rPr>
              <w:t>维护、保养情况及完损状况</w:t>
            </w:r>
          </w:p>
        </w:tc>
        <w:tc>
          <w:tcPr>
            <w:tcW w:w="2096" w:type="pct"/>
            <w:vAlign w:val="center"/>
          </w:tcPr>
          <w:p>
            <w:pPr>
              <w:spacing w:line="300" w:lineRule="exact"/>
              <w:jc w:val="center"/>
              <w:rPr>
                <w:color w:val="000000"/>
                <w:sz w:val="18"/>
                <w:szCs w:val="18"/>
              </w:rPr>
            </w:pPr>
            <w:r>
              <w:rPr>
                <w:color w:val="000000"/>
                <w:sz w:val="18"/>
                <w:szCs w:val="18"/>
              </w:rPr>
              <w:t>维护、保养情况整体一般</w:t>
            </w:r>
            <w:r>
              <w:rPr>
                <w:rFonts w:hint="eastAsia"/>
                <w:color w:val="000000"/>
                <w:sz w:val="18"/>
                <w:szCs w:val="18"/>
              </w:rPr>
              <w:t>；</w:t>
            </w:r>
            <w:r>
              <w:rPr>
                <w:color w:val="000000" w:themeColor="text1"/>
                <w:sz w:val="18"/>
                <w:szCs w:val="18"/>
              </w:rPr>
              <w:t>基础稳固无沉降，墙面、地面、门窗等无破损</w:t>
            </w:r>
            <w:r>
              <w:rPr>
                <w:color w:val="000000"/>
                <w:sz w:val="18"/>
                <w:szCs w:val="18"/>
              </w:rPr>
              <w:t>。</w:t>
            </w:r>
          </w:p>
        </w:tc>
        <w:tc>
          <w:tcPr>
            <w:tcW w:w="2066" w:type="pct"/>
            <w:vAlign w:val="center"/>
          </w:tcPr>
          <w:p>
            <w:pPr>
              <w:spacing w:line="300" w:lineRule="exact"/>
              <w:jc w:val="center"/>
              <w:rPr>
                <w:color w:val="000000"/>
                <w:sz w:val="18"/>
                <w:szCs w:val="18"/>
              </w:rPr>
            </w:pPr>
            <w:r>
              <w:rPr>
                <w:color w:val="000000"/>
                <w:sz w:val="18"/>
                <w:szCs w:val="18"/>
              </w:rPr>
              <w:t>维护、保养情况整体一般</w:t>
            </w:r>
            <w:r>
              <w:rPr>
                <w:rFonts w:hint="eastAsia"/>
                <w:color w:val="000000"/>
                <w:sz w:val="18"/>
                <w:szCs w:val="18"/>
              </w:rPr>
              <w:t>；</w:t>
            </w:r>
            <w:r>
              <w:rPr>
                <w:color w:val="000000" w:themeColor="text1"/>
                <w:sz w:val="18"/>
                <w:szCs w:val="18"/>
              </w:rPr>
              <w:t>基础稳固无沉降，墙面、地面、门窗等无破损</w:t>
            </w: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 w:val="18"/>
                <w:szCs w:val="18"/>
              </w:rPr>
            </w:pPr>
            <w:r>
              <w:rPr>
                <w:b/>
                <w:sz w:val="18"/>
                <w:szCs w:val="18"/>
              </w:rPr>
              <w:t>估价对象</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sz w:val="18"/>
                <w:szCs w:val="18"/>
              </w:rPr>
            </w:pPr>
            <w:r>
              <w:rPr>
                <w:b/>
                <w:color w:val="000000"/>
                <w:sz w:val="18"/>
                <w:szCs w:val="18"/>
              </w:rPr>
              <w:t>3</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000000"/>
                <w:sz w:val="18"/>
                <w:szCs w:val="18"/>
              </w:rPr>
            </w:pPr>
            <w:r>
              <w:rPr>
                <w:b/>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规划用途</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住宅</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实际用途</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住宅</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rFonts w:hint="eastAsia"/>
                <w:color w:val="000000"/>
                <w:sz w:val="18"/>
                <w:szCs w:val="18"/>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rFonts w:hint="eastAsia"/>
                <w:sz w:val="18"/>
                <w:szCs w:val="18"/>
              </w:rPr>
              <w:t>使用状况</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rFonts w:hint="eastAsia"/>
                <w:color w:val="000000"/>
                <w:sz w:val="18"/>
                <w:szCs w:val="18"/>
              </w:rPr>
              <w:t>未出租</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rFonts w:hint="eastAsia"/>
                <w:color w:val="000000"/>
                <w:sz w:val="18"/>
                <w:szCs w:val="18"/>
              </w:rPr>
              <w:t>出租作为库房使用。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建筑结构</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混合</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建筑功能</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pacing w:val="-6"/>
                <w:sz w:val="18"/>
                <w:szCs w:val="18"/>
              </w:rPr>
            </w:pPr>
            <w:r>
              <w:rPr>
                <w:color w:val="000000"/>
                <w:spacing w:val="-6"/>
                <w:sz w:val="18"/>
                <w:szCs w:val="18"/>
              </w:rPr>
              <w:t>住宅功能，满足保温、隔热、通风、采光等功能。</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pacing w:val="-6"/>
                <w:sz w:val="18"/>
                <w:szCs w:val="18"/>
              </w:rPr>
              <w:t>车库功能，满足保温、隔热等功能。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总层数</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7层</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建筑面积</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129.73㎡</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层高</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约2.8米。</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约</w:t>
            </w:r>
            <w:r>
              <w:rPr>
                <w:rFonts w:hint="eastAsia"/>
                <w:color w:val="000000"/>
                <w:sz w:val="18"/>
                <w:szCs w:val="18"/>
              </w:rPr>
              <w:t>2.2</w:t>
            </w:r>
            <w:r>
              <w:rPr>
                <w:color w:val="00000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空间布局</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sz w:val="18"/>
                <w:szCs w:val="18"/>
              </w:rPr>
              <w:t>一梯两户</w:t>
            </w:r>
            <w:r>
              <w:rPr>
                <w:rFonts w:hint="eastAsia"/>
                <w:sz w:val="18"/>
                <w:szCs w:val="18"/>
              </w:rPr>
              <w:t>（步梯）</w:t>
            </w:r>
            <w:r>
              <w:rPr>
                <w:sz w:val="18"/>
                <w:szCs w:val="18"/>
              </w:rPr>
              <w:t>，成套住宅，3室2厅1卫1厨，形状较规则，利用较方便。</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住宅底层地面车库，根据平面图，长约</w:t>
            </w:r>
            <w:r>
              <w:rPr>
                <w:rFonts w:hint="eastAsia"/>
                <w:color w:val="000000"/>
                <w:sz w:val="18"/>
                <w:szCs w:val="18"/>
              </w:rPr>
              <w:t>8.7米、宽约3.3米，</w:t>
            </w:r>
            <w:r>
              <w:rPr>
                <w:color w:val="000000"/>
                <w:sz w:val="18"/>
                <w:szCs w:val="18"/>
              </w:rPr>
              <w:t>形状较规则，利用较方便。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建成时间</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约2000年</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约2000年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装修情况</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ind w:firstLine="360" w:firstLineChars="200"/>
              <w:jc w:val="left"/>
              <w:rPr>
                <w:sz w:val="18"/>
                <w:szCs w:val="18"/>
              </w:rPr>
            </w:pPr>
            <w:r>
              <w:rPr>
                <w:sz w:val="18"/>
                <w:szCs w:val="18"/>
              </w:rPr>
              <w:t>外墙：涂料；</w:t>
            </w:r>
          </w:p>
          <w:p>
            <w:pPr>
              <w:spacing w:line="300" w:lineRule="exact"/>
              <w:ind w:firstLine="360" w:firstLineChars="200"/>
              <w:jc w:val="left"/>
              <w:rPr>
                <w:sz w:val="18"/>
                <w:szCs w:val="18"/>
              </w:rPr>
            </w:pPr>
            <w:r>
              <w:rPr>
                <w:sz w:val="18"/>
                <w:szCs w:val="18"/>
              </w:rPr>
              <w:t>室内：客厅、卧室部分地砖地面、部分木地板，墙面部分刷乳胶漆、部分贴墙纸、墙砖，天棚木工板吊顶；厨房、卫生间地砖地面、墙砖墙面、天棚塑扣板吊顶；入户防盗门、室内木门及木门套、铝合金推拉窗、防护栏。</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外墙：面砖；</w:t>
            </w:r>
          </w:p>
          <w:p>
            <w:pPr>
              <w:spacing w:line="300" w:lineRule="exact"/>
              <w:jc w:val="center"/>
              <w:rPr>
                <w:color w:val="000000"/>
                <w:sz w:val="18"/>
                <w:szCs w:val="18"/>
              </w:rPr>
            </w:pPr>
            <w:r>
              <w:rPr>
                <w:color w:val="000000"/>
                <w:sz w:val="18"/>
                <w:szCs w:val="18"/>
              </w:rPr>
              <w:t>室内：未入户。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pacing w:val="-10"/>
                <w:sz w:val="18"/>
                <w:szCs w:val="18"/>
              </w:rPr>
            </w:pPr>
            <w:r>
              <w:rPr>
                <w:spacing w:val="-10"/>
                <w:sz w:val="18"/>
                <w:szCs w:val="18"/>
              </w:rPr>
              <w:t>配套设备设施情况</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通水、电、气、视、讯、路、宽带、消防栓。</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通水、电、视、讯、路、宽带、消防栓。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工程质量</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合格</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维护、保养情况及完损状况</w:t>
            </w:r>
          </w:p>
        </w:tc>
        <w:tc>
          <w:tcPr>
            <w:tcW w:w="209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维护、保养情况整体一般</w:t>
            </w:r>
            <w:r>
              <w:rPr>
                <w:rFonts w:hint="eastAsia"/>
                <w:color w:val="000000"/>
                <w:sz w:val="18"/>
                <w:szCs w:val="18"/>
              </w:rPr>
              <w:t>；</w:t>
            </w:r>
            <w:r>
              <w:rPr>
                <w:color w:val="000000" w:themeColor="text1"/>
                <w:sz w:val="18"/>
                <w:szCs w:val="18"/>
              </w:rPr>
              <w:t>基础稳固无沉降，墙面、地面、门窗等无破损</w:t>
            </w:r>
            <w:r>
              <w:rPr>
                <w:color w:val="000000"/>
                <w:sz w:val="18"/>
                <w:szCs w:val="18"/>
              </w:rPr>
              <w:t>。</w:t>
            </w:r>
          </w:p>
        </w:tc>
        <w:tc>
          <w:tcPr>
            <w:tcW w:w="20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000000"/>
                <w:sz w:val="18"/>
                <w:szCs w:val="18"/>
              </w:rPr>
            </w:pPr>
            <w:r>
              <w:rPr>
                <w:color w:val="000000"/>
                <w:sz w:val="18"/>
                <w:szCs w:val="18"/>
              </w:rPr>
              <w:t>维护、保养情况整体一般</w:t>
            </w:r>
            <w:r>
              <w:rPr>
                <w:rFonts w:hint="eastAsia"/>
                <w:color w:val="000000"/>
                <w:sz w:val="18"/>
                <w:szCs w:val="18"/>
              </w:rPr>
              <w:t>；</w:t>
            </w:r>
            <w:r>
              <w:rPr>
                <w:color w:val="000000" w:themeColor="text1"/>
                <w:sz w:val="18"/>
                <w:szCs w:val="18"/>
              </w:rPr>
              <w:t>基础稳固无沉降，墙面、地面、门窗等无破损</w:t>
            </w:r>
            <w:r>
              <w:rPr>
                <w:color w:val="000000"/>
                <w:sz w:val="18"/>
                <w:szCs w:val="18"/>
              </w:rPr>
              <w:t>。</w:t>
            </w:r>
          </w:p>
        </w:tc>
      </w:tr>
    </w:tbl>
    <w:p>
      <w:pPr>
        <w:spacing w:line="600" w:lineRule="exact"/>
        <w:ind w:firstLine="560" w:firstLineChars="200"/>
        <w:jc w:val="left"/>
        <w:rPr>
          <w:sz w:val="28"/>
          <w:szCs w:val="28"/>
        </w:rPr>
      </w:pPr>
      <w:r>
        <w:rPr>
          <w:sz w:val="28"/>
          <w:szCs w:val="28"/>
        </w:rPr>
        <w:t>4、估价对象权益状况</w:t>
      </w:r>
    </w:p>
    <w:p>
      <w:pPr>
        <w:spacing w:line="640" w:lineRule="exact"/>
        <w:ind w:left="-178" w:leftChars="-85" w:firstLine="560" w:firstLineChars="200"/>
        <w:rPr>
          <w:sz w:val="28"/>
        </w:rPr>
      </w:pPr>
      <w:r>
        <w:rPr>
          <w:sz w:val="28"/>
        </w:rPr>
        <w:t>（1）土地权益状况描述</w:t>
      </w:r>
    </w:p>
    <w:p>
      <w:pPr>
        <w:spacing w:line="640" w:lineRule="exact"/>
        <w:ind w:firstLine="560" w:firstLineChars="200"/>
        <w:rPr>
          <w:sz w:val="28"/>
        </w:rPr>
      </w:pPr>
      <w:r>
        <w:rPr>
          <w:rFonts w:hint="eastAsia" w:ascii="宋体" w:hAnsi="宋体" w:cs="宋体"/>
          <w:sz w:val="28"/>
        </w:rPr>
        <w:t>①</w:t>
      </w:r>
      <w:r>
        <w:rPr>
          <w:sz w:val="28"/>
        </w:rPr>
        <w:t>土地所有权状况</w:t>
      </w:r>
    </w:p>
    <w:p>
      <w:pPr>
        <w:spacing w:line="640" w:lineRule="exact"/>
        <w:ind w:firstLine="560" w:firstLineChars="200"/>
        <w:rPr>
          <w:sz w:val="28"/>
        </w:rPr>
      </w:pPr>
      <w:r>
        <w:rPr>
          <w:sz w:val="28"/>
        </w:rPr>
        <w:t>估价对象系出让国有土地，所有权属国家。</w:t>
      </w:r>
    </w:p>
    <w:p>
      <w:pPr>
        <w:spacing w:line="640" w:lineRule="exact"/>
        <w:ind w:firstLine="560" w:firstLineChars="200"/>
        <w:rPr>
          <w:sz w:val="28"/>
          <w:szCs w:val="28"/>
        </w:rPr>
      </w:pPr>
      <w:r>
        <w:rPr>
          <w:rFonts w:hint="eastAsia" w:ascii="宋体" w:hAnsi="宋体" w:cs="宋体"/>
          <w:sz w:val="28"/>
        </w:rPr>
        <w:t>②</w:t>
      </w:r>
      <w:r>
        <w:rPr>
          <w:sz w:val="28"/>
        </w:rPr>
        <w:t>土地</w:t>
      </w:r>
      <w:r>
        <w:rPr>
          <w:sz w:val="28"/>
          <w:szCs w:val="28"/>
        </w:rPr>
        <w:t>使用权状况</w:t>
      </w:r>
    </w:p>
    <w:p>
      <w:pPr>
        <w:spacing w:line="640" w:lineRule="exact"/>
        <w:ind w:firstLine="560" w:firstLineChars="200"/>
        <w:rPr>
          <w:sz w:val="28"/>
        </w:rPr>
      </w:pPr>
      <w:r>
        <w:rPr>
          <w:sz w:val="28"/>
          <w:szCs w:val="28"/>
        </w:rPr>
        <w:t>根据</w:t>
      </w:r>
      <w:r>
        <w:rPr>
          <w:sz w:val="28"/>
        </w:rPr>
        <w:t>估价委托人提供的估价对象《国有土地使用证》复印件，估价对象土地</w:t>
      </w:r>
      <w:r>
        <w:rPr>
          <w:sz w:val="28"/>
          <w:szCs w:val="28"/>
        </w:rPr>
        <w:t>使用权状况如下表：</w:t>
      </w:r>
    </w:p>
    <w:tbl>
      <w:tblPr>
        <w:tblStyle w:val="44"/>
        <w:tblW w:w="47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46"/>
        <w:gridCol w:w="1018"/>
        <w:gridCol w:w="836"/>
        <w:gridCol w:w="1055"/>
        <w:gridCol w:w="834"/>
        <w:gridCol w:w="715"/>
        <w:gridCol w:w="1464"/>
        <w:gridCol w:w="886"/>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4" w:hRule="atLeast"/>
          <w:jc w:val="center"/>
        </w:trPr>
        <w:tc>
          <w:tcPr>
            <w:tcW w:w="593" w:type="pct"/>
            <w:vAlign w:val="center"/>
          </w:tcPr>
          <w:p>
            <w:pPr>
              <w:spacing w:line="240" w:lineRule="exact"/>
              <w:jc w:val="center"/>
              <w:rPr>
                <w:b/>
                <w:spacing w:val="-2"/>
                <w:sz w:val="18"/>
                <w:szCs w:val="18"/>
              </w:rPr>
            </w:pPr>
            <w:r>
              <w:rPr>
                <w:b/>
                <w:spacing w:val="-2"/>
                <w:sz w:val="18"/>
                <w:szCs w:val="18"/>
              </w:rPr>
              <w:t>国有土地使用证号</w:t>
            </w:r>
          </w:p>
        </w:tc>
        <w:tc>
          <w:tcPr>
            <w:tcW w:w="577" w:type="pct"/>
            <w:vAlign w:val="center"/>
          </w:tcPr>
          <w:p>
            <w:pPr>
              <w:spacing w:line="240" w:lineRule="exact"/>
              <w:jc w:val="center"/>
              <w:rPr>
                <w:b/>
                <w:spacing w:val="-2"/>
                <w:sz w:val="18"/>
                <w:szCs w:val="18"/>
              </w:rPr>
            </w:pPr>
            <w:r>
              <w:rPr>
                <w:b/>
                <w:spacing w:val="-2"/>
                <w:sz w:val="18"/>
                <w:szCs w:val="18"/>
              </w:rPr>
              <w:t>土地</w:t>
            </w:r>
          </w:p>
          <w:p>
            <w:pPr>
              <w:spacing w:line="240" w:lineRule="exact"/>
              <w:jc w:val="center"/>
              <w:rPr>
                <w:b/>
                <w:spacing w:val="-2"/>
                <w:sz w:val="18"/>
                <w:szCs w:val="18"/>
              </w:rPr>
            </w:pPr>
            <w:r>
              <w:rPr>
                <w:b/>
                <w:spacing w:val="-2"/>
                <w:sz w:val="18"/>
                <w:szCs w:val="18"/>
              </w:rPr>
              <w:t>使用权人</w:t>
            </w:r>
          </w:p>
        </w:tc>
        <w:tc>
          <w:tcPr>
            <w:tcW w:w="474" w:type="pct"/>
            <w:vAlign w:val="center"/>
          </w:tcPr>
          <w:p>
            <w:pPr>
              <w:spacing w:line="240" w:lineRule="exact"/>
              <w:jc w:val="center"/>
              <w:rPr>
                <w:b/>
                <w:spacing w:val="-2"/>
                <w:sz w:val="18"/>
                <w:szCs w:val="18"/>
              </w:rPr>
            </w:pPr>
            <w:r>
              <w:rPr>
                <w:b/>
                <w:spacing w:val="-2"/>
                <w:sz w:val="18"/>
                <w:szCs w:val="18"/>
              </w:rPr>
              <w:t>座落</w:t>
            </w:r>
          </w:p>
        </w:tc>
        <w:tc>
          <w:tcPr>
            <w:tcW w:w="595" w:type="pct"/>
            <w:vAlign w:val="center"/>
          </w:tcPr>
          <w:p>
            <w:pPr>
              <w:spacing w:line="240" w:lineRule="exact"/>
              <w:jc w:val="center"/>
              <w:rPr>
                <w:b/>
                <w:spacing w:val="-2"/>
                <w:sz w:val="18"/>
                <w:szCs w:val="18"/>
              </w:rPr>
            </w:pPr>
            <w:r>
              <w:rPr>
                <w:b/>
                <w:spacing w:val="-2"/>
                <w:sz w:val="18"/>
                <w:szCs w:val="18"/>
              </w:rPr>
              <w:t>地号</w:t>
            </w:r>
          </w:p>
        </w:tc>
        <w:tc>
          <w:tcPr>
            <w:tcW w:w="473" w:type="pct"/>
            <w:tcMar>
              <w:left w:w="28" w:type="dxa"/>
              <w:right w:w="28" w:type="dxa"/>
            </w:tcMar>
            <w:vAlign w:val="center"/>
          </w:tcPr>
          <w:p>
            <w:pPr>
              <w:spacing w:line="240" w:lineRule="exact"/>
              <w:jc w:val="center"/>
              <w:rPr>
                <w:b/>
                <w:spacing w:val="-2"/>
                <w:sz w:val="18"/>
                <w:szCs w:val="18"/>
              </w:rPr>
            </w:pPr>
            <w:r>
              <w:rPr>
                <w:b/>
                <w:spacing w:val="-2"/>
                <w:sz w:val="18"/>
                <w:szCs w:val="18"/>
              </w:rPr>
              <w:t>地类</w:t>
            </w:r>
          </w:p>
          <w:p>
            <w:pPr>
              <w:spacing w:line="240" w:lineRule="exact"/>
              <w:jc w:val="center"/>
              <w:rPr>
                <w:b/>
                <w:spacing w:val="-2"/>
                <w:sz w:val="18"/>
                <w:szCs w:val="18"/>
              </w:rPr>
            </w:pPr>
            <w:r>
              <w:rPr>
                <w:b/>
                <w:spacing w:val="-2"/>
                <w:sz w:val="18"/>
                <w:szCs w:val="18"/>
              </w:rPr>
              <w:t>（用途）</w:t>
            </w:r>
          </w:p>
        </w:tc>
        <w:tc>
          <w:tcPr>
            <w:tcW w:w="405" w:type="pct"/>
            <w:tcMar>
              <w:left w:w="28" w:type="dxa"/>
              <w:right w:w="28" w:type="dxa"/>
            </w:tcMar>
            <w:vAlign w:val="center"/>
          </w:tcPr>
          <w:p>
            <w:pPr>
              <w:spacing w:line="240" w:lineRule="exact"/>
              <w:jc w:val="center"/>
              <w:rPr>
                <w:b/>
                <w:spacing w:val="-2"/>
                <w:sz w:val="18"/>
                <w:szCs w:val="18"/>
              </w:rPr>
            </w:pPr>
            <w:r>
              <w:rPr>
                <w:b/>
                <w:spacing w:val="-2"/>
                <w:sz w:val="18"/>
                <w:szCs w:val="18"/>
              </w:rPr>
              <w:t>使用权</w:t>
            </w:r>
          </w:p>
          <w:p>
            <w:pPr>
              <w:spacing w:line="240" w:lineRule="exact"/>
              <w:jc w:val="center"/>
              <w:rPr>
                <w:b/>
                <w:spacing w:val="-2"/>
                <w:sz w:val="18"/>
                <w:szCs w:val="18"/>
              </w:rPr>
            </w:pPr>
            <w:r>
              <w:rPr>
                <w:b/>
                <w:spacing w:val="-2"/>
                <w:sz w:val="18"/>
                <w:szCs w:val="18"/>
              </w:rPr>
              <w:t>类型</w:t>
            </w:r>
          </w:p>
        </w:tc>
        <w:tc>
          <w:tcPr>
            <w:tcW w:w="829" w:type="pct"/>
            <w:tcMar>
              <w:left w:w="28" w:type="dxa"/>
              <w:right w:w="28" w:type="dxa"/>
            </w:tcMar>
            <w:vAlign w:val="center"/>
          </w:tcPr>
          <w:p>
            <w:pPr>
              <w:spacing w:line="240" w:lineRule="exact"/>
              <w:jc w:val="center"/>
              <w:rPr>
                <w:b/>
                <w:spacing w:val="-2"/>
                <w:sz w:val="18"/>
                <w:szCs w:val="18"/>
              </w:rPr>
            </w:pPr>
            <w:r>
              <w:rPr>
                <w:b/>
                <w:spacing w:val="-2"/>
                <w:sz w:val="18"/>
                <w:szCs w:val="18"/>
              </w:rPr>
              <w:t>使用权面积（㎡）</w:t>
            </w:r>
          </w:p>
        </w:tc>
        <w:tc>
          <w:tcPr>
            <w:tcW w:w="502" w:type="pct"/>
            <w:tcMar>
              <w:left w:w="28" w:type="dxa"/>
              <w:right w:w="28" w:type="dxa"/>
            </w:tcMar>
            <w:vAlign w:val="center"/>
          </w:tcPr>
          <w:p>
            <w:pPr>
              <w:spacing w:line="240" w:lineRule="exact"/>
              <w:jc w:val="center"/>
              <w:rPr>
                <w:b/>
                <w:spacing w:val="-2"/>
                <w:sz w:val="18"/>
                <w:szCs w:val="18"/>
              </w:rPr>
            </w:pPr>
            <w:r>
              <w:rPr>
                <w:b/>
                <w:spacing w:val="-2"/>
                <w:sz w:val="18"/>
                <w:szCs w:val="18"/>
              </w:rPr>
              <w:t>终止日期</w:t>
            </w:r>
          </w:p>
        </w:tc>
        <w:tc>
          <w:tcPr>
            <w:tcW w:w="552" w:type="pct"/>
            <w:vAlign w:val="center"/>
          </w:tcPr>
          <w:p>
            <w:pPr>
              <w:spacing w:line="240" w:lineRule="exact"/>
              <w:jc w:val="center"/>
              <w:rPr>
                <w:b/>
                <w:spacing w:val="-2"/>
                <w:sz w:val="18"/>
                <w:szCs w:val="18"/>
              </w:rPr>
            </w:pPr>
            <w:r>
              <w:rPr>
                <w:b/>
                <w:spacing w:val="-2"/>
                <w:sz w:val="18"/>
                <w:szCs w:val="18"/>
              </w:rPr>
              <w:t>剩余土地使用年限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593" w:type="pct"/>
            <w:vAlign w:val="center"/>
          </w:tcPr>
          <w:p>
            <w:pPr>
              <w:spacing w:line="240" w:lineRule="exact"/>
              <w:jc w:val="center"/>
              <w:rPr>
                <w:spacing w:val="-2"/>
                <w:sz w:val="18"/>
                <w:szCs w:val="18"/>
              </w:rPr>
            </w:pPr>
            <w:r>
              <w:rPr>
                <w:spacing w:val="-2"/>
                <w:sz w:val="18"/>
                <w:szCs w:val="18"/>
              </w:rPr>
              <w:t>资阳国用（2009）第BB117410号</w:t>
            </w:r>
          </w:p>
        </w:tc>
        <w:tc>
          <w:tcPr>
            <w:tcW w:w="577" w:type="pct"/>
            <w:vAlign w:val="center"/>
          </w:tcPr>
          <w:p>
            <w:pPr>
              <w:spacing w:line="240" w:lineRule="exact"/>
              <w:jc w:val="center"/>
              <w:rPr>
                <w:spacing w:val="-2"/>
                <w:sz w:val="18"/>
                <w:szCs w:val="18"/>
              </w:rPr>
            </w:pPr>
            <w:r>
              <w:rPr>
                <w:spacing w:val="-2"/>
                <w:sz w:val="18"/>
                <w:szCs w:val="18"/>
              </w:rPr>
              <w:t>周莉</w:t>
            </w:r>
          </w:p>
        </w:tc>
        <w:tc>
          <w:tcPr>
            <w:tcW w:w="474" w:type="pct"/>
            <w:vAlign w:val="center"/>
          </w:tcPr>
          <w:p>
            <w:pPr>
              <w:spacing w:line="240" w:lineRule="exact"/>
              <w:jc w:val="center"/>
              <w:rPr>
                <w:spacing w:val="-2"/>
                <w:sz w:val="18"/>
                <w:szCs w:val="18"/>
              </w:rPr>
            </w:pPr>
            <w:r>
              <w:rPr>
                <w:spacing w:val="-2"/>
                <w:sz w:val="18"/>
                <w:szCs w:val="18"/>
              </w:rPr>
              <w:t>孙家坝区财税小区</w:t>
            </w:r>
          </w:p>
        </w:tc>
        <w:tc>
          <w:tcPr>
            <w:tcW w:w="595" w:type="pct"/>
            <w:vAlign w:val="center"/>
          </w:tcPr>
          <w:p>
            <w:pPr>
              <w:spacing w:line="240" w:lineRule="exact"/>
              <w:jc w:val="center"/>
              <w:rPr>
                <w:spacing w:val="-2"/>
                <w:sz w:val="18"/>
                <w:szCs w:val="18"/>
              </w:rPr>
            </w:pPr>
            <w:r>
              <w:rPr>
                <w:spacing w:val="-2"/>
                <w:sz w:val="18"/>
                <w:szCs w:val="18"/>
              </w:rPr>
              <w:t>2402024-1-2</w:t>
            </w:r>
          </w:p>
        </w:tc>
        <w:tc>
          <w:tcPr>
            <w:tcW w:w="473" w:type="pct"/>
            <w:tcMar>
              <w:left w:w="28" w:type="dxa"/>
              <w:right w:w="28" w:type="dxa"/>
            </w:tcMar>
            <w:vAlign w:val="center"/>
          </w:tcPr>
          <w:p>
            <w:pPr>
              <w:spacing w:line="240" w:lineRule="exact"/>
              <w:jc w:val="center"/>
              <w:rPr>
                <w:spacing w:val="-2"/>
                <w:sz w:val="18"/>
                <w:szCs w:val="18"/>
              </w:rPr>
            </w:pPr>
            <w:r>
              <w:rPr>
                <w:spacing w:val="-2"/>
                <w:sz w:val="18"/>
                <w:szCs w:val="18"/>
              </w:rPr>
              <w:t>商业用地</w:t>
            </w:r>
          </w:p>
        </w:tc>
        <w:tc>
          <w:tcPr>
            <w:tcW w:w="405" w:type="pct"/>
            <w:tcMar>
              <w:left w:w="28" w:type="dxa"/>
              <w:right w:w="28" w:type="dxa"/>
            </w:tcMar>
            <w:vAlign w:val="center"/>
          </w:tcPr>
          <w:p>
            <w:pPr>
              <w:spacing w:line="240" w:lineRule="exact"/>
              <w:jc w:val="center"/>
              <w:rPr>
                <w:spacing w:val="-2"/>
                <w:sz w:val="18"/>
                <w:szCs w:val="18"/>
              </w:rPr>
            </w:pPr>
            <w:r>
              <w:rPr>
                <w:spacing w:val="-2"/>
                <w:sz w:val="18"/>
                <w:szCs w:val="18"/>
              </w:rPr>
              <w:t>出让</w:t>
            </w:r>
          </w:p>
        </w:tc>
        <w:tc>
          <w:tcPr>
            <w:tcW w:w="829" w:type="pct"/>
            <w:tcMar>
              <w:left w:w="28" w:type="dxa"/>
              <w:right w:w="28" w:type="dxa"/>
            </w:tcMar>
            <w:vAlign w:val="center"/>
          </w:tcPr>
          <w:p>
            <w:pPr>
              <w:spacing w:line="240" w:lineRule="exact"/>
              <w:jc w:val="center"/>
              <w:rPr>
                <w:spacing w:val="-2"/>
                <w:sz w:val="18"/>
                <w:szCs w:val="18"/>
              </w:rPr>
            </w:pPr>
            <w:r>
              <w:rPr>
                <w:spacing w:val="-2"/>
                <w:sz w:val="18"/>
                <w:szCs w:val="18"/>
              </w:rPr>
              <w:t>6.31</w:t>
            </w:r>
          </w:p>
        </w:tc>
        <w:tc>
          <w:tcPr>
            <w:tcW w:w="502" w:type="pct"/>
            <w:tcMar>
              <w:left w:w="28" w:type="dxa"/>
              <w:right w:w="28" w:type="dxa"/>
            </w:tcMar>
            <w:vAlign w:val="center"/>
          </w:tcPr>
          <w:p>
            <w:pPr>
              <w:spacing w:line="240" w:lineRule="exact"/>
              <w:jc w:val="center"/>
              <w:rPr>
                <w:spacing w:val="-2"/>
                <w:sz w:val="18"/>
                <w:szCs w:val="18"/>
              </w:rPr>
            </w:pPr>
            <w:r>
              <w:rPr>
                <w:spacing w:val="-2"/>
                <w:sz w:val="18"/>
                <w:szCs w:val="18"/>
              </w:rPr>
              <w:t>2039年10月26日</w:t>
            </w:r>
          </w:p>
        </w:tc>
        <w:tc>
          <w:tcPr>
            <w:tcW w:w="552" w:type="pct"/>
            <w:vAlign w:val="center"/>
          </w:tcPr>
          <w:p>
            <w:pPr>
              <w:spacing w:line="240" w:lineRule="exact"/>
              <w:jc w:val="center"/>
              <w:rPr>
                <w:spacing w:val="-2"/>
                <w:sz w:val="18"/>
                <w:szCs w:val="18"/>
              </w:rPr>
            </w:pPr>
            <w:r>
              <w:rPr>
                <w:spacing w:val="-2"/>
                <w:sz w:val="18"/>
                <w:szCs w:val="18"/>
              </w:rPr>
              <w:t>18.94年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593" w:type="pct"/>
            <w:vAlign w:val="center"/>
          </w:tcPr>
          <w:p>
            <w:pPr>
              <w:spacing w:line="240" w:lineRule="exact"/>
              <w:jc w:val="center"/>
              <w:rPr>
                <w:spacing w:val="-2"/>
                <w:sz w:val="18"/>
                <w:szCs w:val="18"/>
              </w:rPr>
            </w:pPr>
            <w:r>
              <w:rPr>
                <w:spacing w:val="-2"/>
                <w:sz w:val="18"/>
                <w:szCs w:val="18"/>
              </w:rPr>
              <w:t>资阳国用（2009）第BB111260号</w:t>
            </w:r>
          </w:p>
        </w:tc>
        <w:tc>
          <w:tcPr>
            <w:tcW w:w="577" w:type="pct"/>
            <w:vAlign w:val="center"/>
          </w:tcPr>
          <w:p>
            <w:pPr>
              <w:spacing w:line="240" w:lineRule="exact"/>
              <w:jc w:val="center"/>
              <w:rPr>
                <w:spacing w:val="-2"/>
                <w:sz w:val="18"/>
                <w:szCs w:val="18"/>
              </w:rPr>
            </w:pPr>
            <w:r>
              <w:rPr>
                <w:spacing w:val="-2"/>
                <w:sz w:val="18"/>
                <w:szCs w:val="18"/>
              </w:rPr>
              <w:t>周莉</w:t>
            </w:r>
          </w:p>
        </w:tc>
        <w:tc>
          <w:tcPr>
            <w:tcW w:w="474" w:type="pct"/>
            <w:vAlign w:val="center"/>
          </w:tcPr>
          <w:p>
            <w:pPr>
              <w:spacing w:line="240" w:lineRule="exact"/>
              <w:jc w:val="center"/>
              <w:rPr>
                <w:spacing w:val="-2"/>
                <w:sz w:val="18"/>
                <w:szCs w:val="18"/>
              </w:rPr>
            </w:pPr>
            <w:r>
              <w:rPr>
                <w:spacing w:val="-2"/>
                <w:sz w:val="18"/>
                <w:szCs w:val="18"/>
              </w:rPr>
              <w:t>孙家坝区财税小区</w:t>
            </w:r>
          </w:p>
        </w:tc>
        <w:tc>
          <w:tcPr>
            <w:tcW w:w="595" w:type="pct"/>
            <w:vAlign w:val="center"/>
          </w:tcPr>
          <w:p>
            <w:pPr>
              <w:spacing w:line="240" w:lineRule="exact"/>
              <w:jc w:val="center"/>
              <w:rPr>
                <w:spacing w:val="-2"/>
                <w:sz w:val="18"/>
                <w:szCs w:val="18"/>
              </w:rPr>
            </w:pPr>
            <w:r>
              <w:rPr>
                <w:spacing w:val="-2"/>
                <w:sz w:val="18"/>
                <w:szCs w:val="18"/>
              </w:rPr>
              <w:t>2402025-63</w:t>
            </w:r>
          </w:p>
        </w:tc>
        <w:tc>
          <w:tcPr>
            <w:tcW w:w="473" w:type="pct"/>
            <w:tcMar>
              <w:left w:w="28" w:type="dxa"/>
              <w:right w:w="28" w:type="dxa"/>
            </w:tcMar>
            <w:vAlign w:val="center"/>
          </w:tcPr>
          <w:p>
            <w:pPr>
              <w:spacing w:line="240" w:lineRule="exact"/>
              <w:jc w:val="center"/>
              <w:rPr>
                <w:spacing w:val="-2"/>
                <w:sz w:val="18"/>
                <w:szCs w:val="18"/>
              </w:rPr>
            </w:pPr>
            <w:r>
              <w:rPr>
                <w:spacing w:val="-2"/>
                <w:sz w:val="18"/>
                <w:szCs w:val="18"/>
              </w:rPr>
              <w:t>商业用地</w:t>
            </w:r>
          </w:p>
        </w:tc>
        <w:tc>
          <w:tcPr>
            <w:tcW w:w="405" w:type="pct"/>
            <w:tcMar>
              <w:left w:w="28" w:type="dxa"/>
              <w:right w:w="28" w:type="dxa"/>
            </w:tcMar>
            <w:vAlign w:val="center"/>
          </w:tcPr>
          <w:p>
            <w:pPr>
              <w:spacing w:line="240" w:lineRule="exact"/>
              <w:jc w:val="center"/>
              <w:rPr>
                <w:spacing w:val="-2"/>
                <w:sz w:val="18"/>
                <w:szCs w:val="18"/>
              </w:rPr>
            </w:pPr>
            <w:r>
              <w:rPr>
                <w:spacing w:val="-2"/>
                <w:sz w:val="18"/>
                <w:szCs w:val="18"/>
              </w:rPr>
              <w:t>出让</w:t>
            </w:r>
          </w:p>
        </w:tc>
        <w:tc>
          <w:tcPr>
            <w:tcW w:w="829" w:type="pct"/>
            <w:tcMar>
              <w:left w:w="28" w:type="dxa"/>
              <w:right w:w="28" w:type="dxa"/>
            </w:tcMar>
            <w:vAlign w:val="center"/>
          </w:tcPr>
          <w:p>
            <w:pPr>
              <w:spacing w:line="240" w:lineRule="exact"/>
              <w:jc w:val="center"/>
              <w:rPr>
                <w:spacing w:val="-2"/>
                <w:sz w:val="18"/>
                <w:szCs w:val="18"/>
              </w:rPr>
            </w:pPr>
            <w:r>
              <w:rPr>
                <w:spacing w:val="-2"/>
                <w:sz w:val="18"/>
                <w:szCs w:val="18"/>
              </w:rPr>
              <w:t>18.20</w:t>
            </w:r>
          </w:p>
        </w:tc>
        <w:tc>
          <w:tcPr>
            <w:tcW w:w="502" w:type="pct"/>
            <w:tcMar>
              <w:left w:w="28" w:type="dxa"/>
              <w:right w:w="28" w:type="dxa"/>
            </w:tcMar>
            <w:vAlign w:val="center"/>
          </w:tcPr>
          <w:p>
            <w:pPr>
              <w:spacing w:line="240" w:lineRule="exact"/>
              <w:jc w:val="center"/>
              <w:rPr>
                <w:spacing w:val="-2"/>
                <w:sz w:val="18"/>
                <w:szCs w:val="18"/>
              </w:rPr>
            </w:pPr>
            <w:r>
              <w:rPr>
                <w:spacing w:val="-2"/>
                <w:sz w:val="18"/>
                <w:szCs w:val="18"/>
              </w:rPr>
              <w:t>2019年2月26日</w:t>
            </w:r>
          </w:p>
        </w:tc>
        <w:tc>
          <w:tcPr>
            <w:tcW w:w="552" w:type="pct"/>
            <w:vAlign w:val="center"/>
          </w:tcPr>
          <w:p>
            <w:pPr>
              <w:spacing w:line="240" w:lineRule="exact"/>
              <w:jc w:val="center"/>
              <w:rPr>
                <w:spacing w:val="-2"/>
                <w:sz w:val="18"/>
                <w:szCs w:val="18"/>
              </w:rPr>
            </w:pPr>
            <w:r>
              <w:rPr>
                <w:spacing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593" w:type="pct"/>
            <w:vAlign w:val="center"/>
          </w:tcPr>
          <w:p>
            <w:pPr>
              <w:spacing w:line="240" w:lineRule="exact"/>
              <w:jc w:val="center"/>
              <w:rPr>
                <w:spacing w:val="-2"/>
                <w:sz w:val="18"/>
                <w:szCs w:val="18"/>
              </w:rPr>
            </w:pPr>
            <w:r>
              <w:rPr>
                <w:spacing w:val="-2"/>
                <w:sz w:val="18"/>
                <w:szCs w:val="18"/>
              </w:rPr>
              <w:t>资阳国用（2009）第BB501259号</w:t>
            </w:r>
          </w:p>
        </w:tc>
        <w:tc>
          <w:tcPr>
            <w:tcW w:w="577" w:type="pct"/>
            <w:vAlign w:val="center"/>
          </w:tcPr>
          <w:p>
            <w:pPr>
              <w:spacing w:line="240" w:lineRule="exact"/>
              <w:jc w:val="center"/>
              <w:rPr>
                <w:spacing w:val="-2"/>
                <w:sz w:val="18"/>
                <w:szCs w:val="18"/>
              </w:rPr>
            </w:pPr>
            <w:r>
              <w:rPr>
                <w:spacing w:val="-2"/>
                <w:sz w:val="18"/>
                <w:szCs w:val="18"/>
              </w:rPr>
              <w:t>周莉</w:t>
            </w:r>
          </w:p>
        </w:tc>
        <w:tc>
          <w:tcPr>
            <w:tcW w:w="474" w:type="pct"/>
            <w:vAlign w:val="center"/>
          </w:tcPr>
          <w:p>
            <w:pPr>
              <w:spacing w:line="240" w:lineRule="exact"/>
              <w:jc w:val="center"/>
              <w:rPr>
                <w:spacing w:val="-2"/>
                <w:sz w:val="18"/>
                <w:szCs w:val="18"/>
              </w:rPr>
            </w:pPr>
            <w:r>
              <w:rPr>
                <w:spacing w:val="-2"/>
                <w:sz w:val="18"/>
                <w:szCs w:val="18"/>
              </w:rPr>
              <w:t>孙家坝区财税小区</w:t>
            </w:r>
          </w:p>
        </w:tc>
        <w:tc>
          <w:tcPr>
            <w:tcW w:w="595" w:type="pct"/>
            <w:vAlign w:val="center"/>
          </w:tcPr>
          <w:p>
            <w:pPr>
              <w:spacing w:line="240" w:lineRule="exact"/>
              <w:jc w:val="center"/>
              <w:rPr>
                <w:spacing w:val="-2"/>
                <w:sz w:val="18"/>
                <w:szCs w:val="18"/>
              </w:rPr>
            </w:pPr>
            <w:r>
              <w:rPr>
                <w:spacing w:val="-2"/>
                <w:sz w:val="18"/>
                <w:szCs w:val="18"/>
              </w:rPr>
              <w:t>2402024-2-41</w:t>
            </w:r>
          </w:p>
        </w:tc>
        <w:tc>
          <w:tcPr>
            <w:tcW w:w="473" w:type="pct"/>
            <w:tcMar>
              <w:left w:w="28" w:type="dxa"/>
              <w:right w:w="28" w:type="dxa"/>
            </w:tcMar>
            <w:vAlign w:val="center"/>
          </w:tcPr>
          <w:p>
            <w:pPr>
              <w:spacing w:line="240" w:lineRule="exact"/>
              <w:jc w:val="center"/>
              <w:rPr>
                <w:spacing w:val="-2"/>
                <w:sz w:val="18"/>
                <w:szCs w:val="18"/>
              </w:rPr>
            </w:pPr>
            <w:r>
              <w:rPr>
                <w:spacing w:val="-2"/>
                <w:sz w:val="18"/>
                <w:szCs w:val="18"/>
              </w:rPr>
              <w:t>住宅用地</w:t>
            </w:r>
          </w:p>
        </w:tc>
        <w:tc>
          <w:tcPr>
            <w:tcW w:w="405" w:type="pct"/>
            <w:tcMar>
              <w:left w:w="28" w:type="dxa"/>
              <w:right w:w="28" w:type="dxa"/>
            </w:tcMar>
            <w:vAlign w:val="center"/>
          </w:tcPr>
          <w:p>
            <w:pPr>
              <w:spacing w:line="240" w:lineRule="exact"/>
              <w:jc w:val="center"/>
              <w:rPr>
                <w:spacing w:val="-2"/>
                <w:sz w:val="18"/>
                <w:szCs w:val="18"/>
              </w:rPr>
            </w:pPr>
            <w:r>
              <w:rPr>
                <w:spacing w:val="-2"/>
                <w:sz w:val="18"/>
                <w:szCs w:val="18"/>
              </w:rPr>
              <w:t>出让</w:t>
            </w:r>
          </w:p>
        </w:tc>
        <w:tc>
          <w:tcPr>
            <w:tcW w:w="829" w:type="pct"/>
            <w:tcMar>
              <w:left w:w="28" w:type="dxa"/>
              <w:right w:w="28" w:type="dxa"/>
            </w:tcMar>
            <w:vAlign w:val="center"/>
          </w:tcPr>
          <w:p>
            <w:pPr>
              <w:spacing w:line="240" w:lineRule="exact"/>
              <w:jc w:val="center"/>
              <w:rPr>
                <w:spacing w:val="-2"/>
                <w:sz w:val="18"/>
                <w:szCs w:val="18"/>
              </w:rPr>
            </w:pPr>
            <w:r>
              <w:rPr>
                <w:spacing w:val="-2"/>
                <w:sz w:val="18"/>
                <w:szCs w:val="18"/>
              </w:rPr>
              <w:t>26.40</w:t>
            </w:r>
          </w:p>
        </w:tc>
        <w:tc>
          <w:tcPr>
            <w:tcW w:w="502" w:type="pct"/>
            <w:tcMar>
              <w:left w:w="28" w:type="dxa"/>
              <w:right w:w="28" w:type="dxa"/>
            </w:tcMar>
            <w:vAlign w:val="center"/>
          </w:tcPr>
          <w:p>
            <w:pPr>
              <w:spacing w:line="240" w:lineRule="exact"/>
              <w:jc w:val="center"/>
              <w:rPr>
                <w:spacing w:val="-2"/>
                <w:sz w:val="18"/>
                <w:szCs w:val="18"/>
              </w:rPr>
            </w:pPr>
            <w:r>
              <w:rPr>
                <w:spacing w:val="-2"/>
                <w:sz w:val="18"/>
                <w:szCs w:val="18"/>
              </w:rPr>
              <w:t>2019年2月26日</w:t>
            </w:r>
          </w:p>
        </w:tc>
        <w:tc>
          <w:tcPr>
            <w:tcW w:w="552" w:type="pct"/>
            <w:vAlign w:val="center"/>
          </w:tcPr>
          <w:p>
            <w:pPr>
              <w:spacing w:line="240" w:lineRule="exact"/>
              <w:jc w:val="center"/>
              <w:rPr>
                <w:spacing w:val="-2"/>
                <w:sz w:val="18"/>
                <w:szCs w:val="18"/>
              </w:rPr>
            </w:pPr>
            <w:r>
              <w:rPr>
                <w:spacing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593" w:type="pct"/>
            <w:vAlign w:val="center"/>
          </w:tcPr>
          <w:p>
            <w:pPr>
              <w:spacing w:line="240" w:lineRule="exact"/>
              <w:jc w:val="center"/>
              <w:rPr>
                <w:spacing w:val="-2"/>
                <w:sz w:val="18"/>
                <w:szCs w:val="18"/>
              </w:rPr>
            </w:pPr>
            <w:r>
              <w:rPr>
                <w:spacing w:val="-2"/>
                <w:sz w:val="18"/>
                <w:szCs w:val="18"/>
              </w:rPr>
              <w:t>资阳国用（2008）第BB500844号</w:t>
            </w:r>
          </w:p>
        </w:tc>
        <w:tc>
          <w:tcPr>
            <w:tcW w:w="577" w:type="pct"/>
            <w:vAlign w:val="center"/>
          </w:tcPr>
          <w:p>
            <w:pPr>
              <w:spacing w:line="240" w:lineRule="exact"/>
              <w:jc w:val="center"/>
              <w:rPr>
                <w:spacing w:val="-2"/>
                <w:sz w:val="18"/>
                <w:szCs w:val="18"/>
              </w:rPr>
            </w:pPr>
            <w:r>
              <w:rPr>
                <w:spacing w:val="-2"/>
                <w:sz w:val="18"/>
                <w:szCs w:val="18"/>
              </w:rPr>
              <w:t>周莉</w:t>
            </w:r>
          </w:p>
        </w:tc>
        <w:tc>
          <w:tcPr>
            <w:tcW w:w="474" w:type="pct"/>
            <w:vAlign w:val="center"/>
          </w:tcPr>
          <w:p>
            <w:pPr>
              <w:spacing w:line="240" w:lineRule="exact"/>
              <w:jc w:val="center"/>
              <w:rPr>
                <w:spacing w:val="-2"/>
                <w:sz w:val="18"/>
                <w:szCs w:val="18"/>
              </w:rPr>
            </w:pPr>
            <w:r>
              <w:rPr>
                <w:spacing w:val="-2"/>
                <w:sz w:val="18"/>
                <w:szCs w:val="18"/>
              </w:rPr>
              <w:t>孙家坝区财税小区</w:t>
            </w:r>
          </w:p>
        </w:tc>
        <w:tc>
          <w:tcPr>
            <w:tcW w:w="595" w:type="pct"/>
            <w:vAlign w:val="center"/>
          </w:tcPr>
          <w:p>
            <w:pPr>
              <w:spacing w:line="240" w:lineRule="exact"/>
              <w:jc w:val="center"/>
              <w:rPr>
                <w:spacing w:val="-2"/>
                <w:sz w:val="18"/>
                <w:szCs w:val="18"/>
              </w:rPr>
            </w:pPr>
            <w:r>
              <w:rPr>
                <w:spacing w:val="-2"/>
                <w:sz w:val="18"/>
                <w:szCs w:val="18"/>
              </w:rPr>
              <w:t>2402024-3-15</w:t>
            </w:r>
          </w:p>
        </w:tc>
        <w:tc>
          <w:tcPr>
            <w:tcW w:w="473" w:type="pct"/>
            <w:tcMar>
              <w:left w:w="28" w:type="dxa"/>
              <w:right w:w="28" w:type="dxa"/>
            </w:tcMar>
            <w:vAlign w:val="center"/>
          </w:tcPr>
          <w:p>
            <w:pPr>
              <w:spacing w:line="240" w:lineRule="exact"/>
              <w:jc w:val="center"/>
              <w:rPr>
                <w:spacing w:val="-2"/>
                <w:sz w:val="18"/>
                <w:szCs w:val="18"/>
              </w:rPr>
            </w:pPr>
            <w:r>
              <w:rPr>
                <w:spacing w:val="-2"/>
                <w:sz w:val="18"/>
                <w:szCs w:val="18"/>
              </w:rPr>
              <w:t>住宅用地</w:t>
            </w:r>
          </w:p>
        </w:tc>
        <w:tc>
          <w:tcPr>
            <w:tcW w:w="405" w:type="pct"/>
            <w:tcMar>
              <w:left w:w="28" w:type="dxa"/>
              <w:right w:w="28" w:type="dxa"/>
            </w:tcMar>
            <w:vAlign w:val="center"/>
          </w:tcPr>
          <w:p>
            <w:pPr>
              <w:spacing w:line="240" w:lineRule="exact"/>
              <w:jc w:val="center"/>
              <w:rPr>
                <w:spacing w:val="-2"/>
                <w:sz w:val="18"/>
                <w:szCs w:val="18"/>
              </w:rPr>
            </w:pPr>
            <w:r>
              <w:rPr>
                <w:spacing w:val="-2"/>
                <w:sz w:val="18"/>
                <w:szCs w:val="18"/>
              </w:rPr>
              <w:t>出让</w:t>
            </w:r>
          </w:p>
        </w:tc>
        <w:tc>
          <w:tcPr>
            <w:tcW w:w="829" w:type="pct"/>
            <w:tcMar>
              <w:left w:w="28" w:type="dxa"/>
              <w:right w:w="28" w:type="dxa"/>
            </w:tcMar>
            <w:vAlign w:val="center"/>
          </w:tcPr>
          <w:p>
            <w:pPr>
              <w:spacing w:line="240" w:lineRule="exact"/>
              <w:jc w:val="center"/>
              <w:rPr>
                <w:spacing w:val="-2"/>
                <w:sz w:val="18"/>
                <w:szCs w:val="18"/>
              </w:rPr>
            </w:pPr>
            <w:r>
              <w:rPr>
                <w:spacing w:val="-2"/>
                <w:sz w:val="18"/>
                <w:szCs w:val="18"/>
              </w:rPr>
              <w:t>6.01</w:t>
            </w:r>
          </w:p>
        </w:tc>
        <w:tc>
          <w:tcPr>
            <w:tcW w:w="502" w:type="pct"/>
            <w:tcMar>
              <w:left w:w="28" w:type="dxa"/>
              <w:right w:w="28" w:type="dxa"/>
            </w:tcMar>
            <w:vAlign w:val="center"/>
          </w:tcPr>
          <w:p>
            <w:pPr>
              <w:spacing w:line="240" w:lineRule="exact"/>
              <w:jc w:val="center"/>
              <w:rPr>
                <w:spacing w:val="-2"/>
                <w:sz w:val="18"/>
                <w:szCs w:val="18"/>
              </w:rPr>
            </w:pPr>
            <w:r>
              <w:rPr>
                <w:spacing w:val="-2"/>
                <w:sz w:val="18"/>
                <w:szCs w:val="18"/>
              </w:rPr>
              <w:t>2075年4月20日</w:t>
            </w:r>
          </w:p>
        </w:tc>
        <w:tc>
          <w:tcPr>
            <w:tcW w:w="552" w:type="pct"/>
            <w:vAlign w:val="center"/>
          </w:tcPr>
          <w:p>
            <w:pPr>
              <w:spacing w:line="240" w:lineRule="exact"/>
              <w:jc w:val="center"/>
              <w:rPr>
                <w:spacing w:val="-2"/>
                <w:sz w:val="18"/>
                <w:szCs w:val="18"/>
              </w:rPr>
            </w:pPr>
            <w:r>
              <w:rPr>
                <w:spacing w:val="-2"/>
                <w:sz w:val="18"/>
                <w:szCs w:val="18"/>
              </w:rPr>
              <w:t>54.42年</w:t>
            </w:r>
          </w:p>
        </w:tc>
      </w:tr>
    </w:tbl>
    <w:p>
      <w:pPr>
        <w:tabs>
          <w:tab w:val="left" w:pos="540"/>
        </w:tabs>
        <w:spacing w:line="600" w:lineRule="exact"/>
        <w:rPr>
          <w:sz w:val="28"/>
        </w:rPr>
      </w:pPr>
      <w:r>
        <w:rPr>
          <w:sz w:val="28"/>
        </w:rPr>
        <w:fldChar w:fldCharType="begin"/>
      </w:r>
      <w:r>
        <w:rPr>
          <w:sz w:val="28"/>
        </w:rPr>
        <w:instrText xml:space="preserve"> = 3 \* GB3 </w:instrText>
      </w:r>
      <w:r>
        <w:rPr>
          <w:sz w:val="28"/>
        </w:rPr>
        <w:fldChar w:fldCharType="separate"/>
      </w:r>
      <w:r>
        <w:rPr>
          <w:rFonts w:hint="eastAsia" w:ascii="宋体" w:hAnsi="宋体" w:cs="宋体"/>
          <w:sz w:val="28"/>
        </w:rPr>
        <w:t>③</w:t>
      </w:r>
      <w:r>
        <w:rPr>
          <w:sz w:val="28"/>
        </w:rPr>
        <w:fldChar w:fldCharType="end"/>
      </w:r>
      <w:r>
        <w:rPr>
          <w:sz w:val="28"/>
        </w:rPr>
        <w:t>土地利用现状</w:t>
      </w:r>
    </w:p>
    <w:p>
      <w:pPr>
        <w:spacing w:line="600" w:lineRule="exact"/>
        <w:ind w:firstLine="420" w:firstLineChars="150"/>
        <w:rPr>
          <w:sz w:val="28"/>
        </w:rPr>
      </w:pPr>
      <w:r>
        <w:rPr>
          <w:sz w:val="28"/>
        </w:rPr>
        <w:t>估价对象所在宗地内约于2000年已建成商住小区，现正常使用。</w:t>
      </w:r>
    </w:p>
    <w:p>
      <w:pPr>
        <w:tabs>
          <w:tab w:val="left" w:pos="540"/>
        </w:tabs>
        <w:spacing w:line="600" w:lineRule="exact"/>
        <w:ind w:firstLine="420" w:firstLineChars="150"/>
        <w:rPr>
          <w:sz w:val="28"/>
        </w:rPr>
      </w:pPr>
      <w:r>
        <w:rPr>
          <w:sz w:val="28"/>
        </w:rPr>
        <w:t>（2）</w:t>
      </w:r>
      <w:r>
        <w:rPr>
          <w:sz w:val="28"/>
          <w:szCs w:val="28"/>
        </w:rPr>
        <w:t>建筑物权益状况</w:t>
      </w:r>
    </w:p>
    <w:p>
      <w:pPr>
        <w:tabs>
          <w:tab w:val="left" w:pos="540"/>
        </w:tabs>
        <w:spacing w:line="600" w:lineRule="exact"/>
        <w:ind w:firstLine="420" w:firstLineChars="150"/>
        <w:rPr>
          <w:sz w:val="28"/>
        </w:rPr>
      </w:pPr>
      <w:r>
        <w:rPr>
          <w:sz w:val="28"/>
        </w:rPr>
        <w:t>根据估价委托人提供的估价对象《房屋所有权证》、《资阳市房产档案馆房产档案及商品房网签信息查询结果单》、《房产登记信息查询情况说明》等复印件，估价对象不动产登记信息如下：</w:t>
      </w:r>
    </w:p>
    <w:p>
      <w:pPr>
        <w:tabs>
          <w:tab w:val="left" w:pos="540"/>
        </w:tabs>
        <w:spacing w:line="600" w:lineRule="exact"/>
        <w:ind w:firstLine="420" w:firstLineChars="150"/>
        <w:rPr>
          <w:sz w:val="28"/>
        </w:rPr>
      </w:pPr>
      <w:r>
        <w:rPr>
          <w:sz w:val="28"/>
        </w:rPr>
        <w:fldChar w:fldCharType="begin"/>
      </w:r>
      <w:r>
        <w:rPr>
          <w:sz w:val="28"/>
        </w:rPr>
        <w:instrText xml:space="preserve"> = 1 \* GB3 </w:instrText>
      </w:r>
      <w:r>
        <w:rPr>
          <w:sz w:val="28"/>
        </w:rPr>
        <w:fldChar w:fldCharType="separate"/>
      </w:r>
      <w:r>
        <w:rPr>
          <w:rFonts w:hint="eastAsia" w:ascii="宋体" w:hAnsi="宋体" w:cs="宋体"/>
          <w:sz w:val="28"/>
        </w:rPr>
        <w:t>①</w:t>
      </w:r>
      <w:r>
        <w:rPr>
          <w:sz w:val="28"/>
        </w:rPr>
        <w:fldChar w:fldCharType="end"/>
      </w:r>
      <w:r>
        <w:rPr>
          <w:sz w:val="28"/>
        </w:rPr>
        <w:t>估价对象《房屋所有权证》登记信息</w:t>
      </w:r>
    </w:p>
    <w:tbl>
      <w:tblPr>
        <w:tblStyle w:val="44"/>
        <w:tblW w:w="9072" w:type="dxa"/>
        <w:jc w:val="center"/>
        <w:tblLayout w:type="autofit"/>
        <w:tblCellMar>
          <w:top w:w="0" w:type="dxa"/>
          <w:left w:w="108" w:type="dxa"/>
          <w:bottom w:w="0" w:type="dxa"/>
          <w:right w:w="108" w:type="dxa"/>
        </w:tblCellMar>
      </w:tblPr>
      <w:tblGrid>
        <w:gridCol w:w="1491"/>
        <w:gridCol w:w="997"/>
        <w:gridCol w:w="1229"/>
        <w:gridCol w:w="463"/>
        <w:gridCol w:w="499"/>
        <w:gridCol w:w="522"/>
        <w:gridCol w:w="463"/>
        <w:gridCol w:w="856"/>
        <w:gridCol w:w="709"/>
        <w:gridCol w:w="1134"/>
        <w:gridCol w:w="709"/>
      </w:tblGrid>
      <w:tr>
        <w:tblPrEx>
          <w:tblCellMar>
            <w:top w:w="0" w:type="dxa"/>
            <w:left w:w="108" w:type="dxa"/>
            <w:bottom w:w="0" w:type="dxa"/>
            <w:right w:w="108" w:type="dxa"/>
          </w:tblCellMar>
        </w:tblPrEx>
        <w:trPr>
          <w:trHeight w:val="459"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房屋所有权证号</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房屋所有权人人</w:t>
            </w:r>
          </w:p>
        </w:tc>
        <w:tc>
          <w:tcPr>
            <w:tcW w:w="122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房屋坐落</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产别</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幢号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房号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结构</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房屋总层数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所在层数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建筑面积（平方米）</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设计用途</w:t>
            </w:r>
          </w:p>
        </w:tc>
      </w:tr>
      <w:tr>
        <w:tblPrEx>
          <w:tblCellMar>
            <w:top w:w="0" w:type="dxa"/>
            <w:left w:w="108" w:type="dxa"/>
            <w:bottom w:w="0" w:type="dxa"/>
            <w:right w:w="108" w:type="dxa"/>
          </w:tblCellMar>
        </w:tblPrEx>
        <w:trPr>
          <w:trHeight w:val="484"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房权证资阳字第2005-028483号</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周莉</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私有</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混合</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29.88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营业用房</w:t>
            </w:r>
          </w:p>
        </w:tc>
      </w:tr>
      <w:tr>
        <w:tblPrEx>
          <w:tblCellMar>
            <w:top w:w="0" w:type="dxa"/>
            <w:left w:w="108" w:type="dxa"/>
            <w:bottom w:w="0" w:type="dxa"/>
            <w:right w:w="108" w:type="dxa"/>
          </w:tblCellMar>
        </w:tblPrEx>
        <w:trPr>
          <w:trHeight w:val="682"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房权证资阳字第2005-028484号</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周莉</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私有</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混合</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82.46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营业用房</w:t>
            </w:r>
          </w:p>
        </w:tc>
      </w:tr>
      <w:tr>
        <w:tblPrEx>
          <w:tblCellMar>
            <w:top w:w="0" w:type="dxa"/>
            <w:left w:w="108" w:type="dxa"/>
            <w:bottom w:w="0" w:type="dxa"/>
            <w:right w:w="108" w:type="dxa"/>
          </w:tblCellMar>
        </w:tblPrEx>
        <w:trPr>
          <w:trHeight w:val="866"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房权证资阳字第2005-028482号</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周莉</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私有</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501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混合</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129.73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住宅</w:t>
            </w:r>
          </w:p>
        </w:tc>
      </w:tr>
      <w:tr>
        <w:tblPrEx>
          <w:tblCellMar>
            <w:top w:w="0" w:type="dxa"/>
            <w:left w:w="108" w:type="dxa"/>
            <w:bottom w:w="0" w:type="dxa"/>
            <w:right w:w="108" w:type="dxa"/>
          </w:tblCellMar>
        </w:tblPrEx>
        <w:trPr>
          <w:trHeight w:val="60"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房权证资阳字第2005-027038号</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周莉</w:t>
            </w:r>
          </w:p>
        </w:tc>
        <w:tc>
          <w:tcPr>
            <w:tcW w:w="122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私有</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4-4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混合</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30.02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车库</w:t>
            </w:r>
          </w:p>
        </w:tc>
      </w:tr>
    </w:tbl>
    <w:p>
      <w:pPr>
        <w:tabs>
          <w:tab w:val="left" w:pos="540"/>
        </w:tabs>
        <w:spacing w:line="600" w:lineRule="exact"/>
        <w:ind w:firstLine="420" w:firstLineChars="150"/>
        <w:rPr>
          <w:sz w:val="28"/>
        </w:rPr>
      </w:pPr>
      <w:r>
        <w:rPr>
          <w:sz w:val="28"/>
        </w:rPr>
        <w:fldChar w:fldCharType="begin"/>
      </w:r>
      <w:r>
        <w:rPr>
          <w:sz w:val="28"/>
        </w:rPr>
        <w:instrText xml:space="preserve"> = 2 \* GB3 </w:instrText>
      </w:r>
      <w:r>
        <w:rPr>
          <w:sz w:val="28"/>
        </w:rPr>
        <w:fldChar w:fldCharType="separate"/>
      </w:r>
      <w:r>
        <w:rPr>
          <w:rFonts w:hint="eastAsia" w:ascii="宋体" w:hAnsi="宋体" w:cs="宋体"/>
          <w:sz w:val="28"/>
        </w:rPr>
        <w:t>②</w:t>
      </w:r>
      <w:r>
        <w:rPr>
          <w:sz w:val="28"/>
        </w:rPr>
        <w:fldChar w:fldCharType="end"/>
      </w:r>
      <w:r>
        <w:rPr>
          <w:sz w:val="28"/>
        </w:rPr>
        <w:t>估价对象《房产登记信息查询情况说明》登记信息</w:t>
      </w:r>
    </w:p>
    <w:tbl>
      <w:tblPr>
        <w:tblStyle w:val="44"/>
        <w:tblW w:w="9720" w:type="dxa"/>
        <w:jc w:val="center"/>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285" w:hRule="atLeast"/>
          <w:jc w:val="center"/>
        </w:trPr>
        <w:tc>
          <w:tcPr>
            <w:tcW w:w="9720" w:type="dxa"/>
            <w:gridSpan w:val="9"/>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b/>
                <w:bCs/>
                <w:color w:val="000000"/>
                <w:kern w:val="0"/>
                <w:sz w:val="18"/>
                <w:szCs w:val="18"/>
              </w:rPr>
            </w:pPr>
            <w:r>
              <w:rPr>
                <w:b/>
                <w:bCs/>
                <w:color w:val="000000"/>
                <w:kern w:val="0"/>
                <w:sz w:val="18"/>
                <w:szCs w:val="18"/>
              </w:rPr>
              <w:t>房产登记信息查询情况说明</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权利人</w:t>
            </w:r>
          </w:p>
        </w:tc>
        <w:tc>
          <w:tcPr>
            <w:tcW w:w="4320" w:type="dxa"/>
            <w:gridSpan w:val="4"/>
            <w:tcBorders>
              <w:top w:val="single" w:color="auto" w:sz="8"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周莉</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共有方式</w:t>
            </w:r>
          </w:p>
        </w:tc>
        <w:tc>
          <w:tcPr>
            <w:tcW w:w="3240"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单独所有</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证件类型</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身份证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证件号码</w:t>
            </w:r>
          </w:p>
        </w:tc>
        <w:tc>
          <w:tcPr>
            <w:tcW w:w="3240"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不动产权证号</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2005-028483；（2009）BB117410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登记时间</w:t>
            </w:r>
          </w:p>
        </w:tc>
        <w:tc>
          <w:tcPr>
            <w:tcW w:w="3240"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2017/6/15</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产别</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房屋性质</w:t>
            </w:r>
          </w:p>
        </w:tc>
        <w:tc>
          <w:tcPr>
            <w:tcW w:w="3240"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市场化商品房</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资阳市雁江区爱国国居委会八组</w:t>
            </w:r>
            <w:r>
              <w:rPr>
                <w:rFonts w:hint="eastAsia"/>
                <w:color w:val="000000"/>
                <w:kern w:val="0"/>
                <w:sz w:val="18"/>
                <w:szCs w:val="18"/>
              </w:rPr>
              <w:t>1幢1层3号</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房屋数</w:t>
            </w:r>
          </w:p>
        </w:tc>
        <w:tc>
          <w:tcPr>
            <w:tcW w:w="3240"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4</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幢号</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房号</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房屋结构</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所在层</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总层数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建筑面积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规划用途</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房屋状况</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宗地状态</w:t>
            </w:r>
          </w:p>
        </w:tc>
      </w:tr>
      <w:tr>
        <w:tblPrEx>
          <w:tblCellMar>
            <w:top w:w="0" w:type="dxa"/>
            <w:left w:w="108" w:type="dxa"/>
            <w:bottom w:w="0" w:type="dxa"/>
            <w:right w:w="108" w:type="dxa"/>
          </w:tblCellMar>
        </w:tblPrEx>
        <w:trPr>
          <w:trHeight w:val="189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混合结构</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29.88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经营</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现房已抵押，现房未查封，未关联期房，现房无异议，未限制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未抵押，未查封，无异议</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宗地代码</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512002004001GB00762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宗地面积</w:t>
            </w:r>
          </w:p>
        </w:tc>
        <w:tc>
          <w:tcPr>
            <w:tcW w:w="3240"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6855.21</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权利类型</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国有建设用地使用权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权利性质</w:t>
            </w:r>
          </w:p>
        </w:tc>
        <w:tc>
          <w:tcPr>
            <w:tcW w:w="3240"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出让</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土地用途</w:t>
            </w:r>
          </w:p>
        </w:tc>
        <w:tc>
          <w:tcPr>
            <w:tcW w:w="43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起始时间</w:t>
            </w:r>
          </w:p>
        </w:tc>
        <w:tc>
          <w:tcPr>
            <w:tcW w:w="4320"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终止时间</w:t>
            </w:r>
          </w:p>
        </w:tc>
      </w:tr>
      <w:tr>
        <w:tblPrEx>
          <w:tblCellMar>
            <w:top w:w="0" w:type="dxa"/>
            <w:left w:w="108" w:type="dxa"/>
            <w:bottom w:w="0" w:type="dxa"/>
            <w:right w:w="108" w:type="dxa"/>
          </w:tblCellMar>
        </w:tblPrEx>
        <w:trPr>
          <w:trHeight w:val="555" w:hRule="atLeast"/>
          <w:jc w:val="center"/>
        </w:trPr>
        <w:tc>
          <w:tcPr>
            <w:tcW w:w="1080" w:type="dxa"/>
            <w:tcBorders>
              <w:top w:val="nil"/>
              <w:left w:val="single" w:color="auto" w:sz="8" w:space="0"/>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城镇住宅用地</w:t>
            </w:r>
          </w:p>
        </w:tc>
        <w:tc>
          <w:tcPr>
            <w:tcW w:w="4320" w:type="dxa"/>
            <w:gridSpan w:val="4"/>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4320" w:type="dxa"/>
            <w:gridSpan w:val="4"/>
            <w:tcBorders>
              <w:top w:val="single" w:color="auto" w:sz="4" w:space="0"/>
              <w:left w:val="nil"/>
              <w:bottom w:val="single" w:color="auto"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2075/4/20</w:t>
            </w:r>
          </w:p>
        </w:tc>
      </w:tr>
    </w:tbl>
    <w:p/>
    <w:tbl>
      <w:tblPr>
        <w:tblStyle w:val="4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权利人</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周莉</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共有方式</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证件类型</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身份证</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证件号码</w:t>
            </w:r>
          </w:p>
        </w:tc>
        <w:tc>
          <w:tcPr>
            <w:tcW w:w="3240" w:type="dxa"/>
            <w:gridSpan w:val="3"/>
            <w:shd w:val="clear" w:color="auto" w:fill="auto"/>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不动产权证号</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2005-028484；（2009）BB111260</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登记时间</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2017/6/15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产别</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　</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房屋性质</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市场化商品房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资阳市雁江区爱国国居委会八组5栋1层3-4号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房屋数</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幢号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房屋结构</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所在层</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总层数</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建筑面积</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规划用途</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房屋状况</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宗地状态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5</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3-4</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混合结构</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1</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4</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82.46</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经营</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现房已抵押，现房未查封，未关联期房，现房无异议，未限制</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未抵押，未查封，无异议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宗地代码</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512002004001GB00173</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宗地面积</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2348.35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权利类型</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国有建设用地使用权</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权利性质</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土地用途</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起始时间</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城镇住宅用地</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　</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　</w:t>
            </w:r>
          </w:p>
        </w:tc>
      </w:tr>
    </w:tbl>
    <w:p/>
    <w:tbl>
      <w:tblPr>
        <w:tblStyle w:val="4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权利人</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周莉</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共有方式</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证件类型</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身份证</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证件号码</w:t>
            </w:r>
          </w:p>
        </w:tc>
        <w:tc>
          <w:tcPr>
            <w:tcW w:w="3240" w:type="dxa"/>
            <w:gridSpan w:val="3"/>
            <w:shd w:val="clear" w:color="auto" w:fill="auto"/>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不动产权证号</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2005-028482；（2009）BB501259</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登记时间</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2017/6/15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产别</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　</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房屋性质</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市场化商品房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资阳市雁江区爱国国居委会八组2-3幢5层501号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房屋数</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幢号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房屋结构</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所在层</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总层数</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建筑面积</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规划用途</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房屋状况</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宗地状态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2-3</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501</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混合结构</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5</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7</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129.73</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住宅</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现房已抵押，现房未查封，未关联期房，现房无异议，未限制</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未抵押，未查封，无异议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宗地代码</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512002004001GB00762</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宗地面积</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6855.21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权利类型</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国有建设用地使用权</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权利性质</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土地用途</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起始时间</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城镇住宅用地</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　</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2075/4/20</w:t>
            </w:r>
          </w:p>
        </w:tc>
      </w:tr>
    </w:tbl>
    <w:p/>
    <w:tbl>
      <w:tblPr>
        <w:tblStyle w:val="4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权利人</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周莉</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共有方式</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证件类型</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身份证</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证件号码</w:t>
            </w:r>
          </w:p>
        </w:tc>
        <w:tc>
          <w:tcPr>
            <w:tcW w:w="3240" w:type="dxa"/>
            <w:gridSpan w:val="3"/>
            <w:shd w:val="clear" w:color="auto" w:fill="auto"/>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不动产权证号</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2005-027038；（2008）BB500844</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登记时间</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2017/6/15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产别</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　</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房屋性质</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市场化商品房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资阳市雁江区爱国国居委会八组4-4幢1层5号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房屋数</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幢号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房号</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房屋结构</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所在层</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总层数</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建筑面积</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规划用途</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房屋状况</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宗地状态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4-4</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5</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混合结构</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1</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6</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30.02</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经营</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现房已抵押，现房未查封，未关联期房，现房无异议，未限制</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未抵押，未查封，无异议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宗地代码</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512002004001GB00762</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宗地面积</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6855.21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权利类型</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国有建设用地使用权</w:t>
            </w:r>
          </w:p>
        </w:tc>
        <w:tc>
          <w:tcPr>
            <w:tcW w:w="1080" w:type="dxa"/>
            <w:shd w:val="clear" w:color="auto" w:fill="auto"/>
            <w:vAlign w:val="center"/>
          </w:tcPr>
          <w:p>
            <w:pPr>
              <w:widowControl/>
              <w:jc w:val="center"/>
              <w:rPr>
                <w:color w:val="000000"/>
                <w:kern w:val="0"/>
                <w:sz w:val="18"/>
                <w:szCs w:val="18"/>
              </w:rPr>
            </w:pPr>
            <w:r>
              <w:rPr>
                <w:color w:val="000000"/>
                <w:kern w:val="0"/>
                <w:sz w:val="18"/>
                <w:szCs w:val="18"/>
              </w:rPr>
              <w:t>权利性质</w:t>
            </w:r>
          </w:p>
        </w:tc>
        <w:tc>
          <w:tcPr>
            <w:tcW w:w="3240" w:type="dxa"/>
            <w:gridSpan w:val="3"/>
            <w:shd w:val="clear" w:color="auto" w:fill="auto"/>
            <w:vAlign w:val="center"/>
          </w:tcPr>
          <w:p>
            <w:pPr>
              <w:widowControl/>
              <w:jc w:val="center"/>
              <w:rPr>
                <w:color w:val="000000"/>
                <w:kern w:val="0"/>
                <w:sz w:val="18"/>
                <w:szCs w:val="18"/>
              </w:rPr>
            </w:pPr>
            <w:r>
              <w:rPr>
                <w:color w:val="000000"/>
                <w:kern w:val="0"/>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土地用途</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起始时间</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80" w:type="dxa"/>
            <w:shd w:val="clear" w:color="auto" w:fill="auto"/>
            <w:vAlign w:val="center"/>
          </w:tcPr>
          <w:p>
            <w:pPr>
              <w:widowControl/>
              <w:jc w:val="center"/>
              <w:rPr>
                <w:color w:val="000000"/>
                <w:kern w:val="0"/>
                <w:sz w:val="18"/>
                <w:szCs w:val="18"/>
              </w:rPr>
            </w:pPr>
            <w:r>
              <w:rPr>
                <w:color w:val="000000"/>
                <w:kern w:val="0"/>
                <w:sz w:val="18"/>
                <w:szCs w:val="18"/>
              </w:rPr>
              <w:t>城镇住宅用地</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　</w:t>
            </w:r>
          </w:p>
        </w:tc>
        <w:tc>
          <w:tcPr>
            <w:tcW w:w="4320" w:type="dxa"/>
            <w:gridSpan w:val="4"/>
            <w:shd w:val="clear" w:color="auto" w:fill="auto"/>
            <w:vAlign w:val="center"/>
          </w:tcPr>
          <w:p>
            <w:pPr>
              <w:widowControl/>
              <w:jc w:val="center"/>
              <w:rPr>
                <w:color w:val="000000"/>
                <w:kern w:val="0"/>
                <w:sz w:val="18"/>
                <w:szCs w:val="18"/>
              </w:rPr>
            </w:pPr>
            <w:r>
              <w:rPr>
                <w:color w:val="000000"/>
                <w:kern w:val="0"/>
                <w:sz w:val="18"/>
                <w:szCs w:val="18"/>
              </w:rPr>
              <w:t>2075/4/20</w:t>
            </w:r>
          </w:p>
        </w:tc>
      </w:tr>
    </w:tbl>
    <w:p>
      <w:pPr>
        <w:tabs>
          <w:tab w:val="left" w:pos="540"/>
        </w:tabs>
        <w:spacing w:line="600" w:lineRule="exact"/>
        <w:ind w:firstLine="420" w:firstLineChars="150"/>
        <w:rPr>
          <w:sz w:val="28"/>
          <w:szCs w:val="28"/>
        </w:rPr>
      </w:pPr>
      <w:r>
        <w:rPr>
          <w:sz w:val="28"/>
          <w:szCs w:val="28"/>
        </w:rPr>
        <w:t>以上信息查询时点为2020-10-14 14：00：46</w:t>
      </w:r>
    </w:p>
    <w:p>
      <w:pPr>
        <w:tabs>
          <w:tab w:val="left" w:pos="540"/>
        </w:tabs>
        <w:spacing w:line="600" w:lineRule="exact"/>
        <w:ind w:firstLine="420" w:firstLineChars="150"/>
        <w:rPr>
          <w:sz w:val="28"/>
          <w:szCs w:val="28"/>
        </w:rPr>
      </w:pPr>
      <w:r>
        <w:rPr>
          <w:sz w:val="28"/>
          <w:szCs w:val="28"/>
        </w:rPr>
        <w:t>（3）物业管理情况</w:t>
      </w:r>
    </w:p>
    <w:p>
      <w:pPr>
        <w:tabs>
          <w:tab w:val="left" w:pos="540"/>
        </w:tabs>
        <w:spacing w:line="600" w:lineRule="exact"/>
        <w:ind w:firstLine="560" w:firstLineChars="200"/>
        <w:rPr>
          <w:sz w:val="28"/>
          <w:szCs w:val="28"/>
        </w:rPr>
      </w:pPr>
      <w:r>
        <w:rPr>
          <w:sz w:val="28"/>
          <w:szCs w:val="28"/>
        </w:rPr>
        <w:t>估价对象</w:t>
      </w:r>
      <w:r>
        <w:rPr>
          <w:rFonts w:hint="eastAsia"/>
          <w:sz w:val="28"/>
          <w:szCs w:val="28"/>
        </w:rPr>
        <w:t>1-2营业用房</w:t>
      </w:r>
      <w:r>
        <w:rPr>
          <w:sz w:val="28"/>
          <w:szCs w:val="28"/>
        </w:rPr>
        <w:t>由房屋使用人自行管理，估价对象</w:t>
      </w:r>
      <w:r>
        <w:rPr>
          <w:rFonts w:hint="eastAsia"/>
          <w:sz w:val="28"/>
          <w:szCs w:val="28"/>
        </w:rPr>
        <w:t>3-4</w:t>
      </w:r>
      <w:r>
        <w:rPr>
          <w:sz w:val="28"/>
          <w:szCs w:val="28"/>
        </w:rPr>
        <w:t>住宅用房和车库由小区门卫进行管理。</w:t>
      </w:r>
    </w:p>
    <w:p>
      <w:pPr>
        <w:tabs>
          <w:tab w:val="left" w:pos="540"/>
        </w:tabs>
        <w:spacing w:line="600" w:lineRule="exact"/>
        <w:ind w:firstLine="420" w:firstLineChars="150"/>
        <w:rPr>
          <w:sz w:val="28"/>
          <w:szCs w:val="28"/>
        </w:rPr>
      </w:pPr>
      <w:r>
        <w:rPr>
          <w:sz w:val="28"/>
          <w:szCs w:val="28"/>
        </w:rPr>
        <w:t>（4）其他权益状况</w:t>
      </w:r>
    </w:p>
    <w:tbl>
      <w:tblPr>
        <w:tblStyle w:val="44"/>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1" w:type="dxa"/>
            <w:vAlign w:val="center"/>
          </w:tcPr>
          <w:p>
            <w:pPr>
              <w:spacing w:line="276" w:lineRule="auto"/>
              <w:jc w:val="center"/>
              <w:rPr>
                <w:sz w:val="18"/>
                <w:szCs w:val="18"/>
              </w:rPr>
            </w:pPr>
            <w:r>
              <w:rPr>
                <w:sz w:val="18"/>
                <w:szCs w:val="18"/>
              </w:rPr>
              <w:t>用益物权设立情况</w:t>
            </w:r>
          </w:p>
        </w:tc>
        <w:tc>
          <w:tcPr>
            <w:tcW w:w="7580" w:type="dxa"/>
            <w:vAlign w:val="center"/>
          </w:tcPr>
          <w:p>
            <w:pPr>
              <w:spacing w:line="276" w:lineRule="auto"/>
              <w:ind w:firstLine="360" w:firstLineChars="200"/>
              <w:jc w:val="center"/>
              <w:rPr>
                <w:sz w:val="18"/>
                <w:szCs w:val="18"/>
              </w:rPr>
            </w:pPr>
            <w:r>
              <w:rPr>
                <w:sz w:val="18"/>
                <w:szCs w:val="18"/>
              </w:rPr>
              <w:t>无地役权限制。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781" w:type="dxa"/>
            <w:vAlign w:val="center"/>
          </w:tcPr>
          <w:p>
            <w:pPr>
              <w:spacing w:line="276" w:lineRule="auto"/>
              <w:jc w:val="center"/>
              <w:rPr>
                <w:sz w:val="18"/>
                <w:szCs w:val="18"/>
              </w:rPr>
            </w:pPr>
            <w:r>
              <w:rPr>
                <w:sz w:val="18"/>
                <w:szCs w:val="18"/>
              </w:rPr>
              <w:t>担保物权设立情况</w:t>
            </w:r>
          </w:p>
        </w:tc>
        <w:tc>
          <w:tcPr>
            <w:tcW w:w="7580" w:type="dxa"/>
            <w:vAlign w:val="center"/>
          </w:tcPr>
          <w:p>
            <w:pPr>
              <w:spacing w:line="276" w:lineRule="auto"/>
              <w:ind w:firstLine="360" w:firstLineChars="200"/>
              <w:jc w:val="left"/>
              <w:rPr>
                <w:sz w:val="18"/>
                <w:szCs w:val="18"/>
              </w:rPr>
            </w:pPr>
            <w:r>
              <w:rPr>
                <w:sz w:val="18"/>
                <w:szCs w:val="18"/>
              </w:rPr>
              <w:t>根据估价对象《资阳市房产档案馆房产档案及商品房网签信息查询结果单》，至价值时点，估价对象均已设定抵押</w:t>
            </w:r>
            <w:r>
              <w:rPr>
                <w:bCs/>
                <w:sz w:val="18"/>
                <w:szCs w:val="18"/>
              </w:rPr>
              <w:t>他项权利，具体抵押情况详见下表</w:t>
            </w:r>
            <w:r>
              <w:rPr>
                <w:sz w:val="18"/>
                <w:szCs w:val="18"/>
              </w:rPr>
              <w:t>《资阳市房产档案馆房产档案及商品房网签信息查询结果单》</w:t>
            </w:r>
            <w:r>
              <w:rPr>
                <w:bCs/>
                <w:sz w:val="18"/>
                <w:szCs w:val="18"/>
              </w:rPr>
              <w:t>登记信息</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781" w:type="dxa"/>
            <w:vAlign w:val="center"/>
          </w:tcPr>
          <w:p>
            <w:pPr>
              <w:spacing w:line="276" w:lineRule="auto"/>
              <w:jc w:val="center"/>
              <w:rPr>
                <w:sz w:val="18"/>
                <w:szCs w:val="18"/>
              </w:rPr>
            </w:pPr>
            <w:r>
              <w:rPr>
                <w:sz w:val="18"/>
                <w:szCs w:val="18"/>
              </w:rPr>
              <w:t>查封等形式限制权利情况</w:t>
            </w:r>
          </w:p>
        </w:tc>
        <w:tc>
          <w:tcPr>
            <w:tcW w:w="7580" w:type="dxa"/>
            <w:vAlign w:val="center"/>
          </w:tcPr>
          <w:p>
            <w:pPr>
              <w:spacing w:line="276" w:lineRule="auto"/>
              <w:ind w:firstLine="360" w:firstLineChars="200"/>
              <w:jc w:val="left"/>
              <w:rPr>
                <w:sz w:val="18"/>
                <w:szCs w:val="18"/>
              </w:rPr>
            </w:pPr>
            <w:r>
              <w:rPr>
                <w:sz w:val="18"/>
                <w:szCs w:val="18"/>
              </w:rPr>
              <w:t>根据估价对象《资阳市房产档案馆房产档案及商品房网签信息查询结果单》，至价值时点，估价对象未被查封。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781" w:type="dxa"/>
            <w:vAlign w:val="center"/>
          </w:tcPr>
          <w:p>
            <w:pPr>
              <w:spacing w:line="276" w:lineRule="auto"/>
              <w:jc w:val="center"/>
              <w:rPr>
                <w:sz w:val="18"/>
                <w:szCs w:val="18"/>
              </w:rPr>
            </w:pPr>
            <w:r>
              <w:rPr>
                <w:sz w:val="18"/>
                <w:szCs w:val="18"/>
              </w:rPr>
              <w:t>租赁或占用情况</w:t>
            </w:r>
          </w:p>
        </w:tc>
        <w:tc>
          <w:tcPr>
            <w:tcW w:w="7580" w:type="dxa"/>
            <w:vAlign w:val="center"/>
          </w:tcPr>
          <w:p>
            <w:pPr>
              <w:spacing w:line="276" w:lineRule="auto"/>
              <w:ind w:firstLine="360" w:firstLineChars="200"/>
              <w:jc w:val="left"/>
              <w:rPr>
                <w:sz w:val="18"/>
                <w:szCs w:val="18"/>
              </w:rPr>
            </w:pPr>
            <w:r>
              <w:rPr>
                <w:sz w:val="18"/>
                <w:szCs w:val="18"/>
              </w:rPr>
              <w:t>根据申请执行方代表及被执行方代表带领注册房地产估价师实地查勘及被执行方代表现场介绍，至价值时点（2020年11月19日），估价对象1营业用房已出租给袁正作为“袁正副食”经营使用，但未提供《房屋租赁合同》；估价对象2营业用房已出租给周玉英作为“肥肠烤鱼”经营使用，根据估价委托人提供的2020年3月15日签订的《房屋租赁合同》，租赁期：2020年3月15日至2025年3月14日，租赁面积：约90平方米，租金计算方式：租金276000元/五年。估价对象</w:t>
            </w:r>
            <w:r>
              <w:rPr>
                <w:rFonts w:hint="eastAsia"/>
                <w:sz w:val="18"/>
                <w:szCs w:val="18"/>
              </w:rPr>
              <w:t>3</w:t>
            </w:r>
            <w:r>
              <w:rPr>
                <w:sz w:val="18"/>
                <w:szCs w:val="18"/>
              </w:rPr>
              <w:t>无出租情况</w:t>
            </w:r>
            <w:r>
              <w:rPr>
                <w:rFonts w:hint="eastAsia"/>
                <w:sz w:val="18"/>
                <w:szCs w:val="18"/>
              </w:rPr>
              <w:t>，估价对象4车库用房出租作为库房使用，但未提供《房屋租赁合同》，且因承租方不在，注册房地产估价师未能进入室内查勘。据</w:t>
            </w:r>
            <w:r>
              <w:rPr>
                <w:sz w:val="18"/>
                <w:szCs w:val="18"/>
              </w:rPr>
              <w:t>被执行方代表现场介绍</w:t>
            </w:r>
            <w:r>
              <w:rPr>
                <w:rFonts w:hint="eastAsia"/>
                <w:sz w:val="18"/>
                <w:szCs w:val="18"/>
              </w:rPr>
              <w:t>，估价对象1、4未签定正式的租赁合同。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1" w:type="dxa"/>
            <w:vAlign w:val="center"/>
          </w:tcPr>
          <w:p>
            <w:pPr>
              <w:spacing w:line="276" w:lineRule="auto"/>
              <w:jc w:val="center"/>
              <w:rPr>
                <w:sz w:val="18"/>
                <w:szCs w:val="18"/>
              </w:rPr>
            </w:pPr>
            <w:r>
              <w:rPr>
                <w:sz w:val="18"/>
                <w:szCs w:val="18"/>
              </w:rPr>
              <w:t>拖欠税费情况</w:t>
            </w:r>
          </w:p>
        </w:tc>
        <w:tc>
          <w:tcPr>
            <w:tcW w:w="7580" w:type="dxa"/>
            <w:vAlign w:val="center"/>
          </w:tcPr>
          <w:p>
            <w:pPr>
              <w:spacing w:line="276" w:lineRule="auto"/>
              <w:ind w:firstLine="360" w:firstLineChars="200"/>
              <w:jc w:val="left"/>
              <w:rPr>
                <w:sz w:val="18"/>
                <w:szCs w:val="18"/>
              </w:rPr>
            </w:pPr>
            <w:r>
              <w:rPr>
                <w:sz w:val="18"/>
                <w:szCs w:val="18"/>
              </w:rPr>
              <w:t>本次评估注册房地产估价师未获知估价对象是否存在欠缴的税费、物业费、水电气费等。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1" w:type="dxa"/>
            <w:vAlign w:val="center"/>
          </w:tcPr>
          <w:p>
            <w:pPr>
              <w:spacing w:line="276" w:lineRule="auto"/>
              <w:jc w:val="center"/>
              <w:rPr>
                <w:sz w:val="18"/>
                <w:szCs w:val="18"/>
              </w:rPr>
            </w:pPr>
            <w:r>
              <w:rPr>
                <w:sz w:val="18"/>
                <w:szCs w:val="18"/>
              </w:rPr>
              <w:t>权属清晰情况</w:t>
            </w:r>
          </w:p>
        </w:tc>
        <w:tc>
          <w:tcPr>
            <w:tcW w:w="7580" w:type="dxa"/>
            <w:vAlign w:val="center"/>
          </w:tcPr>
          <w:p>
            <w:pPr>
              <w:spacing w:line="276" w:lineRule="auto"/>
              <w:ind w:firstLine="360" w:firstLineChars="200"/>
              <w:jc w:val="center"/>
              <w:rPr>
                <w:sz w:val="18"/>
                <w:szCs w:val="18"/>
              </w:rPr>
            </w:pPr>
            <w:r>
              <w:rPr>
                <w:sz w:val="18"/>
                <w:szCs w:val="18"/>
              </w:rPr>
              <w:t>权属状况清晰。</w:t>
            </w:r>
          </w:p>
        </w:tc>
      </w:tr>
    </w:tbl>
    <w:p>
      <w:pPr>
        <w:tabs>
          <w:tab w:val="left" w:pos="540"/>
        </w:tabs>
        <w:spacing w:line="600" w:lineRule="exact"/>
        <w:ind w:firstLine="420" w:firstLineChars="150"/>
        <w:rPr>
          <w:sz w:val="28"/>
        </w:rPr>
      </w:pPr>
      <w:r>
        <w:rPr>
          <w:sz w:val="28"/>
        </w:rPr>
        <w:t>估价对象《资阳市房产档案馆房产档案及商品房网签信息查询结果单》登记信息</w:t>
      </w:r>
    </w:p>
    <w:tbl>
      <w:tblPr>
        <w:tblStyle w:val="44"/>
        <w:tblW w:w="5000" w:type="pct"/>
        <w:jc w:val="center"/>
        <w:tblLayout w:type="autofit"/>
        <w:tblCellMar>
          <w:top w:w="0" w:type="dxa"/>
          <w:left w:w="108" w:type="dxa"/>
          <w:bottom w:w="0" w:type="dxa"/>
          <w:right w:w="108" w:type="dxa"/>
        </w:tblCellMar>
      </w:tblPr>
      <w:tblGrid>
        <w:gridCol w:w="1384"/>
        <w:gridCol w:w="3550"/>
        <w:gridCol w:w="1544"/>
        <w:gridCol w:w="1382"/>
        <w:gridCol w:w="1557"/>
      </w:tblGrid>
      <w:tr>
        <w:tblPrEx>
          <w:tblCellMar>
            <w:top w:w="0" w:type="dxa"/>
            <w:left w:w="108" w:type="dxa"/>
            <w:bottom w:w="0" w:type="dxa"/>
            <w:right w:w="108" w:type="dxa"/>
          </w:tblCellMar>
        </w:tblPrEx>
        <w:trPr>
          <w:trHeight w:val="285" w:hRule="atLeast"/>
          <w:jc w:val="center"/>
        </w:trPr>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b/>
                <w:bCs/>
                <w:color w:val="000000"/>
                <w:kern w:val="0"/>
                <w:sz w:val="18"/>
                <w:szCs w:val="18"/>
              </w:rPr>
            </w:pPr>
            <w:r>
              <w:rPr>
                <w:b/>
                <w:bCs/>
                <w:color w:val="000000"/>
                <w:kern w:val="0"/>
                <w:sz w:val="18"/>
                <w:szCs w:val="18"/>
              </w:rPr>
              <w:t>查询结果</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265" w:type="pct"/>
            <w:gridSpan w:val="4"/>
            <w:tcBorders>
              <w:top w:val="single" w:color="auto" w:sz="8"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房屋用途</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房屋面积</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是有限制</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是否抵押</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是否查封</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营业用房</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29.880（平方米）</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否</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否</w:t>
            </w:r>
          </w:p>
        </w:tc>
      </w:tr>
      <w:tr>
        <w:tblPrEx>
          <w:tblCellMar>
            <w:top w:w="0" w:type="dxa"/>
            <w:left w:w="108" w:type="dxa"/>
            <w:bottom w:w="0" w:type="dxa"/>
            <w:right w:w="108" w:type="dxa"/>
          </w:tblCellMar>
        </w:tblPrEx>
        <w:trPr>
          <w:trHeight w:val="566" w:hRule="atLeast"/>
          <w:jc w:val="center"/>
        </w:trPr>
        <w:tc>
          <w:tcPr>
            <w:tcW w:w="735" w:type="pct"/>
            <w:tcBorders>
              <w:top w:val="nil"/>
              <w:left w:val="single" w:color="auto" w:sz="8" w:space="0"/>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业务信息</w:t>
            </w:r>
          </w:p>
        </w:tc>
        <w:tc>
          <w:tcPr>
            <w:tcW w:w="4265" w:type="pct"/>
            <w:gridSpan w:val="4"/>
            <w:tcBorders>
              <w:top w:val="single" w:color="auto" w:sz="4" w:space="0"/>
              <w:left w:val="nil"/>
              <w:bottom w:val="single" w:color="auto"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房屋所有权证：2005-028483，登记日期：2005-04-08，权利人：周莉抵押情况：【抵押】共1条（1）、抵押权证号[2017061503676]，登记日期[未记载]，抵押权人[资阳雁江农村合作银行皇龙支行]，债务履行期限[2017年6月14日至2018年6月13日]。</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265" w:type="pct"/>
            <w:gridSpan w:val="4"/>
            <w:tcBorders>
              <w:top w:val="single" w:color="auto" w:sz="8"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房屋用途</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房屋面积</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是有限制</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是否抵押</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是否查封</w:t>
            </w:r>
          </w:p>
        </w:tc>
      </w:tr>
      <w:tr>
        <w:tblPrEx>
          <w:tblCellMar>
            <w:top w:w="0" w:type="dxa"/>
            <w:left w:w="108" w:type="dxa"/>
            <w:bottom w:w="0" w:type="dxa"/>
            <w:right w:w="108" w:type="dxa"/>
          </w:tblCellMar>
        </w:tblPrEx>
        <w:trPr>
          <w:trHeight w:val="375"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营业用房</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82.460（平方米）</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否</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否</w:t>
            </w:r>
          </w:p>
        </w:tc>
      </w:tr>
      <w:tr>
        <w:tblPrEx>
          <w:tblCellMar>
            <w:top w:w="0" w:type="dxa"/>
            <w:left w:w="108" w:type="dxa"/>
            <w:bottom w:w="0" w:type="dxa"/>
            <w:right w:w="108" w:type="dxa"/>
          </w:tblCellMar>
        </w:tblPrEx>
        <w:trPr>
          <w:trHeight w:val="841" w:hRule="atLeast"/>
          <w:jc w:val="center"/>
        </w:trPr>
        <w:tc>
          <w:tcPr>
            <w:tcW w:w="735" w:type="pct"/>
            <w:tcBorders>
              <w:top w:val="nil"/>
              <w:left w:val="single" w:color="auto" w:sz="8" w:space="0"/>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业务信息</w:t>
            </w:r>
          </w:p>
        </w:tc>
        <w:tc>
          <w:tcPr>
            <w:tcW w:w="4265" w:type="pct"/>
            <w:gridSpan w:val="4"/>
            <w:tcBorders>
              <w:top w:val="single" w:color="auto" w:sz="4" w:space="0"/>
              <w:left w:val="nil"/>
              <w:bottom w:val="single" w:color="auto"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房屋所有权证：2005-028484，登记日期：2005-04-08，权利人：周莉抵押情况：【抵押】共1条（1）、抵押权证号[2017061503676]，登记日期[未记载]，抵押权人[资阳雁江农村合作银行皇龙支行]，债务履行期限[2017年6月14日至2018年6月13日]。</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265" w:type="pct"/>
            <w:gridSpan w:val="4"/>
            <w:tcBorders>
              <w:top w:val="single" w:color="auto" w:sz="8"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房屋用途</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房屋面积</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是有限制</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是否抵押</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是否查封</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住宅</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129.730（平方米）</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否</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否</w:t>
            </w:r>
          </w:p>
        </w:tc>
      </w:tr>
      <w:tr>
        <w:tblPrEx>
          <w:tblCellMar>
            <w:top w:w="0" w:type="dxa"/>
            <w:left w:w="108" w:type="dxa"/>
            <w:bottom w:w="0" w:type="dxa"/>
            <w:right w:w="108" w:type="dxa"/>
          </w:tblCellMar>
        </w:tblPrEx>
        <w:trPr>
          <w:trHeight w:val="818" w:hRule="atLeast"/>
          <w:jc w:val="center"/>
        </w:trPr>
        <w:tc>
          <w:tcPr>
            <w:tcW w:w="735" w:type="pct"/>
            <w:tcBorders>
              <w:top w:val="nil"/>
              <w:left w:val="single" w:color="auto" w:sz="8" w:space="0"/>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业务信息</w:t>
            </w:r>
          </w:p>
        </w:tc>
        <w:tc>
          <w:tcPr>
            <w:tcW w:w="4265" w:type="pct"/>
            <w:gridSpan w:val="4"/>
            <w:tcBorders>
              <w:top w:val="single" w:color="auto" w:sz="4" w:space="0"/>
              <w:left w:val="nil"/>
              <w:bottom w:val="single" w:color="auto"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房屋所有权证：2005-028482，登记日期：2005-04-08，权利人：周莉抵押情况：【抵押】共1条（1）、抵押权证号[2017061503676]，登记日期[未记载]，抵押权人[资阳雁江农村合作银行皇龙支行]，债务履行期限[2017年6月14日至2018年6月13日]。</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房屋坐落</w:t>
            </w:r>
          </w:p>
        </w:tc>
        <w:tc>
          <w:tcPr>
            <w:tcW w:w="4265" w:type="pct"/>
            <w:gridSpan w:val="4"/>
            <w:tcBorders>
              <w:top w:val="single" w:color="auto" w:sz="8"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资阳市雁江区爱国居委会八组</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房屋用途</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房屋面积</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是有限制</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是否抵押</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是否查封</w:t>
            </w:r>
          </w:p>
        </w:tc>
      </w:tr>
      <w:tr>
        <w:tblPrEx>
          <w:tblCellMar>
            <w:top w:w="0" w:type="dxa"/>
            <w:left w:w="108" w:type="dxa"/>
            <w:bottom w:w="0" w:type="dxa"/>
            <w:right w:w="108" w:type="dxa"/>
          </w:tblCellMar>
        </w:tblPrEx>
        <w:trPr>
          <w:trHeight w:val="27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车库</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30.020（平方米）</w:t>
            </w:r>
          </w:p>
        </w:tc>
        <w:tc>
          <w:tcPr>
            <w:tcW w:w="820"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否</w:t>
            </w:r>
          </w:p>
        </w:tc>
        <w:tc>
          <w:tcPr>
            <w:tcW w:w="73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是</w:t>
            </w:r>
          </w:p>
        </w:tc>
        <w:tc>
          <w:tcPr>
            <w:tcW w:w="826" w:type="pct"/>
            <w:tcBorders>
              <w:top w:val="nil"/>
              <w:left w:val="nil"/>
              <w:bottom w:val="single" w:color="auto" w:sz="4"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否</w:t>
            </w:r>
          </w:p>
        </w:tc>
      </w:tr>
      <w:tr>
        <w:tblPrEx>
          <w:tblCellMar>
            <w:top w:w="0" w:type="dxa"/>
            <w:left w:w="108" w:type="dxa"/>
            <w:bottom w:w="0" w:type="dxa"/>
            <w:right w:w="108" w:type="dxa"/>
          </w:tblCellMar>
        </w:tblPrEx>
        <w:trPr>
          <w:trHeight w:val="730" w:hRule="atLeast"/>
          <w:jc w:val="center"/>
        </w:trPr>
        <w:tc>
          <w:tcPr>
            <w:tcW w:w="735" w:type="pct"/>
            <w:tcBorders>
              <w:top w:val="nil"/>
              <w:left w:val="single" w:color="auto" w:sz="8"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业务信息</w:t>
            </w:r>
          </w:p>
        </w:tc>
        <w:tc>
          <w:tcPr>
            <w:tcW w:w="4265" w:type="pct"/>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房屋所有权证：2005-027038，登记日期：2005-01-</w:t>
            </w:r>
            <w:r>
              <w:rPr>
                <w:rFonts w:hint="eastAsia"/>
                <w:color w:val="000000"/>
                <w:kern w:val="0"/>
                <w:sz w:val="18"/>
                <w:szCs w:val="18"/>
              </w:rPr>
              <w:t>1</w:t>
            </w:r>
            <w:r>
              <w:rPr>
                <w:color w:val="000000"/>
                <w:kern w:val="0"/>
                <w:sz w:val="18"/>
                <w:szCs w:val="18"/>
              </w:rPr>
              <w:t>8，权利人：周莉抵押情况：【抵押】共1条（1）、抵押权证号[2017061503676]，登记日期[未记载]，抵押权人[资阳雁江农村合作银行皇龙支行]，债务履行期限[2017年6月14日至2018年6月13日]。</w:t>
            </w:r>
          </w:p>
        </w:tc>
      </w:tr>
      <w:tr>
        <w:tblPrEx>
          <w:tblCellMar>
            <w:top w:w="0" w:type="dxa"/>
            <w:left w:w="108" w:type="dxa"/>
            <w:bottom w:w="0" w:type="dxa"/>
            <w:right w:w="108" w:type="dxa"/>
          </w:tblCellMar>
        </w:tblPrEx>
        <w:trPr>
          <w:trHeight w:val="353" w:hRule="atLeast"/>
          <w:jc w:val="center"/>
        </w:trPr>
        <w:tc>
          <w:tcPr>
            <w:tcW w:w="735"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本次查询时间</w:t>
            </w:r>
          </w:p>
        </w:tc>
        <w:tc>
          <w:tcPr>
            <w:tcW w:w="4265" w:type="pct"/>
            <w:gridSpan w:val="4"/>
            <w:tcBorders>
              <w:top w:val="single" w:color="auto" w:sz="4" w:space="0"/>
              <w:left w:val="nil"/>
              <w:bottom w:val="single" w:color="auto"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2020-10-20 15：53：11</w:t>
            </w:r>
          </w:p>
        </w:tc>
      </w:tr>
    </w:tbl>
    <w:p>
      <w:pPr>
        <w:tabs>
          <w:tab w:val="left" w:pos="540"/>
          <w:tab w:val="center" w:pos="4880"/>
        </w:tabs>
        <w:spacing w:line="600" w:lineRule="exact"/>
        <w:ind w:firstLine="560" w:firstLineChars="200"/>
        <w:rPr>
          <w:sz w:val="28"/>
          <w:szCs w:val="28"/>
        </w:rPr>
      </w:pPr>
      <w:r>
        <w:rPr>
          <w:sz w:val="28"/>
          <w:szCs w:val="28"/>
        </w:rPr>
        <w:t>5、区位状况</w:t>
      </w:r>
      <w:r>
        <w:rPr>
          <w:sz w:val="28"/>
          <w:szCs w:val="28"/>
        </w:rPr>
        <w:tab/>
      </w:r>
    </w:p>
    <w:tbl>
      <w:tblPr>
        <w:tblStyle w:val="4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655"/>
        <w:gridCol w:w="1455"/>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13" w:type="pct"/>
            <w:gridSpan w:val="3"/>
            <w:vAlign w:val="center"/>
          </w:tcPr>
          <w:p>
            <w:pPr>
              <w:spacing w:line="276" w:lineRule="auto"/>
              <w:jc w:val="center"/>
              <w:rPr>
                <w:sz w:val="18"/>
                <w:szCs w:val="18"/>
              </w:rPr>
            </w:pPr>
            <w:bookmarkStart w:id="23" w:name="_Toc466027627"/>
            <w:bookmarkStart w:id="24" w:name="_Toc9138"/>
            <w:bookmarkStart w:id="25" w:name="_Toc36197819"/>
            <w:r>
              <w:rPr>
                <w:sz w:val="18"/>
                <w:szCs w:val="18"/>
              </w:rPr>
              <w:t>估价对象</w:t>
            </w:r>
          </w:p>
        </w:tc>
        <w:tc>
          <w:tcPr>
            <w:tcW w:w="3587" w:type="pct"/>
            <w:vAlign w:val="center"/>
          </w:tcPr>
          <w:p>
            <w:pPr>
              <w:widowControl/>
              <w:spacing w:line="276" w:lineRule="auto"/>
              <w:jc w:val="center"/>
              <w:rPr>
                <w:kern w:val="0"/>
                <w:sz w:val="18"/>
                <w:szCs w:val="18"/>
              </w:rPr>
            </w:pPr>
            <w:r>
              <w:rPr>
                <w:sz w:val="18"/>
                <w:szCs w:val="18"/>
              </w:rPr>
              <w:t>资阳市雁江区爱国居委会八组营业、住宅、车库用房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restart"/>
            <w:vAlign w:val="center"/>
          </w:tcPr>
          <w:p>
            <w:pPr>
              <w:spacing w:line="276" w:lineRule="auto"/>
              <w:jc w:val="center"/>
              <w:rPr>
                <w:sz w:val="18"/>
                <w:szCs w:val="18"/>
              </w:rPr>
            </w:pPr>
            <w:r>
              <w:rPr>
                <w:sz w:val="18"/>
                <w:szCs w:val="18"/>
              </w:rPr>
              <w:t>位置</w:t>
            </w:r>
          </w:p>
        </w:tc>
        <w:tc>
          <w:tcPr>
            <w:tcW w:w="1095" w:type="pct"/>
            <w:gridSpan w:val="2"/>
            <w:vAlign w:val="center"/>
          </w:tcPr>
          <w:p>
            <w:pPr>
              <w:spacing w:line="276" w:lineRule="auto"/>
              <w:jc w:val="center"/>
              <w:rPr>
                <w:sz w:val="18"/>
                <w:szCs w:val="18"/>
              </w:rPr>
            </w:pPr>
            <w:r>
              <w:rPr>
                <w:sz w:val="18"/>
                <w:szCs w:val="18"/>
              </w:rPr>
              <w:t>坐落及方位</w:t>
            </w:r>
          </w:p>
        </w:tc>
        <w:tc>
          <w:tcPr>
            <w:tcW w:w="3587" w:type="pct"/>
            <w:vAlign w:val="center"/>
          </w:tcPr>
          <w:p>
            <w:pPr>
              <w:spacing w:line="276" w:lineRule="auto"/>
              <w:ind w:firstLine="360" w:firstLineChars="200"/>
              <w:rPr>
                <w:sz w:val="18"/>
                <w:szCs w:val="18"/>
              </w:rPr>
            </w:pPr>
            <w:r>
              <w:rPr>
                <w:sz w:val="18"/>
                <w:szCs w:val="18"/>
              </w:rPr>
              <w:t>位于资阳市雁江区“财税小区”，资阳市主城区西面。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sz w:val="18"/>
                <w:szCs w:val="18"/>
              </w:rPr>
              <w:t>与相关场所距离</w:t>
            </w:r>
          </w:p>
        </w:tc>
        <w:tc>
          <w:tcPr>
            <w:tcW w:w="3587" w:type="pct"/>
            <w:vAlign w:val="center"/>
          </w:tcPr>
          <w:p>
            <w:pPr>
              <w:spacing w:line="276" w:lineRule="auto"/>
              <w:ind w:firstLine="360" w:firstLineChars="200"/>
              <w:rPr>
                <w:sz w:val="18"/>
                <w:szCs w:val="18"/>
              </w:rPr>
            </w:pPr>
            <w:r>
              <w:rPr>
                <w:sz w:val="18"/>
                <w:szCs w:val="18"/>
              </w:rPr>
              <w:t>距资阳曼购中心约500米、距万达广场约1.5公里。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kern w:val="0"/>
                <w:sz w:val="18"/>
                <w:szCs w:val="18"/>
              </w:rPr>
              <w:t>商服繁华度及居住氛围</w:t>
            </w:r>
          </w:p>
        </w:tc>
        <w:tc>
          <w:tcPr>
            <w:tcW w:w="3587" w:type="pct"/>
            <w:vAlign w:val="center"/>
          </w:tcPr>
          <w:p>
            <w:pPr>
              <w:spacing w:line="276" w:lineRule="auto"/>
              <w:ind w:firstLine="360" w:firstLineChars="200"/>
              <w:rPr>
                <w:sz w:val="18"/>
                <w:szCs w:val="18"/>
              </w:rPr>
            </w:pPr>
            <w:r>
              <w:rPr>
                <w:sz w:val="18"/>
                <w:szCs w:val="18"/>
              </w:rPr>
              <w:t>估价对象地处资阳市主城区西面，区域内有密集住宅小区，有钢管小区、恒信花园、四海未来尚城等商住小区，居住氛围较好；区域内有资阳曼购中心、万达广场、摩根时代购物中心及众多临街商铺，商服繁华度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sz w:val="18"/>
                <w:szCs w:val="18"/>
              </w:rPr>
              <w:t>临街状况</w:t>
            </w:r>
          </w:p>
        </w:tc>
        <w:tc>
          <w:tcPr>
            <w:tcW w:w="3587" w:type="pct"/>
            <w:vAlign w:val="center"/>
          </w:tcPr>
          <w:p>
            <w:pPr>
              <w:spacing w:line="276" w:lineRule="auto"/>
              <w:jc w:val="center"/>
              <w:rPr>
                <w:sz w:val="18"/>
                <w:szCs w:val="18"/>
              </w:rPr>
            </w:pPr>
            <w:r>
              <w:rPr>
                <w:sz w:val="18"/>
                <w:szCs w:val="18"/>
              </w:rPr>
              <w:t>估价对象1所在建筑物临松涛路、估价对象2所在建筑物临台阳路、估价对象3所在建筑物临新城路、估价对象4所在建筑物不临街。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rFonts w:hint="eastAsia"/>
                <w:sz w:val="18"/>
                <w:szCs w:val="18"/>
              </w:rPr>
              <w:t>商业用房</w:t>
            </w:r>
            <w:r>
              <w:rPr>
                <w:sz w:val="18"/>
                <w:szCs w:val="18"/>
              </w:rPr>
              <w:t>昭示性</w:t>
            </w:r>
          </w:p>
        </w:tc>
        <w:tc>
          <w:tcPr>
            <w:tcW w:w="3587" w:type="pct"/>
            <w:vAlign w:val="center"/>
          </w:tcPr>
          <w:p>
            <w:pPr>
              <w:spacing w:line="276" w:lineRule="auto"/>
              <w:ind w:firstLine="360" w:firstLineChars="200"/>
              <w:jc w:val="left"/>
              <w:rPr>
                <w:sz w:val="18"/>
                <w:szCs w:val="18"/>
              </w:rPr>
            </w:pPr>
            <w:r>
              <w:rPr>
                <w:sz w:val="18"/>
                <w:szCs w:val="18"/>
              </w:rPr>
              <w:t>估价对象1-2商业用房视野较好，无遮挡，昭示性较好。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rFonts w:hint="eastAsia"/>
                <w:sz w:val="18"/>
                <w:szCs w:val="18"/>
              </w:rPr>
              <w:t>商业用房</w:t>
            </w:r>
            <w:r>
              <w:rPr>
                <w:sz w:val="18"/>
                <w:szCs w:val="18"/>
              </w:rPr>
              <w:t>可及性</w:t>
            </w:r>
          </w:p>
        </w:tc>
        <w:tc>
          <w:tcPr>
            <w:tcW w:w="3587" w:type="pct"/>
            <w:vAlign w:val="center"/>
          </w:tcPr>
          <w:p>
            <w:pPr>
              <w:spacing w:line="276" w:lineRule="auto"/>
              <w:ind w:firstLine="360" w:firstLineChars="200"/>
              <w:rPr>
                <w:sz w:val="18"/>
                <w:szCs w:val="18"/>
              </w:rPr>
            </w:pPr>
            <w:r>
              <w:rPr>
                <w:kern w:val="0"/>
                <w:sz w:val="18"/>
                <w:szCs w:val="18"/>
              </w:rPr>
              <w:t>估价对象</w:t>
            </w:r>
            <w:r>
              <w:rPr>
                <w:sz w:val="18"/>
                <w:szCs w:val="18"/>
              </w:rPr>
              <w:t>1-2商业用房与道路距离适中，无绿化带、高架桥等障碍，可及性较好</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sz w:val="18"/>
                <w:szCs w:val="18"/>
              </w:rPr>
              <w:t>所在楼层</w:t>
            </w:r>
          </w:p>
        </w:tc>
        <w:tc>
          <w:tcPr>
            <w:tcW w:w="3587" w:type="pct"/>
            <w:vAlign w:val="center"/>
          </w:tcPr>
          <w:p>
            <w:pPr>
              <w:spacing w:line="276" w:lineRule="auto"/>
              <w:jc w:val="center"/>
              <w:rPr>
                <w:sz w:val="18"/>
                <w:szCs w:val="18"/>
              </w:rPr>
            </w:pPr>
            <w:r>
              <w:rPr>
                <w:sz w:val="18"/>
                <w:szCs w:val="18"/>
              </w:rPr>
              <w:t>估价对象1-2、4：1层；估价对象3：5层。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sz w:val="18"/>
                <w:szCs w:val="18"/>
              </w:rPr>
              <w:t>住宅朝向</w:t>
            </w:r>
          </w:p>
        </w:tc>
        <w:tc>
          <w:tcPr>
            <w:tcW w:w="3587" w:type="pct"/>
            <w:vAlign w:val="center"/>
          </w:tcPr>
          <w:p>
            <w:pPr>
              <w:spacing w:line="276" w:lineRule="auto"/>
              <w:jc w:val="center"/>
              <w:rPr>
                <w:sz w:val="18"/>
                <w:szCs w:val="18"/>
              </w:rPr>
            </w:pPr>
            <w:r>
              <w:rPr>
                <w:sz w:val="18"/>
                <w:szCs w:val="18"/>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restart"/>
            <w:vAlign w:val="center"/>
          </w:tcPr>
          <w:p>
            <w:pPr>
              <w:spacing w:line="276" w:lineRule="auto"/>
              <w:jc w:val="center"/>
              <w:rPr>
                <w:sz w:val="18"/>
                <w:szCs w:val="18"/>
              </w:rPr>
            </w:pPr>
            <w:r>
              <w:rPr>
                <w:sz w:val="18"/>
                <w:szCs w:val="18"/>
              </w:rPr>
              <w:t>交通条件</w:t>
            </w:r>
          </w:p>
        </w:tc>
        <w:tc>
          <w:tcPr>
            <w:tcW w:w="1095" w:type="pct"/>
            <w:gridSpan w:val="2"/>
            <w:vAlign w:val="center"/>
          </w:tcPr>
          <w:p>
            <w:pPr>
              <w:spacing w:line="276" w:lineRule="auto"/>
              <w:jc w:val="center"/>
              <w:rPr>
                <w:sz w:val="18"/>
                <w:szCs w:val="18"/>
              </w:rPr>
            </w:pPr>
            <w:r>
              <w:rPr>
                <w:sz w:val="18"/>
                <w:szCs w:val="18"/>
              </w:rPr>
              <w:t>道路等级及路网条件</w:t>
            </w:r>
          </w:p>
        </w:tc>
        <w:tc>
          <w:tcPr>
            <w:tcW w:w="3587" w:type="pct"/>
            <w:vAlign w:val="center"/>
          </w:tcPr>
          <w:p>
            <w:pPr>
              <w:spacing w:line="276" w:lineRule="auto"/>
              <w:ind w:firstLine="360" w:firstLineChars="200"/>
              <w:rPr>
                <w:sz w:val="18"/>
                <w:szCs w:val="18"/>
              </w:rPr>
            </w:pPr>
            <w:r>
              <w:rPr>
                <w:sz w:val="18"/>
                <w:szCs w:val="18"/>
              </w:rPr>
              <w:t>周边有仁德西路、松涛路、台阳路、新城路等城市主次干道及支路，道路等级和路网密度高，道路通达状况好。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pacing w:val="-6"/>
                <w:sz w:val="18"/>
                <w:szCs w:val="18"/>
              </w:rPr>
            </w:pPr>
            <w:r>
              <w:rPr>
                <w:spacing w:val="-6"/>
                <w:sz w:val="18"/>
                <w:szCs w:val="18"/>
              </w:rPr>
              <w:t>公共交通及对内交通状况</w:t>
            </w:r>
          </w:p>
        </w:tc>
        <w:tc>
          <w:tcPr>
            <w:tcW w:w="3587" w:type="pct"/>
            <w:vAlign w:val="center"/>
          </w:tcPr>
          <w:p>
            <w:pPr>
              <w:spacing w:line="276" w:lineRule="auto"/>
              <w:ind w:firstLine="360" w:firstLineChars="200"/>
              <w:jc w:val="left"/>
              <w:rPr>
                <w:sz w:val="18"/>
                <w:szCs w:val="18"/>
              </w:rPr>
            </w:pPr>
            <w:r>
              <w:rPr>
                <w:sz w:val="18"/>
                <w:szCs w:val="18"/>
              </w:rPr>
              <w:t>估价对象所在区域内有2路、5路、6路、7路等公交车通过，距最近公交站点约50米，公共交通条件及对内交通较好。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sz w:val="18"/>
                <w:szCs w:val="18"/>
              </w:rPr>
              <w:t>对外交通状况</w:t>
            </w:r>
          </w:p>
        </w:tc>
        <w:tc>
          <w:tcPr>
            <w:tcW w:w="3587" w:type="pct"/>
            <w:vAlign w:val="center"/>
          </w:tcPr>
          <w:p>
            <w:pPr>
              <w:spacing w:line="276" w:lineRule="auto"/>
              <w:ind w:firstLine="360" w:firstLineChars="200"/>
              <w:jc w:val="left"/>
              <w:rPr>
                <w:sz w:val="18"/>
                <w:szCs w:val="18"/>
              </w:rPr>
            </w:pPr>
            <w:r>
              <w:rPr>
                <w:kern w:val="0"/>
                <w:sz w:val="18"/>
                <w:szCs w:val="18"/>
              </w:rPr>
              <w:t>距资阳市汽车客运中心约2.2公里，距资阳火车站约2.4公里，对外交通条件较好</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sz w:val="18"/>
                <w:szCs w:val="18"/>
              </w:rPr>
              <w:t>交通管制情况</w:t>
            </w:r>
          </w:p>
        </w:tc>
        <w:tc>
          <w:tcPr>
            <w:tcW w:w="3587" w:type="pct"/>
            <w:vAlign w:val="center"/>
          </w:tcPr>
          <w:p>
            <w:pPr>
              <w:spacing w:line="276" w:lineRule="auto"/>
              <w:ind w:firstLine="360" w:firstLineChars="200"/>
              <w:jc w:val="left"/>
              <w:rPr>
                <w:sz w:val="18"/>
                <w:szCs w:val="18"/>
              </w:rPr>
            </w:pPr>
            <w:r>
              <w:rPr>
                <w:sz w:val="18"/>
                <w:szCs w:val="18"/>
              </w:rPr>
              <w:t>无交通管制情况</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sz w:val="18"/>
                <w:szCs w:val="18"/>
              </w:rPr>
            </w:pPr>
            <w:r>
              <w:rPr>
                <w:sz w:val="18"/>
                <w:szCs w:val="18"/>
              </w:rPr>
              <w:t>停车方便程度</w:t>
            </w:r>
          </w:p>
        </w:tc>
        <w:tc>
          <w:tcPr>
            <w:tcW w:w="3587" w:type="pct"/>
            <w:vAlign w:val="center"/>
          </w:tcPr>
          <w:p>
            <w:pPr>
              <w:spacing w:line="276" w:lineRule="auto"/>
              <w:ind w:firstLine="360" w:firstLineChars="200"/>
              <w:jc w:val="left"/>
              <w:rPr>
                <w:sz w:val="18"/>
                <w:szCs w:val="18"/>
              </w:rPr>
            </w:pPr>
            <w:r>
              <w:rPr>
                <w:sz w:val="18"/>
                <w:szCs w:val="18"/>
              </w:rPr>
              <w:t>所在项目有地面停车场，</w:t>
            </w:r>
            <w:r>
              <w:rPr>
                <w:kern w:val="0"/>
                <w:sz w:val="18"/>
                <w:szCs w:val="18"/>
              </w:rPr>
              <w:t>同时周边道路可临时停车</w:t>
            </w:r>
            <w:r>
              <w:rPr>
                <w:sz w:val="18"/>
                <w:szCs w:val="18"/>
              </w:rPr>
              <w:t>，车位充足</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1095" w:type="pct"/>
            <w:gridSpan w:val="2"/>
            <w:vAlign w:val="center"/>
          </w:tcPr>
          <w:p>
            <w:pPr>
              <w:spacing w:line="276" w:lineRule="auto"/>
              <w:jc w:val="center"/>
              <w:rPr>
                <w:kern w:val="0"/>
                <w:sz w:val="18"/>
                <w:szCs w:val="18"/>
              </w:rPr>
            </w:pPr>
            <w:r>
              <w:rPr>
                <w:kern w:val="0"/>
                <w:sz w:val="18"/>
                <w:szCs w:val="18"/>
              </w:rPr>
              <w:t>交通收费情况</w:t>
            </w:r>
          </w:p>
        </w:tc>
        <w:tc>
          <w:tcPr>
            <w:tcW w:w="3587" w:type="pct"/>
            <w:vAlign w:val="center"/>
          </w:tcPr>
          <w:p>
            <w:pPr>
              <w:spacing w:line="276" w:lineRule="auto"/>
              <w:ind w:firstLine="360" w:firstLineChars="200"/>
              <w:jc w:val="left"/>
              <w:rPr>
                <w:sz w:val="18"/>
                <w:szCs w:val="18"/>
              </w:rPr>
            </w:pPr>
            <w:r>
              <w:rPr>
                <w:sz w:val="18"/>
                <w:szCs w:val="18"/>
              </w:rPr>
              <w:t>公交1元起。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restart"/>
            <w:vAlign w:val="center"/>
          </w:tcPr>
          <w:p>
            <w:pPr>
              <w:spacing w:line="276" w:lineRule="auto"/>
              <w:jc w:val="center"/>
              <w:rPr>
                <w:sz w:val="18"/>
                <w:szCs w:val="18"/>
              </w:rPr>
            </w:pPr>
            <w:r>
              <w:rPr>
                <w:sz w:val="18"/>
                <w:szCs w:val="18"/>
              </w:rPr>
              <w:t>外部配套设施</w:t>
            </w:r>
          </w:p>
        </w:tc>
        <w:tc>
          <w:tcPr>
            <w:tcW w:w="1095" w:type="pct"/>
            <w:gridSpan w:val="2"/>
            <w:vAlign w:val="center"/>
          </w:tcPr>
          <w:p>
            <w:pPr>
              <w:spacing w:line="276" w:lineRule="auto"/>
              <w:jc w:val="center"/>
              <w:rPr>
                <w:sz w:val="18"/>
                <w:szCs w:val="18"/>
              </w:rPr>
            </w:pPr>
            <w:r>
              <w:rPr>
                <w:sz w:val="18"/>
                <w:szCs w:val="18"/>
              </w:rPr>
              <w:t>城市基础设施状况</w:t>
            </w:r>
          </w:p>
        </w:tc>
        <w:tc>
          <w:tcPr>
            <w:tcW w:w="3587" w:type="pct"/>
            <w:vAlign w:val="center"/>
          </w:tcPr>
          <w:p>
            <w:pPr>
              <w:spacing w:line="276" w:lineRule="auto"/>
              <w:ind w:firstLine="360" w:firstLineChars="200"/>
              <w:jc w:val="left"/>
              <w:rPr>
                <w:sz w:val="18"/>
                <w:szCs w:val="18"/>
              </w:rPr>
            </w:pPr>
            <w:r>
              <w:rPr>
                <w:sz w:val="18"/>
                <w:szCs w:val="18"/>
              </w:rPr>
              <w:t>所在区域内水、电、气、视、讯、路、宽带网等城市基础设施配套完善。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340" w:type="pct"/>
            <w:vMerge w:val="restart"/>
            <w:vAlign w:val="center"/>
          </w:tcPr>
          <w:p>
            <w:pPr>
              <w:spacing w:line="276" w:lineRule="auto"/>
              <w:jc w:val="center"/>
              <w:rPr>
                <w:sz w:val="18"/>
                <w:szCs w:val="18"/>
              </w:rPr>
            </w:pPr>
            <w:r>
              <w:rPr>
                <w:sz w:val="18"/>
                <w:szCs w:val="18"/>
              </w:rPr>
              <w:t>公共服务设施</w:t>
            </w:r>
          </w:p>
        </w:tc>
        <w:tc>
          <w:tcPr>
            <w:tcW w:w="755" w:type="pct"/>
            <w:vAlign w:val="center"/>
          </w:tcPr>
          <w:p>
            <w:pPr>
              <w:spacing w:line="276" w:lineRule="auto"/>
              <w:jc w:val="center"/>
              <w:rPr>
                <w:sz w:val="18"/>
                <w:szCs w:val="18"/>
              </w:rPr>
            </w:pPr>
            <w:r>
              <w:rPr>
                <w:sz w:val="18"/>
                <w:szCs w:val="18"/>
              </w:rPr>
              <w:t>文化教育机构</w:t>
            </w:r>
          </w:p>
        </w:tc>
        <w:tc>
          <w:tcPr>
            <w:tcW w:w="3587" w:type="pct"/>
            <w:shd w:val="clear" w:color="auto" w:fill="auto"/>
            <w:vAlign w:val="center"/>
          </w:tcPr>
          <w:p>
            <w:pPr>
              <w:spacing w:line="276" w:lineRule="auto"/>
              <w:ind w:firstLine="360" w:firstLineChars="200"/>
              <w:jc w:val="left"/>
              <w:rPr>
                <w:sz w:val="18"/>
                <w:szCs w:val="18"/>
              </w:rPr>
            </w:pPr>
            <w:r>
              <w:rPr>
                <w:sz w:val="18"/>
                <w:szCs w:val="18"/>
              </w:rPr>
              <w:t>估价对象附近有雁江六中、雁江七小、资阳师范学校等教育机构。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340" w:type="pct"/>
            <w:vMerge w:val="continue"/>
            <w:vAlign w:val="center"/>
          </w:tcPr>
          <w:p>
            <w:pPr>
              <w:spacing w:line="276" w:lineRule="auto"/>
              <w:jc w:val="center"/>
              <w:rPr>
                <w:sz w:val="18"/>
                <w:szCs w:val="18"/>
              </w:rPr>
            </w:pPr>
          </w:p>
        </w:tc>
        <w:tc>
          <w:tcPr>
            <w:tcW w:w="755" w:type="pct"/>
            <w:vAlign w:val="center"/>
          </w:tcPr>
          <w:p>
            <w:pPr>
              <w:spacing w:line="276" w:lineRule="auto"/>
              <w:jc w:val="center"/>
              <w:rPr>
                <w:sz w:val="18"/>
                <w:szCs w:val="18"/>
              </w:rPr>
            </w:pPr>
            <w:r>
              <w:rPr>
                <w:sz w:val="18"/>
                <w:szCs w:val="18"/>
              </w:rPr>
              <w:t>医疗卫生机构</w:t>
            </w:r>
          </w:p>
        </w:tc>
        <w:tc>
          <w:tcPr>
            <w:tcW w:w="3587" w:type="pct"/>
            <w:shd w:val="clear" w:color="auto" w:fill="auto"/>
            <w:vAlign w:val="center"/>
          </w:tcPr>
          <w:p>
            <w:pPr>
              <w:spacing w:line="276" w:lineRule="auto"/>
              <w:ind w:firstLine="360" w:firstLineChars="200"/>
              <w:jc w:val="left"/>
              <w:rPr>
                <w:sz w:val="18"/>
                <w:szCs w:val="18"/>
              </w:rPr>
            </w:pPr>
            <w:r>
              <w:rPr>
                <w:sz w:val="18"/>
                <w:szCs w:val="18"/>
              </w:rPr>
              <w:t>估价对象附近有资阳市第一人民医院、资阳市雁江区妇幼保健院等医疗机构。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18" w:type="pct"/>
            <w:vMerge w:val="continue"/>
            <w:vAlign w:val="center"/>
          </w:tcPr>
          <w:p>
            <w:pPr>
              <w:spacing w:line="276" w:lineRule="auto"/>
              <w:jc w:val="center"/>
              <w:rPr>
                <w:sz w:val="18"/>
                <w:szCs w:val="18"/>
              </w:rPr>
            </w:pPr>
          </w:p>
        </w:tc>
        <w:tc>
          <w:tcPr>
            <w:tcW w:w="340" w:type="pct"/>
            <w:vMerge w:val="continue"/>
            <w:vAlign w:val="center"/>
          </w:tcPr>
          <w:p>
            <w:pPr>
              <w:spacing w:line="276" w:lineRule="auto"/>
              <w:jc w:val="center"/>
              <w:rPr>
                <w:sz w:val="18"/>
                <w:szCs w:val="18"/>
              </w:rPr>
            </w:pPr>
          </w:p>
        </w:tc>
        <w:tc>
          <w:tcPr>
            <w:tcW w:w="755" w:type="pct"/>
            <w:vAlign w:val="center"/>
          </w:tcPr>
          <w:p>
            <w:pPr>
              <w:spacing w:line="276" w:lineRule="auto"/>
              <w:jc w:val="center"/>
              <w:rPr>
                <w:sz w:val="18"/>
                <w:szCs w:val="18"/>
              </w:rPr>
            </w:pPr>
            <w:r>
              <w:rPr>
                <w:sz w:val="18"/>
                <w:szCs w:val="18"/>
              </w:rPr>
              <w:t>金融机构</w:t>
            </w:r>
          </w:p>
        </w:tc>
        <w:tc>
          <w:tcPr>
            <w:tcW w:w="3587" w:type="pct"/>
            <w:shd w:val="clear" w:color="auto" w:fill="auto"/>
            <w:vAlign w:val="center"/>
          </w:tcPr>
          <w:p>
            <w:pPr>
              <w:spacing w:line="276" w:lineRule="auto"/>
              <w:ind w:firstLine="360" w:firstLineChars="200"/>
              <w:jc w:val="left"/>
              <w:rPr>
                <w:sz w:val="18"/>
                <w:szCs w:val="18"/>
              </w:rPr>
            </w:pPr>
            <w:r>
              <w:rPr>
                <w:sz w:val="18"/>
                <w:szCs w:val="18"/>
              </w:rPr>
              <w:t>估价对象附近有中国工商银行、绵阳市商业银行等金融机构。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13" w:type="pct"/>
            <w:gridSpan w:val="3"/>
            <w:vAlign w:val="center"/>
          </w:tcPr>
          <w:p>
            <w:pPr>
              <w:spacing w:line="276" w:lineRule="auto"/>
              <w:jc w:val="center"/>
              <w:rPr>
                <w:sz w:val="18"/>
                <w:szCs w:val="18"/>
              </w:rPr>
            </w:pPr>
            <w:r>
              <w:rPr>
                <w:sz w:val="18"/>
                <w:szCs w:val="18"/>
              </w:rPr>
              <w:t>周围环境</w:t>
            </w:r>
          </w:p>
          <w:p>
            <w:pPr>
              <w:spacing w:line="276" w:lineRule="auto"/>
              <w:jc w:val="center"/>
              <w:rPr>
                <w:sz w:val="18"/>
                <w:szCs w:val="18"/>
              </w:rPr>
            </w:pPr>
            <w:r>
              <w:rPr>
                <w:sz w:val="18"/>
                <w:szCs w:val="18"/>
              </w:rPr>
              <w:t>和景观</w:t>
            </w:r>
          </w:p>
        </w:tc>
        <w:tc>
          <w:tcPr>
            <w:tcW w:w="3587" w:type="pct"/>
            <w:vAlign w:val="center"/>
          </w:tcPr>
          <w:p>
            <w:pPr>
              <w:spacing w:line="276" w:lineRule="auto"/>
              <w:ind w:firstLine="360" w:firstLineChars="200"/>
              <w:jc w:val="left"/>
              <w:rPr>
                <w:sz w:val="18"/>
                <w:szCs w:val="18"/>
              </w:rPr>
            </w:pPr>
            <w:r>
              <w:rPr>
                <w:sz w:val="18"/>
                <w:szCs w:val="18"/>
              </w:rPr>
              <w:t>自然环境：所在区域无明显污染，空气质量状况一般；周边社区环境一般。</w:t>
            </w:r>
          </w:p>
          <w:p>
            <w:pPr>
              <w:spacing w:line="276" w:lineRule="auto"/>
              <w:ind w:firstLine="360" w:firstLineChars="200"/>
              <w:jc w:val="left"/>
              <w:rPr>
                <w:sz w:val="18"/>
                <w:szCs w:val="18"/>
              </w:rPr>
            </w:pPr>
            <w:r>
              <w:rPr>
                <w:sz w:val="18"/>
                <w:szCs w:val="18"/>
              </w:rPr>
              <w:t>人文环境：所在区域人口密度较大，人口构成较平均，收入及文化水平一般，区域治安状况一般。</w:t>
            </w:r>
          </w:p>
          <w:p>
            <w:pPr>
              <w:spacing w:line="276" w:lineRule="auto"/>
              <w:ind w:firstLine="360" w:firstLineChars="200"/>
              <w:jc w:val="left"/>
              <w:rPr>
                <w:sz w:val="18"/>
                <w:szCs w:val="18"/>
              </w:rPr>
            </w:pPr>
            <w:r>
              <w:rPr>
                <w:sz w:val="18"/>
                <w:szCs w:val="18"/>
              </w:rPr>
              <w:t>景观：街头绿化。</w:t>
            </w:r>
          </w:p>
        </w:tc>
      </w:tr>
      <w:bookmarkEnd w:id="23"/>
      <w:bookmarkEnd w:id="24"/>
    </w:tbl>
    <w:p>
      <w:pPr>
        <w:spacing w:line="600" w:lineRule="exact"/>
        <w:ind w:firstLine="420" w:firstLineChars="150"/>
        <w:outlineLvl w:val="1"/>
        <w:rPr>
          <w:rFonts w:eastAsia="黑体"/>
          <w:sz w:val="28"/>
        </w:rPr>
      </w:pPr>
      <w:bookmarkStart w:id="26" w:name="_Toc60058811"/>
      <w:r>
        <w:rPr>
          <w:rFonts w:eastAsia="黑体"/>
          <w:sz w:val="28"/>
        </w:rPr>
        <w:t>（五）价值时点</w:t>
      </w:r>
      <w:bookmarkEnd w:id="25"/>
      <w:bookmarkEnd w:id="26"/>
    </w:p>
    <w:p>
      <w:pPr>
        <w:spacing w:line="600" w:lineRule="exact"/>
        <w:ind w:firstLine="560" w:firstLineChars="200"/>
        <w:rPr>
          <w:sz w:val="28"/>
          <w:szCs w:val="28"/>
        </w:rPr>
      </w:pPr>
      <w:r>
        <w:rPr>
          <w:sz w:val="28"/>
          <w:szCs w:val="28"/>
        </w:rPr>
        <w:t>2020年11月19日</w:t>
      </w:r>
      <w:r>
        <w:rPr>
          <w:sz w:val="28"/>
        </w:rPr>
        <w:t>，为本次评估实地查勘日。</w:t>
      </w:r>
    </w:p>
    <w:p>
      <w:pPr>
        <w:spacing w:line="600" w:lineRule="exact"/>
        <w:ind w:firstLine="420" w:firstLineChars="150"/>
        <w:outlineLvl w:val="1"/>
        <w:rPr>
          <w:rFonts w:eastAsia="黑体"/>
          <w:sz w:val="28"/>
        </w:rPr>
      </w:pPr>
      <w:bookmarkStart w:id="27" w:name="_Toc60058812"/>
      <w:bookmarkStart w:id="28" w:name="_Toc36197820"/>
      <w:bookmarkStart w:id="29" w:name="_Toc466027628"/>
      <w:r>
        <w:rPr>
          <w:rFonts w:eastAsia="黑体"/>
          <w:sz w:val="28"/>
        </w:rPr>
        <w:t>（六）价值类型</w:t>
      </w:r>
      <w:bookmarkEnd w:id="27"/>
      <w:bookmarkEnd w:id="28"/>
      <w:bookmarkEnd w:id="29"/>
    </w:p>
    <w:p>
      <w:pPr>
        <w:spacing w:line="600" w:lineRule="exact"/>
        <w:ind w:firstLine="560" w:firstLineChars="200"/>
        <w:rPr>
          <w:sz w:val="28"/>
          <w:szCs w:val="28"/>
        </w:rPr>
      </w:pPr>
      <w:r>
        <w:rPr>
          <w:sz w:val="28"/>
          <w:szCs w:val="28"/>
        </w:rPr>
        <w:t>价值名称：市场价值</w:t>
      </w:r>
    </w:p>
    <w:p>
      <w:pPr>
        <w:spacing w:line="600" w:lineRule="exact"/>
        <w:ind w:firstLine="560" w:firstLineChars="200"/>
        <w:rPr>
          <w:sz w:val="28"/>
        </w:rPr>
      </w:pPr>
      <w:r>
        <w:rPr>
          <w:sz w:val="28"/>
          <w:szCs w:val="28"/>
        </w:rPr>
        <w:t>价值内涵：</w:t>
      </w:r>
      <w:r>
        <w:rPr>
          <w:sz w:val="28"/>
        </w:rPr>
        <w:t>本报告估价结果是反映估价对象在本次估价目的下于价值时点的市场价值，市场价值是指估价对象经适当营销后，由熟悉情况、谨慎行事且不受强迫的交易双方，以公平交易方式在价值时点自愿进行易的金额。</w:t>
      </w:r>
    </w:p>
    <w:p>
      <w:pPr>
        <w:spacing w:line="600" w:lineRule="exact"/>
        <w:ind w:firstLine="560" w:firstLineChars="200"/>
        <w:rPr>
          <w:sz w:val="28"/>
          <w:szCs w:val="28"/>
        </w:rPr>
      </w:pPr>
      <w:r>
        <w:rPr>
          <w:sz w:val="28"/>
          <w:szCs w:val="28"/>
        </w:rPr>
        <w:t>1、用途：法定用途；</w:t>
      </w:r>
    </w:p>
    <w:p>
      <w:pPr>
        <w:spacing w:line="600" w:lineRule="exact"/>
        <w:ind w:firstLine="560" w:firstLineChars="200"/>
        <w:rPr>
          <w:sz w:val="28"/>
          <w:szCs w:val="28"/>
        </w:rPr>
      </w:pPr>
      <w:r>
        <w:rPr>
          <w:sz w:val="28"/>
          <w:szCs w:val="28"/>
        </w:rPr>
        <w:t>2、本次估价范围包括估价对象房屋（含不可剥离附属设备设施、室内装修）及其占用分摊的建设用地使用权，但不含可移动财产；</w:t>
      </w:r>
    </w:p>
    <w:p>
      <w:pPr>
        <w:spacing w:line="600" w:lineRule="exact"/>
        <w:ind w:firstLine="560" w:firstLineChars="200"/>
        <w:rPr>
          <w:sz w:val="28"/>
          <w:szCs w:val="28"/>
        </w:rPr>
      </w:pPr>
      <w:r>
        <w:rPr>
          <w:sz w:val="28"/>
          <w:szCs w:val="28"/>
        </w:rPr>
        <w:t>3、本报告确定的价格为交易双方按相关法规的规定负担各自应负担税费下的价格；</w:t>
      </w:r>
    </w:p>
    <w:p>
      <w:pPr>
        <w:spacing w:line="600" w:lineRule="exact"/>
        <w:ind w:firstLine="560" w:firstLineChars="200"/>
        <w:rPr>
          <w:sz w:val="28"/>
          <w:szCs w:val="28"/>
        </w:rPr>
      </w:pPr>
      <w:r>
        <w:rPr>
          <w:sz w:val="28"/>
          <w:szCs w:val="28"/>
        </w:rPr>
        <w:t>4、本报告估价结果未考虑未来市场变化风险、不可抗力及短期强制处分等因素对其价格的影响；</w:t>
      </w:r>
    </w:p>
    <w:p>
      <w:pPr>
        <w:spacing w:line="600" w:lineRule="exact"/>
        <w:ind w:firstLine="560" w:firstLineChars="200"/>
        <w:rPr>
          <w:sz w:val="28"/>
        </w:rPr>
      </w:pPr>
      <w:bookmarkStart w:id="30" w:name="_Toc466027629"/>
      <w:r>
        <w:rPr>
          <w:sz w:val="28"/>
        </w:rPr>
        <w:t>5、</w:t>
      </w:r>
      <w:r>
        <w:rPr>
          <w:sz w:val="28"/>
          <w:szCs w:val="28"/>
        </w:rPr>
        <w:t>币种为人民币</w:t>
      </w:r>
      <w:r>
        <w:rPr>
          <w:spacing w:val="-10"/>
          <w:sz w:val="28"/>
          <w:szCs w:val="28"/>
        </w:rPr>
        <w:t>。</w:t>
      </w:r>
    </w:p>
    <w:bookmarkEnd w:id="30"/>
    <w:p>
      <w:pPr>
        <w:spacing w:line="600" w:lineRule="exact"/>
        <w:ind w:firstLine="420" w:firstLineChars="150"/>
        <w:outlineLvl w:val="1"/>
        <w:rPr>
          <w:rFonts w:eastAsia="黑体"/>
          <w:sz w:val="28"/>
        </w:rPr>
      </w:pPr>
      <w:bookmarkStart w:id="31" w:name="_Toc60058813"/>
      <w:bookmarkStart w:id="32" w:name="_Toc36197821"/>
      <w:r>
        <w:rPr>
          <w:rFonts w:eastAsia="黑体"/>
          <w:sz w:val="28"/>
        </w:rPr>
        <w:t>（七）估价原则</w:t>
      </w:r>
      <w:bookmarkEnd w:id="31"/>
      <w:bookmarkEnd w:id="32"/>
    </w:p>
    <w:p>
      <w:pPr>
        <w:spacing w:line="600" w:lineRule="exact"/>
        <w:ind w:firstLine="560" w:firstLineChars="200"/>
        <w:rPr>
          <w:sz w:val="28"/>
          <w:szCs w:val="28"/>
        </w:rPr>
      </w:pPr>
      <w:r>
        <w:rPr>
          <w:sz w:val="28"/>
          <w:szCs w:val="28"/>
        </w:rPr>
        <w:t>1、独立、客观、公正原则</w:t>
      </w:r>
    </w:p>
    <w:p>
      <w:pPr>
        <w:spacing w:line="600" w:lineRule="exact"/>
        <w:ind w:firstLine="560" w:firstLineChars="200"/>
        <w:rPr>
          <w:sz w:val="28"/>
          <w:szCs w:val="28"/>
        </w:rPr>
      </w:pPr>
      <w:r>
        <w:rPr>
          <w:sz w:val="28"/>
          <w:szCs w:val="28"/>
        </w:rPr>
        <w:t>要求站在中立的立场上，实事求是、公平正直地评估出对各方估价利害关系人均是公平合理的价值或价格的原则。</w:t>
      </w:r>
    </w:p>
    <w:p>
      <w:pPr>
        <w:spacing w:line="600" w:lineRule="exact"/>
        <w:ind w:firstLine="560" w:firstLineChars="200"/>
        <w:rPr>
          <w:sz w:val="28"/>
          <w:szCs w:val="28"/>
        </w:rPr>
      </w:pPr>
      <w:r>
        <w:rPr>
          <w:sz w:val="28"/>
          <w:szCs w:val="28"/>
        </w:rPr>
        <w:t>2、合法原则</w:t>
      </w:r>
    </w:p>
    <w:p>
      <w:pPr>
        <w:spacing w:line="600" w:lineRule="exact"/>
        <w:ind w:firstLine="560" w:firstLineChars="200"/>
        <w:rPr>
          <w:sz w:val="28"/>
          <w:szCs w:val="28"/>
        </w:rPr>
      </w:pPr>
      <w:r>
        <w:rPr>
          <w:sz w:val="28"/>
          <w:szCs w:val="28"/>
        </w:rPr>
        <w:t>合法原则要求估价结果是在依法判定的估价对象状况下的价值或价格的原则。</w:t>
      </w:r>
    </w:p>
    <w:p>
      <w:pPr>
        <w:spacing w:line="600" w:lineRule="exact"/>
        <w:ind w:firstLine="560" w:firstLineChars="200"/>
        <w:rPr>
          <w:sz w:val="28"/>
          <w:szCs w:val="28"/>
        </w:rPr>
      </w:pPr>
      <w:r>
        <w:rPr>
          <w:sz w:val="28"/>
          <w:szCs w:val="28"/>
        </w:rPr>
        <w:t>合法权益包括合法产权、合法使用、合法处分等方面。在合法产权方面，应以房地产权属证书和有关证件为依据；在合法使用方面，应以城市规划、土地用途管制等为依据；在合法处分方面，应以法律、行政法规或合同（如土地使用权出让合同）等允许的处分方式为依据；在其他方面，如评估出的价格必须符合国家的价格政策。</w:t>
      </w:r>
    </w:p>
    <w:p>
      <w:pPr>
        <w:spacing w:line="600" w:lineRule="exact"/>
        <w:ind w:firstLine="560" w:firstLineChars="200"/>
        <w:rPr>
          <w:sz w:val="28"/>
          <w:szCs w:val="28"/>
        </w:rPr>
      </w:pPr>
      <w:r>
        <w:rPr>
          <w:sz w:val="28"/>
          <w:szCs w:val="28"/>
        </w:rPr>
        <w:t>3、最高最佳利用原则</w:t>
      </w:r>
    </w:p>
    <w:p>
      <w:pPr>
        <w:spacing w:line="600" w:lineRule="exact"/>
        <w:ind w:firstLine="560" w:firstLineChars="200"/>
        <w:rPr>
          <w:sz w:val="28"/>
          <w:szCs w:val="28"/>
        </w:rPr>
      </w:pPr>
      <w:r>
        <w:rPr>
          <w:sz w:val="28"/>
          <w:szCs w:val="28"/>
        </w:rPr>
        <w:t>最高最佳利用原则要求是在估价对象最高最佳利用状况下的价值或价格的原则。</w:t>
      </w:r>
    </w:p>
    <w:p>
      <w:pPr>
        <w:spacing w:line="600" w:lineRule="exact"/>
        <w:ind w:firstLine="560" w:firstLineChars="200"/>
        <w:rPr>
          <w:sz w:val="28"/>
          <w:szCs w:val="28"/>
        </w:rPr>
      </w:pPr>
      <w:r>
        <w:rPr>
          <w:sz w:val="28"/>
          <w:szCs w:val="28"/>
        </w:rPr>
        <w:t>最高最佳利用是指法律上许可、技术上可能、财务上可行并使价值最大的合理、可能的利用。包括最佳的用途、规模、档次等。</w:t>
      </w:r>
    </w:p>
    <w:p>
      <w:pPr>
        <w:spacing w:line="600" w:lineRule="exact"/>
        <w:ind w:firstLine="560" w:firstLineChars="200"/>
        <w:rPr>
          <w:sz w:val="28"/>
          <w:szCs w:val="28"/>
        </w:rPr>
      </w:pPr>
      <w:r>
        <w:rPr>
          <w:sz w:val="28"/>
          <w:szCs w:val="28"/>
        </w:rPr>
        <w:t>4、替代原则</w:t>
      </w:r>
    </w:p>
    <w:p>
      <w:pPr>
        <w:spacing w:line="600" w:lineRule="exact"/>
        <w:ind w:firstLine="560" w:firstLineChars="200"/>
        <w:rPr>
          <w:sz w:val="28"/>
          <w:szCs w:val="28"/>
        </w:rPr>
      </w:pPr>
      <w:r>
        <w:rPr>
          <w:sz w:val="28"/>
          <w:szCs w:val="28"/>
        </w:rPr>
        <w:t>替代原则要求房地产估价结果不得明显偏离类似房地产在同等条件下的正常价格。</w:t>
      </w:r>
    </w:p>
    <w:p>
      <w:pPr>
        <w:spacing w:line="600" w:lineRule="exact"/>
        <w:ind w:firstLine="560" w:firstLineChars="200"/>
        <w:rPr>
          <w:sz w:val="28"/>
          <w:szCs w:val="28"/>
        </w:rPr>
      </w:pPr>
      <w:r>
        <w:rPr>
          <w:sz w:val="28"/>
          <w:szCs w:val="28"/>
        </w:rPr>
        <w:t>类似房地产是指与估价对象房地产的区位，用途、权利性质、规模、档次、建筑结构、新旧程度等相同或相近的房地产。</w:t>
      </w:r>
    </w:p>
    <w:p>
      <w:pPr>
        <w:spacing w:line="600" w:lineRule="exact"/>
        <w:ind w:firstLine="560" w:firstLineChars="200"/>
        <w:rPr>
          <w:sz w:val="28"/>
          <w:szCs w:val="28"/>
        </w:rPr>
      </w:pPr>
      <w:r>
        <w:rPr>
          <w:sz w:val="28"/>
          <w:szCs w:val="28"/>
        </w:rPr>
        <w:t>5、价值时点原则</w:t>
      </w:r>
    </w:p>
    <w:p>
      <w:pPr>
        <w:spacing w:line="600" w:lineRule="exact"/>
        <w:ind w:firstLine="560" w:firstLineChars="200"/>
        <w:rPr>
          <w:sz w:val="28"/>
          <w:szCs w:val="28"/>
        </w:rPr>
      </w:pPr>
      <w:r>
        <w:rPr>
          <w:sz w:val="28"/>
          <w:szCs w:val="28"/>
        </w:rPr>
        <w:t>价值时点原则要求房地产估价结果应是估价对象在价值时点时的客观合理价格或价值。</w:t>
      </w:r>
    </w:p>
    <w:p>
      <w:pPr>
        <w:spacing w:line="600" w:lineRule="exact"/>
        <w:ind w:firstLine="560" w:firstLineChars="200"/>
        <w:rPr>
          <w:sz w:val="28"/>
          <w:szCs w:val="28"/>
        </w:rPr>
      </w:pPr>
      <w:r>
        <w:rPr>
          <w:sz w:val="28"/>
          <w:szCs w:val="28"/>
        </w:rPr>
        <w:t>估价通常仅是求取估价对象在某个特定时间上的价格，而且这个特定时间不是注册房地产估价师可以随意假定的，必须依据估价目的来确定，这个特定时间就是价值时点。</w:t>
      </w:r>
    </w:p>
    <w:p>
      <w:pPr>
        <w:spacing w:line="600" w:lineRule="exact"/>
        <w:ind w:firstLine="420" w:firstLineChars="150"/>
        <w:outlineLvl w:val="1"/>
        <w:rPr>
          <w:rFonts w:eastAsia="黑体"/>
          <w:sz w:val="28"/>
        </w:rPr>
      </w:pPr>
      <w:bookmarkStart w:id="33" w:name="_Toc60058814"/>
      <w:bookmarkStart w:id="34" w:name="_Toc36197822"/>
      <w:bookmarkStart w:id="35" w:name="_Toc466027630"/>
      <w:r>
        <w:rPr>
          <w:rFonts w:eastAsia="黑体"/>
          <w:sz w:val="28"/>
        </w:rPr>
        <w:t>（八）估价依据</w:t>
      </w:r>
      <w:bookmarkEnd w:id="33"/>
      <w:bookmarkEnd w:id="34"/>
      <w:bookmarkEnd w:id="35"/>
    </w:p>
    <w:p>
      <w:pPr>
        <w:spacing w:line="600" w:lineRule="exact"/>
        <w:ind w:firstLine="560" w:firstLineChars="200"/>
        <w:rPr>
          <w:sz w:val="28"/>
          <w:szCs w:val="28"/>
        </w:rPr>
      </w:pPr>
      <w:r>
        <w:rPr>
          <w:sz w:val="28"/>
          <w:szCs w:val="28"/>
        </w:rPr>
        <w:t>1、国家及地方相关法律、法规、文件</w:t>
      </w:r>
    </w:p>
    <w:p>
      <w:pPr>
        <w:spacing w:line="600" w:lineRule="exact"/>
        <w:ind w:firstLine="420" w:firstLineChars="150"/>
        <w:rPr>
          <w:sz w:val="28"/>
          <w:szCs w:val="28"/>
        </w:rPr>
      </w:pPr>
      <w:r>
        <w:rPr>
          <w:sz w:val="28"/>
          <w:szCs w:val="28"/>
        </w:rPr>
        <w:t>（1）《中华人民共和国物权法》；</w:t>
      </w:r>
    </w:p>
    <w:p>
      <w:pPr>
        <w:spacing w:line="600" w:lineRule="exact"/>
        <w:ind w:firstLine="420" w:firstLineChars="150"/>
        <w:rPr>
          <w:sz w:val="28"/>
          <w:szCs w:val="28"/>
        </w:rPr>
      </w:pPr>
      <w:r>
        <w:rPr>
          <w:sz w:val="28"/>
          <w:szCs w:val="28"/>
        </w:rPr>
        <w:t>（2）《中华人民共和国城市房地产管理法》；</w:t>
      </w:r>
    </w:p>
    <w:p>
      <w:pPr>
        <w:spacing w:line="600" w:lineRule="exact"/>
        <w:ind w:firstLine="420" w:firstLineChars="150"/>
        <w:rPr>
          <w:sz w:val="28"/>
          <w:szCs w:val="28"/>
        </w:rPr>
      </w:pPr>
      <w:r>
        <w:rPr>
          <w:sz w:val="28"/>
          <w:szCs w:val="28"/>
        </w:rPr>
        <w:t>（3）《中华人民共和国城镇国有土地使用权出让和转让暂行条例》；</w:t>
      </w:r>
    </w:p>
    <w:p>
      <w:pPr>
        <w:spacing w:line="600" w:lineRule="exact"/>
        <w:rPr>
          <w:sz w:val="28"/>
          <w:szCs w:val="28"/>
        </w:rPr>
      </w:pPr>
      <w:r>
        <w:rPr>
          <w:sz w:val="28"/>
          <w:szCs w:val="28"/>
        </w:rPr>
        <w:t>（4）《中华人民共和国资产评估法》；</w:t>
      </w:r>
    </w:p>
    <w:p>
      <w:pPr>
        <w:spacing w:line="600" w:lineRule="exact"/>
        <w:rPr>
          <w:sz w:val="28"/>
          <w:szCs w:val="28"/>
        </w:rPr>
      </w:pPr>
      <w:r>
        <w:rPr>
          <w:sz w:val="28"/>
          <w:szCs w:val="28"/>
        </w:rPr>
        <w:t>（5）《城市房地产转让管理规定》；</w:t>
      </w:r>
    </w:p>
    <w:p>
      <w:pPr>
        <w:spacing w:line="600" w:lineRule="exact"/>
        <w:rPr>
          <w:sz w:val="28"/>
          <w:szCs w:val="28"/>
        </w:rPr>
      </w:pPr>
      <w:r>
        <w:rPr>
          <w:sz w:val="28"/>
          <w:szCs w:val="28"/>
        </w:rPr>
        <w:t>（6）《全国人民代表大会常务委员会关于司法鉴定管理问题的决定》；</w:t>
      </w:r>
    </w:p>
    <w:p>
      <w:pPr>
        <w:spacing w:line="600" w:lineRule="exact"/>
        <w:rPr>
          <w:sz w:val="28"/>
          <w:szCs w:val="28"/>
        </w:rPr>
      </w:pPr>
      <w:r>
        <w:rPr>
          <w:sz w:val="28"/>
          <w:szCs w:val="28"/>
        </w:rPr>
        <w:t>（7）《最高人民法院关于人民法院委托评估、拍卖和变卖工作的若干规定》（法释〔2009〕16号）；</w:t>
      </w:r>
    </w:p>
    <w:p>
      <w:pPr>
        <w:spacing w:line="600" w:lineRule="exact"/>
        <w:rPr>
          <w:sz w:val="28"/>
          <w:szCs w:val="28"/>
        </w:rPr>
      </w:pPr>
      <w:r>
        <w:rPr>
          <w:sz w:val="28"/>
          <w:szCs w:val="28"/>
        </w:rPr>
        <w:t>（8）《司法鉴定程序通则》；</w:t>
      </w:r>
    </w:p>
    <w:p>
      <w:pPr>
        <w:spacing w:line="600" w:lineRule="exact"/>
        <w:rPr>
          <w:bCs/>
          <w:sz w:val="28"/>
          <w:szCs w:val="28"/>
        </w:rPr>
      </w:pPr>
      <w:r>
        <w:rPr>
          <w:sz w:val="28"/>
          <w:szCs w:val="28"/>
        </w:rPr>
        <w:t>（9）《四川省高级人民法院委托鉴定管理办法》；</w:t>
      </w:r>
    </w:p>
    <w:p>
      <w:pPr>
        <w:spacing w:line="600" w:lineRule="exact"/>
        <w:rPr>
          <w:sz w:val="28"/>
        </w:rPr>
      </w:pPr>
      <w:r>
        <w:rPr>
          <w:sz w:val="28"/>
          <w:szCs w:val="28"/>
        </w:rPr>
        <w:t>（10）《四川省高级人民法院委托评估、拍卖、变卖管理办法》</w:t>
      </w:r>
      <w:r>
        <w:rPr>
          <w:sz w:val="28"/>
        </w:rPr>
        <w:t>；</w:t>
      </w:r>
    </w:p>
    <w:p>
      <w:pPr>
        <w:spacing w:line="640" w:lineRule="exact"/>
        <w:ind w:firstLine="420" w:firstLineChars="150"/>
        <w:rPr>
          <w:rFonts w:eastAsia="长城楷体"/>
          <w:sz w:val="28"/>
          <w:szCs w:val="28"/>
        </w:rPr>
      </w:pPr>
      <w:r>
        <w:rPr>
          <w:rFonts w:eastAsia="长城楷体"/>
          <w:sz w:val="28"/>
          <w:szCs w:val="28"/>
        </w:rPr>
        <w:t>（11）《最高人民法院关于人民法院确定财产处置参考价若干问题的规定》（法释〔2018〕15号）；</w:t>
      </w:r>
    </w:p>
    <w:p>
      <w:pPr>
        <w:spacing w:line="640" w:lineRule="exact"/>
        <w:ind w:firstLine="420" w:firstLineChars="150"/>
        <w:rPr>
          <w:rFonts w:eastAsia="长城楷体"/>
          <w:sz w:val="28"/>
          <w:szCs w:val="28"/>
        </w:rPr>
      </w:pPr>
      <w:r>
        <w:rPr>
          <w:rFonts w:eastAsia="长城楷体"/>
          <w:sz w:val="28"/>
          <w:szCs w:val="28"/>
        </w:rPr>
        <w:t>（12）关于印发《人民法院委托评估工作规范》的通知（法办〔2018〕273号）。</w:t>
      </w:r>
    </w:p>
    <w:p>
      <w:pPr>
        <w:spacing w:line="600" w:lineRule="exact"/>
        <w:ind w:firstLine="560" w:firstLineChars="200"/>
        <w:rPr>
          <w:sz w:val="28"/>
          <w:szCs w:val="28"/>
        </w:rPr>
      </w:pPr>
      <w:r>
        <w:rPr>
          <w:sz w:val="28"/>
          <w:szCs w:val="28"/>
        </w:rPr>
        <w:t>2、房地产估价相关技术规程</w:t>
      </w:r>
    </w:p>
    <w:p>
      <w:pPr>
        <w:spacing w:line="600" w:lineRule="exact"/>
        <w:ind w:firstLine="420" w:firstLineChars="150"/>
        <w:rPr>
          <w:sz w:val="28"/>
          <w:szCs w:val="28"/>
        </w:rPr>
      </w:pPr>
      <w:r>
        <w:rPr>
          <w:sz w:val="28"/>
          <w:szCs w:val="28"/>
        </w:rPr>
        <w:t>（1）《房地产估价规范》（GB/T50291-2015）；</w:t>
      </w:r>
    </w:p>
    <w:p>
      <w:pPr>
        <w:spacing w:line="600" w:lineRule="exact"/>
        <w:ind w:firstLine="420" w:firstLineChars="150"/>
        <w:rPr>
          <w:sz w:val="28"/>
          <w:szCs w:val="28"/>
        </w:rPr>
      </w:pPr>
      <w:r>
        <w:rPr>
          <w:sz w:val="28"/>
          <w:szCs w:val="28"/>
        </w:rPr>
        <w:t>（2）《房地产估价基本术语标准》（GB/T50899-2013）；</w:t>
      </w:r>
    </w:p>
    <w:p>
      <w:pPr>
        <w:spacing w:line="600" w:lineRule="exact"/>
        <w:ind w:firstLine="420" w:firstLineChars="150"/>
        <w:rPr>
          <w:sz w:val="28"/>
          <w:szCs w:val="28"/>
        </w:rPr>
      </w:pPr>
      <w:r>
        <w:rPr>
          <w:sz w:val="28"/>
          <w:szCs w:val="28"/>
        </w:rPr>
        <w:t>（3）四川省住房和城乡建设厅关于印发《房地产司法鉴定评估指导意见》（试行）的通知（川建房发〔2011〕89号）。</w:t>
      </w:r>
    </w:p>
    <w:p>
      <w:pPr>
        <w:spacing w:line="600" w:lineRule="exact"/>
        <w:ind w:firstLine="560" w:firstLineChars="200"/>
        <w:rPr>
          <w:sz w:val="28"/>
          <w:szCs w:val="28"/>
        </w:rPr>
      </w:pPr>
      <w:r>
        <w:rPr>
          <w:sz w:val="28"/>
          <w:szCs w:val="28"/>
        </w:rPr>
        <w:t>3、估价委托人提供的估价对象权属证明文件和其他有关资料：</w:t>
      </w:r>
    </w:p>
    <w:p>
      <w:pPr>
        <w:spacing w:line="600" w:lineRule="exact"/>
        <w:ind w:firstLine="420" w:firstLineChars="150"/>
        <w:rPr>
          <w:sz w:val="28"/>
          <w:szCs w:val="28"/>
        </w:rPr>
      </w:pPr>
      <w:r>
        <w:rPr>
          <w:sz w:val="28"/>
          <w:szCs w:val="28"/>
        </w:rPr>
        <w:t>（1）（2020）川2002执2791号《资阳市雁江区人民法院委托书》；</w:t>
      </w:r>
    </w:p>
    <w:p>
      <w:pPr>
        <w:spacing w:line="600" w:lineRule="exact"/>
        <w:ind w:firstLine="420" w:firstLineChars="150"/>
        <w:rPr>
          <w:sz w:val="28"/>
          <w:szCs w:val="28"/>
        </w:rPr>
      </w:pPr>
      <w:r>
        <w:rPr>
          <w:sz w:val="28"/>
          <w:szCs w:val="28"/>
        </w:rPr>
        <w:t>（2）</w:t>
      </w:r>
      <w:r>
        <w:rPr>
          <w:sz w:val="28"/>
        </w:rPr>
        <w:t>《房屋所有权证》、《国有土地使用证》、《资阳市房产档案馆房产档案及商品房网签信息查询结果单》、《房产登记信息查询情况说明》</w:t>
      </w:r>
      <w:r>
        <w:rPr>
          <w:rFonts w:hint="eastAsia"/>
          <w:sz w:val="28"/>
        </w:rPr>
        <w:t>、《房屋租赁合同》</w:t>
      </w:r>
      <w:r>
        <w:rPr>
          <w:sz w:val="28"/>
          <w:szCs w:val="28"/>
        </w:rPr>
        <w:t>复印件；</w:t>
      </w:r>
    </w:p>
    <w:p>
      <w:pPr>
        <w:spacing w:line="600" w:lineRule="exact"/>
        <w:ind w:firstLine="420" w:firstLineChars="150"/>
        <w:rPr>
          <w:sz w:val="28"/>
          <w:szCs w:val="28"/>
        </w:rPr>
      </w:pPr>
      <w:r>
        <w:rPr>
          <w:sz w:val="28"/>
          <w:szCs w:val="28"/>
        </w:rPr>
        <w:t>（3）其他相关资料。</w:t>
      </w:r>
    </w:p>
    <w:p>
      <w:pPr>
        <w:spacing w:line="600" w:lineRule="exact"/>
        <w:ind w:firstLine="560" w:firstLineChars="200"/>
        <w:rPr>
          <w:sz w:val="28"/>
          <w:szCs w:val="28"/>
        </w:rPr>
      </w:pPr>
      <w:r>
        <w:rPr>
          <w:sz w:val="28"/>
          <w:szCs w:val="28"/>
        </w:rPr>
        <w:t>4、估价对象实地查勘记录；</w:t>
      </w:r>
    </w:p>
    <w:p>
      <w:pPr>
        <w:spacing w:line="600" w:lineRule="exact"/>
        <w:ind w:firstLine="560" w:firstLineChars="200"/>
        <w:rPr>
          <w:sz w:val="28"/>
        </w:rPr>
      </w:pPr>
      <w:r>
        <w:rPr>
          <w:sz w:val="28"/>
          <w:szCs w:val="28"/>
        </w:rPr>
        <w:t>5、本公司掌握和搜集的有关资料。</w:t>
      </w:r>
    </w:p>
    <w:p>
      <w:pPr>
        <w:spacing w:line="600" w:lineRule="exact"/>
        <w:ind w:firstLine="420" w:firstLineChars="150"/>
        <w:outlineLvl w:val="1"/>
        <w:rPr>
          <w:rFonts w:eastAsia="黑体"/>
          <w:sz w:val="28"/>
        </w:rPr>
      </w:pPr>
      <w:bookmarkStart w:id="36" w:name="_Toc60058815"/>
      <w:bookmarkStart w:id="37" w:name="_Toc36197823"/>
      <w:bookmarkStart w:id="38" w:name="_Toc32449"/>
      <w:bookmarkStart w:id="39" w:name="_Toc466027631"/>
      <w:r>
        <w:rPr>
          <w:rFonts w:eastAsia="黑体"/>
          <w:sz w:val="28"/>
        </w:rPr>
        <w:t>（九）估价方法</w:t>
      </w:r>
      <w:bookmarkEnd w:id="36"/>
      <w:bookmarkEnd w:id="37"/>
      <w:bookmarkEnd w:id="38"/>
      <w:bookmarkEnd w:id="39"/>
    </w:p>
    <w:p>
      <w:pPr>
        <w:tabs>
          <w:tab w:val="left" w:pos="8340"/>
        </w:tabs>
        <w:spacing w:line="600" w:lineRule="exact"/>
        <w:ind w:firstLine="560" w:firstLineChars="200"/>
        <w:rPr>
          <w:rFonts w:eastAsia="黑体"/>
          <w:sz w:val="28"/>
        </w:rPr>
      </w:pPr>
      <w:r>
        <w:rPr>
          <w:rFonts w:eastAsia="黑体"/>
          <w:sz w:val="28"/>
        </w:rPr>
        <w:t>1、估价技术路线与估价方法的选用</w:t>
      </w:r>
    </w:p>
    <w:p>
      <w:pPr>
        <w:tabs>
          <w:tab w:val="left" w:pos="8340"/>
        </w:tabs>
        <w:spacing w:line="600" w:lineRule="exact"/>
        <w:rPr>
          <w:sz w:val="28"/>
          <w:szCs w:val="28"/>
        </w:rPr>
      </w:pPr>
      <w:r>
        <w:rPr>
          <w:sz w:val="28"/>
          <w:szCs w:val="28"/>
        </w:rPr>
        <w:t>房地产估价的常用方法有比较法、收益法、成本法、假设开发法等，估价方法的选用应符合《房地产估价规范》（GB/T50291-2015）的有关规定。</w:t>
      </w:r>
    </w:p>
    <w:p>
      <w:pPr>
        <w:tabs>
          <w:tab w:val="left" w:pos="8340"/>
        </w:tabs>
        <w:spacing w:line="600" w:lineRule="exact"/>
        <w:rPr>
          <w:sz w:val="28"/>
          <w:szCs w:val="28"/>
        </w:rPr>
      </w:pPr>
      <w:r>
        <w:rPr>
          <w:sz w:val="28"/>
          <w:szCs w:val="28"/>
        </w:rPr>
        <w:t>根据本公司掌握的有关资料，同时结合估价对象的具体情况，本报告采用比较法对估价对象住宅、车库用房进行估价</w:t>
      </w:r>
      <w:r>
        <w:rPr>
          <w:rFonts w:hint="eastAsia"/>
          <w:sz w:val="28"/>
          <w:szCs w:val="28"/>
        </w:rPr>
        <w:t>；</w:t>
      </w:r>
      <w:r>
        <w:rPr>
          <w:sz w:val="28"/>
          <w:szCs w:val="28"/>
        </w:rPr>
        <w:t>采用比较法、收益法对估价对象营业用房进行估价。</w:t>
      </w:r>
    </w:p>
    <w:p>
      <w:pPr>
        <w:tabs>
          <w:tab w:val="left" w:pos="8340"/>
        </w:tabs>
        <w:spacing w:line="600" w:lineRule="exact"/>
        <w:ind w:firstLine="560" w:firstLineChars="200"/>
        <w:rPr>
          <w:rFonts w:eastAsia="黑体"/>
          <w:sz w:val="28"/>
        </w:rPr>
      </w:pPr>
      <w:r>
        <w:rPr>
          <w:rFonts w:eastAsia="黑体"/>
          <w:sz w:val="28"/>
        </w:rPr>
        <w:t>2、估价方法的定义</w:t>
      </w:r>
    </w:p>
    <w:p>
      <w:pPr>
        <w:spacing w:line="620" w:lineRule="exact"/>
        <w:ind w:firstLine="420" w:firstLineChars="150"/>
        <w:rPr>
          <w:sz w:val="28"/>
        </w:rPr>
      </w:pPr>
      <w:r>
        <w:rPr>
          <w:sz w:val="28"/>
        </w:rPr>
        <w:t>（1）比较法的定义为：将估价对象与在价值时点近期有过交易的类似房地产进行比较，对这些类似房地产的已知价格作适当的修正，以此估算估价对象的客观合理价格或价值的方法。在房地产市场比较发达的情况下，是一种说服力强、适用范围广的估价方法。</w:t>
      </w:r>
    </w:p>
    <w:p>
      <w:pPr>
        <w:tabs>
          <w:tab w:val="left" w:pos="1005"/>
        </w:tabs>
        <w:spacing w:line="620" w:lineRule="exact"/>
        <w:ind w:firstLine="560" w:firstLineChars="200"/>
        <w:rPr>
          <w:sz w:val="28"/>
        </w:rPr>
      </w:pPr>
      <w:r>
        <w:rPr>
          <w:sz w:val="28"/>
        </w:rPr>
        <w:t>步骤：</w:t>
      </w:r>
      <w:r>
        <w:rPr>
          <w:rFonts w:hint="eastAsia" w:ascii="宋体" w:hAnsi="宋体" w:cs="宋体"/>
          <w:sz w:val="28"/>
          <w:szCs w:val="28"/>
        </w:rPr>
        <w:t>①</w:t>
      </w:r>
      <w:r>
        <w:rPr>
          <w:sz w:val="28"/>
        </w:rPr>
        <w:t>搜</w:t>
      </w:r>
      <w:r>
        <w:rPr>
          <w:sz w:val="28"/>
          <w:szCs w:val="28"/>
        </w:rPr>
        <w:t>集交易实例；</w:t>
      </w:r>
      <w:r>
        <w:rPr>
          <w:rFonts w:hint="eastAsia" w:ascii="宋体" w:hAnsi="宋体" w:cs="宋体"/>
          <w:sz w:val="28"/>
          <w:szCs w:val="28"/>
        </w:rPr>
        <w:t>②</w:t>
      </w:r>
      <w:r>
        <w:rPr>
          <w:sz w:val="28"/>
          <w:szCs w:val="28"/>
        </w:rPr>
        <w:t>选取可比实例；</w:t>
      </w:r>
      <w:r>
        <w:rPr>
          <w:rFonts w:hint="eastAsia" w:ascii="宋体" w:hAnsi="宋体" w:cs="宋体"/>
          <w:sz w:val="28"/>
          <w:szCs w:val="28"/>
        </w:rPr>
        <w:t>③</w:t>
      </w:r>
      <w:r>
        <w:rPr>
          <w:sz w:val="28"/>
          <w:szCs w:val="28"/>
        </w:rPr>
        <w:t>建立价格比较基础；</w:t>
      </w:r>
      <w:r>
        <w:rPr>
          <w:rFonts w:hint="eastAsia" w:ascii="宋体" w:hAnsi="宋体" w:cs="宋体"/>
          <w:sz w:val="28"/>
          <w:szCs w:val="28"/>
        </w:rPr>
        <w:t>④</w:t>
      </w:r>
      <w:r>
        <w:rPr>
          <w:sz w:val="28"/>
          <w:szCs w:val="28"/>
        </w:rPr>
        <w:t>进行交易情况修正；</w:t>
      </w:r>
      <w:r>
        <w:rPr>
          <w:rFonts w:hint="eastAsia" w:ascii="宋体" w:hAnsi="宋体" w:cs="宋体"/>
          <w:sz w:val="28"/>
          <w:szCs w:val="28"/>
        </w:rPr>
        <w:t>⑤</w:t>
      </w:r>
      <w:r>
        <w:rPr>
          <w:sz w:val="28"/>
          <w:szCs w:val="28"/>
        </w:rPr>
        <w:t>进行市场状况调整；</w:t>
      </w:r>
      <w:r>
        <w:rPr>
          <w:rFonts w:hint="eastAsia" w:ascii="宋体" w:hAnsi="宋体" w:cs="宋体"/>
          <w:sz w:val="28"/>
          <w:szCs w:val="28"/>
        </w:rPr>
        <w:t>⑥</w:t>
      </w:r>
      <w:r>
        <w:rPr>
          <w:sz w:val="28"/>
          <w:szCs w:val="28"/>
        </w:rPr>
        <w:t>进行房地产状况调整；</w:t>
      </w:r>
      <w:r>
        <w:rPr>
          <w:rFonts w:hint="eastAsia" w:ascii="宋体" w:hAnsi="宋体" w:cs="宋体"/>
          <w:sz w:val="28"/>
          <w:szCs w:val="28"/>
        </w:rPr>
        <w:t>⑦</w:t>
      </w:r>
      <w:r>
        <w:rPr>
          <w:sz w:val="28"/>
          <w:szCs w:val="28"/>
        </w:rPr>
        <w:t>求出比较价值。</w:t>
      </w:r>
    </w:p>
    <w:p>
      <w:pPr>
        <w:spacing w:line="620" w:lineRule="exact"/>
        <w:ind w:firstLine="560" w:firstLineChars="200"/>
        <w:rPr>
          <w:sz w:val="28"/>
        </w:rPr>
      </w:pPr>
      <w:r>
        <w:rPr>
          <w:sz w:val="28"/>
        </w:rPr>
        <w:t>基本公式：比较价值=可比实例房地产的交易价格×交易情况修正系数×市场状况系数×房地产状况系数</w:t>
      </w:r>
    </w:p>
    <w:p>
      <w:pPr>
        <w:tabs>
          <w:tab w:val="left" w:pos="1005"/>
        </w:tabs>
        <w:spacing w:line="600" w:lineRule="exact"/>
        <w:ind w:firstLine="420" w:firstLineChars="150"/>
        <w:rPr>
          <w:sz w:val="28"/>
        </w:rPr>
      </w:pPr>
      <w:r>
        <w:rPr>
          <w:sz w:val="28"/>
        </w:rPr>
        <w:t>（2）收益法的定义为：预计估价对象未来的正常净收益，选用适当的报酬率将其折现到价值时点后累加，以此估算估价对象的客观合理价格或价值的方法。适用于有收益或有潜在收益的房地产的估价。</w:t>
      </w:r>
    </w:p>
    <w:p>
      <w:pPr>
        <w:pStyle w:val="34"/>
        <w:tabs>
          <w:tab w:val="clear" w:pos="1005"/>
        </w:tabs>
        <w:spacing w:line="620" w:lineRule="exact"/>
        <w:ind w:firstLine="560" w:firstLineChars="200"/>
        <w:rPr>
          <w:rFonts w:ascii="Times New Roman"/>
          <w:szCs w:val="28"/>
        </w:rPr>
      </w:pPr>
      <w:r>
        <w:rPr>
          <w:rFonts w:ascii="Times New Roman"/>
          <w:szCs w:val="28"/>
        </w:rPr>
        <w:t>步骤：</w:t>
      </w:r>
      <w:r>
        <w:rPr>
          <w:rFonts w:hint="eastAsia" w:hAnsi="宋体" w:cs="宋体"/>
          <w:szCs w:val="28"/>
        </w:rPr>
        <w:t>①</w:t>
      </w:r>
      <w:r>
        <w:rPr>
          <w:rFonts w:ascii="Times New Roman"/>
          <w:szCs w:val="28"/>
        </w:rPr>
        <w:t>选择具体估价方法；</w:t>
      </w:r>
      <w:r>
        <w:rPr>
          <w:rFonts w:hint="eastAsia" w:hAnsi="宋体" w:cs="宋体"/>
          <w:szCs w:val="28"/>
        </w:rPr>
        <w:t>②</w:t>
      </w:r>
      <w:r>
        <w:rPr>
          <w:rFonts w:ascii="Times New Roman"/>
          <w:szCs w:val="28"/>
        </w:rPr>
        <w:t>测算收益期或持有期；</w:t>
      </w:r>
      <w:r>
        <w:rPr>
          <w:rFonts w:hint="eastAsia" w:hAnsi="宋体" w:cs="宋体"/>
          <w:szCs w:val="28"/>
        </w:rPr>
        <w:t>③</w:t>
      </w:r>
      <w:r>
        <w:rPr>
          <w:rFonts w:ascii="Times New Roman"/>
          <w:szCs w:val="28"/>
        </w:rPr>
        <w:t>测算未来收益；</w:t>
      </w:r>
      <w:r>
        <w:rPr>
          <w:rFonts w:hint="eastAsia" w:hAnsi="宋体" w:cs="宋体"/>
          <w:szCs w:val="28"/>
        </w:rPr>
        <w:t>④</w:t>
      </w:r>
      <w:r>
        <w:rPr>
          <w:rFonts w:ascii="Times New Roman"/>
          <w:szCs w:val="28"/>
        </w:rPr>
        <w:t>确定报酬率或资本化率、收益乘数；</w:t>
      </w:r>
      <w:r>
        <w:rPr>
          <w:rFonts w:hint="eastAsia" w:hAnsi="宋体" w:cs="宋体"/>
          <w:szCs w:val="28"/>
        </w:rPr>
        <w:t>⑤</w:t>
      </w:r>
      <w:r>
        <w:rPr>
          <w:rFonts w:ascii="Times New Roman"/>
          <w:szCs w:val="28"/>
        </w:rPr>
        <w:t>计算收益价值。</w:t>
      </w:r>
    </w:p>
    <w:p>
      <w:pPr>
        <w:spacing w:after="156" w:afterLines="50" w:line="636" w:lineRule="exact"/>
        <w:ind w:firstLine="560" w:firstLineChars="200"/>
        <w:jc w:val="left"/>
        <w:rPr>
          <w:lang w:val="en-GB"/>
        </w:rPr>
      </w:pPr>
      <w:r>
        <w:rPr>
          <w:sz w:val="28"/>
          <w:szCs w:val="28"/>
        </w:rPr>
        <w:t>收益法的基本公式</w:t>
      </w:r>
      <w:r>
        <w:rPr>
          <w:lang w:val="en-GB"/>
        </w:rPr>
        <w:t>：</w:t>
      </w:r>
    </w:p>
    <w:p>
      <w:pPr>
        <w:spacing w:after="156" w:afterLines="50" w:line="636" w:lineRule="exact"/>
        <w:jc w:val="center"/>
        <w:rPr>
          <w:sz w:val="28"/>
          <w:szCs w:val="28"/>
        </w:rPr>
      </w:pPr>
      <w:r>
        <w:rPr>
          <w:sz w:val="28"/>
          <w:szCs w:val="28"/>
        </w:rPr>
        <w:t>V=</w:t>
      </w:r>
      <w:r>
        <w:rPr>
          <w:position w:val="-30"/>
          <w:sz w:val="28"/>
          <w:szCs w:val="28"/>
        </w:rPr>
        <w:object>
          <v:shape id="_x0000_i1025" o:spt="75" type="#_x0000_t75" style="height:34.55pt;width:90.4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spacing w:line="636" w:lineRule="exact"/>
        <w:ind w:firstLine="560" w:firstLineChars="200"/>
        <w:jc w:val="left"/>
        <w:rPr>
          <w:sz w:val="28"/>
          <w:szCs w:val="28"/>
        </w:rPr>
      </w:pPr>
      <w:r>
        <w:rPr>
          <w:sz w:val="28"/>
          <w:szCs w:val="28"/>
        </w:rPr>
        <w:t>式中：V——收益价值（元或元/㎡）；</w:t>
      </w:r>
    </w:p>
    <w:p>
      <w:pPr>
        <w:spacing w:line="636" w:lineRule="exact"/>
        <w:ind w:firstLine="1400" w:firstLineChars="500"/>
        <w:jc w:val="left"/>
        <w:rPr>
          <w:sz w:val="28"/>
          <w:szCs w:val="28"/>
        </w:rPr>
      </w:pPr>
      <w:r>
        <w:rPr>
          <w:sz w:val="28"/>
          <w:szCs w:val="28"/>
        </w:rPr>
        <w:t>Ai——未来第i年的净收益（元或元/㎡）；</w:t>
      </w:r>
    </w:p>
    <w:p>
      <w:pPr>
        <w:pStyle w:val="25"/>
        <w:spacing w:line="636" w:lineRule="exact"/>
        <w:ind w:firstLine="1405" w:firstLineChars="502"/>
      </w:pPr>
      <w:r>
        <w:t>Y</w:t>
      </w:r>
      <w:r>
        <w:rPr>
          <w:vertAlign w:val="subscript"/>
        </w:rPr>
        <w:t>i</w:t>
      </w:r>
      <w:r>
        <w:t>——未</w:t>
      </w:r>
      <w:r>
        <w:rPr>
          <w:szCs w:val="28"/>
        </w:rPr>
        <w:t>来第i年的报</w:t>
      </w:r>
      <w:r>
        <w:t>酬率（%）；</w:t>
      </w:r>
    </w:p>
    <w:p>
      <w:pPr>
        <w:pStyle w:val="25"/>
        <w:spacing w:line="636" w:lineRule="exact"/>
        <w:ind w:firstLine="1405" w:firstLineChars="502"/>
      </w:pPr>
      <w:r>
        <w:t>n——收益期（年）。</w:t>
      </w:r>
    </w:p>
    <w:p>
      <w:pPr>
        <w:spacing w:line="600" w:lineRule="exact"/>
        <w:ind w:firstLine="420" w:firstLineChars="150"/>
        <w:outlineLvl w:val="1"/>
        <w:rPr>
          <w:rFonts w:eastAsia="黑体"/>
          <w:sz w:val="28"/>
        </w:rPr>
      </w:pPr>
      <w:bookmarkStart w:id="40" w:name="_Toc60058816"/>
      <w:bookmarkStart w:id="41" w:name="_Toc36197824"/>
      <w:r>
        <w:rPr>
          <w:rFonts w:eastAsia="黑体"/>
          <w:sz w:val="28"/>
        </w:rPr>
        <w:t>（十）估价结果</w:t>
      </w:r>
      <w:bookmarkEnd w:id="40"/>
      <w:bookmarkEnd w:id="41"/>
    </w:p>
    <w:p>
      <w:pPr>
        <w:pStyle w:val="25"/>
        <w:autoSpaceDE/>
        <w:autoSpaceDN/>
        <w:adjustRightInd/>
        <w:spacing w:line="640" w:lineRule="exact"/>
        <w:ind w:firstLine="565" w:firstLineChars="202"/>
        <w:textAlignment w:val="auto"/>
      </w:pPr>
      <w:r>
        <w:t>历经上述评估程序和评估方法后，最后确定估价对象在价值时点2020年11月19日的评估价值为：</w:t>
      </w:r>
    </w:p>
    <w:p>
      <w:pPr>
        <w:pStyle w:val="25"/>
        <w:autoSpaceDE/>
        <w:adjustRightInd/>
        <w:spacing w:line="640" w:lineRule="exact"/>
        <w:ind w:firstLine="705" w:firstLineChars="252"/>
      </w:pPr>
      <w:bookmarkStart w:id="42" w:name="_Toc60058817"/>
      <w:r>
        <w:t>评估总价：人民币（小写）</w:t>
      </w:r>
      <w:r>
        <w:rPr>
          <w:rFonts w:hint="eastAsia"/>
        </w:rPr>
        <w:t>206.83</w:t>
      </w:r>
      <w:r>
        <w:t>万元（</w:t>
      </w:r>
      <w:r>
        <w:rPr>
          <w:rFonts w:hint="eastAsia"/>
        </w:rPr>
        <w:t>佰元</w:t>
      </w:r>
      <w:r>
        <w:t>取整）；</w:t>
      </w:r>
    </w:p>
    <w:p>
      <w:pPr>
        <w:pStyle w:val="25"/>
        <w:autoSpaceDE/>
        <w:autoSpaceDN/>
        <w:adjustRightInd/>
        <w:spacing w:line="640" w:lineRule="exact"/>
        <w:ind w:right="560" w:firstLine="2105" w:firstLineChars="752"/>
        <w:textAlignment w:val="auto"/>
      </w:pPr>
      <w:r>
        <w:t>人民币（大写）贰佰</w:t>
      </w:r>
      <w:r>
        <w:rPr>
          <w:rFonts w:hint="eastAsia"/>
        </w:rPr>
        <w:t>零</w:t>
      </w:r>
      <w:r>
        <w:t>陆万</w:t>
      </w:r>
      <w:r>
        <w:rPr>
          <w:rFonts w:hint="eastAsia"/>
        </w:rPr>
        <w:t>捌仟叁佰</w:t>
      </w:r>
      <w:r>
        <w:t>元整。</w:t>
      </w:r>
    </w:p>
    <w:p>
      <w:pPr>
        <w:pStyle w:val="25"/>
        <w:autoSpaceDE/>
        <w:autoSpaceDN/>
        <w:adjustRightInd/>
        <w:spacing w:line="640" w:lineRule="exact"/>
        <w:ind w:firstLine="568" w:firstLineChars="202"/>
        <w:jc w:val="center"/>
        <w:textAlignment w:val="auto"/>
        <w:rPr>
          <w:b/>
        </w:rPr>
      </w:pPr>
    </w:p>
    <w:p>
      <w:pPr>
        <w:pStyle w:val="25"/>
        <w:autoSpaceDE/>
        <w:autoSpaceDN/>
        <w:adjustRightInd/>
        <w:spacing w:line="640" w:lineRule="exact"/>
        <w:ind w:firstLine="568" w:firstLineChars="202"/>
        <w:jc w:val="center"/>
        <w:textAlignment w:val="auto"/>
        <w:rPr>
          <w:b/>
        </w:rPr>
      </w:pPr>
      <w:r>
        <w:rPr>
          <w:b/>
        </w:rPr>
        <w:t>估价结果一览表</w:t>
      </w:r>
    </w:p>
    <w:tbl>
      <w:tblPr>
        <w:tblStyle w:val="44"/>
        <w:tblW w:w="9878" w:type="dxa"/>
        <w:jc w:val="center"/>
        <w:tblLayout w:type="autofit"/>
        <w:tblCellMar>
          <w:top w:w="0" w:type="dxa"/>
          <w:left w:w="108" w:type="dxa"/>
          <w:bottom w:w="0" w:type="dxa"/>
          <w:right w:w="108" w:type="dxa"/>
        </w:tblCellMar>
      </w:tblPr>
      <w:tblGrid>
        <w:gridCol w:w="732"/>
        <w:gridCol w:w="545"/>
        <w:gridCol w:w="1377"/>
        <w:gridCol w:w="845"/>
        <w:gridCol w:w="1418"/>
        <w:gridCol w:w="433"/>
        <w:gridCol w:w="626"/>
        <w:gridCol w:w="517"/>
        <w:gridCol w:w="626"/>
        <w:gridCol w:w="824"/>
        <w:gridCol w:w="943"/>
        <w:gridCol w:w="992"/>
      </w:tblGrid>
      <w:tr>
        <w:tblPrEx>
          <w:tblCellMar>
            <w:top w:w="0" w:type="dxa"/>
            <w:left w:w="108" w:type="dxa"/>
            <w:bottom w:w="0" w:type="dxa"/>
            <w:right w:w="108" w:type="dxa"/>
          </w:tblCellMar>
        </w:tblPrEx>
        <w:trPr>
          <w:trHeight w:val="420" w:hRule="atLeast"/>
          <w:jc w:val="center"/>
        </w:trPr>
        <w:tc>
          <w:tcPr>
            <w:tcW w:w="7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项目名称</w:t>
            </w:r>
          </w:p>
        </w:tc>
        <w:tc>
          <w:tcPr>
            <w:tcW w:w="54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序号</w:t>
            </w:r>
          </w:p>
        </w:tc>
        <w:tc>
          <w:tcPr>
            <w:tcW w:w="13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房屋所有权证号</w:t>
            </w:r>
          </w:p>
        </w:tc>
        <w:tc>
          <w:tcPr>
            <w:tcW w:w="84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房屋所有权人</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房屋坐落</w:t>
            </w:r>
          </w:p>
        </w:tc>
        <w:tc>
          <w:tcPr>
            <w:tcW w:w="4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幢号</w:t>
            </w:r>
          </w:p>
        </w:tc>
        <w:tc>
          <w:tcPr>
            <w:tcW w:w="6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所在楼层</w:t>
            </w:r>
          </w:p>
        </w:tc>
        <w:tc>
          <w:tcPr>
            <w:tcW w:w="5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房号</w:t>
            </w:r>
          </w:p>
        </w:tc>
        <w:tc>
          <w:tcPr>
            <w:tcW w:w="6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规划用途</w:t>
            </w:r>
          </w:p>
        </w:tc>
        <w:tc>
          <w:tcPr>
            <w:tcW w:w="82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建筑面积（㎡）</w:t>
            </w:r>
          </w:p>
        </w:tc>
        <w:tc>
          <w:tcPr>
            <w:tcW w:w="9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 w:val="16"/>
                <w:szCs w:val="16"/>
              </w:rPr>
            </w:pPr>
            <w:r>
              <w:rPr>
                <w:rFonts w:hAnsi="宋体"/>
                <w:b/>
                <w:bCs/>
                <w:color w:val="000000"/>
                <w:kern w:val="0"/>
                <w:sz w:val="16"/>
                <w:szCs w:val="16"/>
              </w:rPr>
              <w:t>评估单价（元</w:t>
            </w:r>
            <w:r>
              <w:rPr>
                <w:b/>
                <w:bCs/>
                <w:color w:val="000000"/>
                <w:kern w:val="0"/>
                <w:sz w:val="16"/>
                <w:szCs w:val="16"/>
              </w:rPr>
              <w:t>/</w:t>
            </w:r>
            <w:r>
              <w:rPr>
                <w:rFonts w:hAnsi="宋体"/>
                <w:b/>
                <w:bCs/>
                <w:color w:val="000000"/>
                <w:kern w:val="0"/>
                <w:sz w:val="16"/>
                <w:szCs w:val="16"/>
              </w:rPr>
              <w:t>㎡）</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Ansi="宋体"/>
                <w:b/>
                <w:bCs/>
                <w:color w:val="000000"/>
                <w:kern w:val="0"/>
                <w:sz w:val="16"/>
                <w:szCs w:val="16"/>
              </w:rPr>
            </w:pPr>
            <w:r>
              <w:rPr>
                <w:rFonts w:hAnsi="宋体"/>
                <w:b/>
                <w:bCs/>
                <w:color w:val="000000"/>
                <w:kern w:val="0"/>
                <w:sz w:val="16"/>
                <w:szCs w:val="16"/>
              </w:rPr>
              <w:t>评估总价</w:t>
            </w:r>
          </w:p>
          <w:p>
            <w:pPr>
              <w:widowControl/>
              <w:jc w:val="center"/>
              <w:rPr>
                <w:b/>
                <w:bCs/>
                <w:color w:val="000000"/>
                <w:kern w:val="0"/>
                <w:sz w:val="16"/>
                <w:szCs w:val="16"/>
              </w:rPr>
            </w:pPr>
            <w:r>
              <w:rPr>
                <w:rFonts w:hAnsi="宋体"/>
                <w:b/>
                <w:bCs/>
                <w:color w:val="000000"/>
                <w:kern w:val="0"/>
                <w:sz w:val="16"/>
                <w:szCs w:val="16"/>
              </w:rPr>
              <w:t>（万元、</w:t>
            </w:r>
            <w:r>
              <w:rPr>
                <w:rFonts w:hint="eastAsia" w:hAnsi="宋体"/>
                <w:b/>
                <w:bCs/>
                <w:color w:val="000000"/>
                <w:kern w:val="0"/>
                <w:sz w:val="16"/>
                <w:szCs w:val="16"/>
              </w:rPr>
              <w:t>佰元</w:t>
            </w:r>
            <w:r>
              <w:rPr>
                <w:rFonts w:hAnsi="宋体"/>
                <w:b/>
                <w:bCs/>
                <w:color w:val="000000"/>
                <w:kern w:val="0"/>
                <w:sz w:val="16"/>
                <w:szCs w:val="16"/>
              </w:rPr>
              <w:t>取整）</w:t>
            </w:r>
          </w:p>
        </w:tc>
      </w:tr>
      <w:tr>
        <w:tblPrEx>
          <w:tblCellMar>
            <w:top w:w="0" w:type="dxa"/>
            <w:left w:w="108" w:type="dxa"/>
            <w:bottom w:w="0" w:type="dxa"/>
            <w:right w:w="108" w:type="dxa"/>
          </w:tblCellMar>
        </w:tblPrEx>
        <w:trPr>
          <w:trHeight w:val="633" w:hRule="atLeast"/>
          <w:jc w:val="center"/>
        </w:trPr>
        <w:tc>
          <w:tcPr>
            <w:tcW w:w="7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资阳市雁江区爱国居委会八组营业、住宅、车库用房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1377"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2005-028483</w:t>
            </w:r>
            <w:r>
              <w:rPr>
                <w:rFonts w:hAnsi="宋体"/>
                <w:color w:val="000000"/>
                <w:kern w:val="0"/>
                <w:sz w:val="16"/>
                <w:szCs w:val="16"/>
              </w:rPr>
              <w:t>号</w:t>
            </w:r>
          </w:p>
        </w:tc>
        <w:tc>
          <w:tcPr>
            <w:tcW w:w="845"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626"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517" w:type="dxa"/>
            <w:tcBorders>
              <w:top w:val="nil"/>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3</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营业用房</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29.88</w:t>
            </w:r>
          </w:p>
        </w:tc>
        <w:tc>
          <w:tcPr>
            <w:tcW w:w="943"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color w:val="000000"/>
                <w:kern w:val="0"/>
                <w:sz w:val="16"/>
                <w:szCs w:val="16"/>
              </w:rPr>
              <w:t>13300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rFonts w:hint="eastAsia"/>
                <w:color w:val="000000"/>
                <w:kern w:val="0"/>
                <w:sz w:val="16"/>
                <w:szCs w:val="16"/>
              </w:rPr>
              <w:t>39.74</w:t>
            </w:r>
          </w:p>
        </w:tc>
      </w:tr>
      <w:tr>
        <w:tblPrEx>
          <w:tblCellMar>
            <w:top w:w="0" w:type="dxa"/>
            <w:left w:w="108" w:type="dxa"/>
            <w:bottom w:w="0" w:type="dxa"/>
            <w:right w:w="108" w:type="dxa"/>
          </w:tblCellMar>
        </w:tblPrEx>
        <w:trPr>
          <w:trHeight w:val="700" w:hRule="atLeast"/>
          <w:jc w:val="center"/>
        </w:trPr>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6"/>
                <w:szCs w:val="16"/>
              </w:rPr>
            </w:pP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2</w:t>
            </w:r>
          </w:p>
        </w:tc>
        <w:tc>
          <w:tcPr>
            <w:tcW w:w="137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2005-028484</w:t>
            </w:r>
            <w:r>
              <w:rPr>
                <w:rFonts w:hAnsi="宋体"/>
                <w:color w:val="000000"/>
                <w:kern w:val="0"/>
                <w:sz w:val="16"/>
                <w:szCs w:val="16"/>
              </w:rPr>
              <w:t>号</w:t>
            </w:r>
          </w:p>
        </w:tc>
        <w:tc>
          <w:tcPr>
            <w:tcW w:w="845"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w:t>
            </w:r>
          </w:p>
        </w:tc>
        <w:tc>
          <w:tcPr>
            <w:tcW w:w="626"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51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3-4</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营业用房</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82.46</w:t>
            </w:r>
          </w:p>
        </w:tc>
        <w:tc>
          <w:tcPr>
            <w:tcW w:w="943"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color w:val="000000"/>
                <w:kern w:val="0"/>
                <w:sz w:val="16"/>
                <w:szCs w:val="16"/>
              </w:rPr>
              <w:t>12200</w:t>
            </w:r>
          </w:p>
        </w:tc>
        <w:tc>
          <w:tcPr>
            <w:tcW w:w="992" w:type="dxa"/>
            <w:tcBorders>
              <w:top w:val="nil"/>
              <w:left w:val="nil"/>
              <w:bottom w:val="single" w:color="auto" w:sz="4" w:space="0"/>
              <w:right w:val="single" w:color="auto" w:sz="4" w:space="0"/>
            </w:tcBorders>
            <w:shd w:val="clear" w:color="auto" w:fill="auto"/>
            <w:vAlign w:val="center"/>
          </w:tcPr>
          <w:p>
            <w:pPr>
              <w:jc w:val="center"/>
              <w:rPr>
                <w:color w:val="000000"/>
                <w:kern w:val="0"/>
                <w:sz w:val="16"/>
                <w:szCs w:val="16"/>
              </w:rPr>
            </w:pPr>
            <w:r>
              <w:rPr>
                <w:rFonts w:hint="eastAsia"/>
                <w:color w:val="000000"/>
                <w:kern w:val="0"/>
                <w:sz w:val="16"/>
                <w:szCs w:val="16"/>
              </w:rPr>
              <w:t>100.6</w:t>
            </w:r>
          </w:p>
        </w:tc>
      </w:tr>
      <w:tr>
        <w:tblPrEx>
          <w:tblCellMar>
            <w:top w:w="0" w:type="dxa"/>
            <w:left w:w="108" w:type="dxa"/>
            <w:bottom w:w="0" w:type="dxa"/>
            <w:right w:w="108" w:type="dxa"/>
          </w:tblCellMar>
        </w:tblPrEx>
        <w:trPr>
          <w:trHeight w:val="685" w:hRule="atLeast"/>
          <w:jc w:val="center"/>
        </w:trPr>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6"/>
                <w:szCs w:val="16"/>
              </w:rPr>
            </w:pP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3</w:t>
            </w:r>
          </w:p>
        </w:tc>
        <w:tc>
          <w:tcPr>
            <w:tcW w:w="137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2005-028482</w:t>
            </w:r>
            <w:r>
              <w:rPr>
                <w:rFonts w:hAnsi="宋体"/>
                <w:color w:val="000000"/>
                <w:kern w:val="0"/>
                <w:sz w:val="16"/>
                <w:szCs w:val="16"/>
              </w:rPr>
              <w:t>号</w:t>
            </w:r>
          </w:p>
        </w:tc>
        <w:tc>
          <w:tcPr>
            <w:tcW w:w="845"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2-3</w:t>
            </w:r>
          </w:p>
        </w:tc>
        <w:tc>
          <w:tcPr>
            <w:tcW w:w="626"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w:t>
            </w:r>
          </w:p>
        </w:tc>
        <w:tc>
          <w:tcPr>
            <w:tcW w:w="51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501</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住宅</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129.73</w:t>
            </w:r>
          </w:p>
        </w:tc>
        <w:tc>
          <w:tcPr>
            <w:tcW w:w="943"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4200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54</w:t>
            </w:r>
            <w:r>
              <w:rPr>
                <w:rFonts w:hint="eastAsia"/>
                <w:color w:val="000000"/>
                <w:kern w:val="0"/>
                <w:sz w:val="16"/>
                <w:szCs w:val="16"/>
              </w:rPr>
              <w:t>.49</w:t>
            </w:r>
          </w:p>
        </w:tc>
      </w:tr>
      <w:tr>
        <w:tblPrEx>
          <w:tblCellMar>
            <w:top w:w="0" w:type="dxa"/>
            <w:left w:w="108" w:type="dxa"/>
            <w:bottom w:w="0" w:type="dxa"/>
            <w:right w:w="108" w:type="dxa"/>
          </w:tblCellMar>
        </w:tblPrEx>
        <w:trPr>
          <w:trHeight w:val="704" w:hRule="atLeast"/>
          <w:jc w:val="center"/>
        </w:trPr>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6"/>
                <w:szCs w:val="16"/>
              </w:rPr>
            </w:pPr>
          </w:p>
        </w:tc>
        <w:tc>
          <w:tcPr>
            <w:tcW w:w="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4</w:t>
            </w:r>
          </w:p>
        </w:tc>
        <w:tc>
          <w:tcPr>
            <w:tcW w:w="137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房权证资阳字第</w:t>
            </w:r>
            <w:r>
              <w:rPr>
                <w:color w:val="000000"/>
                <w:kern w:val="0"/>
                <w:sz w:val="16"/>
                <w:szCs w:val="16"/>
              </w:rPr>
              <w:t>2005-027038</w:t>
            </w:r>
            <w:r>
              <w:rPr>
                <w:rFonts w:hAnsi="宋体"/>
                <w:color w:val="000000"/>
                <w:kern w:val="0"/>
                <w:sz w:val="16"/>
                <w:szCs w:val="16"/>
              </w:rPr>
              <w:t>号</w:t>
            </w:r>
          </w:p>
        </w:tc>
        <w:tc>
          <w:tcPr>
            <w:tcW w:w="845"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周莉</w:t>
            </w:r>
          </w:p>
        </w:tc>
        <w:tc>
          <w:tcPr>
            <w:tcW w:w="1418"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资阳市雁江区爱国居委会八组</w:t>
            </w:r>
          </w:p>
        </w:tc>
        <w:tc>
          <w:tcPr>
            <w:tcW w:w="433"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4-4</w:t>
            </w:r>
          </w:p>
        </w:tc>
        <w:tc>
          <w:tcPr>
            <w:tcW w:w="626"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w:t>
            </w:r>
          </w:p>
        </w:tc>
        <w:tc>
          <w:tcPr>
            <w:tcW w:w="517" w:type="dxa"/>
            <w:tcBorders>
              <w:top w:val="single" w:color="auto" w:sz="4" w:space="0"/>
              <w:left w:val="nil"/>
              <w:bottom w:val="nil"/>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5</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车库</w:t>
            </w:r>
          </w:p>
        </w:tc>
        <w:tc>
          <w:tcPr>
            <w:tcW w:w="824"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16"/>
                <w:szCs w:val="16"/>
              </w:rPr>
            </w:pPr>
            <w:r>
              <w:rPr>
                <w:color w:val="000000"/>
                <w:kern w:val="0"/>
                <w:sz w:val="16"/>
                <w:szCs w:val="16"/>
              </w:rPr>
              <w:t>30.02</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int="eastAsia"/>
                <w:color w:val="000000"/>
                <w:kern w:val="0"/>
                <w:sz w:val="16"/>
                <w:szCs w:val="16"/>
              </w:rPr>
              <w:t>3997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12.00</w:t>
            </w:r>
          </w:p>
        </w:tc>
      </w:tr>
      <w:tr>
        <w:tblPrEx>
          <w:tblCellMar>
            <w:top w:w="0" w:type="dxa"/>
            <w:left w:w="108" w:type="dxa"/>
            <w:bottom w:w="0" w:type="dxa"/>
            <w:right w:w="108" w:type="dxa"/>
          </w:tblCellMar>
        </w:tblPrEx>
        <w:trPr>
          <w:trHeight w:val="270" w:hRule="atLeast"/>
          <w:jc w:val="center"/>
        </w:trPr>
        <w:tc>
          <w:tcPr>
            <w:tcW w:w="711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6"/>
                <w:szCs w:val="16"/>
              </w:rPr>
            </w:pPr>
            <w:r>
              <w:rPr>
                <w:rFonts w:hAnsi="宋体"/>
                <w:color w:val="000000"/>
                <w:kern w:val="0"/>
                <w:sz w:val="16"/>
                <w:szCs w:val="16"/>
              </w:rPr>
              <w:t>合计</w:t>
            </w:r>
          </w:p>
        </w:tc>
        <w:tc>
          <w:tcPr>
            <w:tcW w:w="824" w:type="dxa"/>
            <w:tcBorders>
              <w:top w:val="nil"/>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16"/>
                <w:szCs w:val="16"/>
              </w:rPr>
            </w:pPr>
            <w:r>
              <w:rPr>
                <w:b/>
                <w:bCs/>
                <w:color w:val="000000"/>
                <w:kern w:val="0"/>
                <w:sz w:val="16"/>
                <w:szCs w:val="16"/>
              </w:rPr>
              <w:t>272.09</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16"/>
                <w:szCs w:val="16"/>
              </w:rPr>
            </w:pPr>
            <w:r>
              <w:rPr>
                <w:color w:val="000000"/>
                <w:kern w:val="0"/>
                <w:sz w:val="16"/>
                <w:szCs w:val="16"/>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b/>
                <w:bCs/>
                <w:color w:val="000000"/>
                <w:kern w:val="0"/>
                <w:sz w:val="16"/>
                <w:szCs w:val="16"/>
              </w:rPr>
            </w:pPr>
            <w:r>
              <w:rPr>
                <w:b/>
                <w:bCs/>
                <w:color w:val="000000"/>
                <w:kern w:val="0"/>
                <w:sz w:val="16"/>
                <w:szCs w:val="16"/>
              </w:rPr>
              <w:t>2</w:t>
            </w:r>
            <w:r>
              <w:rPr>
                <w:rFonts w:hint="eastAsia"/>
                <w:b/>
                <w:bCs/>
                <w:color w:val="000000"/>
                <w:kern w:val="0"/>
                <w:sz w:val="16"/>
                <w:szCs w:val="16"/>
              </w:rPr>
              <w:t>06.83</w:t>
            </w:r>
          </w:p>
        </w:tc>
      </w:tr>
    </w:tbl>
    <w:p>
      <w:pPr>
        <w:spacing w:after="156" w:afterLines="50" w:line="620" w:lineRule="exact"/>
        <w:ind w:firstLine="420" w:firstLineChars="150"/>
        <w:outlineLvl w:val="1"/>
        <w:rPr>
          <w:rFonts w:eastAsia="黑体"/>
          <w:sz w:val="28"/>
        </w:rPr>
      </w:pPr>
      <w:r>
        <w:rPr>
          <w:rFonts w:eastAsia="黑体"/>
          <w:sz w:val="28"/>
        </w:rPr>
        <w:t>（十一）注册房地产估价师</w:t>
      </w:r>
      <w:bookmarkEnd w:id="42"/>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11"/>
        <w:gridCol w:w="1409"/>
        <w:gridCol w:w="1692"/>
        <w:gridCol w:w="260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9" w:hRule="atLeast"/>
          <w:jc w:val="center"/>
        </w:trPr>
        <w:tc>
          <w:tcPr>
            <w:tcW w:w="762" w:type="pct"/>
            <w:vAlign w:val="center"/>
          </w:tcPr>
          <w:p>
            <w:pPr>
              <w:spacing w:line="620" w:lineRule="exact"/>
              <w:jc w:val="center"/>
              <w:rPr>
                <w:b/>
                <w:sz w:val="28"/>
                <w:szCs w:val="28"/>
              </w:rPr>
            </w:pPr>
            <w:bookmarkStart w:id="43" w:name="_Toc466027634"/>
            <w:r>
              <w:rPr>
                <w:b/>
                <w:sz w:val="28"/>
                <w:szCs w:val="28"/>
              </w:rPr>
              <w:t>项目人员</w:t>
            </w:r>
          </w:p>
        </w:tc>
        <w:tc>
          <w:tcPr>
            <w:tcW w:w="761" w:type="pct"/>
            <w:vAlign w:val="center"/>
          </w:tcPr>
          <w:p>
            <w:pPr>
              <w:spacing w:line="620" w:lineRule="exact"/>
              <w:ind w:firstLine="275" w:firstLineChars="98"/>
              <w:rPr>
                <w:b/>
                <w:sz w:val="28"/>
                <w:szCs w:val="28"/>
              </w:rPr>
            </w:pPr>
            <w:r>
              <w:rPr>
                <w:b/>
                <w:sz w:val="28"/>
                <w:szCs w:val="28"/>
              </w:rPr>
              <w:t>姓名</w:t>
            </w:r>
          </w:p>
        </w:tc>
        <w:tc>
          <w:tcPr>
            <w:tcW w:w="914" w:type="pct"/>
            <w:vAlign w:val="center"/>
          </w:tcPr>
          <w:p>
            <w:pPr>
              <w:spacing w:line="620" w:lineRule="exact"/>
              <w:ind w:firstLine="422" w:firstLineChars="150"/>
              <w:rPr>
                <w:b/>
                <w:sz w:val="28"/>
                <w:szCs w:val="28"/>
              </w:rPr>
            </w:pPr>
            <w:r>
              <w:rPr>
                <w:b/>
                <w:sz w:val="28"/>
                <w:szCs w:val="28"/>
              </w:rPr>
              <w:t>注册号</w:t>
            </w:r>
          </w:p>
        </w:tc>
        <w:tc>
          <w:tcPr>
            <w:tcW w:w="1407" w:type="pct"/>
            <w:vAlign w:val="center"/>
          </w:tcPr>
          <w:p>
            <w:pPr>
              <w:spacing w:line="620" w:lineRule="exact"/>
              <w:ind w:firstLine="978" w:firstLineChars="348"/>
              <w:rPr>
                <w:b/>
                <w:sz w:val="28"/>
                <w:szCs w:val="28"/>
              </w:rPr>
            </w:pPr>
            <w:r>
              <w:rPr>
                <w:b/>
                <w:sz w:val="28"/>
                <w:szCs w:val="28"/>
              </w:rPr>
              <w:t>签名</w:t>
            </w:r>
          </w:p>
        </w:tc>
        <w:tc>
          <w:tcPr>
            <w:tcW w:w="1156" w:type="pct"/>
            <w:vAlign w:val="center"/>
          </w:tcPr>
          <w:p>
            <w:pPr>
              <w:spacing w:line="620" w:lineRule="exact"/>
              <w:ind w:firstLine="275" w:firstLineChars="98"/>
              <w:rPr>
                <w:b/>
                <w:sz w:val="28"/>
                <w:szCs w:val="28"/>
              </w:rPr>
            </w:pPr>
            <w:r>
              <w:rPr>
                <w:b/>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2" w:hRule="atLeast"/>
          <w:jc w:val="center"/>
        </w:trPr>
        <w:tc>
          <w:tcPr>
            <w:tcW w:w="762" w:type="pct"/>
            <w:vAlign w:val="center"/>
          </w:tcPr>
          <w:p>
            <w:pPr>
              <w:spacing w:line="720" w:lineRule="auto"/>
              <w:jc w:val="center"/>
              <w:rPr>
                <w:sz w:val="24"/>
              </w:rPr>
            </w:pPr>
            <w:r>
              <w:rPr>
                <w:sz w:val="24"/>
              </w:rPr>
              <w:t>项目负责人</w:t>
            </w:r>
          </w:p>
        </w:tc>
        <w:tc>
          <w:tcPr>
            <w:tcW w:w="761" w:type="pct"/>
            <w:vAlign w:val="center"/>
          </w:tcPr>
          <w:p>
            <w:pPr>
              <w:spacing w:line="520" w:lineRule="exact"/>
              <w:jc w:val="center"/>
              <w:rPr>
                <w:sz w:val="24"/>
              </w:rPr>
            </w:pPr>
            <w:r>
              <w:rPr>
                <w:sz w:val="24"/>
              </w:rPr>
              <w:t>钟晓兰</w:t>
            </w:r>
          </w:p>
        </w:tc>
        <w:tc>
          <w:tcPr>
            <w:tcW w:w="914" w:type="pct"/>
            <w:vAlign w:val="center"/>
          </w:tcPr>
          <w:p>
            <w:pPr>
              <w:spacing w:line="520" w:lineRule="exact"/>
              <w:jc w:val="center"/>
              <w:rPr>
                <w:sz w:val="24"/>
              </w:rPr>
            </w:pPr>
            <w:r>
              <w:rPr>
                <w:sz w:val="24"/>
              </w:rPr>
              <w:t>5120040388</w:t>
            </w:r>
          </w:p>
        </w:tc>
        <w:tc>
          <w:tcPr>
            <w:tcW w:w="1407" w:type="pct"/>
            <w:vAlign w:val="center"/>
          </w:tcPr>
          <w:p>
            <w:pPr>
              <w:spacing w:line="720" w:lineRule="auto"/>
              <w:ind w:firstLine="360" w:firstLineChars="150"/>
              <w:jc w:val="center"/>
              <w:rPr>
                <w:sz w:val="24"/>
              </w:rPr>
            </w:pPr>
          </w:p>
        </w:tc>
        <w:tc>
          <w:tcPr>
            <w:tcW w:w="1156" w:type="pct"/>
            <w:vAlign w:val="center"/>
          </w:tcPr>
          <w:p>
            <w:pPr>
              <w:spacing w:line="720" w:lineRule="auto"/>
              <w:jc w:val="center"/>
              <w:rPr>
                <w:sz w:val="24"/>
              </w:rPr>
            </w:pPr>
            <w:r>
              <w:rPr>
                <w:sz w:val="24"/>
              </w:rPr>
              <w:t>2020年12月15日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2" w:hRule="atLeast"/>
          <w:jc w:val="center"/>
        </w:trPr>
        <w:tc>
          <w:tcPr>
            <w:tcW w:w="762" w:type="pct"/>
            <w:vAlign w:val="center"/>
          </w:tcPr>
          <w:p>
            <w:pPr>
              <w:spacing w:line="720" w:lineRule="auto"/>
              <w:jc w:val="center"/>
              <w:rPr>
                <w:sz w:val="24"/>
              </w:rPr>
            </w:pPr>
            <w:r>
              <w:rPr>
                <w:sz w:val="24"/>
              </w:rPr>
              <w:t>项目参与人</w:t>
            </w:r>
          </w:p>
        </w:tc>
        <w:tc>
          <w:tcPr>
            <w:tcW w:w="761" w:type="pct"/>
            <w:vAlign w:val="center"/>
          </w:tcPr>
          <w:p>
            <w:pPr>
              <w:spacing w:line="520" w:lineRule="exact"/>
              <w:jc w:val="center"/>
              <w:rPr>
                <w:sz w:val="24"/>
              </w:rPr>
            </w:pPr>
            <w:r>
              <w:rPr>
                <w:sz w:val="24"/>
              </w:rPr>
              <w:t>程炜</w:t>
            </w:r>
          </w:p>
        </w:tc>
        <w:tc>
          <w:tcPr>
            <w:tcW w:w="914" w:type="pct"/>
            <w:vAlign w:val="center"/>
          </w:tcPr>
          <w:p>
            <w:pPr>
              <w:spacing w:line="520" w:lineRule="exact"/>
              <w:jc w:val="center"/>
              <w:rPr>
                <w:sz w:val="24"/>
              </w:rPr>
            </w:pPr>
            <w:r>
              <w:rPr>
                <w:sz w:val="24"/>
              </w:rPr>
              <w:t>/</w:t>
            </w:r>
          </w:p>
        </w:tc>
        <w:tc>
          <w:tcPr>
            <w:tcW w:w="1407" w:type="pct"/>
            <w:vAlign w:val="center"/>
          </w:tcPr>
          <w:p>
            <w:pPr>
              <w:spacing w:line="720" w:lineRule="auto"/>
              <w:ind w:firstLine="360" w:firstLineChars="150"/>
              <w:jc w:val="center"/>
              <w:rPr>
                <w:sz w:val="24"/>
              </w:rPr>
            </w:pPr>
            <w:r>
              <w:rPr>
                <w:sz w:val="24"/>
              </w:rPr>
              <w:t>/</w:t>
            </w:r>
          </w:p>
        </w:tc>
        <w:tc>
          <w:tcPr>
            <w:tcW w:w="1156" w:type="pct"/>
            <w:vAlign w:val="center"/>
          </w:tcPr>
          <w:p>
            <w:pPr>
              <w:spacing w:line="720" w:lineRule="auto"/>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7" w:hRule="atLeast"/>
          <w:jc w:val="center"/>
        </w:trPr>
        <w:tc>
          <w:tcPr>
            <w:tcW w:w="762" w:type="pct"/>
            <w:vMerge w:val="restart"/>
            <w:vAlign w:val="center"/>
          </w:tcPr>
          <w:p>
            <w:pPr>
              <w:spacing w:line="720" w:lineRule="auto"/>
              <w:jc w:val="center"/>
              <w:rPr>
                <w:sz w:val="24"/>
              </w:rPr>
            </w:pPr>
            <w:r>
              <w:rPr>
                <w:sz w:val="24"/>
              </w:rPr>
              <w:t>项目复核人</w:t>
            </w:r>
          </w:p>
        </w:tc>
        <w:tc>
          <w:tcPr>
            <w:tcW w:w="761" w:type="pct"/>
            <w:vAlign w:val="center"/>
          </w:tcPr>
          <w:p>
            <w:pPr>
              <w:spacing w:line="720" w:lineRule="auto"/>
              <w:jc w:val="center"/>
              <w:rPr>
                <w:sz w:val="24"/>
              </w:rPr>
            </w:pPr>
            <w:r>
              <w:rPr>
                <w:sz w:val="24"/>
              </w:rPr>
              <w:t>但莉</w:t>
            </w:r>
          </w:p>
        </w:tc>
        <w:tc>
          <w:tcPr>
            <w:tcW w:w="914" w:type="pct"/>
            <w:vAlign w:val="center"/>
          </w:tcPr>
          <w:p>
            <w:pPr>
              <w:spacing w:line="720" w:lineRule="auto"/>
              <w:ind w:firstLine="14" w:firstLineChars="6"/>
              <w:jc w:val="center"/>
              <w:rPr>
                <w:sz w:val="24"/>
              </w:rPr>
            </w:pPr>
            <w:r>
              <w:rPr>
                <w:sz w:val="24"/>
              </w:rPr>
              <w:t>5120090017</w:t>
            </w:r>
          </w:p>
        </w:tc>
        <w:tc>
          <w:tcPr>
            <w:tcW w:w="1407" w:type="pct"/>
            <w:vAlign w:val="center"/>
          </w:tcPr>
          <w:p>
            <w:pPr>
              <w:spacing w:line="720" w:lineRule="auto"/>
              <w:ind w:firstLine="360" w:firstLineChars="150"/>
              <w:jc w:val="center"/>
              <w:rPr>
                <w:sz w:val="24"/>
              </w:rPr>
            </w:pPr>
          </w:p>
        </w:tc>
        <w:tc>
          <w:tcPr>
            <w:tcW w:w="1156" w:type="pct"/>
            <w:vAlign w:val="center"/>
          </w:tcPr>
          <w:p>
            <w:pPr>
              <w:spacing w:line="720" w:lineRule="auto"/>
              <w:jc w:val="center"/>
            </w:pPr>
            <w:r>
              <w:rPr>
                <w:sz w:val="24"/>
              </w:rPr>
              <w:t>2020年12月15日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762" w:type="pct"/>
            <w:vMerge w:val="continue"/>
            <w:vAlign w:val="center"/>
          </w:tcPr>
          <w:p>
            <w:pPr>
              <w:spacing w:line="720" w:lineRule="auto"/>
              <w:ind w:firstLine="360" w:firstLineChars="150"/>
              <w:jc w:val="center"/>
              <w:rPr>
                <w:sz w:val="24"/>
              </w:rPr>
            </w:pPr>
          </w:p>
        </w:tc>
        <w:tc>
          <w:tcPr>
            <w:tcW w:w="761" w:type="pct"/>
            <w:vAlign w:val="center"/>
          </w:tcPr>
          <w:p>
            <w:pPr>
              <w:spacing w:line="720" w:lineRule="auto"/>
              <w:jc w:val="center"/>
              <w:rPr>
                <w:sz w:val="24"/>
              </w:rPr>
            </w:pPr>
            <w:r>
              <w:rPr>
                <w:sz w:val="24"/>
              </w:rPr>
              <w:t>刘琪琳</w:t>
            </w:r>
          </w:p>
        </w:tc>
        <w:tc>
          <w:tcPr>
            <w:tcW w:w="914" w:type="pct"/>
            <w:vAlign w:val="center"/>
          </w:tcPr>
          <w:p>
            <w:pPr>
              <w:spacing w:line="720" w:lineRule="auto"/>
              <w:ind w:firstLine="14" w:firstLineChars="6"/>
              <w:jc w:val="center"/>
              <w:rPr>
                <w:sz w:val="24"/>
              </w:rPr>
            </w:pPr>
            <w:r>
              <w:rPr>
                <w:sz w:val="24"/>
              </w:rPr>
              <w:t>5120020088</w:t>
            </w:r>
          </w:p>
        </w:tc>
        <w:tc>
          <w:tcPr>
            <w:tcW w:w="1407" w:type="pct"/>
            <w:vAlign w:val="center"/>
          </w:tcPr>
          <w:p>
            <w:pPr>
              <w:spacing w:line="720" w:lineRule="auto"/>
              <w:ind w:firstLine="360" w:firstLineChars="150"/>
              <w:jc w:val="center"/>
              <w:rPr>
                <w:sz w:val="24"/>
              </w:rPr>
            </w:pPr>
          </w:p>
        </w:tc>
        <w:tc>
          <w:tcPr>
            <w:tcW w:w="1156" w:type="pct"/>
            <w:vAlign w:val="center"/>
          </w:tcPr>
          <w:p>
            <w:pPr>
              <w:spacing w:line="720" w:lineRule="auto"/>
              <w:jc w:val="center"/>
            </w:pPr>
            <w:r>
              <w:rPr>
                <w:sz w:val="24"/>
              </w:rPr>
              <w:t>2020年12月15日</w:t>
            </w:r>
          </w:p>
        </w:tc>
      </w:tr>
      <w:bookmarkEnd w:id="43"/>
    </w:tbl>
    <w:p>
      <w:pPr>
        <w:spacing w:line="620" w:lineRule="exact"/>
        <w:ind w:firstLine="420" w:firstLineChars="150"/>
        <w:outlineLvl w:val="1"/>
        <w:rPr>
          <w:rFonts w:eastAsia="黑体"/>
          <w:sz w:val="28"/>
        </w:rPr>
      </w:pPr>
      <w:bookmarkStart w:id="44" w:name="_Toc36197826"/>
      <w:bookmarkStart w:id="45" w:name="_Toc60058818"/>
      <w:r>
        <w:rPr>
          <w:rFonts w:eastAsia="黑体"/>
          <w:sz w:val="28"/>
        </w:rPr>
        <w:t>（十二）实地查勘期</w:t>
      </w:r>
      <w:bookmarkEnd w:id="44"/>
      <w:bookmarkEnd w:id="45"/>
    </w:p>
    <w:p>
      <w:pPr>
        <w:spacing w:line="620" w:lineRule="exact"/>
        <w:ind w:firstLine="560" w:firstLineChars="200"/>
        <w:rPr>
          <w:sz w:val="28"/>
        </w:rPr>
      </w:pPr>
      <w:r>
        <w:rPr>
          <w:sz w:val="28"/>
        </w:rPr>
        <w:t>于2020年11月19日进入现场，并于当日完成实地查勘。</w:t>
      </w:r>
    </w:p>
    <w:p>
      <w:pPr>
        <w:spacing w:line="620" w:lineRule="exact"/>
        <w:ind w:firstLine="420" w:firstLineChars="150"/>
        <w:outlineLvl w:val="1"/>
        <w:rPr>
          <w:rFonts w:eastAsia="黑体"/>
          <w:sz w:val="28"/>
        </w:rPr>
      </w:pPr>
      <w:bookmarkStart w:id="46" w:name="_Toc3062"/>
      <w:bookmarkStart w:id="47" w:name="_Toc466027635"/>
      <w:bookmarkStart w:id="48" w:name="_Toc37578954"/>
      <w:bookmarkStart w:id="49" w:name="_Toc60058819"/>
      <w:bookmarkStart w:id="50" w:name="_Toc28722"/>
      <w:r>
        <w:rPr>
          <w:rFonts w:eastAsia="黑体"/>
          <w:sz w:val="28"/>
        </w:rPr>
        <w:t>（十三）估价作业期</w:t>
      </w:r>
      <w:bookmarkEnd w:id="46"/>
      <w:bookmarkEnd w:id="47"/>
      <w:bookmarkEnd w:id="48"/>
      <w:bookmarkEnd w:id="49"/>
    </w:p>
    <w:p>
      <w:pPr>
        <w:spacing w:line="620" w:lineRule="exact"/>
        <w:ind w:firstLine="560" w:firstLineChars="200"/>
        <w:rPr>
          <w:sz w:val="28"/>
        </w:rPr>
      </w:pPr>
      <w:r>
        <w:rPr>
          <w:sz w:val="28"/>
        </w:rPr>
        <w:t>2020年11月19日至</w:t>
      </w:r>
      <w:bookmarkEnd w:id="50"/>
      <w:r>
        <w:rPr>
          <w:sz w:val="28"/>
        </w:rPr>
        <w:t>2020年12月15日</w:t>
      </w:r>
    </w:p>
    <w:p>
      <w:pPr>
        <w:spacing w:line="520" w:lineRule="exact"/>
        <w:jc w:val="center"/>
        <w:outlineLvl w:val="0"/>
        <w:rPr>
          <w:sz w:val="32"/>
        </w:rPr>
      </w:pPr>
      <w:r>
        <w:rPr>
          <w:sz w:val="28"/>
        </w:rPr>
        <w:br w:type="page"/>
      </w:r>
      <w:bookmarkStart w:id="51" w:name="_Toc60058820"/>
      <w:bookmarkStart w:id="52" w:name="_Toc466027637"/>
      <w:r>
        <w:rPr>
          <w:sz w:val="32"/>
          <w:szCs w:val="32"/>
        </w:rPr>
        <w:t>四、附件</w:t>
      </w:r>
      <w:bookmarkEnd w:id="51"/>
      <w:bookmarkEnd w:id="52"/>
    </w:p>
    <w:p>
      <w:pPr>
        <w:spacing w:line="640" w:lineRule="exact"/>
        <w:ind w:left="130" w:firstLine="560" w:firstLineChars="200"/>
        <w:rPr>
          <w:sz w:val="28"/>
        </w:rPr>
      </w:pPr>
    </w:p>
    <w:p>
      <w:pPr>
        <w:spacing w:line="680" w:lineRule="exact"/>
        <w:ind w:left="130" w:firstLine="560" w:firstLineChars="200"/>
        <w:rPr>
          <w:sz w:val="28"/>
        </w:rPr>
      </w:pPr>
      <w:r>
        <w:rPr>
          <w:sz w:val="28"/>
        </w:rPr>
        <w:t>1、</w:t>
      </w:r>
      <w:r>
        <w:rPr>
          <w:sz w:val="28"/>
          <w:szCs w:val="28"/>
        </w:rPr>
        <w:t>（2020）川2002执2791号《资阳市雁江区人民法院委托书》</w:t>
      </w:r>
      <w:r>
        <w:rPr>
          <w:sz w:val="28"/>
        </w:rPr>
        <w:t>；</w:t>
      </w:r>
    </w:p>
    <w:p>
      <w:pPr>
        <w:spacing w:line="680" w:lineRule="exact"/>
        <w:ind w:left="130" w:firstLine="560" w:firstLineChars="200"/>
        <w:rPr>
          <w:sz w:val="28"/>
        </w:rPr>
      </w:pPr>
      <w:r>
        <w:rPr>
          <w:sz w:val="28"/>
          <w:szCs w:val="28"/>
        </w:rPr>
        <w:t>2、</w:t>
      </w:r>
      <w:r>
        <w:rPr>
          <w:sz w:val="28"/>
        </w:rPr>
        <w:t>估价对象照片及所在区域位置示意图</w:t>
      </w:r>
      <w:r>
        <w:rPr>
          <w:sz w:val="28"/>
          <w:szCs w:val="28"/>
        </w:rPr>
        <w:t>；</w:t>
      </w:r>
    </w:p>
    <w:p>
      <w:pPr>
        <w:spacing w:line="680" w:lineRule="exact"/>
        <w:ind w:left="130" w:firstLine="560" w:firstLineChars="200"/>
        <w:rPr>
          <w:sz w:val="28"/>
        </w:rPr>
      </w:pPr>
      <w:r>
        <w:rPr>
          <w:sz w:val="28"/>
        </w:rPr>
        <w:t>3、《房屋所有权证》、《国有土地使用证》、《资阳市房产档案馆房产档案及商品房网签信息查询结果单》、《房产登记信息查询情况说明》复印件；</w:t>
      </w:r>
    </w:p>
    <w:p>
      <w:pPr>
        <w:spacing w:line="680" w:lineRule="exact"/>
        <w:ind w:left="130" w:firstLine="560" w:firstLineChars="200"/>
        <w:rPr>
          <w:sz w:val="28"/>
        </w:rPr>
      </w:pPr>
      <w:r>
        <w:rPr>
          <w:sz w:val="28"/>
        </w:rPr>
        <w:t>4、《</w:t>
      </w:r>
      <w:r>
        <w:rPr>
          <w:rFonts w:hint="eastAsia"/>
          <w:sz w:val="28"/>
        </w:rPr>
        <w:t>房屋租赁合同》复印件；</w:t>
      </w:r>
    </w:p>
    <w:p>
      <w:pPr>
        <w:spacing w:line="680" w:lineRule="exact"/>
        <w:ind w:left="130" w:firstLine="560" w:firstLineChars="200"/>
        <w:rPr>
          <w:sz w:val="28"/>
        </w:rPr>
      </w:pPr>
      <w:r>
        <w:rPr>
          <w:sz w:val="28"/>
        </w:rPr>
        <w:t>5、可比实例位置图及外观照片；</w:t>
      </w:r>
    </w:p>
    <w:p>
      <w:pPr>
        <w:spacing w:line="680" w:lineRule="exact"/>
        <w:ind w:left="130" w:firstLine="560" w:firstLineChars="200"/>
        <w:rPr>
          <w:sz w:val="28"/>
        </w:rPr>
      </w:pPr>
      <w:r>
        <w:rPr>
          <w:sz w:val="28"/>
        </w:rPr>
        <w:t>6、没有专业帮助并未依据相关专业意见；</w:t>
      </w:r>
    </w:p>
    <w:p>
      <w:pPr>
        <w:spacing w:line="680" w:lineRule="exact"/>
        <w:ind w:left="130" w:firstLine="560" w:firstLineChars="200"/>
        <w:rPr>
          <w:sz w:val="28"/>
        </w:rPr>
      </w:pPr>
      <w:r>
        <w:rPr>
          <w:sz w:val="28"/>
        </w:rPr>
        <w:t>7、注册房地产估价师和估价机构的资格证复印件。</w:t>
      </w:r>
    </w:p>
    <w:p>
      <w:pPr>
        <w:spacing w:line="640" w:lineRule="exact"/>
        <w:outlineLvl w:val="2"/>
        <w:rPr>
          <w:sz w:val="28"/>
        </w:rPr>
      </w:pPr>
    </w:p>
    <w:sectPr>
      <w:footerReference r:id="rId3" w:type="default"/>
      <w:footerReference r:id="rId4" w:type="even"/>
      <w:pgSz w:w="11906" w:h="16838"/>
      <w:pgMar w:top="1985" w:right="1287" w:bottom="1418" w:left="1418" w:header="851" w:footer="68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361" w:wrap="around" w:vAnchor="text" w:hAnchor="margin" w:xAlign="center" w:y="10"/>
      <w:rPr>
        <w:rStyle w:val="48"/>
      </w:rPr>
    </w:pPr>
    <w:r>
      <w:fldChar w:fldCharType="begin"/>
    </w:r>
    <w:r>
      <w:rPr>
        <w:rStyle w:val="48"/>
      </w:rPr>
      <w:instrText xml:space="preserve">PAGE  </w:instrText>
    </w:r>
    <w:r>
      <w:fldChar w:fldCharType="separate"/>
    </w:r>
    <w:r>
      <w:rPr>
        <w:rStyle w:val="48"/>
      </w:rPr>
      <w:t>26</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end"/>
    </w:r>
  </w:p>
  <w:p>
    <w:pPr>
      <w:pStyle w:val="2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linkStyl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F31348"/>
    <w:rsid w:val="00006391"/>
    <w:rsid w:val="00006AF1"/>
    <w:rsid w:val="00015F85"/>
    <w:rsid w:val="000160A0"/>
    <w:rsid w:val="0002010C"/>
    <w:rsid w:val="00020651"/>
    <w:rsid w:val="00022C2C"/>
    <w:rsid w:val="000255A2"/>
    <w:rsid w:val="00030C9B"/>
    <w:rsid w:val="000358CA"/>
    <w:rsid w:val="00066F0D"/>
    <w:rsid w:val="000804A9"/>
    <w:rsid w:val="000C0B01"/>
    <w:rsid w:val="000D0B06"/>
    <w:rsid w:val="000D0F54"/>
    <w:rsid w:val="000D75AC"/>
    <w:rsid w:val="000E1FC1"/>
    <w:rsid w:val="00113FF7"/>
    <w:rsid w:val="00120C0B"/>
    <w:rsid w:val="00124BBE"/>
    <w:rsid w:val="00130426"/>
    <w:rsid w:val="00135DE5"/>
    <w:rsid w:val="0014252B"/>
    <w:rsid w:val="00152B75"/>
    <w:rsid w:val="00153242"/>
    <w:rsid w:val="00154919"/>
    <w:rsid w:val="00155427"/>
    <w:rsid w:val="00162CC0"/>
    <w:rsid w:val="00162E4B"/>
    <w:rsid w:val="00167780"/>
    <w:rsid w:val="00172B24"/>
    <w:rsid w:val="0017382F"/>
    <w:rsid w:val="0019113E"/>
    <w:rsid w:val="00195C4A"/>
    <w:rsid w:val="0019705F"/>
    <w:rsid w:val="001A7717"/>
    <w:rsid w:val="001C0294"/>
    <w:rsid w:val="001C20F5"/>
    <w:rsid w:val="001E4572"/>
    <w:rsid w:val="001E5724"/>
    <w:rsid w:val="001F673E"/>
    <w:rsid w:val="00200A04"/>
    <w:rsid w:val="00206CEA"/>
    <w:rsid w:val="00217304"/>
    <w:rsid w:val="00235DE1"/>
    <w:rsid w:val="00253513"/>
    <w:rsid w:val="00255A40"/>
    <w:rsid w:val="002733A6"/>
    <w:rsid w:val="00275244"/>
    <w:rsid w:val="00277308"/>
    <w:rsid w:val="002A6B37"/>
    <w:rsid w:val="002B0F17"/>
    <w:rsid w:val="002B19F4"/>
    <w:rsid w:val="002C0A02"/>
    <w:rsid w:val="002D0C3A"/>
    <w:rsid w:val="002D2D12"/>
    <w:rsid w:val="002F12EC"/>
    <w:rsid w:val="002F3EDB"/>
    <w:rsid w:val="00312409"/>
    <w:rsid w:val="0032419D"/>
    <w:rsid w:val="003458AA"/>
    <w:rsid w:val="00386C68"/>
    <w:rsid w:val="003B0858"/>
    <w:rsid w:val="003C6D4A"/>
    <w:rsid w:val="003D7353"/>
    <w:rsid w:val="003E025D"/>
    <w:rsid w:val="003E3A3E"/>
    <w:rsid w:val="003F4C99"/>
    <w:rsid w:val="0041068C"/>
    <w:rsid w:val="00410FCA"/>
    <w:rsid w:val="00415CE0"/>
    <w:rsid w:val="004173D6"/>
    <w:rsid w:val="00427487"/>
    <w:rsid w:val="0047134A"/>
    <w:rsid w:val="004765DD"/>
    <w:rsid w:val="004812D2"/>
    <w:rsid w:val="00493649"/>
    <w:rsid w:val="00495A14"/>
    <w:rsid w:val="004970C1"/>
    <w:rsid w:val="004B1625"/>
    <w:rsid w:val="004C58DA"/>
    <w:rsid w:val="004E0306"/>
    <w:rsid w:val="00520D0B"/>
    <w:rsid w:val="00531BB3"/>
    <w:rsid w:val="005342C7"/>
    <w:rsid w:val="005539F0"/>
    <w:rsid w:val="0056486B"/>
    <w:rsid w:val="00575458"/>
    <w:rsid w:val="00583406"/>
    <w:rsid w:val="0059668B"/>
    <w:rsid w:val="00597A4C"/>
    <w:rsid w:val="00597A61"/>
    <w:rsid w:val="005C6876"/>
    <w:rsid w:val="005D0D96"/>
    <w:rsid w:val="005D4482"/>
    <w:rsid w:val="005D7AE5"/>
    <w:rsid w:val="005E31B2"/>
    <w:rsid w:val="00614917"/>
    <w:rsid w:val="0061642D"/>
    <w:rsid w:val="00637300"/>
    <w:rsid w:val="00643795"/>
    <w:rsid w:val="00657D66"/>
    <w:rsid w:val="00663DBA"/>
    <w:rsid w:val="00672FC8"/>
    <w:rsid w:val="006854A3"/>
    <w:rsid w:val="006D027E"/>
    <w:rsid w:val="006E69F2"/>
    <w:rsid w:val="006F1F78"/>
    <w:rsid w:val="006F79E2"/>
    <w:rsid w:val="0070022A"/>
    <w:rsid w:val="00701621"/>
    <w:rsid w:val="00720729"/>
    <w:rsid w:val="00720F01"/>
    <w:rsid w:val="0072529D"/>
    <w:rsid w:val="00734D4B"/>
    <w:rsid w:val="00744288"/>
    <w:rsid w:val="00745F89"/>
    <w:rsid w:val="00746370"/>
    <w:rsid w:val="00746ED6"/>
    <w:rsid w:val="00756D07"/>
    <w:rsid w:val="00761B9F"/>
    <w:rsid w:val="00794A42"/>
    <w:rsid w:val="00794D57"/>
    <w:rsid w:val="007D15A9"/>
    <w:rsid w:val="007D6102"/>
    <w:rsid w:val="007D7883"/>
    <w:rsid w:val="007E61C0"/>
    <w:rsid w:val="007F2E9D"/>
    <w:rsid w:val="007F555F"/>
    <w:rsid w:val="007F5FE1"/>
    <w:rsid w:val="008031B8"/>
    <w:rsid w:val="0083340F"/>
    <w:rsid w:val="00837C31"/>
    <w:rsid w:val="0084477C"/>
    <w:rsid w:val="00845307"/>
    <w:rsid w:val="008561FD"/>
    <w:rsid w:val="008B3854"/>
    <w:rsid w:val="008B7609"/>
    <w:rsid w:val="008C605A"/>
    <w:rsid w:val="008E3C7F"/>
    <w:rsid w:val="008F5324"/>
    <w:rsid w:val="00904A4D"/>
    <w:rsid w:val="00914111"/>
    <w:rsid w:val="00932229"/>
    <w:rsid w:val="009469B1"/>
    <w:rsid w:val="00952B38"/>
    <w:rsid w:val="009655FD"/>
    <w:rsid w:val="00987439"/>
    <w:rsid w:val="00990F8A"/>
    <w:rsid w:val="009B22AE"/>
    <w:rsid w:val="009C41A5"/>
    <w:rsid w:val="009C4308"/>
    <w:rsid w:val="009E08F3"/>
    <w:rsid w:val="009E4A2E"/>
    <w:rsid w:val="009E5BF8"/>
    <w:rsid w:val="00A05EFF"/>
    <w:rsid w:val="00A2388D"/>
    <w:rsid w:val="00A30976"/>
    <w:rsid w:val="00A35EED"/>
    <w:rsid w:val="00A45B08"/>
    <w:rsid w:val="00A5222F"/>
    <w:rsid w:val="00A621A6"/>
    <w:rsid w:val="00A63527"/>
    <w:rsid w:val="00A92122"/>
    <w:rsid w:val="00AA1991"/>
    <w:rsid w:val="00AB0D34"/>
    <w:rsid w:val="00AD1F0D"/>
    <w:rsid w:val="00AD7600"/>
    <w:rsid w:val="00B03BA4"/>
    <w:rsid w:val="00B35F85"/>
    <w:rsid w:val="00B371B0"/>
    <w:rsid w:val="00B5165B"/>
    <w:rsid w:val="00B5268A"/>
    <w:rsid w:val="00B53653"/>
    <w:rsid w:val="00B5789A"/>
    <w:rsid w:val="00BA06B1"/>
    <w:rsid w:val="00BA1604"/>
    <w:rsid w:val="00BB2CED"/>
    <w:rsid w:val="00BD2542"/>
    <w:rsid w:val="00BE0D1E"/>
    <w:rsid w:val="00BF091C"/>
    <w:rsid w:val="00BF39B1"/>
    <w:rsid w:val="00C203A3"/>
    <w:rsid w:val="00C2180E"/>
    <w:rsid w:val="00C2459A"/>
    <w:rsid w:val="00C34E59"/>
    <w:rsid w:val="00C3654C"/>
    <w:rsid w:val="00C405EB"/>
    <w:rsid w:val="00C476C6"/>
    <w:rsid w:val="00C4798A"/>
    <w:rsid w:val="00C64590"/>
    <w:rsid w:val="00C70406"/>
    <w:rsid w:val="00C71F2A"/>
    <w:rsid w:val="00C901F8"/>
    <w:rsid w:val="00CB06BF"/>
    <w:rsid w:val="00CC0CB5"/>
    <w:rsid w:val="00CD1D6D"/>
    <w:rsid w:val="00CD65CF"/>
    <w:rsid w:val="00CE6150"/>
    <w:rsid w:val="00CE73D8"/>
    <w:rsid w:val="00CF5C3A"/>
    <w:rsid w:val="00D01145"/>
    <w:rsid w:val="00D03F90"/>
    <w:rsid w:val="00D07D1C"/>
    <w:rsid w:val="00D5324F"/>
    <w:rsid w:val="00D84046"/>
    <w:rsid w:val="00D8405D"/>
    <w:rsid w:val="00D84B38"/>
    <w:rsid w:val="00D84E26"/>
    <w:rsid w:val="00D95140"/>
    <w:rsid w:val="00D9744C"/>
    <w:rsid w:val="00DB080F"/>
    <w:rsid w:val="00DB60D4"/>
    <w:rsid w:val="00DC5B08"/>
    <w:rsid w:val="00DD4B9F"/>
    <w:rsid w:val="00DD6D4C"/>
    <w:rsid w:val="00DE302B"/>
    <w:rsid w:val="00DF558A"/>
    <w:rsid w:val="00DF6D89"/>
    <w:rsid w:val="00E02722"/>
    <w:rsid w:val="00E116CA"/>
    <w:rsid w:val="00E12E7E"/>
    <w:rsid w:val="00E12E9D"/>
    <w:rsid w:val="00E45910"/>
    <w:rsid w:val="00E51B2D"/>
    <w:rsid w:val="00E7088D"/>
    <w:rsid w:val="00E974B9"/>
    <w:rsid w:val="00EA554F"/>
    <w:rsid w:val="00EB6FF8"/>
    <w:rsid w:val="00EC3EAB"/>
    <w:rsid w:val="00EC5330"/>
    <w:rsid w:val="00EE7C6E"/>
    <w:rsid w:val="00F05ED4"/>
    <w:rsid w:val="00F114F8"/>
    <w:rsid w:val="00F1467E"/>
    <w:rsid w:val="00F171C0"/>
    <w:rsid w:val="00F273C7"/>
    <w:rsid w:val="00F30639"/>
    <w:rsid w:val="00F31348"/>
    <w:rsid w:val="00F354EB"/>
    <w:rsid w:val="00F431DA"/>
    <w:rsid w:val="00F46956"/>
    <w:rsid w:val="00F54555"/>
    <w:rsid w:val="00F65DEB"/>
    <w:rsid w:val="00F81847"/>
    <w:rsid w:val="00F85809"/>
    <w:rsid w:val="00F97494"/>
    <w:rsid w:val="00FB2E14"/>
    <w:rsid w:val="00FB5CD0"/>
    <w:rsid w:val="00FE35E1"/>
    <w:rsid w:val="105515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qFormat="1"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99" w:semiHidden="0" w:name="Quote"/>
    <w:lsdException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5"/>
    <w:qFormat/>
    <w:uiPriority w:val="0"/>
    <w:pPr>
      <w:keepNext/>
      <w:autoSpaceDE w:val="0"/>
      <w:autoSpaceDN w:val="0"/>
      <w:adjustRightInd w:val="0"/>
      <w:textAlignment w:val="baseline"/>
      <w:outlineLvl w:val="0"/>
    </w:pPr>
    <w:rPr>
      <w:rFonts w:ascii="宋体"/>
      <w:sz w:val="28"/>
      <w:szCs w:val="20"/>
    </w:rPr>
  </w:style>
  <w:style w:type="paragraph" w:styleId="3">
    <w:name w:val="heading 2"/>
    <w:basedOn w:val="1"/>
    <w:next w:val="1"/>
    <w:link w:val="124"/>
    <w:qFormat/>
    <w:uiPriority w:val="0"/>
    <w:pPr>
      <w:keepNext/>
      <w:tabs>
        <w:tab w:val="left" w:pos="1716"/>
      </w:tabs>
      <w:spacing w:line="560" w:lineRule="exact"/>
      <w:outlineLvl w:val="1"/>
    </w:pPr>
    <w:rPr>
      <w:rFonts w:ascii="宋体"/>
      <w:sz w:val="28"/>
      <w:szCs w:val="20"/>
    </w:rPr>
  </w:style>
  <w:style w:type="paragraph" w:styleId="4">
    <w:name w:val="heading 3"/>
    <w:basedOn w:val="1"/>
    <w:next w:val="1"/>
    <w:link w:val="56"/>
    <w:qFormat/>
    <w:uiPriority w:val="0"/>
    <w:pPr>
      <w:tabs>
        <w:tab w:val="left" w:pos="720"/>
      </w:tabs>
      <w:autoSpaceDE w:val="0"/>
      <w:autoSpaceDN w:val="0"/>
      <w:adjustRightInd w:val="0"/>
      <w:spacing w:before="120"/>
      <w:textAlignment w:val="baseline"/>
      <w:outlineLvl w:val="2"/>
    </w:pPr>
    <w:rPr>
      <w:rFonts w:ascii="宋体" w:hAnsi="Tms Rmn"/>
      <w:b/>
      <w:kern w:val="0"/>
      <w:sz w:val="24"/>
      <w:szCs w:val="20"/>
    </w:rPr>
  </w:style>
  <w:style w:type="paragraph" w:styleId="5">
    <w:name w:val="heading 4"/>
    <w:basedOn w:val="1"/>
    <w:next w:val="1"/>
    <w:link w:val="84"/>
    <w:qFormat/>
    <w:uiPriority w:val="99"/>
    <w:pPr>
      <w:keepNext/>
      <w:keepLines/>
      <w:spacing w:before="280" w:after="290" w:line="376" w:lineRule="auto"/>
      <w:outlineLvl w:val="3"/>
    </w:pPr>
    <w:rPr>
      <w:rFonts w:ascii="Arial" w:hAnsi="Arial" w:eastAsia="黑体"/>
      <w:b/>
      <w:sz w:val="28"/>
      <w:szCs w:val="20"/>
    </w:rPr>
  </w:style>
  <w:style w:type="paragraph" w:styleId="6">
    <w:name w:val="heading 5"/>
    <w:next w:val="1"/>
    <w:link w:val="268"/>
    <w:unhideWhenUsed/>
    <w:qFormat/>
    <w:uiPriority w:val="9"/>
    <w:pPr>
      <w:keepNext/>
      <w:keepLines/>
      <w:widowControl w:val="0"/>
      <w:spacing w:before="280" w:after="290" w:line="376" w:lineRule="auto"/>
      <w:jc w:val="both"/>
      <w:outlineLvl w:val="4"/>
    </w:pPr>
    <w:rPr>
      <w:rFonts w:ascii="Times New Roman" w:hAnsi="Times New Roman" w:eastAsia="宋体" w:cs="Times New Roman"/>
      <w:b/>
      <w:bCs/>
      <w:kern w:val="2"/>
      <w:sz w:val="28"/>
      <w:szCs w:val="28"/>
      <w:lang w:val="en-US" w:eastAsia="zh-CN" w:bidi="ar-SA"/>
    </w:rPr>
  </w:style>
  <w:style w:type="paragraph" w:styleId="7">
    <w:name w:val="heading 6"/>
    <w:next w:val="1"/>
    <w:link w:val="269"/>
    <w:unhideWhenUsed/>
    <w:qFormat/>
    <w:uiPriority w:val="9"/>
    <w:pPr>
      <w:keepNext/>
      <w:keepLines/>
      <w:widowControl w:val="0"/>
      <w:spacing w:before="240" w:after="64" w:line="320" w:lineRule="auto"/>
      <w:jc w:val="both"/>
      <w:outlineLvl w:val="5"/>
    </w:pPr>
    <w:rPr>
      <w:rFonts w:asciiTheme="majorHAnsi" w:hAnsiTheme="majorHAnsi" w:eastAsiaTheme="majorEastAsia" w:cstheme="majorBidi"/>
      <w:b/>
      <w:bCs/>
      <w:kern w:val="2"/>
      <w:sz w:val="24"/>
      <w:szCs w:val="24"/>
      <w:lang w:val="en-US" w:eastAsia="zh-CN" w:bidi="ar-SA"/>
    </w:rPr>
  </w:style>
  <w:style w:type="paragraph" w:styleId="8">
    <w:name w:val="heading 7"/>
    <w:next w:val="1"/>
    <w:link w:val="270"/>
    <w:unhideWhenUsed/>
    <w:qFormat/>
    <w:uiPriority w:val="9"/>
    <w:pPr>
      <w:keepNext/>
      <w:keepLines/>
      <w:widowControl w:val="0"/>
      <w:spacing w:before="240" w:after="64" w:line="320" w:lineRule="auto"/>
      <w:jc w:val="both"/>
      <w:outlineLvl w:val="6"/>
    </w:pPr>
    <w:rPr>
      <w:rFonts w:ascii="Times New Roman" w:hAnsi="Times New Roman" w:eastAsia="宋体" w:cs="Times New Roman"/>
      <w:b/>
      <w:bCs/>
      <w:kern w:val="2"/>
      <w:sz w:val="24"/>
      <w:szCs w:val="24"/>
      <w:lang w:val="en-US" w:eastAsia="zh-CN" w:bidi="ar-SA"/>
    </w:rPr>
  </w:style>
  <w:style w:type="paragraph" w:styleId="9">
    <w:name w:val="heading 8"/>
    <w:next w:val="1"/>
    <w:link w:val="271"/>
    <w:unhideWhenUsed/>
    <w:qFormat/>
    <w:uiPriority w:val="9"/>
    <w:pPr>
      <w:keepNext/>
      <w:keepLines/>
      <w:widowControl w:val="0"/>
      <w:spacing w:before="240" w:after="64" w:line="320" w:lineRule="auto"/>
      <w:jc w:val="both"/>
      <w:outlineLvl w:val="7"/>
    </w:pPr>
    <w:rPr>
      <w:rFonts w:asciiTheme="majorHAnsi" w:hAnsiTheme="majorHAnsi" w:eastAsiaTheme="majorEastAsia" w:cstheme="majorBidi"/>
      <w:kern w:val="2"/>
      <w:sz w:val="24"/>
      <w:szCs w:val="24"/>
      <w:lang w:val="en-US" w:eastAsia="zh-CN" w:bidi="ar-SA"/>
    </w:rPr>
  </w:style>
  <w:style w:type="paragraph" w:styleId="10">
    <w:name w:val="heading 9"/>
    <w:next w:val="1"/>
    <w:link w:val="272"/>
    <w:unhideWhenUsed/>
    <w:qFormat/>
    <w:uiPriority w:val="9"/>
    <w:pPr>
      <w:keepNext/>
      <w:keepLines/>
      <w:widowControl w:val="0"/>
      <w:spacing w:before="240" w:after="64" w:line="320" w:lineRule="auto"/>
      <w:jc w:val="both"/>
      <w:outlineLvl w:val="8"/>
    </w:pPr>
    <w:rPr>
      <w:rFonts w:asciiTheme="majorHAnsi" w:hAnsiTheme="majorHAnsi" w:eastAsiaTheme="majorEastAsia" w:cstheme="majorBidi"/>
      <w:kern w:val="2"/>
      <w:sz w:val="21"/>
      <w:szCs w:val="21"/>
      <w:lang w:val="en-US" w:eastAsia="zh-CN" w:bidi="ar-SA"/>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rPr>
      <w:rFonts w:ascii="Calibri" w:hAnsi="Calibri"/>
    </w:rPr>
  </w:style>
  <w:style w:type="paragraph" w:styleId="12">
    <w:name w:val="Normal Indent"/>
    <w:basedOn w:val="1"/>
    <w:link w:val="537"/>
    <w:qFormat/>
    <w:uiPriority w:val="0"/>
    <w:pPr>
      <w:ind w:firstLine="420" w:firstLineChars="200"/>
    </w:pPr>
  </w:style>
  <w:style w:type="paragraph" w:styleId="13">
    <w:name w:val="caption"/>
    <w:basedOn w:val="1"/>
    <w:next w:val="1"/>
    <w:qFormat/>
    <w:uiPriority w:val="0"/>
    <w:rPr>
      <w:rFonts w:ascii="Cambria" w:hAnsi="Cambria" w:eastAsia="黑体" w:cs="Cambria"/>
      <w:sz w:val="20"/>
      <w:szCs w:val="20"/>
    </w:rPr>
  </w:style>
  <w:style w:type="paragraph" w:styleId="14">
    <w:name w:val="List Bullet"/>
    <w:basedOn w:val="1"/>
    <w:unhideWhenUsed/>
    <w:qFormat/>
    <w:uiPriority w:val="99"/>
    <w:pPr>
      <w:tabs>
        <w:tab w:val="left" w:pos="360"/>
      </w:tabs>
      <w:contextualSpacing/>
    </w:pPr>
  </w:style>
  <w:style w:type="paragraph" w:styleId="15">
    <w:name w:val="Document Map"/>
    <w:basedOn w:val="1"/>
    <w:link w:val="127"/>
    <w:qFormat/>
    <w:uiPriority w:val="99"/>
    <w:pPr>
      <w:shd w:val="clear" w:color="auto" w:fill="000080"/>
    </w:pPr>
    <w:rPr>
      <w:kern w:val="0"/>
      <w:sz w:val="2"/>
      <w:szCs w:val="20"/>
    </w:rPr>
  </w:style>
  <w:style w:type="paragraph" w:styleId="16">
    <w:name w:val="annotation text"/>
    <w:basedOn w:val="1"/>
    <w:link w:val="67"/>
    <w:qFormat/>
    <w:uiPriority w:val="99"/>
    <w:pPr>
      <w:autoSpaceDE w:val="0"/>
      <w:autoSpaceDN w:val="0"/>
      <w:adjustRightInd w:val="0"/>
      <w:jc w:val="left"/>
      <w:textAlignment w:val="baseline"/>
    </w:pPr>
    <w:rPr>
      <w:rFonts w:ascii="宋体" w:hAnsi="宋体"/>
      <w:color w:val="000000"/>
      <w:szCs w:val="20"/>
    </w:rPr>
  </w:style>
  <w:style w:type="paragraph" w:styleId="17">
    <w:name w:val="Body Text 3"/>
    <w:basedOn w:val="1"/>
    <w:link w:val="100"/>
    <w:qFormat/>
    <w:uiPriority w:val="0"/>
    <w:pPr>
      <w:spacing w:line="240" w:lineRule="atLeast"/>
    </w:pPr>
    <w:rPr>
      <w:rFonts w:ascii="宋体"/>
      <w:color w:val="FF0000"/>
      <w:szCs w:val="20"/>
    </w:rPr>
  </w:style>
  <w:style w:type="paragraph" w:styleId="18">
    <w:name w:val="Body Text"/>
    <w:basedOn w:val="1"/>
    <w:link w:val="82"/>
    <w:qFormat/>
    <w:uiPriority w:val="99"/>
    <w:rPr>
      <w:sz w:val="24"/>
      <w:szCs w:val="20"/>
    </w:rPr>
  </w:style>
  <w:style w:type="paragraph" w:styleId="19">
    <w:name w:val="Body Text Indent"/>
    <w:basedOn w:val="1"/>
    <w:link w:val="63"/>
    <w:qFormat/>
    <w:uiPriority w:val="0"/>
    <w:pPr>
      <w:ind w:firstLine="576"/>
    </w:pPr>
    <w:rPr>
      <w:rFonts w:ascii="宋体"/>
      <w:sz w:val="28"/>
      <w:szCs w:val="20"/>
    </w:rPr>
  </w:style>
  <w:style w:type="paragraph" w:styleId="20">
    <w:name w:val="toc 5"/>
    <w:basedOn w:val="1"/>
    <w:next w:val="1"/>
    <w:qFormat/>
    <w:uiPriority w:val="99"/>
    <w:pPr>
      <w:ind w:left="1680" w:leftChars="800"/>
    </w:pPr>
    <w:rPr>
      <w:rFonts w:ascii="Calibri" w:hAnsi="Calibri"/>
    </w:rPr>
  </w:style>
  <w:style w:type="paragraph" w:styleId="21">
    <w:name w:val="toc 3"/>
    <w:basedOn w:val="1"/>
    <w:next w:val="1"/>
    <w:qFormat/>
    <w:uiPriority w:val="39"/>
    <w:pPr>
      <w:ind w:left="840" w:leftChars="400"/>
    </w:pPr>
    <w:rPr>
      <w:rFonts w:ascii="Calibri" w:hAnsi="Calibri"/>
    </w:rPr>
  </w:style>
  <w:style w:type="paragraph" w:styleId="22">
    <w:name w:val="Plain Text"/>
    <w:basedOn w:val="1"/>
    <w:link w:val="128"/>
    <w:qFormat/>
    <w:uiPriority w:val="0"/>
    <w:pPr>
      <w:widowControl/>
      <w:spacing w:after="160" w:line="240" w:lineRule="exact"/>
      <w:jc w:val="left"/>
    </w:pPr>
  </w:style>
  <w:style w:type="paragraph" w:styleId="23">
    <w:name w:val="toc 8"/>
    <w:basedOn w:val="1"/>
    <w:next w:val="1"/>
    <w:qFormat/>
    <w:uiPriority w:val="99"/>
    <w:pPr>
      <w:ind w:left="2940" w:leftChars="1400"/>
    </w:pPr>
    <w:rPr>
      <w:rFonts w:ascii="Calibri" w:hAnsi="Calibri"/>
    </w:rPr>
  </w:style>
  <w:style w:type="paragraph" w:styleId="24">
    <w:name w:val="Date"/>
    <w:basedOn w:val="1"/>
    <w:next w:val="1"/>
    <w:link w:val="105"/>
    <w:qFormat/>
    <w:uiPriority w:val="0"/>
    <w:pPr>
      <w:autoSpaceDE w:val="0"/>
      <w:autoSpaceDN w:val="0"/>
      <w:adjustRightInd w:val="0"/>
      <w:textAlignment w:val="baseline"/>
    </w:pPr>
    <w:rPr>
      <w:b/>
      <w:szCs w:val="20"/>
    </w:rPr>
  </w:style>
  <w:style w:type="paragraph" w:styleId="25">
    <w:name w:val="Body Text Indent 2"/>
    <w:basedOn w:val="1"/>
    <w:link w:val="76"/>
    <w:qFormat/>
    <w:uiPriority w:val="0"/>
    <w:pPr>
      <w:autoSpaceDE w:val="0"/>
      <w:autoSpaceDN w:val="0"/>
      <w:adjustRightInd w:val="0"/>
      <w:spacing w:line="400" w:lineRule="exact"/>
      <w:ind w:firstLine="570"/>
      <w:textAlignment w:val="baseline"/>
    </w:pPr>
    <w:rPr>
      <w:sz w:val="28"/>
      <w:szCs w:val="20"/>
    </w:rPr>
  </w:style>
  <w:style w:type="paragraph" w:styleId="26">
    <w:name w:val="Balloon Text"/>
    <w:basedOn w:val="1"/>
    <w:link w:val="106"/>
    <w:qFormat/>
    <w:uiPriority w:val="99"/>
    <w:rPr>
      <w:sz w:val="18"/>
      <w:szCs w:val="20"/>
    </w:rPr>
  </w:style>
  <w:style w:type="paragraph" w:styleId="27">
    <w:name w:val="footer"/>
    <w:basedOn w:val="1"/>
    <w:link w:val="110"/>
    <w:qFormat/>
    <w:uiPriority w:val="99"/>
    <w:pPr>
      <w:tabs>
        <w:tab w:val="center" w:pos="4153"/>
        <w:tab w:val="right" w:pos="8306"/>
      </w:tabs>
      <w:snapToGrid w:val="0"/>
      <w:jc w:val="left"/>
    </w:pPr>
    <w:rPr>
      <w:sz w:val="18"/>
      <w:szCs w:val="20"/>
    </w:rPr>
  </w:style>
  <w:style w:type="paragraph" w:styleId="28">
    <w:name w:val="header"/>
    <w:basedOn w:val="1"/>
    <w:link w:val="80"/>
    <w:qFormat/>
    <w:uiPriority w:val="99"/>
    <w:pPr>
      <w:pBdr>
        <w:bottom w:val="single" w:color="auto" w:sz="6" w:space="1"/>
      </w:pBdr>
      <w:tabs>
        <w:tab w:val="center" w:pos="4153"/>
        <w:tab w:val="right" w:pos="8306"/>
      </w:tabs>
      <w:snapToGrid w:val="0"/>
      <w:jc w:val="center"/>
    </w:pPr>
    <w:rPr>
      <w:sz w:val="18"/>
      <w:szCs w:val="20"/>
    </w:rPr>
  </w:style>
  <w:style w:type="paragraph" w:styleId="29">
    <w:name w:val="toc 1"/>
    <w:basedOn w:val="1"/>
    <w:next w:val="1"/>
    <w:qFormat/>
    <w:uiPriority w:val="39"/>
    <w:pPr>
      <w:tabs>
        <w:tab w:val="left" w:pos="565"/>
        <w:tab w:val="right" w:leader="dot" w:pos="9191"/>
      </w:tabs>
      <w:spacing w:line="460" w:lineRule="exact"/>
    </w:pPr>
    <w:rPr>
      <w:sz w:val="28"/>
    </w:rPr>
  </w:style>
  <w:style w:type="paragraph" w:styleId="30">
    <w:name w:val="toc 4"/>
    <w:basedOn w:val="1"/>
    <w:next w:val="1"/>
    <w:qFormat/>
    <w:uiPriority w:val="99"/>
    <w:pPr>
      <w:ind w:left="1260" w:leftChars="600"/>
    </w:pPr>
    <w:rPr>
      <w:rFonts w:ascii="Calibri" w:hAnsi="Calibri"/>
    </w:rPr>
  </w:style>
  <w:style w:type="paragraph" w:styleId="31">
    <w:name w:val="Subtitle"/>
    <w:next w:val="1"/>
    <w:link w:val="354"/>
    <w:qFormat/>
    <w:uiPriority w:val="11"/>
    <w:pPr>
      <w:widowControl w:val="0"/>
      <w:spacing w:before="240" w:after="60" w:line="312" w:lineRule="auto"/>
      <w:jc w:val="center"/>
      <w:outlineLvl w:val="1"/>
    </w:pPr>
    <w:rPr>
      <w:rFonts w:eastAsia="宋体" w:asciiTheme="majorHAnsi" w:hAnsiTheme="majorHAnsi" w:cstheme="majorBidi"/>
      <w:b/>
      <w:bCs/>
      <w:kern w:val="28"/>
      <w:sz w:val="32"/>
      <w:szCs w:val="32"/>
      <w:lang w:val="en-US" w:eastAsia="zh-CN" w:bidi="ar-SA"/>
    </w:rPr>
  </w:style>
  <w:style w:type="paragraph" w:styleId="32">
    <w:name w:val="footnote text"/>
    <w:basedOn w:val="1"/>
    <w:link w:val="88"/>
    <w:unhideWhenUsed/>
    <w:qFormat/>
    <w:uiPriority w:val="99"/>
    <w:pPr>
      <w:snapToGrid w:val="0"/>
      <w:jc w:val="left"/>
    </w:pPr>
    <w:rPr>
      <w:sz w:val="18"/>
      <w:szCs w:val="18"/>
    </w:rPr>
  </w:style>
  <w:style w:type="paragraph" w:styleId="33">
    <w:name w:val="toc 6"/>
    <w:basedOn w:val="1"/>
    <w:next w:val="1"/>
    <w:qFormat/>
    <w:uiPriority w:val="99"/>
    <w:pPr>
      <w:ind w:left="2100" w:leftChars="1000"/>
    </w:pPr>
    <w:rPr>
      <w:rFonts w:ascii="Calibri" w:hAnsi="Calibri"/>
    </w:rPr>
  </w:style>
  <w:style w:type="paragraph" w:styleId="34">
    <w:name w:val="Body Text Indent 3"/>
    <w:basedOn w:val="1"/>
    <w:link w:val="103"/>
    <w:uiPriority w:val="99"/>
    <w:pPr>
      <w:tabs>
        <w:tab w:val="left" w:pos="1005"/>
      </w:tabs>
      <w:autoSpaceDE w:val="0"/>
      <w:autoSpaceDN w:val="0"/>
      <w:adjustRightInd w:val="0"/>
      <w:spacing w:line="500" w:lineRule="exact"/>
      <w:ind w:firstLine="538" w:firstLineChars="192"/>
      <w:textAlignment w:val="baseline"/>
    </w:pPr>
    <w:rPr>
      <w:rFonts w:ascii="宋体"/>
      <w:sz w:val="28"/>
      <w:szCs w:val="20"/>
    </w:rPr>
  </w:style>
  <w:style w:type="paragraph" w:styleId="35">
    <w:name w:val="toc 2"/>
    <w:basedOn w:val="1"/>
    <w:next w:val="1"/>
    <w:qFormat/>
    <w:uiPriority w:val="39"/>
    <w:pPr>
      <w:tabs>
        <w:tab w:val="right" w:leader="dot" w:pos="9191"/>
      </w:tabs>
      <w:spacing w:line="480" w:lineRule="exact"/>
      <w:ind w:left="420" w:leftChars="200"/>
    </w:pPr>
    <w:rPr>
      <w:rFonts w:eastAsia="黑体"/>
      <w:color w:val="FF0000"/>
      <w:sz w:val="28"/>
    </w:rPr>
  </w:style>
  <w:style w:type="paragraph" w:styleId="36">
    <w:name w:val="toc 9"/>
    <w:basedOn w:val="1"/>
    <w:next w:val="1"/>
    <w:qFormat/>
    <w:uiPriority w:val="99"/>
    <w:pPr>
      <w:ind w:left="3360" w:leftChars="1600"/>
    </w:pPr>
    <w:rPr>
      <w:rFonts w:ascii="Calibri" w:hAnsi="Calibri"/>
    </w:rPr>
  </w:style>
  <w:style w:type="paragraph" w:styleId="37">
    <w:name w:val="Body Text 2"/>
    <w:basedOn w:val="1"/>
    <w:link w:val="109"/>
    <w:qFormat/>
    <w:uiPriority w:val="0"/>
    <w:pPr>
      <w:spacing w:line="240" w:lineRule="atLeast"/>
      <w:jc w:val="center"/>
    </w:pPr>
    <w:rPr>
      <w:rFonts w:ascii="宋体"/>
      <w:spacing w:val="-20"/>
      <w:sz w:val="24"/>
      <w:szCs w:val="20"/>
    </w:rPr>
  </w:style>
  <w:style w:type="paragraph" w:styleId="38">
    <w:name w:val="HTML Preformatted"/>
    <w:basedOn w:val="1"/>
    <w:link w:val="7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39">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40">
    <w:name w:val="Title"/>
    <w:basedOn w:val="1"/>
    <w:next w:val="1"/>
    <w:link w:val="366"/>
    <w:qFormat/>
    <w:uiPriority w:val="10"/>
    <w:pPr>
      <w:spacing w:before="240" w:after="60"/>
      <w:jc w:val="center"/>
      <w:outlineLvl w:val="0"/>
    </w:pPr>
    <w:rPr>
      <w:rFonts w:asciiTheme="majorHAnsi" w:hAnsiTheme="majorHAnsi" w:cstheme="majorBidi"/>
      <w:b/>
      <w:bCs/>
      <w:sz w:val="32"/>
      <w:szCs w:val="32"/>
    </w:rPr>
  </w:style>
  <w:style w:type="paragraph" w:styleId="41">
    <w:name w:val="annotation subject"/>
    <w:basedOn w:val="16"/>
    <w:next w:val="16"/>
    <w:link w:val="104"/>
    <w:qFormat/>
    <w:uiPriority w:val="99"/>
    <w:pPr>
      <w:autoSpaceDE/>
      <w:autoSpaceDN/>
      <w:adjustRightInd/>
      <w:textAlignment w:val="auto"/>
    </w:pPr>
    <w:rPr>
      <w:b/>
      <w:sz w:val="24"/>
    </w:rPr>
  </w:style>
  <w:style w:type="paragraph" w:styleId="42">
    <w:name w:val="Body Text First Indent"/>
    <w:basedOn w:val="18"/>
    <w:link w:val="191"/>
    <w:unhideWhenUsed/>
    <w:qFormat/>
    <w:uiPriority w:val="99"/>
    <w:pPr>
      <w:spacing w:after="120"/>
      <w:ind w:firstLine="420" w:firstLineChars="100"/>
    </w:pPr>
    <w:rPr>
      <w:sz w:val="21"/>
      <w:szCs w:val="24"/>
    </w:rPr>
  </w:style>
  <w:style w:type="paragraph" w:styleId="43">
    <w:name w:val="Body Text First Indent 2"/>
    <w:basedOn w:val="19"/>
    <w:link w:val="190"/>
    <w:unhideWhenUsed/>
    <w:qFormat/>
    <w:uiPriority w:val="99"/>
    <w:pPr>
      <w:spacing w:after="120"/>
      <w:ind w:left="420" w:leftChars="200" w:firstLine="420" w:firstLineChars="200"/>
    </w:pPr>
    <w:rPr>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22"/>
    <w:rPr>
      <w:rFonts w:cs="Times New Roman"/>
      <w:b/>
    </w:rPr>
  </w:style>
  <w:style w:type="character" w:styleId="48">
    <w:name w:val="page number"/>
    <w:qFormat/>
    <w:uiPriority w:val="99"/>
    <w:rPr>
      <w:rFonts w:cs="Times New Roman"/>
    </w:rPr>
  </w:style>
  <w:style w:type="character" w:styleId="49">
    <w:name w:val="FollowedHyperlink"/>
    <w:unhideWhenUsed/>
    <w:qFormat/>
    <w:uiPriority w:val="99"/>
    <w:rPr>
      <w:rFonts w:ascii="Times New Roman" w:hAnsi="Times New Roman" w:eastAsia="宋体" w:cs="Times New Roman"/>
      <w:color w:val="800080"/>
      <w:u w:val="single"/>
    </w:rPr>
  </w:style>
  <w:style w:type="character" w:styleId="50">
    <w:name w:val="Emphasis"/>
    <w:qFormat/>
    <w:uiPriority w:val="0"/>
    <w:rPr>
      <w:rFonts w:cs="Times New Roman"/>
      <w:color w:val="auto"/>
    </w:rPr>
  </w:style>
  <w:style w:type="character" w:styleId="51">
    <w:name w:val="line number"/>
    <w:semiHidden/>
    <w:unhideWhenUsed/>
    <w:qFormat/>
    <w:uiPriority w:val="99"/>
  </w:style>
  <w:style w:type="character" w:styleId="52">
    <w:name w:val="Hyperlink"/>
    <w:qFormat/>
    <w:uiPriority w:val="99"/>
    <w:rPr>
      <w:rFonts w:cs="Times New Roman"/>
      <w:color w:val="0000FF"/>
      <w:u w:val="single"/>
    </w:rPr>
  </w:style>
  <w:style w:type="character" w:styleId="53">
    <w:name w:val="annotation reference"/>
    <w:qFormat/>
    <w:uiPriority w:val="99"/>
    <w:rPr>
      <w:rFonts w:cs="Times New Roman"/>
      <w:sz w:val="21"/>
    </w:rPr>
  </w:style>
  <w:style w:type="character" w:styleId="54">
    <w:name w:val="footnote reference"/>
    <w:unhideWhenUsed/>
    <w:qFormat/>
    <w:uiPriority w:val="99"/>
    <w:rPr>
      <w:vertAlign w:val="superscript"/>
    </w:rPr>
  </w:style>
  <w:style w:type="character" w:customStyle="1" w:styleId="55">
    <w:name w:val="访问过的超链接1"/>
    <w:qFormat/>
    <w:uiPriority w:val="0"/>
    <w:rPr>
      <w:rFonts w:cs="Times New Roman"/>
      <w:color w:val="800080"/>
      <w:u w:val="single"/>
    </w:rPr>
  </w:style>
  <w:style w:type="character" w:customStyle="1" w:styleId="56">
    <w:name w:val="标题 3 Char"/>
    <w:link w:val="4"/>
    <w:qFormat/>
    <w:uiPriority w:val="0"/>
    <w:rPr>
      <w:rFonts w:ascii="宋体" w:hAnsi="Tms Rmn"/>
      <w:b/>
      <w:sz w:val="24"/>
    </w:rPr>
  </w:style>
  <w:style w:type="character" w:customStyle="1" w:styleId="57">
    <w:name w:val="批注引用1"/>
    <w:qFormat/>
    <w:uiPriority w:val="99"/>
    <w:rPr>
      <w:sz w:val="21"/>
    </w:rPr>
  </w:style>
  <w:style w:type="character" w:customStyle="1" w:styleId="58">
    <w:name w:val="批注文字 Char1"/>
    <w:qFormat/>
    <w:uiPriority w:val="99"/>
    <w:rPr>
      <w:sz w:val="21"/>
    </w:rPr>
  </w:style>
  <w:style w:type="character" w:customStyle="1" w:styleId="59">
    <w:name w:val="Comment Subject Char1"/>
    <w:link w:val="60"/>
    <w:qFormat/>
    <w:uiPriority w:val="99"/>
    <w:rPr>
      <w:rFonts w:ascii="宋体" w:hAnsi="宋体"/>
      <w:b/>
      <w:color w:val="000000"/>
      <w:kern w:val="2"/>
      <w:sz w:val="21"/>
    </w:rPr>
  </w:style>
  <w:style w:type="paragraph" w:customStyle="1" w:styleId="60">
    <w:name w:val="批注主题1"/>
    <w:basedOn w:val="16"/>
    <w:next w:val="16"/>
    <w:link w:val="59"/>
    <w:qFormat/>
    <w:uiPriority w:val="99"/>
    <w:pPr>
      <w:autoSpaceDE/>
      <w:autoSpaceDN/>
      <w:adjustRightInd/>
      <w:textAlignment w:val="auto"/>
    </w:pPr>
    <w:rPr>
      <w:b/>
    </w:rPr>
  </w:style>
  <w:style w:type="character" w:customStyle="1" w:styleId="61">
    <w:name w:val="标题8（1） Char Char"/>
    <w:qFormat/>
    <w:uiPriority w:val="99"/>
    <w:rPr>
      <w:rFonts w:ascii="宋体" w:hAnsi="宋体" w:eastAsia="宋体"/>
      <w:kern w:val="2"/>
      <w:sz w:val="26"/>
      <w:lang w:val="en-US" w:eastAsia="zh-CN"/>
    </w:rPr>
  </w:style>
  <w:style w:type="character" w:customStyle="1" w:styleId="62">
    <w:name w:val="ca-9"/>
    <w:uiPriority w:val="99"/>
  </w:style>
  <w:style w:type="character" w:customStyle="1" w:styleId="63">
    <w:name w:val="正文文本缩进 Char"/>
    <w:link w:val="19"/>
    <w:qFormat/>
    <w:uiPriority w:val="0"/>
    <w:rPr>
      <w:rFonts w:ascii="宋体"/>
      <w:kern w:val="2"/>
      <w:sz w:val="28"/>
    </w:rPr>
  </w:style>
  <w:style w:type="character" w:customStyle="1" w:styleId="64">
    <w:name w:val="Balloon Text Char1"/>
    <w:uiPriority w:val="99"/>
    <w:rPr>
      <w:sz w:val="2"/>
    </w:rPr>
  </w:style>
  <w:style w:type="character" w:customStyle="1" w:styleId="65">
    <w:name w:val="正文缩进 Char"/>
    <w:link w:val="66"/>
    <w:qFormat/>
    <w:uiPriority w:val="0"/>
    <w:rPr>
      <w:kern w:val="2"/>
      <w:sz w:val="24"/>
    </w:rPr>
  </w:style>
  <w:style w:type="paragraph" w:customStyle="1" w:styleId="66">
    <w:name w:val="正文缩进1"/>
    <w:basedOn w:val="1"/>
    <w:link w:val="65"/>
    <w:qFormat/>
    <w:uiPriority w:val="0"/>
    <w:pPr>
      <w:ind w:firstLine="420" w:firstLineChars="200"/>
    </w:pPr>
    <w:rPr>
      <w:sz w:val="24"/>
      <w:szCs w:val="20"/>
    </w:rPr>
  </w:style>
  <w:style w:type="character" w:customStyle="1" w:styleId="67">
    <w:name w:val="批注文字 Char"/>
    <w:link w:val="16"/>
    <w:qFormat/>
    <w:uiPriority w:val="99"/>
    <w:rPr>
      <w:rFonts w:ascii="宋体" w:hAnsi="宋体"/>
      <w:color w:val="000000"/>
      <w:kern w:val="2"/>
      <w:sz w:val="21"/>
    </w:rPr>
  </w:style>
  <w:style w:type="character" w:customStyle="1" w:styleId="68">
    <w:name w:val="Plain Text Char1"/>
    <w:link w:val="69"/>
    <w:uiPriority w:val="99"/>
    <w:rPr>
      <w:rFonts w:ascii="宋体" w:hAnsi="Courier New"/>
      <w:sz w:val="21"/>
    </w:rPr>
  </w:style>
  <w:style w:type="paragraph" w:customStyle="1" w:styleId="69">
    <w:name w:val="纯文本1"/>
    <w:basedOn w:val="1"/>
    <w:link w:val="68"/>
    <w:qFormat/>
    <w:uiPriority w:val="99"/>
    <w:rPr>
      <w:rFonts w:ascii="宋体" w:hAnsi="Courier New"/>
      <w:kern w:val="0"/>
      <w:szCs w:val="20"/>
    </w:rPr>
  </w:style>
  <w:style w:type="character" w:customStyle="1" w:styleId="70">
    <w:name w:val="lxm11"/>
    <w:qFormat/>
    <w:uiPriority w:val="99"/>
    <w:rPr>
      <w:sz w:val="18"/>
    </w:rPr>
  </w:style>
  <w:style w:type="character" w:customStyle="1" w:styleId="71">
    <w:name w:val="style16"/>
    <w:qFormat/>
    <w:uiPriority w:val="99"/>
  </w:style>
  <w:style w:type="character" w:customStyle="1" w:styleId="72">
    <w:name w:val="edit_font_color"/>
    <w:uiPriority w:val="99"/>
  </w:style>
  <w:style w:type="character" w:customStyle="1" w:styleId="73">
    <w:name w:val="font21"/>
    <w:qFormat/>
    <w:uiPriority w:val="99"/>
    <w:rPr>
      <w:rFonts w:ascii="Verdana" w:hAnsi="Verdana"/>
      <w:color w:val="000000"/>
      <w:sz w:val="21"/>
    </w:rPr>
  </w:style>
  <w:style w:type="character" w:customStyle="1" w:styleId="74">
    <w:name w:val="zib1"/>
    <w:qFormat/>
    <w:uiPriority w:val="0"/>
    <w:rPr>
      <w:color w:val="333333"/>
      <w:u w:val="single"/>
    </w:rPr>
  </w:style>
  <w:style w:type="character" w:customStyle="1" w:styleId="75">
    <w:name w:val="标题 1 Char"/>
    <w:link w:val="2"/>
    <w:uiPriority w:val="0"/>
    <w:rPr>
      <w:rFonts w:ascii="宋体"/>
      <w:kern w:val="2"/>
      <w:sz w:val="28"/>
    </w:rPr>
  </w:style>
  <w:style w:type="character" w:customStyle="1" w:styleId="76">
    <w:name w:val="正文文本缩进 2 Char"/>
    <w:link w:val="25"/>
    <w:qFormat/>
    <w:uiPriority w:val="0"/>
    <w:rPr>
      <w:kern w:val="2"/>
      <w:sz w:val="28"/>
    </w:rPr>
  </w:style>
  <w:style w:type="character" w:customStyle="1" w:styleId="77">
    <w:name w:val="HTML 预设格式 Char"/>
    <w:link w:val="38"/>
    <w:qFormat/>
    <w:uiPriority w:val="99"/>
    <w:rPr>
      <w:rFonts w:ascii="Courier New" w:hAnsi="Courier New"/>
      <w:kern w:val="2"/>
    </w:rPr>
  </w:style>
  <w:style w:type="character" w:customStyle="1" w:styleId="78">
    <w:name w:val="批注主题 Char"/>
    <w:qFormat/>
    <w:uiPriority w:val="99"/>
    <w:rPr>
      <w:rFonts w:ascii="宋体" w:hAnsi="宋体" w:eastAsia="宋体"/>
      <w:b/>
      <w:color w:val="000000"/>
      <w:kern w:val="2"/>
      <w:sz w:val="21"/>
      <w:lang w:val="en-US" w:eastAsia="zh-CN"/>
    </w:rPr>
  </w:style>
  <w:style w:type="character" w:customStyle="1" w:styleId="79">
    <w:name w:val="HTML 样本1"/>
    <w:qFormat/>
    <w:uiPriority w:val="99"/>
    <w:rPr>
      <w:rFonts w:ascii="宋体" w:hAnsi="宋体" w:eastAsia="宋体"/>
    </w:rPr>
  </w:style>
  <w:style w:type="character" w:customStyle="1" w:styleId="80">
    <w:name w:val="页眉 Char"/>
    <w:link w:val="28"/>
    <w:qFormat/>
    <w:uiPriority w:val="99"/>
    <w:rPr>
      <w:kern w:val="2"/>
      <w:sz w:val="18"/>
    </w:rPr>
  </w:style>
  <w:style w:type="character" w:customStyle="1" w:styleId="81">
    <w:name w:val="Header Char1"/>
    <w:uiPriority w:val="99"/>
    <w:rPr>
      <w:sz w:val="18"/>
    </w:rPr>
  </w:style>
  <w:style w:type="character" w:customStyle="1" w:styleId="82">
    <w:name w:val="正文文本 Char"/>
    <w:link w:val="18"/>
    <w:qFormat/>
    <w:uiPriority w:val="99"/>
    <w:rPr>
      <w:kern w:val="2"/>
      <w:sz w:val="24"/>
    </w:rPr>
  </w:style>
  <w:style w:type="character" w:customStyle="1" w:styleId="83">
    <w:name w:val="cp"/>
    <w:qFormat/>
    <w:uiPriority w:val="0"/>
  </w:style>
  <w:style w:type="character" w:customStyle="1" w:styleId="84">
    <w:name w:val="标题 4 Char"/>
    <w:link w:val="5"/>
    <w:uiPriority w:val="99"/>
    <w:rPr>
      <w:rFonts w:ascii="Arial" w:hAnsi="Arial" w:eastAsia="黑体"/>
      <w:b/>
      <w:kern w:val="2"/>
      <w:sz w:val="28"/>
    </w:rPr>
  </w:style>
  <w:style w:type="character" w:customStyle="1" w:styleId="85">
    <w:name w:val="HTML Preformatted Char"/>
    <w:qFormat/>
    <w:uiPriority w:val="99"/>
    <w:rPr>
      <w:rFonts w:ascii="Arial" w:hAnsi="Arial"/>
      <w:sz w:val="24"/>
    </w:rPr>
  </w:style>
  <w:style w:type="character" w:customStyle="1" w:styleId="86">
    <w:name w:val="gray61"/>
    <w:qFormat/>
    <w:uiPriority w:val="0"/>
    <w:rPr>
      <w:color w:val="666666"/>
    </w:rPr>
  </w:style>
  <w:style w:type="character" w:customStyle="1" w:styleId="87">
    <w:name w:val="占位符文本1"/>
    <w:uiPriority w:val="99"/>
    <w:rPr>
      <w:color w:val="808080"/>
    </w:rPr>
  </w:style>
  <w:style w:type="character" w:customStyle="1" w:styleId="88">
    <w:name w:val="脚注文本 Char"/>
    <w:link w:val="32"/>
    <w:qFormat/>
    <w:uiPriority w:val="99"/>
    <w:rPr>
      <w:kern w:val="2"/>
      <w:sz w:val="18"/>
      <w:szCs w:val="18"/>
    </w:rPr>
  </w:style>
  <w:style w:type="character" w:customStyle="1" w:styleId="89">
    <w:name w:val="Body Text Indent Char1"/>
    <w:link w:val="90"/>
    <w:qFormat/>
    <w:uiPriority w:val="99"/>
    <w:rPr>
      <w:sz w:val="21"/>
    </w:rPr>
  </w:style>
  <w:style w:type="paragraph" w:customStyle="1" w:styleId="90">
    <w:name w:val="正文文本缩进1"/>
    <w:basedOn w:val="1"/>
    <w:link w:val="89"/>
    <w:qFormat/>
    <w:uiPriority w:val="99"/>
    <w:pPr>
      <w:ind w:firstLine="540"/>
    </w:pPr>
    <w:rPr>
      <w:kern w:val="0"/>
      <w:szCs w:val="20"/>
    </w:rPr>
  </w:style>
  <w:style w:type="character" w:customStyle="1" w:styleId="91">
    <w:name w:val="yuedu1"/>
    <w:uiPriority w:val="0"/>
    <w:rPr>
      <w:color w:val="000000"/>
      <w:spacing w:val="360"/>
      <w:sz w:val="28"/>
    </w:rPr>
  </w:style>
  <w:style w:type="character" w:customStyle="1" w:styleId="92">
    <w:name w:val="Char Char6"/>
    <w:qFormat/>
    <w:uiPriority w:val="99"/>
    <w:rPr>
      <w:rFonts w:eastAsia="宋体"/>
      <w:kern w:val="2"/>
      <w:sz w:val="28"/>
      <w:lang w:val="en-US" w:eastAsia="zh-CN"/>
    </w:rPr>
  </w:style>
  <w:style w:type="character" w:customStyle="1" w:styleId="93">
    <w:name w:val="Char Char2"/>
    <w:qFormat/>
    <w:uiPriority w:val="99"/>
    <w:rPr>
      <w:rFonts w:eastAsia="宋体"/>
      <w:kern w:val="2"/>
      <w:sz w:val="28"/>
      <w:lang w:val="en-US" w:eastAsia="zh-CN"/>
    </w:rPr>
  </w:style>
  <w:style w:type="character" w:customStyle="1" w:styleId="94">
    <w:name w:val="正文文本缩进 3 Char"/>
    <w:qFormat/>
    <w:uiPriority w:val="0"/>
    <w:rPr>
      <w:rFonts w:eastAsia="宋体"/>
      <w:kern w:val="2"/>
      <w:sz w:val="28"/>
      <w:lang w:val="en-US" w:eastAsia="zh-CN"/>
    </w:rPr>
  </w:style>
  <w:style w:type="character" w:customStyle="1" w:styleId="95">
    <w:name w:val="Document Map Char1"/>
    <w:link w:val="96"/>
    <w:qFormat/>
    <w:uiPriority w:val="99"/>
    <w:rPr>
      <w:kern w:val="2"/>
      <w:sz w:val="21"/>
      <w:shd w:val="clear" w:color="auto" w:fill="000080"/>
    </w:rPr>
  </w:style>
  <w:style w:type="paragraph" w:customStyle="1" w:styleId="96">
    <w:name w:val="文档结构图1"/>
    <w:basedOn w:val="1"/>
    <w:link w:val="95"/>
    <w:qFormat/>
    <w:uiPriority w:val="99"/>
    <w:pPr>
      <w:shd w:val="clear" w:color="auto" w:fill="000080"/>
    </w:pPr>
    <w:rPr>
      <w:szCs w:val="20"/>
    </w:rPr>
  </w:style>
  <w:style w:type="character" w:customStyle="1" w:styleId="97">
    <w:name w:val="Body Text Indent 2 Char1"/>
    <w:link w:val="98"/>
    <w:qFormat/>
    <w:uiPriority w:val="99"/>
    <w:rPr>
      <w:kern w:val="2"/>
      <w:sz w:val="21"/>
    </w:rPr>
  </w:style>
  <w:style w:type="paragraph" w:customStyle="1" w:styleId="98">
    <w:name w:val="正文文本缩进 21"/>
    <w:basedOn w:val="1"/>
    <w:link w:val="97"/>
    <w:qFormat/>
    <w:uiPriority w:val="99"/>
    <w:pPr>
      <w:spacing w:line="680" w:lineRule="exact"/>
      <w:ind w:firstLine="573"/>
    </w:pPr>
    <w:rPr>
      <w:szCs w:val="20"/>
    </w:rPr>
  </w:style>
  <w:style w:type="character" w:customStyle="1" w:styleId="99">
    <w:name w:val="ellipsis"/>
    <w:uiPriority w:val="0"/>
  </w:style>
  <w:style w:type="character" w:customStyle="1" w:styleId="100">
    <w:name w:val="正文文本 3 Char"/>
    <w:link w:val="17"/>
    <w:qFormat/>
    <w:uiPriority w:val="0"/>
    <w:rPr>
      <w:rFonts w:ascii="宋体"/>
      <w:color w:val="FF0000"/>
      <w:kern w:val="2"/>
      <w:sz w:val="21"/>
    </w:rPr>
  </w:style>
  <w:style w:type="character" w:customStyle="1" w:styleId="101">
    <w:name w:val="Body Text Indent 3 Char1"/>
    <w:link w:val="102"/>
    <w:qFormat/>
    <w:uiPriority w:val="99"/>
    <w:rPr>
      <w:kern w:val="2"/>
      <w:sz w:val="28"/>
    </w:rPr>
  </w:style>
  <w:style w:type="paragraph" w:customStyle="1" w:styleId="102">
    <w:name w:val="正文文本缩进 31"/>
    <w:basedOn w:val="1"/>
    <w:link w:val="101"/>
    <w:qFormat/>
    <w:uiPriority w:val="99"/>
    <w:pPr>
      <w:ind w:firstLine="570"/>
    </w:pPr>
    <w:rPr>
      <w:sz w:val="28"/>
      <w:szCs w:val="20"/>
    </w:rPr>
  </w:style>
  <w:style w:type="character" w:customStyle="1" w:styleId="103">
    <w:name w:val="正文文本缩进 3 Char2"/>
    <w:link w:val="34"/>
    <w:qFormat/>
    <w:uiPriority w:val="99"/>
    <w:rPr>
      <w:rFonts w:ascii="宋体"/>
      <w:kern w:val="2"/>
      <w:sz w:val="28"/>
    </w:rPr>
  </w:style>
  <w:style w:type="character" w:customStyle="1" w:styleId="104">
    <w:name w:val="批注主题 Char1"/>
    <w:link w:val="41"/>
    <w:qFormat/>
    <w:uiPriority w:val="99"/>
    <w:rPr>
      <w:rFonts w:ascii="宋体" w:hAnsi="宋体"/>
      <w:b/>
      <w:color w:val="000000"/>
      <w:kern w:val="2"/>
      <w:sz w:val="24"/>
    </w:rPr>
  </w:style>
  <w:style w:type="character" w:customStyle="1" w:styleId="105">
    <w:name w:val="日期 Char"/>
    <w:link w:val="24"/>
    <w:qFormat/>
    <w:uiPriority w:val="0"/>
    <w:rPr>
      <w:b/>
      <w:kern w:val="2"/>
      <w:sz w:val="21"/>
    </w:rPr>
  </w:style>
  <w:style w:type="character" w:customStyle="1" w:styleId="106">
    <w:name w:val="批注框文本 Char"/>
    <w:link w:val="26"/>
    <w:qFormat/>
    <w:uiPriority w:val="99"/>
    <w:rPr>
      <w:kern w:val="2"/>
      <w:sz w:val="18"/>
    </w:rPr>
  </w:style>
  <w:style w:type="character" w:customStyle="1" w:styleId="107">
    <w:name w:val="style1"/>
    <w:uiPriority w:val="99"/>
  </w:style>
  <w:style w:type="character" w:customStyle="1" w:styleId="108">
    <w:name w:val="Header Char"/>
    <w:semiHidden/>
    <w:qFormat/>
    <w:uiPriority w:val="0"/>
    <w:rPr>
      <w:rFonts w:eastAsia="宋体"/>
      <w:kern w:val="2"/>
      <w:sz w:val="18"/>
      <w:lang w:val="en-US" w:eastAsia="zh-CN"/>
    </w:rPr>
  </w:style>
  <w:style w:type="character" w:customStyle="1" w:styleId="109">
    <w:name w:val="正文文本 2 Char"/>
    <w:link w:val="37"/>
    <w:qFormat/>
    <w:uiPriority w:val="0"/>
    <w:rPr>
      <w:rFonts w:ascii="宋体"/>
      <w:spacing w:val="-20"/>
      <w:kern w:val="2"/>
      <w:sz w:val="24"/>
    </w:rPr>
  </w:style>
  <w:style w:type="character" w:customStyle="1" w:styleId="110">
    <w:name w:val="页脚 Char"/>
    <w:link w:val="27"/>
    <w:qFormat/>
    <w:uiPriority w:val="99"/>
    <w:rPr>
      <w:kern w:val="2"/>
      <w:sz w:val="18"/>
    </w:rPr>
  </w:style>
  <w:style w:type="character" w:customStyle="1" w:styleId="111">
    <w:name w:val="Char Char4"/>
    <w:qFormat/>
    <w:uiPriority w:val="0"/>
    <w:rPr>
      <w:rFonts w:ascii="宋体"/>
      <w:kern w:val="2"/>
      <w:sz w:val="28"/>
    </w:rPr>
  </w:style>
  <w:style w:type="character" w:customStyle="1" w:styleId="112">
    <w:name w:val="style841"/>
    <w:qFormat/>
    <w:uiPriority w:val="99"/>
    <w:rPr>
      <w:b/>
      <w:color w:val="FF0000"/>
      <w:sz w:val="30"/>
    </w:rPr>
  </w:style>
  <w:style w:type="character" w:customStyle="1" w:styleId="113">
    <w:name w:val="content3"/>
    <w:qFormat/>
    <w:uiPriority w:val="99"/>
  </w:style>
  <w:style w:type="character" w:customStyle="1" w:styleId="114">
    <w:name w:val="HTML Preformatted Char1"/>
    <w:link w:val="115"/>
    <w:uiPriority w:val="99"/>
    <w:rPr>
      <w:rFonts w:ascii="Courier New" w:hAnsi="Courier New"/>
    </w:rPr>
  </w:style>
  <w:style w:type="paragraph" w:customStyle="1" w:styleId="115">
    <w:name w:val="HTML 预设格式1"/>
    <w:basedOn w:val="1"/>
    <w:link w:val="11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116">
    <w:name w:val="ca-12"/>
    <w:qFormat/>
    <w:uiPriority w:val="99"/>
  </w:style>
  <w:style w:type="character" w:customStyle="1" w:styleId="117">
    <w:name w:val="Char Char1"/>
    <w:qFormat/>
    <w:uiPriority w:val="0"/>
    <w:rPr>
      <w:rFonts w:eastAsia="宋体"/>
      <w:kern w:val="2"/>
      <w:sz w:val="18"/>
      <w:lang w:val="en-US" w:eastAsia="zh-CN"/>
    </w:rPr>
  </w:style>
  <w:style w:type="character" w:customStyle="1" w:styleId="118">
    <w:name w:val="a121"/>
    <w:qFormat/>
    <w:uiPriority w:val="99"/>
  </w:style>
  <w:style w:type="character" w:customStyle="1" w:styleId="119">
    <w:name w:val="Date Char1"/>
    <w:link w:val="120"/>
    <w:qFormat/>
    <w:uiPriority w:val="99"/>
    <w:rPr>
      <w:sz w:val="21"/>
    </w:rPr>
  </w:style>
  <w:style w:type="paragraph" w:customStyle="1" w:styleId="120">
    <w:name w:val="日期1"/>
    <w:basedOn w:val="1"/>
    <w:next w:val="1"/>
    <w:link w:val="119"/>
    <w:qFormat/>
    <w:uiPriority w:val="99"/>
    <w:rPr>
      <w:kern w:val="0"/>
      <w:szCs w:val="20"/>
    </w:rPr>
  </w:style>
  <w:style w:type="character" w:customStyle="1" w:styleId="121">
    <w:name w:val="apple-converted-space"/>
    <w:qFormat/>
    <w:uiPriority w:val="0"/>
  </w:style>
  <w:style w:type="character" w:customStyle="1" w:styleId="122">
    <w:name w:val="hidden cinfo"/>
    <w:qFormat/>
    <w:uiPriority w:val="0"/>
  </w:style>
  <w:style w:type="character" w:customStyle="1" w:styleId="123">
    <w:name w:val="正文文本缩进 3 Char1"/>
    <w:uiPriority w:val="99"/>
    <w:rPr>
      <w:kern w:val="2"/>
      <w:sz w:val="28"/>
    </w:rPr>
  </w:style>
  <w:style w:type="character" w:customStyle="1" w:styleId="124">
    <w:name w:val="标题 2 Char"/>
    <w:basedOn w:val="46"/>
    <w:link w:val="3"/>
    <w:uiPriority w:val="0"/>
    <w:rPr>
      <w:rFonts w:ascii="宋体"/>
      <w:kern w:val="2"/>
      <w:sz w:val="28"/>
    </w:rPr>
  </w:style>
  <w:style w:type="character" w:customStyle="1" w:styleId="125">
    <w:name w:val="页脚 Char1"/>
    <w:qFormat/>
    <w:uiPriority w:val="99"/>
    <w:rPr>
      <w:sz w:val="18"/>
    </w:rPr>
  </w:style>
  <w:style w:type="character" w:customStyle="1" w:styleId="126">
    <w:name w:val="texta1"/>
    <w:qFormat/>
    <w:uiPriority w:val="99"/>
    <w:rPr>
      <w:spacing w:val="320"/>
    </w:rPr>
  </w:style>
  <w:style w:type="character" w:customStyle="1" w:styleId="127">
    <w:name w:val="文档结构图 Char"/>
    <w:link w:val="15"/>
    <w:qFormat/>
    <w:uiPriority w:val="99"/>
    <w:rPr>
      <w:sz w:val="2"/>
      <w:shd w:val="clear" w:color="auto" w:fill="000080"/>
    </w:rPr>
  </w:style>
  <w:style w:type="character" w:customStyle="1" w:styleId="128">
    <w:name w:val="纯文本 Char"/>
    <w:link w:val="22"/>
    <w:qFormat/>
    <w:uiPriority w:val="0"/>
    <w:rPr>
      <w:kern w:val="2"/>
      <w:sz w:val="21"/>
      <w:szCs w:val="24"/>
    </w:rPr>
  </w:style>
  <w:style w:type="character" w:customStyle="1" w:styleId="129">
    <w:name w:val="页码1"/>
    <w:qFormat/>
    <w:uiPriority w:val="99"/>
  </w:style>
  <w:style w:type="paragraph" w:customStyle="1" w:styleId="130">
    <w:name w:val="xl3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31">
    <w:name w:val="样式7"/>
    <w:basedOn w:val="1"/>
    <w:uiPriority w:val="99"/>
    <w:pPr>
      <w:spacing w:line="360" w:lineRule="auto"/>
      <w:ind w:firstLine="567"/>
    </w:pPr>
    <w:rPr>
      <w:rFonts w:ascii="仿宋_GB2312" w:eastAsia="仿宋_GB2312"/>
      <w:sz w:val="28"/>
      <w:szCs w:val="20"/>
    </w:rPr>
  </w:style>
  <w:style w:type="paragraph" w:customStyle="1" w:styleId="132">
    <w:name w:val="标题7 1"/>
    <w:basedOn w:val="133"/>
    <w:qFormat/>
    <w:uiPriority w:val="99"/>
  </w:style>
  <w:style w:type="paragraph" w:customStyle="1" w:styleId="133">
    <w:name w:val="正文2 Char"/>
    <w:basedOn w:val="1"/>
    <w:uiPriority w:val="0"/>
    <w:pPr>
      <w:spacing w:line="360" w:lineRule="auto"/>
      <w:ind w:firstLine="520" w:firstLineChars="200"/>
    </w:pPr>
    <w:rPr>
      <w:rFonts w:ascii="宋体" w:hAnsi="宋体"/>
      <w:sz w:val="26"/>
      <w:szCs w:val="26"/>
    </w:rPr>
  </w:style>
  <w:style w:type="paragraph" w:customStyle="1" w:styleId="134">
    <w:name w:val="reader-word-layer reader-word-s6-7"/>
    <w:basedOn w:val="1"/>
    <w:uiPriority w:val="99"/>
    <w:pPr>
      <w:widowControl/>
      <w:spacing w:before="100" w:beforeAutospacing="1" w:after="100" w:afterAutospacing="1"/>
      <w:jc w:val="left"/>
    </w:pPr>
    <w:rPr>
      <w:rFonts w:ascii="宋体" w:hAnsi="宋体" w:cs="宋体"/>
      <w:kern w:val="0"/>
      <w:sz w:val="24"/>
    </w:rPr>
  </w:style>
  <w:style w:type="paragraph" w:customStyle="1" w:styleId="135">
    <w:name w:val="标题3（章）"/>
    <w:qFormat/>
    <w:uiPriority w:val="99"/>
    <w:pPr>
      <w:jc w:val="center"/>
      <w:outlineLvl w:val="2"/>
    </w:pPr>
    <w:rPr>
      <w:rFonts w:ascii="宋体" w:hAnsi="宋体" w:eastAsia="宋体" w:cs="Times New Roman"/>
      <w:b/>
      <w:kern w:val="2"/>
      <w:sz w:val="32"/>
      <w:szCs w:val="30"/>
      <w:lang w:val="en-US" w:eastAsia="zh-CN" w:bidi="ar-SA"/>
    </w:rPr>
  </w:style>
  <w:style w:type="paragraph" w:customStyle="1" w:styleId="136">
    <w:name w:val="修订1"/>
    <w:uiPriority w:val="99"/>
    <w:rPr>
      <w:rFonts w:ascii="Times New Roman" w:hAnsi="Times New Roman" w:eastAsia="宋体" w:cs="Times New Roman"/>
      <w:sz w:val="21"/>
      <w:szCs w:val="21"/>
      <w:lang w:val="en-US" w:eastAsia="zh-CN" w:bidi="ar-SA"/>
    </w:rPr>
  </w:style>
  <w:style w:type="paragraph" w:customStyle="1" w:styleId="137">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138">
    <w:name w:val="custom_unionstyle"/>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xl27"/>
    <w:basedOn w:val="1"/>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40">
    <w:name w:val="TOC 标题1"/>
    <w:basedOn w:val="2"/>
    <w:next w:val="1"/>
    <w:qFormat/>
    <w:uiPriority w:val="99"/>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141">
    <w:name w:val="xl40"/>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142">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Char Char Char Char Char Char Char Char Char Char Char Char Char Char Char"/>
    <w:basedOn w:val="1"/>
    <w:qFormat/>
    <w:uiPriority w:val="99"/>
    <w:rPr>
      <w:rFonts w:ascii="Tahoma" w:hAnsi="Tahoma" w:cs="Tahoma"/>
      <w:sz w:val="24"/>
    </w:rPr>
  </w:style>
  <w:style w:type="paragraph" w:customStyle="1" w:styleId="144">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5">
    <w:name w:val="reader-word-layer reader-word-s6-8"/>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6">
    <w:name w:val="font5"/>
    <w:basedOn w:val="1"/>
    <w:uiPriority w:val="0"/>
    <w:pPr>
      <w:widowControl/>
      <w:spacing w:before="100" w:beforeAutospacing="1" w:after="100" w:afterAutospacing="1"/>
      <w:jc w:val="left"/>
    </w:pPr>
    <w:rPr>
      <w:rFonts w:ascii="宋体" w:hAnsi="宋体" w:cs="Arial Unicode MS"/>
      <w:kern w:val="0"/>
      <w:sz w:val="18"/>
      <w:szCs w:val="18"/>
    </w:rPr>
  </w:style>
  <w:style w:type="paragraph" w:customStyle="1" w:styleId="147">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148">
    <w:name w:val="标题4（节）"/>
    <w:qFormat/>
    <w:uiPriority w:val="99"/>
    <w:pPr>
      <w:spacing w:before="100" w:beforeAutospacing="1" w:line="360" w:lineRule="auto"/>
      <w:jc w:val="center"/>
      <w:outlineLvl w:val="2"/>
    </w:pPr>
    <w:rPr>
      <w:rFonts w:ascii="宋体" w:hAnsi="宋体" w:eastAsia="宋体" w:cs="宋体"/>
      <w:b/>
      <w:bCs/>
      <w:kern w:val="2"/>
      <w:sz w:val="26"/>
      <w:szCs w:val="26"/>
      <w:lang w:val="en-US" w:eastAsia="zh-CN" w:bidi="ar-SA"/>
    </w:rPr>
  </w:style>
  <w:style w:type="paragraph" w:customStyle="1" w:styleId="149">
    <w:name w:val="普通(网站)1"/>
    <w:basedOn w:val="1"/>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150">
    <w:name w:val="Char1"/>
    <w:basedOn w:val="1"/>
    <w:qFormat/>
    <w:uiPriority w:val="0"/>
    <w:pPr>
      <w:spacing w:line="360" w:lineRule="auto"/>
      <w:ind w:firstLine="1653" w:firstLineChars="588"/>
    </w:pPr>
    <w:rPr>
      <w:b/>
      <w:sz w:val="28"/>
      <w:szCs w:val="28"/>
    </w:rPr>
  </w:style>
  <w:style w:type="paragraph" w:customStyle="1" w:styleId="151">
    <w:name w:val="Char Char Char Char Char Char Char Char Char Char Char Char Char Char1 Char Char Char Char"/>
    <w:basedOn w:val="1"/>
    <w:qFormat/>
    <w:uiPriority w:val="0"/>
    <w:rPr>
      <w:szCs w:val="21"/>
    </w:rPr>
  </w:style>
  <w:style w:type="paragraph" w:customStyle="1" w:styleId="152">
    <w:name w:val="xl36"/>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153">
    <w:name w:val="reader-word-layer reader-word-s6-9"/>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4">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55">
    <w:name w:val="xl28"/>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56">
    <w:name w:val="标题6（一）"/>
    <w:basedOn w:val="1"/>
    <w:qFormat/>
    <w:uiPriority w:val="99"/>
    <w:pPr>
      <w:spacing w:line="360" w:lineRule="auto"/>
      <w:ind w:firstLine="200" w:firstLineChars="200"/>
      <w:outlineLvl w:val="5"/>
    </w:pPr>
    <w:rPr>
      <w:rFonts w:ascii="宋体" w:hAnsi="宋体" w:cs="宋体"/>
      <w:sz w:val="26"/>
      <w:szCs w:val="26"/>
    </w:rPr>
  </w:style>
  <w:style w:type="paragraph" w:customStyle="1" w:styleId="157">
    <w:name w:val="xl3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158">
    <w:name w:val="样式6"/>
    <w:qFormat/>
    <w:uiPriority w:val="99"/>
    <w:pPr>
      <w:widowControl w:val="0"/>
      <w:spacing w:line="360" w:lineRule="auto"/>
      <w:ind w:firstLine="567"/>
    </w:pPr>
    <w:rPr>
      <w:rFonts w:ascii="仿宋_GB2312" w:hAnsi="Times New Roman" w:eastAsia="仿宋_GB2312" w:cs="Times New Roman"/>
      <w:sz w:val="28"/>
      <w:lang w:val="en-US" w:eastAsia="zh-CN" w:bidi="ar-SA"/>
    </w:rPr>
  </w:style>
  <w:style w:type="paragraph" w:customStyle="1" w:styleId="159">
    <w:name w:val="xl3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60">
    <w:name w:val="标题5 一"/>
    <w:basedOn w:val="1"/>
    <w:qFormat/>
    <w:uiPriority w:val="99"/>
    <w:pPr>
      <w:adjustRightInd w:val="0"/>
      <w:snapToGrid w:val="0"/>
      <w:spacing w:line="360" w:lineRule="auto"/>
      <w:ind w:firstLine="800" w:firstLineChars="200"/>
    </w:pPr>
    <w:rPr>
      <w:sz w:val="40"/>
      <w:szCs w:val="21"/>
    </w:rPr>
  </w:style>
  <w:style w:type="paragraph" w:customStyle="1" w:styleId="161">
    <w:name w:val="样式1"/>
    <w:basedOn w:val="3"/>
    <w:qFormat/>
    <w:uiPriority w:val="99"/>
    <w:pPr>
      <w:keepNext w:val="0"/>
      <w:widowControl/>
      <w:spacing w:before="100" w:beforeAutospacing="1" w:line="360" w:lineRule="auto"/>
      <w:jc w:val="center"/>
    </w:pPr>
    <w:rPr>
      <w:rFonts w:hAnsi="宋体"/>
      <w:b/>
      <w:sz w:val="32"/>
      <w:szCs w:val="30"/>
    </w:rPr>
  </w:style>
  <w:style w:type="paragraph" w:customStyle="1" w:styleId="162">
    <w:name w:val="标题8（1）"/>
    <w:basedOn w:val="1"/>
    <w:qFormat/>
    <w:uiPriority w:val="99"/>
    <w:pPr>
      <w:spacing w:line="360" w:lineRule="auto"/>
      <w:ind w:firstLine="200" w:firstLineChars="200"/>
      <w:outlineLvl w:val="7"/>
    </w:pPr>
    <w:rPr>
      <w:rFonts w:ascii="宋体" w:hAnsi="宋体" w:cs="宋体"/>
      <w:sz w:val="26"/>
      <w:szCs w:val="26"/>
    </w:rPr>
  </w:style>
  <w:style w:type="paragraph" w:customStyle="1" w:styleId="163">
    <w:name w:val="标题8（1） Char"/>
    <w:basedOn w:val="1"/>
    <w:qFormat/>
    <w:uiPriority w:val="99"/>
    <w:pPr>
      <w:spacing w:line="360" w:lineRule="auto"/>
      <w:ind w:firstLine="200" w:firstLineChars="200"/>
      <w:outlineLvl w:val="7"/>
    </w:pPr>
    <w:rPr>
      <w:rFonts w:ascii="宋体" w:hAnsi="宋体" w:cs="宋体"/>
      <w:sz w:val="26"/>
      <w:szCs w:val="26"/>
    </w:rPr>
  </w:style>
  <w:style w:type="paragraph" w:customStyle="1" w:styleId="164">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165">
    <w:name w:val="Char Char Char Char"/>
    <w:basedOn w:val="96"/>
    <w:qFormat/>
    <w:uiPriority w:val="0"/>
    <w:pPr>
      <w:adjustRightInd w:val="0"/>
      <w:snapToGrid w:val="0"/>
      <w:spacing w:line="360" w:lineRule="auto"/>
    </w:pPr>
    <w:rPr>
      <w:rFonts w:ascii="Tahoma" w:hAnsi="Tahoma" w:cs="Tahoma"/>
      <w:sz w:val="24"/>
      <w:szCs w:val="24"/>
    </w:rPr>
  </w:style>
  <w:style w:type="paragraph" w:customStyle="1" w:styleId="166">
    <w:name w:val="xl3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Cs w:val="21"/>
    </w:rPr>
  </w:style>
  <w:style w:type="paragraph" w:customStyle="1" w:styleId="167">
    <w:name w:val="Char11"/>
    <w:basedOn w:val="1"/>
    <w:qFormat/>
    <w:uiPriority w:val="99"/>
    <w:pPr>
      <w:spacing w:line="360" w:lineRule="auto"/>
      <w:ind w:firstLine="551" w:firstLineChars="196"/>
    </w:pPr>
    <w:rPr>
      <w:b/>
      <w:sz w:val="28"/>
      <w:szCs w:val="28"/>
    </w:rPr>
  </w:style>
  <w:style w:type="paragraph" w:customStyle="1" w:styleId="168">
    <w:name w:val="font6"/>
    <w:basedOn w:val="1"/>
    <w:qFormat/>
    <w:uiPriority w:val="0"/>
    <w:pPr>
      <w:widowControl/>
      <w:spacing w:before="100" w:beforeAutospacing="1" w:after="100" w:afterAutospacing="1"/>
      <w:jc w:val="left"/>
    </w:pPr>
    <w:rPr>
      <w:kern w:val="0"/>
      <w:sz w:val="18"/>
      <w:szCs w:val="18"/>
    </w:rPr>
  </w:style>
  <w:style w:type="paragraph" w:customStyle="1" w:styleId="169">
    <w:name w:val="列出段落1"/>
    <w:basedOn w:val="1"/>
    <w:qFormat/>
    <w:uiPriority w:val="34"/>
    <w:pPr>
      <w:ind w:firstLine="420" w:firstLineChars="200"/>
    </w:pPr>
  </w:style>
  <w:style w:type="paragraph" w:customStyle="1" w:styleId="170">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71">
    <w:name w:val="默认段落字体 Para Char Char Char Char Char Char Char"/>
    <w:basedOn w:val="1"/>
    <w:qFormat/>
    <w:uiPriority w:val="0"/>
    <w:rPr>
      <w:rFonts w:ascii="Tahoma" w:hAnsi="Tahoma" w:cs="Tahoma"/>
      <w:sz w:val="24"/>
    </w:rPr>
  </w:style>
  <w:style w:type="paragraph" w:customStyle="1" w:styleId="172">
    <w:name w:val="xl2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0"/>
      <w:szCs w:val="20"/>
    </w:rPr>
  </w:style>
  <w:style w:type="paragraph" w:customStyle="1" w:styleId="173">
    <w:name w:val="修订2"/>
    <w:qFormat/>
    <w:uiPriority w:val="99"/>
    <w:rPr>
      <w:rFonts w:ascii="Times New Roman" w:hAnsi="Times New Roman" w:eastAsia="宋体" w:cs="Times New Roman"/>
      <w:kern w:val="2"/>
      <w:sz w:val="21"/>
      <w:szCs w:val="24"/>
      <w:lang w:val="en-US" w:eastAsia="zh-CN" w:bidi="ar-SA"/>
    </w:rPr>
  </w:style>
  <w:style w:type="paragraph" w:customStyle="1" w:styleId="17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18"/>
      <w:szCs w:val="18"/>
    </w:rPr>
  </w:style>
  <w:style w:type="paragraph" w:customStyle="1" w:styleId="17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6">
    <w:name w:val="xl3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77">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cs="Arial Unicode MS"/>
      <w:kern w:val="0"/>
      <w:sz w:val="18"/>
      <w:szCs w:val="18"/>
    </w:rPr>
  </w:style>
  <w:style w:type="paragraph" w:customStyle="1" w:styleId="17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18"/>
      <w:szCs w:val="18"/>
    </w:rPr>
  </w:style>
  <w:style w:type="paragraph" w:customStyle="1" w:styleId="179">
    <w:name w:val="Char Char Char Char Char Char Char Char Char Char Char Char Char Char1 Char Char Char Char1"/>
    <w:basedOn w:val="1"/>
    <w:qFormat/>
    <w:uiPriority w:val="99"/>
    <w:rPr>
      <w:szCs w:val="21"/>
    </w:rPr>
  </w:style>
  <w:style w:type="paragraph" w:customStyle="1" w:styleId="180">
    <w:name w:val="xl38"/>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character" w:customStyle="1" w:styleId="181">
    <w:name w:val="文档结构图 Char1"/>
    <w:qFormat/>
    <w:uiPriority w:val="99"/>
    <w:rPr>
      <w:rFonts w:ascii="宋体"/>
      <w:kern w:val="2"/>
      <w:sz w:val="18"/>
      <w:szCs w:val="18"/>
    </w:rPr>
  </w:style>
  <w:style w:type="paragraph" w:customStyle="1" w:styleId="182">
    <w:name w:val="正文文本缩进2"/>
    <w:basedOn w:val="1"/>
    <w:qFormat/>
    <w:uiPriority w:val="0"/>
    <w:pPr>
      <w:spacing w:line="480" w:lineRule="auto"/>
      <w:ind w:firstLine="705"/>
    </w:pPr>
    <w:rPr>
      <w:sz w:val="24"/>
    </w:rPr>
  </w:style>
  <w:style w:type="paragraph" w:customStyle="1" w:styleId="183">
    <w:name w:val="Char1211"/>
    <w:basedOn w:val="1"/>
    <w:uiPriority w:val="0"/>
    <w:pPr>
      <w:spacing w:line="360" w:lineRule="auto"/>
      <w:ind w:firstLine="1653" w:firstLineChars="588"/>
    </w:pPr>
    <w:rPr>
      <w:b/>
      <w:sz w:val="28"/>
      <w:szCs w:val="28"/>
    </w:rPr>
  </w:style>
  <w:style w:type="paragraph" w:customStyle="1" w:styleId="184">
    <w:name w:val="Char Char Char Char Char Char Char Char Char Char Char Char Char Char1 Char Char Char Char211"/>
    <w:basedOn w:val="1"/>
    <w:uiPriority w:val="0"/>
    <w:rPr>
      <w:szCs w:val="21"/>
    </w:rPr>
  </w:style>
  <w:style w:type="character" w:customStyle="1" w:styleId="185">
    <w:name w:val="biaoti"/>
    <w:basedOn w:val="46"/>
    <w:qFormat/>
    <w:uiPriority w:val="0"/>
  </w:style>
  <w:style w:type="character" w:customStyle="1" w:styleId="186">
    <w:name w:val="Char Char3"/>
    <w:qFormat/>
    <w:uiPriority w:val="0"/>
    <w:rPr>
      <w:rFonts w:ascii="宋体"/>
      <w:kern w:val="2"/>
      <w:sz w:val="28"/>
    </w:rPr>
  </w:style>
  <w:style w:type="character" w:customStyle="1" w:styleId="187">
    <w:name w:val="Char Char4111"/>
    <w:uiPriority w:val="0"/>
    <w:rPr>
      <w:rFonts w:ascii="宋体" w:eastAsia="宋体"/>
      <w:kern w:val="2"/>
      <w:sz w:val="28"/>
      <w:lang w:val="en-US" w:eastAsia="zh-CN" w:bidi="ar-SA"/>
    </w:rPr>
  </w:style>
  <w:style w:type="character" w:customStyle="1" w:styleId="188">
    <w:name w:val="zi999"/>
    <w:basedOn w:val="46"/>
    <w:qFormat/>
    <w:uiPriority w:val="0"/>
  </w:style>
  <w:style w:type="character" w:customStyle="1" w:styleId="189">
    <w:name w:val="纯文本 Char1"/>
    <w:qFormat/>
    <w:uiPriority w:val="99"/>
    <w:rPr>
      <w:rFonts w:ascii="宋体" w:hAnsi="Courier New" w:cs="Courier New"/>
      <w:kern w:val="2"/>
      <w:sz w:val="21"/>
      <w:szCs w:val="21"/>
    </w:rPr>
  </w:style>
  <w:style w:type="character" w:customStyle="1" w:styleId="190">
    <w:name w:val="正文首行缩进 2 Char"/>
    <w:link w:val="43"/>
    <w:qFormat/>
    <w:uiPriority w:val="99"/>
    <w:rPr>
      <w:rFonts w:ascii="宋体"/>
      <w:kern w:val="2"/>
      <w:sz w:val="21"/>
      <w:szCs w:val="24"/>
    </w:rPr>
  </w:style>
  <w:style w:type="character" w:customStyle="1" w:styleId="191">
    <w:name w:val="正文首行缩进 Char"/>
    <w:link w:val="42"/>
    <w:qFormat/>
    <w:uiPriority w:val="99"/>
    <w:rPr>
      <w:kern w:val="2"/>
      <w:sz w:val="21"/>
      <w:szCs w:val="24"/>
    </w:rPr>
  </w:style>
  <w:style w:type="character" w:customStyle="1" w:styleId="192">
    <w:name w:val="HTML 预设格式 Char1"/>
    <w:qFormat/>
    <w:uiPriority w:val="0"/>
    <w:rPr>
      <w:rFonts w:ascii="Courier New" w:hAnsi="Courier New" w:cs="Courier New"/>
      <w:kern w:val="2"/>
    </w:rPr>
  </w:style>
  <w:style w:type="character" w:customStyle="1" w:styleId="193">
    <w:name w:val="批注文字 Char2"/>
    <w:qFormat/>
    <w:uiPriority w:val="0"/>
    <w:rPr>
      <w:rFonts w:ascii="Times New Roman" w:hAnsi="Times New Roman" w:eastAsia="宋体" w:cs="Times New Roman"/>
      <w:szCs w:val="24"/>
    </w:rPr>
  </w:style>
  <w:style w:type="character" w:customStyle="1" w:styleId="194">
    <w:name w:val="脚注文本 Char2"/>
    <w:qFormat/>
    <w:uiPriority w:val="99"/>
    <w:rPr>
      <w:kern w:val="2"/>
      <w:sz w:val="18"/>
      <w:szCs w:val="18"/>
    </w:rPr>
  </w:style>
  <w:style w:type="character" w:customStyle="1" w:styleId="195">
    <w:name w:val="脚注文本 Char1"/>
    <w:qFormat/>
    <w:uiPriority w:val="99"/>
    <w:rPr>
      <w:kern w:val="2"/>
      <w:sz w:val="18"/>
      <w:szCs w:val="18"/>
    </w:rPr>
  </w:style>
  <w:style w:type="character" w:customStyle="1" w:styleId="196">
    <w:name w:val="正文文本 Char1"/>
    <w:qFormat/>
    <w:uiPriority w:val="99"/>
    <w:rPr>
      <w:kern w:val="2"/>
      <w:sz w:val="21"/>
      <w:szCs w:val="24"/>
    </w:rPr>
  </w:style>
  <w:style w:type="character" w:customStyle="1" w:styleId="197">
    <w:name w:val="批注主题 Char2"/>
    <w:semiHidden/>
    <w:uiPriority w:val="99"/>
    <w:rPr>
      <w:rFonts w:ascii="Times New Roman" w:hAnsi="Times New Roman" w:eastAsia="宋体" w:cs="Times New Roman"/>
      <w:b/>
      <w:bCs/>
      <w:szCs w:val="24"/>
    </w:rPr>
  </w:style>
  <w:style w:type="character" w:customStyle="1" w:styleId="198">
    <w:name w:val="Char Char3111"/>
    <w:uiPriority w:val="99"/>
    <w:rPr>
      <w:rFonts w:ascii="宋体"/>
      <w:kern w:val="2"/>
      <w:sz w:val="28"/>
    </w:rPr>
  </w:style>
  <w:style w:type="character" w:customStyle="1" w:styleId="199">
    <w:name w:val="标题1"/>
    <w:qFormat/>
    <w:uiPriority w:val="0"/>
    <w:rPr>
      <w:rFonts w:ascii="Times New Roman" w:hAnsi="Times New Roman" w:eastAsia="宋体" w:cs="Times New Roman"/>
    </w:rPr>
  </w:style>
  <w:style w:type="character" w:customStyle="1" w:styleId="200">
    <w:name w:val="Char Char1111"/>
    <w:uiPriority w:val="0"/>
    <w:rPr>
      <w:rFonts w:eastAsia="宋体"/>
      <w:kern w:val="2"/>
      <w:sz w:val="18"/>
      <w:szCs w:val="18"/>
      <w:lang w:val="en-US" w:eastAsia="zh-CN" w:bidi="ar-SA"/>
    </w:rPr>
  </w:style>
  <w:style w:type="character" w:customStyle="1" w:styleId="201">
    <w:name w:val="Char Char"/>
    <w:qFormat/>
    <w:uiPriority w:val="99"/>
    <w:rPr>
      <w:rFonts w:eastAsia="宋体"/>
      <w:kern w:val="2"/>
      <w:sz w:val="18"/>
      <w:lang w:val="en-US" w:eastAsia="zh-CN"/>
    </w:rPr>
  </w:style>
  <w:style w:type="character" w:customStyle="1" w:styleId="202">
    <w:name w:val="正文文本 3 Char1"/>
    <w:qFormat/>
    <w:uiPriority w:val="99"/>
    <w:rPr>
      <w:kern w:val="2"/>
      <w:sz w:val="16"/>
      <w:szCs w:val="16"/>
    </w:rPr>
  </w:style>
  <w:style w:type="character" w:customStyle="1" w:styleId="203">
    <w:name w:val="Char Char41"/>
    <w:qFormat/>
    <w:uiPriority w:val="0"/>
    <w:rPr>
      <w:rFonts w:ascii="宋体" w:eastAsia="宋体"/>
      <w:kern w:val="2"/>
      <w:sz w:val="28"/>
      <w:lang w:val="en-US" w:eastAsia="zh-CN" w:bidi="ar-SA"/>
    </w:rPr>
  </w:style>
  <w:style w:type="character" w:customStyle="1" w:styleId="204">
    <w:name w:val="批注框文本 Char1"/>
    <w:semiHidden/>
    <w:uiPriority w:val="99"/>
    <w:rPr>
      <w:rFonts w:ascii="Times New Roman" w:hAnsi="Times New Roman" w:eastAsia="宋体" w:cs="Times New Roman"/>
      <w:sz w:val="18"/>
      <w:szCs w:val="18"/>
    </w:rPr>
  </w:style>
  <w:style w:type="character" w:customStyle="1" w:styleId="205">
    <w:name w:val="Char Char31"/>
    <w:qFormat/>
    <w:uiPriority w:val="0"/>
    <w:rPr>
      <w:rFonts w:ascii="宋体"/>
      <w:kern w:val="2"/>
      <w:sz w:val="28"/>
    </w:rPr>
  </w:style>
  <w:style w:type="character" w:customStyle="1" w:styleId="206">
    <w:name w:val="正文文本 2 Char2"/>
    <w:qFormat/>
    <w:uiPriority w:val="99"/>
    <w:rPr>
      <w:kern w:val="2"/>
      <w:sz w:val="21"/>
      <w:szCs w:val="24"/>
    </w:rPr>
  </w:style>
  <w:style w:type="character" w:customStyle="1" w:styleId="207">
    <w:name w:val="正文文本 2 Char1"/>
    <w:qFormat/>
    <w:uiPriority w:val="99"/>
    <w:rPr>
      <w:kern w:val="2"/>
      <w:sz w:val="21"/>
      <w:szCs w:val="24"/>
    </w:rPr>
  </w:style>
  <w:style w:type="character" w:customStyle="1" w:styleId="208">
    <w:name w:val="正文文本缩进 3 Char3"/>
    <w:semiHidden/>
    <w:uiPriority w:val="99"/>
    <w:rPr>
      <w:rFonts w:ascii="Times New Roman" w:hAnsi="Times New Roman" w:eastAsia="宋体" w:cs="Times New Roman"/>
      <w:sz w:val="16"/>
      <w:szCs w:val="16"/>
    </w:rPr>
  </w:style>
  <w:style w:type="character" w:customStyle="1" w:styleId="209">
    <w:name w:val="文档结构图 Char2"/>
    <w:qFormat/>
    <w:uiPriority w:val="99"/>
    <w:rPr>
      <w:rFonts w:ascii="宋体"/>
      <w:kern w:val="2"/>
      <w:sz w:val="18"/>
      <w:szCs w:val="18"/>
    </w:rPr>
  </w:style>
  <w:style w:type="character" w:customStyle="1" w:styleId="210">
    <w:name w:val="纯文本 Char2"/>
    <w:qFormat/>
    <w:uiPriority w:val="99"/>
    <w:rPr>
      <w:rFonts w:ascii="宋体" w:hAnsi="Courier New" w:cs="Courier New"/>
      <w:kern w:val="2"/>
      <w:sz w:val="21"/>
      <w:szCs w:val="21"/>
    </w:rPr>
  </w:style>
  <w:style w:type="character" w:customStyle="1" w:styleId="211">
    <w:name w:val="日期 Char1"/>
    <w:semiHidden/>
    <w:uiPriority w:val="99"/>
    <w:rPr>
      <w:rFonts w:ascii="Times New Roman" w:hAnsi="Times New Roman" w:eastAsia="宋体" w:cs="Times New Roman"/>
      <w:szCs w:val="24"/>
    </w:rPr>
  </w:style>
  <w:style w:type="character" w:customStyle="1" w:styleId="212">
    <w:name w:val="apple-style-span"/>
    <w:qFormat/>
    <w:uiPriority w:val="0"/>
    <w:rPr>
      <w:rFonts w:ascii="Times New Roman" w:hAnsi="Times New Roman" w:eastAsia="宋体" w:cs="Times New Roman"/>
    </w:rPr>
  </w:style>
  <w:style w:type="character" w:customStyle="1" w:styleId="213">
    <w:name w:val="Char Char11"/>
    <w:qFormat/>
    <w:uiPriority w:val="99"/>
    <w:rPr>
      <w:rFonts w:eastAsia="宋体"/>
      <w:kern w:val="2"/>
      <w:sz w:val="18"/>
      <w:lang w:val="en-US" w:eastAsia="zh-CN"/>
    </w:rPr>
  </w:style>
  <w:style w:type="character" w:customStyle="1" w:styleId="214">
    <w:name w:val="HTML 预设格式 Char3"/>
    <w:qFormat/>
    <w:uiPriority w:val="99"/>
    <w:rPr>
      <w:rFonts w:ascii="Courier New" w:hAnsi="Courier New" w:cs="Courier New"/>
      <w:kern w:val="2"/>
    </w:rPr>
  </w:style>
  <w:style w:type="character" w:customStyle="1" w:styleId="215">
    <w:name w:val="正文文本 3 Char2"/>
    <w:qFormat/>
    <w:uiPriority w:val="99"/>
    <w:rPr>
      <w:kern w:val="2"/>
      <w:sz w:val="16"/>
      <w:szCs w:val="16"/>
    </w:rPr>
  </w:style>
  <w:style w:type="character" w:customStyle="1" w:styleId="216">
    <w:name w:val="zib"/>
    <w:qFormat/>
    <w:uiPriority w:val="0"/>
    <w:rPr>
      <w:rFonts w:ascii="Times New Roman" w:hAnsi="Times New Roman" w:eastAsia="宋体" w:cs="Times New Roman"/>
    </w:rPr>
  </w:style>
  <w:style w:type="character" w:customStyle="1" w:styleId="217">
    <w:name w:val="正文文本缩进 Char1"/>
    <w:semiHidden/>
    <w:uiPriority w:val="0"/>
    <w:rPr>
      <w:rFonts w:ascii="Times New Roman" w:hAnsi="Times New Roman" w:eastAsia="宋体" w:cs="Times New Roman"/>
      <w:szCs w:val="24"/>
    </w:rPr>
  </w:style>
  <w:style w:type="character" w:customStyle="1" w:styleId="218">
    <w:name w:val="正文文本缩进 2 Char1"/>
    <w:uiPriority w:val="0"/>
    <w:rPr>
      <w:rFonts w:ascii="Times New Roman" w:hAnsi="Times New Roman" w:eastAsia="宋体" w:cs="Times New Roman"/>
      <w:szCs w:val="24"/>
    </w:rPr>
  </w:style>
  <w:style w:type="character" w:customStyle="1" w:styleId="219">
    <w:name w:val="HTML 预设格式 Char2"/>
    <w:semiHidden/>
    <w:uiPriority w:val="99"/>
    <w:rPr>
      <w:rFonts w:ascii="Courier New" w:hAnsi="Courier New" w:eastAsia="宋体" w:cs="Courier New"/>
      <w:sz w:val="20"/>
      <w:szCs w:val="20"/>
    </w:rPr>
  </w:style>
  <w:style w:type="character" w:customStyle="1" w:styleId="220">
    <w:name w:val="页眉 Char1"/>
    <w:uiPriority w:val="99"/>
    <w:rPr>
      <w:kern w:val="2"/>
      <w:sz w:val="18"/>
      <w:szCs w:val="18"/>
    </w:rPr>
  </w:style>
  <w:style w:type="paragraph" w:customStyle="1" w:styleId="221">
    <w:name w:val="et28"/>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2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23">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styleId="226">
    <w:name w:val="List Paragraph"/>
    <w:basedOn w:val="1"/>
    <w:qFormat/>
    <w:uiPriority w:val="99"/>
    <w:pPr>
      <w:ind w:firstLine="420" w:firstLineChars="200"/>
    </w:pPr>
  </w:style>
  <w:style w:type="paragraph" w:customStyle="1" w:styleId="22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8">
    <w:name w:val="et27"/>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29">
    <w:name w:val="et26"/>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232">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3">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23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35">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6">
    <w:name w:val="xl9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8">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39">
    <w:name w:val="Char Char Char Char Char Char Char Char Char Char Char Char Char Char1 Char Char Char Char3"/>
    <w:basedOn w:val="1"/>
    <w:qFormat/>
    <w:uiPriority w:val="0"/>
    <w:rPr>
      <w:szCs w:val="21"/>
    </w:rPr>
  </w:style>
  <w:style w:type="paragraph" w:customStyle="1" w:styleId="240">
    <w:name w:val="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3">
    <w:name w:val="Char Char Char Char Char Char Char Char Char Char Char Char Char Char1 Char Char Char Char2"/>
    <w:basedOn w:val="1"/>
    <w:qFormat/>
    <w:uiPriority w:val="99"/>
    <w:rPr>
      <w:szCs w:val="21"/>
    </w:rPr>
  </w:style>
  <w:style w:type="paragraph" w:customStyle="1" w:styleId="24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5">
    <w:name w:val="修订211"/>
    <w:uiPriority w:val="99"/>
    <w:pPr>
      <w:spacing w:line="640" w:lineRule="exact"/>
      <w:jc w:val="center"/>
    </w:pPr>
    <w:rPr>
      <w:rFonts w:ascii="Times New Roman" w:hAnsi="Times New Roman" w:eastAsia="宋体" w:cs="Times New Roman"/>
      <w:szCs w:val="21"/>
      <w:lang w:val="en-US" w:eastAsia="zh-CN" w:bidi="ar-SA"/>
    </w:rPr>
  </w:style>
  <w:style w:type="paragraph" w:styleId="24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7">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49">
    <w:name w:val="xl10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0">
    <w:name w:val="et3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51">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52">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4">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5">
    <w:name w:val="et18"/>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56">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57">
    <w:name w:val="xl11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58">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5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60">
    <w:name w:val="et2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6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6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63">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64">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65">
    <w:name w:val="xl9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6">
    <w:name w:val="3"/>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Char12"/>
    <w:basedOn w:val="1"/>
    <w:qFormat/>
    <w:uiPriority w:val="99"/>
    <w:pPr>
      <w:spacing w:line="360" w:lineRule="auto"/>
      <w:ind w:firstLine="1653" w:firstLineChars="588"/>
    </w:pPr>
    <w:rPr>
      <w:b/>
      <w:sz w:val="28"/>
      <w:szCs w:val="28"/>
    </w:rPr>
  </w:style>
  <w:style w:type="character" w:customStyle="1" w:styleId="268">
    <w:name w:val="标题 5 Char"/>
    <w:link w:val="6"/>
    <w:uiPriority w:val="9"/>
    <w:rPr>
      <w:b/>
      <w:bCs/>
      <w:kern w:val="2"/>
      <w:sz w:val="28"/>
      <w:szCs w:val="28"/>
    </w:rPr>
  </w:style>
  <w:style w:type="character" w:customStyle="1" w:styleId="269">
    <w:name w:val="标题 6 Char"/>
    <w:link w:val="7"/>
    <w:uiPriority w:val="9"/>
    <w:rPr>
      <w:rFonts w:asciiTheme="majorHAnsi" w:hAnsiTheme="majorHAnsi" w:eastAsiaTheme="majorEastAsia" w:cstheme="majorBidi"/>
      <w:b/>
      <w:bCs/>
      <w:kern w:val="2"/>
      <w:sz w:val="24"/>
      <w:szCs w:val="24"/>
    </w:rPr>
  </w:style>
  <w:style w:type="character" w:customStyle="1" w:styleId="270">
    <w:name w:val="标题 7 Char"/>
    <w:link w:val="8"/>
    <w:uiPriority w:val="9"/>
    <w:rPr>
      <w:b/>
      <w:bCs/>
      <w:kern w:val="2"/>
      <w:sz w:val="24"/>
      <w:szCs w:val="24"/>
    </w:rPr>
  </w:style>
  <w:style w:type="character" w:customStyle="1" w:styleId="271">
    <w:name w:val="标题 8 Char"/>
    <w:link w:val="9"/>
    <w:uiPriority w:val="9"/>
    <w:rPr>
      <w:rFonts w:asciiTheme="majorHAnsi" w:hAnsiTheme="majorHAnsi" w:eastAsiaTheme="majorEastAsia" w:cstheme="majorBidi"/>
      <w:kern w:val="2"/>
      <w:sz w:val="24"/>
      <w:szCs w:val="24"/>
    </w:rPr>
  </w:style>
  <w:style w:type="character" w:customStyle="1" w:styleId="272">
    <w:name w:val="标题 9 Char"/>
    <w:link w:val="10"/>
    <w:uiPriority w:val="9"/>
    <w:rPr>
      <w:rFonts w:asciiTheme="majorHAnsi" w:hAnsiTheme="majorHAnsi" w:eastAsiaTheme="majorEastAsia" w:cstheme="majorBidi"/>
      <w:kern w:val="2"/>
      <w:sz w:val="21"/>
      <w:szCs w:val="21"/>
    </w:rPr>
  </w:style>
  <w:style w:type="character" w:customStyle="1" w:styleId="273">
    <w:name w:val="已访问的超链接1"/>
    <w:uiPriority w:val="99"/>
    <w:rPr>
      <w:color w:val="800080"/>
      <w:u w:val="single"/>
    </w:rPr>
  </w:style>
  <w:style w:type="character" w:customStyle="1" w:styleId="274">
    <w:name w:val="标题11"/>
    <w:basedOn w:val="46"/>
    <w:uiPriority w:val="0"/>
  </w:style>
  <w:style w:type="paragraph" w:customStyle="1" w:styleId="27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640" w:lineRule="exact"/>
      <w:jc w:val="center"/>
      <w:textAlignment w:val="bottom"/>
    </w:pPr>
    <w:rPr>
      <w:rFonts w:ascii="宋体" w:hAnsi="宋体" w:cs="宋体"/>
      <w:color w:val="000000"/>
      <w:kern w:val="0"/>
      <w:sz w:val="18"/>
      <w:szCs w:val="18"/>
    </w:rPr>
  </w:style>
  <w:style w:type="paragraph" w:customStyle="1" w:styleId="276">
    <w:name w:val="xl73"/>
    <w:basedOn w:val="1"/>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277">
    <w:name w:val="font1"/>
    <w:basedOn w:val="1"/>
    <w:uiPriority w:val="0"/>
    <w:pPr>
      <w:widowControl/>
      <w:spacing w:before="100" w:beforeAutospacing="1" w:after="100" w:afterAutospacing="1"/>
      <w:jc w:val="left"/>
    </w:pPr>
    <w:rPr>
      <w:rFonts w:ascii="宋体" w:hAnsi="宋体" w:cs="宋体"/>
      <w:kern w:val="0"/>
      <w:sz w:val="24"/>
    </w:rPr>
  </w:style>
  <w:style w:type="paragraph" w:customStyle="1" w:styleId="278">
    <w:name w:val="xl76"/>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79">
    <w:name w:val="Char Char Char Char Char Char Char Char Char Char Char Char Char Char1 Char Char Char Char11"/>
    <w:basedOn w:val="1"/>
    <w:uiPriority w:val="0"/>
    <w:rPr>
      <w:szCs w:val="21"/>
    </w:rPr>
  </w:style>
  <w:style w:type="paragraph" w:customStyle="1" w:styleId="280">
    <w:name w:val="xl84"/>
    <w:basedOn w:val="1"/>
    <w:uiPriority w:val="0"/>
    <w:pPr>
      <w:widowControl/>
      <w:spacing w:before="100" w:beforeAutospacing="1" w:after="100" w:afterAutospacing="1"/>
      <w:jc w:val="center"/>
    </w:pPr>
    <w:rPr>
      <w:rFonts w:ascii="宋体" w:hAnsi="宋体" w:cs="宋体"/>
      <w:kern w:val="0"/>
    </w:rPr>
  </w:style>
  <w:style w:type="paragraph" w:customStyle="1" w:styleId="281">
    <w:name w:val="修订11"/>
    <w:uiPriority w:val="99"/>
    <w:pPr>
      <w:spacing w:line="640" w:lineRule="exact"/>
      <w:jc w:val="center"/>
    </w:pPr>
    <w:rPr>
      <w:rFonts w:ascii="Times New Roman" w:hAnsi="Times New Roman" w:eastAsia="宋体" w:cs="Times New Roman"/>
      <w:szCs w:val="21"/>
      <w:lang w:val="en-US" w:eastAsia="zh-CN" w:bidi="ar-SA"/>
    </w:rPr>
  </w:style>
  <w:style w:type="paragraph" w:customStyle="1" w:styleId="282">
    <w:name w:val="xl75"/>
    <w:basedOn w:val="1"/>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283">
    <w:name w:val="xl78"/>
    <w:basedOn w:val="1"/>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284">
    <w:name w:val="xl71"/>
    <w:basedOn w:val="1"/>
    <w:uiPriority w:val="0"/>
    <w:pPr>
      <w:widowControl/>
      <w:pBdr>
        <w:left w:val="single" w:color="auto" w:sz="4" w:space="0"/>
        <w:right w:val="single" w:color="auto" w:sz="4" w:space="0"/>
      </w:pBdr>
      <w:spacing w:before="100" w:beforeAutospacing="1" w:after="100" w:afterAutospacing="1" w:line="640" w:lineRule="exact"/>
      <w:jc w:val="center"/>
    </w:pPr>
    <w:rPr>
      <w:color w:val="000000"/>
      <w:kern w:val="0"/>
      <w:sz w:val="18"/>
      <w:szCs w:val="18"/>
    </w:rPr>
  </w:style>
  <w:style w:type="paragraph" w:customStyle="1" w:styleId="285">
    <w:name w:val="xl74"/>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286">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rPr>
  </w:style>
  <w:style w:type="paragraph" w:customStyle="1" w:styleId="287">
    <w:name w:val="xl79"/>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88">
    <w:name w:val="et12"/>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89">
    <w:name w:val="et3"/>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90">
    <w:name w:val="xl77"/>
    <w:basedOn w:val="1"/>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291">
    <w:name w:val="et5"/>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9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293">
    <w:name w:val="et17"/>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94">
    <w:name w:val="et14"/>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95">
    <w:name w:val="xl70"/>
    <w:basedOn w:val="1"/>
    <w:uiPriority w:val="0"/>
    <w:pPr>
      <w:widowControl/>
      <w:pBdr>
        <w:top w:val="single" w:color="auto" w:sz="4" w:space="0"/>
        <w:left w:val="single" w:color="auto" w:sz="4" w:space="0"/>
        <w:right w:val="single" w:color="auto" w:sz="4" w:space="0"/>
      </w:pBdr>
      <w:spacing w:before="100" w:beforeAutospacing="1" w:after="100" w:afterAutospacing="1" w:line="640" w:lineRule="exact"/>
      <w:jc w:val="center"/>
    </w:pPr>
    <w:rPr>
      <w:color w:val="000000"/>
      <w:kern w:val="0"/>
      <w:sz w:val="18"/>
      <w:szCs w:val="18"/>
    </w:rPr>
  </w:style>
  <w:style w:type="paragraph" w:customStyle="1" w:styleId="296">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rPr>
  </w:style>
  <w:style w:type="paragraph" w:customStyle="1" w:styleId="297">
    <w:name w:val="xl64"/>
    <w:basedOn w:val="1"/>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98">
    <w:name w:val="xl82"/>
    <w:basedOn w:val="1"/>
    <w:uiPriority w:val="0"/>
    <w:pPr>
      <w:widowControl/>
      <w:spacing w:before="100" w:beforeAutospacing="1" w:after="100" w:afterAutospacing="1"/>
      <w:jc w:val="left"/>
    </w:pPr>
    <w:rPr>
      <w:rFonts w:ascii="宋体" w:hAnsi="宋体" w:cs="宋体"/>
      <w:kern w:val="0"/>
    </w:rPr>
  </w:style>
  <w:style w:type="paragraph" w:customStyle="1" w:styleId="299">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640" w:lineRule="exact"/>
      <w:jc w:val="center"/>
    </w:pPr>
    <w:rPr>
      <w:color w:val="000000"/>
      <w:kern w:val="0"/>
      <w:sz w:val="18"/>
      <w:szCs w:val="18"/>
    </w:rPr>
  </w:style>
  <w:style w:type="paragraph" w:customStyle="1" w:styleId="300">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301">
    <w:name w:val="xl86"/>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rPr>
  </w:style>
  <w:style w:type="paragraph" w:customStyle="1" w:styleId="30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640" w:lineRule="exact"/>
      <w:jc w:val="center"/>
    </w:pPr>
    <w:rPr>
      <w:rFonts w:ascii="宋体" w:hAnsi="宋体" w:cs="宋体"/>
      <w:b/>
      <w:bCs/>
      <w:color w:val="000000"/>
      <w:kern w:val="0"/>
      <w:sz w:val="18"/>
      <w:szCs w:val="18"/>
    </w:rPr>
  </w:style>
  <w:style w:type="paragraph" w:customStyle="1" w:styleId="303">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640" w:lineRule="exact"/>
      <w:jc w:val="center"/>
      <w:textAlignment w:val="top"/>
    </w:pPr>
    <w:rPr>
      <w:rFonts w:ascii="宋体" w:hAnsi="宋体" w:cs="宋体"/>
      <w:color w:val="000000"/>
      <w:kern w:val="0"/>
      <w:sz w:val="18"/>
      <w:szCs w:val="18"/>
    </w:rPr>
  </w:style>
  <w:style w:type="paragraph" w:customStyle="1" w:styleId="304">
    <w:name w:val="et7"/>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05">
    <w:name w:val="xl63"/>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06">
    <w:name w:val="font7"/>
    <w:basedOn w:val="1"/>
    <w:uiPriority w:val="0"/>
    <w:pPr>
      <w:widowControl/>
      <w:spacing w:before="100" w:beforeAutospacing="1" w:after="100" w:afterAutospacing="1" w:line="640" w:lineRule="exact"/>
      <w:jc w:val="left"/>
    </w:pPr>
    <w:rPr>
      <w:color w:val="000000"/>
      <w:kern w:val="0"/>
      <w:sz w:val="18"/>
      <w:szCs w:val="18"/>
    </w:rPr>
  </w:style>
  <w:style w:type="paragraph" w:customStyle="1" w:styleId="307">
    <w:name w:val="修订3"/>
    <w:unhideWhenUsed/>
    <w:uiPriority w:val="99"/>
    <w:rPr>
      <w:rFonts w:ascii="Times New Roman" w:hAnsi="Times New Roman" w:eastAsia="宋体" w:cs="Times New Roman"/>
      <w:szCs w:val="21"/>
      <w:lang w:val="en-US" w:eastAsia="zh-CN" w:bidi="ar-SA"/>
    </w:rPr>
  </w:style>
  <w:style w:type="paragraph" w:customStyle="1" w:styleId="308">
    <w:name w:val="xl72"/>
    <w:basedOn w:val="1"/>
    <w:uiPriority w:val="0"/>
    <w:pPr>
      <w:widowControl/>
      <w:pBdr>
        <w:left w:val="single" w:color="auto" w:sz="4" w:space="0"/>
        <w:bottom w:val="single" w:color="auto" w:sz="4" w:space="0"/>
        <w:right w:val="single" w:color="auto" w:sz="4" w:space="0"/>
      </w:pBdr>
      <w:spacing w:before="100" w:beforeAutospacing="1" w:after="100" w:afterAutospacing="1" w:line="640" w:lineRule="exact"/>
      <w:jc w:val="center"/>
    </w:pPr>
    <w:rPr>
      <w:color w:val="000000"/>
      <w:kern w:val="0"/>
      <w:sz w:val="18"/>
      <w:szCs w:val="18"/>
    </w:rPr>
  </w:style>
  <w:style w:type="paragraph" w:customStyle="1" w:styleId="309">
    <w:name w:val="xl83"/>
    <w:basedOn w:val="1"/>
    <w:uiPriority w:val="0"/>
    <w:pPr>
      <w:widowControl/>
      <w:spacing w:before="100" w:beforeAutospacing="1" w:after="100" w:afterAutospacing="1"/>
      <w:jc w:val="center"/>
    </w:pPr>
    <w:rPr>
      <w:rFonts w:ascii="宋体" w:hAnsi="宋体" w:cs="宋体"/>
      <w:kern w:val="0"/>
    </w:rPr>
  </w:style>
  <w:style w:type="paragraph" w:customStyle="1" w:styleId="310">
    <w:name w:val="TOC 标题111"/>
    <w:basedOn w:val="2"/>
    <w:next w:val="1"/>
    <w:uiPriority w:val="39"/>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311">
    <w:name w:val="xl8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rPr>
  </w:style>
  <w:style w:type="paragraph" w:customStyle="1" w:styleId="312">
    <w:name w:val="列出段落2"/>
    <w:basedOn w:val="1"/>
    <w:uiPriority w:val="99"/>
    <w:pPr>
      <w:widowControl/>
      <w:spacing w:line="640" w:lineRule="exact"/>
      <w:ind w:firstLine="420" w:firstLineChars="200"/>
      <w:jc w:val="left"/>
    </w:pPr>
    <w:rPr>
      <w:rFonts w:ascii="宋体" w:hAnsi="宋体" w:cs="宋体"/>
      <w:kern w:val="0"/>
      <w:sz w:val="24"/>
    </w:rPr>
  </w:style>
  <w:style w:type="paragraph" w:customStyle="1" w:styleId="313">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640" w:lineRule="exact"/>
      <w:jc w:val="center"/>
    </w:pPr>
    <w:rPr>
      <w:rFonts w:ascii="宋体" w:hAnsi="宋体" w:cs="宋体"/>
      <w:color w:val="000000"/>
      <w:kern w:val="0"/>
      <w:sz w:val="18"/>
      <w:szCs w:val="18"/>
    </w:rPr>
  </w:style>
  <w:style w:type="paragraph" w:customStyle="1" w:styleId="314">
    <w:name w:val="et8"/>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15">
    <w:name w:val="xl87"/>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31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rPr>
  </w:style>
  <w:style w:type="paragraph" w:customStyle="1" w:styleId="317">
    <w:name w:val="et4"/>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18">
    <w:name w:val="et6"/>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19">
    <w:name w:val="et13"/>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20">
    <w:name w:val="et15"/>
    <w:basedOn w:val="1"/>
    <w:uiPriority w:val="0"/>
    <w:pPr>
      <w:widowControl/>
      <w:spacing w:before="100" w:beforeAutospacing="1" w:after="100" w:afterAutospacing="1"/>
      <w:jc w:val="left"/>
      <w:textAlignment w:val="center"/>
    </w:pPr>
    <w:rPr>
      <w:rFonts w:ascii="宋体" w:hAnsi="宋体" w:cs="宋体"/>
      <w:color w:val="000000"/>
      <w:kern w:val="0"/>
      <w:sz w:val="22"/>
    </w:rPr>
  </w:style>
  <w:style w:type="character" w:customStyle="1" w:styleId="321">
    <w:name w:val="Char Char42"/>
    <w:qFormat/>
    <w:uiPriority w:val="0"/>
    <w:rPr>
      <w:rFonts w:ascii="宋体" w:eastAsia="宋体"/>
      <w:kern w:val="2"/>
      <w:sz w:val="28"/>
      <w:lang w:val="en-US" w:eastAsia="zh-CN" w:bidi="ar-SA"/>
    </w:rPr>
  </w:style>
  <w:style w:type="character" w:customStyle="1" w:styleId="322">
    <w:name w:val="Char Char32"/>
    <w:uiPriority w:val="0"/>
    <w:rPr>
      <w:rFonts w:ascii="宋体"/>
      <w:kern w:val="2"/>
      <w:sz w:val="28"/>
    </w:rPr>
  </w:style>
  <w:style w:type="character" w:customStyle="1" w:styleId="323">
    <w:name w:val="Char Char12"/>
    <w:uiPriority w:val="99"/>
    <w:rPr>
      <w:rFonts w:eastAsia="宋体"/>
      <w:kern w:val="2"/>
      <w:sz w:val="18"/>
      <w:szCs w:val="18"/>
      <w:lang w:val="en-US" w:eastAsia="zh-CN" w:bidi="ar-SA"/>
    </w:rPr>
  </w:style>
  <w:style w:type="paragraph" w:customStyle="1" w:styleId="324">
    <w:name w:val="Char Char Char Char Char Char Char Char Char Char Char Char Char Char1 Char Char Char Char4"/>
    <w:basedOn w:val="1"/>
    <w:uiPriority w:val="0"/>
    <w:rPr>
      <w:szCs w:val="21"/>
    </w:rPr>
  </w:style>
  <w:style w:type="paragraph" w:customStyle="1" w:styleId="325">
    <w:name w:val="Char13"/>
    <w:basedOn w:val="1"/>
    <w:qFormat/>
    <w:uiPriority w:val="0"/>
    <w:pPr>
      <w:spacing w:line="360" w:lineRule="auto"/>
      <w:ind w:firstLine="1653" w:firstLineChars="588"/>
    </w:pPr>
    <w:rPr>
      <w:b/>
      <w:sz w:val="28"/>
      <w:szCs w:val="28"/>
    </w:rPr>
  </w:style>
  <w:style w:type="paragraph" w:customStyle="1" w:styleId="326">
    <w:name w:val="p01"/>
    <w:basedOn w:val="1"/>
    <w:uiPriority w:val="0"/>
    <w:pPr>
      <w:widowControl/>
      <w:spacing w:line="480" w:lineRule="auto"/>
      <w:jc w:val="left"/>
    </w:pPr>
    <w:rPr>
      <w:rFonts w:ascii="宋体" w:hAnsi="宋体" w:cs="宋体"/>
      <w:color w:val="000000"/>
      <w:kern w:val="0"/>
      <w:szCs w:val="21"/>
    </w:rPr>
  </w:style>
  <w:style w:type="paragraph" w:customStyle="1" w:styleId="327">
    <w:name w:val="p161"/>
    <w:basedOn w:val="1"/>
    <w:uiPriority w:val="0"/>
    <w:pPr>
      <w:widowControl/>
      <w:spacing w:line="480" w:lineRule="auto"/>
      <w:jc w:val="left"/>
    </w:pPr>
    <w:rPr>
      <w:rFonts w:ascii="宋体" w:hAnsi="宋体" w:cs="宋体"/>
      <w:color w:val="000000"/>
      <w:kern w:val="0"/>
      <w:szCs w:val="21"/>
    </w:rPr>
  </w:style>
  <w:style w:type="character" w:styleId="328">
    <w:name w:val="Placeholder Text"/>
    <w:unhideWhenUsed/>
    <w:qFormat/>
    <w:uiPriority w:val="99"/>
    <w:rPr>
      <w:color w:val="808080"/>
    </w:rPr>
  </w:style>
  <w:style w:type="character" w:customStyle="1" w:styleId="329">
    <w:name w:val="正文首行缩进 2 Char1"/>
    <w:uiPriority w:val="0"/>
    <w:rPr>
      <w:kern w:val="2"/>
      <w:sz w:val="21"/>
      <w:szCs w:val="24"/>
    </w:rPr>
  </w:style>
  <w:style w:type="character" w:customStyle="1" w:styleId="330">
    <w:name w:val="font31"/>
    <w:uiPriority w:val="0"/>
    <w:rPr>
      <w:rFonts w:hint="eastAsia" w:ascii="宋体" w:hAnsi="宋体" w:eastAsia="宋体" w:cs="宋体"/>
      <w:color w:val="000000"/>
      <w:sz w:val="22"/>
      <w:szCs w:val="22"/>
      <w:u w:val="none"/>
    </w:rPr>
  </w:style>
  <w:style w:type="character" w:customStyle="1" w:styleId="331">
    <w:name w:val="font11"/>
    <w:uiPriority w:val="0"/>
    <w:rPr>
      <w:rFonts w:hint="default" w:ascii="Times New Roman" w:hAnsi="Times New Roman" w:cs="Times New Roman"/>
      <w:color w:val="000000"/>
      <w:sz w:val="22"/>
      <w:szCs w:val="22"/>
      <w:u w:val="none"/>
    </w:rPr>
  </w:style>
  <w:style w:type="character" w:customStyle="1" w:styleId="332">
    <w:name w:val="正文首行缩进 2 Char2"/>
    <w:semiHidden/>
    <w:qFormat/>
    <w:uiPriority w:val="99"/>
    <w:rPr>
      <w:rFonts w:ascii="宋体" w:eastAsia="宋体" w:cs="宋体"/>
      <w:kern w:val="2"/>
      <w:sz w:val="21"/>
      <w:szCs w:val="21"/>
      <w:lang w:val="en-US" w:eastAsia="zh-CN"/>
    </w:rPr>
  </w:style>
  <w:style w:type="character" w:customStyle="1" w:styleId="333">
    <w:name w:val="font01"/>
    <w:uiPriority w:val="0"/>
    <w:rPr>
      <w:rFonts w:hint="eastAsia" w:ascii="宋体" w:hAnsi="宋体" w:eastAsia="宋体" w:cs="宋体"/>
      <w:color w:val="000000"/>
      <w:sz w:val="22"/>
      <w:szCs w:val="22"/>
      <w:u w:val="none"/>
    </w:rPr>
  </w:style>
  <w:style w:type="paragraph" w:customStyle="1" w:styleId="334">
    <w:name w:val="正文文本缩进21"/>
    <w:basedOn w:val="1"/>
    <w:uiPriority w:val="0"/>
    <w:pPr>
      <w:spacing w:line="480" w:lineRule="auto"/>
      <w:ind w:firstLine="705"/>
    </w:pPr>
    <w:rPr>
      <w:sz w:val="24"/>
    </w:rPr>
  </w:style>
  <w:style w:type="table" w:customStyle="1" w:styleId="335">
    <w:name w:val="网格型1"/>
    <w:basedOn w:val="4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6">
    <w:name w:val="font8"/>
    <w:basedOn w:val="1"/>
    <w:uiPriority w:val="0"/>
    <w:pPr>
      <w:widowControl/>
      <w:spacing w:before="100" w:beforeAutospacing="1" w:after="100" w:afterAutospacing="1"/>
      <w:jc w:val="left"/>
    </w:pPr>
    <w:rPr>
      <w:rFonts w:ascii="Tahoma" w:hAnsi="Tahoma" w:cs="Tahoma"/>
      <w:b/>
      <w:bCs/>
      <w:color w:val="000000"/>
      <w:kern w:val="0"/>
      <w:sz w:val="18"/>
      <w:szCs w:val="18"/>
    </w:rPr>
  </w:style>
  <w:style w:type="character" w:customStyle="1" w:styleId="337">
    <w:name w:val="generalinfo-address-text"/>
    <w:uiPriority w:val="0"/>
  </w:style>
  <w:style w:type="character" w:customStyle="1" w:styleId="338">
    <w:name w:val="书籍标题1"/>
    <w:uiPriority w:val="0"/>
    <w:rPr>
      <w:b/>
      <w:i/>
      <w:sz w:val="20"/>
    </w:rPr>
  </w:style>
  <w:style w:type="character" w:customStyle="1" w:styleId="339">
    <w:name w:val="明显强调1"/>
    <w:uiPriority w:val="0"/>
    <w:rPr>
      <w:i/>
      <w:sz w:val="20"/>
    </w:rPr>
  </w:style>
  <w:style w:type="character" w:customStyle="1" w:styleId="340">
    <w:name w:val="不明显参考1"/>
    <w:uiPriority w:val="0"/>
    <w:rPr>
      <w:sz w:val="20"/>
    </w:rPr>
  </w:style>
  <w:style w:type="character" w:customStyle="1" w:styleId="341">
    <w:name w:val="不明显强调1"/>
    <w:uiPriority w:val="0"/>
    <w:rPr>
      <w:i/>
      <w:sz w:val="20"/>
    </w:rPr>
  </w:style>
  <w:style w:type="character" w:customStyle="1" w:styleId="342">
    <w:name w:val="标题2"/>
    <w:uiPriority w:val="0"/>
    <w:rPr>
      <w:sz w:val="20"/>
    </w:rPr>
  </w:style>
  <w:style w:type="character" w:customStyle="1" w:styleId="343">
    <w:name w:val="明显参考1"/>
    <w:uiPriority w:val="0"/>
    <w:rPr>
      <w:b/>
      <w:sz w:val="20"/>
    </w:rPr>
  </w:style>
  <w:style w:type="paragraph" w:customStyle="1" w:styleId="344">
    <w:name w:val="目录 61"/>
    <w:next w:val="1"/>
    <w:uiPriority w:val="39"/>
    <w:pPr>
      <w:wordWrap w:val="0"/>
      <w:ind w:left="2125"/>
      <w:jc w:val="both"/>
    </w:pPr>
    <w:rPr>
      <w:rFonts w:ascii="宋体" w:hAnsi="宋体" w:eastAsia="宋体" w:cs="Times New Roman"/>
      <w:lang w:val="en-US" w:eastAsia="zh-CN" w:bidi="ar-SA"/>
    </w:rPr>
  </w:style>
  <w:style w:type="paragraph" w:customStyle="1" w:styleId="345">
    <w:name w:val="目录 51"/>
    <w:next w:val="1"/>
    <w:uiPriority w:val="39"/>
    <w:pPr>
      <w:wordWrap w:val="0"/>
      <w:ind w:left="1700"/>
      <w:jc w:val="both"/>
    </w:pPr>
    <w:rPr>
      <w:rFonts w:ascii="宋体" w:hAnsi="宋体" w:eastAsia="宋体" w:cs="Times New Roman"/>
      <w:lang w:val="en-US" w:eastAsia="zh-CN" w:bidi="ar-SA"/>
    </w:rPr>
  </w:style>
  <w:style w:type="paragraph" w:customStyle="1" w:styleId="346">
    <w:name w:val="目录 81"/>
    <w:next w:val="1"/>
    <w:uiPriority w:val="39"/>
    <w:pPr>
      <w:wordWrap w:val="0"/>
      <w:ind w:left="2975"/>
      <w:jc w:val="both"/>
    </w:pPr>
    <w:rPr>
      <w:rFonts w:ascii="宋体" w:hAnsi="宋体" w:eastAsia="宋体" w:cs="Times New Roman"/>
      <w:lang w:val="en-US" w:eastAsia="zh-CN" w:bidi="ar-SA"/>
    </w:rPr>
  </w:style>
  <w:style w:type="paragraph" w:customStyle="1" w:styleId="347">
    <w:name w:val="目录 71"/>
    <w:next w:val="1"/>
    <w:uiPriority w:val="39"/>
    <w:pPr>
      <w:wordWrap w:val="0"/>
      <w:ind w:left="2550"/>
      <w:jc w:val="both"/>
    </w:pPr>
    <w:rPr>
      <w:rFonts w:ascii="宋体" w:hAnsi="宋体" w:eastAsia="宋体" w:cs="Times New Roman"/>
      <w:lang w:val="en-US" w:eastAsia="zh-CN" w:bidi="ar-SA"/>
    </w:rPr>
  </w:style>
  <w:style w:type="paragraph" w:styleId="348">
    <w:name w:val="Quote"/>
    <w:next w:val="1"/>
    <w:link w:val="349"/>
    <w:uiPriority w:val="99"/>
    <w:pPr>
      <w:widowControl w:val="0"/>
      <w:jc w:val="both"/>
    </w:pPr>
    <w:rPr>
      <w:rFonts w:ascii="Times New Roman" w:hAnsi="Times New Roman" w:eastAsia="宋体" w:cs="Times New Roman"/>
      <w:i/>
      <w:iCs/>
      <w:color w:val="000000" w:themeColor="text1"/>
      <w:sz w:val="21"/>
      <w:szCs w:val="24"/>
      <w:lang w:val="en-US" w:eastAsia="zh-CN" w:bidi="ar-SA"/>
    </w:rPr>
  </w:style>
  <w:style w:type="character" w:customStyle="1" w:styleId="349">
    <w:name w:val="引用 Char"/>
    <w:link w:val="348"/>
    <w:qFormat/>
    <w:uiPriority w:val="99"/>
    <w:rPr>
      <w:i/>
      <w:iCs/>
      <w:color w:val="000000" w:themeColor="text1"/>
      <w:sz w:val="21"/>
      <w:szCs w:val="24"/>
    </w:rPr>
  </w:style>
  <w:style w:type="paragraph" w:customStyle="1" w:styleId="350">
    <w:name w:val="目录 41"/>
    <w:next w:val="1"/>
    <w:uiPriority w:val="39"/>
    <w:pPr>
      <w:wordWrap w:val="0"/>
      <w:ind w:left="1275"/>
      <w:jc w:val="both"/>
    </w:pPr>
    <w:rPr>
      <w:rFonts w:ascii="宋体" w:hAnsi="宋体" w:eastAsia="宋体" w:cs="Times New Roman"/>
      <w:lang w:val="en-US" w:eastAsia="zh-CN" w:bidi="ar-SA"/>
    </w:rPr>
  </w:style>
  <w:style w:type="paragraph" w:customStyle="1" w:styleId="351">
    <w:name w:val="目录 31"/>
    <w:next w:val="1"/>
    <w:uiPriority w:val="39"/>
    <w:pPr>
      <w:wordWrap w:val="0"/>
      <w:ind w:left="850"/>
      <w:jc w:val="both"/>
    </w:pPr>
    <w:rPr>
      <w:rFonts w:ascii="宋体" w:hAnsi="宋体" w:eastAsia="宋体" w:cs="Times New Roman"/>
      <w:lang w:val="en-US" w:eastAsia="zh-CN" w:bidi="ar-SA"/>
    </w:rPr>
  </w:style>
  <w:style w:type="paragraph" w:customStyle="1" w:styleId="352">
    <w:name w:val="TOC Heading1"/>
    <w:next w:val="1"/>
    <w:uiPriority w:val="0"/>
    <w:pPr>
      <w:wordWrap w:val="0"/>
    </w:pPr>
    <w:rPr>
      <w:rFonts w:ascii="宋体" w:hAnsi="宋体" w:eastAsia="宋体" w:cs="Times New Roman"/>
      <w:sz w:val="32"/>
      <w:lang w:val="en-US" w:eastAsia="zh-CN" w:bidi="ar-SA"/>
    </w:rPr>
  </w:style>
  <w:style w:type="paragraph" w:customStyle="1" w:styleId="353">
    <w:name w:val="目录 91"/>
    <w:next w:val="1"/>
    <w:uiPriority w:val="39"/>
    <w:pPr>
      <w:wordWrap w:val="0"/>
      <w:ind w:left="3400"/>
      <w:jc w:val="both"/>
    </w:pPr>
    <w:rPr>
      <w:rFonts w:ascii="宋体" w:hAnsi="宋体" w:eastAsia="宋体" w:cs="Times New Roman"/>
      <w:lang w:val="en-US" w:eastAsia="zh-CN" w:bidi="ar-SA"/>
    </w:rPr>
  </w:style>
  <w:style w:type="character" w:customStyle="1" w:styleId="354">
    <w:name w:val="副标题 Char"/>
    <w:link w:val="31"/>
    <w:uiPriority w:val="11"/>
    <w:rPr>
      <w:rFonts w:asciiTheme="majorHAnsi" w:hAnsiTheme="majorHAnsi" w:cstheme="majorBidi"/>
      <w:b/>
      <w:bCs/>
      <w:kern w:val="28"/>
      <w:sz w:val="32"/>
      <w:szCs w:val="32"/>
    </w:rPr>
  </w:style>
  <w:style w:type="paragraph" w:customStyle="1" w:styleId="355">
    <w:name w:val="目录 21"/>
    <w:next w:val="1"/>
    <w:uiPriority w:val="39"/>
    <w:pPr>
      <w:wordWrap w:val="0"/>
      <w:ind w:left="425"/>
      <w:jc w:val="both"/>
    </w:pPr>
    <w:rPr>
      <w:rFonts w:ascii="宋体" w:hAnsi="宋体" w:eastAsia="宋体" w:cs="Times New Roman"/>
      <w:lang w:val="en-US" w:eastAsia="zh-CN" w:bidi="ar-SA"/>
    </w:rPr>
  </w:style>
  <w:style w:type="paragraph" w:styleId="356">
    <w:name w:val="Intense Quote"/>
    <w:next w:val="1"/>
    <w:link w:val="357"/>
    <w:uiPriority w:val="99"/>
    <w:pPr>
      <w:widowControl w:val="0"/>
      <w:pBdr>
        <w:bottom w:val="single" w:color="4F81BD" w:themeColor="accent1" w:sz="4" w:space="4"/>
      </w:pBdr>
      <w:spacing w:before="200" w:after="280"/>
      <w:ind w:left="936" w:right="936"/>
      <w:jc w:val="both"/>
    </w:pPr>
    <w:rPr>
      <w:rFonts w:ascii="Times New Roman" w:hAnsi="Times New Roman" w:eastAsia="宋体" w:cs="Times New Roman"/>
      <w:b/>
      <w:bCs/>
      <w:i/>
      <w:iCs/>
      <w:color w:val="4F81BD" w:themeColor="accent1"/>
      <w:sz w:val="21"/>
      <w:szCs w:val="24"/>
      <w:lang w:val="en-US" w:eastAsia="zh-CN" w:bidi="ar-SA"/>
    </w:rPr>
  </w:style>
  <w:style w:type="character" w:customStyle="1" w:styleId="357">
    <w:name w:val="明显引用 Char"/>
    <w:link w:val="356"/>
    <w:uiPriority w:val="99"/>
    <w:rPr>
      <w:b/>
      <w:bCs/>
      <w:i/>
      <w:iCs/>
      <w:color w:val="4F81BD" w:themeColor="accent1"/>
      <w:sz w:val="21"/>
      <w:szCs w:val="24"/>
    </w:rPr>
  </w:style>
  <w:style w:type="paragraph" w:customStyle="1" w:styleId="358">
    <w:name w:val="目录 11"/>
    <w:next w:val="1"/>
    <w:uiPriority w:val="39"/>
    <w:pPr>
      <w:wordWrap w:val="0"/>
      <w:jc w:val="both"/>
    </w:pPr>
    <w:rPr>
      <w:rFonts w:ascii="宋体" w:hAnsi="宋体" w:eastAsia="宋体" w:cs="Times New Roman"/>
      <w:lang w:val="en-US" w:eastAsia="zh-CN" w:bidi="ar-SA"/>
    </w:rPr>
  </w:style>
  <w:style w:type="paragraph" w:customStyle="1" w:styleId="359">
    <w:name w:val="无间隔1"/>
    <w:uiPriority w:val="1"/>
    <w:pPr>
      <w:widowControl w:val="0"/>
      <w:jc w:val="both"/>
    </w:pPr>
    <w:rPr>
      <w:rFonts w:ascii="Times New Roman" w:hAnsi="Times New Roman" w:eastAsia="宋体" w:cs="Times New Roman"/>
      <w:szCs w:val="24"/>
      <w:lang w:val="en-US" w:eastAsia="zh-CN" w:bidi="ar-SA"/>
    </w:rPr>
  </w:style>
  <w:style w:type="character" w:customStyle="1" w:styleId="360">
    <w:name w:val="占位符文本2"/>
    <w:unhideWhenUsed/>
    <w:uiPriority w:val="99"/>
    <w:rPr>
      <w:color w:val="808080"/>
    </w:rPr>
  </w:style>
  <w:style w:type="paragraph" w:customStyle="1" w:styleId="361">
    <w:name w:val="_Style 356"/>
    <w:uiPriority w:val="99"/>
    <w:pPr>
      <w:widowControl w:val="0"/>
      <w:jc w:val="both"/>
    </w:pPr>
    <w:rPr>
      <w:rFonts w:ascii="Times New Roman" w:hAnsi="Times New Roman" w:eastAsia="宋体" w:cs="Times New Roman"/>
      <w:szCs w:val="24"/>
      <w:lang w:val="en-US" w:eastAsia="zh-CN" w:bidi="ar-SA"/>
    </w:rPr>
  </w:style>
  <w:style w:type="character" w:customStyle="1" w:styleId="362">
    <w:name w:val="generalinfo-address-text2"/>
    <w:uiPriority w:val="0"/>
  </w:style>
  <w:style w:type="character" w:customStyle="1" w:styleId="363">
    <w:name w:val="Char Char411"/>
    <w:uiPriority w:val="99"/>
    <w:rPr>
      <w:rFonts w:ascii="宋体" w:eastAsia="宋体"/>
      <w:kern w:val="2"/>
      <w:sz w:val="28"/>
      <w:lang w:val="en-US" w:eastAsia="zh-CN" w:bidi="ar-SA"/>
    </w:rPr>
  </w:style>
  <w:style w:type="character" w:customStyle="1" w:styleId="364">
    <w:name w:val="Char Char311"/>
    <w:qFormat/>
    <w:uiPriority w:val="0"/>
    <w:rPr>
      <w:rFonts w:ascii="宋体"/>
      <w:kern w:val="2"/>
      <w:sz w:val="28"/>
    </w:rPr>
  </w:style>
  <w:style w:type="character" w:customStyle="1" w:styleId="365">
    <w:name w:val="font41"/>
    <w:uiPriority w:val="0"/>
    <w:rPr>
      <w:rFonts w:hint="default" w:ascii="Times New Roman" w:hAnsi="Times New Roman" w:cs="Times New Roman"/>
      <w:b/>
      <w:color w:val="000000"/>
      <w:sz w:val="18"/>
      <w:szCs w:val="18"/>
      <w:u w:val="none"/>
    </w:rPr>
  </w:style>
  <w:style w:type="character" w:customStyle="1" w:styleId="366">
    <w:name w:val="标题 Char"/>
    <w:link w:val="40"/>
    <w:uiPriority w:val="10"/>
    <w:rPr>
      <w:rFonts w:asciiTheme="majorHAnsi" w:hAnsiTheme="majorHAnsi" w:cstheme="majorBidi"/>
      <w:b/>
      <w:bCs/>
      <w:kern w:val="2"/>
      <w:sz w:val="32"/>
      <w:szCs w:val="32"/>
    </w:rPr>
  </w:style>
  <w:style w:type="character" w:customStyle="1" w:styleId="367">
    <w:name w:val="Char Char111"/>
    <w:qFormat/>
    <w:uiPriority w:val="0"/>
    <w:rPr>
      <w:rFonts w:ascii="Times New Roman" w:hAnsi="Times New Roman" w:eastAsia="宋体" w:cs="Times New Roman"/>
      <w:kern w:val="2"/>
      <w:sz w:val="18"/>
      <w:szCs w:val="18"/>
      <w:lang w:val="en-US" w:eastAsia="zh-CN" w:bidi="ar-SA"/>
    </w:rPr>
  </w:style>
  <w:style w:type="character" w:customStyle="1" w:styleId="368">
    <w:name w:val="标题 Char1"/>
    <w:uiPriority w:val="0"/>
    <w:rPr>
      <w:rFonts w:ascii="Cambria" w:hAnsi="Cambria" w:cs="Times New Roman"/>
      <w:b/>
      <w:bCs/>
      <w:kern w:val="2"/>
      <w:sz w:val="32"/>
      <w:szCs w:val="32"/>
    </w:rPr>
  </w:style>
  <w:style w:type="paragraph" w:customStyle="1" w:styleId="369">
    <w:name w:val="图标题~~~~~"/>
    <w:basedOn w:val="1"/>
    <w:uiPriority w:val="0"/>
    <w:pPr>
      <w:spacing w:afterLines="50"/>
      <w:ind w:firstLine="800" w:firstLineChars="800"/>
      <w:jc w:val="center"/>
    </w:pPr>
    <w:rPr>
      <w:rFonts w:ascii="Arial" w:hAnsi="Arial" w:eastAsia="楷体_GB2312" w:cs="Arial"/>
      <w:b/>
      <w:sz w:val="18"/>
      <w:szCs w:val="18"/>
    </w:rPr>
  </w:style>
  <w:style w:type="paragraph" w:customStyle="1" w:styleId="370">
    <w:name w:val="Char Char Char Char Char Char Char Char Char Char Char Char Char Char1 Char Char Char Char21"/>
    <w:basedOn w:val="1"/>
    <w:uiPriority w:val="99"/>
    <w:rPr>
      <w:szCs w:val="21"/>
    </w:rPr>
  </w:style>
  <w:style w:type="paragraph" w:customStyle="1" w:styleId="371">
    <w:name w:val="Char121"/>
    <w:basedOn w:val="1"/>
    <w:uiPriority w:val="99"/>
    <w:pPr>
      <w:spacing w:line="360" w:lineRule="auto"/>
      <w:ind w:firstLine="1653" w:firstLineChars="588"/>
    </w:pPr>
    <w:rPr>
      <w:b/>
      <w:sz w:val="28"/>
      <w:szCs w:val="28"/>
    </w:rPr>
  </w:style>
  <w:style w:type="paragraph" w:customStyle="1" w:styleId="372">
    <w:name w:val="font9"/>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373">
    <w:name w:val="font10"/>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374">
    <w:name w:val="xl74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6"/>
      <w:szCs w:val="16"/>
    </w:rPr>
  </w:style>
  <w:style w:type="paragraph" w:customStyle="1" w:styleId="375">
    <w:name w:val="xl74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6"/>
      <w:szCs w:val="16"/>
    </w:rPr>
  </w:style>
  <w:style w:type="paragraph" w:customStyle="1" w:styleId="376">
    <w:name w:val="xl74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377">
    <w:name w:val="xl74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78">
    <w:name w:val="xl74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6"/>
      <w:szCs w:val="16"/>
    </w:rPr>
  </w:style>
  <w:style w:type="paragraph" w:customStyle="1" w:styleId="379">
    <w:name w:val="xl749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16"/>
      <w:szCs w:val="16"/>
    </w:rPr>
  </w:style>
  <w:style w:type="paragraph" w:customStyle="1" w:styleId="380">
    <w:name w:val="xl74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81">
    <w:name w:val="xl749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16"/>
      <w:szCs w:val="16"/>
    </w:rPr>
  </w:style>
  <w:style w:type="paragraph" w:customStyle="1" w:styleId="382">
    <w:name w:val="xl74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6"/>
      <w:szCs w:val="16"/>
    </w:rPr>
  </w:style>
  <w:style w:type="paragraph" w:customStyle="1" w:styleId="383">
    <w:name w:val="xl74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6"/>
      <w:szCs w:val="16"/>
    </w:rPr>
  </w:style>
  <w:style w:type="paragraph" w:customStyle="1" w:styleId="384">
    <w:name w:val="xl74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385">
    <w:name w:val="xl74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6"/>
      <w:szCs w:val="16"/>
    </w:rPr>
  </w:style>
  <w:style w:type="paragraph" w:customStyle="1" w:styleId="386">
    <w:name w:val="xl75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6"/>
      <w:szCs w:val="16"/>
    </w:rPr>
  </w:style>
  <w:style w:type="paragraph" w:customStyle="1" w:styleId="387">
    <w:name w:val="xl75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388">
    <w:name w:val="xl750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389">
    <w:name w:val="xl7503"/>
    <w:basedOn w:val="1"/>
    <w:uiPriority w:val="0"/>
    <w:pPr>
      <w:widowControl/>
      <w:spacing w:before="100" w:beforeAutospacing="1" w:after="100" w:afterAutospacing="1"/>
      <w:jc w:val="center"/>
    </w:pPr>
    <w:rPr>
      <w:rFonts w:ascii="宋体" w:hAnsi="宋体" w:cs="宋体"/>
      <w:kern w:val="0"/>
      <w:sz w:val="24"/>
    </w:rPr>
  </w:style>
  <w:style w:type="paragraph" w:customStyle="1" w:styleId="390">
    <w:name w:val="xl7504"/>
    <w:basedOn w:val="1"/>
    <w:uiPriority w:val="0"/>
    <w:pPr>
      <w:widowControl/>
      <w:spacing w:before="100" w:beforeAutospacing="1" w:after="100" w:afterAutospacing="1"/>
      <w:jc w:val="center"/>
    </w:pPr>
    <w:rPr>
      <w:rFonts w:ascii="宋体" w:hAnsi="宋体" w:cs="宋体"/>
      <w:color w:val="FF0000"/>
      <w:kern w:val="0"/>
      <w:sz w:val="24"/>
    </w:rPr>
  </w:style>
  <w:style w:type="paragraph" w:customStyle="1" w:styleId="391">
    <w:name w:val="xl75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2">
    <w:name w:val="xl75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 w:val="16"/>
      <w:szCs w:val="16"/>
    </w:rPr>
  </w:style>
  <w:style w:type="paragraph" w:customStyle="1" w:styleId="393">
    <w:name w:val="xl75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 w:val="16"/>
      <w:szCs w:val="16"/>
    </w:rPr>
  </w:style>
  <w:style w:type="paragraph" w:customStyle="1" w:styleId="394">
    <w:name w:val="xl75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395">
    <w:name w:val="xl75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396">
    <w:name w:val="xl75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 w:val="16"/>
      <w:szCs w:val="16"/>
    </w:rPr>
  </w:style>
  <w:style w:type="paragraph" w:customStyle="1" w:styleId="397">
    <w:name w:val="xl75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398">
    <w:name w:val="xl75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99">
    <w:name w:val="xl75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00">
    <w:name w:val="xl75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01">
    <w:name w:val="xl751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402">
    <w:name w:val="xl751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403">
    <w:name w:val="xl751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404">
    <w:name w:val="xl7518"/>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405">
    <w:name w:val="xl751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406">
    <w:name w:val="xl752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color w:val="FF0000"/>
      <w:kern w:val="0"/>
      <w:sz w:val="16"/>
      <w:szCs w:val="16"/>
    </w:rPr>
  </w:style>
  <w:style w:type="paragraph" w:customStyle="1" w:styleId="407">
    <w:name w:val="xl752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408">
    <w:name w:val="xl752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9">
    <w:name w:val="xl75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410">
    <w:name w:val="xl75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rPr>
  </w:style>
  <w:style w:type="paragraph" w:customStyle="1" w:styleId="411">
    <w:name w:val="xl75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12">
    <w:name w:val="xl75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13">
    <w:name w:val="font12"/>
    <w:basedOn w:val="1"/>
    <w:uiPriority w:val="0"/>
    <w:pPr>
      <w:widowControl/>
      <w:spacing w:before="100" w:beforeAutospacing="1" w:after="100" w:afterAutospacing="1"/>
      <w:jc w:val="left"/>
    </w:pPr>
    <w:rPr>
      <w:rFonts w:ascii="宋体" w:hAnsi="宋体" w:cs="宋体"/>
      <w:kern w:val="0"/>
      <w:sz w:val="16"/>
      <w:szCs w:val="16"/>
    </w:rPr>
  </w:style>
  <w:style w:type="paragraph" w:customStyle="1" w:styleId="414">
    <w:name w:val="xl7486"/>
    <w:basedOn w:val="1"/>
    <w:uiPriority w:val="0"/>
    <w:pPr>
      <w:widowControl/>
      <w:spacing w:before="100" w:beforeAutospacing="1" w:after="100" w:afterAutospacing="1"/>
      <w:jc w:val="center"/>
    </w:pPr>
    <w:rPr>
      <w:rFonts w:ascii="宋体" w:hAnsi="宋体" w:cs="宋体"/>
      <w:kern w:val="0"/>
      <w:sz w:val="24"/>
    </w:rPr>
  </w:style>
  <w:style w:type="paragraph" w:customStyle="1" w:styleId="415">
    <w:name w:val="xl7487"/>
    <w:basedOn w:val="1"/>
    <w:uiPriority w:val="0"/>
    <w:pPr>
      <w:widowControl/>
      <w:spacing w:before="100" w:beforeAutospacing="1" w:after="100" w:afterAutospacing="1"/>
      <w:jc w:val="center"/>
    </w:pPr>
    <w:rPr>
      <w:rFonts w:ascii="宋体" w:hAnsi="宋体" w:cs="宋体"/>
      <w:kern w:val="0"/>
      <w:sz w:val="24"/>
    </w:rPr>
  </w:style>
  <w:style w:type="character" w:customStyle="1" w:styleId="416">
    <w:name w:val="curpage"/>
    <w:uiPriority w:val="0"/>
    <w:rPr>
      <w:b/>
    </w:rPr>
  </w:style>
  <w:style w:type="character" w:customStyle="1" w:styleId="417">
    <w:name w:val="hover17"/>
    <w:uiPriority w:val="0"/>
    <w:rPr>
      <w:bdr w:val="single" w:color="999999" w:sz="6" w:space="0"/>
    </w:rPr>
  </w:style>
  <w:style w:type="character" w:customStyle="1" w:styleId="418">
    <w:name w:val="icon22"/>
    <w:basedOn w:val="46"/>
    <w:uiPriority w:val="0"/>
  </w:style>
  <w:style w:type="character" w:customStyle="1" w:styleId="419">
    <w:name w:val="text"/>
    <w:basedOn w:val="46"/>
    <w:uiPriority w:val="0"/>
  </w:style>
  <w:style w:type="character" w:customStyle="1" w:styleId="420">
    <w:name w:val="active"/>
    <w:uiPriority w:val="0"/>
    <w:rPr>
      <w:shd w:val="clear" w:color="auto" w:fill="FFFFFF"/>
    </w:rPr>
  </w:style>
  <w:style w:type="character" w:customStyle="1" w:styleId="421">
    <w:name w:val="active1"/>
    <w:uiPriority w:val="0"/>
    <w:rPr>
      <w:shd w:val="clear" w:color="auto" w:fill="FFFFFF"/>
    </w:rPr>
  </w:style>
  <w:style w:type="character" w:customStyle="1" w:styleId="422">
    <w:name w:val="generalinfo-address-text1"/>
    <w:uiPriority w:val="0"/>
    <w:rPr>
      <w:sz w:val="18"/>
      <w:szCs w:val="18"/>
    </w:rPr>
  </w:style>
  <w:style w:type="character" w:customStyle="1" w:styleId="423">
    <w:name w:val="批注文字 Char4"/>
    <w:locked/>
    <w:uiPriority w:val="0"/>
    <w:rPr>
      <w:rFonts w:ascii="宋体" w:hAnsi="宋体" w:eastAsia="宋体" w:cs="Times New Roman"/>
      <w:color w:val="000000"/>
      <w:kern w:val="2"/>
      <w:sz w:val="21"/>
      <w:lang w:val="en-US" w:eastAsia="zh-CN"/>
    </w:rPr>
  </w:style>
  <w:style w:type="character" w:customStyle="1" w:styleId="424">
    <w:name w:val="正文文本缩进 2 Char3"/>
    <w:locked/>
    <w:uiPriority w:val="0"/>
    <w:rPr>
      <w:rFonts w:cs="Times New Roman"/>
      <w:kern w:val="2"/>
      <w:sz w:val="28"/>
    </w:rPr>
  </w:style>
  <w:style w:type="character" w:customStyle="1" w:styleId="425">
    <w:name w:val="页眉 Char3"/>
    <w:locked/>
    <w:uiPriority w:val="0"/>
    <w:rPr>
      <w:rFonts w:eastAsia="宋体" w:cs="Times New Roman"/>
      <w:kern w:val="2"/>
      <w:sz w:val="18"/>
      <w:lang w:val="en-US" w:eastAsia="zh-CN"/>
    </w:rPr>
  </w:style>
  <w:style w:type="paragraph" w:customStyle="1" w:styleId="426">
    <w:name w:val="Char16"/>
    <w:basedOn w:val="1"/>
    <w:uiPriority w:val="99"/>
    <w:pPr>
      <w:spacing w:line="360" w:lineRule="auto"/>
      <w:ind w:firstLine="1653" w:firstLineChars="588"/>
    </w:pPr>
    <w:rPr>
      <w:b/>
      <w:sz w:val="28"/>
      <w:szCs w:val="28"/>
    </w:rPr>
  </w:style>
  <w:style w:type="paragraph" w:customStyle="1" w:styleId="427">
    <w:name w:val="Char Char Char Char Char Char Char Char Char Char Char Char Char Char1 Char Char Char Char7"/>
    <w:basedOn w:val="1"/>
    <w:uiPriority w:val="0"/>
    <w:rPr>
      <w:szCs w:val="21"/>
    </w:rPr>
  </w:style>
  <w:style w:type="character" w:customStyle="1" w:styleId="428">
    <w:name w:val="Char Char44"/>
    <w:uiPriority w:val="99"/>
    <w:rPr>
      <w:rFonts w:ascii="宋体" w:eastAsia="宋体"/>
      <w:kern w:val="2"/>
      <w:sz w:val="28"/>
      <w:lang w:val="en-US" w:eastAsia="zh-CN" w:bidi="ar-SA"/>
    </w:rPr>
  </w:style>
  <w:style w:type="paragraph" w:customStyle="1" w:styleId="429">
    <w:name w:val="正文首行缩进 21"/>
    <w:basedOn w:val="19"/>
    <w:semiHidden/>
    <w:unhideWhenUsed/>
    <w:qFormat/>
    <w:locked/>
    <w:uiPriority w:val="99"/>
    <w:pPr>
      <w:spacing w:after="120"/>
      <w:ind w:left="420" w:leftChars="200" w:firstLine="420" w:firstLineChars="200"/>
    </w:pPr>
    <w:rPr>
      <w:rFonts w:ascii="Times New Roman"/>
      <w:sz w:val="21"/>
      <w:szCs w:val="24"/>
    </w:rPr>
  </w:style>
  <w:style w:type="paragraph" w:customStyle="1" w:styleId="430">
    <w:name w:val="正文首行缩进1"/>
    <w:basedOn w:val="18"/>
    <w:semiHidden/>
    <w:unhideWhenUsed/>
    <w:qFormat/>
    <w:locked/>
    <w:uiPriority w:val="99"/>
    <w:pPr>
      <w:spacing w:after="120"/>
      <w:ind w:firstLine="420" w:firstLineChars="100"/>
    </w:pPr>
    <w:rPr>
      <w:sz w:val="21"/>
      <w:szCs w:val="24"/>
    </w:rPr>
  </w:style>
  <w:style w:type="character" w:customStyle="1" w:styleId="431">
    <w:name w:val="Char Char34"/>
    <w:uiPriority w:val="99"/>
    <w:rPr>
      <w:rFonts w:ascii="宋体"/>
      <w:kern w:val="2"/>
      <w:sz w:val="28"/>
    </w:rPr>
  </w:style>
  <w:style w:type="character" w:customStyle="1" w:styleId="432">
    <w:name w:val="Char Char15"/>
    <w:uiPriority w:val="99"/>
    <w:rPr>
      <w:rFonts w:eastAsia="宋体"/>
      <w:kern w:val="2"/>
      <w:sz w:val="18"/>
      <w:szCs w:val="18"/>
      <w:lang w:val="en-US" w:eastAsia="zh-CN" w:bidi="ar-SA"/>
    </w:rPr>
  </w:style>
  <w:style w:type="character" w:customStyle="1" w:styleId="433">
    <w:name w:val="clampword"/>
    <w:basedOn w:val="46"/>
    <w:uiPriority w:val="0"/>
  </w:style>
  <w:style w:type="paragraph" w:customStyle="1" w:styleId="434">
    <w:name w:val="_Style 23"/>
    <w:basedOn w:val="1"/>
    <w:uiPriority w:val="0"/>
    <w:rPr>
      <w:rFonts w:ascii="Tahoma" w:hAnsi="Tahoma"/>
      <w:sz w:val="24"/>
    </w:rPr>
  </w:style>
  <w:style w:type="character" w:customStyle="1" w:styleId="435">
    <w:name w:val="Char Char43"/>
    <w:uiPriority w:val="0"/>
    <w:rPr>
      <w:rFonts w:ascii="宋体" w:eastAsia="宋体"/>
      <w:kern w:val="2"/>
      <w:sz w:val="28"/>
      <w:lang w:val="en-US" w:eastAsia="zh-CN" w:bidi="ar-SA"/>
    </w:rPr>
  </w:style>
  <w:style w:type="character" w:customStyle="1" w:styleId="436">
    <w:name w:val="Char Char33"/>
    <w:uiPriority w:val="0"/>
    <w:rPr>
      <w:rFonts w:ascii="宋体"/>
      <w:kern w:val="2"/>
      <w:sz w:val="28"/>
    </w:rPr>
  </w:style>
  <w:style w:type="character" w:customStyle="1" w:styleId="437">
    <w:name w:val="Char Char14"/>
    <w:uiPriority w:val="0"/>
    <w:rPr>
      <w:rFonts w:eastAsia="宋体"/>
      <w:kern w:val="2"/>
      <w:sz w:val="18"/>
      <w:szCs w:val="18"/>
      <w:lang w:val="en-US" w:eastAsia="zh-CN" w:bidi="ar-SA"/>
    </w:rPr>
  </w:style>
  <w:style w:type="character" w:customStyle="1" w:styleId="438">
    <w:name w:val="批注文字 Char3"/>
    <w:semiHidden/>
    <w:qFormat/>
    <w:uiPriority w:val="99"/>
    <w:rPr>
      <w:kern w:val="2"/>
      <w:sz w:val="21"/>
      <w:szCs w:val="24"/>
    </w:rPr>
  </w:style>
  <w:style w:type="character" w:customStyle="1" w:styleId="439">
    <w:name w:val="批注主题 Char3"/>
    <w:semiHidden/>
    <w:qFormat/>
    <w:uiPriority w:val="99"/>
    <w:rPr>
      <w:b/>
      <w:bCs/>
      <w:kern w:val="2"/>
      <w:sz w:val="21"/>
      <w:szCs w:val="24"/>
    </w:rPr>
  </w:style>
  <w:style w:type="character" w:customStyle="1" w:styleId="440">
    <w:name w:val="文档结构图 Char3"/>
    <w:semiHidden/>
    <w:qFormat/>
    <w:uiPriority w:val="99"/>
    <w:rPr>
      <w:rFonts w:ascii="宋体"/>
      <w:kern w:val="2"/>
      <w:sz w:val="18"/>
      <w:szCs w:val="18"/>
    </w:rPr>
  </w:style>
  <w:style w:type="character" w:customStyle="1" w:styleId="441">
    <w:name w:val="脚注文本 Char3"/>
    <w:semiHidden/>
    <w:qFormat/>
    <w:uiPriority w:val="99"/>
    <w:rPr>
      <w:kern w:val="2"/>
      <w:sz w:val="18"/>
      <w:szCs w:val="18"/>
    </w:rPr>
  </w:style>
  <w:style w:type="character" w:customStyle="1" w:styleId="442">
    <w:name w:val="页脚 Char2"/>
    <w:semiHidden/>
    <w:qFormat/>
    <w:uiPriority w:val="99"/>
    <w:rPr>
      <w:kern w:val="2"/>
      <w:sz w:val="18"/>
      <w:szCs w:val="18"/>
    </w:rPr>
  </w:style>
  <w:style w:type="character" w:customStyle="1" w:styleId="443">
    <w:name w:val="正文文本缩进 Char2"/>
    <w:uiPriority w:val="0"/>
    <w:rPr>
      <w:kern w:val="2"/>
      <w:sz w:val="21"/>
      <w:szCs w:val="24"/>
    </w:rPr>
  </w:style>
  <w:style w:type="character" w:customStyle="1" w:styleId="444">
    <w:name w:val="日期 Char2"/>
    <w:semiHidden/>
    <w:qFormat/>
    <w:uiPriority w:val="99"/>
    <w:rPr>
      <w:kern w:val="2"/>
      <w:sz w:val="21"/>
      <w:szCs w:val="24"/>
    </w:rPr>
  </w:style>
  <w:style w:type="character" w:customStyle="1" w:styleId="445">
    <w:name w:val="正文文本 3 Char3"/>
    <w:semiHidden/>
    <w:qFormat/>
    <w:uiPriority w:val="99"/>
    <w:rPr>
      <w:kern w:val="2"/>
      <w:sz w:val="16"/>
      <w:szCs w:val="16"/>
    </w:rPr>
  </w:style>
  <w:style w:type="character" w:customStyle="1" w:styleId="446">
    <w:name w:val="正文文本 Char2"/>
    <w:semiHidden/>
    <w:qFormat/>
    <w:uiPriority w:val="99"/>
    <w:rPr>
      <w:kern w:val="2"/>
      <w:sz w:val="21"/>
      <w:szCs w:val="24"/>
    </w:rPr>
  </w:style>
  <w:style w:type="character" w:customStyle="1" w:styleId="447">
    <w:name w:val="纯文本 Char3"/>
    <w:semiHidden/>
    <w:qFormat/>
    <w:uiPriority w:val="99"/>
    <w:rPr>
      <w:rFonts w:ascii="宋体" w:hAnsi="Courier New" w:cs="Courier New"/>
      <w:kern w:val="2"/>
      <w:sz w:val="21"/>
      <w:szCs w:val="21"/>
    </w:rPr>
  </w:style>
  <w:style w:type="character" w:customStyle="1" w:styleId="448">
    <w:name w:val="正文文本缩进 2 Char2"/>
    <w:uiPriority w:val="0"/>
    <w:rPr>
      <w:kern w:val="2"/>
      <w:sz w:val="21"/>
      <w:szCs w:val="24"/>
    </w:rPr>
  </w:style>
  <w:style w:type="character" w:customStyle="1" w:styleId="449">
    <w:name w:val="批注框文本 Char2"/>
    <w:semiHidden/>
    <w:qFormat/>
    <w:uiPriority w:val="99"/>
    <w:rPr>
      <w:kern w:val="2"/>
      <w:sz w:val="18"/>
      <w:szCs w:val="18"/>
    </w:rPr>
  </w:style>
  <w:style w:type="character" w:customStyle="1" w:styleId="450">
    <w:name w:val="正文文本缩进 3 Char4"/>
    <w:semiHidden/>
    <w:qFormat/>
    <w:uiPriority w:val="99"/>
    <w:rPr>
      <w:kern w:val="2"/>
      <w:sz w:val="16"/>
      <w:szCs w:val="16"/>
    </w:rPr>
  </w:style>
  <w:style w:type="character" w:customStyle="1" w:styleId="451">
    <w:name w:val="页眉 Char2"/>
    <w:uiPriority w:val="99"/>
    <w:rPr>
      <w:rFonts w:eastAsia="宋体"/>
      <w:kern w:val="2"/>
      <w:sz w:val="18"/>
      <w:szCs w:val="18"/>
      <w:lang w:val="en-US" w:eastAsia="zh-CN"/>
    </w:rPr>
  </w:style>
  <w:style w:type="character" w:customStyle="1" w:styleId="452">
    <w:name w:val="HTML 预设格式 Char4"/>
    <w:semiHidden/>
    <w:qFormat/>
    <w:uiPriority w:val="99"/>
    <w:rPr>
      <w:rFonts w:ascii="Courier New" w:hAnsi="Courier New" w:cs="Courier New"/>
      <w:kern w:val="2"/>
    </w:rPr>
  </w:style>
  <w:style w:type="character" w:customStyle="1" w:styleId="453">
    <w:name w:val="正文文本 2 Char3"/>
    <w:semiHidden/>
    <w:qFormat/>
    <w:uiPriority w:val="99"/>
    <w:rPr>
      <w:kern w:val="2"/>
      <w:sz w:val="21"/>
      <w:szCs w:val="24"/>
    </w:rPr>
  </w:style>
  <w:style w:type="paragraph" w:customStyle="1" w:styleId="454">
    <w:name w:val="Char Char Char Char Char Char Char Char Char Char Char Char Char Char1 Char Char Char Char6"/>
    <w:basedOn w:val="1"/>
    <w:uiPriority w:val="0"/>
    <w:rPr>
      <w:szCs w:val="21"/>
    </w:rPr>
  </w:style>
  <w:style w:type="paragraph" w:customStyle="1" w:styleId="455">
    <w:name w:val="Char15"/>
    <w:basedOn w:val="1"/>
    <w:uiPriority w:val="0"/>
    <w:pPr>
      <w:spacing w:line="360" w:lineRule="auto"/>
      <w:ind w:firstLine="1653" w:firstLineChars="588"/>
    </w:pPr>
    <w:rPr>
      <w:b/>
      <w:sz w:val="28"/>
      <w:szCs w:val="28"/>
    </w:rPr>
  </w:style>
  <w:style w:type="character" w:customStyle="1" w:styleId="456">
    <w:name w:val="已访问的超链接11"/>
    <w:uiPriority w:val="99"/>
    <w:rPr>
      <w:color w:val="800080"/>
      <w:u w:val="single"/>
    </w:rPr>
  </w:style>
  <w:style w:type="character" w:customStyle="1" w:styleId="457">
    <w:name w:val="标题12"/>
    <w:basedOn w:val="46"/>
    <w:uiPriority w:val="0"/>
  </w:style>
  <w:style w:type="paragraph" w:customStyle="1" w:styleId="458">
    <w:name w:val="列出段落21"/>
    <w:basedOn w:val="1"/>
    <w:uiPriority w:val="99"/>
    <w:pPr>
      <w:widowControl/>
      <w:spacing w:line="640" w:lineRule="exact"/>
      <w:ind w:firstLine="420" w:firstLineChars="200"/>
      <w:jc w:val="left"/>
    </w:pPr>
    <w:rPr>
      <w:rFonts w:ascii="宋体" w:hAnsi="宋体" w:cs="宋体"/>
      <w:kern w:val="0"/>
      <w:sz w:val="24"/>
    </w:rPr>
  </w:style>
  <w:style w:type="character" w:customStyle="1" w:styleId="459">
    <w:name w:val="15"/>
    <w:uiPriority w:val="0"/>
    <w:rPr>
      <w:rFonts w:hint="default" w:ascii="Times New Roman" w:hAnsi="Times New Roman" w:cs="Times New Roman"/>
      <w:color w:val="000000"/>
      <w:spacing w:val="360"/>
      <w:sz w:val="28"/>
      <w:szCs w:val="28"/>
    </w:rPr>
  </w:style>
  <w:style w:type="paragraph" w:customStyle="1" w:styleId="460">
    <w:name w:val="xl50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61">
    <w:name w:val="xl50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62">
    <w:name w:val="xl5027"/>
    <w:basedOn w:val="1"/>
    <w:uiPriority w:val="0"/>
    <w:pPr>
      <w:widowControl/>
      <w:spacing w:before="100" w:beforeAutospacing="1" w:after="100" w:afterAutospacing="1"/>
      <w:jc w:val="center"/>
      <w:textAlignment w:val="center"/>
    </w:pPr>
    <w:rPr>
      <w:rFonts w:ascii="宋体" w:hAnsi="宋体" w:cs="宋体"/>
      <w:kern w:val="0"/>
      <w:sz w:val="16"/>
      <w:szCs w:val="16"/>
    </w:rPr>
  </w:style>
  <w:style w:type="paragraph" w:customStyle="1" w:styleId="463">
    <w:name w:val="xl50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64">
    <w:name w:val="xl50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65">
    <w:name w:val="xl5030"/>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66">
    <w:name w:val="xl50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67">
    <w:name w:val="xl503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68">
    <w:name w:val="xl50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69">
    <w:name w:val="xl503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70">
    <w:name w:val="xl503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71">
    <w:name w:val="xl503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72">
    <w:name w:val="xl503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73">
    <w:name w:val="xl50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474">
    <w:name w:val="xl50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475">
    <w:name w:val="xl50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76">
    <w:name w:val="xl50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477">
    <w:name w:val="xl5042"/>
    <w:basedOn w:val="1"/>
    <w:uiPriority w:val="0"/>
    <w:pPr>
      <w:widowControl/>
      <w:spacing w:before="100" w:beforeAutospacing="1" w:after="100" w:afterAutospacing="1"/>
      <w:jc w:val="center"/>
      <w:textAlignment w:val="center"/>
    </w:pPr>
    <w:rPr>
      <w:rFonts w:ascii="宋体" w:hAnsi="宋体" w:cs="宋体"/>
      <w:kern w:val="0"/>
      <w:sz w:val="16"/>
      <w:szCs w:val="16"/>
    </w:rPr>
  </w:style>
  <w:style w:type="paragraph" w:customStyle="1" w:styleId="478">
    <w:name w:val="xl5043"/>
    <w:basedOn w:val="1"/>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79">
    <w:name w:val="xl5044"/>
    <w:basedOn w:val="1"/>
    <w:uiPriority w:val="0"/>
    <w:pPr>
      <w:widowControl/>
      <w:pBdr>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80">
    <w:name w:val="xl5045"/>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481">
    <w:name w:val="xl5046"/>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482">
    <w:name w:val="xl504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483">
    <w:name w:val="正文文本缩进3"/>
    <w:basedOn w:val="1"/>
    <w:qFormat/>
    <w:uiPriority w:val="0"/>
    <w:pPr>
      <w:spacing w:line="480" w:lineRule="auto"/>
      <w:ind w:firstLine="705"/>
    </w:pPr>
    <w:rPr>
      <w:sz w:val="24"/>
    </w:rPr>
  </w:style>
  <w:style w:type="character" w:customStyle="1" w:styleId="484">
    <w:name w:val="Char Char13"/>
    <w:uiPriority w:val="0"/>
    <w:rPr>
      <w:rFonts w:eastAsia="宋体"/>
      <w:kern w:val="2"/>
      <w:sz w:val="18"/>
      <w:szCs w:val="18"/>
      <w:lang w:val="en-US" w:eastAsia="zh-CN" w:bidi="ar-SA"/>
    </w:rPr>
  </w:style>
  <w:style w:type="paragraph" w:customStyle="1" w:styleId="485">
    <w:name w:val="Char Char Char Char Char Char Char Char Char Char Char Char Char Char1 Char Char Char Char5"/>
    <w:basedOn w:val="1"/>
    <w:uiPriority w:val="0"/>
    <w:rPr>
      <w:szCs w:val="21"/>
    </w:rPr>
  </w:style>
  <w:style w:type="paragraph" w:customStyle="1" w:styleId="486">
    <w:name w:val="Char14"/>
    <w:basedOn w:val="1"/>
    <w:uiPriority w:val="0"/>
    <w:pPr>
      <w:spacing w:line="360" w:lineRule="auto"/>
      <w:ind w:firstLine="1653" w:firstLineChars="588"/>
    </w:pPr>
    <w:rPr>
      <w:b/>
      <w:sz w:val="28"/>
      <w:szCs w:val="28"/>
    </w:rPr>
  </w:style>
  <w:style w:type="paragraph" w:customStyle="1" w:styleId="487">
    <w:name w:val="one-p"/>
    <w:basedOn w:val="1"/>
    <w:uiPriority w:val="0"/>
    <w:pPr>
      <w:widowControl/>
      <w:spacing w:before="100" w:beforeAutospacing="1" w:after="100" w:afterAutospacing="1"/>
      <w:jc w:val="left"/>
    </w:pPr>
    <w:rPr>
      <w:rFonts w:ascii="宋体" w:hAnsi="宋体" w:cs="宋体"/>
      <w:kern w:val="0"/>
      <w:sz w:val="24"/>
    </w:rPr>
  </w:style>
  <w:style w:type="character" w:customStyle="1" w:styleId="488">
    <w:name w:val="正文首行缩进 Char1"/>
    <w:semiHidden/>
    <w:qFormat/>
    <w:uiPriority w:val="99"/>
    <w:rPr>
      <w:rFonts w:cs="Times New Roman"/>
      <w:kern w:val="2"/>
      <w:sz w:val="21"/>
      <w:szCs w:val="24"/>
    </w:rPr>
  </w:style>
  <w:style w:type="paragraph" w:customStyle="1" w:styleId="489">
    <w:name w:val="Char Char Char Char Char Char Char Char Char Char Char Char Char Char Char1"/>
    <w:basedOn w:val="1"/>
    <w:qFormat/>
    <w:uiPriority w:val="0"/>
    <w:pPr>
      <w:snapToGrid w:val="0"/>
      <w:spacing w:line="440" w:lineRule="exact"/>
      <w:ind w:firstLine="200" w:firstLineChars="200"/>
    </w:pPr>
    <w:rPr>
      <w:szCs w:val="20"/>
    </w:rPr>
  </w:style>
  <w:style w:type="character" w:customStyle="1" w:styleId="490">
    <w:name w:val="readmail_locationtip"/>
    <w:basedOn w:val="46"/>
    <w:qFormat/>
    <w:uiPriority w:val="0"/>
  </w:style>
  <w:style w:type="character" w:customStyle="1" w:styleId="491">
    <w:name w:val="highlight"/>
    <w:basedOn w:val="46"/>
    <w:uiPriority w:val="0"/>
  </w:style>
  <w:style w:type="character" w:customStyle="1" w:styleId="492">
    <w:name w:val="font112"/>
    <w:uiPriority w:val="0"/>
    <w:rPr>
      <w:rFonts w:hint="eastAsia" w:ascii="宋体" w:hAnsi="宋体" w:eastAsia="宋体" w:cs="宋体"/>
      <w:color w:val="000000"/>
      <w:sz w:val="21"/>
      <w:szCs w:val="21"/>
      <w:u w:val="none"/>
    </w:rPr>
  </w:style>
  <w:style w:type="character" w:customStyle="1" w:styleId="493">
    <w:name w:val="font51"/>
    <w:qFormat/>
    <w:uiPriority w:val="0"/>
    <w:rPr>
      <w:rFonts w:hint="eastAsia" w:ascii="宋体" w:hAnsi="宋体" w:eastAsia="宋体" w:cs="宋体"/>
      <w:color w:val="000000"/>
      <w:sz w:val="18"/>
      <w:szCs w:val="18"/>
      <w:u w:val="none"/>
    </w:rPr>
  </w:style>
  <w:style w:type="character" w:customStyle="1" w:styleId="494">
    <w:name w:val="font61"/>
    <w:qFormat/>
    <w:uiPriority w:val="0"/>
    <w:rPr>
      <w:rFonts w:hint="default" w:ascii="Times New Roman" w:hAnsi="Times New Roman" w:cs="宋体"/>
      <w:color w:val="000000"/>
      <w:sz w:val="18"/>
      <w:szCs w:val="18"/>
      <w:u w:val="none"/>
    </w:rPr>
  </w:style>
  <w:style w:type="character" w:customStyle="1" w:styleId="495">
    <w:name w:val="font81"/>
    <w:uiPriority w:val="0"/>
    <w:rPr>
      <w:rFonts w:hint="eastAsia" w:ascii="宋体" w:hAnsi="宋体" w:eastAsia="宋体" w:cs="宋体"/>
      <w:b/>
      <w:color w:val="000000"/>
      <w:sz w:val="18"/>
      <w:szCs w:val="18"/>
      <w:u w:val="none"/>
    </w:rPr>
  </w:style>
  <w:style w:type="character" w:customStyle="1" w:styleId="496">
    <w:name w:val="font101"/>
    <w:uiPriority w:val="0"/>
    <w:rPr>
      <w:rFonts w:hint="default" w:ascii="Times New Roman" w:hAnsi="Times New Roman" w:cs="Times New Roman"/>
      <w:b/>
      <w:color w:val="000000"/>
      <w:sz w:val="18"/>
      <w:szCs w:val="18"/>
      <w:u w:val="none"/>
    </w:rPr>
  </w:style>
  <w:style w:type="character" w:customStyle="1" w:styleId="497">
    <w:name w:val="font71"/>
    <w:uiPriority w:val="0"/>
    <w:rPr>
      <w:rFonts w:hint="eastAsia" w:ascii="宋体" w:hAnsi="宋体" w:eastAsia="宋体" w:cs="宋体"/>
      <w:color w:val="000000"/>
      <w:sz w:val="18"/>
      <w:szCs w:val="18"/>
      <w:u w:val="none"/>
    </w:rPr>
  </w:style>
  <w:style w:type="character" w:customStyle="1" w:styleId="498">
    <w:name w:val="font91"/>
    <w:uiPriority w:val="0"/>
    <w:rPr>
      <w:rFonts w:hint="eastAsia" w:ascii="宋体" w:hAnsi="宋体" w:eastAsia="宋体" w:cs="宋体"/>
      <w:b/>
      <w:color w:val="000000"/>
      <w:sz w:val="18"/>
      <w:szCs w:val="18"/>
      <w:u w:val="none"/>
    </w:rPr>
  </w:style>
  <w:style w:type="paragraph" w:customStyle="1" w:styleId="499">
    <w:name w:val="修订21"/>
    <w:qFormat/>
    <w:uiPriority w:val="99"/>
    <w:pPr>
      <w:spacing w:line="640" w:lineRule="exact"/>
      <w:jc w:val="center"/>
    </w:pPr>
    <w:rPr>
      <w:rFonts w:ascii="Times New Roman" w:hAnsi="Times New Roman" w:eastAsia="宋体" w:cs="Times New Roman"/>
      <w:kern w:val="2"/>
      <w:sz w:val="21"/>
      <w:szCs w:val="21"/>
      <w:lang w:val="en-US" w:eastAsia="zh-CN" w:bidi="ar-SA"/>
    </w:rPr>
  </w:style>
  <w:style w:type="paragraph" w:customStyle="1" w:styleId="500">
    <w:name w:val="TOC 标题11"/>
    <w:basedOn w:val="2"/>
    <w:next w:val="1"/>
    <w:uiPriority w:val="39"/>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501">
    <w:name w:val="修订4"/>
    <w:uiPriority w:val="99"/>
    <w:rPr>
      <w:rFonts w:ascii="Times New Roman" w:hAnsi="Times New Roman" w:eastAsia="宋体" w:cs="Times New Roman"/>
      <w:szCs w:val="24"/>
      <w:lang w:val="en-US" w:eastAsia="zh-CN" w:bidi="ar-SA"/>
    </w:rPr>
  </w:style>
  <w:style w:type="paragraph" w:customStyle="1" w:styleId="502">
    <w:name w:val="TOC 标题2"/>
    <w:basedOn w:val="2"/>
    <w:next w:val="1"/>
    <w:uiPriority w:val="99"/>
    <w:pPr>
      <w:keepLines/>
      <w:widowControl/>
      <w:autoSpaceDE/>
      <w:autoSpaceDN/>
      <w:adjustRightInd/>
      <w:spacing w:before="480" w:line="276" w:lineRule="auto"/>
      <w:jc w:val="left"/>
      <w:textAlignment w:val="auto"/>
      <w:outlineLvl w:val="9"/>
    </w:pPr>
    <w:rPr>
      <w:rFonts w:ascii="Cambria" w:hAnsi="Cambria"/>
      <w:b/>
      <w:bCs/>
      <w:color w:val="365F91"/>
      <w:kern w:val="0"/>
      <w:szCs w:val="28"/>
    </w:rPr>
  </w:style>
  <w:style w:type="character" w:customStyle="1" w:styleId="503">
    <w:name w:val="不明显强调2"/>
    <w:uiPriority w:val="19"/>
    <w:rPr>
      <w:i/>
      <w:iCs/>
      <w:color w:val="808080"/>
    </w:rPr>
  </w:style>
  <w:style w:type="paragraph" w:customStyle="1" w:styleId="504">
    <w:name w:val="TOC 标题3"/>
    <w:basedOn w:val="2"/>
    <w:next w:val="1"/>
    <w:uiPriority w:val="39"/>
    <w:pPr>
      <w:keepLines/>
      <w:widowControl/>
      <w:autoSpaceDE/>
      <w:autoSpaceDN/>
      <w:adjustRightInd/>
      <w:spacing w:before="480" w:line="276" w:lineRule="auto"/>
      <w:jc w:val="left"/>
      <w:textAlignment w:val="auto"/>
      <w:outlineLvl w:val="9"/>
    </w:pPr>
    <w:rPr>
      <w:rFonts w:ascii="Cambria" w:hAnsi="Cambria" w:cs="Cambria"/>
      <w:b/>
      <w:bCs/>
      <w:color w:val="365F91"/>
      <w:kern w:val="0"/>
      <w:szCs w:val="28"/>
    </w:rPr>
  </w:style>
  <w:style w:type="paragraph" w:customStyle="1" w:styleId="505">
    <w:name w:val="修订5"/>
    <w:uiPriority w:val="99"/>
    <w:rPr>
      <w:rFonts w:ascii="Times New Roman" w:hAnsi="Times New Roman" w:eastAsia="宋体" w:cs="Times New Roman"/>
      <w:szCs w:val="21"/>
      <w:lang w:val="en-US" w:eastAsia="zh-CN" w:bidi="ar-SA"/>
    </w:rPr>
  </w:style>
  <w:style w:type="character" w:customStyle="1" w:styleId="506">
    <w:name w:val="query-name"/>
    <w:basedOn w:val="46"/>
    <w:uiPriority w:val="0"/>
  </w:style>
  <w:style w:type="character" w:customStyle="1" w:styleId="507">
    <w:name w:val="clampword3"/>
    <w:basedOn w:val="46"/>
    <w:uiPriority w:val="0"/>
  </w:style>
  <w:style w:type="paragraph" w:customStyle="1" w:styleId="508">
    <w:name w:val="xl11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18"/>
      <w:szCs w:val="18"/>
    </w:rPr>
  </w:style>
  <w:style w:type="paragraph" w:customStyle="1" w:styleId="509">
    <w:name w:val="xl121"/>
    <w:basedOn w:val="1"/>
    <w:uiPriority w:val="0"/>
    <w:pPr>
      <w:widowControl/>
      <w:spacing w:before="100" w:beforeAutospacing="1" w:after="100" w:afterAutospacing="1"/>
      <w:jc w:val="left"/>
    </w:pPr>
    <w:rPr>
      <w:kern w:val="0"/>
      <w:sz w:val="24"/>
    </w:rPr>
  </w:style>
  <w:style w:type="paragraph" w:customStyle="1" w:styleId="510">
    <w:name w:val="xl124"/>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511">
    <w:name w:val="xl12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2">
    <w:name w:val="正文 A"/>
    <w:uiPriority w:val="0"/>
    <w:pPr>
      <w:widowControl w:val="0"/>
      <w:jc w:val="both"/>
    </w:pPr>
    <w:rPr>
      <w:rFonts w:hint="eastAsia" w:ascii="Arial Unicode MS" w:hAnsi="Arial Unicode MS" w:eastAsia="Times New Roman" w:cs="Arial Unicode MS"/>
      <w:color w:val="000000"/>
      <w:szCs w:val="21"/>
      <w:u w:color="000000"/>
      <w:lang w:val="en-US" w:eastAsia="zh-CN" w:bidi="ar-SA"/>
    </w:rPr>
  </w:style>
  <w:style w:type="paragraph" w:customStyle="1" w:styleId="513">
    <w:name w:val="xl12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4">
    <w:name w:val="xl13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b/>
      <w:bCs/>
      <w:color w:val="FF0000"/>
      <w:kern w:val="0"/>
      <w:sz w:val="18"/>
      <w:szCs w:val="18"/>
    </w:rPr>
  </w:style>
  <w:style w:type="paragraph" w:customStyle="1" w:styleId="515">
    <w:name w:val="font0"/>
    <w:basedOn w:val="1"/>
    <w:uiPriority w:val="0"/>
    <w:pPr>
      <w:widowControl/>
      <w:spacing w:before="100" w:beforeAutospacing="1" w:after="100" w:afterAutospacing="1"/>
      <w:jc w:val="left"/>
    </w:pPr>
    <w:rPr>
      <w:rFonts w:ascii="宋体" w:hAnsi="宋体" w:cs="宋体"/>
      <w:kern w:val="0"/>
      <w:sz w:val="24"/>
    </w:rPr>
  </w:style>
  <w:style w:type="paragraph" w:customStyle="1" w:styleId="516">
    <w:name w:val="列出段落3"/>
    <w:basedOn w:val="1"/>
    <w:uiPriority w:val="34"/>
    <w:pPr>
      <w:widowControl/>
      <w:spacing w:line="640" w:lineRule="exact"/>
      <w:ind w:firstLine="420" w:firstLineChars="200"/>
      <w:jc w:val="left"/>
    </w:pPr>
    <w:rPr>
      <w:rFonts w:ascii="宋体" w:hAnsi="宋体" w:cs="宋体"/>
      <w:kern w:val="0"/>
      <w:sz w:val="24"/>
    </w:rPr>
  </w:style>
  <w:style w:type="paragraph" w:customStyle="1" w:styleId="517">
    <w:name w:val="xl13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518">
    <w:name w:val="xl12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color w:val="FF0000"/>
      <w:kern w:val="0"/>
      <w:sz w:val="18"/>
      <w:szCs w:val="18"/>
    </w:rPr>
  </w:style>
  <w:style w:type="paragraph" w:customStyle="1" w:styleId="519">
    <w:name w:val="xl11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18"/>
      <w:szCs w:val="18"/>
    </w:rPr>
  </w:style>
  <w:style w:type="paragraph" w:customStyle="1" w:styleId="520">
    <w:name w:val="xl12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1">
    <w:name w:val="xl123"/>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18"/>
      <w:szCs w:val="18"/>
    </w:rPr>
  </w:style>
  <w:style w:type="paragraph" w:customStyle="1" w:styleId="522">
    <w:name w:val="xl127"/>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3">
    <w:name w:val="xl125"/>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24">
    <w:name w:val="xl12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character" w:customStyle="1" w:styleId="525">
    <w:name w:val="标题3"/>
    <w:basedOn w:val="46"/>
    <w:uiPriority w:val="0"/>
  </w:style>
  <w:style w:type="paragraph" w:customStyle="1" w:styleId="526">
    <w:name w:val="4"/>
    <w:uiPriority w:val="99"/>
    <w:pPr>
      <w:widowControl w:val="0"/>
      <w:jc w:val="both"/>
    </w:pPr>
    <w:rPr>
      <w:rFonts w:ascii="Times New Roman" w:hAnsi="Times New Roman" w:eastAsia="宋体" w:cs="Times New Roman"/>
      <w:szCs w:val="21"/>
      <w:lang w:val="en-US" w:eastAsia="zh-CN" w:bidi="ar-SA"/>
    </w:rPr>
  </w:style>
  <w:style w:type="character" w:customStyle="1" w:styleId="527">
    <w:name w:val="标题4"/>
    <w:basedOn w:val="46"/>
    <w:uiPriority w:val="0"/>
  </w:style>
  <w:style w:type="character" w:customStyle="1" w:styleId="528">
    <w:name w:val="title-indicator"/>
    <w:basedOn w:val="46"/>
    <w:uiPriority w:val="0"/>
  </w:style>
  <w:style w:type="character" w:customStyle="1" w:styleId="529">
    <w:name w:val="hidden-xs"/>
    <w:basedOn w:val="46"/>
    <w:uiPriority w:val="0"/>
  </w:style>
  <w:style w:type="paragraph" w:customStyle="1" w:styleId="530">
    <w:name w:val="Revision"/>
    <w:uiPriority w:val="99"/>
    <w:rPr>
      <w:rFonts w:ascii="Times New Roman" w:hAnsi="Times New Roman" w:eastAsia="宋体" w:cs="Times New Roman"/>
      <w:szCs w:val="24"/>
      <w:lang w:val="en-US" w:eastAsia="zh-CN" w:bidi="ar-SA"/>
    </w:rPr>
  </w:style>
  <w:style w:type="character" w:customStyle="1" w:styleId="531">
    <w:name w:val="Subtle Emphasis"/>
    <w:qFormat/>
    <w:uiPriority w:val="19"/>
    <w:rPr>
      <w:i/>
      <w:iCs/>
      <w:color w:val="7F7F7F" w:themeColor="text1" w:themeTint="7F"/>
    </w:rPr>
  </w:style>
  <w:style w:type="paragraph" w:customStyle="1" w:styleId="532">
    <w:name w:val="TOC Heading"/>
    <w:basedOn w:val="2"/>
    <w:next w:val="1"/>
    <w:semiHidden/>
    <w:unhideWhenUsed/>
    <w:qFormat/>
    <w:uiPriority w:val="39"/>
    <w:pPr>
      <w:keepLines/>
      <w:autoSpaceDE/>
      <w:autoSpaceDN/>
      <w:adjustRightInd/>
      <w:spacing w:before="340" w:after="330" w:line="578" w:lineRule="auto"/>
      <w:textAlignment w:val="auto"/>
      <w:outlineLvl w:val="9"/>
    </w:pPr>
    <w:rPr>
      <w:rFonts w:ascii="Times New Roman"/>
      <w:b/>
      <w:bCs/>
      <w:kern w:val="44"/>
      <w:sz w:val="44"/>
      <w:szCs w:val="44"/>
    </w:rPr>
  </w:style>
  <w:style w:type="paragraph" w:customStyle="1" w:styleId="533">
    <w:name w:val="Char Char Char Char Char Char Char Char Char Char Char Char Char Char1 Char Char Char Char31"/>
    <w:basedOn w:val="1"/>
    <w:qFormat/>
    <w:uiPriority w:val="0"/>
    <w:rPr>
      <w:szCs w:val="21"/>
    </w:rPr>
  </w:style>
  <w:style w:type="paragraph" w:customStyle="1" w:styleId="534">
    <w:name w:val="正文文本缩进31"/>
    <w:basedOn w:val="1"/>
    <w:qFormat/>
    <w:uiPriority w:val="0"/>
    <w:pPr>
      <w:spacing w:line="480" w:lineRule="auto"/>
      <w:ind w:firstLine="705"/>
    </w:pPr>
    <w:rPr>
      <w:sz w:val="24"/>
    </w:rPr>
  </w:style>
  <w:style w:type="paragraph" w:customStyle="1" w:styleId="535">
    <w:name w:val="正文文本缩进4"/>
    <w:basedOn w:val="1"/>
    <w:qFormat/>
    <w:uiPriority w:val="0"/>
    <w:pPr>
      <w:spacing w:line="480" w:lineRule="auto"/>
      <w:ind w:firstLine="705"/>
    </w:pPr>
    <w:rPr>
      <w:sz w:val="24"/>
    </w:rPr>
  </w:style>
  <w:style w:type="paragraph" w:customStyle="1" w:styleId="536">
    <w:name w:val="vsbcontent_start"/>
    <w:basedOn w:val="1"/>
    <w:qFormat/>
    <w:uiPriority w:val="0"/>
    <w:pPr>
      <w:widowControl/>
      <w:spacing w:before="100" w:beforeAutospacing="1" w:after="100" w:afterAutospacing="1"/>
      <w:jc w:val="left"/>
    </w:pPr>
    <w:rPr>
      <w:rFonts w:ascii="宋体" w:hAnsi="宋体" w:cs="宋体"/>
      <w:kern w:val="0"/>
      <w:sz w:val="24"/>
    </w:rPr>
  </w:style>
  <w:style w:type="character" w:customStyle="1" w:styleId="537">
    <w:name w:val="正文缩进 Char1"/>
    <w:basedOn w:val="46"/>
    <w:link w:val="1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FE4CD-45B1-47E1-8518-95B82B960B9F}">
  <ds:schemaRefs/>
</ds:datastoreItem>
</file>

<file path=docProps/app.xml><?xml version="1.0" encoding="utf-8"?>
<Properties xmlns="http://schemas.openxmlformats.org/officeDocument/2006/extended-properties" xmlns:vt="http://schemas.openxmlformats.org/officeDocument/2006/docPropsVTypes">
  <Template>Normal</Template>
  <Pages>27</Pages>
  <Words>2739</Words>
  <Characters>15618</Characters>
  <Lines>130</Lines>
  <Paragraphs>36</Paragraphs>
  <TotalTime>11</TotalTime>
  <ScaleCrop>false</ScaleCrop>
  <LinksUpToDate>false</LinksUpToDate>
  <CharactersWithSpaces>18321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2020-12-30T04:57:00Z</dcterms:created>
  <dc:creator>Administrator</dc:creator>
  <cp:lastModifiedBy>伶伶</cp:lastModifiedBy>
  <cp:lastPrinted>2020-12-30T06:28:00Z</cp:lastPrinted>
  <dcterms:modified xsi:type="dcterms:W3CDTF">2021-04-20T08:39:46Z</dcterms:modified>
  <dc:title>房地产价格评估报告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