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.......................12</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.........................13-20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（五）估价测算过程...............................15-20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受贵方（以下简称委托方）的委托，本公司派员对委托方列明的魏建成所有、位于孝感市城站路72号荣欣公寓B栋1单元1层102室，建筑面积为184.45平方米的住宅房地产（含相关权益）进行了现场实地查勘，并对估价对象房地产于估价时点2020年12月8日的市场价值进行了估价，为委托方确定房地产拍卖底价提供价格参考依据。</w:t>
      </w:r>
    </w:p>
    <w:p>
      <w:pPr>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在整个估价过程中，估价人员本着独立、客观、公正的原则，根据估价目的，收集有关资料，按照估价程序，选择市场法对估价对象进行了评估。估价人员经过实地勘察和测算，确定估价对象在估价时点的</w:t>
      </w:r>
      <w:r>
        <w:rPr>
          <w:rFonts w:hint="eastAsia" w:ascii="仿宋_GB2312" w:hAnsi="宋体" w:eastAsia="仿宋_GB2312" w:cs="Times New Roman"/>
          <w:kern w:val="2"/>
          <w:sz w:val="28"/>
          <w:szCs w:val="28"/>
          <w:highlight w:val="none"/>
          <w:lang w:val="en-US" w:eastAsia="zh-CN" w:bidi="ar-SA"/>
        </w:rPr>
        <w:t>市场价值为￥963567元(大写人民币玖拾陆万叁仟伍佰陆拾柒元整)</w:t>
      </w:r>
      <w:r>
        <w:rPr>
          <w:rFonts w:hint="eastAsia" w:ascii="仿宋_GB2312" w:hAnsi="宋体" w:eastAsia="仿宋_GB2312"/>
          <w:sz w:val="28"/>
          <w:szCs w:val="28"/>
          <w:lang w:val="en-US" w:eastAsia="zh-CN"/>
        </w:rPr>
        <w:t>。</w:t>
      </w:r>
    </w:p>
    <w:p>
      <w:pPr>
        <w:ind w:firstLine="560" w:firstLineChars="200"/>
        <w:rPr>
          <w:rFonts w:hint="default"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二○二○年十二月十八日</w:t>
      </w:r>
    </w:p>
    <w:p>
      <w:pPr>
        <w:jc w:val="both"/>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bookmarkStart w:id="1" w:name="_GoBack"/>
      <w:bookmarkEnd w:id="1"/>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二○二○年十二月十八日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16162</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val="en-US" w:eastAsia="zh-CN"/>
        </w:rPr>
      </w:pPr>
      <w:r>
        <w:rPr>
          <w:rFonts w:hint="eastAsia" w:ascii="仿宋" w:hAnsi="仿宋" w:eastAsia="仿宋"/>
          <w:b/>
          <w:bCs/>
          <w:sz w:val="32"/>
          <w:szCs w:val="32"/>
          <w:lang w:eastAsia="zh-CN"/>
        </w:rPr>
        <w:t>孝感市城站路荣欣公寓</w:t>
      </w:r>
      <w:r>
        <w:rPr>
          <w:rFonts w:hint="eastAsia" w:ascii="仿宋" w:hAnsi="仿宋" w:eastAsia="仿宋"/>
          <w:b/>
          <w:bCs/>
          <w:sz w:val="32"/>
          <w:szCs w:val="32"/>
          <w:lang w:val="en-US" w:eastAsia="zh-CN"/>
        </w:rPr>
        <w:t>B栋1单元102室</w:t>
      </w:r>
      <w:r>
        <w:rPr>
          <w:rFonts w:hint="eastAsia" w:ascii="仿宋" w:hAnsi="仿宋" w:eastAsia="仿宋"/>
          <w:b/>
          <w:bCs/>
          <w:sz w:val="32"/>
          <w:szCs w:val="32"/>
          <w:lang w:eastAsia="zh-CN"/>
        </w:rPr>
        <w:t>魏建成所有的</w:t>
      </w:r>
    </w:p>
    <w:p>
      <w:pPr>
        <w:jc w:val="center"/>
        <w:rPr>
          <w:rFonts w:ascii="仿宋" w:hAnsi="仿宋" w:eastAsia="仿宋"/>
          <w:b/>
          <w:bCs/>
          <w:sz w:val="36"/>
          <w:szCs w:val="36"/>
        </w:rPr>
      </w:pP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1"/>
        </w:numPr>
        <w:ind w:left="0" w:leftChars="0"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住所：孝感市孝南区黄花路38号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本次估价对象范围为魏建成所有的位于孝感市城站路72号荣欣公寓B栋1单元1层102室、建筑面积为184.45平方米的住宅房地产。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根据委托方提供的司法鉴定委托书和房地产权登记信息等有关资料及现场勘验情况，可知估价对象实体状况如下：</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估价对象座落于孝感市城站路72号荣欣公寓B栋1单元1层102室，建筑面积为184.45平方米，房屋所有权人为魏建成，单独所有，南北朝向，结构为砖混结构，所在层数/总层数为1层/7层，不动产权证书号为孝感市房权证字第2015006422号，登记时间为2015年5月20日。</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经估价人员现场实物勘验和调查，估价对象于2000年建成，位于孝感市城站路72号荣欣公寓小区B栋1单元1层102室，现状用途为成套住宅，户型为错层复式结构，四室二厅二卫，进户门为防盗门，铝合金窗户加铁质防盗网，室内水电俱通，厨卫设施齐全，为普通装修，维护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二0二0年十二月八日。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w:t>
      </w:r>
      <w:r>
        <w:rPr>
          <w:rFonts w:hint="eastAsia" w:ascii="仿宋_GB2312" w:hAnsi="宋体" w:eastAsia="仿宋_GB2312" w:cs="Times New Roman"/>
          <w:kern w:val="2"/>
          <w:sz w:val="28"/>
          <w:szCs w:val="28"/>
          <w:highlight w:val="none"/>
          <w:lang w:val="en-US" w:eastAsia="zh-CN" w:bidi="ar-SA"/>
        </w:rPr>
        <w:t>市场价值为￥963567元(大写人民币玖拾陆万叁仟伍佰陆拾柒元整)</w:t>
      </w:r>
      <w:r>
        <w:rPr>
          <w:rFonts w:hint="eastAsia" w:ascii="仿宋_GB2312" w:hAnsi="宋体" w:eastAsia="仿宋_GB2312" w:cs="Times New Roman"/>
          <w:kern w:val="2"/>
          <w:sz w:val="28"/>
          <w:szCs w:val="28"/>
          <w:lang w:val="en-US" w:eastAsia="zh-CN" w:bidi="ar-SA"/>
        </w:rPr>
        <w:t>。</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213360</wp:posOffset>
                  </wp:positionH>
                  <wp:positionV relativeFrom="paragraph">
                    <wp:posOffset>258445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53975</wp:posOffset>
                  </wp:positionH>
                  <wp:positionV relativeFrom="paragraph">
                    <wp:posOffset>309880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12</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18</w:t>
      </w:r>
      <w:r>
        <w:rPr>
          <w:rStyle w:val="11"/>
          <w:rFonts w:hint="eastAsia" w:ascii="仿宋_GB2312" w:hAnsi="仿宋" w:eastAsia="仿宋_GB2312" w:cs="宋体"/>
          <w:sz w:val="28"/>
          <w:szCs w:val="28"/>
          <w:highlight w:val="none"/>
        </w:rPr>
        <w:t>日</w:t>
      </w:r>
      <w:r>
        <w:rPr>
          <w:rStyle w:val="11"/>
          <w:rFonts w:hint="eastAsia" w:ascii="仿宋_GB2312" w:hAnsi="仿宋" w:eastAsia="仿宋_GB2312" w:cs="宋体"/>
          <w:sz w:val="28"/>
          <w:szCs w:val="28"/>
          <w:highlight w:val="none"/>
        </w:rPr>
        <w:t>。</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二0二0年十二月十八日</w:t>
      </w:r>
    </w:p>
    <w:p>
      <w:pPr>
        <w:jc w:val="center"/>
        <w:rPr>
          <w:rFonts w:hint="eastAsia" w:ascii="仿宋" w:hAnsi="仿宋" w:eastAsia="仿宋"/>
          <w:b/>
          <w:bCs/>
          <w:sz w:val="32"/>
          <w:szCs w:val="32"/>
          <w:lang w:val="en-US" w:eastAsia="zh-CN"/>
        </w:rPr>
      </w:pPr>
      <w:r>
        <w:rPr>
          <w:rFonts w:hint="eastAsia" w:ascii="仿宋" w:hAnsi="仿宋" w:eastAsia="仿宋"/>
          <w:b/>
          <w:bCs/>
          <w:sz w:val="32"/>
          <w:szCs w:val="32"/>
          <w:lang w:eastAsia="zh-CN"/>
        </w:rPr>
        <w:t>孝感市城站路荣欣公寓</w:t>
      </w:r>
      <w:r>
        <w:rPr>
          <w:rFonts w:hint="eastAsia" w:ascii="仿宋" w:hAnsi="仿宋" w:eastAsia="仿宋"/>
          <w:b/>
          <w:bCs/>
          <w:sz w:val="32"/>
          <w:szCs w:val="32"/>
          <w:lang w:val="en-US" w:eastAsia="zh-CN"/>
        </w:rPr>
        <w:t>B栋1单元102室</w:t>
      </w:r>
      <w:r>
        <w:rPr>
          <w:rFonts w:hint="eastAsia" w:ascii="仿宋" w:hAnsi="仿宋" w:eastAsia="仿宋"/>
          <w:b/>
          <w:bCs/>
          <w:sz w:val="32"/>
          <w:szCs w:val="32"/>
          <w:lang w:eastAsia="zh-CN"/>
        </w:rPr>
        <w:t>魏建成所有的</w:t>
      </w:r>
    </w:p>
    <w:p>
      <w:pPr>
        <w:jc w:val="center"/>
        <w:rPr>
          <w:rFonts w:hint="eastAsia" w:ascii="仿宋" w:hAnsi="仿宋" w:eastAsia="仿宋"/>
          <w:b/>
          <w:bCs/>
          <w:sz w:val="32"/>
          <w:szCs w:val="32"/>
        </w:rPr>
      </w:pPr>
      <w:r>
        <w:rPr>
          <w:rFonts w:hint="eastAsia" w:ascii="仿宋" w:hAnsi="仿宋" w:eastAsia="仿宋"/>
          <w:b/>
          <w:bCs/>
          <w:sz w:val="32"/>
          <w:szCs w:val="32"/>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于孝感市城站路72号荣欣公寓B栋1单元1层102室，建筑面积为184.45平方米，房屋所有权人为魏建成，单独所有，结构为混合结构，所在层数/总层数为1层/7层，不动产权证书号为孝感市房权证字第2015006422号，登记时间为2015年5月20日。</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估价人员现场实物勘验和调查，估价对象于2000年建成，位于孝感市城站路72号荣欣公寓小区B栋1单元1层102室，南北朝向，现状用途为成套住宅，户型为错层复式结构，四室二厅二卫，进户门为防盗门，铝合金窗户加铁质防盗网，室内水电俱通，厨卫设施齐全，为普通装修，维护一般。</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keepNext w:val="0"/>
        <w:keepLines w:val="0"/>
        <w:widowControl/>
        <w:suppressLineNumbers w:val="0"/>
        <w:ind w:firstLine="560" w:firstLineChars="200"/>
        <w:jc w:val="lef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于孝感市城站路72号荣欣公寓小区。该小区东临城站路主干道，与孝感市邮政局对门，西接百佳豪庭小区，南邻百佳宏业商城，北靠烟草局及宿舍，物业管理尚可，采用24小时保安值守，目前小区正在进行内部场地刷黑、楼栋外墙刷新等老旧改造，极大地改善居住环境；地处孝感繁华核心地段，中心城区商业旺区，人口密度大，5分钟生活圈内有：人民广场、中百仓储、武商量贩、苏宁电器、文化路步行街等</w:t>
      </w:r>
      <w:bookmarkStart w:id="0" w:name="ref_[1]_"/>
      <w:bookmarkEnd w:id="0"/>
      <w:r>
        <w:rPr>
          <w:rFonts w:hint="eastAsia" w:ascii="仿宋_GB2312" w:hAnsi="宋体" w:eastAsia="仿宋_GB2312" w:cs="Times New Roman"/>
          <w:kern w:val="2"/>
          <w:sz w:val="28"/>
          <w:szCs w:val="28"/>
          <w:lang w:val="en-US" w:eastAsia="zh-CN" w:bidi="ar-SA"/>
        </w:rPr>
        <w:t>超市场所，且出门直达城站路地下空间商业街；周边学校云集，主要有：市直机关幼儿园、十五军幼儿园、实验小学、文昌中学、孝感高中、湖北工程学院，属于市文昌中学学区房；还有中心医院、孝感妇幼保健院。小区周边设有各家银行、建设路菜场等多家市场，周边生活、公共配套设施齐全，1路、8路等多路公交通过，交通、购物、娱乐、上学和就医都极为便利，属于城市功能齐全，住宅市场供应饱和，基本稳定的成熟区域。</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firstLineChars="200"/>
        <w:rPr>
          <w:rFonts w:hint="eastAsia" w:ascii="仿宋" w:hAnsi="仿宋" w:eastAsia="仿宋"/>
          <w:sz w:val="28"/>
          <w:szCs w:val="28"/>
        </w:rPr>
      </w:pPr>
      <w:r>
        <w:rPr>
          <w:rFonts w:hint="eastAsia" w:ascii="仿宋_GB2312" w:hAnsi="宋体" w:eastAsia="仿宋_GB2312" w:cs="Times New Roman"/>
          <w:kern w:val="2"/>
          <w:sz w:val="28"/>
          <w:szCs w:val="28"/>
          <w:lang w:val="en-US" w:eastAsia="zh-CN" w:bidi="ar-SA"/>
        </w:rPr>
        <w:t>接受委托后，我们会同委托人对估价对象进行了实地勘查，随后开展了广泛的市场调查，并进行了估价测算。经调查研究，估价人员采用市场法进行估价。</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实例A：百佳豪庭小区住宅，2009年建成，总层数6层，所在层1层，南北朝向，普通装修，建筑面积149.3平米，四室二厅，拟交易总价86万，折合单价约为5761元/平米，拟交易日期2020年12月份。</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实例B：百佳豪庭小区住宅，2010年建成，总层数6层，所在层2层，南北朝向，中档装修，建筑面积150平米，四室二厅，拟交易总价90.8万，折合单价约为6054元/平米，拟交易日期2020年12月份。</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实例C：荣欣公寓小区住宅，2001年建成，总层数7层，所在层7层，南北朝向，普通装修，建筑面积140平米，三室二厅，拟交易总价70万，折合单价约为5000元/平米，拟交易日期2020年12月份。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keepNext w:val="0"/>
        <w:keepLines w:val="0"/>
        <w:widowControl/>
        <w:suppressLineNumbers w:val="0"/>
        <w:ind w:firstLine="560" w:firstLineChars="200"/>
        <w:jc w:val="left"/>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荣欣公寓</w:t>
            </w:r>
            <w:r>
              <w:rPr>
                <w:rFonts w:hint="eastAsia" w:ascii="仿宋" w:hAnsi="仿宋" w:eastAsia="仿宋" w:cs="仿宋"/>
                <w:color w:val="auto"/>
                <w:sz w:val="24"/>
                <w:szCs w:val="24"/>
                <w:lang w:val="en-US" w:eastAsia="zh-CN"/>
              </w:rPr>
              <w:t>B栋1单元1层102室</w:t>
            </w:r>
          </w:p>
        </w:tc>
        <w:tc>
          <w:tcPr>
            <w:tcW w:w="1567"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百佳豪庭小区</w:t>
            </w:r>
          </w:p>
        </w:tc>
        <w:tc>
          <w:tcPr>
            <w:tcW w:w="1550" w:type="dxa"/>
            <w:vAlign w:val="top"/>
          </w:tcPr>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百佳豪庭小区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荣欣公寓</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荣欣公寓</w:t>
            </w:r>
          </w:p>
        </w:tc>
        <w:tc>
          <w:tcPr>
            <w:tcW w:w="1567"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百佳豪庭</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百佳豪庭</w:t>
            </w:r>
          </w:p>
        </w:tc>
        <w:tc>
          <w:tcPr>
            <w:tcW w:w="1633"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荣欣公寓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_GB2312" w:hAnsi="宋体" w:eastAsia="仿宋_GB2312" w:cs="Times New Roman"/>
                <w:kern w:val="2"/>
                <w:sz w:val="28"/>
                <w:szCs w:val="28"/>
                <w:lang w:val="en-US" w:eastAsia="zh-CN" w:bidi="ar-SA"/>
              </w:rPr>
              <w:t>5761</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_GB2312" w:hAnsi="宋体" w:eastAsia="仿宋_GB2312" w:cs="Times New Roman"/>
                <w:kern w:val="2"/>
                <w:sz w:val="28"/>
                <w:szCs w:val="28"/>
                <w:lang w:val="en-US" w:eastAsia="zh-CN" w:bidi="ar-SA"/>
              </w:rPr>
              <w:t>6054</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1/7</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1/6</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2/6</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四室二厅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四室二厅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67"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中档装修</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60%</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78%</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textDirection w:val="lrTb"/>
            <w:vAlign w:val="top"/>
          </w:tcPr>
          <w:p>
            <w:pPr>
              <w:jc w:val="center"/>
              <w:rPr>
                <w:rFonts w:hint="default" w:ascii="仿宋" w:hAnsi="仿宋" w:eastAsia="仿宋" w:cs="仿宋"/>
                <w:sz w:val="30"/>
                <w:szCs w:val="30"/>
                <w:vertAlign w:val="baseline"/>
                <w:lang w:val="en-US" w:eastAsia="zh-CN"/>
              </w:rPr>
            </w:pPr>
            <w:r>
              <w:rPr>
                <w:rFonts w:hint="eastAsia" w:ascii="仿宋_GB2312" w:hAnsi="宋体" w:eastAsia="仿宋_GB2312" w:cs="Times New Roman"/>
                <w:kern w:val="2"/>
                <w:sz w:val="28"/>
                <w:szCs w:val="28"/>
                <w:lang w:val="en-US" w:eastAsia="zh-CN" w:bidi="ar-SA"/>
              </w:rPr>
              <w:t>5761</w:t>
            </w:r>
          </w:p>
        </w:tc>
        <w:tc>
          <w:tcPr>
            <w:tcW w:w="1550" w:type="dxa"/>
            <w:textDirection w:val="lrTb"/>
            <w:vAlign w:val="top"/>
          </w:tcPr>
          <w:p>
            <w:pPr>
              <w:jc w:val="center"/>
              <w:rPr>
                <w:rFonts w:hint="eastAsia" w:ascii="仿宋" w:hAnsi="仿宋" w:eastAsia="仿宋" w:cs="仿宋"/>
                <w:sz w:val="30"/>
                <w:szCs w:val="30"/>
                <w:vertAlign w:val="baseline"/>
                <w:lang w:val="en-US" w:eastAsia="zh-CN"/>
              </w:rPr>
            </w:pPr>
            <w:r>
              <w:rPr>
                <w:rFonts w:hint="eastAsia" w:ascii="仿宋_GB2312" w:hAnsi="宋体" w:eastAsia="仿宋_GB2312" w:cs="Times New Roman"/>
                <w:kern w:val="2"/>
                <w:sz w:val="28"/>
                <w:szCs w:val="28"/>
                <w:lang w:val="en-US" w:eastAsia="zh-CN" w:bidi="ar-SA"/>
              </w:rPr>
              <w:t>6054</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104</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633"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114</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keepNext w:val="0"/>
        <w:keepLines w:val="0"/>
        <w:widowControl/>
        <w:suppressLineNumbers w:val="0"/>
        <w:ind w:firstLine="560" w:firstLineChars="200"/>
        <w:jc w:val="left"/>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w:t>
            </w:r>
          </w:p>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成交单价（元/平米）</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867" w:type="dxa"/>
            <w:textDirection w:val="lrTb"/>
            <w:vAlign w:val="top"/>
          </w:tcPr>
          <w:p>
            <w:pPr>
              <w:jc w:val="center"/>
              <w:rPr>
                <w:rFonts w:hint="eastAsia" w:ascii="仿宋" w:hAnsi="仿宋" w:eastAsia="仿宋" w:cs="仿宋"/>
                <w:color w:val="auto"/>
                <w:sz w:val="28"/>
                <w:szCs w:val="28"/>
                <w:vertAlign w:val="baseline"/>
                <w:lang w:val="en-US" w:eastAsia="zh-CN"/>
              </w:rPr>
            </w:pPr>
            <w:r>
              <w:rPr>
                <w:rFonts w:hint="eastAsia" w:ascii="仿宋_GB2312" w:hAnsi="宋体" w:eastAsia="仿宋_GB2312" w:cs="Times New Roman"/>
                <w:kern w:val="2"/>
                <w:sz w:val="28"/>
                <w:szCs w:val="28"/>
                <w:lang w:val="en-US" w:eastAsia="zh-CN" w:bidi="ar-SA"/>
              </w:rPr>
              <w:t>5761</w:t>
            </w:r>
          </w:p>
        </w:tc>
        <w:tc>
          <w:tcPr>
            <w:tcW w:w="1550" w:type="dxa"/>
            <w:textDirection w:val="lrTb"/>
            <w:vAlign w:val="top"/>
          </w:tcPr>
          <w:p>
            <w:pPr>
              <w:jc w:val="center"/>
              <w:rPr>
                <w:rFonts w:hint="eastAsia" w:ascii="仿宋" w:hAnsi="仿宋" w:eastAsia="仿宋" w:cs="仿宋"/>
                <w:color w:val="auto"/>
                <w:sz w:val="28"/>
                <w:szCs w:val="28"/>
                <w:vertAlign w:val="baseline"/>
                <w:lang w:val="en-US" w:eastAsia="zh-CN"/>
              </w:rPr>
            </w:pPr>
            <w:r>
              <w:rPr>
                <w:rFonts w:hint="eastAsia" w:ascii="仿宋_GB2312" w:hAnsi="宋体" w:eastAsia="仿宋_GB2312" w:cs="Times New Roman"/>
                <w:kern w:val="2"/>
                <w:sz w:val="28"/>
                <w:szCs w:val="28"/>
                <w:lang w:val="en-US" w:eastAsia="zh-CN" w:bidi="ar-SA"/>
              </w:rPr>
              <w:t>6054</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情况</w:t>
            </w: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交易情况</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8"/>
                <w:szCs w:val="28"/>
                <w:vertAlign w:val="baseline"/>
                <w:lang w:val="en-US" w:eastAsia="zh-CN"/>
              </w:rPr>
            </w:pP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类型</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市场状况调整系数</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区域状况调整系数</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67"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550"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33"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106</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114</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5435</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5311</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5000</w:t>
            </w:r>
          </w:p>
        </w:tc>
      </w:tr>
    </w:tbl>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5、求取估价对象价值</w:t>
      </w:r>
    </w:p>
    <w:p>
      <w:pPr>
        <w:keepNext w:val="0"/>
        <w:keepLines w:val="0"/>
        <w:widowControl/>
        <w:suppressLineNumbers w:val="0"/>
        <w:ind w:firstLine="560" w:firstLineChars="200"/>
        <w:jc w:val="left"/>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但比准价格相差较大，因此采取加权算数平均值的求取方法，估算估价对象的价格。结合可比实例与估价对象条件因素实际情况，估价人员确定可比实例A、B、C的权重分别为30%、30%、40%。</w:t>
      </w:r>
    </w:p>
    <w:p>
      <w:pPr>
        <w:keepNext w:val="0"/>
        <w:keepLines w:val="0"/>
        <w:widowControl/>
        <w:suppressLineNumbers w:val="0"/>
        <w:ind w:firstLine="560" w:firstLineChars="200"/>
        <w:jc w:val="lef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w:t>
      </w:r>
      <w:r>
        <w:rPr>
          <w:rFonts w:hint="eastAsia" w:ascii="仿宋" w:hAnsi="仿宋" w:eastAsia="仿宋" w:cs="仿宋"/>
          <w:color w:val="auto"/>
          <w:sz w:val="28"/>
          <w:szCs w:val="28"/>
          <w:highlight w:val="none"/>
          <w:vertAlign w:val="baseline"/>
          <w:lang w:val="en-US" w:eastAsia="zh-CN"/>
        </w:rPr>
        <w:t>5435</w:t>
      </w:r>
      <w:r>
        <w:rPr>
          <w:rFonts w:hint="eastAsia" w:ascii="仿宋_GB2312" w:hAnsi="宋体" w:eastAsia="仿宋_GB2312" w:cs="Times New Roman"/>
          <w:kern w:val="2"/>
          <w:sz w:val="28"/>
          <w:szCs w:val="28"/>
          <w:lang w:val="en-US" w:eastAsia="zh-CN" w:bidi="ar-SA"/>
        </w:rPr>
        <w:t>×30%+</w:t>
      </w:r>
      <w:r>
        <w:rPr>
          <w:rFonts w:hint="eastAsia" w:ascii="仿宋" w:hAnsi="仿宋" w:eastAsia="仿宋" w:cs="仿宋"/>
          <w:color w:val="auto"/>
          <w:sz w:val="28"/>
          <w:szCs w:val="28"/>
          <w:highlight w:val="none"/>
          <w:vertAlign w:val="baseline"/>
          <w:lang w:val="en-US" w:eastAsia="zh-CN"/>
        </w:rPr>
        <w:t>5311</w:t>
      </w:r>
      <w:r>
        <w:rPr>
          <w:rFonts w:hint="eastAsia" w:ascii="仿宋_GB2312" w:hAnsi="宋体" w:eastAsia="仿宋_GB2312" w:cs="Times New Roman"/>
          <w:kern w:val="2"/>
          <w:sz w:val="28"/>
          <w:szCs w:val="28"/>
          <w:lang w:val="en-US" w:eastAsia="zh-CN" w:bidi="ar-SA"/>
        </w:rPr>
        <w:t>×30%+5000×40%≈5224(元/平米)</w:t>
      </w:r>
    </w:p>
    <w:p>
      <w:pPr>
        <w:keepNext w:val="0"/>
        <w:keepLines w:val="0"/>
        <w:widowControl/>
        <w:suppressLineNumbers w:val="0"/>
        <w:ind w:firstLine="560" w:firstLineChars="200"/>
        <w:jc w:val="lef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评估总值=5224×184.45≈963567(元)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default"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w:t>
      </w:r>
      <w:r>
        <w:rPr>
          <w:rFonts w:hint="eastAsia" w:ascii="仿宋_GB2312" w:hAnsi="宋体" w:eastAsia="仿宋_GB2312" w:cs="Times New Roman"/>
          <w:kern w:val="2"/>
          <w:sz w:val="28"/>
          <w:szCs w:val="28"/>
          <w:highlight w:val="none"/>
          <w:lang w:val="en-US" w:eastAsia="zh-CN" w:bidi="ar-SA"/>
        </w:rPr>
        <w:t>市场价值为￥</w:t>
      </w:r>
      <w:r>
        <w:rPr>
          <w:rFonts w:hint="eastAsia" w:ascii="仿宋_GB2312" w:hAnsi="宋体" w:eastAsia="仿宋_GB2312" w:cs="Times New Roman"/>
          <w:kern w:val="2"/>
          <w:sz w:val="28"/>
          <w:szCs w:val="28"/>
          <w:highlight w:val="none"/>
          <w:lang w:val="en-US" w:eastAsia="zh-CN" w:bidi="ar-SA"/>
        </w:rPr>
        <w:t>963567</w:t>
      </w:r>
      <w:r>
        <w:rPr>
          <w:rFonts w:hint="eastAsia" w:ascii="仿宋_GB2312" w:hAnsi="宋体" w:eastAsia="仿宋_GB2312" w:cs="Times New Roman"/>
          <w:kern w:val="2"/>
          <w:sz w:val="28"/>
          <w:szCs w:val="28"/>
          <w:highlight w:val="none"/>
          <w:lang w:val="en-US" w:eastAsia="zh-CN" w:bidi="ar-SA"/>
        </w:rPr>
        <w:t>元(大写人民币玖拾陆万叁仟伍佰陆拾柒元整)。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ind w:firstLine="3920" w:firstLineChars="14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二0二0年十二月十八日</w:t>
      </w:r>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B48F5"/>
    <w:rsid w:val="004F2710"/>
    <w:rsid w:val="0AE230E9"/>
    <w:rsid w:val="0B067E26"/>
    <w:rsid w:val="1ED20022"/>
    <w:rsid w:val="264777D9"/>
    <w:rsid w:val="270C140A"/>
    <w:rsid w:val="2A477CE9"/>
    <w:rsid w:val="30510794"/>
    <w:rsid w:val="31557E7B"/>
    <w:rsid w:val="34FC447A"/>
    <w:rsid w:val="35AF77A0"/>
    <w:rsid w:val="3830653A"/>
    <w:rsid w:val="3BE62015"/>
    <w:rsid w:val="41C35172"/>
    <w:rsid w:val="499C7ED1"/>
    <w:rsid w:val="56CE49F6"/>
    <w:rsid w:val="593F0F77"/>
    <w:rsid w:val="5AAD0254"/>
    <w:rsid w:val="65572DD1"/>
    <w:rsid w:val="6AF45447"/>
    <w:rsid w:val="6E123F24"/>
    <w:rsid w:val="79BB48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2020-12-17T02:27:00Z</dcterms:created>
  <dc:creator>Administrator</dc:creator>
  <cp:lastModifiedBy>Administrator</cp:lastModifiedBy>
  <dcterms:modified xsi:type="dcterms:W3CDTF">2020-12-18T08:49:17Z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