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right="34" w:rightChars="16"/>
        <w:jc w:val="center"/>
        <w:rPr>
          <w:rFonts w:ascii="楷体_GB2312" w:hAnsi="宋体" w:eastAsia="楷体_GB2312"/>
          <w:b/>
          <w:snapToGrid w:val="0"/>
          <w:kern w:val="0"/>
          <w:sz w:val="48"/>
          <w:szCs w:val="48"/>
        </w:rPr>
      </w:pPr>
    </w:p>
    <w:p>
      <w:pPr>
        <w:ind w:right="34" w:rightChars="16"/>
        <w:jc w:val="center"/>
        <w:rPr>
          <w:rFonts w:ascii="楷体_GB2312" w:hAnsi="宋体" w:eastAsia="楷体_GB2312"/>
          <w:b/>
          <w:snapToGrid w:val="0"/>
          <w:kern w:val="0"/>
          <w:sz w:val="48"/>
          <w:szCs w:val="48"/>
        </w:rPr>
      </w:pPr>
    </w:p>
    <w:p>
      <w:pPr>
        <w:ind w:right="34" w:rightChars="16"/>
        <w:jc w:val="center"/>
        <w:rPr>
          <w:rFonts w:ascii="楷体_GB2312" w:hAnsi="宋体" w:eastAsia="楷体_GB2312"/>
          <w:b/>
          <w:snapToGrid w:val="0"/>
          <w:kern w:val="0"/>
          <w:sz w:val="48"/>
          <w:szCs w:val="48"/>
        </w:rPr>
      </w:pPr>
      <w:bookmarkStart w:id="0" w:name="_Toc326590661"/>
    </w:p>
    <w:p>
      <w:pPr>
        <w:ind w:right="34" w:rightChars="16"/>
        <w:jc w:val="center"/>
        <w:rPr>
          <w:rFonts w:ascii="楷体_GB2312" w:hAnsi="宋体" w:eastAsia="楷体_GB2312"/>
          <w:b/>
          <w:snapToGrid w:val="0"/>
          <w:kern w:val="0"/>
          <w:sz w:val="48"/>
          <w:szCs w:val="48"/>
        </w:rPr>
      </w:pPr>
      <w:r>
        <w:rPr>
          <w:rFonts w:hint="eastAsia" w:ascii="楷体_GB2312" w:hAnsi="宋体" w:eastAsia="楷体_GB2312"/>
          <w:b/>
          <w:snapToGrid w:val="0"/>
          <w:kern w:val="0"/>
          <w:sz w:val="48"/>
          <w:szCs w:val="48"/>
        </w:rPr>
        <w:t>房地产估价报告</w:t>
      </w:r>
    </w:p>
    <w:p>
      <w:pPr>
        <w:ind w:right="34" w:rightChars="16"/>
        <w:jc w:val="center"/>
        <w:rPr>
          <w:rFonts w:ascii="楷体_GB2312" w:hAnsi="宋体" w:eastAsia="楷体_GB2312"/>
          <w:b/>
          <w:snapToGrid w:val="0"/>
          <w:kern w:val="0"/>
          <w:sz w:val="48"/>
          <w:szCs w:val="48"/>
        </w:rPr>
      </w:pPr>
    </w:p>
    <w:p>
      <w:pPr>
        <w:ind w:right="34" w:rightChars="16"/>
        <w:jc w:val="center"/>
        <w:rPr>
          <w:rFonts w:ascii="楷体_GB2312" w:hAnsi="宋体" w:eastAsia="楷体_GB2312"/>
          <w:b/>
          <w:snapToGrid w:val="0"/>
          <w:kern w:val="0"/>
          <w:sz w:val="48"/>
          <w:szCs w:val="48"/>
        </w:rPr>
      </w:pPr>
    </w:p>
    <w:p>
      <w:pPr>
        <w:adjustRightInd w:val="0"/>
        <w:spacing w:beforeLines="50" w:line="360" w:lineRule="auto"/>
        <w:ind w:left="3037" w:leftChars="429" w:hanging="2136" w:hangingChars="665"/>
        <w:rPr>
          <w:rFonts w:ascii="楷体_GB2312" w:hAnsi="宋体" w:eastAsia="楷体_GB2312"/>
          <w:snapToGrid w:val="0"/>
          <w:kern w:val="0"/>
          <w:sz w:val="32"/>
          <w:szCs w:val="32"/>
        </w:rPr>
      </w:pPr>
      <w:r>
        <w:rPr>
          <w:rFonts w:hint="eastAsia" w:ascii="楷体_GB2312" w:hAnsi="宋体" w:eastAsia="楷体_GB2312"/>
          <w:b/>
          <w:snapToGrid w:val="0"/>
          <w:kern w:val="0"/>
          <w:sz w:val="32"/>
          <w:szCs w:val="32"/>
        </w:rPr>
        <w:t>估价项目名称：</w:t>
      </w:r>
      <w:bookmarkStart w:id="1" w:name="OLE_LINK3"/>
      <w:bookmarkStart w:id="2" w:name="OLE_LINK8"/>
      <w:r>
        <w:rPr>
          <w:rFonts w:hint="eastAsia" w:ascii="楷体_GB2312" w:hAnsi="宋体" w:eastAsia="楷体_GB2312"/>
          <w:snapToGrid w:val="0"/>
          <w:kern w:val="0"/>
          <w:sz w:val="32"/>
          <w:szCs w:val="32"/>
          <w:lang w:eastAsia="zh-CN"/>
        </w:rPr>
        <w:t>南昌市西湖区人民法院司法网络拍卖小组</w:t>
      </w:r>
      <w:r>
        <w:rPr>
          <w:rFonts w:hint="eastAsia" w:ascii="楷体_GB2312" w:hAnsi="宋体" w:eastAsia="楷体_GB2312"/>
          <w:snapToGrid w:val="0"/>
          <w:kern w:val="0"/>
          <w:sz w:val="32"/>
          <w:szCs w:val="32"/>
        </w:rPr>
        <w:t>委托的申请执行人</w:t>
      </w:r>
      <w:r>
        <w:rPr>
          <w:rFonts w:hint="eastAsia" w:ascii="楷体_GB2312" w:hAnsi="宋体" w:eastAsia="楷体_GB2312"/>
          <w:snapToGrid w:val="0"/>
          <w:kern w:val="0"/>
          <w:sz w:val="32"/>
          <w:szCs w:val="32"/>
          <w:lang w:eastAsia="zh-CN"/>
        </w:rPr>
        <w:t>熊小明、胡建忠</w:t>
      </w:r>
      <w:r>
        <w:rPr>
          <w:rFonts w:hint="eastAsia" w:ascii="楷体_GB2312" w:hAnsi="宋体" w:eastAsia="楷体_GB2312"/>
          <w:snapToGrid w:val="0"/>
          <w:kern w:val="0"/>
          <w:sz w:val="32"/>
          <w:szCs w:val="32"/>
        </w:rPr>
        <w:t>与被执行人</w:t>
      </w:r>
      <w:r>
        <w:rPr>
          <w:rFonts w:hint="eastAsia" w:ascii="楷体_GB2312" w:hAnsi="宋体" w:eastAsia="楷体_GB2312"/>
          <w:snapToGrid w:val="0"/>
          <w:kern w:val="0"/>
          <w:sz w:val="32"/>
          <w:szCs w:val="32"/>
          <w:lang w:eastAsia="zh-CN"/>
        </w:rPr>
        <w:t>胡建华民间借贷</w:t>
      </w:r>
      <w:r>
        <w:rPr>
          <w:rFonts w:hint="eastAsia" w:ascii="楷体_GB2312" w:hAnsi="宋体" w:eastAsia="楷体_GB2312"/>
          <w:snapToGrid w:val="0"/>
          <w:kern w:val="0"/>
          <w:sz w:val="32"/>
          <w:szCs w:val="32"/>
        </w:rPr>
        <w:t>纠纷一案中涉及的位于</w:t>
      </w:r>
      <w:r>
        <w:rPr>
          <w:rFonts w:hint="eastAsia" w:ascii="楷体_GB2312" w:hAnsi="宋体" w:eastAsia="楷体_GB2312"/>
          <w:snapToGrid w:val="0"/>
          <w:kern w:val="0"/>
          <w:sz w:val="32"/>
          <w:szCs w:val="32"/>
          <w:lang w:eastAsia="zh-CN"/>
        </w:rPr>
        <w:t>南昌市西湖区建设西路8号千禧颐和园南屏苑5号车库</w:t>
      </w:r>
      <w:r>
        <w:rPr>
          <w:rFonts w:hint="eastAsia" w:ascii="楷体_GB2312" w:hAnsi="宋体" w:eastAsia="楷体_GB2312"/>
          <w:snapToGrid w:val="0"/>
          <w:spacing w:val="-6"/>
          <w:kern w:val="0"/>
          <w:sz w:val="32"/>
          <w:szCs w:val="32"/>
        </w:rPr>
        <w:t>市场价值评估</w:t>
      </w:r>
    </w:p>
    <w:bookmarkEnd w:id="1"/>
    <w:bookmarkEnd w:id="2"/>
    <w:p>
      <w:pPr>
        <w:tabs>
          <w:tab w:val="left" w:pos="2520"/>
        </w:tabs>
        <w:spacing w:beforeLines="50" w:line="480" w:lineRule="auto"/>
        <w:ind w:left="3050" w:leftChars="405" w:hanging="2200" w:hangingChars="609"/>
        <w:rPr>
          <w:rFonts w:hint="eastAsia" w:ascii="楷体_GB2312" w:hAnsi="宋体" w:eastAsia="楷体_GB2312"/>
          <w:snapToGrid w:val="0"/>
          <w:kern w:val="0"/>
          <w:sz w:val="32"/>
          <w:szCs w:val="32"/>
          <w:lang w:eastAsia="zh-CN"/>
        </w:rPr>
      </w:pPr>
      <w:r>
        <w:rPr>
          <w:rFonts w:hint="eastAsia" w:ascii="楷体_GB2312" w:hAnsi="宋体" w:eastAsia="楷体_GB2312"/>
          <w:b/>
          <w:snapToGrid w:val="0"/>
          <w:spacing w:val="20"/>
          <w:kern w:val="0"/>
          <w:sz w:val="32"/>
          <w:szCs w:val="32"/>
        </w:rPr>
        <w:t>估价委托方：</w:t>
      </w:r>
      <w:r>
        <w:rPr>
          <w:rFonts w:hint="eastAsia" w:ascii="楷体_GB2312" w:hAnsi="宋体" w:eastAsia="楷体_GB2312"/>
          <w:snapToGrid w:val="0"/>
          <w:kern w:val="0"/>
          <w:sz w:val="32"/>
          <w:szCs w:val="32"/>
          <w:lang w:eastAsia="zh-CN"/>
        </w:rPr>
        <w:t>南昌市西湖区人民法院司法网络拍卖小组</w:t>
      </w:r>
    </w:p>
    <w:p>
      <w:pPr>
        <w:tabs>
          <w:tab w:val="left" w:pos="2520"/>
        </w:tabs>
        <w:spacing w:beforeLines="50" w:line="480" w:lineRule="auto"/>
        <w:ind w:left="2904" w:leftChars="405" w:hanging="2054" w:hangingChars="609"/>
        <w:rPr>
          <w:rFonts w:ascii="楷体_GB2312" w:hAnsi="宋体" w:eastAsia="楷体_GB2312"/>
          <w:snapToGrid w:val="0"/>
          <w:kern w:val="0"/>
          <w:sz w:val="32"/>
          <w:szCs w:val="32"/>
        </w:rPr>
      </w:pPr>
      <w:r>
        <w:rPr>
          <w:rFonts w:hint="eastAsia" w:ascii="楷体_GB2312" w:hAnsi="宋体" w:eastAsia="楷体_GB2312"/>
          <w:b/>
          <w:snapToGrid w:val="0"/>
          <w:spacing w:val="8"/>
          <w:kern w:val="0"/>
          <w:sz w:val="32"/>
          <w:szCs w:val="32"/>
        </w:rPr>
        <w:t>估 价 机 构：</w:t>
      </w:r>
      <w:r>
        <w:rPr>
          <w:rFonts w:hint="eastAsia" w:ascii="楷体_GB2312" w:hAnsi="宋体" w:eastAsia="楷体_GB2312"/>
          <w:snapToGrid w:val="0"/>
          <w:kern w:val="0"/>
          <w:sz w:val="32"/>
          <w:szCs w:val="32"/>
        </w:rPr>
        <w:t>江西永佳房地产资产评估有限公司</w:t>
      </w:r>
    </w:p>
    <w:p>
      <w:pPr>
        <w:spacing w:beforeLines="50" w:line="480" w:lineRule="auto"/>
        <w:ind w:left="3089" w:leftChars="400" w:hanging="2249" w:hangingChars="700"/>
        <w:rPr>
          <w:rFonts w:ascii="楷体_GB2312" w:hAnsi="宋体" w:eastAsia="楷体_GB2312"/>
          <w:snapToGrid w:val="0"/>
          <w:kern w:val="0"/>
          <w:sz w:val="32"/>
          <w:szCs w:val="32"/>
        </w:rPr>
      </w:pPr>
      <w:r>
        <w:rPr>
          <w:rFonts w:hint="eastAsia" w:ascii="楷体_GB2312" w:hAnsi="宋体" w:eastAsia="楷体_GB2312"/>
          <w:b/>
          <w:snapToGrid w:val="0"/>
          <w:kern w:val="0"/>
          <w:sz w:val="32"/>
          <w:szCs w:val="32"/>
        </w:rPr>
        <w:t>注册房地产估价师：</w:t>
      </w:r>
      <w:r>
        <w:rPr>
          <w:rFonts w:hint="eastAsia" w:ascii="楷体_GB2312" w:hAnsi="宋体" w:eastAsia="楷体_GB2312"/>
          <w:snapToGrid w:val="0"/>
          <w:kern w:val="0"/>
          <w:sz w:val="32"/>
          <w:szCs w:val="32"/>
        </w:rPr>
        <w:t>高  莹（注册号：</w:t>
      </w:r>
      <w:r>
        <w:rPr>
          <w:rFonts w:hint="eastAsia" w:ascii="楷体_GB2312" w:eastAsia="楷体_GB2312"/>
          <w:sz w:val="28"/>
          <w:szCs w:val="24"/>
        </w:rPr>
        <w:t>3620160033</w:t>
      </w:r>
      <w:r>
        <w:rPr>
          <w:rFonts w:hint="eastAsia" w:ascii="楷体_GB2312" w:hAnsi="宋体" w:eastAsia="楷体_GB2312"/>
          <w:snapToGrid w:val="0"/>
          <w:kern w:val="0"/>
          <w:sz w:val="32"/>
          <w:szCs w:val="32"/>
        </w:rPr>
        <w:t>）</w:t>
      </w:r>
    </w:p>
    <w:p>
      <w:pPr>
        <w:spacing w:beforeLines="50" w:line="480" w:lineRule="auto"/>
        <w:ind w:firstLine="3792" w:firstLineChars="1185"/>
        <w:rPr>
          <w:rFonts w:ascii="楷体_GB2312" w:hAnsi="宋体" w:eastAsia="楷体_GB2312"/>
          <w:b/>
          <w:snapToGrid w:val="0"/>
          <w:kern w:val="0"/>
          <w:sz w:val="32"/>
          <w:szCs w:val="32"/>
        </w:rPr>
      </w:pPr>
      <w:r>
        <w:rPr>
          <w:rFonts w:hint="eastAsia" w:ascii="楷体_GB2312" w:hAnsi="宋体" w:eastAsia="楷体_GB2312"/>
          <w:snapToGrid w:val="0"/>
          <w:kern w:val="0"/>
          <w:sz w:val="32"/>
          <w:szCs w:val="32"/>
        </w:rPr>
        <w:t>邬雅琴（注册号：</w:t>
      </w:r>
      <w:r>
        <w:rPr>
          <w:rFonts w:hint="eastAsia" w:ascii="楷体_GB2312" w:eastAsia="楷体_GB2312"/>
          <w:sz w:val="28"/>
          <w:szCs w:val="24"/>
        </w:rPr>
        <w:t>3620190026）</w:t>
      </w:r>
    </w:p>
    <w:p>
      <w:pPr>
        <w:spacing w:beforeLines="50" w:line="480" w:lineRule="auto"/>
        <w:ind w:left="3089" w:leftChars="400" w:hanging="2249" w:hangingChars="700"/>
        <w:rPr>
          <w:rFonts w:hint="eastAsia" w:ascii="楷体_GB2312" w:hAnsi="宋体" w:eastAsia="楷体_GB2312"/>
          <w:snapToGrid w:val="0"/>
          <w:kern w:val="0"/>
          <w:sz w:val="32"/>
          <w:szCs w:val="32"/>
          <w:lang w:eastAsia="zh-CN"/>
        </w:rPr>
      </w:pPr>
      <w:r>
        <w:rPr>
          <w:rFonts w:hint="eastAsia" w:ascii="楷体_GB2312" w:hAnsi="宋体" w:eastAsia="楷体_GB2312"/>
          <w:b/>
          <w:snapToGrid w:val="0"/>
          <w:kern w:val="0"/>
          <w:sz w:val="32"/>
          <w:szCs w:val="32"/>
        </w:rPr>
        <w:t>估价报告出具日期：</w:t>
      </w:r>
      <w:r>
        <w:rPr>
          <w:rFonts w:hint="eastAsia" w:ascii="楷体_GB2312" w:hAnsi="宋体" w:eastAsia="楷体_GB2312"/>
          <w:snapToGrid w:val="0"/>
          <w:kern w:val="0"/>
          <w:sz w:val="32"/>
          <w:szCs w:val="32"/>
          <w:lang w:eastAsia="zh-CN"/>
        </w:rPr>
        <w:t>2020年9月8日</w:t>
      </w:r>
    </w:p>
    <w:p>
      <w:pPr>
        <w:spacing w:beforeLines="50" w:line="480" w:lineRule="auto"/>
        <w:ind w:left="3089" w:leftChars="400" w:hanging="2249" w:hangingChars="700"/>
        <w:rPr>
          <w:rFonts w:ascii="楷体_GB2312" w:hAnsi="宋体" w:eastAsia="楷体_GB2312"/>
          <w:snapToGrid w:val="0"/>
          <w:kern w:val="0"/>
          <w:sz w:val="32"/>
          <w:szCs w:val="32"/>
        </w:rPr>
      </w:pPr>
      <w:r>
        <w:rPr>
          <w:rFonts w:hint="eastAsia" w:ascii="楷体_GB2312" w:hAnsi="宋体" w:eastAsia="楷体_GB2312"/>
          <w:b/>
          <w:snapToGrid w:val="0"/>
          <w:kern w:val="0"/>
          <w:sz w:val="32"/>
          <w:szCs w:val="32"/>
        </w:rPr>
        <w:t>估价报告编号：</w:t>
      </w:r>
      <w:r>
        <w:rPr>
          <w:rFonts w:hint="eastAsia" w:ascii="楷体_GB2312" w:hAnsi="宋体" w:eastAsia="楷体_GB2312"/>
          <w:snapToGrid w:val="0"/>
          <w:kern w:val="0"/>
          <w:sz w:val="32"/>
          <w:szCs w:val="32"/>
        </w:rPr>
        <w:t>赣永佳房（估）字[2020]第</w:t>
      </w:r>
      <w:r>
        <w:rPr>
          <w:rFonts w:hint="eastAsia" w:ascii="楷体_GB2312" w:hAnsi="宋体" w:eastAsia="楷体_GB2312"/>
          <w:snapToGrid w:val="0"/>
          <w:kern w:val="0"/>
          <w:sz w:val="32"/>
          <w:szCs w:val="32"/>
          <w:lang w:val="en-US" w:eastAsia="zh-CN"/>
        </w:rPr>
        <w:t>044</w:t>
      </w:r>
      <w:r>
        <w:rPr>
          <w:rFonts w:hint="eastAsia" w:ascii="楷体_GB2312" w:hAnsi="宋体" w:eastAsia="楷体_GB2312"/>
          <w:snapToGrid w:val="0"/>
          <w:kern w:val="0"/>
          <w:sz w:val="32"/>
          <w:szCs w:val="32"/>
        </w:rPr>
        <w:t>号</w:t>
      </w:r>
    </w:p>
    <w:p>
      <w:pPr>
        <w:spacing w:beforeLines="30" w:afterLines="30" w:line="480" w:lineRule="auto"/>
        <w:ind w:left="819" w:leftChars="390" w:right="34" w:rightChars="16" w:firstLine="2"/>
        <w:jc w:val="center"/>
        <w:rPr>
          <w:rFonts w:ascii="楷体_GB2312" w:hAnsi="宋体" w:eastAsia="楷体_GB2312"/>
          <w:snapToGrid w:val="0"/>
          <w:kern w:val="0"/>
          <w:sz w:val="36"/>
        </w:rPr>
        <w:sectPr>
          <w:headerReference r:id="rId3" w:type="default"/>
          <w:footerReference r:id="rId4" w:type="default"/>
          <w:pgSz w:w="11907" w:h="16840"/>
          <w:pgMar w:top="1418" w:right="1418" w:bottom="1418" w:left="1418" w:header="680" w:footer="851" w:gutter="0"/>
          <w:pgNumType w:start="1"/>
          <w:cols w:space="720" w:num="1"/>
          <w:docGrid w:linePitch="312" w:charSpace="0"/>
        </w:sectPr>
      </w:pPr>
    </w:p>
    <w:p>
      <w:pPr>
        <w:pStyle w:val="2"/>
        <w:tabs>
          <w:tab w:val="left" w:pos="1275"/>
          <w:tab w:val="center" w:pos="4672"/>
        </w:tabs>
        <w:adjustRightInd w:val="0"/>
        <w:snapToGrid w:val="0"/>
        <w:spacing w:beforeLines="50" w:afterLines="50" w:line="480" w:lineRule="exact"/>
        <w:jc w:val="center"/>
        <w:rPr>
          <w:rFonts w:ascii="楷体_GB2312" w:hAnsi="宋体" w:eastAsia="楷体_GB2312"/>
          <w:snapToGrid w:val="0"/>
          <w:kern w:val="0"/>
          <w:sz w:val="36"/>
          <w:szCs w:val="36"/>
        </w:rPr>
      </w:pPr>
      <w:bookmarkStart w:id="3" w:name="_Toc6609"/>
      <w:r>
        <w:rPr>
          <w:rFonts w:hint="eastAsia" w:ascii="楷体_GB2312" w:hAnsi="宋体" w:eastAsia="楷体_GB2312"/>
          <w:snapToGrid w:val="0"/>
          <w:kern w:val="0"/>
          <w:sz w:val="36"/>
          <w:szCs w:val="36"/>
        </w:rPr>
        <w:t>致估价委托方函</w:t>
      </w:r>
      <w:bookmarkEnd w:id="3"/>
    </w:p>
    <w:p>
      <w:pPr>
        <w:snapToGrid w:val="0"/>
        <w:spacing w:line="480" w:lineRule="exact"/>
        <w:ind w:right="34" w:rightChars="16" w:firstLine="2"/>
        <w:jc w:val="left"/>
        <w:rPr>
          <w:rFonts w:ascii="楷体_GB2312" w:hAnsi="宋体" w:eastAsia="楷体_GB2312"/>
          <w:b/>
          <w:snapToGrid w:val="0"/>
          <w:kern w:val="0"/>
          <w:sz w:val="28"/>
          <w:szCs w:val="28"/>
        </w:rPr>
      </w:pPr>
      <w:r>
        <w:rPr>
          <w:rFonts w:hint="eastAsia" w:ascii="楷体_GB2312" w:hAnsi="宋体" w:eastAsia="楷体_GB2312"/>
          <w:snapToGrid w:val="0"/>
          <w:kern w:val="0"/>
          <w:sz w:val="32"/>
          <w:szCs w:val="32"/>
          <w:lang w:eastAsia="zh-CN"/>
        </w:rPr>
        <w:t>南昌市西湖区人民法院司法网络拍卖小组</w:t>
      </w:r>
      <w:r>
        <w:rPr>
          <w:rFonts w:hint="eastAsia" w:ascii="楷体_GB2312" w:hAnsi="宋体" w:eastAsia="楷体_GB2312"/>
          <w:snapToGrid w:val="0"/>
          <w:kern w:val="0"/>
          <w:sz w:val="28"/>
          <w:szCs w:val="28"/>
        </w:rPr>
        <w:t>：</w:t>
      </w:r>
    </w:p>
    <w:p>
      <w:pPr>
        <w:pStyle w:val="9"/>
        <w:tabs>
          <w:tab w:val="left" w:pos="1440"/>
        </w:tabs>
        <w:spacing w:after="0" w:line="480" w:lineRule="exact"/>
        <w:ind w:left="0" w:leftChars="0" w:firstLine="560" w:firstLineChars="200"/>
        <w:rPr>
          <w:rFonts w:ascii="楷体_GB2312" w:eastAsia="楷体_GB2312"/>
          <w:sz w:val="28"/>
          <w:szCs w:val="24"/>
        </w:rPr>
      </w:pPr>
      <w:r>
        <w:rPr>
          <w:rFonts w:hint="eastAsia" w:ascii="楷体_GB2312" w:eastAsia="楷体_GB2312"/>
          <w:sz w:val="28"/>
        </w:rPr>
        <w:t>承蒙委托，我公司对贵单位委托的申请执行人</w:t>
      </w:r>
      <w:r>
        <w:rPr>
          <w:rFonts w:hint="eastAsia" w:ascii="楷体_GB2312" w:eastAsia="楷体_GB2312"/>
          <w:sz w:val="28"/>
          <w:lang w:eastAsia="zh-CN"/>
        </w:rPr>
        <w:t>熊小明、胡建忠</w:t>
      </w:r>
      <w:r>
        <w:rPr>
          <w:rFonts w:hint="eastAsia" w:ascii="楷体_GB2312" w:eastAsia="楷体_GB2312"/>
          <w:sz w:val="28"/>
        </w:rPr>
        <w:t>与被执行人</w:t>
      </w:r>
      <w:r>
        <w:rPr>
          <w:rFonts w:hint="eastAsia" w:ascii="楷体_GB2312" w:eastAsia="楷体_GB2312"/>
          <w:sz w:val="28"/>
          <w:lang w:eastAsia="zh-CN"/>
        </w:rPr>
        <w:t>胡建华民间借贷</w:t>
      </w:r>
      <w:r>
        <w:rPr>
          <w:rFonts w:hint="eastAsia" w:ascii="楷体_GB2312" w:eastAsia="楷体_GB2312"/>
          <w:sz w:val="28"/>
        </w:rPr>
        <w:t>纠纷一案中涉及的位于</w:t>
      </w:r>
      <w:r>
        <w:rPr>
          <w:rFonts w:hint="eastAsia" w:ascii="楷体_GB2312" w:eastAsia="楷体_GB2312"/>
          <w:sz w:val="28"/>
          <w:lang w:eastAsia="zh-CN"/>
        </w:rPr>
        <w:t>南昌市西湖区建设西路8号千禧颐和园南屏苑5号车库的</w:t>
      </w:r>
      <w:r>
        <w:rPr>
          <w:rFonts w:hint="eastAsia" w:ascii="楷体_GB2312" w:eastAsia="楷体_GB2312"/>
          <w:sz w:val="28"/>
        </w:rPr>
        <w:t>市场价值进行评估，</w:t>
      </w:r>
      <w:r>
        <w:rPr>
          <w:rFonts w:hint="eastAsia" w:ascii="楷体_GB2312" w:eastAsia="楷体_GB2312"/>
          <w:sz w:val="28"/>
          <w:szCs w:val="24"/>
        </w:rPr>
        <w:t>依据</w:t>
      </w:r>
      <w:r>
        <w:rPr>
          <w:rFonts w:hint="eastAsia" w:ascii="楷体_GB2312" w:eastAsia="楷体_GB2312"/>
          <w:sz w:val="28"/>
        </w:rPr>
        <w:t>《</w:t>
      </w:r>
      <w:r>
        <w:rPr>
          <w:rFonts w:hint="eastAsia" w:ascii="楷体_GB2312" w:eastAsia="楷体_GB2312"/>
          <w:sz w:val="28"/>
          <w:lang w:eastAsia="zh-CN"/>
        </w:rPr>
        <w:t>千禧颐和园储藏间、车库（位）合同</w:t>
      </w:r>
      <w:r>
        <w:rPr>
          <w:rFonts w:hint="eastAsia" w:ascii="楷体_GB2312" w:eastAsia="楷体_GB2312"/>
          <w:sz w:val="28"/>
        </w:rPr>
        <w:t>》</w:t>
      </w:r>
      <w:r>
        <w:rPr>
          <w:rFonts w:hint="eastAsia" w:ascii="楷体_GB2312" w:eastAsia="楷体_GB2312"/>
          <w:sz w:val="28"/>
          <w:lang w:eastAsia="zh-CN"/>
        </w:rPr>
        <w:t>、《测绘成果报告》</w:t>
      </w:r>
      <w:r>
        <w:rPr>
          <w:rFonts w:hint="eastAsia" w:ascii="楷体_GB2312" w:eastAsia="楷体_GB2312"/>
          <w:sz w:val="28"/>
        </w:rPr>
        <w:t>及估价师现场查勘</w:t>
      </w:r>
      <w:r>
        <w:rPr>
          <w:rFonts w:hint="eastAsia" w:ascii="楷体_GB2312" w:eastAsia="楷体_GB2312"/>
          <w:sz w:val="28"/>
          <w:szCs w:val="24"/>
        </w:rPr>
        <w:t>，估价对象</w:t>
      </w:r>
      <w:r>
        <w:rPr>
          <w:rFonts w:hint="eastAsia" w:ascii="楷体_GB2312" w:eastAsia="楷体_GB2312"/>
          <w:sz w:val="28"/>
          <w:szCs w:val="24"/>
          <w:lang w:eastAsia="zh-CN"/>
        </w:rPr>
        <w:t>测绘</w:t>
      </w:r>
      <w:r>
        <w:rPr>
          <w:rFonts w:hint="eastAsia" w:ascii="楷体_GB2312" w:eastAsia="楷体_GB2312"/>
          <w:sz w:val="28"/>
          <w:szCs w:val="24"/>
        </w:rPr>
        <w:t>面积为</w:t>
      </w:r>
      <w:r>
        <w:rPr>
          <w:rFonts w:hint="eastAsia" w:ascii="楷体_GB2312" w:eastAsia="楷体_GB2312"/>
          <w:sz w:val="28"/>
          <w:szCs w:val="24"/>
          <w:lang w:val="en-US" w:eastAsia="zh-CN"/>
        </w:rPr>
        <w:t>27.43</w:t>
      </w:r>
      <w:r>
        <w:rPr>
          <w:rFonts w:hint="eastAsia" w:cs="Batang" w:asciiTheme="minorEastAsia" w:hAnsiTheme="minorEastAsia" w:eastAsiaTheme="minorEastAsia"/>
          <w:sz w:val="30"/>
          <w:szCs w:val="30"/>
        </w:rPr>
        <w:t>㎡</w:t>
      </w:r>
      <w:r>
        <w:rPr>
          <w:rFonts w:hint="eastAsia" w:ascii="楷体_GB2312" w:eastAsia="楷体_GB2312"/>
          <w:sz w:val="28"/>
          <w:szCs w:val="24"/>
        </w:rPr>
        <w:t>，</w:t>
      </w:r>
      <w:r>
        <w:rPr>
          <w:rFonts w:hint="eastAsia" w:ascii="楷体_GB2312" w:eastAsia="楷体_GB2312"/>
          <w:sz w:val="28"/>
          <w:szCs w:val="24"/>
          <w:lang w:eastAsia="zh-CN"/>
        </w:rPr>
        <w:t>车库使用权人</w:t>
      </w:r>
      <w:r>
        <w:rPr>
          <w:rFonts w:hint="eastAsia" w:ascii="楷体_GB2312" w:eastAsia="楷体_GB2312"/>
          <w:sz w:val="28"/>
          <w:szCs w:val="24"/>
        </w:rPr>
        <w:t>为</w:t>
      </w:r>
      <w:r>
        <w:rPr>
          <w:rFonts w:hint="eastAsia" w:ascii="楷体_GB2312" w:eastAsia="楷体_GB2312"/>
          <w:sz w:val="28"/>
          <w:szCs w:val="24"/>
          <w:lang w:eastAsia="zh-CN"/>
        </w:rPr>
        <w:t>胡建华</w:t>
      </w:r>
      <w:r>
        <w:rPr>
          <w:rFonts w:hint="eastAsia" w:ascii="楷体_GB2312" w:eastAsia="楷体_GB2312"/>
          <w:sz w:val="28"/>
          <w:szCs w:val="24"/>
        </w:rPr>
        <w:t>，估价对象详细状况见估价结果一览表。</w:t>
      </w:r>
    </w:p>
    <w:p>
      <w:pPr>
        <w:pStyle w:val="9"/>
        <w:tabs>
          <w:tab w:val="left" w:pos="1440"/>
        </w:tabs>
        <w:spacing w:after="0" w:line="480" w:lineRule="exact"/>
        <w:ind w:left="0" w:leftChars="0" w:firstLine="560" w:firstLineChars="200"/>
        <w:rPr>
          <w:rFonts w:ascii="楷体_GB2312" w:eastAsia="楷体_GB2312"/>
          <w:sz w:val="28"/>
          <w:szCs w:val="24"/>
        </w:rPr>
      </w:pPr>
      <w:r>
        <w:rPr>
          <w:rFonts w:hint="eastAsia" w:ascii="楷体_GB2312" w:eastAsia="楷体_GB2312"/>
          <w:sz w:val="28"/>
          <w:szCs w:val="24"/>
        </w:rPr>
        <w:t>根据《中华人民共和国资产评估法》、《房地产估价规范》，本次价值时点设定为估价委托之日</w:t>
      </w:r>
      <w:r>
        <w:rPr>
          <w:rFonts w:hint="eastAsia" w:ascii="楷体_GB2312" w:eastAsia="楷体_GB2312"/>
          <w:sz w:val="28"/>
          <w:szCs w:val="24"/>
          <w:lang w:eastAsia="zh-CN"/>
        </w:rPr>
        <w:t>2020年7月3日</w:t>
      </w:r>
      <w:r>
        <w:rPr>
          <w:rFonts w:hint="eastAsia" w:ascii="楷体_GB2312" w:eastAsia="楷体_GB2312"/>
          <w:sz w:val="28"/>
          <w:szCs w:val="24"/>
        </w:rPr>
        <w:t>；估价目的是为委托方执行处置委估房地产提供参考而评估房地产市场价值。房地产市场价值是指在价值时点时公开市场上的交易价格；本估价报告在市场情况无较大波动及房地产状况未有较大改变时有效期为一年（</w:t>
      </w:r>
      <w:r>
        <w:rPr>
          <w:rFonts w:hint="eastAsia" w:ascii="楷体_GB2312" w:eastAsia="楷体_GB2312"/>
          <w:b/>
          <w:sz w:val="28"/>
          <w:szCs w:val="24"/>
        </w:rPr>
        <w:t>自</w:t>
      </w:r>
      <w:r>
        <w:rPr>
          <w:rFonts w:hint="eastAsia" w:ascii="楷体_GB2312" w:eastAsia="楷体_GB2312"/>
          <w:b/>
          <w:sz w:val="28"/>
          <w:szCs w:val="24"/>
          <w:lang w:eastAsia="zh-CN"/>
        </w:rPr>
        <w:t>2020年9月8日</w:t>
      </w:r>
      <w:r>
        <w:rPr>
          <w:rFonts w:hint="eastAsia" w:ascii="楷体_GB2312" w:eastAsia="楷体_GB2312"/>
          <w:b/>
          <w:sz w:val="28"/>
          <w:szCs w:val="24"/>
        </w:rPr>
        <w:t>起至2021年</w:t>
      </w:r>
      <w:r>
        <w:rPr>
          <w:rFonts w:hint="eastAsia" w:ascii="楷体_GB2312" w:eastAsia="楷体_GB2312"/>
          <w:b/>
          <w:sz w:val="28"/>
          <w:szCs w:val="24"/>
          <w:lang w:val="en-US" w:eastAsia="zh-CN"/>
        </w:rPr>
        <w:t>9</w:t>
      </w:r>
      <w:r>
        <w:rPr>
          <w:rFonts w:hint="eastAsia" w:ascii="楷体_GB2312" w:eastAsia="楷体_GB2312"/>
          <w:b/>
          <w:sz w:val="28"/>
          <w:szCs w:val="24"/>
        </w:rPr>
        <w:t>月</w:t>
      </w:r>
      <w:r>
        <w:rPr>
          <w:rFonts w:hint="eastAsia" w:ascii="楷体_GB2312" w:eastAsia="楷体_GB2312"/>
          <w:b/>
          <w:sz w:val="28"/>
          <w:szCs w:val="24"/>
          <w:lang w:val="en-US" w:eastAsia="zh-CN"/>
        </w:rPr>
        <w:t>7</w:t>
      </w:r>
      <w:r>
        <w:rPr>
          <w:rFonts w:hint="eastAsia" w:ascii="楷体_GB2312" w:eastAsia="楷体_GB2312"/>
          <w:b/>
          <w:sz w:val="28"/>
          <w:szCs w:val="24"/>
        </w:rPr>
        <w:t>日止</w:t>
      </w:r>
      <w:r>
        <w:rPr>
          <w:rFonts w:hint="eastAsia" w:ascii="楷体_GB2312" w:eastAsia="楷体_GB2312"/>
          <w:sz w:val="28"/>
          <w:szCs w:val="24"/>
        </w:rPr>
        <w:t>），若房地产市场有较大波动或超过一年或房地产状况发生变化，需重新进行估价。</w:t>
      </w:r>
    </w:p>
    <w:p>
      <w:pPr>
        <w:pStyle w:val="9"/>
        <w:tabs>
          <w:tab w:val="left" w:pos="1080"/>
        </w:tabs>
        <w:adjustRightInd w:val="0"/>
        <w:snapToGrid w:val="0"/>
        <w:spacing w:after="0" w:line="470" w:lineRule="exact"/>
        <w:ind w:left="0" w:leftChars="0" w:firstLine="560" w:firstLineChars="200"/>
        <w:rPr>
          <w:rFonts w:ascii="楷体_GB2312" w:eastAsia="楷体_GB2312"/>
          <w:sz w:val="28"/>
          <w:szCs w:val="24"/>
        </w:rPr>
      </w:pPr>
      <w:r>
        <w:rPr>
          <w:rFonts w:hint="eastAsia" w:ascii="楷体_GB2312" w:eastAsia="楷体_GB2312"/>
          <w:sz w:val="28"/>
          <w:szCs w:val="24"/>
        </w:rPr>
        <w:t>本着独立、客观、公正、合法的原则，估价人员在进行实地查勘、广泛收集有关市场信息和估价对象信息的基础上，全面分析了影响估价对象的市场价值的各项有利和不利因素，根据国家有关房地产估价的法律法规和估价目的，按照科学的估价程序，采用</w:t>
      </w:r>
      <w:r>
        <w:rPr>
          <w:rFonts w:hint="eastAsia" w:ascii="楷体_GB2312" w:eastAsia="楷体_GB2312"/>
          <w:b/>
          <w:sz w:val="28"/>
          <w:szCs w:val="24"/>
        </w:rPr>
        <w:t>比较法</w:t>
      </w:r>
      <w:r>
        <w:rPr>
          <w:rFonts w:hint="eastAsia" w:ascii="楷体_GB2312" w:eastAsia="楷体_GB2312"/>
          <w:sz w:val="28"/>
          <w:szCs w:val="24"/>
        </w:rPr>
        <w:t>对估价对象进行估价测算，确定估价对象于价值时点的市场价值总价为</w:t>
      </w:r>
      <w:r>
        <w:rPr>
          <w:rFonts w:hint="eastAsia" w:ascii="楷体_GB2312" w:eastAsia="楷体_GB2312"/>
          <w:b/>
          <w:sz w:val="28"/>
          <w:szCs w:val="24"/>
        </w:rPr>
        <w:t>人民币</w:t>
      </w:r>
      <w:r>
        <w:rPr>
          <w:rFonts w:hint="eastAsia" w:ascii="楷体_GB2312" w:eastAsia="楷体_GB2312"/>
          <w:b/>
          <w:sz w:val="28"/>
          <w:szCs w:val="24"/>
          <w:lang w:val="en-US" w:eastAsia="zh-CN"/>
        </w:rPr>
        <w:t>18.10</w:t>
      </w:r>
      <w:r>
        <w:rPr>
          <w:rFonts w:hint="eastAsia" w:ascii="楷体_GB2312" w:eastAsia="楷体_GB2312"/>
          <w:b/>
          <w:sz w:val="28"/>
          <w:szCs w:val="24"/>
        </w:rPr>
        <w:t>万元</w:t>
      </w:r>
      <w:r>
        <w:rPr>
          <w:rFonts w:hint="eastAsia" w:ascii="楷体_GB2312" w:eastAsia="楷体_GB2312"/>
          <w:sz w:val="28"/>
          <w:szCs w:val="24"/>
        </w:rPr>
        <w:t>，大写人民币</w:t>
      </w:r>
      <w:r>
        <w:rPr>
          <w:rFonts w:hint="eastAsia" w:ascii="楷体_GB2312" w:eastAsia="楷体_GB2312"/>
          <w:b/>
          <w:sz w:val="28"/>
          <w:szCs w:val="24"/>
          <w:lang w:eastAsia="zh-CN"/>
        </w:rPr>
        <w:t>壹拾捌万壹仟</w:t>
      </w:r>
      <w:r>
        <w:rPr>
          <w:rFonts w:hint="eastAsia" w:ascii="楷体_GB2312" w:eastAsia="楷体_GB2312"/>
          <w:b/>
          <w:sz w:val="28"/>
          <w:szCs w:val="24"/>
        </w:rPr>
        <w:t>元</w:t>
      </w:r>
      <w:r>
        <w:rPr>
          <w:rFonts w:hint="eastAsia" w:ascii="楷体_GB2312" w:eastAsia="楷体_GB2312"/>
          <w:sz w:val="28"/>
          <w:szCs w:val="24"/>
        </w:rPr>
        <w:t>整，单价为</w:t>
      </w:r>
      <w:r>
        <w:rPr>
          <w:rFonts w:hint="eastAsia" w:ascii="楷体_GB2312" w:eastAsia="楷体_GB2312"/>
          <w:b/>
          <w:sz w:val="28"/>
          <w:szCs w:val="24"/>
          <w:lang w:val="en-US" w:eastAsia="zh-CN"/>
        </w:rPr>
        <w:t>6600</w:t>
      </w:r>
      <w:r>
        <w:rPr>
          <w:rFonts w:hint="eastAsia" w:ascii="楷体_GB2312" w:eastAsia="楷体_GB2312"/>
          <w:sz w:val="28"/>
          <w:szCs w:val="24"/>
        </w:rPr>
        <w:t>元/</w:t>
      </w:r>
      <w:r>
        <w:rPr>
          <w:rFonts w:hint="eastAsia" w:cs="Batang" w:asciiTheme="minorEastAsia" w:hAnsiTheme="minorEastAsia" w:eastAsiaTheme="minorEastAsia"/>
          <w:sz w:val="32"/>
          <w:szCs w:val="28"/>
        </w:rPr>
        <w:t>㎡</w:t>
      </w:r>
      <w:r>
        <w:rPr>
          <w:rFonts w:hint="eastAsia" w:cs="Batang" w:asciiTheme="minorEastAsia" w:hAnsiTheme="minorEastAsia" w:eastAsiaTheme="minorEastAsia"/>
          <w:sz w:val="28"/>
          <w:szCs w:val="24"/>
        </w:rPr>
        <w:t>，</w:t>
      </w:r>
      <w:r>
        <w:rPr>
          <w:rFonts w:hint="eastAsia" w:ascii="楷体_GB2312" w:eastAsia="楷体_GB2312"/>
          <w:sz w:val="28"/>
          <w:szCs w:val="24"/>
        </w:rPr>
        <w:t>详见估价结果一览表。</w:t>
      </w:r>
    </w:p>
    <w:p>
      <w:pPr>
        <w:pStyle w:val="9"/>
        <w:tabs>
          <w:tab w:val="left" w:pos="1080"/>
        </w:tabs>
        <w:adjustRightInd w:val="0"/>
        <w:snapToGrid w:val="0"/>
        <w:spacing w:after="0" w:line="470" w:lineRule="exact"/>
        <w:ind w:left="0" w:leftChars="0" w:firstLine="560" w:firstLineChars="200"/>
        <w:rPr>
          <w:rFonts w:ascii="楷体_GB2312" w:eastAsia="楷体_GB2312"/>
          <w:sz w:val="28"/>
          <w:szCs w:val="24"/>
        </w:rPr>
      </w:pPr>
      <w:r>
        <w:rPr>
          <w:rFonts w:hint="eastAsia" w:ascii="楷体_GB2312" w:eastAsia="楷体_GB2312"/>
          <w:sz w:val="28"/>
          <w:szCs w:val="24"/>
        </w:rPr>
        <w:t>中国注册房地产估价师：</w:t>
      </w:r>
    </w:p>
    <w:tbl>
      <w:tblPr>
        <w:tblStyle w:val="23"/>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137"/>
        <w:gridCol w:w="2168"/>
        <w:gridCol w:w="2491"/>
        <w:gridCol w:w="249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1151" w:type="pct"/>
            <w:vAlign w:val="center"/>
          </w:tcPr>
          <w:p>
            <w:pPr>
              <w:spacing w:line="500" w:lineRule="exact"/>
              <w:jc w:val="center"/>
              <w:rPr>
                <w:rFonts w:ascii="楷体_GB2312" w:eastAsia="楷体_GB2312"/>
                <w:sz w:val="28"/>
                <w:szCs w:val="24"/>
              </w:rPr>
            </w:pPr>
            <w:r>
              <w:rPr>
                <w:rFonts w:hint="eastAsia" w:ascii="楷体_GB2312" w:eastAsia="楷体_GB2312"/>
                <w:sz w:val="28"/>
                <w:szCs w:val="24"/>
              </w:rPr>
              <w:t>姓  名</w:t>
            </w:r>
          </w:p>
        </w:tc>
        <w:tc>
          <w:tcPr>
            <w:tcW w:w="1167" w:type="pct"/>
            <w:vAlign w:val="center"/>
          </w:tcPr>
          <w:p>
            <w:pPr>
              <w:spacing w:line="500" w:lineRule="exact"/>
              <w:jc w:val="center"/>
              <w:rPr>
                <w:rFonts w:ascii="楷体_GB2312" w:eastAsia="楷体_GB2312"/>
                <w:sz w:val="28"/>
                <w:szCs w:val="24"/>
              </w:rPr>
            </w:pPr>
            <w:r>
              <w:rPr>
                <w:rFonts w:hint="eastAsia" w:ascii="楷体_GB2312" w:eastAsia="楷体_GB2312"/>
                <w:sz w:val="28"/>
                <w:szCs w:val="24"/>
              </w:rPr>
              <w:t>注册号</w:t>
            </w:r>
          </w:p>
        </w:tc>
        <w:tc>
          <w:tcPr>
            <w:tcW w:w="1341" w:type="pct"/>
            <w:vAlign w:val="center"/>
          </w:tcPr>
          <w:p>
            <w:pPr>
              <w:spacing w:line="500" w:lineRule="exact"/>
              <w:jc w:val="center"/>
              <w:rPr>
                <w:rFonts w:ascii="楷体_GB2312" w:eastAsia="楷体_GB2312"/>
                <w:sz w:val="28"/>
                <w:szCs w:val="24"/>
              </w:rPr>
            </w:pPr>
            <w:r>
              <w:rPr>
                <w:rFonts w:hint="eastAsia" w:ascii="楷体_GB2312" w:eastAsia="楷体_GB2312"/>
                <w:sz w:val="28"/>
                <w:szCs w:val="24"/>
              </w:rPr>
              <w:t>签名</w:t>
            </w:r>
          </w:p>
        </w:tc>
        <w:tc>
          <w:tcPr>
            <w:tcW w:w="1341" w:type="pct"/>
            <w:vAlign w:val="center"/>
          </w:tcPr>
          <w:p>
            <w:pPr>
              <w:spacing w:line="500" w:lineRule="exact"/>
              <w:jc w:val="center"/>
              <w:rPr>
                <w:rFonts w:ascii="楷体_GB2312" w:eastAsia="楷体_GB2312"/>
                <w:sz w:val="28"/>
                <w:szCs w:val="24"/>
              </w:rPr>
            </w:pPr>
            <w:r>
              <w:rPr>
                <w:rFonts w:hint="eastAsia" w:ascii="楷体_GB2312" w:eastAsia="楷体_GB2312"/>
                <w:sz w:val="28"/>
                <w:szCs w:val="24"/>
              </w:rPr>
              <w:t>签名日期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1151" w:type="pct"/>
            <w:vAlign w:val="center"/>
          </w:tcPr>
          <w:p>
            <w:pPr>
              <w:spacing w:line="500" w:lineRule="exact"/>
              <w:jc w:val="center"/>
              <w:rPr>
                <w:rFonts w:ascii="楷体_GB2312" w:eastAsia="楷体_GB2312"/>
                <w:sz w:val="28"/>
                <w:szCs w:val="24"/>
              </w:rPr>
            </w:pPr>
            <w:r>
              <w:rPr>
                <w:rFonts w:hint="eastAsia" w:ascii="楷体_GB2312" w:eastAsia="楷体_GB2312"/>
                <w:sz w:val="28"/>
                <w:szCs w:val="24"/>
              </w:rPr>
              <w:t>高  莹</w:t>
            </w:r>
          </w:p>
        </w:tc>
        <w:tc>
          <w:tcPr>
            <w:tcW w:w="1167" w:type="pct"/>
            <w:vAlign w:val="center"/>
          </w:tcPr>
          <w:p>
            <w:pPr>
              <w:spacing w:line="500" w:lineRule="exact"/>
              <w:jc w:val="center"/>
              <w:rPr>
                <w:rFonts w:ascii="楷体_GB2312" w:eastAsia="楷体_GB2312"/>
                <w:sz w:val="28"/>
                <w:szCs w:val="24"/>
              </w:rPr>
            </w:pPr>
            <w:r>
              <w:rPr>
                <w:rFonts w:hint="eastAsia" w:ascii="楷体_GB2312" w:eastAsia="楷体_GB2312"/>
                <w:sz w:val="28"/>
                <w:szCs w:val="24"/>
              </w:rPr>
              <w:t>3620160033</w:t>
            </w:r>
          </w:p>
        </w:tc>
        <w:tc>
          <w:tcPr>
            <w:tcW w:w="1341" w:type="pct"/>
            <w:vAlign w:val="center"/>
          </w:tcPr>
          <w:p>
            <w:pPr>
              <w:spacing w:line="500" w:lineRule="exact"/>
              <w:jc w:val="center"/>
              <w:rPr>
                <w:rFonts w:ascii="楷体_GB2312" w:eastAsia="楷体_GB2312"/>
                <w:sz w:val="28"/>
                <w:szCs w:val="24"/>
              </w:rPr>
            </w:pPr>
          </w:p>
        </w:tc>
        <w:tc>
          <w:tcPr>
            <w:tcW w:w="1341" w:type="pct"/>
            <w:vAlign w:val="center"/>
          </w:tcPr>
          <w:p>
            <w:pPr>
              <w:spacing w:line="500" w:lineRule="exact"/>
              <w:jc w:val="center"/>
              <w:rPr>
                <w:rFonts w:hint="eastAsia" w:ascii="楷体_GB2312" w:eastAsia="楷体_GB2312"/>
                <w:sz w:val="28"/>
                <w:szCs w:val="24"/>
                <w:lang w:eastAsia="zh-CN"/>
              </w:rPr>
            </w:pPr>
            <w:r>
              <w:rPr>
                <w:rFonts w:hint="eastAsia" w:ascii="楷体_GB2312" w:eastAsia="楷体_GB2312"/>
                <w:sz w:val="28"/>
                <w:szCs w:val="24"/>
                <w:lang w:eastAsia="zh-CN"/>
              </w:rPr>
              <w:t>2020年9月8日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1151" w:type="pct"/>
            <w:vAlign w:val="center"/>
          </w:tcPr>
          <w:p>
            <w:pPr>
              <w:spacing w:line="500" w:lineRule="exact"/>
              <w:jc w:val="center"/>
              <w:rPr>
                <w:rFonts w:ascii="楷体_GB2312" w:eastAsia="楷体_GB2312"/>
                <w:sz w:val="28"/>
                <w:szCs w:val="24"/>
              </w:rPr>
            </w:pPr>
            <w:r>
              <w:rPr>
                <w:rFonts w:hint="eastAsia" w:ascii="楷体_GB2312" w:eastAsia="楷体_GB2312"/>
                <w:sz w:val="28"/>
                <w:szCs w:val="24"/>
              </w:rPr>
              <w:t>邬雅琴</w:t>
            </w:r>
          </w:p>
        </w:tc>
        <w:tc>
          <w:tcPr>
            <w:tcW w:w="1167" w:type="pct"/>
            <w:vAlign w:val="center"/>
          </w:tcPr>
          <w:p>
            <w:pPr>
              <w:spacing w:line="500" w:lineRule="exact"/>
              <w:jc w:val="center"/>
              <w:rPr>
                <w:rFonts w:ascii="楷体_GB2312" w:eastAsia="楷体_GB2312"/>
                <w:sz w:val="28"/>
                <w:szCs w:val="24"/>
              </w:rPr>
            </w:pPr>
            <w:r>
              <w:rPr>
                <w:rFonts w:hint="eastAsia" w:ascii="楷体_GB2312" w:eastAsia="楷体_GB2312"/>
                <w:sz w:val="28"/>
                <w:szCs w:val="24"/>
              </w:rPr>
              <w:t>3620190026</w:t>
            </w:r>
          </w:p>
        </w:tc>
        <w:tc>
          <w:tcPr>
            <w:tcW w:w="1341" w:type="pct"/>
            <w:vAlign w:val="center"/>
          </w:tcPr>
          <w:p>
            <w:pPr>
              <w:spacing w:line="500" w:lineRule="exact"/>
              <w:jc w:val="center"/>
              <w:rPr>
                <w:rFonts w:ascii="楷体_GB2312" w:eastAsia="楷体_GB2312"/>
                <w:sz w:val="28"/>
                <w:szCs w:val="24"/>
              </w:rPr>
            </w:pPr>
          </w:p>
        </w:tc>
        <w:tc>
          <w:tcPr>
            <w:tcW w:w="1341" w:type="pct"/>
            <w:vAlign w:val="center"/>
          </w:tcPr>
          <w:p>
            <w:pPr>
              <w:spacing w:line="500" w:lineRule="exact"/>
              <w:jc w:val="center"/>
              <w:rPr>
                <w:rFonts w:hint="eastAsia" w:ascii="楷体_GB2312" w:eastAsia="楷体_GB2312"/>
                <w:sz w:val="28"/>
                <w:szCs w:val="24"/>
                <w:lang w:eastAsia="zh-CN"/>
              </w:rPr>
            </w:pPr>
            <w:r>
              <w:rPr>
                <w:rFonts w:hint="eastAsia" w:ascii="楷体_GB2312" w:eastAsia="楷体_GB2312"/>
                <w:sz w:val="28"/>
                <w:szCs w:val="24"/>
                <w:lang w:eastAsia="zh-CN"/>
              </w:rPr>
              <w:t>2020年9月8日</w:t>
            </w:r>
          </w:p>
        </w:tc>
      </w:tr>
    </w:tbl>
    <w:p>
      <w:pPr>
        <w:pStyle w:val="9"/>
        <w:tabs>
          <w:tab w:val="left" w:pos="1440"/>
        </w:tabs>
        <w:spacing w:after="0" w:line="480" w:lineRule="exact"/>
        <w:ind w:left="0" w:leftChars="0" w:firstLine="560" w:firstLineChars="200"/>
        <w:rPr>
          <w:rFonts w:ascii="楷体_GB2312" w:eastAsia="楷体_GB2312"/>
          <w:sz w:val="28"/>
          <w:szCs w:val="24"/>
        </w:rPr>
        <w:sectPr>
          <w:headerReference r:id="rId5" w:type="default"/>
          <w:footerReference r:id="rId6" w:type="default"/>
          <w:pgSz w:w="11907" w:h="16840"/>
          <w:pgMar w:top="1418" w:right="1418" w:bottom="1418" w:left="1418" w:header="851" w:footer="992" w:gutter="0"/>
          <w:pgNumType w:start="1"/>
          <w:cols w:space="720" w:num="1"/>
          <w:docGrid w:linePitch="479" w:charSpace="11986"/>
        </w:sectPr>
      </w:pPr>
    </w:p>
    <w:p>
      <w:pPr>
        <w:pStyle w:val="9"/>
        <w:tabs>
          <w:tab w:val="left" w:pos="1080"/>
        </w:tabs>
        <w:adjustRightInd w:val="0"/>
        <w:snapToGrid w:val="0"/>
        <w:spacing w:after="0" w:line="470" w:lineRule="exact"/>
        <w:ind w:left="0" w:leftChars="0"/>
        <w:jc w:val="center"/>
        <w:rPr>
          <w:rFonts w:hint="eastAsia" w:ascii="楷体_GB2312" w:eastAsia="楷体_GB2312"/>
          <w:sz w:val="28"/>
          <w:szCs w:val="24"/>
        </w:rPr>
      </w:pPr>
      <w:r>
        <w:rPr>
          <w:rFonts w:hint="eastAsia" w:ascii="楷体_GB2312" w:eastAsia="楷体_GB2312"/>
          <w:sz w:val="28"/>
          <w:szCs w:val="24"/>
        </w:rPr>
        <w:t>估价结果一览表</w:t>
      </w:r>
    </w:p>
    <w:tbl>
      <w:tblPr>
        <w:tblStyle w:val="23"/>
        <w:tblW w:w="4997" w:type="pct"/>
        <w:tblInd w:w="0" w:type="dxa"/>
        <w:shd w:val="clear" w:color="auto" w:fill="auto"/>
        <w:tblLayout w:type="autofit"/>
        <w:tblCellMar>
          <w:top w:w="0" w:type="dxa"/>
          <w:left w:w="0" w:type="dxa"/>
          <w:bottom w:w="0" w:type="dxa"/>
          <w:right w:w="0" w:type="dxa"/>
        </w:tblCellMar>
      </w:tblPr>
      <w:tblGrid>
        <w:gridCol w:w="517"/>
        <w:gridCol w:w="763"/>
        <w:gridCol w:w="2051"/>
        <w:gridCol w:w="557"/>
        <w:gridCol w:w="786"/>
        <w:gridCol w:w="1187"/>
        <w:gridCol w:w="779"/>
        <w:gridCol w:w="1241"/>
        <w:gridCol w:w="1215"/>
      </w:tblGrid>
      <w:tr>
        <w:tblPrEx>
          <w:shd w:val="clear" w:color="auto" w:fill="auto"/>
          <w:tblCellMar>
            <w:top w:w="0" w:type="dxa"/>
            <w:left w:w="0" w:type="dxa"/>
            <w:bottom w:w="0" w:type="dxa"/>
            <w:right w:w="0" w:type="dxa"/>
          </w:tblCellMar>
        </w:tblPrEx>
        <w:trPr>
          <w:trHeight w:val="312" w:hRule="atLeast"/>
        </w:trPr>
        <w:tc>
          <w:tcPr>
            <w:tcW w:w="28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4"/>
                <w:szCs w:val="24"/>
                <w:u w:val="none"/>
              </w:rPr>
            </w:pPr>
            <w:r>
              <w:rPr>
                <w:rFonts w:hint="eastAsia" w:ascii="楷体_GB2312" w:hAnsi="楷体_GB2312" w:eastAsia="楷体_GB2312" w:cs="楷体_GB2312"/>
                <w:i w:val="0"/>
                <w:color w:val="000000"/>
                <w:kern w:val="0"/>
                <w:sz w:val="24"/>
                <w:szCs w:val="24"/>
                <w:u w:val="none"/>
                <w:lang w:val="en-US" w:eastAsia="zh-CN" w:bidi="ar"/>
              </w:rPr>
              <w:t>序号</w:t>
            </w:r>
          </w:p>
        </w:tc>
        <w:tc>
          <w:tcPr>
            <w:tcW w:w="41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4"/>
                <w:szCs w:val="24"/>
                <w:u w:val="none"/>
              </w:rPr>
            </w:pPr>
            <w:r>
              <w:rPr>
                <w:rFonts w:hint="eastAsia" w:ascii="楷体_GB2312" w:hAnsi="楷体_GB2312" w:eastAsia="楷体_GB2312" w:cs="楷体_GB2312"/>
                <w:i w:val="0"/>
                <w:color w:val="000000"/>
                <w:kern w:val="0"/>
                <w:sz w:val="24"/>
                <w:szCs w:val="24"/>
                <w:u w:val="none"/>
                <w:lang w:val="en-US" w:eastAsia="zh-CN" w:bidi="ar"/>
              </w:rPr>
              <w:t>车库使用权人</w:t>
            </w:r>
          </w:p>
        </w:tc>
        <w:tc>
          <w:tcPr>
            <w:tcW w:w="112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4"/>
                <w:szCs w:val="24"/>
                <w:u w:val="none"/>
              </w:rPr>
            </w:pPr>
            <w:r>
              <w:rPr>
                <w:rFonts w:hint="eastAsia" w:ascii="楷体_GB2312" w:hAnsi="楷体_GB2312" w:eastAsia="楷体_GB2312" w:cs="楷体_GB2312"/>
                <w:i w:val="0"/>
                <w:color w:val="000000"/>
                <w:kern w:val="0"/>
                <w:sz w:val="24"/>
                <w:szCs w:val="24"/>
                <w:u w:val="none"/>
                <w:lang w:val="en-US" w:eastAsia="zh-CN" w:bidi="ar"/>
              </w:rPr>
              <w:t>位置</w:t>
            </w:r>
          </w:p>
        </w:tc>
        <w:tc>
          <w:tcPr>
            <w:tcW w:w="30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4"/>
                <w:szCs w:val="24"/>
                <w:u w:val="none"/>
              </w:rPr>
            </w:pPr>
            <w:r>
              <w:rPr>
                <w:rFonts w:hint="eastAsia" w:ascii="楷体_GB2312" w:hAnsi="楷体_GB2312" w:eastAsia="楷体_GB2312" w:cs="楷体_GB2312"/>
                <w:i w:val="0"/>
                <w:color w:val="000000"/>
                <w:kern w:val="0"/>
                <w:sz w:val="24"/>
                <w:szCs w:val="24"/>
                <w:u w:val="none"/>
                <w:lang w:val="en-US" w:eastAsia="zh-CN" w:bidi="ar"/>
              </w:rPr>
              <w:t>结构</w:t>
            </w:r>
          </w:p>
        </w:tc>
        <w:tc>
          <w:tcPr>
            <w:tcW w:w="43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kern w:val="0"/>
                <w:sz w:val="24"/>
                <w:szCs w:val="24"/>
                <w:u w:val="none"/>
                <w:lang w:val="en-US" w:eastAsia="zh-CN" w:bidi="ar"/>
              </w:rPr>
            </w:pPr>
            <w:r>
              <w:rPr>
                <w:rFonts w:hint="eastAsia" w:ascii="楷体_GB2312" w:hAnsi="楷体_GB2312" w:eastAsia="楷体_GB2312" w:cs="楷体_GB2312"/>
                <w:i w:val="0"/>
                <w:color w:val="000000"/>
                <w:kern w:val="0"/>
                <w:sz w:val="24"/>
                <w:szCs w:val="24"/>
                <w:u w:val="none"/>
                <w:lang w:val="en-US" w:eastAsia="zh-CN" w:bidi="ar"/>
              </w:rPr>
              <w:t>建筑</w:t>
            </w:r>
          </w:p>
          <w:p>
            <w:pPr>
              <w:keepNext w:val="0"/>
              <w:keepLines w:val="0"/>
              <w:widowControl/>
              <w:suppressLineNumbers w:val="0"/>
              <w:jc w:val="center"/>
              <w:textAlignment w:val="center"/>
              <w:rPr>
                <w:rFonts w:hint="eastAsia" w:ascii="楷体_GB2312" w:hAnsi="楷体_GB2312" w:eastAsia="楷体_GB2312" w:cs="楷体_GB2312"/>
                <w:i w:val="0"/>
                <w:color w:val="000000"/>
                <w:sz w:val="24"/>
                <w:szCs w:val="24"/>
                <w:u w:val="none"/>
              </w:rPr>
            </w:pPr>
            <w:r>
              <w:rPr>
                <w:rFonts w:hint="eastAsia" w:ascii="楷体_GB2312" w:hAnsi="楷体_GB2312" w:eastAsia="楷体_GB2312" w:cs="楷体_GB2312"/>
                <w:i w:val="0"/>
                <w:color w:val="000000"/>
                <w:kern w:val="0"/>
                <w:sz w:val="24"/>
                <w:szCs w:val="24"/>
                <w:u w:val="none"/>
                <w:lang w:val="en-US" w:eastAsia="zh-CN" w:bidi="ar"/>
              </w:rPr>
              <w:t>用途</w:t>
            </w:r>
          </w:p>
        </w:tc>
        <w:tc>
          <w:tcPr>
            <w:tcW w:w="65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4"/>
                <w:szCs w:val="24"/>
                <w:u w:val="none"/>
              </w:rPr>
            </w:pPr>
            <w:r>
              <w:rPr>
                <w:rFonts w:hint="eastAsia" w:ascii="楷体_GB2312" w:hAnsi="楷体_GB2312" w:eastAsia="楷体_GB2312" w:cs="楷体_GB2312"/>
                <w:i w:val="0"/>
                <w:color w:val="000000"/>
                <w:kern w:val="0"/>
                <w:sz w:val="24"/>
                <w:szCs w:val="24"/>
                <w:u w:val="none"/>
                <w:lang w:val="en-US" w:eastAsia="zh-CN" w:bidi="ar"/>
              </w:rPr>
              <w:t>评估层/总楼层</w:t>
            </w:r>
          </w:p>
        </w:tc>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4"/>
                <w:szCs w:val="24"/>
                <w:u w:val="none"/>
              </w:rPr>
            </w:pPr>
            <w:r>
              <w:rPr>
                <w:rFonts w:hint="eastAsia" w:ascii="楷体_GB2312" w:hAnsi="楷体_GB2312" w:eastAsia="楷体_GB2312" w:cs="楷体_GB2312"/>
                <w:i w:val="0"/>
                <w:color w:val="000000"/>
                <w:kern w:val="0"/>
                <w:sz w:val="24"/>
                <w:szCs w:val="24"/>
                <w:u w:val="none"/>
                <w:lang w:val="en-US" w:eastAsia="zh-CN" w:bidi="ar"/>
              </w:rPr>
              <w:t>测绘面积（㎡）</w:t>
            </w:r>
          </w:p>
        </w:tc>
        <w:tc>
          <w:tcPr>
            <w:tcW w:w="6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4"/>
                <w:szCs w:val="24"/>
                <w:u w:val="none"/>
              </w:rPr>
            </w:pPr>
            <w:r>
              <w:rPr>
                <w:rFonts w:hint="eastAsia" w:ascii="楷体_GB2312" w:hAnsi="楷体_GB2312" w:eastAsia="楷体_GB2312" w:cs="楷体_GB2312"/>
                <w:i w:val="0"/>
                <w:color w:val="000000"/>
                <w:kern w:val="0"/>
                <w:sz w:val="24"/>
                <w:szCs w:val="24"/>
                <w:u w:val="none"/>
                <w:lang w:val="en-US" w:eastAsia="zh-CN" w:bidi="ar"/>
              </w:rPr>
              <w:t>评估单价（元/㎡）</w:t>
            </w:r>
          </w:p>
        </w:tc>
        <w:tc>
          <w:tcPr>
            <w:tcW w:w="66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4"/>
                <w:szCs w:val="24"/>
                <w:u w:val="none"/>
              </w:rPr>
            </w:pPr>
            <w:r>
              <w:rPr>
                <w:rFonts w:hint="eastAsia" w:ascii="楷体_GB2312" w:hAnsi="楷体_GB2312" w:eastAsia="楷体_GB2312" w:cs="楷体_GB2312"/>
                <w:i w:val="0"/>
                <w:color w:val="000000"/>
                <w:kern w:val="0"/>
                <w:sz w:val="24"/>
                <w:szCs w:val="24"/>
                <w:u w:val="none"/>
                <w:lang w:val="en-US" w:eastAsia="zh-CN" w:bidi="ar"/>
              </w:rPr>
              <w:t>评估总价（万元）</w:t>
            </w:r>
          </w:p>
        </w:tc>
      </w:tr>
      <w:tr>
        <w:tblPrEx>
          <w:tblCellMar>
            <w:top w:w="0" w:type="dxa"/>
            <w:left w:w="0" w:type="dxa"/>
            <w:bottom w:w="0" w:type="dxa"/>
            <w:right w:w="0" w:type="dxa"/>
          </w:tblCellMar>
        </w:tblPrEx>
        <w:trPr>
          <w:trHeight w:val="439" w:hRule="atLeast"/>
        </w:trPr>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4"/>
                <w:szCs w:val="24"/>
                <w:u w:val="none"/>
              </w:rPr>
            </w:pPr>
          </w:p>
        </w:tc>
        <w:tc>
          <w:tcPr>
            <w:tcW w:w="41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4"/>
                <w:szCs w:val="24"/>
                <w:u w:val="none"/>
              </w:rPr>
            </w:pPr>
          </w:p>
        </w:tc>
        <w:tc>
          <w:tcPr>
            <w:tcW w:w="112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4"/>
                <w:szCs w:val="24"/>
                <w:u w:val="none"/>
              </w:rPr>
            </w:pPr>
          </w:p>
        </w:tc>
        <w:tc>
          <w:tcPr>
            <w:tcW w:w="30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4"/>
                <w:szCs w:val="24"/>
                <w:u w:val="none"/>
              </w:rPr>
            </w:pPr>
          </w:p>
        </w:tc>
        <w:tc>
          <w:tcPr>
            <w:tcW w:w="43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4"/>
                <w:szCs w:val="24"/>
                <w:u w:val="none"/>
              </w:rPr>
            </w:pPr>
          </w:p>
        </w:tc>
        <w:tc>
          <w:tcPr>
            <w:tcW w:w="65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4"/>
                <w:szCs w:val="24"/>
                <w:u w:val="none"/>
              </w:rPr>
            </w:pPr>
          </w:p>
        </w:tc>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4"/>
                <w:szCs w:val="24"/>
                <w:u w:val="none"/>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4"/>
                <w:szCs w:val="24"/>
                <w:u w:val="none"/>
              </w:rPr>
            </w:pPr>
          </w:p>
        </w:tc>
        <w:tc>
          <w:tcPr>
            <w:tcW w:w="66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4"/>
                <w:szCs w:val="24"/>
                <w:u w:val="none"/>
              </w:rPr>
            </w:pPr>
          </w:p>
        </w:tc>
      </w:tr>
      <w:tr>
        <w:tblPrEx>
          <w:tblCellMar>
            <w:top w:w="0" w:type="dxa"/>
            <w:left w:w="0" w:type="dxa"/>
            <w:bottom w:w="0" w:type="dxa"/>
            <w:right w:w="0" w:type="dxa"/>
          </w:tblCellMar>
        </w:tblPrEx>
        <w:trPr>
          <w:trHeight w:val="1335" w:hRule="atLeast"/>
        </w:trPr>
        <w:tc>
          <w:tcPr>
            <w:tcW w:w="2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4"/>
                <w:szCs w:val="24"/>
                <w:u w:val="none"/>
              </w:rPr>
            </w:pPr>
            <w:r>
              <w:rPr>
                <w:rFonts w:hint="eastAsia" w:ascii="楷体_GB2312" w:hAnsi="楷体_GB2312" w:eastAsia="楷体_GB2312" w:cs="楷体_GB2312"/>
                <w:i w:val="0"/>
                <w:color w:val="000000"/>
                <w:kern w:val="0"/>
                <w:sz w:val="24"/>
                <w:szCs w:val="24"/>
                <w:u w:val="none"/>
                <w:lang w:val="en-US" w:eastAsia="zh-CN" w:bidi="ar"/>
              </w:rPr>
              <w:t>1</w:t>
            </w:r>
          </w:p>
        </w:tc>
        <w:tc>
          <w:tcPr>
            <w:tcW w:w="4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4"/>
                <w:szCs w:val="24"/>
                <w:u w:val="none"/>
              </w:rPr>
            </w:pPr>
            <w:r>
              <w:rPr>
                <w:rFonts w:hint="eastAsia" w:ascii="楷体_GB2312" w:hAnsi="楷体_GB2312" w:eastAsia="楷体_GB2312" w:cs="楷体_GB2312"/>
                <w:i w:val="0"/>
                <w:color w:val="000000"/>
                <w:kern w:val="0"/>
                <w:sz w:val="24"/>
                <w:szCs w:val="24"/>
                <w:u w:val="none"/>
                <w:lang w:val="en-US" w:eastAsia="zh-CN" w:bidi="ar"/>
              </w:rPr>
              <w:t>胡建华</w:t>
            </w:r>
          </w:p>
        </w:tc>
        <w:tc>
          <w:tcPr>
            <w:tcW w:w="11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4"/>
                <w:szCs w:val="24"/>
                <w:u w:val="none"/>
              </w:rPr>
            </w:pPr>
            <w:r>
              <w:rPr>
                <w:rFonts w:hint="eastAsia" w:ascii="楷体_GB2312" w:hAnsi="楷体_GB2312" w:eastAsia="楷体_GB2312" w:cs="楷体_GB2312"/>
                <w:i w:val="0"/>
                <w:color w:val="000000"/>
                <w:kern w:val="0"/>
                <w:sz w:val="24"/>
                <w:szCs w:val="24"/>
                <w:u w:val="none"/>
                <w:lang w:val="en-US" w:eastAsia="zh-CN" w:bidi="ar"/>
              </w:rPr>
              <w:t>南昌市西湖区建设西路8号千禧颐和园南屏苑5号车库</w:t>
            </w:r>
          </w:p>
        </w:tc>
        <w:tc>
          <w:tcPr>
            <w:tcW w:w="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4"/>
                <w:szCs w:val="24"/>
                <w:u w:val="none"/>
              </w:rPr>
            </w:pPr>
            <w:r>
              <w:rPr>
                <w:rFonts w:hint="eastAsia" w:ascii="楷体_GB2312" w:hAnsi="楷体_GB2312" w:eastAsia="楷体_GB2312" w:cs="楷体_GB2312"/>
                <w:i w:val="0"/>
                <w:color w:val="000000"/>
                <w:kern w:val="0"/>
                <w:sz w:val="24"/>
                <w:szCs w:val="24"/>
                <w:u w:val="none"/>
                <w:lang w:val="en-US" w:eastAsia="zh-CN" w:bidi="ar"/>
              </w:rPr>
              <w:t>钢混</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4"/>
                <w:szCs w:val="24"/>
                <w:u w:val="none"/>
              </w:rPr>
            </w:pPr>
            <w:r>
              <w:rPr>
                <w:rFonts w:hint="eastAsia" w:ascii="楷体_GB2312" w:hAnsi="楷体_GB2312" w:eastAsia="楷体_GB2312" w:cs="楷体_GB2312"/>
                <w:i w:val="0"/>
                <w:color w:val="000000"/>
                <w:kern w:val="0"/>
                <w:sz w:val="24"/>
                <w:szCs w:val="24"/>
                <w:u w:val="none"/>
                <w:lang w:val="en-US" w:eastAsia="zh-CN" w:bidi="ar"/>
              </w:rPr>
              <w:t>车库</w:t>
            </w:r>
          </w:p>
        </w:tc>
        <w:tc>
          <w:tcPr>
            <w:tcW w:w="6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4"/>
                <w:szCs w:val="24"/>
                <w:u w:val="none"/>
              </w:rPr>
            </w:pPr>
            <w:r>
              <w:rPr>
                <w:rFonts w:hint="eastAsia" w:ascii="楷体_GB2312" w:hAnsi="楷体_GB2312" w:eastAsia="楷体_GB2312" w:cs="楷体_GB2312"/>
                <w:i w:val="0"/>
                <w:color w:val="000000"/>
                <w:kern w:val="0"/>
                <w:sz w:val="24"/>
                <w:szCs w:val="24"/>
                <w:u w:val="none"/>
                <w:lang w:val="en-US" w:eastAsia="zh-CN" w:bidi="ar"/>
              </w:rPr>
              <w:t>-1/19（地上18层，地下1层）</w:t>
            </w:r>
          </w:p>
        </w:tc>
        <w:tc>
          <w:tcPr>
            <w:tcW w:w="4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4"/>
                <w:szCs w:val="24"/>
                <w:u w:val="none"/>
              </w:rPr>
            </w:pPr>
            <w:r>
              <w:rPr>
                <w:rFonts w:hint="eastAsia" w:ascii="楷体_GB2312" w:hAnsi="楷体_GB2312" w:eastAsia="楷体_GB2312" w:cs="楷体_GB2312"/>
                <w:i w:val="0"/>
                <w:color w:val="000000"/>
                <w:kern w:val="0"/>
                <w:sz w:val="24"/>
                <w:szCs w:val="24"/>
                <w:u w:val="none"/>
                <w:lang w:val="en-US" w:eastAsia="zh-CN" w:bidi="ar"/>
              </w:rPr>
              <w:t>27.43</w:t>
            </w:r>
          </w:p>
        </w:tc>
        <w:tc>
          <w:tcPr>
            <w:tcW w:w="6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4"/>
                <w:szCs w:val="24"/>
                <w:u w:val="none"/>
              </w:rPr>
            </w:pPr>
            <w:r>
              <w:rPr>
                <w:rFonts w:hint="eastAsia" w:ascii="楷体_GB2312" w:hAnsi="楷体_GB2312" w:eastAsia="楷体_GB2312" w:cs="楷体_GB2312"/>
                <w:i w:val="0"/>
                <w:color w:val="000000"/>
                <w:kern w:val="0"/>
                <w:sz w:val="24"/>
                <w:szCs w:val="24"/>
                <w:u w:val="none"/>
                <w:lang w:val="en-US" w:eastAsia="zh-CN" w:bidi="ar"/>
              </w:rPr>
              <w:t xml:space="preserve">6600 </w:t>
            </w: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4"/>
                <w:szCs w:val="24"/>
                <w:u w:val="none"/>
                <w:lang w:val="en-US"/>
              </w:rPr>
            </w:pPr>
            <w:r>
              <w:rPr>
                <w:rFonts w:hint="eastAsia" w:ascii="楷体_GB2312" w:hAnsi="楷体_GB2312" w:eastAsia="楷体_GB2312" w:cs="楷体_GB2312"/>
                <w:i w:val="0"/>
                <w:color w:val="000000"/>
                <w:kern w:val="0"/>
                <w:sz w:val="24"/>
                <w:szCs w:val="24"/>
                <w:u w:val="none"/>
                <w:lang w:val="en-US" w:eastAsia="zh-CN" w:bidi="ar"/>
              </w:rPr>
              <w:t>18.10</w:t>
            </w:r>
          </w:p>
        </w:tc>
      </w:tr>
    </w:tbl>
    <w:p>
      <w:pPr>
        <w:pStyle w:val="9"/>
        <w:tabs>
          <w:tab w:val="left" w:pos="1440"/>
        </w:tabs>
        <w:spacing w:after="0" w:line="440" w:lineRule="exact"/>
        <w:ind w:left="0" w:leftChars="0" w:firstLine="480" w:firstLineChars="200"/>
        <w:rPr>
          <w:rFonts w:ascii="楷体_GB2312" w:eastAsia="楷体_GB2312"/>
          <w:sz w:val="24"/>
          <w:szCs w:val="24"/>
        </w:rPr>
      </w:pPr>
      <w:r>
        <w:rPr>
          <w:rFonts w:hint="eastAsia" w:ascii="楷体_GB2312" w:eastAsia="楷体_GB2312"/>
          <w:sz w:val="24"/>
          <w:szCs w:val="24"/>
        </w:rPr>
        <w:t>特别提示：</w:t>
      </w:r>
    </w:p>
    <w:p>
      <w:pPr>
        <w:pStyle w:val="9"/>
        <w:numPr>
          <w:ilvl w:val="0"/>
          <w:numId w:val="1"/>
        </w:numPr>
        <w:tabs>
          <w:tab w:val="left" w:pos="0"/>
        </w:tabs>
        <w:spacing w:after="0" w:line="440" w:lineRule="exact"/>
        <w:ind w:left="0" w:leftChars="0" w:firstLine="426"/>
        <w:rPr>
          <w:rFonts w:ascii="楷体_GB2312" w:eastAsia="楷体_GB2312"/>
          <w:sz w:val="24"/>
          <w:szCs w:val="24"/>
        </w:rPr>
      </w:pPr>
      <w:r>
        <w:rPr>
          <w:rFonts w:hint="eastAsia" w:ascii="楷体_GB2312" w:eastAsia="楷体_GB2312"/>
          <w:sz w:val="24"/>
          <w:szCs w:val="24"/>
        </w:rPr>
        <w:t>上述估价结果是指在价值时点的房地产市场状况下、估价对象在现状利用条件下的市场价值，不包括可移动的家具、电器等物品价值，也不包含处置时的司法诉讼费用、</w:t>
      </w:r>
      <w:r>
        <w:rPr>
          <w:rFonts w:hint="eastAsia" w:ascii="楷体_GB2312" w:eastAsia="楷体_GB2312"/>
          <w:sz w:val="24"/>
          <w:szCs w:val="24"/>
          <w:lang w:eastAsia="zh-CN"/>
        </w:rPr>
        <w:t>过户费用及</w:t>
      </w:r>
      <w:r>
        <w:rPr>
          <w:rFonts w:hint="eastAsia" w:ascii="楷体_GB2312" w:eastAsia="楷体_GB2312"/>
          <w:sz w:val="24"/>
          <w:szCs w:val="24"/>
        </w:rPr>
        <w:t>其他应付费用等。</w:t>
      </w:r>
    </w:p>
    <w:p>
      <w:pPr>
        <w:pStyle w:val="9"/>
        <w:numPr>
          <w:ilvl w:val="0"/>
          <w:numId w:val="1"/>
        </w:numPr>
        <w:tabs>
          <w:tab w:val="left" w:pos="882"/>
        </w:tabs>
        <w:spacing w:after="0" w:line="440" w:lineRule="exact"/>
        <w:ind w:left="0" w:leftChars="0" w:firstLine="426"/>
        <w:rPr>
          <w:rFonts w:ascii="楷体_GB2312" w:eastAsia="楷体_GB2312"/>
          <w:color w:val="000000" w:themeColor="text1"/>
          <w:sz w:val="24"/>
          <w:szCs w:val="24"/>
        </w:rPr>
      </w:pPr>
      <w:r>
        <w:rPr>
          <w:rFonts w:hint="eastAsia" w:ascii="楷体_GB2312" w:eastAsia="楷体_GB2312"/>
          <w:sz w:val="24"/>
          <w:szCs w:val="24"/>
          <w:lang w:eastAsia="zh-CN"/>
        </w:rPr>
        <w:t>因估价对象为地下车库，据现场查勘及市场调查，该小区地下车库均未办理产权登记，</w:t>
      </w:r>
      <w:r>
        <w:rPr>
          <w:rFonts w:hint="eastAsia" w:ascii="楷体_GB2312" w:eastAsia="楷体_GB2312"/>
          <w:sz w:val="24"/>
          <w:szCs w:val="24"/>
        </w:rPr>
        <w:t>本次评估估价对象</w:t>
      </w:r>
      <w:r>
        <w:rPr>
          <w:rFonts w:hint="eastAsia" w:ascii="楷体_GB2312" w:eastAsia="楷体_GB2312"/>
          <w:sz w:val="24"/>
          <w:szCs w:val="24"/>
          <w:lang w:eastAsia="zh-CN"/>
        </w:rPr>
        <w:t>使用权人</w:t>
      </w:r>
      <w:r>
        <w:rPr>
          <w:rFonts w:hint="eastAsia" w:ascii="楷体_GB2312" w:eastAsia="楷体_GB2312"/>
          <w:sz w:val="24"/>
          <w:szCs w:val="24"/>
        </w:rPr>
        <w:t>、面积等相关情况以委托方提供的《</w:t>
      </w:r>
      <w:r>
        <w:rPr>
          <w:rFonts w:hint="eastAsia" w:ascii="楷体_GB2312" w:eastAsia="楷体_GB2312"/>
          <w:sz w:val="24"/>
          <w:szCs w:val="24"/>
          <w:lang w:eastAsia="zh-CN"/>
        </w:rPr>
        <w:t>千禧颐和园储藏间、车库（位）合同</w:t>
      </w:r>
      <w:r>
        <w:rPr>
          <w:rFonts w:hint="eastAsia" w:ascii="楷体_GB2312" w:eastAsia="楷体_GB2312"/>
          <w:sz w:val="24"/>
          <w:szCs w:val="24"/>
        </w:rPr>
        <w:t>》</w:t>
      </w:r>
      <w:r>
        <w:rPr>
          <w:rFonts w:hint="eastAsia" w:ascii="楷体_GB2312" w:eastAsia="楷体_GB2312"/>
          <w:sz w:val="24"/>
          <w:szCs w:val="24"/>
          <w:lang w:eastAsia="zh-CN"/>
        </w:rPr>
        <w:t>、《测绘成果报告》</w:t>
      </w:r>
      <w:r>
        <w:rPr>
          <w:rFonts w:hint="eastAsia" w:ascii="楷体_GB2312" w:eastAsia="楷体_GB2312"/>
          <w:sz w:val="24"/>
          <w:szCs w:val="24"/>
        </w:rPr>
        <w:t>为依据，确定</w:t>
      </w:r>
      <w:r>
        <w:rPr>
          <w:rFonts w:hint="eastAsia" w:ascii="楷体_GB2312" w:eastAsia="楷体_GB2312"/>
          <w:sz w:val="24"/>
          <w:szCs w:val="24"/>
          <w:lang w:eastAsia="zh-CN"/>
        </w:rPr>
        <w:t>使用权人</w:t>
      </w:r>
      <w:r>
        <w:rPr>
          <w:rFonts w:hint="eastAsia" w:ascii="楷体_GB2312" w:eastAsia="楷体_GB2312"/>
          <w:sz w:val="24"/>
          <w:szCs w:val="24"/>
        </w:rPr>
        <w:t>为</w:t>
      </w:r>
      <w:r>
        <w:rPr>
          <w:rFonts w:hint="eastAsia" w:ascii="楷体_GB2312" w:eastAsia="楷体_GB2312"/>
          <w:sz w:val="24"/>
          <w:szCs w:val="24"/>
          <w:lang w:eastAsia="zh-CN"/>
        </w:rPr>
        <w:t>胡建华</w:t>
      </w:r>
      <w:r>
        <w:rPr>
          <w:rFonts w:hint="eastAsia" w:ascii="楷体_GB2312" w:eastAsia="楷体_GB2312"/>
          <w:sz w:val="24"/>
          <w:szCs w:val="24"/>
        </w:rPr>
        <w:t>，</w:t>
      </w:r>
      <w:r>
        <w:rPr>
          <w:rFonts w:hint="eastAsia" w:ascii="楷体_GB2312" w:eastAsia="楷体_GB2312"/>
          <w:sz w:val="24"/>
          <w:szCs w:val="24"/>
          <w:lang w:eastAsia="zh-CN"/>
        </w:rPr>
        <w:t>测绘</w:t>
      </w:r>
      <w:r>
        <w:rPr>
          <w:rFonts w:hint="eastAsia" w:ascii="楷体_GB2312" w:eastAsia="楷体_GB2312"/>
          <w:sz w:val="24"/>
          <w:szCs w:val="24"/>
        </w:rPr>
        <w:t>面积为</w:t>
      </w:r>
      <w:r>
        <w:rPr>
          <w:rFonts w:hint="eastAsia" w:ascii="楷体_GB2312" w:eastAsia="楷体_GB2312"/>
          <w:sz w:val="24"/>
          <w:szCs w:val="24"/>
          <w:lang w:val="en-US" w:eastAsia="zh-CN"/>
        </w:rPr>
        <w:t>27.43</w:t>
      </w:r>
      <w:r>
        <w:rPr>
          <w:rFonts w:hint="eastAsia" w:ascii="Batang" w:hAnsi="Batang" w:eastAsia="Batang" w:cs="Batang"/>
          <w:sz w:val="24"/>
          <w:szCs w:val="24"/>
        </w:rPr>
        <w:t>㎡</w:t>
      </w:r>
      <w:r>
        <w:rPr>
          <w:rFonts w:hint="eastAsia" w:ascii="楷体_GB2312" w:eastAsia="楷体_GB2312"/>
          <w:sz w:val="24"/>
          <w:szCs w:val="24"/>
        </w:rPr>
        <w:t>，用途为</w:t>
      </w:r>
      <w:r>
        <w:rPr>
          <w:rFonts w:hint="eastAsia" w:ascii="楷体_GB2312" w:eastAsia="楷体_GB2312"/>
          <w:sz w:val="24"/>
          <w:szCs w:val="24"/>
          <w:lang w:eastAsia="zh-CN"/>
        </w:rPr>
        <w:t>车库</w:t>
      </w:r>
      <w:r>
        <w:rPr>
          <w:rFonts w:hint="eastAsia" w:ascii="楷体_GB2312" w:eastAsia="楷体_GB2312"/>
          <w:sz w:val="24"/>
          <w:szCs w:val="24"/>
        </w:rPr>
        <w:t>；若上述情况与实际不</w:t>
      </w:r>
      <w:r>
        <w:rPr>
          <w:rFonts w:hint="eastAsia" w:ascii="楷体_GB2312" w:eastAsia="楷体_GB2312"/>
          <w:sz w:val="24"/>
          <w:szCs w:val="24"/>
          <w:lang w:eastAsia="zh-CN"/>
        </w:rPr>
        <w:t>符</w:t>
      </w:r>
      <w:r>
        <w:rPr>
          <w:rFonts w:hint="eastAsia" w:ascii="楷体_GB2312" w:eastAsia="楷体_GB2312"/>
          <w:sz w:val="24"/>
          <w:szCs w:val="24"/>
        </w:rPr>
        <w:t>，需对估价报告进行调整或重新出具估价报</w:t>
      </w:r>
      <w:r>
        <w:rPr>
          <w:rFonts w:hint="eastAsia" w:ascii="楷体_GB2312" w:eastAsia="楷体_GB2312"/>
          <w:color w:val="000000" w:themeColor="text1"/>
          <w:sz w:val="24"/>
          <w:szCs w:val="24"/>
        </w:rPr>
        <w:t>告。</w:t>
      </w:r>
    </w:p>
    <w:p>
      <w:pPr>
        <w:pStyle w:val="9"/>
        <w:numPr>
          <w:ilvl w:val="0"/>
          <w:numId w:val="1"/>
        </w:numPr>
        <w:tabs>
          <w:tab w:val="left" w:pos="882"/>
        </w:tabs>
        <w:spacing w:after="0" w:line="440" w:lineRule="exact"/>
        <w:ind w:left="0" w:leftChars="0" w:firstLine="426"/>
        <w:rPr>
          <w:rFonts w:ascii="楷体_GB2312" w:eastAsia="楷体_GB2312"/>
          <w:sz w:val="24"/>
          <w:szCs w:val="24"/>
        </w:rPr>
      </w:pPr>
      <w:r>
        <w:rPr>
          <w:rFonts w:hint="eastAsia" w:ascii="楷体_GB2312" w:eastAsia="楷体_GB2312"/>
          <w:sz w:val="24"/>
          <w:szCs w:val="24"/>
        </w:rPr>
        <w:t>欲了解估价对象的权益状况、实物状况、区位状况等全面情况，请认真阅读估价报告书全文。本估价报告自出具报告之日起一年内有效。</w:t>
      </w:r>
    </w:p>
    <w:p>
      <w:pPr>
        <w:pStyle w:val="9"/>
        <w:tabs>
          <w:tab w:val="left" w:pos="1440"/>
        </w:tabs>
        <w:spacing w:after="0" w:line="480" w:lineRule="exact"/>
        <w:ind w:left="4505" w:leftChars="1511" w:hanging="1332" w:hangingChars="476"/>
        <w:rPr>
          <w:rFonts w:ascii="楷体_GB2312" w:hAnsi="宋体" w:eastAsia="楷体_GB2312"/>
          <w:snapToGrid w:val="0"/>
          <w:kern w:val="0"/>
          <w:sz w:val="28"/>
          <w:szCs w:val="28"/>
        </w:rPr>
      </w:pPr>
    </w:p>
    <w:p>
      <w:pPr>
        <w:pStyle w:val="9"/>
        <w:tabs>
          <w:tab w:val="left" w:pos="1440"/>
        </w:tabs>
        <w:spacing w:after="0" w:line="480" w:lineRule="exact"/>
        <w:ind w:left="4589" w:leftChars="1551" w:hanging="1332" w:hangingChars="476"/>
        <w:rPr>
          <w:rFonts w:ascii="楷体_GB2312" w:hAnsi="宋体" w:eastAsia="楷体_GB2312"/>
          <w:snapToGrid w:val="0"/>
          <w:kern w:val="0"/>
          <w:sz w:val="28"/>
          <w:szCs w:val="28"/>
        </w:rPr>
      </w:pPr>
      <w:r>
        <w:rPr>
          <w:rFonts w:hint="eastAsia" w:ascii="楷体_GB2312" w:hAnsi="宋体" w:eastAsia="楷体_GB2312"/>
          <w:snapToGrid w:val="0"/>
          <w:kern w:val="0"/>
          <w:sz w:val="28"/>
          <w:szCs w:val="28"/>
        </w:rPr>
        <w:t xml:space="preserve">           法定代表人：</w:t>
      </w:r>
    </w:p>
    <w:p>
      <w:pPr>
        <w:adjustRightInd w:val="0"/>
        <w:snapToGrid w:val="0"/>
        <w:spacing w:beforeLines="50" w:line="480" w:lineRule="exact"/>
        <w:ind w:left="840" w:leftChars="400"/>
        <w:jc w:val="right"/>
        <w:rPr>
          <w:rFonts w:ascii="楷体_GB2312" w:hAnsi="宋体" w:eastAsia="楷体_GB2312"/>
          <w:sz w:val="28"/>
          <w:szCs w:val="28"/>
        </w:rPr>
      </w:pPr>
      <w:r>
        <w:rPr>
          <w:rFonts w:hint="eastAsia" w:ascii="楷体_GB2312" w:hAnsi="宋体" w:eastAsia="楷体_GB2312"/>
          <w:sz w:val="28"/>
          <w:szCs w:val="28"/>
        </w:rPr>
        <w:t>江西永佳房地产资产评估有限公司</w:t>
      </w:r>
    </w:p>
    <w:p>
      <w:pPr>
        <w:adjustRightInd w:val="0"/>
        <w:snapToGrid w:val="0"/>
        <w:spacing w:beforeLines="50" w:line="480" w:lineRule="exact"/>
        <w:ind w:left="840" w:leftChars="400" w:right="700"/>
        <w:jc w:val="right"/>
        <w:rPr>
          <w:rFonts w:ascii="楷体_GB2312" w:hAnsi="宋体" w:eastAsia="楷体_GB2312"/>
          <w:snapToGrid w:val="0"/>
          <w:kern w:val="0"/>
          <w:sz w:val="28"/>
          <w:szCs w:val="28"/>
        </w:rPr>
        <w:sectPr>
          <w:pgSz w:w="11907" w:h="16840"/>
          <w:pgMar w:top="1418" w:right="1418" w:bottom="1418" w:left="1418" w:header="851" w:footer="794" w:gutter="0"/>
          <w:cols w:space="720" w:num="1"/>
          <w:docGrid w:linePitch="479" w:charSpace="11986"/>
        </w:sectPr>
      </w:pPr>
      <w:r>
        <w:rPr>
          <w:rFonts w:hint="eastAsia" w:ascii="楷体_GB2312" w:hAnsi="宋体" w:eastAsia="楷体_GB2312"/>
          <w:snapToGrid w:val="0"/>
          <w:kern w:val="0"/>
          <w:sz w:val="28"/>
          <w:szCs w:val="28"/>
          <w:lang w:eastAsia="zh-CN"/>
        </w:rPr>
        <w:t>2020年9月8日</w:t>
      </w:r>
      <w:r>
        <w:rPr>
          <w:rFonts w:hint="eastAsia" w:ascii="楷体_GB2312" w:hAnsi="宋体" w:eastAsia="楷体_GB2312"/>
          <w:snapToGrid w:val="0"/>
          <w:kern w:val="0"/>
          <w:sz w:val="28"/>
          <w:szCs w:val="28"/>
        </w:rPr>
        <w:t xml:space="preserve"> </w:t>
      </w:r>
    </w:p>
    <w:p>
      <w:pPr>
        <w:spacing w:beforeLines="50" w:afterLines="50" w:line="480" w:lineRule="exact"/>
        <w:jc w:val="center"/>
        <w:rPr>
          <w:rFonts w:ascii="楷体_GB2312" w:hAnsi="宋体" w:eastAsia="楷体_GB2312"/>
          <w:b/>
          <w:snapToGrid w:val="0"/>
          <w:kern w:val="0"/>
          <w:sz w:val="36"/>
        </w:rPr>
      </w:pPr>
      <w:r>
        <w:rPr>
          <w:rFonts w:hint="eastAsia" w:ascii="楷体_GB2312" w:hAnsi="宋体" w:eastAsia="楷体_GB2312"/>
          <w:b/>
          <w:snapToGrid w:val="0"/>
          <w:kern w:val="0"/>
          <w:sz w:val="36"/>
        </w:rPr>
        <w:t>目    录</w:t>
      </w:r>
    </w:p>
    <w:p>
      <w:pPr>
        <w:pStyle w:val="17"/>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kern w:val="2"/>
          <w:sz w:val="24"/>
          <w:szCs w:val="24"/>
        </w:rPr>
        <w:fldChar w:fldCharType="begin"/>
      </w:r>
      <w:r>
        <w:rPr>
          <w:rFonts w:hint="eastAsia" w:ascii="楷体_GB2312" w:hAnsi="楷体_GB2312" w:eastAsia="楷体_GB2312" w:cs="楷体_GB2312"/>
          <w:kern w:val="2"/>
          <w:sz w:val="24"/>
          <w:szCs w:val="24"/>
        </w:rPr>
        <w:instrText xml:space="preserve"> TOC \o "1-2" \h \z \u </w:instrText>
      </w:r>
      <w:r>
        <w:rPr>
          <w:rFonts w:hint="eastAsia" w:ascii="楷体_GB2312" w:hAnsi="楷体_GB2312" w:eastAsia="楷体_GB2312" w:cs="楷体_GB2312"/>
          <w:kern w:val="2"/>
          <w:sz w:val="24"/>
          <w:szCs w:val="24"/>
        </w:rPr>
        <w:fldChar w:fldCharType="separate"/>
      </w:r>
      <w:r>
        <w:rPr>
          <w:rFonts w:hint="eastAsia" w:ascii="楷体_GB2312" w:hAnsi="楷体_GB2312" w:eastAsia="楷体_GB2312" w:cs="楷体_GB2312"/>
          <w:kern w:val="2"/>
          <w:sz w:val="24"/>
          <w:szCs w:val="24"/>
        </w:rPr>
        <w:fldChar w:fldCharType="begin"/>
      </w:r>
      <w:r>
        <w:rPr>
          <w:rFonts w:hint="eastAsia" w:ascii="楷体_GB2312" w:hAnsi="楷体_GB2312" w:eastAsia="楷体_GB2312" w:cs="楷体_GB2312"/>
          <w:kern w:val="2"/>
          <w:sz w:val="24"/>
          <w:szCs w:val="24"/>
        </w:rPr>
        <w:instrText xml:space="preserve"> HYPERLINK \l _Toc6609 </w:instrText>
      </w:r>
      <w:r>
        <w:rPr>
          <w:rFonts w:hint="eastAsia" w:ascii="楷体_GB2312" w:hAnsi="楷体_GB2312" w:eastAsia="楷体_GB2312" w:cs="楷体_GB2312"/>
          <w:kern w:val="2"/>
          <w:sz w:val="24"/>
          <w:szCs w:val="24"/>
        </w:rPr>
        <w:fldChar w:fldCharType="separate"/>
      </w:r>
      <w:r>
        <w:rPr>
          <w:rFonts w:hint="eastAsia" w:ascii="楷体_GB2312" w:hAnsi="楷体_GB2312" w:eastAsia="楷体_GB2312" w:cs="楷体_GB2312"/>
          <w:snapToGrid w:val="0"/>
          <w:kern w:val="0"/>
          <w:sz w:val="24"/>
          <w:szCs w:val="24"/>
        </w:rPr>
        <w:t>致估价委托方函</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_Toc6609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kern w:val="2"/>
          <w:sz w:val="24"/>
          <w:szCs w:val="24"/>
        </w:rPr>
        <w:fldChar w:fldCharType="end"/>
      </w:r>
    </w:p>
    <w:p>
      <w:pPr>
        <w:pStyle w:val="17"/>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snapToGrid w:val="0"/>
          <w:kern w:val="2"/>
          <w:sz w:val="24"/>
          <w:szCs w:val="24"/>
        </w:rPr>
        <w:fldChar w:fldCharType="begin"/>
      </w:r>
      <w:r>
        <w:rPr>
          <w:rFonts w:hint="eastAsia" w:ascii="楷体_GB2312" w:hAnsi="楷体_GB2312" w:eastAsia="楷体_GB2312" w:cs="楷体_GB2312"/>
          <w:snapToGrid w:val="0"/>
          <w:kern w:val="2"/>
          <w:sz w:val="24"/>
          <w:szCs w:val="24"/>
        </w:rPr>
        <w:instrText xml:space="preserve"> HYPERLINK \l _Toc9908 </w:instrText>
      </w:r>
      <w:r>
        <w:rPr>
          <w:rFonts w:hint="eastAsia" w:ascii="楷体_GB2312" w:hAnsi="楷体_GB2312" w:eastAsia="楷体_GB2312" w:cs="楷体_GB2312"/>
          <w:snapToGrid w:val="0"/>
          <w:kern w:val="2"/>
          <w:sz w:val="24"/>
          <w:szCs w:val="24"/>
        </w:rPr>
        <w:fldChar w:fldCharType="separate"/>
      </w:r>
      <w:r>
        <w:rPr>
          <w:rFonts w:hint="eastAsia" w:ascii="楷体_GB2312" w:hAnsi="楷体_GB2312" w:eastAsia="楷体_GB2312" w:cs="楷体_GB2312"/>
          <w:snapToGrid w:val="0"/>
          <w:kern w:val="0"/>
          <w:sz w:val="24"/>
          <w:szCs w:val="24"/>
        </w:rPr>
        <w:t>估价师声明</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_Toc9908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4</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snapToGrid w:val="0"/>
          <w:kern w:val="2"/>
          <w:sz w:val="24"/>
          <w:szCs w:val="24"/>
        </w:rPr>
        <w:fldChar w:fldCharType="end"/>
      </w:r>
    </w:p>
    <w:p>
      <w:pPr>
        <w:pStyle w:val="17"/>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snapToGrid w:val="0"/>
          <w:kern w:val="2"/>
          <w:sz w:val="24"/>
          <w:szCs w:val="24"/>
        </w:rPr>
        <w:fldChar w:fldCharType="begin"/>
      </w:r>
      <w:r>
        <w:rPr>
          <w:rFonts w:hint="eastAsia" w:ascii="楷体_GB2312" w:hAnsi="楷体_GB2312" w:eastAsia="楷体_GB2312" w:cs="楷体_GB2312"/>
          <w:snapToGrid w:val="0"/>
          <w:kern w:val="2"/>
          <w:sz w:val="24"/>
          <w:szCs w:val="24"/>
        </w:rPr>
        <w:instrText xml:space="preserve"> HYPERLINK \l _Toc757 </w:instrText>
      </w:r>
      <w:r>
        <w:rPr>
          <w:rFonts w:hint="eastAsia" w:ascii="楷体_GB2312" w:hAnsi="楷体_GB2312" w:eastAsia="楷体_GB2312" w:cs="楷体_GB2312"/>
          <w:snapToGrid w:val="0"/>
          <w:kern w:val="2"/>
          <w:sz w:val="24"/>
          <w:szCs w:val="24"/>
        </w:rPr>
        <w:fldChar w:fldCharType="separate"/>
      </w:r>
      <w:r>
        <w:rPr>
          <w:rFonts w:hint="eastAsia" w:ascii="楷体_GB2312" w:hAnsi="楷体_GB2312" w:eastAsia="楷体_GB2312" w:cs="楷体_GB2312"/>
          <w:snapToGrid w:val="0"/>
          <w:kern w:val="0"/>
          <w:sz w:val="24"/>
          <w:szCs w:val="24"/>
        </w:rPr>
        <w:t>估价假设和限制条件</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_Toc757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6</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snapToGrid w:val="0"/>
          <w:kern w:val="2"/>
          <w:sz w:val="24"/>
          <w:szCs w:val="24"/>
        </w:rPr>
        <w:fldChar w:fldCharType="end"/>
      </w:r>
    </w:p>
    <w:p>
      <w:pPr>
        <w:pStyle w:val="17"/>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snapToGrid w:val="0"/>
          <w:kern w:val="2"/>
          <w:sz w:val="24"/>
          <w:szCs w:val="24"/>
        </w:rPr>
        <w:fldChar w:fldCharType="begin"/>
      </w:r>
      <w:r>
        <w:rPr>
          <w:rFonts w:hint="eastAsia" w:ascii="楷体_GB2312" w:hAnsi="楷体_GB2312" w:eastAsia="楷体_GB2312" w:cs="楷体_GB2312"/>
          <w:snapToGrid w:val="0"/>
          <w:kern w:val="2"/>
          <w:sz w:val="24"/>
          <w:szCs w:val="24"/>
        </w:rPr>
        <w:instrText xml:space="preserve"> HYPERLINK \l _Toc32167 </w:instrText>
      </w:r>
      <w:r>
        <w:rPr>
          <w:rFonts w:hint="eastAsia" w:ascii="楷体_GB2312" w:hAnsi="楷体_GB2312" w:eastAsia="楷体_GB2312" w:cs="楷体_GB2312"/>
          <w:snapToGrid w:val="0"/>
          <w:kern w:val="2"/>
          <w:sz w:val="24"/>
          <w:szCs w:val="24"/>
        </w:rPr>
        <w:fldChar w:fldCharType="separate"/>
      </w:r>
      <w:r>
        <w:rPr>
          <w:rFonts w:hint="eastAsia" w:ascii="楷体_GB2312" w:hAnsi="楷体_GB2312" w:eastAsia="楷体_GB2312" w:cs="楷体_GB2312"/>
          <w:snapToGrid w:val="0"/>
          <w:kern w:val="0"/>
          <w:sz w:val="24"/>
          <w:szCs w:val="24"/>
        </w:rPr>
        <w:t>房地产估价结果报告</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_Toc32167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8</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snapToGrid w:val="0"/>
          <w:kern w:val="2"/>
          <w:sz w:val="24"/>
          <w:szCs w:val="24"/>
        </w:rPr>
        <w:fldChar w:fldCharType="end"/>
      </w:r>
    </w:p>
    <w:p>
      <w:pPr>
        <w:pStyle w:val="20"/>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snapToGrid w:val="0"/>
          <w:kern w:val="2"/>
          <w:sz w:val="24"/>
          <w:szCs w:val="24"/>
        </w:rPr>
        <w:fldChar w:fldCharType="begin"/>
      </w:r>
      <w:r>
        <w:rPr>
          <w:rFonts w:hint="eastAsia" w:ascii="楷体_GB2312" w:hAnsi="楷体_GB2312" w:eastAsia="楷体_GB2312" w:cs="楷体_GB2312"/>
          <w:snapToGrid w:val="0"/>
          <w:kern w:val="2"/>
          <w:sz w:val="24"/>
          <w:szCs w:val="24"/>
        </w:rPr>
        <w:instrText xml:space="preserve"> HYPERLINK \l _Toc22173 </w:instrText>
      </w:r>
      <w:r>
        <w:rPr>
          <w:rFonts w:hint="eastAsia" w:ascii="楷体_GB2312" w:hAnsi="楷体_GB2312" w:eastAsia="楷体_GB2312" w:cs="楷体_GB2312"/>
          <w:snapToGrid w:val="0"/>
          <w:kern w:val="2"/>
          <w:sz w:val="24"/>
          <w:szCs w:val="24"/>
        </w:rPr>
        <w:fldChar w:fldCharType="separate"/>
      </w:r>
      <w:r>
        <w:rPr>
          <w:rFonts w:hint="eastAsia" w:ascii="楷体_GB2312" w:hAnsi="楷体_GB2312" w:eastAsia="楷体_GB2312" w:cs="楷体_GB2312"/>
          <w:snapToGrid w:val="0"/>
          <w:kern w:val="0"/>
          <w:sz w:val="24"/>
          <w:szCs w:val="24"/>
        </w:rPr>
        <w:t>（一）估价委托方</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_Toc22173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8</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snapToGrid w:val="0"/>
          <w:kern w:val="2"/>
          <w:sz w:val="24"/>
          <w:szCs w:val="24"/>
        </w:rPr>
        <w:fldChar w:fldCharType="end"/>
      </w:r>
    </w:p>
    <w:p>
      <w:pPr>
        <w:pStyle w:val="20"/>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snapToGrid w:val="0"/>
          <w:kern w:val="2"/>
          <w:sz w:val="24"/>
          <w:szCs w:val="24"/>
        </w:rPr>
        <w:fldChar w:fldCharType="begin"/>
      </w:r>
      <w:r>
        <w:rPr>
          <w:rFonts w:hint="eastAsia" w:ascii="楷体_GB2312" w:hAnsi="楷体_GB2312" w:eastAsia="楷体_GB2312" w:cs="楷体_GB2312"/>
          <w:snapToGrid w:val="0"/>
          <w:kern w:val="2"/>
          <w:sz w:val="24"/>
          <w:szCs w:val="24"/>
        </w:rPr>
        <w:instrText xml:space="preserve"> HYPERLINK \l _Toc19019 </w:instrText>
      </w:r>
      <w:r>
        <w:rPr>
          <w:rFonts w:hint="eastAsia" w:ascii="楷体_GB2312" w:hAnsi="楷体_GB2312" w:eastAsia="楷体_GB2312" w:cs="楷体_GB2312"/>
          <w:snapToGrid w:val="0"/>
          <w:kern w:val="2"/>
          <w:sz w:val="24"/>
          <w:szCs w:val="24"/>
        </w:rPr>
        <w:fldChar w:fldCharType="separate"/>
      </w:r>
      <w:r>
        <w:rPr>
          <w:rFonts w:hint="eastAsia" w:ascii="楷体_GB2312" w:hAnsi="楷体_GB2312" w:eastAsia="楷体_GB2312" w:cs="楷体_GB2312"/>
          <w:snapToGrid w:val="0"/>
          <w:kern w:val="0"/>
          <w:sz w:val="24"/>
          <w:szCs w:val="24"/>
        </w:rPr>
        <w:t>（</w:t>
      </w:r>
      <w:r>
        <w:rPr>
          <w:rFonts w:hint="eastAsia" w:ascii="楷体_GB2312" w:hAnsi="楷体_GB2312" w:eastAsia="楷体_GB2312" w:cs="楷体_GB2312"/>
          <w:bCs w:val="0"/>
          <w:sz w:val="24"/>
          <w:szCs w:val="24"/>
        </w:rPr>
        <w:t>二）估价方</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_Toc19019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8</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snapToGrid w:val="0"/>
          <w:kern w:val="2"/>
          <w:sz w:val="24"/>
          <w:szCs w:val="24"/>
        </w:rPr>
        <w:fldChar w:fldCharType="end"/>
      </w:r>
    </w:p>
    <w:p>
      <w:pPr>
        <w:pStyle w:val="20"/>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snapToGrid w:val="0"/>
          <w:kern w:val="2"/>
          <w:sz w:val="24"/>
          <w:szCs w:val="24"/>
        </w:rPr>
        <w:fldChar w:fldCharType="begin"/>
      </w:r>
      <w:r>
        <w:rPr>
          <w:rFonts w:hint="eastAsia" w:ascii="楷体_GB2312" w:hAnsi="楷体_GB2312" w:eastAsia="楷体_GB2312" w:cs="楷体_GB2312"/>
          <w:snapToGrid w:val="0"/>
          <w:kern w:val="2"/>
          <w:sz w:val="24"/>
          <w:szCs w:val="24"/>
        </w:rPr>
        <w:instrText xml:space="preserve"> HYPERLINK \l _Toc9857 </w:instrText>
      </w:r>
      <w:r>
        <w:rPr>
          <w:rFonts w:hint="eastAsia" w:ascii="楷体_GB2312" w:hAnsi="楷体_GB2312" w:eastAsia="楷体_GB2312" w:cs="楷体_GB2312"/>
          <w:snapToGrid w:val="0"/>
          <w:kern w:val="2"/>
          <w:sz w:val="24"/>
          <w:szCs w:val="24"/>
        </w:rPr>
        <w:fldChar w:fldCharType="separate"/>
      </w:r>
      <w:r>
        <w:rPr>
          <w:rFonts w:hint="eastAsia" w:ascii="楷体_GB2312" w:hAnsi="楷体_GB2312" w:eastAsia="楷体_GB2312" w:cs="楷体_GB2312"/>
          <w:snapToGrid w:val="0"/>
          <w:kern w:val="0"/>
          <w:sz w:val="24"/>
          <w:szCs w:val="24"/>
        </w:rPr>
        <w:t>（三）估价目的</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_Toc9857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8</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snapToGrid w:val="0"/>
          <w:kern w:val="2"/>
          <w:sz w:val="24"/>
          <w:szCs w:val="24"/>
        </w:rPr>
        <w:fldChar w:fldCharType="end"/>
      </w:r>
    </w:p>
    <w:p>
      <w:pPr>
        <w:pStyle w:val="20"/>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snapToGrid w:val="0"/>
          <w:kern w:val="2"/>
          <w:sz w:val="24"/>
          <w:szCs w:val="24"/>
        </w:rPr>
        <w:fldChar w:fldCharType="begin"/>
      </w:r>
      <w:r>
        <w:rPr>
          <w:rFonts w:hint="eastAsia" w:ascii="楷体_GB2312" w:hAnsi="楷体_GB2312" w:eastAsia="楷体_GB2312" w:cs="楷体_GB2312"/>
          <w:snapToGrid w:val="0"/>
          <w:kern w:val="2"/>
          <w:sz w:val="24"/>
          <w:szCs w:val="24"/>
        </w:rPr>
        <w:instrText xml:space="preserve"> HYPERLINK \l _Toc4942 </w:instrText>
      </w:r>
      <w:r>
        <w:rPr>
          <w:rFonts w:hint="eastAsia" w:ascii="楷体_GB2312" w:hAnsi="楷体_GB2312" w:eastAsia="楷体_GB2312" w:cs="楷体_GB2312"/>
          <w:snapToGrid w:val="0"/>
          <w:kern w:val="2"/>
          <w:sz w:val="24"/>
          <w:szCs w:val="24"/>
        </w:rPr>
        <w:fldChar w:fldCharType="separate"/>
      </w:r>
      <w:r>
        <w:rPr>
          <w:rFonts w:hint="eastAsia" w:ascii="楷体_GB2312" w:hAnsi="楷体_GB2312" w:eastAsia="楷体_GB2312" w:cs="楷体_GB2312"/>
          <w:snapToGrid w:val="0"/>
          <w:kern w:val="0"/>
          <w:sz w:val="24"/>
          <w:szCs w:val="24"/>
        </w:rPr>
        <w:t>（四）估价对象</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_Toc4942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8</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snapToGrid w:val="0"/>
          <w:kern w:val="2"/>
          <w:sz w:val="24"/>
          <w:szCs w:val="24"/>
        </w:rPr>
        <w:fldChar w:fldCharType="end"/>
      </w:r>
    </w:p>
    <w:p>
      <w:pPr>
        <w:pStyle w:val="20"/>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snapToGrid w:val="0"/>
          <w:kern w:val="2"/>
          <w:sz w:val="24"/>
          <w:szCs w:val="24"/>
        </w:rPr>
        <w:fldChar w:fldCharType="begin"/>
      </w:r>
      <w:r>
        <w:rPr>
          <w:rFonts w:hint="eastAsia" w:ascii="楷体_GB2312" w:hAnsi="楷体_GB2312" w:eastAsia="楷体_GB2312" w:cs="楷体_GB2312"/>
          <w:snapToGrid w:val="0"/>
          <w:kern w:val="2"/>
          <w:sz w:val="24"/>
          <w:szCs w:val="24"/>
        </w:rPr>
        <w:instrText xml:space="preserve"> HYPERLINK \l _Toc4873 </w:instrText>
      </w:r>
      <w:r>
        <w:rPr>
          <w:rFonts w:hint="eastAsia" w:ascii="楷体_GB2312" w:hAnsi="楷体_GB2312" w:eastAsia="楷体_GB2312" w:cs="楷体_GB2312"/>
          <w:snapToGrid w:val="0"/>
          <w:kern w:val="2"/>
          <w:sz w:val="24"/>
          <w:szCs w:val="24"/>
        </w:rPr>
        <w:fldChar w:fldCharType="separate"/>
      </w:r>
      <w:r>
        <w:rPr>
          <w:rFonts w:hint="eastAsia" w:ascii="楷体_GB2312" w:hAnsi="楷体_GB2312" w:eastAsia="楷体_GB2312" w:cs="楷体_GB2312"/>
          <w:bCs w:val="0"/>
          <w:snapToGrid w:val="0"/>
          <w:kern w:val="0"/>
          <w:sz w:val="24"/>
          <w:szCs w:val="24"/>
        </w:rPr>
        <w:t>（五）价值时点</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_Toc4873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10</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snapToGrid w:val="0"/>
          <w:kern w:val="2"/>
          <w:sz w:val="24"/>
          <w:szCs w:val="24"/>
        </w:rPr>
        <w:fldChar w:fldCharType="end"/>
      </w:r>
    </w:p>
    <w:p>
      <w:pPr>
        <w:pStyle w:val="20"/>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snapToGrid w:val="0"/>
          <w:kern w:val="2"/>
          <w:sz w:val="24"/>
          <w:szCs w:val="24"/>
        </w:rPr>
        <w:fldChar w:fldCharType="begin"/>
      </w:r>
      <w:r>
        <w:rPr>
          <w:rFonts w:hint="eastAsia" w:ascii="楷体_GB2312" w:hAnsi="楷体_GB2312" w:eastAsia="楷体_GB2312" w:cs="楷体_GB2312"/>
          <w:snapToGrid w:val="0"/>
          <w:kern w:val="2"/>
          <w:sz w:val="24"/>
          <w:szCs w:val="24"/>
        </w:rPr>
        <w:instrText xml:space="preserve"> HYPERLINK \l _Toc8742 </w:instrText>
      </w:r>
      <w:r>
        <w:rPr>
          <w:rFonts w:hint="eastAsia" w:ascii="楷体_GB2312" w:hAnsi="楷体_GB2312" w:eastAsia="楷体_GB2312" w:cs="楷体_GB2312"/>
          <w:snapToGrid w:val="0"/>
          <w:kern w:val="2"/>
          <w:sz w:val="24"/>
          <w:szCs w:val="24"/>
        </w:rPr>
        <w:fldChar w:fldCharType="separate"/>
      </w:r>
      <w:r>
        <w:rPr>
          <w:rFonts w:hint="eastAsia" w:ascii="楷体_GB2312" w:hAnsi="楷体_GB2312" w:eastAsia="楷体_GB2312" w:cs="楷体_GB2312"/>
          <w:snapToGrid w:val="0"/>
          <w:kern w:val="0"/>
          <w:sz w:val="24"/>
          <w:szCs w:val="24"/>
        </w:rPr>
        <w:t>（</w:t>
      </w:r>
      <w:r>
        <w:rPr>
          <w:rFonts w:hint="eastAsia" w:ascii="楷体_GB2312" w:hAnsi="楷体_GB2312" w:eastAsia="楷体_GB2312" w:cs="楷体_GB2312"/>
          <w:bCs w:val="0"/>
          <w:sz w:val="24"/>
          <w:szCs w:val="24"/>
        </w:rPr>
        <w:t>六）价值类型</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_Toc8742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10</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snapToGrid w:val="0"/>
          <w:kern w:val="2"/>
          <w:sz w:val="24"/>
          <w:szCs w:val="24"/>
        </w:rPr>
        <w:fldChar w:fldCharType="end"/>
      </w:r>
    </w:p>
    <w:p>
      <w:pPr>
        <w:pStyle w:val="20"/>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snapToGrid w:val="0"/>
          <w:kern w:val="2"/>
          <w:sz w:val="24"/>
          <w:szCs w:val="24"/>
        </w:rPr>
        <w:fldChar w:fldCharType="begin"/>
      </w:r>
      <w:r>
        <w:rPr>
          <w:rFonts w:hint="eastAsia" w:ascii="楷体_GB2312" w:hAnsi="楷体_GB2312" w:eastAsia="楷体_GB2312" w:cs="楷体_GB2312"/>
          <w:snapToGrid w:val="0"/>
          <w:kern w:val="2"/>
          <w:sz w:val="24"/>
          <w:szCs w:val="24"/>
        </w:rPr>
        <w:instrText xml:space="preserve"> HYPERLINK \l _Toc26580 </w:instrText>
      </w:r>
      <w:r>
        <w:rPr>
          <w:rFonts w:hint="eastAsia" w:ascii="楷体_GB2312" w:hAnsi="楷体_GB2312" w:eastAsia="楷体_GB2312" w:cs="楷体_GB2312"/>
          <w:snapToGrid w:val="0"/>
          <w:kern w:val="2"/>
          <w:sz w:val="24"/>
          <w:szCs w:val="24"/>
        </w:rPr>
        <w:fldChar w:fldCharType="separate"/>
      </w:r>
      <w:r>
        <w:rPr>
          <w:rFonts w:hint="eastAsia" w:ascii="楷体_GB2312" w:hAnsi="楷体_GB2312" w:eastAsia="楷体_GB2312" w:cs="楷体_GB2312"/>
          <w:bCs w:val="0"/>
          <w:snapToGrid w:val="0"/>
          <w:kern w:val="0"/>
          <w:sz w:val="24"/>
          <w:szCs w:val="24"/>
        </w:rPr>
        <w:t>（七）估价原则</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_Toc26580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10</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snapToGrid w:val="0"/>
          <w:kern w:val="2"/>
          <w:sz w:val="24"/>
          <w:szCs w:val="24"/>
        </w:rPr>
        <w:fldChar w:fldCharType="end"/>
      </w:r>
    </w:p>
    <w:p>
      <w:pPr>
        <w:pStyle w:val="20"/>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snapToGrid w:val="0"/>
          <w:kern w:val="2"/>
          <w:sz w:val="24"/>
          <w:szCs w:val="24"/>
        </w:rPr>
        <w:fldChar w:fldCharType="begin"/>
      </w:r>
      <w:r>
        <w:rPr>
          <w:rFonts w:hint="eastAsia" w:ascii="楷体_GB2312" w:hAnsi="楷体_GB2312" w:eastAsia="楷体_GB2312" w:cs="楷体_GB2312"/>
          <w:snapToGrid w:val="0"/>
          <w:kern w:val="2"/>
          <w:sz w:val="24"/>
          <w:szCs w:val="24"/>
        </w:rPr>
        <w:instrText xml:space="preserve"> HYPERLINK \l _Toc9197 </w:instrText>
      </w:r>
      <w:r>
        <w:rPr>
          <w:rFonts w:hint="eastAsia" w:ascii="楷体_GB2312" w:hAnsi="楷体_GB2312" w:eastAsia="楷体_GB2312" w:cs="楷体_GB2312"/>
          <w:snapToGrid w:val="0"/>
          <w:kern w:val="2"/>
          <w:sz w:val="24"/>
          <w:szCs w:val="24"/>
        </w:rPr>
        <w:fldChar w:fldCharType="separate"/>
      </w:r>
      <w:r>
        <w:rPr>
          <w:rFonts w:hint="eastAsia" w:ascii="楷体_GB2312" w:hAnsi="楷体_GB2312" w:eastAsia="楷体_GB2312" w:cs="楷体_GB2312"/>
          <w:bCs w:val="0"/>
          <w:snapToGrid w:val="0"/>
          <w:kern w:val="0"/>
          <w:sz w:val="24"/>
          <w:szCs w:val="24"/>
        </w:rPr>
        <w:t>（八）估价依据</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_Toc9197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11</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snapToGrid w:val="0"/>
          <w:kern w:val="2"/>
          <w:sz w:val="24"/>
          <w:szCs w:val="24"/>
        </w:rPr>
        <w:fldChar w:fldCharType="end"/>
      </w:r>
    </w:p>
    <w:p>
      <w:pPr>
        <w:pStyle w:val="20"/>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snapToGrid w:val="0"/>
          <w:kern w:val="2"/>
          <w:sz w:val="24"/>
          <w:szCs w:val="24"/>
        </w:rPr>
        <w:fldChar w:fldCharType="begin"/>
      </w:r>
      <w:r>
        <w:rPr>
          <w:rFonts w:hint="eastAsia" w:ascii="楷体_GB2312" w:hAnsi="楷体_GB2312" w:eastAsia="楷体_GB2312" w:cs="楷体_GB2312"/>
          <w:snapToGrid w:val="0"/>
          <w:kern w:val="2"/>
          <w:sz w:val="24"/>
          <w:szCs w:val="24"/>
        </w:rPr>
        <w:instrText xml:space="preserve"> HYPERLINK \l _Toc21923 </w:instrText>
      </w:r>
      <w:r>
        <w:rPr>
          <w:rFonts w:hint="eastAsia" w:ascii="楷体_GB2312" w:hAnsi="楷体_GB2312" w:eastAsia="楷体_GB2312" w:cs="楷体_GB2312"/>
          <w:snapToGrid w:val="0"/>
          <w:kern w:val="2"/>
          <w:sz w:val="24"/>
          <w:szCs w:val="24"/>
        </w:rPr>
        <w:fldChar w:fldCharType="separate"/>
      </w:r>
      <w:r>
        <w:rPr>
          <w:rFonts w:hint="eastAsia" w:ascii="楷体_GB2312" w:hAnsi="楷体_GB2312" w:eastAsia="楷体_GB2312" w:cs="楷体_GB2312"/>
          <w:snapToGrid w:val="0"/>
          <w:kern w:val="0"/>
          <w:sz w:val="24"/>
          <w:szCs w:val="24"/>
        </w:rPr>
        <w:t>（九）估价方法</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_Toc21923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13</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snapToGrid w:val="0"/>
          <w:kern w:val="2"/>
          <w:sz w:val="24"/>
          <w:szCs w:val="24"/>
        </w:rPr>
        <w:fldChar w:fldCharType="end"/>
      </w:r>
    </w:p>
    <w:p>
      <w:pPr>
        <w:pStyle w:val="20"/>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snapToGrid w:val="0"/>
          <w:kern w:val="2"/>
          <w:sz w:val="24"/>
          <w:szCs w:val="24"/>
        </w:rPr>
        <w:fldChar w:fldCharType="begin"/>
      </w:r>
      <w:r>
        <w:rPr>
          <w:rFonts w:hint="eastAsia" w:ascii="楷体_GB2312" w:hAnsi="楷体_GB2312" w:eastAsia="楷体_GB2312" w:cs="楷体_GB2312"/>
          <w:snapToGrid w:val="0"/>
          <w:kern w:val="2"/>
          <w:sz w:val="24"/>
          <w:szCs w:val="24"/>
        </w:rPr>
        <w:instrText xml:space="preserve"> HYPERLINK \l _Toc9771 </w:instrText>
      </w:r>
      <w:r>
        <w:rPr>
          <w:rFonts w:hint="eastAsia" w:ascii="楷体_GB2312" w:hAnsi="楷体_GB2312" w:eastAsia="楷体_GB2312" w:cs="楷体_GB2312"/>
          <w:snapToGrid w:val="0"/>
          <w:kern w:val="2"/>
          <w:sz w:val="24"/>
          <w:szCs w:val="24"/>
        </w:rPr>
        <w:fldChar w:fldCharType="separate"/>
      </w:r>
      <w:r>
        <w:rPr>
          <w:rFonts w:hint="eastAsia" w:ascii="楷体_GB2312" w:hAnsi="楷体_GB2312" w:eastAsia="楷体_GB2312" w:cs="楷体_GB2312"/>
          <w:bCs w:val="0"/>
          <w:snapToGrid w:val="0"/>
          <w:kern w:val="0"/>
          <w:sz w:val="24"/>
          <w:szCs w:val="24"/>
        </w:rPr>
        <w:t>（十）估价结果</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_Toc9771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14</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snapToGrid w:val="0"/>
          <w:kern w:val="2"/>
          <w:sz w:val="24"/>
          <w:szCs w:val="24"/>
        </w:rPr>
        <w:fldChar w:fldCharType="end"/>
      </w:r>
    </w:p>
    <w:p>
      <w:pPr>
        <w:pStyle w:val="20"/>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snapToGrid w:val="0"/>
          <w:kern w:val="2"/>
          <w:sz w:val="24"/>
          <w:szCs w:val="24"/>
        </w:rPr>
        <w:fldChar w:fldCharType="begin"/>
      </w:r>
      <w:r>
        <w:rPr>
          <w:rFonts w:hint="eastAsia" w:ascii="楷体_GB2312" w:hAnsi="楷体_GB2312" w:eastAsia="楷体_GB2312" w:cs="楷体_GB2312"/>
          <w:snapToGrid w:val="0"/>
          <w:kern w:val="2"/>
          <w:sz w:val="24"/>
          <w:szCs w:val="24"/>
        </w:rPr>
        <w:instrText xml:space="preserve"> HYPERLINK \l _Toc31880 </w:instrText>
      </w:r>
      <w:r>
        <w:rPr>
          <w:rFonts w:hint="eastAsia" w:ascii="楷体_GB2312" w:hAnsi="楷体_GB2312" w:eastAsia="楷体_GB2312" w:cs="楷体_GB2312"/>
          <w:snapToGrid w:val="0"/>
          <w:kern w:val="2"/>
          <w:sz w:val="24"/>
          <w:szCs w:val="24"/>
        </w:rPr>
        <w:fldChar w:fldCharType="separate"/>
      </w:r>
      <w:r>
        <w:rPr>
          <w:rFonts w:hint="eastAsia" w:ascii="楷体_GB2312" w:hAnsi="楷体_GB2312" w:eastAsia="楷体_GB2312" w:cs="楷体_GB2312"/>
          <w:bCs w:val="0"/>
          <w:snapToGrid w:val="0"/>
          <w:kern w:val="0"/>
          <w:sz w:val="24"/>
          <w:szCs w:val="24"/>
        </w:rPr>
        <w:t>（十一）注册房地产估价师</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_Toc31880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14</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snapToGrid w:val="0"/>
          <w:kern w:val="2"/>
          <w:sz w:val="24"/>
          <w:szCs w:val="24"/>
        </w:rPr>
        <w:fldChar w:fldCharType="end"/>
      </w:r>
    </w:p>
    <w:p>
      <w:pPr>
        <w:pStyle w:val="20"/>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snapToGrid w:val="0"/>
          <w:kern w:val="2"/>
          <w:sz w:val="24"/>
          <w:szCs w:val="24"/>
        </w:rPr>
        <w:fldChar w:fldCharType="begin"/>
      </w:r>
      <w:r>
        <w:rPr>
          <w:rFonts w:hint="eastAsia" w:ascii="楷体_GB2312" w:hAnsi="楷体_GB2312" w:eastAsia="楷体_GB2312" w:cs="楷体_GB2312"/>
          <w:snapToGrid w:val="0"/>
          <w:kern w:val="2"/>
          <w:sz w:val="24"/>
          <w:szCs w:val="24"/>
        </w:rPr>
        <w:instrText xml:space="preserve"> HYPERLINK \l _Toc30406 </w:instrText>
      </w:r>
      <w:r>
        <w:rPr>
          <w:rFonts w:hint="eastAsia" w:ascii="楷体_GB2312" w:hAnsi="楷体_GB2312" w:eastAsia="楷体_GB2312" w:cs="楷体_GB2312"/>
          <w:snapToGrid w:val="0"/>
          <w:kern w:val="2"/>
          <w:sz w:val="24"/>
          <w:szCs w:val="24"/>
        </w:rPr>
        <w:fldChar w:fldCharType="separate"/>
      </w:r>
      <w:r>
        <w:rPr>
          <w:rFonts w:hint="eastAsia" w:ascii="楷体_GB2312" w:hAnsi="楷体_GB2312" w:eastAsia="楷体_GB2312" w:cs="楷体_GB2312"/>
          <w:snapToGrid w:val="0"/>
          <w:kern w:val="0"/>
          <w:sz w:val="24"/>
          <w:szCs w:val="24"/>
        </w:rPr>
        <w:t>（十二）实地查勘期</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_Toc30406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15</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snapToGrid w:val="0"/>
          <w:kern w:val="2"/>
          <w:sz w:val="24"/>
          <w:szCs w:val="24"/>
        </w:rPr>
        <w:fldChar w:fldCharType="end"/>
      </w:r>
    </w:p>
    <w:p>
      <w:pPr>
        <w:pStyle w:val="20"/>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snapToGrid w:val="0"/>
          <w:kern w:val="2"/>
          <w:sz w:val="24"/>
          <w:szCs w:val="24"/>
        </w:rPr>
        <w:fldChar w:fldCharType="begin"/>
      </w:r>
      <w:r>
        <w:rPr>
          <w:rFonts w:hint="eastAsia" w:ascii="楷体_GB2312" w:hAnsi="楷体_GB2312" w:eastAsia="楷体_GB2312" w:cs="楷体_GB2312"/>
          <w:snapToGrid w:val="0"/>
          <w:kern w:val="2"/>
          <w:sz w:val="24"/>
          <w:szCs w:val="24"/>
        </w:rPr>
        <w:instrText xml:space="preserve"> HYPERLINK \l _Toc20605 </w:instrText>
      </w:r>
      <w:r>
        <w:rPr>
          <w:rFonts w:hint="eastAsia" w:ascii="楷体_GB2312" w:hAnsi="楷体_GB2312" w:eastAsia="楷体_GB2312" w:cs="楷体_GB2312"/>
          <w:snapToGrid w:val="0"/>
          <w:kern w:val="2"/>
          <w:sz w:val="24"/>
          <w:szCs w:val="24"/>
        </w:rPr>
        <w:fldChar w:fldCharType="separate"/>
      </w:r>
      <w:r>
        <w:rPr>
          <w:rFonts w:hint="eastAsia" w:ascii="楷体_GB2312" w:hAnsi="楷体_GB2312" w:eastAsia="楷体_GB2312" w:cs="楷体_GB2312"/>
          <w:snapToGrid w:val="0"/>
          <w:kern w:val="0"/>
          <w:sz w:val="24"/>
          <w:szCs w:val="24"/>
        </w:rPr>
        <w:t>（十三）估价作业期</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_Toc20605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15</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snapToGrid w:val="0"/>
          <w:kern w:val="2"/>
          <w:sz w:val="24"/>
          <w:szCs w:val="24"/>
        </w:rPr>
        <w:fldChar w:fldCharType="end"/>
      </w:r>
    </w:p>
    <w:p>
      <w:pPr>
        <w:pStyle w:val="17"/>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snapToGrid w:val="0"/>
          <w:kern w:val="2"/>
          <w:sz w:val="24"/>
          <w:szCs w:val="24"/>
        </w:rPr>
        <w:fldChar w:fldCharType="begin"/>
      </w:r>
      <w:r>
        <w:rPr>
          <w:rFonts w:hint="eastAsia" w:ascii="楷体_GB2312" w:hAnsi="楷体_GB2312" w:eastAsia="楷体_GB2312" w:cs="楷体_GB2312"/>
          <w:snapToGrid w:val="0"/>
          <w:kern w:val="2"/>
          <w:sz w:val="24"/>
          <w:szCs w:val="24"/>
        </w:rPr>
        <w:instrText xml:space="preserve"> HYPERLINK \l _Toc26808 </w:instrText>
      </w:r>
      <w:r>
        <w:rPr>
          <w:rFonts w:hint="eastAsia" w:ascii="楷体_GB2312" w:hAnsi="楷体_GB2312" w:eastAsia="楷体_GB2312" w:cs="楷体_GB2312"/>
          <w:snapToGrid w:val="0"/>
          <w:kern w:val="2"/>
          <w:sz w:val="24"/>
          <w:szCs w:val="24"/>
        </w:rPr>
        <w:fldChar w:fldCharType="separate"/>
      </w:r>
      <w:r>
        <w:rPr>
          <w:rFonts w:hint="eastAsia" w:ascii="楷体_GB2312" w:hAnsi="楷体_GB2312" w:eastAsia="楷体_GB2312" w:cs="楷体_GB2312"/>
          <w:snapToGrid w:val="0"/>
          <w:kern w:val="0"/>
          <w:sz w:val="24"/>
          <w:szCs w:val="24"/>
        </w:rPr>
        <w:t>附     件</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_Toc26808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16</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snapToGrid w:val="0"/>
          <w:kern w:val="2"/>
          <w:sz w:val="24"/>
          <w:szCs w:val="24"/>
        </w:rPr>
        <w:fldChar w:fldCharType="end"/>
      </w:r>
    </w:p>
    <w:p>
      <w:pPr>
        <w:pStyle w:val="20"/>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snapToGrid w:val="0"/>
          <w:kern w:val="2"/>
          <w:sz w:val="24"/>
          <w:szCs w:val="24"/>
        </w:rPr>
        <w:fldChar w:fldCharType="begin"/>
      </w:r>
      <w:r>
        <w:rPr>
          <w:rFonts w:hint="eastAsia" w:ascii="楷体_GB2312" w:hAnsi="楷体_GB2312" w:eastAsia="楷体_GB2312" w:cs="楷体_GB2312"/>
          <w:snapToGrid w:val="0"/>
          <w:kern w:val="2"/>
          <w:sz w:val="24"/>
          <w:szCs w:val="24"/>
        </w:rPr>
        <w:instrText xml:space="preserve"> HYPERLINK \l _Toc29654 </w:instrText>
      </w:r>
      <w:r>
        <w:rPr>
          <w:rFonts w:hint="eastAsia" w:ascii="楷体_GB2312" w:hAnsi="楷体_GB2312" w:eastAsia="楷体_GB2312" w:cs="楷体_GB2312"/>
          <w:snapToGrid w:val="0"/>
          <w:kern w:val="2"/>
          <w:sz w:val="24"/>
          <w:szCs w:val="24"/>
        </w:rPr>
        <w:fldChar w:fldCharType="separate"/>
      </w:r>
      <w:r>
        <w:rPr>
          <w:rFonts w:hint="eastAsia" w:ascii="楷体_GB2312" w:hAnsi="楷体_GB2312" w:eastAsia="楷体_GB2312" w:cs="楷体_GB2312"/>
          <w:snapToGrid w:val="0"/>
          <w:kern w:val="0"/>
          <w:sz w:val="24"/>
          <w:szCs w:val="24"/>
        </w:rPr>
        <w:t>（一）</w:t>
      </w:r>
      <w:r>
        <w:rPr>
          <w:rFonts w:hint="eastAsia" w:ascii="楷体_GB2312" w:hAnsi="楷体_GB2312" w:eastAsia="楷体_GB2312" w:cs="楷体_GB2312"/>
          <w:snapToGrid w:val="0"/>
          <w:kern w:val="0"/>
          <w:sz w:val="24"/>
          <w:szCs w:val="24"/>
          <w:lang w:eastAsia="zh-CN"/>
        </w:rPr>
        <w:t>南昌市西湖区人民法院司法网络拍卖小组司法技术委托书</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_Toc29654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16</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snapToGrid w:val="0"/>
          <w:kern w:val="2"/>
          <w:sz w:val="24"/>
          <w:szCs w:val="24"/>
        </w:rPr>
        <w:fldChar w:fldCharType="end"/>
      </w:r>
    </w:p>
    <w:p>
      <w:pPr>
        <w:pStyle w:val="20"/>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snapToGrid w:val="0"/>
          <w:kern w:val="2"/>
          <w:sz w:val="24"/>
          <w:szCs w:val="24"/>
        </w:rPr>
        <w:fldChar w:fldCharType="begin"/>
      </w:r>
      <w:r>
        <w:rPr>
          <w:rFonts w:hint="eastAsia" w:ascii="楷体_GB2312" w:hAnsi="楷体_GB2312" w:eastAsia="楷体_GB2312" w:cs="楷体_GB2312"/>
          <w:snapToGrid w:val="0"/>
          <w:kern w:val="2"/>
          <w:sz w:val="24"/>
          <w:szCs w:val="24"/>
        </w:rPr>
        <w:instrText xml:space="preserve"> HYPERLINK \l _Toc19263 </w:instrText>
      </w:r>
      <w:r>
        <w:rPr>
          <w:rFonts w:hint="eastAsia" w:ascii="楷体_GB2312" w:hAnsi="楷体_GB2312" w:eastAsia="楷体_GB2312" w:cs="楷体_GB2312"/>
          <w:snapToGrid w:val="0"/>
          <w:kern w:val="2"/>
          <w:sz w:val="24"/>
          <w:szCs w:val="24"/>
        </w:rPr>
        <w:fldChar w:fldCharType="separate"/>
      </w:r>
      <w:r>
        <w:rPr>
          <w:rFonts w:hint="eastAsia" w:ascii="楷体_GB2312" w:hAnsi="楷体_GB2312" w:eastAsia="楷体_GB2312" w:cs="楷体_GB2312"/>
          <w:snapToGrid w:val="0"/>
          <w:kern w:val="0"/>
          <w:sz w:val="24"/>
          <w:szCs w:val="24"/>
        </w:rPr>
        <w:t>（二）估价对象的地理位置示意图</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_Toc19263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16</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snapToGrid w:val="0"/>
          <w:kern w:val="2"/>
          <w:sz w:val="24"/>
          <w:szCs w:val="24"/>
        </w:rPr>
        <w:fldChar w:fldCharType="end"/>
      </w:r>
    </w:p>
    <w:p>
      <w:pPr>
        <w:pStyle w:val="20"/>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snapToGrid w:val="0"/>
          <w:kern w:val="2"/>
          <w:sz w:val="24"/>
          <w:szCs w:val="24"/>
        </w:rPr>
        <w:fldChar w:fldCharType="begin"/>
      </w:r>
      <w:r>
        <w:rPr>
          <w:rFonts w:hint="eastAsia" w:ascii="楷体_GB2312" w:hAnsi="楷体_GB2312" w:eastAsia="楷体_GB2312" w:cs="楷体_GB2312"/>
          <w:snapToGrid w:val="0"/>
          <w:kern w:val="2"/>
          <w:sz w:val="24"/>
          <w:szCs w:val="24"/>
        </w:rPr>
        <w:instrText xml:space="preserve"> HYPERLINK \l _Toc15917 </w:instrText>
      </w:r>
      <w:r>
        <w:rPr>
          <w:rFonts w:hint="eastAsia" w:ascii="楷体_GB2312" w:hAnsi="楷体_GB2312" w:eastAsia="楷体_GB2312" w:cs="楷体_GB2312"/>
          <w:snapToGrid w:val="0"/>
          <w:kern w:val="2"/>
          <w:sz w:val="24"/>
          <w:szCs w:val="24"/>
        </w:rPr>
        <w:fldChar w:fldCharType="separate"/>
      </w:r>
      <w:r>
        <w:rPr>
          <w:rFonts w:hint="eastAsia" w:ascii="楷体_GB2312" w:hAnsi="楷体_GB2312" w:eastAsia="楷体_GB2312" w:cs="楷体_GB2312"/>
          <w:snapToGrid w:val="0"/>
          <w:kern w:val="0"/>
          <w:sz w:val="24"/>
          <w:szCs w:val="24"/>
        </w:rPr>
        <w:t>（三）估价对象外、内部状况照片</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_Toc15917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16</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snapToGrid w:val="0"/>
          <w:kern w:val="2"/>
          <w:sz w:val="24"/>
          <w:szCs w:val="24"/>
        </w:rPr>
        <w:fldChar w:fldCharType="end"/>
      </w:r>
    </w:p>
    <w:p>
      <w:pPr>
        <w:pStyle w:val="20"/>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snapToGrid w:val="0"/>
          <w:kern w:val="2"/>
          <w:sz w:val="24"/>
          <w:szCs w:val="24"/>
        </w:rPr>
        <w:fldChar w:fldCharType="begin"/>
      </w:r>
      <w:r>
        <w:rPr>
          <w:rFonts w:hint="eastAsia" w:ascii="楷体_GB2312" w:hAnsi="楷体_GB2312" w:eastAsia="楷体_GB2312" w:cs="楷体_GB2312"/>
          <w:snapToGrid w:val="0"/>
          <w:kern w:val="2"/>
          <w:sz w:val="24"/>
          <w:szCs w:val="24"/>
        </w:rPr>
        <w:instrText xml:space="preserve"> HYPERLINK \l _Toc3988 </w:instrText>
      </w:r>
      <w:r>
        <w:rPr>
          <w:rFonts w:hint="eastAsia" w:ascii="楷体_GB2312" w:hAnsi="楷体_GB2312" w:eastAsia="楷体_GB2312" w:cs="楷体_GB2312"/>
          <w:snapToGrid w:val="0"/>
          <w:kern w:val="2"/>
          <w:sz w:val="24"/>
          <w:szCs w:val="24"/>
        </w:rPr>
        <w:fldChar w:fldCharType="separate"/>
      </w:r>
      <w:r>
        <w:rPr>
          <w:rFonts w:hint="eastAsia" w:ascii="楷体_GB2312" w:hAnsi="楷体_GB2312" w:eastAsia="楷体_GB2312" w:cs="楷体_GB2312"/>
          <w:snapToGrid w:val="0"/>
          <w:kern w:val="0"/>
          <w:sz w:val="24"/>
          <w:szCs w:val="24"/>
        </w:rPr>
        <w:t>（四）估价对象权属证明复印件</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_Toc3988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16</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snapToGrid w:val="0"/>
          <w:kern w:val="2"/>
          <w:sz w:val="24"/>
          <w:szCs w:val="24"/>
        </w:rPr>
        <w:fldChar w:fldCharType="end"/>
      </w:r>
    </w:p>
    <w:p>
      <w:pPr>
        <w:pStyle w:val="20"/>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snapToGrid w:val="0"/>
          <w:kern w:val="2"/>
          <w:sz w:val="24"/>
          <w:szCs w:val="24"/>
        </w:rPr>
        <w:fldChar w:fldCharType="begin"/>
      </w:r>
      <w:r>
        <w:rPr>
          <w:rFonts w:hint="eastAsia" w:ascii="楷体_GB2312" w:hAnsi="楷体_GB2312" w:eastAsia="楷体_GB2312" w:cs="楷体_GB2312"/>
          <w:snapToGrid w:val="0"/>
          <w:kern w:val="2"/>
          <w:sz w:val="24"/>
          <w:szCs w:val="24"/>
        </w:rPr>
        <w:instrText xml:space="preserve"> HYPERLINK \l _Toc7094 </w:instrText>
      </w:r>
      <w:r>
        <w:rPr>
          <w:rFonts w:hint="eastAsia" w:ascii="楷体_GB2312" w:hAnsi="楷体_GB2312" w:eastAsia="楷体_GB2312" w:cs="楷体_GB2312"/>
          <w:snapToGrid w:val="0"/>
          <w:kern w:val="2"/>
          <w:sz w:val="24"/>
          <w:szCs w:val="24"/>
        </w:rPr>
        <w:fldChar w:fldCharType="separate"/>
      </w:r>
      <w:r>
        <w:rPr>
          <w:rFonts w:hint="eastAsia" w:ascii="楷体_GB2312" w:hAnsi="楷体_GB2312" w:eastAsia="楷体_GB2312" w:cs="楷体_GB2312"/>
          <w:snapToGrid w:val="0"/>
          <w:kern w:val="0"/>
          <w:sz w:val="24"/>
          <w:szCs w:val="24"/>
        </w:rPr>
        <w:t>（五）房地产估价机构营业执照复印件</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_Toc7094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16</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snapToGrid w:val="0"/>
          <w:kern w:val="2"/>
          <w:sz w:val="24"/>
          <w:szCs w:val="24"/>
        </w:rPr>
        <w:fldChar w:fldCharType="end"/>
      </w:r>
    </w:p>
    <w:p>
      <w:pPr>
        <w:pStyle w:val="20"/>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snapToGrid w:val="0"/>
          <w:kern w:val="2"/>
          <w:sz w:val="24"/>
          <w:szCs w:val="24"/>
        </w:rPr>
        <w:fldChar w:fldCharType="begin"/>
      </w:r>
      <w:r>
        <w:rPr>
          <w:rFonts w:hint="eastAsia" w:ascii="楷体_GB2312" w:hAnsi="楷体_GB2312" w:eastAsia="楷体_GB2312" w:cs="楷体_GB2312"/>
          <w:snapToGrid w:val="0"/>
          <w:kern w:val="2"/>
          <w:sz w:val="24"/>
          <w:szCs w:val="24"/>
        </w:rPr>
        <w:instrText xml:space="preserve"> HYPERLINK \l _Toc14716 </w:instrText>
      </w:r>
      <w:r>
        <w:rPr>
          <w:rFonts w:hint="eastAsia" w:ascii="楷体_GB2312" w:hAnsi="楷体_GB2312" w:eastAsia="楷体_GB2312" w:cs="楷体_GB2312"/>
          <w:snapToGrid w:val="0"/>
          <w:kern w:val="2"/>
          <w:sz w:val="24"/>
          <w:szCs w:val="24"/>
        </w:rPr>
        <w:fldChar w:fldCharType="separate"/>
      </w:r>
      <w:r>
        <w:rPr>
          <w:rFonts w:hint="eastAsia" w:ascii="楷体_GB2312" w:hAnsi="楷体_GB2312" w:eastAsia="楷体_GB2312" w:cs="楷体_GB2312"/>
          <w:snapToGrid w:val="0"/>
          <w:kern w:val="0"/>
          <w:sz w:val="24"/>
          <w:szCs w:val="24"/>
        </w:rPr>
        <w:t>（六）房地产估价机构资质证书复印件</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_Toc14716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16</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snapToGrid w:val="0"/>
          <w:kern w:val="2"/>
          <w:sz w:val="24"/>
          <w:szCs w:val="24"/>
        </w:rPr>
        <w:fldChar w:fldCharType="end"/>
      </w:r>
    </w:p>
    <w:p>
      <w:pPr>
        <w:pStyle w:val="20"/>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snapToGrid w:val="0"/>
          <w:kern w:val="2"/>
          <w:sz w:val="24"/>
          <w:szCs w:val="24"/>
        </w:rPr>
        <w:fldChar w:fldCharType="begin"/>
      </w:r>
      <w:r>
        <w:rPr>
          <w:rFonts w:hint="eastAsia" w:ascii="楷体_GB2312" w:hAnsi="楷体_GB2312" w:eastAsia="楷体_GB2312" w:cs="楷体_GB2312"/>
          <w:snapToGrid w:val="0"/>
          <w:kern w:val="2"/>
          <w:sz w:val="24"/>
          <w:szCs w:val="24"/>
        </w:rPr>
        <w:instrText xml:space="preserve"> HYPERLINK \l _Toc4120 </w:instrText>
      </w:r>
      <w:r>
        <w:rPr>
          <w:rFonts w:hint="eastAsia" w:ascii="楷体_GB2312" w:hAnsi="楷体_GB2312" w:eastAsia="楷体_GB2312" w:cs="楷体_GB2312"/>
          <w:snapToGrid w:val="0"/>
          <w:kern w:val="2"/>
          <w:sz w:val="24"/>
          <w:szCs w:val="24"/>
        </w:rPr>
        <w:fldChar w:fldCharType="separate"/>
      </w:r>
      <w:r>
        <w:rPr>
          <w:rFonts w:hint="eastAsia" w:ascii="楷体_GB2312" w:hAnsi="楷体_GB2312" w:eastAsia="楷体_GB2312" w:cs="楷体_GB2312"/>
          <w:snapToGrid w:val="0"/>
          <w:kern w:val="0"/>
          <w:sz w:val="24"/>
          <w:szCs w:val="24"/>
        </w:rPr>
        <w:t>（七）房地产估价师注册证书复印件</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_Toc4120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16</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snapToGrid w:val="0"/>
          <w:kern w:val="2"/>
          <w:sz w:val="24"/>
          <w:szCs w:val="24"/>
        </w:rPr>
        <w:fldChar w:fldCharType="end"/>
      </w:r>
    </w:p>
    <w:p>
      <w:pPr>
        <w:pStyle w:val="20"/>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ascii="楷体_GB2312" w:eastAsia="楷体_GB2312"/>
          <w:snapToGrid w:val="0"/>
          <w:sz w:val="24"/>
          <w:szCs w:val="24"/>
        </w:rPr>
        <w:sectPr>
          <w:pgSz w:w="11907" w:h="16840"/>
          <w:pgMar w:top="1418" w:right="1418" w:bottom="1418" w:left="1418" w:header="851" w:footer="794" w:gutter="0"/>
          <w:cols w:space="720" w:num="1"/>
          <w:docGrid w:linePitch="479" w:charSpace="11986"/>
        </w:sectPr>
      </w:pPr>
      <w:r>
        <w:rPr>
          <w:rFonts w:hint="eastAsia" w:ascii="楷体_GB2312" w:hAnsi="楷体_GB2312" w:eastAsia="楷体_GB2312" w:cs="楷体_GB2312"/>
          <w:snapToGrid w:val="0"/>
          <w:kern w:val="2"/>
          <w:sz w:val="24"/>
          <w:szCs w:val="24"/>
        </w:rPr>
        <w:fldChar w:fldCharType="end"/>
      </w:r>
    </w:p>
    <w:p>
      <w:pPr>
        <w:pStyle w:val="2"/>
        <w:tabs>
          <w:tab w:val="left" w:pos="1275"/>
          <w:tab w:val="center" w:pos="4672"/>
        </w:tabs>
        <w:adjustRightInd w:val="0"/>
        <w:snapToGrid w:val="0"/>
        <w:spacing w:beforeLines="50" w:afterLines="50" w:line="500" w:lineRule="exact"/>
        <w:jc w:val="center"/>
        <w:rPr>
          <w:rFonts w:ascii="楷体_GB2312" w:hAnsi="宋体" w:eastAsia="楷体_GB2312"/>
          <w:snapToGrid w:val="0"/>
          <w:kern w:val="0"/>
          <w:sz w:val="36"/>
          <w:szCs w:val="36"/>
        </w:rPr>
      </w:pPr>
      <w:bookmarkStart w:id="4" w:name="_Toc326590639"/>
      <w:bookmarkStart w:id="5" w:name="_Toc9908"/>
      <w:r>
        <w:rPr>
          <w:rFonts w:hint="eastAsia" w:ascii="楷体_GB2312" w:hAnsi="宋体" w:eastAsia="楷体_GB2312"/>
          <w:snapToGrid w:val="0"/>
          <w:kern w:val="0"/>
          <w:sz w:val="36"/>
          <w:szCs w:val="36"/>
        </w:rPr>
        <w:t>估价师声明</w:t>
      </w:r>
      <w:bookmarkEnd w:id="4"/>
      <w:bookmarkEnd w:id="5"/>
    </w:p>
    <w:p>
      <w:pPr>
        <w:spacing w:line="500" w:lineRule="exact"/>
        <w:ind w:firstLine="560" w:firstLineChars="200"/>
        <w:rPr>
          <w:rFonts w:ascii="楷体_GB2312" w:eastAsia="楷体_GB2312"/>
          <w:sz w:val="28"/>
          <w:szCs w:val="24"/>
        </w:rPr>
      </w:pPr>
      <w:r>
        <w:rPr>
          <w:rFonts w:hint="eastAsia" w:ascii="楷体_GB2312" w:eastAsia="楷体_GB2312"/>
          <w:sz w:val="28"/>
          <w:szCs w:val="24"/>
        </w:rPr>
        <w:t>我们郑重声明：</w:t>
      </w:r>
    </w:p>
    <w:p>
      <w:pPr>
        <w:spacing w:line="500" w:lineRule="exact"/>
        <w:ind w:firstLine="560" w:firstLineChars="200"/>
        <w:rPr>
          <w:rFonts w:ascii="楷体_GB2312" w:eastAsia="楷体_GB2312"/>
          <w:sz w:val="28"/>
          <w:szCs w:val="24"/>
        </w:rPr>
      </w:pPr>
      <w:r>
        <w:rPr>
          <w:rFonts w:hint="eastAsia" w:ascii="楷体_GB2312" w:eastAsia="楷体_GB2312"/>
          <w:sz w:val="28"/>
          <w:szCs w:val="24"/>
        </w:rPr>
        <w:t xml:space="preserve">1、我们在本估价报告中陈述的事实是真实的和准确的。 </w:t>
      </w:r>
    </w:p>
    <w:p>
      <w:pPr>
        <w:spacing w:line="500" w:lineRule="exact"/>
        <w:ind w:firstLine="560" w:firstLineChars="200"/>
        <w:rPr>
          <w:rFonts w:ascii="楷体_GB2312" w:eastAsia="楷体_GB2312"/>
          <w:sz w:val="28"/>
          <w:szCs w:val="24"/>
        </w:rPr>
      </w:pPr>
      <w:r>
        <w:rPr>
          <w:rFonts w:hint="eastAsia" w:ascii="楷体_GB2312" w:eastAsia="楷体_GB2312"/>
          <w:sz w:val="28"/>
          <w:szCs w:val="24"/>
        </w:rPr>
        <w:t>2、本估价报告中的分析、意见和结论是我们自己独立、客观、公正的专业分析、意见和结论，但受到本估价报告中已说明的假设和限制条件的限制。</w:t>
      </w:r>
    </w:p>
    <w:p>
      <w:pPr>
        <w:spacing w:line="500" w:lineRule="exact"/>
        <w:ind w:firstLine="560" w:firstLineChars="200"/>
        <w:rPr>
          <w:rFonts w:ascii="楷体_GB2312" w:eastAsia="楷体_GB2312"/>
          <w:sz w:val="28"/>
          <w:szCs w:val="24"/>
        </w:rPr>
      </w:pPr>
      <w:r>
        <w:rPr>
          <w:rFonts w:hint="eastAsia" w:ascii="楷体_GB2312" w:eastAsia="楷体_GB2312"/>
          <w:sz w:val="28"/>
          <w:szCs w:val="24"/>
        </w:rPr>
        <w:t>3、我们与本估价报告中的估价对象没有利害关系，也与有关当事人没有个人利害关系或偏见。</w:t>
      </w:r>
    </w:p>
    <w:p>
      <w:pPr>
        <w:spacing w:line="500" w:lineRule="exact"/>
        <w:ind w:firstLine="560" w:firstLineChars="200"/>
        <w:rPr>
          <w:rFonts w:ascii="楷体_GB2312" w:eastAsia="楷体_GB2312"/>
          <w:sz w:val="28"/>
          <w:szCs w:val="24"/>
        </w:rPr>
      </w:pPr>
      <w:r>
        <w:rPr>
          <w:rFonts w:hint="eastAsia" w:ascii="楷体_GB2312" w:eastAsia="楷体_GB2312"/>
          <w:sz w:val="28"/>
          <w:szCs w:val="24"/>
        </w:rPr>
        <w:t>4、我们依照中华人民共和国国家标准《房地产估价规范》【</w:t>
      </w:r>
      <w:r>
        <w:rPr>
          <w:rFonts w:ascii="楷体_GB2312" w:eastAsia="楷体_GB2312"/>
          <w:sz w:val="28"/>
          <w:szCs w:val="24"/>
        </w:rPr>
        <w:t>GB/T 50291-2015</w:t>
      </w:r>
      <w:r>
        <w:rPr>
          <w:rFonts w:hint="eastAsia" w:ascii="楷体_GB2312" w:eastAsia="楷体_GB2312"/>
          <w:sz w:val="28"/>
          <w:szCs w:val="24"/>
        </w:rPr>
        <w:t>】、《房地产估价基本术语标准》【</w:t>
      </w:r>
      <w:r>
        <w:rPr>
          <w:rFonts w:ascii="楷体_GB2312" w:eastAsia="楷体_GB2312"/>
          <w:sz w:val="28"/>
          <w:szCs w:val="24"/>
        </w:rPr>
        <w:t>GB/T50899-2013</w:t>
      </w:r>
      <w:r>
        <w:rPr>
          <w:rFonts w:hint="eastAsia" w:ascii="楷体_GB2312" w:eastAsia="楷体_GB2312"/>
          <w:sz w:val="28"/>
          <w:szCs w:val="24"/>
        </w:rPr>
        <w:t>】进行分析，形成意见和结论，撰写本估价报告。</w:t>
      </w:r>
    </w:p>
    <w:p>
      <w:pPr>
        <w:spacing w:line="500" w:lineRule="exact"/>
        <w:ind w:firstLine="560" w:firstLineChars="200"/>
        <w:rPr>
          <w:rFonts w:ascii="楷体_GB2312" w:eastAsia="楷体_GB2312"/>
          <w:sz w:val="28"/>
          <w:szCs w:val="24"/>
        </w:rPr>
      </w:pPr>
      <w:r>
        <w:rPr>
          <w:rFonts w:hint="eastAsia" w:ascii="楷体_GB2312" w:eastAsia="楷体_GB2312"/>
          <w:sz w:val="28"/>
          <w:szCs w:val="24"/>
        </w:rPr>
        <w:t>5、注册房地产估价师已于</w:t>
      </w:r>
      <w:r>
        <w:rPr>
          <w:rFonts w:hint="eastAsia" w:ascii="楷体_GB2312" w:eastAsia="楷体_GB2312"/>
          <w:sz w:val="28"/>
          <w:szCs w:val="24"/>
          <w:lang w:eastAsia="zh-CN"/>
        </w:rPr>
        <w:t>2020年9月3日</w:t>
      </w:r>
      <w:r>
        <w:rPr>
          <w:rFonts w:hint="eastAsia" w:ascii="楷体_GB2312" w:eastAsia="楷体_GB2312"/>
          <w:sz w:val="28"/>
          <w:szCs w:val="24"/>
        </w:rPr>
        <w:t>对估价对象进行了必要的实地勘察，并对该勘察过程的客观性、真实性、公正性负责。因受专业限制，我们无法承担对估价对象的隐蔽工程、建筑结构以及附于建筑的各种设备设施的内在质量进行检测调查的责任。</w:t>
      </w:r>
      <w:r>
        <w:rPr>
          <w:rFonts w:hint="eastAsia" w:ascii="楷体_GB2312" w:eastAsia="楷体_GB2312"/>
          <w:color w:val="000000" w:themeColor="text1"/>
          <w:sz w:val="28"/>
          <w:szCs w:val="24"/>
        </w:rPr>
        <w:t>因</w:t>
      </w:r>
      <w:r>
        <w:rPr>
          <w:rFonts w:hint="eastAsia" w:ascii="楷体_GB2312" w:eastAsia="楷体_GB2312"/>
          <w:sz w:val="28"/>
          <w:szCs w:val="24"/>
        </w:rPr>
        <w:t>此我们对估价对象的实地勘察仅限所处楼栋外观及公共区域</w:t>
      </w:r>
      <w:r>
        <w:rPr>
          <w:rFonts w:hint="eastAsia" w:ascii="楷体_GB2312" w:eastAsia="楷体_GB2312"/>
          <w:sz w:val="28"/>
          <w:szCs w:val="24"/>
          <w:lang w:eastAsia="zh-CN"/>
        </w:rPr>
        <w:t>、估价对象使用现状</w:t>
      </w:r>
      <w:r>
        <w:rPr>
          <w:rFonts w:hint="eastAsia" w:ascii="楷体_GB2312" w:eastAsia="楷体_GB2312"/>
          <w:sz w:val="28"/>
          <w:szCs w:val="24"/>
        </w:rPr>
        <w:t>的一般性查看。</w:t>
      </w:r>
    </w:p>
    <w:p>
      <w:pPr>
        <w:spacing w:line="500" w:lineRule="exact"/>
        <w:ind w:firstLine="560" w:firstLineChars="200"/>
        <w:rPr>
          <w:rFonts w:ascii="楷体_GB2312" w:eastAsia="楷体_GB2312"/>
          <w:sz w:val="28"/>
          <w:szCs w:val="24"/>
        </w:rPr>
      </w:pPr>
      <w:r>
        <w:rPr>
          <w:rFonts w:hint="eastAsia" w:ascii="楷体_GB2312" w:eastAsia="楷体_GB2312"/>
          <w:sz w:val="28"/>
          <w:szCs w:val="24"/>
        </w:rPr>
        <w:t>6、本估价结果是建立在公开市场价值标准的基础上，很大程度上依赖于价值时点的政策法规以及房地产市场状况等因素，若上述因素或其它重要的估价条件发生重大变化，且对估价结果产生明显影响时，应对估价结果进行相应调整或重新估价。</w:t>
      </w:r>
    </w:p>
    <w:p>
      <w:pPr>
        <w:spacing w:line="500" w:lineRule="exact"/>
        <w:ind w:firstLine="560" w:firstLineChars="200"/>
        <w:rPr>
          <w:rFonts w:ascii="楷体_GB2312" w:eastAsia="楷体_GB2312"/>
          <w:sz w:val="28"/>
          <w:szCs w:val="24"/>
        </w:rPr>
      </w:pPr>
      <w:r>
        <w:rPr>
          <w:rFonts w:hint="eastAsia" w:ascii="楷体_GB2312" w:eastAsia="楷体_GB2312"/>
          <w:sz w:val="28"/>
          <w:szCs w:val="24"/>
        </w:rPr>
        <w:t>7、本报告中，除使用政府部门、行业公布的价格资料和公开市场的价格信息外，主要依据估价委托方提供的相关材料，包括但不限于其提供的权属证件等复印件，我们未得到授权也无法定资格核查审验估价委托方提供的资料之真伪，估价委托方应对其提供的全部资料的真实性、合法性、完整性及其可能引起的后果负责。</w:t>
      </w:r>
    </w:p>
    <w:p>
      <w:pPr>
        <w:spacing w:line="500" w:lineRule="exact"/>
        <w:ind w:firstLine="560" w:firstLineChars="200"/>
        <w:rPr>
          <w:rFonts w:ascii="楷体_GB2312" w:eastAsia="楷体_GB2312"/>
          <w:sz w:val="28"/>
          <w:szCs w:val="24"/>
        </w:rPr>
      </w:pPr>
      <w:r>
        <w:rPr>
          <w:rFonts w:hint="eastAsia" w:ascii="楷体_GB2312" w:eastAsia="楷体_GB2312"/>
          <w:sz w:val="28"/>
          <w:szCs w:val="24"/>
        </w:rPr>
        <w:t>8、没有其他行业专业人员对本估价报告提供了重要专业帮助。</w:t>
      </w:r>
    </w:p>
    <w:p>
      <w:pPr>
        <w:spacing w:line="500" w:lineRule="exact"/>
        <w:ind w:firstLine="560" w:firstLineChars="200"/>
        <w:rPr>
          <w:rFonts w:hint="eastAsia" w:ascii="楷体_GB2312" w:eastAsia="楷体_GB2312"/>
          <w:sz w:val="28"/>
          <w:szCs w:val="24"/>
        </w:rPr>
      </w:pPr>
    </w:p>
    <w:p>
      <w:pPr>
        <w:spacing w:line="500" w:lineRule="exact"/>
        <w:ind w:firstLine="560" w:firstLineChars="200"/>
        <w:rPr>
          <w:rFonts w:ascii="楷体_GB2312" w:eastAsia="楷体_GB2312"/>
          <w:sz w:val="28"/>
          <w:szCs w:val="24"/>
        </w:rPr>
      </w:pPr>
      <w:r>
        <w:rPr>
          <w:rFonts w:hint="eastAsia" w:ascii="楷体_GB2312" w:eastAsia="楷体_GB2312"/>
          <w:sz w:val="28"/>
          <w:szCs w:val="24"/>
        </w:rPr>
        <w:t>中国注册房地产估价师：</w:t>
      </w:r>
    </w:p>
    <w:tbl>
      <w:tblPr>
        <w:tblStyle w:val="23"/>
        <w:tblW w:w="919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16"/>
        <w:gridCol w:w="2146"/>
        <w:gridCol w:w="2465"/>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atLeast"/>
          <w:jc w:val="center"/>
        </w:trPr>
        <w:tc>
          <w:tcPr>
            <w:tcW w:w="2116" w:type="dxa"/>
            <w:vAlign w:val="center"/>
          </w:tcPr>
          <w:p>
            <w:pPr>
              <w:spacing w:line="500" w:lineRule="exact"/>
              <w:jc w:val="center"/>
              <w:rPr>
                <w:rFonts w:ascii="楷体_GB2312" w:eastAsia="楷体_GB2312"/>
                <w:sz w:val="28"/>
                <w:szCs w:val="24"/>
              </w:rPr>
            </w:pPr>
            <w:r>
              <w:rPr>
                <w:rFonts w:hint="eastAsia" w:ascii="楷体_GB2312" w:eastAsia="楷体_GB2312"/>
                <w:sz w:val="28"/>
                <w:szCs w:val="24"/>
              </w:rPr>
              <w:t>姓  名</w:t>
            </w:r>
          </w:p>
        </w:tc>
        <w:tc>
          <w:tcPr>
            <w:tcW w:w="2146" w:type="dxa"/>
            <w:vAlign w:val="center"/>
          </w:tcPr>
          <w:p>
            <w:pPr>
              <w:spacing w:line="500" w:lineRule="exact"/>
              <w:jc w:val="center"/>
              <w:rPr>
                <w:rFonts w:ascii="楷体_GB2312" w:eastAsia="楷体_GB2312"/>
                <w:sz w:val="28"/>
                <w:szCs w:val="24"/>
              </w:rPr>
            </w:pPr>
            <w:r>
              <w:rPr>
                <w:rFonts w:hint="eastAsia" w:ascii="楷体_GB2312" w:eastAsia="楷体_GB2312"/>
                <w:sz w:val="28"/>
                <w:szCs w:val="24"/>
              </w:rPr>
              <w:t>注册号</w:t>
            </w:r>
          </w:p>
        </w:tc>
        <w:tc>
          <w:tcPr>
            <w:tcW w:w="2465" w:type="dxa"/>
            <w:vAlign w:val="center"/>
          </w:tcPr>
          <w:p>
            <w:pPr>
              <w:spacing w:line="500" w:lineRule="exact"/>
              <w:jc w:val="center"/>
              <w:rPr>
                <w:rFonts w:ascii="楷体_GB2312" w:eastAsia="楷体_GB2312"/>
                <w:sz w:val="28"/>
                <w:szCs w:val="24"/>
              </w:rPr>
            </w:pPr>
            <w:r>
              <w:rPr>
                <w:rFonts w:hint="eastAsia" w:ascii="楷体_GB2312" w:eastAsia="楷体_GB2312"/>
                <w:sz w:val="28"/>
                <w:szCs w:val="24"/>
              </w:rPr>
              <w:t>签名</w:t>
            </w:r>
          </w:p>
        </w:tc>
        <w:tc>
          <w:tcPr>
            <w:tcW w:w="2465" w:type="dxa"/>
            <w:vAlign w:val="center"/>
          </w:tcPr>
          <w:p>
            <w:pPr>
              <w:spacing w:line="500" w:lineRule="exact"/>
              <w:jc w:val="center"/>
              <w:rPr>
                <w:rFonts w:ascii="楷体_GB2312" w:eastAsia="楷体_GB2312"/>
                <w:sz w:val="28"/>
                <w:szCs w:val="24"/>
              </w:rPr>
            </w:pPr>
            <w:r>
              <w:rPr>
                <w:rFonts w:hint="eastAsia" w:ascii="楷体_GB2312" w:eastAsia="楷体_GB2312"/>
                <w:sz w:val="28"/>
                <w:szCs w:val="24"/>
              </w:rPr>
              <w:t>签名日期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atLeast"/>
          <w:jc w:val="center"/>
        </w:trPr>
        <w:tc>
          <w:tcPr>
            <w:tcW w:w="2116" w:type="dxa"/>
            <w:vAlign w:val="center"/>
          </w:tcPr>
          <w:p>
            <w:pPr>
              <w:spacing w:line="500" w:lineRule="exact"/>
              <w:jc w:val="center"/>
              <w:rPr>
                <w:rFonts w:ascii="楷体_GB2312" w:eastAsia="楷体_GB2312"/>
                <w:sz w:val="28"/>
                <w:szCs w:val="24"/>
              </w:rPr>
            </w:pPr>
            <w:r>
              <w:rPr>
                <w:rFonts w:hint="eastAsia" w:ascii="楷体_GB2312" w:eastAsia="楷体_GB2312"/>
                <w:sz w:val="28"/>
                <w:szCs w:val="24"/>
              </w:rPr>
              <w:t>高  莹</w:t>
            </w:r>
          </w:p>
        </w:tc>
        <w:tc>
          <w:tcPr>
            <w:tcW w:w="2146" w:type="dxa"/>
            <w:vAlign w:val="center"/>
          </w:tcPr>
          <w:p>
            <w:pPr>
              <w:spacing w:line="500" w:lineRule="exact"/>
              <w:jc w:val="center"/>
              <w:rPr>
                <w:rFonts w:ascii="楷体_GB2312" w:eastAsia="楷体_GB2312"/>
                <w:sz w:val="28"/>
                <w:szCs w:val="24"/>
              </w:rPr>
            </w:pPr>
            <w:r>
              <w:rPr>
                <w:rFonts w:hint="eastAsia" w:ascii="楷体_GB2312" w:eastAsia="楷体_GB2312"/>
                <w:sz w:val="28"/>
                <w:szCs w:val="24"/>
              </w:rPr>
              <w:t>3620160033</w:t>
            </w:r>
          </w:p>
        </w:tc>
        <w:tc>
          <w:tcPr>
            <w:tcW w:w="2465" w:type="dxa"/>
            <w:vAlign w:val="center"/>
          </w:tcPr>
          <w:p>
            <w:pPr>
              <w:spacing w:line="500" w:lineRule="exact"/>
              <w:jc w:val="center"/>
              <w:rPr>
                <w:rFonts w:ascii="楷体_GB2312" w:eastAsia="楷体_GB2312"/>
                <w:sz w:val="28"/>
                <w:szCs w:val="24"/>
              </w:rPr>
            </w:pPr>
          </w:p>
        </w:tc>
        <w:tc>
          <w:tcPr>
            <w:tcW w:w="2465" w:type="dxa"/>
            <w:vAlign w:val="center"/>
          </w:tcPr>
          <w:p>
            <w:pPr>
              <w:spacing w:line="500" w:lineRule="exact"/>
              <w:jc w:val="center"/>
              <w:rPr>
                <w:rFonts w:hint="eastAsia" w:ascii="楷体_GB2312" w:eastAsia="楷体_GB2312"/>
                <w:sz w:val="28"/>
                <w:szCs w:val="24"/>
                <w:lang w:eastAsia="zh-CN"/>
              </w:rPr>
            </w:pPr>
            <w:r>
              <w:rPr>
                <w:rFonts w:hint="eastAsia" w:ascii="楷体_GB2312" w:eastAsia="楷体_GB2312"/>
                <w:sz w:val="28"/>
                <w:szCs w:val="24"/>
                <w:lang w:eastAsia="zh-CN"/>
              </w:rPr>
              <w:t>2020年9月8日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atLeast"/>
          <w:jc w:val="center"/>
        </w:trPr>
        <w:tc>
          <w:tcPr>
            <w:tcW w:w="2116" w:type="dxa"/>
            <w:vAlign w:val="center"/>
          </w:tcPr>
          <w:p>
            <w:pPr>
              <w:spacing w:line="500" w:lineRule="exact"/>
              <w:jc w:val="center"/>
              <w:rPr>
                <w:rFonts w:ascii="楷体_GB2312" w:eastAsia="楷体_GB2312"/>
                <w:sz w:val="28"/>
                <w:szCs w:val="24"/>
              </w:rPr>
            </w:pPr>
            <w:r>
              <w:rPr>
                <w:rFonts w:hint="eastAsia" w:ascii="楷体_GB2312" w:eastAsia="楷体_GB2312"/>
                <w:sz w:val="28"/>
                <w:szCs w:val="24"/>
              </w:rPr>
              <w:t>邬雅琴</w:t>
            </w:r>
          </w:p>
        </w:tc>
        <w:tc>
          <w:tcPr>
            <w:tcW w:w="2146" w:type="dxa"/>
            <w:vAlign w:val="center"/>
          </w:tcPr>
          <w:p>
            <w:pPr>
              <w:spacing w:line="500" w:lineRule="exact"/>
              <w:jc w:val="center"/>
              <w:rPr>
                <w:rFonts w:ascii="楷体_GB2312" w:eastAsia="楷体_GB2312"/>
                <w:sz w:val="28"/>
                <w:szCs w:val="24"/>
              </w:rPr>
            </w:pPr>
            <w:r>
              <w:rPr>
                <w:rFonts w:hint="eastAsia" w:ascii="楷体_GB2312" w:eastAsia="楷体_GB2312"/>
                <w:sz w:val="28"/>
                <w:szCs w:val="24"/>
              </w:rPr>
              <w:t>3620190026</w:t>
            </w:r>
          </w:p>
        </w:tc>
        <w:tc>
          <w:tcPr>
            <w:tcW w:w="2465" w:type="dxa"/>
            <w:vAlign w:val="center"/>
          </w:tcPr>
          <w:p>
            <w:pPr>
              <w:spacing w:line="500" w:lineRule="exact"/>
              <w:jc w:val="center"/>
              <w:rPr>
                <w:rFonts w:ascii="楷体_GB2312" w:eastAsia="楷体_GB2312"/>
                <w:sz w:val="28"/>
                <w:szCs w:val="24"/>
              </w:rPr>
            </w:pPr>
          </w:p>
        </w:tc>
        <w:tc>
          <w:tcPr>
            <w:tcW w:w="2465" w:type="dxa"/>
            <w:vAlign w:val="center"/>
          </w:tcPr>
          <w:p>
            <w:pPr>
              <w:spacing w:line="500" w:lineRule="exact"/>
              <w:jc w:val="center"/>
              <w:rPr>
                <w:rFonts w:hint="eastAsia" w:ascii="楷体_GB2312" w:eastAsia="楷体_GB2312"/>
                <w:sz w:val="28"/>
                <w:szCs w:val="24"/>
                <w:lang w:eastAsia="zh-CN"/>
              </w:rPr>
            </w:pPr>
            <w:r>
              <w:rPr>
                <w:rFonts w:hint="eastAsia" w:ascii="楷体_GB2312" w:eastAsia="楷体_GB2312"/>
                <w:sz w:val="28"/>
                <w:szCs w:val="24"/>
                <w:lang w:eastAsia="zh-CN"/>
              </w:rPr>
              <w:t>2020年9月8日</w:t>
            </w:r>
          </w:p>
        </w:tc>
      </w:tr>
    </w:tbl>
    <w:p>
      <w:pPr>
        <w:pStyle w:val="2"/>
        <w:tabs>
          <w:tab w:val="left" w:pos="1275"/>
          <w:tab w:val="center" w:pos="4672"/>
        </w:tabs>
        <w:adjustRightInd w:val="0"/>
        <w:snapToGrid w:val="0"/>
        <w:spacing w:beforeLines="50" w:afterLines="50" w:line="500" w:lineRule="exact"/>
        <w:jc w:val="center"/>
        <w:rPr>
          <w:rFonts w:ascii="楷体_GB2312" w:hAnsi="宋体" w:eastAsia="楷体_GB2312"/>
          <w:snapToGrid w:val="0"/>
          <w:kern w:val="0"/>
          <w:sz w:val="36"/>
          <w:szCs w:val="36"/>
        </w:rPr>
      </w:pPr>
      <w:bookmarkStart w:id="6" w:name="_Toc326590640"/>
      <w:r>
        <w:rPr>
          <w:rFonts w:hint="eastAsia" w:ascii="楷体_GB2312" w:hAnsi="宋体" w:eastAsia="楷体_GB2312"/>
          <w:snapToGrid w:val="0"/>
          <w:kern w:val="0"/>
          <w:sz w:val="36"/>
          <w:szCs w:val="36"/>
        </w:rPr>
        <w:br w:type="page"/>
      </w:r>
      <w:bookmarkStart w:id="7" w:name="_Toc757"/>
      <w:r>
        <w:rPr>
          <w:rFonts w:hint="eastAsia" w:ascii="楷体_GB2312" w:hAnsi="宋体" w:eastAsia="楷体_GB2312"/>
          <w:snapToGrid w:val="0"/>
          <w:kern w:val="0"/>
          <w:sz w:val="36"/>
          <w:szCs w:val="36"/>
        </w:rPr>
        <w:t>估价假设和限制条件</w:t>
      </w:r>
      <w:bookmarkEnd w:id="6"/>
      <w:bookmarkEnd w:id="7"/>
    </w:p>
    <w:p>
      <w:pPr>
        <w:spacing w:line="460" w:lineRule="exact"/>
        <w:ind w:firstLine="562" w:firstLineChars="200"/>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1.一般假设</w:t>
      </w:r>
    </w:p>
    <w:p>
      <w:pPr>
        <w:spacing w:line="46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（1）在价值时点的房地产市场为公开、平等、自愿的交易市场。</w:t>
      </w:r>
    </w:p>
    <w:p>
      <w:pPr>
        <w:spacing w:line="46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（2）估价对象产权明晰，手续齐全，可在公开市场上自由转让。</w:t>
      </w:r>
    </w:p>
    <w:p>
      <w:pPr>
        <w:spacing w:line="46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（3）任何有关估价对象的运作方式、程序均符合国家、地方的有关法律、法规。</w:t>
      </w:r>
    </w:p>
    <w:p>
      <w:pPr>
        <w:spacing w:line="46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（4）本次估价结果未考虑国家宏观经济政策发生重大变化以及遇有自然力和其他不可抗力对估价结论的影响。</w:t>
      </w:r>
    </w:p>
    <w:p>
      <w:pPr>
        <w:spacing w:line="46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（5）本报告以估价对象在价值时点时的状况为依据进行的，且以该状况在估价报告使用期限内无重大变化为前提。</w:t>
      </w:r>
    </w:p>
    <w:p>
      <w:pPr>
        <w:spacing w:line="46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（6）本次估价未考虑可能与估价对象产权人有关的债权及债务情况对估价结果的影响。</w:t>
      </w:r>
    </w:p>
    <w:p>
      <w:pPr>
        <w:spacing w:line="46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（7）本报告估价结果没有考虑快速变现、税费转嫁等特殊的交易方式，以及可能发生的办理抵押登记、权利转移相关费用对估价对象房地产价值的影响，如上述条件发生变化，估价结果需做相应调整。</w:t>
      </w:r>
    </w:p>
    <w:p>
      <w:pPr>
        <w:spacing w:line="46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（8）本次估价价值时点为接受委托之日</w:t>
      </w:r>
      <w:r>
        <w:rPr>
          <w:rFonts w:hint="eastAsia" w:ascii="楷体_GB2312" w:hAnsi="楷体_GB2312" w:eastAsia="楷体_GB2312" w:cs="楷体_GB2312"/>
          <w:sz w:val="28"/>
          <w:szCs w:val="28"/>
          <w:lang w:eastAsia="zh-CN"/>
        </w:rPr>
        <w:t>2020年7月3日</w:t>
      </w:r>
      <w:r>
        <w:rPr>
          <w:rFonts w:hint="eastAsia" w:ascii="楷体_GB2312" w:hAnsi="楷体_GB2312" w:eastAsia="楷体_GB2312" w:cs="楷体_GB2312"/>
          <w:sz w:val="28"/>
          <w:szCs w:val="28"/>
        </w:rPr>
        <w:t>，实地查勘日期为</w:t>
      </w:r>
      <w:r>
        <w:rPr>
          <w:rFonts w:hint="eastAsia" w:ascii="楷体_GB2312" w:hAnsi="楷体_GB2312" w:eastAsia="楷体_GB2312" w:cs="楷体_GB2312"/>
          <w:sz w:val="28"/>
          <w:szCs w:val="28"/>
          <w:lang w:eastAsia="zh-CN"/>
        </w:rPr>
        <w:t>2020年9月3日</w:t>
      </w:r>
      <w:r>
        <w:rPr>
          <w:rFonts w:hint="eastAsia" w:ascii="楷体_GB2312" w:hAnsi="楷体_GB2312" w:eastAsia="楷体_GB2312" w:cs="楷体_GB2312"/>
          <w:sz w:val="28"/>
          <w:szCs w:val="28"/>
        </w:rPr>
        <w:t>，价值时点与实地查勘日期不一致，本次估价假定估价对象价值时点的状况与完成实地查勘之日的状况一致。</w:t>
      </w:r>
    </w:p>
    <w:p>
      <w:pPr>
        <w:spacing w:line="500" w:lineRule="exact"/>
        <w:ind w:firstLine="560" w:firstLineChars="200"/>
        <w:rPr>
          <w:rFonts w:ascii="楷体_GB2312" w:eastAsia="楷体_GB2312"/>
          <w:sz w:val="28"/>
        </w:rPr>
      </w:pPr>
      <w:r>
        <w:rPr>
          <w:rFonts w:hint="eastAsia" w:ascii="楷体_GB2312" w:hAnsi="楷体_GB2312" w:eastAsia="楷体_GB2312" w:cs="楷体_GB2312"/>
          <w:sz w:val="28"/>
          <w:szCs w:val="28"/>
        </w:rPr>
        <w:t>（9）本次估价对象的房屋权属情况以委托方提供的</w:t>
      </w:r>
      <w:r>
        <w:rPr>
          <w:rFonts w:hint="eastAsia" w:ascii="楷体_GB2312" w:eastAsia="楷体_GB2312"/>
          <w:sz w:val="28"/>
        </w:rPr>
        <w:t>《</w:t>
      </w:r>
      <w:r>
        <w:rPr>
          <w:rFonts w:hint="eastAsia" w:ascii="楷体_GB2312" w:eastAsia="楷体_GB2312"/>
          <w:sz w:val="28"/>
          <w:lang w:eastAsia="zh-CN"/>
        </w:rPr>
        <w:t>千禧颐和园储藏间、车库（位）合同</w:t>
      </w:r>
      <w:r>
        <w:rPr>
          <w:rFonts w:hint="eastAsia" w:ascii="楷体_GB2312" w:eastAsia="楷体_GB2312"/>
          <w:sz w:val="28"/>
        </w:rPr>
        <w:t>》</w:t>
      </w:r>
      <w:r>
        <w:rPr>
          <w:rFonts w:hint="eastAsia" w:ascii="楷体_GB2312" w:eastAsia="楷体_GB2312"/>
          <w:sz w:val="28"/>
          <w:lang w:eastAsia="zh-CN"/>
        </w:rPr>
        <w:t>、《测绘成果报告》</w:t>
      </w:r>
      <w:r>
        <w:rPr>
          <w:rFonts w:hint="eastAsia" w:ascii="楷体_GB2312" w:hAnsi="楷体_GB2312" w:eastAsia="楷体_GB2312" w:cs="楷体_GB2312"/>
          <w:sz w:val="28"/>
          <w:szCs w:val="28"/>
        </w:rPr>
        <w:t>为依据，如上述情况发生变化，估价结果需做相应调整。</w:t>
      </w:r>
    </w:p>
    <w:p>
      <w:pPr>
        <w:spacing w:line="460" w:lineRule="exact"/>
        <w:ind w:firstLine="560" w:firstLineChars="200"/>
        <w:rPr>
          <w:rFonts w:ascii="楷体_GB2312" w:hAnsi="楷体_GB2312" w:eastAsia="楷体_GB2312" w:cs="楷体_GB2312"/>
          <w:color w:val="000000" w:themeColor="text1"/>
          <w:sz w:val="28"/>
          <w:szCs w:val="28"/>
        </w:rPr>
      </w:pPr>
      <w:r>
        <w:rPr>
          <w:rFonts w:hint="eastAsia" w:ascii="楷体_GB2312" w:hAnsi="楷体_GB2312" w:eastAsia="楷体_GB2312" w:cs="楷体_GB2312"/>
          <w:sz w:val="28"/>
          <w:szCs w:val="28"/>
        </w:rPr>
        <w:t>（10）</w:t>
      </w:r>
      <w:r>
        <w:rPr>
          <w:rFonts w:hint="eastAsia" w:ascii="楷体_GB2312" w:hAnsi="楷体_GB2312" w:eastAsia="楷体_GB2312" w:cs="楷体_GB2312"/>
          <w:color w:val="000000" w:themeColor="text1"/>
          <w:sz w:val="28"/>
          <w:szCs w:val="28"/>
        </w:rPr>
        <w:t>注册房地产估价师于</w:t>
      </w:r>
      <w:r>
        <w:rPr>
          <w:rFonts w:hint="eastAsia" w:ascii="楷体_GB2312" w:hAnsi="楷体_GB2312" w:eastAsia="楷体_GB2312" w:cs="楷体_GB2312"/>
          <w:color w:val="000000" w:themeColor="text1"/>
          <w:sz w:val="28"/>
          <w:szCs w:val="28"/>
          <w:lang w:eastAsia="zh-CN"/>
        </w:rPr>
        <w:t>2020年9月3日</w:t>
      </w:r>
      <w:r>
        <w:rPr>
          <w:rFonts w:hint="eastAsia" w:ascii="楷体_GB2312" w:hAnsi="楷体_GB2312" w:eastAsia="楷体_GB2312" w:cs="楷体_GB2312"/>
          <w:color w:val="000000" w:themeColor="text1"/>
          <w:sz w:val="28"/>
          <w:szCs w:val="28"/>
        </w:rPr>
        <w:t>对估价对象进行了实地查勘，本次估价人员进行的实地查勘仅限于估价对象的所处楼栋外观及公共区域</w:t>
      </w:r>
      <w:r>
        <w:rPr>
          <w:rFonts w:hint="eastAsia" w:ascii="楷体_GB2312" w:hAnsi="楷体_GB2312" w:eastAsia="楷体_GB2312" w:cs="楷体_GB2312"/>
          <w:color w:val="000000" w:themeColor="text1"/>
          <w:sz w:val="28"/>
          <w:szCs w:val="28"/>
          <w:lang w:eastAsia="zh-CN"/>
        </w:rPr>
        <w:t>、估价对象使用现状</w:t>
      </w:r>
      <w:r>
        <w:rPr>
          <w:rFonts w:hint="eastAsia" w:ascii="楷体_GB2312" w:hAnsi="楷体_GB2312" w:eastAsia="楷体_GB2312" w:cs="楷体_GB2312"/>
          <w:color w:val="000000" w:themeColor="text1"/>
          <w:sz w:val="28"/>
          <w:szCs w:val="28"/>
        </w:rPr>
        <w:t>的一般性查勘，未进行质量鉴定，不承担对估价对象建筑结构质量进行调查的责任，也不承担对其他被遮盖未暴露及难于接触到的部分进行勘查的责任，故无理由怀疑建筑物存在安全隐患，假定估价对象建筑结构是安全的，无结构性损坏。</w:t>
      </w:r>
    </w:p>
    <w:p>
      <w:pPr>
        <w:spacing w:line="460" w:lineRule="exact"/>
        <w:ind w:firstLine="562" w:firstLineChars="200"/>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2.未定事项假设</w:t>
      </w:r>
    </w:p>
    <w:p>
      <w:pPr>
        <w:tabs>
          <w:tab w:val="left" w:pos="5505"/>
        </w:tabs>
        <w:spacing w:line="4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无未定事项假设。</w:t>
      </w:r>
      <w:r>
        <w:rPr>
          <w:rFonts w:ascii="楷体_GB2312" w:hAnsi="楷体_GB2312" w:eastAsia="楷体_GB2312" w:cs="楷体_GB2312"/>
          <w:sz w:val="28"/>
          <w:szCs w:val="28"/>
        </w:rPr>
        <w:tab/>
      </w:r>
    </w:p>
    <w:p>
      <w:pPr>
        <w:spacing w:line="480" w:lineRule="exact"/>
        <w:ind w:firstLine="562" w:firstLineChars="200"/>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3.背离事实假设</w:t>
      </w:r>
    </w:p>
    <w:p>
      <w:pPr>
        <w:spacing w:line="4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无背离事项假设。</w:t>
      </w:r>
    </w:p>
    <w:p>
      <w:pPr>
        <w:spacing w:line="480" w:lineRule="exact"/>
        <w:ind w:firstLine="562" w:firstLineChars="200"/>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4.不相一致假设</w:t>
      </w:r>
    </w:p>
    <w:p>
      <w:pPr>
        <w:spacing w:line="480" w:lineRule="exact"/>
        <w:ind w:firstLine="560" w:firstLineChars="200"/>
        <w:rPr>
          <w:rFonts w:ascii="楷体_GB2312" w:hAnsi="楷体_GB2312" w:eastAsia="楷体_GB2312" w:cs="楷体_GB2312"/>
          <w:sz w:val="28"/>
          <w:szCs w:val="28"/>
        </w:rPr>
      </w:pPr>
      <w:r>
        <w:rPr>
          <w:rFonts w:hint="eastAsia" w:ascii="楷体_GB2312" w:eastAsia="楷体_GB2312"/>
          <w:sz w:val="28"/>
        </w:rPr>
        <w:t>无不相一致假设。</w:t>
      </w:r>
    </w:p>
    <w:p>
      <w:pPr>
        <w:spacing w:line="480" w:lineRule="exact"/>
        <w:ind w:firstLine="562" w:firstLineChars="200"/>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5. 依据不足假设</w:t>
      </w:r>
    </w:p>
    <w:p>
      <w:pPr>
        <w:spacing w:line="480" w:lineRule="exact"/>
        <w:ind w:firstLine="560" w:firstLineChars="200"/>
        <w:rPr>
          <w:rFonts w:hint="eastAsia" w:ascii="楷体_GB2312" w:eastAsia="楷体_GB2312"/>
          <w:sz w:val="28"/>
          <w:szCs w:val="22"/>
          <w:lang w:eastAsia="zh-CN"/>
        </w:rPr>
      </w:pPr>
      <w:r>
        <w:rPr>
          <w:rFonts w:hint="eastAsia" w:ascii="楷体_GB2312" w:eastAsia="楷体_GB2312"/>
          <w:sz w:val="28"/>
          <w:szCs w:val="22"/>
          <w:lang w:eastAsia="zh-CN"/>
        </w:rPr>
        <w:t>无依据不足假设。</w:t>
      </w:r>
    </w:p>
    <w:p>
      <w:pPr>
        <w:spacing w:line="480" w:lineRule="exact"/>
        <w:ind w:firstLine="562" w:firstLineChars="200"/>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6. 估价报告使用限制</w:t>
      </w:r>
    </w:p>
    <w:p>
      <w:pPr>
        <w:spacing w:line="4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（1）本估价报告书仅为司法鉴定提供房地产市场价值参考，不作其他估价目的之用。如果估价条件或目的发生变化，估价报告需做相应调整。</w:t>
      </w:r>
    </w:p>
    <w:p>
      <w:pPr>
        <w:spacing w:line="4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（2）未经本估价机构书面同意，本报告的全部或任何一部分均不得向估价委托人、报告使用者、报告审查部门之外的单位和个人提供，也不得以任何形式公开发表。</w:t>
      </w:r>
    </w:p>
    <w:p>
      <w:pPr>
        <w:spacing w:line="4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（3）本报告必须完整使用方为有效，对仅使用本报告中部分内容而导致可能的损失，本估价机构不承担责任。</w:t>
      </w:r>
    </w:p>
    <w:p>
      <w:pPr>
        <w:spacing w:line="4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（4）本次估价结果受价值时点的限制，且本估价报告使用期限自估价报告出具之日</w:t>
      </w:r>
      <w:r>
        <w:rPr>
          <w:rFonts w:hint="eastAsia" w:ascii="楷体_GB2312" w:hAnsi="楷体_GB2312" w:eastAsia="楷体_GB2312" w:cs="楷体_GB2312"/>
          <w:sz w:val="28"/>
          <w:szCs w:val="28"/>
          <w:lang w:eastAsia="zh-CN"/>
        </w:rPr>
        <w:t>2020年9月8日</w:t>
      </w:r>
      <w:r>
        <w:rPr>
          <w:rFonts w:hint="eastAsia" w:ascii="楷体_GB2312" w:hAnsi="楷体_GB2312" w:eastAsia="楷体_GB2312" w:cs="楷体_GB2312"/>
          <w:sz w:val="28"/>
          <w:szCs w:val="28"/>
        </w:rPr>
        <w:t>起为壹年。若报告使用期限内，房地产市场、建筑市场或估价对象自身状况发生重大变化，估价结果也需做相应调整或委托估价机构重新估价。</w:t>
      </w:r>
    </w:p>
    <w:p>
      <w:pPr>
        <w:spacing w:line="480" w:lineRule="exact"/>
        <w:ind w:firstLine="560" w:firstLineChars="20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（5）</w:t>
      </w:r>
      <w:bookmarkStart w:id="8" w:name="_Toc326590644"/>
      <w:r>
        <w:rPr>
          <w:rFonts w:hint="eastAsia" w:ascii="楷体_GB2312" w:hAnsi="楷体_GB2312" w:eastAsia="楷体_GB2312" w:cs="楷体_GB2312"/>
          <w:sz w:val="28"/>
          <w:szCs w:val="28"/>
        </w:rPr>
        <w:t>上述估价结果是指在价值时点的房地产市场状况下、估价对象在现状利用条件下的市场价值，不包括可移动的家具、电器等物品价值，也不包含处置时的司法诉讼费用、过户</w:t>
      </w:r>
      <w:r>
        <w:rPr>
          <w:rFonts w:hint="eastAsia" w:ascii="楷体_GB2312" w:hAnsi="楷体_GB2312" w:eastAsia="楷体_GB2312" w:cs="楷体_GB2312"/>
          <w:sz w:val="28"/>
          <w:szCs w:val="28"/>
          <w:lang w:eastAsia="zh-CN"/>
        </w:rPr>
        <w:t>费用及</w:t>
      </w:r>
      <w:r>
        <w:rPr>
          <w:rFonts w:hint="eastAsia" w:ascii="楷体_GB2312" w:hAnsi="楷体_GB2312" w:eastAsia="楷体_GB2312" w:cs="楷体_GB2312"/>
          <w:sz w:val="28"/>
          <w:szCs w:val="28"/>
        </w:rPr>
        <w:t>其他应付费用等。</w:t>
      </w:r>
    </w:p>
    <w:p>
      <w:pPr>
        <w:spacing w:line="480" w:lineRule="exact"/>
        <w:ind w:firstLine="560" w:firstLineChars="200"/>
        <w:rPr>
          <w:rFonts w:hint="eastAsia" w:ascii="楷体_GB2312" w:hAnsi="楷体_GB2312" w:eastAsia="楷体_GB2312" w:cs="楷体_GB2312"/>
          <w:sz w:val="28"/>
          <w:szCs w:val="28"/>
        </w:rPr>
      </w:pPr>
      <w:r>
        <w:rPr>
          <w:rFonts w:hint="eastAsia" w:ascii="楷体_GB2312" w:hAnsi="楷体_GB2312" w:eastAsia="楷体_GB2312" w:cs="楷体_GB2312"/>
          <w:sz w:val="28"/>
          <w:szCs w:val="28"/>
          <w:lang w:eastAsia="zh-CN"/>
        </w:rPr>
        <w:t>（</w:t>
      </w:r>
      <w:r>
        <w:rPr>
          <w:rFonts w:hint="eastAsia" w:ascii="楷体_GB2312" w:hAnsi="楷体_GB2312" w:eastAsia="楷体_GB2312" w:cs="楷体_GB2312"/>
          <w:sz w:val="28"/>
          <w:szCs w:val="28"/>
          <w:lang w:val="en-US" w:eastAsia="zh-CN"/>
        </w:rPr>
        <w:t>6</w:t>
      </w:r>
      <w:r>
        <w:rPr>
          <w:rFonts w:hint="eastAsia" w:ascii="楷体_GB2312" w:hAnsi="楷体_GB2312" w:eastAsia="楷体_GB2312" w:cs="楷体_GB2312"/>
          <w:sz w:val="28"/>
          <w:szCs w:val="28"/>
          <w:lang w:eastAsia="zh-CN"/>
        </w:rPr>
        <w:t>）因估价对象为地下车库，据现场查勘及市场调查，该小区地下车库均未办理产权登记，</w:t>
      </w:r>
      <w:r>
        <w:rPr>
          <w:rFonts w:hint="eastAsia" w:ascii="楷体_GB2312" w:hAnsi="楷体_GB2312" w:eastAsia="楷体_GB2312" w:cs="楷体_GB2312"/>
          <w:sz w:val="28"/>
          <w:szCs w:val="28"/>
        </w:rPr>
        <w:t>本次评估估价对象</w:t>
      </w:r>
      <w:r>
        <w:rPr>
          <w:rFonts w:hint="eastAsia" w:ascii="楷体_GB2312" w:hAnsi="楷体_GB2312" w:eastAsia="楷体_GB2312" w:cs="楷体_GB2312"/>
          <w:sz w:val="28"/>
          <w:szCs w:val="28"/>
          <w:lang w:eastAsia="zh-CN"/>
        </w:rPr>
        <w:t>使用权人</w:t>
      </w:r>
      <w:r>
        <w:rPr>
          <w:rFonts w:hint="eastAsia" w:ascii="楷体_GB2312" w:hAnsi="楷体_GB2312" w:eastAsia="楷体_GB2312" w:cs="楷体_GB2312"/>
          <w:sz w:val="28"/>
          <w:szCs w:val="28"/>
        </w:rPr>
        <w:t>、面积等相关情况以委托方提供的《</w:t>
      </w:r>
      <w:r>
        <w:rPr>
          <w:rFonts w:hint="eastAsia" w:ascii="楷体_GB2312" w:hAnsi="楷体_GB2312" w:eastAsia="楷体_GB2312" w:cs="楷体_GB2312"/>
          <w:sz w:val="28"/>
          <w:szCs w:val="28"/>
          <w:lang w:eastAsia="zh-CN"/>
        </w:rPr>
        <w:t>千禧颐和园储藏间、车库（位）合同</w:t>
      </w:r>
      <w:r>
        <w:rPr>
          <w:rFonts w:hint="eastAsia" w:ascii="楷体_GB2312" w:hAnsi="楷体_GB2312" w:eastAsia="楷体_GB2312" w:cs="楷体_GB2312"/>
          <w:sz w:val="28"/>
          <w:szCs w:val="28"/>
        </w:rPr>
        <w:t>》</w:t>
      </w:r>
      <w:r>
        <w:rPr>
          <w:rFonts w:hint="eastAsia" w:ascii="楷体_GB2312" w:hAnsi="楷体_GB2312" w:eastAsia="楷体_GB2312" w:cs="楷体_GB2312"/>
          <w:sz w:val="28"/>
          <w:szCs w:val="28"/>
          <w:lang w:eastAsia="zh-CN"/>
        </w:rPr>
        <w:t>、《测绘成果报告》</w:t>
      </w:r>
      <w:r>
        <w:rPr>
          <w:rFonts w:hint="eastAsia" w:ascii="楷体_GB2312" w:hAnsi="楷体_GB2312" w:eastAsia="楷体_GB2312" w:cs="楷体_GB2312"/>
          <w:sz w:val="28"/>
          <w:szCs w:val="28"/>
        </w:rPr>
        <w:t>为依据，确定</w:t>
      </w:r>
      <w:r>
        <w:rPr>
          <w:rFonts w:hint="eastAsia" w:ascii="楷体_GB2312" w:hAnsi="楷体_GB2312" w:eastAsia="楷体_GB2312" w:cs="楷体_GB2312"/>
          <w:sz w:val="28"/>
          <w:szCs w:val="28"/>
          <w:lang w:eastAsia="zh-CN"/>
        </w:rPr>
        <w:t>使用权人</w:t>
      </w:r>
      <w:r>
        <w:rPr>
          <w:rFonts w:hint="eastAsia" w:ascii="楷体_GB2312" w:hAnsi="楷体_GB2312" w:eastAsia="楷体_GB2312" w:cs="楷体_GB2312"/>
          <w:sz w:val="28"/>
          <w:szCs w:val="28"/>
        </w:rPr>
        <w:t>为</w:t>
      </w:r>
      <w:r>
        <w:rPr>
          <w:rFonts w:hint="eastAsia" w:ascii="楷体_GB2312" w:hAnsi="楷体_GB2312" w:eastAsia="楷体_GB2312" w:cs="楷体_GB2312"/>
          <w:sz w:val="28"/>
          <w:szCs w:val="28"/>
          <w:lang w:eastAsia="zh-CN"/>
        </w:rPr>
        <w:t>胡建华</w:t>
      </w:r>
      <w:r>
        <w:rPr>
          <w:rFonts w:hint="eastAsia" w:ascii="楷体_GB2312" w:hAnsi="楷体_GB2312" w:eastAsia="楷体_GB2312" w:cs="楷体_GB2312"/>
          <w:sz w:val="28"/>
          <w:szCs w:val="28"/>
        </w:rPr>
        <w:t>，</w:t>
      </w:r>
      <w:r>
        <w:rPr>
          <w:rFonts w:hint="eastAsia" w:ascii="楷体_GB2312" w:hAnsi="楷体_GB2312" w:eastAsia="楷体_GB2312" w:cs="楷体_GB2312"/>
          <w:sz w:val="28"/>
          <w:szCs w:val="28"/>
          <w:lang w:eastAsia="zh-CN"/>
        </w:rPr>
        <w:t>测绘</w:t>
      </w:r>
      <w:r>
        <w:rPr>
          <w:rFonts w:hint="eastAsia" w:ascii="楷体_GB2312" w:hAnsi="楷体_GB2312" w:eastAsia="楷体_GB2312" w:cs="楷体_GB2312"/>
          <w:sz w:val="28"/>
          <w:szCs w:val="28"/>
        </w:rPr>
        <w:t>面积为</w:t>
      </w:r>
      <w:r>
        <w:rPr>
          <w:rFonts w:hint="eastAsia" w:ascii="楷体_GB2312" w:hAnsi="楷体_GB2312" w:eastAsia="楷体_GB2312" w:cs="楷体_GB2312"/>
          <w:sz w:val="28"/>
          <w:szCs w:val="28"/>
          <w:lang w:val="en-US" w:eastAsia="zh-CN"/>
        </w:rPr>
        <w:t>27.43</w:t>
      </w:r>
      <w:r>
        <w:rPr>
          <w:rFonts w:hint="eastAsia" w:ascii="楷体_GB2312" w:hAnsi="楷体_GB2312" w:eastAsia="楷体_GB2312" w:cs="楷体_GB2312"/>
          <w:sz w:val="28"/>
          <w:szCs w:val="28"/>
        </w:rPr>
        <w:t>㎡，用途为</w:t>
      </w:r>
      <w:r>
        <w:rPr>
          <w:rFonts w:hint="eastAsia" w:ascii="楷体_GB2312" w:hAnsi="楷体_GB2312" w:eastAsia="楷体_GB2312" w:cs="楷体_GB2312"/>
          <w:sz w:val="28"/>
          <w:szCs w:val="28"/>
          <w:lang w:eastAsia="zh-CN"/>
        </w:rPr>
        <w:t>车库</w:t>
      </w:r>
      <w:r>
        <w:rPr>
          <w:rFonts w:hint="eastAsia" w:ascii="楷体_GB2312" w:hAnsi="楷体_GB2312" w:eastAsia="楷体_GB2312" w:cs="楷体_GB2312"/>
          <w:sz w:val="28"/>
          <w:szCs w:val="28"/>
        </w:rPr>
        <w:t>；若上述情况与实际不</w:t>
      </w:r>
      <w:r>
        <w:rPr>
          <w:rFonts w:hint="eastAsia" w:ascii="楷体_GB2312" w:hAnsi="楷体_GB2312" w:eastAsia="楷体_GB2312" w:cs="楷体_GB2312"/>
          <w:sz w:val="28"/>
          <w:szCs w:val="28"/>
          <w:lang w:eastAsia="zh-CN"/>
        </w:rPr>
        <w:t>符</w:t>
      </w:r>
      <w:r>
        <w:rPr>
          <w:rFonts w:hint="eastAsia" w:ascii="楷体_GB2312" w:hAnsi="楷体_GB2312" w:eastAsia="楷体_GB2312" w:cs="楷体_GB2312"/>
          <w:sz w:val="28"/>
          <w:szCs w:val="28"/>
        </w:rPr>
        <w:t>，需对估价报告进行调整或重新出具估价报告。</w:t>
      </w:r>
    </w:p>
    <w:p>
      <w:pPr>
        <w:pStyle w:val="2"/>
        <w:tabs>
          <w:tab w:val="left" w:pos="1275"/>
          <w:tab w:val="center" w:pos="4672"/>
        </w:tabs>
        <w:adjustRightInd w:val="0"/>
        <w:snapToGrid w:val="0"/>
        <w:spacing w:beforeLines="50" w:afterLines="50" w:line="500" w:lineRule="exact"/>
        <w:jc w:val="center"/>
        <w:rPr>
          <w:rFonts w:ascii="楷体_GB2312" w:hAnsi="宋体" w:eastAsia="楷体_GB2312"/>
          <w:snapToGrid w:val="0"/>
          <w:kern w:val="0"/>
          <w:sz w:val="36"/>
          <w:szCs w:val="36"/>
        </w:rPr>
      </w:pPr>
      <w:bookmarkStart w:id="9" w:name="_Toc32167"/>
      <w:r>
        <w:rPr>
          <w:rFonts w:hint="eastAsia" w:ascii="楷体_GB2312" w:hAnsi="宋体" w:eastAsia="楷体_GB2312"/>
          <w:snapToGrid w:val="0"/>
          <w:kern w:val="0"/>
          <w:sz w:val="36"/>
          <w:szCs w:val="36"/>
        </w:rPr>
        <w:t>房地产估价结果报告</w:t>
      </w:r>
      <w:bookmarkEnd w:id="8"/>
      <w:bookmarkEnd w:id="9"/>
    </w:p>
    <w:p>
      <w:pPr>
        <w:pStyle w:val="3"/>
        <w:snapToGrid w:val="0"/>
        <w:spacing w:beforeLines="50" w:afterLines="50" w:line="500" w:lineRule="exact"/>
        <w:ind w:left="840" w:leftChars="400"/>
        <w:rPr>
          <w:rFonts w:ascii="楷体_GB2312" w:hAnsi="宋体" w:eastAsia="楷体_GB2312"/>
          <w:b w:val="0"/>
          <w:snapToGrid w:val="0"/>
          <w:kern w:val="0"/>
          <w:sz w:val="28"/>
          <w:szCs w:val="28"/>
        </w:rPr>
      </w:pPr>
      <w:bookmarkStart w:id="10" w:name="_Toc326590645"/>
      <w:bookmarkStart w:id="11" w:name="_Toc22173"/>
      <w:r>
        <w:rPr>
          <w:rFonts w:hint="eastAsia" w:ascii="楷体_GB2312" w:hAnsi="宋体" w:eastAsia="楷体_GB2312"/>
          <w:b w:val="0"/>
          <w:snapToGrid w:val="0"/>
          <w:kern w:val="0"/>
          <w:sz w:val="28"/>
          <w:szCs w:val="28"/>
        </w:rPr>
        <w:t>（一）估价委托方</w:t>
      </w:r>
      <w:bookmarkEnd w:id="10"/>
      <w:bookmarkEnd w:id="11"/>
    </w:p>
    <w:p>
      <w:pPr>
        <w:pStyle w:val="11"/>
        <w:adjustRightInd w:val="0"/>
        <w:snapToGrid w:val="0"/>
        <w:spacing w:beforeLines="30" w:line="500" w:lineRule="exact"/>
        <w:ind w:left="840" w:leftChars="400"/>
        <w:rPr>
          <w:rFonts w:hint="eastAsia" w:ascii="楷体_GB2312" w:hAnsi="宋体" w:eastAsia="楷体_GB2312"/>
          <w:snapToGrid w:val="0"/>
          <w:kern w:val="0"/>
          <w:sz w:val="28"/>
          <w:szCs w:val="28"/>
          <w:lang w:eastAsia="zh-CN"/>
        </w:rPr>
      </w:pPr>
      <w:r>
        <w:rPr>
          <w:rFonts w:hint="eastAsia" w:ascii="楷体_GB2312" w:hAnsi="宋体" w:eastAsia="楷体_GB2312"/>
          <w:snapToGrid w:val="0"/>
          <w:kern w:val="0"/>
          <w:sz w:val="28"/>
          <w:szCs w:val="28"/>
        </w:rPr>
        <w:t>公司名称：</w:t>
      </w:r>
      <w:r>
        <w:rPr>
          <w:rFonts w:hint="eastAsia" w:ascii="楷体_GB2312" w:hAnsi="宋体" w:eastAsia="楷体_GB2312"/>
          <w:snapToGrid w:val="0"/>
          <w:kern w:val="0"/>
          <w:sz w:val="28"/>
          <w:szCs w:val="28"/>
          <w:lang w:eastAsia="zh-CN"/>
        </w:rPr>
        <w:t>南昌市西湖区人民法院司法网络拍卖小组</w:t>
      </w:r>
    </w:p>
    <w:p>
      <w:pPr>
        <w:pStyle w:val="3"/>
        <w:snapToGrid w:val="0"/>
        <w:spacing w:beforeLines="50" w:afterLines="50" w:line="500" w:lineRule="exact"/>
        <w:ind w:left="840" w:leftChars="400"/>
        <w:rPr>
          <w:rFonts w:ascii="楷体_GB2312" w:hAnsi="Courier New" w:eastAsia="楷体_GB2312"/>
          <w:b w:val="0"/>
          <w:bCs w:val="0"/>
          <w:sz w:val="28"/>
          <w:szCs w:val="22"/>
        </w:rPr>
      </w:pPr>
      <w:bookmarkStart w:id="12" w:name="_Toc326590646"/>
      <w:bookmarkStart w:id="13" w:name="_Toc19019"/>
      <w:r>
        <w:rPr>
          <w:rFonts w:hint="eastAsia" w:ascii="楷体_GB2312" w:hAnsi="宋体" w:eastAsia="楷体_GB2312"/>
          <w:b w:val="0"/>
          <w:snapToGrid w:val="0"/>
          <w:kern w:val="0"/>
          <w:sz w:val="28"/>
          <w:szCs w:val="28"/>
        </w:rPr>
        <w:t>（</w:t>
      </w:r>
      <w:r>
        <w:rPr>
          <w:rFonts w:hint="eastAsia" w:ascii="楷体_GB2312" w:hAnsi="Courier New" w:eastAsia="楷体_GB2312"/>
          <w:b w:val="0"/>
          <w:bCs w:val="0"/>
          <w:sz w:val="28"/>
          <w:szCs w:val="22"/>
        </w:rPr>
        <w:t>二）估价方</w:t>
      </w:r>
      <w:bookmarkEnd w:id="12"/>
      <w:bookmarkEnd w:id="13"/>
    </w:p>
    <w:p>
      <w:pPr>
        <w:pStyle w:val="11"/>
        <w:adjustRightInd w:val="0"/>
        <w:snapToGrid w:val="0"/>
        <w:spacing w:beforeLines="30" w:line="500" w:lineRule="exact"/>
        <w:ind w:left="840" w:leftChars="400"/>
        <w:rPr>
          <w:rFonts w:ascii="楷体_GB2312" w:hAnsi="宋体" w:eastAsia="楷体_GB2312"/>
          <w:snapToGrid w:val="0"/>
          <w:kern w:val="0"/>
          <w:sz w:val="28"/>
          <w:szCs w:val="28"/>
        </w:rPr>
      </w:pPr>
      <w:bookmarkStart w:id="14" w:name="OLE_LINK1"/>
      <w:r>
        <w:rPr>
          <w:rFonts w:hint="eastAsia" w:ascii="楷体_GB2312" w:hAnsi="宋体" w:eastAsia="楷体_GB2312"/>
          <w:snapToGrid w:val="0"/>
          <w:kern w:val="0"/>
          <w:sz w:val="28"/>
          <w:szCs w:val="28"/>
        </w:rPr>
        <w:t>公司名称：江西永佳房地产资产评估有限公司</w:t>
      </w:r>
    </w:p>
    <w:p>
      <w:pPr>
        <w:pStyle w:val="11"/>
        <w:adjustRightInd w:val="0"/>
        <w:snapToGrid w:val="0"/>
        <w:spacing w:beforeLines="30" w:line="500" w:lineRule="exact"/>
        <w:ind w:left="840" w:leftChars="400"/>
        <w:rPr>
          <w:rFonts w:ascii="楷体_GB2312" w:hAnsi="宋体" w:eastAsia="楷体_GB2312"/>
          <w:snapToGrid w:val="0"/>
          <w:kern w:val="0"/>
          <w:sz w:val="28"/>
          <w:szCs w:val="28"/>
        </w:rPr>
      </w:pPr>
      <w:r>
        <w:rPr>
          <w:rFonts w:hint="eastAsia" w:ascii="楷体_GB2312" w:hAnsi="宋体" w:eastAsia="楷体_GB2312"/>
          <w:snapToGrid w:val="0"/>
          <w:kern w:val="0"/>
          <w:sz w:val="28"/>
          <w:szCs w:val="28"/>
        </w:rPr>
        <w:t>单位地址：</w:t>
      </w:r>
      <w:r>
        <w:rPr>
          <w:rFonts w:hint="eastAsia" w:ascii="楷体_GB2312" w:eastAsia="楷体_GB2312"/>
          <w:sz w:val="28"/>
        </w:rPr>
        <w:t>江西省南昌市东湖区洪都北大道636号西格玛商务中心1501室（第十五层）</w:t>
      </w:r>
    </w:p>
    <w:p>
      <w:pPr>
        <w:pStyle w:val="11"/>
        <w:adjustRightInd w:val="0"/>
        <w:snapToGrid w:val="0"/>
        <w:spacing w:beforeLines="30" w:line="500" w:lineRule="exact"/>
        <w:ind w:left="840" w:leftChars="400"/>
        <w:rPr>
          <w:rFonts w:ascii="楷体_GB2312" w:hAnsi="宋体" w:eastAsia="楷体_GB2312"/>
          <w:snapToGrid w:val="0"/>
          <w:kern w:val="0"/>
          <w:sz w:val="28"/>
          <w:szCs w:val="28"/>
        </w:rPr>
      </w:pPr>
      <w:r>
        <w:rPr>
          <w:rFonts w:hint="eastAsia" w:ascii="楷体_GB2312" w:hAnsi="宋体" w:eastAsia="楷体_GB2312"/>
          <w:snapToGrid w:val="0"/>
          <w:kern w:val="0"/>
          <w:sz w:val="28"/>
          <w:szCs w:val="28"/>
        </w:rPr>
        <w:t>机构资质：国家贰级</w:t>
      </w:r>
    </w:p>
    <w:p>
      <w:pPr>
        <w:pStyle w:val="11"/>
        <w:adjustRightInd w:val="0"/>
        <w:snapToGrid w:val="0"/>
        <w:spacing w:beforeLines="30" w:line="500" w:lineRule="exact"/>
        <w:ind w:left="840" w:leftChars="400"/>
        <w:rPr>
          <w:rFonts w:ascii="楷体_GB2312" w:hAnsi="宋体" w:eastAsia="楷体_GB2312"/>
          <w:snapToGrid w:val="0"/>
          <w:kern w:val="0"/>
          <w:sz w:val="28"/>
          <w:szCs w:val="28"/>
        </w:rPr>
      </w:pPr>
      <w:r>
        <w:rPr>
          <w:rFonts w:hint="eastAsia" w:ascii="楷体_GB2312" w:hAnsi="宋体" w:eastAsia="楷体_GB2312"/>
          <w:snapToGrid w:val="0"/>
          <w:kern w:val="0"/>
          <w:sz w:val="28"/>
          <w:szCs w:val="28"/>
        </w:rPr>
        <w:t>证书编号：</w:t>
      </w:r>
      <w:r>
        <w:rPr>
          <w:rFonts w:hint="eastAsia" w:ascii="楷体_GB2312" w:eastAsia="楷体_GB2312"/>
          <w:sz w:val="28"/>
        </w:rPr>
        <w:t>赣建房评字108号</w:t>
      </w:r>
      <w:r>
        <w:rPr>
          <w:rFonts w:hint="eastAsia" w:ascii="楷体_GB2312" w:hAnsi="宋体" w:eastAsia="楷体_GB2312"/>
          <w:snapToGrid w:val="0"/>
          <w:kern w:val="0"/>
          <w:sz w:val="28"/>
          <w:szCs w:val="28"/>
        </w:rPr>
        <w:t>（有效期至2022年7月23日）</w:t>
      </w:r>
    </w:p>
    <w:p>
      <w:pPr>
        <w:pStyle w:val="11"/>
        <w:adjustRightInd w:val="0"/>
        <w:snapToGrid w:val="0"/>
        <w:spacing w:beforeLines="30" w:line="500" w:lineRule="exact"/>
        <w:ind w:left="840" w:leftChars="400"/>
        <w:rPr>
          <w:rFonts w:ascii="楷体_GB2312" w:hAnsi="宋体" w:eastAsia="楷体_GB2312"/>
          <w:snapToGrid w:val="0"/>
          <w:kern w:val="0"/>
          <w:sz w:val="28"/>
          <w:szCs w:val="28"/>
        </w:rPr>
      </w:pPr>
      <w:r>
        <w:rPr>
          <w:rFonts w:hint="eastAsia" w:ascii="楷体_GB2312" w:hAnsi="宋体" w:eastAsia="楷体_GB2312"/>
          <w:snapToGrid w:val="0"/>
          <w:kern w:val="0"/>
          <w:sz w:val="28"/>
          <w:szCs w:val="28"/>
        </w:rPr>
        <w:t>法人代表：高  莹</w:t>
      </w:r>
    </w:p>
    <w:p>
      <w:pPr>
        <w:pStyle w:val="11"/>
        <w:adjustRightInd w:val="0"/>
        <w:snapToGrid w:val="0"/>
        <w:spacing w:beforeLines="30" w:line="500" w:lineRule="exact"/>
        <w:ind w:left="840" w:leftChars="400"/>
        <w:rPr>
          <w:rFonts w:ascii="楷体_GB2312" w:hAnsi="宋体" w:eastAsia="楷体_GB2312"/>
          <w:snapToGrid w:val="0"/>
          <w:kern w:val="0"/>
          <w:sz w:val="28"/>
          <w:szCs w:val="28"/>
        </w:rPr>
      </w:pPr>
      <w:r>
        <w:rPr>
          <w:rFonts w:hint="eastAsia" w:ascii="楷体_GB2312" w:hAnsi="宋体" w:eastAsia="楷体_GB2312"/>
          <w:snapToGrid w:val="0"/>
          <w:kern w:val="0"/>
          <w:sz w:val="28"/>
          <w:szCs w:val="28"/>
        </w:rPr>
        <w:t>联系电话：（0791）86863726</w:t>
      </w:r>
    </w:p>
    <w:p>
      <w:pPr>
        <w:pStyle w:val="3"/>
        <w:snapToGrid w:val="0"/>
        <w:spacing w:beforeLines="50" w:afterLines="50" w:line="500" w:lineRule="exact"/>
        <w:ind w:left="840" w:leftChars="400"/>
        <w:rPr>
          <w:rFonts w:ascii="楷体_GB2312" w:hAnsi="宋体" w:eastAsia="楷体_GB2312"/>
          <w:b w:val="0"/>
          <w:snapToGrid w:val="0"/>
          <w:kern w:val="0"/>
          <w:sz w:val="28"/>
          <w:szCs w:val="28"/>
        </w:rPr>
      </w:pPr>
      <w:bookmarkStart w:id="15" w:name="_Toc9857"/>
      <w:r>
        <w:rPr>
          <w:rFonts w:hint="eastAsia" w:ascii="楷体_GB2312" w:hAnsi="宋体" w:eastAsia="楷体_GB2312"/>
          <w:b w:val="0"/>
          <w:snapToGrid w:val="0"/>
          <w:kern w:val="0"/>
          <w:sz w:val="28"/>
          <w:szCs w:val="28"/>
        </w:rPr>
        <w:t>（三）估价目的</w:t>
      </w:r>
      <w:bookmarkEnd w:id="15"/>
    </w:p>
    <w:p>
      <w:pPr>
        <w:pStyle w:val="11"/>
        <w:adjustRightInd w:val="0"/>
        <w:snapToGrid w:val="0"/>
        <w:spacing w:beforeLines="30" w:line="500" w:lineRule="exact"/>
        <w:ind w:left="840" w:leftChars="400"/>
        <w:rPr>
          <w:rFonts w:ascii="楷体_GB2312" w:hAnsi="宋体" w:eastAsia="楷体_GB2312"/>
          <w:snapToGrid w:val="0"/>
          <w:kern w:val="0"/>
          <w:sz w:val="28"/>
          <w:szCs w:val="28"/>
        </w:rPr>
      </w:pPr>
      <w:r>
        <w:rPr>
          <w:rFonts w:hint="eastAsia" w:ascii="楷体_GB2312" w:eastAsia="楷体_GB2312"/>
          <w:sz w:val="28"/>
          <w:szCs w:val="24"/>
        </w:rPr>
        <w:t>为委托方执行处置委估房地产提供参考而评估房地产市场价值。</w:t>
      </w:r>
    </w:p>
    <w:bookmarkEnd w:id="14"/>
    <w:p>
      <w:pPr>
        <w:pStyle w:val="3"/>
        <w:snapToGrid w:val="0"/>
        <w:spacing w:beforeLines="50" w:afterLines="50" w:line="500" w:lineRule="exact"/>
        <w:ind w:left="840" w:leftChars="400"/>
        <w:rPr>
          <w:rFonts w:ascii="楷体_GB2312" w:hAnsi="宋体" w:eastAsia="楷体_GB2312"/>
          <w:b w:val="0"/>
          <w:snapToGrid w:val="0"/>
          <w:kern w:val="0"/>
          <w:sz w:val="28"/>
          <w:szCs w:val="28"/>
        </w:rPr>
      </w:pPr>
      <w:bookmarkStart w:id="16" w:name="_Toc326590647"/>
      <w:bookmarkStart w:id="17" w:name="_Toc4942"/>
      <w:r>
        <w:rPr>
          <w:rFonts w:hint="eastAsia" w:ascii="楷体_GB2312" w:hAnsi="宋体" w:eastAsia="楷体_GB2312"/>
          <w:b w:val="0"/>
          <w:snapToGrid w:val="0"/>
          <w:kern w:val="0"/>
          <w:sz w:val="28"/>
          <w:szCs w:val="28"/>
        </w:rPr>
        <w:t>（四）估价对象</w:t>
      </w:r>
      <w:bookmarkEnd w:id="16"/>
      <w:bookmarkEnd w:id="17"/>
    </w:p>
    <w:p>
      <w:pPr>
        <w:spacing w:line="500" w:lineRule="exact"/>
        <w:ind w:firstLine="560" w:firstLineChars="200"/>
        <w:rPr>
          <w:rFonts w:ascii="楷体_GB2312" w:eastAsia="楷体_GB2312"/>
          <w:sz w:val="28"/>
        </w:rPr>
      </w:pPr>
      <w:bookmarkStart w:id="18" w:name="_Toc326590651"/>
      <w:r>
        <w:rPr>
          <w:rFonts w:hint="eastAsia" w:ascii="楷体_GB2312" w:eastAsia="楷体_GB2312"/>
          <w:sz w:val="28"/>
          <w:szCs w:val="24"/>
        </w:rPr>
        <w:t>估价对象为</w:t>
      </w:r>
      <w:r>
        <w:rPr>
          <w:rFonts w:hint="eastAsia" w:ascii="楷体_GB2312" w:eastAsia="楷体_GB2312"/>
          <w:sz w:val="28"/>
          <w:szCs w:val="24"/>
          <w:lang w:eastAsia="zh-CN"/>
        </w:rPr>
        <w:t>胡建华</w:t>
      </w:r>
      <w:r>
        <w:rPr>
          <w:rFonts w:hint="eastAsia" w:ascii="楷体_GB2312" w:eastAsia="楷体_GB2312"/>
          <w:sz w:val="28"/>
          <w:szCs w:val="24"/>
        </w:rPr>
        <w:t>拥有的位于</w:t>
      </w:r>
      <w:r>
        <w:rPr>
          <w:rFonts w:hint="eastAsia" w:ascii="楷体_GB2312" w:eastAsia="楷体_GB2312"/>
          <w:sz w:val="28"/>
          <w:szCs w:val="24"/>
          <w:lang w:eastAsia="zh-CN"/>
        </w:rPr>
        <w:t>南昌市西湖区建设西路8号千禧颐和园南屏苑5号车库</w:t>
      </w:r>
      <w:r>
        <w:rPr>
          <w:rFonts w:hint="eastAsia" w:ascii="楷体_GB2312" w:eastAsia="楷体_GB2312"/>
          <w:sz w:val="28"/>
          <w:szCs w:val="24"/>
        </w:rPr>
        <w:t>，</w:t>
      </w:r>
      <w:r>
        <w:rPr>
          <w:rFonts w:hint="eastAsia" w:ascii="楷体_GB2312" w:eastAsia="楷体_GB2312"/>
          <w:sz w:val="28"/>
          <w:szCs w:val="24"/>
          <w:lang w:eastAsia="zh-CN"/>
        </w:rPr>
        <w:t>测绘面积</w:t>
      </w:r>
      <w:r>
        <w:rPr>
          <w:rFonts w:hint="eastAsia" w:ascii="楷体_GB2312" w:eastAsia="楷体_GB2312"/>
          <w:sz w:val="28"/>
          <w:szCs w:val="24"/>
          <w:lang w:val="en-US" w:eastAsia="zh-CN"/>
        </w:rPr>
        <w:t>27.43平方米，</w:t>
      </w:r>
      <w:r>
        <w:rPr>
          <w:rFonts w:hint="eastAsia" w:ascii="楷体_GB2312" w:hAnsi="楷体_GB2312" w:eastAsia="楷体_GB2312" w:cs="楷体_GB2312"/>
          <w:sz w:val="28"/>
          <w:szCs w:val="24"/>
        </w:rPr>
        <w:t>估价对象实物范围未包含其</w:t>
      </w:r>
      <w:r>
        <w:rPr>
          <w:rFonts w:hint="eastAsia" w:ascii="楷体_GB2312" w:hAnsi="楷体_GB2312" w:eastAsia="楷体_GB2312" w:cs="楷体_GB2312"/>
          <w:color w:val="000000" w:themeColor="text1"/>
          <w:sz w:val="28"/>
          <w:szCs w:val="24"/>
        </w:rPr>
        <w:t>室内可移动的家具、电器及</w:t>
      </w:r>
      <w:r>
        <w:rPr>
          <w:rFonts w:hint="eastAsia" w:ascii="楷体_GB2312" w:hAnsi="楷体_GB2312" w:eastAsia="楷体_GB2312" w:cs="楷体_GB2312"/>
          <w:sz w:val="28"/>
          <w:szCs w:val="24"/>
        </w:rPr>
        <w:t>相关债权债务等。</w:t>
      </w:r>
    </w:p>
    <w:p>
      <w:pPr>
        <w:spacing w:line="500" w:lineRule="exact"/>
        <w:ind w:firstLine="560" w:firstLineChars="200"/>
        <w:rPr>
          <w:rFonts w:ascii="楷体_GB2312" w:eastAsia="楷体_GB2312"/>
          <w:sz w:val="28"/>
        </w:rPr>
      </w:pPr>
      <w:r>
        <w:rPr>
          <w:rFonts w:hint="eastAsia" w:ascii="楷体_GB2312" w:eastAsia="楷体_GB2312"/>
          <w:sz w:val="28"/>
        </w:rPr>
        <w:t>1、土地状况</w:t>
      </w:r>
    </w:p>
    <w:p>
      <w:pPr>
        <w:spacing w:line="500" w:lineRule="exact"/>
        <w:ind w:firstLine="560" w:firstLineChars="200"/>
        <w:rPr>
          <w:rFonts w:ascii="楷体_GB2312" w:eastAsia="楷体_GB2312"/>
          <w:sz w:val="28"/>
        </w:rPr>
      </w:pPr>
      <w:r>
        <w:rPr>
          <w:rFonts w:hint="eastAsia" w:ascii="楷体_GB2312" w:eastAsia="楷体_GB2312"/>
          <w:sz w:val="28"/>
        </w:rPr>
        <w:t>（1）土地权属及登记状况</w:t>
      </w:r>
    </w:p>
    <w:p>
      <w:pPr>
        <w:tabs>
          <w:tab w:val="left" w:pos="2260"/>
        </w:tabs>
        <w:spacing w:line="500" w:lineRule="exact"/>
        <w:ind w:firstLine="560" w:firstLineChars="200"/>
        <w:rPr>
          <w:rFonts w:hint="eastAsia" w:ascii="楷体_GB2312" w:eastAsia="楷体_GB2312"/>
          <w:sz w:val="28"/>
          <w:lang w:eastAsia="zh-CN"/>
        </w:rPr>
      </w:pPr>
      <w:r>
        <w:rPr>
          <w:rFonts w:hint="eastAsia" w:eastAsia="楷体_GB2312"/>
          <w:sz w:val="28"/>
        </w:rPr>
        <w:t>估价对象</w:t>
      </w:r>
      <w:r>
        <w:rPr>
          <w:rFonts w:eastAsia="楷体_GB2312"/>
          <w:sz w:val="28"/>
        </w:rPr>
        <w:t>所在的土地属国家所有，</w:t>
      </w:r>
      <w:r>
        <w:rPr>
          <w:rFonts w:hint="eastAsia" w:eastAsia="楷体_GB2312"/>
          <w:sz w:val="28"/>
        </w:rPr>
        <w:t>依据</w:t>
      </w:r>
      <w:r>
        <w:rPr>
          <w:rFonts w:hint="eastAsia" w:ascii="楷体_GB2312" w:hAnsi="楷体_GB2312" w:eastAsia="楷体_GB2312" w:cs="楷体_GB2312"/>
          <w:sz w:val="28"/>
          <w:szCs w:val="28"/>
        </w:rPr>
        <w:t>委托方提供的</w:t>
      </w:r>
      <w:r>
        <w:rPr>
          <w:rFonts w:hint="eastAsia" w:ascii="楷体_GB2312" w:eastAsia="楷体_GB2312"/>
          <w:sz w:val="28"/>
        </w:rPr>
        <w:t>《</w:t>
      </w:r>
      <w:r>
        <w:rPr>
          <w:rFonts w:hint="eastAsia" w:ascii="楷体_GB2312" w:eastAsia="楷体_GB2312"/>
          <w:sz w:val="28"/>
          <w:lang w:eastAsia="zh-CN"/>
        </w:rPr>
        <w:t>千禧颐和园储藏间、车库（位）合同</w:t>
      </w:r>
      <w:r>
        <w:rPr>
          <w:rFonts w:hint="eastAsia" w:ascii="楷体_GB2312" w:eastAsia="楷体_GB2312"/>
          <w:sz w:val="28"/>
        </w:rPr>
        <w:t>》</w:t>
      </w:r>
      <w:r>
        <w:rPr>
          <w:rFonts w:hint="eastAsia" w:ascii="楷体_GB2312" w:eastAsia="楷体_GB2312"/>
          <w:sz w:val="28"/>
          <w:lang w:eastAsia="zh-CN"/>
        </w:rPr>
        <w:t>、《测绘成果资料》</w:t>
      </w:r>
      <w:r>
        <w:rPr>
          <w:rFonts w:hint="eastAsia" w:ascii="楷体_GB2312" w:eastAsia="楷体_GB2312"/>
          <w:sz w:val="28"/>
        </w:rPr>
        <w:t>及</w:t>
      </w:r>
      <w:r>
        <w:rPr>
          <w:rFonts w:hint="eastAsia" w:eastAsia="楷体_GB2312"/>
          <w:sz w:val="28"/>
        </w:rPr>
        <w:t>估价师现场查勘情况，</w:t>
      </w:r>
      <w:r>
        <w:rPr>
          <w:rFonts w:eastAsia="楷体_GB2312"/>
          <w:sz w:val="28"/>
        </w:rPr>
        <w:t>估价对象</w:t>
      </w:r>
      <w:r>
        <w:rPr>
          <w:rFonts w:hint="eastAsia" w:eastAsia="楷体_GB2312"/>
          <w:sz w:val="28"/>
          <w:lang w:eastAsia="zh-CN"/>
        </w:rPr>
        <w:t>房屋使用权人为</w:t>
      </w:r>
      <w:r>
        <w:rPr>
          <w:rFonts w:hint="eastAsia" w:ascii="楷体_GB2312" w:eastAsia="楷体_GB2312"/>
          <w:sz w:val="28"/>
          <w:szCs w:val="24"/>
          <w:lang w:eastAsia="zh-CN"/>
        </w:rPr>
        <w:t>胡建华</w:t>
      </w:r>
      <w:r>
        <w:rPr>
          <w:rFonts w:eastAsia="楷体_GB2312"/>
          <w:sz w:val="28"/>
        </w:rPr>
        <w:t>，</w:t>
      </w:r>
      <w:r>
        <w:rPr>
          <w:rFonts w:ascii="楷体_GB2312" w:eastAsia="楷体_GB2312"/>
          <w:sz w:val="28"/>
        </w:rPr>
        <w:t>用途为</w:t>
      </w:r>
      <w:r>
        <w:rPr>
          <w:rFonts w:hint="eastAsia" w:ascii="楷体_GB2312" w:eastAsia="楷体_GB2312"/>
          <w:sz w:val="28"/>
          <w:lang w:eastAsia="zh-CN"/>
        </w:rPr>
        <w:t>车库，未办理产权登记。</w:t>
      </w:r>
    </w:p>
    <w:p>
      <w:pPr>
        <w:tabs>
          <w:tab w:val="left" w:pos="2260"/>
        </w:tabs>
        <w:spacing w:line="500" w:lineRule="exact"/>
        <w:ind w:firstLine="560" w:firstLineChars="200"/>
        <w:rPr>
          <w:rFonts w:ascii="楷体_GB2312" w:eastAsia="楷体_GB2312"/>
          <w:color w:val="FF0000"/>
          <w:sz w:val="28"/>
        </w:rPr>
      </w:pPr>
      <w:r>
        <w:rPr>
          <w:rFonts w:hint="eastAsia" w:eastAsia="楷体_GB2312"/>
          <w:color w:val="000000" w:themeColor="text1"/>
          <w:sz w:val="28"/>
        </w:rPr>
        <w:t>至</w:t>
      </w:r>
      <w:r>
        <w:rPr>
          <w:rFonts w:hint="eastAsia" w:ascii="楷体_GB2312" w:eastAsia="楷体_GB2312"/>
          <w:color w:val="000000" w:themeColor="text1"/>
          <w:sz w:val="28"/>
        </w:rPr>
        <w:t>价值时点，估价对象</w:t>
      </w:r>
      <w:r>
        <w:rPr>
          <w:rFonts w:hint="eastAsia" w:ascii="楷体_GB2312" w:eastAsia="楷体_GB2312"/>
          <w:color w:val="000000" w:themeColor="text1"/>
          <w:sz w:val="28"/>
          <w:lang w:eastAsia="zh-CN"/>
        </w:rPr>
        <w:t>不</w:t>
      </w:r>
      <w:r>
        <w:rPr>
          <w:rFonts w:hint="eastAsia" w:ascii="楷体_GB2312" w:eastAsia="楷体_GB2312"/>
          <w:color w:val="000000" w:themeColor="text1"/>
          <w:sz w:val="28"/>
        </w:rPr>
        <w:t>存在抵押权</w:t>
      </w:r>
      <w:r>
        <w:rPr>
          <w:rFonts w:hint="eastAsia" w:ascii="楷体_GB2312" w:eastAsia="楷体_GB2312"/>
          <w:color w:val="000000" w:themeColor="text1"/>
          <w:sz w:val="28"/>
          <w:lang w:eastAsia="zh-CN"/>
        </w:rPr>
        <w:t>，不存在租赁</w:t>
      </w:r>
      <w:r>
        <w:rPr>
          <w:rFonts w:hint="eastAsia" w:ascii="楷体_GB2312" w:eastAsia="楷体_GB2312"/>
          <w:color w:val="auto"/>
          <w:sz w:val="28"/>
          <w:lang w:eastAsia="zh-CN"/>
        </w:rPr>
        <w:t>权</w:t>
      </w:r>
      <w:r>
        <w:rPr>
          <w:rFonts w:hint="eastAsia" w:ascii="楷体_GB2312" w:eastAsia="楷体_GB2312"/>
          <w:color w:val="auto"/>
          <w:sz w:val="28"/>
        </w:rPr>
        <w:t>。</w:t>
      </w:r>
    </w:p>
    <w:p>
      <w:pPr>
        <w:tabs>
          <w:tab w:val="left" w:pos="2260"/>
        </w:tabs>
        <w:spacing w:line="500" w:lineRule="exact"/>
        <w:ind w:left="559" w:leftChars="266"/>
        <w:rPr>
          <w:rFonts w:ascii="楷体_GB2312" w:eastAsia="楷体_GB2312"/>
          <w:sz w:val="28"/>
        </w:rPr>
      </w:pPr>
      <w:r>
        <w:rPr>
          <w:rFonts w:hint="eastAsia" w:ascii="楷体_GB2312" w:eastAsia="楷体_GB2312"/>
          <w:sz w:val="28"/>
        </w:rPr>
        <w:t>（2）土地利用状况</w:t>
      </w:r>
    </w:p>
    <w:p>
      <w:pPr>
        <w:spacing w:line="500" w:lineRule="exact"/>
        <w:ind w:firstLine="560" w:firstLineChars="200"/>
        <w:rPr>
          <w:rFonts w:hint="eastAsia" w:ascii="楷体_GB2312" w:hAnsi="楷体_GB2312" w:eastAsia="楷体_GB2312" w:cs="楷体_GB2312"/>
          <w:color w:val="000000" w:themeColor="text1"/>
          <w:sz w:val="28"/>
          <w:szCs w:val="28"/>
          <w:shd w:val="clear" w:color="auto" w:fill="FFFFFF"/>
          <w:lang w:eastAsia="zh-CN"/>
        </w:rPr>
      </w:pPr>
      <w:r>
        <w:rPr>
          <w:rFonts w:hint="eastAsia" w:ascii="楷体_GB2312" w:eastAsia="楷体_GB2312"/>
          <w:color w:val="000000" w:themeColor="text1"/>
          <w:sz w:val="28"/>
        </w:rPr>
        <w:t>估价对象所在区域地势较平坦；</w:t>
      </w:r>
      <w:r>
        <w:rPr>
          <w:rFonts w:hint="eastAsia" w:ascii="楷体_GB2312" w:eastAsia="楷体_GB2312"/>
          <w:color w:val="000000" w:themeColor="text1"/>
          <w:sz w:val="28"/>
          <w:lang w:val="en-US" w:eastAsia="zh-CN"/>
        </w:rPr>
        <w:t>估价对象所处楼栋地上共18层，地下1层，</w:t>
      </w:r>
      <w:r>
        <w:rPr>
          <w:rFonts w:hint="eastAsia" w:ascii="楷体_GB2312" w:eastAsia="楷体_GB2312"/>
          <w:color w:val="000000" w:themeColor="text1"/>
          <w:sz w:val="28"/>
          <w:lang w:eastAsia="zh-CN"/>
        </w:rPr>
        <w:t>估价对象为地下车库，位于地下</w:t>
      </w:r>
      <w:r>
        <w:rPr>
          <w:rFonts w:hint="eastAsia" w:ascii="楷体_GB2312" w:eastAsia="楷体_GB2312"/>
          <w:color w:val="000000" w:themeColor="text1"/>
          <w:sz w:val="28"/>
          <w:lang w:val="en-US" w:eastAsia="zh-CN"/>
        </w:rPr>
        <w:t>1层。估价对象</w:t>
      </w:r>
      <w:r>
        <w:rPr>
          <w:rFonts w:hint="eastAsia" w:ascii="楷体_GB2312" w:eastAsia="楷体_GB2312"/>
          <w:color w:val="000000" w:themeColor="text1"/>
          <w:sz w:val="28"/>
          <w:lang w:eastAsia="zh-CN"/>
        </w:rPr>
        <w:t>所处小区</w:t>
      </w:r>
      <w:r>
        <w:rPr>
          <w:rFonts w:hint="eastAsia" w:ascii="楷体_GB2312" w:hAnsi="楷体_GB2312" w:eastAsia="楷体_GB2312" w:cs="楷体_GB2312"/>
          <w:color w:val="000000" w:themeColor="text1"/>
          <w:sz w:val="28"/>
          <w:szCs w:val="28"/>
          <w:shd w:val="clear" w:color="auto" w:fill="FFFFFF"/>
        </w:rPr>
        <w:t>土地基础设施开发程度达红线内外六通（通电、通上水、通下水、通路、通讯、通燃气）及红线内场地平整</w:t>
      </w:r>
      <w:r>
        <w:rPr>
          <w:rFonts w:hint="eastAsia" w:ascii="楷体_GB2312" w:hAnsi="楷体_GB2312" w:eastAsia="楷体_GB2312" w:cs="楷体_GB2312"/>
          <w:color w:val="000000" w:themeColor="text1"/>
          <w:sz w:val="28"/>
          <w:szCs w:val="28"/>
          <w:shd w:val="clear" w:color="auto" w:fill="FFFFFF"/>
          <w:lang w:eastAsia="zh-CN"/>
        </w:rPr>
        <w:t>。</w:t>
      </w:r>
    </w:p>
    <w:p>
      <w:pPr>
        <w:spacing w:line="500" w:lineRule="exact"/>
        <w:ind w:firstLine="560" w:firstLineChars="200"/>
        <w:rPr>
          <w:rFonts w:ascii="楷体_GB2312" w:eastAsia="楷体_GB2312"/>
          <w:sz w:val="28"/>
        </w:rPr>
      </w:pPr>
      <w:r>
        <w:rPr>
          <w:rFonts w:hint="eastAsia" w:ascii="楷体_GB2312" w:eastAsia="楷体_GB2312"/>
          <w:sz w:val="28"/>
        </w:rPr>
        <w:t>2、建筑物状况</w:t>
      </w:r>
    </w:p>
    <w:p>
      <w:pPr>
        <w:spacing w:line="500" w:lineRule="exact"/>
        <w:ind w:firstLine="560" w:firstLineChars="200"/>
        <w:rPr>
          <w:rFonts w:ascii="楷体_GB2312" w:eastAsia="楷体_GB2312"/>
          <w:sz w:val="28"/>
        </w:rPr>
      </w:pPr>
      <w:r>
        <w:rPr>
          <w:rFonts w:hint="eastAsia" w:ascii="楷体_GB2312" w:eastAsia="楷体_GB2312"/>
          <w:sz w:val="28"/>
        </w:rPr>
        <w:t>（1）建筑物权属及登记</w:t>
      </w:r>
    </w:p>
    <w:p>
      <w:pPr>
        <w:spacing w:line="500" w:lineRule="exact"/>
        <w:ind w:firstLine="560" w:firstLineChars="200"/>
        <w:rPr>
          <w:rFonts w:ascii="楷体_GB2312" w:eastAsia="楷体_GB2312"/>
          <w:sz w:val="28"/>
        </w:rPr>
      </w:pPr>
      <w:r>
        <w:rPr>
          <w:rFonts w:hint="eastAsia" w:ascii="楷体_GB2312" w:eastAsia="楷体_GB2312"/>
          <w:sz w:val="28"/>
          <w:lang w:eastAsia="zh-CN"/>
        </w:rPr>
        <w:t>估价对象为位于地下一层的车库，未办理产权登记。</w:t>
      </w:r>
      <w:r>
        <w:rPr>
          <w:rFonts w:hint="eastAsia" w:ascii="楷体_GB2312" w:eastAsia="楷体_GB2312"/>
          <w:sz w:val="28"/>
        </w:rPr>
        <w:t>根据委托方提供的《</w:t>
      </w:r>
      <w:r>
        <w:rPr>
          <w:rFonts w:hint="eastAsia" w:ascii="楷体_GB2312" w:eastAsia="楷体_GB2312"/>
          <w:sz w:val="28"/>
          <w:lang w:eastAsia="zh-CN"/>
        </w:rPr>
        <w:t>千禧颐和园储藏间、车库（位）合同</w:t>
      </w:r>
      <w:r>
        <w:rPr>
          <w:rFonts w:hint="eastAsia" w:ascii="楷体_GB2312" w:eastAsia="楷体_GB2312"/>
          <w:sz w:val="28"/>
        </w:rPr>
        <w:t>》</w:t>
      </w:r>
      <w:r>
        <w:rPr>
          <w:rFonts w:hint="eastAsia" w:ascii="楷体_GB2312" w:eastAsia="楷体_GB2312"/>
          <w:sz w:val="28"/>
          <w:lang w:eastAsia="zh-CN"/>
        </w:rPr>
        <w:t>、《测绘成果报告》</w:t>
      </w:r>
      <w:r>
        <w:rPr>
          <w:rFonts w:hint="eastAsia" w:ascii="楷体_GB2312" w:eastAsia="楷体_GB2312"/>
          <w:sz w:val="28"/>
        </w:rPr>
        <w:t>及估价人员实地查勘，</w:t>
      </w:r>
      <w:r>
        <w:rPr>
          <w:rFonts w:hint="eastAsia" w:ascii="楷体_GB2312" w:eastAsia="楷体_GB2312"/>
          <w:sz w:val="28"/>
          <w:lang w:eastAsia="zh-CN"/>
        </w:rPr>
        <w:t>估价对象使用权人为胡建华</w:t>
      </w:r>
      <w:r>
        <w:rPr>
          <w:rFonts w:hint="eastAsia" w:ascii="楷体_GB2312" w:eastAsia="楷体_GB2312"/>
          <w:sz w:val="28"/>
        </w:rPr>
        <w:t>，估价对象房屋详细权属状况见下表。</w:t>
      </w:r>
    </w:p>
    <w:p>
      <w:pPr>
        <w:spacing w:line="500" w:lineRule="exact"/>
        <w:jc w:val="center"/>
        <w:rPr>
          <w:rFonts w:hint="eastAsia" w:ascii="楷体_GB2312" w:eastAsia="楷体_GB2312"/>
          <w:sz w:val="28"/>
        </w:rPr>
      </w:pPr>
      <w:r>
        <w:rPr>
          <w:rFonts w:hint="eastAsia" w:ascii="楷体_GB2312" w:eastAsia="楷体_GB2312"/>
          <w:sz w:val="28"/>
        </w:rPr>
        <w:t>房屋权属状况一览表</w:t>
      </w:r>
    </w:p>
    <w:tbl>
      <w:tblPr>
        <w:tblStyle w:val="23"/>
        <w:tblW w:w="4997" w:type="pct"/>
        <w:tblInd w:w="0" w:type="dxa"/>
        <w:shd w:val="clear" w:color="auto" w:fill="auto"/>
        <w:tblLayout w:type="autofit"/>
        <w:tblCellMar>
          <w:top w:w="0" w:type="dxa"/>
          <w:left w:w="0" w:type="dxa"/>
          <w:bottom w:w="0" w:type="dxa"/>
          <w:right w:w="0" w:type="dxa"/>
        </w:tblCellMar>
      </w:tblPr>
      <w:tblGrid>
        <w:gridCol w:w="632"/>
        <w:gridCol w:w="1183"/>
        <w:gridCol w:w="3167"/>
        <w:gridCol w:w="1028"/>
        <w:gridCol w:w="996"/>
        <w:gridCol w:w="1045"/>
        <w:gridCol w:w="1045"/>
      </w:tblGrid>
      <w:tr>
        <w:tblPrEx>
          <w:shd w:val="clear" w:color="auto" w:fill="auto"/>
          <w:tblCellMar>
            <w:top w:w="0" w:type="dxa"/>
            <w:left w:w="0" w:type="dxa"/>
            <w:bottom w:w="0" w:type="dxa"/>
            <w:right w:w="0" w:type="dxa"/>
          </w:tblCellMar>
        </w:tblPrEx>
        <w:trPr>
          <w:trHeight w:val="776"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_GB2312" w:hAnsi="楷体_GB2312" w:eastAsia="楷体_GB2312" w:cs="楷体_GB2312"/>
                <w:i w:val="0"/>
                <w:color w:val="000000"/>
                <w:sz w:val="24"/>
                <w:szCs w:val="24"/>
                <w:u w:val="none"/>
              </w:rPr>
            </w:pPr>
            <w:r>
              <w:rPr>
                <w:rFonts w:hint="eastAsia" w:ascii="楷体_GB2312" w:hAnsi="楷体_GB2312" w:eastAsia="楷体_GB2312" w:cs="楷体_GB2312"/>
                <w:i w:val="0"/>
                <w:color w:val="000000"/>
                <w:kern w:val="0"/>
                <w:sz w:val="24"/>
                <w:szCs w:val="24"/>
                <w:u w:val="none"/>
                <w:lang w:val="en-US" w:eastAsia="zh-CN" w:bidi="ar"/>
              </w:rPr>
              <w:t>序号</w:t>
            </w:r>
          </w:p>
        </w:tc>
        <w:tc>
          <w:tcPr>
            <w:tcW w:w="6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_GB2312" w:hAnsi="楷体_GB2312" w:eastAsia="楷体_GB2312" w:cs="楷体_GB2312"/>
                <w:i w:val="0"/>
                <w:color w:val="000000"/>
                <w:sz w:val="24"/>
                <w:szCs w:val="24"/>
                <w:u w:val="none"/>
              </w:rPr>
            </w:pPr>
            <w:r>
              <w:rPr>
                <w:rFonts w:hint="eastAsia" w:ascii="楷体_GB2312" w:hAnsi="楷体_GB2312" w:eastAsia="楷体_GB2312" w:cs="楷体_GB2312"/>
                <w:i w:val="0"/>
                <w:color w:val="000000"/>
                <w:kern w:val="0"/>
                <w:sz w:val="24"/>
                <w:szCs w:val="24"/>
                <w:u w:val="none"/>
                <w:lang w:val="en-US" w:eastAsia="zh-CN" w:bidi="ar"/>
              </w:rPr>
              <w:t>车库使用权人</w:t>
            </w:r>
          </w:p>
        </w:tc>
        <w:tc>
          <w:tcPr>
            <w:tcW w:w="17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_GB2312" w:hAnsi="楷体_GB2312" w:eastAsia="楷体_GB2312" w:cs="楷体_GB2312"/>
                <w:i w:val="0"/>
                <w:color w:val="000000"/>
                <w:sz w:val="24"/>
                <w:szCs w:val="24"/>
                <w:u w:val="none"/>
              </w:rPr>
            </w:pPr>
            <w:r>
              <w:rPr>
                <w:rFonts w:hint="eastAsia" w:ascii="楷体_GB2312" w:hAnsi="楷体_GB2312" w:eastAsia="楷体_GB2312" w:cs="楷体_GB2312"/>
                <w:i w:val="0"/>
                <w:color w:val="000000"/>
                <w:kern w:val="0"/>
                <w:sz w:val="24"/>
                <w:szCs w:val="24"/>
                <w:u w:val="none"/>
                <w:lang w:val="en-US" w:eastAsia="zh-CN" w:bidi="ar"/>
              </w:rPr>
              <w:t>位置</w:t>
            </w:r>
          </w:p>
        </w:tc>
        <w:tc>
          <w:tcPr>
            <w:tcW w:w="5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_GB2312" w:hAnsi="楷体_GB2312" w:eastAsia="楷体_GB2312" w:cs="楷体_GB2312"/>
                <w:i w:val="0"/>
                <w:color w:val="000000"/>
                <w:sz w:val="24"/>
                <w:szCs w:val="24"/>
                <w:u w:val="none"/>
              </w:rPr>
            </w:pPr>
            <w:r>
              <w:rPr>
                <w:rFonts w:hint="eastAsia" w:ascii="楷体_GB2312" w:hAnsi="楷体_GB2312" w:eastAsia="楷体_GB2312" w:cs="楷体_GB2312"/>
                <w:i w:val="0"/>
                <w:color w:val="000000"/>
                <w:kern w:val="0"/>
                <w:sz w:val="24"/>
                <w:szCs w:val="24"/>
                <w:u w:val="none"/>
                <w:lang w:val="en-US" w:eastAsia="zh-CN" w:bidi="ar"/>
              </w:rPr>
              <w:t>结构</w:t>
            </w:r>
          </w:p>
        </w:tc>
        <w:tc>
          <w:tcPr>
            <w:tcW w:w="5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_GB2312" w:hAnsi="楷体_GB2312" w:eastAsia="楷体_GB2312" w:cs="楷体_GB2312"/>
                <w:i w:val="0"/>
                <w:color w:val="000000"/>
                <w:sz w:val="24"/>
                <w:szCs w:val="24"/>
                <w:u w:val="none"/>
              </w:rPr>
            </w:pPr>
            <w:r>
              <w:rPr>
                <w:rFonts w:hint="eastAsia" w:ascii="楷体_GB2312" w:hAnsi="楷体_GB2312" w:eastAsia="楷体_GB2312" w:cs="楷体_GB2312"/>
                <w:i w:val="0"/>
                <w:color w:val="000000"/>
                <w:kern w:val="0"/>
                <w:sz w:val="24"/>
                <w:szCs w:val="24"/>
                <w:u w:val="none"/>
                <w:lang w:val="en-US" w:eastAsia="zh-CN" w:bidi="ar"/>
              </w:rPr>
              <w:t>建成年份</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_GB2312" w:hAnsi="楷体_GB2312" w:eastAsia="楷体_GB2312" w:cs="楷体_GB2312"/>
                <w:i w:val="0"/>
                <w:color w:val="000000"/>
                <w:sz w:val="24"/>
                <w:szCs w:val="24"/>
                <w:u w:val="none"/>
              </w:rPr>
            </w:pPr>
            <w:r>
              <w:rPr>
                <w:rFonts w:hint="eastAsia" w:ascii="楷体_GB2312" w:hAnsi="楷体_GB2312" w:eastAsia="楷体_GB2312" w:cs="楷体_GB2312"/>
                <w:i w:val="0"/>
                <w:color w:val="000000"/>
                <w:kern w:val="0"/>
                <w:sz w:val="24"/>
                <w:szCs w:val="24"/>
                <w:u w:val="none"/>
                <w:lang w:val="en-US" w:eastAsia="zh-CN" w:bidi="ar"/>
              </w:rPr>
              <w:t>建筑用途</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_GB2312" w:hAnsi="楷体_GB2312" w:eastAsia="楷体_GB2312" w:cs="楷体_GB2312"/>
                <w:i w:val="0"/>
                <w:color w:val="000000"/>
                <w:kern w:val="0"/>
                <w:sz w:val="24"/>
                <w:szCs w:val="24"/>
                <w:u w:val="none"/>
                <w:lang w:val="en-US" w:eastAsia="zh-CN" w:bidi="ar"/>
              </w:rPr>
            </w:pPr>
            <w:r>
              <w:rPr>
                <w:rFonts w:hint="eastAsia" w:ascii="楷体_GB2312" w:hAnsi="楷体_GB2312" w:eastAsia="楷体_GB2312" w:cs="楷体_GB2312"/>
                <w:i w:val="0"/>
                <w:color w:val="000000"/>
                <w:kern w:val="0"/>
                <w:sz w:val="24"/>
                <w:szCs w:val="24"/>
                <w:u w:val="none"/>
                <w:lang w:val="en-US" w:eastAsia="zh-CN" w:bidi="ar"/>
              </w:rPr>
              <w:t>测绘面积（㎡）</w:t>
            </w:r>
          </w:p>
        </w:tc>
      </w:tr>
      <w:tr>
        <w:tblPrEx>
          <w:tblCellMar>
            <w:top w:w="0" w:type="dxa"/>
            <w:left w:w="0" w:type="dxa"/>
            <w:bottom w:w="0" w:type="dxa"/>
            <w:right w:w="0" w:type="dxa"/>
          </w:tblCellMar>
        </w:tblPrEx>
        <w:trPr>
          <w:trHeight w:val="828"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_GB2312" w:hAnsi="楷体_GB2312" w:eastAsia="楷体_GB2312" w:cs="楷体_GB2312"/>
                <w:i w:val="0"/>
                <w:color w:val="000000"/>
                <w:sz w:val="24"/>
                <w:szCs w:val="24"/>
                <w:u w:val="none"/>
              </w:rPr>
            </w:pPr>
            <w:r>
              <w:rPr>
                <w:rFonts w:hint="eastAsia" w:ascii="楷体_GB2312" w:hAnsi="楷体_GB2312" w:eastAsia="楷体_GB2312" w:cs="楷体_GB2312"/>
                <w:i w:val="0"/>
                <w:color w:val="000000"/>
                <w:kern w:val="0"/>
                <w:sz w:val="24"/>
                <w:szCs w:val="24"/>
                <w:u w:val="none"/>
                <w:lang w:val="en-US" w:eastAsia="zh-CN" w:bidi="ar"/>
              </w:rPr>
              <w:t>1</w:t>
            </w:r>
          </w:p>
        </w:tc>
        <w:tc>
          <w:tcPr>
            <w:tcW w:w="6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_GB2312" w:hAnsi="楷体_GB2312" w:eastAsia="楷体_GB2312" w:cs="楷体_GB2312"/>
                <w:i w:val="0"/>
                <w:color w:val="000000"/>
                <w:sz w:val="24"/>
                <w:szCs w:val="24"/>
                <w:u w:val="none"/>
              </w:rPr>
            </w:pPr>
            <w:r>
              <w:rPr>
                <w:rFonts w:hint="eastAsia" w:ascii="楷体_GB2312" w:hAnsi="楷体_GB2312" w:eastAsia="楷体_GB2312" w:cs="楷体_GB2312"/>
                <w:i w:val="0"/>
                <w:color w:val="000000"/>
                <w:kern w:val="0"/>
                <w:sz w:val="24"/>
                <w:szCs w:val="24"/>
                <w:u w:val="none"/>
                <w:lang w:val="en-US" w:eastAsia="zh-CN" w:bidi="ar"/>
              </w:rPr>
              <w:t>胡建华</w:t>
            </w:r>
          </w:p>
        </w:tc>
        <w:tc>
          <w:tcPr>
            <w:tcW w:w="17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_GB2312" w:hAnsi="楷体_GB2312" w:eastAsia="楷体_GB2312" w:cs="楷体_GB2312"/>
                <w:i w:val="0"/>
                <w:color w:val="000000"/>
                <w:sz w:val="24"/>
                <w:szCs w:val="24"/>
                <w:u w:val="none"/>
              </w:rPr>
            </w:pPr>
            <w:r>
              <w:rPr>
                <w:rFonts w:hint="eastAsia" w:ascii="楷体_GB2312" w:hAnsi="楷体_GB2312" w:eastAsia="楷体_GB2312" w:cs="楷体_GB2312"/>
                <w:i w:val="0"/>
                <w:color w:val="000000"/>
                <w:kern w:val="0"/>
                <w:sz w:val="24"/>
                <w:szCs w:val="24"/>
                <w:u w:val="none"/>
                <w:lang w:val="en-US" w:eastAsia="zh-CN" w:bidi="ar"/>
              </w:rPr>
              <w:t>南昌市西湖区建设西路8号千禧颐和园南屏苑5号车库</w:t>
            </w:r>
          </w:p>
        </w:tc>
        <w:tc>
          <w:tcPr>
            <w:tcW w:w="5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_GB2312" w:hAnsi="楷体_GB2312" w:eastAsia="楷体_GB2312" w:cs="楷体_GB2312"/>
                <w:i w:val="0"/>
                <w:color w:val="000000"/>
                <w:sz w:val="24"/>
                <w:szCs w:val="24"/>
                <w:u w:val="none"/>
              </w:rPr>
            </w:pPr>
            <w:r>
              <w:rPr>
                <w:rFonts w:hint="eastAsia" w:ascii="楷体_GB2312" w:hAnsi="楷体_GB2312" w:eastAsia="楷体_GB2312" w:cs="楷体_GB2312"/>
                <w:i w:val="0"/>
                <w:color w:val="000000"/>
                <w:kern w:val="0"/>
                <w:sz w:val="24"/>
                <w:szCs w:val="24"/>
                <w:u w:val="none"/>
                <w:lang w:val="en-US" w:eastAsia="zh-CN" w:bidi="ar"/>
              </w:rPr>
              <w:t>钢混</w:t>
            </w:r>
          </w:p>
        </w:tc>
        <w:tc>
          <w:tcPr>
            <w:tcW w:w="5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_GB2312" w:hAnsi="楷体_GB2312" w:eastAsia="楷体_GB2312" w:cs="楷体_GB2312"/>
                <w:i w:val="0"/>
                <w:color w:val="000000"/>
                <w:sz w:val="24"/>
                <w:szCs w:val="24"/>
                <w:u w:val="none"/>
              </w:rPr>
            </w:pPr>
            <w:r>
              <w:rPr>
                <w:rFonts w:hint="eastAsia" w:ascii="楷体_GB2312" w:hAnsi="楷体_GB2312" w:eastAsia="楷体_GB2312" w:cs="楷体_GB2312"/>
                <w:i w:val="0"/>
                <w:color w:val="000000"/>
                <w:kern w:val="0"/>
                <w:sz w:val="24"/>
                <w:szCs w:val="24"/>
                <w:u w:val="none"/>
                <w:lang w:val="en-US" w:eastAsia="zh-CN" w:bidi="ar"/>
              </w:rPr>
              <w:t>2006年</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_GB2312" w:hAnsi="楷体_GB2312" w:eastAsia="楷体_GB2312" w:cs="楷体_GB2312"/>
                <w:i w:val="0"/>
                <w:color w:val="000000"/>
                <w:sz w:val="24"/>
                <w:szCs w:val="24"/>
                <w:u w:val="none"/>
              </w:rPr>
            </w:pPr>
            <w:r>
              <w:rPr>
                <w:rFonts w:hint="eastAsia" w:ascii="楷体_GB2312" w:hAnsi="楷体_GB2312" w:eastAsia="楷体_GB2312" w:cs="楷体_GB2312"/>
                <w:i w:val="0"/>
                <w:color w:val="000000"/>
                <w:kern w:val="0"/>
                <w:sz w:val="24"/>
                <w:szCs w:val="24"/>
                <w:u w:val="none"/>
                <w:lang w:val="en-US" w:eastAsia="zh-CN" w:bidi="ar"/>
              </w:rPr>
              <w:t>车库</w:t>
            </w:r>
          </w:p>
        </w:tc>
        <w:tc>
          <w:tcPr>
            <w:tcW w:w="5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楷体_GB2312" w:hAnsi="楷体_GB2312" w:eastAsia="楷体_GB2312" w:cs="楷体_GB2312"/>
                <w:i w:val="0"/>
                <w:color w:val="000000"/>
                <w:kern w:val="0"/>
                <w:sz w:val="24"/>
                <w:szCs w:val="24"/>
                <w:u w:val="none"/>
                <w:lang w:val="en-US" w:eastAsia="zh-CN" w:bidi="ar"/>
              </w:rPr>
            </w:pPr>
            <w:r>
              <w:rPr>
                <w:rFonts w:hint="eastAsia" w:ascii="楷体_GB2312" w:hAnsi="楷体_GB2312" w:eastAsia="楷体_GB2312" w:cs="楷体_GB2312"/>
                <w:i w:val="0"/>
                <w:color w:val="000000"/>
                <w:kern w:val="0"/>
                <w:sz w:val="24"/>
                <w:szCs w:val="24"/>
                <w:u w:val="none"/>
                <w:lang w:val="en-US" w:eastAsia="zh-CN" w:bidi="ar"/>
              </w:rPr>
              <w:t>27.43</w:t>
            </w:r>
          </w:p>
        </w:tc>
      </w:tr>
    </w:tbl>
    <w:p>
      <w:pPr>
        <w:tabs>
          <w:tab w:val="left" w:pos="2260"/>
        </w:tabs>
        <w:spacing w:line="500" w:lineRule="exact"/>
        <w:ind w:firstLine="560" w:firstLineChars="200"/>
        <w:rPr>
          <w:rFonts w:ascii="楷体_GB2312" w:eastAsia="楷体_GB2312"/>
          <w:color w:val="000000" w:themeColor="text1"/>
          <w:sz w:val="28"/>
        </w:rPr>
      </w:pPr>
      <w:r>
        <w:rPr>
          <w:rFonts w:hint="eastAsia" w:eastAsia="楷体_GB2312"/>
          <w:color w:val="000000" w:themeColor="text1"/>
          <w:sz w:val="28"/>
        </w:rPr>
        <w:t>至</w:t>
      </w:r>
      <w:r>
        <w:rPr>
          <w:rFonts w:hint="eastAsia" w:ascii="楷体_GB2312" w:eastAsia="楷体_GB2312"/>
          <w:color w:val="000000" w:themeColor="text1"/>
          <w:sz w:val="28"/>
        </w:rPr>
        <w:t>价值时点，估价对象</w:t>
      </w:r>
      <w:r>
        <w:rPr>
          <w:rFonts w:hint="eastAsia" w:ascii="楷体_GB2312" w:eastAsia="楷体_GB2312"/>
          <w:color w:val="000000" w:themeColor="text1"/>
          <w:sz w:val="28"/>
          <w:lang w:eastAsia="zh-CN"/>
        </w:rPr>
        <w:t>不</w:t>
      </w:r>
      <w:r>
        <w:rPr>
          <w:rFonts w:hint="eastAsia" w:ascii="楷体_GB2312" w:eastAsia="楷体_GB2312"/>
          <w:color w:val="000000" w:themeColor="text1"/>
          <w:sz w:val="28"/>
        </w:rPr>
        <w:t>存在抵押权</w:t>
      </w:r>
      <w:r>
        <w:rPr>
          <w:rFonts w:hint="eastAsia" w:ascii="楷体_GB2312" w:eastAsia="楷体_GB2312"/>
          <w:color w:val="000000" w:themeColor="text1"/>
          <w:sz w:val="28"/>
          <w:lang w:eastAsia="zh-CN"/>
        </w:rPr>
        <w:t>，不存在租赁权</w:t>
      </w:r>
      <w:r>
        <w:rPr>
          <w:rFonts w:hint="eastAsia" w:ascii="楷体_GB2312" w:eastAsia="楷体_GB2312"/>
          <w:color w:val="000000" w:themeColor="text1"/>
          <w:sz w:val="28"/>
        </w:rPr>
        <w:t>。</w:t>
      </w:r>
    </w:p>
    <w:p>
      <w:pPr>
        <w:spacing w:line="500" w:lineRule="exact"/>
        <w:ind w:firstLine="560" w:firstLineChars="200"/>
        <w:rPr>
          <w:rFonts w:ascii="楷体_GB2312" w:eastAsia="楷体_GB2312"/>
          <w:sz w:val="28"/>
        </w:rPr>
      </w:pPr>
      <w:r>
        <w:rPr>
          <w:rFonts w:hint="eastAsia" w:ascii="楷体_GB2312" w:eastAsia="楷体_GB2312"/>
          <w:sz w:val="28"/>
        </w:rPr>
        <w:t>（2）建筑物设备、装修及现状使用状况</w:t>
      </w:r>
    </w:p>
    <w:tbl>
      <w:tblPr>
        <w:tblStyle w:val="23"/>
        <w:tblW w:w="10971" w:type="dxa"/>
        <w:jc w:val="center"/>
        <w:tblLayout w:type="fixed"/>
        <w:tblCellMar>
          <w:top w:w="15" w:type="dxa"/>
          <w:left w:w="15" w:type="dxa"/>
          <w:bottom w:w="15" w:type="dxa"/>
          <w:right w:w="15" w:type="dxa"/>
        </w:tblCellMar>
      </w:tblPr>
      <w:tblGrid>
        <w:gridCol w:w="535"/>
        <w:gridCol w:w="1560"/>
        <w:gridCol w:w="709"/>
        <w:gridCol w:w="992"/>
        <w:gridCol w:w="992"/>
        <w:gridCol w:w="4526"/>
        <w:gridCol w:w="1657"/>
      </w:tblGrid>
      <w:tr>
        <w:tblPrEx>
          <w:tblCellMar>
            <w:top w:w="15" w:type="dxa"/>
            <w:left w:w="15" w:type="dxa"/>
            <w:bottom w:w="15" w:type="dxa"/>
            <w:right w:w="15" w:type="dxa"/>
          </w:tblCellMar>
        </w:tblPrEx>
        <w:trPr>
          <w:trHeight w:val="765" w:hRule="atLeast"/>
          <w:jc w:val="center"/>
        </w:trPr>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_GB2312" w:eastAsia="楷体_GB2312"/>
                <w:sz w:val="24"/>
                <w:szCs w:val="24"/>
              </w:rPr>
            </w:pPr>
            <w:r>
              <w:rPr>
                <w:rFonts w:hint="eastAsia" w:ascii="楷体_GB2312" w:eastAsia="楷体_GB2312"/>
                <w:sz w:val="24"/>
                <w:szCs w:val="24"/>
              </w:rPr>
              <w:t>序号</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_GB2312" w:eastAsia="楷体_GB2312"/>
                <w:sz w:val="24"/>
                <w:szCs w:val="24"/>
              </w:rPr>
            </w:pPr>
            <w:r>
              <w:rPr>
                <w:rFonts w:hint="eastAsia" w:ascii="楷体_GB2312" w:eastAsia="楷体_GB2312"/>
                <w:sz w:val="24"/>
                <w:szCs w:val="24"/>
              </w:rPr>
              <w:t>位置</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_GB2312" w:eastAsia="楷体_GB2312"/>
                <w:sz w:val="24"/>
                <w:szCs w:val="24"/>
              </w:rPr>
            </w:pPr>
            <w:r>
              <w:rPr>
                <w:rFonts w:hint="eastAsia" w:ascii="楷体_GB2312" w:eastAsia="楷体_GB2312"/>
                <w:sz w:val="24"/>
                <w:szCs w:val="24"/>
              </w:rPr>
              <w:t>结构</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_GB2312" w:eastAsia="楷体_GB2312"/>
                <w:sz w:val="24"/>
                <w:szCs w:val="24"/>
              </w:rPr>
            </w:pPr>
            <w:r>
              <w:rPr>
                <w:rFonts w:hint="eastAsia" w:ascii="楷体_GB2312" w:eastAsia="楷体_GB2312"/>
                <w:sz w:val="24"/>
                <w:szCs w:val="24"/>
              </w:rPr>
              <w:t>评估层/总楼层</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_GB2312" w:eastAsia="楷体_GB2312"/>
                <w:sz w:val="24"/>
                <w:szCs w:val="24"/>
              </w:rPr>
            </w:pPr>
            <w:r>
              <w:rPr>
                <w:rFonts w:hint="eastAsia" w:ascii="楷体_GB2312" w:eastAsia="楷体_GB2312"/>
                <w:sz w:val="24"/>
                <w:szCs w:val="24"/>
                <w:lang w:eastAsia="zh-CN"/>
              </w:rPr>
              <w:t>测绘</w:t>
            </w:r>
            <w:r>
              <w:rPr>
                <w:rFonts w:hint="eastAsia" w:ascii="楷体_GB2312" w:eastAsia="楷体_GB2312"/>
                <w:sz w:val="24"/>
                <w:szCs w:val="24"/>
              </w:rPr>
              <w:t>面积（</w:t>
            </w:r>
            <w:r>
              <w:rPr>
                <w:rFonts w:hint="eastAsia" w:ascii="Batang" w:hAnsi="Batang" w:eastAsia="Batang" w:cs="Batang"/>
                <w:sz w:val="24"/>
                <w:szCs w:val="24"/>
              </w:rPr>
              <w:t>㎡</w:t>
            </w:r>
            <w:r>
              <w:rPr>
                <w:rFonts w:hint="eastAsia" w:ascii="楷体_GB2312" w:eastAsia="楷体_GB2312"/>
                <w:sz w:val="24"/>
                <w:szCs w:val="24"/>
              </w:rPr>
              <w:t>）</w:t>
            </w:r>
          </w:p>
        </w:tc>
        <w:tc>
          <w:tcPr>
            <w:tcW w:w="4526"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楷体_GB2312" w:eastAsia="楷体_GB2312"/>
                <w:sz w:val="24"/>
                <w:szCs w:val="24"/>
              </w:rPr>
            </w:pPr>
            <w:r>
              <w:rPr>
                <w:rFonts w:hint="eastAsia" w:ascii="楷体_GB2312" w:eastAsia="楷体_GB2312"/>
                <w:sz w:val="24"/>
                <w:szCs w:val="24"/>
              </w:rPr>
              <w:t>设备及装修状况</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_GB2312" w:eastAsia="楷体_GB2312"/>
                <w:sz w:val="24"/>
                <w:szCs w:val="24"/>
              </w:rPr>
            </w:pPr>
            <w:r>
              <w:rPr>
                <w:rFonts w:hint="eastAsia" w:ascii="楷体_GB2312" w:eastAsia="楷体_GB2312"/>
                <w:sz w:val="24"/>
                <w:szCs w:val="24"/>
              </w:rPr>
              <w:t>现状使用状况</w:t>
            </w:r>
          </w:p>
        </w:tc>
      </w:tr>
      <w:tr>
        <w:tblPrEx>
          <w:tblCellMar>
            <w:top w:w="15" w:type="dxa"/>
            <w:left w:w="15" w:type="dxa"/>
            <w:bottom w:w="15" w:type="dxa"/>
            <w:right w:w="15" w:type="dxa"/>
          </w:tblCellMar>
        </w:tblPrEx>
        <w:trPr>
          <w:trHeight w:val="704" w:hRule="atLeast"/>
          <w:jc w:val="center"/>
        </w:trPr>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_GB2312" w:eastAsia="楷体_GB2312"/>
                <w:sz w:val="24"/>
                <w:szCs w:val="24"/>
              </w:rPr>
            </w:pPr>
            <w:r>
              <w:rPr>
                <w:rFonts w:hint="eastAsia" w:ascii="楷体_GB2312" w:eastAsia="楷体_GB2312"/>
                <w:sz w:val="24"/>
                <w:szCs w:val="24"/>
              </w:rPr>
              <w:t>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楷体_GB2312" w:eastAsia="楷体_GB2312"/>
                <w:sz w:val="24"/>
                <w:szCs w:val="24"/>
                <w:lang w:eastAsia="zh-CN"/>
              </w:rPr>
            </w:pPr>
            <w:r>
              <w:rPr>
                <w:rFonts w:hint="eastAsia" w:ascii="楷体_GB2312" w:eastAsia="楷体_GB2312"/>
                <w:sz w:val="24"/>
                <w:szCs w:val="24"/>
                <w:lang w:eastAsia="zh-CN"/>
              </w:rPr>
              <w:t>南昌市西湖区建设西路8号千禧颐和园南屏苑5号车库</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楷体_GB2312" w:eastAsia="楷体_GB2312"/>
                <w:sz w:val="24"/>
                <w:szCs w:val="24"/>
                <w:lang w:eastAsia="zh-CN"/>
              </w:rPr>
            </w:pPr>
            <w:r>
              <w:rPr>
                <w:rFonts w:hint="eastAsia" w:ascii="楷体_GB2312" w:eastAsia="楷体_GB2312"/>
                <w:sz w:val="24"/>
                <w:szCs w:val="24"/>
                <w:lang w:eastAsia="zh-CN"/>
              </w:rPr>
              <w:t>钢混</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楷体_GB2312" w:eastAsia="楷体_GB2312"/>
                <w:color w:val="FF0000"/>
                <w:sz w:val="24"/>
                <w:szCs w:val="24"/>
                <w:lang w:val="en-US" w:eastAsia="zh-CN"/>
              </w:rPr>
            </w:pPr>
            <w:r>
              <w:rPr>
                <w:rFonts w:hint="eastAsia" w:ascii="楷体_GB2312" w:eastAsia="楷体_GB2312"/>
                <w:color w:val="auto"/>
                <w:sz w:val="24"/>
                <w:szCs w:val="24"/>
                <w:lang w:val="en-US" w:eastAsia="zh-CN"/>
              </w:rPr>
              <w:t>-1/19</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楷体_GB2312" w:eastAsia="楷体_GB2312"/>
                <w:color w:val="auto"/>
                <w:sz w:val="24"/>
                <w:szCs w:val="24"/>
                <w:lang w:val="en-US" w:eastAsia="zh-CN"/>
              </w:rPr>
            </w:pPr>
            <w:r>
              <w:rPr>
                <w:rFonts w:hint="eastAsia" w:ascii="楷体_GB2312" w:eastAsia="楷体_GB2312"/>
                <w:color w:val="auto"/>
                <w:sz w:val="24"/>
                <w:szCs w:val="24"/>
                <w:lang w:val="en-US" w:eastAsia="zh-CN"/>
              </w:rPr>
              <w:t>27.43</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楷体_GB2312" w:eastAsia="楷体_GB2312"/>
                <w:color w:val="auto"/>
                <w:sz w:val="24"/>
                <w:szCs w:val="24"/>
                <w:lang w:val="en-US" w:eastAsia="zh-CN"/>
              </w:rPr>
            </w:pPr>
            <w:r>
              <w:rPr>
                <w:rFonts w:hint="eastAsia" w:ascii="楷体_GB2312" w:eastAsia="楷体_GB2312"/>
                <w:color w:val="auto"/>
                <w:sz w:val="24"/>
                <w:szCs w:val="24"/>
                <w:lang w:eastAsia="zh-CN"/>
              </w:rPr>
              <w:t>估价对象位于千禧颐和园南屏苑地下</w:t>
            </w:r>
            <w:r>
              <w:rPr>
                <w:rFonts w:hint="eastAsia" w:ascii="楷体_GB2312" w:eastAsia="楷体_GB2312"/>
                <w:color w:val="auto"/>
                <w:sz w:val="24"/>
                <w:szCs w:val="24"/>
                <w:lang w:val="en-US" w:eastAsia="zh-CN"/>
              </w:rPr>
              <w:t>1层5号车库，入户门为电动卷闸门，室内层高3.4米，地面水泥地坪，墙面、天花顶面刷涂料，室内墙面局部有剥落现象。</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_GB2312" w:eastAsia="楷体_GB2312"/>
                <w:color w:val="FF0000"/>
                <w:sz w:val="24"/>
                <w:szCs w:val="24"/>
              </w:rPr>
            </w:pPr>
            <w:r>
              <w:rPr>
                <w:rFonts w:hint="eastAsia" w:ascii="楷体_GB2312" w:eastAsia="楷体_GB2312"/>
                <w:color w:val="auto"/>
                <w:sz w:val="24"/>
                <w:szCs w:val="24"/>
                <w:lang w:eastAsia="zh-CN"/>
              </w:rPr>
              <w:t>车库</w:t>
            </w:r>
            <w:r>
              <w:rPr>
                <w:rFonts w:hint="eastAsia" w:ascii="楷体_GB2312" w:eastAsia="楷体_GB2312"/>
                <w:color w:val="auto"/>
                <w:sz w:val="24"/>
                <w:szCs w:val="24"/>
                <w:lang w:val="en-US" w:eastAsia="zh-CN"/>
              </w:rPr>
              <w:t>/空置</w:t>
            </w:r>
            <w:r>
              <w:rPr>
                <w:rFonts w:hint="eastAsia" w:ascii="楷体_GB2312" w:eastAsia="楷体_GB2312"/>
                <w:color w:val="auto"/>
                <w:sz w:val="24"/>
                <w:szCs w:val="24"/>
              </w:rPr>
              <w:t>。</w:t>
            </w:r>
          </w:p>
        </w:tc>
      </w:tr>
    </w:tbl>
    <w:p>
      <w:pPr>
        <w:spacing w:line="500" w:lineRule="exact"/>
        <w:ind w:firstLine="560" w:firstLineChars="200"/>
        <w:rPr>
          <w:rFonts w:ascii="楷体_GB2312" w:hAnsi="宋体" w:eastAsia="楷体_GB2312"/>
          <w:sz w:val="28"/>
          <w:szCs w:val="28"/>
        </w:rPr>
      </w:pPr>
      <w:r>
        <w:rPr>
          <w:rFonts w:hint="eastAsia" w:ascii="楷体_GB2312" w:hAnsi="宋体" w:eastAsia="楷体_GB2312"/>
          <w:sz w:val="28"/>
          <w:szCs w:val="28"/>
        </w:rPr>
        <w:t>（3）使用及保养</w:t>
      </w:r>
    </w:p>
    <w:p>
      <w:pPr>
        <w:spacing w:line="500" w:lineRule="exact"/>
        <w:ind w:firstLine="560" w:firstLineChars="200"/>
        <w:rPr>
          <w:rFonts w:ascii="楷体_GB2312" w:hAnsi="宋体" w:eastAsia="楷体_GB2312"/>
          <w:color w:val="auto"/>
          <w:sz w:val="28"/>
          <w:szCs w:val="28"/>
        </w:rPr>
      </w:pPr>
      <w:r>
        <w:rPr>
          <w:rFonts w:hint="eastAsia" w:ascii="楷体_GB2312" w:hAnsi="宋体" w:eastAsia="楷体_GB2312"/>
          <w:color w:val="auto"/>
          <w:sz w:val="28"/>
          <w:szCs w:val="28"/>
        </w:rPr>
        <w:t>估价对象结构部分：基础基本稳定，无明显不均匀沉降，承重墙基本完好，非承重墙基本完好</w:t>
      </w:r>
      <w:r>
        <w:rPr>
          <w:rFonts w:hint="eastAsia" w:ascii="楷体_GB2312" w:eastAsia="楷体_GB2312"/>
          <w:color w:val="auto"/>
          <w:sz w:val="28"/>
        </w:rPr>
        <w:t>，</w:t>
      </w:r>
      <w:r>
        <w:rPr>
          <w:rFonts w:hint="eastAsia" w:ascii="楷体_GB2312" w:hAnsi="宋体" w:eastAsia="楷体_GB2312"/>
          <w:color w:val="auto"/>
          <w:sz w:val="28"/>
          <w:szCs w:val="28"/>
        </w:rPr>
        <w:t>屋面基本完好；</w:t>
      </w:r>
      <w:r>
        <w:rPr>
          <w:rFonts w:hint="eastAsia" w:ascii="楷体_GB2312" w:hAnsi="宋体" w:eastAsia="楷体_GB2312"/>
          <w:color w:val="auto"/>
          <w:sz w:val="28"/>
          <w:szCs w:val="28"/>
          <w:lang w:eastAsia="zh-CN"/>
        </w:rPr>
        <w:t>现状为车库，室内为简单装修，至价值时点可正常使用</w:t>
      </w:r>
      <w:r>
        <w:rPr>
          <w:rFonts w:hint="eastAsia" w:ascii="楷体_GB2312" w:hAnsi="楷体_GB2312" w:eastAsia="楷体_GB2312" w:cs="楷体_GB2312"/>
          <w:color w:val="auto"/>
          <w:sz w:val="28"/>
          <w:szCs w:val="28"/>
          <w:shd w:val="clear" w:color="auto" w:fill="FFFFFF"/>
        </w:rPr>
        <w:t>。</w:t>
      </w:r>
    </w:p>
    <w:p>
      <w:pPr>
        <w:spacing w:line="500" w:lineRule="exact"/>
        <w:ind w:firstLine="560" w:firstLineChars="200"/>
        <w:rPr>
          <w:rFonts w:ascii="楷体_GB2312" w:hAnsi="宋体" w:eastAsia="楷体_GB2312"/>
          <w:sz w:val="28"/>
          <w:szCs w:val="28"/>
        </w:rPr>
      </w:pPr>
      <w:r>
        <w:rPr>
          <w:rFonts w:hint="eastAsia" w:ascii="楷体_GB2312" w:hAnsi="宋体" w:eastAsia="楷体_GB2312"/>
          <w:sz w:val="28"/>
          <w:szCs w:val="28"/>
        </w:rPr>
        <w:t>3、估价对象区位状况描述与分析</w:t>
      </w:r>
    </w:p>
    <w:p>
      <w:pPr>
        <w:tabs>
          <w:tab w:val="left" w:pos="2260"/>
        </w:tabs>
        <w:spacing w:line="500" w:lineRule="exact"/>
        <w:ind w:firstLine="560" w:firstLineChars="200"/>
        <w:rPr>
          <w:rFonts w:hint="default" w:ascii="楷体_GB2312" w:hAnsi="楷体_GB2312" w:eastAsia="楷体_GB2312" w:cs="楷体_GB2312"/>
          <w:color w:val="auto"/>
          <w:sz w:val="28"/>
          <w:szCs w:val="28"/>
          <w:shd w:val="clear" w:color="auto" w:fill="FFFFFF"/>
          <w:lang w:val="en-US" w:eastAsia="zh-CN"/>
        </w:rPr>
      </w:pPr>
      <w:r>
        <w:rPr>
          <w:rFonts w:hint="eastAsia" w:ascii="楷体_GB2312" w:hAnsi="楷体_GB2312" w:eastAsia="楷体_GB2312" w:cs="楷体_GB2312"/>
          <w:sz w:val="28"/>
          <w:szCs w:val="28"/>
          <w:shd w:val="clear" w:color="auto" w:fill="FFFFFF"/>
        </w:rPr>
        <w:t>估价对象</w:t>
      </w:r>
      <w:r>
        <w:rPr>
          <w:rFonts w:hint="eastAsia" w:ascii="楷体_GB2312" w:hAnsi="楷体_GB2312" w:eastAsia="楷体_GB2312" w:cs="楷体_GB2312"/>
          <w:sz w:val="28"/>
          <w:szCs w:val="28"/>
          <w:shd w:val="clear" w:color="auto" w:fill="FFFFFF"/>
          <w:lang w:eastAsia="zh-CN"/>
        </w:rPr>
        <w:t>位于南昌市西湖区建设西路</w:t>
      </w:r>
      <w:r>
        <w:rPr>
          <w:rFonts w:hint="eastAsia" w:ascii="楷体_GB2312" w:hAnsi="楷体_GB2312" w:eastAsia="楷体_GB2312" w:cs="楷体_GB2312"/>
          <w:sz w:val="28"/>
          <w:szCs w:val="28"/>
          <w:shd w:val="clear" w:color="auto" w:fill="FFFFFF"/>
          <w:lang w:val="en-US" w:eastAsia="zh-CN"/>
        </w:rPr>
        <w:t>8号千禧颐和园小区南屏苑，小区北临建设西路，南临灌婴路，西临安石路，东临抚河；周边有莱茵半岛花园、星加坡花园、上林春天花园、玉带明珠等住宅小区，有江西司马庙建材大市场、江西省家电市场、南昌建材大市场、联信大市场、盛世东方商贸城等批发市场，小区南侧隔灌婴路与象湖毗邻，附近还有南昌动物园、玛雅乐园、南昌市博物馆、环球嘉年华等娱乐休闲场所，</w:t>
      </w:r>
      <w:r>
        <w:rPr>
          <w:rFonts w:hint="eastAsia" w:ascii="楷体_GB2312" w:hAnsi="楷体_GB2312" w:eastAsia="楷体_GB2312" w:cs="楷体_GB2312"/>
          <w:color w:val="auto"/>
          <w:sz w:val="28"/>
          <w:szCs w:val="28"/>
          <w:shd w:val="clear" w:color="auto" w:fill="FFFFFF"/>
          <w:lang w:val="en-US" w:eastAsia="zh-CN"/>
        </w:rPr>
        <w:t>估价对象位于南屏苑地下车库，所处楼栋位于小区西南门南侧，估价对象作为地下车库，能够满足停车需求。</w:t>
      </w:r>
    </w:p>
    <w:p>
      <w:pPr>
        <w:pStyle w:val="3"/>
        <w:snapToGrid w:val="0"/>
        <w:spacing w:beforeLines="50" w:afterLines="50" w:line="500" w:lineRule="exact"/>
        <w:ind w:firstLine="560" w:firstLineChars="200"/>
        <w:rPr>
          <w:rFonts w:ascii="楷体_GB2312" w:hAnsi="宋体" w:eastAsia="楷体_GB2312"/>
          <w:b w:val="0"/>
          <w:bCs w:val="0"/>
          <w:snapToGrid w:val="0"/>
          <w:kern w:val="0"/>
          <w:sz w:val="28"/>
          <w:szCs w:val="28"/>
        </w:rPr>
      </w:pPr>
      <w:bookmarkStart w:id="19" w:name="_Toc4873"/>
      <w:r>
        <w:rPr>
          <w:rFonts w:hint="eastAsia" w:ascii="楷体_GB2312" w:hAnsi="宋体" w:eastAsia="楷体_GB2312"/>
          <w:b w:val="0"/>
          <w:bCs w:val="0"/>
          <w:snapToGrid w:val="0"/>
          <w:kern w:val="0"/>
          <w:sz w:val="28"/>
          <w:szCs w:val="28"/>
        </w:rPr>
        <w:t>（五）价值时点</w:t>
      </w:r>
      <w:bookmarkEnd w:id="18"/>
      <w:bookmarkEnd w:id="19"/>
    </w:p>
    <w:p>
      <w:pPr>
        <w:spacing w:line="500" w:lineRule="exact"/>
        <w:ind w:firstLine="560" w:firstLineChars="200"/>
        <w:rPr>
          <w:rFonts w:ascii="楷体_GB2312" w:eastAsia="楷体_GB2312"/>
          <w:sz w:val="28"/>
        </w:rPr>
      </w:pPr>
      <w:r>
        <w:rPr>
          <w:rFonts w:hint="eastAsia" w:ascii="楷体_GB2312" w:eastAsia="楷体_GB2312"/>
          <w:sz w:val="28"/>
        </w:rPr>
        <w:t>依据中华人民共和国国家标准《房地产估价规范》（</w:t>
      </w:r>
      <w:r>
        <w:rPr>
          <w:rFonts w:ascii="楷体_GB2312" w:eastAsia="楷体_GB2312"/>
          <w:sz w:val="28"/>
        </w:rPr>
        <w:t>GB/T50291-</w:t>
      </w:r>
      <w:r>
        <w:rPr>
          <w:rFonts w:hint="eastAsia" w:ascii="楷体_GB2312" w:eastAsia="楷体_GB2312"/>
          <w:sz w:val="28"/>
        </w:rPr>
        <w:t>2015）、及《司法评估委托书》，在实际估价中，通常是评估现在的价值，一般将委托方委托的价值时点或估价作业期内特别是实地查看估价对象期间的某个日期（原则上为完成估价对象实地查看之日）确定为价值时点。估价人员实地查勘完成时间为</w:t>
      </w:r>
      <w:r>
        <w:rPr>
          <w:rFonts w:hint="eastAsia" w:ascii="楷体_GB2312" w:eastAsia="楷体_GB2312"/>
          <w:sz w:val="28"/>
          <w:lang w:eastAsia="zh-CN"/>
        </w:rPr>
        <w:t>2020年9月3日</w:t>
      </w:r>
      <w:r>
        <w:rPr>
          <w:rFonts w:hint="eastAsia" w:ascii="楷体_GB2312" w:eastAsia="楷体_GB2312"/>
          <w:sz w:val="28"/>
        </w:rPr>
        <w:t>，委托方委托的价值时点为</w:t>
      </w:r>
      <w:r>
        <w:rPr>
          <w:rFonts w:hint="eastAsia" w:ascii="楷体_GB2312" w:eastAsia="楷体_GB2312"/>
          <w:sz w:val="28"/>
          <w:lang w:eastAsia="zh-CN"/>
        </w:rPr>
        <w:t>2020年7月3日</w:t>
      </w:r>
      <w:r>
        <w:rPr>
          <w:rFonts w:hint="eastAsia" w:ascii="楷体_GB2312" w:eastAsia="楷体_GB2312"/>
          <w:sz w:val="28"/>
        </w:rPr>
        <w:t>，与估价人员实地查勘完成时间不一致，本次评估价值时点确定为委托的价值时点</w:t>
      </w:r>
      <w:r>
        <w:rPr>
          <w:rFonts w:hint="eastAsia" w:ascii="楷体_GB2312" w:eastAsia="楷体_GB2312"/>
          <w:sz w:val="28"/>
          <w:lang w:eastAsia="zh-CN"/>
        </w:rPr>
        <w:t>2020年7月3日</w:t>
      </w:r>
      <w:r>
        <w:rPr>
          <w:rFonts w:hint="eastAsia" w:ascii="楷体_GB2312" w:eastAsia="楷体_GB2312"/>
          <w:sz w:val="28"/>
        </w:rPr>
        <w:t>。</w:t>
      </w:r>
      <w:bookmarkStart w:id="20" w:name="_Toc326590652"/>
    </w:p>
    <w:p>
      <w:pPr>
        <w:pStyle w:val="3"/>
        <w:snapToGrid w:val="0"/>
        <w:spacing w:beforeLines="50" w:afterLines="50" w:line="500" w:lineRule="exact"/>
        <w:ind w:left="840" w:leftChars="400"/>
        <w:rPr>
          <w:rFonts w:ascii="楷体_GB2312" w:hAnsi="Times New Roman" w:eastAsia="楷体_GB2312"/>
          <w:b w:val="0"/>
          <w:bCs w:val="0"/>
          <w:sz w:val="28"/>
          <w:szCs w:val="20"/>
        </w:rPr>
      </w:pPr>
      <w:bookmarkStart w:id="21" w:name="_Toc8742"/>
      <w:r>
        <w:rPr>
          <w:rFonts w:hint="eastAsia" w:ascii="楷体_GB2312" w:hAnsi="宋体" w:eastAsia="楷体_GB2312"/>
          <w:b w:val="0"/>
          <w:snapToGrid w:val="0"/>
          <w:kern w:val="0"/>
          <w:sz w:val="28"/>
          <w:szCs w:val="28"/>
        </w:rPr>
        <w:t>（</w:t>
      </w:r>
      <w:r>
        <w:rPr>
          <w:rFonts w:hint="eastAsia" w:ascii="楷体_GB2312" w:hAnsi="Times New Roman" w:eastAsia="楷体_GB2312"/>
          <w:b w:val="0"/>
          <w:bCs w:val="0"/>
          <w:sz w:val="28"/>
          <w:szCs w:val="20"/>
        </w:rPr>
        <w:t>六）价值类型</w:t>
      </w:r>
      <w:bookmarkEnd w:id="21"/>
    </w:p>
    <w:bookmarkEnd w:id="20"/>
    <w:p>
      <w:pPr>
        <w:spacing w:line="500" w:lineRule="exact"/>
        <w:ind w:firstLine="560" w:firstLineChars="200"/>
        <w:rPr>
          <w:rFonts w:ascii="楷体_GB2312" w:eastAsia="楷体_GB2312"/>
          <w:sz w:val="28"/>
        </w:rPr>
      </w:pPr>
      <w:bookmarkStart w:id="22" w:name="_Toc326590653"/>
      <w:r>
        <w:rPr>
          <w:rFonts w:hint="eastAsia" w:ascii="楷体_GB2312" w:eastAsia="楷体_GB2312"/>
          <w:sz w:val="28"/>
        </w:rPr>
        <w:t>本报告的估价结果是指估价对象在维持现状用途并正常使用的条件下，于价值时点</w:t>
      </w:r>
      <w:r>
        <w:rPr>
          <w:rFonts w:hint="eastAsia" w:ascii="楷体_GB2312" w:eastAsia="楷体_GB2312"/>
          <w:sz w:val="28"/>
          <w:lang w:eastAsia="zh-CN"/>
        </w:rPr>
        <w:t>2020年7月3日</w:t>
      </w:r>
      <w:r>
        <w:rPr>
          <w:rFonts w:hint="eastAsia" w:ascii="楷体_GB2312" w:eastAsia="楷体_GB2312"/>
          <w:sz w:val="28"/>
        </w:rPr>
        <w:t>房地产市场价值。</w:t>
      </w:r>
    </w:p>
    <w:p>
      <w:pPr>
        <w:spacing w:line="500" w:lineRule="exact"/>
        <w:ind w:firstLine="560" w:firstLineChars="200"/>
        <w:rPr>
          <w:rFonts w:ascii="楷体_GB2312" w:eastAsia="楷体_GB2312"/>
          <w:sz w:val="28"/>
        </w:rPr>
      </w:pPr>
      <w:r>
        <w:rPr>
          <w:rFonts w:hint="eastAsia" w:ascii="楷体_GB2312" w:eastAsia="楷体_GB2312"/>
          <w:sz w:val="28"/>
        </w:rPr>
        <w:t>本报告价格货币单位均为人民币。</w:t>
      </w:r>
    </w:p>
    <w:p>
      <w:pPr>
        <w:pStyle w:val="3"/>
        <w:snapToGrid w:val="0"/>
        <w:spacing w:beforeLines="50" w:afterLines="50" w:line="500" w:lineRule="exact"/>
        <w:ind w:left="840" w:leftChars="400"/>
        <w:rPr>
          <w:rFonts w:ascii="楷体_GB2312" w:hAnsi="宋体" w:eastAsia="楷体_GB2312"/>
          <w:b w:val="0"/>
          <w:bCs w:val="0"/>
          <w:snapToGrid w:val="0"/>
          <w:kern w:val="0"/>
          <w:sz w:val="28"/>
          <w:szCs w:val="28"/>
        </w:rPr>
      </w:pPr>
      <w:bookmarkStart w:id="23" w:name="_Toc26580"/>
      <w:bookmarkStart w:id="24" w:name="_Toc326590654"/>
      <w:r>
        <w:rPr>
          <w:rFonts w:hint="eastAsia" w:ascii="楷体_GB2312" w:hAnsi="宋体" w:eastAsia="楷体_GB2312"/>
          <w:b w:val="0"/>
          <w:bCs w:val="0"/>
          <w:snapToGrid w:val="0"/>
          <w:kern w:val="0"/>
          <w:sz w:val="28"/>
          <w:szCs w:val="28"/>
        </w:rPr>
        <w:t>（七）估价原则</w:t>
      </w:r>
      <w:bookmarkEnd w:id="23"/>
      <w:bookmarkEnd w:id="24"/>
    </w:p>
    <w:p>
      <w:pPr>
        <w:pStyle w:val="9"/>
        <w:tabs>
          <w:tab w:val="left" w:pos="1080"/>
        </w:tabs>
        <w:adjustRightInd w:val="0"/>
        <w:snapToGrid w:val="0"/>
        <w:spacing w:after="0" w:line="500" w:lineRule="exact"/>
        <w:ind w:left="0" w:leftChars="0" w:firstLine="560" w:firstLineChars="200"/>
        <w:rPr>
          <w:rFonts w:ascii="楷体_GB2312" w:eastAsia="楷体_GB2312"/>
          <w:sz w:val="28"/>
          <w:szCs w:val="24"/>
        </w:rPr>
      </w:pPr>
      <w:r>
        <w:rPr>
          <w:rFonts w:hint="eastAsia" w:ascii="楷体_GB2312" w:eastAsia="楷体_GB2312"/>
          <w:sz w:val="28"/>
          <w:szCs w:val="24"/>
        </w:rPr>
        <w:t>1、独立、客观、公正原则</w:t>
      </w:r>
    </w:p>
    <w:p>
      <w:pPr>
        <w:pStyle w:val="9"/>
        <w:tabs>
          <w:tab w:val="left" w:pos="1080"/>
        </w:tabs>
        <w:adjustRightInd w:val="0"/>
        <w:snapToGrid w:val="0"/>
        <w:spacing w:after="0" w:line="500" w:lineRule="exact"/>
        <w:ind w:left="0" w:leftChars="0" w:firstLine="560" w:firstLineChars="200"/>
        <w:rPr>
          <w:rFonts w:ascii="楷体_GB2312" w:eastAsia="楷体_GB2312"/>
          <w:sz w:val="28"/>
          <w:szCs w:val="24"/>
        </w:rPr>
      </w:pPr>
      <w:r>
        <w:rPr>
          <w:rFonts w:hint="eastAsia" w:ascii="楷体_GB2312" w:eastAsia="楷体_GB2312"/>
          <w:sz w:val="28"/>
          <w:szCs w:val="24"/>
        </w:rPr>
        <w:t>“独立”是指估价机构和估价师在估价中不应受包括委托方在内的任何单位和个人的干扰，应当凭借估价专业知识、经验和应有的职业道德进行估价。“客观”是指估价机构和估价师在估价中不应带着自己的情感、好恶和偏见，应当按照事物的本来面目、实事求是地进行估价。“公正”是指估价机构和估价师在估价中不应偏袒相关当事人中的任何一方，应当坚持原则、公平正直的进行估价。</w:t>
      </w:r>
    </w:p>
    <w:p>
      <w:pPr>
        <w:pStyle w:val="9"/>
        <w:tabs>
          <w:tab w:val="left" w:pos="1080"/>
        </w:tabs>
        <w:adjustRightInd w:val="0"/>
        <w:snapToGrid w:val="0"/>
        <w:spacing w:after="0" w:line="500" w:lineRule="exact"/>
        <w:ind w:left="0" w:leftChars="0" w:firstLine="560" w:firstLineChars="200"/>
        <w:rPr>
          <w:rFonts w:ascii="楷体_GB2312" w:eastAsia="楷体_GB2312"/>
          <w:sz w:val="28"/>
          <w:szCs w:val="24"/>
        </w:rPr>
      </w:pPr>
      <w:r>
        <w:rPr>
          <w:rFonts w:hint="eastAsia" w:ascii="楷体_GB2312" w:eastAsia="楷体_GB2312"/>
          <w:sz w:val="28"/>
          <w:szCs w:val="24"/>
        </w:rPr>
        <w:t>2、合法原则</w:t>
      </w:r>
    </w:p>
    <w:p>
      <w:pPr>
        <w:pStyle w:val="9"/>
        <w:tabs>
          <w:tab w:val="left" w:pos="1080"/>
        </w:tabs>
        <w:adjustRightInd w:val="0"/>
        <w:snapToGrid w:val="0"/>
        <w:spacing w:after="0" w:line="500" w:lineRule="exact"/>
        <w:ind w:left="0" w:leftChars="0" w:firstLine="560" w:firstLineChars="200"/>
        <w:rPr>
          <w:rFonts w:ascii="楷体_GB2312" w:eastAsia="楷体_GB2312"/>
          <w:sz w:val="28"/>
          <w:szCs w:val="24"/>
        </w:rPr>
      </w:pPr>
      <w:r>
        <w:rPr>
          <w:rFonts w:hint="eastAsia" w:ascii="楷体_GB2312" w:eastAsia="楷体_GB2312"/>
          <w:sz w:val="28"/>
        </w:rPr>
        <w:t>即必须以估价对象的合法使用、合法交易或合法处分为前提进行。所谓合法，是指符合国家的法律、法规和当地政府的有关规定。一是要求在估价时必须确认估价对象具有合法产权。二是要求在估价时所涉及的估价对象用途必须是合法的。三是要求在估价中如果涉及估价对象的交易或处分方式时，该交易或处分方式必须是合法的。</w:t>
      </w:r>
    </w:p>
    <w:p>
      <w:pPr>
        <w:pStyle w:val="9"/>
        <w:tabs>
          <w:tab w:val="left" w:pos="1080"/>
        </w:tabs>
        <w:adjustRightInd w:val="0"/>
        <w:snapToGrid w:val="0"/>
        <w:spacing w:after="0" w:line="500" w:lineRule="exact"/>
        <w:ind w:left="0" w:leftChars="0" w:firstLine="560" w:firstLineChars="200"/>
        <w:rPr>
          <w:rFonts w:ascii="楷体_GB2312" w:eastAsia="楷体_GB2312"/>
          <w:sz w:val="28"/>
          <w:szCs w:val="24"/>
        </w:rPr>
      </w:pPr>
      <w:r>
        <w:rPr>
          <w:rFonts w:hint="eastAsia" w:ascii="楷体_GB2312" w:eastAsia="楷体_GB2312"/>
          <w:sz w:val="28"/>
          <w:szCs w:val="24"/>
        </w:rPr>
        <w:t>3、最高最佳使用原则</w:t>
      </w:r>
    </w:p>
    <w:p>
      <w:pPr>
        <w:pStyle w:val="9"/>
        <w:tabs>
          <w:tab w:val="left" w:pos="1080"/>
        </w:tabs>
        <w:adjustRightInd w:val="0"/>
        <w:snapToGrid w:val="0"/>
        <w:spacing w:after="0" w:line="500" w:lineRule="exact"/>
        <w:ind w:left="0" w:leftChars="0" w:firstLine="560" w:firstLineChars="200"/>
        <w:rPr>
          <w:rFonts w:hint="eastAsia" w:ascii="楷体_GB2312" w:eastAsia="楷体_GB2312"/>
          <w:sz w:val="28"/>
        </w:rPr>
      </w:pPr>
      <w:r>
        <w:rPr>
          <w:rFonts w:hint="eastAsia" w:ascii="楷体_GB2312" w:eastAsia="楷体_GB2312"/>
          <w:sz w:val="28"/>
        </w:rPr>
        <w:t>由于房地产具有用途的多样性，不同的利用方式能为权利人带来不同收益量，且房地产权利人都期望从其所占有房地产上获得更多的收益，并以能满足这一目的为确定房地产利用方式的依据，所以房地产价格是该房地产的效用作最有效发挥为前提的。</w:t>
      </w:r>
    </w:p>
    <w:p>
      <w:pPr>
        <w:pStyle w:val="9"/>
        <w:tabs>
          <w:tab w:val="left" w:pos="1080"/>
        </w:tabs>
        <w:adjustRightInd w:val="0"/>
        <w:snapToGrid w:val="0"/>
        <w:spacing w:after="0" w:line="500" w:lineRule="exact"/>
        <w:ind w:left="0" w:leftChars="0" w:firstLine="560" w:firstLineChars="200"/>
        <w:rPr>
          <w:rFonts w:ascii="楷体_GB2312" w:eastAsia="楷体_GB2312"/>
          <w:sz w:val="28"/>
          <w:szCs w:val="24"/>
        </w:rPr>
      </w:pPr>
      <w:r>
        <w:rPr>
          <w:rFonts w:hint="eastAsia" w:ascii="楷体_GB2312" w:eastAsia="楷体_GB2312"/>
          <w:sz w:val="28"/>
          <w:szCs w:val="24"/>
        </w:rPr>
        <w:t>4、替代原则</w:t>
      </w:r>
    </w:p>
    <w:p>
      <w:pPr>
        <w:pStyle w:val="9"/>
        <w:tabs>
          <w:tab w:val="left" w:pos="1080"/>
        </w:tabs>
        <w:adjustRightInd w:val="0"/>
        <w:snapToGrid w:val="0"/>
        <w:spacing w:after="0" w:line="500" w:lineRule="exact"/>
        <w:ind w:left="0" w:leftChars="0" w:firstLine="560" w:firstLineChars="200"/>
        <w:rPr>
          <w:rFonts w:ascii="楷体_GB2312" w:eastAsia="楷体_GB2312"/>
          <w:sz w:val="28"/>
        </w:rPr>
      </w:pPr>
      <w:r>
        <w:rPr>
          <w:rFonts w:hint="eastAsia" w:ascii="楷体_GB2312" w:eastAsia="楷体_GB2312"/>
          <w:sz w:val="28"/>
        </w:rPr>
        <w:t>市场竞争规律表明,多种效用相同或相似的商品在同一市场中竞争,通常是价格低者取胜。这是因为，在比较的基础上选择物美价廉的商品是每一个理智消费者的必然行为。这种市场选择的结果，必然促使效用相同或相近的商品在价格上趋同（含租赁价格），这就是市场替代原则的具体体现。</w:t>
      </w:r>
    </w:p>
    <w:p>
      <w:pPr>
        <w:pStyle w:val="9"/>
        <w:tabs>
          <w:tab w:val="left" w:pos="1080"/>
        </w:tabs>
        <w:adjustRightInd w:val="0"/>
        <w:snapToGrid w:val="0"/>
        <w:spacing w:after="0" w:line="500" w:lineRule="exact"/>
        <w:ind w:left="0" w:leftChars="0" w:firstLine="560" w:firstLineChars="200"/>
        <w:rPr>
          <w:rFonts w:ascii="楷体_GB2312" w:eastAsia="楷体_GB2312"/>
          <w:sz w:val="28"/>
          <w:szCs w:val="24"/>
        </w:rPr>
      </w:pPr>
      <w:r>
        <w:rPr>
          <w:rFonts w:hint="eastAsia" w:ascii="楷体_GB2312" w:eastAsia="楷体_GB2312"/>
          <w:sz w:val="28"/>
          <w:szCs w:val="24"/>
        </w:rPr>
        <w:t>5、价值时点原则</w:t>
      </w:r>
    </w:p>
    <w:p>
      <w:pPr>
        <w:spacing w:line="500" w:lineRule="exact"/>
        <w:ind w:firstLine="560" w:firstLineChars="200"/>
        <w:rPr>
          <w:rFonts w:ascii="楷体_GB2312" w:eastAsia="楷体_GB2312"/>
          <w:sz w:val="28"/>
        </w:rPr>
      </w:pPr>
      <w:r>
        <w:rPr>
          <w:rFonts w:hint="eastAsia" w:ascii="楷体_GB2312" w:eastAsia="楷体_GB2312"/>
          <w:sz w:val="28"/>
        </w:rPr>
        <w:t>价值时点原则强调的是估价结论具有很强的时间相关性和时效性。估价结论首先具有很强的时间相关性，这主要是考虑到资金的时间价值，在不同的时间点上发生的现金流量对其价值影响是不同的。所以，在房地产估价时统一规定：如果一些款项的发生时点与价值时点不一致，应当折算为价值时点的现值。估价结论同时具有很强的时效性，这主要是考虑到房地产市场价格的波动，同一估价对象在不同时点会具有不同的市场价格。</w:t>
      </w:r>
    </w:p>
    <w:p>
      <w:pPr>
        <w:pStyle w:val="3"/>
        <w:snapToGrid w:val="0"/>
        <w:spacing w:beforeLines="50" w:afterLines="50" w:line="500" w:lineRule="exact"/>
        <w:ind w:left="840" w:leftChars="400"/>
        <w:rPr>
          <w:rFonts w:ascii="楷体_GB2312" w:hAnsi="宋体" w:eastAsia="楷体_GB2312"/>
          <w:b w:val="0"/>
          <w:bCs w:val="0"/>
          <w:snapToGrid w:val="0"/>
          <w:kern w:val="0"/>
          <w:sz w:val="28"/>
          <w:szCs w:val="28"/>
        </w:rPr>
      </w:pPr>
      <w:bookmarkStart w:id="25" w:name="_Toc9197"/>
      <w:r>
        <w:rPr>
          <w:rFonts w:hint="eastAsia" w:ascii="楷体_GB2312" w:hAnsi="宋体" w:eastAsia="楷体_GB2312"/>
          <w:b w:val="0"/>
          <w:bCs w:val="0"/>
          <w:snapToGrid w:val="0"/>
          <w:kern w:val="0"/>
          <w:sz w:val="28"/>
          <w:szCs w:val="28"/>
        </w:rPr>
        <w:t>（八）估价依据</w:t>
      </w:r>
      <w:bookmarkEnd w:id="22"/>
      <w:bookmarkEnd w:id="25"/>
    </w:p>
    <w:p>
      <w:pPr>
        <w:spacing w:line="500" w:lineRule="exact"/>
        <w:ind w:firstLine="560" w:firstLineChars="200"/>
        <w:rPr>
          <w:rFonts w:ascii="楷体_GB2312" w:eastAsia="楷体_GB2312"/>
          <w:sz w:val="28"/>
        </w:rPr>
      </w:pPr>
      <w:r>
        <w:rPr>
          <w:rFonts w:hint="eastAsia" w:ascii="楷体_GB2312" w:eastAsia="楷体_GB2312"/>
          <w:sz w:val="28"/>
        </w:rPr>
        <w:t>本次估价所依据的有关法律、法规和政策文件：</w:t>
      </w:r>
    </w:p>
    <w:p>
      <w:pPr>
        <w:spacing w:line="500" w:lineRule="exact"/>
        <w:ind w:firstLine="560" w:firstLineChars="200"/>
        <w:rPr>
          <w:rFonts w:ascii="楷体_GB2312" w:eastAsia="楷体_GB2312"/>
          <w:sz w:val="28"/>
        </w:rPr>
      </w:pPr>
      <w:r>
        <w:rPr>
          <w:rFonts w:hint="eastAsia" w:ascii="楷体_GB2312" w:eastAsia="楷体_GB2312"/>
          <w:sz w:val="28"/>
        </w:rPr>
        <w:t>（</w:t>
      </w:r>
      <w:r>
        <w:rPr>
          <w:rFonts w:ascii="楷体_GB2312" w:eastAsia="楷体_GB2312"/>
          <w:sz w:val="28"/>
        </w:rPr>
        <w:t>1</w:t>
      </w:r>
      <w:r>
        <w:rPr>
          <w:rFonts w:hint="eastAsia" w:ascii="楷体_GB2312" w:eastAsia="楷体_GB2312"/>
          <w:sz w:val="28"/>
        </w:rPr>
        <w:t>）《中华人民共和国民事诉讼法》；</w:t>
      </w:r>
    </w:p>
    <w:p>
      <w:pPr>
        <w:spacing w:line="500" w:lineRule="exact"/>
        <w:ind w:firstLine="560" w:firstLineChars="200"/>
        <w:rPr>
          <w:rFonts w:ascii="楷体_GB2312" w:eastAsia="楷体_GB2312"/>
          <w:sz w:val="28"/>
        </w:rPr>
      </w:pPr>
      <w:r>
        <w:rPr>
          <w:rFonts w:hint="eastAsia" w:ascii="楷体_GB2312" w:eastAsia="楷体_GB2312"/>
          <w:sz w:val="28"/>
        </w:rPr>
        <w:t>（</w:t>
      </w:r>
      <w:r>
        <w:rPr>
          <w:rFonts w:ascii="楷体_GB2312" w:eastAsia="楷体_GB2312"/>
          <w:sz w:val="28"/>
        </w:rPr>
        <w:t>2</w:t>
      </w:r>
      <w:r>
        <w:rPr>
          <w:rFonts w:hint="eastAsia" w:ascii="楷体_GB2312" w:eastAsia="楷体_GB2312"/>
          <w:sz w:val="28"/>
        </w:rPr>
        <w:t>）《中华人民共和国物权法》（中华人民共和国主席令第</w:t>
      </w:r>
      <w:r>
        <w:rPr>
          <w:rFonts w:ascii="楷体_GB2312" w:eastAsia="楷体_GB2312"/>
          <w:sz w:val="28"/>
        </w:rPr>
        <w:t>62</w:t>
      </w:r>
      <w:r>
        <w:rPr>
          <w:rFonts w:hint="eastAsia" w:ascii="楷体_GB2312" w:eastAsia="楷体_GB2312"/>
          <w:sz w:val="28"/>
        </w:rPr>
        <w:t>号、</w:t>
      </w:r>
      <w:r>
        <w:rPr>
          <w:rFonts w:ascii="楷体_GB2312" w:eastAsia="楷体_GB2312"/>
          <w:sz w:val="28"/>
        </w:rPr>
        <w:t>2007</w:t>
      </w:r>
      <w:r>
        <w:rPr>
          <w:rFonts w:hint="eastAsia" w:ascii="楷体_GB2312" w:eastAsia="楷体_GB2312"/>
          <w:sz w:val="28"/>
        </w:rPr>
        <w:t>年</w:t>
      </w:r>
      <w:r>
        <w:rPr>
          <w:rFonts w:ascii="楷体_GB2312" w:eastAsia="楷体_GB2312"/>
          <w:sz w:val="28"/>
        </w:rPr>
        <w:t>10</w:t>
      </w:r>
      <w:r>
        <w:rPr>
          <w:rFonts w:hint="eastAsia" w:ascii="楷体_GB2312" w:eastAsia="楷体_GB2312"/>
          <w:sz w:val="28"/>
        </w:rPr>
        <w:t>月</w:t>
      </w:r>
      <w:r>
        <w:rPr>
          <w:rFonts w:ascii="楷体_GB2312" w:eastAsia="楷体_GB2312"/>
          <w:sz w:val="28"/>
        </w:rPr>
        <w:t>1</w:t>
      </w:r>
      <w:r>
        <w:rPr>
          <w:rFonts w:hint="eastAsia" w:ascii="楷体_GB2312" w:eastAsia="楷体_GB2312"/>
          <w:sz w:val="28"/>
        </w:rPr>
        <w:t>日起施行）；</w:t>
      </w:r>
    </w:p>
    <w:p>
      <w:pPr>
        <w:spacing w:line="500" w:lineRule="exact"/>
        <w:ind w:firstLine="560" w:firstLineChars="200"/>
        <w:rPr>
          <w:rFonts w:ascii="楷体_GB2312" w:eastAsia="楷体_GB2312"/>
          <w:sz w:val="28"/>
        </w:rPr>
      </w:pPr>
      <w:r>
        <w:rPr>
          <w:rFonts w:hint="eastAsia" w:ascii="楷体_GB2312" w:eastAsia="楷体_GB2312"/>
          <w:sz w:val="28"/>
        </w:rPr>
        <w:t>（</w:t>
      </w:r>
      <w:r>
        <w:rPr>
          <w:rFonts w:ascii="楷体_GB2312" w:eastAsia="楷体_GB2312"/>
          <w:sz w:val="28"/>
        </w:rPr>
        <w:t>3</w:t>
      </w:r>
      <w:r>
        <w:rPr>
          <w:rFonts w:hint="eastAsia" w:ascii="楷体_GB2312" w:eastAsia="楷体_GB2312"/>
          <w:sz w:val="28"/>
        </w:rPr>
        <w:t>）《中华人民共和国土地管理法》（</w:t>
      </w:r>
      <w:r>
        <w:rPr>
          <w:rFonts w:ascii="楷体_GB2312" w:eastAsia="楷体_GB2312"/>
          <w:sz w:val="28"/>
        </w:rPr>
        <w:t>2004</w:t>
      </w:r>
      <w:r>
        <w:rPr>
          <w:rFonts w:hint="eastAsia" w:ascii="楷体_GB2312" w:eastAsia="楷体_GB2312"/>
          <w:sz w:val="28"/>
        </w:rPr>
        <w:t>年</w:t>
      </w:r>
      <w:r>
        <w:rPr>
          <w:rFonts w:ascii="楷体_GB2312" w:eastAsia="楷体_GB2312"/>
          <w:sz w:val="28"/>
        </w:rPr>
        <w:t>8</w:t>
      </w:r>
      <w:r>
        <w:rPr>
          <w:rFonts w:hint="eastAsia" w:ascii="楷体_GB2312" w:eastAsia="楷体_GB2312"/>
          <w:sz w:val="28"/>
        </w:rPr>
        <w:t>月</w:t>
      </w:r>
      <w:r>
        <w:rPr>
          <w:rFonts w:ascii="楷体_GB2312" w:eastAsia="楷体_GB2312"/>
          <w:sz w:val="28"/>
        </w:rPr>
        <w:t>28</w:t>
      </w:r>
      <w:r>
        <w:rPr>
          <w:rFonts w:hint="eastAsia" w:ascii="楷体_GB2312" w:eastAsia="楷体_GB2312"/>
          <w:sz w:val="28"/>
        </w:rPr>
        <w:t>日中华人民共和国主席令第</w:t>
      </w:r>
      <w:r>
        <w:rPr>
          <w:rFonts w:ascii="楷体_GB2312" w:eastAsia="楷体_GB2312"/>
          <w:sz w:val="28"/>
        </w:rPr>
        <w:t>28</w:t>
      </w:r>
      <w:r>
        <w:rPr>
          <w:rFonts w:hint="eastAsia" w:ascii="楷体_GB2312" w:eastAsia="楷体_GB2312"/>
          <w:sz w:val="28"/>
        </w:rPr>
        <w:t>号（第二次修正）、</w:t>
      </w:r>
      <w:r>
        <w:rPr>
          <w:rFonts w:ascii="楷体_GB2312" w:eastAsia="楷体_GB2312"/>
          <w:sz w:val="28"/>
        </w:rPr>
        <w:t>1999</w:t>
      </w:r>
      <w:r>
        <w:rPr>
          <w:rFonts w:hint="eastAsia" w:ascii="楷体_GB2312" w:eastAsia="楷体_GB2312"/>
          <w:sz w:val="28"/>
        </w:rPr>
        <w:t>年</w:t>
      </w:r>
      <w:r>
        <w:rPr>
          <w:rFonts w:ascii="楷体_GB2312" w:eastAsia="楷体_GB2312"/>
          <w:sz w:val="28"/>
        </w:rPr>
        <w:t>1</w:t>
      </w:r>
      <w:r>
        <w:rPr>
          <w:rFonts w:hint="eastAsia" w:ascii="楷体_GB2312" w:eastAsia="楷体_GB2312"/>
          <w:sz w:val="28"/>
        </w:rPr>
        <w:t>月</w:t>
      </w:r>
      <w:r>
        <w:rPr>
          <w:rFonts w:ascii="楷体_GB2312" w:eastAsia="楷体_GB2312"/>
          <w:sz w:val="28"/>
        </w:rPr>
        <w:t>1</w:t>
      </w:r>
      <w:r>
        <w:rPr>
          <w:rFonts w:hint="eastAsia" w:ascii="楷体_GB2312" w:eastAsia="楷体_GB2312"/>
          <w:sz w:val="28"/>
        </w:rPr>
        <w:t>日起施行）；</w:t>
      </w:r>
    </w:p>
    <w:p>
      <w:pPr>
        <w:spacing w:line="500" w:lineRule="exact"/>
        <w:ind w:firstLine="560" w:firstLineChars="200"/>
        <w:rPr>
          <w:rFonts w:ascii="楷体_GB2312" w:eastAsia="楷体_GB2312"/>
          <w:sz w:val="28"/>
        </w:rPr>
      </w:pPr>
      <w:r>
        <w:rPr>
          <w:rFonts w:hint="eastAsia" w:ascii="楷体_GB2312" w:eastAsia="楷体_GB2312"/>
          <w:sz w:val="28"/>
        </w:rPr>
        <w:t>（</w:t>
      </w:r>
      <w:r>
        <w:rPr>
          <w:rFonts w:ascii="楷体_GB2312" w:eastAsia="楷体_GB2312"/>
          <w:sz w:val="28"/>
        </w:rPr>
        <w:t>4</w:t>
      </w:r>
      <w:r>
        <w:rPr>
          <w:rFonts w:hint="eastAsia" w:ascii="楷体_GB2312" w:eastAsia="楷体_GB2312"/>
          <w:sz w:val="28"/>
        </w:rPr>
        <w:t>）《中华人民共和国城市房地产管理法》（</w:t>
      </w:r>
      <w:r>
        <w:rPr>
          <w:rFonts w:ascii="楷体_GB2312" w:eastAsia="楷体_GB2312"/>
          <w:sz w:val="28"/>
        </w:rPr>
        <w:t>1994</w:t>
      </w:r>
      <w:r>
        <w:rPr>
          <w:rFonts w:hint="eastAsia" w:ascii="楷体_GB2312" w:eastAsia="楷体_GB2312"/>
          <w:sz w:val="28"/>
        </w:rPr>
        <w:t>年</w:t>
      </w:r>
      <w:r>
        <w:rPr>
          <w:rFonts w:ascii="楷体_GB2312" w:eastAsia="楷体_GB2312"/>
          <w:sz w:val="28"/>
        </w:rPr>
        <w:t>7</w:t>
      </w:r>
      <w:r>
        <w:rPr>
          <w:rFonts w:hint="eastAsia" w:ascii="楷体_GB2312" w:eastAsia="楷体_GB2312"/>
          <w:sz w:val="28"/>
        </w:rPr>
        <w:t>月</w:t>
      </w:r>
      <w:r>
        <w:rPr>
          <w:rFonts w:ascii="楷体_GB2312" w:eastAsia="楷体_GB2312"/>
          <w:sz w:val="28"/>
        </w:rPr>
        <w:t>5</w:t>
      </w:r>
      <w:r>
        <w:rPr>
          <w:rFonts w:hint="eastAsia" w:ascii="楷体_GB2312" w:eastAsia="楷体_GB2312"/>
          <w:sz w:val="28"/>
        </w:rPr>
        <w:t>日中华人民共和国主席令第</w:t>
      </w:r>
      <w:r>
        <w:rPr>
          <w:rFonts w:ascii="楷体_GB2312" w:eastAsia="楷体_GB2312"/>
          <w:sz w:val="28"/>
        </w:rPr>
        <w:t>29</w:t>
      </w:r>
      <w:r>
        <w:rPr>
          <w:rFonts w:hint="eastAsia" w:ascii="楷体_GB2312" w:eastAsia="楷体_GB2312"/>
          <w:sz w:val="28"/>
        </w:rPr>
        <w:t>号、</w:t>
      </w:r>
      <w:r>
        <w:rPr>
          <w:rFonts w:ascii="楷体_GB2312" w:eastAsia="楷体_GB2312"/>
          <w:sz w:val="28"/>
        </w:rPr>
        <w:t>1995</w:t>
      </w:r>
      <w:r>
        <w:rPr>
          <w:rFonts w:hint="eastAsia" w:ascii="楷体_GB2312" w:eastAsia="楷体_GB2312"/>
          <w:sz w:val="28"/>
        </w:rPr>
        <w:t>年</w:t>
      </w:r>
      <w:r>
        <w:rPr>
          <w:rFonts w:ascii="楷体_GB2312" w:eastAsia="楷体_GB2312"/>
          <w:sz w:val="28"/>
        </w:rPr>
        <w:t>1</w:t>
      </w:r>
      <w:r>
        <w:rPr>
          <w:rFonts w:hint="eastAsia" w:ascii="楷体_GB2312" w:eastAsia="楷体_GB2312"/>
          <w:sz w:val="28"/>
        </w:rPr>
        <w:t>月</w:t>
      </w:r>
      <w:r>
        <w:rPr>
          <w:rFonts w:ascii="楷体_GB2312" w:eastAsia="楷体_GB2312"/>
          <w:sz w:val="28"/>
        </w:rPr>
        <w:t>1</w:t>
      </w:r>
      <w:r>
        <w:rPr>
          <w:rFonts w:hint="eastAsia" w:ascii="楷体_GB2312" w:eastAsia="楷体_GB2312"/>
          <w:sz w:val="28"/>
        </w:rPr>
        <w:t>日起施行）；</w:t>
      </w:r>
    </w:p>
    <w:p>
      <w:pPr>
        <w:spacing w:line="500" w:lineRule="exact"/>
        <w:ind w:firstLine="560" w:firstLineChars="200"/>
        <w:rPr>
          <w:rFonts w:ascii="楷体_GB2312" w:eastAsia="楷体_GB2312"/>
          <w:sz w:val="28"/>
        </w:rPr>
      </w:pPr>
      <w:r>
        <w:rPr>
          <w:rFonts w:hint="eastAsia" w:ascii="楷体_GB2312" w:eastAsia="楷体_GB2312"/>
          <w:sz w:val="28"/>
        </w:rPr>
        <w:t>（5）《中华人民共和国资产评估法》（中华人民共和国主席令第46号，自2016年12月1日起实施）</w:t>
      </w:r>
    </w:p>
    <w:p>
      <w:pPr>
        <w:spacing w:line="500" w:lineRule="exact"/>
        <w:ind w:firstLine="560" w:firstLineChars="200"/>
        <w:rPr>
          <w:rFonts w:ascii="楷体_GB2312" w:eastAsia="楷体_GB2312"/>
          <w:sz w:val="28"/>
        </w:rPr>
      </w:pPr>
      <w:r>
        <w:rPr>
          <w:rFonts w:hint="eastAsia" w:ascii="楷体_GB2312" w:eastAsia="楷体_GB2312"/>
          <w:sz w:val="28"/>
        </w:rPr>
        <w:t>（6）《中华人民共和国担保法》（</w:t>
      </w:r>
      <w:r>
        <w:rPr>
          <w:rFonts w:ascii="楷体_GB2312" w:eastAsia="楷体_GB2312"/>
          <w:sz w:val="28"/>
        </w:rPr>
        <w:t>1995</w:t>
      </w:r>
      <w:r>
        <w:rPr>
          <w:rFonts w:hint="eastAsia" w:ascii="楷体_GB2312" w:eastAsia="楷体_GB2312"/>
          <w:sz w:val="28"/>
        </w:rPr>
        <w:t>年</w:t>
      </w:r>
      <w:r>
        <w:rPr>
          <w:rFonts w:ascii="楷体_GB2312" w:eastAsia="楷体_GB2312"/>
          <w:sz w:val="28"/>
        </w:rPr>
        <w:t>6</w:t>
      </w:r>
      <w:r>
        <w:rPr>
          <w:rFonts w:hint="eastAsia" w:ascii="楷体_GB2312" w:eastAsia="楷体_GB2312"/>
          <w:sz w:val="28"/>
        </w:rPr>
        <w:t>月</w:t>
      </w:r>
      <w:r>
        <w:rPr>
          <w:rFonts w:ascii="楷体_GB2312" w:eastAsia="楷体_GB2312"/>
          <w:sz w:val="28"/>
        </w:rPr>
        <w:t>30</w:t>
      </w:r>
      <w:r>
        <w:rPr>
          <w:rFonts w:hint="eastAsia" w:ascii="楷体_GB2312" w:eastAsia="楷体_GB2312"/>
          <w:sz w:val="28"/>
        </w:rPr>
        <w:t>日中华人民共和国主席令第</w:t>
      </w:r>
      <w:r>
        <w:rPr>
          <w:rFonts w:ascii="楷体_GB2312" w:eastAsia="楷体_GB2312"/>
          <w:sz w:val="28"/>
        </w:rPr>
        <w:t>50</w:t>
      </w:r>
      <w:r>
        <w:rPr>
          <w:rFonts w:hint="eastAsia" w:ascii="楷体_GB2312" w:eastAsia="楷体_GB2312"/>
          <w:sz w:val="28"/>
        </w:rPr>
        <w:t>号、</w:t>
      </w:r>
      <w:r>
        <w:rPr>
          <w:rFonts w:ascii="楷体_GB2312" w:eastAsia="楷体_GB2312"/>
          <w:sz w:val="28"/>
        </w:rPr>
        <w:t>1995</w:t>
      </w:r>
      <w:r>
        <w:rPr>
          <w:rFonts w:hint="eastAsia" w:ascii="楷体_GB2312" w:eastAsia="楷体_GB2312"/>
          <w:sz w:val="28"/>
        </w:rPr>
        <w:t>年</w:t>
      </w:r>
      <w:r>
        <w:rPr>
          <w:rFonts w:ascii="楷体_GB2312" w:eastAsia="楷体_GB2312"/>
          <w:sz w:val="28"/>
        </w:rPr>
        <w:t>10</w:t>
      </w:r>
      <w:r>
        <w:rPr>
          <w:rFonts w:hint="eastAsia" w:ascii="楷体_GB2312" w:eastAsia="楷体_GB2312"/>
          <w:sz w:val="28"/>
        </w:rPr>
        <w:t>月</w:t>
      </w:r>
      <w:r>
        <w:rPr>
          <w:rFonts w:ascii="楷体_GB2312" w:eastAsia="楷体_GB2312"/>
          <w:sz w:val="28"/>
        </w:rPr>
        <w:t>1</w:t>
      </w:r>
      <w:r>
        <w:rPr>
          <w:rFonts w:hint="eastAsia" w:ascii="楷体_GB2312" w:eastAsia="楷体_GB2312"/>
          <w:sz w:val="28"/>
        </w:rPr>
        <w:t>日起施行）；</w:t>
      </w:r>
    </w:p>
    <w:p>
      <w:pPr>
        <w:spacing w:line="500" w:lineRule="exact"/>
        <w:ind w:firstLine="560" w:firstLineChars="200"/>
        <w:rPr>
          <w:rFonts w:ascii="楷体_GB2312" w:eastAsia="楷体_GB2312"/>
          <w:sz w:val="28"/>
        </w:rPr>
      </w:pPr>
      <w:r>
        <w:rPr>
          <w:rFonts w:hint="eastAsia" w:ascii="楷体_GB2312" w:eastAsia="楷体_GB2312"/>
          <w:sz w:val="28"/>
        </w:rPr>
        <w:t>（7）《中华人民共和国土地管理法实施条例》；</w:t>
      </w:r>
    </w:p>
    <w:p>
      <w:pPr>
        <w:spacing w:line="500" w:lineRule="exact"/>
        <w:ind w:firstLine="560" w:firstLineChars="200"/>
        <w:rPr>
          <w:rFonts w:ascii="楷体_GB2312" w:eastAsia="楷体_GB2312"/>
          <w:sz w:val="28"/>
        </w:rPr>
      </w:pPr>
      <w:r>
        <w:rPr>
          <w:rFonts w:hint="eastAsia" w:ascii="楷体_GB2312" w:eastAsia="楷体_GB2312"/>
          <w:sz w:val="28"/>
        </w:rPr>
        <w:t>（8）《中华人民共和国城镇国有土地使用权出让和转让暂行条例》（国务院</w:t>
      </w:r>
      <w:r>
        <w:rPr>
          <w:rFonts w:ascii="楷体_GB2312" w:eastAsia="楷体_GB2312"/>
          <w:sz w:val="28"/>
        </w:rPr>
        <w:t>[90]55</w:t>
      </w:r>
      <w:r>
        <w:rPr>
          <w:rFonts w:hint="eastAsia" w:ascii="楷体_GB2312" w:eastAsia="楷体_GB2312"/>
          <w:sz w:val="28"/>
        </w:rPr>
        <w:t>号令、</w:t>
      </w:r>
      <w:r>
        <w:rPr>
          <w:rFonts w:ascii="楷体_GB2312" w:eastAsia="楷体_GB2312"/>
          <w:sz w:val="28"/>
        </w:rPr>
        <w:t>1990</w:t>
      </w:r>
      <w:r>
        <w:rPr>
          <w:rFonts w:hint="eastAsia" w:ascii="楷体_GB2312" w:eastAsia="楷体_GB2312"/>
          <w:sz w:val="28"/>
        </w:rPr>
        <w:t>年</w:t>
      </w:r>
      <w:r>
        <w:rPr>
          <w:rFonts w:ascii="楷体_GB2312" w:eastAsia="楷体_GB2312"/>
          <w:sz w:val="28"/>
        </w:rPr>
        <w:t>5</w:t>
      </w:r>
      <w:r>
        <w:rPr>
          <w:rFonts w:hint="eastAsia" w:ascii="楷体_GB2312" w:eastAsia="楷体_GB2312"/>
          <w:sz w:val="28"/>
        </w:rPr>
        <w:t>月</w:t>
      </w:r>
      <w:r>
        <w:rPr>
          <w:rFonts w:ascii="楷体_GB2312" w:eastAsia="楷体_GB2312"/>
          <w:sz w:val="28"/>
        </w:rPr>
        <w:t>19</w:t>
      </w:r>
      <w:r>
        <w:rPr>
          <w:rFonts w:hint="eastAsia" w:ascii="楷体_GB2312" w:eastAsia="楷体_GB2312"/>
          <w:sz w:val="28"/>
        </w:rPr>
        <w:t>日起施行）；</w:t>
      </w:r>
    </w:p>
    <w:p>
      <w:pPr>
        <w:spacing w:line="500" w:lineRule="exact"/>
        <w:ind w:firstLine="560" w:firstLineChars="200"/>
        <w:rPr>
          <w:rFonts w:ascii="楷体_GB2312" w:eastAsia="楷体_GB2312"/>
          <w:sz w:val="28"/>
        </w:rPr>
      </w:pPr>
      <w:r>
        <w:rPr>
          <w:rFonts w:hint="eastAsia" w:ascii="楷体_GB2312" w:eastAsia="楷体_GB2312"/>
          <w:sz w:val="28"/>
        </w:rPr>
        <w:t>（9）《城市房地产转让管理规定》；</w:t>
      </w:r>
    </w:p>
    <w:p>
      <w:pPr>
        <w:spacing w:line="500" w:lineRule="exact"/>
        <w:ind w:firstLine="560" w:firstLineChars="200"/>
        <w:rPr>
          <w:rFonts w:ascii="楷体_GB2312" w:eastAsia="楷体_GB2312"/>
          <w:sz w:val="28"/>
        </w:rPr>
      </w:pPr>
      <w:r>
        <w:rPr>
          <w:rFonts w:hint="eastAsia" w:ascii="楷体_GB2312" w:eastAsia="楷体_GB2312"/>
          <w:sz w:val="28"/>
        </w:rPr>
        <w:t>（10）《最高人民法院关于人民法院民事执行中拍卖、变卖财产的规定》</w:t>
      </w:r>
      <w:r>
        <w:rPr>
          <w:rFonts w:ascii="楷体_GB2312" w:eastAsia="楷体_GB2312"/>
          <w:sz w:val="28"/>
        </w:rPr>
        <w:t>(</w:t>
      </w:r>
      <w:r>
        <w:rPr>
          <w:rFonts w:hint="eastAsia" w:ascii="楷体_GB2312" w:eastAsia="楷体_GB2312"/>
          <w:sz w:val="28"/>
        </w:rPr>
        <w:t>法释</w:t>
      </w:r>
      <w:r>
        <w:rPr>
          <w:rFonts w:ascii="楷体_GB2312" w:eastAsia="楷体_GB2312"/>
          <w:sz w:val="28"/>
        </w:rPr>
        <w:t>[2004]16</w:t>
      </w:r>
      <w:r>
        <w:rPr>
          <w:rFonts w:hint="eastAsia" w:ascii="楷体_GB2312" w:eastAsia="楷体_GB2312"/>
          <w:sz w:val="28"/>
        </w:rPr>
        <w:t>号</w:t>
      </w:r>
      <w:r>
        <w:rPr>
          <w:rFonts w:ascii="楷体_GB2312" w:eastAsia="楷体_GB2312"/>
          <w:sz w:val="28"/>
        </w:rPr>
        <w:t>) [2005</w:t>
      </w:r>
      <w:r>
        <w:rPr>
          <w:rFonts w:hint="eastAsia" w:ascii="楷体_GB2312" w:eastAsia="楷体_GB2312"/>
          <w:sz w:val="28"/>
        </w:rPr>
        <w:t>年</w:t>
      </w:r>
      <w:r>
        <w:rPr>
          <w:rFonts w:ascii="楷体_GB2312" w:eastAsia="楷体_GB2312"/>
          <w:sz w:val="28"/>
        </w:rPr>
        <w:t>1</w:t>
      </w:r>
      <w:r>
        <w:rPr>
          <w:rFonts w:hint="eastAsia" w:ascii="楷体_GB2312" w:eastAsia="楷体_GB2312"/>
          <w:sz w:val="28"/>
        </w:rPr>
        <w:t>月</w:t>
      </w:r>
      <w:r>
        <w:rPr>
          <w:rFonts w:ascii="楷体_GB2312" w:eastAsia="楷体_GB2312"/>
          <w:sz w:val="28"/>
        </w:rPr>
        <w:t>1</w:t>
      </w:r>
      <w:r>
        <w:rPr>
          <w:rFonts w:hint="eastAsia" w:ascii="楷体_GB2312" w:eastAsia="楷体_GB2312"/>
          <w:sz w:val="28"/>
        </w:rPr>
        <w:t>日起实施</w:t>
      </w:r>
      <w:r>
        <w:rPr>
          <w:rFonts w:ascii="楷体_GB2312" w:eastAsia="楷体_GB2312"/>
          <w:sz w:val="28"/>
        </w:rPr>
        <w:t>]</w:t>
      </w:r>
      <w:r>
        <w:rPr>
          <w:rFonts w:hint="eastAsia" w:ascii="楷体_GB2312" w:eastAsia="楷体_GB2312"/>
          <w:sz w:val="28"/>
        </w:rPr>
        <w:t>；</w:t>
      </w:r>
    </w:p>
    <w:p>
      <w:pPr>
        <w:spacing w:line="500" w:lineRule="exact"/>
        <w:ind w:firstLine="560" w:firstLineChars="200"/>
        <w:rPr>
          <w:rFonts w:ascii="楷体_GB2312" w:eastAsia="楷体_GB2312"/>
          <w:sz w:val="28"/>
        </w:rPr>
      </w:pPr>
      <w:r>
        <w:rPr>
          <w:rFonts w:hint="eastAsia" w:ascii="楷体_GB2312" w:eastAsia="楷体_GB2312"/>
          <w:sz w:val="28"/>
        </w:rPr>
        <w:t>（</w:t>
      </w:r>
      <w:r>
        <w:rPr>
          <w:rFonts w:ascii="楷体_GB2312" w:eastAsia="楷体_GB2312"/>
          <w:sz w:val="28"/>
        </w:rPr>
        <w:t>1</w:t>
      </w:r>
      <w:r>
        <w:rPr>
          <w:rFonts w:hint="eastAsia" w:ascii="楷体_GB2312" w:eastAsia="楷体_GB2312"/>
          <w:sz w:val="28"/>
        </w:rPr>
        <w:t>1）《司法鉴定程序通则》（2016年5月1日司法部第139号令）[2016年5月1日起施行]。</w:t>
      </w:r>
    </w:p>
    <w:p>
      <w:pPr>
        <w:spacing w:line="500" w:lineRule="exact"/>
        <w:ind w:firstLine="560" w:firstLineChars="200"/>
        <w:rPr>
          <w:rFonts w:ascii="楷体_GB2312" w:eastAsia="楷体_GB2312"/>
          <w:sz w:val="28"/>
        </w:rPr>
      </w:pPr>
      <w:r>
        <w:rPr>
          <w:rFonts w:hint="eastAsia" w:ascii="楷体_GB2312" w:eastAsia="楷体_GB2312"/>
          <w:sz w:val="28"/>
        </w:rPr>
        <w:t>（12）《江西省高级人民法院关于全省法院网络司法拍卖的实施细则（试行）》。</w:t>
      </w:r>
    </w:p>
    <w:p>
      <w:pPr>
        <w:spacing w:line="500" w:lineRule="exact"/>
        <w:ind w:firstLine="560" w:firstLineChars="200"/>
        <w:rPr>
          <w:rFonts w:ascii="楷体_GB2312" w:eastAsia="楷体_GB2312"/>
          <w:sz w:val="28"/>
        </w:rPr>
      </w:pPr>
      <w:r>
        <w:rPr>
          <w:rFonts w:ascii="楷体_GB2312" w:eastAsia="楷体_GB2312"/>
          <w:sz w:val="28"/>
        </w:rPr>
        <w:t>2.</w:t>
      </w:r>
      <w:r>
        <w:rPr>
          <w:rFonts w:hint="eastAsia" w:ascii="楷体_GB2312" w:eastAsia="楷体_GB2312"/>
          <w:sz w:val="28"/>
        </w:rPr>
        <w:t>技术标准、规程、规范</w:t>
      </w:r>
    </w:p>
    <w:p>
      <w:pPr>
        <w:spacing w:line="500" w:lineRule="exact"/>
        <w:ind w:firstLine="560" w:firstLineChars="200"/>
        <w:rPr>
          <w:rFonts w:ascii="楷体_GB2312" w:eastAsia="楷体_GB2312"/>
          <w:sz w:val="28"/>
        </w:rPr>
      </w:pPr>
      <w:r>
        <w:rPr>
          <w:rFonts w:hint="eastAsia" w:ascii="楷体_GB2312" w:eastAsia="楷体_GB2312"/>
          <w:sz w:val="28"/>
        </w:rPr>
        <w:t>（</w:t>
      </w:r>
      <w:r>
        <w:rPr>
          <w:rFonts w:ascii="楷体_GB2312" w:eastAsia="楷体_GB2312"/>
          <w:sz w:val="28"/>
        </w:rPr>
        <w:t>1</w:t>
      </w:r>
      <w:r>
        <w:rPr>
          <w:rFonts w:hint="eastAsia" w:ascii="楷体_GB2312" w:eastAsia="楷体_GB2312"/>
          <w:sz w:val="28"/>
        </w:rPr>
        <w:t>）《房地产估价规范》（</w:t>
      </w:r>
      <w:r>
        <w:rPr>
          <w:rFonts w:ascii="楷体_GB2312" w:eastAsia="楷体_GB2312"/>
          <w:sz w:val="28"/>
        </w:rPr>
        <w:t>GB/T 50291-2015</w:t>
      </w:r>
      <w:r>
        <w:rPr>
          <w:rFonts w:hint="eastAsia" w:ascii="楷体_GB2312" w:eastAsia="楷体_GB2312"/>
          <w:sz w:val="28"/>
        </w:rPr>
        <w:t>）</w:t>
      </w:r>
    </w:p>
    <w:p>
      <w:pPr>
        <w:spacing w:line="500" w:lineRule="exact"/>
        <w:ind w:firstLine="560" w:firstLineChars="200"/>
        <w:rPr>
          <w:rFonts w:ascii="楷体_GB2312" w:eastAsia="楷体_GB2312"/>
          <w:sz w:val="28"/>
        </w:rPr>
      </w:pPr>
      <w:r>
        <w:rPr>
          <w:rFonts w:hint="eastAsia" w:ascii="楷体_GB2312" w:eastAsia="楷体_GB2312"/>
          <w:sz w:val="28"/>
        </w:rPr>
        <w:t>（</w:t>
      </w:r>
      <w:r>
        <w:rPr>
          <w:rFonts w:ascii="楷体_GB2312" w:eastAsia="楷体_GB2312"/>
          <w:sz w:val="28"/>
        </w:rPr>
        <w:t>2</w:t>
      </w:r>
      <w:r>
        <w:rPr>
          <w:rFonts w:hint="eastAsia" w:ascii="楷体_GB2312" w:eastAsia="楷体_GB2312"/>
          <w:sz w:val="28"/>
        </w:rPr>
        <w:t>）《城镇土地估价规程》</w:t>
      </w:r>
    </w:p>
    <w:p>
      <w:pPr>
        <w:spacing w:line="500" w:lineRule="exact"/>
        <w:ind w:firstLine="560" w:firstLineChars="200"/>
        <w:rPr>
          <w:rFonts w:ascii="楷体_GB2312" w:eastAsia="楷体_GB2312"/>
          <w:sz w:val="28"/>
        </w:rPr>
      </w:pPr>
      <w:r>
        <w:rPr>
          <w:rFonts w:hint="eastAsia" w:ascii="楷体_GB2312" w:eastAsia="楷体_GB2312"/>
          <w:sz w:val="28"/>
        </w:rPr>
        <w:t>（</w:t>
      </w:r>
      <w:r>
        <w:rPr>
          <w:rFonts w:ascii="楷体_GB2312" w:eastAsia="楷体_GB2312"/>
          <w:sz w:val="28"/>
        </w:rPr>
        <w:t>3</w:t>
      </w:r>
      <w:r>
        <w:rPr>
          <w:rFonts w:hint="eastAsia" w:ascii="楷体_GB2312" w:eastAsia="楷体_GB2312"/>
          <w:sz w:val="28"/>
        </w:rPr>
        <w:t>）《房地产估价基本术语标准》（</w:t>
      </w:r>
      <w:r>
        <w:rPr>
          <w:rFonts w:ascii="楷体_GB2312" w:eastAsia="楷体_GB2312"/>
          <w:sz w:val="28"/>
        </w:rPr>
        <w:t>GB/T50899-2013</w:t>
      </w:r>
      <w:r>
        <w:rPr>
          <w:rFonts w:hint="eastAsia" w:ascii="楷体_GB2312" w:eastAsia="楷体_GB2312"/>
          <w:sz w:val="28"/>
        </w:rPr>
        <w:t>、中华人民共和国住房和城乡建设部、国家质量监督检验检疫总局联合发布、</w:t>
      </w:r>
      <w:r>
        <w:rPr>
          <w:rFonts w:ascii="楷体_GB2312" w:eastAsia="楷体_GB2312"/>
          <w:sz w:val="28"/>
        </w:rPr>
        <w:t>2013</w:t>
      </w:r>
      <w:r>
        <w:rPr>
          <w:rFonts w:hint="eastAsia" w:ascii="楷体_GB2312" w:eastAsia="楷体_GB2312"/>
          <w:sz w:val="28"/>
        </w:rPr>
        <w:t>年</w:t>
      </w:r>
      <w:r>
        <w:rPr>
          <w:rFonts w:ascii="楷体_GB2312" w:eastAsia="楷体_GB2312"/>
          <w:sz w:val="28"/>
        </w:rPr>
        <w:t>6</w:t>
      </w:r>
      <w:r>
        <w:rPr>
          <w:rFonts w:hint="eastAsia" w:ascii="楷体_GB2312" w:eastAsia="楷体_GB2312"/>
          <w:sz w:val="28"/>
        </w:rPr>
        <w:t>月</w:t>
      </w:r>
      <w:r>
        <w:rPr>
          <w:rFonts w:ascii="楷体_GB2312" w:eastAsia="楷体_GB2312"/>
          <w:sz w:val="28"/>
        </w:rPr>
        <w:t>26</w:t>
      </w:r>
      <w:r>
        <w:rPr>
          <w:rFonts w:hint="eastAsia" w:ascii="楷体_GB2312" w:eastAsia="楷体_GB2312"/>
          <w:sz w:val="28"/>
        </w:rPr>
        <w:t>日发布、</w:t>
      </w:r>
      <w:r>
        <w:rPr>
          <w:rFonts w:ascii="楷体_GB2312" w:eastAsia="楷体_GB2312"/>
          <w:sz w:val="28"/>
        </w:rPr>
        <w:t>2014</w:t>
      </w:r>
      <w:r>
        <w:rPr>
          <w:rFonts w:hint="eastAsia" w:ascii="楷体_GB2312" w:eastAsia="楷体_GB2312"/>
          <w:sz w:val="28"/>
        </w:rPr>
        <w:t>年</w:t>
      </w:r>
      <w:r>
        <w:rPr>
          <w:rFonts w:ascii="楷体_GB2312" w:eastAsia="楷体_GB2312"/>
          <w:sz w:val="28"/>
        </w:rPr>
        <w:t>2</w:t>
      </w:r>
      <w:r>
        <w:rPr>
          <w:rFonts w:hint="eastAsia" w:ascii="楷体_GB2312" w:eastAsia="楷体_GB2312"/>
          <w:sz w:val="28"/>
        </w:rPr>
        <w:t>月</w:t>
      </w:r>
      <w:r>
        <w:rPr>
          <w:rFonts w:ascii="楷体_GB2312" w:eastAsia="楷体_GB2312"/>
          <w:sz w:val="28"/>
        </w:rPr>
        <w:t>1</w:t>
      </w:r>
      <w:r>
        <w:rPr>
          <w:rFonts w:hint="eastAsia" w:ascii="楷体_GB2312" w:eastAsia="楷体_GB2312"/>
          <w:sz w:val="28"/>
        </w:rPr>
        <w:t>日实施）</w:t>
      </w:r>
    </w:p>
    <w:p>
      <w:pPr>
        <w:spacing w:line="500" w:lineRule="exact"/>
        <w:ind w:firstLine="560" w:firstLineChars="200"/>
        <w:rPr>
          <w:rFonts w:ascii="楷体_GB2312" w:eastAsia="楷体_GB2312"/>
          <w:sz w:val="28"/>
        </w:rPr>
      </w:pPr>
      <w:r>
        <w:rPr>
          <w:rFonts w:hint="eastAsia" w:ascii="楷体_GB2312" w:eastAsia="楷体_GB2312"/>
          <w:sz w:val="28"/>
        </w:rPr>
        <w:t>（</w:t>
      </w:r>
      <w:r>
        <w:rPr>
          <w:rFonts w:ascii="楷体_GB2312" w:eastAsia="楷体_GB2312"/>
          <w:sz w:val="28"/>
        </w:rPr>
        <w:t>4</w:t>
      </w:r>
      <w:r>
        <w:rPr>
          <w:rFonts w:hint="eastAsia" w:ascii="楷体_GB2312" w:eastAsia="楷体_GB2312"/>
          <w:sz w:val="28"/>
        </w:rPr>
        <w:t>）《房地产估价报告评审标准（试行）》</w:t>
      </w:r>
    </w:p>
    <w:p>
      <w:pPr>
        <w:spacing w:line="500" w:lineRule="exact"/>
        <w:ind w:firstLine="560" w:firstLineChars="200"/>
        <w:rPr>
          <w:rFonts w:ascii="楷体_GB2312" w:eastAsia="楷体_GB2312"/>
          <w:sz w:val="28"/>
        </w:rPr>
      </w:pPr>
      <w:r>
        <w:rPr>
          <w:rFonts w:hint="eastAsia" w:ascii="楷体_GB2312" w:eastAsia="楷体_GB2312"/>
          <w:sz w:val="28"/>
        </w:rPr>
        <w:t>（</w:t>
      </w:r>
      <w:r>
        <w:rPr>
          <w:rFonts w:ascii="楷体_GB2312" w:eastAsia="楷体_GB2312"/>
          <w:sz w:val="28"/>
        </w:rPr>
        <w:t>5</w:t>
      </w:r>
      <w:r>
        <w:rPr>
          <w:rFonts w:hint="eastAsia" w:ascii="楷体_GB2312" w:eastAsia="楷体_GB2312"/>
          <w:sz w:val="28"/>
        </w:rPr>
        <w:t>）《江西省建筑工程综合概算定额》</w:t>
      </w:r>
    </w:p>
    <w:p>
      <w:pPr>
        <w:spacing w:line="500" w:lineRule="exact"/>
        <w:ind w:firstLine="560" w:firstLineChars="200"/>
        <w:rPr>
          <w:rFonts w:ascii="楷体_GB2312" w:eastAsia="楷体_GB2312"/>
          <w:sz w:val="28"/>
        </w:rPr>
      </w:pPr>
      <w:r>
        <w:rPr>
          <w:rFonts w:ascii="楷体_GB2312" w:eastAsia="楷体_GB2312"/>
          <w:sz w:val="28"/>
        </w:rPr>
        <w:t>3.</w:t>
      </w:r>
      <w:r>
        <w:rPr>
          <w:rFonts w:hint="eastAsia" w:ascii="楷体_GB2312" w:eastAsia="楷体_GB2312"/>
          <w:sz w:val="28"/>
        </w:rPr>
        <w:t>估价委托人提供的有关资料</w:t>
      </w:r>
    </w:p>
    <w:p>
      <w:pPr>
        <w:spacing w:line="500" w:lineRule="exact"/>
        <w:ind w:firstLine="560" w:firstLineChars="200"/>
        <w:rPr>
          <w:rFonts w:hint="default" w:ascii="楷体_GB2312" w:eastAsia="楷体_GB2312"/>
          <w:sz w:val="28"/>
          <w:lang w:val="en-US" w:eastAsia="zh-CN"/>
        </w:rPr>
      </w:pPr>
      <w:r>
        <w:rPr>
          <w:rFonts w:hint="eastAsia" w:ascii="楷体_GB2312" w:eastAsia="楷体_GB2312"/>
          <w:sz w:val="28"/>
        </w:rPr>
        <w:t>（</w:t>
      </w:r>
      <w:r>
        <w:rPr>
          <w:rFonts w:ascii="楷体_GB2312" w:eastAsia="楷体_GB2312"/>
          <w:sz w:val="28"/>
        </w:rPr>
        <w:t>1</w:t>
      </w:r>
      <w:r>
        <w:rPr>
          <w:rFonts w:hint="eastAsia" w:ascii="楷体_GB2312" w:eastAsia="楷体_GB2312"/>
          <w:sz w:val="28"/>
        </w:rPr>
        <w:t>）</w:t>
      </w:r>
      <w:r>
        <w:rPr>
          <w:rFonts w:hint="eastAsia" w:ascii="楷体_GB2312" w:eastAsia="楷体_GB2312"/>
          <w:sz w:val="28"/>
          <w:lang w:eastAsia="zh-CN"/>
        </w:rPr>
        <w:t>南昌市西湖区人民法院司法网络拍卖小组司法技术委托书</w:t>
      </w:r>
      <w:r>
        <w:rPr>
          <w:rFonts w:hint="eastAsia" w:ascii="楷体_GB2312" w:eastAsia="楷体_GB2312"/>
          <w:sz w:val="28"/>
        </w:rPr>
        <w:t>（2020）</w:t>
      </w:r>
      <w:r>
        <w:rPr>
          <w:rFonts w:hint="eastAsia" w:ascii="楷体_GB2312" w:eastAsia="楷体_GB2312"/>
          <w:sz w:val="28"/>
          <w:lang w:eastAsia="zh-CN"/>
        </w:rPr>
        <w:t>赣</w:t>
      </w:r>
      <w:r>
        <w:rPr>
          <w:rFonts w:hint="eastAsia" w:ascii="楷体_GB2312" w:eastAsia="楷体_GB2312"/>
          <w:sz w:val="28"/>
          <w:lang w:val="en-US" w:eastAsia="zh-CN"/>
        </w:rPr>
        <w:t>0103执委48号</w:t>
      </w:r>
    </w:p>
    <w:p>
      <w:pPr>
        <w:spacing w:line="500" w:lineRule="exact"/>
        <w:ind w:firstLine="560" w:firstLineChars="200"/>
        <w:rPr>
          <w:rFonts w:hint="eastAsia" w:ascii="楷体_GB2312" w:eastAsia="楷体_GB2312"/>
          <w:sz w:val="28"/>
        </w:rPr>
      </w:pPr>
      <w:r>
        <w:rPr>
          <w:rFonts w:hint="eastAsia" w:ascii="楷体_GB2312" w:eastAsia="楷体_GB2312"/>
          <w:sz w:val="28"/>
        </w:rPr>
        <w:t>（2）《</w:t>
      </w:r>
      <w:r>
        <w:rPr>
          <w:rFonts w:hint="eastAsia" w:ascii="楷体_GB2312" w:eastAsia="楷体_GB2312"/>
          <w:sz w:val="28"/>
          <w:lang w:eastAsia="zh-CN"/>
        </w:rPr>
        <w:t>千禧颐和园储藏间、车库（位）合同</w:t>
      </w:r>
      <w:r>
        <w:rPr>
          <w:rFonts w:hint="eastAsia" w:ascii="楷体_GB2312" w:eastAsia="楷体_GB2312"/>
          <w:sz w:val="28"/>
        </w:rPr>
        <w:t>》（复印件）</w:t>
      </w:r>
    </w:p>
    <w:p>
      <w:pPr>
        <w:spacing w:line="500" w:lineRule="exact"/>
        <w:ind w:firstLine="560" w:firstLineChars="200"/>
        <w:rPr>
          <w:rFonts w:hint="eastAsia" w:ascii="楷体_GB2312" w:eastAsia="楷体_GB2312"/>
          <w:color w:val="FF0000"/>
          <w:sz w:val="28"/>
          <w:lang w:eastAsia="zh-CN"/>
        </w:rPr>
      </w:pPr>
      <w:r>
        <w:rPr>
          <w:rFonts w:hint="eastAsia" w:ascii="楷体_GB2312" w:eastAsia="楷体_GB2312"/>
          <w:sz w:val="28"/>
          <w:lang w:eastAsia="zh-CN"/>
        </w:rPr>
        <w:t>（</w:t>
      </w:r>
      <w:r>
        <w:rPr>
          <w:rFonts w:hint="eastAsia" w:ascii="楷体_GB2312" w:eastAsia="楷体_GB2312"/>
          <w:sz w:val="28"/>
          <w:lang w:val="en-US" w:eastAsia="zh-CN"/>
        </w:rPr>
        <w:t>3</w:t>
      </w:r>
      <w:r>
        <w:rPr>
          <w:rFonts w:hint="eastAsia" w:ascii="楷体_GB2312" w:eastAsia="楷体_GB2312"/>
          <w:sz w:val="28"/>
          <w:lang w:eastAsia="zh-CN"/>
        </w:rPr>
        <w:t>）</w:t>
      </w:r>
      <w:r>
        <w:rPr>
          <w:rFonts w:hint="eastAsia" w:ascii="楷体_GB2312" w:eastAsia="楷体_GB2312"/>
          <w:color w:val="auto"/>
          <w:sz w:val="28"/>
          <w:lang w:eastAsia="zh-CN"/>
        </w:rPr>
        <w:t>测绘成果报告</w:t>
      </w:r>
    </w:p>
    <w:p>
      <w:pPr>
        <w:spacing w:line="500" w:lineRule="exact"/>
        <w:ind w:firstLine="560" w:firstLineChars="200"/>
        <w:rPr>
          <w:rFonts w:ascii="楷体_GB2312" w:eastAsia="楷体_GB2312"/>
          <w:sz w:val="28"/>
        </w:rPr>
      </w:pPr>
      <w:r>
        <w:rPr>
          <w:rFonts w:ascii="楷体_GB2312" w:eastAsia="楷体_GB2312"/>
          <w:sz w:val="28"/>
        </w:rPr>
        <w:t>4.</w:t>
      </w:r>
      <w:r>
        <w:rPr>
          <w:rFonts w:hint="eastAsia" w:ascii="楷体_GB2312" w:eastAsia="楷体_GB2312"/>
          <w:sz w:val="28"/>
        </w:rPr>
        <w:t>房地产估价机构掌握的有关资料以及注册房地产估价师实地查勘所获取的资料</w:t>
      </w:r>
    </w:p>
    <w:p>
      <w:pPr>
        <w:spacing w:line="500" w:lineRule="exact"/>
        <w:ind w:firstLine="560" w:firstLineChars="200"/>
        <w:rPr>
          <w:rFonts w:ascii="楷体_GB2312" w:eastAsia="楷体_GB2312"/>
          <w:sz w:val="28"/>
        </w:rPr>
      </w:pPr>
      <w:r>
        <w:rPr>
          <w:rFonts w:hint="eastAsia" w:ascii="楷体_GB2312" w:eastAsia="楷体_GB2312"/>
          <w:sz w:val="28"/>
        </w:rPr>
        <w:t>（</w:t>
      </w:r>
      <w:r>
        <w:rPr>
          <w:rFonts w:ascii="楷体_GB2312" w:eastAsia="楷体_GB2312"/>
          <w:sz w:val="28"/>
        </w:rPr>
        <w:t>1</w:t>
      </w:r>
      <w:r>
        <w:rPr>
          <w:rFonts w:hint="eastAsia" w:ascii="楷体_GB2312" w:eastAsia="楷体_GB2312"/>
          <w:sz w:val="28"/>
        </w:rPr>
        <w:t>）南昌市房地产市场信息及估价对象所在区域的房地产市场状况、同类房地产市场交易等数据资料</w:t>
      </w:r>
    </w:p>
    <w:p>
      <w:pPr>
        <w:spacing w:line="500" w:lineRule="exact"/>
        <w:ind w:firstLine="560" w:firstLineChars="200"/>
        <w:rPr>
          <w:rFonts w:ascii="楷体_GB2312" w:eastAsia="楷体_GB2312"/>
          <w:sz w:val="28"/>
        </w:rPr>
      </w:pPr>
      <w:r>
        <w:rPr>
          <w:rFonts w:hint="eastAsia" w:ascii="楷体_GB2312" w:eastAsia="楷体_GB2312"/>
          <w:sz w:val="28"/>
        </w:rPr>
        <w:t>（</w:t>
      </w:r>
      <w:r>
        <w:rPr>
          <w:rFonts w:ascii="楷体_GB2312" w:eastAsia="楷体_GB2312"/>
          <w:sz w:val="28"/>
        </w:rPr>
        <w:t>2</w:t>
      </w:r>
      <w:r>
        <w:rPr>
          <w:rFonts w:hint="eastAsia" w:ascii="楷体_GB2312" w:eastAsia="楷体_GB2312"/>
          <w:sz w:val="28"/>
        </w:rPr>
        <w:t>）南昌市城市概况、规划、经济发展及自然、人文环境资料；</w:t>
      </w:r>
    </w:p>
    <w:p>
      <w:pPr>
        <w:pStyle w:val="3"/>
        <w:snapToGrid w:val="0"/>
        <w:spacing w:beforeLines="50" w:afterLines="50" w:line="500" w:lineRule="exact"/>
        <w:ind w:left="840" w:leftChars="400"/>
        <w:rPr>
          <w:rFonts w:ascii="楷体_GB2312" w:hAnsi="宋体" w:eastAsia="楷体_GB2312"/>
          <w:b w:val="0"/>
          <w:snapToGrid w:val="0"/>
          <w:kern w:val="0"/>
          <w:sz w:val="28"/>
          <w:szCs w:val="28"/>
        </w:rPr>
      </w:pPr>
      <w:bookmarkStart w:id="26" w:name="_Toc21923"/>
      <w:bookmarkStart w:id="27" w:name="_Toc326590655"/>
      <w:r>
        <w:rPr>
          <w:rFonts w:hint="eastAsia" w:ascii="楷体_GB2312" w:hAnsi="宋体" w:eastAsia="楷体_GB2312"/>
          <w:b w:val="0"/>
          <w:snapToGrid w:val="0"/>
          <w:kern w:val="0"/>
          <w:sz w:val="28"/>
          <w:szCs w:val="28"/>
        </w:rPr>
        <w:t>（九）估价方法</w:t>
      </w:r>
      <w:bookmarkEnd w:id="26"/>
      <w:bookmarkEnd w:id="27"/>
    </w:p>
    <w:p>
      <w:pPr>
        <w:tabs>
          <w:tab w:val="left" w:pos="2260"/>
        </w:tabs>
        <w:spacing w:line="500" w:lineRule="exact"/>
        <w:ind w:firstLine="560" w:firstLineChars="200"/>
        <w:rPr>
          <w:rFonts w:ascii="楷体_GB2312" w:eastAsia="楷体_GB2312"/>
          <w:sz w:val="28"/>
        </w:rPr>
      </w:pPr>
      <w:bookmarkStart w:id="28" w:name="_Toc326590656"/>
      <w:r>
        <w:rPr>
          <w:rFonts w:hint="eastAsia" w:ascii="楷体_GB2312" w:eastAsia="楷体_GB2312"/>
          <w:sz w:val="28"/>
        </w:rPr>
        <w:t>常见的房地产估价方法有比较法、收益还原法、成本法、假设开发法和长期趋势法五种方法。根据估价对象的特点和估价目的、估价人员对邻近地区市场状况的调查和对估价对象的实地勘查，以及遵循房地产市场价值评估方法的确定原则，如《房地产估价规范》中规定：有条件选用比较法进行估价的，应以比较法为主要的估价方法。在确定估价方法时，我们有以下考虑：</w:t>
      </w:r>
    </w:p>
    <w:p>
      <w:pPr>
        <w:tabs>
          <w:tab w:val="left" w:pos="2260"/>
        </w:tabs>
        <w:spacing w:line="500" w:lineRule="exact"/>
        <w:ind w:firstLine="560" w:firstLineChars="200"/>
        <w:rPr>
          <w:rFonts w:ascii="楷体_GB2312" w:eastAsia="楷体_GB2312"/>
          <w:sz w:val="28"/>
        </w:rPr>
      </w:pPr>
      <w:r>
        <w:rPr>
          <w:rFonts w:hint="eastAsia" w:ascii="楷体_GB2312" w:eastAsia="楷体_GB2312"/>
          <w:sz w:val="28"/>
        </w:rPr>
        <w:t>1、估价对象</w:t>
      </w:r>
      <w:r>
        <w:rPr>
          <w:rFonts w:hint="eastAsia" w:ascii="楷体_GB2312" w:eastAsia="楷体_GB2312"/>
          <w:sz w:val="28"/>
          <w:lang w:eastAsia="zh-CN"/>
        </w:rPr>
        <w:t>位于南昌市西湖区建设西路8号千禧颐和园南屏苑5号车库</w:t>
      </w:r>
      <w:r>
        <w:rPr>
          <w:rFonts w:hint="eastAsia" w:ascii="楷体_GB2312" w:eastAsia="楷体_GB2312"/>
          <w:sz w:val="28"/>
        </w:rPr>
        <w:t>，</w:t>
      </w:r>
      <w:r>
        <w:rPr>
          <w:rFonts w:hint="eastAsia" w:ascii="楷体_GB2312" w:eastAsia="楷体_GB2312"/>
          <w:sz w:val="28"/>
          <w:lang w:eastAsia="zh-CN"/>
        </w:rPr>
        <w:t>小区内</w:t>
      </w:r>
      <w:r>
        <w:rPr>
          <w:rFonts w:hint="eastAsia" w:ascii="楷体_GB2312" w:eastAsia="楷体_GB2312"/>
          <w:sz w:val="28"/>
        </w:rPr>
        <w:t>估价对象同期修建且权利、物业状况类似的</w:t>
      </w:r>
      <w:r>
        <w:rPr>
          <w:rFonts w:hint="eastAsia" w:ascii="楷体_GB2312" w:eastAsia="楷体_GB2312"/>
          <w:sz w:val="28"/>
          <w:lang w:eastAsia="zh-CN"/>
        </w:rPr>
        <w:t>车库市场交易较为活跃</w:t>
      </w:r>
      <w:r>
        <w:rPr>
          <w:rFonts w:hint="eastAsia" w:ascii="楷体_GB2312" w:eastAsia="楷体_GB2312"/>
          <w:sz w:val="28"/>
        </w:rPr>
        <w:t>，可以收集到相关类似的成交案例，故可采用比较法。</w:t>
      </w:r>
    </w:p>
    <w:p>
      <w:pPr>
        <w:tabs>
          <w:tab w:val="left" w:pos="2260"/>
        </w:tabs>
        <w:spacing w:line="500" w:lineRule="exact"/>
        <w:ind w:firstLine="560" w:firstLineChars="200"/>
        <w:rPr>
          <w:rFonts w:ascii="楷体_GB2312" w:eastAsia="楷体_GB2312"/>
          <w:sz w:val="28"/>
        </w:rPr>
      </w:pPr>
      <w:r>
        <w:rPr>
          <w:rFonts w:hint="eastAsia" w:ascii="楷体_GB2312" w:eastAsia="楷体_GB2312"/>
          <w:sz w:val="28"/>
        </w:rPr>
        <w:t>2、估价对象为已建成使用的</w:t>
      </w:r>
      <w:r>
        <w:rPr>
          <w:rFonts w:hint="eastAsia" w:ascii="楷体_GB2312" w:eastAsia="楷体_GB2312"/>
          <w:sz w:val="28"/>
          <w:lang w:eastAsia="zh-CN"/>
        </w:rPr>
        <w:t>房地产</w:t>
      </w:r>
      <w:r>
        <w:rPr>
          <w:rFonts w:hint="eastAsia" w:ascii="楷体_GB2312" w:eastAsia="楷体_GB2312"/>
          <w:sz w:val="28"/>
        </w:rPr>
        <w:t>，符合土地利用规划及城市规划；且目前使用状况正常，再开发可能性较小，不具有开发或再开发潜力，故不宜采用假设开发法。</w:t>
      </w:r>
    </w:p>
    <w:p>
      <w:pPr>
        <w:tabs>
          <w:tab w:val="left" w:pos="2260"/>
        </w:tabs>
        <w:spacing w:line="500" w:lineRule="exact"/>
        <w:ind w:firstLine="560" w:firstLineChars="200"/>
        <w:rPr>
          <w:rFonts w:ascii="楷体_GB2312" w:hAnsi="楷体_GB2312" w:eastAsia="楷体_GB2312" w:cs="楷体_GB2312"/>
          <w:snapToGrid w:val="0"/>
          <w:kern w:val="0"/>
          <w:sz w:val="28"/>
          <w:szCs w:val="28"/>
        </w:rPr>
      </w:pPr>
      <w:r>
        <w:rPr>
          <w:rFonts w:hint="eastAsia" w:ascii="楷体_GB2312" w:eastAsia="楷体_GB2312"/>
          <w:sz w:val="28"/>
        </w:rPr>
        <w:t>3、</w:t>
      </w:r>
      <w:r>
        <w:rPr>
          <w:rFonts w:hint="eastAsia" w:ascii="楷体_GB2312" w:hAnsi="楷体_GB2312" w:eastAsia="楷体_GB2312" w:cs="楷体_GB2312"/>
          <w:sz w:val="28"/>
          <w:szCs w:val="28"/>
        </w:rPr>
        <w:t>估价对象为具有收益或潜在收益物业，但</w:t>
      </w:r>
      <w:r>
        <w:rPr>
          <w:rFonts w:hint="eastAsia" w:ascii="楷体_GB2312" w:hAnsi="楷体_GB2312" w:eastAsia="楷体_GB2312" w:cs="楷体_GB2312"/>
          <w:snapToGrid w:val="0"/>
          <w:kern w:val="0"/>
          <w:sz w:val="28"/>
          <w:szCs w:val="28"/>
        </w:rPr>
        <w:t>市场接受能力有限：虽估价对象所在片区</w:t>
      </w:r>
      <w:r>
        <w:rPr>
          <w:rFonts w:hint="eastAsia" w:ascii="楷体_GB2312" w:hAnsi="楷体_GB2312" w:eastAsia="楷体_GB2312" w:cs="楷体_GB2312"/>
          <w:snapToGrid w:val="0"/>
          <w:kern w:val="0"/>
          <w:sz w:val="28"/>
          <w:szCs w:val="28"/>
          <w:lang w:eastAsia="zh-CN"/>
        </w:rPr>
        <w:t>车库</w:t>
      </w:r>
      <w:r>
        <w:rPr>
          <w:rFonts w:hint="eastAsia" w:ascii="楷体_GB2312" w:hAnsi="楷体_GB2312" w:eastAsia="楷体_GB2312" w:cs="楷体_GB2312"/>
          <w:snapToGrid w:val="0"/>
          <w:kern w:val="0"/>
          <w:sz w:val="28"/>
          <w:szCs w:val="28"/>
        </w:rPr>
        <w:t>的租赁活动较活跃，但租金收益不稳定，租售比偏低，租金收益不能反映估价对象真实价值水平，因此，估价对象不宜采用收益法。</w:t>
      </w:r>
    </w:p>
    <w:p>
      <w:pPr>
        <w:tabs>
          <w:tab w:val="left" w:pos="2260"/>
        </w:tabs>
        <w:spacing w:line="500" w:lineRule="exact"/>
        <w:ind w:firstLine="560" w:firstLineChars="200"/>
        <w:rPr>
          <w:rFonts w:ascii="楷体_GB2312" w:eastAsia="楷体_GB2312"/>
          <w:sz w:val="28"/>
        </w:rPr>
      </w:pPr>
      <w:r>
        <w:rPr>
          <w:rFonts w:hint="eastAsia" w:ascii="楷体_GB2312" w:eastAsia="楷体_GB2312"/>
          <w:sz w:val="28"/>
        </w:rPr>
        <w:t>4、近几年，随着房地产市场的快速发展，房地产市场超额垄断利润的存在使得价格水平已经远远偏离了成本，采用成本法难以反映目前房地产的正常的价格水平。</w:t>
      </w:r>
    </w:p>
    <w:p>
      <w:pPr>
        <w:tabs>
          <w:tab w:val="left" w:pos="2260"/>
        </w:tabs>
        <w:spacing w:line="500" w:lineRule="exact"/>
        <w:ind w:firstLine="560" w:firstLineChars="200"/>
        <w:rPr>
          <w:rFonts w:ascii="楷体_GB2312" w:eastAsia="楷体_GB2312"/>
          <w:sz w:val="28"/>
        </w:rPr>
      </w:pPr>
      <w:r>
        <w:rPr>
          <w:rFonts w:hint="eastAsia" w:ascii="楷体_GB2312" w:eastAsia="楷体_GB2312"/>
          <w:sz w:val="28"/>
        </w:rPr>
        <w:t>5、目前房地产市场为快速发展后的调整期，不宜采用长期趋势法。</w:t>
      </w:r>
    </w:p>
    <w:p>
      <w:pPr>
        <w:tabs>
          <w:tab w:val="left" w:pos="2260"/>
        </w:tabs>
        <w:spacing w:line="500" w:lineRule="exact"/>
        <w:ind w:firstLine="565" w:firstLineChars="202"/>
        <w:rPr>
          <w:rFonts w:ascii="楷体_GB2312" w:eastAsia="楷体_GB2312"/>
          <w:sz w:val="28"/>
        </w:rPr>
      </w:pPr>
      <w:r>
        <w:rPr>
          <w:rFonts w:hint="eastAsia" w:ascii="楷体_GB2312" w:eastAsia="楷体_GB2312"/>
          <w:sz w:val="28"/>
        </w:rPr>
        <w:t>6、估价思路：鉴于上述选取估价方法之缘由，我公司在本次估价过程中，采用比较法对估价对象的市场价值进行估价。</w:t>
      </w:r>
    </w:p>
    <w:p>
      <w:pPr>
        <w:spacing w:line="500" w:lineRule="exact"/>
        <w:ind w:firstLine="560" w:firstLineChars="200"/>
        <w:rPr>
          <w:rFonts w:ascii="楷体_GB2312" w:eastAsia="楷体_GB2312"/>
          <w:sz w:val="28"/>
        </w:rPr>
      </w:pPr>
      <w:r>
        <w:rPr>
          <w:rFonts w:hint="eastAsia" w:ascii="楷体_GB2312" w:eastAsia="楷体_GB2312"/>
          <w:sz w:val="28"/>
        </w:rPr>
        <w:t>比较法是根据替代原则，将估价对象房地产与在近期已经发生了交易的类似房地产加以比较对照，并根据后者的成交价格，以及两者在交易情况、市场状况、房地产状况等方面存在的差异大小，进行价格修正，以最终得到估价对象在价值时点的正常市场价格的一种估价方法。</w:t>
      </w:r>
    </w:p>
    <w:p>
      <w:pPr>
        <w:spacing w:line="500" w:lineRule="exact"/>
        <w:ind w:firstLine="560" w:firstLineChars="200"/>
        <w:rPr>
          <w:rFonts w:ascii="楷体_GB2312" w:eastAsia="楷体_GB2312"/>
          <w:sz w:val="28"/>
        </w:rPr>
      </w:pPr>
      <w:r>
        <w:rPr>
          <w:rFonts w:hint="eastAsia" w:ascii="楷体_GB2312" w:eastAsia="楷体_GB2312"/>
          <w:sz w:val="28"/>
        </w:rPr>
        <w:t>房地产价格 = 比较实例房地产价格×K</w:t>
      </w:r>
      <w:r>
        <w:rPr>
          <w:rFonts w:hint="eastAsia" w:ascii="楷体_GB2312" w:eastAsia="楷体_GB2312"/>
          <w:sz w:val="28"/>
          <w:vertAlign w:val="subscript"/>
        </w:rPr>
        <w:t>1</w:t>
      </w:r>
      <w:r>
        <w:rPr>
          <w:rFonts w:hint="eastAsia" w:ascii="楷体_GB2312" w:eastAsia="楷体_GB2312"/>
          <w:sz w:val="28"/>
        </w:rPr>
        <w:t>×K</w:t>
      </w:r>
      <w:r>
        <w:rPr>
          <w:rFonts w:hint="eastAsia" w:ascii="楷体_GB2312" w:eastAsia="楷体_GB2312"/>
          <w:sz w:val="28"/>
          <w:vertAlign w:val="subscript"/>
        </w:rPr>
        <w:t>2</w:t>
      </w:r>
      <w:r>
        <w:rPr>
          <w:rFonts w:hint="eastAsia" w:ascii="楷体_GB2312" w:eastAsia="楷体_GB2312"/>
          <w:sz w:val="28"/>
        </w:rPr>
        <w:t>×K</w:t>
      </w:r>
      <w:r>
        <w:rPr>
          <w:rFonts w:hint="eastAsia" w:ascii="楷体_GB2312" w:eastAsia="楷体_GB2312"/>
          <w:sz w:val="28"/>
          <w:vertAlign w:val="subscript"/>
        </w:rPr>
        <w:t>3</w:t>
      </w:r>
    </w:p>
    <w:p>
      <w:pPr>
        <w:spacing w:line="500" w:lineRule="exact"/>
        <w:ind w:firstLine="560" w:firstLineChars="200"/>
        <w:rPr>
          <w:rFonts w:ascii="楷体_GB2312" w:eastAsia="楷体_GB2312"/>
          <w:sz w:val="28"/>
        </w:rPr>
      </w:pPr>
      <w:r>
        <w:rPr>
          <w:rFonts w:hint="eastAsia" w:ascii="楷体_GB2312" w:eastAsia="楷体_GB2312"/>
          <w:sz w:val="28"/>
        </w:rPr>
        <w:t>式中：K1：交易情况修正</w:t>
      </w:r>
    </w:p>
    <w:p>
      <w:pPr>
        <w:spacing w:line="500" w:lineRule="exact"/>
        <w:ind w:firstLine="560" w:firstLineChars="200"/>
        <w:rPr>
          <w:rFonts w:ascii="楷体_GB2312" w:eastAsia="楷体_GB2312"/>
          <w:sz w:val="28"/>
        </w:rPr>
      </w:pPr>
      <w:r>
        <w:rPr>
          <w:rFonts w:hint="eastAsia" w:ascii="楷体_GB2312" w:eastAsia="楷体_GB2312"/>
          <w:sz w:val="28"/>
        </w:rPr>
        <w:t xml:space="preserve">      K2：市场状况调整</w:t>
      </w:r>
    </w:p>
    <w:p>
      <w:pPr>
        <w:spacing w:line="500" w:lineRule="exact"/>
        <w:ind w:firstLine="560" w:firstLineChars="200"/>
        <w:rPr>
          <w:rFonts w:ascii="楷体_GB2312" w:eastAsia="楷体_GB2312"/>
          <w:sz w:val="28"/>
        </w:rPr>
      </w:pPr>
      <w:r>
        <w:rPr>
          <w:rFonts w:hint="eastAsia" w:ascii="楷体_GB2312" w:eastAsia="楷体_GB2312"/>
          <w:sz w:val="28"/>
        </w:rPr>
        <w:t xml:space="preserve">      K3：房地产状况调整</w:t>
      </w:r>
    </w:p>
    <w:p>
      <w:pPr>
        <w:pStyle w:val="3"/>
        <w:snapToGrid w:val="0"/>
        <w:spacing w:beforeLines="50" w:afterLines="50" w:line="500" w:lineRule="exact"/>
        <w:ind w:left="840" w:leftChars="400"/>
        <w:rPr>
          <w:rFonts w:ascii="楷体_GB2312" w:hAnsi="宋体" w:eastAsia="楷体_GB2312"/>
          <w:b w:val="0"/>
          <w:bCs w:val="0"/>
          <w:snapToGrid w:val="0"/>
          <w:kern w:val="0"/>
          <w:sz w:val="28"/>
          <w:szCs w:val="28"/>
        </w:rPr>
      </w:pPr>
      <w:bookmarkStart w:id="29" w:name="_Toc9771"/>
      <w:r>
        <w:rPr>
          <w:rFonts w:hint="eastAsia" w:ascii="楷体_GB2312" w:hAnsi="宋体" w:eastAsia="楷体_GB2312"/>
          <w:b w:val="0"/>
          <w:bCs w:val="0"/>
          <w:snapToGrid w:val="0"/>
          <w:kern w:val="0"/>
          <w:sz w:val="28"/>
          <w:szCs w:val="28"/>
        </w:rPr>
        <w:t>（十）估价结果</w:t>
      </w:r>
      <w:bookmarkEnd w:id="28"/>
      <w:bookmarkEnd w:id="29"/>
    </w:p>
    <w:p>
      <w:pPr>
        <w:pStyle w:val="9"/>
        <w:tabs>
          <w:tab w:val="left" w:pos="1080"/>
        </w:tabs>
        <w:adjustRightInd w:val="0"/>
        <w:snapToGrid w:val="0"/>
        <w:spacing w:after="0" w:line="470" w:lineRule="exact"/>
        <w:ind w:left="0" w:leftChars="0" w:firstLine="560" w:firstLineChars="200"/>
        <w:rPr>
          <w:rFonts w:ascii="楷体_GB2312" w:eastAsia="楷体_GB2312"/>
          <w:sz w:val="28"/>
          <w:szCs w:val="24"/>
        </w:rPr>
      </w:pPr>
      <w:bookmarkStart w:id="30" w:name="_Toc326590657"/>
      <w:bookmarkStart w:id="31" w:name="_Toc240363343"/>
      <w:r>
        <w:rPr>
          <w:rFonts w:hint="eastAsia" w:ascii="楷体_GB2312" w:eastAsia="楷体_GB2312"/>
          <w:sz w:val="28"/>
          <w:szCs w:val="24"/>
        </w:rPr>
        <w:t>本着独立、客观、公正、合法的原则，估价人员在进行实地查勘、广泛收集有关市场信息和估价对象信息的基础上，全面分析了影响估价对象的市场价值的各项有利和不利因素，根据国家有关房地产估价的法律法规和估价目的，按照科学的估价程序，采用</w:t>
      </w:r>
      <w:r>
        <w:rPr>
          <w:rFonts w:hint="eastAsia" w:ascii="楷体_GB2312" w:eastAsia="楷体_GB2312"/>
          <w:b/>
          <w:sz w:val="28"/>
          <w:szCs w:val="24"/>
        </w:rPr>
        <w:t>比较法</w:t>
      </w:r>
      <w:r>
        <w:rPr>
          <w:rFonts w:hint="eastAsia" w:ascii="楷体_GB2312" w:eastAsia="楷体_GB2312"/>
          <w:sz w:val="28"/>
          <w:szCs w:val="24"/>
        </w:rPr>
        <w:t>对估价对象进行估价测算，确定估价对象于价值时点的市场价值总价为</w:t>
      </w:r>
      <w:r>
        <w:rPr>
          <w:rFonts w:hint="eastAsia" w:ascii="楷体_GB2312" w:eastAsia="楷体_GB2312"/>
          <w:b/>
          <w:sz w:val="28"/>
          <w:szCs w:val="24"/>
        </w:rPr>
        <w:t>人民币</w:t>
      </w:r>
      <w:r>
        <w:rPr>
          <w:rFonts w:hint="eastAsia" w:ascii="楷体_GB2312" w:eastAsia="楷体_GB2312"/>
          <w:b/>
          <w:sz w:val="28"/>
          <w:szCs w:val="24"/>
          <w:lang w:val="en-US" w:eastAsia="zh-CN"/>
        </w:rPr>
        <w:t>18.10</w:t>
      </w:r>
      <w:r>
        <w:rPr>
          <w:rFonts w:hint="eastAsia" w:ascii="楷体_GB2312" w:eastAsia="楷体_GB2312"/>
          <w:b/>
          <w:sz w:val="28"/>
          <w:szCs w:val="24"/>
        </w:rPr>
        <w:t>万元</w:t>
      </w:r>
      <w:r>
        <w:rPr>
          <w:rFonts w:hint="eastAsia" w:ascii="楷体_GB2312" w:eastAsia="楷体_GB2312"/>
          <w:sz w:val="28"/>
          <w:szCs w:val="24"/>
        </w:rPr>
        <w:t>，大写人民币</w:t>
      </w:r>
      <w:r>
        <w:rPr>
          <w:rFonts w:hint="eastAsia" w:ascii="楷体_GB2312" w:eastAsia="楷体_GB2312"/>
          <w:b/>
          <w:sz w:val="28"/>
          <w:szCs w:val="24"/>
          <w:lang w:eastAsia="zh-CN"/>
        </w:rPr>
        <w:t>壹拾捌万壹仟</w:t>
      </w:r>
      <w:r>
        <w:rPr>
          <w:rFonts w:hint="eastAsia" w:ascii="楷体_GB2312" w:eastAsia="楷体_GB2312"/>
          <w:b/>
          <w:sz w:val="28"/>
          <w:szCs w:val="24"/>
        </w:rPr>
        <w:t>元</w:t>
      </w:r>
      <w:r>
        <w:rPr>
          <w:rFonts w:hint="eastAsia" w:ascii="楷体_GB2312" w:eastAsia="楷体_GB2312"/>
          <w:sz w:val="28"/>
          <w:szCs w:val="24"/>
        </w:rPr>
        <w:t>整，单价为</w:t>
      </w:r>
      <w:r>
        <w:rPr>
          <w:rFonts w:hint="eastAsia" w:ascii="楷体_GB2312" w:eastAsia="楷体_GB2312"/>
          <w:b/>
          <w:sz w:val="28"/>
          <w:szCs w:val="24"/>
          <w:lang w:val="en-US" w:eastAsia="zh-CN"/>
        </w:rPr>
        <w:t>6600</w:t>
      </w:r>
      <w:r>
        <w:rPr>
          <w:rFonts w:hint="eastAsia" w:ascii="楷体_GB2312" w:eastAsia="楷体_GB2312"/>
          <w:sz w:val="28"/>
          <w:szCs w:val="24"/>
        </w:rPr>
        <w:t>元/</w:t>
      </w:r>
      <w:r>
        <w:rPr>
          <w:rFonts w:hint="eastAsia" w:cs="Batang" w:asciiTheme="minorEastAsia" w:hAnsiTheme="minorEastAsia" w:eastAsiaTheme="minorEastAsia"/>
          <w:sz w:val="32"/>
          <w:szCs w:val="28"/>
        </w:rPr>
        <w:t>㎡</w:t>
      </w:r>
      <w:r>
        <w:rPr>
          <w:rFonts w:hint="eastAsia" w:cs="Batang" w:asciiTheme="minorEastAsia" w:hAnsiTheme="minorEastAsia" w:eastAsiaTheme="minorEastAsia"/>
          <w:sz w:val="28"/>
          <w:szCs w:val="24"/>
        </w:rPr>
        <w:t>，</w:t>
      </w:r>
      <w:r>
        <w:rPr>
          <w:rFonts w:hint="eastAsia" w:ascii="楷体_GB2312" w:eastAsia="楷体_GB2312"/>
          <w:sz w:val="28"/>
          <w:szCs w:val="24"/>
        </w:rPr>
        <w:t>详见</w:t>
      </w:r>
      <w:r>
        <w:rPr>
          <w:rFonts w:hint="eastAsia" w:ascii="楷体_GB2312" w:eastAsia="楷体_GB2312"/>
          <w:sz w:val="28"/>
          <w:szCs w:val="24"/>
          <w:lang w:eastAsia="zh-CN"/>
        </w:rPr>
        <w:t>“致委托方函”</w:t>
      </w:r>
      <w:r>
        <w:rPr>
          <w:rFonts w:hint="eastAsia" w:ascii="楷体_GB2312" w:eastAsia="楷体_GB2312"/>
          <w:sz w:val="28"/>
          <w:szCs w:val="24"/>
        </w:rPr>
        <w:t>估价结果一览表。</w:t>
      </w:r>
    </w:p>
    <w:p>
      <w:pPr>
        <w:pStyle w:val="3"/>
        <w:snapToGrid w:val="0"/>
        <w:spacing w:beforeLines="50" w:afterLines="50" w:line="500" w:lineRule="exact"/>
        <w:ind w:left="840" w:leftChars="400"/>
        <w:rPr>
          <w:rFonts w:ascii="楷体_GB2312" w:hAnsi="宋体" w:eastAsia="楷体_GB2312"/>
          <w:b w:val="0"/>
          <w:bCs w:val="0"/>
          <w:snapToGrid w:val="0"/>
          <w:kern w:val="0"/>
          <w:sz w:val="28"/>
          <w:szCs w:val="28"/>
        </w:rPr>
      </w:pPr>
      <w:bookmarkStart w:id="32" w:name="_Toc31880"/>
      <w:r>
        <w:rPr>
          <w:rFonts w:hint="eastAsia" w:ascii="楷体_GB2312" w:hAnsi="宋体" w:eastAsia="楷体_GB2312"/>
          <w:b w:val="0"/>
          <w:bCs w:val="0"/>
          <w:snapToGrid w:val="0"/>
          <w:kern w:val="0"/>
          <w:sz w:val="28"/>
          <w:szCs w:val="28"/>
        </w:rPr>
        <w:t>（十一）</w:t>
      </w:r>
      <w:bookmarkEnd w:id="30"/>
      <w:r>
        <w:rPr>
          <w:rFonts w:hint="eastAsia" w:ascii="楷体_GB2312" w:hAnsi="宋体" w:eastAsia="楷体_GB2312"/>
          <w:b w:val="0"/>
          <w:bCs w:val="0"/>
          <w:snapToGrid w:val="0"/>
          <w:kern w:val="0"/>
          <w:sz w:val="28"/>
          <w:szCs w:val="28"/>
        </w:rPr>
        <w:t>注册房地产估价师</w:t>
      </w:r>
      <w:bookmarkEnd w:id="32"/>
    </w:p>
    <w:tbl>
      <w:tblPr>
        <w:tblStyle w:val="23"/>
        <w:tblW w:w="940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64"/>
        <w:gridCol w:w="2196"/>
        <w:gridCol w:w="2521"/>
        <w:gridCol w:w="25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2164" w:type="dxa"/>
            <w:vAlign w:val="center"/>
          </w:tcPr>
          <w:p>
            <w:pPr>
              <w:spacing w:line="500" w:lineRule="exact"/>
              <w:jc w:val="center"/>
              <w:rPr>
                <w:rFonts w:ascii="楷体_GB2312" w:eastAsia="楷体_GB2312"/>
                <w:sz w:val="28"/>
                <w:szCs w:val="24"/>
              </w:rPr>
            </w:pPr>
            <w:bookmarkStart w:id="33" w:name="_Toc326590658"/>
            <w:r>
              <w:rPr>
                <w:rFonts w:hint="eastAsia" w:ascii="楷体_GB2312" w:eastAsia="楷体_GB2312"/>
                <w:sz w:val="28"/>
                <w:szCs w:val="24"/>
              </w:rPr>
              <w:t>姓  名</w:t>
            </w:r>
          </w:p>
        </w:tc>
        <w:tc>
          <w:tcPr>
            <w:tcW w:w="2196" w:type="dxa"/>
            <w:vAlign w:val="center"/>
          </w:tcPr>
          <w:p>
            <w:pPr>
              <w:spacing w:line="500" w:lineRule="exact"/>
              <w:jc w:val="center"/>
              <w:rPr>
                <w:rFonts w:ascii="楷体_GB2312" w:eastAsia="楷体_GB2312"/>
                <w:sz w:val="28"/>
                <w:szCs w:val="24"/>
              </w:rPr>
            </w:pPr>
            <w:r>
              <w:rPr>
                <w:rFonts w:hint="eastAsia" w:ascii="楷体_GB2312" w:eastAsia="楷体_GB2312"/>
                <w:sz w:val="28"/>
                <w:szCs w:val="24"/>
              </w:rPr>
              <w:t>注册号</w:t>
            </w:r>
          </w:p>
        </w:tc>
        <w:tc>
          <w:tcPr>
            <w:tcW w:w="2521" w:type="dxa"/>
            <w:vAlign w:val="center"/>
          </w:tcPr>
          <w:p>
            <w:pPr>
              <w:spacing w:line="500" w:lineRule="exact"/>
              <w:jc w:val="center"/>
              <w:rPr>
                <w:rFonts w:ascii="楷体_GB2312" w:eastAsia="楷体_GB2312"/>
                <w:sz w:val="28"/>
                <w:szCs w:val="24"/>
              </w:rPr>
            </w:pPr>
            <w:r>
              <w:rPr>
                <w:rFonts w:hint="eastAsia" w:ascii="楷体_GB2312" w:eastAsia="楷体_GB2312"/>
                <w:sz w:val="28"/>
                <w:szCs w:val="24"/>
              </w:rPr>
              <w:t>签名</w:t>
            </w:r>
          </w:p>
        </w:tc>
        <w:tc>
          <w:tcPr>
            <w:tcW w:w="2521" w:type="dxa"/>
            <w:vAlign w:val="center"/>
          </w:tcPr>
          <w:p>
            <w:pPr>
              <w:spacing w:line="500" w:lineRule="exact"/>
              <w:jc w:val="center"/>
              <w:rPr>
                <w:rFonts w:ascii="楷体_GB2312" w:eastAsia="楷体_GB2312"/>
                <w:sz w:val="28"/>
                <w:szCs w:val="24"/>
              </w:rPr>
            </w:pPr>
            <w:r>
              <w:rPr>
                <w:rFonts w:hint="eastAsia" w:ascii="楷体_GB2312" w:eastAsia="楷体_GB2312"/>
                <w:sz w:val="28"/>
                <w:szCs w:val="24"/>
              </w:rPr>
              <w:t>签名日期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2164" w:type="dxa"/>
            <w:vAlign w:val="center"/>
          </w:tcPr>
          <w:p>
            <w:pPr>
              <w:spacing w:line="500" w:lineRule="exact"/>
              <w:jc w:val="center"/>
              <w:rPr>
                <w:rFonts w:ascii="楷体_GB2312" w:eastAsia="楷体_GB2312"/>
                <w:sz w:val="28"/>
                <w:szCs w:val="24"/>
              </w:rPr>
            </w:pPr>
            <w:r>
              <w:rPr>
                <w:rFonts w:hint="eastAsia" w:ascii="楷体_GB2312" w:eastAsia="楷体_GB2312"/>
                <w:sz w:val="28"/>
                <w:szCs w:val="24"/>
              </w:rPr>
              <w:t>高  莹</w:t>
            </w:r>
          </w:p>
        </w:tc>
        <w:tc>
          <w:tcPr>
            <w:tcW w:w="2196" w:type="dxa"/>
            <w:vAlign w:val="center"/>
          </w:tcPr>
          <w:p>
            <w:pPr>
              <w:spacing w:line="500" w:lineRule="exact"/>
              <w:jc w:val="center"/>
              <w:rPr>
                <w:rFonts w:ascii="楷体_GB2312" w:eastAsia="楷体_GB2312"/>
                <w:sz w:val="28"/>
                <w:szCs w:val="24"/>
              </w:rPr>
            </w:pPr>
            <w:r>
              <w:rPr>
                <w:rFonts w:hint="eastAsia" w:ascii="楷体_GB2312" w:eastAsia="楷体_GB2312"/>
                <w:sz w:val="28"/>
                <w:szCs w:val="24"/>
              </w:rPr>
              <w:t>3620160033</w:t>
            </w:r>
          </w:p>
        </w:tc>
        <w:tc>
          <w:tcPr>
            <w:tcW w:w="2521" w:type="dxa"/>
            <w:vAlign w:val="center"/>
          </w:tcPr>
          <w:p>
            <w:pPr>
              <w:spacing w:line="500" w:lineRule="exact"/>
              <w:jc w:val="center"/>
              <w:rPr>
                <w:rFonts w:ascii="楷体_GB2312" w:eastAsia="楷体_GB2312"/>
                <w:sz w:val="28"/>
                <w:szCs w:val="24"/>
              </w:rPr>
            </w:pPr>
          </w:p>
        </w:tc>
        <w:tc>
          <w:tcPr>
            <w:tcW w:w="2521" w:type="dxa"/>
            <w:vAlign w:val="center"/>
          </w:tcPr>
          <w:p>
            <w:pPr>
              <w:spacing w:line="500" w:lineRule="exact"/>
              <w:jc w:val="center"/>
              <w:rPr>
                <w:rFonts w:hint="eastAsia" w:ascii="楷体_GB2312" w:eastAsia="楷体_GB2312"/>
                <w:sz w:val="28"/>
                <w:szCs w:val="24"/>
                <w:lang w:eastAsia="zh-CN"/>
              </w:rPr>
            </w:pPr>
            <w:r>
              <w:rPr>
                <w:rFonts w:hint="eastAsia" w:ascii="楷体_GB2312" w:eastAsia="楷体_GB2312"/>
                <w:sz w:val="28"/>
                <w:szCs w:val="24"/>
                <w:lang w:eastAsia="zh-CN"/>
              </w:rPr>
              <w:t>2020年9月8日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2164" w:type="dxa"/>
            <w:vAlign w:val="center"/>
          </w:tcPr>
          <w:p>
            <w:pPr>
              <w:spacing w:line="500" w:lineRule="exact"/>
              <w:jc w:val="center"/>
              <w:rPr>
                <w:rFonts w:ascii="楷体_GB2312" w:eastAsia="楷体_GB2312"/>
                <w:sz w:val="28"/>
                <w:szCs w:val="24"/>
              </w:rPr>
            </w:pPr>
            <w:r>
              <w:rPr>
                <w:rFonts w:hint="eastAsia" w:ascii="楷体_GB2312" w:eastAsia="楷体_GB2312"/>
                <w:sz w:val="28"/>
                <w:szCs w:val="24"/>
              </w:rPr>
              <w:t>邬雅琴</w:t>
            </w:r>
          </w:p>
        </w:tc>
        <w:tc>
          <w:tcPr>
            <w:tcW w:w="2196" w:type="dxa"/>
            <w:vAlign w:val="center"/>
          </w:tcPr>
          <w:p>
            <w:pPr>
              <w:spacing w:line="500" w:lineRule="exact"/>
              <w:jc w:val="center"/>
              <w:rPr>
                <w:rFonts w:ascii="楷体_GB2312" w:eastAsia="楷体_GB2312"/>
                <w:sz w:val="28"/>
                <w:szCs w:val="24"/>
              </w:rPr>
            </w:pPr>
            <w:r>
              <w:rPr>
                <w:rFonts w:hint="eastAsia" w:ascii="楷体_GB2312" w:eastAsia="楷体_GB2312"/>
                <w:sz w:val="28"/>
                <w:szCs w:val="24"/>
              </w:rPr>
              <w:t>3620190026</w:t>
            </w:r>
          </w:p>
        </w:tc>
        <w:tc>
          <w:tcPr>
            <w:tcW w:w="2521" w:type="dxa"/>
            <w:vAlign w:val="center"/>
          </w:tcPr>
          <w:p>
            <w:pPr>
              <w:spacing w:line="500" w:lineRule="exact"/>
              <w:jc w:val="center"/>
              <w:rPr>
                <w:rFonts w:ascii="楷体_GB2312" w:eastAsia="楷体_GB2312"/>
                <w:sz w:val="28"/>
                <w:szCs w:val="24"/>
              </w:rPr>
            </w:pPr>
          </w:p>
        </w:tc>
        <w:tc>
          <w:tcPr>
            <w:tcW w:w="2521" w:type="dxa"/>
            <w:vAlign w:val="center"/>
          </w:tcPr>
          <w:p>
            <w:pPr>
              <w:spacing w:line="500" w:lineRule="exact"/>
              <w:jc w:val="center"/>
              <w:rPr>
                <w:rFonts w:hint="eastAsia" w:ascii="楷体_GB2312" w:eastAsia="楷体_GB2312"/>
                <w:sz w:val="28"/>
                <w:szCs w:val="24"/>
                <w:lang w:eastAsia="zh-CN"/>
              </w:rPr>
            </w:pPr>
            <w:r>
              <w:rPr>
                <w:rFonts w:hint="eastAsia" w:ascii="楷体_GB2312" w:eastAsia="楷体_GB2312"/>
                <w:sz w:val="28"/>
                <w:szCs w:val="24"/>
                <w:lang w:eastAsia="zh-CN"/>
              </w:rPr>
              <w:t>2020年9月8日</w:t>
            </w:r>
          </w:p>
        </w:tc>
      </w:tr>
    </w:tbl>
    <w:p>
      <w:pPr>
        <w:pStyle w:val="3"/>
        <w:snapToGrid w:val="0"/>
        <w:spacing w:beforeLines="50" w:afterLines="50" w:line="500" w:lineRule="exact"/>
        <w:ind w:left="840" w:leftChars="400"/>
        <w:rPr>
          <w:rFonts w:ascii="楷体_GB2312" w:hAnsi="宋体" w:eastAsia="楷体_GB2312"/>
          <w:b w:val="0"/>
          <w:snapToGrid w:val="0"/>
          <w:kern w:val="0"/>
          <w:sz w:val="28"/>
          <w:szCs w:val="28"/>
        </w:rPr>
      </w:pPr>
      <w:bookmarkStart w:id="34" w:name="_Toc30406"/>
      <w:r>
        <w:rPr>
          <w:rFonts w:hint="eastAsia" w:ascii="楷体_GB2312" w:hAnsi="宋体" w:eastAsia="楷体_GB2312"/>
          <w:b w:val="0"/>
          <w:snapToGrid w:val="0"/>
          <w:kern w:val="0"/>
          <w:sz w:val="28"/>
          <w:szCs w:val="28"/>
        </w:rPr>
        <w:t>（十二）实地查勘期</w:t>
      </w:r>
      <w:bookmarkEnd w:id="34"/>
    </w:p>
    <w:p>
      <w:pPr>
        <w:pStyle w:val="9"/>
        <w:tabs>
          <w:tab w:val="left" w:pos="1080"/>
        </w:tabs>
        <w:adjustRightInd w:val="0"/>
        <w:snapToGrid w:val="0"/>
        <w:spacing w:after="0" w:line="500" w:lineRule="exact"/>
        <w:ind w:left="0" w:leftChars="0" w:firstLine="560" w:firstLineChars="200"/>
        <w:rPr>
          <w:rFonts w:hint="eastAsia" w:ascii="楷体_GB2312" w:eastAsia="楷体_GB2312"/>
          <w:sz w:val="28"/>
          <w:szCs w:val="24"/>
          <w:lang w:eastAsia="zh-CN"/>
        </w:rPr>
      </w:pPr>
      <w:r>
        <w:rPr>
          <w:rFonts w:hint="eastAsia" w:ascii="楷体_GB2312" w:eastAsia="楷体_GB2312"/>
          <w:sz w:val="28"/>
          <w:szCs w:val="24"/>
          <w:lang w:eastAsia="zh-CN"/>
        </w:rPr>
        <w:t>2020年9月3日</w:t>
      </w:r>
    </w:p>
    <w:p>
      <w:pPr>
        <w:pStyle w:val="3"/>
        <w:snapToGrid w:val="0"/>
        <w:spacing w:beforeLines="50" w:afterLines="50" w:line="500" w:lineRule="exact"/>
        <w:ind w:left="840" w:leftChars="400"/>
        <w:rPr>
          <w:rFonts w:ascii="楷体_GB2312" w:hAnsi="宋体" w:eastAsia="楷体_GB2312"/>
          <w:b w:val="0"/>
          <w:snapToGrid w:val="0"/>
          <w:kern w:val="0"/>
          <w:sz w:val="28"/>
          <w:szCs w:val="28"/>
        </w:rPr>
      </w:pPr>
      <w:bookmarkStart w:id="35" w:name="_Toc20605"/>
      <w:r>
        <w:rPr>
          <w:rFonts w:hint="eastAsia" w:ascii="楷体_GB2312" w:hAnsi="宋体" w:eastAsia="楷体_GB2312"/>
          <w:b w:val="0"/>
          <w:snapToGrid w:val="0"/>
          <w:kern w:val="0"/>
          <w:sz w:val="28"/>
          <w:szCs w:val="28"/>
        </w:rPr>
        <w:t>（十三）估价作业期</w:t>
      </w:r>
      <w:bookmarkEnd w:id="33"/>
      <w:bookmarkEnd w:id="35"/>
    </w:p>
    <w:p>
      <w:pPr>
        <w:pStyle w:val="9"/>
        <w:tabs>
          <w:tab w:val="left" w:pos="1080"/>
        </w:tabs>
        <w:adjustRightInd w:val="0"/>
        <w:snapToGrid w:val="0"/>
        <w:spacing w:after="0" w:line="500" w:lineRule="exact"/>
        <w:ind w:left="0" w:leftChars="0" w:firstLine="560" w:firstLineChars="200"/>
        <w:rPr>
          <w:rFonts w:ascii="楷体_GB2312" w:eastAsia="楷体_GB2312"/>
          <w:sz w:val="28"/>
          <w:szCs w:val="24"/>
        </w:rPr>
      </w:pPr>
      <w:r>
        <w:rPr>
          <w:rFonts w:hint="eastAsia" w:ascii="楷体_GB2312" w:eastAsia="楷体_GB2312"/>
          <w:sz w:val="28"/>
          <w:szCs w:val="24"/>
          <w:lang w:eastAsia="zh-CN"/>
        </w:rPr>
        <w:t>2020年7月3日</w:t>
      </w:r>
      <w:r>
        <w:rPr>
          <w:rFonts w:hint="eastAsia" w:ascii="楷体_GB2312" w:eastAsia="楷体_GB2312"/>
          <w:sz w:val="28"/>
          <w:szCs w:val="24"/>
        </w:rPr>
        <w:t>至</w:t>
      </w:r>
      <w:r>
        <w:rPr>
          <w:rFonts w:hint="eastAsia" w:ascii="楷体_GB2312" w:eastAsia="楷体_GB2312"/>
          <w:sz w:val="28"/>
          <w:szCs w:val="24"/>
          <w:lang w:eastAsia="zh-CN"/>
        </w:rPr>
        <w:t>2020年9月8日</w:t>
      </w:r>
      <w:r>
        <w:rPr>
          <w:rFonts w:hint="eastAsia" w:ascii="楷体_GB2312" w:eastAsia="楷体_GB2312"/>
          <w:sz w:val="28"/>
          <w:szCs w:val="24"/>
        </w:rPr>
        <w:t xml:space="preserve"> </w:t>
      </w:r>
    </w:p>
    <w:bookmarkEnd w:id="0"/>
    <w:bookmarkEnd w:id="31"/>
    <w:p>
      <w:pPr>
        <w:pStyle w:val="2"/>
        <w:tabs>
          <w:tab w:val="left" w:pos="1275"/>
          <w:tab w:val="center" w:pos="4672"/>
        </w:tabs>
        <w:adjustRightInd w:val="0"/>
        <w:snapToGrid w:val="0"/>
        <w:spacing w:beforeLines="50" w:afterLines="50" w:line="500" w:lineRule="exact"/>
        <w:jc w:val="center"/>
        <w:rPr>
          <w:rFonts w:ascii="楷体_GB2312" w:hAnsi="宋体" w:eastAsia="楷体_GB2312"/>
          <w:snapToGrid w:val="0"/>
          <w:kern w:val="0"/>
          <w:sz w:val="36"/>
          <w:szCs w:val="36"/>
        </w:rPr>
        <w:sectPr>
          <w:footerReference r:id="rId7" w:type="default"/>
          <w:pgSz w:w="11907" w:h="16840"/>
          <w:pgMar w:top="1418" w:right="1418" w:bottom="1418" w:left="1418" w:header="680" w:footer="851" w:gutter="0"/>
          <w:cols w:space="720" w:num="1"/>
          <w:docGrid w:linePitch="479" w:charSpace="11986"/>
        </w:sectPr>
      </w:pPr>
      <w:bookmarkStart w:id="36" w:name="_Toc454976159"/>
      <w:bookmarkStart w:id="37" w:name="_Toc9007"/>
      <w:bookmarkStart w:id="38" w:name="_Toc261009127"/>
      <w:bookmarkStart w:id="39" w:name="_Toc326590667"/>
      <w:bookmarkStart w:id="40" w:name="_Toc394749897"/>
      <w:bookmarkStart w:id="41" w:name="_Toc326590671"/>
    </w:p>
    <w:bookmarkEnd w:id="36"/>
    <w:bookmarkEnd w:id="37"/>
    <w:bookmarkEnd w:id="38"/>
    <w:bookmarkEnd w:id="39"/>
    <w:bookmarkEnd w:id="40"/>
    <w:bookmarkEnd w:id="41"/>
    <w:p>
      <w:pPr>
        <w:pStyle w:val="2"/>
        <w:tabs>
          <w:tab w:val="left" w:pos="1275"/>
          <w:tab w:val="center" w:pos="4672"/>
        </w:tabs>
        <w:adjustRightInd w:val="0"/>
        <w:snapToGrid w:val="0"/>
        <w:spacing w:beforeLines="150" w:afterLines="50" w:line="500" w:lineRule="exact"/>
        <w:jc w:val="center"/>
        <w:rPr>
          <w:rFonts w:hint="eastAsia" w:ascii="楷体_GB2312" w:hAnsi="宋体" w:eastAsia="楷体_GB2312"/>
          <w:snapToGrid w:val="0"/>
          <w:kern w:val="0"/>
          <w:sz w:val="36"/>
          <w:szCs w:val="36"/>
        </w:rPr>
      </w:pPr>
    </w:p>
    <w:p>
      <w:pPr>
        <w:pStyle w:val="2"/>
        <w:tabs>
          <w:tab w:val="left" w:pos="1275"/>
          <w:tab w:val="center" w:pos="4672"/>
        </w:tabs>
        <w:adjustRightInd w:val="0"/>
        <w:snapToGrid w:val="0"/>
        <w:spacing w:beforeLines="150" w:afterLines="50" w:line="500" w:lineRule="exact"/>
        <w:jc w:val="center"/>
        <w:rPr>
          <w:rFonts w:ascii="楷体_GB2312" w:hAnsi="宋体" w:eastAsia="楷体_GB2312"/>
          <w:snapToGrid w:val="0"/>
          <w:kern w:val="0"/>
          <w:sz w:val="36"/>
          <w:szCs w:val="36"/>
        </w:rPr>
      </w:pPr>
      <w:bookmarkStart w:id="42" w:name="_Toc26808"/>
      <w:r>
        <w:rPr>
          <w:rFonts w:hint="eastAsia" w:ascii="楷体_GB2312" w:hAnsi="宋体" w:eastAsia="楷体_GB2312"/>
          <w:snapToGrid w:val="0"/>
          <w:kern w:val="0"/>
          <w:sz w:val="36"/>
          <w:szCs w:val="36"/>
        </w:rPr>
        <w:t>附     件</w:t>
      </w:r>
      <w:bookmarkEnd w:id="42"/>
    </w:p>
    <w:p>
      <w:pPr>
        <w:pStyle w:val="3"/>
        <w:snapToGrid w:val="0"/>
        <w:spacing w:beforeLines="50" w:afterLines="50" w:line="500" w:lineRule="exact"/>
        <w:ind w:left="706" w:leftChars="203" w:hanging="280" w:hangingChars="100"/>
        <w:rPr>
          <w:rFonts w:hint="eastAsia" w:ascii="楷体_GB2312" w:hAnsi="宋体" w:eastAsia="楷体_GB2312"/>
          <w:b w:val="0"/>
          <w:snapToGrid w:val="0"/>
          <w:kern w:val="0"/>
          <w:sz w:val="28"/>
          <w:szCs w:val="28"/>
          <w:lang w:eastAsia="zh-CN"/>
        </w:rPr>
      </w:pPr>
      <w:bookmarkStart w:id="43" w:name="_Toc29654"/>
      <w:r>
        <w:rPr>
          <w:rFonts w:hint="eastAsia" w:ascii="楷体_GB2312" w:hAnsi="宋体" w:eastAsia="楷体_GB2312"/>
          <w:b w:val="0"/>
          <w:snapToGrid w:val="0"/>
          <w:kern w:val="0"/>
          <w:sz w:val="28"/>
          <w:szCs w:val="28"/>
        </w:rPr>
        <w:t>（一）</w:t>
      </w:r>
      <w:r>
        <w:rPr>
          <w:rFonts w:hint="eastAsia" w:ascii="楷体_GB2312" w:hAnsi="宋体" w:eastAsia="楷体_GB2312"/>
          <w:b w:val="0"/>
          <w:snapToGrid w:val="0"/>
          <w:kern w:val="0"/>
          <w:sz w:val="28"/>
          <w:szCs w:val="28"/>
          <w:lang w:eastAsia="zh-CN"/>
        </w:rPr>
        <w:t>南昌市西湖区人民法院司法网络拍卖小组司法技术委托书</w:t>
      </w:r>
      <w:bookmarkEnd w:id="43"/>
    </w:p>
    <w:p>
      <w:pPr>
        <w:pStyle w:val="3"/>
        <w:snapToGrid w:val="0"/>
        <w:spacing w:beforeLines="50" w:afterLines="50" w:line="500" w:lineRule="exact"/>
        <w:ind w:left="706" w:leftChars="203" w:hanging="280" w:hangingChars="100"/>
        <w:rPr>
          <w:rFonts w:ascii="楷体_GB2312" w:hAnsi="宋体" w:eastAsia="楷体_GB2312"/>
          <w:b w:val="0"/>
          <w:snapToGrid w:val="0"/>
          <w:kern w:val="0"/>
          <w:sz w:val="28"/>
          <w:szCs w:val="28"/>
        </w:rPr>
      </w:pPr>
      <w:bookmarkStart w:id="44" w:name="_Toc19263"/>
      <w:r>
        <w:rPr>
          <w:rFonts w:hint="eastAsia" w:ascii="楷体_GB2312" w:hAnsi="宋体" w:eastAsia="楷体_GB2312"/>
          <w:b w:val="0"/>
          <w:snapToGrid w:val="0"/>
          <w:kern w:val="0"/>
          <w:sz w:val="28"/>
          <w:szCs w:val="28"/>
        </w:rPr>
        <w:t>（二）估价对象的地理位置示意图</w:t>
      </w:r>
      <w:bookmarkEnd w:id="44"/>
    </w:p>
    <w:p>
      <w:pPr>
        <w:pStyle w:val="3"/>
        <w:snapToGrid w:val="0"/>
        <w:spacing w:beforeLines="50" w:afterLines="50" w:line="500" w:lineRule="exact"/>
        <w:ind w:left="706" w:leftChars="203" w:hanging="280" w:hangingChars="100"/>
        <w:rPr>
          <w:rFonts w:ascii="楷体_GB2312" w:hAnsi="宋体" w:eastAsia="楷体_GB2312"/>
          <w:b w:val="0"/>
          <w:snapToGrid w:val="0"/>
          <w:kern w:val="0"/>
          <w:sz w:val="28"/>
          <w:szCs w:val="28"/>
        </w:rPr>
      </w:pPr>
      <w:bookmarkStart w:id="45" w:name="_Toc15917"/>
      <w:r>
        <w:rPr>
          <w:rFonts w:hint="eastAsia" w:ascii="楷体_GB2312" w:hAnsi="宋体" w:eastAsia="楷体_GB2312"/>
          <w:b w:val="0"/>
          <w:snapToGrid w:val="0"/>
          <w:kern w:val="0"/>
          <w:sz w:val="28"/>
          <w:szCs w:val="28"/>
        </w:rPr>
        <w:t>（三）估价对象外、内部状况照片</w:t>
      </w:r>
      <w:bookmarkEnd w:id="45"/>
    </w:p>
    <w:p>
      <w:pPr>
        <w:pStyle w:val="3"/>
        <w:snapToGrid w:val="0"/>
        <w:spacing w:beforeLines="50" w:afterLines="50" w:line="500" w:lineRule="exact"/>
        <w:ind w:left="706" w:leftChars="203" w:hanging="280" w:hangingChars="100"/>
        <w:rPr>
          <w:rFonts w:ascii="楷体_GB2312" w:hAnsi="宋体" w:eastAsia="楷体_GB2312"/>
          <w:b w:val="0"/>
          <w:snapToGrid w:val="0"/>
          <w:kern w:val="0"/>
          <w:sz w:val="28"/>
          <w:szCs w:val="28"/>
        </w:rPr>
      </w:pPr>
      <w:bookmarkStart w:id="46" w:name="_Toc3988"/>
      <w:r>
        <w:rPr>
          <w:rFonts w:hint="eastAsia" w:ascii="楷体_GB2312" w:hAnsi="宋体" w:eastAsia="楷体_GB2312"/>
          <w:b w:val="0"/>
          <w:snapToGrid w:val="0"/>
          <w:kern w:val="0"/>
          <w:sz w:val="28"/>
          <w:szCs w:val="28"/>
        </w:rPr>
        <w:t>（四）估价对象权属证明复印件</w:t>
      </w:r>
      <w:bookmarkEnd w:id="46"/>
    </w:p>
    <w:p>
      <w:pPr>
        <w:pStyle w:val="3"/>
        <w:snapToGrid w:val="0"/>
        <w:spacing w:beforeLines="50" w:afterLines="50" w:line="500" w:lineRule="exact"/>
        <w:ind w:left="706" w:leftChars="203" w:hanging="280" w:hangingChars="100"/>
        <w:rPr>
          <w:rFonts w:ascii="楷体_GB2312" w:hAnsi="宋体" w:eastAsia="楷体_GB2312"/>
          <w:b w:val="0"/>
          <w:snapToGrid w:val="0"/>
          <w:kern w:val="0"/>
          <w:sz w:val="28"/>
          <w:szCs w:val="28"/>
        </w:rPr>
      </w:pPr>
      <w:bookmarkStart w:id="47" w:name="_Toc7094"/>
      <w:r>
        <w:rPr>
          <w:rFonts w:hint="eastAsia" w:ascii="楷体_GB2312" w:hAnsi="宋体" w:eastAsia="楷体_GB2312"/>
          <w:b w:val="0"/>
          <w:snapToGrid w:val="0"/>
          <w:kern w:val="0"/>
          <w:sz w:val="28"/>
          <w:szCs w:val="28"/>
        </w:rPr>
        <w:t>（五）房地产估价机构营业执照复印件</w:t>
      </w:r>
      <w:bookmarkEnd w:id="47"/>
    </w:p>
    <w:p>
      <w:pPr>
        <w:pStyle w:val="3"/>
        <w:snapToGrid w:val="0"/>
        <w:spacing w:beforeLines="50" w:afterLines="50" w:line="500" w:lineRule="exact"/>
        <w:ind w:left="706" w:leftChars="203" w:hanging="280" w:hangingChars="100"/>
        <w:rPr>
          <w:rFonts w:ascii="楷体_GB2312" w:hAnsi="宋体" w:eastAsia="楷体_GB2312"/>
          <w:b w:val="0"/>
          <w:snapToGrid w:val="0"/>
          <w:kern w:val="0"/>
          <w:sz w:val="28"/>
          <w:szCs w:val="28"/>
        </w:rPr>
      </w:pPr>
      <w:bookmarkStart w:id="48" w:name="_Toc14716"/>
      <w:r>
        <w:rPr>
          <w:rFonts w:hint="eastAsia" w:ascii="楷体_GB2312" w:hAnsi="宋体" w:eastAsia="楷体_GB2312"/>
          <w:b w:val="0"/>
          <w:snapToGrid w:val="0"/>
          <w:kern w:val="0"/>
          <w:sz w:val="28"/>
          <w:szCs w:val="28"/>
        </w:rPr>
        <w:t>（六）房地产估价机构资质证书复印件</w:t>
      </w:r>
      <w:bookmarkEnd w:id="48"/>
    </w:p>
    <w:p>
      <w:pPr>
        <w:pStyle w:val="3"/>
        <w:snapToGrid w:val="0"/>
        <w:spacing w:beforeLines="50" w:afterLines="50" w:line="500" w:lineRule="exact"/>
        <w:ind w:left="706" w:leftChars="203" w:hanging="280" w:hangingChars="100"/>
        <w:rPr>
          <w:rFonts w:ascii="楷体_GB2312" w:hAnsi="宋体" w:eastAsia="楷体_GB2312"/>
          <w:b w:val="0"/>
          <w:snapToGrid w:val="0"/>
          <w:kern w:val="0"/>
          <w:sz w:val="28"/>
          <w:szCs w:val="28"/>
        </w:rPr>
      </w:pPr>
      <w:bookmarkStart w:id="49" w:name="_Toc4120"/>
      <w:r>
        <w:rPr>
          <w:rFonts w:hint="eastAsia" w:ascii="楷体_GB2312" w:hAnsi="宋体" w:eastAsia="楷体_GB2312"/>
          <w:b w:val="0"/>
          <w:snapToGrid w:val="0"/>
          <w:kern w:val="0"/>
          <w:sz w:val="28"/>
          <w:szCs w:val="28"/>
        </w:rPr>
        <w:t>（七）房地产估价师注册证书复印件</w:t>
      </w:r>
      <w:bookmarkEnd w:id="49"/>
    </w:p>
    <w:p>
      <w:pPr>
        <w:rPr>
          <w:sz w:val="28"/>
          <w:szCs w:val="28"/>
        </w:rPr>
        <w:sectPr>
          <w:footerReference r:id="rId8" w:type="default"/>
          <w:pgSz w:w="11907" w:h="16840"/>
          <w:pgMar w:top="1418" w:right="1418" w:bottom="1418" w:left="1418" w:header="680" w:footer="851" w:gutter="0"/>
          <w:cols w:space="720" w:num="1"/>
          <w:docGrid w:linePitch="479" w:charSpace="11986"/>
        </w:sectPr>
      </w:pPr>
    </w:p>
    <w:p>
      <w:pPr>
        <w:jc w:val="center"/>
        <w:rPr>
          <w:sz w:val="32"/>
          <w:szCs w:val="32"/>
        </w:rPr>
      </w:pPr>
      <w:r>
        <w:rPr>
          <w:rFonts w:hint="eastAsia"/>
          <w:sz w:val="32"/>
          <w:szCs w:val="32"/>
        </w:rPr>
        <w:t>估价对象地理位置示意图</w:t>
      </w:r>
    </w:p>
    <w:p>
      <w:pPr>
        <w:jc w:val="center"/>
        <w:rPr>
          <w:sz w:val="32"/>
          <w:szCs w:val="32"/>
        </w:rPr>
      </w:pPr>
      <w:r>
        <w:pict>
          <v:shape id="圆角矩形标注 1" o:spid="_x0000_s1026" o:spt="62" type="#_x0000_t62" style="position:absolute;left:0pt;margin-left:381.75pt;margin-top:183.2pt;height:24.7pt;width:98.35pt;z-index:251757568;mso-width-relative:page;mso-height-relative:page;" fillcolor="#FFFFFF" filled="t" stroked="t" coordsize="21600,21600" o:gfxdata="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u0Dlu2gAAAAsBAAAPAAAAAAAAAAEAIAAAACIAAABkcnMvZG93&#10;bnJldi54bWxQSwECFAAUAAAACACHTuJAFOK27HACAADABAAADgAAAAAAAAABACAAAAApAQAAZHJz&#10;L2Uyb0RvYy54bWxQSwUGAAAAAAYABgBZAQAACwYAAAAA&#10;" adj="-3036,40883">
            <v:path/>
            <v:fill on="t" color2="#FFFFFF" focussize="0,0"/>
            <v:stroke color="#000000" miterlimit="8" joinstyle="miter"/>
            <v:imagedata o:title=""/>
            <o:lock v:ext="edit" aspectratio="f"/>
            <v:textbox>
              <w:txbxContent>
                <w:p>
                  <w:pPr>
                    <w:rPr>
                      <w:sz w:val="24"/>
                      <w:szCs w:val="24"/>
                    </w:rPr>
                  </w:pPr>
                  <w:r>
                    <w:rPr>
                      <w:rFonts w:hint="eastAsia"/>
                      <w:sz w:val="24"/>
                      <w:szCs w:val="24"/>
                    </w:rPr>
                    <w:t>估价对象位置</w:t>
                  </w:r>
                </w:p>
              </w:txbxContent>
            </v:textbox>
          </v:shape>
        </w:pict>
      </w:r>
      <w:bookmarkStart w:id="50" w:name="_GoBack"/>
      <w:r>
        <w:drawing>
          <wp:inline distT="0" distB="0" distL="114300" distR="114300">
            <wp:extent cx="8884920" cy="5391150"/>
            <wp:effectExtent l="19050" t="19050" r="30480" b="1905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10"/>
                    <a:stretch>
                      <a:fillRect/>
                    </a:stretch>
                  </pic:blipFill>
                  <pic:spPr>
                    <a:xfrm>
                      <a:off x="0" y="0"/>
                      <a:ext cx="8884920" cy="5391150"/>
                    </a:xfrm>
                    <a:prstGeom prst="rect">
                      <a:avLst/>
                    </a:prstGeom>
                    <a:noFill/>
                    <a:ln w="19050">
                      <a:solidFill>
                        <a:schemeClr val="tx1"/>
                      </a:solidFill>
                    </a:ln>
                  </pic:spPr>
                </pic:pic>
              </a:graphicData>
            </a:graphic>
          </wp:inline>
        </w:drawing>
      </w:r>
      <w:bookmarkEnd w:id="50"/>
    </w:p>
    <w:p>
      <w:pPr>
        <w:sectPr>
          <w:pgSz w:w="16840" w:h="11907" w:orient="landscape"/>
          <w:pgMar w:top="1418" w:right="1418" w:bottom="1418" w:left="1418" w:header="680" w:footer="851" w:gutter="0"/>
          <w:cols w:space="720" w:num="1"/>
          <w:docGrid w:linePitch="479" w:charSpace="11986"/>
        </w:sectPr>
      </w:pPr>
    </w:p>
    <w:p>
      <w:pPr>
        <w:jc w:val="center"/>
        <w:rPr>
          <w:sz w:val="28"/>
          <w:szCs w:val="28"/>
        </w:rPr>
      </w:pPr>
      <w:r>
        <w:rPr>
          <w:rFonts w:hint="eastAsia"/>
          <w:sz w:val="28"/>
          <w:szCs w:val="28"/>
        </w:rPr>
        <w:t>估价对象现状照片</w:t>
      </w:r>
    </w:p>
    <w:tbl>
      <w:tblPr>
        <w:tblStyle w:val="23"/>
        <w:tblpPr w:leftFromText="180" w:rightFromText="180" w:vertAnchor="text" w:horzAnchor="margin" w:tblpXSpec="center" w:tblpY="320"/>
        <w:tblOverlap w:val="never"/>
        <w:tblW w:w="90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43"/>
        <w:gridCol w:w="4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5" w:hRule="atLeast"/>
        </w:trPr>
        <w:tc>
          <w:tcPr>
            <w:tcW w:w="4543" w:type="dxa"/>
            <w:vAlign w:val="center"/>
          </w:tcPr>
          <w:p>
            <w:pPr>
              <w:spacing w:line="240" w:lineRule="exact"/>
              <w:jc w:val="center"/>
              <w:rPr>
                <w:rFonts w:hint="eastAsia" w:ascii="宋体" w:eastAsia="宋体"/>
                <w:bCs/>
                <w:sz w:val="24"/>
                <w:szCs w:val="24"/>
                <w:lang w:eastAsia="zh-CN"/>
              </w:rPr>
            </w:pPr>
            <w:r>
              <w:rPr>
                <w:rFonts w:hint="eastAsia" w:ascii="宋体" w:eastAsia="宋体"/>
                <w:bCs/>
                <w:sz w:val="24"/>
                <w:szCs w:val="24"/>
                <w:lang w:eastAsia="zh-CN"/>
              </w:rPr>
              <w:drawing>
                <wp:anchor distT="0" distB="0" distL="114300" distR="114300" simplePos="0" relativeHeight="251761664" behindDoc="0" locked="0" layoutInCell="1" allowOverlap="1">
                  <wp:simplePos x="0" y="0"/>
                  <wp:positionH relativeFrom="column">
                    <wp:posOffset>0</wp:posOffset>
                  </wp:positionH>
                  <wp:positionV relativeFrom="paragraph">
                    <wp:posOffset>-1081405</wp:posOffset>
                  </wp:positionV>
                  <wp:extent cx="2995295" cy="2390140"/>
                  <wp:effectExtent l="0" t="0" r="14605" b="10160"/>
                  <wp:wrapTopAndBottom/>
                  <wp:docPr id="11" name="图片 11" descr="微信图片_20200907191249"/>
                  <wp:cNvGraphicFramePr/>
                  <a:graphic xmlns:a="http://schemas.openxmlformats.org/drawingml/2006/main">
                    <a:graphicData uri="http://schemas.openxmlformats.org/drawingml/2006/picture">
                      <pic:pic xmlns:pic="http://schemas.openxmlformats.org/drawingml/2006/picture">
                        <pic:nvPicPr>
                          <pic:cNvPr id="11" name="图片 11" descr="微信图片_20200907191249"/>
                          <pic:cNvPicPr preferRelativeResize="0"/>
                        </pic:nvPicPr>
                        <pic:blipFill>
                          <a:blip r:embed="rId11"/>
                          <a:stretch>
                            <a:fillRect/>
                          </a:stretch>
                        </pic:blipFill>
                        <pic:spPr>
                          <a:xfrm>
                            <a:off x="0" y="0"/>
                            <a:ext cx="2995295" cy="2390140"/>
                          </a:xfrm>
                          <a:prstGeom prst="rect">
                            <a:avLst/>
                          </a:prstGeom>
                        </pic:spPr>
                      </pic:pic>
                    </a:graphicData>
                  </a:graphic>
                </wp:anchor>
              </w:drawing>
            </w:r>
          </w:p>
          <w:p>
            <w:pPr>
              <w:spacing w:line="240" w:lineRule="exact"/>
              <w:jc w:val="center"/>
              <w:rPr>
                <w:rFonts w:hint="eastAsia" w:ascii="宋体" w:eastAsia="宋体"/>
                <w:bCs/>
                <w:sz w:val="24"/>
                <w:szCs w:val="24"/>
                <w:lang w:eastAsia="zh-CN"/>
              </w:rPr>
            </w:pPr>
            <w:r>
              <w:rPr>
                <w:rFonts w:hint="eastAsia" w:ascii="宋体"/>
                <w:bCs/>
                <w:sz w:val="24"/>
                <w:szCs w:val="24"/>
              </w:rPr>
              <w:t>估价对象</w:t>
            </w:r>
            <w:r>
              <w:rPr>
                <w:rFonts w:hint="eastAsia" w:ascii="宋体"/>
                <w:bCs/>
                <w:sz w:val="24"/>
                <w:szCs w:val="24"/>
                <w:lang w:eastAsia="zh-CN"/>
              </w:rPr>
              <w:t>所处楼栋地下车库出入口</w:t>
            </w:r>
          </w:p>
        </w:tc>
        <w:tc>
          <w:tcPr>
            <w:tcW w:w="4543" w:type="dxa"/>
            <w:vAlign w:val="center"/>
          </w:tcPr>
          <w:p>
            <w:pPr>
              <w:spacing w:line="240" w:lineRule="exact"/>
              <w:jc w:val="center"/>
              <w:rPr>
                <w:rFonts w:hint="eastAsia" w:ascii="宋体" w:eastAsia="宋体"/>
                <w:bCs/>
                <w:sz w:val="28"/>
                <w:lang w:eastAsia="zh-CN"/>
              </w:rPr>
            </w:pPr>
            <w:r>
              <w:rPr>
                <w:rFonts w:hint="eastAsia" w:ascii="宋体" w:eastAsia="宋体"/>
                <w:bCs/>
                <w:sz w:val="24"/>
                <w:szCs w:val="24"/>
                <w:lang w:eastAsia="zh-CN"/>
              </w:rPr>
              <w:drawing>
                <wp:anchor distT="0" distB="0" distL="114300" distR="114300" simplePos="0" relativeHeight="251760640" behindDoc="0" locked="0" layoutInCell="1" allowOverlap="1">
                  <wp:simplePos x="0" y="0"/>
                  <wp:positionH relativeFrom="column">
                    <wp:posOffset>-2953385</wp:posOffset>
                  </wp:positionH>
                  <wp:positionV relativeFrom="paragraph">
                    <wp:posOffset>-6350</wp:posOffset>
                  </wp:positionV>
                  <wp:extent cx="2995295" cy="2390140"/>
                  <wp:effectExtent l="0" t="0" r="14605" b="10160"/>
                  <wp:wrapTopAndBottom/>
                  <wp:docPr id="10" name="图片 10" descr="微信图片_20200907191243"/>
                  <wp:cNvGraphicFramePr/>
                  <a:graphic xmlns:a="http://schemas.openxmlformats.org/drawingml/2006/main">
                    <a:graphicData uri="http://schemas.openxmlformats.org/drawingml/2006/picture">
                      <pic:pic xmlns:pic="http://schemas.openxmlformats.org/drawingml/2006/picture">
                        <pic:nvPicPr>
                          <pic:cNvPr id="10" name="图片 10" descr="微信图片_20200907191243"/>
                          <pic:cNvPicPr preferRelativeResize="0"/>
                        </pic:nvPicPr>
                        <pic:blipFill>
                          <a:blip r:embed="rId12"/>
                          <a:stretch>
                            <a:fillRect/>
                          </a:stretch>
                        </pic:blipFill>
                        <pic:spPr>
                          <a:xfrm>
                            <a:off x="0" y="0"/>
                            <a:ext cx="2995295" cy="2390140"/>
                          </a:xfrm>
                          <a:prstGeom prst="rect">
                            <a:avLst/>
                          </a:prstGeom>
                        </pic:spPr>
                      </pic:pic>
                    </a:graphicData>
                  </a:graphic>
                </wp:anchor>
              </w:drawing>
            </w:r>
          </w:p>
          <w:p>
            <w:pPr>
              <w:spacing w:line="240" w:lineRule="exact"/>
              <w:jc w:val="center"/>
              <w:rPr>
                <w:rFonts w:hint="eastAsia" w:ascii="宋体" w:eastAsia="宋体"/>
                <w:bCs/>
                <w:sz w:val="28"/>
                <w:lang w:eastAsia="zh-CN"/>
              </w:rPr>
            </w:pPr>
            <w:r>
              <w:rPr>
                <w:rFonts w:hint="eastAsia" w:ascii="宋体"/>
                <w:bCs/>
                <w:sz w:val="24"/>
                <w:szCs w:val="24"/>
              </w:rPr>
              <w:t>估价对象</w:t>
            </w:r>
            <w:r>
              <w:rPr>
                <w:rFonts w:hint="eastAsia" w:ascii="宋体"/>
                <w:bCs/>
                <w:sz w:val="24"/>
                <w:szCs w:val="24"/>
                <w:lang w:eastAsia="zh-CN"/>
              </w:rPr>
              <w:t>所处楼栋地下车库出入口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3" w:hRule="atLeast"/>
        </w:trPr>
        <w:tc>
          <w:tcPr>
            <w:tcW w:w="4543" w:type="dxa"/>
            <w:vAlign w:val="center"/>
          </w:tcPr>
          <w:p>
            <w:pPr>
              <w:spacing w:line="240" w:lineRule="exact"/>
              <w:jc w:val="center"/>
              <w:rPr>
                <w:rFonts w:hint="eastAsia" w:ascii="宋体" w:eastAsia="宋体"/>
                <w:bCs/>
                <w:sz w:val="10"/>
                <w:szCs w:val="10"/>
                <w:lang w:eastAsia="zh-CN"/>
              </w:rPr>
            </w:pPr>
            <w:r>
              <w:rPr>
                <w:rFonts w:hint="eastAsia" w:ascii="宋体" w:eastAsia="宋体"/>
                <w:bCs/>
                <w:sz w:val="10"/>
                <w:szCs w:val="10"/>
                <w:lang w:eastAsia="zh-CN"/>
              </w:rPr>
              <w:drawing>
                <wp:anchor distT="0" distB="0" distL="114300" distR="114300" simplePos="0" relativeHeight="251762688" behindDoc="0" locked="0" layoutInCell="1" allowOverlap="1">
                  <wp:simplePos x="0" y="0"/>
                  <wp:positionH relativeFrom="column">
                    <wp:posOffset>0</wp:posOffset>
                  </wp:positionH>
                  <wp:positionV relativeFrom="paragraph">
                    <wp:posOffset>-1229995</wp:posOffset>
                  </wp:positionV>
                  <wp:extent cx="2995295" cy="2390140"/>
                  <wp:effectExtent l="0" t="0" r="14605" b="10160"/>
                  <wp:wrapTopAndBottom/>
                  <wp:docPr id="12" name="图片 12" descr="微信图片_20200907191211"/>
                  <wp:cNvGraphicFramePr/>
                  <a:graphic xmlns:a="http://schemas.openxmlformats.org/drawingml/2006/main">
                    <a:graphicData uri="http://schemas.openxmlformats.org/drawingml/2006/picture">
                      <pic:pic xmlns:pic="http://schemas.openxmlformats.org/drawingml/2006/picture">
                        <pic:nvPicPr>
                          <pic:cNvPr id="12" name="图片 12" descr="微信图片_20200907191211"/>
                          <pic:cNvPicPr preferRelativeResize="0"/>
                        </pic:nvPicPr>
                        <pic:blipFill>
                          <a:blip r:embed="rId13"/>
                          <a:stretch>
                            <a:fillRect/>
                          </a:stretch>
                        </pic:blipFill>
                        <pic:spPr>
                          <a:xfrm>
                            <a:off x="0" y="0"/>
                            <a:ext cx="2995295" cy="2390140"/>
                          </a:xfrm>
                          <a:prstGeom prst="rect">
                            <a:avLst/>
                          </a:prstGeom>
                        </pic:spPr>
                      </pic:pic>
                    </a:graphicData>
                  </a:graphic>
                </wp:anchor>
              </w:drawing>
            </w:r>
          </w:p>
          <w:p>
            <w:pPr>
              <w:spacing w:line="240" w:lineRule="exact"/>
              <w:jc w:val="center"/>
              <w:rPr>
                <w:rFonts w:hint="eastAsia" w:ascii="宋体" w:eastAsia="宋体"/>
                <w:bCs/>
                <w:sz w:val="18"/>
                <w:szCs w:val="18"/>
                <w:lang w:eastAsia="zh-CN"/>
              </w:rPr>
            </w:pPr>
            <w:r>
              <w:rPr>
                <w:rFonts w:hint="eastAsia" w:ascii="宋体"/>
                <w:bCs/>
                <w:sz w:val="24"/>
                <w:szCs w:val="24"/>
              </w:rPr>
              <w:t>估价对象</w:t>
            </w:r>
            <w:r>
              <w:rPr>
                <w:rFonts w:hint="eastAsia" w:ascii="宋体"/>
                <w:bCs/>
                <w:sz w:val="24"/>
                <w:szCs w:val="24"/>
                <w:lang w:eastAsia="zh-CN"/>
              </w:rPr>
              <w:t>外观</w:t>
            </w:r>
          </w:p>
        </w:tc>
        <w:tc>
          <w:tcPr>
            <w:tcW w:w="4543" w:type="dxa"/>
            <w:vAlign w:val="center"/>
          </w:tcPr>
          <w:p>
            <w:pPr>
              <w:spacing w:line="240" w:lineRule="exact"/>
              <w:jc w:val="center"/>
              <w:rPr>
                <w:rFonts w:hint="eastAsia" w:ascii="宋体" w:eastAsia="宋体"/>
                <w:bCs/>
                <w:sz w:val="24"/>
                <w:szCs w:val="24"/>
                <w:lang w:eastAsia="zh-CN"/>
              </w:rPr>
            </w:pPr>
            <w:r>
              <w:rPr>
                <w:rFonts w:hint="eastAsia" w:ascii="宋体" w:eastAsia="宋体"/>
                <w:bCs/>
                <w:sz w:val="24"/>
                <w:szCs w:val="24"/>
                <w:lang w:eastAsia="zh-CN"/>
              </w:rPr>
              <w:drawing>
                <wp:anchor distT="0" distB="0" distL="114300" distR="114300" simplePos="0" relativeHeight="251763712" behindDoc="0" locked="0" layoutInCell="1" allowOverlap="1">
                  <wp:simplePos x="0" y="0"/>
                  <wp:positionH relativeFrom="column">
                    <wp:posOffset>0</wp:posOffset>
                  </wp:positionH>
                  <wp:positionV relativeFrom="paragraph">
                    <wp:posOffset>-1081405</wp:posOffset>
                  </wp:positionV>
                  <wp:extent cx="2995295" cy="2390140"/>
                  <wp:effectExtent l="0" t="0" r="14605" b="10160"/>
                  <wp:wrapTopAndBottom/>
                  <wp:docPr id="13" name="图片 13" descr="微信图片_20200907191235"/>
                  <wp:cNvGraphicFramePr/>
                  <a:graphic xmlns:a="http://schemas.openxmlformats.org/drawingml/2006/main">
                    <a:graphicData uri="http://schemas.openxmlformats.org/drawingml/2006/picture">
                      <pic:pic xmlns:pic="http://schemas.openxmlformats.org/drawingml/2006/picture">
                        <pic:nvPicPr>
                          <pic:cNvPr id="13" name="图片 13" descr="微信图片_20200907191235"/>
                          <pic:cNvPicPr preferRelativeResize="0"/>
                        </pic:nvPicPr>
                        <pic:blipFill>
                          <a:blip r:embed="rId14"/>
                          <a:stretch>
                            <a:fillRect/>
                          </a:stretch>
                        </pic:blipFill>
                        <pic:spPr>
                          <a:xfrm>
                            <a:off x="0" y="0"/>
                            <a:ext cx="2995295" cy="2390140"/>
                          </a:xfrm>
                          <a:prstGeom prst="rect">
                            <a:avLst/>
                          </a:prstGeom>
                        </pic:spPr>
                      </pic:pic>
                    </a:graphicData>
                  </a:graphic>
                </wp:anchor>
              </w:drawing>
            </w:r>
          </w:p>
          <w:p>
            <w:pPr>
              <w:spacing w:line="240" w:lineRule="exact"/>
              <w:jc w:val="center"/>
              <w:rPr>
                <w:rFonts w:hint="eastAsia" w:ascii="宋体" w:eastAsia="宋体"/>
                <w:bCs/>
                <w:sz w:val="18"/>
                <w:szCs w:val="18"/>
                <w:lang w:eastAsia="zh-CN"/>
              </w:rPr>
            </w:pPr>
            <w:r>
              <w:rPr>
                <w:rFonts w:hint="eastAsia" w:ascii="宋体"/>
                <w:bCs/>
                <w:sz w:val="24"/>
                <w:szCs w:val="24"/>
              </w:rPr>
              <w:t>估价对象</w:t>
            </w:r>
            <w:r>
              <w:rPr>
                <w:rFonts w:hint="eastAsia" w:ascii="宋体"/>
                <w:bCs/>
                <w:sz w:val="24"/>
                <w:szCs w:val="24"/>
                <w:lang w:eastAsia="zh-CN"/>
              </w:rPr>
              <w:t>外观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4" w:hRule="atLeast"/>
        </w:trPr>
        <w:tc>
          <w:tcPr>
            <w:tcW w:w="4543" w:type="dxa"/>
            <w:vAlign w:val="center"/>
          </w:tcPr>
          <w:p>
            <w:pPr>
              <w:spacing w:line="240" w:lineRule="exact"/>
              <w:jc w:val="center"/>
              <w:rPr>
                <w:rFonts w:hint="eastAsia" w:ascii="宋体" w:eastAsia="宋体"/>
                <w:bCs/>
                <w:sz w:val="24"/>
                <w:szCs w:val="24"/>
                <w:lang w:eastAsia="zh-CN"/>
              </w:rPr>
            </w:pPr>
            <w:r>
              <w:rPr>
                <w:rFonts w:hint="eastAsia" w:ascii="宋体" w:eastAsia="宋体"/>
                <w:bCs/>
                <w:sz w:val="24"/>
                <w:szCs w:val="24"/>
                <w:lang w:eastAsia="zh-CN"/>
              </w:rPr>
              <w:drawing>
                <wp:anchor distT="0" distB="0" distL="114300" distR="114300" simplePos="0" relativeHeight="251764736" behindDoc="0" locked="0" layoutInCell="1" allowOverlap="1">
                  <wp:simplePos x="0" y="0"/>
                  <wp:positionH relativeFrom="column">
                    <wp:posOffset>0</wp:posOffset>
                  </wp:positionH>
                  <wp:positionV relativeFrom="paragraph">
                    <wp:posOffset>-1108710</wp:posOffset>
                  </wp:positionV>
                  <wp:extent cx="2995295" cy="2390140"/>
                  <wp:effectExtent l="0" t="0" r="14605" b="10160"/>
                  <wp:wrapTopAndBottom/>
                  <wp:docPr id="14" name="图片 14" descr="微信图片_20200807134358"/>
                  <wp:cNvGraphicFramePr/>
                  <a:graphic xmlns:a="http://schemas.openxmlformats.org/drawingml/2006/main">
                    <a:graphicData uri="http://schemas.openxmlformats.org/drawingml/2006/picture">
                      <pic:pic xmlns:pic="http://schemas.openxmlformats.org/drawingml/2006/picture">
                        <pic:nvPicPr>
                          <pic:cNvPr id="14" name="图片 14" descr="微信图片_20200807134358"/>
                          <pic:cNvPicPr preferRelativeResize="0"/>
                        </pic:nvPicPr>
                        <pic:blipFill>
                          <a:blip r:embed="rId15"/>
                          <a:stretch>
                            <a:fillRect/>
                          </a:stretch>
                        </pic:blipFill>
                        <pic:spPr>
                          <a:xfrm>
                            <a:off x="0" y="0"/>
                            <a:ext cx="2995295" cy="2390140"/>
                          </a:xfrm>
                          <a:prstGeom prst="rect">
                            <a:avLst/>
                          </a:prstGeom>
                        </pic:spPr>
                      </pic:pic>
                    </a:graphicData>
                  </a:graphic>
                </wp:anchor>
              </w:drawing>
            </w:r>
          </w:p>
          <w:p>
            <w:pPr>
              <w:spacing w:line="240" w:lineRule="exact"/>
              <w:jc w:val="center"/>
              <w:rPr>
                <w:rFonts w:hint="eastAsia" w:ascii="宋体" w:eastAsia="宋体"/>
                <w:bCs/>
                <w:sz w:val="18"/>
                <w:szCs w:val="18"/>
                <w:lang w:eastAsia="zh-CN"/>
              </w:rPr>
            </w:pPr>
            <w:r>
              <w:rPr>
                <w:rFonts w:hint="eastAsia" w:ascii="宋体"/>
                <w:bCs/>
                <w:sz w:val="24"/>
                <w:szCs w:val="24"/>
              </w:rPr>
              <w:t>估价对象</w:t>
            </w:r>
            <w:r>
              <w:rPr>
                <w:rFonts w:hint="eastAsia" w:ascii="宋体"/>
                <w:bCs/>
                <w:sz w:val="24"/>
                <w:szCs w:val="24"/>
                <w:lang w:eastAsia="zh-CN"/>
              </w:rPr>
              <w:t>室内</w:t>
            </w:r>
          </w:p>
        </w:tc>
        <w:tc>
          <w:tcPr>
            <w:tcW w:w="4543" w:type="dxa"/>
            <w:vAlign w:val="center"/>
          </w:tcPr>
          <w:p>
            <w:pPr>
              <w:spacing w:line="240" w:lineRule="exact"/>
              <w:jc w:val="center"/>
              <w:rPr>
                <w:rFonts w:hint="eastAsia" w:ascii="宋体" w:eastAsia="宋体"/>
                <w:bCs/>
                <w:sz w:val="24"/>
                <w:szCs w:val="24"/>
                <w:lang w:eastAsia="zh-CN"/>
              </w:rPr>
            </w:pPr>
            <w:r>
              <w:rPr>
                <w:rFonts w:hint="eastAsia" w:ascii="宋体" w:eastAsia="宋体"/>
                <w:bCs/>
                <w:sz w:val="24"/>
                <w:szCs w:val="24"/>
                <w:lang w:eastAsia="zh-CN"/>
              </w:rPr>
              <w:drawing>
                <wp:anchor distT="0" distB="0" distL="114300" distR="114300" simplePos="0" relativeHeight="251765760" behindDoc="0" locked="0" layoutInCell="1" allowOverlap="1">
                  <wp:simplePos x="0" y="0"/>
                  <wp:positionH relativeFrom="column">
                    <wp:posOffset>0</wp:posOffset>
                  </wp:positionH>
                  <wp:positionV relativeFrom="paragraph">
                    <wp:posOffset>-1081405</wp:posOffset>
                  </wp:positionV>
                  <wp:extent cx="2995295" cy="2390140"/>
                  <wp:effectExtent l="0" t="0" r="14605" b="10160"/>
                  <wp:wrapTopAndBottom/>
                  <wp:docPr id="15" name="图片 15" descr="1"/>
                  <wp:cNvGraphicFramePr/>
                  <a:graphic xmlns:a="http://schemas.openxmlformats.org/drawingml/2006/main">
                    <a:graphicData uri="http://schemas.openxmlformats.org/drawingml/2006/picture">
                      <pic:pic xmlns:pic="http://schemas.openxmlformats.org/drawingml/2006/picture">
                        <pic:nvPicPr>
                          <pic:cNvPr id="15" name="图片 15" descr="1"/>
                          <pic:cNvPicPr preferRelativeResize="0"/>
                        </pic:nvPicPr>
                        <pic:blipFill>
                          <a:blip r:embed="rId16"/>
                          <a:stretch>
                            <a:fillRect/>
                          </a:stretch>
                        </pic:blipFill>
                        <pic:spPr>
                          <a:xfrm>
                            <a:off x="0" y="0"/>
                            <a:ext cx="2995295" cy="2390140"/>
                          </a:xfrm>
                          <a:prstGeom prst="rect">
                            <a:avLst/>
                          </a:prstGeom>
                        </pic:spPr>
                      </pic:pic>
                    </a:graphicData>
                  </a:graphic>
                </wp:anchor>
              </w:drawing>
            </w:r>
          </w:p>
          <w:p>
            <w:pPr>
              <w:spacing w:line="240" w:lineRule="exact"/>
              <w:jc w:val="center"/>
              <w:rPr>
                <w:rFonts w:hint="eastAsia" w:ascii="宋体" w:eastAsia="宋体"/>
                <w:bCs/>
                <w:sz w:val="28"/>
                <w:lang w:eastAsia="zh-CN"/>
              </w:rPr>
            </w:pPr>
            <w:r>
              <w:rPr>
                <w:rFonts w:hint="eastAsia" w:ascii="宋体"/>
                <w:bCs/>
                <w:sz w:val="24"/>
                <w:szCs w:val="24"/>
              </w:rPr>
              <w:t>估价对象</w:t>
            </w:r>
            <w:r>
              <w:rPr>
                <w:rFonts w:hint="eastAsia" w:ascii="宋体"/>
                <w:bCs/>
                <w:sz w:val="24"/>
                <w:szCs w:val="24"/>
                <w:lang w:eastAsia="zh-CN"/>
              </w:rPr>
              <w:t>室内</w:t>
            </w:r>
          </w:p>
        </w:tc>
      </w:tr>
    </w:tbl>
    <w:p/>
    <w:p>
      <w:pPr>
        <w:rPr>
          <w:sz w:val="28"/>
          <w:szCs w:val="28"/>
        </w:rPr>
      </w:pPr>
    </w:p>
    <w:sectPr>
      <w:pgSz w:w="11907" w:h="16840"/>
      <w:pgMar w:top="1418" w:right="1134" w:bottom="1418" w:left="1134" w:header="680" w:footer="851" w:gutter="0"/>
      <w:cols w:space="720" w:num="1"/>
      <w:docGrid w:linePitch="479" w:charSpace="119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文鼎CS仿宋体">
    <w:altName w:val="黑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Batang">
    <w:panose1 w:val="02030600000101010101"/>
    <w:charset w:val="81"/>
    <w:family w:val="roman"/>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ascii="宋体" w:hAnsi="宋体"/>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single" w:color="auto" w:sz="4" w:space="1"/>
        <w:left w:val="none" w:color="auto" w:sz="0" w:space="4"/>
        <w:bottom w:val="none" w:color="auto" w:sz="0" w:space="1"/>
        <w:right w:val="none" w:color="auto" w:sz="0" w:space="4"/>
      </w:pBdr>
      <w:jc w:val="both"/>
      <w:rPr>
        <w:rFonts w:ascii="宋体" w:hAnsi="宋体"/>
        <w:sz w:val="21"/>
        <w:szCs w:val="21"/>
      </w:rPr>
    </w:pPr>
    <w:r>
      <w:rPr>
        <w:rStyle w:val="27"/>
        <w:rFonts w:hint="eastAsia" w:ascii="楷体_GB2312" w:hAnsi="宋体" w:eastAsia="楷体_GB2312"/>
        <w:sz w:val="21"/>
        <w:szCs w:val="21"/>
      </w:rPr>
      <w:t xml:space="preserve">江西永佳房地产资产评估有限公司             电话：0791-86863726                 </w:t>
    </w:r>
    <w:r>
      <w:rPr>
        <w:rStyle w:val="27"/>
        <w:rFonts w:ascii="楷体_GB2312" w:hAnsi="宋体" w:eastAsia="楷体_GB2312"/>
        <w:sz w:val="21"/>
        <w:szCs w:val="21"/>
      </w:rPr>
      <w:fldChar w:fldCharType="begin"/>
    </w:r>
    <w:r>
      <w:rPr>
        <w:rStyle w:val="27"/>
        <w:rFonts w:ascii="楷体_GB2312" w:hAnsi="宋体" w:eastAsia="楷体_GB2312"/>
        <w:sz w:val="21"/>
        <w:szCs w:val="21"/>
      </w:rPr>
      <w:instrText xml:space="preserve"> PAGE   \* MERGEFORMAT </w:instrText>
    </w:r>
    <w:r>
      <w:rPr>
        <w:rStyle w:val="27"/>
        <w:rFonts w:ascii="楷体_GB2312" w:hAnsi="宋体" w:eastAsia="楷体_GB2312"/>
        <w:sz w:val="21"/>
        <w:szCs w:val="21"/>
      </w:rPr>
      <w:fldChar w:fldCharType="separate"/>
    </w:r>
    <w:r>
      <w:rPr>
        <w:rStyle w:val="27"/>
        <w:rFonts w:ascii="楷体_GB2312" w:hAnsi="宋体" w:eastAsia="楷体_GB2312"/>
        <w:sz w:val="21"/>
        <w:szCs w:val="21"/>
        <w:lang w:val="zh-CN"/>
      </w:rPr>
      <w:t>4</w:t>
    </w:r>
    <w:r>
      <w:rPr>
        <w:rStyle w:val="27"/>
        <w:rFonts w:ascii="楷体_GB2312" w:hAnsi="宋体" w:eastAsia="楷体_GB2312"/>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single" w:color="auto" w:sz="4" w:space="1"/>
        <w:left w:val="none" w:color="auto" w:sz="0" w:space="4"/>
        <w:bottom w:val="none" w:color="auto" w:sz="0" w:space="1"/>
        <w:right w:val="none" w:color="auto" w:sz="0" w:space="4"/>
      </w:pBdr>
      <w:jc w:val="both"/>
      <w:rPr>
        <w:rFonts w:ascii="宋体" w:hAnsi="宋体"/>
        <w:sz w:val="21"/>
        <w:szCs w:val="21"/>
      </w:rPr>
    </w:pPr>
    <w:r>
      <w:rPr>
        <w:rStyle w:val="27"/>
        <w:rFonts w:hint="eastAsia" w:ascii="楷体_GB2312" w:hAnsi="宋体" w:eastAsia="楷体_GB2312"/>
        <w:sz w:val="21"/>
        <w:szCs w:val="21"/>
      </w:rPr>
      <w:t xml:space="preserve">江西永佳房地产资产评估有限公司             电话：0791-86863726                 </w:t>
    </w:r>
    <w:r>
      <w:rPr>
        <w:rStyle w:val="27"/>
        <w:rFonts w:ascii="楷体_GB2312" w:hAnsi="宋体" w:eastAsia="楷体_GB2312"/>
        <w:sz w:val="21"/>
        <w:szCs w:val="21"/>
      </w:rPr>
      <w:fldChar w:fldCharType="begin"/>
    </w:r>
    <w:r>
      <w:rPr>
        <w:rStyle w:val="27"/>
        <w:rFonts w:ascii="楷体_GB2312" w:hAnsi="宋体" w:eastAsia="楷体_GB2312"/>
        <w:sz w:val="21"/>
        <w:szCs w:val="21"/>
      </w:rPr>
      <w:instrText xml:space="preserve"> PAGE   \* MERGEFORMAT </w:instrText>
    </w:r>
    <w:r>
      <w:rPr>
        <w:rStyle w:val="27"/>
        <w:rFonts w:ascii="楷体_GB2312" w:hAnsi="宋体" w:eastAsia="楷体_GB2312"/>
        <w:sz w:val="21"/>
        <w:szCs w:val="21"/>
      </w:rPr>
      <w:fldChar w:fldCharType="separate"/>
    </w:r>
    <w:r>
      <w:rPr>
        <w:rStyle w:val="27"/>
        <w:rFonts w:ascii="楷体_GB2312" w:hAnsi="宋体" w:eastAsia="楷体_GB2312"/>
        <w:sz w:val="21"/>
        <w:szCs w:val="21"/>
        <w:lang w:val="zh-CN"/>
      </w:rPr>
      <w:t>12</w:t>
    </w:r>
    <w:r>
      <w:rPr>
        <w:rStyle w:val="27"/>
        <w:rFonts w:ascii="楷体_GB2312" w:hAnsi="宋体" w:eastAsia="楷体_GB2312"/>
        <w:sz w:val="21"/>
        <w:szCs w:val="21"/>
      </w:rPr>
      <w:fldChar w:fldCharType="end"/>
    </w:r>
  </w:p>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single" w:color="auto" w:sz="4" w:space="1"/>
        <w:left w:val="none" w:color="auto" w:sz="0" w:space="4"/>
        <w:bottom w:val="none" w:color="auto" w:sz="0" w:space="1"/>
        <w:right w:val="none" w:color="auto" w:sz="0" w:space="4"/>
      </w:pBdr>
      <w:jc w:val="both"/>
      <w:rPr>
        <w:rFonts w:ascii="宋体" w:hAnsi="宋体"/>
        <w:sz w:val="21"/>
        <w:szCs w:val="21"/>
      </w:rPr>
    </w:pPr>
    <w:r>
      <w:rPr>
        <w:rStyle w:val="27"/>
        <w:rFonts w:hint="eastAsia" w:ascii="楷体_GB2312" w:hAnsi="宋体" w:eastAsia="楷体_GB2312"/>
        <w:sz w:val="21"/>
        <w:szCs w:val="21"/>
      </w:rPr>
      <w:t xml:space="preserve">江西永佳房地产资产评估有限公司             电话：0791-86863726                 </w:t>
    </w:r>
    <w:r>
      <w:rPr>
        <w:rStyle w:val="27"/>
        <w:rFonts w:ascii="楷体_GB2312" w:hAnsi="宋体" w:eastAsia="楷体_GB2312"/>
        <w:sz w:val="21"/>
        <w:szCs w:val="21"/>
      </w:rPr>
      <w:fldChar w:fldCharType="begin"/>
    </w:r>
    <w:r>
      <w:rPr>
        <w:rStyle w:val="27"/>
        <w:rFonts w:ascii="楷体_GB2312" w:hAnsi="宋体" w:eastAsia="楷体_GB2312"/>
        <w:sz w:val="21"/>
        <w:szCs w:val="21"/>
      </w:rPr>
      <w:instrText xml:space="preserve"> PAGE   \* MERGEFORMAT </w:instrText>
    </w:r>
    <w:r>
      <w:rPr>
        <w:rStyle w:val="27"/>
        <w:rFonts w:ascii="楷体_GB2312" w:hAnsi="宋体" w:eastAsia="楷体_GB2312"/>
        <w:sz w:val="21"/>
        <w:szCs w:val="21"/>
      </w:rPr>
      <w:fldChar w:fldCharType="separate"/>
    </w:r>
    <w:r>
      <w:rPr>
        <w:rStyle w:val="27"/>
        <w:rFonts w:ascii="楷体_GB2312" w:hAnsi="宋体" w:eastAsia="楷体_GB2312"/>
        <w:sz w:val="21"/>
        <w:szCs w:val="21"/>
        <w:lang w:val="zh-CN"/>
      </w:rPr>
      <w:t>19</w:t>
    </w:r>
    <w:r>
      <w:rPr>
        <w:rStyle w:val="27"/>
        <w:rFonts w:ascii="楷体_GB2312" w:hAnsi="宋体" w:eastAsia="楷体_GB2312"/>
        <w:sz w:val="21"/>
        <w:szCs w:val="21"/>
      </w:rPr>
      <w:fldChar w:fldCharType="end"/>
    </w:r>
  </w:p>
  <w:p>
    <w:pP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rFonts w:hint="eastAsia" w:ascii="楷体_GB2312" w:hAnsi="宋体" w:eastAsia="楷体_GB2312" w:cs="楷体_GB2312"/>
        <w:spacing w:val="-6"/>
        <w:kern w:val="0"/>
        <w:sz w:val="21"/>
        <w:szCs w:val="21"/>
        <w:lang w:eastAsia="zh-CN"/>
      </w:rPr>
      <w:t>南昌市西湖区人民法院</w:t>
    </w:r>
    <w:r>
      <w:rPr>
        <w:rFonts w:hint="eastAsia" w:ascii="楷体_GB2312" w:hAnsi="宋体" w:eastAsia="楷体_GB2312" w:cs="楷体_GB2312"/>
        <w:spacing w:val="-6"/>
        <w:kern w:val="0"/>
        <w:sz w:val="21"/>
        <w:szCs w:val="21"/>
      </w:rPr>
      <w:t>委托的</w:t>
    </w:r>
    <w:r>
      <w:rPr>
        <w:rFonts w:hint="eastAsia" w:ascii="楷体_GB2312" w:hAnsi="宋体" w:eastAsia="楷体_GB2312" w:cs="楷体_GB2312"/>
        <w:spacing w:val="-6"/>
        <w:kern w:val="0"/>
        <w:sz w:val="21"/>
        <w:szCs w:val="21"/>
        <w:lang w:eastAsia="zh-CN"/>
      </w:rPr>
      <w:t>位于南昌市西湖区建设西路8号千禧颐和园南屏苑5号车库</w:t>
    </w:r>
    <w:r>
      <w:rPr>
        <w:rFonts w:hint="eastAsia" w:ascii="楷体_GB2312" w:hAnsi="宋体" w:eastAsia="楷体_GB2312" w:cs="楷体_GB2312"/>
        <w:spacing w:val="-6"/>
        <w:kern w:val="0"/>
        <w:sz w:val="21"/>
        <w:szCs w:val="21"/>
      </w:rPr>
      <w:t>市场价值评估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824AE"/>
    <w:multiLevelType w:val="multilevel"/>
    <w:tmpl w:val="5B9824AE"/>
    <w:lvl w:ilvl="0" w:tentative="0">
      <w:start w:val="1"/>
      <w:numFmt w:val="decimal"/>
      <w:lvlText w:val="%1、"/>
      <w:lvlJc w:val="left"/>
      <w:pPr>
        <w:ind w:left="1251" w:hanging="825"/>
      </w:pPr>
      <w:rPr>
        <w:rFonts w:hint="default"/>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0"/>
  <w:bordersDoNotSurroundFooter w:val="0"/>
  <w:doNotTrackMoves/>
  <w:attachedTemplate r:id="rId1"/>
  <w:documentProtection w:enforcement="0"/>
  <w:defaultTabStop w:val="425"/>
  <w:drawingGridHorizontalSpacing w:val="269"/>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doNotWrapTextWithPunct/>
    <w:doNotUseEastAsianBreakRules/>
    <w:useFELayout/>
    <w:doNotUseIndentAsNumberingTabStop/>
    <w:useAltKinsokuLineBreakRules/>
    <w:compatSetting w:name="compatibilityMode" w:uri="http://schemas.microsoft.com/office/word" w:val="12"/>
  </w:compat>
  <w:rsids>
    <w:rsidRoot w:val="00885410"/>
    <w:rsid w:val="0000039A"/>
    <w:rsid w:val="00000C13"/>
    <w:rsid w:val="00000D11"/>
    <w:rsid w:val="00001045"/>
    <w:rsid w:val="00001B3B"/>
    <w:rsid w:val="00001BBB"/>
    <w:rsid w:val="00001E64"/>
    <w:rsid w:val="0000216C"/>
    <w:rsid w:val="00002231"/>
    <w:rsid w:val="000027EA"/>
    <w:rsid w:val="00003151"/>
    <w:rsid w:val="000034FF"/>
    <w:rsid w:val="0000414F"/>
    <w:rsid w:val="0000480B"/>
    <w:rsid w:val="000049C3"/>
    <w:rsid w:val="00004C0D"/>
    <w:rsid w:val="00004D2E"/>
    <w:rsid w:val="0000515C"/>
    <w:rsid w:val="0000539E"/>
    <w:rsid w:val="000054C9"/>
    <w:rsid w:val="0000556F"/>
    <w:rsid w:val="0000564A"/>
    <w:rsid w:val="00005A4C"/>
    <w:rsid w:val="00005E7D"/>
    <w:rsid w:val="00006D01"/>
    <w:rsid w:val="00006F79"/>
    <w:rsid w:val="000072D5"/>
    <w:rsid w:val="000073CB"/>
    <w:rsid w:val="00007982"/>
    <w:rsid w:val="00007B34"/>
    <w:rsid w:val="00007C88"/>
    <w:rsid w:val="00007CB3"/>
    <w:rsid w:val="0001063D"/>
    <w:rsid w:val="00010CC3"/>
    <w:rsid w:val="00010EC7"/>
    <w:rsid w:val="00011031"/>
    <w:rsid w:val="00011333"/>
    <w:rsid w:val="0001160A"/>
    <w:rsid w:val="00011D55"/>
    <w:rsid w:val="00012232"/>
    <w:rsid w:val="00012627"/>
    <w:rsid w:val="00012708"/>
    <w:rsid w:val="00012921"/>
    <w:rsid w:val="0001342C"/>
    <w:rsid w:val="00013796"/>
    <w:rsid w:val="00013C9A"/>
    <w:rsid w:val="00014130"/>
    <w:rsid w:val="00014585"/>
    <w:rsid w:val="00014F66"/>
    <w:rsid w:val="00015253"/>
    <w:rsid w:val="00015640"/>
    <w:rsid w:val="00015BAF"/>
    <w:rsid w:val="00016B6B"/>
    <w:rsid w:val="00016E0A"/>
    <w:rsid w:val="000171CB"/>
    <w:rsid w:val="000175DE"/>
    <w:rsid w:val="00020B55"/>
    <w:rsid w:val="00020CFD"/>
    <w:rsid w:val="0002141B"/>
    <w:rsid w:val="000215A5"/>
    <w:rsid w:val="00021FA2"/>
    <w:rsid w:val="00022A43"/>
    <w:rsid w:val="00022AA4"/>
    <w:rsid w:val="00022DEA"/>
    <w:rsid w:val="00023B91"/>
    <w:rsid w:val="000244A0"/>
    <w:rsid w:val="00024583"/>
    <w:rsid w:val="0002494F"/>
    <w:rsid w:val="00024D57"/>
    <w:rsid w:val="00024DA2"/>
    <w:rsid w:val="00024E78"/>
    <w:rsid w:val="000253A4"/>
    <w:rsid w:val="000254C5"/>
    <w:rsid w:val="000255C9"/>
    <w:rsid w:val="000261EF"/>
    <w:rsid w:val="00026485"/>
    <w:rsid w:val="00026A1C"/>
    <w:rsid w:val="00026CB6"/>
    <w:rsid w:val="00026E48"/>
    <w:rsid w:val="00026EB5"/>
    <w:rsid w:val="000274B8"/>
    <w:rsid w:val="000274D5"/>
    <w:rsid w:val="00027872"/>
    <w:rsid w:val="00027D56"/>
    <w:rsid w:val="000301E1"/>
    <w:rsid w:val="0003083E"/>
    <w:rsid w:val="00030A30"/>
    <w:rsid w:val="00030A7B"/>
    <w:rsid w:val="00030ABB"/>
    <w:rsid w:val="00030BDF"/>
    <w:rsid w:val="00030EE3"/>
    <w:rsid w:val="00030F91"/>
    <w:rsid w:val="00031CE0"/>
    <w:rsid w:val="00032827"/>
    <w:rsid w:val="00032AD9"/>
    <w:rsid w:val="000331DE"/>
    <w:rsid w:val="00033528"/>
    <w:rsid w:val="000336C2"/>
    <w:rsid w:val="0003402B"/>
    <w:rsid w:val="00034A19"/>
    <w:rsid w:val="0003524A"/>
    <w:rsid w:val="000355FE"/>
    <w:rsid w:val="00035A53"/>
    <w:rsid w:val="00035C09"/>
    <w:rsid w:val="00035D1E"/>
    <w:rsid w:val="000362D8"/>
    <w:rsid w:val="000367B5"/>
    <w:rsid w:val="000369ED"/>
    <w:rsid w:val="00036F55"/>
    <w:rsid w:val="0003752B"/>
    <w:rsid w:val="000400A3"/>
    <w:rsid w:val="00040317"/>
    <w:rsid w:val="00040372"/>
    <w:rsid w:val="00040756"/>
    <w:rsid w:val="00040D68"/>
    <w:rsid w:val="00040DB2"/>
    <w:rsid w:val="0004101C"/>
    <w:rsid w:val="00041B37"/>
    <w:rsid w:val="00041C17"/>
    <w:rsid w:val="00041D54"/>
    <w:rsid w:val="0004223F"/>
    <w:rsid w:val="000423C9"/>
    <w:rsid w:val="000424EB"/>
    <w:rsid w:val="00042729"/>
    <w:rsid w:val="000427AC"/>
    <w:rsid w:val="00043E91"/>
    <w:rsid w:val="0004451D"/>
    <w:rsid w:val="0004493C"/>
    <w:rsid w:val="00044AD7"/>
    <w:rsid w:val="00044B0D"/>
    <w:rsid w:val="00045359"/>
    <w:rsid w:val="000457D9"/>
    <w:rsid w:val="00045879"/>
    <w:rsid w:val="000459D0"/>
    <w:rsid w:val="00045B24"/>
    <w:rsid w:val="0004671B"/>
    <w:rsid w:val="000467C4"/>
    <w:rsid w:val="000468DD"/>
    <w:rsid w:val="00046CE3"/>
    <w:rsid w:val="00046F87"/>
    <w:rsid w:val="00047BD8"/>
    <w:rsid w:val="00047E04"/>
    <w:rsid w:val="00047EB7"/>
    <w:rsid w:val="000503E2"/>
    <w:rsid w:val="000509EA"/>
    <w:rsid w:val="000514E0"/>
    <w:rsid w:val="00051650"/>
    <w:rsid w:val="000517E2"/>
    <w:rsid w:val="00051E13"/>
    <w:rsid w:val="00051F3A"/>
    <w:rsid w:val="0005237D"/>
    <w:rsid w:val="0005266A"/>
    <w:rsid w:val="0005293D"/>
    <w:rsid w:val="000533D8"/>
    <w:rsid w:val="0005384C"/>
    <w:rsid w:val="0005397C"/>
    <w:rsid w:val="00053BD6"/>
    <w:rsid w:val="00053DCA"/>
    <w:rsid w:val="00054AB7"/>
    <w:rsid w:val="00054CDD"/>
    <w:rsid w:val="00054D38"/>
    <w:rsid w:val="00054F7A"/>
    <w:rsid w:val="00055341"/>
    <w:rsid w:val="00055397"/>
    <w:rsid w:val="000553AA"/>
    <w:rsid w:val="0005598D"/>
    <w:rsid w:val="00055BED"/>
    <w:rsid w:val="00056309"/>
    <w:rsid w:val="00056864"/>
    <w:rsid w:val="00056BAC"/>
    <w:rsid w:val="00056E75"/>
    <w:rsid w:val="0005797F"/>
    <w:rsid w:val="00057AD6"/>
    <w:rsid w:val="0006027A"/>
    <w:rsid w:val="000603B4"/>
    <w:rsid w:val="00060850"/>
    <w:rsid w:val="00060F0C"/>
    <w:rsid w:val="000610DF"/>
    <w:rsid w:val="00061173"/>
    <w:rsid w:val="000611D8"/>
    <w:rsid w:val="000612C4"/>
    <w:rsid w:val="00061B5F"/>
    <w:rsid w:val="00062343"/>
    <w:rsid w:val="00062910"/>
    <w:rsid w:val="00062FCB"/>
    <w:rsid w:val="0006361D"/>
    <w:rsid w:val="0006364E"/>
    <w:rsid w:val="00063A9B"/>
    <w:rsid w:val="00063C7A"/>
    <w:rsid w:val="000640C8"/>
    <w:rsid w:val="00064471"/>
    <w:rsid w:val="00064C28"/>
    <w:rsid w:val="00065BF3"/>
    <w:rsid w:val="00065F87"/>
    <w:rsid w:val="00065FAD"/>
    <w:rsid w:val="0006608E"/>
    <w:rsid w:val="00066317"/>
    <w:rsid w:val="00066F9D"/>
    <w:rsid w:val="00067987"/>
    <w:rsid w:val="00067ED9"/>
    <w:rsid w:val="0007035D"/>
    <w:rsid w:val="00070722"/>
    <w:rsid w:val="0007074C"/>
    <w:rsid w:val="00070798"/>
    <w:rsid w:val="00070A35"/>
    <w:rsid w:val="00070C71"/>
    <w:rsid w:val="00070FC3"/>
    <w:rsid w:val="00071070"/>
    <w:rsid w:val="0007151C"/>
    <w:rsid w:val="0007177A"/>
    <w:rsid w:val="000719BC"/>
    <w:rsid w:val="000722B2"/>
    <w:rsid w:val="00072577"/>
    <w:rsid w:val="00072917"/>
    <w:rsid w:val="00072C70"/>
    <w:rsid w:val="0007306C"/>
    <w:rsid w:val="000738E4"/>
    <w:rsid w:val="000738F6"/>
    <w:rsid w:val="00073B37"/>
    <w:rsid w:val="000740D3"/>
    <w:rsid w:val="00074CE7"/>
    <w:rsid w:val="000752C0"/>
    <w:rsid w:val="0007532A"/>
    <w:rsid w:val="00075508"/>
    <w:rsid w:val="00075582"/>
    <w:rsid w:val="000755F5"/>
    <w:rsid w:val="000757F4"/>
    <w:rsid w:val="00075A95"/>
    <w:rsid w:val="00075E06"/>
    <w:rsid w:val="0007661C"/>
    <w:rsid w:val="00076C06"/>
    <w:rsid w:val="00076F6E"/>
    <w:rsid w:val="000776CC"/>
    <w:rsid w:val="00077C45"/>
    <w:rsid w:val="00080A00"/>
    <w:rsid w:val="00080A36"/>
    <w:rsid w:val="000814A7"/>
    <w:rsid w:val="00081C4E"/>
    <w:rsid w:val="000825F3"/>
    <w:rsid w:val="00082B6A"/>
    <w:rsid w:val="00083057"/>
    <w:rsid w:val="00083AF0"/>
    <w:rsid w:val="00083C79"/>
    <w:rsid w:val="00083D54"/>
    <w:rsid w:val="00083FF4"/>
    <w:rsid w:val="00084101"/>
    <w:rsid w:val="000845F9"/>
    <w:rsid w:val="00084906"/>
    <w:rsid w:val="00084BAE"/>
    <w:rsid w:val="0008521C"/>
    <w:rsid w:val="00085271"/>
    <w:rsid w:val="00085A74"/>
    <w:rsid w:val="00086026"/>
    <w:rsid w:val="00086196"/>
    <w:rsid w:val="000868C3"/>
    <w:rsid w:val="00087044"/>
    <w:rsid w:val="0008705F"/>
    <w:rsid w:val="00087287"/>
    <w:rsid w:val="000872F2"/>
    <w:rsid w:val="000876CB"/>
    <w:rsid w:val="000877F8"/>
    <w:rsid w:val="0008786B"/>
    <w:rsid w:val="00087A74"/>
    <w:rsid w:val="00087C92"/>
    <w:rsid w:val="0009016A"/>
    <w:rsid w:val="00090A1E"/>
    <w:rsid w:val="00090C6C"/>
    <w:rsid w:val="000915A8"/>
    <w:rsid w:val="00091871"/>
    <w:rsid w:val="00091974"/>
    <w:rsid w:val="00091FAF"/>
    <w:rsid w:val="00092969"/>
    <w:rsid w:val="00092B28"/>
    <w:rsid w:val="00092E89"/>
    <w:rsid w:val="00092F6E"/>
    <w:rsid w:val="00092FDF"/>
    <w:rsid w:val="00092FEF"/>
    <w:rsid w:val="000939F2"/>
    <w:rsid w:val="000945C1"/>
    <w:rsid w:val="0009475F"/>
    <w:rsid w:val="00094B8F"/>
    <w:rsid w:val="0009517E"/>
    <w:rsid w:val="00095990"/>
    <w:rsid w:val="00095A5D"/>
    <w:rsid w:val="00095D4B"/>
    <w:rsid w:val="000964A0"/>
    <w:rsid w:val="000964E0"/>
    <w:rsid w:val="00096A14"/>
    <w:rsid w:val="00096C19"/>
    <w:rsid w:val="00096D27"/>
    <w:rsid w:val="00096FB0"/>
    <w:rsid w:val="00097248"/>
    <w:rsid w:val="0009738C"/>
    <w:rsid w:val="00097438"/>
    <w:rsid w:val="00097D9E"/>
    <w:rsid w:val="000A00DF"/>
    <w:rsid w:val="000A05EB"/>
    <w:rsid w:val="000A062E"/>
    <w:rsid w:val="000A09BA"/>
    <w:rsid w:val="000A14AD"/>
    <w:rsid w:val="000A1D98"/>
    <w:rsid w:val="000A1EF3"/>
    <w:rsid w:val="000A2480"/>
    <w:rsid w:val="000A24FA"/>
    <w:rsid w:val="000A2F08"/>
    <w:rsid w:val="000A3302"/>
    <w:rsid w:val="000A36FF"/>
    <w:rsid w:val="000A3ADB"/>
    <w:rsid w:val="000A40BA"/>
    <w:rsid w:val="000A46AF"/>
    <w:rsid w:val="000A482A"/>
    <w:rsid w:val="000A4916"/>
    <w:rsid w:val="000A4F9D"/>
    <w:rsid w:val="000A526B"/>
    <w:rsid w:val="000A55D7"/>
    <w:rsid w:val="000A5620"/>
    <w:rsid w:val="000A572C"/>
    <w:rsid w:val="000A5F8D"/>
    <w:rsid w:val="000A6262"/>
    <w:rsid w:val="000A6264"/>
    <w:rsid w:val="000A6650"/>
    <w:rsid w:val="000A6DAC"/>
    <w:rsid w:val="000A6EC6"/>
    <w:rsid w:val="000A6F61"/>
    <w:rsid w:val="000A7F7A"/>
    <w:rsid w:val="000B0009"/>
    <w:rsid w:val="000B004E"/>
    <w:rsid w:val="000B03C8"/>
    <w:rsid w:val="000B050C"/>
    <w:rsid w:val="000B127A"/>
    <w:rsid w:val="000B1CF5"/>
    <w:rsid w:val="000B1D17"/>
    <w:rsid w:val="000B1F78"/>
    <w:rsid w:val="000B2233"/>
    <w:rsid w:val="000B2834"/>
    <w:rsid w:val="000B2FBE"/>
    <w:rsid w:val="000B31F8"/>
    <w:rsid w:val="000B321D"/>
    <w:rsid w:val="000B3477"/>
    <w:rsid w:val="000B3E0B"/>
    <w:rsid w:val="000B52C4"/>
    <w:rsid w:val="000B54A8"/>
    <w:rsid w:val="000B5599"/>
    <w:rsid w:val="000B65ED"/>
    <w:rsid w:val="000B6B0E"/>
    <w:rsid w:val="000B75C6"/>
    <w:rsid w:val="000B7948"/>
    <w:rsid w:val="000B7E45"/>
    <w:rsid w:val="000C01B5"/>
    <w:rsid w:val="000C0642"/>
    <w:rsid w:val="000C08F2"/>
    <w:rsid w:val="000C0A50"/>
    <w:rsid w:val="000C0A74"/>
    <w:rsid w:val="000C0B09"/>
    <w:rsid w:val="000C0E3D"/>
    <w:rsid w:val="000C13EB"/>
    <w:rsid w:val="000C18F1"/>
    <w:rsid w:val="000C1E37"/>
    <w:rsid w:val="000C26C1"/>
    <w:rsid w:val="000C2861"/>
    <w:rsid w:val="000C292E"/>
    <w:rsid w:val="000C2C28"/>
    <w:rsid w:val="000C2E3F"/>
    <w:rsid w:val="000C2F2F"/>
    <w:rsid w:val="000C3182"/>
    <w:rsid w:val="000C3906"/>
    <w:rsid w:val="000C3943"/>
    <w:rsid w:val="000C3B4B"/>
    <w:rsid w:val="000C414B"/>
    <w:rsid w:val="000C482F"/>
    <w:rsid w:val="000C5028"/>
    <w:rsid w:val="000C51B9"/>
    <w:rsid w:val="000C559F"/>
    <w:rsid w:val="000C55A5"/>
    <w:rsid w:val="000C56C1"/>
    <w:rsid w:val="000C593A"/>
    <w:rsid w:val="000C595D"/>
    <w:rsid w:val="000C5ECC"/>
    <w:rsid w:val="000C5EE7"/>
    <w:rsid w:val="000C60DC"/>
    <w:rsid w:val="000C612A"/>
    <w:rsid w:val="000C62AD"/>
    <w:rsid w:val="000C6A63"/>
    <w:rsid w:val="000C6E14"/>
    <w:rsid w:val="000C6E9B"/>
    <w:rsid w:val="000C7642"/>
    <w:rsid w:val="000D044C"/>
    <w:rsid w:val="000D0544"/>
    <w:rsid w:val="000D0C00"/>
    <w:rsid w:val="000D0DEE"/>
    <w:rsid w:val="000D0FF4"/>
    <w:rsid w:val="000D1274"/>
    <w:rsid w:val="000D15A3"/>
    <w:rsid w:val="000D2F39"/>
    <w:rsid w:val="000D3B59"/>
    <w:rsid w:val="000D4B45"/>
    <w:rsid w:val="000D5646"/>
    <w:rsid w:val="000D56AC"/>
    <w:rsid w:val="000D5CED"/>
    <w:rsid w:val="000D5D4F"/>
    <w:rsid w:val="000D64A1"/>
    <w:rsid w:val="000D68A4"/>
    <w:rsid w:val="000D6B2F"/>
    <w:rsid w:val="000D6D88"/>
    <w:rsid w:val="000D7008"/>
    <w:rsid w:val="000D73F2"/>
    <w:rsid w:val="000D7A61"/>
    <w:rsid w:val="000D7E08"/>
    <w:rsid w:val="000D7F79"/>
    <w:rsid w:val="000E036D"/>
    <w:rsid w:val="000E04AF"/>
    <w:rsid w:val="000E0992"/>
    <w:rsid w:val="000E1206"/>
    <w:rsid w:val="000E128D"/>
    <w:rsid w:val="000E12FC"/>
    <w:rsid w:val="000E1709"/>
    <w:rsid w:val="000E1A2A"/>
    <w:rsid w:val="000E1B9C"/>
    <w:rsid w:val="000E1DB2"/>
    <w:rsid w:val="000E1FFF"/>
    <w:rsid w:val="000E252B"/>
    <w:rsid w:val="000E28B2"/>
    <w:rsid w:val="000E2EFA"/>
    <w:rsid w:val="000E3A69"/>
    <w:rsid w:val="000E3C8F"/>
    <w:rsid w:val="000E4AEF"/>
    <w:rsid w:val="000E4B7A"/>
    <w:rsid w:val="000E4D56"/>
    <w:rsid w:val="000E4F5E"/>
    <w:rsid w:val="000E502C"/>
    <w:rsid w:val="000E583E"/>
    <w:rsid w:val="000E5AA9"/>
    <w:rsid w:val="000E5B24"/>
    <w:rsid w:val="000E6483"/>
    <w:rsid w:val="000E6D28"/>
    <w:rsid w:val="000E6E16"/>
    <w:rsid w:val="000E724A"/>
    <w:rsid w:val="000E7880"/>
    <w:rsid w:val="000E7F16"/>
    <w:rsid w:val="000F123A"/>
    <w:rsid w:val="000F2256"/>
    <w:rsid w:val="000F295B"/>
    <w:rsid w:val="000F2BD8"/>
    <w:rsid w:val="000F2C95"/>
    <w:rsid w:val="000F2CE0"/>
    <w:rsid w:val="000F2E47"/>
    <w:rsid w:val="000F3142"/>
    <w:rsid w:val="000F36A4"/>
    <w:rsid w:val="000F383E"/>
    <w:rsid w:val="000F3A1E"/>
    <w:rsid w:val="000F3DFD"/>
    <w:rsid w:val="000F4056"/>
    <w:rsid w:val="000F4202"/>
    <w:rsid w:val="000F44AE"/>
    <w:rsid w:val="000F48AB"/>
    <w:rsid w:val="000F48D4"/>
    <w:rsid w:val="000F4E77"/>
    <w:rsid w:val="000F5465"/>
    <w:rsid w:val="000F58DC"/>
    <w:rsid w:val="000F6763"/>
    <w:rsid w:val="000F6D5D"/>
    <w:rsid w:val="000F7180"/>
    <w:rsid w:val="000F76F0"/>
    <w:rsid w:val="000F7CD2"/>
    <w:rsid w:val="000F7FB1"/>
    <w:rsid w:val="001002EC"/>
    <w:rsid w:val="00100533"/>
    <w:rsid w:val="00100535"/>
    <w:rsid w:val="0010054A"/>
    <w:rsid w:val="0010068E"/>
    <w:rsid w:val="00100A56"/>
    <w:rsid w:val="00100ED6"/>
    <w:rsid w:val="0010164C"/>
    <w:rsid w:val="00101718"/>
    <w:rsid w:val="0010174D"/>
    <w:rsid w:val="001019E9"/>
    <w:rsid w:val="00101A34"/>
    <w:rsid w:val="00102427"/>
    <w:rsid w:val="00102B8F"/>
    <w:rsid w:val="00103B08"/>
    <w:rsid w:val="00103E21"/>
    <w:rsid w:val="00104415"/>
    <w:rsid w:val="001049D4"/>
    <w:rsid w:val="00104B39"/>
    <w:rsid w:val="00104E9B"/>
    <w:rsid w:val="00104F98"/>
    <w:rsid w:val="00105031"/>
    <w:rsid w:val="00105811"/>
    <w:rsid w:val="001058E5"/>
    <w:rsid w:val="00105B5A"/>
    <w:rsid w:val="00105FF2"/>
    <w:rsid w:val="0010638D"/>
    <w:rsid w:val="00106B82"/>
    <w:rsid w:val="00107102"/>
    <w:rsid w:val="0011034E"/>
    <w:rsid w:val="001108E0"/>
    <w:rsid w:val="00110A29"/>
    <w:rsid w:val="00110A67"/>
    <w:rsid w:val="00110AE6"/>
    <w:rsid w:val="00110C02"/>
    <w:rsid w:val="00110E6C"/>
    <w:rsid w:val="001111EC"/>
    <w:rsid w:val="001114C3"/>
    <w:rsid w:val="00111A6C"/>
    <w:rsid w:val="00111FAD"/>
    <w:rsid w:val="001120B7"/>
    <w:rsid w:val="001121FA"/>
    <w:rsid w:val="0011237D"/>
    <w:rsid w:val="00112DBF"/>
    <w:rsid w:val="00112DE9"/>
    <w:rsid w:val="00113472"/>
    <w:rsid w:val="0011375C"/>
    <w:rsid w:val="00113B13"/>
    <w:rsid w:val="00113EF0"/>
    <w:rsid w:val="001146B2"/>
    <w:rsid w:val="00114CA3"/>
    <w:rsid w:val="00114EF9"/>
    <w:rsid w:val="0011501C"/>
    <w:rsid w:val="001154D2"/>
    <w:rsid w:val="00115C82"/>
    <w:rsid w:val="00116281"/>
    <w:rsid w:val="001165D8"/>
    <w:rsid w:val="001172F7"/>
    <w:rsid w:val="001173C7"/>
    <w:rsid w:val="00117642"/>
    <w:rsid w:val="001177A4"/>
    <w:rsid w:val="001178B5"/>
    <w:rsid w:val="00117B2C"/>
    <w:rsid w:val="00117B67"/>
    <w:rsid w:val="00120187"/>
    <w:rsid w:val="0012098C"/>
    <w:rsid w:val="00121BB9"/>
    <w:rsid w:val="00121E64"/>
    <w:rsid w:val="00122741"/>
    <w:rsid w:val="00122B0D"/>
    <w:rsid w:val="00122EB7"/>
    <w:rsid w:val="00123322"/>
    <w:rsid w:val="00123455"/>
    <w:rsid w:val="00123855"/>
    <w:rsid w:val="00123A7F"/>
    <w:rsid w:val="00123C01"/>
    <w:rsid w:val="00123C2B"/>
    <w:rsid w:val="00123C45"/>
    <w:rsid w:val="00123D24"/>
    <w:rsid w:val="00124B87"/>
    <w:rsid w:val="00124BF3"/>
    <w:rsid w:val="00124CA0"/>
    <w:rsid w:val="001251AD"/>
    <w:rsid w:val="001251B0"/>
    <w:rsid w:val="001251DC"/>
    <w:rsid w:val="0012543C"/>
    <w:rsid w:val="00125500"/>
    <w:rsid w:val="00125A6F"/>
    <w:rsid w:val="00125B20"/>
    <w:rsid w:val="001260C4"/>
    <w:rsid w:val="0012626F"/>
    <w:rsid w:val="001272D7"/>
    <w:rsid w:val="001274C0"/>
    <w:rsid w:val="00127738"/>
    <w:rsid w:val="00127B26"/>
    <w:rsid w:val="00127CE2"/>
    <w:rsid w:val="00130872"/>
    <w:rsid w:val="00130B94"/>
    <w:rsid w:val="00131550"/>
    <w:rsid w:val="00131598"/>
    <w:rsid w:val="001318D1"/>
    <w:rsid w:val="001319A9"/>
    <w:rsid w:val="00132BAC"/>
    <w:rsid w:val="00132D38"/>
    <w:rsid w:val="00132ECF"/>
    <w:rsid w:val="00133A21"/>
    <w:rsid w:val="00133AF2"/>
    <w:rsid w:val="00133C68"/>
    <w:rsid w:val="001341BB"/>
    <w:rsid w:val="00134717"/>
    <w:rsid w:val="00135131"/>
    <w:rsid w:val="0013539B"/>
    <w:rsid w:val="001353F1"/>
    <w:rsid w:val="00135BEE"/>
    <w:rsid w:val="00135CDF"/>
    <w:rsid w:val="00135CE3"/>
    <w:rsid w:val="00135D57"/>
    <w:rsid w:val="00135FED"/>
    <w:rsid w:val="00136219"/>
    <w:rsid w:val="00136FF6"/>
    <w:rsid w:val="00137290"/>
    <w:rsid w:val="0013793C"/>
    <w:rsid w:val="001379A9"/>
    <w:rsid w:val="00137AE0"/>
    <w:rsid w:val="00137B98"/>
    <w:rsid w:val="00141057"/>
    <w:rsid w:val="00141297"/>
    <w:rsid w:val="001414AC"/>
    <w:rsid w:val="00141822"/>
    <w:rsid w:val="0014196C"/>
    <w:rsid w:val="001419A8"/>
    <w:rsid w:val="00141AB4"/>
    <w:rsid w:val="00141B64"/>
    <w:rsid w:val="00141C4B"/>
    <w:rsid w:val="00141D6D"/>
    <w:rsid w:val="00141DAF"/>
    <w:rsid w:val="00142236"/>
    <w:rsid w:val="001422D8"/>
    <w:rsid w:val="0014293B"/>
    <w:rsid w:val="00143021"/>
    <w:rsid w:val="00143099"/>
    <w:rsid w:val="001435FB"/>
    <w:rsid w:val="00143A1D"/>
    <w:rsid w:val="00143CBB"/>
    <w:rsid w:val="00144190"/>
    <w:rsid w:val="0014427F"/>
    <w:rsid w:val="001442E8"/>
    <w:rsid w:val="001443DC"/>
    <w:rsid w:val="00144501"/>
    <w:rsid w:val="00144C6A"/>
    <w:rsid w:val="00144D9E"/>
    <w:rsid w:val="001452FC"/>
    <w:rsid w:val="001457CD"/>
    <w:rsid w:val="00145884"/>
    <w:rsid w:val="00146C97"/>
    <w:rsid w:val="00147108"/>
    <w:rsid w:val="00147369"/>
    <w:rsid w:val="00147856"/>
    <w:rsid w:val="001479B6"/>
    <w:rsid w:val="00147BAE"/>
    <w:rsid w:val="001501DC"/>
    <w:rsid w:val="00150216"/>
    <w:rsid w:val="001503EE"/>
    <w:rsid w:val="00150D7A"/>
    <w:rsid w:val="0015109A"/>
    <w:rsid w:val="00151534"/>
    <w:rsid w:val="00152824"/>
    <w:rsid w:val="00152989"/>
    <w:rsid w:val="001538C5"/>
    <w:rsid w:val="0015423A"/>
    <w:rsid w:val="00154826"/>
    <w:rsid w:val="00154A61"/>
    <w:rsid w:val="00155AD5"/>
    <w:rsid w:val="00155AF6"/>
    <w:rsid w:val="00155CAB"/>
    <w:rsid w:val="00155D5D"/>
    <w:rsid w:val="00155F35"/>
    <w:rsid w:val="00156735"/>
    <w:rsid w:val="001568CA"/>
    <w:rsid w:val="001568DF"/>
    <w:rsid w:val="001568F0"/>
    <w:rsid w:val="0015717B"/>
    <w:rsid w:val="001574DB"/>
    <w:rsid w:val="00157C00"/>
    <w:rsid w:val="00157EA8"/>
    <w:rsid w:val="00157EC2"/>
    <w:rsid w:val="001609CB"/>
    <w:rsid w:val="00160FC5"/>
    <w:rsid w:val="001610C2"/>
    <w:rsid w:val="001619EC"/>
    <w:rsid w:val="00161DA5"/>
    <w:rsid w:val="001621C8"/>
    <w:rsid w:val="00162F3C"/>
    <w:rsid w:val="00163247"/>
    <w:rsid w:val="00163BE9"/>
    <w:rsid w:val="00163F13"/>
    <w:rsid w:val="0016438C"/>
    <w:rsid w:val="00164BDD"/>
    <w:rsid w:val="00164F01"/>
    <w:rsid w:val="00164F31"/>
    <w:rsid w:val="0016526D"/>
    <w:rsid w:val="001654B6"/>
    <w:rsid w:val="001659D2"/>
    <w:rsid w:val="00166322"/>
    <w:rsid w:val="001667A6"/>
    <w:rsid w:val="00166B27"/>
    <w:rsid w:val="00166D62"/>
    <w:rsid w:val="001671BF"/>
    <w:rsid w:val="001671FC"/>
    <w:rsid w:val="001675A6"/>
    <w:rsid w:val="00167BF4"/>
    <w:rsid w:val="0017083D"/>
    <w:rsid w:val="00170E40"/>
    <w:rsid w:val="00170EF6"/>
    <w:rsid w:val="00171A7A"/>
    <w:rsid w:val="00171AD0"/>
    <w:rsid w:val="00172746"/>
    <w:rsid w:val="00172A0B"/>
    <w:rsid w:val="00172FC1"/>
    <w:rsid w:val="00174082"/>
    <w:rsid w:val="00174328"/>
    <w:rsid w:val="00174483"/>
    <w:rsid w:val="00174A3E"/>
    <w:rsid w:val="00174A9A"/>
    <w:rsid w:val="00175320"/>
    <w:rsid w:val="001755F0"/>
    <w:rsid w:val="00175CCD"/>
    <w:rsid w:val="00175D8F"/>
    <w:rsid w:val="0017656B"/>
    <w:rsid w:val="0017669F"/>
    <w:rsid w:val="00176A64"/>
    <w:rsid w:val="00176CBE"/>
    <w:rsid w:val="00176DB7"/>
    <w:rsid w:val="001774BF"/>
    <w:rsid w:val="001801D8"/>
    <w:rsid w:val="00180256"/>
    <w:rsid w:val="001804A2"/>
    <w:rsid w:val="00180904"/>
    <w:rsid w:val="00181CE0"/>
    <w:rsid w:val="00181D47"/>
    <w:rsid w:val="00181DFF"/>
    <w:rsid w:val="00181FB1"/>
    <w:rsid w:val="00182482"/>
    <w:rsid w:val="001824E2"/>
    <w:rsid w:val="0018262F"/>
    <w:rsid w:val="001829CE"/>
    <w:rsid w:val="00182B88"/>
    <w:rsid w:val="00182B95"/>
    <w:rsid w:val="00182F6D"/>
    <w:rsid w:val="001831A5"/>
    <w:rsid w:val="001833BE"/>
    <w:rsid w:val="00183B5C"/>
    <w:rsid w:val="00183D1F"/>
    <w:rsid w:val="0018404D"/>
    <w:rsid w:val="001840EA"/>
    <w:rsid w:val="001849AD"/>
    <w:rsid w:val="00184B9D"/>
    <w:rsid w:val="00184D98"/>
    <w:rsid w:val="00184F7A"/>
    <w:rsid w:val="00184F98"/>
    <w:rsid w:val="00185210"/>
    <w:rsid w:val="001852BA"/>
    <w:rsid w:val="00185E56"/>
    <w:rsid w:val="00186FD4"/>
    <w:rsid w:val="00187167"/>
    <w:rsid w:val="0018738C"/>
    <w:rsid w:val="001876DD"/>
    <w:rsid w:val="00187914"/>
    <w:rsid w:val="001902FB"/>
    <w:rsid w:val="001903A3"/>
    <w:rsid w:val="001906C5"/>
    <w:rsid w:val="001916D1"/>
    <w:rsid w:val="001922F0"/>
    <w:rsid w:val="0019247B"/>
    <w:rsid w:val="00192999"/>
    <w:rsid w:val="00192E1F"/>
    <w:rsid w:val="00192F18"/>
    <w:rsid w:val="00192F77"/>
    <w:rsid w:val="001933B2"/>
    <w:rsid w:val="00193437"/>
    <w:rsid w:val="00193AC9"/>
    <w:rsid w:val="00194229"/>
    <w:rsid w:val="00194AF3"/>
    <w:rsid w:val="00195CD8"/>
    <w:rsid w:val="00195D28"/>
    <w:rsid w:val="00195F1C"/>
    <w:rsid w:val="00196318"/>
    <w:rsid w:val="00196431"/>
    <w:rsid w:val="00196653"/>
    <w:rsid w:val="0019680A"/>
    <w:rsid w:val="00196A3F"/>
    <w:rsid w:val="00196F5B"/>
    <w:rsid w:val="00197B17"/>
    <w:rsid w:val="001A0172"/>
    <w:rsid w:val="001A0524"/>
    <w:rsid w:val="001A058E"/>
    <w:rsid w:val="001A0D22"/>
    <w:rsid w:val="001A1035"/>
    <w:rsid w:val="001A10F9"/>
    <w:rsid w:val="001A1119"/>
    <w:rsid w:val="001A16D6"/>
    <w:rsid w:val="001A186E"/>
    <w:rsid w:val="001A18AC"/>
    <w:rsid w:val="001A1C01"/>
    <w:rsid w:val="001A26F3"/>
    <w:rsid w:val="001A2805"/>
    <w:rsid w:val="001A32BE"/>
    <w:rsid w:val="001A3B8C"/>
    <w:rsid w:val="001A4122"/>
    <w:rsid w:val="001A4598"/>
    <w:rsid w:val="001A47ED"/>
    <w:rsid w:val="001A4AAD"/>
    <w:rsid w:val="001A4BD0"/>
    <w:rsid w:val="001A4CC5"/>
    <w:rsid w:val="001A4E65"/>
    <w:rsid w:val="001A5A15"/>
    <w:rsid w:val="001A6C0E"/>
    <w:rsid w:val="001A714F"/>
    <w:rsid w:val="001A78C2"/>
    <w:rsid w:val="001A7976"/>
    <w:rsid w:val="001B0181"/>
    <w:rsid w:val="001B0197"/>
    <w:rsid w:val="001B0295"/>
    <w:rsid w:val="001B051E"/>
    <w:rsid w:val="001B083B"/>
    <w:rsid w:val="001B098B"/>
    <w:rsid w:val="001B0A33"/>
    <w:rsid w:val="001B0D5B"/>
    <w:rsid w:val="001B170F"/>
    <w:rsid w:val="001B1D4F"/>
    <w:rsid w:val="001B2173"/>
    <w:rsid w:val="001B2328"/>
    <w:rsid w:val="001B2A95"/>
    <w:rsid w:val="001B2AF3"/>
    <w:rsid w:val="001B30CA"/>
    <w:rsid w:val="001B34C3"/>
    <w:rsid w:val="001B3537"/>
    <w:rsid w:val="001B358B"/>
    <w:rsid w:val="001B3E39"/>
    <w:rsid w:val="001B44F0"/>
    <w:rsid w:val="001B49A3"/>
    <w:rsid w:val="001B4B73"/>
    <w:rsid w:val="001B7162"/>
    <w:rsid w:val="001B79EE"/>
    <w:rsid w:val="001B7A76"/>
    <w:rsid w:val="001C018E"/>
    <w:rsid w:val="001C055F"/>
    <w:rsid w:val="001C0821"/>
    <w:rsid w:val="001C0ADE"/>
    <w:rsid w:val="001C1930"/>
    <w:rsid w:val="001C1AD6"/>
    <w:rsid w:val="001C2DC0"/>
    <w:rsid w:val="001C2DC4"/>
    <w:rsid w:val="001C2FC3"/>
    <w:rsid w:val="001C2FCC"/>
    <w:rsid w:val="001C31C8"/>
    <w:rsid w:val="001C357D"/>
    <w:rsid w:val="001C3A9F"/>
    <w:rsid w:val="001C3C2B"/>
    <w:rsid w:val="001C3E27"/>
    <w:rsid w:val="001C3ED1"/>
    <w:rsid w:val="001C418F"/>
    <w:rsid w:val="001C4485"/>
    <w:rsid w:val="001C4DA9"/>
    <w:rsid w:val="001C5D77"/>
    <w:rsid w:val="001C67E6"/>
    <w:rsid w:val="001C6EA6"/>
    <w:rsid w:val="001C7042"/>
    <w:rsid w:val="001C76A9"/>
    <w:rsid w:val="001C791A"/>
    <w:rsid w:val="001C7AD2"/>
    <w:rsid w:val="001C7AE7"/>
    <w:rsid w:val="001C7B37"/>
    <w:rsid w:val="001C7B8B"/>
    <w:rsid w:val="001C7D21"/>
    <w:rsid w:val="001C7E1E"/>
    <w:rsid w:val="001C7EF8"/>
    <w:rsid w:val="001D01F9"/>
    <w:rsid w:val="001D036F"/>
    <w:rsid w:val="001D06D8"/>
    <w:rsid w:val="001D07A4"/>
    <w:rsid w:val="001D0B2B"/>
    <w:rsid w:val="001D1344"/>
    <w:rsid w:val="001D15CC"/>
    <w:rsid w:val="001D18FD"/>
    <w:rsid w:val="001D2516"/>
    <w:rsid w:val="001D262E"/>
    <w:rsid w:val="001D278A"/>
    <w:rsid w:val="001D2999"/>
    <w:rsid w:val="001D3879"/>
    <w:rsid w:val="001D3BD6"/>
    <w:rsid w:val="001D3F20"/>
    <w:rsid w:val="001D46F0"/>
    <w:rsid w:val="001D48FA"/>
    <w:rsid w:val="001D4BB1"/>
    <w:rsid w:val="001D4E92"/>
    <w:rsid w:val="001D52E2"/>
    <w:rsid w:val="001D5919"/>
    <w:rsid w:val="001D5CC1"/>
    <w:rsid w:val="001D5CEE"/>
    <w:rsid w:val="001D689D"/>
    <w:rsid w:val="001D6C30"/>
    <w:rsid w:val="001D6FB7"/>
    <w:rsid w:val="001D6FFB"/>
    <w:rsid w:val="001D7449"/>
    <w:rsid w:val="001D7BA9"/>
    <w:rsid w:val="001D7FC7"/>
    <w:rsid w:val="001E0814"/>
    <w:rsid w:val="001E0F23"/>
    <w:rsid w:val="001E10D3"/>
    <w:rsid w:val="001E11AF"/>
    <w:rsid w:val="001E134A"/>
    <w:rsid w:val="001E137C"/>
    <w:rsid w:val="001E1B53"/>
    <w:rsid w:val="001E1E04"/>
    <w:rsid w:val="001E2080"/>
    <w:rsid w:val="001E2219"/>
    <w:rsid w:val="001E2484"/>
    <w:rsid w:val="001E38B5"/>
    <w:rsid w:val="001E3ACF"/>
    <w:rsid w:val="001E3B33"/>
    <w:rsid w:val="001E3F6B"/>
    <w:rsid w:val="001E4AAC"/>
    <w:rsid w:val="001E4EDA"/>
    <w:rsid w:val="001E544F"/>
    <w:rsid w:val="001E5EEB"/>
    <w:rsid w:val="001E5F25"/>
    <w:rsid w:val="001E621B"/>
    <w:rsid w:val="001E623F"/>
    <w:rsid w:val="001E6D1B"/>
    <w:rsid w:val="001E6F06"/>
    <w:rsid w:val="001E7076"/>
    <w:rsid w:val="001E7AAB"/>
    <w:rsid w:val="001E7BA6"/>
    <w:rsid w:val="001E7C27"/>
    <w:rsid w:val="001E7ECB"/>
    <w:rsid w:val="001F0120"/>
    <w:rsid w:val="001F06AF"/>
    <w:rsid w:val="001F104D"/>
    <w:rsid w:val="001F11F4"/>
    <w:rsid w:val="001F16EB"/>
    <w:rsid w:val="001F1C81"/>
    <w:rsid w:val="001F2327"/>
    <w:rsid w:val="001F2BA7"/>
    <w:rsid w:val="001F2E5B"/>
    <w:rsid w:val="001F3081"/>
    <w:rsid w:val="001F3D29"/>
    <w:rsid w:val="001F3D4C"/>
    <w:rsid w:val="001F3D94"/>
    <w:rsid w:val="001F3E92"/>
    <w:rsid w:val="001F417E"/>
    <w:rsid w:val="001F4268"/>
    <w:rsid w:val="001F499F"/>
    <w:rsid w:val="001F4B3B"/>
    <w:rsid w:val="001F4BA5"/>
    <w:rsid w:val="001F4D5E"/>
    <w:rsid w:val="001F565B"/>
    <w:rsid w:val="001F5A54"/>
    <w:rsid w:val="001F5C8D"/>
    <w:rsid w:val="001F5CC9"/>
    <w:rsid w:val="001F5EA8"/>
    <w:rsid w:val="001F5EAD"/>
    <w:rsid w:val="001F5F7C"/>
    <w:rsid w:val="001F601E"/>
    <w:rsid w:val="001F6886"/>
    <w:rsid w:val="001F6A94"/>
    <w:rsid w:val="001F6FD1"/>
    <w:rsid w:val="001F7153"/>
    <w:rsid w:val="001F726B"/>
    <w:rsid w:val="001F72D3"/>
    <w:rsid w:val="001F7D77"/>
    <w:rsid w:val="002001EC"/>
    <w:rsid w:val="0020073A"/>
    <w:rsid w:val="002010AA"/>
    <w:rsid w:val="00201EE1"/>
    <w:rsid w:val="00201F57"/>
    <w:rsid w:val="00202553"/>
    <w:rsid w:val="00202911"/>
    <w:rsid w:val="00202D22"/>
    <w:rsid w:val="00203419"/>
    <w:rsid w:val="00203C08"/>
    <w:rsid w:val="00203F61"/>
    <w:rsid w:val="00203FB7"/>
    <w:rsid w:val="0020410E"/>
    <w:rsid w:val="00204483"/>
    <w:rsid w:val="00204649"/>
    <w:rsid w:val="002048B9"/>
    <w:rsid w:val="002049AE"/>
    <w:rsid w:val="002058AB"/>
    <w:rsid w:val="00206008"/>
    <w:rsid w:val="0020675B"/>
    <w:rsid w:val="00206B47"/>
    <w:rsid w:val="0020704C"/>
    <w:rsid w:val="00207079"/>
    <w:rsid w:val="002074F1"/>
    <w:rsid w:val="0020769F"/>
    <w:rsid w:val="00207A96"/>
    <w:rsid w:val="00207D19"/>
    <w:rsid w:val="002101D1"/>
    <w:rsid w:val="00210A10"/>
    <w:rsid w:val="00210AB8"/>
    <w:rsid w:val="0021121E"/>
    <w:rsid w:val="00211523"/>
    <w:rsid w:val="00211B8F"/>
    <w:rsid w:val="00211DD7"/>
    <w:rsid w:val="0021277A"/>
    <w:rsid w:val="002129AD"/>
    <w:rsid w:val="002129C8"/>
    <w:rsid w:val="002133E8"/>
    <w:rsid w:val="00213489"/>
    <w:rsid w:val="0021367C"/>
    <w:rsid w:val="00213A47"/>
    <w:rsid w:val="00214105"/>
    <w:rsid w:val="002146E9"/>
    <w:rsid w:val="002147B0"/>
    <w:rsid w:val="002154D5"/>
    <w:rsid w:val="00215BCF"/>
    <w:rsid w:val="0021655F"/>
    <w:rsid w:val="00216E29"/>
    <w:rsid w:val="00216F8A"/>
    <w:rsid w:val="002173CF"/>
    <w:rsid w:val="00217544"/>
    <w:rsid w:val="00217782"/>
    <w:rsid w:val="00217843"/>
    <w:rsid w:val="0021798C"/>
    <w:rsid w:val="00217BFB"/>
    <w:rsid w:val="00217D85"/>
    <w:rsid w:val="0022025D"/>
    <w:rsid w:val="00220718"/>
    <w:rsid w:val="00220A8F"/>
    <w:rsid w:val="002212D1"/>
    <w:rsid w:val="00221614"/>
    <w:rsid w:val="0022174F"/>
    <w:rsid w:val="00221D20"/>
    <w:rsid w:val="0022210A"/>
    <w:rsid w:val="002224F1"/>
    <w:rsid w:val="0022251E"/>
    <w:rsid w:val="002226A3"/>
    <w:rsid w:val="002227A4"/>
    <w:rsid w:val="002230F2"/>
    <w:rsid w:val="002231A8"/>
    <w:rsid w:val="0022326C"/>
    <w:rsid w:val="002234DC"/>
    <w:rsid w:val="00223E8C"/>
    <w:rsid w:val="00224140"/>
    <w:rsid w:val="0022516F"/>
    <w:rsid w:val="0022540E"/>
    <w:rsid w:val="00225614"/>
    <w:rsid w:val="00226005"/>
    <w:rsid w:val="0022601B"/>
    <w:rsid w:val="002269EF"/>
    <w:rsid w:val="00226AAF"/>
    <w:rsid w:val="00226CE2"/>
    <w:rsid w:val="00226FB4"/>
    <w:rsid w:val="00227120"/>
    <w:rsid w:val="002276AD"/>
    <w:rsid w:val="002300FE"/>
    <w:rsid w:val="00230499"/>
    <w:rsid w:val="002306F7"/>
    <w:rsid w:val="00230908"/>
    <w:rsid w:val="00230A3E"/>
    <w:rsid w:val="002311EC"/>
    <w:rsid w:val="0023142A"/>
    <w:rsid w:val="00231522"/>
    <w:rsid w:val="00232B53"/>
    <w:rsid w:val="00232B59"/>
    <w:rsid w:val="00232BED"/>
    <w:rsid w:val="00232D6E"/>
    <w:rsid w:val="002332E0"/>
    <w:rsid w:val="002336F4"/>
    <w:rsid w:val="00233AAA"/>
    <w:rsid w:val="00234701"/>
    <w:rsid w:val="00234A70"/>
    <w:rsid w:val="00234EEA"/>
    <w:rsid w:val="00235024"/>
    <w:rsid w:val="002358A6"/>
    <w:rsid w:val="00235AD6"/>
    <w:rsid w:val="00236428"/>
    <w:rsid w:val="00236C0C"/>
    <w:rsid w:val="0023705C"/>
    <w:rsid w:val="002374A8"/>
    <w:rsid w:val="00237937"/>
    <w:rsid w:val="002379D4"/>
    <w:rsid w:val="00237C4E"/>
    <w:rsid w:val="002403F9"/>
    <w:rsid w:val="00240572"/>
    <w:rsid w:val="002411F8"/>
    <w:rsid w:val="002412C1"/>
    <w:rsid w:val="00241589"/>
    <w:rsid w:val="002416A5"/>
    <w:rsid w:val="002418B1"/>
    <w:rsid w:val="00241989"/>
    <w:rsid w:val="00241B6C"/>
    <w:rsid w:val="00242705"/>
    <w:rsid w:val="00242764"/>
    <w:rsid w:val="002429D4"/>
    <w:rsid w:val="00242C15"/>
    <w:rsid w:val="00243767"/>
    <w:rsid w:val="002446AF"/>
    <w:rsid w:val="00244758"/>
    <w:rsid w:val="00244C40"/>
    <w:rsid w:val="00244E45"/>
    <w:rsid w:val="0024519A"/>
    <w:rsid w:val="0024535D"/>
    <w:rsid w:val="002456FD"/>
    <w:rsid w:val="00246754"/>
    <w:rsid w:val="00246848"/>
    <w:rsid w:val="0024745E"/>
    <w:rsid w:val="00247E50"/>
    <w:rsid w:val="00250648"/>
    <w:rsid w:val="0025078F"/>
    <w:rsid w:val="00250B6D"/>
    <w:rsid w:val="00250D2C"/>
    <w:rsid w:val="0025141A"/>
    <w:rsid w:val="00251522"/>
    <w:rsid w:val="00251A03"/>
    <w:rsid w:val="00251BA1"/>
    <w:rsid w:val="00251D35"/>
    <w:rsid w:val="00252712"/>
    <w:rsid w:val="002527F5"/>
    <w:rsid w:val="0025295B"/>
    <w:rsid w:val="00253027"/>
    <w:rsid w:val="0025337C"/>
    <w:rsid w:val="00253884"/>
    <w:rsid w:val="002538AB"/>
    <w:rsid w:val="00253975"/>
    <w:rsid w:val="00253DEA"/>
    <w:rsid w:val="00254179"/>
    <w:rsid w:val="0025437D"/>
    <w:rsid w:val="00254461"/>
    <w:rsid w:val="00254A79"/>
    <w:rsid w:val="00254CFD"/>
    <w:rsid w:val="0025556B"/>
    <w:rsid w:val="00255966"/>
    <w:rsid w:val="002567FD"/>
    <w:rsid w:val="002568E0"/>
    <w:rsid w:val="00256C44"/>
    <w:rsid w:val="00256EE0"/>
    <w:rsid w:val="00256FA6"/>
    <w:rsid w:val="0025762B"/>
    <w:rsid w:val="00257C23"/>
    <w:rsid w:val="00257EEE"/>
    <w:rsid w:val="002600E8"/>
    <w:rsid w:val="002602C9"/>
    <w:rsid w:val="002603C1"/>
    <w:rsid w:val="00260707"/>
    <w:rsid w:val="0026082C"/>
    <w:rsid w:val="00260872"/>
    <w:rsid w:val="00260A16"/>
    <w:rsid w:val="00261501"/>
    <w:rsid w:val="002615A3"/>
    <w:rsid w:val="002617DA"/>
    <w:rsid w:val="00261CBB"/>
    <w:rsid w:val="00261F76"/>
    <w:rsid w:val="002620FB"/>
    <w:rsid w:val="00262279"/>
    <w:rsid w:val="00262345"/>
    <w:rsid w:val="00262367"/>
    <w:rsid w:val="00262588"/>
    <w:rsid w:val="00262B27"/>
    <w:rsid w:val="00262D84"/>
    <w:rsid w:val="002630C8"/>
    <w:rsid w:val="002631F9"/>
    <w:rsid w:val="0026328C"/>
    <w:rsid w:val="002635E3"/>
    <w:rsid w:val="00263953"/>
    <w:rsid w:val="00263DCA"/>
    <w:rsid w:val="00263E0A"/>
    <w:rsid w:val="002642B7"/>
    <w:rsid w:val="0026450A"/>
    <w:rsid w:val="002649A0"/>
    <w:rsid w:val="002649C7"/>
    <w:rsid w:val="00264B48"/>
    <w:rsid w:val="00264C4D"/>
    <w:rsid w:val="00264DD3"/>
    <w:rsid w:val="002653CC"/>
    <w:rsid w:val="002655C3"/>
    <w:rsid w:val="00265BCB"/>
    <w:rsid w:val="00265DB8"/>
    <w:rsid w:val="002663CA"/>
    <w:rsid w:val="002668F2"/>
    <w:rsid w:val="00266B8A"/>
    <w:rsid w:val="002676E9"/>
    <w:rsid w:val="00267BF3"/>
    <w:rsid w:val="002702DD"/>
    <w:rsid w:val="0027042A"/>
    <w:rsid w:val="002705B5"/>
    <w:rsid w:val="00270A07"/>
    <w:rsid w:val="00270B4B"/>
    <w:rsid w:val="00270C7A"/>
    <w:rsid w:val="00270F1A"/>
    <w:rsid w:val="00271168"/>
    <w:rsid w:val="00271AA1"/>
    <w:rsid w:val="00271DF9"/>
    <w:rsid w:val="002721A4"/>
    <w:rsid w:val="00272268"/>
    <w:rsid w:val="00272379"/>
    <w:rsid w:val="0027280E"/>
    <w:rsid w:val="00272C7B"/>
    <w:rsid w:val="00272DD6"/>
    <w:rsid w:val="00272F55"/>
    <w:rsid w:val="002730EE"/>
    <w:rsid w:val="002733AA"/>
    <w:rsid w:val="00273C78"/>
    <w:rsid w:val="00273E9D"/>
    <w:rsid w:val="0027461D"/>
    <w:rsid w:val="00274907"/>
    <w:rsid w:val="00274A1E"/>
    <w:rsid w:val="00274EB2"/>
    <w:rsid w:val="00274F77"/>
    <w:rsid w:val="00275006"/>
    <w:rsid w:val="002750E3"/>
    <w:rsid w:val="002753E4"/>
    <w:rsid w:val="00275C63"/>
    <w:rsid w:val="002760D1"/>
    <w:rsid w:val="002760E9"/>
    <w:rsid w:val="00276146"/>
    <w:rsid w:val="00276426"/>
    <w:rsid w:val="002769A7"/>
    <w:rsid w:val="00276A75"/>
    <w:rsid w:val="00277141"/>
    <w:rsid w:val="002771AA"/>
    <w:rsid w:val="002771AB"/>
    <w:rsid w:val="00277964"/>
    <w:rsid w:val="00277A7C"/>
    <w:rsid w:val="00277F3A"/>
    <w:rsid w:val="00280414"/>
    <w:rsid w:val="00280E63"/>
    <w:rsid w:val="0028117C"/>
    <w:rsid w:val="002821D2"/>
    <w:rsid w:val="00282D7F"/>
    <w:rsid w:val="00283E24"/>
    <w:rsid w:val="00283FF5"/>
    <w:rsid w:val="002840A1"/>
    <w:rsid w:val="002841F5"/>
    <w:rsid w:val="00284676"/>
    <w:rsid w:val="002850F5"/>
    <w:rsid w:val="00285263"/>
    <w:rsid w:val="0028558A"/>
    <w:rsid w:val="00285A3C"/>
    <w:rsid w:val="00285D41"/>
    <w:rsid w:val="0028699F"/>
    <w:rsid w:val="00286E2B"/>
    <w:rsid w:val="00286F3A"/>
    <w:rsid w:val="002870ED"/>
    <w:rsid w:val="002871E3"/>
    <w:rsid w:val="00287345"/>
    <w:rsid w:val="002874E3"/>
    <w:rsid w:val="002876BB"/>
    <w:rsid w:val="00287892"/>
    <w:rsid w:val="002878D7"/>
    <w:rsid w:val="002879BD"/>
    <w:rsid w:val="00287FCE"/>
    <w:rsid w:val="002901C3"/>
    <w:rsid w:val="002904C2"/>
    <w:rsid w:val="0029053A"/>
    <w:rsid w:val="00290E28"/>
    <w:rsid w:val="00290E63"/>
    <w:rsid w:val="00290EC8"/>
    <w:rsid w:val="002910EB"/>
    <w:rsid w:val="00291256"/>
    <w:rsid w:val="00291D82"/>
    <w:rsid w:val="00291EBA"/>
    <w:rsid w:val="00292053"/>
    <w:rsid w:val="00292492"/>
    <w:rsid w:val="00292D1E"/>
    <w:rsid w:val="00293539"/>
    <w:rsid w:val="002935AA"/>
    <w:rsid w:val="002939B6"/>
    <w:rsid w:val="002944F4"/>
    <w:rsid w:val="0029450B"/>
    <w:rsid w:val="002945A3"/>
    <w:rsid w:val="00294ACE"/>
    <w:rsid w:val="00294B59"/>
    <w:rsid w:val="00294D45"/>
    <w:rsid w:val="00295064"/>
    <w:rsid w:val="00295E90"/>
    <w:rsid w:val="00295F68"/>
    <w:rsid w:val="00296377"/>
    <w:rsid w:val="002966DD"/>
    <w:rsid w:val="00296A2F"/>
    <w:rsid w:val="0029702E"/>
    <w:rsid w:val="002971BC"/>
    <w:rsid w:val="002973EC"/>
    <w:rsid w:val="00297576"/>
    <w:rsid w:val="00297B23"/>
    <w:rsid w:val="002A001C"/>
    <w:rsid w:val="002A00FB"/>
    <w:rsid w:val="002A020D"/>
    <w:rsid w:val="002A178A"/>
    <w:rsid w:val="002A1F8E"/>
    <w:rsid w:val="002A2132"/>
    <w:rsid w:val="002A2299"/>
    <w:rsid w:val="002A26BF"/>
    <w:rsid w:val="002A272B"/>
    <w:rsid w:val="002A2B60"/>
    <w:rsid w:val="002A2F11"/>
    <w:rsid w:val="002A3E5E"/>
    <w:rsid w:val="002A3EFD"/>
    <w:rsid w:val="002A3EFE"/>
    <w:rsid w:val="002A406A"/>
    <w:rsid w:val="002A4379"/>
    <w:rsid w:val="002A462C"/>
    <w:rsid w:val="002A48DA"/>
    <w:rsid w:val="002A4E97"/>
    <w:rsid w:val="002A50E5"/>
    <w:rsid w:val="002A525A"/>
    <w:rsid w:val="002A5FA0"/>
    <w:rsid w:val="002A6969"/>
    <w:rsid w:val="002A7177"/>
    <w:rsid w:val="002A74C0"/>
    <w:rsid w:val="002A7AA4"/>
    <w:rsid w:val="002A7DEF"/>
    <w:rsid w:val="002B05F9"/>
    <w:rsid w:val="002B0757"/>
    <w:rsid w:val="002B0815"/>
    <w:rsid w:val="002B0DC4"/>
    <w:rsid w:val="002B121C"/>
    <w:rsid w:val="002B14A7"/>
    <w:rsid w:val="002B14D0"/>
    <w:rsid w:val="002B1671"/>
    <w:rsid w:val="002B1A83"/>
    <w:rsid w:val="002B2035"/>
    <w:rsid w:val="002B262D"/>
    <w:rsid w:val="002B3532"/>
    <w:rsid w:val="002B40D6"/>
    <w:rsid w:val="002B438F"/>
    <w:rsid w:val="002B4634"/>
    <w:rsid w:val="002B5086"/>
    <w:rsid w:val="002B56E5"/>
    <w:rsid w:val="002B5C56"/>
    <w:rsid w:val="002B5E25"/>
    <w:rsid w:val="002B679A"/>
    <w:rsid w:val="002B704F"/>
    <w:rsid w:val="002B7078"/>
    <w:rsid w:val="002B7699"/>
    <w:rsid w:val="002B77D0"/>
    <w:rsid w:val="002B7BA5"/>
    <w:rsid w:val="002B7FDF"/>
    <w:rsid w:val="002C0261"/>
    <w:rsid w:val="002C0C91"/>
    <w:rsid w:val="002C1509"/>
    <w:rsid w:val="002C23D5"/>
    <w:rsid w:val="002C2957"/>
    <w:rsid w:val="002C2A1D"/>
    <w:rsid w:val="002C4011"/>
    <w:rsid w:val="002C41C8"/>
    <w:rsid w:val="002C4601"/>
    <w:rsid w:val="002C4689"/>
    <w:rsid w:val="002C53E1"/>
    <w:rsid w:val="002C54CF"/>
    <w:rsid w:val="002C56D8"/>
    <w:rsid w:val="002C5BBD"/>
    <w:rsid w:val="002C6712"/>
    <w:rsid w:val="002C6A0F"/>
    <w:rsid w:val="002C6C1B"/>
    <w:rsid w:val="002C7491"/>
    <w:rsid w:val="002C7F1B"/>
    <w:rsid w:val="002D04A4"/>
    <w:rsid w:val="002D0D12"/>
    <w:rsid w:val="002D1518"/>
    <w:rsid w:val="002D152E"/>
    <w:rsid w:val="002D19D3"/>
    <w:rsid w:val="002D1AE3"/>
    <w:rsid w:val="002D2BC3"/>
    <w:rsid w:val="002D336C"/>
    <w:rsid w:val="002D3B29"/>
    <w:rsid w:val="002D40F3"/>
    <w:rsid w:val="002D4223"/>
    <w:rsid w:val="002D4320"/>
    <w:rsid w:val="002D4514"/>
    <w:rsid w:val="002D4624"/>
    <w:rsid w:val="002D4847"/>
    <w:rsid w:val="002D49CA"/>
    <w:rsid w:val="002D4E58"/>
    <w:rsid w:val="002D4F81"/>
    <w:rsid w:val="002D566D"/>
    <w:rsid w:val="002D56E6"/>
    <w:rsid w:val="002D5A49"/>
    <w:rsid w:val="002D6D9A"/>
    <w:rsid w:val="002D7091"/>
    <w:rsid w:val="002D72B4"/>
    <w:rsid w:val="002D74E1"/>
    <w:rsid w:val="002D7500"/>
    <w:rsid w:val="002E03AA"/>
    <w:rsid w:val="002E0411"/>
    <w:rsid w:val="002E0FE9"/>
    <w:rsid w:val="002E1155"/>
    <w:rsid w:val="002E1649"/>
    <w:rsid w:val="002E168C"/>
    <w:rsid w:val="002E20FD"/>
    <w:rsid w:val="002E31CE"/>
    <w:rsid w:val="002E35A7"/>
    <w:rsid w:val="002E36C0"/>
    <w:rsid w:val="002E3D87"/>
    <w:rsid w:val="002E45FA"/>
    <w:rsid w:val="002E4643"/>
    <w:rsid w:val="002E4A8B"/>
    <w:rsid w:val="002E4C78"/>
    <w:rsid w:val="002E4CE1"/>
    <w:rsid w:val="002E4FD8"/>
    <w:rsid w:val="002E51CE"/>
    <w:rsid w:val="002E641B"/>
    <w:rsid w:val="002E6A7F"/>
    <w:rsid w:val="002E6C17"/>
    <w:rsid w:val="002E6D25"/>
    <w:rsid w:val="002E6E8B"/>
    <w:rsid w:val="002E6F59"/>
    <w:rsid w:val="002F0B63"/>
    <w:rsid w:val="002F0E96"/>
    <w:rsid w:val="002F0F71"/>
    <w:rsid w:val="002F2239"/>
    <w:rsid w:val="002F2418"/>
    <w:rsid w:val="002F2C3E"/>
    <w:rsid w:val="002F3A3E"/>
    <w:rsid w:val="002F3C10"/>
    <w:rsid w:val="002F4181"/>
    <w:rsid w:val="002F42A0"/>
    <w:rsid w:val="002F484B"/>
    <w:rsid w:val="002F48BE"/>
    <w:rsid w:val="002F5441"/>
    <w:rsid w:val="002F6187"/>
    <w:rsid w:val="002F68E9"/>
    <w:rsid w:val="002F6A5A"/>
    <w:rsid w:val="002F75E9"/>
    <w:rsid w:val="002F766F"/>
    <w:rsid w:val="003004A0"/>
    <w:rsid w:val="00300CB5"/>
    <w:rsid w:val="00300DBE"/>
    <w:rsid w:val="00301281"/>
    <w:rsid w:val="003015E4"/>
    <w:rsid w:val="00301686"/>
    <w:rsid w:val="003018D4"/>
    <w:rsid w:val="00301CB4"/>
    <w:rsid w:val="0030233E"/>
    <w:rsid w:val="00302651"/>
    <w:rsid w:val="00303AC7"/>
    <w:rsid w:val="00303D34"/>
    <w:rsid w:val="00304050"/>
    <w:rsid w:val="00304075"/>
    <w:rsid w:val="003045DA"/>
    <w:rsid w:val="00305686"/>
    <w:rsid w:val="00305968"/>
    <w:rsid w:val="00305B8F"/>
    <w:rsid w:val="00305F01"/>
    <w:rsid w:val="0030602E"/>
    <w:rsid w:val="00306384"/>
    <w:rsid w:val="0030667E"/>
    <w:rsid w:val="00306760"/>
    <w:rsid w:val="003068F5"/>
    <w:rsid w:val="00306AA3"/>
    <w:rsid w:val="00307839"/>
    <w:rsid w:val="00307993"/>
    <w:rsid w:val="00307CCE"/>
    <w:rsid w:val="00307FD1"/>
    <w:rsid w:val="00310061"/>
    <w:rsid w:val="00310743"/>
    <w:rsid w:val="003114DD"/>
    <w:rsid w:val="00311939"/>
    <w:rsid w:val="00311C98"/>
    <w:rsid w:val="00312772"/>
    <w:rsid w:val="0031278E"/>
    <w:rsid w:val="00312C7B"/>
    <w:rsid w:val="00312DCB"/>
    <w:rsid w:val="0031314E"/>
    <w:rsid w:val="00313520"/>
    <w:rsid w:val="00313729"/>
    <w:rsid w:val="003137E3"/>
    <w:rsid w:val="0031396D"/>
    <w:rsid w:val="00313B9C"/>
    <w:rsid w:val="00313F3D"/>
    <w:rsid w:val="0031400F"/>
    <w:rsid w:val="00314571"/>
    <w:rsid w:val="00314AC8"/>
    <w:rsid w:val="00314E1E"/>
    <w:rsid w:val="0031588C"/>
    <w:rsid w:val="0031623C"/>
    <w:rsid w:val="00316876"/>
    <w:rsid w:val="003168A9"/>
    <w:rsid w:val="00316C23"/>
    <w:rsid w:val="00316E77"/>
    <w:rsid w:val="003175FC"/>
    <w:rsid w:val="00317CA6"/>
    <w:rsid w:val="00317F04"/>
    <w:rsid w:val="00317FC7"/>
    <w:rsid w:val="00320190"/>
    <w:rsid w:val="00321254"/>
    <w:rsid w:val="00321701"/>
    <w:rsid w:val="00321AAD"/>
    <w:rsid w:val="0032254A"/>
    <w:rsid w:val="00322960"/>
    <w:rsid w:val="00323362"/>
    <w:rsid w:val="00323B25"/>
    <w:rsid w:val="00323B41"/>
    <w:rsid w:val="003242DD"/>
    <w:rsid w:val="00324D60"/>
    <w:rsid w:val="00324F54"/>
    <w:rsid w:val="00325269"/>
    <w:rsid w:val="0032527D"/>
    <w:rsid w:val="00325B96"/>
    <w:rsid w:val="00325C9D"/>
    <w:rsid w:val="00325D83"/>
    <w:rsid w:val="00325EEC"/>
    <w:rsid w:val="003268C8"/>
    <w:rsid w:val="00326F89"/>
    <w:rsid w:val="00327319"/>
    <w:rsid w:val="0032731D"/>
    <w:rsid w:val="00327B5F"/>
    <w:rsid w:val="0033001D"/>
    <w:rsid w:val="00330B4B"/>
    <w:rsid w:val="00330B79"/>
    <w:rsid w:val="00330E37"/>
    <w:rsid w:val="003311A9"/>
    <w:rsid w:val="00331FD5"/>
    <w:rsid w:val="00331FF8"/>
    <w:rsid w:val="003323B9"/>
    <w:rsid w:val="00332478"/>
    <w:rsid w:val="00332B5F"/>
    <w:rsid w:val="00332B9C"/>
    <w:rsid w:val="00332DE7"/>
    <w:rsid w:val="003331F8"/>
    <w:rsid w:val="00333571"/>
    <w:rsid w:val="0033388D"/>
    <w:rsid w:val="00334473"/>
    <w:rsid w:val="00334633"/>
    <w:rsid w:val="00334730"/>
    <w:rsid w:val="003348C7"/>
    <w:rsid w:val="00334A80"/>
    <w:rsid w:val="00334FC9"/>
    <w:rsid w:val="003353F1"/>
    <w:rsid w:val="00335401"/>
    <w:rsid w:val="003357B6"/>
    <w:rsid w:val="00335AC1"/>
    <w:rsid w:val="00336294"/>
    <w:rsid w:val="003366DB"/>
    <w:rsid w:val="003368F4"/>
    <w:rsid w:val="00336B70"/>
    <w:rsid w:val="00336DD8"/>
    <w:rsid w:val="003371A8"/>
    <w:rsid w:val="00337767"/>
    <w:rsid w:val="00337BD7"/>
    <w:rsid w:val="00337E4F"/>
    <w:rsid w:val="00337FB3"/>
    <w:rsid w:val="003400BD"/>
    <w:rsid w:val="003402B5"/>
    <w:rsid w:val="00340ACF"/>
    <w:rsid w:val="00341AB9"/>
    <w:rsid w:val="00341CE4"/>
    <w:rsid w:val="003420AF"/>
    <w:rsid w:val="00342157"/>
    <w:rsid w:val="00342539"/>
    <w:rsid w:val="00342BA3"/>
    <w:rsid w:val="00342BB9"/>
    <w:rsid w:val="0034341E"/>
    <w:rsid w:val="0034362B"/>
    <w:rsid w:val="00344922"/>
    <w:rsid w:val="00344A3B"/>
    <w:rsid w:val="00344BD7"/>
    <w:rsid w:val="00345289"/>
    <w:rsid w:val="003452CF"/>
    <w:rsid w:val="00345358"/>
    <w:rsid w:val="0034539D"/>
    <w:rsid w:val="00345717"/>
    <w:rsid w:val="00345F2A"/>
    <w:rsid w:val="003461B8"/>
    <w:rsid w:val="00346653"/>
    <w:rsid w:val="003467FB"/>
    <w:rsid w:val="003469F3"/>
    <w:rsid w:val="00347022"/>
    <w:rsid w:val="00347162"/>
    <w:rsid w:val="00347401"/>
    <w:rsid w:val="0034794F"/>
    <w:rsid w:val="00347E84"/>
    <w:rsid w:val="00347ECA"/>
    <w:rsid w:val="00350167"/>
    <w:rsid w:val="003504F9"/>
    <w:rsid w:val="0035087E"/>
    <w:rsid w:val="003509F6"/>
    <w:rsid w:val="00350B3D"/>
    <w:rsid w:val="003512AE"/>
    <w:rsid w:val="0035142A"/>
    <w:rsid w:val="00351E34"/>
    <w:rsid w:val="00351F40"/>
    <w:rsid w:val="00352317"/>
    <w:rsid w:val="003525A8"/>
    <w:rsid w:val="00352876"/>
    <w:rsid w:val="00352989"/>
    <w:rsid w:val="003531ED"/>
    <w:rsid w:val="003535BA"/>
    <w:rsid w:val="0035374F"/>
    <w:rsid w:val="0035375A"/>
    <w:rsid w:val="00354014"/>
    <w:rsid w:val="003540EE"/>
    <w:rsid w:val="003545EE"/>
    <w:rsid w:val="00354656"/>
    <w:rsid w:val="00354979"/>
    <w:rsid w:val="00354AAD"/>
    <w:rsid w:val="003551BA"/>
    <w:rsid w:val="00355618"/>
    <w:rsid w:val="003559A2"/>
    <w:rsid w:val="003559C0"/>
    <w:rsid w:val="00356150"/>
    <w:rsid w:val="003561BA"/>
    <w:rsid w:val="0035624D"/>
    <w:rsid w:val="00356B97"/>
    <w:rsid w:val="00356D7C"/>
    <w:rsid w:val="003573AE"/>
    <w:rsid w:val="00357777"/>
    <w:rsid w:val="00357AD3"/>
    <w:rsid w:val="00360A8F"/>
    <w:rsid w:val="00360DA3"/>
    <w:rsid w:val="00360DB6"/>
    <w:rsid w:val="00360EC1"/>
    <w:rsid w:val="00361099"/>
    <w:rsid w:val="00361355"/>
    <w:rsid w:val="00361A01"/>
    <w:rsid w:val="00361C69"/>
    <w:rsid w:val="003620E6"/>
    <w:rsid w:val="00362185"/>
    <w:rsid w:val="003625BE"/>
    <w:rsid w:val="003629AC"/>
    <w:rsid w:val="00362ACF"/>
    <w:rsid w:val="00362AF9"/>
    <w:rsid w:val="00362FAE"/>
    <w:rsid w:val="003630B2"/>
    <w:rsid w:val="00363A94"/>
    <w:rsid w:val="00363CFC"/>
    <w:rsid w:val="00363D7C"/>
    <w:rsid w:val="00364411"/>
    <w:rsid w:val="00364EB2"/>
    <w:rsid w:val="00365623"/>
    <w:rsid w:val="0036664C"/>
    <w:rsid w:val="00366D03"/>
    <w:rsid w:val="00366EDD"/>
    <w:rsid w:val="00366FA1"/>
    <w:rsid w:val="0036703D"/>
    <w:rsid w:val="0036778D"/>
    <w:rsid w:val="00367AA4"/>
    <w:rsid w:val="00370034"/>
    <w:rsid w:val="003702B9"/>
    <w:rsid w:val="00370361"/>
    <w:rsid w:val="00370829"/>
    <w:rsid w:val="00370ACF"/>
    <w:rsid w:val="00370DE1"/>
    <w:rsid w:val="00370F1E"/>
    <w:rsid w:val="0037129F"/>
    <w:rsid w:val="0037171E"/>
    <w:rsid w:val="00371DFB"/>
    <w:rsid w:val="0037205B"/>
    <w:rsid w:val="003725C4"/>
    <w:rsid w:val="003726D9"/>
    <w:rsid w:val="00372DE2"/>
    <w:rsid w:val="003732D4"/>
    <w:rsid w:val="003736C0"/>
    <w:rsid w:val="003738B7"/>
    <w:rsid w:val="003746AE"/>
    <w:rsid w:val="00374DA5"/>
    <w:rsid w:val="0037542C"/>
    <w:rsid w:val="00375546"/>
    <w:rsid w:val="00375A71"/>
    <w:rsid w:val="00375DE0"/>
    <w:rsid w:val="00375DE7"/>
    <w:rsid w:val="00375EAB"/>
    <w:rsid w:val="00376B68"/>
    <w:rsid w:val="00376D15"/>
    <w:rsid w:val="00380A2F"/>
    <w:rsid w:val="00380CE9"/>
    <w:rsid w:val="00380FB2"/>
    <w:rsid w:val="003810E3"/>
    <w:rsid w:val="0038155B"/>
    <w:rsid w:val="0038187C"/>
    <w:rsid w:val="0038193F"/>
    <w:rsid w:val="003821D6"/>
    <w:rsid w:val="003824BD"/>
    <w:rsid w:val="00382A71"/>
    <w:rsid w:val="00382B79"/>
    <w:rsid w:val="003836EB"/>
    <w:rsid w:val="003847AC"/>
    <w:rsid w:val="00384AE3"/>
    <w:rsid w:val="003853F7"/>
    <w:rsid w:val="00386407"/>
    <w:rsid w:val="003867F4"/>
    <w:rsid w:val="00386A46"/>
    <w:rsid w:val="00386DAD"/>
    <w:rsid w:val="00387109"/>
    <w:rsid w:val="00387310"/>
    <w:rsid w:val="0038768E"/>
    <w:rsid w:val="00387788"/>
    <w:rsid w:val="00387A85"/>
    <w:rsid w:val="00390D3E"/>
    <w:rsid w:val="00390F96"/>
    <w:rsid w:val="0039118A"/>
    <w:rsid w:val="003911D8"/>
    <w:rsid w:val="0039122B"/>
    <w:rsid w:val="00391B92"/>
    <w:rsid w:val="00391E0A"/>
    <w:rsid w:val="00391EF4"/>
    <w:rsid w:val="00391FF9"/>
    <w:rsid w:val="003922D5"/>
    <w:rsid w:val="00392B47"/>
    <w:rsid w:val="00392D69"/>
    <w:rsid w:val="003934BC"/>
    <w:rsid w:val="00393526"/>
    <w:rsid w:val="00393714"/>
    <w:rsid w:val="003937B4"/>
    <w:rsid w:val="00393903"/>
    <w:rsid w:val="003943DD"/>
    <w:rsid w:val="00394749"/>
    <w:rsid w:val="003947D3"/>
    <w:rsid w:val="00394985"/>
    <w:rsid w:val="00394CAD"/>
    <w:rsid w:val="003955E9"/>
    <w:rsid w:val="00395998"/>
    <w:rsid w:val="00395BE4"/>
    <w:rsid w:val="00395D7A"/>
    <w:rsid w:val="00395EEF"/>
    <w:rsid w:val="00395F03"/>
    <w:rsid w:val="0039688B"/>
    <w:rsid w:val="00396959"/>
    <w:rsid w:val="00396D52"/>
    <w:rsid w:val="00396EA6"/>
    <w:rsid w:val="00397626"/>
    <w:rsid w:val="00397949"/>
    <w:rsid w:val="00397AC9"/>
    <w:rsid w:val="00397BFF"/>
    <w:rsid w:val="003A05EF"/>
    <w:rsid w:val="003A0607"/>
    <w:rsid w:val="003A07C4"/>
    <w:rsid w:val="003A093F"/>
    <w:rsid w:val="003A15E7"/>
    <w:rsid w:val="003A198D"/>
    <w:rsid w:val="003A1E6D"/>
    <w:rsid w:val="003A1EE7"/>
    <w:rsid w:val="003A230D"/>
    <w:rsid w:val="003A2578"/>
    <w:rsid w:val="003A2A4E"/>
    <w:rsid w:val="003A2DFB"/>
    <w:rsid w:val="003A3DD3"/>
    <w:rsid w:val="003A4008"/>
    <w:rsid w:val="003A4353"/>
    <w:rsid w:val="003A4628"/>
    <w:rsid w:val="003A4B5A"/>
    <w:rsid w:val="003A4CB0"/>
    <w:rsid w:val="003A5A69"/>
    <w:rsid w:val="003A5DD4"/>
    <w:rsid w:val="003A60B8"/>
    <w:rsid w:val="003A66BA"/>
    <w:rsid w:val="003A68A2"/>
    <w:rsid w:val="003A68B8"/>
    <w:rsid w:val="003A6C81"/>
    <w:rsid w:val="003A78F6"/>
    <w:rsid w:val="003A7C04"/>
    <w:rsid w:val="003A7F6D"/>
    <w:rsid w:val="003A7FF1"/>
    <w:rsid w:val="003B037A"/>
    <w:rsid w:val="003B05D3"/>
    <w:rsid w:val="003B06F3"/>
    <w:rsid w:val="003B0B4A"/>
    <w:rsid w:val="003B0B96"/>
    <w:rsid w:val="003B105C"/>
    <w:rsid w:val="003B157E"/>
    <w:rsid w:val="003B1624"/>
    <w:rsid w:val="003B1801"/>
    <w:rsid w:val="003B1C30"/>
    <w:rsid w:val="003B1C4D"/>
    <w:rsid w:val="003B25D7"/>
    <w:rsid w:val="003B2634"/>
    <w:rsid w:val="003B26F1"/>
    <w:rsid w:val="003B2E84"/>
    <w:rsid w:val="003B329A"/>
    <w:rsid w:val="003B36CA"/>
    <w:rsid w:val="003B3934"/>
    <w:rsid w:val="003B3CA9"/>
    <w:rsid w:val="003B3D35"/>
    <w:rsid w:val="003B453D"/>
    <w:rsid w:val="003B4697"/>
    <w:rsid w:val="003B4A61"/>
    <w:rsid w:val="003B4A67"/>
    <w:rsid w:val="003B4E03"/>
    <w:rsid w:val="003B4EB6"/>
    <w:rsid w:val="003B4F26"/>
    <w:rsid w:val="003B55E8"/>
    <w:rsid w:val="003B5C40"/>
    <w:rsid w:val="003B6222"/>
    <w:rsid w:val="003B62E5"/>
    <w:rsid w:val="003B6CD0"/>
    <w:rsid w:val="003B701C"/>
    <w:rsid w:val="003B7103"/>
    <w:rsid w:val="003B72B4"/>
    <w:rsid w:val="003B7439"/>
    <w:rsid w:val="003B757E"/>
    <w:rsid w:val="003B792C"/>
    <w:rsid w:val="003B7C35"/>
    <w:rsid w:val="003B7EB6"/>
    <w:rsid w:val="003C009F"/>
    <w:rsid w:val="003C044C"/>
    <w:rsid w:val="003C0769"/>
    <w:rsid w:val="003C0BBC"/>
    <w:rsid w:val="003C1622"/>
    <w:rsid w:val="003C1702"/>
    <w:rsid w:val="003C1E05"/>
    <w:rsid w:val="003C21FB"/>
    <w:rsid w:val="003C2BC5"/>
    <w:rsid w:val="003C2C8D"/>
    <w:rsid w:val="003C2D05"/>
    <w:rsid w:val="003C2ED0"/>
    <w:rsid w:val="003C357A"/>
    <w:rsid w:val="003C39FB"/>
    <w:rsid w:val="003C471E"/>
    <w:rsid w:val="003C48C2"/>
    <w:rsid w:val="003C48E4"/>
    <w:rsid w:val="003C4BA1"/>
    <w:rsid w:val="003C4C20"/>
    <w:rsid w:val="003C4FA9"/>
    <w:rsid w:val="003C4FE9"/>
    <w:rsid w:val="003C54E2"/>
    <w:rsid w:val="003C54FA"/>
    <w:rsid w:val="003C5BF9"/>
    <w:rsid w:val="003C5F75"/>
    <w:rsid w:val="003C66DE"/>
    <w:rsid w:val="003C68EF"/>
    <w:rsid w:val="003C770D"/>
    <w:rsid w:val="003C7923"/>
    <w:rsid w:val="003C7AE5"/>
    <w:rsid w:val="003C7B7F"/>
    <w:rsid w:val="003D0141"/>
    <w:rsid w:val="003D0246"/>
    <w:rsid w:val="003D06E4"/>
    <w:rsid w:val="003D0B84"/>
    <w:rsid w:val="003D15C6"/>
    <w:rsid w:val="003D24F8"/>
    <w:rsid w:val="003D26F8"/>
    <w:rsid w:val="003D3912"/>
    <w:rsid w:val="003D3AE9"/>
    <w:rsid w:val="003D3C25"/>
    <w:rsid w:val="003D3F1E"/>
    <w:rsid w:val="003D4274"/>
    <w:rsid w:val="003D44DB"/>
    <w:rsid w:val="003D473C"/>
    <w:rsid w:val="003D497B"/>
    <w:rsid w:val="003D4B4D"/>
    <w:rsid w:val="003D4DEE"/>
    <w:rsid w:val="003D4EBC"/>
    <w:rsid w:val="003D4FEE"/>
    <w:rsid w:val="003D511E"/>
    <w:rsid w:val="003D5426"/>
    <w:rsid w:val="003D5873"/>
    <w:rsid w:val="003D58BA"/>
    <w:rsid w:val="003D62B5"/>
    <w:rsid w:val="003D6485"/>
    <w:rsid w:val="003D6603"/>
    <w:rsid w:val="003D6D4C"/>
    <w:rsid w:val="003D749C"/>
    <w:rsid w:val="003E0012"/>
    <w:rsid w:val="003E080F"/>
    <w:rsid w:val="003E0ACB"/>
    <w:rsid w:val="003E0BDD"/>
    <w:rsid w:val="003E0FFA"/>
    <w:rsid w:val="003E1142"/>
    <w:rsid w:val="003E1183"/>
    <w:rsid w:val="003E1250"/>
    <w:rsid w:val="003E13AD"/>
    <w:rsid w:val="003E1812"/>
    <w:rsid w:val="003E1A3B"/>
    <w:rsid w:val="003E1AAA"/>
    <w:rsid w:val="003E1DCF"/>
    <w:rsid w:val="003E221E"/>
    <w:rsid w:val="003E2B01"/>
    <w:rsid w:val="003E2D48"/>
    <w:rsid w:val="003E370C"/>
    <w:rsid w:val="003E3758"/>
    <w:rsid w:val="003E579E"/>
    <w:rsid w:val="003E58D1"/>
    <w:rsid w:val="003E5B11"/>
    <w:rsid w:val="003E68DE"/>
    <w:rsid w:val="003E70DE"/>
    <w:rsid w:val="003E7673"/>
    <w:rsid w:val="003E797E"/>
    <w:rsid w:val="003E7BEC"/>
    <w:rsid w:val="003E7D2A"/>
    <w:rsid w:val="003E7E3A"/>
    <w:rsid w:val="003F000C"/>
    <w:rsid w:val="003F0078"/>
    <w:rsid w:val="003F0142"/>
    <w:rsid w:val="003F01CB"/>
    <w:rsid w:val="003F0429"/>
    <w:rsid w:val="003F0A39"/>
    <w:rsid w:val="003F0E4C"/>
    <w:rsid w:val="003F10DB"/>
    <w:rsid w:val="003F12DD"/>
    <w:rsid w:val="003F1570"/>
    <w:rsid w:val="003F161F"/>
    <w:rsid w:val="003F1F49"/>
    <w:rsid w:val="003F20B0"/>
    <w:rsid w:val="003F23F1"/>
    <w:rsid w:val="003F30C9"/>
    <w:rsid w:val="003F3EC1"/>
    <w:rsid w:val="003F4313"/>
    <w:rsid w:val="003F45BA"/>
    <w:rsid w:val="003F47F8"/>
    <w:rsid w:val="003F48A9"/>
    <w:rsid w:val="003F4FDF"/>
    <w:rsid w:val="003F5900"/>
    <w:rsid w:val="003F7099"/>
    <w:rsid w:val="003F72BE"/>
    <w:rsid w:val="003F7945"/>
    <w:rsid w:val="003F7BBA"/>
    <w:rsid w:val="004006AF"/>
    <w:rsid w:val="00400742"/>
    <w:rsid w:val="004009AD"/>
    <w:rsid w:val="004009E2"/>
    <w:rsid w:val="00400E82"/>
    <w:rsid w:val="00401057"/>
    <w:rsid w:val="004017E1"/>
    <w:rsid w:val="00401DC9"/>
    <w:rsid w:val="004022EE"/>
    <w:rsid w:val="00402356"/>
    <w:rsid w:val="004023F3"/>
    <w:rsid w:val="00402722"/>
    <w:rsid w:val="00402C01"/>
    <w:rsid w:val="00402D9A"/>
    <w:rsid w:val="00403780"/>
    <w:rsid w:val="00403A6C"/>
    <w:rsid w:val="004044A3"/>
    <w:rsid w:val="00404611"/>
    <w:rsid w:val="00404F9C"/>
    <w:rsid w:val="00405986"/>
    <w:rsid w:val="004060BD"/>
    <w:rsid w:val="0040618A"/>
    <w:rsid w:val="00406D77"/>
    <w:rsid w:val="00406FF1"/>
    <w:rsid w:val="0040743F"/>
    <w:rsid w:val="00407B95"/>
    <w:rsid w:val="00407BAB"/>
    <w:rsid w:val="00407D35"/>
    <w:rsid w:val="00407D75"/>
    <w:rsid w:val="00410257"/>
    <w:rsid w:val="0041048B"/>
    <w:rsid w:val="00411383"/>
    <w:rsid w:val="00411574"/>
    <w:rsid w:val="00411CC7"/>
    <w:rsid w:val="00411DA9"/>
    <w:rsid w:val="004121F6"/>
    <w:rsid w:val="004128AE"/>
    <w:rsid w:val="00412918"/>
    <w:rsid w:val="004129CF"/>
    <w:rsid w:val="00412A29"/>
    <w:rsid w:val="00412BC2"/>
    <w:rsid w:val="004130D6"/>
    <w:rsid w:val="004131AC"/>
    <w:rsid w:val="004136BA"/>
    <w:rsid w:val="00413856"/>
    <w:rsid w:val="004140A2"/>
    <w:rsid w:val="0041423D"/>
    <w:rsid w:val="0041439F"/>
    <w:rsid w:val="00414D1D"/>
    <w:rsid w:val="00414DDC"/>
    <w:rsid w:val="004150CB"/>
    <w:rsid w:val="00415469"/>
    <w:rsid w:val="004159B5"/>
    <w:rsid w:val="00415EE5"/>
    <w:rsid w:val="00416A13"/>
    <w:rsid w:val="00416DA3"/>
    <w:rsid w:val="00416E04"/>
    <w:rsid w:val="00417458"/>
    <w:rsid w:val="00417B98"/>
    <w:rsid w:val="00417FAC"/>
    <w:rsid w:val="004203F5"/>
    <w:rsid w:val="004207F2"/>
    <w:rsid w:val="00420C36"/>
    <w:rsid w:val="00420D16"/>
    <w:rsid w:val="004215C1"/>
    <w:rsid w:val="004216FC"/>
    <w:rsid w:val="004225A8"/>
    <w:rsid w:val="00422F1A"/>
    <w:rsid w:val="00423036"/>
    <w:rsid w:val="0042382F"/>
    <w:rsid w:val="00423C79"/>
    <w:rsid w:val="004243AC"/>
    <w:rsid w:val="00424648"/>
    <w:rsid w:val="00424B6A"/>
    <w:rsid w:val="0042565D"/>
    <w:rsid w:val="00425A14"/>
    <w:rsid w:val="00425B0E"/>
    <w:rsid w:val="00425DE2"/>
    <w:rsid w:val="00425EA3"/>
    <w:rsid w:val="00426405"/>
    <w:rsid w:val="004266B9"/>
    <w:rsid w:val="00426ADF"/>
    <w:rsid w:val="00426B8B"/>
    <w:rsid w:val="004277BF"/>
    <w:rsid w:val="00427E25"/>
    <w:rsid w:val="00427ED1"/>
    <w:rsid w:val="00430BBC"/>
    <w:rsid w:val="00430D19"/>
    <w:rsid w:val="00430E1E"/>
    <w:rsid w:val="00430F0A"/>
    <w:rsid w:val="004312F6"/>
    <w:rsid w:val="004318C1"/>
    <w:rsid w:val="00431D4F"/>
    <w:rsid w:val="00432847"/>
    <w:rsid w:val="00432A4B"/>
    <w:rsid w:val="00433225"/>
    <w:rsid w:val="0043337A"/>
    <w:rsid w:val="004333A6"/>
    <w:rsid w:val="00433AFD"/>
    <w:rsid w:val="00433EC2"/>
    <w:rsid w:val="00434843"/>
    <w:rsid w:val="00434C1F"/>
    <w:rsid w:val="00434FE9"/>
    <w:rsid w:val="00435610"/>
    <w:rsid w:val="0043563E"/>
    <w:rsid w:val="00435A58"/>
    <w:rsid w:val="00435EE6"/>
    <w:rsid w:val="0043600A"/>
    <w:rsid w:val="004364AF"/>
    <w:rsid w:val="00436A3A"/>
    <w:rsid w:val="004370A3"/>
    <w:rsid w:val="004370D1"/>
    <w:rsid w:val="00437116"/>
    <w:rsid w:val="00437146"/>
    <w:rsid w:val="00437149"/>
    <w:rsid w:val="00437188"/>
    <w:rsid w:val="00437554"/>
    <w:rsid w:val="004376F1"/>
    <w:rsid w:val="00437770"/>
    <w:rsid w:val="004379C3"/>
    <w:rsid w:val="00437E20"/>
    <w:rsid w:val="00437F36"/>
    <w:rsid w:val="0044062D"/>
    <w:rsid w:val="00442101"/>
    <w:rsid w:val="00442602"/>
    <w:rsid w:val="00442888"/>
    <w:rsid w:val="0044297C"/>
    <w:rsid w:val="00442CC4"/>
    <w:rsid w:val="00442CCC"/>
    <w:rsid w:val="00442FFF"/>
    <w:rsid w:val="0044315C"/>
    <w:rsid w:val="004434F0"/>
    <w:rsid w:val="00443D01"/>
    <w:rsid w:val="0044460D"/>
    <w:rsid w:val="00444994"/>
    <w:rsid w:val="00444BB4"/>
    <w:rsid w:val="00445270"/>
    <w:rsid w:val="00445558"/>
    <w:rsid w:val="0044588C"/>
    <w:rsid w:val="004458B0"/>
    <w:rsid w:val="0044593C"/>
    <w:rsid w:val="00445DD0"/>
    <w:rsid w:val="0044607F"/>
    <w:rsid w:val="004460CA"/>
    <w:rsid w:val="0044689E"/>
    <w:rsid w:val="0044697C"/>
    <w:rsid w:val="00446B6B"/>
    <w:rsid w:val="00446C89"/>
    <w:rsid w:val="00446E29"/>
    <w:rsid w:val="00447325"/>
    <w:rsid w:val="00447962"/>
    <w:rsid w:val="00447AAD"/>
    <w:rsid w:val="00447EEB"/>
    <w:rsid w:val="00450496"/>
    <w:rsid w:val="00451B34"/>
    <w:rsid w:val="0045224F"/>
    <w:rsid w:val="004522C2"/>
    <w:rsid w:val="00452681"/>
    <w:rsid w:val="004527D5"/>
    <w:rsid w:val="00452E8A"/>
    <w:rsid w:val="00452F75"/>
    <w:rsid w:val="00453234"/>
    <w:rsid w:val="004532A4"/>
    <w:rsid w:val="00453CF2"/>
    <w:rsid w:val="00454366"/>
    <w:rsid w:val="00454646"/>
    <w:rsid w:val="00454BE5"/>
    <w:rsid w:val="00454EE7"/>
    <w:rsid w:val="00454FED"/>
    <w:rsid w:val="00455154"/>
    <w:rsid w:val="004551B2"/>
    <w:rsid w:val="004561B6"/>
    <w:rsid w:val="00456424"/>
    <w:rsid w:val="0045658C"/>
    <w:rsid w:val="00457C30"/>
    <w:rsid w:val="0046036C"/>
    <w:rsid w:val="0046062B"/>
    <w:rsid w:val="00460A01"/>
    <w:rsid w:val="00460A1F"/>
    <w:rsid w:val="004616F9"/>
    <w:rsid w:val="00462B0E"/>
    <w:rsid w:val="00462F13"/>
    <w:rsid w:val="004630E0"/>
    <w:rsid w:val="004636B4"/>
    <w:rsid w:val="00463FD5"/>
    <w:rsid w:val="004640E5"/>
    <w:rsid w:val="00464262"/>
    <w:rsid w:val="00464328"/>
    <w:rsid w:val="00464929"/>
    <w:rsid w:val="00464D71"/>
    <w:rsid w:val="00464E17"/>
    <w:rsid w:val="00465833"/>
    <w:rsid w:val="00465A53"/>
    <w:rsid w:val="0046637D"/>
    <w:rsid w:val="00467896"/>
    <w:rsid w:val="00467C92"/>
    <w:rsid w:val="00470B5D"/>
    <w:rsid w:val="004710D2"/>
    <w:rsid w:val="00471180"/>
    <w:rsid w:val="0047140A"/>
    <w:rsid w:val="00471469"/>
    <w:rsid w:val="0047158C"/>
    <w:rsid w:val="00471719"/>
    <w:rsid w:val="004718B9"/>
    <w:rsid w:val="00471AE4"/>
    <w:rsid w:val="00471FB0"/>
    <w:rsid w:val="004723A6"/>
    <w:rsid w:val="00472611"/>
    <w:rsid w:val="00472630"/>
    <w:rsid w:val="00472935"/>
    <w:rsid w:val="00472D54"/>
    <w:rsid w:val="00473256"/>
    <w:rsid w:val="00473272"/>
    <w:rsid w:val="004735B9"/>
    <w:rsid w:val="00473656"/>
    <w:rsid w:val="004736E2"/>
    <w:rsid w:val="00473840"/>
    <w:rsid w:val="00473AFF"/>
    <w:rsid w:val="00473B00"/>
    <w:rsid w:val="00474E2A"/>
    <w:rsid w:val="0047529D"/>
    <w:rsid w:val="00475300"/>
    <w:rsid w:val="004753C4"/>
    <w:rsid w:val="004758CD"/>
    <w:rsid w:val="00475A3C"/>
    <w:rsid w:val="00475BA0"/>
    <w:rsid w:val="00475D97"/>
    <w:rsid w:val="00475EA1"/>
    <w:rsid w:val="004760EB"/>
    <w:rsid w:val="004762E4"/>
    <w:rsid w:val="00476CC0"/>
    <w:rsid w:val="00477009"/>
    <w:rsid w:val="004775FC"/>
    <w:rsid w:val="0047765B"/>
    <w:rsid w:val="0047770C"/>
    <w:rsid w:val="00480148"/>
    <w:rsid w:val="00480689"/>
    <w:rsid w:val="00480A1B"/>
    <w:rsid w:val="00480B18"/>
    <w:rsid w:val="00481099"/>
    <w:rsid w:val="004810CD"/>
    <w:rsid w:val="004813AB"/>
    <w:rsid w:val="0048188E"/>
    <w:rsid w:val="00482503"/>
    <w:rsid w:val="00482525"/>
    <w:rsid w:val="0048258A"/>
    <w:rsid w:val="004828E7"/>
    <w:rsid w:val="004829C5"/>
    <w:rsid w:val="00482B5F"/>
    <w:rsid w:val="00483FE3"/>
    <w:rsid w:val="00484210"/>
    <w:rsid w:val="00484429"/>
    <w:rsid w:val="004845AE"/>
    <w:rsid w:val="004846FA"/>
    <w:rsid w:val="00484E6C"/>
    <w:rsid w:val="00485098"/>
    <w:rsid w:val="00485507"/>
    <w:rsid w:val="00485551"/>
    <w:rsid w:val="0048583D"/>
    <w:rsid w:val="00485C91"/>
    <w:rsid w:val="004862D9"/>
    <w:rsid w:val="00486B08"/>
    <w:rsid w:val="00487350"/>
    <w:rsid w:val="00487417"/>
    <w:rsid w:val="00487801"/>
    <w:rsid w:val="00487FF8"/>
    <w:rsid w:val="004902B4"/>
    <w:rsid w:val="004907DF"/>
    <w:rsid w:val="00490BAA"/>
    <w:rsid w:val="00490F15"/>
    <w:rsid w:val="00491380"/>
    <w:rsid w:val="0049158F"/>
    <w:rsid w:val="0049256E"/>
    <w:rsid w:val="004927DA"/>
    <w:rsid w:val="00492945"/>
    <w:rsid w:val="004933F0"/>
    <w:rsid w:val="00493845"/>
    <w:rsid w:val="00493E79"/>
    <w:rsid w:val="00493FBD"/>
    <w:rsid w:val="00494422"/>
    <w:rsid w:val="004947EF"/>
    <w:rsid w:val="00494AB0"/>
    <w:rsid w:val="00494B8B"/>
    <w:rsid w:val="00495AE8"/>
    <w:rsid w:val="00496001"/>
    <w:rsid w:val="004969B8"/>
    <w:rsid w:val="00496B51"/>
    <w:rsid w:val="00496FFA"/>
    <w:rsid w:val="004971EC"/>
    <w:rsid w:val="004975DF"/>
    <w:rsid w:val="004977EB"/>
    <w:rsid w:val="004A0544"/>
    <w:rsid w:val="004A0C16"/>
    <w:rsid w:val="004A0C7D"/>
    <w:rsid w:val="004A1164"/>
    <w:rsid w:val="004A162C"/>
    <w:rsid w:val="004A23A3"/>
    <w:rsid w:val="004A273E"/>
    <w:rsid w:val="004A2804"/>
    <w:rsid w:val="004A28C8"/>
    <w:rsid w:val="004A31F3"/>
    <w:rsid w:val="004A3815"/>
    <w:rsid w:val="004A3F36"/>
    <w:rsid w:val="004A48A1"/>
    <w:rsid w:val="004A4CDA"/>
    <w:rsid w:val="004A4D2E"/>
    <w:rsid w:val="004A504E"/>
    <w:rsid w:val="004A50B7"/>
    <w:rsid w:val="004A50CC"/>
    <w:rsid w:val="004A5859"/>
    <w:rsid w:val="004A6080"/>
    <w:rsid w:val="004A623F"/>
    <w:rsid w:val="004A6707"/>
    <w:rsid w:val="004A684B"/>
    <w:rsid w:val="004A6A77"/>
    <w:rsid w:val="004A6A8C"/>
    <w:rsid w:val="004A6F28"/>
    <w:rsid w:val="004A7199"/>
    <w:rsid w:val="004A72C3"/>
    <w:rsid w:val="004A735F"/>
    <w:rsid w:val="004A7719"/>
    <w:rsid w:val="004A7733"/>
    <w:rsid w:val="004A7F43"/>
    <w:rsid w:val="004B0AAB"/>
    <w:rsid w:val="004B0AFE"/>
    <w:rsid w:val="004B0F19"/>
    <w:rsid w:val="004B1126"/>
    <w:rsid w:val="004B14F3"/>
    <w:rsid w:val="004B18ED"/>
    <w:rsid w:val="004B1B30"/>
    <w:rsid w:val="004B1E36"/>
    <w:rsid w:val="004B2087"/>
    <w:rsid w:val="004B2102"/>
    <w:rsid w:val="004B240D"/>
    <w:rsid w:val="004B2EE7"/>
    <w:rsid w:val="004B3108"/>
    <w:rsid w:val="004B3719"/>
    <w:rsid w:val="004B3821"/>
    <w:rsid w:val="004B5202"/>
    <w:rsid w:val="004B58C6"/>
    <w:rsid w:val="004B5FC6"/>
    <w:rsid w:val="004B62C5"/>
    <w:rsid w:val="004B66FA"/>
    <w:rsid w:val="004B680F"/>
    <w:rsid w:val="004B6FEA"/>
    <w:rsid w:val="004B729E"/>
    <w:rsid w:val="004B7CB9"/>
    <w:rsid w:val="004C0164"/>
    <w:rsid w:val="004C017C"/>
    <w:rsid w:val="004C079F"/>
    <w:rsid w:val="004C08CD"/>
    <w:rsid w:val="004C0AF4"/>
    <w:rsid w:val="004C0B91"/>
    <w:rsid w:val="004C1B8A"/>
    <w:rsid w:val="004C1DA1"/>
    <w:rsid w:val="004C241C"/>
    <w:rsid w:val="004C2538"/>
    <w:rsid w:val="004C25CE"/>
    <w:rsid w:val="004C27E0"/>
    <w:rsid w:val="004C28AC"/>
    <w:rsid w:val="004C2B8E"/>
    <w:rsid w:val="004C2D07"/>
    <w:rsid w:val="004C3640"/>
    <w:rsid w:val="004C3717"/>
    <w:rsid w:val="004C3ADF"/>
    <w:rsid w:val="004C4C0E"/>
    <w:rsid w:val="004C4E73"/>
    <w:rsid w:val="004C50CE"/>
    <w:rsid w:val="004C6625"/>
    <w:rsid w:val="004C6A14"/>
    <w:rsid w:val="004C7891"/>
    <w:rsid w:val="004D006D"/>
    <w:rsid w:val="004D055D"/>
    <w:rsid w:val="004D0DBF"/>
    <w:rsid w:val="004D1370"/>
    <w:rsid w:val="004D1635"/>
    <w:rsid w:val="004D1660"/>
    <w:rsid w:val="004D1A6C"/>
    <w:rsid w:val="004D1CBB"/>
    <w:rsid w:val="004D1FF6"/>
    <w:rsid w:val="004D224F"/>
    <w:rsid w:val="004D2A97"/>
    <w:rsid w:val="004D2D8E"/>
    <w:rsid w:val="004D2DE8"/>
    <w:rsid w:val="004D3502"/>
    <w:rsid w:val="004D3589"/>
    <w:rsid w:val="004D388A"/>
    <w:rsid w:val="004D3ED3"/>
    <w:rsid w:val="004D493C"/>
    <w:rsid w:val="004D4E9B"/>
    <w:rsid w:val="004D4F8C"/>
    <w:rsid w:val="004D52AB"/>
    <w:rsid w:val="004D5365"/>
    <w:rsid w:val="004D58C1"/>
    <w:rsid w:val="004D5B03"/>
    <w:rsid w:val="004D5CB3"/>
    <w:rsid w:val="004D5E55"/>
    <w:rsid w:val="004D6188"/>
    <w:rsid w:val="004D66FC"/>
    <w:rsid w:val="004D692A"/>
    <w:rsid w:val="004D6EE2"/>
    <w:rsid w:val="004D73C2"/>
    <w:rsid w:val="004D74AE"/>
    <w:rsid w:val="004D78C8"/>
    <w:rsid w:val="004D7BD2"/>
    <w:rsid w:val="004D7BEC"/>
    <w:rsid w:val="004D7CBC"/>
    <w:rsid w:val="004D7D6F"/>
    <w:rsid w:val="004E07E3"/>
    <w:rsid w:val="004E0C84"/>
    <w:rsid w:val="004E1312"/>
    <w:rsid w:val="004E197F"/>
    <w:rsid w:val="004E19DB"/>
    <w:rsid w:val="004E1C76"/>
    <w:rsid w:val="004E224D"/>
    <w:rsid w:val="004E2400"/>
    <w:rsid w:val="004E2A51"/>
    <w:rsid w:val="004E2E88"/>
    <w:rsid w:val="004E30B5"/>
    <w:rsid w:val="004E32E7"/>
    <w:rsid w:val="004E4324"/>
    <w:rsid w:val="004E4360"/>
    <w:rsid w:val="004E49B7"/>
    <w:rsid w:val="004E4A87"/>
    <w:rsid w:val="004E513E"/>
    <w:rsid w:val="004E5463"/>
    <w:rsid w:val="004E5731"/>
    <w:rsid w:val="004E580D"/>
    <w:rsid w:val="004E5A4F"/>
    <w:rsid w:val="004E61F3"/>
    <w:rsid w:val="004E6391"/>
    <w:rsid w:val="004E657C"/>
    <w:rsid w:val="004E6642"/>
    <w:rsid w:val="004E6B98"/>
    <w:rsid w:val="004E6DAC"/>
    <w:rsid w:val="004E76F5"/>
    <w:rsid w:val="004F003D"/>
    <w:rsid w:val="004F0230"/>
    <w:rsid w:val="004F0510"/>
    <w:rsid w:val="004F0838"/>
    <w:rsid w:val="004F0E1B"/>
    <w:rsid w:val="004F10D3"/>
    <w:rsid w:val="004F12F9"/>
    <w:rsid w:val="004F14A3"/>
    <w:rsid w:val="004F1B57"/>
    <w:rsid w:val="004F236B"/>
    <w:rsid w:val="004F281C"/>
    <w:rsid w:val="004F2C4D"/>
    <w:rsid w:val="004F2D6D"/>
    <w:rsid w:val="004F2FB3"/>
    <w:rsid w:val="004F327F"/>
    <w:rsid w:val="004F353C"/>
    <w:rsid w:val="004F3799"/>
    <w:rsid w:val="004F3DDC"/>
    <w:rsid w:val="004F424B"/>
    <w:rsid w:val="004F4509"/>
    <w:rsid w:val="004F4546"/>
    <w:rsid w:val="004F50C3"/>
    <w:rsid w:val="004F5408"/>
    <w:rsid w:val="004F591D"/>
    <w:rsid w:val="004F59B3"/>
    <w:rsid w:val="004F695C"/>
    <w:rsid w:val="004F6C03"/>
    <w:rsid w:val="004F6D91"/>
    <w:rsid w:val="004F6F3D"/>
    <w:rsid w:val="004F6F66"/>
    <w:rsid w:val="004F7453"/>
    <w:rsid w:val="004F7B9F"/>
    <w:rsid w:val="00500173"/>
    <w:rsid w:val="00500C7C"/>
    <w:rsid w:val="00501090"/>
    <w:rsid w:val="005010FD"/>
    <w:rsid w:val="0050175F"/>
    <w:rsid w:val="00501768"/>
    <w:rsid w:val="00501854"/>
    <w:rsid w:val="00501D85"/>
    <w:rsid w:val="005021CE"/>
    <w:rsid w:val="00502BC7"/>
    <w:rsid w:val="0050323A"/>
    <w:rsid w:val="00503997"/>
    <w:rsid w:val="00503A6F"/>
    <w:rsid w:val="00503EDD"/>
    <w:rsid w:val="005043ED"/>
    <w:rsid w:val="00504405"/>
    <w:rsid w:val="00504E80"/>
    <w:rsid w:val="00504E95"/>
    <w:rsid w:val="0050539E"/>
    <w:rsid w:val="0050551F"/>
    <w:rsid w:val="0050559E"/>
    <w:rsid w:val="00505999"/>
    <w:rsid w:val="005065F9"/>
    <w:rsid w:val="00506604"/>
    <w:rsid w:val="0050682B"/>
    <w:rsid w:val="005068ED"/>
    <w:rsid w:val="00506AE6"/>
    <w:rsid w:val="005072E0"/>
    <w:rsid w:val="0051010F"/>
    <w:rsid w:val="00510136"/>
    <w:rsid w:val="0051030F"/>
    <w:rsid w:val="00510D0C"/>
    <w:rsid w:val="00510E99"/>
    <w:rsid w:val="00510ED3"/>
    <w:rsid w:val="0051118C"/>
    <w:rsid w:val="00511AF6"/>
    <w:rsid w:val="0051219F"/>
    <w:rsid w:val="00512229"/>
    <w:rsid w:val="00512258"/>
    <w:rsid w:val="0051238A"/>
    <w:rsid w:val="00512434"/>
    <w:rsid w:val="0051251D"/>
    <w:rsid w:val="0051255D"/>
    <w:rsid w:val="005131EA"/>
    <w:rsid w:val="00513BDF"/>
    <w:rsid w:val="005141CF"/>
    <w:rsid w:val="005145B9"/>
    <w:rsid w:val="00515063"/>
    <w:rsid w:val="005153EE"/>
    <w:rsid w:val="0051564C"/>
    <w:rsid w:val="005159F6"/>
    <w:rsid w:val="00515B18"/>
    <w:rsid w:val="00515FCD"/>
    <w:rsid w:val="00516296"/>
    <w:rsid w:val="00516B4D"/>
    <w:rsid w:val="00516DF4"/>
    <w:rsid w:val="00517BD9"/>
    <w:rsid w:val="005205E6"/>
    <w:rsid w:val="00520BE9"/>
    <w:rsid w:val="00520E17"/>
    <w:rsid w:val="00520FF5"/>
    <w:rsid w:val="005214FB"/>
    <w:rsid w:val="00521A92"/>
    <w:rsid w:val="005222C4"/>
    <w:rsid w:val="005226BC"/>
    <w:rsid w:val="00522D3A"/>
    <w:rsid w:val="00523291"/>
    <w:rsid w:val="005233D4"/>
    <w:rsid w:val="0052406E"/>
    <w:rsid w:val="00524D69"/>
    <w:rsid w:val="00524D93"/>
    <w:rsid w:val="00524DE4"/>
    <w:rsid w:val="00525237"/>
    <w:rsid w:val="00525960"/>
    <w:rsid w:val="00525CE4"/>
    <w:rsid w:val="00525DC9"/>
    <w:rsid w:val="00525E46"/>
    <w:rsid w:val="00526230"/>
    <w:rsid w:val="005262D9"/>
    <w:rsid w:val="005268E8"/>
    <w:rsid w:val="00526ACC"/>
    <w:rsid w:val="00526B93"/>
    <w:rsid w:val="00526C4E"/>
    <w:rsid w:val="0052710D"/>
    <w:rsid w:val="0052757C"/>
    <w:rsid w:val="00527A84"/>
    <w:rsid w:val="00527FBF"/>
    <w:rsid w:val="005300A8"/>
    <w:rsid w:val="005301F9"/>
    <w:rsid w:val="00530342"/>
    <w:rsid w:val="00530DC7"/>
    <w:rsid w:val="00531158"/>
    <w:rsid w:val="00532259"/>
    <w:rsid w:val="00532D97"/>
    <w:rsid w:val="00532DF3"/>
    <w:rsid w:val="00532FE7"/>
    <w:rsid w:val="00533313"/>
    <w:rsid w:val="005336DF"/>
    <w:rsid w:val="0053382C"/>
    <w:rsid w:val="00533CE4"/>
    <w:rsid w:val="00533DB2"/>
    <w:rsid w:val="005343DE"/>
    <w:rsid w:val="00534520"/>
    <w:rsid w:val="00534B32"/>
    <w:rsid w:val="00535DD5"/>
    <w:rsid w:val="0053616A"/>
    <w:rsid w:val="0053694E"/>
    <w:rsid w:val="00536BAD"/>
    <w:rsid w:val="00536EA6"/>
    <w:rsid w:val="0053773A"/>
    <w:rsid w:val="005377C3"/>
    <w:rsid w:val="005377D5"/>
    <w:rsid w:val="00540676"/>
    <w:rsid w:val="00540705"/>
    <w:rsid w:val="00540C7F"/>
    <w:rsid w:val="005411F3"/>
    <w:rsid w:val="005416BE"/>
    <w:rsid w:val="00541973"/>
    <w:rsid w:val="00541CA7"/>
    <w:rsid w:val="00541E49"/>
    <w:rsid w:val="0054287A"/>
    <w:rsid w:val="0054292F"/>
    <w:rsid w:val="00542AFA"/>
    <w:rsid w:val="0054426B"/>
    <w:rsid w:val="0054480B"/>
    <w:rsid w:val="00545A83"/>
    <w:rsid w:val="005464D2"/>
    <w:rsid w:val="00546555"/>
    <w:rsid w:val="005467FB"/>
    <w:rsid w:val="00546B26"/>
    <w:rsid w:val="00547141"/>
    <w:rsid w:val="00547209"/>
    <w:rsid w:val="005477AC"/>
    <w:rsid w:val="0054795E"/>
    <w:rsid w:val="00547A89"/>
    <w:rsid w:val="00550205"/>
    <w:rsid w:val="0055058B"/>
    <w:rsid w:val="005505E5"/>
    <w:rsid w:val="00550E87"/>
    <w:rsid w:val="005513F4"/>
    <w:rsid w:val="005516D1"/>
    <w:rsid w:val="00551745"/>
    <w:rsid w:val="005521C8"/>
    <w:rsid w:val="00552405"/>
    <w:rsid w:val="00552908"/>
    <w:rsid w:val="00552C6D"/>
    <w:rsid w:val="00552E03"/>
    <w:rsid w:val="00553323"/>
    <w:rsid w:val="005537EA"/>
    <w:rsid w:val="00553C01"/>
    <w:rsid w:val="00553C3F"/>
    <w:rsid w:val="00554252"/>
    <w:rsid w:val="005545C0"/>
    <w:rsid w:val="0055466A"/>
    <w:rsid w:val="00555245"/>
    <w:rsid w:val="00555A31"/>
    <w:rsid w:val="00555E02"/>
    <w:rsid w:val="00555EC2"/>
    <w:rsid w:val="00556B28"/>
    <w:rsid w:val="00556E88"/>
    <w:rsid w:val="00556F8B"/>
    <w:rsid w:val="00557446"/>
    <w:rsid w:val="005576D9"/>
    <w:rsid w:val="005577AE"/>
    <w:rsid w:val="00557BC9"/>
    <w:rsid w:val="00557CCA"/>
    <w:rsid w:val="00557D99"/>
    <w:rsid w:val="00557F62"/>
    <w:rsid w:val="00557FAE"/>
    <w:rsid w:val="005612A3"/>
    <w:rsid w:val="005614C1"/>
    <w:rsid w:val="00561D46"/>
    <w:rsid w:val="00561ED9"/>
    <w:rsid w:val="00561F66"/>
    <w:rsid w:val="005623CF"/>
    <w:rsid w:val="00562417"/>
    <w:rsid w:val="005624CF"/>
    <w:rsid w:val="00562915"/>
    <w:rsid w:val="00562AD6"/>
    <w:rsid w:val="00562CC3"/>
    <w:rsid w:val="00562CF9"/>
    <w:rsid w:val="005632D9"/>
    <w:rsid w:val="005632DE"/>
    <w:rsid w:val="005632EA"/>
    <w:rsid w:val="005639C6"/>
    <w:rsid w:val="00563B3D"/>
    <w:rsid w:val="00563D62"/>
    <w:rsid w:val="00564063"/>
    <w:rsid w:val="00564658"/>
    <w:rsid w:val="00564912"/>
    <w:rsid w:val="00564B15"/>
    <w:rsid w:val="00564D97"/>
    <w:rsid w:val="00564F6A"/>
    <w:rsid w:val="00565017"/>
    <w:rsid w:val="00565157"/>
    <w:rsid w:val="005657D1"/>
    <w:rsid w:val="0056599E"/>
    <w:rsid w:val="00565D6A"/>
    <w:rsid w:val="00565F49"/>
    <w:rsid w:val="00565FCB"/>
    <w:rsid w:val="0056663C"/>
    <w:rsid w:val="00566935"/>
    <w:rsid w:val="00566D40"/>
    <w:rsid w:val="00566ED3"/>
    <w:rsid w:val="005674EF"/>
    <w:rsid w:val="00567B2D"/>
    <w:rsid w:val="00567F7B"/>
    <w:rsid w:val="0057099B"/>
    <w:rsid w:val="005709A4"/>
    <w:rsid w:val="00571866"/>
    <w:rsid w:val="00571896"/>
    <w:rsid w:val="00571BB4"/>
    <w:rsid w:val="005723FA"/>
    <w:rsid w:val="00572431"/>
    <w:rsid w:val="00572837"/>
    <w:rsid w:val="005729EE"/>
    <w:rsid w:val="00572A70"/>
    <w:rsid w:val="00572CFC"/>
    <w:rsid w:val="0057335D"/>
    <w:rsid w:val="0057427C"/>
    <w:rsid w:val="00574BE3"/>
    <w:rsid w:val="00574C59"/>
    <w:rsid w:val="00574CAF"/>
    <w:rsid w:val="00574E74"/>
    <w:rsid w:val="00575724"/>
    <w:rsid w:val="00575FA9"/>
    <w:rsid w:val="00576862"/>
    <w:rsid w:val="00576944"/>
    <w:rsid w:val="00577E2B"/>
    <w:rsid w:val="00577EF6"/>
    <w:rsid w:val="005803CF"/>
    <w:rsid w:val="005804D6"/>
    <w:rsid w:val="00580892"/>
    <w:rsid w:val="00580972"/>
    <w:rsid w:val="00580A4E"/>
    <w:rsid w:val="0058114C"/>
    <w:rsid w:val="005813F6"/>
    <w:rsid w:val="00581BB8"/>
    <w:rsid w:val="00581CB6"/>
    <w:rsid w:val="00582095"/>
    <w:rsid w:val="00582423"/>
    <w:rsid w:val="00582533"/>
    <w:rsid w:val="00582E6C"/>
    <w:rsid w:val="00582FE2"/>
    <w:rsid w:val="00583389"/>
    <w:rsid w:val="005833B5"/>
    <w:rsid w:val="0058350D"/>
    <w:rsid w:val="00583D0D"/>
    <w:rsid w:val="00583F25"/>
    <w:rsid w:val="00584514"/>
    <w:rsid w:val="0058452C"/>
    <w:rsid w:val="00584B23"/>
    <w:rsid w:val="00585408"/>
    <w:rsid w:val="005856F8"/>
    <w:rsid w:val="00585AE0"/>
    <w:rsid w:val="00585CD0"/>
    <w:rsid w:val="00586423"/>
    <w:rsid w:val="00586586"/>
    <w:rsid w:val="00586D2E"/>
    <w:rsid w:val="00587388"/>
    <w:rsid w:val="00587641"/>
    <w:rsid w:val="0058772A"/>
    <w:rsid w:val="00587AE5"/>
    <w:rsid w:val="00587B88"/>
    <w:rsid w:val="00587C4D"/>
    <w:rsid w:val="00587C84"/>
    <w:rsid w:val="00590431"/>
    <w:rsid w:val="00590552"/>
    <w:rsid w:val="00590A83"/>
    <w:rsid w:val="00590B2B"/>
    <w:rsid w:val="00590B44"/>
    <w:rsid w:val="00590B49"/>
    <w:rsid w:val="00590F0E"/>
    <w:rsid w:val="00591201"/>
    <w:rsid w:val="00591361"/>
    <w:rsid w:val="00591BE7"/>
    <w:rsid w:val="00592243"/>
    <w:rsid w:val="00592394"/>
    <w:rsid w:val="0059266D"/>
    <w:rsid w:val="00592A91"/>
    <w:rsid w:val="00592D34"/>
    <w:rsid w:val="00593C49"/>
    <w:rsid w:val="00593DE6"/>
    <w:rsid w:val="00593ED5"/>
    <w:rsid w:val="0059401E"/>
    <w:rsid w:val="005942B6"/>
    <w:rsid w:val="00594637"/>
    <w:rsid w:val="00594648"/>
    <w:rsid w:val="005954A3"/>
    <w:rsid w:val="005955CF"/>
    <w:rsid w:val="00595A0D"/>
    <w:rsid w:val="005966BC"/>
    <w:rsid w:val="00596779"/>
    <w:rsid w:val="00596BB4"/>
    <w:rsid w:val="00596C64"/>
    <w:rsid w:val="00596CF1"/>
    <w:rsid w:val="005976D6"/>
    <w:rsid w:val="00597F97"/>
    <w:rsid w:val="005A000F"/>
    <w:rsid w:val="005A01AE"/>
    <w:rsid w:val="005A0222"/>
    <w:rsid w:val="005A05E2"/>
    <w:rsid w:val="005A0686"/>
    <w:rsid w:val="005A0FFB"/>
    <w:rsid w:val="005A1654"/>
    <w:rsid w:val="005A1A89"/>
    <w:rsid w:val="005A1C5B"/>
    <w:rsid w:val="005A1DBC"/>
    <w:rsid w:val="005A20C9"/>
    <w:rsid w:val="005A2320"/>
    <w:rsid w:val="005A2A7B"/>
    <w:rsid w:val="005A2C48"/>
    <w:rsid w:val="005A2C9A"/>
    <w:rsid w:val="005A3222"/>
    <w:rsid w:val="005A3857"/>
    <w:rsid w:val="005A44C6"/>
    <w:rsid w:val="005A4603"/>
    <w:rsid w:val="005A4C2D"/>
    <w:rsid w:val="005A4F68"/>
    <w:rsid w:val="005A5071"/>
    <w:rsid w:val="005A5414"/>
    <w:rsid w:val="005A541C"/>
    <w:rsid w:val="005A6290"/>
    <w:rsid w:val="005A6BD7"/>
    <w:rsid w:val="005A6C36"/>
    <w:rsid w:val="005A6C4D"/>
    <w:rsid w:val="005A6ED6"/>
    <w:rsid w:val="005A71A9"/>
    <w:rsid w:val="005A7340"/>
    <w:rsid w:val="005A7C2B"/>
    <w:rsid w:val="005B01D6"/>
    <w:rsid w:val="005B05C8"/>
    <w:rsid w:val="005B0AED"/>
    <w:rsid w:val="005B0F1D"/>
    <w:rsid w:val="005B10DD"/>
    <w:rsid w:val="005B10F4"/>
    <w:rsid w:val="005B1FD1"/>
    <w:rsid w:val="005B215A"/>
    <w:rsid w:val="005B2418"/>
    <w:rsid w:val="005B2D42"/>
    <w:rsid w:val="005B3C36"/>
    <w:rsid w:val="005B3CEB"/>
    <w:rsid w:val="005B3D5E"/>
    <w:rsid w:val="005B3EE4"/>
    <w:rsid w:val="005B446D"/>
    <w:rsid w:val="005B4B60"/>
    <w:rsid w:val="005B4C11"/>
    <w:rsid w:val="005B4F9B"/>
    <w:rsid w:val="005B4FCA"/>
    <w:rsid w:val="005B50F2"/>
    <w:rsid w:val="005B510C"/>
    <w:rsid w:val="005B5114"/>
    <w:rsid w:val="005B5C37"/>
    <w:rsid w:val="005B5E68"/>
    <w:rsid w:val="005B69D7"/>
    <w:rsid w:val="005B6AF3"/>
    <w:rsid w:val="005B6BAB"/>
    <w:rsid w:val="005B73B2"/>
    <w:rsid w:val="005B76C7"/>
    <w:rsid w:val="005B78E7"/>
    <w:rsid w:val="005B7FCB"/>
    <w:rsid w:val="005C0055"/>
    <w:rsid w:val="005C0075"/>
    <w:rsid w:val="005C0342"/>
    <w:rsid w:val="005C06E9"/>
    <w:rsid w:val="005C09CA"/>
    <w:rsid w:val="005C19B0"/>
    <w:rsid w:val="005C1AFB"/>
    <w:rsid w:val="005C1D68"/>
    <w:rsid w:val="005C1D75"/>
    <w:rsid w:val="005C1F4C"/>
    <w:rsid w:val="005C216C"/>
    <w:rsid w:val="005C2CD5"/>
    <w:rsid w:val="005C342A"/>
    <w:rsid w:val="005C3BE7"/>
    <w:rsid w:val="005C3C72"/>
    <w:rsid w:val="005C43C4"/>
    <w:rsid w:val="005C44E4"/>
    <w:rsid w:val="005C5702"/>
    <w:rsid w:val="005C572F"/>
    <w:rsid w:val="005C5B36"/>
    <w:rsid w:val="005C5D0D"/>
    <w:rsid w:val="005C602B"/>
    <w:rsid w:val="005C6AB4"/>
    <w:rsid w:val="005C749B"/>
    <w:rsid w:val="005C760C"/>
    <w:rsid w:val="005C7975"/>
    <w:rsid w:val="005C7D01"/>
    <w:rsid w:val="005D0307"/>
    <w:rsid w:val="005D0AA3"/>
    <w:rsid w:val="005D0EC0"/>
    <w:rsid w:val="005D12BF"/>
    <w:rsid w:val="005D1451"/>
    <w:rsid w:val="005D16E9"/>
    <w:rsid w:val="005D1810"/>
    <w:rsid w:val="005D1D33"/>
    <w:rsid w:val="005D1D6B"/>
    <w:rsid w:val="005D27C4"/>
    <w:rsid w:val="005D2D3B"/>
    <w:rsid w:val="005D3A68"/>
    <w:rsid w:val="005D3F01"/>
    <w:rsid w:val="005D3F42"/>
    <w:rsid w:val="005D430E"/>
    <w:rsid w:val="005D4625"/>
    <w:rsid w:val="005D4770"/>
    <w:rsid w:val="005D5505"/>
    <w:rsid w:val="005D55D5"/>
    <w:rsid w:val="005D5847"/>
    <w:rsid w:val="005D5F37"/>
    <w:rsid w:val="005D632A"/>
    <w:rsid w:val="005D64F9"/>
    <w:rsid w:val="005D6662"/>
    <w:rsid w:val="005D6C9E"/>
    <w:rsid w:val="005D720E"/>
    <w:rsid w:val="005D72F5"/>
    <w:rsid w:val="005D73D1"/>
    <w:rsid w:val="005D73D3"/>
    <w:rsid w:val="005D7615"/>
    <w:rsid w:val="005D7817"/>
    <w:rsid w:val="005D78FD"/>
    <w:rsid w:val="005D7F13"/>
    <w:rsid w:val="005E03C3"/>
    <w:rsid w:val="005E07FA"/>
    <w:rsid w:val="005E0CB6"/>
    <w:rsid w:val="005E1021"/>
    <w:rsid w:val="005E12D3"/>
    <w:rsid w:val="005E1615"/>
    <w:rsid w:val="005E1BBF"/>
    <w:rsid w:val="005E2260"/>
    <w:rsid w:val="005E2350"/>
    <w:rsid w:val="005E267A"/>
    <w:rsid w:val="005E344B"/>
    <w:rsid w:val="005E397B"/>
    <w:rsid w:val="005E44B2"/>
    <w:rsid w:val="005E44B9"/>
    <w:rsid w:val="005E471C"/>
    <w:rsid w:val="005E4A4F"/>
    <w:rsid w:val="005E62EA"/>
    <w:rsid w:val="005E66A4"/>
    <w:rsid w:val="005E6CC3"/>
    <w:rsid w:val="005E6D35"/>
    <w:rsid w:val="005E7089"/>
    <w:rsid w:val="005E7208"/>
    <w:rsid w:val="005E74A8"/>
    <w:rsid w:val="005F088F"/>
    <w:rsid w:val="005F147C"/>
    <w:rsid w:val="005F14EE"/>
    <w:rsid w:val="005F159E"/>
    <w:rsid w:val="005F1BC4"/>
    <w:rsid w:val="005F1F23"/>
    <w:rsid w:val="005F2026"/>
    <w:rsid w:val="005F20F7"/>
    <w:rsid w:val="005F26F3"/>
    <w:rsid w:val="005F2CB9"/>
    <w:rsid w:val="005F3055"/>
    <w:rsid w:val="005F3140"/>
    <w:rsid w:val="005F31A2"/>
    <w:rsid w:val="005F35B9"/>
    <w:rsid w:val="005F366E"/>
    <w:rsid w:val="005F36DA"/>
    <w:rsid w:val="005F375A"/>
    <w:rsid w:val="005F38AE"/>
    <w:rsid w:val="005F38F8"/>
    <w:rsid w:val="005F39D3"/>
    <w:rsid w:val="005F3B73"/>
    <w:rsid w:val="005F40C9"/>
    <w:rsid w:val="005F4336"/>
    <w:rsid w:val="005F4986"/>
    <w:rsid w:val="005F4A64"/>
    <w:rsid w:val="005F4F17"/>
    <w:rsid w:val="005F5011"/>
    <w:rsid w:val="005F51DC"/>
    <w:rsid w:val="005F52FE"/>
    <w:rsid w:val="005F56B3"/>
    <w:rsid w:val="005F579F"/>
    <w:rsid w:val="005F5877"/>
    <w:rsid w:val="005F5A30"/>
    <w:rsid w:val="005F6228"/>
    <w:rsid w:val="005F7C06"/>
    <w:rsid w:val="005F7DFB"/>
    <w:rsid w:val="0060043B"/>
    <w:rsid w:val="00600772"/>
    <w:rsid w:val="0060097E"/>
    <w:rsid w:val="00601182"/>
    <w:rsid w:val="006018D6"/>
    <w:rsid w:val="00601CF5"/>
    <w:rsid w:val="0060297A"/>
    <w:rsid w:val="00602E00"/>
    <w:rsid w:val="00602EBD"/>
    <w:rsid w:val="00602FE3"/>
    <w:rsid w:val="00602FF3"/>
    <w:rsid w:val="00603025"/>
    <w:rsid w:val="006031FC"/>
    <w:rsid w:val="00603445"/>
    <w:rsid w:val="0060357D"/>
    <w:rsid w:val="00603E41"/>
    <w:rsid w:val="00604424"/>
    <w:rsid w:val="00604603"/>
    <w:rsid w:val="0060465E"/>
    <w:rsid w:val="00604886"/>
    <w:rsid w:val="00604BC4"/>
    <w:rsid w:val="00604D3B"/>
    <w:rsid w:val="006051E0"/>
    <w:rsid w:val="0060526D"/>
    <w:rsid w:val="00605770"/>
    <w:rsid w:val="00605EB7"/>
    <w:rsid w:val="0060650E"/>
    <w:rsid w:val="006070B7"/>
    <w:rsid w:val="006074E9"/>
    <w:rsid w:val="0060790D"/>
    <w:rsid w:val="00607BE5"/>
    <w:rsid w:val="00607C27"/>
    <w:rsid w:val="0061000D"/>
    <w:rsid w:val="00610074"/>
    <w:rsid w:val="006100DE"/>
    <w:rsid w:val="00610128"/>
    <w:rsid w:val="00610713"/>
    <w:rsid w:val="006107B4"/>
    <w:rsid w:val="00610AB7"/>
    <w:rsid w:val="00610D0D"/>
    <w:rsid w:val="006117F3"/>
    <w:rsid w:val="006118EB"/>
    <w:rsid w:val="00611CE3"/>
    <w:rsid w:val="0061204E"/>
    <w:rsid w:val="0061223B"/>
    <w:rsid w:val="006123C1"/>
    <w:rsid w:val="0061256A"/>
    <w:rsid w:val="00612ACD"/>
    <w:rsid w:val="00613120"/>
    <w:rsid w:val="00613188"/>
    <w:rsid w:val="00613289"/>
    <w:rsid w:val="006137FF"/>
    <w:rsid w:val="0061394D"/>
    <w:rsid w:val="00613C54"/>
    <w:rsid w:val="0061421D"/>
    <w:rsid w:val="00614F3C"/>
    <w:rsid w:val="0061508A"/>
    <w:rsid w:val="00615550"/>
    <w:rsid w:val="00615700"/>
    <w:rsid w:val="00615A7B"/>
    <w:rsid w:val="0061634C"/>
    <w:rsid w:val="00616A49"/>
    <w:rsid w:val="00616A95"/>
    <w:rsid w:val="00617426"/>
    <w:rsid w:val="006174A1"/>
    <w:rsid w:val="00617DB2"/>
    <w:rsid w:val="00617E30"/>
    <w:rsid w:val="00617E96"/>
    <w:rsid w:val="00620014"/>
    <w:rsid w:val="00620587"/>
    <w:rsid w:val="00620B1B"/>
    <w:rsid w:val="0062114F"/>
    <w:rsid w:val="006219C6"/>
    <w:rsid w:val="00621E75"/>
    <w:rsid w:val="00621ECC"/>
    <w:rsid w:val="00621EE3"/>
    <w:rsid w:val="00621F0F"/>
    <w:rsid w:val="00622115"/>
    <w:rsid w:val="0062225E"/>
    <w:rsid w:val="0062244E"/>
    <w:rsid w:val="0062380E"/>
    <w:rsid w:val="00623830"/>
    <w:rsid w:val="00623D31"/>
    <w:rsid w:val="0062433B"/>
    <w:rsid w:val="0062446C"/>
    <w:rsid w:val="006244E9"/>
    <w:rsid w:val="00624602"/>
    <w:rsid w:val="00624646"/>
    <w:rsid w:val="00624E82"/>
    <w:rsid w:val="006255D5"/>
    <w:rsid w:val="00625BF3"/>
    <w:rsid w:val="006262CB"/>
    <w:rsid w:val="00626610"/>
    <w:rsid w:val="00626617"/>
    <w:rsid w:val="006268E9"/>
    <w:rsid w:val="00626A38"/>
    <w:rsid w:val="0062737F"/>
    <w:rsid w:val="006274A3"/>
    <w:rsid w:val="00627755"/>
    <w:rsid w:val="006277AF"/>
    <w:rsid w:val="00627A3F"/>
    <w:rsid w:val="00627CFE"/>
    <w:rsid w:val="00630039"/>
    <w:rsid w:val="006301E0"/>
    <w:rsid w:val="006302F2"/>
    <w:rsid w:val="0063058B"/>
    <w:rsid w:val="00630639"/>
    <w:rsid w:val="00630A25"/>
    <w:rsid w:val="00630A6C"/>
    <w:rsid w:val="006317F3"/>
    <w:rsid w:val="0063187B"/>
    <w:rsid w:val="006318B7"/>
    <w:rsid w:val="00631B56"/>
    <w:rsid w:val="00631C2A"/>
    <w:rsid w:val="00631D77"/>
    <w:rsid w:val="00632060"/>
    <w:rsid w:val="0063249C"/>
    <w:rsid w:val="006326E2"/>
    <w:rsid w:val="006328B2"/>
    <w:rsid w:val="00632C6D"/>
    <w:rsid w:val="006337F2"/>
    <w:rsid w:val="00633F0C"/>
    <w:rsid w:val="0063405D"/>
    <w:rsid w:val="0063408F"/>
    <w:rsid w:val="006340D1"/>
    <w:rsid w:val="006345EB"/>
    <w:rsid w:val="0063462B"/>
    <w:rsid w:val="00634676"/>
    <w:rsid w:val="00634B75"/>
    <w:rsid w:val="00634EDF"/>
    <w:rsid w:val="0063502B"/>
    <w:rsid w:val="006350A3"/>
    <w:rsid w:val="006351A5"/>
    <w:rsid w:val="006356DD"/>
    <w:rsid w:val="0063602E"/>
    <w:rsid w:val="00636225"/>
    <w:rsid w:val="00636783"/>
    <w:rsid w:val="00636A3C"/>
    <w:rsid w:val="00636CFE"/>
    <w:rsid w:val="00637087"/>
    <w:rsid w:val="00637586"/>
    <w:rsid w:val="0063780F"/>
    <w:rsid w:val="00637847"/>
    <w:rsid w:val="00637AE6"/>
    <w:rsid w:val="00637D7D"/>
    <w:rsid w:val="006403D9"/>
    <w:rsid w:val="006406D7"/>
    <w:rsid w:val="00640860"/>
    <w:rsid w:val="00640906"/>
    <w:rsid w:val="00640B1C"/>
    <w:rsid w:val="00640DDA"/>
    <w:rsid w:val="006412E7"/>
    <w:rsid w:val="006415D1"/>
    <w:rsid w:val="006417B4"/>
    <w:rsid w:val="0064195A"/>
    <w:rsid w:val="00641EC1"/>
    <w:rsid w:val="00641FAE"/>
    <w:rsid w:val="0064221F"/>
    <w:rsid w:val="006424B9"/>
    <w:rsid w:val="006425E8"/>
    <w:rsid w:val="00642E87"/>
    <w:rsid w:val="00642F38"/>
    <w:rsid w:val="006431B1"/>
    <w:rsid w:val="006432E5"/>
    <w:rsid w:val="006432F6"/>
    <w:rsid w:val="006435B7"/>
    <w:rsid w:val="00643680"/>
    <w:rsid w:val="00643770"/>
    <w:rsid w:val="00643A5D"/>
    <w:rsid w:val="00643B29"/>
    <w:rsid w:val="00643D5E"/>
    <w:rsid w:val="00643EAD"/>
    <w:rsid w:val="00644B40"/>
    <w:rsid w:val="00644C4D"/>
    <w:rsid w:val="006454A1"/>
    <w:rsid w:val="0064632E"/>
    <w:rsid w:val="00646363"/>
    <w:rsid w:val="006468AF"/>
    <w:rsid w:val="006469F2"/>
    <w:rsid w:val="00647B0F"/>
    <w:rsid w:val="00650080"/>
    <w:rsid w:val="006500EB"/>
    <w:rsid w:val="00650B44"/>
    <w:rsid w:val="00650BE9"/>
    <w:rsid w:val="00650CC4"/>
    <w:rsid w:val="00650EB0"/>
    <w:rsid w:val="00650EE1"/>
    <w:rsid w:val="006513EB"/>
    <w:rsid w:val="00651C00"/>
    <w:rsid w:val="00651FCB"/>
    <w:rsid w:val="00652929"/>
    <w:rsid w:val="006529D3"/>
    <w:rsid w:val="00652BD3"/>
    <w:rsid w:val="00652DEA"/>
    <w:rsid w:val="00653FC2"/>
    <w:rsid w:val="0065462D"/>
    <w:rsid w:val="006547AE"/>
    <w:rsid w:val="00654AFB"/>
    <w:rsid w:val="00654CFB"/>
    <w:rsid w:val="0065507C"/>
    <w:rsid w:val="00655180"/>
    <w:rsid w:val="006551A5"/>
    <w:rsid w:val="006554D8"/>
    <w:rsid w:val="00655FAF"/>
    <w:rsid w:val="006568D6"/>
    <w:rsid w:val="00657020"/>
    <w:rsid w:val="006573D0"/>
    <w:rsid w:val="006579F4"/>
    <w:rsid w:val="006604BF"/>
    <w:rsid w:val="006605CC"/>
    <w:rsid w:val="00660803"/>
    <w:rsid w:val="00660A32"/>
    <w:rsid w:val="00660CF3"/>
    <w:rsid w:val="006614A0"/>
    <w:rsid w:val="00661919"/>
    <w:rsid w:val="00661950"/>
    <w:rsid w:val="00661A2B"/>
    <w:rsid w:val="00662375"/>
    <w:rsid w:val="006625F6"/>
    <w:rsid w:val="006627E2"/>
    <w:rsid w:val="00662AE6"/>
    <w:rsid w:val="00662CAA"/>
    <w:rsid w:val="00662D93"/>
    <w:rsid w:val="00663046"/>
    <w:rsid w:val="006630B2"/>
    <w:rsid w:val="0066339B"/>
    <w:rsid w:val="0066373B"/>
    <w:rsid w:val="00663A90"/>
    <w:rsid w:val="00663DFE"/>
    <w:rsid w:val="00664343"/>
    <w:rsid w:val="006644C4"/>
    <w:rsid w:val="0066465A"/>
    <w:rsid w:val="00664765"/>
    <w:rsid w:val="006648E7"/>
    <w:rsid w:val="00664ECE"/>
    <w:rsid w:val="006654F7"/>
    <w:rsid w:val="00665A62"/>
    <w:rsid w:val="00665A6C"/>
    <w:rsid w:val="00665E15"/>
    <w:rsid w:val="00666069"/>
    <w:rsid w:val="006665ED"/>
    <w:rsid w:val="006667FE"/>
    <w:rsid w:val="00666995"/>
    <w:rsid w:val="00666C79"/>
    <w:rsid w:val="00666D13"/>
    <w:rsid w:val="00667296"/>
    <w:rsid w:val="0066746F"/>
    <w:rsid w:val="00667799"/>
    <w:rsid w:val="006679C9"/>
    <w:rsid w:val="00667C61"/>
    <w:rsid w:val="00667CAA"/>
    <w:rsid w:val="0067070E"/>
    <w:rsid w:val="00670978"/>
    <w:rsid w:val="00670E2E"/>
    <w:rsid w:val="006714FA"/>
    <w:rsid w:val="00671803"/>
    <w:rsid w:val="00671857"/>
    <w:rsid w:val="0067195B"/>
    <w:rsid w:val="0067217F"/>
    <w:rsid w:val="00672249"/>
    <w:rsid w:val="0067267E"/>
    <w:rsid w:val="00672C85"/>
    <w:rsid w:val="006736A0"/>
    <w:rsid w:val="00674347"/>
    <w:rsid w:val="0067468A"/>
    <w:rsid w:val="0067493C"/>
    <w:rsid w:val="00674DC0"/>
    <w:rsid w:val="00674EFE"/>
    <w:rsid w:val="0067503E"/>
    <w:rsid w:val="0067571F"/>
    <w:rsid w:val="00675D4D"/>
    <w:rsid w:val="00675F58"/>
    <w:rsid w:val="00675FF3"/>
    <w:rsid w:val="00676228"/>
    <w:rsid w:val="0067647D"/>
    <w:rsid w:val="00676F72"/>
    <w:rsid w:val="0067707E"/>
    <w:rsid w:val="006774A0"/>
    <w:rsid w:val="006803F5"/>
    <w:rsid w:val="0068046D"/>
    <w:rsid w:val="006804EC"/>
    <w:rsid w:val="006806DC"/>
    <w:rsid w:val="00680D49"/>
    <w:rsid w:val="0068138C"/>
    <w:rsid w:val="00681B4F"/>
    <w:rsid w:val="00682018"/>
    <w:rsid w:val="0068286F"/>
    <w:rsid w:val="00682AF6"/>
    <w:rsid w:val="006830CA"/>
    <w:rsid w:val="006835F3"/>
    <w:rsid w:val="00683867"/>
    <w:rsid w:val="00683953"/>
    <w:rsid w:val="00683F05"/>
    <w:rsid w:val="00684388"/>
    <w:rsid w:val="0068471C"/>
    <w:rsid w:val="00684899"/>
    <w:rsid w:val="00684E9B"/>
    <w:rsid w:val="00684F00"/>
    <w:rsid w:val="0068516F"/>
    <w:rsid w:val="00685185"/>
    <w:rsid w:val="006853B5"/>
    <w:rsid w:val="006856EC"/>
    <w:rsid w:val="00685A05"/>
    <w:rsid w:val="00685C99"/>
    <w:rsid w:val="00685DC8"/>
    <w:rsid w:val="00686440"/>
    <w:rsid w:val="006865A2"/>
    <w:rsid w:val="00686BAD"/>
    <w:rsid w:val="00686BBA"/>
    <w:rsid w:val="0068735C"/>
    <w:rsid w:val="00687C6F"/>
    <w:rsid w:val="006901FF"/>
    <w:rsid w:val="00690428"/>
    <w:rsid w:val="006904F8"/>
    <w:rsid w:val="006909AB"/>
    <w:rsid w:val="00690BC5"/>
    <w:rsid w:val="006916AD"/>
    <w:rsid w:val="00691902"/>
    <w:rsid w:val="00691AA1"/>
    <w:rsid w:val="00691AA3"/>
    <w:rsid w:val="00691C7B"/>
    <w:rsid w:val="00691C8E"/>
    <w:rsid w:val="0069231A"/>
    <w:rsid w:val="006924EE"/>
    <w:rsid w:val="006926E9"/>
    <w:rsid w:val="006926FA"/>
    <w:rsid w:val="0069294D"/>
    <w:rsid w:val="00692ED3"/>
    <w:rsid w:val="006931EE"/>
    <w:rsid w:val="00693325"/>
    <w:rsid w:val="00693CDB"/>
    <w:rsid w:val="00694216"/>
    <w:rsid w:val="00694C9A"/>
    <w:rsid w:val="00695FCC"/>
    <w:rsid w:val="00695FF8"/>
    <w:rsid w:val="00696A1B"/>
    <w:rsid w:val="0069714D"/>
    <w:rsid w:val="006972D7"/>
    <w:rsid w:val="006979E1"/>
    <w:rsid w:val="00697BA6"/>
    <w:rsid w:val="006A0259"/>
    <w:rsid w:val="006A03B0"/>
    <w:rsid w:val="006A0743"/>
    <w:rsid w:val="006A0D12"/>
    <w:rsid w:val="006A1319"/>
    <w:rsid w:val="006A1338"/>
    <w:rsid w:val="006A1930"/>
    <w:rsid w:val="006A21BF"/>
    <w:rsid w:val="006A21E3"/>
    <w:rsid w:val="006A26CC"/>
    <w:rsid w:val="006A2A18"/>
    <w:rsid w:val="006A3341"/>
    <w:rsid w:val="006A34A2"/>
    <w:rsid w:val="006A4168"/>
    <w:rsid w:val="006A421C"/>
    <w:rsid w:val="006A44A2"/>
    <w:rsid w:val="006A45C9"/>
    <w:rsid w:val="006A47FA"/>
    <w:rsid w:val="006A4847"/>
    <w:rsid w:val="006A49F7"/>
    <w:rsid w:val="006A4B45"/>
    <w:rsid w:val="006A50F0"/>
    <w:rsid w:val="006A5188"/>
    <w:rsid w:val="006A522B"/>
    <w:rsid w:val="006A53C2"/>
    <w:rsid w:val="006A546D"/>
    <w:rsid w:val="006A5B9A"/>
    <w:rsid w:val="006A5DF0"/>
    <w:rsid w:val="006A60AB"/>
    <w:rsid w:val="006A618E"/>
    <w:rsid w:val="006A6401"/>
    <w:rsid w:val="006A6779"/>
    <w:rsid w:val="006A6919"/>
    <w:rsid w:val="006A695E"/>
    <w:rsid w:val="006A6F79"/>
    <w:rsid w:val="006A705D"/>
    <w:rsid w:val="006A71C5"/>
    <w:rsid w:val="006A7298"/>
    <w:rsid w:val="006A7358"/>
    <w:rsid w:val="006A737A"/>
    <w:rsid w:val="006A77C6"/>
    <w:rsid w:val="006A7822"/>
    <w:rsid w:val="006B021F"/>
    <w:rsid w:val="006B0276"/>
    <w:rsid w:val="006B033E"/>
    <w:rsid w:val="006B0481"/>
    <w:rsid w:val="006B04AF"/>
    <w:rsid w:val="006B0C24"/>
    <w:rsid w:val="006B0CB8"/>
    <w:rsid w:val="006B1536"/>
    <w:rsid w:val="006B170C"/>
    <w:rsid w:val="006B1FCB"/>
    <w:rsid w:val="006B2173"/>
    <w:rsid w:val="006B24B1"/>
    <w:rsid w:val="006B2982"/>
    <w:rsid w:val="006B358F"/>
    <w:rsid w:val="006B374F"/>
    <w:rsid w:val="006B4E5F"/>
    <w:rsid w:val="006B51A1"/>
    <w:rsid w:val="006B5584"/>
    <w:rsid w:val="006B5772"/>
    <w:rsid w:val="006B6329"/>
    <w:rsid w:val="006B6352"/>
    <w:rsid w:val="006B6713"/>
    <w:rsid w:val="006B6B26"/>
    <w:rsid w:val="006B7038"/>
    <w:rsid w:val="006B70D5"/>
    <w:rsid w:val="006B748F"/>
    <w:rsid w:val="006B7919"/>
    <w:rsid w:val="006B7B39"/>
    <w:rsid w:val="006B7C4E"/>
    <w:rsid w:val="006B7D57"/>
    <w:rsid w:val="006B7F5F"/>
    <w:rsid w:val="006C08A1"/>
    <w:rsid w:val="006C0C50"/>
    <w:rsid w:val="006C0F28"/>
    <w:rsid w:val="006C15DC"/>
    <w:rsid w:val="006C1722"/>
    <w:rsid w:val="006C19C1"/>
    <w:rsid w:val="006C1F8A"/>
    <w:rsid w:val="006C25A3"/>
    <w:rsid w:val="006C3289"/>
    <w:rsid w:val="006C3560"/>
    <w:rsid w:val="006C399E"/>
    <w:rsid w:val="006C3B07"/>
    <w:rsid w:val="006C3DB6"/>
    <w:rsid w:val="006C3F1B"/>
    <w:rsid w:val="006C44BF"/>
    <w:rsid w:val="006C44F9"/>
    <w:rsid w:val="006C4CA0"/>
    <w:rsid w:val="006C4CE8"/>
    <w:rsid w:val="006C4E49"/>
    <w:rsid w:val="006C5D6B"/>
    <w:rsid w:val="006C6074"/>
    <w:rsid w:val="006C6515"/>
    <w:rsid w:val="006C66A4"/>
    <w:rsid w:val="006C7597"/>
    <w:rsid w:val="006C7C8E"/>
    <w:rsid w:val="006D04B4"/>
    <w:rsid w:val="006D0714"/>
    <w:rsid w:val="006D090E"/>
    <w:rsid w:val="006D0B4F"/>
    <w:rsid w:val="006D0C87"/>
    <w:rsid w:val="006D0CD6"/>
    <w:rsid w:val="006D13E1"/>
    <w:rsid w:val="006D19DF"/>
    <w:rsid w:val="006D1BCB"/>
    <w:rsid w:val="006D1E94"/>
    <w:rsid w:val="006D21DF"/>
    <w:rsid w:val="006D22AE"/>
    <w:rsid w:val="006D282E"/>
    <w:rsid w:val="006D3228"/>
    <w:rsid w:val="006D39FF"/>
    <w:rsid w:val="006D3AA6"/>
    <w:rsid w:val="006D3FBA"/>
    <w:rsid w:val="006D42BD"/>
    <w:rsid w:val="006D498F"/>
    <w:rsid w:val="006D4DE2"/>
    <w:rsid w:val="006D63B1"/>
    <w:rsid w:val="006D6446"/>
    <w:rsid w:val="006D70BB"/>
    <w:rsid w:val="006D7873"/>
    <w:rsid w:val="006D7980"/>
    <w:rsid w:val="006D7A6F"/>
    <w:rsid w:val="006D7FB9"/>
    <w:rsid w:val="006E0365"/>
    <w:rsid w:val="006E0D29"/>
    <w:rsid w:val="006E1233"/>
    <w:rsid w:val="006E1484"/>
    <w:rsid w:val="006E188C"/>
    <w:rsid w:val="006E21C5"/>
    <w:rsid w:val="006E21CD"/>
    <w:rsid w:val="006E2276"/>
    <w:rsid w:val="006E2B9D"/>
    <w:rsid w:val="006E2D49"/>
    <w:rsid w:val="006E2F2E"/>
    <w:rsid w:val="006E30A9"/>
    <w:rsid w:val="006E30B7"/>
    <w:rsid w:val="006E42CE"/>
    <w:rsid w:val="006E45C3"/>
    <w:rsid w:val="006E45F1"/>
    <w:rsid w:val="006E47D1"/>
    <w:rsid w:val="006E4DB3"/>
    <w:rsid w:val="006E5003"/>
    <w:rsid w:val="006E5034"/>
    <w:rsid w:val="006E5624"/>
    <w:rsid w:val="006E56D4"/>
    <w:rsid w:val="006E59FE"/>
    <w:rsid w:val="006E5EB7"/>
    <w:rsid w:val="006E5FCB"/>
    <w:rsid w:val="006E6D0D"/>
    <w:rsid w:val="006E6F84"/>
    <w:rsid w:val="006E6FB4"/>
    <w:rsid w:val="006E76DC"/>
    <w:rsid w:val="006E7A4B"/>
    <w:rsid w:val="006F134A"/>
    <w:rsid w:val="006F1512"/>
    <w:rsid w:val="006F17BE"/>
    <w:rsid w:val="006F1A5D"/>
    <w:rsid w:val="006F1B49"/>
    <w:rsid w:val="006F1F95"/>
    <w:rsid w:val="006F222C"/>
    <w:rsid w:val="006F273F"/>
    <w:rsid w:val="006F28AD"/>
    <w:rsid w:val="006F30E7"/>
    <w:rsid w:val="006F3302"/>
    <w:rsid w:val="006F3469"/>
    <w:rsid w:val="006F36FB"/>
    <w:rsid w:val="006F37B8"/>
    <w:rsid w:val="006F3F6F"/>
    <w:rsid w:val="006F3F86"/>
    <w:rsid w:val="006F4072"/>
    <w:rsid w:val="006F446E"/>
    <w:rsid w:val="006F49B6"/>
    <w:rsid w:val="006F4B38"/>
    <w:rsid w:val="006F51A6"/>
    <w:rsid w:val="006F5555"/>
    <w:rsid w:val="006F560C"/>
    <w:rsid w:val="006F563B"/>
    <w:rsid w:val="006F5A16"/>
    <w:rsid w:val="006F5BDF"/>
    <w:rsid w:val="006F5C6C"/>
    <w:rsid w:val="006F5D42"/>
    <w:rsid w:val="006F6099"/>
    <w:rsid w:val="006F6CE8"/>
    <w:rsid w:val="006F729A"/>
    <w:rsid w:val="006F7376"/>
    <w:rsid w:val="006F7558"/>
    <w:rsid w:val="006F76DD"/>
    <w:rsid w:val="006F7D64"/>
    <w:rsid w:val="006F7FFA"/>
    <w:rsid w:val="007005C1"/>
    <w:rsid w:val="007005F0"/>
    <w:rsid w:val="0070080E"/>
    <w:rsid w:val="00700A76"/>
    <w:rsid w:val="0070105C"/>
    <w:rsid w:val="00701085"/>
    <w:rsid w:val="00701287"/>
    <w:rsid w:val="00701866"/>
    <w:rsid w:val="007019CF"/>
    <w:rsid w:val="00701EDC"/>
    <w:rsid w:val="00701FF9"/>
    <w:rsid w:val="0070268F"/>
    <w:rsid w:val="00702694"/>
    <w:rsid w:val="007026E0"/>
    <w:rsid w:val="00702882"/>
    <w:rsid w:val="007028A0"/>
    <w:rsid w:val="00702C8D"/>
    <w:rsid w:val="00702CBD"/>
    <w:rsid w:val="00703626"/>
    <w:rsid w:val="007038B2"/>
    <w:rsid w:val="00703E6B"/>
    <w:rsid w:val="007040C0"/>
    <w:rsid w:val="00704234"/>
    <w:rsid w:val="0070494F"/>
    <w:rsid w:val="00705436"/>
    <w:rsid w:val="00705CB5"/>
    <w:rsid w:val="00705DEE"/>
    <w:rsid w:val="00705FE8"/>
    <w:rsid w:val="007067DD"/>
    <w:rsid w:val="00706CF7"/>
    <w:rsid w:val="00706DDE"/>
    <w:rsid w:val="00706EEF"/>
    <w:rsid w:val="007072B6"/>
    <w:rsid w:val="00707AAB"/>
    <w:rsid w:val="00707C81"/>
    <w:rsid w:val="00710495"/>
    <w:rsid w:val="00710B9D"/>
    <w:rsid w:val="00710C1D"/>
    <w:rsid w:val="00710E6F"/>
    <w:rsid w:val="0071107B"/>
    <w:rsid w:val="00711600"/>
    <w:rsid w:val="007116CB"/>
    <w:rsid w:val="00711A94"/>
    <w:rsid w:val="00711D26"/>
    <w:rsid w:val="007127D6"/>
    <w:rsid w:val="00712B64"/>
    <w:rsid w:val="007137A2"/>
    <w:rsid w:val="00713E4B"/>
    <w:rsid w:val="007141B5"/>
    <w:rsid w:val="00714EAD"/>
    <w:rsid w:val="007157E6"/>
    <w:rsid w:val="00715DC7"/>
    <w:rsid w:val="00715DFE"/>
    <w:rsid w:val="0071635B"/>
    <w:rsid w:val="00716B89"/>
    <w:rsid w:val="00716C6C"/>
    <w:rsid w:val="00716EF4"/>
    <w:rsid w:val="007171E1"/>
    <w:rsid w:val="00717BDB"/>
    <w:rsid w:val="007205F2"/>
    <w:rsid w:val="00720744"/>
    <w:rsid w:val="00720AA1"/>
    <w:rsid w:val="00720EE2"/>
    <w:rsid w:val="00720FC4"/>
    <w:rsid w:val="00720FFE"/>
    <w:rsid w:val="0072167E"/>
    <w:rsid w:val="007219E9"/>
    <w:rsid w:val="00721B57"/>
    <w:rsid w:val="0072284C"/>
    <w:rsid w:val="00722891"/>
    <w:rsid w:val="00722C57"/>
    <w:rsid w:val="00722ECE"/>
    <w:rsid w:val="00723679"/>
    <w:rsid w:val="00723911"/>
    <w:rsid w:val="00723CD3"/>
    <w:rsid w:val="00723D5C"/>
    <w:rsid w:val="007240EF"/>
    <w:rsid w:val="00724402"/>
    <w:rsid w:val="00724847"/>
    <w:rsid w:val="00724B00"/>
    <w:rsid w:val="00724E70"/>
    <w:rsid w:val="00724F9D"/>
    <w:rsid w:val="00725262"/>
    <w:rsid w:val="00725BC8"/>
    <w:rsid w:val="007263D0"/>
    <w:rsid w:val="00726B33"/>
    <w:rsid w:val="00726C86"/>
    <w:rsid w:val="00726F34"/>
    <w:rsid w:val="00727024"/>
    <w:rsid w:val="007273C8"/>
    <w:rsid w:val="00727E7F"/>
    <w:rsid w:val="007302B5"/>
    <w:rsid w:val="0073068D"/>
    <w:rsid w:val="00730ABB"/>
    <w:rsid w:val="00730FEA"/>
    <w:rsid w:val="0073125A"/>
    <w:rsid w:val="007314D8"/>
    <w:rsid w:val="0073187B"/>
    <w:rsid w:val="00731C02"/>
    <w:rsid w:val="00731F5B"/>
    <w:rsid w:val="00732CF8"/>
    <w:rsid w:val="00733183"/>
    <w:rsid w:val="00733188"/>
    <w:rsid w:val="00733769"/>
    <w:rsid w:val="00733982"/>
    <w:rsid w:val="00734057"/>
    <w:rsid w:val="00734409"/>
    <w:rsid w:val="00734E0F"/>
    <w:rsid w:val="00734E7D"/>
    <w:rsid w:val="00735534"/>
    <w:rsid w:val="00735751"/>
    <w:rsid w:val="00735CE1"/>
    <w:rsid w:val="00735F22"/>
    <w:rsid w:val="00735F61"/>
    <w:rsid w:val="00736103"/>
    <w:rsid w:val="007364F4"/>
    <w:rsid w:val="007369BB"/>
    <w:rsid w:val="00736AFA"/>
    <w:rsid w:val="00736C4E"/>
    <w:rsid w:val="00736E86"/>
    <w:rsid w:val="00736F6B"/>
    <w:rsid w:val="00736FF4"/>
    <w:rsid w:val="007376C2"/>
    <w:rsid w:val="007379CB"/>
    <w:rsid w:val="00737C80"/>
    <w:rsid w:val="0074016B"/>
    <w:rsid w:val="00740AE5"/>
    <w:rsid w:val="00740C65"/>
    <w:rsid w:val="00740EE3"/>
    <w:rsid w:val="007412CC"/>
    <w:rsid w:val="00741336"/>
    <w:rsid w:val="0074153A"/>
    <w:rsid w:val="00741878"/>
    <w:rsid w:val="00741A6E"/>
    <w:rsid w:val="00741D1E"/>
    <w:rsid w:val="00741EA5"/>
    <w:rsid w:val="0074208B"/>
    <w:rsid w:val="00742091"/>
    <w:rsid w:val="00742A29"/>
    <w:rsid w:val="00742BB5"/>
    <w:rsid w:val="00742C31"/>
    <w:rsid w:val="00742C3A"/>
    <w:rsid w:val="00743251"/>
    <w:rsid w:val="007438C5"/>
    <w:rsid w:val="00743A33"/>
    <w:rsid w:val="00743F01"/>
    <w:rsid w:val="00745366"/>
    <w:rsid w:val="0074548E"/>
    <w:rsid w:val="007454A1"/>
    <w:rsid w:val="00745527"/>
    <w:rsid w:val="00745AC2"/>
    <w:rsid w:val="00745D5A"/>
    <w:rsid w:val="00745DBA"/>
    <w:rsid w:val="007460A7"/>
    <w:rsid w:val="007467FC"/>
    <w:rsid w:val="00746C16"/>
    <w:rsid w:val="00746E24"/>
    <w:rsid w:val="00747689"/>
    <w:rsid w:val="0074779C"/>
    <w:rsid w:val="00747FD9"/>
    <w:rsid w:val="0075076C"/>
    <w:rsid w:val="007509C3"/>
    <w:rsid w:val="00750B0A"/>
    <w:rsid w:val="00750BFE"/>
    <w:rsid w:val="00750DE7"/>
    <w:rsid w:val="0075133B"/>
    <w:rsid w:val="00751F74"/>
    <w:rsid w:val="00752258"/>
    <w:rsid w:val="0075237E"/>
    <w:rsid w:val="00752522"/>
    <w:rsid w:val="007525ED"/>
    <w:rsid w:val="00753357"/>
    <w:rsid w:val="0075342A"/>
    <w:rsid w:val="007534F8"/>
    <w:rsid w:val="007537EE"/>
    <w:rsid w:val="0075420F"/>
    <w:rsid w:val="0075431A"/>
    <w:rsid w:val="007547C3"/>
    <w:rsid w:val="00754BF8"/>
    <w:rsid w:val="00754F2A"/>
    <w:rsid w:val="0075508B"/>
    <w:rsid w:val="007550D6"/>
    <w:rsid w:val="00755F7F"/>
    <w:rsid w:val="0075619F"/>
    <w:rsid w:val="00756407"/>
    <w:rsid w:val="00756493"/>
    <w:rsid w:val="0075651A"/>
    <w:rsid w:val="00756C23"/>
    <w:rsid w:val="00756F29"/>
    <w:rsid w:val="00756F48"/>
    <w:rsid w:val="00757D6C"/>
    <w:rsid w:val="00760595"/>
    <w:rsid w:val="00760AAE"/>
    <w:rsid w:val="00760F66"/>
    <w:rsid w:val="00761249"/>
    <w:rsid w:val="00762238"/>
    <w:rsid w:val="0076247E"/>
    <w:rsid w:val="0076263E"/>
    <w:rsid w:val="00763090"/>
    <w:rsid w:val="0076337C"/>
    <w:rsid w:val="00763C25"/>
    <w:rsid w:val="00764723"/>
    <w:rsid w:val="00764F1E"/>
    <w:rsid w:val="00765027"/>
    <w:rsid w:val="00765141"/>
    <w:rsid w:val="0076524C"/>
    <w:rsid w:val="007655BA"/>
    <w:rsid w:val="007657BB"/>
    <w:rsid w:val="00765A01"/>
    <w:rsid w:val="00765A20"/>
    <w:rsid w:val="00765D35"/>
    <w:rsid w:val="00765D7F"/>
    <w:rsid w:val="00766223"/>
    <w:rsid w:val="00766433"/>
    <w:rsid w:val="00766684"/>
    <w:rsid w:val="007666C2"/>
    <w:rsid w:val="00766D55"/>
    <w:rsid w:val="00766FD3"/>
    <w:rsid w:val="00767143"/>
    <w:rsid w:val="00767874"/>
    <w:rsid w:val="00767CAD"/>
    <w:rsid w:val="00767FE5"/>
    <w:rsid w:val="00770DE1"/>
    <w:rsid w:val="00770E9B"/>
    <w:rsid w:val="00771742"/>
    <w:rsid w:val="007718B5"/>
    <w:rsid w:val="00773013"/>
    <w:rsid w:val="007735CF"/>
    <w:rsid w:val="0077394B"/>
    <w:rsid w:val="00773AEB"/>
    <w:rsid w:val="00773C12"/>
    <w:rsid w:val="007748C5"/>
    <w:rsid w:val="007749B9"/>
    <w:rsid w:val="00774B28"/>
    <w:rsid w:val="007753BE"/>
    <w:rsid w:val="00775843"/>
    <w:rsid w:val="00775888"/>
    <w:rsid w:val="00775B85"/>
    <w:rsid w:val="00775FCB"/>
    <w:rsid w:val="00776262"/>
    <w:rsid w:val="0077743C"/>
    <w:rsid w:val="00777D6C"/>
    <w:rsid w:val="00780122"/>
    <w:rsid w:val="00780151"/>
    <w:rsid w:val="00780E18"/>
    <w:rsid w:val="007814B9"/>
    <w:rsid w:val="007814F7"/>
    <w:rsid w:val="00781533"/>
    <w:rsid w:val="00781A3A"/>
    <w:rsid w:val="00781E1D"/>
    <w:rsid w:val="007827E8"/>
    <w:rsid w:val="007829FF"/>
    <w:rsid w:val="00783455"/>
    <w:rsid w:val="00783AB8"/>
    <w:rsid w:val="0078438F"/>
    <w:rsid w:val="007846DD"/>
    <w:rsid w:val="00784B82"/>
    <w:rsid w:val="007852BF"/>
    <w:rsid w:val="00785321"/>
    <w:rsid w:val="00785628"/>
    <w:rsid w:val="00785E14"/>
    <w:rsid w:val="0078603A"/>
    <w:rsid w:val="0078630E"/>
    <w:rsid w:val="0078631C"/>
    <w:rsid w:val="0078673D"/>
    <w:rsid w:val="00786743"/>
    <w:rsid w:val="0078694D"/>
    <w:rsid w:val="00786F8C"/>
    <w:rsid w:val="00787257"/>
    <w:rsid w:val="00787326"/>
    <w:rsid w:val="0078738A"/>
    <w:rsid w:val="007905FB"/>
    <w:rsid w:val="0079071E"/>
    <w:rsid w:val="007907ED"/>
    <w:rsid w:val="00791345"/>
    <w:rsid w:val="0079186D"/>
    <w:rsid w:val="0079194D"/>
    <w:rsid w:val="00791A19"/>
    <w:rsid w:val="00792056"/>
    <w:rsid w:val="007928D2"/>
    <w:rsid w:val="00792B79"/>
    <w:rsid w:val="00792E6D"/>
    <w:rsid w:val="00792EF3"/>
    <w:rsid w:val="0079325F"/>
    <w:rsid w:val="00793463"/>
    <w:rsid w:val="00793A11"/>
    <w:rsid w:val="00793EE7"/>
    <w:rsid w:val="007949F4"/>
    <w:rsid w:val="00794A2B"/>
    <w:rsid w:val="00794C73"/>
    <w:rsid w:val="00794C7B"/>
    <w:rsid w:val="00794ED7"/>
    <w:rsid w:val="00794F01"/>
    <w:rsid w:val="00794F98"/>
    <w:rsid w:val="007959BA"/>
    <w:rsid w:val="00795DA4"/>
    <w:rsid w:val="0079620E"/>
    <w:rsid w:val="00796212"/>
    <w:rsid w:val="007963A4"/>
    <w:rsid w:val="00796510"/>
    <w:rsid w:val="00796A35"/>
    <w:rsid w:val="00796B93"/>
    <w:rsid w:val="00797792"/>
    <w:rsid w:val="007A020E"/>
    <w:rsid w:val="007A0777"/>
    <w:rsid w:val="007A14E2"/>
    <w:rsid w:val="007A1BCE"/>
    <w:rsid w:val="007A1E41"/>
    <w:rsid w:val="007A2CB1"/>
    <w:rsid w:val="007A302E"/>
    <w:rsid w:val="007A33B6"/>
    <w:rsid w:val="007A34DD"/>
    <w:rsid w:val="007A379D"/>
    <w:rsid w:val="007A4920"/>
    <w:rsid w:val="007A5244"/>
    <w:rsid w:val="007A667E"/>
    <w:rsid w:val="007A6842"/>
    <w:rsid w:val="007A690C"/>
    <w:rsid w:val="007A6B35"/>
    <w:rsid w:val="007A6BC5"/>
    <w:rsid w:val="007A6E1B"/>
    <w:rsid w:val="007A7370"/>
    <w:rsid w:val="007A7861"/>
    <w:rsid w:val="007A7AEB"/>
    <w:rsid w:val="007B01DF"/>
    <w:rsid w:val="007B03F3"/>
    <w:rsid w:val="007B04FF"/>
    <w:rsid w:val="007B06BF"/>
    <w:rsid w:val="007B19CE"/>
    <w:rsid w:val="007B1A89"/>
    <w:rsid w:val="007B2308"/>
    <w:rsid w:val="007B2E9A"/>
    <w:rsid w:val="007B31B7"/>
    <w:rsid w:val="007B3842"/>
    <w:rsid w:val="007B3A01"/>
    <w:rsid w:val="007B3C9D"/>
    <w:rsid w:val="007B3D5B"/>
    <w:rsid w:val="007B3ED9"/>
    <w:rsid w:val="007B40CB"/>
    <w:rsid w:val="007B446D"/>
    <w:rsid w:val="007B45C9"/>
    <w:rsid w:val="007B4648"/>
    <w:rsid w:val="007B47CF"/>
    <w:rsid w:val="007B4A5E"/>
    <w:rsid w:val="007B4A80"/>
    <w:rsid w:val="007B4D17"/>
    <w:rsid w:val="007B5275"/>
    <w:rsid w:val="007B56DF"/>
    <w:rsid w:val="007B5769"/>
    <w:rsid w:val="007B649F"/>
    <w:rsid w:val="007B6F44"/>
    <w:rsid w:val="007B72F7"/>
    <w:rsid w:val="007B7505"/>
    <w:rsid w:val="007B7FF0"/>
    <w:rsid w:val="007C018A"/>
    <w:rsid w:val="007C0455"/>
    <w:rsid w:val="007C068F"/>
    <w:rsid w:val="007C086E"/>
    <w:rsid w:val="007C0E7E"/>
    <w:rsid w:val="007C1632"/>
    <w:rsid w:val="007C1B7F"/>
    <w:rsid w:val="007C21C0"/>
    <w:rsid w:val="007C254C"/>
    <w:rsid w:val="007C2864"/>
    <w:rsid w:val="007C35C1"/>
    <w:rsid w:val="007C46E5"/>
    <w:rsid w:val="007C4B5B"/>
    <w:rsid w:val="007C5225"/>
    <w:rsid w:val="007C5422"/>
    <w:rsid w:val="007C578E"/>
    <w:rsid w:val="007C5BAD"/>
    <w:rsid w:val="007C5C07"/>
    <w:rsid w:val="007C5E7B"/>
    <w:rsid w:val="007C653E"/>
    <w:rsid w:val="007C6568"/>
    <w:rsid w:val="007C6A6A"/>
    <w:rsid w:val="007C7914"/>
    <w:rsid w:val="007C7FF8"/>
    <w:rsid w:val="007D00CE"/>
    <w:rsid w:val="007D0433"/>
    <w:rsid w:val="007D1125"/>
    <w:rsid w:val="007D269C"/>
    <w:rsid w:val="007D28C1"/>
    <w:rsid w:val="007D2C70"/>
    <w:rsid w:val="007D2E90"/>
    <w:rsid w:val="007D2E9A"/>
    <w:rsid w:val="007D2EB9"/>
    <w:rsid w:val="007D313C"/>
    <w:rsid w:val="007D3538"/>
    <w:rsid w:val="007D36E4"/>
    <w:rsid w:val="007D3859"/>
    <w:rsid w:val="007D46CE"/>
    <w:rsid w:val="007D4C04"/>
    <w:rsid w:val="007D4F00"/>
    <w:rsid w:val="007D5750"/>
    <w:rsid w:val="007D57C4"/>
    <w:rsid w:val="007D587C"/>
    <w:rsid w:val="007D5C35"/>
    <w:rsid w:val="007D630E"/>
    <w:rsid w:val="007D6C9D"/>
    <w:rsid w:val="007D6D24"/>
    <w:rsid w:val="007D75B5"/>
    <w:rsid w:val="007E12B7"/>
    <w:rsid w:val="007E1540"/>
    <w:rsid w:val="007E1677"/>
    <w:rsid w:val="007E17F4"/>
    <w:rsid w:val="007E1A25"/>
    <w:rsid w:val="007E1B1A"/>
    <w:rsid w:val="007E2789"/>
    <w:rsid w:val="007E2E18"/>
    <w:rsid w:val="007E3531"/>
    <w:rsid w:val="007E35F2"/>
    <w:rsid w:val="007E3D84"/>
    <w:rsid w:val="007E3E6A"/>
    <w:rsid w:val="007E3E72"/>
    <w:rsid w:val="007E3E91"/>
    <w:rsid w:val="007E442A"/>
    <w:rsid w:val="007E4539"/>
    <w:rsid w:val="007E4816"/>
    <w:rsid w:val="007E4985"/>
    <w:rsid w:val="007E4C7F"/>
    <w:rsid w:val="007E524C"/>
    <w:rsid w:val="007E5631"/>
    <w:rsid w:val="007E5CDB"/>
    <w:rsid w:val="007E64F3"/>
    <w:rsid w:val="007E6622"/>
    <w:rsid w:val="007F05CF"/>
    <w:rsid w:val="007F0A43"/>
    <w:rsid w:val="007F0AC9"/>
    <w:rsid w:val="007F11D2"/>
    <w:rsid w:val="007F147C"/>
    <w:rsid w:val="007F16A4"/>
    <w:rsid w:val="007F16BF"/>
    <w:rsid w:val="007F1775"/>
    <w:rsid w:val="007F1782"/>
    <w:rsid w:val="007F1938"/>
    <w:rsid w:val="007F1973"/>
    <w:rsid w:val="007F2134"/>
    <w:rsid w:val="007F2720"/>
    <w:rsid w:val="007F27B9"/>
    <w:rsid w:val="007F30AB"/>
    <w:rsid w:val="007F3B16"/>
    <w:rsid w:val="007F4124"/>
    <w:rsid w:val="007F4F65"/>
    <w:rsid w:val="007F5C65"/>
    <w:rsid w:val="007F64DA"/>
    <w:rsid w:val="007F6632"/>
    <w:rsid w:val="007F6918"/>
    <w:rsid w:val="007F74F3"/>
    <w:rsid w:val="007F79E4"/>
    <w:rsid w:val="007F7FF7"/>
    <w:rsid w:val="0080025F"/>
    <w:rsid w:val="0080056E"/>
    <w:rsid w:val="00801398"/>
    <w:rsid w:val="00801711"/>
    <w:rsid w:val="00801EA9"/>
    <w:rsid w:val="0080218A"/>
    <w:rsid w:val="00802706"/>
    <w:rsid w:val="00802B9A"/>
    <w:rsid w:val="00802E94"/>
    <w:rsid w:val="00803628"/>
    <w:rsid w:val="00803FD4"/>
    <w:rsid w:val="008040A2"/>
    <w:rsid w:val="0080495F"/>
    <w:rsid w:val="00804CFA"/>
    <w:rsid w:val="00804D23"/>
    <w:rsid w:val="00805325"/>
    <w:rsid w:val="008056BE"/>
    <w:rsid w:val="008057E7"/>
    <w:rsid w:val="008062F2"/>
    <w:rsid w:val="00806AD3"/>
    <w:rsid w:val="00806AF2"/>
    <w:rsid w:val="00807093"/>
    <w:rsid w:val="00807284"/>
    <w:rsid w:val="00807968"/>
    <w:rsid w:val="0080796F"/>
    <w:rsid w:val="00807BBC"/>
    <w:rsid w:val="00807BCB"/>
    <w:rsid w:val="0081031F"/>
    <w:rsid w:val="008106CE"/>
    <w:rsid w:val="00810C3E"/>
    <w:rsid w:val="00810F98"/>
    <w:rsid w:val="008114B0"/>
    <w:rsid w:val="00811624"/>
    <w:rsid w:val="008118A3"/>
    <w:rsid w:val="008120F5"/>
    <w:rsid w:val="008121E4"/>
    <w:rsid w:val="0081227C"/>
    <w:rsid w:val="00812C75"/>
    <w:rsid w:val="00812DF1"/>
    <w:rsid w:val="00812FA0"/>
    <w:rsid w:val="0081334F"/>
    <w:rsid w:val="0081344C"/>
    <w:rsid w:val="008135AF"/>
    <w:rsid w:val="00813D3E"/>
    <w:rsid w:val="0081468A"/>
    <w:rsid w:val="00814864"/>
    <w:rsid w:val="00814A11"/>
    <w:rsid w:val="00814B81"/>
    <w:rsid w:val="00814D43"/>
    <w:rsid w:val="00815473"/>
    <w:rsid w:val="008156DE"/>
    <w:rsid w:val="008158E7"/>
    <w:rsid w:val="00815A2C"/>
    <w:rsid w:val="00815F67"/>
    <w:rsid w:val="0081612E"/>
    <w:rsid w:val="008162CD"/>
    <w:rsid w:val="008163B2"/>
    <w:rsid w:val="00816927"/>
    <w:rsid w:val="00816B40"/>
    <w:rsid w:val="00817066"/>
    <w:rsid w:val="00817951"/>
    <w:rsid w:val="00817FA7"/>
    <w:rsid w:val="0082003C"/>
    <w:rsid w:val="00820261"/>
    <w:rsid w:val="008202EE"/>
    <w:rsid w:val="00820435"/>
    <w:rsid w:val="00820486"/>
    <w:rsid w:val="00820C11"/>
    <w:rsid w:val="00820D38"/>
    <w:rsid w:val="00820F55"/>
    <w:rsid w:val="00820F85"/>
    <w:rsid w:val="0082133C"/>
    <w:rsid w:val="0082146F"/>
    <w:rsid w:val="00821D33"/>
    <w:rsid w:val="0082280C"/>
    <w:rsid w:val="00822A4C"/>
    <w:rsid w:val="00822C29"/>
    <w:rsid w:val="00822D2A"/>
    <w:rsid w:val="00822E7A"/>
    <w:rsid w:val="00822FC0"/>
    <w:rsid w:val="008236C7"/>
    <w:rsid w:val="00823B95"/>
    <w:rsid w:val="00823C23"/>
    <w:rsid w:val="00823E10"/>
    <w:rsid w:val="00824E67"/>
    <w:rsid w:val="008250EE"/>
    <w:rsid w:val="00825410"/>
    <w:rsid w:val="008254F2"/>
    <w:rsid w:val="008262FD"/>
    <w:rsid w:val="00826B1C"/>
    <w:rsid w:val="00826B75"/>
    <w:rsid w:val="00826D97"/>
    <w:rsid w:val="0082705A"/>
    <w:rsid w:val="0082763B"/>
    <w:rsid w:val="008278F2"/>
    <w:rsid w:val="008279EA"/>
    <w:rsid w:val="00827F68"/>
    <w:rsid w:val="008304DC"/>
    <w:rsid w:val="008310AC"/>
    <w:rsid w:val="008313B7"/>
    <w:rsid w:val="0083193A"/>
    <w:rsid w:val="00831AB8"/>
    <w:rsid w:val="00831DBC"/>
    <w:rsid w:val="00831DED"/>
    <w:rsid w:val="00832089"/>
    <w:rsid w:val="00832BDF"/>
    <w:rsid w:val="00832FB8"/>
    <w:rsid w:val="00833B75"/>
    <w:rsid w:val="00833BAE"/>
    <w:rsid w:val="008342FC"/>
    <w:rsid w:val="0083432C"/>
    <w:rsid w:val="008343C5"/>
    <w:rsid w:val="008344E6"/>
    <w:rsid w:val="00834A8A"/>
    <w:rsid w:val="0083540B"/>
    <w:rsid w:val="008354F3"/>
    <w:rsid w:val="00835628"/>
    <w:rsid w:val="00835924"/>
    <w:rsid w:val="008360C4"/>
    <w:rsid w:val="00836158"/>
    <w:rsid w:val="0083625D"/>
    <w:rsid w:val="008363FC"/>
    <w:rsid w:val="00836418"/>
    <w:rsid w:val="00836439"/>
    <w:rsid w:val="00836B23"/>
    <w:rsid w:val="00836B60"/>
    <w:rsid w:val="00836BCE"/>
    <w:rsid w:val="008370D4"/>
    <w:rsid w:val="00837125"/>
    <w:rsid w:val="008371F7"/>
    <w:rsid w:val="008373DB"/>
    <w:rsid w:val="00837F4F"/>
    <w:rsid w:val="00837FE0"/>
    <w:rsid w:val="008404D6"/>
    <w:rsid w:val="00840BF1"/>
    <w:rsid w:val="00840F2B"/>
    <w:rsid w:val="00840FE0"/>
    <w:rsid w:val="008410A6"/>
    <w:rsid w:val="00841296"/>
    <w:rsid w:val="00842948"/>
    <w:rsid w:val="00843BA6"/>
    <w:rsid w:val="00843DEC"/>
    <w:rsid w:val="008440F4"/>
    <w:rsid w:val="00844426"/>
    <w:rsid w:val="008449A6"/>
    <w:rsid w:val="00844D2A"/>
    <w:rsid w:val="00844EFE"/>
    <w:rsid w:val="00845236"/>
    <w:rsid w:val="0084531C"/>
    <w:rsid w:val="00845DBD"/>
    <w:rsid w:val="00846446"/>
    <w:rsid w:val="0084696E"/>
    <w:rsid w:val="00847278"/>
    <w:rsid w:val="00847829"/>
    <w:rsid w:val="00847C08"/>
    <w:rsid w:val="00847C64"/>
    <w:rsid w:val="008500BD"/>
    <w:rsid w:val="00850442"/>
    <w:rsid w:val="008506C5"/>
    <w:rsid w:val="008506E2"/>
    <w:rsid w:val="0085094E"/>
    <w:rsid w:val="00850C47"/>
    <w:rsid w:val="00850EFB"/>
    <w:rsid w:val="00851ECB"/>
    <w:rsid w:val="008523FD"/>
    <w:rsid w:val="00852613"/>
    <w:rsid w:val="00852FB7"/>
    <w:rsid w:val="00853248"/>
    <w:rsid w:val="00853552"/>
    <w:rsid w:val="008537E2"/>
    <w:rsid w:val="00853A89"/>
    <w:rsid w:val="00854076"/>
    <w:rsid w:val="00854247"/>
    <w:rsid w:val="00854985"/>
    <w:rsid w:val="00854A82"/>
    <w:rsid w:val="00854D73"/>
    <w:rsid w:val="008551F0"/>
    <w:rsid w:val="00855293"/>
    <w:rsid w:val="00855FA6"/>
    <w:rsid w:val="00856367"/>
    <w:rsid w:val="00856999"/>
    <w:rsid w:val="00857851"/>
    <w:rsid w:val="00857CE0"/>
    <w:rsid w:val="008602DD"/>
    <w:rsid w:val="008607DF"/>
    <w:rsid w:val="008609AB"/>
    <w:rsid w:val="00860B46"/>
    <w:rsid w:val="00860F79"/>
    <w:rsid w:val="008611CD"/>
    <w:rsid w:val="0086125F"/>
    <w:rsid w:val="0086190E"/>
    <w:rsid w:val="00861F36"/>
    <w:rsid w:val="008621F4"/>
    <w:rsid w:val="008628A4"/>
    <w:rsid w:val="00862A12"/>
    <w:rsid w:val="00862A32"/>
    <w:rsid w:val="00862B4D"/>
    <w:rsid w:val="00862C57"/>
    <w:rsid w:val="00862CC6"/>
    <w:rsid w:val="00863CE5"/>
    <w:rsid w:val="008646D2"/>
    <w:rsid w:val="00864AA1"/>
    <w:rsid w:val="00865355"/>
    <w:rsid w:val="008666A2"/>
    <w:rsid w:val="008667AF"/>
    <w:rsid w:val="00866A82"/>
    <w:rsid w:val="00866B92"/>
    <w:rsid w:val="0086746D"/>
    <w:rsid w:val="008677CA"/>
    <w:rsid w:val="00867F19"/>
    <w:rsid w:val="00867FF3"/>
    <w:rsid w:val="00870BB2"/>
    <w:rsid w:val="00870D7C"/>
    <w:rsid w:val="00870DBD"/>
    <w:rsid w:val="00870E06"/>
    <w:rsid w:val="00871199"/>
    <w:rsid w:val="0087139C"/>
    <w:rsid w:val="008715C9"/>
    <w:rsid w:val="00871F38"/>
    <w:rsid w:val="0087201C"/>
    <w:rsid w:val="008720F9"/>
    <w:rsid w:val="00872827"/>
    <w:rsid w:val="008728E2"/>
    <w:rsid w:val="00872BF0"/>
    <w:rsid w:val="00872DEB"/>
    <w:rsid w:val="00873248"/>
    <w:rsid w:val="00873542"/>
    <w:rsid w:val="00873A13"/>
    <w:rsid w:val="00873BFF"/>
    <w:rsid w:val="0087412E"/>
    <w:rsid w:val="0087448E"/>
    <w:rsid w:val="008745BE"/>
    <w:rsid w:val="008745CC"/>
    <w:rsid w:val="008748A9"/>
    <w:rsid w:val="00874C08"/>
    <w:rsid w:val="0087556D"/>
    <w:rsid w:val="008757E5"/>
    <w:rsid w:val="00876473"/>
    <w:rsid w:val="008765E3"/>
    <w:rsid w:val="008767B8"/>
    <w:rsid w:val="00876D75"/>
    <w:rsid w:val="00876FB8"/>
    <w:rsid w:val="008770C4"/>
    <w:rsid w:val="008774C2"/>
    <w:rsid w:val="0087780C"/>
    <w:rsid w:val="00877F50"/>
    <w:rsid w:val="00877FA8"/>
    <w:rsid w:val="00880215"/>
    <w:rsid w:val="008803FC"/>
    <w:rsid w:val="0088048F"/>
    <w:rsid w:val="00880A18"/>
    <w:rsid w:val="00880AAF"/>
    <w:rsid w:val="0088121C"/>
    <w:rsid w:val="008812FB"/>
    <w:rsid w:val="008818FB"/>
    <w:rsid w:val="00881A6C"/>
    <w:rsid w:val="00882CAF"/>
    <w:rsid w:val="00883109"/>
    <w:rsid w:val="00883D15"/>
    <w:rsid w:val="00883D47"/>
    <w:rsid w:val="008840DD"/>
    <w:rsid w:val="00884728"/>
    <w:rsid w:val="00884960"/>
    <w:rsid w:val="00884AD4"/>
    <w:rsid w:val="00884BC2"/>
    <w:rsid w:val="00884E97"/>
    <w:rsid w:val="008852F4"/>
    <w:rsid w:val="00885410"/>
    <w:rsid w:val="00885416"/>
    <w:rsid w:val="00886473"/>
    <w:rsid w:val="008864E3"/>
    <w:rsid w:val="008865BF"/>
    <w:rsid w:val="00886661"/>
    <w:rsid w:val="00886752"/>
    <w:rsid w:val="00886BB4"/>
    <w:rsid w:val="00887575"/>
    <w:rsid w:val="00887764"/>
    <w:rsid w:val="0088790C"/>
    <w:rsid w:val="00887E06"/>
    <w:rsid w:val="00890713"/>
    <w:rsid w:val="008911E1"/>
    <w:rsid w:val="00891582"/>
    <w:rsid w:val="00891593"/>
    <w:rsid w:val="008918A5"/>
    <w:rsid w:val="00891C57"/>
    <w:rsid w:val="008923B2"/>
    <w:rsid w:val="00893AF8"/>
    <w:rsid w:val="00893B95"/>
    <w:rsid w:val="00893CB3"/>
    <w:rsid w:val="00893FDE"/>
    <w:rsid w:val="0089422B"/>
    <w:rsid w:val="00894341"/>
    <w:rsid w:val="00894939"/>
    <w:rsid w:val="008950B6"/>
    <w:rsid w:val="008953B7"/>
    <w:rsid w:val="0089543C"/>
    <w:rsid w:val="00895648"/>
    <w:rsid w:val="008957A7"/>
    <w:rsid w:val="00895A4F"/>
    <w:rsid w:val="00895C0F"/>
    <w:rsid w:val="00895FF2"/>
    <w:rsid w:val="008962B3"/>
    <w:rsid w:val="00896466"/>
    <w:rsid w:val="008968D4"/>
    <w:rsid w:val="008975C3"/>
    <w:rsid w:val="00897660"/>
    <w:rsid w:val="008979F2"/>
    <w:rsid w:val="00897A5C"/>
    <w:rsid w:val="008A0274"/>
    <w:rsid w:val="008A0824"/>
    <w:rsid w:val="008A0B78"/>
    <w:rsid w:val="008A12B2"/>
    <w:rsid w:val="008A1355"/>
    <w:rsid w:val="008A1B8C"/>
    <w:rsid w:val="008A1CA3"/>
    <w:rsid w:val="008A211D"/>
    <w:rsid w:val="008A23FC"/>
    <w:rsid w:val="008A2C3C"/>
    <w:rsid w:val="008A2E30"/>
    <w:rsid w:val="008A2FDF"/>
    <w:rsid w:val="008A3065"/>
    <w:rsid w:val="008A3FB5"/>
    <w:rsid w:val="008A44C1"/>
    <w:rsid w:val="008A4581"/>
    <w:rsid w:val="008A4D8B"/>
    <w:rsid w:val="008A4FB4"/>
    <w:rsid w:val="008A5365"/>
    <w:rsid w:val="008A540A"/>
    <w:rsid w:val="008A5567"/>
    <w:rsid w:val="008A6717"/>
    <w:rsid w:val="008A6CCA"/>
    <w:rsid w:val="008A746A"/>
    <w:rsid w:val="008A778D"/>
    <w:rsid w:val="008B0743"/>
    <w:rsid w:val="008B0970"/>
    <w:rsid w:val="008B0B14"/>
    <w:rsid w:val="008B0CC1"/>
    <w:rsid w:val="008B0D98"/>
    <w:rsid w:val="008B0E8A"/>
    <w:rsid w:val="008B0F4D"/>
    <w:rsid w:val="008B14F8"/>
    <w:rsid w:val="008B21E3"/>
    <w:rsid w:val="008B3260"/>
    <w:rsid w:val="008B34C7"/>
    <w:rsid w:val="008B39DC"/>
    <w:rsid w:val="008B3D5C"/>
    <w:rsid w:val="008B4513"/>
    <w:rsid w:val="008B482B"/>
    <w:rsid w:val="008B4840"/>
    <w:rsid w:val="008B4B23"/>
    <w:rsid w:val="008B4BBE"/>
    <w:rsid w:val="008B514B"/>
    <w:rsid w:val="008B52B7"/>
    <w:rsid w:val="008B5AC1"/>
    <w:rsid w:val="008B5B3F"/>
    <w:rsid w:val="008B5ED0"/>
    <w:rsid w:val="008B60F6"/>
    <w:rsid w:val="008B62F7"/>
    <w:rsid w:val="008B6750"/>
    <w:rsid w:val="008B73AD"/>
    <w:rsid w:val="008B79F7"/>
    <w:rsid w:val="008B7FD4"/>
    <w:rsid w:val="008C016F"/>
    <w:rsid w:val="008C0E57"/>
    <w:rsid w:val="008C13F1"/>
    <w:rsid w:val="008C1864"/>
    <w:rsid w:val="008C1C3C"/>
    <w:rsid w:val="008C1DA2"/>
    <w:rsid w:val="008C21D3"/>
    <w:rsid w:val="008C261D"/>
    <w:rsid w:val="008C266A"/>
    <w:rsid w:val="008C3565"/>
    <w:rsid w:val="008C36BC"/>
    <w:rsid w:val="008C3B2F"/>
    <w:rsid w:val="008C3F3B"/>
    <w:rsid w:val="008C3F60"/>
    <w:rsid w:val="008C48DB"/>
    <w:rsid w:val="008C4B0F"/>
    <w:rsid w:val="008C4E60"/>
    <w:rsid w:val="008C505F"/>
    <w:rsid w:val="008C5676"/>
    <w:rsid w:val="008C5742"/>
    <w:rsid w:val="008C5816"/>
    <w:rsid w:val="008C5A37"/>
    <w:rsid w:val="008C5EA1"/>
    <w:rsid w:val="008C63A8"/>
    <w:rsid w:val="008C6F17"/>
    <w:rsid w:val="008C7AF6"/>
    <w:rsid w:val="008C7ED5"/>
    <w:rsid w:val="008C7F8B"/>
    <w:rsid w:val="008D00EB"/>
    <w:rsid w:val="008D0408"/>
    <w:rsid w:val="008D089C"/>
    <w:rsid w:val="008D0D72"/>
    <w:rsid w:val="008D10AF"/>
    <w:rsid w:val="008D1544"/>
    <w:rsid w:val="008D1958"/>
    <w:rsid w:val="008D1B7C"/>
    <w:rsid w:val="008D1BC1"/>
    <w:rsid w:val="008D1E18"/>
    <w:rsid w:val="008D2A4C"/>
    <w:rsid w:val="008D2F20"/>
    <w:rsid w:val="008D39B1"/>
    <w:rsid w:val="008D3E39"/>
    <w:rsid w:val="008D4A4A"/>
    <w:rsid w:val="008D4E4A"/>
    <w:rsid w:val="008D4FA3"/>
    <w:rsid w:val="008D5313"/>
    <w:rsid w:val="008D58B0"/>
    <w:rsid w:val="008D5AB5"/>
    <w:rsid w:val="008D6384"/>
    <w:rsid w:val="008D6F92"/>
    <w:rsid w:val="008D7182"/>
    <w:rsid w:val="008D71D9"/>
    <w:rsid w:val="008D7725"/>
    <w:rsid w:val="008D7D2B"/>
    <w:rsid w:val="008D7E2F"/>
    <w:rsid w:val="008E046D"/>
    <w:rsid w:val="008E06F5"/>
    <w:rsid w:val="008E1636"/>
    <w:rsid w:val="008E188D"/>
    <w:rsid w:val="008E18E7"/>
    <w:rsid w:val="008E19B5"/>
    <w:rsid w:val="008E1F0F"/>
    <w:rsid w:val="008E1F70"/>
    <w:rsid w:val="008E2998"/>
    <w:rsid w:val="008E3570"/>
    <w:rsid w:val="008E3604"/>
    <w:rsid w:val="008E389F"/>
    <w:rsid w:val="008E3ABA"/>
    <w:rsid w:val="008E3BC4"/>
    <w:rsid w:val="008E3D41"/>
    <w:rsid w:val="008E3F57"/>
    <w:rsid w:val="008E4366"/>
    <w:rsid w:val="008E4935"/>
    <w:rsid w:val="008E49EE"/>
    <w:rsid w:val="008E4B49"/>
    <w:rsid w:val="008E4CF1"/>
    <w:rsid w:val="008E5095"/>
    <w:rsid w:val="008E5373"/>
    <w:rsid w:val="008E5529"/>
    <w:rsid w:val="008E5DDA"/>
    <w:rsid w:val="008E6366"/>
    <w:rsid w:val="008E657B"/>
    <w:rsid w:val="008E66E9"/>
    <w:rsid w:val="008E6A8F"/>
    <w:rsid w:val="008E6DD3"/>
    <w:rsid w:val="008E7234"/>
    <w:rsid w:val="008E7313"/>
    <w:rsid w:val="008E74F5"/>
    <w:rsid w:val="008E77BC"/>
    <w:rsid w:val="008E7AEE"/>
    <w:rsid w:val="008E7BF5"/>
    <w:rsid w:val="008E7BFA"/>
    <w:rsid w:val="008F0595"/>
    <w:rsid w:val="008F0F17"/>
    <w:rsid w:val="008F0FC5"/>
    <w:rsid w:val="008F12B5"/>
    <w:rsid w:val="008F1805"/>
    <w:rsid w:val="008F1F52"/>
    <w:rsid w:val="008F1F9D"/>
    <w:rsid w:val="008F26AE"/>
    <w:rsid w:val="008F2854"/>
    <w:rsid w:val="008F2A97"/>
    <w:rsid w:val="008F3351"/>
    <w:rsid w:val="008F4521"/>
    <w:rsid w:val="008F5011"/>
    <w:rsid w:val="008F5408"/>
    <w:rsid w:val="008F5827"/>
    <w:rsid w:val="008F5A6A"/>
    <w:rsid w:val="008F5D6A"/>
    <w:rsid w:val="008F6092"/>
    <w:rsid w:val="008F6319"/>
    <w:rsid w:val="008F63C9"/>
    <w:rsid w:val="008F6EC4"/>
    <w:rsid w:val="008F71F3"/>
    <w:rsid w:val="008F725C"/>
    <w:rsid w:val="008F7886"/>
    <w:rsid w:val="008F795A"/>
    <w:rsid w:val="008F7ED3"/>
    <w:rsid w:val="0090008C"/>
    <w:rsid w:val="00900AF0"/>
    <w:rsid w:val="00900EDB"/>
    <w:rsid w:val="0090117D"/>
    <w:rsid w:val="00901D9D"/>
    <w:rsid w:val="00901E6D"/>
    <w:rsid w:val="009020FB"/>
    <w:rsid w:val="00902348"/>
    <w:rsid w:val="0090236F"/>
    <w:rsid w:val="00902A85"/>
    <w:rsid w:val="00902C97"/>
    <w:rsid w:val="00903B35"/>
    <w:rsid w:val="00903C2D"/>
    <w:rsid w:val="00904332"/>
    <w:rsid w:val="00904886"/>
    <w:rsid w:val="00905165"/>
    <w:rsid w:val="00905765"/>
    <w:rsid w:val="009057BE"/>
    <w:rsid w:val="00905862"/>
    <w:rsid w:val="009059A1"/>
    <w:rsid w:val="00905AE0"/>
    <w:rsid w:val="00905BB4"/>
    <w:rsid w:val="00905E7C"/>
    <w:rsid w:val="0090612C"/>
    <w:rsid w:val="0090629E"/>
    <w:rsid w:val="009062A6"/>
    <w:rsid w:val="009064C4"/>
    <w:rsid w:val="00906D32"/>
    <w:rsid w:val="00906E7D"/>
    <w:rsid w:val="00907436"/>
    <w:rsid w:val="009078F2"/>
    <w:rsid w:val="009107A3"/>
    <w:rsid w:val="00910B38"/>
    <w:rsid w:val="00911580"/>
    <w:rsid w:val="00911897"/>
    <w:rsid w:val="00911C93"/>
    <w:rsid w:val="00912A58"/>
    <w:rsid w:val="00912A6A"/>
    <w:rsid w:val="00912F0D"/>
    <w:rsid w:val="0091334A"/>
    <w:rsid w:val="009136AC"/>
    <w:rsid w:val="009147DD"/>
    <w:rsid w:val="00914A4C"/>
    <w:rsid w:val="00914ACD"/>
    <w:rsid w:val="00914D86"/>
    <w:rsid w:val="00914F20"/>
    <w:rsid w:val="009155A5"/>
    <w:rsid w:val="00916720"/>
    <w:rsid w:val="00916C92"/>
    <w:rsid w:val="00916CBB"/>
    <w:rsid w:val="00916D0A"/>
    <w:rsid w:val="00916F79"/>
    <w:rsid w:val="00916F98"/>
    <w:rsid w:val="009171B6"/>
    <w:rsid w:val="00917740"/>
    <w:rsid w:val="00917A7D"/>
    <w:rsid w:val="0092003E"/>
    <w:rsid w:val="009204D3"/>
    <w:rsid w:val="00920629"/>
    <w:rsid w:val="009206AD"/>
    <w:rsid w:val="00920A30"/>
    <w:rsid w:val="00920B62"/>
    <w:rsid w:val="00920DF7"/>
    <w:rsid w:val="0092154B"/>
    <w:rsid w:val="00921671"/>
    <w:rsid w:val="00921C51"/>
    <w:rsid w:val="00921C8B"/>
    <w:rsid w:val="00922090"/>
    <w:rsid w:val="00922DBC"/>
    <w:rsid w:val="00922F69"/>
    <w:rsid w:val="009232F0"/>
    <w:rsid w:val="009235B9"/>
    <w:rsid w:val="0092361A"/>
    <w:rsid w:val="00923E64"/>
    <w:rsid w:val="009244A7"/>
    <w:rsid w:val="00924859"/>
    <w:rsid w:val="00924894"/>
    <w:rsid w:val="009249A6"/>
    <w:rsid w:val="00925179"/>
    <w:rsid w:val="00925861"/>
    <w:rsid w:val="00925B55"/>
    <w:rsid w:val="00925C47"/>
    <w:rsid w:val="00925D70"/>
    <w:rsid w:val="009264DE"/>
    <w:rsid w:val="0092698B"/>
    <w:rsid w:val="00926BCC"/>
    <w:rsid w:val="009300FF"/>
    <w:rsid w:val="009303CF"/>
    <w:rsid w:val="00930578"/>
    <w:rsid w:val="0093088F"/>
    <w:rsid w:val="00930BBA"/>
    <w:rsid w:val="00930EAF"/>
    <w:rsid w:val="009313BD"/>
    <w:rsid w:val="0093175A"/>
    <w:rsid w:val="00931908"/>
    <w:rsid w:val="00932080"/>
    <w:rsid w:val="00932AB2"/>
    <w:rsid w:val="00932F60"/>
    <w:rsid w:val="009335C1"/>
    <w:rsid w:val="00933CA6"/>
    <w:rsid w:val="00934AA3"/>
    <w:rsid w:val="00935444"/>
    <w:rsid w:val="00935769"/>
    <w:rsid w:val="009357C1"/>
    <w:rsid w:val="00935AC1"/>
    <w:rsid w:val="00935C09"/>
    <w:rsid w:val="00935D9B"/>
    <w:rsid w:val="00935E6D"/>
    <w:rsid w:val="00936C6F"/>
    <w:rsid w:val="00937084"/>
    <w:rsid w:val="00937705"/>
    <w:rsid w:val="009378AC"/>
    <w:rsid w:val="00937B87"/>
    <w:rsid w:val="00940066"/>
    <w:rsid w:val="00940524"/>
    <w:rsid w:val="00940667"/>
    <w:rsid w:val="00940BD1"/>
    <w:rsid w:val="00941AA2"/>
    <w:rsid w:val="00941C10"/>
    <w:rsid w:val="0094202A"/>
    <w:rsid w:val="009420E8"/>
    <w:rsid w:val="0094223B"/>
    <w:rsid w:val="0094234F"/>
    <w:rsid w:val="00942A13"/>
    <w:rsid w:val="00942F8F"/>
    <w:rsid w:val="009433B8"/>
    <w:rsid w:val="00943421"/>
    <w:rsid w:val="00943999"/>
    <w:rsid w:val="00943C6E"/>
    <w:rsid w:val="00944003"/>
    <w:rsid w:val="00944024"/>
    <w:rsid w:val="009441B8"/>
    <w:rsid w:val="00944733"/>
    <w:rsid w:val="00944A74"/>
    <w:rsid w:val="00944BF0"/>
    <w:rsid w:val="00944CEA"/>
    <w:rsid w:val="00944E1A"/>
    <w:rsid w:val="00945349"/>
    <w:rsid w:val="009455A4"/>
    <w:rsid w:val="00945748"/>
    <w:rsid w:val="009457B4"/>
    <w:rsid w:val="009458F7"/>
    <w:rsid w:val="00945C8C"/>
    <w:rsid w:val="00945E03"/>
    <w:rsid w:val="00945EE9"/>
    <w:rsid w:val="00946050"/>
    <w:rsid w:val="00946263"/>
    <w:rsid w:val="00946266"/>
    <w:rsid w:val="009462A8"/>
    <w:rsid w:val="009463A3"/>
    <w:rsid w:val="0094682B"/>
    <w:rsid w:val="009468ED"/>
    <w:rsid w:val="00946E22"/>
    <w:rsid w:val="00947833"/>
    <w:rsid w:val="00947D8E"/>
    <w:rsid w:val="00950561"/>
    <w:rsid w:val="00950B89"/>
    <w:rsid w:val="00951315"/>
    <w:rsid w:val="00951409"/>
    <w:rsid w:val="00951AC3"/>
    <w:rsid w:val="009521B9"/>
    <w:rsid w:val="0095262B"/>
    <w:rsid w:val="009527A2"/>
    <w:rsid w:val="00953262"/>
    <w:rsid w:val="00953B58"/>
    <w:rsid w:val="00953E62"/>
    <w:rsid w:val="00954786"/>
    <w:rsid w:val="00954871"/>
    <w:rsid w:val="0095529B"/>
    <w:rsid w:val="009555D5"/>
    <w:rsid w:val="009558B9"/>
    <w:rsid w:val="0095636C"/>
    <w:rsid w:val="009563B3"/>
    <w:rsid w:val="00956618"/>
    <w:rsid w:val="009568E0"/>
    <w:rsid w:val="00956A1D"/>
    <w:rsid w:val="00956ADA"/>
    <w:rsid w:val="00956D08"/>
    <w:rsid w:val="00956EDA"/>
    <w:rsid w:val="00956F92"/>
    <w:rsid w:val="00957873"/>
    <w:rsid w:val="00957AFE"/>
    <w:rsid w:val="00957E5A"/>
    <w:rsid w:val="00960189"/>
    <w:rsid w:val="0096024B"/>
    <w:rsid w:val="00960530"/>
    <w:rsid w:val="00960A42"/>
    <w:rsid w:val="00960C6E"/>
    <w:rsid w:val="00960D1F"/>
    <w:rsid w:val="00960F19"/>
    <w:rsid w:val="009616EC"/>
    <w:rsid w:val="00961952"/>
    <w:rsid w:val="00961E98"/>
    <w:rsid w:val="00962610"/>
    <w:rsid w:val="00962F13"/>
    <w:rsid w:val="009630B8"/>
    <w:rsid w:val="00963163"/>
    <w:rsid w:val="00963CB3"/>
    <w:rsid w:val="00963ECE"/>
    <w:rsid w:val="00964091"/>
    <w:rsid w:val="00964567"/>
    <w:rsid w:val="0096487D"/>
    <w:rsid w:val="009649D2"/>
    <w:rsid w:val="009658E3"/>
    <w:rsid w:val="00965CFD"/>
    <w:rsid w:val="00965E8E"/>
    <w:rsid w:val="00966045"/>
    <w:rsid w:val="0096608D"/>
    <w:rsid w:val="009660AC"/>
    <w:rsid w:val="0096617D"/>
    <w:rsid w:val="009665C6"/>
    <w:rsid w:val="00966602"/>
    <w:rsid w:val="009667F4"/>
    <w:rsid w:val="009704E2"/>
    <w:rsid w:val="00970535"/>
    <w:rsid w:val="009708DD"/>
    <w:rsid w:val="00970929"/>
    <w:rsid w:val="009709CF"/>
    <w:rsid w:val="00970B40"/>
    <w:rsid w:val="00970D0F"/>
    <w:rsid w:val="00970D35"/>
    <w:rsid w:val="00970ECE"/>
    <w:rsid w:val="009710CC"/>
    <w:rsid w:val="009711B5"/>
    <w:rsid w:val="00971E08"/>
    <w:rsid w:val="00971FAF"/>
    <w:rsid w:val="00972349"/>
    <w:rsid w:val="009728D7"/>
    <w:rsid w:val="0097345C"/>
    <w:rsid w:val="0097361A"/>
    <w:rsid w:val="00973A7B"/>
    <w:rsid w:val="00973B45"/>
    <w:rsid w:val="009744F9"/>
    <w:rsid w:val="00974649"/>
    <w:rsid w:val="009746DF"/>
    <w:rsid w:val="0097479B"/>
    <w:rsid w:val="00974D82"/>
    <w:rsid w:val="00975641"/>
    <w:rsid w:val="00975BE8"/>
    <w:rsid w:val="00975F13"/>
    <w:rsid w:val="00976851"/>
    <w:rsid w:val="009768F5"/>
    <w:rsid w:val="00976B27"/>
    <w:rsid w:val="00976CBB"/>
    <w:rsid w:val="00976DB6"/>
    <w:rsid w:val="00977600"/>
    <w:rsid w:val="00977A26"/>
    <w:rsid w:val="00977D02"/>
    <w:rsid w:val="0098017F"/>
    <w:rsid w:val="009803A2"/>
    <w:rsid w:val="0098043E"/>
    <w:rsid w:val="0098089F"/>
    <w:rsid w:val="00980987"/>
    <w:rsid w:val="0098126B"/>
    <w:rsid w:val="00981914"/>
    <w:rsid w:val="009819B2"/>
    <w:rsid w:val="00981CC5"/>
    <w:rsid w:val="009821C0"/>
    <w:rsid w:val="00982477"/>
    <w:rsid w:val="009826A1"/>
    <w:rsid w:val="00982CEF"/>
    <w:rsid w:val="0098352E"/>
    <w:rsid w:val="00983C99"/>
    <w:rsid w:val="00984655"/>
    <w:rsid w:val="0098494B"/>
    <w:rsid w:val="00984956"/>
    <w:rsid w:val="00984A0A"/>
    <w:rsid w:val="00985361"/>
    <w:rsid w:val="00985945"/>
    <w:rsid w:val="0098596F"/>
    <w:rsid w:val="00985B64"/>
    <w:rsid w:val="00986366"/>
    <w:rsid w:val="00986533"/>
    <w:rsid w:val="009869CA"/>
    <w:rsid w:val="00987066"/>
    <w:rsid w:val="0098716D"/>
    <w:rsid w:val="0098758E"/>
    <w:rsid w:val="0098785E"/>
    <w:rsid w:val="00987C99"/>
    <w:rsid w:val="00987D9F"/>
    <w:rsid w:val="00987DC8"/>
    <w:rsid w:val="00990B1D"/>
    <w:rsid w:val="00990DEE"/>
    <w:rsid w:val="00991008"/>
    <w:rsid w:val="00991282"/>
    <w:rsid w:val="0099162B"/>
    <w:rsid w:val="00991A11"/>
    <w:rsid w:val="00991C3B"/>
    <w:rsid w:val="00992480"/>
    <w:rsid w:val="009924A0"/>
    <w:rsid w:val="00992B5B"/>
    <w:rsid w:val="0099377B"/>
    <w:rsid w:val="009937BA"/>
    <w:rsid w:val="009947F6"/>
    <w:rsid w:val="00994AAF"/>
    <w:rsid w:val="00995115"/>
    <w:rsid w:val="00995170"/>
    <w:rsid w:val="00995178"/>
    <w:rsid w:val="00995625"/>
    <w:rsid w:val="00995672"/>
    <w:rsid w:val="00995822"/>
    <w:rsid w:val="00995B48"/>
    <w:rsid w:val="00995F3E"/>
    <w:rsid w:val="009963D2"/>
    <w:rsid w:val="0099680B"/>
    <w:rsid w:val="009968E0"/>
    <w:rsid w:val="00996B06"/>
    <w:rsid w:val="00996C4A"/>
    <w:rsid w:val="00997067"/>
    <w:rsid w:val="0099760F"/>
    <w:rsid w:val="00997725"/>
    <w:rsid w:val="0099777A"/>
    <w:rsid w:val="009977D6"/>
    <w:rsid w:val="009A01B1"/>
    <w:rsid w:val="009A0236"/>
    <w:rsid w:val="009A0479"/>
    <w:rsid w:val="009A0D17"/>
    <w:rsid w:val="009A12C3"/>
    <w:rsid w:val="009A1AA8"/>
    <w:rsid w:val="009A1C3F"/>
    <w:rsid w:val="009A213A"/>
    <w:rsid w:val="009A2B71"/>
    <w:rsid w:val="009A2C9E"/>
    <w:rsid w:val="009A3210"/>
    <w:rsid w:val="009A3312"/>
    <w:rsid w:val="009A4B5F"/>
    <w:rsid w:val="009A4DCE"/>
    <w:rsid w:val="009A5033"/>
    <w:rsid w:val="009A52A1"/>
    <w:rsid w:val="009A55F2"/>
    <w:rsid w:val="009A57B4"/>
    <w:rsid w:val="009A5904"/>
    <w:rsid w:val="009A5AB4"/>
    <w:rsid w:val="009A5CDA"/>
    <w:rsid w:val="009A5E71"/>
    <w:rsid w:val="009A657B"/>
    <w:rsid w:val="009A6A52"/>
    <w:rsid w:val="009A6D19"/>
    <w:rsid w:val="009A6FEE"/>
    <w:rsid w:val="009A777A"/>
    <w:rsid w:val="009A7A74"/>
    <w:rsid w:val="009A7E9A"/>
    <w:rsid w:val="009B0395"/>
    <w:rsid w:val="009B0601"/>
    <w:rsid w:val="009B1162"/>
    <w:rsid w:val="009B1483"/>
    <w:rsid w:val="009B1E08"/>
    <w:rsid w:val="009B1E48"/>
    <w:rsid w:val="009B26AD"/>
    <w:rsid w:val="009B2934"/>
    <w:rsid w:val="009B319D"/>
    <w:rsid w:val="009B3436"/>
    <w:rsid w:val="009B3861"/>
    <w:rsid w:val="009B564B"/>
    <w:rsid w:val="009B56F5"/>
    <w:rsid w:val="009B5AB5"/>
    <w:rsid w:val="009B60E7"/>
    <w:rsid w:val="009B63CE"/>
    <w:rsid w:val="009B6801"/>
    <w:rsid w:val="009B6820"/>
    <w:rsid w:val="009B6C0F"/>
    <w:rsid w:val="009B6D6F"/>
    <w:rsid w:val="009B6F56"/>
    <w:rsid w:val="009B703B"/>
    <w:rsid w:val="009B704A"/>
    <w:rsid w:val="009B78E3"/>
    <w:rsid w:val="009C04CD"/>
    <w:rsid w:val="009C05F5"/>
    <w:rsid w:val="009C0D08"/>
    <w:rsid w:val="009C0FAC"/>
    <w:rsid w:val="009C125B"/>
    <w:rsid w:val="009C15E8"/>
    <w:rsid w:val="009C1819"/>
    <w:rsid w:val="009C1C80"/>
    <w:rsid w:val="009C1E94"/>
    <w:rsid w:val="009C1FA8"/>
    <w:rsid w:val="009C2743"/>
    <w:rsid w:val="009C2AB9"/>
    <w:rsid w:val="009C2BAB"/>
    <w:rsid w:val="009C316D"/>
    <w:rsid w:val="009C32F4"/>
    <w:rsid w:val="009C3331"/>
    <w:rsid w:val="009C335E"/>
    <w:rsid w:val="009C3BC2"/>
    <w:rsid w:val="009C3D34"/>
    <w:rsid w:val="009C3DC2"/>
    <w:rsid w:val="009C3FC0"/>
    <w:rsid w:val="009C4523"/>
    <w:rsid w:val="009C497E"/>
    <w:rsid w:val="009C4A49"/>
    <w:rsid w:val="009C518B"/>
    <w:rsid w:val="009C5299"/>
    <w:rsid w:val="009C52AA"/>
    <w:rsid w:val="009C566E"/>
    <w:rsid w:val="009C5725"/>
    <w:rsid w:val="009C5806"/>
    <w:rsid w:val="009C5FFA"/>
    <w:rsid w:val="009C60C2"/>
    <w:rsid w:val="009C631E"/>
    <w:rsid w:val="009C6627"/>
    <w:rsid w:val="009C69E9"/>
    <w:rsid w:val="009C6DDE"/>
    <w:rsid w:val="009C6EAF"/>
    <w:rsid w:val="009C6FBF"/>
    <w:rsid w:val="009C6FFE"/>
    <w:rsid w:val="009C7433"/>
    <w:rsid w:val="009C7440"/>
    <w:rsid w:val="009C792B"/>
    <w:rsid w:val="009C7940"/>
    <w:rsid w:val="009C7C3D"/>
    <w:rsid w:val="009C7F7E"/>
    <w:rsid w:val="009D01D4"/>
    <w:rsid w:val="009D06FF"/>
    <w:rsid w:val="009D0A20"/>
    <w:rsid w:val="009D0D8B"/>
    <w:rsid w:val="009D0F34"/>
    <w:rsid w:val="009D0FDE"/>
    <w:rsid w:val="009D12FC"/>
    <w:rsid w:val="009D1395"/>
    <w:rsid w:val="009D1461"/>
    <w:rsid w:val="009D1D3E"/>
    <w:rsid w:val="009D25B9"/>
    <w:rsid w:val="009D266A"/>
    <w:rsid w:val="009D284F"/>
    <w:rsid w:val="009D2F15"/>
    <w:rsid w:val="009D304C"/>
    <w:rsid w:val="009D320C"/>
    <w:rsid w:val="009D39C2"/>
    <w:rsid w:val="009D3D81"/>
    <w:rsid w:val="009D3E8A"/>
    <w:rsid w:val="009D477D"/>
    <w:rsid w:val="009D49E7"/>
    <w:rsid w:val="009D4B0E"/>
    <w:rsid w:val="009D529B"/>
    <w:rsid w:val="009D606A"/>
    <w:rsid w:val="009D683E"/>
    <w:rsid w:val="009D6D6B"/>
    <w:rsid w:val="009D6E6C"/>
    <w:rsid w:val="009D6F0B"/>
    <w:rsid w:val="009D72C5"/>
    <w:rsid w:val="009D7315"/>
    <w:rsid w:val="009E00B7"/>
    <w:rsid w:val="009E071B"/>
    <w:rsid w:val="009E0E7B"/>
    <w:rsid w:val="009E1270"/>
    <w:rsid w:val="009E12D3"/>
    <w:rsid w:val="009E15EC"/>
    <w:rsid w:val="009E1D45"/>
    <w:rsid w:val="009E1D76"/>
    <w:rsid w:val="009E1E5D"/>
    <w:rsid w:val="009E1F31"/>
    <w:rsid w:val="009E1F7F"/>
    <w:rsid w:val="009E1FAF"/>
    <w:rsid w:val="009E23FA"/>
    <w:rsid w:val="009E29AA"/>
    <w:rsid w:val="009E2A84"/>
    <w:rsid w:val="009E2A86"/>
    <w:rsid w:val="009E2AC7"/>
    <w:rsid w:val="009E2F94"/>
    <w:rsid w:val="009E2FAB"/>
    <w:rsid w:val="009E3206"/>
    <w:rsid w:val="009E3285"/>
    <w:rsid w:val="009E33B6"/>
    <w:rsid w:val="009E3999"/>
    <w:rsid w:val="009E3C16"/>
    <w:rsid w:val="009E3FBC"/>
    <w:rsid w:val="009E428F"/>
    <w:rsid w:val="009E42B3"/>
    <w:rsid w:val="009E48DA"/>
    <w:rsid w:val="009E4C9C"/>
    <w:rsid w:val="009E4D40"/>
    <w:rsid w:val="009E4D41"/>
    <w:rsid w:val="009E5292"/>
    <w:rsid w:val="009E5604"/>
    <w:rsid w:val="009E5962"/>
    <w:rsid w:val="009E5A76"/>
    <w:rsid w:val="009E5E56"/>
    <w:rsid w:val="009E64A6"/>
    <w:rsid w:val="009E6969"/>
    <w:rsid w:val="009E6A41"/>
    <w:rsid w:val="009E75B0"/>
    <w:rsid w:val="009E796D"/>
    <w:rsid w:val="009E7B1E"/>
    <w:rsid w:val="009E7BC7"/>
    <w:rsid w:val="009E7C6F"/>
    <w:rsid w:val="009E7C9D"/>
    <w:rsid w:val="009E7D8A"/>
    <w:rsid w:val="009F041C"/>
    <w:rsid w:val="009F0442"/>
    <w:rsid w:val="009F09A4"/>
    <w:rsid w:val="009F0AC4"/>
    <w:rsid w:val="009F0FB2"/>
    <w:rsid w:val="009F1AB2"/>
    <w:rsid w:val="009F1C52"/>
    <w:rsid w:val="009F1D7F"/>
    <w:rsid w:val="009F1F81"/>
    <w:rsid w:val="009F2575"/>
    <w:rsid w:val="009F257C"/>
    <w:rsid w:val="009F266A"/>
    <w:rsid w:val="009F2941"/>
    <w:rsid w:val="009F2EE1"/>
    <w:rsid w:val="009F31AD"/>
    <w:rsid w:val="009F328D"/>
    <w:rsid w:val="009F3353"/>
    <w:rsid w:val="009F3846"/>
    <w:rsid w:val="009F3AAB"/>
    <w:rsid w:val="009F4135"/>
    <w:rsid w:val="009F4484"/>
    <w:rsid w:val="009F44D9"/>
    <w:rsid w:val="009F46BE"/>
    <w:rsid w:val="009F4E02"/>
    <w:rsid w:val="009F4F90"/>
    <w:rsid w:val="009F5110"/>
    <w:rsid w:val="009F54EE"/>
    <w:rsid w:val="009F5550"/>
    <w:rsid w:val="009F5772"/>
    <w:rsid w:val="009F5BD1"/>
    <w:rsid w:val="009F5D84"/>
    <w:rsid w:val="009F60EE"/>
    <w:rsid w:val="009F6335"/>
    <w:rsid w:val="009F63B8"/>
    <w:rsid w:val="009F6A27"/>
    <w:rsid w:val="009F6E3A"/>
    <w:rsid w:val="009F70BC"/>
    <w:rsid w:val="009F7428"/>
    <w:rsid w:val="009F7888"/>
    <w:rsid w:val="009F7B18"/>
    <w:rsid w:val="009F7E6C"/>
    <w:rsid w:val="00A005A0"/>
    <w:rsid w:val="00A013B4"/>
    <w:rsid w:val="00A0146F"/>
    <w:rsid w:val="00A01614"/>
    <w:rsid w:val="00A01C8D"/>
    <w:rsid w:val="00A01D21"/>
    <w:rsid w:val="00A01D8B"/>
    <w:rsid w:val="00A021A3"/>
    <w:rsid w:val="00A02616"/>
    <w:rsid w:val="00A02DA3"/>
    <w:rsid w:val="00A02DE0"/>
    <w:rsid w:val="00A02EF3"/>
    <w:rsid w:val="00A02FBB"/>
    <w:rsid w:val="00A035BA"/>
    <w:rsid w:val="00A0390F"/>
    <w:rsid w:val="00A040B5"/>
    <w:rsid w:val="00A047DD"/>
    <w:rsid w:val="00A049F3"/>
    <w:rsid w:val="00A04EA9"/>
    <w:rsid w:val="00A05386"/>
    <w:rsid w:val="00A05F8A"/>
    <w:rsid w:val="00A066E1"/>
    <w:rsid w:val="00A06FEF"/>
    <w:rsid w:val="00A0710A"/>
    <w:rsid w:val="00A07216"/>
    <w:rsid w:val="00A07489"/>
    <w:rsid w:val="00A07DFB"/>
    <w:rsid w:val="00A1083D"/>
    <w:rsid w:val="00A10D41"/>
    <w:rsid w:val="00A10DD2"/>
    <w:rsid w:val="00A1170F"/>
    <w:rsid w:val="00A11741"/>
    <w:rsid w:val="00A11C54"/>
    <w:rsid w:val="00A13360"/>
    <w:rsid w:val="00A1399B"/>
    <w:rsid w:val="00A13CC8"/>
    <w:rsid w:val="00A145B1"/>
    <w:rsid w:val="00A1469A"/>
    <w:rsid w:val="00A14A11"/>
    <w:rsid w:val="00A14A1D"/>
    <w:rsid w:val="00A14E81"/>
    <w:rsid w:val="00A150CA"/>
    <w:rsid w:val="00A15465"/>
    <w:rsid w:val="00A156C5"/>
    <w:rsid w:val="00A15E8B"/>
    <w:rsid w:val="00A16F72"/>
    <w:rsid w:val="00A17122"/>
    <w:rsid w:val="00A176BA"/>
    <w:rsid w:val="00A203A6"/>
    <w:rsid w:val="00A20524"/>
    <w:rsid w:val="00A2079F"/>
    <w:rsid w:val="00A20882"/>
    <w:rsid w:val="00A21857"/>
    <w:rsid w:val="00A2189B"/>
    <w:rsid w:val="00A21CD9"/>
    <w:rsid w:val="00A220D0"/>
    <w:rsid w:val="00A225A5"/>
    <w:rsid w:val="00A22705"/>
    <w:rsid w:val="00A22AEE"/>
    <w:rsid w:val="00A23001"/>
    <w:rsid w:val="00A246C5"/>
    <w:rsid w:val="00A24AC6"/>
    <w:rsid w:val="00A24C1B"/>
    <w:rsid w:val="00A24CFC"/>
    <w:rsid w:val="00A24D95"/>
    <w:rsid w:val="00A25014"/>
    <w:rsid w:val="00A25188"/>
    <w:rsid w:val="00A256C5"/>
    <w:rsid w:val="00A25944"/>
    <w:rsid w:val="00A26258"/>
    <w:rsid w:val="00A2678F"/>
    <w:rsid w:val="00A2690F"/>
    <w:rsid w:val="00A26CD0"/>
    <w:rsid w:val="00A272C3"/>
    <w:rsid w:val="00A272FE"/>
    <w:rsid w:val="00A27313"/>
    <w:rsid w:val="00A27BBC"/>
    <w:rsid w:val="00A30350"/>
    <w:rsid w:val="00A30547"/>
    <w:rsid w:val="00A30669"/>
    <w:rsid w:val="00A30721"/>
    <w:rsid w:val="00A30C37"/>
    <w:rsid w:val="00A30F3B"/>
    <w:rsid w:val="00A311C1"/>
    <w:rsid w:val="00A317C4"/>
    <w:rsid w:val="00A319B7"/>
    <w:rsid w:val="00A31AB3"/>
    <w:rsid w:val="00A32BDF"/>
    <w:rsid w:val="00A339CE"/>
    <w:rsid w:val="00A339DC"/>
    <w:rsid w:val="00A33EFE"/>
    <w:rsid w:val="00A3414C"/>
    <w:rsid w:val="00A343B4"/>
    <w:rsid w:val="00A348FF"/>
    <w:rsid w:val="00A34CEB"/>
    <w:rsid w:val="00A34FB8"/>
    <w:rsid w:val="00A35021"/>
    <w:rsid w:val="00A35A28"/>
    <w:rsid w:val="00A35F75"/>
    <w:rsid w:val="00A36052"/>
    <w:rsid w:val="00A3611A"/>
    <w:rsid w:val="00A362B0"/>
    <w:rsid w:val="00A363C0"/>
    <w:rsid w:val="00A366E2"/>
    <w:rsid w:val="00A366EE"/>
    <w:rsid w:val="00A371A8"/>
    <w:rsid w:val="00A37200"/>
    <w:rsid w:val="00A37502"/>
    <w:rsid w:val="00A37700"/>
    <w:rsid w:val="00A37BC4"/>
    <w:rsid w:val="00A40092"/>
    <w:rsid w:val="00A4072F"/>
    <w:rsid w:val="00A40932"/>
    <w:rsid w:val="00A40D6D"/>
    <w:rsid w:val="00A41739"/>
    <w:rsid w:val="00A417FE"/>
    <w:rsid w:val="00A41C6B"/>
    <w:rsid w:val="00A41FC6"/>
    <w:rsid w:val="00A42497"/>
    <w:rsid w:val="00A42984"/>
    <w:rsid w:val="00A42C9D"/>
    <w:rsid w:val="00A42EFA"/>
    <w:rsid w:val="00A432DB"/>
    <w:rsid w:val="00A43741"/>
    <w:rsid w:val="00A438D7"/>
    <w:rsid w:val="00A43A8A"/>
    <w:rsid w:val="00A440AB"/>
    <w:rsid w:val="00A44135"/>
    <w:rsid w:val="00A44743"/>
    <w:rsid w:val="00A44DD4"/>
    <w:rsid w:val="00A44DED"/>
    <w:rsid w:val="00A455B8"/>
    <w:rsid w:val="00A45A5E"/>
    <w:rsid w:val="00A4632C"/>
    <w:rsid w:val="00A463DE"/>
    <w:rsid w:val="00A46A01"/>
    <w:rsid w:val="00A46F5A"/>
    <w:rsid w:val="00A50051"/>
    <w:rsid w:val="00A502A7"/>
    <w:rsid w:val="00A505F4"/>
    <w:rsid w:val="00A50DAD"/>
    <w:rsid w:val="00A50EC4"/>
    <w:rsid w:val="00A515F4"/>
    <w:rsid w:val="00A516EE"/>
    <w:rsid w:val="00A518FF"/>
    <w:rsid w:val="00A51F5D"/>
    <w:rsid w:val="00A52402"/>
    <w:rsid w:val="00A524CB"/>
    <w:rsid w:val="00A52532"/>
    <w:rsid w:val="00A52625"/>
    <w:rsid w:val="00A529AA"/>
    <w:rsid w:val="00A53218"/>
    <w:rsid w:val="00A53E51"/>
    <w:rsid w:val="00A53EE4"/>
    <w:rsid w:val="00A54612"/>
    <w:rsid w:val="00A547AA"/>
    <w:rsid w:val="00A548F6"/>
    <w:rsid w:val="00A549ED"/>
    <w:rsid w:val="00A54C8C"/>
    <w:rsid w:val="00A55204"/>
    <w:rsid w:val="00A55449"/>
    <w:rsid w:val="00A555E5"/>
    <w:rsid w:val="00A55837"/>
    <w:rsid w:val="00A55BE7"/>
    <w:rsid w:val="00A55EF3"/>
    <w:rsid w:val="00A55F5E"/>
    <w:rsid w:val="00A55F85"/>
    <w:rsid w:val="00A5607E"/>
    <w:rsid w:val="00A561DA"/>
    <w:rsid w:val="00A562E3"/>
    <w:rsid w:val="00A56334"/>
    <w:rsid w:val="00A56370"/>
    <w:rsid w:val="00A565BC"/>
    <w:rsid w:val="00A57189"/>
    <w:rsid w:val="00A571D0"/>
    <w:rsid w:val="00A572D8"/>
    <w:rsid w:val="00A575E7"/>
    <w:rsid w:val="00A578A0"/>
    <w:rsid w:val="00A60177"/>
    <w:rsid w:val="00A60949"/>
    <w:rsid w:val="00A60A30"/>
    <w:rsid w:val="00A60DAD"/>
    <w:rsid w:val="00A611D4"/>
    <w:rsid w:val="00A61277"/>
    <w:rsid w:val="00A6158A"/>
    <w:rsid w:val="00A617D9"/>
    <w:rsid w:val="00A61A52"/>
    <w:rsid w:val="00A61B43"/>
    <w:rsid w:val="00A61D5B"/>
    <w:rsid w:val="00A62151"/>
    <w:rsid w:val="00A6270A"/>
    <w:rsid w:val="00A62F60"/>
    <w:rsid w:val="00A632C4"/>
    <w:rsid w:val="00A632F7"/>
    <w:rsid w:val="00A63852"/>
    <w:rsid w:val="00A63FE9"/>
    <w:rsid w:val="00A6403E"/>
    <w:rsid w:val="00A6442D"/>
    <w:rsid w:val="00A64B01"/>
    <w:rsid w:val="00A64C1C"/>
    <w:rsid w:val="00A65284"/>
    <w:rsid w:val="00A6576D"/>
    <w:rsid w:val="00A657FE"/>
    <w:rsid w:val="00A65964"/>
    <w:rsid w:val="00A666F6"/>
    <w:rsid w:val="00A668E9"/>
    <w:rsid w:val="00A66F50"/>
    <w:rsid w:val="00A6729D"/>
    <w:rsid w:val="00A67884"/>
    <w:rsid w:val="00A7036A"/>
    <w:rsid w:val="00A7044E"/>
    <w:rsid w:val="00A70542"/>
    <w:rsid w:val="00A70693"/>
    <w:rsid w:val="00A70A01"/>
    <w:rsid w:val="00A70BB8"/>
    <w:rsid w:val="00A70F8A"/>
    <w:rsid w:val="00A7130F"/>
    <w:rsid w:val="00A713B7"/>
    <w:rsid w:val="00A721A1"/>
    <w:rsid w:val="00A72C0F"/>
    <w:rsid w:val="00A72D0F"/>
    <w:rsid w:val="00A72E2A"/>
    <w:rsid w:val="00A72F87"/>
    <w:rsid w:val="00A73E8E"/>
    <w:rsid w:val="00A74137"/>
    <w:rsid w:val="00A7432F"/>
    <w:rsid w:val="00A74B97"/>
    <w:rsid w:val="00A74C50"/>
    <w:rsid w:val="00A74D60"/>
    <w:rsid w:val="00A75142"/>
    <w:rsid w:val="00A75284"/>
    <w:rsid w:val="00A758F1"/>
    <w:rsid w:val="00A759DF"/>
    <w:rsid w:val="00A75D16"/>
    <w:rsid w:val="00A7629A"/>
    <w:rsid w:val="00A76A2A"/>
    <w:rsid w:val="00A76F49"/>
    <w:rsid w:val="00A77708"/>
    <w:rsid w:val="00A778DF"/>
    <w:rsid w:val="00A8017D"/>
    <w:rsid w:val="00A804E3"/>
    <w:rsid w:val="00A809DA"/>
    <w:rsid w:val="00A80C9D"/>
    <w:rsid w:val="00A80EC4"/>
    <w:rsid w:val="00A81168"/>
    <w:rsid w:val="00A81364"/>
    <w:rsid w:val="00A8166F"/>
    <w:rsid w:val="00A81DCC"/>
    <w:rsid w:val="00A827AD"/>
    <w:rsid w:val="00A82A9E"/>
    <w:rsid w:val="00A82EE3"/>
    <w:rsid w:val="00A8312D"/>
    <w:rsid w:val="00A83179"/>
    <w:rsid w:val="00A83383"/>
    <w:rsid w:val="00A8347D"/>
    <w:rsid w:val="00A83483"/>
    <w:rsid w:val="00A836A0"/>
    <w:rsid w:val="00A8495D"/>
    <w:rsid w:val="00A85577"/>
    <w:rsid w:val="00A859CF"/>
    <w:rsid w:val="00A864A0"/>
    <w:rsid w:val="00A86DBE"/>
    <w:rsid w:val="00A86ECB"/>
    <w:rsid w:val="00A87714"/>
    <w:rsid w:val="00A87A11"/>
    <w:rsid w:val="00A87D48"/>
    <w:rsid w:val="00A905C3"/>
    <w:rsid w:val="00A907E9"/>
    <w:rsid w:val="00A90B52"/>
    <w:rsid w:val="00A90B7B"/>
    <w:rsid w:val="00A90BEE"/>
    <w:rsid w:val="00A90E29"/>
    <w:rsid w:val="00A910D9"/>
    <w:rsid w:val="00A91610"/>
    <w:rsid w:val="00A916C8"/>
    <w:rsid w:val="00A91BCF"/>
    <w:rsid w:val="00A91F09"/>
    <w:rsid w:val="00A92D29"/>
    <w:rsid w:val="00A93226"/>
    <w:rsid w:val="00A933D0"/>
    <w:rsid w:val="00A93495"/>
    <w:rsid w:val="00A9377F"/>
    <w:rsid w:val="00A93A79"/>
    <w:rsid w:val="00A93F35"/>
    <w:rsid w:val="00A946BD"/>
    <w:rsid w:val="00A949B0"/>
    <w:rsid w:val="00A94BA3"/>
    <w:rsid w:val="00A94C03"/>
    <w:rsid w:val="00A94D90"/>
    <w:rsid w:val="00A94FDD"/>
    <w:rsid w:val="00A9515E"/>
    <w:rsid w:val="00A95188"/>
    <w:rsid w:val="00A95C4B"/>
    <w:rsid w:val="00A96043"/>
    <w:rsid w:val="00A9604E"/>
    <w:rsid w:val="00A96667"/>
    <w:rsid w:val="00A96A65"/>
    <w:rsid w:val="00A96A9F"/>
    <w:rsid w:val="00A96D71"/>
    <w:rsid w:val="00A96F15"/>
    <w:rsid w:val="00A97336"/>
    <w:rsid w:val="00A97CC7"/>
    <w:rsid w:val="00AA0A87"/>
    <w:rsid w:val="00AA0C77"/>
    <w:rsid w:val="00AA11AD"/>
    <w:rsid w:val="00AA134A"/>
    <w:rsid w:val="00AA14DD"/>
    <w:rsid w:val="00AA1782"/>
    <w:rsid w:val="00AA1CA7"/>
    <w:rsid w:val="00AA203A"/>
    <w:rsid w:val="00AA23D0"/>
    <w:rsid w:val="00AA2550"/>
    <w:rsid w:val="00AA2766"/>
    <w:rsid w:val="00AA2949"/>
    <w:rsid w:val="00AA29D9"/>
    <w:rsid w:val="00AA2F10"/>
    <w:rsid w:val="00AA36EC"/>
    <w:rsid w:val="00AA3902"/>
    <w:rsid w:val="00AA3C1F"/>
    <w:rsid w:val="00AA3E37"/>
    <w:rsid w:val="00AA3F06"/>
    <w:rsid w:val="00AA48B7"/>
    <w:rsid w:val="00AA49D5"/>
    <w:rsid w:val="00AA4F85"/>
    <w:rsid w:val="00AA521C"/>
    <w:rsid w:val="00AA5300"/>
    <w:rsid w:val="00AA5592"/>
    <w:rsid w:val="00AA5757"/>
    <w:rsid w:val="00AA5871"/>
    <w:rsid w:val="00AA594A"/>
    <w:rsid w:val="00AA597B"/>
    <w:rsid w:val="00AA6601"/>
    <w:rsid w:val="00AA6E3E"/>
    <w:rsid w:val="00AA6E61"/>
    <w:rsid w:val="00AA7CA1"/>
    <w:rsid w:val="00AB00CD"/>
    <w:rsid w:val="00AB067A"/>
    <w:rsid w:val="00AB0989"/>
    <w:rsid w:val="00AB09FC"/>
    <w:rsid w:val="00AB0FB4"/>
    <w:rsid w:val="00AB1134"/>
    <w:rsid w:val="00AB13A6"/>
    <w:rsid w:val="00AB16CB"/>
    <w:rsid w:val="00AB1C9B"/>
    <w:rsid w:val="00AB1E91"/>
    <w:rsid w:val="00AB2046"/>
    <w:rsid w:val="00AB22D7"/>
    <w:rsid w:val="00AB2638"/>
    <w:rsid w:val="00AB295B"/>
    <w:rsid w:val="00AB2C9B"/>
    <w:rsid w:val="00AB33DD"/>
    <w:rsid w:val="00AB33E8"/>
    <w:rsid w:val="00AB3C88"/>
    <w:rsid w:val="00AB45A7"/>
    <w:rsid w:val="00AB4B17"/>
    <w:rsid w:val="00AB4CE1"/>
    <w:rsid w:val="00AB4D46"/>
    <w:rsid w:val="00AB4E64"/>
    <w:rsid w:val="00AB50E7"/>
    <w:rsid w:val="00AB5192"/>
    <w:rsid w:val="00AB56D4"/>
    <w:rsid w:val="00AB5851"/>
    <w:rsid w:val="00AB6325"/>
    <w:rsid w:val="00AB64AF"/>
    <w:rsid w:val="00AB6618"/>
    <w:rsid w:val="00AB684D"/>
    <w:rsid w:val="00AB6EFA"/>
    <w:rsid w:val="00AB7155"/>
    <w:rsid w:val="00AB768D"/>
    <w:rsid w:val="00AB7A0D"/>
    <w:rsid w:val="00AB7AB9"/>
    <w:rsid w:val="00AC0035"/>
    <w:rsid w:val="00AC011A"/>
    <w:rsid w:val="00AC03D8"/>
    <w:rsid w:val="00AC0522"/>
    <w:rsid w:val="00AC0824"/>
    <w:rsid w:val="00AC0C27"/>
    <w:rsid w:val="00AC0F58"/>
    <w:rsid w:val="00AC11D8"/>
    <w:rsid w:val="00AC11F5"/>
    <w:rsid w:val="00AC1676"/>
    <w:rsid w:val="00AC1B64"/>
    <w:rsid w:val="00AC230E"/>
    <w:rsid w:val="00AC29E0"/>
    <w:rsid w:val="00AC2CA9"/>
    <w:rsid w:val="00AC2DE8"/>
    <w:rsid w:val="00AC2EC6"/>
    <w:rsid w:val="00AC2FD2"/>
    <w:rsid w:val="00AC33DF"/>
    <w:rsid w:val="00AC389F"/>
    <w:rsid w:val="00AC41FF"/>
    <w:rsid w:val="00AC44EA"/>
    <w:rsid w:val="00AC4BBF"/>
    <w:rsid w:val="00AC549F"/>
    <w:rsid w:val="00AC5CF6"/>
    <w:rsid w:val="00AC5E71"/>
    <w:rsid w:val="00AC65DF"/>
    <w:rsid w:val="00AC6B59"/>
    <w:rsid w:val="00AC74B9"/>
    <w:rsid w:val="00AC7633"/>
    <w:rsid w:val="00AC7765"/>
    <w:rsid w:val="00AC7BD8"/>
    <w:rsid w:val="00AC7C5F"/>
    <w:rsid w:val="00AD00A4"/>
    <w:rsid w:val="00AD016F"/>
    <w:rsid w:val="00AD0B47"/>
    <w:rsid w:val="00AD0D0C"/>
    <w:rsid w:val="00AD0DC3"/>
    <w:rsid w:val="00AD0F4A"/>
    <w:rsid w:val="00AD0F92"/>
    <w:rsid w:val="00AD1073"/>
    <w:rsid w:val="00AD1A29"/>
    <w:rsid w:val="00AD1AD7"/>
    <w:rsid w:val="00AD1FC7"/>
    <w:rsid w:val="00AD26C2"/>
    <w:rsid w:val="00AD293A"/>
    <w:rsid w:val="00AD2BEB"/>
    <w:rsid w:val="00AD3261"/>
    <w:rsid w:val="00AD4603"/>
    <w:rsid w:val="00AD4765"/>
    <w:rsid w:val="00AD4CBC"/>
    <w:rsid w:val="00AD527D"/>
    <w:rsid w:val="00AD550C"/>
    <w:rsid w:val="00AD5931"/>
    <w:rsid w:val="00AD682A"/>
    <w:rsid w:val="00AD7000"/>
    <w:rsid w:val="00AD73B6"/>
    <w:rsid w:val="00AD7411"/>
    <w:rsid w:val="00AD7B1F"/>
    <w:rsid w:val="00AE058B"/>
    <w:rsid w:val="00AE083E"/>
    <w:rsid w:val="00AE0870"/>
    <w:rsid w:val="00AE0C54"/>
    <w:rsid w:val="00AE10F8"/>
    <w:rsid w:val="00AE185C"/>
    <w:rsid w:val="00AE21B0"/>
    <w:rsid w:val="00AE24EB"/>
    <w:rsid w:val="00AE27E8"/>
    <w:rsid w:val="00AE29B0"/>
    <w:rsid w:val="00AE2AA9"/>
    <w:rsid w:val="00AE2B88"/>
    <w:rsid w:val="00AE2C98"/>
    <w:rsid w:val="00AE2D7D"/>
    <w:rsid w:val="00AE2D90"/>
    <w:rsid w:val="00AE2E5F"/>
    <w:rsid w:val="00AE2E87"/>
    <w:rsid w:val="00AE2E90"/>
    <w:rsid w:val="00AE3156"/>
    <w:rsid w:val="00AE3CF5"/>
    <w:rsid w:val="00AE3DBF"/>
    <w:rsid w:val="00AE3EEF"/>
    <w:rsid w:val="00AE4346"/>
    <w:rsid w:val="00AE448E"/>
    <w:rsid w:val="00AE454E"/>
    <w:rsid w:val="00AE4AC8"/>
    <w:rsid w:val="00AE4AF3"/>
    <w:rsid w:val="00AE4D00"/>
    <w:rsid w:val="00AE4D46"/>
    <w:rsid w:val="00AE4EC5"/>
    <w:rsid w:val="00AE4FF2"/>
    <w:rsid w:val="00AE50DE"/>
    <w:rsid w:val="00AE5225"/>
    <w:rsid w:val="00AE545F"/>
    <w:rsid w:val="00AE5474"/>
    <w:rsid w:val="00AE55E0"/>
    <w:rsid w:val="00AE5666"/>
    <w:rsid w:val="00AE5755"/>
    <w:rsid w:val="00AE592A"/>
    <w:rsid w:val="00AE5A0C"/>
    <w:rsid w:val="00AE66A2"/>
    <w:rsid w:val="00AE67DF"/>
    <w:rsid w:val="00AE68F7"/>
    <w:rsid w:val="00AE6984"/>
    <w:rsid w:val="00AE6FCF"/>
    <w:rsid w:val="00AE6FD9"/>
    <w:rsid w:val="00AE7823"/>
    <w:rsid w:val="00AE7A36"/>
    <w:rsid w:val="00AF0140"/>
    <w:rsid w:val="00AF0233"/>
    <w:rsid w:val="00AF0291"/>
    <w:rsid w:val="00AF03A9"/>
    <w:rsid w:val="00AF042E"/>
    <w:rsid w:val="00AF0F17"/>
    <w:rsid w:val="00AF112E"/>
    <w:rsid w:val="00AF1186"/>
    <w:rsid w:val="00AF13C7"/>
    <w:rsid w:val="00AF13E8"/>
    <w:rsid w:val="00AF1952"/>
    <w:rsid w:val="00AF1DA2"/>
    <w:rsid w:val="00AF1F2F"/>
    <w:rsid w:val="00AF2209"/>
    <w:rsid w:val="00AF27AF"/>
    <w:rsid w:val="00AF27D3"/>
    <w:rsid w:val="00AF2A83"/>
    <w:rsid w:val="00AF30B2"/>
    <w:rsid w:val="00AF32CC"/>
    <w:rsid w:val="00AF335E"/>
    <w:rsid w:val="00AF343B"/>
    <w:rsid w:val="00AF4257"/>
    <w:rsid w:val="00AF4552"/>
    <w:rsid w:val="00AF4C1F"/>
    <w:rsid w:val="00AF4E30"/>
    <w:rsid w:val="00AF4FB0"/>
    <w:rsid w:val="00AF5203"/>
    <w:rsid w:val="00AF59BA"/>
    <w:rsid w:val="00AF5A0D"/>
    <w:rsid w:val="00AF5B1A"/>
    <w:rsid w:val="00AF5D40"/>
    <w:rsid w:val="00AF5F1F"/>
    <w:rsid w:val="00AF6D63"/>
    <w:rsid w:val="00AF700C"/>
    <w:rsid w:val="00AF70E6"/>
    <w:rsid w:val="00AF7A48"/>
    <w:rsid w:val="00AF7AE3"/>
    <w:rsid w:val="00AF7F55"/>
    <w:rsid w:val="00B00757"/>
    <w:rsid w:val="00B0114C"/>
    <w:rsid w:val="00B013CC"/>
    <w:rsid w:val="00B01915"/>
    <w:rsid w:val="00B01C44"/>
    <w:rsid w:val="00B01D51"/>
    <w:rsid w:val="00B021E9"/>
    <w:rsid w:val="00B023B5"/>
    <w:rsid w:val="00B02824"/>
    <w:rsid w:val="00B02D58"/>
    <w:rsid w:val="00B033FA"/>
    <w:rsid w:val="00B034A4"/>
    <w:rsid w:val="00B03A48"/>
    <w:rsid w:val="00B0430A"/>
    <w:rsid w:val="00B045C5"/>
    <w:rsid w:val="00B04672"/>
    <w:rsid w:val="00B046E7"/>
    <w:rsid w:val="00B05117"/>
    <w:rsid w:val="00B0577F"/>
    <w:rsid w:val="00B05C2E"/>
    <w:rsid w:val="00B05F4E"/>
    <w:rsid w:val="00B060D8"/>
    <w:rsid w:val="00B0626F"/>
    <w:rsid w:val="00B0662F"/>
    <w:rsid w:val="00B068F7"/>
    <w:rsid w:val="00B069A3"/>
    <w:rsid w:val="00B07675"/>
    <w:rsid w:val="00B079FD"/>
    <w:rsid w:val="00B07B9D"/>
    <w:rsid w:val="00B07BD8"/>
    <w:rsid w:val="00B10055"/>
    <w:rsid w:val="00B100D6"/>
    <w:rsid w:val="00B10135"/>
    <w:rsid w:val="00B10795"/>
    <w:rsid w:val="00B109FC"/>
    <w:rsid w:val="00B10B96"/>
    <w:rsid w:val="00B10DB9"/>
    <w:rsid w:val="00B10EEC"/>
    <w:rsid w:val="00B111B7"/>
    <w:rsid w:val="00B11727"/>
    <w:rsid w:val="00B118C4"/>
    <w:rsid w:val="00B11BBE"/>
    <w:rsid w:val="00B11E02"/>
    <w:rsid w:val="00B12985"/>
    <w:rsid w:val="00B12E09"/>
    <w:rsid w:val="00B1378C"/>
    <w:rsid w:val="00B138AC"/>
    <w:rsid w:val="00B13F0C"/>
    <w:rsid w:val="00B140E8"/>
    <w:rsid w:val="00B14322"/>
    <w:rsid w:val="00B14351"/>
    <w:rsid w:val="00B1440F"/>
    <w:rsid w:val="00B14B91"/>
    <w:rsid w:val="00B14C52"/>
    <w:rsid w:val="00B14EDA"/>
    <w:rsid w:val="00B15309"/>
    <w:rsid w:val="00B1538F"/>
    <w:rsid w:val="00B154CA"/>
    <w:rsid w:val="00B1560F"/>
    <w:rsid w:val="00B15623"/>
    <w:rsid w:val="00B1574C"/>
    <w:rsid w:val="00B15BAE"/>
    <w:rsid w:val="00B15CDF"/>
    <w:rsid w:val="00B1698B"/>
    <w:rsid w:val="00B16F95"/>
    <w:rsid w:val="00B1727B"/>
    <w:rsid w:val="00B17288"/>
    <w:rsid w:val="00B172E5"/>
    <w:rsid w:val="00B202BE"/>
    <w:rsid w:val="00B2045A"/>
    <w:rsid w:val="00B2047C"/>
    <w:rsid w:val="00B2083E"/>
    <w:rsid w:val="00B20B28"/>
    <w:rsid w:val="00B214DC"/>
    <w:rsid w:val="00B219CB"/>
    <w:rsid w:val="00B21C41"/>
    <w:rsid w:val="00B21E04"/>
    <w:rsid w:val="00B2236A"/>
    <w:rsid w:val="00B22767"/>
    <w:rsid w:val="00B22A7E"/>
    <w:rsid w:val="00B22FDD"/>
    <w:rsid w:val="00B2332C"/>
    <w:rsid w:val="00B23D08"/>
    <w:rsid w:val="00B23F80"/>
    <w:rsid w:val="00B24064"/>
    <w:rsid w:val="00B24381"/>
    <w:rsid w:val="00B24B4D"/>
    <w:rsid w:val="00B24C72"/>
    <w:rsid w:val="00B24F51"/>
    <w:rsid w:val="00B25666"/>
    <w:rsid w:val="00B25C91"/>
    <w:rsid w:val="00B262DE"/>
    <w:rsid w:val="00B264CC"/>
    <w:rsid w:val="00B2677A"/>
    <w:rsid w:val="00B269CF"/>
    <w:rsid w:val="00B27324"/>
    <w:rsid w:val="00B2781D"/>
    <w:rsid w:val="00B27853"/>
    <w:rsid w:val="00B27F4B"/>
    <w:rsid w:val="00B303EE"/>
    <w:rsid w:val="00B30943"/>
    <w:rsid w:val="00B314D1"/>
    <w:rsid w:val="00B31CF7"/>
    <w:rsid w:val="00B32565"/>
    <w:rsid w:val="00B32821"/>
    <w:rsid w:val="00B32842"/>
    <w:rsid w:val="00B32994"/>
    <w:rsid w:val="00B33032"/>
    <w:rsid w:val="00B3336A"/>
    <w:rsid w:val="00B3393E"/>
    <w:rsid w:val="00B33A5A"/>
    <w:rsid w:val="00B34009"/>
    <w:rsid w:val="00B34263"/>
    <w:rsid w:val="00B34445"/>
    <w:rsid w:val="00B346C4"/>
    <w:rsid w:val="00B34781"/>
    <w:rsid w:val="00B34985"/>
    <w:rsid w:val="00B349D7"/>
    <w:rsid w:val="00B34B63"/>
    <w:rsid w:val="00B3585E"/>
    <w:rsid w:val="00B35AF0"/>
    <w:rsid w:val="00B35E80"/>
    <w:rsid w:val="00B36E36"/>
    <w:rsid w:val="00B370DB"/>
    <w:rsid w:val="00B400FC"/>
    <w:rsid w:val="00B401B9"/>
    <w:rsid w:val="00B4112F"/>
    <w:rsid w:val="00B413A3"/>
    <w:rsid w:val="00B41544"/>
    <w:rsid w:val="00B41DC1"/>
    <w:rsid w:val="00B427F0"/>
    <w:rsid w:val="00B427FC"/>
    <w:rsid w:val="00B430A0"/>
    <w:rsid w:val="00B43234"/>
    <w:rsid w:val="00B433D5"/>
    <w:rsid w:val="00B4377C"/>
    <w:rsid w:val="00B43870"/>
    <w:rsid w:val="00B43DAC"/>
    <w:rsid w:val="00B44195"/>
    <w:rsid w:val="00B4436C"/>
    <w:rsid w:val="00B444EA"/>
    <w:rsid w:val="00B44DA7"/>
    <w:rsid w:val="00B44F4E"/>
    <w:rsid w:val="00B45A19"/>
    <w:rsid w:val="00B45D0A"/>
    <w:rsid w:val="00B45F00"/>
    <w:rsid w:val="00B4613A"/>
    <w:rsid w:val="00B4772D"/>
    <w:rsid w:val="00B47CAF"/>
    <w:rsid w:val="00B502CA"/>
    <w:rsid w:val="00B503C2"/>
    <w:rsid w:val="00B5085A"/>
    <w:rsid w:val="00B508DE"/>
    <w:rsid w:val="00B5154A"/>
    <w:rsid w:val="00B51D4B"/>
    <w:rsid w:val="00B51E66"/>
    <w:rsid w:val="00B5257E"/>
    <w:rsid w:val="00B52859"/>
    <w:rsid w:val="00B531A7"/>
    <w:rsid w:val="00B53390"/>
    <w:rsid w:val="00B53E0D"/>
    <w:rsid w:val="00B54591"/>
    <w:rsid w:val="00B54742"/>
    <w:rsid w:val="00B548E2"/>
    <w:rsid w:val="00B54B6A"/>
    <w:rsid w:val="00B54E3A"/>
    <w:rsid w:val="00B54FD7"/>
    <w:rsid w:val="00B5508A"/>
    <w:rsid w:val="00B5566A"/>
    <w:rsid w:val="00B557F1"/>
    <w:rsid w:val="00B55DC1"/>
    <w:rsid w:val="00B56D18"/>
    <w:rsid w:val="00B57AC3"/>
    <w:rsid w:val="00B57EEC"/>
    <w:rsid w:val="00B60770"/>
    <w:rsid w:val="00B607B1"/>
    <w:rsid w:val="00B60A43"/>
    <w:rsid w:val="00B60B7A"/>
    <w:rsid w:val="00B60F9F"/>
    <w:rsid w:val="00B61204"/>
    <w:rsid w:val="00B6124B"/>
    <w:rsid w:val="00B61D33"/>
    <w:rsid w:val="00B6244B"/>
    <w:rsid w:val="00B62EEE"/>
    <w:rsid w:val="00B631F9"/>
    <w:rsid w:val="00B63361"/>
    <w:rsid w:val="00B63589"/>
    <w:rsid w:val="00B6375D"/>
    <w:rsid w:val="00B63C3A"/>
    <w:rsid w:val="00B64054"/>
    <w:rsid w:val="00B64170"/>
    <w:rsid w:val="00B6513A"/>
    <w:rsid w:val="00B65345"/>
    <w:rsid w:val="00B6561C"/>
    <w:rsid w:val="00B657C1"/>
    <w:rsid w:val="00B659B1"/>
    <w:rsid w:val="00B65AC3"/>
    <w:rsid w:val="00B66672"/>
    <w:rsid w:val="00B666FD"/>
    <w:rsid w:val="00B66BAC"/>
    <w:rsid w:val="00B66DA0"/>
    <w:rsid w:val="00B67885"/>
    <w:rsid w:val="00B67B42"/>
    <w:rsid w:val="00B67C05"/>
    <w:rsid w:val="00B67DAB"/>
    <w:rsid w:val="00B67F8D"/>
    <w:rsid w:val="00B67F9E"/>
    <w:rsid w:val="00B7026C"/>
    <w:rsid w:val="00B705F2"/>
    <w:rsid w:val="00B70A46"/>
    <w:rsid w:val="00B70FE8"/>
    <w:rsid w:val="00B72173"/>
    <w:rsid w:val="00B724D3"/>
    <w:rsid w:val="00B727D5"/>
    <w:rsid w:val="00B729AD"/>
    <w:rsid w:val="00B72A87"/>
    <w:rsid w:val="00B72B66"/>
    <w:rsid w:val="00B72CBD"/>
    <w:rsid w:val="00B72CBF"/>
    <w:rsid w:val="00B73087"/>
    <w:rsid w:val="00B73B8E"/>
    <w:rsid w:val="00B7431A"/>
    <w:rsid w:val="00B7437E"/>
    <w:rsid w:val="00B7464B"/>
    <w:rsid w:val="00B7481D"/>
    <w:rsid w:val="00B74C3F"/>
    <w:rsid w:val="00B74E7C"/>
    <w:rsid w:val="00B75471"/>
    <w:rsid w:val="00B758EC"/>
    <w:rsid w:val="00B76149"/>
    <w:rsid w:val="00B7619F"/>
    <w:rsid w:val="00B76647"/>
    <w:rsid w:val="00B76D7E"/>
    <w:rsid w:val="00B77886"/>
    <w:rsid w:val="00B81066"/>
    <w:rsid w:val="00B8106E"/>
    <w:rsid w:val="00B8113F"/>
    <w:rsid w:val="00B81307"/>
    <w:rsid w:val="00B81387"/>
    <w:rsid w:val="00B81497"/>
    <w:rsid w:val="00B818DF"/>
    <w:rsid w:val="00B82074"/>
    <w:rsid w:val="00B8231A"/>
    <w:rsid w:val="00B825F7"/>
    <w:rsid w:val="00B827C8"/>
    <w:rsid w:val="00B827F0"/>
    <w:rsid w:val="00B82AF1"/>
    <w:rsid w:val="00B83F4E"/>
    <w:rsid w:val="00B84BBC"/>
    <w:rsid w:val="00B85CC3"/>
    <w:rsid w:val="00B85E25"/>
    <w:rsid w:val="00B863ED"/>
    <w:rsid w:val="00B86605"/>
    <w:rsid w:val="00B86703"/>
    <w:rsid w:val="00B867EB"/>
    <w:rsid w:val="00B86AA5"/>
    <w:rsid w:val="00B86CD2"/>
    <w:rsid w:val="00B87594"/>
    <w:rsid w:val="00B879E5"/>
    <w:rsid w:val="00B87E81"/>
    <w:rsid w:val="00B87F86"/>
    <w:rsid w:val="00B90151"/>
    <w:rsid w:val="00B90425"/>
    <w:rsid w:val="00B904E5"/>
    <w:rsid w:val="00B90521"/>
    <w:rsid w:val="00B90C60"/>
    <w:rsid w:val="00B910FA"/>
    <w:rsid w:val="00B91482"/>
    <w:rsid w:val="00B917F7"/>
    <w:rsid w:val="00B91948"/>
    <w:rsid w:val="00B919EA"/>
    <w:rsid w:val="00B921F8"/>
    <w:rsid w:val="00B9246B"/>
    <w:rsid w:val="00B92494"/>
    <w:rsid w:val="00B927E8"/>
    <w:rsid w:val="00B92835"/>
    <w:rsid w:val="00B92E4E"/>
    <w:rsid w:val="00B9322E"/>
    <w:rsid w:val="00B9334A"/>
    <w:rsid w:val="00B9343C"/>
    <w:rsid w:val="00B93568"/>
    <w:rsid w:val="00B9383F"/>
    <w:rsid w:val="00B93E7F"/>
    <w:rsid w:val="00B93F8F"/>
    <w:rsid w:val="00B9429E"/>
    <w:rsid w:val="00B94476"/>
    <w:rsid w:val="00B9548C"/>
    <w:rsid w:val="00B95D70"/>
    <w:rsid w:val="00B9609B"/>
    <w:rsid w:val="00B96465"/>
    <w:rsid w:val="00B96730"/>
    <w:rsid w:val="00B968FF"/>
    <w:rsid w:val="00B96A19"/>
    <w:rsid w:val="00B96E71"/>
    <w:rsid w:val="00B9700A"/>
    <w:rsid w:val="00B9722C"/>
    <w:rsid w:val="00B9795E"/>
    <w:rsid w:val="00B97961"/>
    <w:rsid w:val="00B97B48"/>
    <w:rsid w:val="00B97E93"/>
    <w:rsid w:val="00BA0F0E"/>
    <w:rsid w:val="00BA1439"/>
    <w:rsid w:val="00BA1D82"/>
    <w:rsid w:val="00BA230F"/>
    <w:rsid w:val="00BA2339"/>
    <w:rsid w:val="00BA2797"/>
    <w:rsid w:val="00BA2868"/>
    <w:rsid w:val="00BA316F"/>
    <w:rsid w:val="00BA3D49"/>
    <w:rsid w:val="00BA3D5F"/>
    <w:rsid w:val="00BA42D3"/>
    <w:rsid w:val="00BA4660"/>
    <w:rsid w:val="00BA46A1"/>
    <w:rsid w:val="00BA46E8"/>
    <w:rsid w:val="00BA4C50"/>
    <w:rsid w:val="00BA4F78"/>
    <w:rsid w:val="00BA59E9"/>
    <w:rsid w:val="00BA5DD4"/>
    <w:rsid w:val="00BA5DE8"/>
    <w:rsid w:val="00BA6194"/>
    <w:rsid w:val="00BA6449"/>
    <w:rsid w:val="00BA6C7B"/>
    <w:rsid w:val="00BA6D84"/>
    <w:rsid w:val="00BA71A3"/>
    <w:rsid w:val="00BB0A16"/>
    <w:rsid w:val="00BB1AF7"/>
    <w:rsid w:val="00BB1E83"/>
    <w:rsid w:val="00BB215D"/>
    <w:rsid w:val="00BB2285"/>
    <w:rsid w:val="00BB2850"/>
    <w:rsid w:val="00BB28D8"/>
    <w:rsid w:val="00BB2C14"/>
    <w:rsid w:val="00BB3A1B"/>
    <w:rsid w:val="00BB3B78"/>
    <w:rsid w:val="00BB3C23"/>
    <w:rsid w:val="00BB3F12"/>
    <w:rsid w:val="00BB4444"/>
    <w:rsid w:val="00BB586A"/>
    <w:rsid w:val="00BB5AE7"/>
    <w:rsid w:val="00BB5BCB"/>
    <w:rsid w:val="00BB5CAA"/>
    <w:rsid w:val="00BB6790"/>
    <w:rsid w:val="00BB69A0"/>
    <w:rsid w:val="00BB749E"/>
    <w:rsid w:val="00BB7857"/>
    <w:rsid w:val="00BB7A24"/>
    <w:rsid w:val="00BB7CC1"/>
    <w:rsid w:val="00BC0520"/>
    <w:rsid w:val="00BC0E54"/>
    <w:rsid w:val="00BC18B4"/>
    <w:rsid w:val="00BC245E"/>
    <w:rsid w:val="00BC25E0"/>
    <w:rsid w:val="00BC2974"/>
    <w:rsid w:val="00BC2C4D"/>
    <w:rsid w:val="00BC2CBB"/>
    <w:rsid w:val="00BC3D79"/>
    <w:rsid w:val="00BC43EB"/>
    <w:rsid w:val="00BC446B"/>
    <w:rsid w:val="00BC4693"/>
    <w:rsid w:val="00BC4AAD"/>
    <w:rsid w:val="00BC4BF8"/>
    <w:rsid w:val="00BC5304"/>
    <w:rsid w:val="00BC55F0"/>
    <w:rsid w:val="00BC55F1"/>
    <w:rsid w:val="00BC56FD"/>
    <w:rsid w:val="00BC5EB1"/>
    <w:rsid w:val="00BC5F34"/>
    <w:rsid w:val="00BC6311"/>
    <w:rsid w:val="00BC648D"/>
    <w:rsid w:val="00BC7431"/>
    <w:rsid w:val="00BC769E"/>
    <w:rsid w:val="00BC76AF"/>
    <w:rsid w:val="00BC7A58"/>
    <w:rsid w:val="00BC7ABA"/>
    <w:rsid w:val="00BD025F"/>
    <w:rsid w:val="00BD0EC1"/>
    <w:rsid w:val="00BD13B8"/>
    <w:rsid w:val="00BD13DA"/>
    <w:rsid w:val="00BD1A44"/>
    <w:rsid w:val="00BD1AA6"/>
    <w:rsid w:val="00BD1AFA"/>
    <w:rsid w:val="00BD1E17"/>
    <w:rsid w:val="00BD201F"/>
    <w:rsid w:val="00BD22FB"/>
    <w:rsid w:val="00BD2842"/>
    <w:rsid w:val="00BD2880"/>
    <w:rsid w:val="00BD28E3"/>
    <w:rsid w:val="00BD3596"/>
    <w:rsid w:val="00BD3AD6"/>
    <w:rsid w:val="00BD3BD2"/>
    <w:rsid w:val="00BD3D5A"/>
    <w:rsid w:val="00BD4671"/>
    <w:rsid w:val="00BD47CA"/>
    <w:rsid w:val="00BD4DD9"/>
    <w:rsid w:val="00BD5123"/>
    <w:rsid w:val="00BD51BA"/>
    <w:rsid w:val="00BD580D"/>
    <w:rsid w:val="00BD59C3"/>
    <w:rsid w:val="00BD680E"/>
    <w:rsid w:val="00BD70D9"/>
    <w:rsid w:val="00BD723D"/>
    <w:rsid w:val="00BD7457"/>
    <w:rsid w:val="00BD7499"/>
    <w:rsid w:val="00BD7CD5"/>
    <w:rsid w:val="00BD7DF5"/>
    <w:rsid w:val="00BE02D7"/>
    <w:rsid w:val="00BE03A4"/>
    <w:rsid w:val="00BE051F"/>
    <w:rsid w:val="00BE0520"/>
    <w:rsid w:val="00BE065B"/>
    <w:rsid w:val="00BE06A2"/>
    <w:rsid w:val="00BE089D"/>
    <w:rsid w:val="00BE1044"/>
    <w:rsid w:val="00BE13B8"/>
    <w:rsid w:val="00BE146E"/>
    <w:rsid w:val="00BE148F"/>
    <w:rsid w:val="00BE1619"/>
    <w:rsid w:val="00BE16BF"/>
    <w:rsid w:val="00BE186D"/>
    <w:rsid w:val="00BE1DF2"/>
    <w:rsid w:val="00BE2074"/>
    <w:rsid w:val="00BE2571"/>
    <w:rsid w:val="00BE2BFA"/>
    <w:rsid w:val="00BE2DEA"/>
    <w:rsid w:val="00BE2F3B"/>
    <w:rsid w:val="00BE3332"/>
    <w:rsid w:val="00BE33F4"/>
    <w:rsid w:val="00BE3803"/>
    <w:rsid w:val="00BE383D"/>
    <w:rsid w:val="00BE398B"/>
    <w:rsid w:val="00BE3C30"/>
    <w:rsid w:val="00BE3C52"/>
    <w:rsid w:val="00BE3EC5"/>
    <w:rsid w:val="00BE4025"/>
    <w:rsid w:val="00BE4557"/>
    <w:rsid w:val="00BE47EB"/>
    <w:rsid w:val="00BE4AE7"/>
    <w:rsid w:val="00BE4D26"/>
    <w:rsid w:val="00BE5108"/>
    <w:rsid w:val="00BE583D"/>
    <w:rsid w:val="00BE5882"/>
    <w:rsid w:val="00BE5BAC"/>
    <w:rsid w:val="00BE5BB2"/>
    <w:rsid w:val="00BE647C"/>
    <w:rsid w:val="00BE7000"/>
    <w:rsid w:val="00BE7042"/>
    <w:rsid w:val="00BE7735"/>
    <w:rsid w:val="00BE7D9D"/>
    <w:rsid w:val="00BF027F"/>
    <w:rsid w:val="00BF04F9"/>
    <w:rsid w:val="00BF0910"/>
    <w:rsid w:val="00BF09EC"/>
    <w:rsid w:val="00BF0C95"/>
    <w:rsid w:val="00BF15CE"/>
    <w:rsid w:val="00BF1947"/>
    <w:rsid w:val="00BF1D93"/>
    <w:rsid w:val="00BF221B"/>
    <w:rsid w:val="00BF266D"/>
    <w:rsid w:val="00BF2671"/>
    <w:rsid w:val="00BF2703"/>
    <w:rsid w:val="00BF2FE5"/>
    <w:rsid w:val="00BF3023"/>
    <w:rsid w:val="00BF334D"/>
    <w:rsid w:val="00BF34C5"/>
    <w:rsid w:val="00BF38A0"/>
    <w:rsid w:val="00BF3CA4"/>
    <w:rsid w:val="00BF4042"/>
    <w:rsid w:val="00BF434F"/>
    <w:rsid w:val="00BF4503"/>
    <w:rsid w:val="00BF460C"/>
    <w:rsid w:val="00BF4736"/>
    <w:rsid w:val="00BF53EC"/>
    <w:rsid w:val="00BF55FD"/>
    <w:rsid w:val="00BF5F11"/>
    <w:rsid w:val="00BF640F"/>
    <w:rsid w:val="00BF6CF3"/>
    <w:rsid w:val="00BF6E5F"/>
    <w:rsid w:val="00BF6EF0"/>
    <w:rsid w:val="00BF772A"/>
    <w:rsid w:val="00BF7A20"/>
    <w:rsid w:val="00BF7F85"/>
    <w:rsid w:val="00C00103"/>
    <w:rsid w:val="00C008A5"/>
    <w:rsid w:val="00C00CF1"/>
    <w:rsid w:val="00C00F35"/>
    <w:rsid w:val="00C01120"/>
    <w:rsid w:val="00C01275"/>
    <w:rsid w:val="00C014CC"/>
    <w:rsid w:val="00C020A8"/>
    <w:rsid w:val="00C020E4"/>
    <w:rsid w:val="00C02830"/>
    <w:rsid w:val="00C03426"/>
    <w:rsid w:val="00C039F4"/>
    <w:rsid w:val="00C03A30"/>
    <w:rsid w:val="00C04AA5"/>
    <w:rsid w:val="00C04B26"/>
    <w:rsid w:val="00C04CD2"/>
    <w:rsid w:val="00C0504C"/>
    <w:rsid w:val="00C05181"/>
    <w:rsid w:val="00C05403"/>
    <w:rsid w:val="00C056F5"/>
    <w:rsid w:val="00C058A6"/>
    <w:rsid w:val="00C059A3"/>
    <w:rsid w:val="00C05B69"/>
    <w:rsid w:val="00C05C08"/>
    <w:rsid w:val="00C05C55"/>
    <w:rsid w:val="00C063E2"/>
    <w:rsid w:val="00C066BC"/>
    <w:rsid w:val="00C067BB"/>
    <w:rsid w:val="00C0722B"/>
    <w:rsid w:val="00C07920"/>
    <w:rsid w:val="00C07E2C"/>
    <w:rsid w:val="00C1041D"/>
    <w:rsid w:val="00C1044A"/>
    <w:rsid w:val="00C1070C"/>
    <w:rsid w:val="00C11115"/>
    <w:rsid w:val="00C111DC"/>
    <w:rsid w:val="00C1136B"/>
    <w:rsid w:val="00C11489"/>
    <w:rsid w:val="00C11BBD"/>
    <w:rsid w:val="00C11BE4"/>
    <w:rsid w:val="00C11EA1"/>
    <w:rsid w:val="00C1228D"/>
    <w:rsid w:val="00C1247D"/>
    <w:rsid w:val="00C12516"/>
    <w:rsid w:val="00C125B6"/>
    <w:rsid w:val="00C128A8"/>
    <w:rsid w:val="00C13632"/>
    <w:rsid w:val="00C13CC8"/>
    <w:rsid w:val="00C14454"/>
    <w:rsid w:val="00C14587"/>
    <w:rsid w:val="00C14E3F"/>
    <w:rsid w:val="00C153AB"/>
    <w:rsid w:val="00C15E4D"/>
    <w:rsid w:val="00C16152"/>
    <w:rsid w:val="00C161A1"/>
    <w:rsid w:val="00C162BF"/>
    <w:rsid w:val="00C16999"/>
    <w:rsid w:val="00C16CD4"/>
    <w:rsid w:val="00C17762"/>
    <w:rsid w:val="00C1784B"/>
    <w:rsid w:val="00C201A9"/>
    <w:rsid w:val="00C202DB"/>
    <w:rsid w:val="00C205FC"/>
    <w:rsid w:val="00C207EE"/>
    <w:rsid w:val="00C20991"/>
    <w:rsid w:val="00C20A6B"/>
    <w:rsid w:val="00C2157F"/>
    <w:rsid w:val="00C215B0"/>
    <w:rsid w:val="00C219BE"/>
    <w:rsid w:val="00C21B25"/>
    <w:rsid w:val="00C21D9A"/>
    <w:rsid w:val="00C21DAE"/>
    <w:rsid w:val="00C21EF2"/>
    <w:rsid w:val="00C22255"/>
    <w:rsid w:val="00C22709"/>
    <w:rsid w:val="00C2300B"/>
    <w:rsid w:val="00C23905"/>
    <w:rsid w:val="00C23B6F"/>
    <w:rsid w:val="00C23D40"/>
    <w:rsid w:val="00C23E39"/>
    <w:rsid w:val="00C23F78"/>
    <w:rsid w:val="00C2404C"/>
    <w:rsid w:val="00C241EA"/>
    <w:rsid w:val="00C2422C"/>
    <w:rsid w:val="00C2489A"/>
    <w:rsid w:val="00C2493E"/>
    <w:rsid w:val="00C24949"/>
    <w:rsid w:val="00C254A3"/>
    <w:rsid w:val="00C255D8"/>
    <w:rsid w:val="00C25C85"/>
    <w:rsid w:val="00C26462"/>
    <w:rsid w:val="00C266D6"/>
    <w:rsid w:val="00C269C4"/>
    <w:rsid w:val="00C26D6B"/>
    <w:rsid w:val="00C2710C"/>
    <w:rsid w:val="00C300F6"/>
    <w:rsid w:val="00C30BA4"/>
    <w:rsid w:val="00C30F47"/>
    <w:rsid w:val="00C30F9E"/>
    <w:rsid w:val="00C311F2"/>
    <w:rsid w:val="00C31B32"/>
    <w:rsid w:val="00C31D0A"/>
    <w:rsid w:val="00C32A76"/>
    <w:rsid w:val="00C32FB5"/>
    <w:rsid w:val="00C331E0"/>
    <w:rsid w:val="00C33835"/>
    <w:rsid w:val="00C33FCB"/>
    <w:rsid w:val="00C344BF"/>
    <w:rsid w:val="00C344F0"/>
    <w:rsid w:val="00C34F89"/>
    <w:rsid w:val="00C3515E"/>
    <w:rsid w:val="00C35240"/>
    <w:rsid w:val="00C35CC6"/>
    <w:rsid w:val="00C365A7"/>
    <w:rsid w:val="00C365F9"/>
    <w:rsid w:val="00C36AB8"/>
    <w:rsid w:val="00C3733F"/>
    <w:rsid w:val="00C37423"/>
    <w:rsid w:val="00C37430"/>
    <w:rsid w:val="00C37DBD"/>
    <w:rsid w:val="00C4001C"/>
    <w:rsid w:val="00C40241"/>
    <w:rsid w:val="00C403EC"/>
    <w:rsid w:val="00C40481"/>
    <w:rsid w:val="00C412BA"/>
    <w:rsid w:val="00C416B6"/>
    <w:rsid w:val="00C41C47"/>
    <w:rsid w:val="00C42257"/>
    <w:rsid w:val="00C42933"/>
    <w:rsid w:val="00C42C53"/>
    <w:rsid w:val="00C43860"/>
    <w:rsid w:val="00C43919"/>
    <w:rsid w:val="00C4402B"/>
    <w:rsid w:val="00C443E9"/>
    <w:rsid w:val="00C44BC7"/>
    <w:rsid w:val="00C44D0E"/>
    <w:rsid w:val="00C4544E"/>
    <w:rsid w:val="00C454B9"/>
    <w:rsid w:val="00C4554C"/>
    <w:rsid w:val="00C46393"/>
    <w:rsid w:val="00C47195"/>
    <w:rsid w:val="00C471B8"/>
    <w:rsid w:val="00C47481"/>
    <w:rsid w:val="00C4776E"/>
    <w:rsid w:val="00C503D0"/>
    <w:rsid w:val="00C50734"/>
    <w:rsid w:val="00C50862"/>
    <w:rsid w:val="00C51019"/>
    <w:rsid w:val="00C5196B"/>
    <w:rsid w:val="00C51C77"/>
    <w:rsid w:val="00C5219A"/>
    <w:rsid w:val="00C52761"/>
    <w:rsid w:val="00C52836"/>
    <w:rsid w:val="00C52E46"/>
    <w:rsid w:val="00C53AD2"/>
    <w:rsid w:val="00C5422B"/>
    <w:rsid w:val="00C542F3"/>
    <w:rsid w:val="00C5448D"/>
    <w:rsid w:val="00C54502"/>
    <w:rsid w:val="00C5458B"/>
    <w:rsid w:val="00C54A56"/>
    <w:rsid w:val="00C54D35"/>
    <w:rsid w:val="00C55C4A"/>
    <w:rsid w:val="00C5603B"/>
    <w:rsid w:val="00C564F1"/>
    <w:rsid w:val="00C5679D"/>
    <w:rsid w:val="00C56C17"/>
    <w:rsid w:val="00C56CF3"/>
    <w:rsid w:val="00C57014"/>
    <w:rsid w:val="00C57376"/>
    <w:rsid w:val="00C574BA"/>
    <w:rsid w:val="00C5776C"/>
    <w:rsid w:val="00C57B1A"/>
    <w:rsid w:val="00C6076F"/>
    <w:rsid w:val="00C607A1"/>
    <w:rsid w:val="00C610E5"/>
    <w:rsid w:val="00C611AF"/>
    <w:rsid w:val="00C61348"/>
    <w:rsid w:val="00C615D4"/>
    <w:rsid w:val="00C61FCB"/>
    <w:rsid w:val="00C62B06"/>
    <w:rsid w:val="00C62E83"/>
    <w:rsid w:val="00C63015"/>
    <w:rsid w:val="00C634C1"/>
    <w:rsid w:val="00C63BDD"/>
    <w:rsid w:val="00C63FB1"/>
    <w:rsid w:val="00C64038"/>
    <w:rsid w:val="00C642A1"/>
    <w:rsid w:val="00C642BF"/>
    <w:rsid w:val="00C6444B"/>
    <w:rsid w:val="00C64DE6"/>
    <w:rsid w:val="00C65637"/>
    <w:rsid w:val="00C657F7"/>
    <w:rsid w:val="00C65991"/>
    <w:rsid w:val="00C65FB2"/>
    <w:rsid w:val="00C66231"/>
    <w:rsid w:val="00C66FA7"/>
    <w:rsid w:val="00C6781E"/>
    <w:rsid w:val="00C67ECF"/>
    <w:rsid w:val="00C708A9"/>
    <w:rsid w:val="00C718CF"/>
    <w:rsid w:val="00C71AF4"/>
    <w:rsid w:val="00C71C91"/>
    <w:rsid w:val="00C71F3D"/>
    <w:rsid w:val="00C720ED"/>
    <w:rsid w:val="00C7224D"/>
    <w:rsid w:val="00C722A9"/>
    <w:rsid w:val="00C72543"/>
    <w:rsid w:val="00C7260D"/>
    <w:rsid w:val="00C72973"/>
    <w:rsid w:val="00C72E5B"/>
    <w:rsid w:val="00C733BF"/>
    <w:rsid w:val="00C73608"/>
    <w:rsid w:val="00C741F4"/>
    <w:rsid w:val="00C74529"/>
    <w:rsid w:val="00C74E14"/>
    <w:rsid w:val="00C74E8C"/>
    <w:rsid w:val="00C7513B"/>
    <w:rsid w:val="00C75337"/>
    <w:rsid w:val="00C753F9"/>
    <w:rsid w:val="00C755FA"/>
    <w:rsid w:val="00C7566B"/>
    <w:rsid w:val="00C75EAF"/>
    <w:rsid w:val="00C764E7"/>
    <w:rsid w:val="00C76668"/>
    <w:rsid w:val="00C76AB5"/>
    <w:rsid w:val="00C7711A"/>
    <w:rsid w:val="00C771E7"/>
    <w:rsid w:val="00C7744F"/>
    <w:rsid w:val="00C77489"/>
    <w:rsid w:val="00C77704"/>
    <w:rsid w:val="00C77AE2"/>
    <w:rsid w:val="00C77B59"/>
    <w:rsid w:val="00C77F8F"/>
    <w:rsid w:val="00C77FD1"/>
    <w:rsid w:val="00C80C18"/>
    <w:rsid w:val="00C80F73"/>
    <w:rsid w:val="00C811EF"/>
    <w:rsid w:val="00C817F5"/>
    <w:rsid w:val="00C81909"/>
    <w:rsid w:val="00C8197C"/>
    <w:rsid w:val="00C81CCA"/>
    <w:rsid w:val="00C821A3"/>
    <w:rsid w:val="00C82279"/>
    <w:rsid w:val="00C82495"/>
    <w:rsid w:val="00C82A49"/>
    <w:rsid w:val="00C82F55"/>
    <w:rsid w:val="00C832EF"/>
    <w:rsid w:val="00C834D7"/>
    <w:rsid w:val="00C83CF0"/>
    <w:rsid w:val="00C8457B"/>
    <w:rsid w:val="00C84646"/>
    <w:rsid w:val="00C84740"/>
    <w:rsid w:val="00C84F42"/>
    <w:rsid w:val="00C851E5"/>
    <w:rsid w:val="00C86E1F"/>
    <w:rsid w:val="00C86F97"/>
    <w:rsid w:val="00C871CA"/>
    <w:rsid w:val="00C87401"/>
    <w:rsid w:val="00C876B4"/>
    <w:rsid w:val="00C8774B"/>
    <w:rsid w:val="00C87877"/>
    <w:rsid w:val="00C8789B"/>
    <w:rsid w:val="00C879C4"/>
    <w:rsid w:val="00C87A38"/>
    <w:rsid w:val="00C87CCC"/>
    <w:rsid w:val="00C87DF3"/>
    <w:rsid w:val="00C90456"/>
    <w:rsid w:val="00C904E6"/>
    <w:rsid w:val="00C9164E"/>
    <w:rsid w:val="00C9172D"/>
    <w:rsid w:val="00C91800"/>
    <w:rsid w:val="00C91A2E"/>
    <w:rsid w:val="00C92BBB"/>
    <w:rsid w:val="00C92BF0"/>
    <w:rsid w:val="00C93207"/>
    <w:rsid w:val="00C93673"/>
    <w:rsid w:val="00C93791"/>
    <w:rsid w:val="00C93A97"/>
    <w:rsid w:val="00C93F3A"/>
    <w:rsid w:val="00C940B8"/>
    <w:rsid w:val="00C94275"/>
    <w:rsid w:val="00C943CD"/>
    <w:rsid w:val="00C94E3A"/>
    <w:rsid w:val="00C94F27"/>
    <w:rsid w:val="00C94F30"/>
    <w:rsid w:val="00C95221"/>
    <w:rsid w:val="00C9586D"/>
    <w:rsid w:val="00C95E7B"/>
    <w:rsid w:val="00C963EA"/>
    <w:rsid w:val="00C9642A"/>
    <w:rsid w:val="00C96541"/>
    <w:rsid w:val="00C965ED"/>
    <w:rsid w:val="00C96671"/>
    <w:rsid w:val="00C9682A"/>
    <w:rsid w:val="00C96BA7"/>
    <w:rsid w:val="00C971E0"/>
    <w:rsid w:val="00C97568"/>
    <w:rsid w:val="00CA07B3"/>
    <w:rsid w:val="00CA0881"/>
    <w:rsid w:val="00CA0E03"/>
    <w:rsid w:val="00CA1E4E"/>
    <w:rsid w:val="00CA2442"/>
    <w:rsid w:val="00CA255D"/>
    <w:rsid w:val="00CA2C2B"/>
    <w:rsid w:val="00CA2E5A"/>
    <w:rsid w:val="00CA362C"/>
    <w:rsid w:val="00CA38CC"/>
    <w:rsid w:val="00CA3FB3"/>
    <w:rsid w:val="00CA4175"/>
    <w:rsid w:val="00CA4622"/>
    <w:rsid w:val="00CA485A"/>
    <w:rsid w:val="00CA4AA2"/>
    <w:rsid w:val="00CA502C"/>
    <w:rsid w:val="00CA5237"/>
    <w:rsid w:val="00CA5417"/>
    <w:rsid w:val="00CA590A"/>
    <w:rsid w:val="00CA5FFD"/>
    <w:rsid w:val="00CA6227"/>
    <w:rsid w:val="00CA6BD2"/>
    <w:rsid w:val="00CA6F60"/>
    <w:rsid w:val="00CA6F8D"/>
    <w:rsid w:val="00CA75FB"/>
    <w:rsid w:val="00CA7F98"/>
    <w:rsid w:val="00CB0191"/>
    <w:rsid w:val="00CB041F"/>
    <w:rsid w:val="00CB06B2"/>
    <w:rsid w:val="00CB0A26"/>
    <w:rsid w:val="00CB0B34"/>
    <w:rsid w:val="00CB0C9C"/>
    <w:rsid w:val="00CB1379"/>
    <w:rsid w:val="00CB146D"/>
    <w:rsid w:val="00CB183E"/>
    <w:rsid w:val="00CB285A"/>
    <w:rsid w:val="00CB28BF"/>
    <w:rsid w:val="00CB2935"/>
    <w:rsid w:val="00CB2B7C"/>
    <w:rsid w:val="00CB2B93"/>
    <w:rsid w:val="00CB2F69"/>
    <w:rsid w:val="00CB3502"/>
    <w:rsid w:val="00CB371E"/>
    <w:rsid w:val="00CB372C"/>
    <w:rsid w:val="00CB422A"/>
    <w:rsid w:val="00CB453D"/>
    <w:rsid w:val="00CB4B02"/>
    <w:rsid w:val="00CB4D62"/>
    <w:rsid w:val="00CB4E67"/>
    <w:rsid w:val="00CB541C"/>
    <w:rsid w:val="00CB69BD"/>
    <w:rsid w:val="00CB6EB7"/>
    <w:rsid w:val="00CB6F10"/>
    <w:rsid w:val="00CB7251"/>
    <w:rsid w:val="00CB7252"/>
    <w:rsid w:val="00CB72C2"/>
    <w:rsid w:val="00CB7892"/>
    <w:rsid w:val="00CC02A5"/>
    <w:rsid w:val="00CC0377"/>
    <w:rsid w:val="00CC08F4"/>
    <w:rsid w:val="00CC0929"/>
    <w:rsid w:val="00CC116B"/>
    <w:rsid w:val="00CC1274"/>
    <w:rsid w:val="00CC1790"/>
    <w:rsid w:val="00CC196D"/>
    <w:rsid w:val="00CC1CE0"/>
    <w:rsid w:val="00CC1DD6"/>
    <w:rsid w:val="00CC1ECC"/>
    <w:rsid w:val="00CC2F68"/>
    <w:rsid w:val="00CC3150"/>
    <w:rsid w:val="00CC3438"/>
    <w:rsid w:val="00CC3475"/>
    <w:rsid w:val="00CC3623"/>
    <w:rsid w:val="00CC376A"/>
    <w:rsid w:val="00CC3ABD"/>
    <w:rsid w:val="00CC4023"/>
    <w:rsid w:val="00CC410C"/>
    <w:rsid w:val="00CC477E"/>
    <w:rsid w:val="00CC4F9D"/>
    <w:rsid w:val="00CC4FCC"/>
    <w:rsid w:val="00CC5206"/>
    <w:rsid w:val="00CC5512"/>
    <w:rsid w:val="00CC55A5"/>
    <w:rsid w:val="00CC5C13"/>
    <w:rsid w:val="00CC5CDE"/>
    <w:rsid w:val="00CC6482"/>
    <w:rsid w:val="00CC6A52"/>
    <w:rsid w:val="00CC6D4B"/>
    <w:rsid w:val="00CC76A1"/>
    <w:rsid w:val="00CC7BF1"/>
    <w:rsid w:val="00CC7DEE"/>
    <w:rsid w:val="00CD0480"/>
    <w:rsid w:val="00CD052F"/>
    <w:rsid w:val="00CD070D"/>
    <w:rsid w:val="00CD0AAF"/>
    <w:rsid w:val="00CD0B90"/>
    <w:rsid w:val="00CD0DEF"/>
    <w:rsid w:val="00CD139B"/>
    <w:rsid w:val="00CD13C4"/>
    <w:rsid w:val="00CD1668"/>
    <w:rsid w:val="00CD17B3"/>
    <w:rsid w:val="00CD1C26"/>
    <w:rsid w:val="00CD270B"/>
    <w:rsid w:val="00CD295C"/>
    <w:rsid w:val="00CD2F2E"/>
    <w:rsid w:val="00CD3737"/>
    <w:rsid w:val="00CD38AB"/>
    <w:rsid w:val="00CD3C70"/>
    <w:rsid w:val="00CD44CF"/>
    <w:rsid w:val="00CD4766"/>
    <w:rsid w:val="00CD4AA6"/>
    <w:rsid w:val="00CD4BC6"/>
    <w:rsid w:val="00CD578D"/>
    <w:rsid w:val="00CD66C0"/>
    <w:rsid w:val="00CD6C52"/>
    <w:rsid w:val="00CD6D79"/>
    <w:rsid w:val="00CD6EEB"/>
    <w:rsid w:val="00CD7647"/>
    <w:rsid w:val="00CD7C58"/>
    <w:rsid w:val="00CD7D81"/>
    <w:rsid w:val="00CD7DC7"/>
    <w:rsid w:val="00CD7E1C"/>
    <w:rsid w:val="00CE0224"/>
    <w:rsid w:val="00CE097B"/>
    <w:rsid w:val="00CE0BE4"/>
    <w:rsid w:val="00CE1239"/>
    <w:rsid w:val="00CE14F4"/>
    <w:rsid w:val="00CE1559"/>
    <w:rsid w:val="00CE15C0"/>
    <w:rsid w:val="00CE1A67"/>
    <w:rsid w:val="00CE1EBE"/>
    <w:rsid w:val="00CE2373"/>
    <w:rsid w:val="00CE2B1E"/>
    <w:rsid w:val="00CE2EF0"/>
    <w:rsid w:val="00CE30F4"/>
    <w:rsid w:val="00CE3F24"/>
    <w:rsid w:val="00CE44AC"/>
    <w:rsid w:val="00CE463A"/>
    <w:rsid w:val="00CE51A2"/>
    <w:rsid w:val="00CE5616"/>
    <w:rsid w:val="00CE5784"/>
    <w:rsid w:val="00CE5CCA"/>
    <w:rsid w:val="00CE6249"/>
    <w:rsid w:val="00CE65B6"/>
    <w:rsid w:val="00CE7392"/>
    <w:rsid w:val="00CE7400"/>
    <w:rsid w:val="00CE7DE6"/>
    <w:rsid w:val="00CE7FEF"/>
    <w:rsid w:val="00CF040D"/>
    <w:rsid w:val="00CF051B"/>
    <w:rsid w:val="00CF0A2B"/>
    <w:rsid w:val="00CF0E38"/>
    <w:rsid w:val="00CF0FAC"/>
    <w:rsid w:val="00CF10CC"/>
    <w:rsid w:val="00CF1282"/>
    <w:rsid w:val="00CF15D2"/>
    <w:rsid w:val="00CF1891"/>
    <w:rsid w:val="00CF189C"/>
    <w:rsid w:val="00CF1A4D"/>
    <w:rsid w:val="00CF1AB0"/>
    <w:rsid w:val="00CF1C40"/>
    <w:rsid w:val="00CF291A"/>
    <w:rsid w:val="00CF2EEA"/>
    <w:rsid w:val="00CF346F"/>
    <w:rsid w:val="00CF34CC"/>
    <w:rsid w:val="00CF397D"/>
    <w:rsid w:val="00CF39F1"/>
    <w:rsid w:val="00CF4559"/>
    <w:rsid w:val="00CF460A"/>
    <w:rsid w:val="00CF496C"/>
    <w:rsid w:val="00CF4DC6"/>
    <w:rsid w:val="00CF5430"/>
    <w:rsid w:val="00CF59E8"/>
    <w:rsid w:val="00CF5A07"/>
    <w:rsid w:val="00CF5A16"/>
    <w:rsid w:val="00CF5C0A"/>
    <w:rsid w:val="00CF5EAE"/>
    <w:rsid w:val="00CF653C"/>
    <w:rsid w:val="00CF6A88"/>
    <w:rsid w:val="00CF6CE2"/>
    <w:rsid w:val="00CF705A"/>
    <w:rsid w:val="00CF73FE"/>
    <w:rsid w:val="00CF774E"/>
    <w:rsid w:val="00CF7D49"/>
    <w:rsid w:val="00CF7DA3"/>
    <w:rsid w:val="00D00141"/>
    <w:rsid w:val="00D001BB"/>
    <w:rsid w:val="00D00A01"/>
    <w:rsid w:val="00D00A2E"/>
    <w:rsid w:val="00D00B49"/>
    <w:rsid w:val="00D00B70"/>
    <w:rsid w:val="00D00F1E"/>
    <w:rsid w:val="00D00F48"/>
    <w:rsid w:val="00D0128C"/>
    <w:rsid w:val="00D01CDF"/>
    <w:rsid w:val="00D02125"/>
    <w:rsid w:val="00D02607"/>
    <w:rsid w:val="00D02869"/>
    <w:rsid w:val="00D037BC"/>
    <w:rsid w:val="00D037CA"/>
    <w:rsid w:val="00D0396F"/>
    <w:rsid w:val="00D039B8"/>
    <w:rsid w:val="00D04151"/>
    <w:rsid w:val="00D046EB"/>
    <w:rsid w:val="00D04E1C"/>
    <w:rsid w:val="00D04ECC"/>
    <w:rsid w:val="00D05AD4"/>
    <w:rsid w:val="00D060DF"/>
    <w:rsid w:val="00D066BA"/>
    <w:rsid w:val="00D066D7"/>
    <w:rsid w:val="00D1026D"/>
    <w:rsid w:val="00D103BB"/>
    <w:rsid w:val="00D10857"/>
    <w:rsid w:val="00D10BBC"/>
    <w:rsid w:val="00D10C56"/>
    <w:rsid w:val="00D11264"/>
    <w:rsid w:val="00D11328"/>
    <w:rsid w:val="00D11483"/>
    <w:rsid w:val="00D11CB4"/>
    <w:rsid w:val="00D11EFF"/>
    <w:rsid w:val="00D12171"/>
    <w:rsid w:val="00D1255C"/>
    <w:rsid w:val="00D128D4"/>
    <w:rsid w:val="00D12C92"/>
    <w:rsid w:val="00D131F4"/>
    <w:rsid w:val="00D136EB"/>
    <w:rsid w:val="00D13A21"/>
    <w:rsid w:val="00D142D6"/>
    <w:rsid w:val="00D14A69"/>
    <w:rsid w:val="00D14D9F"/>
    <w:rsid w:val="00D14F02"/>
    <w:rsid w:val="00D14F0C"/>
    <w:rsid w:val="00D14FB7"/>
    <w:rsid w:val="00D14FDE"/>
    <w:rsid w:val="00D15407"/>
    <w:rsid w:val="00D154C4"/>
    <w:rsid w:val="00D154DA"/>
    <w:rsid w:val="00D157ED"/>
    <w:rsid w:val="00D15B42"/>
    <w:rsid w:val="00D161EE"/>
    <w:rsid w:val="00D1622B"/>
    <w:rsid w:val="00D16B9C"/>
    <w:rsid w:val="00D16DE8"/>
    <w:rsid w:val="00D16EE3"/>
    <w:rsid w:val="00D173C2"/>
    <w:rsid w:val="00D1749B"/>
    <w:rsid w:val="00D178DB"/>
    <w:rsid w:val="00D17AD1"/>
    <w:rsid w:val="00D17D92"/>
    <w:rsid w:val="00D17F7C"/>
    <w:rsid w:val="00D2029F"/>
    <w:rsid w:val="00D2041D"/>
    <w:rsid w:val="00D20844"/>
    <w:rsid w:val="00D20F9B"/>
    <w:rsid w:val="00D22B11"/>
    <w:rsid w:val="00D22C80"/>
    <w:rsid w:val="00D22D2E"/>
    <w:rsid w:val="00D22FAC"/>
    <w:rsid w:val="00D23562"/>
    <w:rsid w:val="00D23715"/>
    <w:rsid w:val="00D23787"/>
    <w:rsid w:val="00D23CDA"/>
    <w:rsid w:val="00D2415C"/>
    <w:rsid w:val="00D24628"/>
    <w:rsid w:val="00D250A8"/>
    <w:rsid w:val="00D258CB"/>
    <w:rsid w:val="00D25981"/>
    <w:rsid w:val="00D2598A"/>
    <w:rsid w:val="00D25D9F"/>
    <w:rsid w:val="00D25FBA"/>
    <w:rsid w:val="00D26085"/>
    <w:rsid w:val="00D2650C"/>
    <w:rsid w:val="00D265FB"/>
    <w:rsid w:val="00D26718"/>
    <w:rsid w:val="00D26AD1"/>
    <w:rsid w:val="00D26B6C"/>
    <w:rsid w:val="00D26BB4"/>
    <w:rsid w:val="00D26CE6"/>
    <w:rsid w:val="00D26D21"/>
    <w:rsid w:val="00D26D37"/>
    <w:rsid w:val="00D271C5"/>
    <w:rsid w:val="00D2722A"/>
    <w:rsid w:val="00D2728F"/>
    <w:rsid w:val="00D274E8"/>
    <w:rsid w:val="00D275C1"/>
    <w:rsid w:val="00D27D2C"/>
    <w:rsid w:val="00D27F1D"/>
    <w:rsid w:val="00D27FE3"/>
    <w:rsid w:val="00D301BB"/>
    <w:rsid w:val="00D30573"/>
    <w:rsid w:val="00D30B63"/>
    <w:rsid w:val="00D31D67"/>
    <w:rsid w:val="00D31F24"/>
    <w:rsid w:val="00D3225F"/>
    <w:rsid w:val="00D3267B"/>
    <w:rsid w:val="00D32A2A"/>
    <w:rsid w:val="00D331E6"/>
    <w:rsid w:val="00D334E7"/>
    <w:rsid w:val="00D33695"/>
    <w:rsid w:val="00D33DCD"/>
    <w:rsid w:val="00D33E02"/>
    <w:rsid w:val="00D340D0"/>
    <w:rsid w:val="00D3479C"/>
    <w:rsid w:val="00D349E1"/>
    <w:rsid w:val="00D349F0"/>
    <w:rsid w:val="00D3539F"/>
    <w:rsid w:val="00D357B9"/>
    <w:rsid w:val="00D35E38"/>
    <w:rsid w:val="00D3609D"/>
    <w:rsid w:val="00D36490"/>
    <w:rsid w:val="00D36CDC"/>
    <w:rsid w:val="00D36D26"/>
    <w:rsid w:val="00D36DED"/>
    <w:rsid w:val="00D36E70"/>
    <w:rsid w:val="00D3700D"/>
    <w:rsid w:val="00D372BD"/>
    <w:rsid w:val="00D377D0"/>
    <w:rsid w:val="00D400F4"/>
    <w:rsid w:val="00D40390"/>
    <w:rsid w:val="00D40636"/>
    <w:rsid w:val="00D4066C"/>
    <w:rsid w:val="00D4085A"/>
    <w:rsid w:val="00D40CE0"/>
    <w:rsid w:val="00D40FF2"/>
    <w:rsid w:val="00D40FFF"/>
    <w:rsid w:val="00D41645"/>
    <w:rsid w:val="00D41C73"/>
    <w:rsid w:val="00D426DE"/>
    <w:rsid w:val="00D42A4C"/>
    <w:rsid w:val="00D42AA8"/>
    <w:rsid w:val="00D42AF3"/>
    <w:rsid w:val="00D42BEA"/>
    <w:rsid w:val="00D43028"/>
    <w:rsid w:val="00D43109"/>
    <w:rsid w:val="00D43151"/>
    <w:rsid w:val="00D43354"/>
    <w:rsid w:val="00D434A0"/>
    <w:rsid w:val="00D435D1"/>
    <w:rsid w:val="00D4386B"/>
    <w:rsid w:val="00D43B5D"/>
    <w:rsid w:val="00D43B67"/>
    <w:rsid w:val="00D450CA"/>
    <w:rsid w:val="00D45837"/>
    <w:rsid w:val="00D45931"/>
    <w:rsid w:val="00D45BC8"/>
    <w:rsid w:val="00D45DE3"/>
    <w:rsid w:val="00D469DE"/>
    <w:rsid w:val="00D46E7E"/>
    <w:rsid w:val="00D47192"/>
    <w:rsid w:val="00D4767E"/>
    <w:rsid w:val="00D478C4"/>
    <w:rsid w:val="00D47BA7"/>
    <w:rsid w:val="00D506F0"/>
    <w:rsid w:val="00D509B3"/>
    <w:rsid w:val="00D50AF0"/>
    <w:rsid w:val="00D50FF6"/>
    <w:rsid w:val="00D51273"/>
    <w:rsid w:val="00D52137"/>
    <w:rsid w:val="00D521EE"/>
    <w:rsid w:val="00D5268E"/>
    <w:rsid w:val="00D52F5D"/>
    <w:rsid w:val="00D53289"/>
    <w:rsid w:val="00D53782"/>
    <w:rsid w:val="00D53D12"/>
    <w:rsid w:val="00D5409A"/>
    <w:rsid w:val="00D541F8"/>
    <w:rsid w:val="00D54691"/>
    <w:rsid w:val="00D55409"/>
    <w:rsid w:val="00D555CA"/>
    <w:rsid w:val="00D55CF9"/>
    <w:rsid w:val="00D55DC2"/>
    <w:rsid w:val="00D563A4"/>
    <w:rsid w:val="00D563BD"/>
    <w:rsid w:val="00D5647E"/>
    <w:rsid w:val="00D569C5"/>
    <w:rsid w:val="00D56A47"/>
    <w:rsid w:val="00D5744A"/>
    <w:rsid w:val="00D57817"/>
    <w:rsid w:val="00D57AF2"/>
    <w:rsid w:val="00D600B6"/>
    <w:rsid w:val="00D6039D"/>
    <w:rsid w:val="00D605DA"/>
    <w:rsid w:val="00D6070F"/>
    <w:rsid w:val="00D607EE"/>
    <w:rsid w:val="00D60822"/>
    <w:rsid w:val="00D60D6F"/>
    <w:rsid w:val="00D60D9D"/>
    <w:rsid w:val="00D60F48"/>
    <w:rsid w:val="00D61115"/>
    <w:rsid w:val="00D616AA"/>
    <w:rsid w:val="00D617B0"/>
    <w:rsid w:val="00D61ACE"/>
    <w:rsid w:val="00D61C4F"/>
    <w:rsid w:val="00D61F7B"/>
    <w:rsid w:val="00D620E4"/>
    <w:rsid w:val="00D62127"/>
    <w:rsid w:val="00D624BB"/>
    <w:rsid w:val="00D62B3A"/>
    <w:rsid w:val="00D630E2"/>
    <w:rsid w:val="00D6314D"/>
    <w:rsid w:val="00D6318B"/>
    <w:rsid w:val="00D63325"/>
    <w:rsid w:val="00D633A6"/>
    <w:rsid w:val="00D633F8"/>
    <w:rsid w:val="00D635B5"/>
    <w:rsid w:val="00D6389D"/>
    <w:rsid w:val="00D63B9B"/>
    <w:rsid w:val="00D63DBF"/>
    <w:rsid w:val="00D649E1"/>
    <w:rsid w:val="00D65124"/>
    <w:rsid w:val="00D653E7"/>
    <w:rsid w:val="00D6596D"/>
    <w:rsid w:val="00D65CD1"/>
    <w:rsid w:val="00D67198"/>
    <w:rsid w:val="00D67414"/>
    <w:rsid w:val="00D67637"/>
    <w:rsid w:val="00D67D93"/>
    <w:rsid w:val="00D70310"/>
    <w:rsid w:val="00D707D0"/>
    <w:rsid w:val="00D70B74"/>
    <w:rsid w:val="00D70C69"/>
    <w:rsid w:val="00D70D5A"/>
    <w:rsid w:val="00D70F19"/>
    <w:rsid w:val="00D71B91"/>
    <w:rsid w:val="00D71F6D"/>
    <w:rsid w:val="00D729EB"/>
    <w:rsid w:val="00D72D2C"/>
    <w:rsid w:val="00D736CC"/>
    <w:rsid w:val="00D73D75"/>
    <w:rsid w:val="00D74655"/>
    <w:rsid w:val="00D74705"/>
    <w:rsid w:val="00D74F8B"/>
    <w:rsid w:val="00D752A7"/>
    <w:rsid w:val="00D752FB"/>
    <w:rsid w:val="00D7551C"/>
    <w:rsid w:val="00D755D2"/>
    <w:rsid w:val="00D75827"/>
    <w:rsid w:val="00D75942"/>
    <w:rsid w:val="00D75B96"/>
    <w:rsid w:val="00D761AC"/>
    <w:rsid w:val="00D7638E"/>
    <w:rsid w:val="00D76A51"/>
    <w:rsid w:val="00D76DC3"/>
    <w:rsid w:val="00D77496"/>
    <w:rsid w:val="00D77746"/>
    <w:rsid w:val="00D802CC"/>
    <w:rsid w:val="00D80400"/>
    <w:rsid w:val="00D80695"/>
    <w:rsid w:val="00D80813"/>
    <w:rsid w:val="00D80DDC"/>
    <w:rsid w:val="00D80E8B"/>
    <w:rsid w:val="00D80F94"/>
    <w:rsid w:val="00D81379"/>
    <w:rsid w:val="00D8153A"/>
    <w:rsid w:val="00D81F29"/>
    <w:rsid w:val="00D82ADC"/>
    <w:rsid w:val="00D837EB"/>
    <w:rsid w:val="00D839C3"/>
    <w:rsid w:val="00D83C62"/>
    <w:rsid w:val="00D83F13"/>
    <w:rsid w:val="00D84128"/>
    <w:rsid w:val="00D84B61"/>
    <w:rsid w:val="00D84D01"/>
    <w:rsid w:val="00D84DA3"/>
    <w:rsid w:val="00D8574C"/>
    <w:rsid w:val="00D86517"/>
    <w:rsid w:val="00D868CA"/>
    <w:rsid w:val="00D86CB9"/>
    <w:rsid w:val="00D870C1"/>
    <w:rsid w:val="00D871C0"/>
    <w:rsid w:val="00D8777A"/>
    <w:rsid w:val="00D87804"/>
    <w:rsid w:val="00D87AA9"/>
    <w:rsid w:val="00D87FD5"/>
    <w:rsid w:val="00D9018B"/>
    <w:rsid w:val="00D90CCA"/>
    <w:rsid w:val="00D90DFC"/>
    <w:rsid w:val="00D90EA2"/>
    <w:rsid w:val="00D918D8"/>
    <w:rsid w:val="00D91A8E"/>
    <w:rsid w:val="00D91EC4"/>
    <w:rsid w:val="00D92523"/>
    <w:rsid w:val="00D925D2"/>
    <w:rsid w:val="00D92E7A"/>
    <w:rsid w:val="00D93265"/>
    <w:rsid w:val="00D9331A"/>
    <w:rsid w:val="00D93A5D"/>
    <w:rsid w:val="00D93B05"/>
    <w:rsid w:val="00D94571"/>
    <w:rsid w:val="00D94A0C"/>
    <w:rsid w:val="00D94A94"/>
    <w:rsid w:val="00D94B70"/>
    <w:rsid w:val="00D95861"/>
    <w:rsid w:val="00D958CF"/>
    <w:rsid w:val="00D95C00"/>
    <w:rsid w:val="00D95D93"/>
    <w:rsid w:val="00D960DA"/>
    <w:rsid w:val="00D96221"/>
    <w:rsid w:val="00D96EEE"/>
    <w:rsid w:val="00D9737D"/>
    <w:rsid w:val="00D975DA"/>
    <w:rsid w:val="00D97BB3"/>
    <w:rsid w:val="00DA051C"/>
    <w:rsid w:val="00DA0CA8"/>
    <w:rsid w:val="00DA1186"/>
    <w:rsid w:val="00DA1560"/>
    <w:rsid w:val="00DA1569"/>
    <w:rsid w:val="00DA15B4"/>
    <w:rsid w:val="00DA15FD"/>
    <w:rsid w:val="00DA1705"/>
    <w:rsid w:val="00DA1C91"/>
    <w:rsid w:val="00DA1F29"/>
    <w:rsid w:val="00DA2240"/>
    <w:rsid w:val="00DA2832"/>
    <w:rsid w:val="00DA2863"/>
    <w:rsid w:val="00DA2B32"/>
    <w:rsid w:val="00DA2CB8"/>
    <w:rsid w:val="00DA2DD5"/>
    <w:rsid w:val="00DA3382"/>
    <w:rsid w:val="00DA3576"/>
    <w:rsid w:val="00DA35D8"/>
    <w:rsid w:val="00DA3C2C"/>
    <w:rsid w:val="00DA4626"/>
    <w:rsid w:val="00DA4E8B"/>
    <w:rsid w:val="00DA5886"/>
    <w:rsid w:val="00DA6069"/>
    <w:rsid w:val="00DA6158"/>
    <w:rsid w:val="00DA61AE"/>
    <w:rsid w:val="00DA6297"/>
    <w:rsid w:val="00DA6898"/>
    <w:rsid w:val="00DA68AF"/>
    <w:rsid w:val="00DA708E"/>
    <w:rsid w:val="00DA724D"/>
    <w:rsid w:val="00DA72B2"/>
    <w:rsid w:val="00DA78DD"/>
    <w:rsid w:val="00DA7D86"/>
    <w:rsid w:val="00DB0047"/>
    <w:rsid w:val="00DB00D9"/>
    <w:rsid w:val="00DB08DF"/>
    <w:rsid w:val="00DB0A75"/>
    <w:rsid w:val="00DB1374"/>
    <w:rsid w:val="00DB15F3"/>
    <w:rsid w:val="00DB1AE4"/>
    <w:rsid w:val="00DB2374"/>
    <w:rsid w:val="00DB27E6"/>
    <w:rsid w:val="00DB2FFE"/>
    <w:rsid w:val="00DB3068"/>
    <w:rsid w:val="00DB30B2"/>
    <w:rsid w:val="00DB34FB"/>
    <w:rsid w:val="00DB4571"/>
    <w:rsid w:val="00DB4A7C"/>
    <w:rsid w:val="00DB556D"/>
    <w:rsid w:val="00DB596C"/>
    <w:rsid w:val="00DB59F7"/>
    <w:rsid w:val="00DB62C2"/>
    <w:rsid w:val="00DB6B01"/>
    <w:rsid w:val="00DB71AA"/>
    <w:rsid w:val="00DB787D"/>
    <w:rsid w:val="00DB7DF7"/>
    <w:rsid w:val="00DB7E81"/>
    <w:rsid w:val="00DC0040"/>
    <w:rsid w:val="00DC02FA"/>
    <w:rsid w:val="00DC032E"/>
    <w:rsid w:val="00DC04AC"/>
    <w:rsid w:val="00DC0BF3"/>
    <w:rsid w:val="00DC10E8"/>
    <w:rsid w:val="00DC1199"/>
    <w:rsid w:val="00DC120D"/>
    <w:rsid w:val="00DC1432"/>
    <w:rsid w:val="00DC15D8"/>
    <w:rsid w:val="00DC2202"/>
    <w:rsid w:val="00DC2273"/>
    <w:rsid w:val="00DC260A"/>
    <w:rsid w:val="00DC32FF"/>
    <w:rsid w:val="00DC35A5"/>
    <w:rsid w:val="00DC364F"/>
    <w:rsid w:val="00DC39A7"/>
    <w:rsid w:val="00DC39BE"/>
    <w:rsid w:val="00DC3F14"/>
    <w:rsid w:val="00DC4270"/>
    <w:rsid w:val="00DC48E9"/>
    <w:rsid w:val="00DC5858"/>
    <w:rsid w:val="00DC6BFD"/>
    <w:rsid w:val="00DC6CCE"/>
    <w:rsid w:val="00DC7233"/>
    <w:rsid w:val="00DC77B2"/>
    <w:rsid w:val="00DC7EC7"/>
    <w:rsid w:val="00DD035A"/>
    <w:rsid w:val="00DD05F5"/>
    <w:rsid w:val="00DD090E"/>
    <w:rsid w:val="00DD10E6"/>
    <w:rsid w:val="00DD14F1"/>
    <w:rsid w:val="00DD1B65"/>
    <w:rsid w:val="00DD2CE3"/>
    <w:rsid w:val="00DD37C5"/>
    <w:rsid w:val="00DD399F"/>
    <w:rsid w:val="00DD3B48"/>
    <w:rsid w:val="00DD3DA9"/>
    <w:rsid w:val="00DD41A4"/>
    <w:rsid w:val="00DD4FB5"/>
    <w:rsid w:val="00DD4FD5"/>
    <w:rsid w:val="00DD50E2"/>
    <w:rsid w:val="00DD5499"/>
    <w:rsid w:val="00DD5793"/>
    <w:rsid w:val="00DD5BE9"/>
    <w:rsid w:val="00DD5C3B"/>
    <w:rsid w:val="00DD6218"/>
    <w:rsid w:val="00DD6303"/>
    <w:rsid w:val="00DD72A7"/>
    <w:rsid w:val="00DD79C2"/>
    <w:rsid w:val="00DD7B79"/>
    <w:rsid w:val="00DD7E0F"/>
    <w:rsid w:val="00DE02BC"/>
    <w:rsid w:val="00DE0CF3"/>
    <w:rsid w:val="00DE0E40"/>
    <w:rsid w:val="00DE0FDA"/>
    <w:rsid w:val="00DE110C"/>
    <w:rsid w:val="00DE17AE"/>
    <w:rsid w:val="00DE17B2"/>
    <w:rsid w:val="00DE1867"/>
    <w:rsid w:val="00DE19A0"/>
    <w:rsid w:val="00DE1C8B"/>
    <w:rsid w:val="00DE1D93"/>
    <w:rsid w:val="00DE23A8"/>
    <w:rsid w:val="00DE23DE"/>
    <w:rsid w:val="00DE26E3"/>
    <w:rsid w:val="00DE2CCC"/>
    <w:rsid w:val="00DE2E9B"/>
    <w:rsid w:val="00DE30E1"/>
    <w:rsid w:val="00DE31E1"/>
    <w:rsid w:val="00DE33DF"/>
    <w:rsid w:val="00DE3B34"/>
    <w:rsid w:val="00DE3D87"/>
    <w:rsid w:val="00DE439F"/>
    <w:rsid w:val="00DE43D6"/>
    <w:rsid w:val="00DE5230"/>
    <w:rsid w:val="00DE53E0"/>
    <w:rsid w:val="00DE59A8"/>
    <w:rsid w:val="00DE61D9"/>
    <w:rsid w:val="00DE645D"/>
    <w:rsid w:val="00DE6B47"/>
    <w:rsid w:val="00DE6C2C"/>
    <w:rsid w:val="00DE6D1B"/>
    <w:rsid w:val="00DE6D26"/>
    <w:rsid w:val="00DE7301"/>
    <w:rsid w:val="00DE7512"/>
    <w:rsid w:val="00DE79B1"/>
    <w:rsid w:val="00DE7A59"/>
    <w:rsid w:val="00DE7ADE"/>
    <w:rsid w:val="00DF0520"/>
    <w:rsid w:val="00DF05AF"/>
    <w:rsid w:val="00DF0BEE"/>
    <w:rsid w:val="00DF1755"/>
    <w:rsid w:val="00DF193D"/>
    <w:rsid w:val="00DF1B17"/>
    <w:rsid w:val="00DF1C3D"/>
    <w:rsid w:val="00DF1EFA"/>
    <w:rsid w:val="00DF2380"/>
    <w:rsid w:val="00DF2535"/>
    <w:rsid w:val="00DF290F"/>
    <w:rsid w:val="00DF2AFC"/>
    <w:rsid w:val="00DF2B86"/>
    <w:rsid w:val="00DF36F6"/>
    <w:rsid w:val="00DF378B"/>
    <w:rsid w:val="00DF3DB9"/>
    <w:rsid w:val="00DF4736"/>
    <w:rsid w:val="00DF4FCF"/>
    <w:rsid w:val="00DF6F38"/>
    <w:rsid w:val="00DF7048"/>
    <w:rsid w:val="00DF76BA"/>
    <w:rsid w:val="00DF7CDA"/>
    <w:rsid w:val="00DF7E47"/>
    <w:rsid w:val="00E00C60"/>
    <w:rsid w:val="00E01492"/>
    <w:rsid w:val="00E01775"/>
    <w:rsid w:val="00E01EE0"/>
    <w:rsid w:val="00E02530"/>
    <w:rsid w:val="00E0269A"/>
    <w:rsid w:val="00E029A2"/>
    <w:rsid w:val="00E02A3E"/>
    <w:rsid w:val="00E035E8"/>
    <w:rsid w:val="00E03684"/>
    <w:rsid w:val="00E037B5"/>
    <w:rsid w:val="00E0387F"/>
    <w:rsid w:val="00E03E6B"/>
    <w:rsid w:val="00E03E73"/>
    <w:rsid w:val="00E050B1"/>
    <w:rsid w:val="00E05130"/>
    <w:rsid w:val="00E0612F"/>
    <w:rsid w:val="00E061D9"/>
    <w:rsid w:val="00E067E0"/>
    <w:rsid w:val="00E07482"/>
    <w:rsid w:val="00E07786"/>
    <w:rsid w:val="00E078AD"/>
    <w:rsid w:val="00E07C1D"/>
    <w:rsid w:val="00E07C32"/>
    <w:rsid w:val="00E106F9"/>
    <w:rsid w:val="00E1091E"/>
    <w:rsid w:val="00E10D13"/>
    <w:rsid w:val="00E10D96"/>
    <w:rsid w:val="00E12232"/>
    <w:rsid w:val="00E124D5"/>
    <w:rsid w:val="00E13253"/>
    <w:rsid w:val="00E133BB"/>
    <w:rsid w:val="00E1341A"/>
    <w:rsid w:val="00E13927"/>
    <w:rsid w:val="00E13FBB"/>
    <w:rsid w:val="00E14369"/>
    <w:rsid w:val="00E14451"/>
    <w:rsid w:val="00E15014"/>
    <w:rsid w:val="00E15ADB"/>
    <w:rsid w:val="00E15D19"/>
    <w:rsid w:val="00E15DD3"/>
    <w:rsid w:val="00E15E3B"/>
    <w:rsid w:val="00E168DD"/>
    <w:rsid w:val="00E17256"/>
    <w:rsid w:val="00E17482"/>
    <w:rsid w:val="00E177B1"/>
    <w:rsid w:val="00E20014"/>
    <w:rsid w:val="00E20146"/>
    <w:rsid w:val="00E20635"/>
    <w:rsid w:val="00E20679"/>
    <w:rsid w:val="00E20C90"/>
    <w:rsid w:val="00E20E1C"/>
    <w:rsid w:val="00E210E1"/>
    <w:rsid w:val="00E21166"/>
    <w:rsid w:val="00E21282"/>
    <w:rsid w:val="00E2140A"/>
    <w:rsid w:val="00E21895"/>
    <w:rsid w:val="00E21990"/>
    <w:rsid w:val="00E21AE8"/>
    <w:rsid w:val="00E222FF"/>
    <w:rsid w:val="00E22601"/>
    <w:rsid w:val="00E228A6"/>
    <w:rsid w:val="00E229C5"/>
    <w:rsid w:val="00E22A65"/>
    <w:rsid w:val="00E2306F"/>
    <w:rsid w:val="00E23169"/>
    <w:rsid w:val="00E2366E"/>
    <w:rsid w:val="00E24442"/>
    <w:rsid w:val="00E24BD3"/>
    <w:rsid w:val="00E251EF"/>
    <w:rsid w:val="00E25238"/>
    <w:rsid w:val="00E258BB"/>
    <w:rsid w:val="00E25E4B"/>
    <w:rsid w:val="00E263FF"/>
    <w:rsid w:val="00E26D07"/>
    <w:rsid w:val="00E2708B"/>
    <w:rsid w:val="00E30128"/>
    <w:rsid w:val="00E305F9"/>
    <w:rsid w:val="00E318CB"/>
    <w:rsid w:val="00E31C99"/>
    <w:rsid w:val="00E31F54"/>
    <w:rsid w:val="00E3229C"/>
    <w:rsid w:val="00E322DF"/>
    <w:rsid w:val="00E32F46"/>
    <w:rsid w:val="00E331BE"/>
    <w:rsid w:val="00E33BDC"/>
    <w:rsid w:val="00E33E56"/>
    <w:rsid w:val="00E33EC1"/>
    <w:rsid w:val="00E341E1"/>
    <w:rsid w:val="00E35155"/>
    <w:rsid w:val="00E35469"/>
    <w:rsid w:val="00E358EE"/>
    <w:rsid w:val="00E358FD"/>
    <w:rsid w:val="00E35E8F"/>
    <w:rsid w:val="00E35F27"/>
    <w:rsid w:val="00E36456"/>
    <w:rsid w:val="00E366ED"/>
    <w:rsid w:val="00E36AA1"/>
    <w:rsid w:val="00E371D5"/>
    <w:rsid w:val="00E372DD"/>
    <w:rsid w:val="00E374AF"/>
    <w:rsid w:val="00E374BC"/>
    <w:rsid w:val="00E37513"/>
    <w:rsid w:val="00E3758F"/>
    <w:rsid w:val="00E37A3B"/>
    <w:rsid w:val="00E37A83"/>
    <w:rsid w:val="00E37B1E"/>
    <w:rsid w:val="00E37CAA"/>
    <w:rsid w:val="00E37F19"/>
    <w:rsid w:val="00E4001C"/>
    <w:rsid w:val="00E4016B"/>
    <w:rsid w:val="00E408B1"/>
    <w:rsid w:val="00E413D9"/>
    <w:rsid w:val="00E41927"/>
    <w:rsid w:val="00E41BC1"/>
    <w:rsid w:val="00E41DA0"/>
    <w:rsid w:val="00E41DE8"/>
    <w:rsid w:val="00E41F61"/>
    <w:rsid w:val="00E420DC"/>
    <w:rsid w:val="00E4222F"/>
    <w:rsid w:val="00E42332"/>
    <w:rsid w:val="00E42478"/>
    <w:rsid w:val="00E424B8"/>
    <w:rsid w:val="00E4267D"/>
    <w:rsid w:val="00E42A43"/>
    <w:rsid w:val="00E42DBC"/>
    <w:rsid w:val="00E4338D"/>
    <w:rsid w:val="00E4398D"/>
    <w:rsid w:val="00E43B1A"/>
    <w:rsid w:val="00E43D43"/>
    <w:rsid w:val="00E44891"/>
    <w:rsid w:val="00E44C9C"/>
    <w:rsid w:val="00E44F35"/>
    <w:rsid w:val="00E45297"/>
    <w:rsid w:val="00E457AA"/>
    <w:rsid w:val="00E468B2"/>
    <w:rsid w:val="00E468EC"/>
    <w:rsid w:val="00E46DAC"/>
    <w:rsid w:val="00E47065"/>
    <w:rsid w:val="00E47CA5"/>
    <w:rsid w:val="00E5073B"/>
    <w:rsid w:val="00E507C1"/>
    <w:rsid w:val="00E512C3"/>
    <w:rsid w:val="00E51454"/>
    <w:rsid w:val="00E515EF"/>
    <w:rsid w:val="00E517DF"/>
    <w:rsid w:val="00E51F52"/>
    <w:rsid w:val="00E52079"/>
    <w:rsid w:val="00E5276F"/>
    <w:rsid w:val="00E528B7"/>
    <w:rsid w:val="00E534E6"/>
    <w:rsid w:val="00E539EA"/>
    <w:rsid w:val="00E53A26"/>
    <w:rsid w:val="00E53BD8"/>
    <w:rsid w:val="00E54035"/>
    <w:rsid w:val="00E541F2"/>
    <w:rsid w:val="00E54952"/>
    <w:rsid w:val="00E54C75"/>
    <w:rsid w:val="00E54D8F"/>
    <w:rsid w:val="00E54E6E"/>
    <w:rsid w:val="00E551C5"/>
    <w:rsid w:val="00E5575C"/>
    <w:rsid w:val="00E55C02"/>
    <w:rsid w:val="00E56656"/>
    <w:rsid w:val="00E56856"/>
    <w:rsid w:val="00E56904"/>
    <w:rsid w:val="00E56B01"/>
    <w:rsid w:val="00E56E33"/>
    <w:rsid w:val="00E57056"/>
    <w:rsid w:val="00E60344"/>
    <w:rsid w:val="00E612DB"/>
    <w:rsid w:val="00E6164F"/>
    <w:rsid w:val="00E61DC2"/>
    <w:rsid w:val="00E624A6"/>
    <w:rsid w:val="00E629E9"/>
    <w:rsid w:val="00E62D5F"/>
    <w:rsid w:val="00E641A1"/>
    <w:rsid w:val="00E6426D"/>
    <w:rsid w:val="00E65C0C"/>
    <w:rsid w:val="00E66C4E"/>
    <w:rsid w:val="00E672C0"/>
    <w:rsid w:val="00E6748A"/>
    <w:rsid w:val="00E67740"/>
    <w:rsid w:val="00E6794C"/>
    <w:rsid w:val="00E67D9B"/>
    <w:rsid w:val="00E70154"/>
    <w:rsid w:val="00E70605"/>
    <w:rsid w:val="00E7064D"/>
    <w:rsid w:val="00E7086B"/>
    <w:rsid w:val="00E708FB"/>
    <w:rsid w:val="00E70ABE"/>
    <w:rsid w:val="00E70C0C"/>
    <w:rsid w:val="00E70D28"/>
    <w:rsid w:val="00E71059"/>
    <w:rsid w:val="00E710EB"/>
    <w:rsid w:val="00E714EA"/>
    <w:rsid w:val="00E71785"/>
    <w:rsid w:val="00E71D5F"/>
    <w:rsid w:val="00E72019"/>
    <w:rsid w:val="00E72B9C"/>
    <w:rsid w:val="00E73676"/>
    <w:rsid w:val="00E73809"/>
    <w:rsid w:val="00E73ED0"/>
    <w:rsid w:val="00E750A2"/>
    <w:rsid w:val="00E7517D"/>
    <w:rsid w:val="00E757E3"/>
    <w:rsid w:val="00E75C73"/>
    <w:rsid w:val="00E75D4A"/>
    <w:rsid w:val="00E75E43"/>
    <w:rsid w:val="00E75E46"/>
    <w:rsid w:val="00E76829"/>
    <w:rsid w:val="00E774D7"/>
    <w:rsid w:val="00E7789C"/>
    <w:rsid w:val="00E77AF8"/>
    <w:rsid w:val="00E77E9D"/>
    <w:rsid w:val="00E8024C"/>
    <w:rsid w:val="00E807D3"/>
    <w:rsid w:val="00E80D24"/>
    <w:rsid w:val="00E80D9C"/>
    <w:rsid w:val="00E80EEF"/>
    <w:rsid w:val="00E80F36"/>
    <w:rsid w:val="00E811E1"/>
    <w:rsid w:val="00E81584"/>
    <w:rsid w:val="00E829E4"/>
    <w:rsid w:val="00E82C4B"/>
    <w:rsid w:val="00E831C2"/>
    <w:rsid w:val="00E833D9"/>
    <w:rsid w:val="00E8383A"/>
    <w:rsid w:val="00E84B88"/>
    <w:rsid w:val="00E84BDC"/>
    <w:rsid w:val="00E85A7C"/>
    <w:rsid w:val="00E85E8F"/>
    <w:rsid w:val="00E86005"/>
    <w:rsid w:val="00E860BB"/>
    <w:rsid w:val="00E86733"/>
    <w:rsid w:val="00E86AD1"/>
    <w:rsid w:val="00E86E1D"/>
    <w:rsid w:val="00E87788"/>
    <w:rsid w:val="00E87CA6"/>
    <w:rsid w:val="00E87ECA"/>
    <w:rsid w:val="00E905EB"/>
    <w:rsid w:val="00E910B7"/>
    <w:rsid w:val="00E91513"/>
    <w:rsid w:val="00E91A4C"/>
    <w:rsid w:val="00E91C7F"/>
    <w:rsid w:val="00E91D9B"/>
    <w:rsid w:val="00E9243E"/>
    <w:rsid w:val="00E924DB"/>
    <w:rsid w:val="00E925A2"/>
    <w:rsid w:val="00E92E8F"/>
    <w:rsid w:val="00E92FB5"/>
    <w:rsid w:val="00E93424"/>
    <w:rsid w:val="00E934A3"/>
    <w:rsid w:val="00E93915"/>
    <w:rsid w:val="00E93A74"/>
    <w:rsid w:val="00E9431F"/>
    <w:rsid w:val="00E947EC"/>
    <w:rsid w:val="00E95355"/>
    <w:rsid w:val="00E953FE"/>
    <w:rsid w:val="00E95682"/>
    <w:rsid w:val="00E95802"/>
    <w:rsid w:val="00E958F3"/>
    <w:rsid w:val="00E95F75"/>
    <w:rsid w:val="00E96D1F"/>
    <w:rsid w:val="00E96D68"/>
    <w:rsid w:val="00E96DDD"/>
    <w:rsid w:val="00E97403"/>
    <w:rsid w:val="00E975A6"/>
    <w:rsid w:val="00E979DA"/>
    <w:rsid w:val="00E97A9E"/>
    <w:rsid w:val="00EA0BA5"/>
    <w:rsid w:val="00EA0DA0"/>
    <w:rsid w:val="00EA14BB"/>
    <w:rsid w:val="00EA159C"/>
    <w:rsid w:val="00EA1610"/>
    <w:rsid w:val="00EA1841"/>
    <w:rsid w:val="00EA2367"/>
    <w:rsid w:val="00EA2532"/>
    <w:rsid w:val="00EA25D0"/>
    <w:rsid w:val="00EA380E"/>
    <w:rsid w:val="00EA39AA"/>
    <w:rsid w:val="00EA3FB1"/>
    <w:rsid w:val="00EA4638"/>
    <w:rsid w:val="00EA46D9"/>
    <w:rsid w:val="00EA4705"/>
    <w:rsid w:val="00EA49F9"/>
    <w:rsid w:val="00EA4AAA"/>
    <w:rsid w:val="00EA513B"/>
    <w:rsid w:val="00EA53A2"/>
    <w:rsid w:val="00EA59DD"/>
    <w:rsid w:val="00EA5B5B"/>
    <w:rsid w:val="00EA5C1C"/>
    <w:rsid w:val="00EA5E51"/>
    <w:rsid w:val="00EA64E0"/>
    <w:rsid w:val="00EA6788"/>
    <w:rsid w:val="00EA6B53"/>
    <w:rsid w:val="00EA6EC5"/>
    <w:rsid w:val="00EA78D5"/>
    <w:rsid w:val="00EA7C46"/>
    <w:rsid w:val="00EA7E71"/>
    <w:rsid w:val="00EB0905"/>
    <w:rsid w:val="00EB09D2"/>
    <w:rsid w:val="00EB0D1F"/>
    <w:rsid w:val="00EB0EF5"/>
    <w:rsid w:val="00EB13BB"/>
    <w:rsid w:val="00EB1479"/>
    <w:rsid w:val="00EB1760"/>
    <w:rsid w:val="00EB19EF"/>
    <w:rsid w:val="00EB1E44"/>
    <w:rsid w:val="00EB2162"/>
    <w:rsid w:val="00EB2337"/>
    <w:rsid w:val="00EB2352"/>
    <w:rsid w:val="00EB2389"/>
    <w:rsid w:val="00EB2574"/>
    <w:rsid w:val="00EB3048"/>
    <w:rsid w:val="00EB34F6"/>
    <w:rsid w:val="00EB3692"/>
    <w:rsid w:val="00EB3741"/>
    <w:rsid w:val="00EB37F4"/>
    <w:rsid w:val="00EB3F5D"/>
    <w:rsid w:val="00EB47C7"/>
    <w:rsid w:val="00EB4C07"/>
    <w:rsid w:val="00EB4E5D"/>
    <w:rsid w:val="00EB51EE"/>
    <w:rsid w:val="00EB5859"/>
    <w:rsid w:val="00EB5BE2"/>
    <w:rsid w:val="00EB6397"/>
    <w:rsid w:val="00EB666D"/>
    <w:rsid w:val="00EB6673"/>
    <w:rsid w:val="00EB694F"/>
    <w:rsid w:val="00EB6C15"/>
    <w:rsid w:val="00EB741E"/>
    <w:rsid w:val="00EB7E69"/>
    <w:rsid w:val="00EC014C"/>
    <w:rsid w:val="00EC0A15"/>
    <w:rsid w:val="00EC0EEB"/>
    <w:rsid w:val="00EC0F25"/>
    <w:rsid w:val="00EC1573"/>
    <w:rsid w:val="00EC1D23"/>
    <w:rsid w:val="00EC1EE4"/>
    <w:rsid w:val="00EC21CC"/>
    <w:rsid w:val="00EC319D"/>
    <w:rsid w:val="00EC36FF"/>
    <w:rsid w:val="00EC451B"/>
    <w:rsid w:val="00EC4627"/>
    <w:rsid w:val="00EC4A15"/>
    <w:rsid w:val="00EC4CE5"/>
    <w:rsid w:val="00EC4DD4"/>
    <w:rsid w:val="00EC4EE8"/>
    <w:rsid w:val="00EC50D3"/>
    <w:rsid w:val="00EC5281"/>
    <w:rsid w:val="00EC5C13"/>
    <w:rsid w:val="00EC5C8F"/>
    <w:rsid w:val="00EC5DE0"/>
    <w:rsid w:val="00EC60E1"/>
    <w:rsid w:val="00EC6208"/>
    <w:rsid w:val="00EC637D"/>
    <w:rsid w:val="00EC6B81"/>
    <w:rsid w:val="00EC6BDD"/>
    <w:rsid w:val="00EC6DA5"/>
    <w:rsid w:val="00EC737A"/>
    <w:rsid w:val="00EC7424"/>
    <w:rsid w:val="00EC7C39"/>
    <w:rsid w:val="00ED0360"/>
    <w:rsid w:val="00ED03E1"/>
    <w:rsid w:val="00ED0E69"/>
    <w:rsid w:val="00ED17BA"/>
    <w:rsid w:val="00ED17E9"/>
    <w:rsid w:val="00ED1B71"/>
    <w:rsid w:val="00ED1DCA"/>
    <w:rsid w:val="00ED1E21"/>
    <w:rsid w:val="00ED2758"/>
    <w:rsid w:val="00ED276A"/>
    <w:rsid w:val="00ED2D4B"/>
    <w:rsid w:val="00ED321B"/>
    <w:rsid w:val="00ED37A2"/>
    <w:rsid w:val="00ED3899"/>
    <w:rsid w:val="00ED3DD5"/>
    <w:rsid w:val="00ED3E0D"/>
    <w:rsid w:val="00ED40BB"/>
    <w:rsid w:val="00ED4428"/>
    <w:rsid w:val="00ED5057"/>
    <w:rsid w:val="00ED5579"/>
    <w:rsid w:val="00ED55C0"/>
    <w:rsid w:val="00ED55D4"/>
    <w:rsid w:val="00ED5638"/>
    <w:rsid w:val="00ED5D01"/>
    <w:rsid w:val="00ED5F20"/>
    <w:rsid w:val="00ED5FDF"/>
    <w:rsid w:val="00ED635A"/>
    <w:rsid w:val="00ED636F"/>
    <w:rsid w:val="00ED64C2"/>
    <w:rsid w:val="00ED6653"/>
    <w:rsid w:val="00ED69AF"/>
    <w:rsid w:val="00ED7184"/>
    <w:rsid w:val="00ED7A6A"/>
    <w:rsid w:val="00ED7DCD"/>
    <w:rsid w:val="00EE03A7"/>
    <w:rsid w:val="00EE0462"/>
    <w:rsid w:val="00EE07AF"/>
    <w:rsid w:val="00EE10A6"/>
    <w:rsid w:val="00EE163E"/>
    <w:rsid w:val="00EE1C0E"/>
    <w:rsid w:val="00EE1C21"/>
    <w:rsid w:val="00EE1E62"/>
    <w:rsid w:val="00EE1E80"/>
    <w:rsid w:val="00EE1F1C"/>
    <w:rsid w:val="00EE1FA8"/>
    <w:rsid w:val="00EE1FCA"/>
    <w:rsid w:val="00EE1FD9"/>
    <w:rsid w:val="00EE2284"/>
    <w:rsid w:val="00EE2B84"/>
    <w:rsid w:val="00EE2C48"/>
    <w:rsid w:val="00EE2F96"/>
    <w:rsid w:val="00EE322D"/>
    <w:rsid w:val="00EE345F"/>
    <w:rsid w:val="00EE35D0"/>
    <w:rsid w:val="00EE36C1"/>
    <w:rsid w:val="00EE3717"/>
    <w:rsid w:val="00EE3908"/>
    <w:rsid w:val="00EE3AF8"/>
    <w:rsid w:val="00EE3DAE"/>
    <w:rsid w:val="00EE40C7"/>
    <w:rsid w:val="00EE4238"/>
    <w:rsid w:val="00EE4256"/>
    <w:rsid w:val="00EE441E"/>
    <w:rsid w:val="00EE467B"/>
    <w:rsid w:val="00EE46A3"/>
    <w:rsid w:val="00EE4B95"/>
    <w:rsid w:val="00EE5121"/>
    <w:rsid w:val="00EE5191"/>
    <w:rsid w:val="00EE55A5"/>
    <w:rsid w:val="00EE5839"/>
    <w:rsid w:val="00EE5932"/>
    <w:rsid w:val="00EE697A"/>
    <w:rsid w:val="00EE6AC6"/>
    <w:rsid w:val="00EE6B7D"/>
    <w:rsid w:val="00EE6FE4"/>
    <w:rsid w:val="00EE72AE"/>
    <w:rsid w:val="00EE788D"/>
    <w:rsid w:val="00EE7A9A"/>
    <w:rsid w:val="00EE7B2C"/>
    <w:rsid w:val="00EE7F4A"/>
    <w:rsid w:val="00EF02EF"/>
    <w:rsid w:val="00EF03BA"/>
    <w:rsid w:val="00EF0861"/>
    <w:rsid w:val="00EF0F3C"/>
    <w:rsid w:val="00EF125E"/>
    <w:rsid w:val="00EF14B6"/>
    <w:rsid w:val="00EF1AC3"/>
    <w:rsid w:val="00EF1AE7"/>
    <w:rsid w:val="00EF1F3F"/>
    <w:rsid w:val="00EF203E"/>
    <w:rsid w:val="00EF22D9"/>
    <w:rsid w:val="00EF2DE5"/>
    <w:rsid w:val="00EF31EF"/>
    <w:rsid w:val="00EF398E"/>
    <w:rsid w:val="00EF39E3"/>
    <w:rsid w:val="00EF3B06"/>
    <w:rsid w:val="00EF3C69"/>
    <w:rsid w:val="00EF3EE0"/>
    <w:rsid w:val="00EF3EFB"/>
    <w:rsid w:val="00EF3F49"/>
    <w:rsid w:val="00EF3F6B"/>
    <w:rsid w:val="00EF43CB"/>
    <w:rsid w:val="00EF4414"/>
    <w:rsid w:val="00EF47A0"/>
    <w:rsid w:val="00EF4A9A"/>
    <w:rsid w:val="00EF4B9B"/>
    <w:rsid w:val="00EF4D0D"/>
    <w:rsid w:val="00EF4D36"/>
    <w:rsid w:val="00EF4F77"/>
    <w:rsid w:val="00EF5216"/>
    <w:rsid w:val="00EF5286"/>
    <w:rsid w:val="00EF5363"/>
    <w:rsid w:val="00EF551E"/>
    <w:rsid w:val="00EF5930"/>
    <w:rsid w:val="00EF5B2A"/>
    <w:rsid w:val="00EF612A"/>
    <w:rsid w:val="00EF6419"/>
    <w:rsid w:val="00EF6FA0"/>
    <w:rsid w:val="00EF7480"/>
    <w:rsid w:val="00EF748B"/>
    <w:rsid w:val="00EF7AD1"/>
    <w:rsid w:val="00EF7D73"/>
    <w:rsid w:val="00EF7F61"/>
    <w:rsid w:val="00F002A3"/>
    <w:rsid w:val="00F006DC"/>
    <w:rsid w:val="00F007AF"/>
    <w:rsid w:val="00F0174D"/>
    <w:rsid w:val="00F01DF3"/>
    <w:rsid w:val="00F01FD7"/>
    <w:rsid w:val="00F0235C"/>
    <w:rsid w:val="00F025FE"/>
    <w:rsid w:val="00F02B57"/>
    <w:rsid w:val="00F02F4D"/>
    <w:rsid w:val="00F02FFD"/>
    <w:rsid w:val="00F035E4"/>
    <w:rsid w:val="00F03783"/>
    <w:rsid w:val="00F03A6A"/>
    <w:rsid w:val="00F04152"/>
    <w:rsid w:val="00F04424"/>
    <w:rsid w:val="00F04AC8"/>
    <w:rsid w:val="00F04E08"/>
    <w:rsid w:val="00F04ED7"/>
    <w:rsid w:val="00F051A9"/>
    <w:rsid w:val="00F0542D"/>
    <w:rsid w:val="00F05D7E"/>
    <w:rsid w:val="00F06D95"/>
    <w:rsid w:val="00F0783F"/>
    <w:rsid w:val="00F07DD1"/>
    <w:rsid w:val="00F104F8"/>
    <w:rsid w:val="00F10533"/>
    <w:rsid w:val="00F1075A"/>
    <w:rsid w:val="00F1092C"/>
    <w:rsid w:val="00F10DCA"/>
    <w:rsid w:val="00F1113C"/>
    <w:rsid w:val="00F111FF"/>
    <w:rsid w:val="00F1139B"/>
    <w:rsid w:val="00F11575"/>
    <w:rsid w:val="00F1159A"/>
    <w:rsid w:val="00F11964"/>
    <w:rsid w:val="00F11A7B"/>
    <w:rsid w:val="00F1205D"/>
    <w:rsid w:val="00F122C8"/>
    <w:rsid w:val="00F12AF8"/>
    <w:rsid w:val="00F135F0"/>
    <w:rsid w:val="00F13719"/>
    <w:rsid w:val="00F13A36"/>
    <w:rsid w:val="00F13C18"/>
    <w:rsid w:val="00F13EA7"/>
    <w:rsid w:val="00F14620"/>
    <w:rsid w:val="00F146AB"/>
    <w:rsid w:val="00F1490F"/>
    <w:rsid w:val="00F14B53"/>
    <w:rsid w:val="00F14D07"/>
    <w:rsid w:val="00F14E4D"/>
    <w:rsid w:val="00F16108"/>
    <w:rsid w:val="00F162F1"/>
    <w:rsid w:val="00F167CF"/>
    <w:rsid w:val="00F16B35"/>
    <w:rsid w:val="00F16BEE"/>
    <w:rsid w:val="00F17121"/>
    <w:rsid w:val="00F1728D"/>
    <w:rsid w:val="00F17947"/>
    <w:rsid w:val="00F17B87"/>
    <w:rsid w:val="00F17BE3"/>
    <w:rsid w:val="00F17D53"/>
    <w:rsid w:val="00F17D93"/>
    <w:rsid w:val="00F17F54"/>
    <w:rsid w:val="00F2002A"/>
    <w:rsid w:val="00F20157"/>
    <w:rsid w:val="00F20372"/>
    <w:rsid w:val="00F20749"/>
    <w:rsid w:val="00F20890"/>
    <w:rsid w:val="00F2132D"/>
    <w:rsid w:val="00F21B1C"/>
    <w:rsid w:val="00F21B25"/>
    <w:rsid w:val="00F21B8E"/>
    <w:rsid w:val="00F22204"/>
    <w:rsid w:val="00F22931"/>
    <w:rsid w:val="00F229DA"/>
    <w:rsid w:val="00F22D02"/>
    <w:rsid w:val="00F23177"/>
    <w:rsid w:val="00F23B77"/>
    <w:rsid w:val="00F23C9F"/>
    <w:rsid w:val="00F23EC1"/>
    <w:rsid w:val="00F242C3"/>
    <w:rsid w:val="00F2454E"/>
    <w:rsid w:val="00F2455C"/>
    <w:rsid w:val="00F245D3"/>
    <w:rsid w:val="00F24CDC"/>
    <w:rsid w:val="00F24FE5"/>
    <w:rsid w:val="00F25034"/>
    <w:rsid w:val="00F25140"/>
    <w:rsid w:val="00F25DA9"/>
    <w:rsid w:val="00F26063"/>
    <w:rsid w:val="00F26652"/>
    <w:rsid w:val="00F2666C"/>
    <w:rsid w:val="00F2691B"/>
    <w:rsid w:val="00F26BA6"/>
    <w:rsid w:val="00F26C7D"/>
    <w:rsid w:val="00F2708A"/>
    <w:rsid w:val="00F2786B"/>
    <w:rsid w:val="00F302B3"/>
    <w:rsid w:val="00F3052B"/>
    <w:rsid w:val="00F30E3E"/>
    <w:rsid w:val="00F313B3"/>
    <w:rsid w:val="00F316CA"/>
    <w:rsid w:val="00F31B25"/>
    <w:rsid w:val="00F31C84"/>
    <w:rsid w:val="00F322D9"/>
    <w:rsid w:val="00F3298D"/>
    <w:rsid w:val="00F3309D"/>
    <w:rsid w:val="00F3341E"/>
    <w:rsid w:val="00F33439"/>
    <w:rsid w:val="00F33B6E"/>
    <w:rsid w:val="00F34AEE"/>
    <w:rsid w:val="00F34CDF"/>
    <w:rsid w:val="00F3505D"/>
    <w:rsid w:val="00F3553D"/>
    <w:rsid w:val="00F35586"/>
    <w:rsid w:val="00F3572F"/>
    <w:rsid w:val="00F35887"/>
    <w:rsid w:val="00F35925"/>
    <w:rsid w:val="00F35B44"/>
    <w:rsid w:val="00F35FA9"/>
    <w:rsid w:val="00F370D5"/>
    <w:rsid w:val="00F3745F"/>
    <w:rsid w:val="00F40126"/>
    <w:rsid w:val="00F411CD"/>
    <w:rsid w:val="00F412C3"/>
    <w:rsid w:val="00F412D6"/>
    <w:rsid w:val="00F4188E"/>
    <w:rsid w:val="00F41EDA"/>
    <w:rsid w:val="00F4279F"/>
    <w:rsid w:val="00F42F99"/>
    <w:rsid w:val="00F43130"/>
    <w:rsid w:val="00F432FB"/>
    <w:rsid w:val="00F43842"/>
    <w:rsid w:val="00F4385B"/>
    <w:rsid w:val="00F43C5E"/>
    <w:rsid w:val="00F442DE"/>
    <w:rsid w:val="00F4436E"/>
    <w:rsid w:val="00F44759"/>
    <w:rsid w:val="00F4481C"/>
    <w:rsid w:val="00F44CDC"/>
    <w:rsid w:val="00F44FDC"/>
    <w:rsid w:val="00F45629"/>
    <w:rsid w:val="00F45972"/>
    <w:rsid w:val="00F45A7A"/>
    <w:rsid w:val="00F464B2"/>
    <w:rsid w:val="00F469B0"/>
    <w:rsid w:val="00F471CC"/>
    <w:rsid w:val="00F472F8"/>
    <w:rsid w:val="00F500B3"/>
    <w:rsid w:val="00F500E1"/>
    <w:rsid w:val="00F506C2"/>
    <w:rsid w:val="00F50BC2"/>
    <w:rsid w:val="00F50D69"/>
    <w:rsid w:val="00F51686"/>
    <w:rsid w:val="00F5239C"/>
    <w:rsid w:val="00F52CF7"/>
    <w:rsid w:val="00F53226"/>
    <w:rsid w:val="00F5337B"/>
    <w:rsid w:val="00F5347B"/>
    <w:rsid w:val="00F53636"/>
    <w:rsid w:val="00F53CF2"/>
    <w:rsid w:val="00F53DAB"/>
    <w:rsid w:val="00F53DB5"/>
    <w:rsid w:val="00F54032"/>
    <w:rsid w:val="00F54C93"/>
    <w:rsid w:val="00F55536"/>
    <w:rsid w:val="00F557F4"/>
    <w:rsid w:val="00F55901"/>
    <w:rsid w:val="00F55DD4"/>
    <w:rsid w:val="00F56B8D"/>
    <w:rsid w:val="00F57118"/>
    <w:rsid w:val="00F60249"/>
    <w:rsid w:val="00F6028D"/>
    <w:rsid w:val="00F603BD"/>
    <w:rsid w:val="00F6061E"/>
    <w:rsid w:val="00F6103A"/>
    <w:rsid w:val="00F61669"/>
    <w:rsid w:val="00F619A2"/>
    <w:rsid w:val="00F61AD1"/>
    <w:rsid w:val="00F61BEC"/>
    <w:rsid w:val="00F622BC"/>
    <w:rsid w:val="00F624A6"/>
    <w:rsid w:val="00F62531"/>
    <w:rsid w:val="00F62B53"/>
    <w:rsid w:val="00F62F62"/>
    <w:rsid w:val="00F63765"/>
    <w:rsid w:val="00F63830"/>
    <w:rsid w:val="00F639B0"/>
    <w:rsid w:val="00F63C1F"/>
    <w:rsid w:val="00F640BD"/>
    <w:rsid w:val="00F64B3F"/>
    <w:rsid w:val="00F64C1E"/>
    <w:rsid w:val="00F65759"/>
    <w:rsid w:val="00F65BF4"/>
    <w:rsid w:val="00F65C12"/>
    <w:rsid w:val="00F65ECB"/>
    <w:rsid w:val="00F661C8"/>
    <w:rsid w:val="00F66B7B"/>
    <w:rsid w:val="00F66DA8"/>
    <w:rsid w:val="00F66F64"/>
    <w:rsid w:val="00F67ADA"/>
    <w:rsid w:val="00F70425"/>
    <w:rsid w:val="00F70456"/>
    <w:rsid w:val="00F70A78"/>
    <w:rsid w:val="00F70ACD"/>
    <w:rsid w:val="00F70B96"/>
    <w:rsid w:val="00F7127E"/>
    <w:rsid w:val="00F713B6"/>
    <w:rsid w:val="00F7142D"/>
    <w:rsid w:val="00F71489"/>
    <w:rsid w:val="00F715E5"/>
    <w:rsid w:val="00F71E02"/>
    <w:rsid w:val="00F72766"/>
    <w:rsid w:val="00F7276B"/>
    <w:rsid w:val="00F72928"/>
    <w:rsid w:val="00F72A25"/>
    <w:rsid w:val="00F72B01"/>
    <w:rsid w:val="00F7374C"/>
    <w:rsid w:val="00F74396"/>
    <w:rsid w:val="00F752E8"/>
    <w:rsid w:val="00F753A3"/>
    <w:rsid w:val="00F75805"/>
    <w:rsid w:val="00F7636D"/>
    <w:rsid w:val="00F768C0"/>
    <w:rsid w:val="00F768E4"/>
    <w:rsid w:val="00F7718C"/>
    <w:rsid w:val="00F77CF4"/>
    <w:rsid w:val="00F77D70"/>
    <w:rsid w:val="00F800E7"/>
    <w:rsid w:val="00F8049D"/>
    <w:rsid w:val="00F804CE"/>
    <w:rsid w:val="00F80528"/>
    <w:rsid w:val="00F80648"/>
    <w:rsid w:val="00F806B2"/>
    <w:rsid w:val="00F809E2"/>
    <w:rsid w:val="00F80A71"/>
    <w:rsid w:val="00F80E8F"/>
    <w:rsid w:val="00F80F6F"/>
    <w:rsid w:val="00F8169B"/>
    <w:rsid w:val="00F81970"/>
    <w:rsid w:val="00F81BFA"/>
    <w:rsid w:val="00F81CAE"/>
    <w:rsid w:val="00F823D2"/>
    <w:rsid w:val="00F82965"/>
    <w:rsid w:val="00F82EEB"/>
    <w:rsid w:val="00F8313D"/>
    <w:rsid w:val="00F83334"/>
    <w:rsid w:val="00F83B5E"/>
    <w:rsid w:val="00F8424F"/>
    <w:rsid w:val="00F84982"/>
    <w:rsid w:val="00F85038"/>
    <w:rsid w:val="00F853D7"/>
    <w:rsid w:val="00F854A1"/>
    <w:rsid w:val="00F85B7D"/>
    <w:rsid w:val="00F85C5E"/>
    <w:rsid w:val="00F85F71"/>
    <w:rsid w:val="00F86015"/>
    <w:rsid w:val="00F86372"/>
    <w:rsid w:val="00F863F3"/>
    <w:rsid w:val="00F86658"/>
    <w:rsid w:val="00F8777B"/>
    <w:rsid w:val="00F879E3"/>
    <w:rsid w:val="00F900B6"/>
    <w:rsid w:val="00F90204"/>
    <w:rsid w:val="00F90225"/>
    <w:rsid w:val="00F90282"/>
    <w:rsid w:val="00F90398"/>
    <w:rsid w:val="00F905AC"/>
    <w:rsid w:val="00F9154D"/>
    <w:rsid w:val="00F916B5"/>
    <w:rsid w:val="00F91DA6"/>
    <w:rsid w:val="00F91E3D"/>
    <w:rsid w:val="00F92042"/>
    <w:rsid w:val="00F92A93"/>
    <w:rsid w:val="00F92BE4"/>
    <w:rsid w:val="00F92F60"/>
    <w:rsid w:val="00F93555"/>
    <w:rsid w:val="00F93860"/>
    <w:rsid w:val="00F93CA2"/>
    <w:rsid w:val="00F93CF8"/>
    <w:rsid w:val="00F93EC1"/>
    <w:rsid w:val="00F94656"/>
    <w:rsid w:val="00F946D8"/>
    <w:rsid w:val="00F9512B"/>
    <w:rsid w:val="00F9536D"/>
    <w:rsid w:val="00F953FD"/>
    <w:rsid w:val="00F96DC6"/>
    <w:rsid w:val="00F9759F"/>
    <w:rsid w:val="00F97B73"/>
    <w:rsid w:val="00FA0354"/>
    <w:rsid w:val="00FA04B5"/>
    <w:rsid w:val="00FA056B"/>
    <w:rsid w:val="00FA076C"/>
    <w:rsid w:val="00FA0AB3"/>
    <w:rsid w:val="00FA0B70"/>
    <w:rsid w:val="00FA296A"/>
    <w:rsid w:val="00FA2E53"/>
    <w:rsid w:val="00FA311F"/>
    <w:rsid w:val="00FA32BE"/>
    <w:rsid w:val="00FA33D1"/>
    <w:rsid w:val="00FA34BD"/>
    <w:rsid w:val="00FA35A1"/>
    <w:rsid w:val="00FA35E2"/>
    <w:rsid w:val="00FA3CBF"/>
    <w:rsid w:val="00FA3F56"/>
    <w:rsid w:val="00FA40A1"/>
    <w:rsid w:val="00FA4290"/>
    <w:rsid w:val="00FA43FC"/>
    <w:rsid w:val="00FA46C0"/>
    <w:rsid w:val="00FA5BCE"/>
    <w:rsid w:val="00FA5FF9"/>
    <w:rsid w:val="00FA669C"/>
    <w:rsid w:val="00FA699E"/>
    <w:rsid w:val="00FA6F0F"/>
    <w:rsid w:val="00FA7384"/>
    <w:rsid w:val="00FA75A4"/>
    <w:rsid w:val="00FA7675"/>
    <w:rsid w:val="00FB000A"/>
    <w:rsid w:val="00FB0024"/>
    <w:rsid w:val="00FB03F0"/>
    <w:rsid w:val="00FB0648"/>
    <w:rsid w:val="00FB0B36"/>
    <w:rsid w:val="00FB0B66"/>
    <w:rsid w:val="00FB1381"/>
    <w:rsid w:val="00FB13B1"/>
    <w:rsid w:val="00FB14DC"/>
    <w:rsid w:val="00FB15E1"/>
    <w:rsid w:val="00FB1914"/>
    <w:rsid w:val="00FB23C5"/>
    <w:rsid w:val="00FB2670"/>
    <w:rsid w:val="00FB2741"/>
    <w:rsid w:val="00FB275F"/>
    <w:rsid w:val="00FB27A0"/>
    <w:rsid w:val="00FB2F66"/>
    <w:rsid w:val="00FB3533"/>
    <w:rsid w:val="00FB3E26"/>
    <w:rsid w:val="00FB433B"/>
    <w:rsid w:val="00FB437B"/>
    <w:rsid w:val="00FB4749"/>
    <w:rsid w:val="00FB4882"/>
    <w:rsid w:val="00FB4DA5"/>
    <w:rsid w:val="00FB4FDC"/>
    <w:rsid w:val="00FB5403"/>
    <w:rsid w:val="00FB577D"/>
    <w:rsid w:val="00FB5792"/>
    <w:rsid w:val="00FB5FC4"/>
    <w:rsid w:val="00FB60D2"/>
    <w:rsid w:val="00FB63CA"/>
    <w:rsid w:val="00FB65EE"/>
    <w:rsid w:val="00FB6A1F"/>
    <w:rsid w:val="00FB6CBE"/>
    <w:rsid w:val="00FB6DBD"/>
    <w:rsid w:val="00FB7DFC"/>
    <w:rsid w:val="00FC0433"/>
    <w:rsid w:val="00FC0507"/>
    <w:rsid w:val="00FC0781"/>
    <w:rsid w:val="00FC0F60"/>
    <w:rsid w:val="00FC0F61"/>
    <w:rsid w:val="00FC1352"/>
    <w:rsid w:val="00FC16DE"/>
    <w:rsid w:val="00FC18E5"/>
    <w:rsid w:val="00FC265B"/>
    <w:rsid w:val="00FC3590"/>
    <w:rsid w:val="00FC3A37"/>
    <w:rsid w:val="00FC3D0C"/>
    <w:rsid w:val="00FC3D8F"/>
    <w:rsid w:val="00FC3E23"/>
    <w:rsid w:val="00FC41C8"/>
    <w:rsid w:val="00FC470C"/>
    <w:rsid w:val="00FC474D"/>
    <w:rsid w:val="00FC4923"/>
    <w:rsid w:val="00FC493C"/>
    <w:rsid w:val="00FC4AC3"/>
    <w:rsid w:val="00FC4C2E"/>
    <w:rsid w:val="00FC50C9"/>
    <w:rsid w:val="00FC5646"/>
    <w:rsid w:val="00FC598C"/>
    <w:rsid w:val="00FC5C85"/>
    <w:rsid w:val="00FC60FE"/>
    <w:rsid w:val="00FC624F"/>
    <w:rsid w:val="00FC665C"/>
    <w:rsid w:val="00FC6925"/>
    <w:rsid w:val="00FC70F2"/>
    <w:rsid w:val="00FC7946"/>
    <w:rsid w:val="00FD0066"/>
    <w:rsid w:val="00FD01BA"/>
    <w:rsid w:val="00FD0BF8"/>
    <w:rsid w:val="00FD0C20"/>
    <w:rsid w:val="00FD1361"/>
    <w:rsid w:val="00FD1769"/>
    <w:rsid w:val="00FD1A7D"/>
    <w:rsid w:val="00FD1A8F"/>
    <w:rsid w:val="00FD20D4"/>
    <w:rsid w:val="00FD2F68"/>
    <w:rsid w:val="00FD3637"/>
    <w:rsid w:val="00FD37EC"/>
    <w:rsid w:val="00FD3891"/>
    <w:rsid w:val="00FD3A3E"/>
    <w:rsid w:val="00FD3E3F"/>
    <w:rsid w:val="00FD406D"/>
    <w:rsid w:val="00FD451B"/>
    <w:rsid w:val="00FD4675"/>
    <w:rsid w:val="00FD4693"/>
    <w:rsid w:val="00FD493C"/>
    <w:rsid w:val="00FD4CE4"/>
    <w:rsid w:val="00FD4F08"/>
    <w:rsid w:val="00FD5937"/>
    <w:rsid w:val="00FD59EC"/>
    <w:rsid w:val="00FD6372"/>
    <w:rsid w:val="00FD6F49"/>
    <w:rsid w:val="00FD705B"/>
    <w:rsid w:val="00FD742A"/>
    <w:rsid w:val="00FD7714"/>
    <w:rsid w:val="00FD7D61"/>
    <w:rsid w:val="00FD7E2D"/>
    <w:rsid w:val="00FE03E9"/>
    <w:rsid w:val="00FE0CE8"/>
    <w:rsid w:val="00FE0FB4"/>
    <w:rsid w:val="00FE1065"/>
    <w:rsid w:val="00FE19AD"/>
    <w:rsid w:val="00FE215C"/>
    <w:rsid w:val="00FE23BB"/>
    <w:rsid w:val="00FE2505"/>
    <w:rsid w:val="00FE29DA"/>
    <w:rsid w:val="00FE2AFF"/>
    <w:rsid w:val="00FE2CFF"/>
    <w:rsid w:val="00FE3345"/>
    <w:rsid w:val="00FE3890"/>
    <w:rsid w:val="00FE3949"/>
    <w:rsid w:val="00FE3C63"/>
    <w:rsid w:val="00FE3E24"/>
    <w:rsid w:val="00FE3F18"/>
    <w:rsid w:val="00FE3FEA"/>
    <w:rsid w:val="00FE4373"/>
    <w:rsid w:val="00FE557D"/>
    <w:rsid w:val="00FE574B"/>
    <w:rsid w:val="00FE61A6"/>
    <w:rsid w:val="00FE658D"/>
    <w:rsid w:val="00FE65BA"/>
    <w:rsid w:val="00FE6622"/>
    <w:rsid w:val="00FE6FDC"/>
    <w:rsid w:val="00FE718A"/>
    <w:rsid w:val="00FE74BF"/>
    <w:rsid w:val="00FE74C3"/>
    <w:rsid w:val="00FE7643"/>
    <w:rsid w:val="00FE768E"/>
    <w:rsid w:val="00FE7A74"/>
    <w:rsid w:val="00FE7D3E"/>
    <w:rsid w:val="00FF0063"/>
    <w:rsid w:val="00FF05A3"/>
    <w:rsid w:val="00FF06B7"/>
    <w:rsid w:val="00FF0C7B"/>
    <w:rsid w:val="00FF0D56"/>
    <w:rsid w:val="00FF0E47"/>
    <w:rsid w:val="00FF0EEA"/>
    <w:rsid w:val="00FF1169"/>
    <w:rsid w:val="00FF162B"/>
    <w:rsid w:val="00FF2084"/>
    <w:rsid w:val="00FF2164"/>
    <w:rsid w:val="00FF2286"/>
    <w:rsid w:val="00FF2627"/>
    <w:rsid w:val="00FF2E8E"/>
    <w:rsid w:val="00FF3036"/>
    <w:rsid w:val="00FF3B4E"/>
    <w:rsid w:val="00FF3F2D"/>
    <w:rsid w:val="00FF42F6"/>
    <w:rsid w:val="00FF477B"/>
    <w:rsid w:val="00FF4A20"/>
    <w:rsid w:val="00FF4B4A"/>
    <w:rsid w:val="00FF5711"/>
    <w:rsid w:val="00FF596B"/>
    <w:rsid w:val="00FF59FE"/>
    <w:rsid w:val="00FF6209"/>
    <w:rsid w:val="00FF6956"/>
    <w:rsid w:val="00FF6B34"/>
    <w:rsid w:val="00FF6FC4"/>
    <w:rsid w:val="00FF7820"/>
    <w:rsid w:val="00FF788B"/>
    <w:rsid w:val="00FF7A31"/>
    <w:rsid w:val="00FF7E4E"/>
    <w:rsid w:val="014374F6"/>
    <w:rsid w:val="01480E82"/>
    <w:rsid w:val="01720E15"/>
    <w:rsid w:val="01966D12"/>
    <w:rsid w:val="01B148A7"/>
    <w:rsid w:val="01DA45D9"/>
    <w:rsid w:val="01DF1FCE"/>
    <w:rsid w:val="01EE3E5B"/>
    <w:rsid w:val="01F0278E"/>
    <w:rsid w:val="01F374DD"/>
    <w:rsid w:val="02054E7A"/>
    <w:rsid w:val="020C6B54"/>
    <w:rsid w:val="020E0D0A"/>
    <w:rsid w:val="023A1A57"/>
    <w:rsid w:val="02626AAA"/>
    <w:rsid w:val="026B06A8"/>
    <w:rsid w:val="026D4C6C"/>
    <w:rsid w:val="026E0710"/>
    <w:rsid w:val="027C66FE"/>
    <w:rsid w:val="027F59C0"/>
    <w:rsid w:val="0284748F"/>
    <w:rsid w:val="02D128D7"/>
    <w:rsid w:val="02E86EA8"/>
    <w:rsid w:val="03044C51"/>
    <w:rsid w:val="030E00C1"/>
    <w:rsid w:val="03150085"/>
    <w:rsid w:val="03381384"/>
    <w:rsid w:val="034F2516"/>
    <w:rsid w:val="03884F08"/>
    <w:rsid w:val="038E19A7"/>
    <w:rsid w:val="03AC0051"/>
    <w:rsid w:val="03D61143"/>
    <w:rsid w:val="03DC7BEA"/>
    <w:rsid w:val="04117A66"/>
    <w:rsid w:val="043E1E27"/>
    <w:rsid w:val="045074DE"/>
    <w:rsid w:val="04702751"/>
    <w:rsid w:val="04D74241"/>
    <w:rsid w:val="04DC1C83"/>
    <w:rsid w:val="04EA430E"/>
    <w:rsid w:val="05353736"/>
    <w:rsid w:val="053965EC"/>
    <w:rsid w:val="056C409E"/>
    <w:rsid w:val="056F50F7"/>
    <w:rsid w:val="05753497"/>
    <w:rsid w:val="0591350B"/>
    <w:rsid w:val="05C933BA"/>
    <w:rsid w:val="05E83A5E"/>
    <w:rsid w:val="05F20295"/>
    <w:rsid w:val="06047B61"/>
    <w:rsid w:val="0642513F"/>
    <w:rsid w:val="065E3AE8"/>
    <w:rsid w:val="066011C1"/>
    <w:rsid w:val="06643F0D"/>
    <w:rsid w:val="067C6E5A"/>
    <w:rsid w:val="06997779"/>
    <w:rsid w:val="06CE4F94"/>
    <w:rsid w:val="06DE3978"/>
    <w:rsid w:val="07010ECF"/>
    <w:rsid w:val="0724306D"/>
    <w:rsid w:val="072E338E"/>
    <w:rsid w:val="07617612"/>
    <w:rsid w:val="07643343"/>
    <w:rsid w:val="07AF56C8"/>
    <w:rsid w:val="07C77243"/>
    <w:rsid w:val="07FF29E8"/>
    <w:rsid w:val="08382F65"/>
    <w:rsid w:val="083870EC"/>
    <w:rsid w:val="085C702D"/>
    <w:rsid w:val="086A4BF2"/>
    <w:rsid w:val="086C42B7"/>
    <w:rsid w:val="087A64A6"/>
    <w:rsid w:val="08884E41"/>
    <w:rsid w:val="08914BD9"/>
    <w:rsid w:val="08D2222E"/>
    <w:rsid w:val="08D750A8"/>
    <w:rsid w:val="08DB6522"/>
    <w:rsid w:val="08E13321"/>
    <w:rsid w:val="0903170F"/>
    <w:rsid w:val="0931215A"/>
    <w:rsid w:val="093624DC"/>
    <w:rsid w:val="096878E0"/>
    <w:rsid w:val="096A24C8"/>
    <w:rsid w:val="09767095"/>
    <w:rsid w:val="098E3AA7"/>
    <w:rsid w:val="09AB6309"/>
    <w:rsid w:val="09B15682"/>
    <w:rsid w:val="09B67D65"/>
    <w:rsid w:val="09C64F4D"/>
    <w:rsid w:val="09E6577F"/>
    <w:rsid w:val="09EA313D"/>
    <w:rsid w:val="0A1F05E2"/>
    <w:rsid w:val="0A34456F"/>
    <w:rsid w:val="0A4D3436"/>
    <w:rsid w:val="0A541A0A"/>
    <w:rsid w:val="0A847E52"/>
    <w:rsid w:val="0AB51E4D"/>
    <w:rsid w:val="0ACE21CD"/>
    <w:rsid w:val="0B1B039C"/>
    <w:rsid w:val="0B37463B"/>
    <w:rsid w:val="0B39325A"/>
    <w:rsid w:val="0B3A17B5"/>
    <w:rsid w:val="0B3A2A6C"/>
    <w:rsid w:val="0B4D3177"/>
    <w:rsid w:val="0B6B524A"/>
    <w:rsid w:val="0B702257"/>
    <w:rsid w:val="0BBA7721"/>
    <w:rsid w:val="0BCB4386"/>
    <w:rsid w:val="0BCF3A48"/>
    <w:rsid w:val="0BDE025B"/>
    <w:rsid w:val="0BEA251C"/>
    <w:rsid w:val="0BF506D0"/>
    <w:rsid w:val="0BFF0161"/>
    <w:rsid w:val="0C185BBA"/>
    <w:rsid w:val="0C6B685A"/>
    <w:rsid w:val="0C7D443C"/>
    <w:rsid w:val="0C957711"/>
    <w:rsid w:val="0CA2500A"/>
    <w:rsid w:val="0CB42E4F"/>
    <w:rsid w:val="0CC75370"/>
    <w:rsid w:val="0CDC4D2F"/>
    <w:rsid w:val="0D016858"/>
    <w:rsid w:val="0D0A3170"/>
    <w:rsid w:val="0D2304CA"/>
    <w:rsid w:val="0D246365"/>
    <w:rsid w:val="0D252403"/>
    <w:rsid w:val="0D345380"/>
    <w:rsid w:val="0D86055E"/>
    <w:rsid w:val="0DB655C2"/>
    <w:rsid w:val="0DC17F8F"/>
    <w:rsid w:val="0DD30165"/>
    <w:rsid w:val="0DD73E58"/>
    <w:rsid w:val="0DE343F0"/>
    <w:rsid w:val="0E061EDB"/>
    <w:rsid w:val="0E2B4A5A"/>
    <w:rsid w:val="0E3360AA"/>
    <w:rsid w:val="0E4A067B"/>
    <w:rsid w:val="0E822E3C"/>
    <w:rsid w:val="0E992A7F"/>
    <w:rsid w:val="0EA56752"/>
    <w:rsid w:val="0EB10874"/>
    <w:rsid w:val="0F1611E6"/>
    <w:rsid w:val="0F2F493B"/>
    <w:rsid w:val="0F47030A"/>
    <w:rsid w:val="0F52686A"/>
    <w:rsid w:val="0F574115"/>
    <w:rsid w:val="0F8116E8"/>
    <w:rsid w:val="0F8B2929"/>
    <w:rsid w:val="0FCE6D16"/>
    <w:rsid w:val="0FCF17C5"/>
    <w:rsid w:val="10054C9B"/>
    <w:rsid w:val="101A6139"/>
    <w:rsid w:val="101B2E71"/>
    <w:rsid w:val="1035079B"/>
    <w:rsid w:val="108F5B2A"/>
    <w:rsid w:val="1098138A"/>
    <w:rsid w:val="109B238C"/>
    <w:rsid w:val="10BB1425"/>
    <w:rsid w:val="10E04C12"/>
    <w:rsid w:val="112E3543"/>
    <w:rsid w:val="11464549"/>
    <w:rsid w:val="11521EBB"/>
    <w:rsid w:val="116912E5"/>
    <w:rsid w:val="11811BD5"/>
    <w:rsid w:val="11CD1B8A"/>
    <w:rsid w:val="11DA29B8"/>
    <w:rsid w:val="11E9760C"/>
    <w:rsid w:val="12013B19"/>
    <w:rsid w:val="120A1821"/>
    <w:rsid w:val="122E0A36"/>
    <w:rsid w:val="12526309"/>
    <w:rsid w:val="12A33043"/>
    <w:rsid w:val="12AF370F"/>
    <w:rsid w:val="12D36000"/>
    <w:rsid w:val="12DB739C"/>
    <w:rsid w:val="12ED61AE"/>
    <w:rsid w:val="13034E27"/>
    <w:rsid w:val="130820DB"/>
    <w:rsid w:val="13181F9C"/>
    <w:rsid w:val="132B33D4"/>
    <w:rsid w:val="132F406D"/>
    <w:rsid w:val="138649C2"/>
    <w:rsid w:val="13A3309E"/>
    <w:rsid w:val="13AC3D35"/>
    <w:rsid w:val="13B12999"/>
    <w:rsid w:val="13C06DDF"/>
    <w:rsid w:val="13D327B4"/>
    <w:rsid w:val="13DC142D"/>
    <w:rsid w:val="13F86B4E"/>
    <w:rsid w:val="13FD2ACE"/>
    <w:rsid w:val="14081075"/>
    <w:rsid w:val="141E1132"/>
    <w:rsid w:val="143F2776"/>
    <w:rsid w:val="146271F0"/>
    <w:rsid w:val="146A019E"/>
    <w:rsid w:val="146E7473"/>
    <w:rsid w:val="148376A4"/>
    <w:rsid w:val="148677F4"/>
    <w:rsid w:val="149565E1"/>
    <w:rsid w:val="14B33EB2"/>
    <w:rsid w:val="14B65F80"/>
    <w:rsid w:val="158C1D11"/>
    <w:rsid w:val="15A21163"/>
    <w:rsid w:val="15BB3E73"/>
    <w:rsid w:val="15D53CBC"/>
    <w:rsid w:val="15DE3875"/>
    <w:rsid w:val="15F17ED6"/>
    <w:rsid w:val="15F30CCB"/>
    <w:rsid w:val="15F32AFC"/>
    <w:rsid w:val="15F46602"/>
    <w:rsid w:val="160534A4"/>
    <w:rsid w:val="1619315F"/>
    <w:rsid w:val="162820E1"/>
    <w:rsid w:val="16333680"/>
    <w:rsid w:val="168C05A7"/>
    <w:rsid w:val="168D479A"/>
    <w:rsid w:val="169104B6"/>
    <w:rsid w:val="16915097"/>
    <w:rsid w:val="16941DEE"/>
    <w:rsid w:val="16BA02E2"/>
    <w:rsid w:val="16BD35DE"/>
    <w:rsid w:val="16C71CE0"/>
    <w:rsid w:val="16FB2DDB"/>
    <w:rsid w:val="1724068D"/>
    <w:rsid w:val="178929F5"/>
    <w:rsid w:val="179701A4"/>
    <w:rsid w:val="17B90E80"/>
    <w:rsid w:val="17B9785A"/>
    <w:rsid w:val="18044D5E"/>
    <w:rsid w:val="182162C9"/>
    <w:rsid w:val="18422D51"/>
    <w:rsid w:val="184276DE"/>
    <w:rsid w:val="18486289"/>
    <w:rsid w:val="185126D2"/>
    <w:rsid w:val="1857110B"/>
    <w:rsid w:val="187A4FD8"/>
    <w:rsid w:val="188E262B"/>
    <w:rsid w:val="1896577A"/>
    <w:rsid w:val="18A93945"/>
    <w:rsid w:val="18C61DA5"/>
    <w:rsid w:val="18E13FE8"/>
    <w:rsid w:val="18E56D6B"/>
    <w:rsid w:val="18FE7642"/>
    <w:rsid w:val="193335A0"/>
    <w:rsid w:val="193772CE"/>
    <w:rsid w:val="193816D1"/>
    <w:rsid w:val="194C4E33"/>
    <w:rsid w:val="19627C41"/>
    <w:rsid w:val="198D5360"/>
    <w:rsid w:val="19A642E3"/>
    <w:rsid w:val="19A66352"/>
    <w:rsid w:val="19B552C5"/>
    <w:rsid w:val="19B920FD"/>
    <w:rsid w:val="19C864B4"/>
    <w:rsid w:val="19FE23F1"/>
    <w:rsid w:val="19FF0340"/>
    <w:rsid w:val="1A571737"/>
    <w:rsid w:val="1A5D6B53"/>
    <w:rsid w:val="1A637A6E"/>
    <w:rsid w:val="1A7E25A2"/>
    <w:rsid w:val="1AA71E03"/>
    <w:rsid w:val="1AD344ED"/>
    <w:rsid w:val="1AE160C5"/>
    <w:rsid w:val="1AE26795"/>
    <w:rsid w:val="1AEE2B50"/>
    <w:rsid w:val="1AF50B8C"/>
    <w:rsid w:val="1B0D356B"/>
    <w:rsid w:val="1B4218E5"/>
    <w:rsid w:val="1B526E79"/>
    <w:rsid w:val="1B53714C"/>
    <w:rsid w:val="1B7C24C4"/>
    <w:rsid w:val="1BD32702"/>
    <w:rsid w:val="1BD96F16"/>
    <w:rsid w:val="1BEB1AEC"/>
    <w:rsid w:val="1C0E0ED9"/>
    <w:rsid w:val="1C207738"/>
    <w:rsid w:val="1C3F5F59"/>
    <w:rsid w:val="1C696393"/>
    <w:rsid w:val="1C6D19C0"/>
    <w:rsid w:val="1C702F39"/>
    <w:rsid w:val="1C710B86"/>
    <w:rsid w:val="1C74625D"/>
    <w:rsid w:val="1C8903D6"/>
    <w:rsid w:val="1CA24418"/>
    <w:rsid w:val="1CDF6E72"/>
    <w:rsid w:val="1D093219"/>
    <w:rsid w:val="1D2427AE"/>
    <w:rsid w:val="1D312E3E"/>
    <w:rsid w:val="1D567E5B"/>
    <w:rsid w:val="1D6576D3"/>
    <w:rsid w:val="1D9A265A"/>
    <w:rsid w:val="1DA05CCF"/>
    <w:rsid w:val="1DB5440E"/>
    <w:rsid w:val="1DC554B3"/>
    <w:rsid w:val="1DF72E9E"/>
    <w:rsid w:val="1E005D51"/>
    <w:rsid w:val="1E7C540D"/>
    <w:rsid w:val="1E7C5C98"/>
    <w:rsid w:val="1E9C33D9"/>
    <w:rsid w:val="1EA0015D"/>
    <w:rsid w:val="1EB83818"/>
    <w:rsid w:val="1EC8131D"/>
    <w:rsid w:val="1ECF703D"/>
    <w:rsid w:val="1ED26886"/>
    <w:rsid w:val="1EEE4133"/>
    <w:rsid w:val="1F0872E9"/>
    <w:rsid w:val="1F384D07"/>
    <w:rsid w:val="1F7648BD"/>
    <w:rsid w:val="1FBC38BA"/>
    <w:rsid w:val="200105A0"/>
    <w:rsid w:val="20140C08"/>
    <w:rsid w:val="20461EB2"/>
    <w:rsid w:val="205748C2"/>
    <w:rsid w:val="206C3311"/>
    <w:rsid w:val="20747B4B"/>
    <w:rsid w:val="207E76E3"/>
    <w:rsid w:val="20A84F98"/>
    <w:rsid w:val="20E31AE1"/>
    <w:rsid w:val="20ED61AA"/>
    <w:rsid w:val="2139587A"/>
    <w:rsid w:val="213C3658"/>
    <w:rsid w:val="214B4C3E"/>
    <w:rsid w:val="21675947"/>
    <w:rsid w:val="216A3E60"/>
    <w:rsid w:val="219A3DCD"/>
    <w:rsid w:val="21A46CE7"/>
    <w:rsid w:val="21A71F38"/>
    <w:rsid w:val="21B04F87"/>
    <w:rsid w:val="21BD32FF"/>
    <w:rsid w:val="21CE76CD"/>
    <w:rsid w:val="21E23F17"/>
    <w:rsid w:val="21FD7B5E"/>
    <w:rsid w:val="223F2F0A"/>
    <w:rsid w:val="22450E5B"/>
    <w:rsid w:val="225A4B67"/>
    <w:rsid w:val="226D37C1"/>
    <w:rsid w:val="227250E7"/>
    <w:rsid w:val="22801807"/>
    <w:rsid w:val="22A04965"/>
    <w:rsid w:val="22AF4D2B"/>
    <w:rsid w:val="22B32306"/>
    <w:rsid w:val="22CC7BD2"/>
    <w:rsid w:val="22DF0FE8"/>
    <w:rsid w:val="22F22A58"/>
    <w:rsid w:val="230838A8"/>
    <w:rsid w:val="234B0449"/>
    <w:rsid w:val="235C4C34"/>
    <w:rsid w:val="236B3244"/>
    <w:rsid w:val="2373545A"/>
    <w:rsid w:val="23746C8F"/>
    <w:rsid w:val="23886856"/>
    <w:rsid w:val="24691D3E"/>
    <w:rsid w:val="247E3F17"/>
    <w:rsid w:val="2497742B"/>
    <w:rsid w:val="249E039D"/>
    <w:rsid w:val="24A173CB"/>
    <w:rsid w:val="24AB14C9"/>
    <w:rsid w:val="24E33A11"/>
    <w:rsid w:val="24F61932"/>
    <w:rsid w:val="2503463F"/>
    <w:rsid w:val="2557018E"/>
    <w:rsid w:val="256E6F95"/>
    <w:rsid w:val="25A06A98"/>
    <w:rsid w:val="25B925B9"/>
    <w:rsid w:val="25C16682"/>
    <w:rsid w:val="25FD2EFE"/>
    <w:rsid w:val="261753AB"/>
    <w:rsid w:val="2622673C"/>
    <w:rsid w:val="2628278B"/>
    <w:rsid w:val="26286C5A"/>
    <w:rsid w:val="26392B17"/>
    <w:rsid w:val="264F2D5A"/>
    <w:rsid w:val="26AB3054"/>
    <w:rsid w:val="26B72C8E"/>
    <w:rsid w:val="26BD6538"/>
    <w:rsid w:val="26CE5178"/>
    <w:rsid w:val="26D73247"/>
    <w:rsid w:val="26E4075E"/>
    <w:rsid w:val="26FC7168"/>
    <w:rsid w:val="27081D1F"/>
    <w:rsid w:val="27380EEE"/>
    <w:rsid w:val="27474885"/>
    <w:rsid w:val="27475D6E"/>
    <w:rsid w:val="274F2DD4"/>
    <w:rsid w:val="275D6B60"/>
    <w:rsid w:val="277D77E3"/>
    <w:rsid w:val="27E10D4E"/>
    <w:rsid w:val="27E57692"/>
    <w:rsid w:val="283E2164"/>
    <w:rsid w:val="287A2D28"/>
    <w:rsid w:val="28840A97"/>
    <w:rsid w:val="28AC4101"/>
    <w:rsid w:val="28AD1D29"/>
    <w:rsid w:val="28DF4896"/>
    <w:rsid w:val="28EC24C5"/>
    <w:rsid w:val="29204508"/>
    <w:rsid w:val="29360B7C"/>
    <w:rsid w:val="293920B3"/>
    <w:rsid w:val="29421DB1"/>
    <w:rsid w:val="29455D10"/>
    <w:rsid w:val="29485D36"/>
    <w:rsid w:val="295076E5"/>
    <w:rsid w:val="29704535"/>
    <w:rsid w:val="2976694B"/>
    <w:rsid w:val="297D611D"/>
    <w:rsid w:val="299204DA"/>
    <w:rsid w:val="299806A9"/>
    <w:rsid w:val="29BE564C"/>
    <w:rsid w:val="29CE237C"/>
    <w:rsid w:val="2A0E0B64"/>
    <w:rsid w:val="2A2D5ABE"/>
    <w:rsid w:val="2A3F12CF"/>
    <w:rsid w:val="2A5A717B"/>
    <w:rsid w:val="2A5F3800"/>
    <w:rsid w:val="2A7057B3"/>
    <w:rsid w:val="2A9168FF"/>
    <w:rsid w:val="2A98147B"/>
    <w:rsid w:val="2AC029B5"/>
    <w:rsid w:val="2AC25FBB"/>
    <w:rsid w:val="2ADE58FF"/>
    <w:rsid w:val="2AE00994"/>
    <w:rsid w:val="2B026ABF"/>
    <w:rsid w:val="2B3C5EE4"/>
    <w:rsid w:val="2B8540BF"/>
    <w:rsid w:val="2BAD2468"/>
    <w:rsid w:val="2BB85263"/>
    <w:rsid w:val="2BCF7EA2"/>
    <w:rsid w:val="2BF51FAE"/>
    <w:rsid w:val="2C3F5B55"/>
    <w:rsid w:val="2C4A38DF"/>
    <w:rsid w:val="2C5D4211"/>
    <w:rsid w:val="2C8B58AE"/>
    <w:rsid w:val="2C933189"/>
    <w:rsid w:val="2CAB6084"/>
    <w:rsid w:val="2CBA675F"/>
    <w:rsid w:val="2CC11F87"/>
    <w:rsid w:val="2D114D52"/>
    <w:rsid w:val="2D243264"/>
    <w:rsid w:val="2D3957F3"/>
    <w:rsid w:val="2D4043B0"/>
    <w:rsid w:val="2D574357"/>
    <w:rsid w:val="2D593947"/>
    <w:rsid w:val="2D643729"/>
    <w:rsid w:val="2D736F07"/>
    <w:rsid w:val="2D7E1EAE"/>
    <w:rsid w:val="2D800182"/>
    <w:rsid w:val="2D800AC5"/>
    <w:rsid w:val="2D8277EC"/>
    <w:rsid w:val="2DB936FE"/>
    <w:rsid w:val="2DCC61BE"/>
    <w:rsid w:val="2DE71427"/>
    <w:rsid w:val="2E404216"/>
    <w:rsid w:val="2E445143"/>
    <w:rsid w:val="2E4520B4"/>
    <w:rsid w:val="2E60325C"/>
    <w:rsid w:val="2E8E1A59"/>
    <w:rsid w:val="2EAB6A65"/>
    <w:rsid w:val="2ECD17FC"/>
    <w:rsid w:val="2ED913BE"/>
    <w:rsid w:val="2EF7751B"/>
    <w:rsid w:val="2F172297"/>
    <w:rsid w:val="2F3F21CC"/>
    <w:rsid w:val="2F4B273B"/>
    <w:rsid w:val="2F6D4B54"/>
    <w:rsid w:val="2F903B52"/>
    <w:rsid w:val="2FC64B0D"/>
    <w:rsid w:val="301D4BB2"/>
    <w:rsid w:val="302F237C"/>
    <w:rsid w:val="303E4FC3"/>
    <w:rsid w:val="3049668D"/>
    <w:rsid w:val="304B5F8C"/>
    <w:rsid w:val="30556304"/>
    <w:rsid w:val="30583023"/>
    <w:rsid w:val="307674F4"/>
    <w:rsid w:val="3097282B"/>
    <w:rsid w:val="30B323A3"/>
    <w:rsid w:val="30D40A9F"/>
    <w:rsid w:val="31142DCF"/>
    <w:rsid w:val="31172969"/>
    <w:rsid w:val="312B2648"/>
    <w:rsid w:val="312C022A"/>
    <w:rsid w:val="314A4B8E"/>
    <w:rsid w:val="315A47C6"/>
    <w:rsid w:val="317215EB"/>
    <w:rsid w:val="31CB5058"/>
    <w:rsid w:val="31F56E9B"/>
    <w:rsid w:val="31FD79B9"/>
    <w:rsid w:val="320F275C"/>
    <w:rsid w:val="32170084"/>
    <w:rsid w:val="32235EC8"/>
    <w:rsid w:val="32327F02"/>
    <w:rsid w:val="323F2BA4"/>
    <w:rsid w:val="324C223C"/>
    <w:rsid w:val="32722A99"/>
    <w:rsid w:val="3295189A"/>
    <w:rsid w:val="32DE73DF"/>
    <w:rsid w:val="330D6C17"/>
    <w:rsid w:val="33346D46"/>
    <w:rsid w:val="333B5D21"/>
    <w:rsid w:val="335619F4"/>
    <w:rsid w:val="33641CEE"/>
    <w:rsid w:val="336E1717"/>
    <w:rsid w:val="338A5173"/>
    <w:rsid w:val="341C272A"/>
    <w:rsid w:val="345D75E7"/>
    <w:rsid w:val="3485006F"/>
    <w:rsid w:val="348D5186"/>
    <w:rsid w:val="349B1667"/>
    <w:rsid w:val="34AA38C6"/>
    <w:rsid w:val="34AD050E"/>
    <w:rsid w:val="34AE314A"/>
    <w:rsid w:val="34D97830"/>
    <w:rsid w:val="350F0FBD"/>
    <w:rsid w:val="35153BBE"/>
    <w:rsid w:val="353F4210"/>
    <w:rsid w:val="358E16AD"/>
    <w:rsid w:val="3597409F"/>
    <w:rsid w:val="35AB008C"/>
    <w:rsid w:val="35B41845"/>
    <w:rsid w:val="35C84B84"/>
    <w:rsid w:val="35DD5A7B"/>
    <w:rsid w:val="35EB2DEA"/>
    <w:rsid w:val="35EC6F50"/>
    <w:rsid w:val="368B363D"/>
    <w:rsid w:val="36AE2B74"/>
    <w:rsid w:val="36C90FB2"/>
    <w:rsid w:val="36E0004A"/>
    <w:rsid w:val="3717502D"/>
    <w:rsid w:val="37287652"/>
    <w:rsid w:val="37335172"/>
    <w:rsid w:val="375E50EB"/>
    <w:rsid w:val="376C05C8"/>
    <w:rsid w:val="3770210C"/>
    <w:rsid w:val="3770774D"/>
    <w:rsid w:val="37903451"/>
    <w:rsid w:val="37EB6405"/>
    <w:rsid w:val="37FF6ED7"/>
    <w:rsid w:val="380D4B6A"/>
    <w:rsid w:val="38467D51"/>
    <w:rsid w:val="386523DA"/>
    <w:rsid w:val="3897504D"/>
    <w:rsid w:val="38B96B4C"/>
    <w:rsid w:val="38CB2C7C"/>
    <w:rsid w:val="38F1307A"/>
    <w:rsid w:val="38F32258"/>
    <w:rsid w:val="38F66855"/>
    <w:rsid w:val="38FB3EDB"/>
    <w:rsid w:val="390B67BC"/>
    <w:rsid w:val="391D28FA"/>
    <w:rsid w:val="39200485"/>
    <w:rsid w:val="392F36FC"/>
    <w:rsid w:val="39507D1A"/>
    <w:rsid w:val="398C11B8"/>
    <w:rsid w:val="39CE40D0"/>
    <w:rsid w:val="39D51BFB"/>
    <w:rsid w:val="39D86146"/>
    <w:rsid w:val="39E62AB9"/>
    <w:rsid w:val="39E95BB8"/>
    <w:rsid w:val="39EC4E3C"/>
    <w:rsid w:val="3A22547F"/>
    <w:rsid w:val="3A267F0F"/>
    <w:rsid w:val="3A632EF3"/>
    <w:rsid w:val="3A9E26E3"/>
    <w:rsid w:val="3AAF0289"/>
    <w:rsid w:val="3AB07029"/>
    <w:rsid w:val="3AD16A5D"/>
    <w:rsid w:val="3AE42CC9"/>
    <w:rsid w:val="3AFA0F46"/>
    <w:rsid w:val="3AFB55DF"/>
    <w:rsid w:val="3AFC437A"/>
    <w:rsid w:val="3B026D8B"/>
    <w:rsid w:val="3B9C4813"/>
    <w:rsid w:val="3BFD4F71"/>
    <w:rsid w:val="3C044DBF"/>
    <w:rsid w:val="3C053CC5"/>
    <w:rsid w:val="3C2231CC"/>
    <w:rsid w:val="3C3E6D3D"/>
    <w:rsid w:val="3CD30D0C"/>
    <w:rsid w:val="3CE14E59"/>
    <w:rsid w:val="3CE9186C"/>
    <w:rsid w:val="3CF64CFB"/>
    <w:rsid w:val="3D196FC9"/>
    <w:rsid w:val="3D1B626F"/>
    <w:rsid w:val="3D345D2F"/>
    <w:rsid w:val="3D39000C"/>
    <w:rsid w:val="3D455F83"/>
    <w:rsid w:val="3D4F0959"/>
    <w:rsid w:val="3D932DB8"/>
    <w:rsid w:val="3DA33CD7"/>
    <w:rsid w:val="3DB10976"/>
    <w:rsid w:val="3DBD4E9E"/>
    <w:rsid w:val="3DCA45A7"/>
    <w:rsid w:val="3DCE0989"/>
    <w:rsid w:val="3DE82D45"/>
    <w:rsid w:val="3E4167B9"/>
    <w:rsid w:val="3E6603BE"/>
    <w:rsid w:val="3E69162C"/>
    <w:rsid w:val="3E74544A"/>
    <w:rsid w:val="3EAC659B"/>
    <w:rsid w:val="3EDB76D3"/>
    <w:rsid w:val="3EF67A15"/>
    <w:rsid w:val="3F00784E"/>
    <w:rsid w:val="3F166996"/>
    <w:rsid w:val="3F294208"/>
    <w:rsid w:val="3F377811"/>
    <w:rsid w:val="3F5D060E"/>
    <w:rsid w:val="3F6C3620"/>
    <w:rsid w:val="3F796677"/>
    <w:rsid w:val="3FB13018"/>
    <w:rsid w:val="3FC755AC"/>
    <w:rsid w:val="3FD635B9"/>
    <w:rsid w:val="3FDF2880"/>
    <w:rsid w:val="400350F5"/>
    <w:rsid w:val="400D7F6F"/>
    <w:rsid w:val="40590DFC"/>
    <w:rsid w:val="4059187E"/>
    <w:rsid w:val="406614D8"/>
    <w:rsid w:val="408B4B26"/>
    <w:rsid w:val="40BF1369"/>
    <w:rsid w:val="40FA7006"/>
    <w:rsid w:val="410F52DC"/>
    <w:rsid w:val="415260BA"/>
    <w:rsid w:val="417F7561"/>
    <w:rsid w:val="41991F3B"/>
    <w:rsid w:val="41AA5C57"/>
    <w:rsid w:val="41B1235D"/>
    <w:rsid w:val="41C94F22"/>
    <w:rsid w:val="41CC76AB"/>
    <w:rsid w:val="41DB1EC2"/>
    <w:rsid w:val="41E05F62"/>
    <w:rsid w:val="41E94E16"/>
    <w:rsid w:val="420248FA"/>
    <w:rsid w:val="42166449"/>
    <w:rsid w:val="42254464"/>
    <w:rsid w:val="424407E6"/>
    <w:rsid w:val="42454EC2"/>
    <w:rsid w:val="425D1C59"/>
    <w:rsid w:val="429268E2"/>
    <w:rsid w:val="43092EE5"/>
    <w:rsid w:val="43233A5E"/>
    <w:rsid w:val="436E0372"/>
    <w:rsid w:val="437A16E0"/>
    <w:rsid w:val="4387588D"/>
    <w:rsid w:val="43B44652"/>
    <w:rsid w:val="43B7294A"/>
    <w:rsid w:val="440E6B1B"/>
    <w:rsid w:val="443E4E7C"/>
    <w:rsid w:val="445573E7"/>
    <w:rsid w:val="446C0B51"/>
    <w:rsid w:val="44FA5369"/>
    <w:rsid w:val="450226AB"/>
    <w:rsid w:val="45894C7E"/>
    <w:rsid w:val="459809B2"/>
    <w:rsid w:val="45B543E7"/>
    <w:rsid w:val="45B6117A"/>
    <w:rsid w:val="460C2C45"/>
    <w:rsid w:val="46155439"/>
    <w:rsid w:val="462300AC"/>
    <w:rsid w:val="468C78B6"/>
    <w:rsid w:val="469472F4"/>
    <w:rsid w:val="46A37F0B"/>
    <w:rsid w:val="46B65A90"/>
    <w:rsid w:val="46FD365E"/>
    <w:rsid w:val="47240007"/>
    <w:rsid w:val="474F37E3"/>
    <w:rsid w:val="476E6AB7"/>
    <w:rsid w:val="477B61AD"/>
    <w:rsid w:val="477D032A"/>
    <w:rsid w:val="47873C18"/>
    <w:rsid w:val="47BB7C46"/>
    <w:rsid w:val="47D666D9"/>
    <w:rsid w:val="47DD5D1A"/>
    <w:rsid w:val="47DE5D69"/>
    <w:rsid w:val="48035CB7"/>
    <w:rsid w:val="480A21B7"/>
    <w:rsid w:val="480C4372"/>
    <w:rsid w:val="481D4E58"/>
    <w:rsid w:val="484F45EA"/>
    <w:rsid w:val="485175B5"/>
    <w:rsid w:val="4861183F"/>
    <w:rsid w:val="4898367B"/>
    <w:rsid w:val="48EB3117"/>
    <w:rsid w:val="490B401E"/>
    <w:rsid w:val="490D700C"/>
    <w:rsid w:val="492B6BFE"/>
    <w:rsid w:val="493254C8"/>
    <w:rsid w:val="494208EF"/>
    <w:rsid w:val="49784B42"/>
    <w:rsid w:val="49795312"/>
    <w:rsid w:val="49801CA8"/>
    <w:rsid w:val="49AC0DB7"/>
    <w:rsid w:val="49D64E27"/>
    <w:rsid w:val="49E405A3"/>
    <w:rsid w:val="49F86AA3"/>
    <w:rsid w:val="4A111999"/>
    <w:rsid w:val="4A2D0FBB"/>
    <w:rsid w:val="4A3F6A41"/>
    <w:rsid w:val="4AB701BC"/>
    <w:rsid w:val="4AE23406"/>
    <w:rsid w:val="4AE66ED1"/>
    <w:rsid w:val="4AF10DE6"/>
    <w:rsid w:val="4B117D57"/>
    <w:rsid w:val="4B263C90"/>
    <w:rsid w:val="4B8B344A"/>
    <w:rsid w:val="4BE031A3"/>
    <w:rsid w:val="4BE11D10"/>
    <w:rsid w:val="4BFD4D69"/>
    <w:rsid w:val="4C0540D5"/>
    <w:rsid w:val="4C1702D4"/>
    <w:rsid w:val="4C516BA0"/>
    <w:rsid w:val="4C891943"/>
    <w:rsid w:val="4CAB243C"/>
    <w:rsid w:val="4D082217"/>
    <w:rsid w:val="4D3D3EA5"/>
    <w:rsid w:val="4D455A62"/>
    <w:rsid w:val="4D465517"/>
    <w:rsid w:val="4D48213A"/>
    <w:rsid w:val="4D5F2D93"/>
    <w:rsid w:val="4D656F72"/>
    <w:rsid w:val="4D663AF2"/>
    <w:rsid w:val="4D716A98"/>
    <w:rsid w:val="4D8C26FD"/>
    <w:rsid w:val="4D9642AC"/>
    <w:rsid w:val="4DB91D7F"/>
    <w:rsid w:val="4DCB48ED"/>
    <w:rsid w:val="4DCF5187"/>
    <w:rsid w:val="4DD5307E"/>
    <w:rsid w:val="4E152051"/>
    <w:rsid w:val="4E4A0EEB"/>
    <w:rsid w:val="4E6B588C"/>
    <w:rsid w:val="4E741B11"/>
    <w:rsid w:val="4E7D0A4C"/>
    <w:rsid w:val="4EAB3B78"/>
    <w:rsid w:val="4EC976D5"/>
    <w:rsid w:val="4ED45B6B"/>
    <w:rsid w:val="4ED509CA"/>
    <w:rsid w:val="4F017DC0"/>
    <w:rsid w:val="4F0D6711"/>
    <w:rsid w:val="4F1F052B"/>
    <w:rsid w:val="4F1F2A56"/>
    <w:rsid w:val="4F27616B"/>
    <w:rsid w:val="4F694FDE"/>
    <w:rsid w:val="4F6B0439"/>
    <w:rsid w:val="4F7145F5"/>
    <w:rsid w:val="4F7C7783"/>
    <w:rsid w:val="4F8A585B"/>
    <w:rsid w:val="4FAC0864"/>
    <w:rsid w:val="4FC679B7"/>
    <w:rsid w:val="4FE05E45"/>
    <w:rsid w:val="4FFE3A14"/>
    <w:rsid w:val="50500812"/>
    <w:rsid w:val="50634E2B"/>
    <w:rsid w:val="506F345F"/>
    <w:rsid w:val="50796ED9"/>
    <w:rsid w:val="508D49E2"/>
    <w:rsid w:val="50D95BC5"/>
    <w:rsid w:val="51080BB1"/>
    <w:rsid w:val="513B1BA8"/>
    <w:rsid w:val="51465679"/>
    <w:rsid w:val="514B3018"/>
    <w:rsid w:val="517C1554"/>
    <w:rsid w:val="51E47BBD"/>
    <w:rsid w:val="51EE1115"/>
    <w:rsid w:val="51FF7C12"/>
    <w:rsid w:val="52051E56"/>
    <w:rsid w:val="523343DE"/>
    <w:rsid w:val="526A0E78"/>
    <w:rsid w:val="5273230D"/>
    <w:rsid w:val="527975CF"/>
    <w:rsid w:val="52F902FD"/>
    <w:rsid w:val="532666D2"/>
    <w:rsid w:val="5333761A"/>
    <w:rsid w:val="533A7B7D"/>
    <w:rsid w:val="533E0A69"/>
    <w:rsid w:val="5377449B"/>
    <w:rsid w:val="5395526C"/>
    <w:rsid w:val="53D23DF5"/>
    <w:rsid w:val="53D76CE5"/>
    <w:rsid w:val="53EF48DE"/>
    <w:rsid w:val="53F06A77"/>
    <w:rsid w:val="541D0078"/>
    <w:rsid w:val="542D5868"/>
    <w:rsid w:val="54312B51"/>
    <w:rsid w:val="54357E83"/>
    <w:rsid w:val="544C5E8C"/>
    <w:rsid w:val="54531407"/>
    <w:rsid w:val="54823709"/>
    <w:rsid w:val="54A0025D"/>
    <w:rsid w:val="54B90BB6"/>
    <w:rsid w:val="54BF3A63"/>
    <w:rsid w:val="54DB6ED5"/>
    <w:rsid w:val="54EF0DD6"/>
    <w:rsid w:val="550F3978"/>
    <w:rsid w:val="551D0A3F"/>
    <w:rsid w:val="55203540"/>
    <w:rsid w:val="55440626"/>
    <w:rsid w:val="55480C77"/>
    <w:rsid w:val="555732B6"/>
    <w:rsid w:val="55662BFB"/>
    <w:rsid w:val="556C1C85"/>
    <w:rsid w:val="557A4802"/>
    <w:rsid w:val="557F1B53"/>
    <w:rsid w:val="558B7357"/>
    <w:rsid w:val="558D73D0"/>
    <w:rsid w:val="55B93F10"/>
    <w:rsid w:val="55D577FF"/>
    <w:rsid w:val="55D95444"/>
    <w:rsid w:val="56227250"/>
    <w:rsid w:val="563255EA"/>
    <w:rsid w:val="564E47AF"/>
    <w:rsid w:val="566661E9"/>
    <w:rsid w:val="566A0D15"/>
    <w:rsid w:val="56715DAE"/>
    <w:rsid w:val="56D0627D"/>
    <w:rsid w:val="56E532D0"/>
    <w:rsid w:val="570D71D3"/>
    <w:rsid w:val="5719145F"/>
    <w:rsid w:val="574538C2"/>
    <w:rsid w:val="574F66DB"/>
    <w:rsid w:val="57670979"/>
    <w:rsid w:val="576E72B1"/>
    <w:rsid w:val="576F5725"/>
    <w:rsid w:val="57D2533D"/>
    <w:rsid w:val="58136D98"/>
    <w:rsid w:val="582B3F41"/>
    <w:rsid w:val="586656F2"/>
    <w:rsid w:val="586F4D15"/>
    <w:rsid w:val="58AD0781"/>
    <w:rsid w:val="58BC2698"/>
    <w:rsid w:val="58C02EF9"/>
    <w:rsid w:val="58C372F5"/>
    <w:rsid w:val="58ED2345"/>
    <w:rsid w:val="591D74DA"/>
    <w:rsid w:val="593F69AE"/>
    <w:rsid w:val="594268A8"/>
    <w:rsid w:val="598F6CD6"/>
    <w:rsid w:val="599971EB"/>
    <w:rsid w:val="59A9498C"/>
    <w:rsid w:val="59CC78A2"/>
    <w:rsid w:val="59FB0618"/>
    <w:rsid w:val="5A00767B"/>
    <w:rsid w:val="5A162A73"/>
    <w:rsid w:val="5A291B3F"/>
    <w:rsid w:val="5A31245F"/>
    <w:rsid w:val="5A8016CD"/>
    <w:rsid w:val="5A8C73ED"/>
    <w:rsid w:val="5A8D060B"/>
    <w:rsid w:val="5AC80CB4"/>
    <w:rsid w:val="5AF37AD3"/>
    <w:rsid w:val="5B0C6031"/>
    <w:rsid w:val="5B1A5445"/>
    <w:rsid w:val="5B6405A0"/>
    <w:rsid w:val="5B673626"/>
    <w:rsid w:val="5B6E375E"/>
    <w:rsid w:val="5B7448C2"/>
    <w:rsid w:val="5B8D1826"/>
    <w:rsid w:val="5B9A240E"/>
    <w:rsid w:val="5BEC4826"/>
    <w:rsid w:val="5BF33F10"/>
    <w:rsid w:val="5BFF008C"/>
    <w:rsid w:val="5C01080B"/>
    <w:rsid w:val="5C1F6158"/>
    <w:rsid w:val="5C21738C"/>
    <w:rsid w:val="5C313E75"/>
    <w:rsid w:val="5C571771"/>
    <w:rsid w:val="5CA76C8E"/>
    <w:rsid w:val="5CAE5386"/>
    <w:rsid w:val="5D176B40"/>
    <w:rsid w:val="5D7E1A80"/>
    <w:rsid w:val="5D870FB5"/>
    <w:rsid w:val="5D966FF5"/>
    <w:rsid w:val="5D9711B0"/>
    <w:rsid w:val="5DC73A69"/>
    <w:rsid w:val="5DD23EDB"/>
    <w:rsid w:val="5DF42DF6"/>
    <w:rsid w:val="5E1762AE"/>
    <w:rsid w:val="5E19172C"/>
    <w:rsid w:val="5E3A271A"/>
    <w:rsid w:val="5E3A3079"/>
    <w:rsid w:val="5E544066"/>
    <w:rsid w:val="5E613EA8"/>
    <w:rsid w:val="5E727E82"/>
    <w:rsid w:val="5E934082"/>
    <w:rsid w:val="5EA811B0"/>
    <w:rsid w:val="5EDD57A5"/>
    <w:rsid w:val="5F310CB2"/>
    <w:rsid w:val="5F330058"/>
    <w:rsid w:val="5F345F50"/>
    <w:rsid w:val="5F3E1ED1"/>
    <w:rsid w:val="5F475B7D"/>
    <w:rsid w:val="5F621B44"/>
    <w:rsid w:val="5F6A0AF8"/>
    <w:rsid w:val="5F8C4127"/>
    <w:rsid w:val="5FB20C81"/>
    <w:rsid w:val="5FCE4D3D"/>
    <w:rsid w:val="600661CB"/>
    <w:rsid w:val="600B03F8"/>
    <w:rsid w:val="605273C6"/>
    <w:rsid w:val="60A56FA0"/>
    <w:rsid w:val="60AB49F3"/>
    <w:rsid w:val="60CC7BB7"/>
    <w:rsid w:val="60CD3725"/>
    <w:rsid w:val="60E37897"/>
    <w:rsid w:val="60E57CC1"/>
    <w:rsid w:val="614B5359"/>
    <w:rsid w:val="618B734C"/>
    <w:rsid w:val="61A84130"/>
    <w:rsid w:val="61D30A45"/>
    <w:rsid w:val="61F13BAC"/>
    <w:rsid w:val="61FE0B37"/>
    <w:rsid w:val="620B534D"/>
    <w:rsid w:val="62395EA7"/>
    <w:rsid w:val="627D28D0"/>
    <w:rsid w:val="6286349C"/>
    <w:rsid w:val="62A86A13"/>
    <w:rsid w:val="62AD4B8A"/>
    <w:rsid w:val="62AF45E6"/>
    <w:rsid w:val="62BD7F4E"/>
    <w:rsid w:val="62CE5BF4"/>
    <w:rsid w:val="62E00FD0"/>
    <w:rsid w:val="62F90C6C"/>
    <w:rsid w:val="630C24BE"/>
    <w:rsid w:val="63136F55"/>
    <w:rsid w:val="631D148B"/>
    <w:rsid w:val="6329437E"/>
    <w:rsid w:val="633E4CBB"/>
    <w:rsid w:val="636B77A6"/>
    <w:rsid w:val="636D40DA"/>
    <w:rsid w:val="63783439"/>
    <w:rsid w:val="63860721"/>
    <w:rsid w:val="638A0EED"/>
    <w:rsid w:val="63BB79E4"/>
    <w:rsid w:val="63BC627C"/>
    <w:rsid w:val="63C44155"/>
    <w:rsid w:val="63C56127"/>
    <w:rsid w:val="63C81FCC"/>
    <w:rsid w:val="63F90857"/>
    <w:rsid w:val="64192E3D"/>
    <w:rsid w:val="641970DE"/>
    <w:rsid w:val="6460142E"/>
    <w:rsid w:val="64703191"/>
    <w:rsid w:val="64776E82"/>
    <w:rsid w:val="648C1451"/>
    <w:rsid w:val="64A500C6"/>
    <w:rsid w:val="6501576A"/>
    <w:rsid w:val="65314D35"/>
    <w:rsid w:val="65374862"/>
    <w:rsid w:val="65415EBC"/>
    <w:rsid w:val="6554569A"/>
    <w:rsid w:val="65801A3F"/>
    <w:rsid w:val="659D555B"/>
    <w:rsid w:val="65A0074D"/>
    <w:rsid w:val="65E431FE"/>
    <w:rsid w:val="65EB5A95"/>
    <w:rsid w:val="66054D2B"/>
    <w:rsid w:val="66152E7A"/>
    <w:rsid w:val="661D11FA"/>
    <w:rsid w:val="661E0276"/>
    <w:rsid w:val="663A1973"/>
    <w:rsid w:val="663C7A16"/>
    <w:rsid w:val="66432DC6"/>
    <w:rsid w:val="664534BF"/>
    <w:rsid w:val="667D32CA"/>
    <w:rsid w:val="66D80112"/>
    <w:rsid w:val="66E06E09"/>
    <w:rsid w:val="66FA74B2"/>
    <w:rsid w:val="670002BE"/>
    <w:rsid w:val="67174A7F"/>
    <w:rsid w:val="6754410A"/>
    <w:rsid w:val="676503B7"/>
    <w:rsid w:val="67702808"/>
    <w:rsid w:val="679E0A4E"/>
    <w:rsid w:val="67A877DB"/>
    <w:rsid w:val="67C860C9"/>
    <w:rsid w:val="68157266"/>
    <w:rsid w:val="682F3F11"/>
    <w:rsid w:val="686117E2"/>
    <w:rsid w:val="68670008"/>
    <w:rsid w:val="686D5F53"/>
    <w:rsid w:val="68877BF9"/>
    <w:rsid w:val="688B4619"/>
    <w:rsid w:val="689D1215"/>
    <w:rsid w:val="68A3380C"/>
    <w:rsid w:val="68AA5D25"/>
    <w:rsid w:val="68BC2FFD"/>
    <w:rsid w:val="68BD5F65"/>
    <w:rsid w:val="68CB7A26"/>
    <w:rsid w:val="68D418DD"/>
    <w:rsid w:val="690B39EC"/>
    <w:rsid w:val="69186A68"/>
    <w:rsid w:val="69215B01"/>
    <w:rsid w:val="692F2E60"/>
    <w:rsid w:val="693F437E"/>
    <w:rsid w:val="694E6396"/>
    <w:rsid w:val="694F6B65"/>
    <w:rsid w:val="69532431"/>
    <w:rsid w:val="697404F1"/>
    <w:rsid w:val="699054F6"/>
    <w:rsid w:val="69996435"/>
    <w:rsid w:val="69AB61A0"/>
    <w:rsid w:val="69B9096E"/>
    <w:rsid w:val="69B923D7"/>
    <w:rsid w:val="69C03F9E"/>
    <w:rsid w:val="69F72A56"/>
    <w:rsid w:val="6A2F26F1"/>
    <w:rsid w:val="6A727D7F"/>
    <w:rsid w:val="6A764C8E"/>
    <w:rsid w:val="6A7B67AF"/>
    <w:rsid w:val="6A831F2F"/>
    <w:rsid w:val="6A977DAA"/>
    <w:rsid w:val="6A9C68FC"/>
    <w:rsid w:val="6AC44B99"/>
    <w:rsid w:val="6AC7298D"/>
    <w:rsid w:val="6AC96B14"/>
    <w:rsid w:val="6AD23FC7"/>
    <w:rsid w:val="6B046A00"/>
    <w:rsid w:val="6B154914"/>
    <w:rsid w:val="6B2E771D"/>
    <w:rsid w:val="6B511122"/>
    <w:rsid w:val="6B555BB9"/>
    <w:rsid w:val="6B630BBA"/>
    <w:rsid w:val="6B881DD3"/>
    <w:rsid w:val="6B995E7F"/>
    <w:rsid w:val="6BB21062"/>
    <w:rsid w:val="6BD0531C"/>
    <w:rsid w:val="6BE14959"/>
    <w:rsid w:val="6C190C61"/>
    <w:rsid w:val="6C42531F"/>
    <w:rsid w:val="6C620CA1"/>
    <w:rsid w:val="6C62256D"/>
    <w:rsid w:val="6CAF022F"/>
    <w:rsid w:val="6CCA5FCB"/>
    <w:rsid w:val="6CCC3042"/>
    <w:rsid w:val="6D226C51"/>
    <w:rsid w:val="6D234092"/>
    <w:rsid w:val="6D360EDE"/>
    <w:rsid w:val="6D51212D"/>
    <w:rsid w:val="6D6D25D6"/>
    <w:rsid w:val="6DB93AE7"/>
    <w:rsid w:val="6DCB25F2"/>
    <w:rsid w:val="6DE2162D"/>
    <w:rsid w:val="6DFA77DC"/>
    <w:rsid w:val="6E061495"/>
    <w:rsid w:val="6E0C1E7D"/>
    <w:rsid w:val="6E1B144B"/>
    <w:rsid w:val="6E923D1D"/>
    <w:rsid w:val="6E965E2A"/>
    <w:rsid w:val="6EB81D32"/>
    <w:rsid w:val="6EC04D3D"/>
    <w:rsid w:val="6EE236E9"/>
    <w:rsid w:val="6EE70205"/>
    <w:rsid w:val="6EEC0236"/>
    <w:rsid w:val="6EFF14FE"/>
    <w:rsid w:val="6EFF4250"/>
    <w:rsid w:val="6F04754D"/>
    <w:rsid w:val="6F1E0738"/>
    <w:rsid w:val="6F1F08B6"/>
    <w:rsid w:val="6F2221CC"/>
    <w:rsid w:val="6F3A3BCE"/>
    <w:rsid w:val="6F5C15DD"/>
    <w:rsid w:val="6F762C30"/>
    <w:rsid w:val="6F9D348F"/>
    <w:rsid w:val="6F9E5454"/>
    <w:rsid w:val="6FD00FB3"/>
    <w:rsid w:val="6FD34A57"/>
    <w:rsid w:val="6FF02B2F"/>
    <w:rsid w:val="700E51C4"/>
    <w:rsid w:val="707439F2"/>
    <w:rsid w:val="70803277"/>
    <w:rsid w:val="709613E3"/>
    <w:rsid w:val="709773CC"/>
    <w:rsid w:val="70B71DD8"/>
    <w:rsid w:val="70C06BDB"/>
    <w:rsid w:val="70D252C9"/>
    <w:rsid w:val="70E359B1"/>
    <w:rsid w:val="70EE7213"/>
    <w:rsid w:val="70FC6887"/>
    <w:rsid w:val="71225F37"/>
    <w:rsid w:val="715C0FBF"/>
    <w:rsid w:val="715F1AC2"/>
    <w:rsid w:val="717A6E40"/>
    <w:rsid w:val="71972D6C"/>
    <w:rsid w:val="71B53E10"/>
    <w:rsid w:val="71BC7365"/>
    <w:rsid w:val="72041EE9"/>
    <w:rsid w:val="72190691"/>
    <w:rsid w:val="721B4DED"/>
    <w:rsid w:val="72763402"/>
    <w:rsid w:val="72B85A5E"/>
    <w:rsid w:val="72D71AD9"/>
    <w:rsid w:val="72E80F12"/>
    <w:rsid w:val="73051C0F"/>
    <w:rsid w:val="730B24DF"/>
    <w:rsid w:val="731D4995"/>
    <w:rsid w:val="736B3DA3"/>
    <w:rsid w:val="737B680F"/>
    <w:rsid w:val="74081577"/>
    <w:rsid w:val="741D7E0D"/>
    <w:rsid w:val="74344BD4"/>
    <w:rsid w:val="74412E48"/>
    <w:rsid w:val="744C78A6"/>
    <w:rsid w:val="745578AE"/>
    <w:rsid w:val="745C1867"/>
    <w:rsid w:val="747D5509"/>
    <w:rsid w:val="74881260"/>
    <w:rsid w:val="74CF5653"/>
    <w:rsid w:val="74D2347D"/>
    <w:rsid w:val="74F81EA8"/>
    <w:rsid w:val="74F919DA"/>
    <w:rsid w:val="74FF7944"/>
    <w:rsid w:val="750814B2"/>
    <w:rsid w:val="75251E33"/>
    <w:rsid w:val="753763C5"/>
    <w:rsid w:val="753F5DC9"/>
    <w:rsid w:val="75440080"/>
    <w:rsid w:val="755038AF"/>
    <w:rsid w:val="755524B9"/>
    <w:rsid w:val="755A6F11"/>
    <w:rsid w:val="757A1137"/>
    <w:rsid w:val="757A675F"/>
    <w:rsid w:val="75971977"/>
    <w:rsid w:val="75CD07C4"/>
    <w:rsid w:val="75D60A09"/>
    <w:rsid w:val="75EE5912"/>
    <w:rsid w:val="75F84E50"/>
    <w:rsid w:val="75FF526B"/>
    <w:rsid w:val="760059C1"/>
    <w:rsid w:val="7646289E"/>
    <w:rsid w:val="766241A8"/>
    <w:rsid w:val="766C3FB8"/>
    <w:rsid w:val="768D00F9"/>
    <w:rsid w:val="768F4440"/>
    <w:rsid w:val="769E17EC"/>
    <w:rsid w:val="76AB2C25"/>
    <w:rsid w:val="76AE3F49"/>
    <w:rsid w:val="76CD72D5"/>
    <w:rsid w:val="76D40FBC"/>
    <w:rsid w:val="77067C98"/>
    <w:rsid w:val="775419E4"/>
    <w:rsid w:val="777818EB"/>
    <w:rsid w:val="778018FB"/>
    <w:rsid w:val="778368DB"/>
    <w:rsid w:val="77F402F3"/>
    <w:rsid w:val="78173413"/>
    <w:rsid w:val="784C10A4"/>
    <w:rsid w:val="78541426"/>
    <w:rsid w:val="787148FE"/>
    <w:rsid w:val="78D070E1"/>
    <w:rsid w:val="78FE3201"/>
    <w:rsid w:val="790C401F"/>
    <w:rsid w:val="79177993"/>
    <w:rsid w:val="792848DD"/>
    <w:rsid w:val="794B16BA"/>
    <w:rsid w:val="796A358F"/>
    <w:rsid w:val="798A0485"/>
    <w:rsid w:val="799E422F"/>
    <w:rsid w:val="79CD2140"/>
    <w:rsid w:val="79D21BF5"/>
    <w:rsid w:val="7A2228AE"/>
    <w:rsid w:val="7A2608F4"/>
    <w:rsid w:val="7A453AAC"/>
    <w:rsid w:val="7A520670"/>
    <w:rsid w:val="7A525444"/>
    <w:rsid w:val="7A5B1F90"/>
    <w:rsid w:val="7AC10230"/>
    <w:rsid w:val="7AE01E50"/>
    <w:rsid w:val="7B1B68F2"/>
    <w:rsid w:val="7B644EB8"/>
    <w:rsid w:val="7B652B3A"/>
    <w:rsid w:val="7B686BA2"/>
    <w:rsid w:val="7B87371E"/>
    <w:rsid w:val="7B967B76"/>
    <w:rsid w:val="7BA611BB"/>
    <w:rsid w:val="7BBA142E"/>
    <w:rsid w:val="7BBB62FB"/>
    <w:rsid w:val="7BC4032A"/>
    <w:rsid w:val="7BE71039"/>
    <w:rsid w:val="7BF45B2C"/>
    <w:rsid w:val="7C1D77FE"/>
    <w:rsid w:val="7C2426C2"/>
    <w:rsid w:val="7C316DCF"/>
    <w:rsid w:val="7C484BB3"/>
    <w:rsid w:val="7C8438FC"/>
    <w:rsid w:val="7C8A47F2"/>
    <w:rsid w:val="7CE658A5"/>
    <w:rsid w:val="7CF950E9"/>
    <w:rsid w:val="7D2D5BC3"/>
    <w:rsid w:val="7D3224FD"/>
    <w:rsid w:val="7D4018B7"/>
    <w:rsid w:val="7D402064"/>
    <w:rsid w:val="7D445EE9"/>
    <w:rsid w:val="7D62342F"/>
    <w:rsid w:val="7D7929D9"/>
    <w:rsid w:val="7D7E378C"/>
    <w:rsid w:val="7D885061"/>
    <w:rsid w:val="7D9D34E8"/>
    <w:rsid w:val="7DA04CF5"/>
    <w:rsid w:val="7DB373BA"/>
    <w:rsid w:val="7DB46E69"/>
    <w:rsid w:val="7DBB0534"/>
    <w:rsid w:val="7DBD1D27"/>
    <w:rsid w:val="7DC34824"/>
    <w:rsid w:val="7DC62132"/>
    <w:rsid w:val="7E1D76DB"/>
    <w:rsid w:val="7E2133D8"/>
    <w:rsid w:val="7E2A1F50"/>
    <w:rsid w:val="7E401BC0"/>
    <w:rsid w:val="7E665208"/>
    <w:rsid w:val="7E6814E1"/>
    <w:rsid w:val="7E9261EC"/>
    <w:rsid w:val="7EB05A59"/>
    <w:rsid w:val="7EF4455A"/>
    <w:rsid w:val="7EF76747"/>
    <w:rsid w:val="7EFE32C5"/>
    <w:rsid w:val="7F1F76F2"/>
    <w:rsid w:val="7F2A0DB3"/>
    <w:rsid w:val="7F3A4175"/>
    <w:rsid w:val="7F3D7E25"/>
    <w:rsid w:val="7F571393"/>
    <w:rsid w:val="7F622301"/>
    <w:rsid w:val="7F625C42"/>
    <w:rsid w:val="7F77650B"/>
    <w:rsid w:val="7F910D1E"/>
    <w:rsid w:val="7F982C0B"/>
    <w:rsid w:val="7FDF191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99"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0"/>
    <w:qFormat/>
    <w:uiPriority w:val="0"/>
    <w:pPr>
      <w:keepNext/>
      <w:keepLines/>
      <w:spacing w:before="260" w:after="260" w:line="416" w:lineRule="auto"/>
      <w:outlineLvl w:val="2"/>
    </w:pPr>
    <w:rPr>
      <w:b/>
      <w:bCs/>
      <w:sz w:val="32"/>
      <w:szCs w:val="32"/>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40"/>
    <w:qFormat/>
    <w:uiPriority w:val="0"/>
    <w:pPr>
      <w:snapToGrid w:val="0"/>
      <w:spacing w:line="360" w:lineRule="auto"/>
      <w:ind w:firstLine="567"/>
    </w:pPr>
    <w:rPr>
      <w:sz w:val="28"/>
    </w:rPr>
  </w:style>
  <w:style w:type="paragraph" w:styleId="6">
    <w:name w:val="Document Map"/>
    <w:basedOn w:val="1"/>
    <w:link w:val="54"/>
    <w:qFormat/>
    <w:uiPriority w:val="99"/>
    <w:rPr>
      <w:rFonts w:ascii="宋体"/>
      <w:sz w:val="18"/>
      <w:szCs w:val="18"/>
    </w:rPr>
  </w:style>
  <w:style w:type="paragraph" w:styleId="7">
    <w:name w:val="annotation text"/>
    <w:basedOn w:val="1"/>
    <w:semiHidden/>
    <w:qFormat/>
    <w:uiPriority w:val="0"/>
    <w:pPr>
      <w:jc w:val="left"/>
    </w:pPr>
  </w:style>
  <w:style w:type="paragraph" w:styleId="8">
    <w:name w:val="Body Text"/>
    <w:basedOn w:val="1"/>
    <w:link w:val="41"/>
    <w:qFormat/>
    <w:uiPriority w:val="0"/>
    <w:pPr>
      <w:spacing w:after="120"/>
    </w:pPr>
  </w:style>
  <w:style w:type="paragraph" w:styleId="9">
    <w:name w:val="Body Text Indent"/>
    <w:basedOn w:val="1"/>
    <w:link w:val="53"/>
    <w:qFormat/>
    <w:uiPriority w:val="0"/>
    <w:pPr>
      <w:spacing w:after="120"/>
      <w:ind w:left="420" w:leftChars="200"/>
    </w:pPr>
  </w:style>
  <w:style w:type="paragraph" w:styleId="10">
    <w:name w:val="Block Text"/>
    <w:basedOn w:val="1"/>
    <w:qFormat/>
    <w:uiPriority w:val="0"/>
    <w:pPr>
      <w:ind w:left="56" w:leftChars="20" w:right="285" w:hanging="2"/>
    </w:pPr>
    <w:rPr>
      <w:snapToGrid w:val="0"/>
      <w:kern w:val="0"/>
    </w:rPr>
  </w:style>
  <w:style w:type="paragraph" w:styleId="11">
    <w:name w:val="Plain Text"/>
    <w:basedOn w:val="1"/>
    <w:link w:val="34"/>
    <w:qFormat/>
    <w:uiPriority w:val="99"/>
    <w:rPr>
      <w:rFonts w:ascii="宋体" w:hAnsi="Courier New"/>
    </w:rPr>
  </w:style>
  <w:style w:type="paragraph" w:styleId="12">
    <w:name w:val="Date"/>
    <w:basedOn w:val="1"/>
    <w:next w:val="1"/>
    <w:qFormat/>
    <w:uiPriority w:val="0"/>
  </w:style>
  <w:style w:type="paragraph" w:styleId="13">
    <w:name w:val="Body Text Indent 2"/>
    <w:basedOn w:val="1"/>
    <w:qFormat/>
    <w:uiPriority w:val="0"/>
    <w:pPr>
      <w:ind w:firstLine="597" w:firstLineChars="200"/>
    </w:pPr>
    <w:rPr>
      <w:snapToGrid w:val="0"/>
      <w:color w:val="FF0000"/>
      <w:kern w:val="0"/>
      <w:sz w:val="24"/>
    </w:rPr>
  </w:style>
  <w:style w:type="paragraph" w:styleId="14">
    <w:name w:val="Balloon Text"/>
    <w:basedOn w:val="1"/>
    <w:semiHidden/>
    <w:qFormat/>
    <w:uiPriority w:val="0"/>
    <w:rPr>
      <w:sz w:val="18"/>
      <w:szCs w:val="18"/>
    </w:rPr>
  </w:style>
  <w:style w:type="paragraph" w:styleId="15">
    <w:name w:val="footer"/>
    <w:basedOn w:val="1"/>
    <w:qFormat/>
    <w:uiPriority w:val="0"/>
    <w:pPr>
      <w:tabs>
        <w:tab w:val="center" w:pos="4153"/>
        <w:tab w:val="right" w:pos="8306"/>
      </w:tabs>
      <w:snapToGrid w:val="0"/>
      <w:jc w:val="left"/>
    </w:pPr>
    <w:rPr>
      <w:sz w:val="18"/>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rPr>
  </w:style>
  <w:style w:type="paragraph" w:styleId="17">
    <w:name w:val="toc 1"/>
    <w:basedOn w:val="1"/>
    <w:next w:val="1"/>
    <w:qFormat/>
    <w:uiPriority w:val="39"/>
    <w:pPr>
      <w:tabs>
        <w:tab w:val="right" w:leader="dot" w:pos="9119"/>
      </w:tabs>
      <w:adjustRightInd w:val="0"/>
      <w:snapToGrid w:val="0"/>
      <w:spacing w:line="260" w:lineRule="atLeast"/>
      <w:ind w:left="355" w:leftChars="50" w:hanging="250" w:hangingChars="104"/>
    </w:pPr>
    <w:rPr>
      <w:rFonts w:ascii="楷体_GB2312" w:hAnsi="宋体" w:eastAsia="楷体_GB2312"/>
      <w:snapToGrid w:val="0"/>
      <w:kern w:val="0"/>
      <w:sz w:val="24"/>
      <w:szCs w:val="24"/>
    </w:rPr>
  </w:style>
  <w:style w:type="paragraph" w:styleId="18">
    <w:name w:val="footnote text"/>
    <w:basedOn w:val="1"/>
    <w:semiHidden/>
    <w:qFormat/>
    <w:uiPriority w:val="0"/>
    <w:pPr>
      <w:adjustRightInd w:val="0"/>
      <w:spacing w:line="312" w:lineRule="atLeast"/>
      <w:jc w:val="left"/>
      <w:textAlignment w:val="baseline"/>
    </w:pPr>
    <w:rPr>
      <w:kern w:val="0"/>
      <w:sz w:val="18"/>
    </w:rPr>
  </w:style>
  <w:style w:type="paragraph" w:styleId="19">
    <w:name w:val="Body Text Indent 3"/>
    <w:basedOn w:val="1"/>
    <w:qFormat/>
    <w:uiPriority w:val="0"/>
    <w:pPr>
      <w:spacing w:after="120"/>
      <w:ind w:left="420" w:leftChars="200"/>
    </w:pPr>
    <w:rPr>
      <w:sz w:val="16"/>
      <w:szCs w:val="16"/>
    </w:rPr>
  </w:style>
  <w:style w:type="paragraph" w:styleId="20">
    <w:name w:val="toc 2"/>
    <w:basedOn w:val="1"/>
    <w:next w:val="1"/>
    <w:qFormat/>
    <w:uiPriority w:val="39"/>
    <w:pPr>
      <w:tabs>
        <w:tab w:val="right" w:leader="dot" w:pos="9119"/>
      </w:tabs>
      <w:adjustRightInd w:val="0"/>
      <w:snapToGrid w:val="0"/>
      <w:spacing w:line="312" w:lineRule="auto"/>
      <w:ind w:left="105" w:leftChars="50"/>
    </w:pPr>
    <w:rPr>
      <w:kern w:val="0"/>
    </w:rPr>
  </w:style>
  <w:style w:type="paragraph" w:styleId="21">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2">
    <w:name w:val="annotation subject"/>
    <w:basedOn w:val="7"/>
    <w:next w:val="7"/>
    <w:semiHidden/>
    <w:qFormat/>
    <w:uiPriority w:val="0"/>
    <w:rPr>
      <w:b/>
      <w:bCs/>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basedOn w:val="25"/>
    <w:qFormat/>
    <w:uiPriority w:val="22"/>
    <w:rPr>
      <w:b/>
      <w:bCs/>
    </w:rPr>
  </w:style>
  <w:style w:type="character" w:styleId="27">
    <w:name w:val="page number"/>
    <w:basedOn w:val="25"/>
    <w:qFormat/>
    <w:uiPriority w:val="0"/>
  </w:style>
  <w:style w:type="character" w:styleId="28">
    <w:name w:val="Hyperlink"/>
    <w:basedOn w:val="25"/>
    <w:qFormat/>
    <w:uiPriority w:val="99"/>
    <w:rPr>
      <w:color w:val="0000FF"/>
      <w:u w:val="single"/>
    </w:rPr>
  </w:style>
  <w:style w:type="character" w:styleId="29">
    <w:name w:val="annotation reference"/>
    <w:basedOn w:val="25"/>
    <w:semiHidden/>
    <w:qFormat/>
    <w:uiPriority w:val="0"/>
    <w:rPr>
      <w:sz w:val="21"/>
    </w:rPr>
  </w:style>
  <w:style w:type="character" w:customStyle="1" w:styleId="30">
    <w:name w:val="标题 3 Char"/>
    <w:basedOn w:val="25"/>
    <w:link w:val="4"/>
    <w:semiHidden/>
    <w:qFormat/>
    <w:uiPriority w:val="0"/>
    <w:rPr>
      <w:b/>
      <w:bCs/>
      <w:kern w:val="2"/>
      <w:sz w:val="32"/>
      <w:szCs w:val="32"/>
    </w:rPr>
  </w:style>
  <w:style w:type="character" w:customStyle="1" w:styleId="31">
    <w:name w:val="font61"/>
    <w:basedOn w:val="25"/>
    <w:qFormat/>
    <w:uiPriority w:val="0"/>
    <w:rPr>
      <w:rFonts w:hint="default" w:ascii="Times New Roman" w:hAnsi="Times New Roman" w:cs="Times New Roman"/>
      <w:color w:val="000000"/>
      <w:sz w:val="20"/>
      <w:szCs w:val="20"/>
      <w:u w:val="none"/>
    </w:rPr>
  </w:style>
  <w:style w:type="character" w:customStyle="1" w:styleId="32">
    <w:name w:val="apple-converted-space"/>
    <w:basedOn w:val="25"/>
    <w:qFormat/>
    <w:uiPriority w:val="0"/>
  </w:style>
  <w:style w:type="character" w:customStyle="1" w:styleId="33">
    <w:name w:val="font21"/>
    <w:basedOn w:val="25"/>
    <w:qFormat/>
    <w:uiPriority w:val="0"/>
    <w:rPr>
      <w:rFonts w:hint="eastAsia" w:ascii="仿宋_GB2312" w:eastAsia="仿宋_GB2312" w:cs="仿宋_GB2312"/>
      <w:color w:val="000000"/>
      <w:sz w:val="20"/>
      <w:szCs w:val="20"/>
      <w:u w:val="none"/>
    </w:rPr>
  </w:style>
  <w:style w:type="character" w:customStyle="1" w:styleId="34">
    <w:name w:val="纯文本 Char"/>
    <w:basedOn w:val="25"/>
    <w:link w:val="11"/>
    <w:qFormat/>
    <w:uiPriority w:val="99"/>
    <w:rPr>
      <w:rFonts w:ascii="宋体" w:hAnsi="Courier New" w:eastAsia="宋体"/>
      <w:kern w:val="2"/>
      <w:sz w:val="21"/>
      <w:lang w:val="en-US" w:eastAsia="zh-CN" w:bidi="ar-SA"/>
    </w:rPr>
  </w:style>
  <w:style w:type="character" w:customStyle="1" w:styleId="35">
    <w:name w:val="headline-content"/>
    <w:basedOn w:val="25"/>
    <w:qFormat/>
    <w:uiPriority w:val="0"/>
  </w:style>
  <w:style w:type="character" w:customStyle="1" w:styleId="36">
    <w:name w:val="font51"/>
    <w:basedOn w:val="25"/>
    <w:qFormat/>
    <w:uiPriority w:val="0"/>
    <w:rPr>
      <w:rFonts w:hint="default" w:ascii="Times New Roman" w:hAnsi="Times New Roman" w:cs="Times New Roman"/>
      <w:color w:val="000000"/>
      <w:sz w:val="20"/>
      <w:szCs w:val="20"/>
      <w:u w:val="none"/>
    </w:rPr>
  </w:style>
  <w:style w:type="character" w:customStyle="1" w:styleId="37">
    <w:name w:val="font01"/>
    <w:basedOn w:val="25"/>
    <w:qFormat/>
    <w:uiPriority w:val="0"/>
    <w:rPr>
      <w:rFonts w:hint="eastAsia" w:ascii="仿宋_GB2312" w:eastAsia="仿宋_GB2312" w:cs="仿宋_GB2312"/>
      <w:color w:val="000000"/>
      <w:sz w:val="20"/>
      <w:szCs w:val="20"/>
      <w:u w:val="none"/>
    </w:rPr>
  </w:style>
  <w:style w:type="character" w:customStyle="1" w:styleId="38">
    <w:name w:val="font31"/>
    <w:basedOn w:val="25"/>
    <w:qFormat/>
    <w:uiPriority w:val="0"/>
    <w:rPr>
      <w:rFonts w:hint="default" w:ascii="Times New Roman" w:hAnsi="Times New Roman" w:cs="Times New Roman"/>
      <w:color w:val="000000"/>
      <w:sz w:val="20"/>
      <w:szCs w:val="20"/>
      <w:u w:val="none"/>
      <w:vertAlign w:val="superscript"/>
    </w:rPr>
  </w:style>
  <w:style w:type="character" w:customStyle="1" w:styleId="39">
    <w:name w:val="font11"/>
    <w:basedOn w:val="25"/>
    <w:qFormat/>
    <w:uiPriority w:val="0"/>
    <w:rPr>
      <w:rFonts w:hint="eastAsia" w:ascii="宋体" w:hAnsi="宋体" w:eastAsia="宋体" w:cs="宋体"/>
      <w:color w:val="000000"/>
      <w:sz w:val="20"/>
      <w:szCs w:val="20"/>
      <w:u w:val="none"/>
    </w:rPr>
  </w:style>
  <w:style w:type="character" w:customStyle="1" w:styleId="40">
    <w:name w:val="正文缩进 Char"/>
    <w:basedOn w:val="25"/>
    <w:link w:val="5"/>
    <w:qFormat/>
    <w:uiPriority w:val="0"/>
    <w:rPr>
      <w:rFonts w:eastAsia="宋体"/>
      <w:kern w:val="2"/>
      <w:sz w:val="28"/>
      <w:lang w:val="en-US" w:eastAsia="zh-CN" w:bidi="ar-SA"/>
    </w:rPr>
  </w:style>
  <w:style w:type="character" w:customStyle="1" w:styleId="41">
    <w:name w:val="正文文本 Char"/>
    <w:basedOn w:val="25"/>
    <w:link w:val="8"/>
    <w:qFormat/>
    <w:uiPriority w:val="0"/>
    <w:rPr>
      <w:kern w:val="2"/>
      <w:sz w:val="21"/>
    </w:rPr>
  </w:style>
  <w:style w:type="paragraph" w:customStyle="1" w:styleId="42">
    <w:name w:val="Char Char Char1 Char Char Char Char"/>
    <w:basedOn w:val="1"/>
    <w:qFormat/>
    <w:uiPriority w:val="0"/>
    <w:pPr>
      <w:widowControl/>
      <w:jc w:val="left"/>
    </w:pPr>
    <w:rPr>
      <w:rFonts w:ascii="宋体" w:hAnsi="宋体" w:cs="Courier New"/>
      <w:kern w:val="0"/>
      <w:sz w:val="32"/>
      <w:szCs w:val="32"/>
    </w:rPr>
  </w:style>
  <w:style w:type="paragraph" w:customStyle="1" w:styleId="43">
    <w:name w:val="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44">
    <w:name w:val="Char Char Char1 Char Char Char Char1"/>
    <w:basedOn w:val="1"/>
    <w:qFormat/>
    <w:uiPriority w:val="0"/>
    <w:pPr>
      <w:widowControl/>
      <w:jc w:val="left"/>
    </w:pPr>
    <w:rPr>
      <w:rFonts w:ascii="宋体" w:hAnsi="宋体" w:cs="Courier New"/>
      <w:kern w:val="0"/>
      <w:sz w:val="32"/>
      <w:szCs w:val="32"/>
    </w:rPr>
  </w:style>
  <w:style w:type="paragraph" w:customStyle="1" w:styleId="45">
    <w:name w:val="Char Char Char Char Char Char Char"/>
    <w:basedOn w:val="1"/>
    <w:qFormat/>
    <w:uiPriority w:val="0"/>
    <w:pPr>
      <w:widowControl/>
      <w:spacing w:after="160" w:line="240" w:lineRule="exact"/>
      <w:jc w:val="left"/>
    </w:pPr>
    <w:rPr>
      <w:rFonts w:ascii="Verdana" w:hAnsi="Verdana" w:eastAsia="Times New Roman"/>
      <w:kern w:val="0"/>
      <w:sz w:val="20"/>
      <w:lang w:eastAsia="en-US"/>
    </w:rPr>
  </w:style>
  <w:style w:type="paragraph" w:customStyle="1" w:styleId="46">
    <w:name w:val="标准"/>
    <w:basedOn w:val="1"/>
    <w:qFormat/>
    <w:uiPriority w:val="0"/>
    <w:pPr>
      <w:adjustRightInd w:val="0"/>
      <w:spacing w:line="312" w:lineRule="atLeast"/>
      <w:jc w:val="center"/>
      <w:textAlignment w:val="baseline"/>
    </w:pPr>
    <w:rPr>
      <w:rFonts w:ascii="文鼎CS仿宋体" w:eastAsia="文鼎CS仿宋体"/>
      <w:kern w:val="0"/>
      <w:sz w:val="28"/>
    </w:rPr>
  </w:style>
  <w:style w:type="paragraph" w:customStyle="1" w:styleId="47">
    <w:name w:val="默认段落字体 Para Char Char Char Char Char Char Char"/>
    <w:basedOn w:val="1"/>
    <w:qFormat/>
    <w:uiPriority w:val="0"/>
    <w:rPr>
      <w:rFonts w:ascii="Tahoma" w:hAnsi="Tahoma"/>
      <w:sz w:val="24"/>
    </w:rPr>
  </w:style>
  <w:style w:type="paragraph" w:customStyle="1" w:styleId="48">
    <w:name w:val="Char1"/>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49">
    <w:name w:val="xl30"/>
    <w:basedOn w:val="1"/>
    <w:qFormat/>
    <w:uiPriority w:val="0"/>
    <w:pPr>
      <w:widowControl/>
      <w:pBdr>
        <w:bottom w:val="single" w:color="auto" w:sz="4" w:space="0"/>
        <w:right w:val="single" w:color="auto" w:sz="4" w:space="0"/>
      </w:pBdr>
      <w:spacing w:before="100" w:beforeAutospacing="1" w:after="100" w:afterAutospacing="1"/>
      <w:jc w:val="center"/>
    </w:pPr>
    <w:rPr>
      <w:kern w:val="0"/>
      <w:szCs w:val="21"/>
    </w:rPr>
  </w:style>
  <w:style w:type="paragraph" w:customStyle="1" w:styleId="50">
    <w:name w:val="z-窗体顶端1"/>
    <w:basedOn w:val="1"/>
    <w:next w:val="1"/>
    <w:qFormat/>
    <w:uiPriority w:val="0"/>
    <w:pPr>
      <w:widowControl/>
      <w:pBdr>
        <w:bottom w:val="single" w:color="auto" w:sz="6" w:space="1"/>
      </w:pBdr>
      <w:jc w:val="center"/>
    </w:pPr>
    <w:rPr>
      <w:rFonts w:ascii="Arial" w:hAnsi="Arial" w:cs="Arial"/>
      <w:vanish/>
      <w:kern w:val="0"/>
      <w:sz w:val="16"/>
      <w:szCs w:val="16"/>
    </w:rPr>
  </w:style>
  <w:style w:type="paragraph" w:customStyle="1" w:styleId="51">
    <w:name w:val="Char3"/>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52">
    <w:name w:val="列出段落1"/>
    <w:basedOn w:val="1"/>
    <w:qFormat/>
    <w:uiPriority w:val="99"/>
    <w:pPr>
      <w:ind w:firstLine="420" w:firstLineChars="200"/>
    </w:pPr>
    <w:rPr>
      <w:szCs w:val="21"/>
    </w:rPr>
  </w:style>
  <w:style w:type="character" w:customStyle="1" w:styleId="53">
    <w:name w:val="正文文本缩进 Char"/>
    <w:link w:val="9"/>
    <w:qFormat/>
    <w:uiPriority w:val="0"/>
    <w:rPr>
      <w:kern w:val="2"/>
      <w:sz w:val="21"/>
    </w:rPr>
  </w:style>
  <w:style w:type="character" w:customStyle="1" w:styleId="54">
    <w:name w:val="文档结构图 Char"/>
    <w:link w:val="6"/>
    <w:qFormat/>
    <w:uiPriority w:val="99"/>
    <w:rPr>
      <w:rFonts w:ascii="宋体"/>
      <w:kern w:val="2"/>
      <w:sz w:val="18"/>
      <w:szCs w:val="18"/>
    </w:rPr>
  </w:style>
  <w:style w:type="character" w:customStyle="1" w:styleId="55">
    <w:name w:val="文档结构图 Char1"/>
    <w:basedOn w:val="25"/>
    <w:qFormat/>
    <w:uiPriority w:val="0"/>
    <w:rPr>
      <w:rFonts w:ascii="宋体"/>
      <w:kern w:val="2"/>
      <w:sz w:val="18"/>
      <w:szCs w:val="18"/>
    </w:rPr>
  </w:style>
  <w:style w:type="paragraph" w:styleId="56">
    <w:name w:val="List Paragraph"/>
    <w:basedOn w:val="1"/>
    <w:unhideWhenUsed/>
    <w:qFormat/>
    <w:uiPriority w:val="99"/>
    <w:pPr>
      <w:ind w:firstLine="420" w:firstLineChars="200"/>
    </w:pPr>
  </w:style>
  <w:style w:type="character" w:customStyle="1" w:styleId="57">
    <w:name w:val="bjh-p"/>
    <w:basedOn w:val="25"/>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7.jpeg"/><Relationship Id="rId15" Type="http://schemas.openxmlformats.org/officeDocument/2006/relationships/image" Target="media/image6.jpeg"/><Relationship Id="rId14" Type="http://schemas.openxmlformats.org/officeDocument/2006/relationships/image" Target="media/image5.jpeg"/><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image" Target="media/image1.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38472;&#29141;\&#25253;&#21578;&#27169;&#26495;\&#20272;&#20215;&#25253;&#21578;&#27169;&#26495;-&#24066;&#22330;&#27604;&#36739;&#27861;7.2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C61633-A853-4AFD-B9E7-F608365EE737}">
  <ds:schemaRefs/>
</ds:datastoreItem>
</file>

<file path=docProps/app.xml><?xml version="1.0" encoding="utf-8"?>
<Properties xmlns="http://schemas.openxmlformats.org/officeDocument/2006/extended-properties" xmlns:vt="http://schemas.openxmlformats.org/officeDocument/2006/docPropsVTypes">
  <Template>估价报告模板-市场比较法7.28</Template>
  <Company>Microsoft</Company>
  <Pages>43</Pages>
  <Words>4221</Words>
  <Characters>24066</Characters>
  <Lines>200</Lines>
  <Paragraphs>56</Paragraphs>
  <TotalTime>6</TotalTime>
  <ScaleCrop>false</ScaleCrop>
  <LinksUpToDate>false</LinksUpToDate>
  <CharactersWithSpaces>28231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2017-07-19T09:38:00Z</dcterms:created>
  <dc:creator>Common</dc:creator>
  <cp:lastModifiedBy>雅</cp:lastModifiedBy>
  <cp:lastPrinted>2020-09-08T08:35:00Z</cp:lastPrinted>
  <dcterms:modified xsi:type="dcterms:W3CDTF">2020-09-23T02:45:23Z</dcterms:modified>
  <dc:title>房 地 产 估 价 报 告</dc:title>
  <cp:revision>14919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