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color w:val="000000" w:themeColor="text1"/>
          <w:sz w:val="52"/>
          <w:szCs w:val="52"/>
        </w:rPr>
      </w:pPr>
    </w:p>
    <w:p>
      <w:pPr>
        <w:jc w:val="center"/>
        <w:rPr>
          <w:rFonts w:eastAsia="黑体"/>
          <w:b/>
          <w:color w:val="000000"/>
          <w:sz w:val="52"/>
          <w:szCs w:val="52"/>
        </w:rPr>
      </w:pPr>
      <w:r>
        <w:rPr>
          <w:rFonts w:hint="eastAsia" w:eastAsia="黑体"/>
          <w:b/>
          <w:color w:val="000000"/>
          <w:sz w:val="52"/>
          <w:szCs w:val="52"/>
        </w:rPr>
        <w:t>涉执</w:t>
      </w:r>
      <w:r>
        <w:rPr>
          <w:rFonts w:eastAsia="黑体"/>
          <w:b/>
          <w:color w:val="000000"/>
          <w:sz w:val="52"/>
          <w:szCs w:val="52"/>
        </w:rPr>
        <w:t>房地产</w:t>
      </w:r>
      <w:r>
        <w:rPr>
          <w:rFonts w:hint="eastAsia" w:eastAsia="黑体"/>
          <w:b/>
          <w:color w:val="000000"/>
          <w:sz w:val="52"/>
          <w:szCs w:val="52"/>
        </w:rPr>
        <w:t>处置司法</w:t>
      </w:r>
    </w:p>
    <w:p>
      <w:pPr>
        <w:jc w:val="center"/>
        <w:rPr>
          <w:rFonts w:eastAsia="黑体"/>
          <w:b/>
          <w:color w:val="000000"/>
          <w:sz w:val="52"/>
          <w:szCs w:val="52"/>
        </w:rPr>
      </w:pPr>
      <w:r>
        <w:rPr>
          <w:rFonts w:eastAsia="黑体"/>
          <w:b/>
          <w:color w:val="000000"/>
          <w:sz w:val="52"/>
          <w:szCs w:val="52"/>
        </w:rPr>
        <w:t>估价报告</w:t>
      </w:r>
    </w:p>
    <w:p>
      <w:pPr>
        <w:jc w:val="center"/>
        <w:rPr>
          <w:rFonts w:eastAsia="黑体"/>
          <w:b/>
          <w:color w:val="000000" w:themeColor="text1"/>
          <w:sz w:val="52"/>
          <w:szCs w:val="52"/>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估价项目名称：</w:t>
      </w:r>
      <w:r>
        <w:rPr>
          <w:color w:val="000000" w:themeColor="text1"/>
          <w:sz w:val="28"/>
          <w:szCs w:val="28"/>
        </w:rPr>
        <w:t>郭熙炳与王必胜、刘堂军、刘晓栋买卖合同纠纷一案涉及</w:t>
      </w:r>
      <w:r>
        <w:rPr>
          <w:rFonts w:hint="eastAsia"/>
          <w:color w:val="000000" w:themeColor="text1"/>
          <w:sz w:val="28"/>
          <w:szCs w:val="28"/>
        </w:rPr>
        <w:t>的位于</w:t>
      </w:r>
      <w:r>
        <w:rPr>
          <w:rFonts w:hint="eastAsia"/>
          <w:color w:val="000000"/>
          <w:sz w:val="28"/>
          <w:szCs w:val="28"/>
        </w:rPr>
        <w:t>武穴市永宁大道南侧方正广场804室的一宗住宅房地产</w:t>
      </w:r>
      <w:r>
        <w:rPr>
          <w:rFonts w:hint="eastAsia"/>
          <w:color w:val="000000" w:themeColor="text1"/>
          <w:sz w:val="28"/>
          <w:szCs w:val="28"/>
        </w:rPr>
        <w:t>价值</w:t>
      </w:r>
      <w:r>
        <w:rPr>
          <w:color w:val="000000" w:themeColor="text1"/>
          <w:sz w:val="28"/>
          <w:szCs w:val="28"/>
        </w:rPr>
        <w:t>评估</w:t>
      </w:r>
    </w:p>
    <w:p>
      <w:pPr>
        <w:spacing w:line="500" w:lineRule="exact"/>
        <w:ind w:left="2742" w:leftChars="399" w:right="808" w:rightChars="385" w:hanging="1904" w:hangingChars="680"/>
        <w:rPr>
          <w:color w:val="000000" w:themeColor="text1"/>
          <w:sz w:val="28"/>
          <w:szCs w:val="28"/>
        </w:rPr>
      </w:pPr>
    </w:p>
    <w:p>
      <w:pPr>
        <w:spacing w:line="500" w:lineRule="exact"/>
        <w:ind w:left="2923" w:leftChars="468" w:right="50" w:rightChars="24" w:hanging="1940" w:hangingChars="690"/>
        <w:rPr>
          <w:b/>
          <w:color w:val="000000" w:themeColor="text1"/>
          <w:sz w:val="28"/>
          <w:szCs w:val="28"/>
        </w:rPr>
      </w:pPr>
      <w:r>
        <w:rPr>
          <w:b/>
          <w:color w:val="000000" w:themeColor="text1"/>
          <w:sz w:val="28"/>
          <w:szCs w:val="28"/>
        </w:rPr>
        <w:t>估价委托人：</w:t>
      </w:r>
      <w:r>
        <w:rPr>
          <w:rFonts w:hint="eastAsia"/>
          <w:color w:val="000000" w:themeColor="text1"/>
          <w:sz w:val="28"/>
          <w:szCs w:val="28"/>
        </w:rPr>
        <w:t>武穴市人民法院</w:t>
      </w:r>
    </w:p>
    <w:p>
      <w:pPr>
        <w:spacing w:line="500" w:lineRule="exact"/>
        <w:ind w:left="2915" w:leftChars="468" w:right="50" w:rightChars="24" w:hanging="1932" w:hangingChars="690"/>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房地产估价机构：</w:t>
      </w:r>
      <w:r>
        <w:rPr>
          <w:color w:val="000000" w:themeColor="text1"/>
          <w:sz w:val="28"/>
          <w:szCs w:val="28"/>
        </w:rPr>
        <w:t>黄冈市海正房地产评估有限公司</w:t>
      </w:r>
    </w:p>
    <w:p>
      <w:pPr>
        <w:spacing w:line="500" w:lineRule="exact"/>
        <w:ind w:left="2834" w:leftChars="399" w:right="808" w:rightChars="385" w:hanging="1996" w:hangingChars="713"/>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rFonts w:hint="eastAsia"/>
          <w:b/>
          <w:color w:val="000000" w:themeColor="text1"/>
          <w:sz w:val="28"/>
          <w:szCs w:val="28"/>
        </w:rPr>
        <w:t>注册房地产估价师：</w:t>
      </w:r>
      <w:r>
        <w:rPr>
          <w:rFonts w:hint="eastAsia"/>
          <w:color w:val="000000" w:themeColor="text1"/>
          <w:sz w:val="28"/>
          <w:szCs w:val="28"/>
        </w:rPr>
        <w:t>汪震超（注册号：</w:t>
      </w:r>
      <w:r>
        <w:rPr>
          <w:rFonts w:hint="eastAsia" w:hAnsi="宋体"/>
          <w:color w:val="000000" w:themeColor="text1"/>
          <w:sz w:val="28"/>
          <w:szCs w:val="28"/>
        </w:rPr>
        <w:t>4220040037</w:t>
      </w:r>
      <w:r>
        <w:rPr>
          <w:rFonts w:hint="eastAsia"/>
          <w:color w:val="000000" w:themeColor="text1"/>
          <w:sz w:val="28"/>
          <w:szCs w:val="28"/>
        </w:rPr>
        <w:t>）</w:t>
      </w:r>
    </w:p>
    <w:p>
      <w:pPr>
        <w:tabs>
          <w:tab w:val="left" w:pos="3420"/>
          <w:tab w:val="left" w:pos="3600"/>
        </w:tabs>
        <w:spacing w:line="500" w:lineRule="exact"/>
        <w:ind w:left="3683" w:leftChars="1686" w:hanging="142" w:hangingChars="51"/>
        <w:rPr>
          <w:b/>
          <w:color w:val="000000" w:themeColor="text1"/>
          <w:sz w:val="28"/>
          <w:szCs w:val="28"/>
        </w:rPr>
      </w:pPr>
      <w:r>
        <w:rPr>
          <w:rFonts w:hint="eastAsia"/>
          <w:color w:val="000000" w:themeColor="text1"/>
          <w:sz w:val="28"/>
          <w:szCs w:val="28"/>
        </w:rPr>
        <w:t>张  杰（注册号：4220</w:t>
      </w:r>
      <w:r>
        <w:rPr>
          <w:color w:val="000000" w:themeColor="text1"/>
          <w:sz w:val="28"/>
          <w:szCs w:val="28"/>
        </w:rPr>
        <w:t>19</w:t>
      </w:r>
      <w:r>
        <w:rPr>
          <w:rFonts w:hint="eastAsia"/>
          <w:color w:val="000000" w:themeColor="text1"/>
          <w:sz w:val="28"/>
          <w:szCs w:val="28"/>
        </w:rPr>
        <w:t>0036）</w:t>
      </w:r>
    </w:p>
    <w:p>
      <w:pPr>
        <w:spacing w:line="500" w:lineRule="exact"/>
        <w:ind w:right="50" w:rightChars="24"/>
        <w:rPr>
          <w:color w:val="000000" w:themeColor="text1"/>
          <w:sz w:val="28"/>
          <w:szCs w:val="28"/>
        </w:rPr>
      </w:pPr>
    </w:p>
    <w:p>
      <w:pPr>
        <w:spacing w:line="500" w:lineRule="exact"/>
        <w:ind w:left="2923" w:leftChars="468" w:right="50" w:rightChars="24" w:hanging="1940" w:hangingChars="690"/>
        <w:rPr>
          <w:sz w:val="28"/>
          <w:szCs w:val="28"/>
        </w:rPr>
      </w:pPr>
      <w:r>
        <w:rPr>
          <w:b/>
          <w:color w:val="000000" w:themeColor="text1"/>
          <w:sz w:val="28"/>
          <w:szCs w:val="28"/>
        </w:rPr>
        <w:t>估价报告出具日期：</w:t>
      </w:r>
      <w:r>
        <w:rPr>
          <w:rFonts w:hint="eastAsia"/>
          <w:color w:val="000000" w:themeColor="text1"/>
          <w:sz w:val="28"/>
          <w:szCs w:val="28"/>
        </w:rPr>
        <w:t>二〇二一年三</w:t>
      </w:r>
      <w:r>
        <w:rPr>
          <w:rFonts w:hint="eastAsia"/>
          <w:sz w:val="28"/>
          <w:szCs w:val="28"/>
        </w:rPr>
        <w:t>月十二日</w:t>
      </w:r>
    </w:p>
    <w:p>
      <w:pPr>
        <w:spacing w:line="500" w:lineRule="exact"/>
        <w:ind w:left="2834" w:leftChars="399" w:right="808" w:rightChars="385" w:hanging="1996" w:hangingChars="713"/>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估价报告编号</w:t>
      </w:r>
      <w:r>
        <w:rPr>
          <w:rFonts w:hint="eastAsia"/>
          <w:b/>
          <w:color w:val="000000" w:themeColor="text1"/>
          <w:sz w:val="28"/>
          <w:szCs w:val="28"/>
        </w:rPr>
        <w:t>：</w:t>
      </w:r>
      <w:r>
        <w:rPr>
          <w:color w:val="000000" w:themeColor="text1"/>
          <w:sz w:val="28"/>
          <w:szCs w:val="28"/>
        </w:rPr>
        <w:t>黄海房估字</w:t>
      </w:r>
      <w:r>
        <w:rPr>
          <w:rFonts w:hint="eastAsia"/>
          <w:color w:val="000000" w:themeColor="text1"/>
          <w:sz w:val="28"/>
          <w:szCs w:val="28"/>
        </w:rPr>
        <w:t>【2021】第403号</w:t>
      </w:r>
    </w:p>
    <w:p>
      <w:pPr>
        <w:widowControl/>
        <w:jc w:val="left"/>
        <w:rPr>
          <w:rFonts w:eastAsia="黑体"/>
          <w:color w:val="000000" w:themeColor="text1"/>
          <w:kern w:val="0"/>
          <w:sz w:val="28"/>
          <w:szCs w:val="28"/>
        </w:rPr>
      </w:pPr>
      <w:r>
        <w:br w:type="page"/>
      </w:r>
    </w:p>
    <w:p>
      <w:pPr>
        <w:pStyle w:val="39"/>
        <w:rPr>
          <w:rFonts w:asciiTheme="minorEastAsia" w:hAnsiTheme="minorEastAsia" w:eastAsiaTheme="minorEastAsia"/>
          <w:color w:val="FFFFFF" w:themeColor="background1"/>
          <w:sz w:val="10"/>
          <w:szCs w:val="10"/>
          <w:u w:val="none"/>
        </w:rPr>
      </w:pPr>
      <w:r>
        <w:rPr>
          <w:rFonts w:hint="eastAsia" w:asciiTheme="minorEastAsia" w:hAnsiTheme="minorEastAsia" w:eastAsiaTheme="minorEastAsia"/>
          <w:color w:val="FFFFFF" w:themeColor="background1"/>
          <w:sz w:val="10"/>
          <w:szCs w:val="10"/>
        </w:rPr>
        <w:t>【页眉_产权人】</w:t>
      </w:r>
    </w:p>
    <w:p>
      <w:pPr>
        <w:spacing w:line="14" w:lineRule="exact"/>
        <w:rPr>
          <w:rFonts w:eastAsia="黑体"/>
          <w:color w:val="FFFFFF" w:themeColor="background1"/>
          <w:kern w:val="0"/>
          <w:sz w:val="10"/>
          <w:szCs w:val="10"/>
        </w:rPr>
      </w:pPr>
      <w:r>
        <w:rPr>
          <w:rFonts w:hint="eastAsia" w:eastAsia="黑体"/>
          <w:color w:val="FFFFFF" w:themeColor="background1"/>
          <w:kern w:val="0"/>
          <w:sz w:val="10"/>
          <w:szCs w:val="10"/>
        </w:rPr>
        <w:t>【页眉_共有权人1】</w:t>
      </w:r>
    </w:p>
    <w:p>
      <w:pPr>
        <w:rPr>
          <w:rFonts w:eastAsia="黑体"/>
          <w:b/>
          <w:color w:val="000000" w:themeColor="text1"/>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r>
        <w:drawing>
          <wp:inline distT="0" distB="0" distL="114300" distR="114300">
            <wp:extent cx="590550" cy="79057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 cy="790575"/>
                    </a:xfrm>
                    <a:prstGeom prst="rect">
                      <a:avLst/>
                    </a:prstGeom>
                    <a:noFill/>
                    <a:ln>
                      <a:noFill/>
                    </a:ln>
                  </pic:spPr>
                </pic:pic>
              </a:graphicData>
            </a:graphic>
          </wp:inline>
        </w:drawing>
      </w:r>
      <w:r>
        <w:drawing>
          <wp:inline distT="0" distB="0" distL="114300" distR="114300">
            <wp:extent cx="3676650" cy="694055"/>
            <wp:effectExtent l="0" t="0" r="0"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6650" cy="694055"/>
                    </a:xfrm>
                    <a:prstGeom prst="rect">
                      <a:avLst/>
                    </a:prstGeom>
                    <a:noFill/>
                    <a:ln>
                      <a:noFill/>
                    </a:ln>
                  </pic:spPr>
                </pic:pic>
              </a:graphicData>
            </a:graphic>
          </wp:inline>
        </w:drawing>
      </w:r>
    </w:p>
    <w:tbl>
      <w:tblPr>
        <w:tblStyle w:val="26"/>
        <w:tblW w:w="9628" w:type="dxa"/>
        <w:tblInd w:w="0" w:type="dxa"/>
        <w:tblLayout w:type="fixed"/>
        <w:tblCellMar>
          <w:top w:w="0" w:type="dxa"/>
          <w:left w:w="108" w:type="dxa"/>
          <w:bottom w:w="0" w:type="dxa"/>
          <w:right w:w="108" w:type="dxa"/>
        </w:tblCellMar>
      </w:tblPr>
      <w:tblGrid>
        <w:gridCol w:w="1188"/>
        <w:gridCol w:w="1620"/>
        <w:gridCol w:w="5379"/>
        <w:gridCol w:w="1441"/>
      </w:tblGrid>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r>
              <w:rPr>
                <w:rFonts w:hint="eastAsia"/>
                <w:b/>
                <w:szCs w:val="21"/>
              </w:rPr>
              <w:t>公司总部地址</w:t>
            </w:r>
            <w:r>
              <w:rPr>
                <w:rFonts w:hint="eastAsia"/>
                <w:szCs w:val="21"/>
              </w:rPr>
              <w:t>：</w:t>
            </w:r>
          </w:p>
        </w:tc>
        <w:tc>
          <w:tcPr>
            <w:tcW w:w="5379" w:type="dxa"/>
          </w:tcPr>
          <w:p>
            <w:pPr>
              <w:spacing w:line="500" w:lineRule="exact"/>
              <w:rPr>
                <w:b/>
                <w:szCs w:val="21"/>
              </w:rPr>
            </w:pPr>
            <w:r>
              <w:rPr>
                <w:rFonts w:hint="eastAsia"/>
                <w:b/>
                <w:szCs w:val="21"/>
              </w:rPr>
              <w:t>黄州区西湖二路</w:t>
            </w:r>
            <w:r>
              <w:rPr>
                <w:b/>
                <w:szCs w:val="21"/>
              </w:rPr>
              <w:t>56</w:t>
            </w:r>
            <w:r>
              <w:rPr>
                <w:rFonts w:hint="eastAsia"/>
                <w:b/>
                <w:szCs w:val="21"/>
              </w:rPr>
              <w:t>号黄冈房地产大楼二楼</w:t>
            </w:r>
          </w:p>
        </w:tc>
        <w:tc>
          <w:tcPr>
            <w:tcW w:w="1441" w:type="dxa"/>
          </w:tcPr>
          <w:p>
            <w:pPr>
              <w:spacing w:line="500" w:lineRule="exact"/>
              <w:rPr>
                <w:b/>
                <w:szCs w:val="21"/>
              </w:rPr>
            </w:pPr>
            <w:r>
              <w:rPr>
                <w:b/>
                <w:szCs w:val="21"/>
              </w:rPr>
              <w:t>0713-8693126</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r>
              <w:rPr>
                <w:rFonts w:hint="eastAsia"/>
                <w:b/>
                <w:szCs w:val="21"/>
              </w:rPr>
              <w:t>公司分部地址：</w:t>
            </w:r>
          </w:p>
        </w:tc>
        <w:tc>
          <w:tcPr>
            <w:tcW w:w="5379" w:type="dxa"/>
          </w:tcPr>
          <w:p>
            <w:pPr>
              <w:spacing w:line="500" w:lineRule="exact"/>
              <w:rPr>
                <w:b/>
                <w:szCs w:val="21"/>
              </w:rPr>
            </w:pPr>
            <w:r>
              <w:rPr>
                <w:rFonts w:hint="eastAsia"/>
                <w:b/>
                <w:szCs w:val="21"/>
              </w:rPr>
              <w:t>红安县沿河路金沙世纪城侧街113号</w:t>
            </w:r>
          </w:p>
        </w:tc>
        <w:tc>
          <w:tcPr>
            <w:tcW w:w="1441" w:type="dxa"/>
          </w:tcPr>
          <w:p>
            <w:pPr>
              <w:spacing w:line="500" w:lineRule="exact"/>
              <w:rPr>
                <w:b/>
                <w:szCs w:val="21"/>
              </w:rPr>
            </w:pPr>
            <w:r>
              <w:rPr>
                <w:b/>
                <w:szCs w:val="21"/>
              </w:rPr>
              <w:t>0713-3851288</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黄梅县迎宾大道</w:t>
            </w:r>
            <w:r>
              <w:rPr>
                <w:b/>
                <w:szCs w:val="21"/>
              </w:rPr>
              <w:t>640</w:t>
            </w:r>
            <w:r>
              <w:rPr>
                <w:rFonts w:hint="eastAsia"/>
                <w:b/>
                <w:szCs w:val="21"/>
              </w:rPr>
              <w:t>号（房产局斜对面）</w:t>
            </w:r>
          </w:p>
        </w:tc>
        <w:tc>
          <w:tcPr>
            <w:tcW w:w="1441" w:type="dxa"/>
          </w:tcPr>
          <w:p>
            <w:pPr>
              <w:spacing w:line="500" w:lineRule="exact"/>
              <w:rPr>
                <w:b/>
                <w:szCs w:val="21"/>
              </w:rPr>
            </w:pPr>
            <w:r>
              <w:rPr>
                <w:b/>
                <w:szCs w:val="21"/>
              </w:rPr>
              <w:t>0713-3367698</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麻城市金桥大道</w:t>
            </w:r>
            <w:r>
              <w:rPr>
                <w:b/>
                <w:szCs w:val="21"/>
              </w:rPr>
              <w:t>126</w:t>
            </w:r>
            <w:r>
              <w:rPr>
                <w:rFonts w:hint="eastAsia"/>
                <w:b/>
                <w:szCs w:val="21"/>
              </w:rPr>
              <w:t>号</w:t>
            </w:r>
          </w:p>
        </w:tc>
        <w:tc>
          <w:tcPr>
            <w:tcW w:w="1441" w:type="dxa"/>
          </w:tcPr>
          <w:p>
            <w:pPr>
              <w:spacing w:line="500" w:lineRule="exact"/>
              <w:rPr>
                <w:b/>
                <w:szCs w:val="21"/>
              </w:rPr>
            </w:pPr>
            <w:r>
              <w:rPr>
                <w:b/>
                <w:szCs w:val="21"/>
              </w:rPr>
              <w:t>13227396068</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武穴市刊江大道59号兴雨科技大楼406室</w:t>
            </w:r>
          </w:p>
        </w:tc>
        <w:tc>
          <w:tcPr>
            <w:tcW w:w="1441" w:type="dxa"/>
          </w:tcPr>
          <w:p>
            <w:pPr>
              <w:spacing w:line="500" w:lineRule="exact"/>
              <w:rPr>
                <w:b/>
                <w:szCs w:val="21"/>
              </w:rPr>
            </w:pPr>
            <w:r>
              <w:rPr>
                <w:rFonts w:hint="eastAsia"/>
                <w:b/>
                <w:color w:val="000000" w:themeColor="text1"/>
                <w:szCs w:val="21"/>
              </w:rPr>
              <w:t>18671652282</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b/>
                <w:color w:val="000000" w:themeColor="text1"/>
                <w:szCs w:val="21"/>
              </w:rPr>
              <w:t>英山县温泉镇</w:t>
            </w:r>
            <w:r>
              <w:rPr>
                <w:rFonts w:hint="eastAsia"/>
                <w:b/>
                <w:color w:val="000000" w:themeColor="text1"/>
                <w:szCs w:val="21"/>
              </w:rPr>
              <w:t>莲花小区</w:t>
            </w:r>
          </w:p>
        </w:tc>
        <w:tc>
          <w:tcPr>
            <w:tcW w:w="1441" w:type="dxa"/>
          </w:tcPr>
          <w:p>
            <w:pPr>
              <w:spacing w:line="500" w:lineRule="exact"/>
              <w:rPr>
                <w:b/>
                <w:szCs w:val="21"/>
              </w:rPr>
            </w:pPr>
            <w:r>
              <w:rPr>
                <w:rFonts w:hint="eastAsia"/>
                <w:b/>
                <w:color w:val="000000" w:themeColor="text1"/>
                <w:szCs w:val="21"/>
              </w:rPr>
              <w:t>15171351678</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浠水县清泉镇经济开发区重阳阁路</w:t>
            </w:r>
            <w:r>
              <w:rPr>
                <w:b/>
                <w:szCs w:val="21"/>
              </w:rPr>
              <w:t>10</w:t>
            </w:r>
            <w:r>
              <w:rPr>
                <w:rFonts w:hint="eastAsia"/>
                <w:b/>
                <w:szCs w:val="21"/>
              </w:rPr>
              <w:t>号</w:t>
            </w:r>
          </w:p>
        </w:tc>
        <w:tc>
          <w:tcPr>
            <w:tcW w:w="1441" w:type="dxa"/>
          </w:tcPr>
          <w:p>
            <w:pPr>
              <w:spacing w:line="500" w:lineRule="exact"/>
              <w:rPr>
                <w:b/>
                <w:szCs w:val="21"/>
              </w:rPr>
            </w:pPr>
            <w:r>
              <w:rPr>
                <w:b/>
                <w:color w:val="000000" w:themeColor="text1"/>
                <w:szCs w:val="21"/>
              </w:rPr>
              <w:t>15327485138</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color w:val="000000" w:themeColor="text1"/>
                <w:szCs w:val="21"/>
              </w:rPr>
              <w:t>罗田县凤山镇发展大道9号</w:t>
            </w:r>
          </w:p>
        </w:tc>
        <w:tc>
          <w:tcPr>
            <w:tcW w:w="1441" w:type="dxa"/>
          </w:tcPr>
          <w:p>
            <w:pPr>
              <w:spacing w:line="500" w:lineRule="exact"/>
              <w:rPr>
                <w:b/>
                <w:szCs w:val="21"/>
              </w:rPr>
            </w:pPr>
            <w:r>
              <w:rPr>
                <w:b/>
                <w:color w:val="000000" w:themeColor="text1"/>
                <w:szCs w:val="21"/>
              </w:rPr>
              <w:t>15997365186</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color w:val="000000" w:themeColor="text1"/>
                <w:szCs w:val="21"/>
              </w:rPr>
              <w:t>蕲春县漕河大道38号（房管局院内）</w:t>
            </w:r>
          </w:p>
        </w:tc>
        <w:tc>
          <w:tcPr>
            <w:tcW w:w="1441" w:type="dxa"/>
          </w:tcPr>
          <w:p>
            <w:pPr>
              <w:spacing w:line="500" w:lineRule="exact"/>
              <w:rPr>
                <w:b/>
                <w:szCs w:val="21"/>
              </w:rPr>
            </w:pPr>
            <w:r>
              <w:rPr>
                <w:rFonts w:hint="eastAsia"/>
                <w:b/>
                <w:color w:val="000000" w:themeColor="text1"/>
                <w:szCs w:val="21"/>
              </w:rPr>
              <w:t>0713-7235131</w:t>
            </w:r>
          </w:p>
        </w:tc>
      </w:tr>
    </w:tbl>
    <w:p>
      <w:pPr>
        <w:widowControl/>
        <w:jc w:val="left"/>
        <w:rPr>
          <w:sz w:val="10"/>
          <w:szCs w:val="10"/>
        </w:rPr>
      </w:pPr>
      <w:r>
        <w:rPr>
          <w:sz w:val="10"/>
          <w:szCs w:val="10"/>
        </w:rPr>
        <w:br w:type="page"/>
      </w: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color w:val="000000" w:themeColor="text1"/>
          <w:sz w:val="28"/>
          <w:szCs w:val="28"/>
        </w:rPr>
      </w:pPr>
      <w:r>
        <w:rPr>
          <w:color w:val="000000" w:themeColor="text1"/>
          <w:sz w:val="28"/>
          <w:szCs w:val="28"/>
        </w:rPr>
        <w:t>黄海房估字</w:t>
      </w:r>
      <w:r>
        <w:rPr>
          <w:rFonts w:hint="eastAsia"/>
          <w:color w:val="000000" w:themeColor="text1"/>
          <w:sz w:val="28"/>
          <w:szCs w:val="28"/>
        </w:rPr>
        <w:t>【2021】第403号</w:t>
      </w:r>
    </w:p>
    <w:p>
      <w:pPr>
        <w:spacing w:line="500" w:lineRule="exact"/>
        <w:jc w:val="right"/>
        <w:rPr>
          <w:color w:val="000000" w:themeColor="text1"/>
          <w:sz w:val="28"/>
          <w:szCs w:val="28"/>
        </w:rPr>
      </w:pPr>
    </w:p>
    <w:p>
      <w:pPr>
        <w:spacing w:line="500" w:lineRule="exact"/>
        <w:jc w:val="center"/>
        <w:rPr>
          <w:rFonts w:eastAsia="黑体"/>
          <w:b/>
          <w:color w:val="000000" w:themeColor="text1"/>
          <w:sz w:val="48"/>
          <w:szCs w:val="48"/>
        </w:rPr>
      </w:pPr>
      <w:r>
        <w:rPr>
          <w:rFonts w:eastAsia="黑体"/>
          <w:b/>
          <w:color w:val="000000" w:themeColor="text1"/>
          <w:sz w:val="48"/>
          <w:szCs w:val="48"/>
        </w:rPr>
        <w:t>致估价委托人函</w:t>
      </w:r>
    </w:p>
    <w:p>
      <w:pPr>
        <w:spacing w:line="500" w:lineRule="exact"/>
        <w:jc w:val="center"/>
        <w:rPr>
          <w:rFonts w:eastAsia="黑体"/>
          <w:b/>
          <w:color w:val="000000" w:themeColor="text1"/>
          <w:sz w:val="28"/>
          <w:szCs w:val="28"/>
        </w:rPr>
      </w:pPr>
    </w:p>
    <w:p>
      <w:pPr>
        <w:spacing w:line="500" w:lineRule="exact"/>
        <w:rPr>
          <w:b/>
          <w:color w:val="000000" w:themeColor="text1"/>
          <w:sz w:val="28"/>
          <w:szCs w:val="28"/>
        </w:rPr>
      </w:pPr>
      <w:r>
        <w:rPr>
          <w:rFonts w:hint="eastAsia" w:hAnsi="宋体"/>
          <w:color w:val="000000" w:themeColor="text1"/>
          <w:sz w:val="28"/>
          <w:szCs w:val="28"/>
        </w:rPr>
        <w:t>武穴市人民法院</w:t>
      </w:r>
      <w:r>
        <w:rPr>
          <w:b/>
          <w:color w:val="000000" w:themeColor="text1"/>
          <w:sz w:val="28"/>
          <w:szCs w:val="28"/>
        </w:rPr>
        <w:t>:</w:t>
      </w:r>
    </w:p>
    <w:p>
      <w:pPr>
        <w:spacing w:line="500" w:lineRule="exact"/>
        <w:ind w:firstLine="560" w:firstLineChars="200"/>
        <w:rPr>
          <w:color w:val="000000" w:themeColor="text1"/>
          <w:sz w:val="28"/>
          <w:szCs w:val="28"/>
        </w:rPr>
      </w:pPr>
      <w:r>
        <w:rPr>
          <w:color w:val="000000" w:themeColor="text1"/>
          <w:sz w:val="28"/>
          <w:szCs w:val="28"/>
        </w:rPr>
        <w:t>受</w:t>
      </w:r>
      <w:r>
        <w:rPr>
          <w:rFonts w:hint="eastAsia"/>
          <w:color w:val="000000" w:themeColor="text1"/>
          <w:sz w:val="28"/>
          <w:szCs w:val="28"/>
        </w:rPr>
        <w:t>贵法院2021年</w:t>
      </w:r>
      <w:r>
        <w:rPr>
          <w:color w:val="000000" w:themeColor="text1"/>
          <w:sz w:val="28"/>
          <w:szCs w:val="28"/>
        </w:rPr>
        <w:t>01</w:t>
      </w:r>
      <w:r>
        <w:rPr>
          <w:rFonts w:hint="eastAsia"/>
          <w:color w:val="000000" w:themeColor="text1"/>
          <w:sz w:val="28"/>
          <w:szCs w:val="28"/>
        </w:rPr>
        <w:t>月</w:t>
      </w:r>
      <w:r>
        <w:rPr>
          <w:color w:val="000000" w:themeColor="text1"/>
          <w:sz w:val="28"/>
          <w:szCs w:val="28"/>
        </w:rPr>
        <w:t>11</w:t>
      </w:r>
      <w:r>
        <w:rPr>
          <w:rFonts w:hint="eastAsia"/>
          <w:color w:val="000000" w:themeColor="text1"/>
          <w:sz w:val="28"/>
          <w:szCs w:val="28"/>
        </w:rPr>
        <w:t>日</w:t>
      </w:r>
      <w:r>
        <w:rPr>
          <w:color w:val="000000" w:themeColor="text1"/>
          <w:sz w:val="28"/>
          <w:szCs w:val="28"/>
        </w:rPr>
        <w:t>委托，我公司估价人员于</w:t>
      </w:r>
      <w:r>
        <w:rPr>
          <w:rFonts w:hint="eastAsia"/>
          <w:color w:val="000000" w:themeColor="text1"/>
          <w:sz w:val="28"/>
          <w:szCs w:val="28"/>
        </w:rPr>
        <w:t>2021年</w:t>
      </w:r>
      <w:r>
        <w:rPr>
          <w:color w:val="000000" w:themeColor="text1"/>
          <w:sz w:val="28"/>
          <w:szCs w:val="28"/>
        </w:rPr>
        <w:t>01</w:t>
      </w:r>
      <w:r>
        <w:rPr>
          <w:rFonts w:hint="eastAsia"/>
          <w:color w:val="000000" w:themeColor="text1"/>
          <w:sz w:val="28"/>
          <w:szCs w:val="28"/>
        </w:rPr>
        <w:t>月</w:t>
      </w:r>
      <w:r>
        <w:rPr>
          <w:color w:val="000000" w:themeColor="text1"/>
          <w:sz w:val="28"/>
          <w:szCs w:val="28"/>
        </w:rPr>
        <w:t>18</w:t>
      </w:r>
      <w:r>
        <w:rPr>
          <w:rFonts w:hint="eastAsia"/>
          <w:color w:val="000000" w:themeColor="text1"/>
          <w:sz w:val="28"/>
          <w:szCs w:val="28"/>
        </w:rPr>
        <w:t>日</w:t>
      </w:r>
      <w:r>
        <w:rPr>
          <w:color w:val="000000" w:themeColor="text1"/>
          <w:sz w:val="28"/>
          <w:szCs w:val="28"/>
        </w:rPr>
        <w:t>对估价对象进行了现场</w:t>
      </w:r>
      <w:r>
        <w:rPr>
          <w:rFonts w:hint="eastAsia"/>
          <w:color w:val="000000" w:themeColor="text1"/>
          <w:sz w:val="28"/>
          <w:szCs w:val="28"/>
        </w:rPr>
        <w:t>查勘</w:t>
      </w:r>
      <w:r>
        <w:rPr>
          <w:color w:val="000000" w:themeColor="text1"/>
          <w:sz w:val="28"/>
          <w:szCs w:val="28"/>
        </w:rPr>
        <w:t>，并</w:t>
      </w:r>
      <w:r>
        <w:rPr>
          <w:rFonts w:hint="eastAsia"/>
          <w:color w:val="000000" w:themeColor="text1"/>
          <w:sz w:val="28"/>
          <w:szCs w:val="28"/>
        </w:rPr>
        <w:t>分析</w:t>
      </w:r>
      <w:r>
        <w:rPr>
          <w:color w:val="000000" w:themeColor="text1"/>
          <w:sz w:val="28"/>
          <w:szCs w:val="28"/>
        </w:rPr>
        <w:t>、估算出估价对象房地产价值，现函告如下：</w:t>
      </w:r>
    </w:p>
    <w:p>
      <w:pPr>
        <w:spacing w:line="500" w:lineRule="exact"/>
        <w:ind w:firstLine="562" w:firstLineChars="200"/>
        <w:rPr>
          <w:color w:val="000000" w:themeColor="text1"/>
          <w:sz w:val="28"/>
          <w:szCs w:val="28"/>
        </w:rPr>
      </w:pPr>
      <w:r>
        <w:rPr>
          <w:b/>
          <w:color w:val="000000" w:themeColor="text1"/>
          <w:sz w:val="28"/>
          <w:szCs w:val="28"/>
        </w:rPr>
        <w:t>估价对象：</w:t>
      </w:r>
      <w:r>
        <w:rPr>
          <w:color w:val="000000" w:themeColor="text1"/>
          <w:sz w:val="28"/>
          <w:szCs w:val="28"/>
        </w:rPr>
        <w:t>根据委托事项，本次估价对象为一</w:t>
      </w:r>
      <w:r>
        <w:rPr>
          <w:rFonts w:hint="eastAsia"/>
          <w:color w:val="000000" w:themeColor="text1"/>
          <w:sz w:val="28"/>
          <w:szCs w:val="28"/>
        </w:rPr>
        <w:t>套</w:t>
      </w:r>
      <w:r>
        <w:rPr>
          <w:color w:val="000000" w:themeColor="text1"/>
          <w:sz w:val="28"/>
          <w:szCs w:val="28"/>
        </w:rPr>
        <w:t>住宅房地产，详见下表：</w:t>
      </w:r>
    </w:p>
    <w:tbl>
      <w:tblPr>
        <w:tblStyle w:val="26"/>
        <w:tblW w:w="95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101"/>
        <w:gridCol w:w="1450"/>
        <w:gridCol w:w="1144"/>
        <w:gridCol w:w="850"/>
        <w:gridCol w:w="709"/>
        <w:gridCol w:w="709"/>
        <w:gridCol w:w="919"/>
        <w:gridCol w:w="993"/>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58" w:type="dxa"/>
            <w:vAlign w:val="center"/>
          </w:tcPr>
          <w:p>
            <w:pPr>
              <w:jc w:val="center"/>
              <w:rPr>
                <w:color w:val="000000" w:themeColor="text1"/>
                <w:szCs w:val="21"/>
              </w:rPr>
            </w:pPr>
            <w:r>
              <w:rPr>
                <w:color w:val="000000" w:themeColor="text1"/>
                <w:szCs w:val="21"/>
              </w:rPr>
              <w:t>房地产权利人</w:t>
            </w:r>
          </w:p>
        </w:tc>
        <w:tc>
          <w:tcPr>
            <w:tcW w:w="1101" w:type="dxa"/>
            <w:vAlign w:val="center"/>
          </w:tcPr>
          <w:p>
            <w:pPr>
              <w:jc w:val="center"/>
              <w:rPr>
                <w:color w:val="000000" w:themeColor="text1"/>
                <w:szCs w:val="21"/>
              </w:rPr>
            </w:pPr>
            <w:r>
              <w:rPr>
                <w:color w:val="000000" w:themeColor="text1"/>
                <w:szCs w:val="21"/>
              </w:rPr>
              <w:t>位置</w:t>
            </w:r>
          </w:p>
        </w:tc>
        <w:tc>
          <w:tcPr>
            <w:tcW w:w="1450" w:type="dxa"/>
            <w:vAlign w:val="center"/>
          </w:tcPr>
          <w:p>
            <w:pPr>
              <w:jc w:val="center"/>
              <w:rPr>
                <w:color w:val="000000" w:themeColor="text1"/>
                <w:szCs w:val="21"/>
              </w:rPr>
            </w:pPr>
            <w:r>
              <w:rPr>
                <w:color w:val="000000" w:themeColor="text1"/>
                <w:szCs w:val="21"/>
              </w:rPr>
              <w:t>房地产权登记信息表号</w:t>
            </w:r>
          </w:p>
        </w:tc>
        <w:tc>
          <w:tcPr>
            <w:tcW w:w="1144" w:type="dxa"/>
            <w:vAlign w:val="center"/>
          </w:tcPr>
          <w:p>
            <w:pPr>
              <w:jc w:val="center"/>
              <w:rPr>
                <w:color w:val="000000" w:themeColor="text1"/>
                <w:szCs w:val="21"/>
              </w:rPr>
            </w:pPr>
            <w:r>
              <w:rPr>
                <w:rFonts w:hint="eastAsia"/>
                <w:color w:val="000000" w:themeColor="text1"/>
                <w:szCs w:val="21"/>
              </w:rPr>
              <w:t>国有土地使用证号</w:t>
            </w:r>
          </w:p>
        </w:tc>
        <w:tc>
          <w:tcPr>
            <w:tcW w:w="850" w:type="dxa"/>
            <w:vAlign w:val="center"/>
          </w:tcPr>
          <w:p>
            <w:pPr>
              <w:jc w:val="center"/>
              <w:rPr>
                <w:color w:val="000000" w:themeColor="text1"/>
                <w:szCs w:val="21"/>
              </w:rPr>
            </w:pPr>
            <w:r>
              <w:rPr>
                <w:rFonts w:hint="eastAsia"/>
                <w:color w:val="000000" w:themeColor="text1"/>
                <w:szCs w:val="21"/>
              </w:rPr>
              <w:t>建成年份（年）</w:t>
            </w:r>
          </w:p>
        </w:tc>
        <w:tc>
          <w:tcPr>
            <w:tcW w:w="709" w:type="dxa"/>
            <w:vAlign w:val="center"/>
          </w:tcPr>
          <w:p>
            <w:pPr>
              <w:jc w:val="center"/>
              <w:rPr>
                <w:color w:val="000000" w:themeColor="text1"/>
                <w:szCs w:val="21"/>
              </w:rPr>
            </w:pPr>
            <w:r>
              <w:rPr>
                <w:color w:val="000000" w:themeColor="text1"/>
                <w:szCs w:val="21"/>
              </w:rPr>
              <w:t>房屋用途</w:t>
            </w:r>
          </w:p>
        </w:tc>
        <w:tc>
          <w:tcPr>
            <w:tcW w:w="709" w:type="dxa"/>
            <w:vAlign w:val="center"/>
          </w:tcPr>
          <w:p>
            <w:pPr>
              <w:jc w:val="center"/>
              <w:rPr>
                <w:color w:val="000000" w:themeColor="text1"/>
                <w:szCs w:val="21"/>
              </w:rPr>
            </w:pPr>
            <w:r>
              <w:rPr>
                <w:color w:val="000000" w:themeColor="text1"/>
                <w:szCs w:val="21"/>
              </w:rPr>
              <w:t>土地用途</w:t>
            </w:r>
          </w:p>
        </w:tc>
        <w:tc>
          <w:tcPr>
            <w:tcW w:w="919" w:type="dxa"/>
            <w:vAlign w:val="center"/>
          </w:tcPr>
          <w:p>
            <w:pPr>
              <w:rPr>
                <w:color w:val="000000" w:themeColor="text1"/>
                <w:szCs w:val="21"/>
              </w:rPr>
            </w:pPr>
            <w:r>
              <w:rPr>
                <w:rFonts w:hint="eastAsia"/>
                <w:color w:val="000000" w:themeColor="text1"/>
                <w:szCs w:val="21"/>
              </w:rPr>
              <w:t>证载建筑面积</w:t>
            </w:r>
            <w:r>
              <w:rPr>
                <w:color w:val="000000" w:themeColor="text1"/>
                <w:szCs w:val="21"/>
              </w:rPr>
              <w:t>（㎡）</w:t>
            </w:r>
          </w:p>
        </w:tc>
        <w:tc>
          <w:tcPr>
            <w:tcW w:w="993" w:type="dxa"/>
            <w:vAlign w:val="center"/>
          </w:tcPr>
          <w:p>
            <w:pPr>
              <w:jc w:val="center"/>
              <w:rPr>
                <w:color w:val="000000" w:themeColor="text1"/>
                <w:szCs w:val="21"/>
              </w:rPr>
            </w:pPr>
            <w:r>
              <w:rPr>
                <w:rFonts w:hint="eastAsia"/>
                <w:color w:val="000000" w:themeColor="text1"/>
                <w:szCs w:val="21"/>
              </w:rPr>
              <w:t>分摊土地面积</w:t>
            </w:r>
            <w:r>
              <w:rPr>
                <w:color w:val="000000" w:themeColor="text1"/>
                <w:szCs w:val="21"/>
              </w:rPr>
              <w:t>（㎡）</w:t>
            </w:r>
          </w:p>
        </w:tc>
        <w:tc>
          <w:tcPr>
            <w:tcW w:w="780" w:type="dxa"/>
            <w:vAlign w:val="center"/>
          </w:tcPr>
          <w:p>
            <w:pPr>
              <w:jc w:val="center"/>
              <w:rPr>
                <w:color w:val="000000" w:themeColor="text1"/>
                <w:szCs w:val="21"/>
              </w:rPr>
            </w:pPr>
            <w:r>
              <w:rPr>
                <w:rFonts w:hint="eastAsia"/>
                <w:color w:val="000000" w:themeColor="text1"/>
                <w:szCs w:val="21"/>
              </w:rPr>
              <w:t>装修状况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6" w:hRule="atLeast"/>
          <w:jc w:val="center"/>
        </w:trPr>
        <w:tc>
          <w:tcPr>
            <w:tcW w:w="858" w:type="dxa"/>
            <w:vAlign w:val="center"/>
          </w:tcPr>
          <w:p>
            <w:pPr>
              <w:jc w:val="center"/>
              <w:rPr>
                <w:color w:val="000000" w:themeColor="text1"/>
                <w:szCs w:val="21"/>
              </w:rPr>
            </w:pPr>
            <w:r>
              <w:rPr>
                <w:color w:val="000000" w:themeColor="text1"/>
                <w:szCs w:val="21"/>
              </w:rPr>
              <w:t>刘晓栋</w:t>
            </w:r>
          </w:p>
        </w:tc>
        <w:tc>
          <w:tcPr>
            <w:tcW w:w="1101" w:type="dxa"/>
            <w:vAlign w:val="center"/>
          </w:tcPr>
          <w:p>
            <w:pPr>
              <w:jc w:val="center"/>
              <w:rPr>
                <w:color w:val="000000" w:themeColor="text1"/>
                <w:szCs w:val="21"/>
              </w:rPr>
            </w:pPr>
            <w:r>
              <w:rPr>
                <w:rFonts w:hint="eastAsia"/>
                <w:color w:val="000000" w:themeColor="text1"/>
                <w:szCs w:val="21"/>
              </w:rPr>
              <w:t>武穴市永宁大道南侧方正广场804室</w:t>
            </w:r>
          </w:p>
        </w:tc>
        <w:tc>
          <w:tcPr>
            <w:tcW w:w="1450" w:type="dxa"/>
            <w:vAlign w:val="center"/>
          </w:tcPr>
          <w:p>
            <w:pPr>
              <w:jc w:val="center"/>
              <w:rPr>
                <w:color w:val="000000" w:themeColor="text1"/>
                <w:szCs w:val="21"/>
              </w:rPr>
            </w:pPr>
            <w:r>
              <w:rPr>
                <w:color w:val="000000" w:themeColor="text1"/>
                <w:szCs w:val="21"/>
              </w:rPr>
              <w:t>未提供（面积数据来源于房地产权登记信息表）</w:t>
            </w:r>
          </w:p>
        </w:tc>
        <w:tc>
          <w:tcPr>
            <w:tcW w:w="1144" w:type="dxa"/>
            <w:vAlign w:val="center"/>
          </w:tcPr>
          <w:p>
            <w:pPr>
              <w:jc w:val="center"/>
              <w:rPr>
                <w:color w:val="000000" w:themeColor="text1"/>
                <w:szCs w:val="21"/>
              </w:rPr>
            </w:pPr>
            <w:r>
              <w:rPr>
                <w:color w:val="000000" w:themeColor="text1"/>
                <w:szCs w:val="21"/>
              </w:rPr>
              <w:t>未办理</w:t>
            </w:r>
          </w:p>
        </w:tc>
        <w:tc>
          <w:tcPr>
            <w:tcW w:w="850" w:type="dxa"/>
            <w:vAlign w:val="center"/>
          </w:tcPr>
          <w:p>
            <w:pPr>
              <w:jc w:val="center"/>
              <w:rPr>
                <w:color w:val="000000" w:themeColor="text1"/>
                <w:szCs w:val="21"/>
              </w:rPr>
            </w:pPr>
            <w:r>
              <w:rPr>
                <w:color w:val="000000" w:themeColor="text1"/>
                <w:szCs w:val="21"/>
              </w:rPr>
              <w:t>2009</w:t>
            </w:r>
          </w:p>
        </w:tc>
        <w:tc>
          <w:tcPr>
            <w:tcW w:w="709" w:type="dxa"/>
            <w:vAlign w:val="center"/>
          </w:tcPr>
          <w:p>
            <w:pPr>
              <w:jc w:val="center"/>
              <w:rPr>
                <w:color w:val="000000" w:themeColor="text1"/>
                <w:szCs w:val="21"/>
              </w:rPr>
            </w:pPr>
            <w:r>
              <w:rPr>
                <w:rFonts w:hint="eastAsia"/>
                <w:color w:val="000000" w:themeColor="text1"/>
                <w:szCs w:val="21"/>
              </w:rPr>
              <w:t>住宅</w:t>
            </w:r>
          </w:p>
        </w:tc>
        <w:tc>
          <w:tcPr>
            <w:tcW w:w="709" w:type="dxa"/>
            <w:vAlign w:val="center"/>
          </w:tcPr>
          <w:p>
            <w:pPr>
              <w:jc w:val="center"/>
              <w:rPr>
                <w:color w:val="000000" w:themeColor="text1"/>
                <w:szCs w:val="21"/>
              </w:rPr>
            </w:pPr>
            <w:r>
              <w:rPr>
                <w:rFonts w:hint="eastAsia"/>
                <w:color w:val="000000" w:themeColor="text1"/>
                <w:szCs w:val="21"/>
              </w:rPr>
              <w:t>住宅用地</w:t>
            </w:r>
          </w:p>
        </w:tc>
        <w:tc>
          <w:tcPr>
            <w:tcW w:w="919" w:type="dxa"/>
            <w:vAlign w:val="center"/>
          </w:tcPr>
          <w:p>
            <w:pPr>
              <w:jc w:val="center"/>
              <w:rPr>
                <w:color w:val="000000" w:themeColor="text1"/>
                <w:szCs w:val="21"/>
              </w:rPr>
            </w:pPr>
            <w:r>
              <w:rPr>
                <w:rFonts w:hint="eastAsia"/>
                <w:color w:val="000000" w:themeColor="text1"/>
                <w:szCs w:val="21"/>
              </w:rPr>
              <w:t>102.61</w:t>
            </w:r>
          </w:p>
        </w:tc>
        <w:tc>
          <w:tcPr>
            <w:tcW w:w="993" w:type="dxa"/>
            <w:vAlign w:val="center"/>
          </w:tcPr>
          <w:p>
            <w:pPr>
              <w:jc w:val="center"/>
              <w:rPr>
                <w:color w:val="000000" w:themeColor="text1"/>
                <w:szCs w:val="21"/>
              </w:rPr>
            </w:pPr>
            <w:r>
              <w:rPr>
                <w:color w:val="000000" w:themeColor="text1"/>
                <w:szCs w:val="21"/>
              </w:rPr>
              <w:t>/</w:t>
            </w:r>
          </w:p>
        </w:tc>
        <w:tc>
          <w:tcPr>
            <w:tcW w:w="780" w:type="dxa"/>
            <w:vAlign w:val="center"/>
          </w:tcPr>
          <w:p>
            <w:pPr>
              <w:jc w:val="center"/>
              <w:rPr>
                <w:color w:val="000000" w:themeColor="text1"/>
                <w:szCs w:val="21"/>
              </w:rPr>
            </w:pPr>
            <w:r>
              <w:rPr>
                <w:color w:val="000000" w:themeColor="text1"/>
                <w:szCs w:val="21"/>
              </w:rPr>
              <w:t>普通装修</w:t>
            </w:r>
          </w:p>
        </w:tc>
      </w:tr>
    </w:tbl>
    <w:p>
      <w:pPr>
        <w:spacing w:line="500" w:lineRule="exact"/>
        <w:ind w:firstLine="551" w:firstLineChars="196"/>
        <w:rPr>
          <w:color w:val="000000" w:themeColor="text1"/>
          <w:sz w:val="28"/>
          <w:szCs w:val="28"/>
        </w:rPr>
      </w:pPr>
      <w:r>
        <w:rPr>
          <w:b/>
          <w:color w:val="000000" w:themeColor="text1"/>
          <w:sz w:val="28"/>
          <w:szCs w:val="28"/>
        </w:rPr>
        <w:t>估价目的：</w:t>
      </w:r>
      <w:r>
        <w:rPr>
          <w:sz w:val="28"/>
          <w:szCs w:val="28"/>
        </w:rPr>
        <w:t>为</w:t>
      </w:r>
      <w:r>
        <w:rPr>
          <w:rFonts w:hint="eastAsia"/>
          <w:sz w:val="28"/>
          <w:szCs w:val="28"/>
        </w:rPr>
        <w:t>人民法院确定财产处置参考价提供参考依据</w:t>
      </w:r>
      <w:r>
        <w:rPr>
          <w:color w:val="000000" w:themeColor="text1"/>
          <w:spacing w:val="-8"/>
          <w:sz w:val="28"/>
          <w:szCs w:val="28"/>
        </w:rPr>
        <w:t>。</w:t>
      </w:r>
    </w:p>
    <w:p>
      <w:pPr>
        <w:spacing w:line="500" w:lineRule="exact"/>
        <w:ind w:firstLine="562" w:firstLineChars="200"/>
        <w:rPr>
          <w:sz w:val="28"/>
          <w:szCs w:val="28"/>
        </w:rPr>
      </w:pPr>
      <w:r>
        <w:rPr>
          <w:b/>
          <w:sz w:val="28"/>
          <w:szCs w:val="28"/>
        </w:rPr>
        <w:t>价值时点</w:t>
      </w:r>
      <w:r>
        <w:rPr>
          <w:sz w:val="28"/>
          <w:szCs w:val="28"/>
        </w:rPr>
        <w:t>：</w:t>
      </w:r>
      <w:r>
        <w:rPr>
          <w:rFonts w:hint="eastAsia"/>
          <w:sz w:val="28"/>
          <w:szCs w:val="28"/>
        </w:rPr>
        <w:t>2021年</w:t>
      </w:r>
      <w:r>
        <w:rPr>
          <w:sz w:val="28"/>
          <w:szCs w:val="28"/>
        </w:rPr>
        <w:t>01</w:t>
      </w:r>
      <w:r>
        <w:rPr>
          <w:rFonts w:hint="eastAsia"/>
          <w:sz w:val="28"/>
          <w:szCs w:val="28"/>
        </w:rPr>
        <w:t>月</w:t>
      </w:r>
      <w:r>
        <w:rPr>
          <w:sz w:val="28"/>
          <w:szCs w:val="28"/>
        </w:rPr>
        <w:t>18</w:t>
      </w:r>
      <w:r>
        <w:rPr>
          <w:rFonts w:hint="eastAsia"/>
          <w:sz w:val="28"/>
          <w:szCs w:val="28"/>
        </w:rPr>
        <w:t>日</w:t>
      </w:r>
      <w:r>
        <w:rPr>
          <w:sz w:val="28"/>
          <w:szCs w:val="28"/>
        </w:rPr>
        <w:t>。</w:t>
      </w:r>
    </w:p>
    <w:p>
      <w:pPr>
        <w:spacing w:line="500" w:lineRule="exact"/>
        <w:ind w:firstLine="562" w:firstLineChars="200"/>
        <w:rPr>
          <w:b/>
          <w:color w:val="000000" w:themeColor="text1"/>
          <w:sz w:val="28"/>
          <w:szCs w:val="28"/>
        </w:rPr>
      </w:pPr>
      <w:r>
        <w:rPr>
          <w:b/>
          <w:color w:val="000000" w:themeColor="text1"/>
          <w:sz w:val="28"/>
          <w:szCs w:val="28"/>
        </w:rPr>
        <w:t>价值类型：</w:t>
      </w:r>
      <w:r>
        <w:rPr>
          <w:rFonts w:hint="eastAsia" w:hAnsi="宋体"/>
          <w:color w:val="000000" w:themeColor="text1"/>
          <w:sz w:val="28"/>
          <w:szCs w:val="28"/>
        </w:rPr>
        <w:t>此次评估的价值类型为房地产市场价值</w:t>
      </w:r>
      <w:r>
        <w:rPr>
          <w:rFonts w:hAnsi="宋体"/>
          <w:color w:val="000000" w:themeColor="text1"/>
          <w:sz w:val="28"/>
          <w:szCs w:val="28"/>
        </w:rPr>
        <w:t>。</w:t>
      </w:r>
    </w:p>
    <w:p>
      <w:pPr>
        <w:spacing w:line="500" w:lineRule="exact"/>
        <w:ind w:firstLine="562" w:firstLineChars="200"/>
        <w:rPr>
          <w:color w:val="000000" w:themeColor="text1"/>
          <w:sz w:val="28"/>
          <w:szCs w:val="28"/>
        </w:rPr>
      </w:pPr>
      <w:r>
        <w:rPr>
          <w:b/>
          <w:sz w:val="28"/>
          <w:szCs w:val="28"/>
        </w:rPr>
        <w:t>估价结果：</w:t>
      </w:r>
      <w:r>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满足本次估价的全部假设与限制条件下估价结果为</w:t>
      </w:r>
      <w:r>
        <w:rPr>
          <w:b/>
          <w:color w:val="000000" w:themeColor="text1"/>
          <w:sz w:val="28"/>
          <w:szCs w:val="28"/>
        </w:rPr>
        <w:t>RMB47.35万元，</w:t>
      </w:r>
      <w:r>
        <w:rPr>
          <w:color w:val="000000" w:themeColor="text1"/>
          <w:sz w:val="28"/>
          <w:szCs w:val="28"/>
        </w:rPr>
        <w:t>大写金额（人民币）：</w:t>
      </w:r>
      <w:r>
        <w:rPr>
          <w:b/>
          <w:color w:val="000000" w:themeColor="text1"/>
          <w:sz w:val="28"/>
          <w:szCs w:val="28"/>
        </w:rPr>
        <w:t>肆拾柒万叁仟伍佰</w:t>
      </w:r>
      <w:r>
        <w:rPr>
          <w:rFonts w:hint="eastAsia"/>
          <w:b/>
          <w:color w:val="000000" w:themeColor="text1"/>
          <w:sz w:val="28"/>
          <w:szCs w:val="28"/>
        </w:rPr>
        <w:t>元整</w:t>
      </w:r>
      <w:r>
        <w:rPr>
          <w:color w:val="000000" w:themeColor="text1"/>
          <w:sz w:val="28"/>
          <w:szCs w:val="28"/>
        </w:rPr>
        <w:t>。评估单价为</w:t>
      </w:r>
      <w:r>
        <w:rPr>
          <w:rFonts w:hint="eastAsia"/>
          <w:color w:val="000000" w:themeColor="text1"/>
          <w:sz w:val="28"/>
          <w:szCs w:val="28"/>
        </w:rPr>
        <w:t>4615</w:t>
      </w:r>
      <w:r>
        <w:rPr>
          <w:color w:val="000000" w:themeColor="text1"/>
          <w:sz w:val="28"/>
          <w:szCs w:val="28"/>
        </w:rPr>
        <w:t>元/㎡。详见《估价结果一览表》：</w:t>
      </w:r>
    </w:p>
    <w:p>
      <w:pPr>
        <w:spacing w:line="500" w:lineRule="exact"/>
        <w:jc w:val="center"/>
        <w:rPr>
          <w:b/>
          <w:color w:val="000000" w:themeColor="text1"/>
          <w:sz w:val="24"/>
        </w:rPr>
      </w:pPr>
      <w:r>
        <w:rPr>
          <w:b/>
          <w:color w:val="000000" w:themeColor="text1"/>
          <w:sz w:val="24"/>
        </w:rPr>
        <w:t>估价结果一览表</w:t>
      </w:r>
    </w:p>
    <w:tbl>
      <w:tblPr>
        <w:tblStyle w:val="26"/>
        <w:tblW w:w="9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140"/>
        <w:gridCol w:w="1270"/>
        <w:gridCol w:w="1178"/>
        <w:gridCol w:w="1134"/>
        <w:gridCol w:w="1096"/>
        <w:gridCol w:w="112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43" w:type="dxa"/>
            <w:vAlign w:val="center"/>
          </w:tcPr>
          <w:p>
            <w:pPr>
              <w:jc w:val="center"/>
              <w:rPr>
                <w:color w:val="000000" w:themeColor="text1"/>
                <w:szCs w:val="21"/>
              </w:rPr>
            </w:pPr>
            <w:r>
              <w:rPr>
                <w:color w:val="000000" w:themeColor="text1"/>
                <w:szCs w:val="21"/>
              </w:rPr>
              <w:t>房地产权利人</w:t>
            </w:r>
          </w:p>
        </w:tc>
        <w:tc>
          <w:tcPr>
            <w:tcW w:w="1140" w:type="dxa"/>
            <w:vAlign w:val="center"/>
          </w:tcPr>
          <w:p>
            <w:pPr>
              <w:jc w:val="center"/>
              <w:rPr>
                <w:color w:val="000000" w:themeColor="text1"/>
                <w:szCs w:val="21"/>
              </w:rPr>
            </w:pPr>
            <w:r>
              <w:rPr>
                <w:color w:val="000000" w:themeColor="text1"/>
                <w:szCs w:val="21"/>
              </w:rPr>
              <w:t>建筑面积（㎡）</w:t>
            </w:r>
          </w:p>
        </w:tc>
        <w:tc>
          <w:tcPr>
            <w:tcW w:w="1270" w:type="dxa"/>
            <w:vAlign w:val="center"/>
          </w:tcPr>
          <w:p>
            <w:pPr>
              <w:jc w:val="center"/>
              <w:rPr>
                <w:color w:val="000000" w:themeColor="text1"/>
                <w:szCs w:val="21"/>
              </w:rPr>
            </w:pPr>
            <w:r>
              <w:rPr>
                <w:color w:val="000000" w:themeColor="text1"/>
                <w:szCs w:val="21"/>
              </w:rPr>
              <w:t>分摊土地面积（㎡）</w:t>
            </w:r>
          </w:p>
        </w:tc>
        <w:tc>
          <w:tcPr>
            <w:tcW w:w="1178" w:type="dxa"/>
            <w:vAlign w:val="center"/>
          </w:tcPr>
          <w:p>
            <w:pPr>
              <w:jc w:val="center"/>
              <w:rPr>
                <w:color w:val="000000" w:themeColor="text1"/>
                <w:szCs w:val="21"/>
              </w:rPr>
            </w:pPr>
            <w:r>
              <w:rPr>
                <w:rFonts w:hint="eastAsia"/>
                <w:color w:val="000000" w:themeColor="text1"/>
                <w:szCs w:val="21"/>
              </w:rPr>
              <w:t>现状用途</w:t>
            </w:r>
          </w:p>
        </w:tc>
        <w:tc>
          <w:tcPr>
            <w:tcW w:w="1134" w:type="dxa"/>
            <w:vAlign w:val="center"/>
          </w:tcPr>
          <w:p>
            <w:pPr>
              <w:jc w:val="center"/>
              <w:rPr>
                <w:color w:val="000000" w:themeColor="text1"/>
                <w:szCs w:val="21"/>
              </w:rPr>
            </w:pPr>
            <w:r>
              <w:rPr>
                <w:rFonts w:hint="eastAsia"/>
                <w:color w:val="000000" w:themeColor="text1"/>
                <w:szCs w:val="21"/>
              </w:rPr>
              <w:t>垂直交通</w:t>
            </w:r>
          </w:p>
        </w:tc>
        <w:tc>
          <w:tcPr>
            <w:tcW w:w="1096" w:type="dxa"/>
            <w:vAlign w:val="center"/>
          </w:tcPr>
          <w:p>
            <w:pPr>
              <w:jc w:val="center"/>
              <w:rPr>
                <w:color w:val="000000" w:themeColor="text1"/>
                <w:szCs w:val="21"/>
              </w:rPr>
            </w:pPr>
            <w:r>
              <w:rPr>
                <w:rFonts w:hint="eastAsia"/>
                <w:color w:val="000000" w:themeColor="text1"/>
                <w:szCs w:val="21"/>
              </w:rPr>
              <w:t>建成年份（年）</w:t>
            </w:r>
          </w:p>
        </w:tc>
        <w:tc>
          <w:tcPr>
            <w:tcW w:w="1128" w:type="dxa"/>
            <w:vAlign w:val="center"/>
          </w:tcPr>
          <w:p>
            <w:pPr>
              <w:jc w:val="center"/>
              <w:rPr>
                <w:color w:val="000000" w:themeColor="text1"/>
                <w:szCs w:val="21"/>
              </w:rPr>
            </w:pPr>
            <w:r>
              <w:rPr>
                <w:rFonts w:hint="eastAsia"/>
                <w:color w:val="000000" w:themeColor="text1"/>
                <w:szCs w:val="21"/>
              </w:rPr>
              <w:t>单价</w:t>
            </w:r>
          </w:p>
          <w:p>
            <w:pPr>
              <w:jc w:val="center"/>
              <w:rPr>
                <w:color w:val="000000" w:themeColor="text1"/>
                <w:szCs w:val="21"/>
              </w:rPr>
            </w:pPr>
            <w:r>
              <w:rPr>
                <w:color w:val="000000" w:themeColor="text1"/>
                <w:szCs w:val="21"/>
              </w:rPr>
              <w:t>（</w:t>
            </w:r>
            <w:r>
              <w:rPr>
                <w:rFonts w:hint="eastAsia"/>
                <w:color w:val="000000" w:themeColor="text1"/>
                <w:szCs w:val="21"/>
              </w:rPr>
              <w:t>元/㎡）</w:t>
            </w:r>
          </w:p>
        </w:tc>
        <w:tc>
          <w:tcPr>
            <w:tcW w:w="1140" w:type="dxa"/>
            <w:vAlign w:val="center"/>
          </w:tcPr>
          <w:p>
            <w:pPr>
              <w:jc w:val="center"/>
              <w:rPr>
                <w:color w:val="000000" w:themeColor="text1"/>
                <w:szCs w:val="21"/>
              </w:rPr>
            </w:pPr>
            <w:r>
              <w:rPr>
                <w:rFonts w:hint="eastAsia"/>
                <w:color w:val="000000" w:themeColor="text1"/>
                <w:szCs w:val="21"/>
              </w:rPr>
              <w:t>总价</w:t>
            </w:r>
          </w:p>
          <w:p>
            <w:pPr>
              <w:jc w:val="center"/>
              <w:rPr>
                <w:color w:val="000000" w:themeColor="text1"/>
                <w:szCs w:val="21"/>
              </w:rPr>
            </w:pPr>
            <w:r>
              <w:rPr>
                <w:color w:val="000000" w:themeColor="text1"/>
                <w:szCs w:val="21"/>
              </w:rPr>
              <w:t>（万元</w:t>
            </w: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 w:hRule="atLeast"/>
          <w:jc w:val="center"/>
        </w:trPr>
        <w:tc>
          <w:tcPr>
            <w:tcW w:w="943" w:type="dxa"/>
            <w:vAlign w:val="center"/>
          </w:tcPr>
          <w:p>
            <w:pPr>
              <w:spacing w:line="240" w:lineRule="atLeast"/>
              <w:jc w:val="center"/>
              <w:rPr>
                <w:color w:val="000000" w:themeColor="text1"/>
                <w:szCs w:val="21"/>
              </w:rPr>
            </w:pPr>
            <w:r>
              <w:rPr>
                <w:color w:val="000000" w:themeColor="text1"/>
                <w:szCs w:val="21"/>
              </w:rPr>
              <w:t>刘晓栋</w:t>
            </w:r>
          </w:p>
        </w:tc>
        <w:tc>
          <w:tcPr>
            <w:tcW w:w="1140" w:type="dxa"/>
            <w:vAlign w:val="center"/>
          </w:tcPr>
          <w:p>
            <w:pPr>
              <w:spacing w:line="240" w:lineRule="atLeast"/>
              <w:jc w:val="center"/>
              <w:rPr>
                <w:color w:val="000000" w:themeColor="text1"/>
                <w:szCs w:val="21"/>
              </w:rPr>
            </w:pPr>
            <w:r>
              <w:rPr>
                <w:color w:val="000000" w:themeColor="text1"/>
                <w:szCs w:val="21"/>
              </w:rPr>
              <w:t>102.61</w:t>
            </w:r>
          </w:p>
        </w:tc>
        <w:tc>
          <w:tcPr>
            <w:tcW w:w="1270" w:type="dxa"/>
            <w:vAlign w:val="center"/>
          </w:tcPr>
          <w:p>
            <w:pPr>
              <w:spacing w:line="240" w:lineRule="atLeast"/>
              <w:jc w:val="center"/>
              <w:rPr>
                <w:color w:val="000000" w:themeColor="text1"/>
                <w:szCs w:val="21"/>
              </w:rPr>
            </w:pPr>
            <w:r>
              <w:rPr>
                <w:color w:val="000000" w:themeColor="text1"/>
                <w:szCs w:val="21"/>
              </w:rPr>
              <w:t>/</w:t>
            </w:r>
          </w:p>
        </w:tc>
        <w:tc>
          <w:tcPr>
            <w:tcW w:w="1178" w:type="dxa"/>
            <w:vAlign w:val="center"/>
          </w:tcPr>
          <w:p>
            <w:pPr>
              <w:spacing w:line="240" w:lineRule="atLeast"/>
              <w:jc w:val="center"/>
              <w:rPr>
                <w:color w:val="000000" w:themeColor="text1"/>
                <w:szCs w:val="21"/>
              </w:rPr>
            </w:pPr>
            <w:r>
              <w:rPr>
                <w:rFonts w:hint="eastAsia"/>
                <w:color w:val="000000" w:themeColor="text1"/>
                <w:szCs w:val="21"/>
              </w:rPr>
              <w:t>住宅</w:t>
            </w:r>
          </w:p>
        </w:tc>
        <w:tc>
          <w:tcPr>
            <w:tcW w:w="1134" w:type="dxa"/>
            <w:vAlign w:val="center"/>
          </w:tcPr>
          <w:p>
            <w:pPr>
              <w:spacing w:line="240" w:lineRule="atLeast"/>
              <w:jc w:val="center"/>
              <w:rPr>
                <w:color w:val="000000" w:themeColor="text1"/>
                <w:szCs w:val="21"/>
              </w:rPr>
            </w:pPr>
            <w:r>
              <w:rPr>
                <w:rFonts w:hint="eastAsia"/>
                <w:color w:val="000000" w:themeColor="text1"/>
                <w:szCs w:val="21"/>
              </w:rPr>
              <w:t>电梯</w:t>
            </w:r>
          </w:p>
        </w:tc>
        <w:tc>
          <w:tcPr>
            <w:tcW w:w="1096" w:type="dxa"/>
            <w:vAlign w:val="center"/>
          </w:tcPr>
          <w:p>
            <w:pPr>
              <w:spacing w:line="240" w:lineRule="atLeast"/>
              <w:jc w:val="center"/>
              <w:rPr>
                <w:color w:val="000000" w:themeColor="text1"/>
                <w:szCs w:val="21"/>
              </w:rPr>
            </w:pPr>
            <w:r>
              <w:rPr>
                <w:color w:val="000000" w:themeColor="text1"/>
                <w:szCs w:val="21"/>
              </w:rPr>
              <w:t>2009</w:t>
            </w:r>
          </w:p>
        </w:tc>
        <w:tc>
          <w:tcPr>
            <w:tcW w:w="1128" w:type="dxa"/>
            <w:vAlign w:val="center"/>
          </w:tcPr>
          <w:p>
            <w:pPr>
              <w:spacing w:line="240" w:lineRule="atLeast"/>
              <w:jc w:val="center"/>
              <w:rPr>
                <w:color w:val="000000" w:themeColor="text1"/>
                <w:szCs w:val="21"/>
              </w:rPr>
            </w:pPr>
            <w:r>
              <w:rPr>
                <w:color w:val="000000" w:themeColor="text1"/>
                <w:szCs w:val="21"/>
              </w:rPr>
              <w:t>4615</w:t>
            </w:r>
          </w:p>
        </w:tc>
        <w:tc>
          <w:tcPr>
            <w:tcW w:w="1140" w:type="dxa"/>
            <w:vAlign w:val="center"/>
          </w:tcPr>
          <w:p>
            <w:pPr>
              <w:spacing w:line="240" w:lineRule="atLeast"/>
              <w:jc w:val="center"/>
              <w:rPr>
                <w:color w:val="000000" w:themeColor="text1"/>
                <w:szCs w:val="21"/>
              </w:rPr>
            </w:pPr>
            <w:r>
              <w:rPr>
                <w:color w:val="000000" w:themeColor="text1"/>
                <w:szCs w:val="21"/>
              </w:rPr>
              <w:t>47.35</w:t>
            </w:r>
          </w:p>
        </w:tc>
      </w:tr>
    </w:tbl>
    <w:p>
      <w:pPr>
        <w:widowControl/>
        <w:jc w:val="left"/>
        <w:rPr>
          <w:rFonts w:eastAsia="黑体"/>
          <w:b/>
          <w:sz w:val="44"/>
          <w:szCs w:val="44"/>
        </w:rPr>
      </w:pPr>
    </w:p>
    <w:p>
      <w:pPr>
        <w:spacing w:line="500" w:lineRule="exact"/>
        <w:ind w:firstLine="560" w:firstLineChars="200"/>
        <w:rPr>
          <w:b/>
          <w:color w:val="000000" w:themeColor="text1"/>
          <w:sz w:val="28"/>
          <w:szCs w:val="28"/>
        </w:rPr>
      </w:pPr>
      <w:r>
        <w:rPr>
          <w:color w:val="000000" w:themeColor="text1"/>
          <w:sz w:val="28"/>
          <w:szCs w:val="28"/>
        </w:rPr>
        <w:t>使用本报告注意事项：</w:t>
      </w:r>
    </w:p>
    <w:p>
      <w:pPr>
        <w:spacing w:line="500" w:lineRule="exact"/>
        <w:ind w:firstLine="645"/>
        <w:rPr>
          <w:color w:val="000000" w:themeColor="text1"/>
          <w:sz w:val="28"/>
          <w:szCs w:val="28"/>
        </w:rPr>
      </w:pPr>
      <w:r>
        <w:rPr>
          <w:color w:val="000000" w:themeColor="text1"/>
          <w:sz w:val="28"/>
          <w:szCs w:val="28"/>
        </w:rPr>
        <w:t>1、</w:t>
      </w:r>
      <w:r>
        <w:rPr>
          <w:rFonts w:hint="eastAsia"/>
          <w:sz w:val="28"/>
          <w:szCs w:val="28"/>
        </w:rPr>
        <w:t>本估价报告仅为人民法院确定财产处置参考价提供参考依据，不作其他用</w:t>
      </w:r>
      <w:r>
        <w:rPr>
          <w:color w:val="000000" w:themeColor="text1"/>
          <w:sz w:val="28"/>
          <w:szCs w:val="28"/>
        </w:rPr>
        <w:t>途。</w:t>
      </w:r>
    </w:p>
    <w:p>
      <w:pPr>
        <w:spacing w:line="500" w:lineRule="exact"/>
        <w:ind w:firstLine="645"/>
        <w:rPr>
          <w:color w:val="000000" w:themeColor="text1"/>
          <w:sz w:val="28"/>
          <w:szCs w:val="28"/>
        </w:rPr>
      </w:pPr>
      <w:r>
        <w:rPr>
          <w:color w:val="000000" w:themeColor="text1"/>
          <w:sz w:val="28"/>
          <w:szCs w:val="28"/>
        </w:rPr>
        <w:t>2、委托方必须完整使用本报告，对仅使用报告中的部分内容或片面使用而导致的损失，本估价机构不承担责任。</w:t>
      </w:r>
    </w:p>
    <w:p>
      <w:pPr>
        <w:spacing w:line="500" w:lineRule="exact"/>
        <w:ind w:firstLine="645"/>
        <w:rPr>
          <w:color w:val="000000" w:themeColor="text1"/>
          <w:sz w:val="28"/>
          <w:szCs w:val="28"/>
        </w:rPr>
      </w:pPr>
      <w:r>
        <w:rPr>
          <w:color w:val="000000" w:themeColor="text1"/>
          <w:sz w:val="28"/>
          <w:szCs w:val="28"/>
        </w:rPr>
        <w:t>3、本估价报告有效期至</w:t>
      </w:r>
      <w:r>
        <w:rPr>
          <w:rFonts w:hint="eastAsia"/>
          <w:color w:val="000000" w:themeColor="text1"/>
          <w:sz w:val="28"/>
          <w:szCs w:val="28"/>
        </w:rPr>
        <w:t>20</w:t>
      </w:r>
      <w:r>
        <w:rPr>
          <w:color w:val="000000" w:themeColor="text1"/>
          <w:sz w:val="28"/>
          <w:szCs w:val="28"/>
        </w:rPr>
        <w:t>22</w:t>
      </w:r>
      <w:r>
        <w:rPr>
          <w:rFonts w:hint="eastAsia"/>
          <w:color w:val="000000" w:themeColor="text1"/>
          <w:sz w:val="28"/>
          <w:szCs w:val="28"/>
        </w:rPr>
        <w:t>年</w:t>
      </w:r>
      <w:r>
        <w:rPr>
          <w:sz w:val="28"/>
          <w:szCs w:val="28"/>
        </w:rPr>
        <w:t>03</w:t>
      </w:r>
      <w:r>
        <w:rPr>
          <w:rFonts w:hint="eastAsia"/>
          <w:sz w:val="28"/>
          <w:szCs w:val="28"/>
        </w:rPr>
        <w:t>月</w:t>
      </w:r>
      <w:r>
        <w:rPr>
          <w:sz w:val="28"/>
          <w:szCs w:val="28"/>
        </w:rPr>
        <w:t>11</w:t>
      </w:r>
      <w:r>
        <w:rPr>
          <w:rFonts w:hint="eastAsia"/>
          <w:sz w:val="28"/>
          <w:szCs w:val="28"/>
        </w:rPr>
        <w:t>日</w:t>
      </w:r>
      <w:r>
        <w:rPr>
          <w:sz w:val="28"/>
          <w:szCs w:val="28"/>
        </w:rPr>
        <w:t>止</w:t>
      </w:r>
      <w:r>
        <w:rPr>
          <w:color w:val="000000" w:themeColor="text1"/>
          <w:sz w:val="28"/>
          <w:szCs w:val="28"/>
        </w:rPr>
        <w:t>，报告使用人必须在有效期内使用</w:t>
      </w:r>
      <w:r>
        <w:rPr>
          <w:rFonts w:hint="eastAsia"/>
          <w:color w:val="000000" w:themeColor="text1"/>
          <w:sz w:val="28"/>
          <w:szCs w:val="28"/>
        </w:rPr>
        <w:t>，在估价结果有效期内，评估对象状况或者房地产市场发生明显变化的，评估结果应当进行相应调整</w:t>
      </w:r>
      <w:r>
        <w:rPr>
          <w:color w:val="000000" w:themeColor="text1"/>
          <w:sz w:val="28"/>
          <w:szCs w:val="28"/>
        </w:rPr>
        <w:t>。</w:t>
      </w:r>
    </w:p>
    <w:p>
      <w:pPr>
        <w:spacing w:line="500" w:lineRule="exact"/>
        <w:ind w:firstLine="645"/>
        <w:rPr>
          <w:color w:val="000000" w:themeColor="text1"/>
          <w:sz w:val="28"/>
          <w:szCs w:val="28"/>
        </w:rPr>
      </w:pPr>
      <w:r>
        <w:rPr>
          <w:rFonts w:hint="eastAsia"/>
          <w:color w:val="000000" w:themeColor="text1"/>
          <w:sz w:val="28"/>
          <w:szCs w:val="28"/>
        </w:rPr>
        <w:t>4、财产拍卖（或者变卖）日期与评估报告载明的价值时点不一致的，评估对象状况或者房地产市场状况的变化会对估价结果产生影响。</w:t>
      </w:r>
    </w:p>
    <w:p>
      <w:pPr>
        <w:spacing w:line="500" w:lineRule="exact"/>
        <w:ind w:firstLine="645"/>
        <w:rPr>
          <w:color w:val="000000" w:themeColor="text1"/>
          <w:sz w:val="28"/>
          <w:szCs w:val="28"/>
        </w:rPr>
      </w:pPr>
      <w:r>
        <w:rPr>
          <w:rFonts w:hint="eastAsia"/>
          <w:color w:val="000000" w:themeColor="text1"/>
          <w:sz w:val="28"/>
          <w:szCs w:val="28"/>
        </w:rPr>
        <w:t>5、委托人或者评估报告使用人应当按照法律规定和评估报告载明的使用范围使用评估报告，违反该规定使用评估报告的，本机构和注册房地产估价师依法不承担责任。</w:t>
      </w:r>
    </w:p>
    <w:p>
      <w:pPr>
        <w:spacing w:line="500" w:lineRule="exact"/>
        <w:ind w:firstLine="645"/>
        <w:rPr>
          <w:color w:val="000000" w:themeColor="text1"/>
          <w:sz w:val="28"/>
          <w:szCs w:val="28"/>
        </w:rPr>
      </w:pPr>
      <w:r>
        <w:rPr>
          <w:color w:val="000000" w:themeColor="text1"/>
          <w:sz w:val="28"/>
          <w:szCs w:val="28"/>
        </w:rPr>
        <w:t>6、</w:t>
      </w:r>
      <w:r>
        <w:rPr>
          <w:rFonts w:hint="eastAsia"/>
          <w:color w:val="000000" w:themeColor="text1"/>
          <w:sz w:val="28"/>
          <w:szCs w:val="28"/>
        </w:rPr>
        <w:t>本报告估价结果不等同于估价对象处置可实现的成交价，不应被认为是对估价对象处置成交价的保证</w:t>
      </w:r>
      <w:r>
        <w:rPr>
          <w:color w:val="000000" w:themeColor="text1"/>
          <w:sz w:val="28"/>
          <w:szCs w:val="28"/>
        </w:rPr>
        <w:t>。</w:t>
      </w:r>
    </w:p>
    <w:p>
      <w:pPr>
        <w:spacing w:line="500" w:lineRule="exact"/>
        <w:ind w:firstLine="646"/>
        <w:rPr>
          <w:color w:val="000000" w:themeColor="text1"/>
          <w:sz w:val="28"/>
          <w:szCs w:val="28"/>
        </w:rPr>
      </w:pPr>
      <w:r>
        <w:rPr>
          <w:color w:val="000000" w:themeColor="text1"/>
          <w:sz w:val="28"/>
          <w:szCs w:val="28"/>
        </w:rPr>
        <w:t>7、委托方若对估价报告结果有疑问，可以向本公司查询。若对本估价报告有异议的，可在收到本估价报告5日内向估价机构咨询或书面申请复估，或在签收本估价报告15日内向本市房地产估价师协会专家委员会申请鉴定。</w:t>
      </w:r>
    </w:p>
    <w:p>
      <w:pPr>
        <w:spacing w:line="500" w:lineRule="exact"/>
        <w:ind w:firstLine="645"/>
        <w:rPr>
          <w:color w:val="000000" w:themeColor="text1"/>
          <w:sz w:val="28"/>
          <w:szCs w:val="28"/>
        </w:rPr>
      </w:pPr>
      <w:r>
        <w:rPr>
          <w:color w:val="000000" w:themeColor="text1"/>
          <w:sz w:val="28"/>
          <w:szCs w:val="28"/>
        </w:rPr>
        <w:t>8、</w:t>
      </w:r>
      <w:r>
        <w:rPr>
          <w:color w:val="000000" w:themeColor="text1"/>
          <w:spacing w:val="-10"/>
          <w:sz w:val="28"/>
          <w:szCs w:val="28"/>
        </w:rPr>
        <w:t>本报告的最终解释权归黄冈市海正房地产评估有限公司所有。</w:t>
      </w:r>
    </w:p>
    <w:p>
      <w:pPr>
        <w:spacing w:line="500" w:lineRule="exact"/>
        <w:ind w:firstLine="560" w:firstLineChars="200"/>
        <w:rPr>
          <w:color w:val="000000" w:themeColor="text1"/>
          <w:sz w:val="28"/>
          <w:szCs w:val="28"/>
        </w:rPr>
      </w:pPr>
      <w:r>
        <w:rPr>
          <w:color w:val="000000" w:themeColor="text1"/>
          <w:sz w:val="28"/>
          <w:szCs w:val="28"/>
        </w:rPr>
        <w:t>特此奉达！</w:t>
      </w:r>
    </w:p>
    <w:p>
      <w:pPr>
        <w:spacing w:line="500" w:lineRule="exact"/>
        <w:ind w:firstLine="6720" w:firstLineChars="2400"/>
        <w:rPr>
          <w:color w:val="000000" w:themeColor="text1"/>
          <w:sz w:val="28"/>
          <w:szCs w:val="28"/>
        </w:rPr>
      </w:pPr>
      <w:r>
        <w:rPr>
          <w:color w:val="000000" w:themeColor="text1"/>
          <w:sz w:val="28"/>
          <w:szCs w:val="28"/>
        </w:rPr>
        <w:t>法定代表人：</w:t>
      </w:r>
    </w:p>
    <w:p>
      <w:pPr>
        <w:spacing w:line="500" w:lineRule="exact"/>
        <w:jc w:val="center"/>
        <w:rPr>
          <w:sz w:val="28"/>
          <w:szCs w:val="28"/>
        </w:rPr>
      </w:pPr>
      <w:r>
        <w:rPr>
          <w:rFonts w:hint="eastAsia"/>
          <w:color w:val="000000" w:themeColor="text1"/>
          <w:sz w:val="28"/>
          <w:szCs w:val="28"/>
        </w:rPr>
        <w:t xml:space="preserve">                                         二〇二一年三</w:t>
      </w:r>
      <w:r>
        <w:rPr>
          <w:rFonts w:hint="eastAsia"/>
          <w:sz w:val="28"/>
          <w:szCs w:val="28"/>
        </w:rPr>
        <w:t>月十二日</w:t>
      </w:r>
    </w:p>
    <w:p>
      <w:pPr>
        <w:spacing w:line="500" w:lineRule="exact"/>
        <w:jc w:val="center"/>
        <w:rPr>
          <w:rFonts w:ascii="黑体" w:hAnsi="黑体" w:eastAsia="黑体"/>
          <w:b/>
          <w:color w:val="000000" w:themeColor="text1"/>
          <w:sz w:val="48"/>
          <w:szCs w:val="48"/>
        </w:rPr>
      </w:pPr>
      <w:r>
        <w:rPr>
          <w:color w:val="000000" w:themeColor="text1"/>
          <w:sz w:val="28"/>
          <w:szCs w:val="28"/>
        </w:rPr>
        <w:br w:type="page"/>
      </w:r>
      <w:r>
        <w:rPr>
          <w:rFonts w:ascii="黑体" w:hAnsi="黑体" w:eastAsia="黑体"/>
          <w:b/>
          <w:color w:val="000000" w:themeColor="text1"/>
          <w:sz w:val="48"/>
          <w:szCs w:val="48"/>
        </w:rPr>
        <w:t>目   录</w:t>
      </w:r>
    </w:p>
    <w:p>
      <w:pPr>
        <w:spacing w:line="400" w:lineRule="exact"/>
        <w:jc w:val="center"/>
        <w:rPr>
          <w:rFonts w:eastAsia="黑体"/>
          <w:b/>
          <w:color w:val="000000" w:themeColor="text1"/>
          <w:sz w:val="48"/>
          <w:szCs w:val="48"/>
        </w:rPr>
      </w:pPr>
    </w:p>
    <w:p>
      <w:pPr>
        <w:pStyle w:val="14"/>
        <w:rPr>
          <w:rFonts w:asciiTheme="minorHAnsi" w:hAnsiTheme="minorHAnsi" w:eastAsiaTheme="minorEastAsia" w:cstheme="minorBidi"/>
          <w:b w:val="0"/>
          <w:bCs w:val="0"/>
          <w:caps w:val="0"/>
          <w:color w:val="auto"/>
          <w:sz w:val="21"/>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r>
        <w:fldChar w:fldCharType="begin"/>
      </w:r>
      <w:r>
        <w:instrText xml:space="preserve"> HYPERLINK \l "_Toc69288496" </w:instrText>
      </w:r>
      <w:r>
        <w:fldChar w:fldCharType="separate"/>
      </w:r>
      <w:r>
        <w:rPr>
          <w:rStyle w:val="24"/>
          <w:rFonts w:hint="eastAsia" w:eastAsia="黑体"/>
        </w:rPr>
        <w:t>估价师声明</w:t>
      </w:r>
      <w:r>
        <w:tab/>
      </w:r>
      <w:r>
        <w:fldChar w:fldCharType="begin"/>
      </w:r>
      <w:r>
        <w:instrText xml:space="preserve"> PAGEREF _Toc69288496 \h </w:instrText>
      </w:r>
      <w:r>
        <w:fldChar w:fldCharType="separate"/>
      </w:r>
      <w:r>
        <w:t>6</w:t>
      </w:r>
      <w:r>
        <w:fldChar w:fldCharType="end"/>
      </w:r>
      <w:r>
        <w:fldChar w:fldCharType="end"/>
      </w:r>
    </w:p>
    <w:p>
      <w:pPr>
        <w:pStyle w:val="14"/>
        <w:rPr>
          <w:rFonts w:asciiTheme="minorHAnsi" w:hAnsiTheme="minorHAnsi" w:eastAsiaTheme="minorEastAsia" w:cstheme="minorBidi"/>
          <w:b w:val="0"/>
          <w:bCs w:val="0"/>
          <w:caps w:val="0"/>
          <w:color w:val="auto"/>
          <w:sz w:val="21"/>
          <w:szCs w:val="22"/>
        </w:rPr>
      </w:pPr>
      <w:r>
        <w:fldChar w:fldCharType="begin"/>
      </w:r>
      <w:r>
        <w:instrText xml:space="preserve"> HYPERLINK \l "_Toc69288497" </w:instrText>
      </w:r>
      <w:r>
        <w:fldChar w:fldCharType="separate"/>
      </w:r>
      <w:r>
        <w:rPr>
          <w:rStyle w:val="24"/>
          <w:rFonts w:hint="eastAsia" w:eastAsia="黑体"/>
        </w:rPr>
        <w:t>估价的假设和限制条件</w:t>
      </w:r>
      <w:r>
        <w:tab/>
      </w:r>
      <w:r>
        <w:fldChar w:fldCharType="begin"/>
      </w:r>
      <w:r>
        <w:instrText xml:space="preserve"> PAGEREF _Toc69288497 \h </w:instrText>
      </w:r>
      <w:r>
        <w:fldChar w:fldCharType="separate"/>
      </w:r>
      <w:r>
        <w:t>7</w:t>
      </w:r>
      <w:r>
        <w:fldChar w:fldCharType="end"/>
      </w:r>
      <w:r>
        <w:fldChar w:fldCharType="end"/>
      </w:r>
    </w:p>
    <w:p>
      <w:pPr>
        <w:pStyle w:val="14"/>
        <w:rPr>
          <w:rFonts w:asciiTheme="minorHAnsi" w:hAnsiTheme="minorHAnsi" w:eastAsiaTheme="minorEastAsia" w:cstheme="minorBidi"/>
          <w:b w:val="0"/>
          <w:bCs w:val="0"/>
          <w:caps w:val="0"/>
          <w:color w:val="auto"/>
          <w:sz w:val="21"/>
          <w:szCs w:val="22"/>
        </w:rPr>
      </w:pPr>
      <w:r>
        <w:fldChar w:fldCharType="begin"/>
      </w:r>
      <w:r>
        <w:instrText xml:space="preserve"> HYPERLINK \l "_Toc69288498" </w:instrText>
      </w:r>
      <w:r>
        <w:fldChar w:fldCharType="separate"/>
      </w:r>
      <w:r>
        <w:rPr>
          <w:rStyle w:val="24"/>
          <w:rFonts w:hint="eastAsia" w:eastAsia="黑体"/>
        </w:rPr>
        <w:t>估价结果报告</w:t>
      </w:r>
      <w:r>
        <w:tab/>
      </w:r>
      <w:r>
        <w:fldChar w:fldCharType="begin"/>
      </w:r>
      <w:r>
        <w:instrText xml:space="preserve"> PAGEREF _Toc69288498 \h </w:instrText>
      </w:r>
      <w:r>
        <w:fldChar w:fldCharType="separate"/>
      </w:r>
      <w:r>
        <w:t>10</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"_Toc69288499" </w:instrText>
      </w:r>
      <w:r>
        <w:fldChar w:fldCharType="separate"/>
      </w:r>
      <w:r>
        <w:rPr>
          <w:rStyle w:val="24"/>
          <w:rFonts w:hint="eastAsia"/>
        </w:rPr>
        <w:t>一、</w:t>
      </w:r>
      <w:r>
        <w:rPr>
          <w:rFonts w:asciiTheme="minorHAnsi" w:hAnsiTheme="minorHAnsi" w:eastAsiaTheme="minorEastAsia" w:cstheme="minorBidi"/>
          <w:b w:val="0"/>
          <w:smallCaps w:val="0"/>
          <w:sz w:val="21"/>
          <w:szCs w:val="22"/>
        </w:rPr>
        <w:tab/>
      </w:r>
      <w:r>
        <w:rPr>
          <w:rStyle w:val="24"/>
          <w:rFonts w:hint="eastAsia"/>
        </w:rPr>
        <w:t>估价委托人</w:t>
      </w:r>
      <w:r>
        <w:tab/>
      </w:r>
      <w:r>
        <w:fldChar w:fldCharType="begin"/>
      </w:r>
      <w:r>
        <w:instrText xml:space="preserve"> PAGEREF _Toc69288499 \h </w:instrText>
      </w:r>
      <w:r>
        <w:fldChar w:fldCharType="separate"/>
      </w:r>
      <w:r>
        <w:t>10</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"_Toc69288500" </w:instrText>
      </w:r>
      <w:r>
        <w:fldChar w:fldCharType="separate"/>
      </w:r>
      <w:r>
        <w:rPr>
          <w:rStyle w:val="24"/>
          <w:rFonts w:hint="eastAsia"/>
        </w:rPr>
        <w:t>二、</w:t>
      </w:r>
      <w:r>
        <w:rPr>
          <w:rFonts w:asciiTheme="minorHAnsi" w:hAnsiTheme="minorHAnsi" w:eastAsiaTheme="minorEastAsia" w:cstheme="minorBidi"/>
          <w:b w:val="0"/>
          <w:smallCaps w:val="0"/>
          <w:sz w:val="21"/>
          <w:szCs w:val="22"/>
        </w:rPr>
        <w:tab/>
      </w:r>
      <w:r>
        <w:rPr>
          <w:rStyle w:val="24"/>
          <w:rFonts w:hint="eastAsia"/>
        </w:rPr>
        <w:t>估价方</w:t>
      </w:r>
      <w:r>
        <w:tab/>
      </w:r>
      <w:r>
        <w:fldChar w:fldCharType="begin"/>
      </w:r>
      <w:r>
        <w:instrText xml:space="preserve"> PAGEREF _Toc69288500 \h </w:instrText>
      </w:r>
      <w:r>
        <w:fldChar w:fldCharType="separate"/>
      </w:r>
      <w:r>
        <w:t>10</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"_Toc69288501" </w:instrText>
      </w:r>
      <w:r>
        <w:fldChar w:fldCharType="separate"/>
      </w:r>
      <w:r>
        <w:rPr>
          <w:rStyle w:val="24"/>
          <w:rFonts w:hint="eastAsia"/>
        </w:rPr>
        <w:t>三、</w:t>
      </w:r>
      <w:r>
        <w:rPr>
          <w:rFonts w:asciiTheme="minorHAnsi" w:hAnsiTheme="minorHAnsi" w:eastAsiaTheme="minorEastAsia" w:cstheme="minorBidi"/>
          <w:b w:val="0"/>
          <w:smallCaps w:val="0"/>
          <w:sz w:val="21"/>
          <w:szCs w:val="22"/>
        </w:rPr>
        <w:tab/>
      </w:r>
      <w:r>
        <w:rPr>
          <w:rStyle w:val="24"/>
          <w:rFonts w:hint="eastAsia"/>
        </w:rPr>
        <w:t>估价目的</w:t>
      </w:r>
      <w:r>
        <w:tab/>
      </w:r>
      <w:r>
        <w:fldChar w:fldCharType="begin"/>
      </w:r>
      <w:r>
        <w:instrText xml:space="preserve"> PAGEREF _Toc69288501 \h </w:instrText>
      </w:r>
      <w:r>
        <w:fldChar w:fldCharType="separate"/>
      </w:r>
      <w:r>
        <w:t>10</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"_Toc69288502" </w:instrText>
      </w:r>
      <w:r>
        <w:fldChar w:fldCharType="separate"/>
      </w:r>
      <w:r>
        <w:rPr>
          <w:rStyle w:val="24"/>
          <w:rFonts w:hint="eastAsia"/>
        </w:rPr>
        <w:t>四、</w:t>
      </w:r>
      <w:r>
        <w:rPr>
          <w:rFonts w:asciiTheme="minorHAnsi" w:hAnsiTheme="minorHAnsi" w:eastAsiaTheme="minorEastAsia" w:cstheme="minorBidi"/>
          <w:b w:val="0"/>
          <w:smallCaps w:val="0"/>
          <w:sz w:val="21"/>
          <w:szCs w:val="22"/>
        </w:rPr>
        <w:tab/>
      </w:r>
      <w:r>
        <w:rPr>
          <w:rStyle w:val="24"/>
          <w:rFonts w:hint="eastAsia"/>
        </w:rPr>
        <w:t>估价对象</w:t>
      </w:r>
      <w:r>
        <w:tab/>
      </w:r>
      <w:r>
        <w:fldChar w:fldCharType="begin"/>
      </w:r>
      <w:r>
        <w:instrText xml:space="preserve"> PAGEREF _Toc69288502 \h </w:instrText>
      </w:r>
      <w:r>
        <w:fldChar w:fldCharType="separate"/>
      </w:r>
      <w:r>
        <w:t>10</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"_Toc69288503" </w:instrText>
      </w:r>
      <w:r>
        <w:fldChar w:fldCharType="separate"/>
      </w:r>
      <w:r>
        <w:rPr>
          <w:rStyle w:val="24"/>
          <w:rFonts w:hint="eastAsia"/>
        </w:rPr>
        <w:t>五、</w:t>
      </w:r>
      <w:r>
        <w:rPr>
          <w:rFonts w:asciiTheme="minorHAnsi" w:hAnsiTheme="minorHAnsi" w:eastAsiaTheme="minorEastAsia" w:cstheme="minorBidi"/>
          <w:b w:val="0"/>
          <w:smallCaps w:val="0"/>
          <w:sz w:val="21"/>
          <w:szCs w:val="22"/>
        </w:rPr>
        <w:tab/>
      </w:r>
      <w:r>
        <w:rPr>
          <w:rStyle w:val="24"/>
          <w:rFonts w:hint="eastAsia"/>
        </w:rPr>
        <w:t>价值时点</w:t>
      </w:r>
      <w:r>
        <w:tab/>
      </w:r>
      <w:r>
        <w:fldChar w:fldCharType="begin"/>
      </w:r>
      <w:r>
        <w:instrText xml:space="preserve"> PAGEREF _Toc69288503 \h </w:instrText>
      </w:r>
      <w:r>
        <w:fldChar w:fldCharType="separate"/>
      </w:r>
      <w:r>
        <w:t>13</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"_Toc69288504" </w:instrText>
      </w:r>
      <w:r>
        <w:fldChar w:fldCharType="separate"/>
      </w:r>
      <w:r>
        <w:rPr>
          <w:rStyle w:val="24"/>
          <w:rFonts w:hint="eastAsia"/>
        </w:rPr>
        <w:t>六、</w:t>
      </w:r>
      <w:r>
        <w:rPr>
          <w:rFonts w:asciiTheme="minorHAnsi" w:hAnsiTheme="minorHAnsi" w:eastAsiaTheme="minorEastAsia" w:cstheme="minorBidi"/>
          <w:b w:val="0"/>
          <w:smallCaps w:val="0"/>
          <w:sz w:val="21"/>
          <w:szCs w:val="22"/>
        </w:rPr>
        <w:tab/>
      </w:r>
      <w:r>
        <w:rPr>
          <w:rStyle w:val="24"/>
          <w:rFonts w:hint="eastAsia"/>
        </w:rPr>
        <w:t>价值类型</w:t>
      </w:r>
      <w:r>
        <w:tab/>
      </w:r>
      <w:r>
        <w:fldChar w:fldCharType="begin"/>
      </w:r>
      <w:r>
        <w:instrText xml:space="preserve"> PAGEREF _Toc69288504 \h </w:instrText>
      </w:r>
      <w:r>
        <w:fldChar w:fldCharType="separate"/>
      </w:r>
      <w:r>
        <w:t>13</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"_Toc69288505" </w:instrText>
      </w:r>
      <w:r>
        <w:fldChar w:fldCharType="separate"/>
      </w:r>
      <w:r>
        <w:rPr>
          <w:rStyle w:val="24"/>
          <w:rFonts w:hint="eastAsia"/>
        </w:rPr>
        <w:t>七、</w:t>
      </w:r>
      <w:r>
        <w:rPr>
          <w:rFonts w:asciiTheme="minorHAnsi" w:hAnsiTheme="minorHAnsi" w:eastAsiaTheme="minorEastAsia" w:cstheme="minorBidi"/>
          <w:b w:val="0"/>
          <w:smallCaps w:val="0"/>
          <w:sz w:val="21"/>
          <w:szCs w:val="22"/>
        </w:rPr>
        <w:tab/>
      </w:r>
      <w:r>
        <w:rPr>
          <w:rStyle w:val="24"/>
          <w:rFonts w:hint="eastAsia"/>
        </w:rPr>
        <w:t>估价原则</w:t>
      </w:r>
      <w:r>
        <w:tab/>
      </w:r>
      <w:r>
        <w:fldChar w:fldCharType="begin"/>
      </w:r>
      <w:r>
        <w:instrText xml:space="preserve"> PAGEREF _Toc69288505 \h </w:instrText>
      </w:r>
      <w:r>
        <w:fldChar w:fldCharType="separate"/>
      </w:r>
      <w:r>
        <w:t>14</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"_Toc69288506" </w:instrText>
      </w:r>
      <w:r>
        <w:fldChar w:fldCharType="separate"/>
      </w:r>
      <w:r>
        <w:rPr>
          <w:rStyle w:val="24"/>
          <w:rFonts w:hint="eastAsia"/>
        </w:rPr>
        <w:t>八、</w:t>
      </w:r>
      <w:r>
        <w:rPr>
          <w:rFonts w:asciiTheme="minorHAnsi" w:hAnsiTheme="minorHAnsi" w:eastAsiaTheme="minorEastAsia" w:cstheme="minorBidi"/>
          <w:b w:val="0"/>
          <w:smallCaps w:val="0"/>
          <w:sz w:val="21"/>
          <w:szCs w:val="22"/>
        </w:rPr>
        <w:tab/>
      </w:r>
      <w:r>
        <w:rPr>
          <w:rStyle w:val="24"/>
          <w:rFonts w:hint="eastAsia"/>
        </w:rPr>
        <w:t>估价依据</w:t>
      </w:r>
      <w:r>
        <w:tab/>
      </w:r>
      <w:r>
        <w:fldChar w:fldCharType="begin"/>
      </w:r>
      <w:r>
        <w:instrText xml:space="preserve"> PAGEREF _Toc69288506 \h </w:instrText>
      </w:r>
      <w:r>
        <w:fldChar w:fldCharType="separate"/>
      </w:r>
      <w:r>
        <w:t>15</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"_Toc69288507" </w:instrText>
      </w:r>
      <w:r>
        <w:fldChar w:fldCharType="separate"/>
      </w:r>
      <w:r>
        <w:rPr>
          <w:rStyle w:val="24"/>
          <w:rFonts w:hint="eastAsia"/>
        </w:rPr>
        <w:t>九、</w:t>
      </w:r>
      <w:r>
        <w:rPr>
          <w:rFonts w:asciiTheme="minorHAnsi" w:hAnsiTheme="minorHAnsi" w:eastAsiaTheme="minorEastAsia" w:cstheme="minorBidi"/>
          <w:b w:val="0"/>
          <w:smallCaps w:val="0"/>
          <w:sz w:val="21"/>
          <w:szCs w:val="22"/>
        </w:rPr>
        <w:tab/>
      </w:r>
      <w:r>
        <w:rPr>
          <w:rStyle w:val="24"/>
          <w:rFonts w:hint="eastAsia"/>
        </w:rPr>
        <w:t>估价方法</w:t>
      </w:r>
      <w:r>
        <w:tab/>
      </w:r>
      <w:r>
        <w:fldChar w:fldCharType="begin"/>
      </w:r>
      <w:r>
        <w:instrText xml:space="preserve"> PAGEREF _Toc69288507 \h </w:instrText>
      </w:r>
      <w:r>
        <w:fldChar w:fldCharType="separate"/>
      </w:r>
      <w:r>
        <w:t>16</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"_Toc69288508" </w:instrText>
      </w:r>
      <w:r>
        <w:fldChar w:fldCharType="separate"/>
      </w:r>
      <w:r>
        <w:rPr>
          <w:rStyle w:val="24"/>
          <w:rFonts w:hint="eastAsia"/>
        </w:rPr>
        <w:t>十、</w:t>
      </w:r>
      <w:r>
        <w:rPr>
          <w:rFonts w:asciiTheme="minorHAnsi" w:hAnsiTheme="minorHAnsi" w:eastAsiaTheme="minorEastAsia" w:cstheme="minorBidi"/>
          <w:b w:val="0"/>
          <w:smallCaps w:val="0"/>
          <w:sz w:val="21"/>
          <w:szCs w:val="22"/>
        </w:rPr>
        <w:tab/>
      </w:r>
      <w:r>
        <w:rPr>
          <w:rStyle w:val="24"/>
          <w:rFonts w:hint="eastAsia"/>
        </w:rPr>
        <w:t>估价结果</w:t>
      </w:r>
      <w:r>
        <w:tab/>
      </w:r>
      <w:r>
        <w:fldChar w:fldCharType="begin"/>
      </w:r>
      <w:r>
        <w:instrText xml:space="preserve"> PAGEREF _Toc69288508 \h </w:instrText>
      </w:r>
      <w:r>
        <w:fldChar w:fldCharType="separate"/>
      </w:r>
      <w:r>
        <w:t>17</w:t>
      </w:r>
      <w:r>
        <w:fldChar w:fldCharType="end"/>
      </w:r>
      <w:r>
        <w:fldChar w:fldCharType="end"/>
      </w:r>
    </w:p>
    <w:p>
      <w:pPr>
        <w:pStyle w:val="18"/>
        <w:tabs>
          <w:tab w:val="left" w:pos="1260"/>
        </w:tabs>
        <w:rPr>
          <w:rFonts w:asciiTheme="minorHAnsi" w:hAnsiTheme="minorHAnsi" w:eastAsiaTheme="minorEastAsia" w:cstheme="minorBidi"/>
          <w:b w:val="0"/>
          <w:smallCaps w:val="0"/>
          <w:sz w:val="21"/>
          <w:szCs w:val="22"/>
        </w:rPr>
      </w:pPr>
      <w:r>
        <w:fldChar w:fldCharType="begin"/>
      </w:r>
      <w:r>
        <w:instrText xml:space="preserve"> HYPERLINK \l "_Toc69288509" </w:instrText>
      </w:r>
      <w:r>
        <w:fldChar w:fldCharType="separate"/>
      </w:r>
      <w:r>
        <w:rPr>
          <w:rStyle w:val="24"/>
          <w:rFonts w:hint="eastAsia"/>
        </w:rPr>
        <w:t>十一、</w:t>
      </w:r>
      <w:r>
        <w:rPr>
          <w:rFonts w:asciiTheme="minorHAnsi" w:hAnsiTheme="minorHAnsi" w:eastAsiaTheme="minorEastAsia" w:cstheme="minorBidi"/>
          <w:b w:val="0"/>
          <w:smallCaps w:val="0"/>
          <w:sz w:val="21"/>
          <w:szCs w:val="22"/>
        </w:rPr>
        <w:tab/>
      </w:r>
      <w:r>
        <w:rPr>
          <w:rStyle w:val="24"/>
          <w:rFonts w:hint="eastAsia"/>
        </w:rPr>
        <w:t>注册房地产估价师</w:t>
      </w:r>
      <w:r>
        <w:tab/>
      </w:r>
      <w:r>
        <w:fldChar w:fldCharType="begin"/>
      </w:r>
      <w:r>
        <w:instrText xml:space="preserve"> PAGEREF _Toc69288509 \h </w:instrText>
      </w:r>
      <w:r>
        <w:fldChar w:fldCharType="separate"/>
      </w:r>
      <w:r>
        <w:t>17</w:t>
      </w:r>
      <w:r>
        <w:fldChar w:fldCharType="end"/>
      </w:r>
      <w:r>
        <w:fldChar w:fldCharType="end"/>
      </w:r>
    </w:p>
    <w:p>
      <w:pPr>
        <w:pStyle w:val="18"/>
        <w:tabs>
          <w:tab w:val="left" w:pos="1260"/>
        </w:tabs>
        <w:rPr>
          <w:rFonts w:asciiTheme="minorHAnsi" w:hAnsiTheme="minorHAnsi" w:eastAsiaTheme="minorEastAsia" w:cstheme="minorBidi"/>
          <w:b w:val="0"/>
          <w:smallCaps w:val="0"/>
          <w:sz w:val="21"/>
          <w:szCs w:val="22"/>
        </w:rPr>
      </w:pPr>
      <w:r>
        <w:fldChar w:fldCharType="begin"/>
      </w:r>
      <w:r>
        <w:instrText xml:space="preserve"> HYPERLINK \l "_Toc69288510" </w:instrText>
      </w:r>
      <w:r>
        <w:fldChar w:fldCharType="separate"/>
      </w:r>
      <w:r>
        <w:rPr>
          <w:rStyle w:val="24"/>
          <w:rFonts w:hint="eastAsia"/>
        </w:rPr>
        <w:t>十二、</w:t>
      </w:r>
      <w:r>
        <w:rPr>
          <w:rFonts w:asciiTheme="minorHAnsi" w:hAnsiTheme="minorHAnsi" w:eastAsiaTheme="minorEastAsia" w:cstheme="minorBidi"/>
          <w:b w:val="0"/>
          <w:smallCaps w:val="0"/>
          <w:sz w:val="21"/>
          <w:szCs w:val="22"/>
        </w:rPr>
        <w:tab/>
      </w:r>
      <w:r>
        <w:rPr>
          <w:rStyle w:val="24"/>
          <w:rFonts w:hint="eastAsia"/>
        </w:rPr>
        <w:t>实地查勘期</w:t>
      </w:r>
      <w:r>
        <w:tab/>
      </w:r>
      <w:r>
        <w:fldChar w:fldCharType="begin"/>
      </w:r>
      <w:r>
        <w:instrText xml:space="preserve"> PAGEREF _Toc69288510 \h </w:instrText>
      </w:r>
      <w:r>
        <w:fldChar w:fldCharType="separate"/>
      </w:r>
      <w:r>
        <w:t>18</w:t>
      </w:r>
      <w:r>
        <w:fldChar w:fldCharType="end"/>
      </w:r>
      <w:r>
        <w:fldChar w:fldCharType="end"/>
      </w:r>
    </w:p>
    <w:p>
      <w:pPr>
        <w:pStyle w:val="18"/>
        <w:tabs>
          <w:tab w:val="left" w:pos="1260"/>
        </w:tabs>
        <w:rPr>
          <w:rFonts w:asciiTheme="minorHAnsi" w:hAnsiTheme="minorHAnsi" w:eastAsiaTheme="minorEastAsia" w:cstheme="minorBidi"/>
          <w:b w:val="0"/>
          <w:smallCaps w:val="0"/>
          <w:sz w:val="21"/>
          <w:szCs w:val="22"/>
        </w:rPr>
      </w:pPr>
      <w:r>
        <w:fldChar w:fldCharType="begin"/>
      </w:r>
      <w:r>
        <w:instrText xml:space="preserve"> HYPERLINK \l "_Toc69288511" </w:instrText>
      </w:r>
      <w:r>
        <w:fldChar w:fldCharType="separate"/>
      </w:r>
      <w:r>
        <w:rPr>
          <w:rStyle w:val="24"/>
          <w:rFonts w:hint="eastAsia"/>
        </w:rPr>
        <w:t>十三、</w:t>
      </w:r>
      <w:r>
        <w:rPr>
          <w:rFonts w:asciiTheme="minorHAnsi" w:hAnsiTheme="minorHAnsi" w:eastAsiaTheme="minorEastAsia" w:cstheme="minorBidi"/>
          <w:b w:val="0"/>
          <w:smallCaps w:val="0"/>
          <w:sz w:val="21"/>
          <w:szCs w:val="22"/>
        </w:rPr>
        <w:tab/>
      </w:r>
      <w:r>
        <w:rPr>
          <w:rStyle w:val="24"/>
          <w:rFonts w:hint="eastAsia"/>
        </w:rPr>
        <w:t>估价作业期</w:t>
      </w:r>
      <w:r>
        <w:tab/>
      </w:r>
      <w:r>
        <w:fldChar w:fldCharType="begin"/>
      </w:r>
      <w:r>
        <w:instrText xml:space="preserve"> PAGEREF _Toc69288511 \h </w:instrText>
      </w:r>
      <w:r>
        <w:fldChar w:fldCharType="separate"/>
      </w:r>
      <w:r>
        <w:t>18</w:t>
      </w:r>
      <w:r>
        <w:fldChar w:fldCharType="end"/>
      </w:r>
      <w:r>
        <w:fldChar w:fldCharType="end"/>
      </w:r>
    </w:p>
    <w:p>
      <w:pPr>
        <w:pStyle w:val="18"/>
        <w:tabs>
          <w:tab w:val="left" w:pos="1260"/>
        </w:tabs>
        <w:rPr>
          <w:rFonts w:asciiTheme="minorHAnsi" w:hAnsiTheme="minorHAnsi" w:eastAsiaTheme="minorEastAsia" w:cstheme="minorBidi"/>
          <w:b w:val="0"/>
          <w:smallCaps w:val="0"/>
          <w:sz w:val="21"/>
          <w:szCs w:val="22"/>
        </w:rPr>
      </w:pPr>
      <w:r>
        <w:fldChar w:fldCharType="begin"/>
      </w:r>
      <w:r>
        <w:instrText xml:space="preserve"> HYPERLINK \l "_Toc69288512" </w:instrText>
      </w:r>
      <w:r>
        <w:fldChar w:fldCharType="separate"/>
      </w:r>
      <w:r>
        <w:rPr>
          <w:rStyle w:val="24"/>
          <w:rFonts w:hint="eastAsia"/>
        </w:rPr>
        <w:t>十四、</w:t>
      </w:r>
      <w:r>
        <w:rPr>
          <w:rFonts w:asciiTheme="minorHAnsi" w:hAnsiTheme="minorHAnsi" w:eastAsiaTheme="minorEastAsia" w:cstheme="minorBidi"/>
          <w:b w:val="0"/>
          <w:smallCaps w:val="0"/>
          <w:sz w:val="21"/>
          <w:szCs w:val="22"/>
        </w:rPr>
        <w:tab/>
      </w:r>
      <w:r>
        <w:rPr>
          <w:rStyle w:val="24"/>
          <w:rFonts w:hint="eastAsia"/>
        </w:rPr>
        <w:t>估价报告应用的有效期</w:t>
      </w:r>
      <w:r>
        <w:tab/>
      </w:r>
      <w:r>
        <w:fldChar w:fldCharType="begin"/>
      </w:r>
      <w:r>
        <w:instrText xml:space="preserve"> PAGEREF _Toc69288512 \h </w:instrText>
      </w:r>
      <w:r>
        <w:fldChar w:fldCharType="separate"/>
      </w:r>
      <w:r>
        <w:t>18</w:t>
      </w:r>
      <w:r>
        <w:fldChar w:fldCharType="end"/>
      </w:r>
      <w:r>
        <w:fldChar w:fldCharType="end"/>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Fonts w:eastAsia="Times New Roman"/>
          <w:bCs/>
          <w:caps/>
          <w:color w:val="000000" w:themeColor="text1"/>
          <w:sz w:val="24"/>
          <w:szCs w:val="28"/>
        </w:rPr>
        <w:fldChar w:fldCharType="end"/>
      </w:r>
      <w:r>
        <w:rPr>
          <w:rStyle w:val="24"/>
          <w:rFonts w:hint="eastAsia" w:ascii="宋体" w:hAnsi="宋体" w:eastAsia="Times New Roman"/>
          <w:smallCaps/>
          <w:color w:val="000000" w:themeColor="text1"/>
          <w:sz w:val="24"/>
          <w:u w:val="none"/>
        </w:rPr>
        <w:t>估价对象区位示意图</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估价对象</w:t>
      </w:r>
      <w:r>
        <w:rPr>
          <w:rStyle w:val="24"/>
          <w:rFonts w:hint="eastAsia" w:ascii="宋体" w:hAnsi="宋体" w:eastAsiaTheme="minorEastAsia"/>
          <w:smallCaps/>
          <w:color w:val="000000" w:themeColor="text1"/>
          <w:sz w:val="24"/>
          <w:u w:val="none"/>
        </w:rPr>
        <w:t>现场查勘</w:t>
      </w:r>
      <w:r>
        <w:rPr>
          <w:rStyle w:val="24"/>
          <w:rFonts w:hint="eastAsia" w:ascii="宋体" w:hAnsi="宋体" w:eastAsia="Times New Roman"/>
          <w:smallCaps/>
          <w:color w:val="000000" w:themeColor="text1"/>
          <w:sz w:val="24"/>
          <w:u w:val="none"/>
        </w:rPr>
        <w:t>照片</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《房地产权登记信息表》（复印件）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湖北省武穴市人民法院评估委托书</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湖北省武穴市人民法院执行裁定书</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湖北省武穴市人民法院民事判决书</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估价机构营业执照</w:t>
      </w:r>
      <w:r>
        <w:rPr>
          <w:rStyle w:val="24"/>
          <w:rFonts w:hint="eastAsia" w:ascii="宋体" w:hAnsi="宋体" w:eastAsiaTheme="minorEastAsia"/>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估价机构资质证书</w:t>
      </w:r>
      <w:r>
        <w:rPr>
          <w:rStyle w:val="24"/>
          <w:rFonts w:hint="eastAsia" w:ascii="宋体" w:hAnsi="宋体" w:eastAsiaTheme="minorEastAsia"/>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房地产估价师注册证</w:t>
      </w:r>
      <w:r>
        <w:rPr>
          <w:rStyle w:val="24"/>
          <w:rFonts w:hint="eastAsia" w:ascii="宋体" w:hAnsi="宋体" w:eastAsiaTheme="minorEastAsia"/>
          <w:smallCaps/>
          <w:color w:val="000000" w:themeColor="text1"/>
          <w:sz w:val="24"/>
          <w:u w:val="none"/>
        </w:rPr>
        <w:t>书（复印件）</w:t>
      </w:r>
    </w:p>
    <w:p>
      <w:pPr>
        <w:tabs>
          <w:tab w:val="left" w:pos="1260"/>
          <w:tab w:val="left" w:pos="1440"/>
          <w:tab w:val="left" w:pos="1620"/>
        </w:tabs>
        <w:spacing w:line="400" w:lineRule="exact"/>
        <w:rPr>
          <w:sz w:val="24"/>
        </w:rPr>
      </w:pPr>
    </w:p>
    <w:p>
      <w:pPr>
        <w:tabs>
          <w:tab w:val="left" w:pos="1260"/>
          <w:tab w:val="left" w:pos="1440"/>
          <w:tab w:val="left" w:pos="1620"/>
        </w:tabs>
        <w:spacing w:line="400" w:lineRule="exact"/>
        <w:outlineLvl w:val="0"/>
        <w:rPr>
          <w:rFonts w:asciiTheme="majorEastAsia" w:hAnsiTheme="majorEastAsia" w:eastAsiaTheme="majorEastAsia"/>
          <w:b/>
          <w:color w:val="000000" w:themeColor="text1"/>
          <w:sz w:val="28"/>
          <w:szCs w:val="28"/>
        </w:rPr>
      </w:pPr>
    </w:p>
    <w:p>
      <w:pPr>
        <w:tabs>
          <w:tab w:val="left" w:pos="1260"/>
          <w:tab w:val="left" w:pos="1440"/>
          <w:tab w:val="left" w:pos="1620"/>
        </w:tabs>
        <w:spacing w:line="500" w:lineRule="exact"/>
        <w:ind w:left="1021"/>
        <w:jc w:val="center"/>
        <w:outlineLvl w:val="0"/>
        <w:rPr>
          <w:rFonts w:eastAsia="黑体"/>
          <w:b/>
          <w:color w:val="000000" w:themeColor="text1"/>
          <w:sz w:val="48"/>
          <w:szCs w:val="48"/>
        </w:rPr>
        <w:sectPr>
          <w:headerReference r:id="rId3" w:type="default"/>
          <w:pgSz w:w="11906" w:h="16838"/>
          <w:pgMar w:top="1134" w:right="1247" w:bottom="1134" w:left="1247" w:header="850" w:footer="992" w:gutter="0"/>
          <w:pgNumType w:start="1"/>
          <w:cols w:space="425" w:num="1"/>
          <w:docGrid w:linePitch="312" w:charSpace="0"/>
        </w:sectPr>
      </w:pPr>
    </w:p>
    <w:p>
      <w:pPr>
        <w:tabs>
          <w:tab w:val="left" w:pos="1260"/>
          <w:tab w:val="left" w:pos="1440"/>
          <w:tab w:val="left" w:pos="1620"/>
        </w:tabs>
        <w:spacing w:line="500" w:lineRule="exact"/>
        <w:ind w:left="1021"/>
        <w:jc w:val="center"/>
        <w:outlineLvl w:val="0"/>
        <w:rPr>
          <w:rFonts w:eastAsia="黑体"/>
          <w:b/>
          <w:color w:val="000000" w:themeColor="text1"/>
          <w:sz w:val="48"/>
          <w:szCs w:val="48"/>
        </w:rPr>
      </w:pPr>
      <w:bookmarkStart w:id="0" w:name="_Toc69288496"/>
      <w:r>
        <w:rPr>
          <w:rFonts w:eastAsia="黑体"/>
          <w:b/>
          <w:color w:val="000000" w:themeColor="text1"/>
          <w:sz w:val="48"/>
          <w:szCs w:val="48"/>
        </w:rPr>
        <w:t>估价师声明</w:t>
      </w:r>
      <w:bookmarkEnd w:id="0"/>
    </w:p>
    <w:p>
      <w:pPr>
        <w:tabs>
          <w:tab w:val="left" w:pos="1260"/>
          <w:tab w:val="left" w:pos="1440"/>
          <w:tab w:val="left" w:pos="1620"/>
        </w:tabs>
        <w:spacing w:line="500" w:lineRule="exact"/>
        <w:ind w:left="1021"/>
        <w:jc w:val="center"/>
        <w:outlineLvl w:val="0"/>
        <w:rPr>
          <w:rFonts w:ascii="宋体" w:hAnsi="宋体"/>
          <w:b/>
          <w:color w:val="000000" w:themeColor="text1"/>
          <w:sz w:val="28"/>
          <w:szCs w:val="28"/>
        </w:rPr>
      </w:pPr>
    </w:p>
    <w:p>
      <w:pPr>
        <w:spacing w:line="500" w:lineRule="exact"/>
        <w:ind w:firstLine="560" w:firstLineChars="200"/>
        <w:rPr>
          <w:color w:val="000000" w:themeColor="text1"/>
          <w:sz w:val="28"/>
          <w:szCs w:val="28"/>
        </w:rPr>
      </w:pPr>
      <w:r>
        <w:rPr>
          <w:color w:val="000000" w:themeColor="text1"/>
          <w:sz w:val="28"/>
          <w:szCs w:val="28"/>
        </w:rPr>
        <w:t>我们郑重声明：</w:t>
      </w:r>
    </w:p>
    <w:p>
      <w:pPr>
        <w:spacing w:line="500" w:lineRule="exact"/>
        <w:ind w:firstLine="560" w:firstLineChars="200"/>
        <w:rPr>
          <w:color w:val="000000" w:themeColor="text1"/>
          <w:sz w:val="28"/>
          <w:szCs w:val="28"/>
        </w:rPr>
      </w:pPr>
      <w:r>
        <w:rPr>
          <w:color w:val="000000" w:themeColor="text1"/>
          <w:sz w:val="28"/>
          <w:szCs w:val="28"/>
        </w:rPr>
        <w:t>1、注册房地产估价师在估价报告中对事实的说明是真实和准确的，没有虚假记载、误导性陈述和重大遗漏。</w:t>
      </w:r>
    </w:p>
    <w:p>
      <w:pPr>
        <w:spacing w:line="500" w:lineRule="exact"/>
        <w:ind w:firstLine="560" w:firstLineChars="200"/>
        <w:rPr>
          <w:color w:val="000000" w:themeColor="text1"/>
          <w:sz w:val="28"/>
          <w:szCs w:val="28"/>
        </w:rPr>
      </w:pPr>
      <w:r>
        <w:rPr>
          <w:color w:val="000000" w:themeColor="text1"/>
          <w:sz w:val="28"/>
          <w:szCs w:val="28"/>
        </w:rPr>
        <w:t>2、估价报告中的分析、意见和结论是注册房地产估价师独立、客观、公正的专业分析、意见和结论，但受到估价报告中已说明的估价假设和限制条件的限制。</w:t>
      </w:r>
    </w:p>
    <w:p>
      <w:pPr>
        <w:spacing w:line="500" w:lineRule="exact"/>
        <w:ind w:firstLine="560" w:firstLineChars="200"/>
        <w:rPr>
          <w:color w:val="000000" w:themeColor="text1"/>
          <w:sz w:val="28"/>
          <w:szCs w:val="28"/>
        </w:rPr>
      </w:pPr>
      <w:r>
        <w:rPr>
          <w:color w:val="000000" w:themeColor="text1"/>
          <w:sz w:val="28"/>
          <w:szCs w:val="28"/>
        </w:rPr>
        <w:t>3、注册房地产估价师与估价报告中的估价对象没有现实或潜在的利益，与估价委托人及估价利害关系人没有利害关系。</w:t>
      </w:r>
    </w:p>
    <w:p>
      <w:pPr>
        <w:spacing w:line="500" w:lineRule="exact"/>
        <w:ind w:firstLine="560" w:firstLineChars="200"/>
        <w:rPr>
          <w:color w:val="000000" w:themeColor="text1"/>
          <w:sz w:val="28"/>
          <w:szCs w:val="28"/>
        </w:rPr>
      </w:pPr>
      <w:r>
        <w:rPr>
          <w:color w:val="000000" w:themeColor="text1"/>
          <w:sz w:val="28"/>
          <w:szCs w:val="28"/>
        </w:rPr>
        <w:t>4、注册房地产估价师对估价报告中的估价对象、估价委托人及估价利害关系人没有偏见。</w:t>
      </w:r>
    </w:p>
    <w:p>
      <w:pPr>
        <w:spacing w:line="500" w:lineRule="exact"/>
        <w:ind w:firstLine="560" w:firstLineChars="200"/>
        <w:rPr>
          <w:color w:val="000000" w:themeColor="text1"/>
          <w:sz w:val="28"/>
          <w:szCs w:val="28"/>
        </w:rPr>
      </w:pPr>
      <w:r>
        <w:rPr>
          <w:color w:val="000000" w:themeColor="text1"/>
          <w:sz w:val="28"/>
          <w:szCs w:val="28"/>
        </w:rPr>
        <w:t>5、我们依照中华人民共和国国家标准《房地产估价规范》、《房地产估价基本术语标准》以及与估价目的相应的房地产估价专项标准进行分析，形成意见和结论，撰写估价报告。</w:t>
      </w:r>
    </w:p>
    <w:p>
      <w:pPr>
        <w:spacing w:line="500" w:lineRule="exact"/>
        <w:ind w:firstLine="560" w:firstLineChars="200"/>
        <w:rPr>
          <w:color w:val="000000" w:themeColor="text1"/>
          <w:sz w:val="28"/>
          <w:szCs w:val="28"/>
        </w:rPr>
      </w:pPr>
      <w:r>
        <w:rPr>
          <w:color w:val="000000" w:themeColor="text1"/>
          <w:sz w:val="28"/>
          <w:szCs w:val="28"/>
        </w:rPr>
        <w:t>6、注册房地产估价师</w:t>
      </w:r>
      <w:r>
        <w:rPr>
          <w:rFonts w:hint="eastAsia"/>
          <w:color w:val="000000" w:themeColor="text1"/>
          <w:sz w:val="28"/>
          <w:szCs w:val="28"/>
        </w:rPr>
        <w:t>张杰和</w:t>
      </w:r>
      <w:r>
        <w:rPr>
          <w:color w:val="000000" w:themeColor="text1"/>
          <w:sz w:val="28"/>
          <w:szCs w:val="28"/>
        </w:rPr>
        <w:t>注册房地产估价师</w:t>
      </w:r>
      <w:r>
        <w:rPr>
          <w:rFonts w:hint="eastAsia"/>
          <w:color w:val="000000" w:themeColor="text1"/>
          <w:sz w:val="28"/>
          <w:szCs w:val="28"/>
        </w:rPr>
        <w:t>汪震超</w:t>
      </w:r>
      <w:r>
        <w:rPr>
          <w:color w:val="000000" w:themeColor="text1"/>
          <w:sz w:val="28"/>
          <w:szCs w:val="28"/>
        </w:rPr>
        <w:t>于</w:t>
      </w:r>
      <w:r>
        <w:rPr>
          <w:rFonts w:hint="eastAsia"/>
          <w:color w:val="000000" w:themeColor="text1"/>
          <w:sz w:val="28"/>
          <w:szCs w:val="28"/>
        </w:rPr>
        <w:t>2021年</w:t>
      </w:r>
      <w:r>
        <w:rPr>
          <w:color w:val="000000" w:themeColor="text1"/>
          <w:sz w:val="28"/>
          <w:szCs w:val="28"/>
        </w:rPr>
        <w:t>01</w:t>
      </w:r>
      <w:r>
        <w:rPr>
          <w:rFonts w:hint="eastAsia"/>
          <w:color w:val="000000" w:themeColor="text1"/>
          <w:sz w:val="28"/>
          <w:szCs w:val="28"/>
        </w:rPr>
        <w:t>月</w:t>
      </w:r>
      <w:r>
        <w:rPr>
          <w:color w:val="000000" w:themeColor="text1"/>
          <w:sz w:val="28"/>
          <w:szCs w:val="28"/>
        </w:rPr>
        <w:t>18</w:t>
      </w:r>
      <w:r>
        <w:rPr>
          <w:rFonts w:hint="eastAsia"/>
          <w:color w:val="000000" w:themeColor="text1"/>
          <w:sz w:val="28"/>
          <w:szCs w:val="28"/>
        </w:rPr>
        <w:t>日</w:t>
      </w:r>
      <w:r>
        <w:rPr>
          <w:color w:val="000000" w:themeColor="text1"/>
          <w:sz w:val="28"/>
          <w:szCs w:val="28"/>
        </w:rPr>
        <w:t>对估价报告中的估价对象进行了实地查勘，我们对估价对象的查勘仅限于其外观和使用情况，对被遮盖、未暴露的及难以接触到的部分，依据估价委托人提供的资料进行评估。</w:t>
      </w:r>
    </w:p>
    <w:p>
      <w:pPr>
        <w:spacing w:line="500" w:lineRule="exact"/>
        <w:ind w:firstLine="560" w:firstLineChars="200"/>
        <w:rPr>
          <w:color w:val="000000" w:themeColor="text1"/>
          <w:sz w:val="28"/>
          <w:szCs w:val="28"/>
        </w:rPr>
      </w:pPr>
      <w:r>
        <w:rPr>
          <w:color w:val="000000" w:themeColor="text1"/>
          <w:sz w:val="28"/>
          <w:szCs w:val="28"/>
        </w:rPr>
        <w:t>7、没有外部专家和单位对本估价报告提供重要专业帮助</w:t>
      </w:r>
      <w:r>
        <w:rPr>
          <w:color w:val="000000" w:themeColor="text1"/>
          <w:sz w:val="24"/>
        </w:rPr>
        <w:t>。</w:t>
      </w:r>
    </w:p>
    <w:p>
      <w:pPr>
        <w:spacing w:line="500" w:lineRule="exact"/>
        <w:ind w:firstLine="560" w:firstLineChars="200"/>
        <w:rPr>
          <w:color w:val="000000" w:themeColor="text1"/>
          <w:sz w:val="28"/>
          <w:szCs w:val="28"/>
        </w:rPr>
      </w:pPr>
      <w:r>
        <w:rPr>
          <w:color w:val="000000" w:themeColor="text1"/>
          <w:sz w:val="28"/>
          <w:szCs w:val="28"/>
        </w:rPr>
        <w:t>8、本估价报告依据了委托方提供相关资料，委托方应对资料的真实性、合法性、完整性、准确性和有效性负责。因资料失实造成评估结果有误差的，估价机构和估价人员不承担相应责任。</w:t>
      </w:r>
    </w:p>
    <w:tbl>
      <w:tblPr>
        <w:tblStyle w:val="26"/>
        <w:tblW w:w="8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353"/>
        <w:gridCol w:w="198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top w:val="single" w:color="auto" w:sz="12" w:space="0"/>
              <w:left w:val="single" w:color="auto" w:sz="12" w:space="0"/>
            </w:tcBorders>
            <w:vAlign w:val="center"/>
          </w:tcPr>
          <w:p>
            <w:pPr>
              <w:tabs>
                <w:tab w:val="left" w:pos="735"/>
              </w:tabs>
              <w:overflowPunct w:val="0"/>
              <w:spacing w:line="312" w:lineRule="auto"/>
              <w:jc w:val="center"/>
              <w:rPr>
                <w:b/>
                <w:color w:val="000000" w:themeColor="text1"/>
                <w:sz w:val="24"/>
              </w:rPr>
            </w:pPr>
            <w:r>
              <w:rPr>
                <w:b/>
                <w:color w:val="000000" w:themeColor="text1"/>
                <w:sz w:val="24"/>
              </w:rPr>
              <w:t>姓  名</w:t>
            </w:r>
          </w:p>
        </w:tc>
        <w:tc>
          <w:tcPr>
            <w:tcW w:w="2353"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注册号</w:t>
            </w:r>
          </w:p>
        </w:tc>
        <w:tc>
          <w:tcPr>
            <w:tcW w:w="1984"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  名</w:t>
            </w:r>
          </w:p>
        </w:tc>
        <w:tc>
          <w:tcPr>
            <w:tcW w:w="2268" w:type="dxa"/>
            <w:tcBorders>
              <w:top w:val="single" w:color="auto" w:sz="12" w:space="0"/>
              <w:right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2353"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1984"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c>
          <w:tcPr>
            <w:tcW w:w="2268" w:type="dxa"/>
            <w:tcBorders>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张  杰</w:t>
            </w:r>
          </w:p>
        </w:tc>
        <w:tc>
          <w:tcPr>
            <w:tcW w:w="2353"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w:t>
            </w:r>
            <w:r>
              <w:rPr>
                <w:rFonts w:asciiTheme="minorEastAsia" w:hAnsiTheme="minorEastAsia" w:eastAsiaTheme="minorEastAsia"/>
                <w:color w:val="000000" w:themeColor="text1"/>
                <w:sz w:val="24"/>
              </w:rPr>
              <w:t>190036</w:t>
            </w:r>
          </w:p>
        </w:tc>
        <w:tc>
          <w:tcPr>
            <w:tcW w:w="1984"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p>
        </w:tc>
        <w:tc>
          <w:tcPr>
            <w:tcW w:w="2268" w:type="dxa"/>
            <w:tcBorders>
              <w:bottom w:val="single" w:color="auto" w:sz="12" w:space="0"/>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p>
        </w:tc>
      </w:tr>
    </w:tbl>
    <w:p>
      <w:pPr>
        <w:widowControl/>
        <w:jc w:val="center"/>
        <w:outlineLvl w:val="0"/>
        <w:rPr>
          <w:rFonts w:eastAsia="黑体"/>
          <w:b/>
          <w:sz w:val="44"/>
          <w:szCs w:val="44"/>
        </w:rPr>
      </w:pPr>
      <w:r>
        <w:rPr>
          <w:rFonts w:eastAsia="黑体"/>
          <w:b/>
          <w:color w:val="000000" w:themeColor="text1"/>
          <w:sz w:val="48"/>
          <w:szCs w:val="48"/>
        </w:rPr>
        <w:br w:type="page"/>
      </w:r>
      <w:bookmarkStart w:id="1" w:name="_Toc69288497"/>
      <w:r>
        <w:rPr>
          <w:rFonts w:eastAsia="黑体"/>
          <w:b/>
          <w:sz w:val="48"/>
          <w:szCs w:val="48"/>
        </w:rPr>
        <w:t>估价的假设和限制条件</w:t>
      </w:r>
      <w:bookmarkEnd w:id="1"/>
    </w:p>
    <w:p>
      <w:pPr>
        <w:spacing w:line="500" w:lineRule="exact"/>
        <w:ind w:firstLine="560" w:firstLineChars="200"/>
        <w:jc w:val="center"/>
        <w:outlineLvl w:val="0"/>
        <w:rPr>
          <w:color w:val="000000" w:themeColor="text1"/>
          <w:sz w:val="28"/>
          <w:szCs w:val="28"/>
        </w:rPr>
      </w:pPr>
    </w:p>
    <w:p>
      <w:pPr>
        <w:spacing w:line="500" w:lineRule="exact"/>
        <w:ind w:firstLine="562" w:firstLineChars="200"/>
        <w:rPr>
          <w:b/>
          <w:color w:val="000000" w:themeColor="text1"/>
          <w:sz w:val="28"/>
          <w:szCs w:val="28"/>
        </w:rPr>
      </w:pPr>
      <w:r>
        <w:rPr>
          <w:b/>
          <w:color w:val="000000" w:themeColor="text1"/>
          <w:sz w:val="28"/>
          <w:szCs w:val="28"/>
        </w:rPr>
        <w:t>一、一般假设</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注册房地产估价师对</w:t>
      </w:r>
      <w:r>
        <w:rPr>
          <w:rFonts w:hint="eastAsia"/>
          <w:color w:val="000000" w:themeColor="text1"/>
          <w:sz w:val="28"/>
          <w:szCs w:val="28"/>
        </w:rPr>
        <w:t>委托方</w:t>
      </w:r>
      <w:r>
        <w:rPr>
          <w:color w:val="000000" w:themeColor="text1"/>
          <w:sz w:val="28"/>
          <w:szCs w:val="28"/>
        </w:rPr>
        <w:t>提供的估价对象</w:t>
      </w:r>
      <w:r>
        <w:rPr>
          <w:rFonts w:hint="eastAsia"/>
          <w:color w:val="000000" w:themeColor="text1"/>
          <w:sz w:val="28"/>
          <w:szCs w:val="28"/>
        </w:rPr>
        <w:t>相关资料复印件</w:t>
      </w:r>
      <w:r>
        <w:rPr>
          <w:color w:val="000000" w:themeColor="text1"/>
          <w:sz w:val="28"/>
          <w:szCs w:val="28"/>
        </w:rPr>
        <w:t>内容进行了审慎的检查但未予核实。在无理由怀疑其合法性、真实性、准确性和完整性的情况下，假设利害关系人提供的资料是合法、真实、准确和完整的。</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估价对象房屋建筑面积为</w:t>
      </w:r>
      <w:r>
        <w:rPr>
          <w:rFonts w:hint="eastAsia"/>
          <w:color w:val="000000" w:themeColor="text1"/>
          <w:sz w:val="28"/>
          <w:szCs w:val="28"/>
        </w:rPr>
        <w:t>102.61</w:t>
      </w:r>
      <w:r>
        <w:rPr>
          <w:color w:val="000000" w:themeColor="text1"/>
          <w:sz w:val="28"/>
          <w:szCs w:val="28"/>
        </w:rPr>
        <w:t>平方米，</w:t>
      </w:r>
      <w:r>
        <w:rPr>
          <w:rFonts w:hint="eastAsia"/>
          <w:color w:val="000000" w:themeColor="text1"/>
          <w:sz w:val="28"/>
          <w:szCs w:val="28"/>
        </w:rPr>
        <w:t>数据</w:t>
      </w:r>
      <w:r>
        <w:rPr>
          <w:color w:val="000000" w:themeColor="text1"/>
          <w:sz w:val="28"/>
          <w:szCs w:val="28"/>
        </w:rPr>
        <w:t>来源于委托方提供的</w:t>
      </w:r>
      <w:r>
        <w:rPr>
          <w:rFonts w:hint="eastAsia"/>
          <w:color w:val="000000" w:themeColor="text1"/>
          <w:sz w:val="28"/>
          <w:szCs w:val="28"/>
        </w:rPr>
        <w:t>《房地产权登记信息表》复印件上注明的面积，仅作为本次估价之依据</w:t>
      </w:r>
      <w:r>
        <w:rPr>
          <w:color w:val="000000" w:themeColor="text1"/>
          <w:sz w:val="28"/>
          <w:szCs w:val="28"/>
        </w:rPr>
        <w:t>，</w:t>
      </w:r>
      <w:r>
        <w:rPr>
          <w:rFonts w:hint="eastAsia"/>
          <w:color w:val="000000" w:themeColor="text1"/>
          <w:sz w:val="28"/>
          <w:szCs w:val="28"/>
        </w:rPr>
        <w:t>并</w:t>
      </w:r>
      <w:r>
        <w:rPr>
          <w:color w:val="000000" w:themeColor="text1"/>
          <w:sz w:val="28"/>
          <w:szCs w:val="28"/>
        </w:rPr>
        <w:t>以此为估价的前提条件。</w:t>
      </w:r>
    </w:p>
    <w:p>
      <w:pPr>
        <w:pStyle w:val="32"/>
        <w:numPr>
          <w:ilvl w:val="0"/>
          <w:numId w:val="2"/>
        </w:numPr>
        <w:spacing w:line="500" w:lineRule="exact"/>
        <w:ind w:firstLine="1134" w:firstLineChars="0"/>
        <w:rPr>
          <w:sz w:val="28"/>
          <w:szCs w:val="28"/>
        </w:rPr>
      </w:pPr>
      <w:r>
        <w:rPr>
          <w:rFonts w:hint="eastAsia"/>
          <w:sz w:val="28"/>
          <w:szCs w:val="28"/>
        </w:rPr>
        <w:t>估价对象房屋未办理《国有土地使用证》，本次评估</w:t>
      </w:r>
      <w:r>
        <w:rPr>
          <w:color w:val="000000" w:themeColor="text1"/>
          <w:sz w:val="28"/>
          <w:szCs w:val="28"/>
          <w:lang w:val="zh-CN"/>
        </w:rPr>
        <w:t>根据实地查勘及现场问询所掌握的资料信息，</w:t>
      </w:r>
      <w:r>
        <w:rPr>
          <w:rFonts w:hint="eastAsia"/>
          <w:sz w:val="28"/>
          <w:szCs w:val="28"/>
        </w:rPr>
        <w:t>假设</w:t>
      </w:r>
      <w:r>
        <w:rPr>
          <w:sz w:val="28"/>
          <w:szCs w:val="28"/>
        </w:rPr>
        <w:t>估价对象分摊的土地为住宅用地，使用权类型为出让；并</w:t>
      </w:r>
      <w:r>
        <w:rPr>
          <w:color w:val="000000" w:themeColor="text1"/>
          <w:sz w:val="28"/>
          <w:szCs w:val="28"/>
        </w:rPr>
        <w:t>以此为估价的前提条件</w:t>
      </w:r>
      <w:r>
        <w:rPr>
          <w:rFonts w:hint="eastAsia"/>
          <w:sz w:val="28"/>
          <w:szCs w:val="28"/>
        </w:rPr>
        <w:t>。</w:t>
      </w:r>
    </w:p>
    <w:p>
      <w:pPr>
        <w:pStyle w:val="32"/>
        <w:numPr>
          <w:ilvl w:val="0"/>
          <w:numId w:val="2"/>
        </w:numPr>
        <w:spacing w:line="500" w:lineRule="exact"/>
        <w:ind w:firstLine="1134" w:firstLineChars="0"/>
        <w:rPr>
          <w:sz w:val="28"/>
          <w:szCs w:val="28"/>
        </w:rPr>
      </w:pPr>
      <w:r>
        <w:rPr>
          <w:sz w:val="28"/>
          <w:szCs w:val="28"/>
        </w:rPr>
        <w:t>本次评估范围为估价对象房屋所有权及国有土地使用权，包含房屋装修价值。不包含房屋内动产价值</w:t>
      </w:r>
      <w:r>
        <w:rPr>
          <w:rFonts w:hint="eastAsia"/>
          <w:sz w:val="28"/>
          <w:szCs w:val="28"/>
        </w:rPr>
        <w:t>。</w:t>
      </w:r>
    </w:p>
    <w:p>
      <w:pPr>
        <w:pStyle w:val="32"/>
        <w:numPr>
          <w:ilvl w:val="0"/>
          <w:numId w:val="2"/>
        </w:numPr>
        <w:spacing w:line="500" w:lineRule="exact"/>
        <w:ind w:firstLine="1134" w:firstLineChars="0"/>
        <w:rPr>
          <w:sz w:val="28"/>
          <w:szCs w:val="28"/>
        </w:rPr>
      </w:pPr>
      <w:r>
        <w:rPr>
          <w:rFonts w:hint="eastAsia"/>
          <w:sz w:val="28"/>
          <w:szCs w:val="28"/>
        </w:rPr>
        <w:t>估价对象登记用途为住宅，实际用途与登记用途一致。本次评估假设估价对象能够按照住宅的用途继续使用，并以此为估价的前提条件。</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根据估价目的，假设估价对象处于以下市场状况：</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1 \* GB3</w:instrText>
      </w:r>
      <w:r>
        <w:rPr>
          <w:color w:val="000000" w:themeColor="text1"/>
          <w:sz w:val="28"/>
          <w:szCs w:val="28"/>
        </w:rPr>
        <w:fldChar w:fldCharType="separate"/>
      </w:r>
      <w:r>
        <w:rPr>
          <w:rFonts w:ascii="宋体" w:hAnsi="宋体"/>
          <w:color w:val="000000" w:themeColor="text1"/>
          <w:sz w:val="28"/>
          <w:szCs w:val="28"/>
        </w:rPr>
        <w:t>①</w:t>
      </w:r>
      <w:r>
        <w:rPr>
          <w:color w:val="000000" w:themeColor="text1"/>
          <w:sz w:val="28"/>
          <w:szCs w:val="28"/>
        </w:rPr>
        <w:fldChar w:fldCharType="end"/>
      </w:r>
      <w:r>
        <w:rPr>
          <w:color w:val="000000" w:themeColor="text1"/>
          <w:sz w:val="28"/>
          <w:szCs w:val="28"/>
        </w:rPr>
        <w:t>适当营销，即估价对象以适当的方式在市场上进行了展示，展示的时间长短可能随市场状况而变化，但足以使估价对象引起一定数量的潜在买者的注意；</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2 \* GB3</w:instrText>
      </w:r>
      <w:r>
        <w:rPr>
          <w:color w:val="000000" w:themeColor="text1"/>
          <w:sz w:val="28"/>
          <w:szCs w:val="28"/>
        </w:rPr>
        <w:fldChar w:fldCharType="separate"/>
      </w:r>
      <w:r>
        <w:rPr>
          <w:color w:val="000000" w:themeColor="text1"/>
          <w:sz w:val="28"/>
          <w:szCs w:val="28"/>
        </w:rPr>
        <w:t>②</w:t>
      </w:r>
      <w:r>
        <w:rPr>
          <w:color w:val="000000" w:themeColor="text1"/>
          <w:sz w:val="28"/>
          <w:szCs w:val="28"/>
        </w:rPr>
        <w:fldChar w:fldCharType="end"/>
      </w:r>
      <w:r>
        <w:rPr>
          <w:color w:val="000000" w:themeColor="text1"/>
          <w:sz w:val="28"/>
          <w:szCs w:val="28"/>
        </w:rPr>
        <w:t>熟悉情况，即买方和卖方都了解估价对象并熟悉市场行情，买方不是盲目的购买，卖方不是盲目的出售；</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3 \* GB3</w:instrText>
      </w:r>
      <w:r>
        <w:rPr>
          <w:color w:val="000000" w:themeColor="text1"/>
          <w:sz w:val="28"/>
          <w:szCs w:val="28"/>
        </w:rPr>
        <w:fldChar w:fldCharType="separate"/>
      </w:r>
      <w:r>
        <w:rPr>
          <w:color w:val="000000" w:themeColor="text1"/>
          <w:sz w:val="28"/>
          <w:szCs w:val="28"/>
        </w:rPr>
        <w:t>③</w:t>
      </w:r>
      <w:r>
        <w:rPr>
          <w:color w:val="000000" w:themeColor="text1"/>
          <w:sz w:val="28"/>
          <w:szCs w:val="28"/>
        </w:rPr>
        <w:fldChar w:fldCharType="end"/>
      </w:r>
      <w:r>
        <w:rPr>
          <w:color w:val="000000" w:themeColor="text1"/>
          <w:sz w:val="28"/>
          <w:szCs w:val="28"/>
        </w:rPr>
        <w:t>谨慎行事，即买方和卖方都是冷静、理性、谨慎的，没有感情用事；</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4 \* GB3</w:instrText>
      </w:r>
      <w:r>
        <w:rPr>
          <w:color w:val="000000" w:themeColor="text1"/>
          <w:sz w:val="28"/>
          <w:szCs w:val="28"/>
        </w:rPr>
        <w:fldChar w:fldCharType="separate"/>
      </w:r>
      <w:r>
        <w:rPr>
          <w:color w:val="000000" w:themeColor="text1"/>
          <w:sz w:val="28"/>
          <w:szCs w:val="28"/>
        </w:rPr>
        <w:t>④</w:t>
      </w:r>
      <w:r>
        <w:rPr>
          <w:color w:val="000000" w:themeColor="text1"/>
          <w:sz w:val="28"/>
          <w:szCs w:val="28"/>
        </w:rPr>
        <w:fldChar w:fldCharType="end"/>
      </w:r>
      <w:r>
        <w:rPr>
          <w:color w:val="000000" w:themeColor="text1"/>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5 \* GB3</w:instrText>
      </w:r>
      <w:r>
        <w:rPr>
          <w:color w:val="000000" w:themeColor="text1"/>
          <w:sz w:val="28"/>
          <w:szCs w:val="28"/>
        </w:rPr>
        <w:fldChar w:fldCharType="separate"/>
      </w:r>
      <w:r>
        <w:rPr>
          <w:color w:val="000000" w:themeColor="text1"/>
          <w:sz w:val="28"/>
          <w:szCs w:val="28"/>
        </w:rPr>
        <w:t>⑤</w:t>
      </w:r>
      <w:r>
        <w:rPr>
          <w:color w:val="000000" w:themeColor="text1"/>
          <w:sz w:val="28"/>
          <w:szCs w:val="28"/>
        </w:rPr>
        <w:fldChar w:fldCharType="end"/>
      </w:r>
      <w:r>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任何有关估价对象运作方式等符合国家和地方法律、法规。</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在价值时点估价对象通过合法方式取得，产权关系清晰、合法，无所有权和使用权异议。同时未对外投资入股、转让，未发生任何产权转移行为。</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pPr>
        <w:pStyle w:val="32"/>
        <w:numPr>
          <w:ilvl w:val="0"/>
          <w:numId w:val="2"/>
        </w:numPr>
        <w:spacing w:line="500" w:lineRule="exact"/>
        <w:ind w:firstLine="1134" w:firstLineChars="0"/>
        <w:rPr>
          <w:color w:val="000000" w:themeColor="text1"/>
          <w:sz w:val="28"/>
          <w:szCs w:val="28"/>
        </w:rPr>
      </w:pPr>
      <w:r>
        <w:rPr>
          <w:snapToGrid w:val="0"/>
          <w:color w:val="000000" w:themeColor="text1"/>
          <w:kern w:val="0"/>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pPr>
        <w:spacing w:line="500" w:lineRule="exact"/>
        <w:ind w:firstLine="560" w:firstLineChars="200"/>
        <w:rPr>
          <w:b/>
          <w:color w:val="000000" w:themeColor="text1"/>
          <w:sz w:val="28"/>
          <w:szCs w:val="28"/>
        </w:rPr>
      </w:pPr>
      <w:r>
        <w:rPr>
          <w:color w:val="000000" w:themeColor="text1"/>
          <w:sz w:val="28"/>
          <w:szCs w:val="28"/>
        </w:rPr>
        <w:t xml:space="preserve"> </w:t>
      </w:r>
      <w:r>
        <w:rPr>
          <w:b/>
          <w:color w:val="000000" w:themeColor="text1"/>
          <w:sz w:val="28"/>
          <w:szCs w:val="28"/>
        </w:rPr>
        <w:t>二、未定事项假设</w:t>
      </w:r>
    </w:p>
    <w:p>
      <w:pPr>
        <w:spacing w:line="500" w:lineRule="exact"/>
        <w:ind w:left="141" w:leftChars="67" w:firstLine="560" w:firstLineChars="200"/>
        <w:rPr>
          <w:color w:val="000000" w:themeColor="text1"/>
          <w:sz w:val="28"/>
          <w:szCs w:val="28"/>
        </w:rPr>
      </w:pPr>
      <w:r>
        <w:rPr>
          <w:rFonts w:hint="eastAsia"/>
          <w:sz w:val="28"/>
          <w:szCs w:val="28"/>
        </w:rPr>
        <w:t>估价对象《房地产权登记信息表》未记载房屋建成年份，根据房地产估价师现场问询当事人，房屋建成年份为20</w:t>
      </w:r>
      <w:r>
        <w:rPr>
          <w:sz w:val="28"/>
          <w:szCs w:val="28"/>
        </w:rPr>
        <w:t>09</w:t>
      </w:r>
      <w:r>
        <w:rPr>
          <w:rFonts w:hint="eastAsia"/>
          <w:sz w:val="28"/>
          <w:szCs w:val="28"/>
        </w:rPr>
        <w:t>年左右，本次评估以实际调查结果为准，并以此为估价的前提条件</w:t>
      </w:r>
      <w:r>
        <w:rPr>
          <w:sz w:val="28"/>
          <w:szCs w:val="28"/>
        </w:rPr>
        <w:t>。</w:t>
      </w:r>
    </w:p>
    <w:p>
      <w:pPr>
        <w:spacing w:line="500" w:lineRule="exact"/>
        <w:ind w:firstLine="562" w:firstLineChars="200"/>
        <w:rPr>
          <w:color w:val="000000" w:themeColor="text1"/>
          <w:sz w:val="28"/>
          <w:szCs w:val="28"/>
        </w:rPr>
      </w:pPr>
      <w:r>
        <w:rPr>
          <w:b/>
          <w:color w:val="000000" w:themeColor="text1"/>
          <w:sz w:val="28"/>
          <w:szCs w:val="28"/>
        </w:rPr>
        <w:t>三、背离事实假设</w:t>
      </w:r>
    </w:p>
    <w:p>
      <w:pPr>
        <w:spacing w:line="500" w:lineRule="exact"/>
        <w:ind w:firstLine="560" w:firstLineChars="200"/>
        <w:rPr>
          <w:color w:val="000000" w:themeColor="text1"/>
          <w:sz w:val="28"/>
          <w:szCs w:val="28"/>
        </w:rPr>
      </w:pPr>
      <w:r>
        <w:rPr>
          <w:rFonts w:hint="eastAsia"/>
          <w:color w:val="000000" w:themeColor="text1"/>
          <w:sz w:val="28"/>
          <w:szCs w:val="28"/>
        </w:rPr>
        <w:t>无背离事实假设。</w:t>
      </w:r>
    </w:p>
    <w:p>
      <w:pPr>
        <w:spacing w:line="500" w:lineRule="exact"/>
        <w:ind w:firstLine="562" w:firstLineChars="200"/>
        <w:rPr>
          <w:color w:val="000000" w:themeColor="text1"/>
          <w:sz w:val="28"/>
          <w:szCs w:val="28"/>
        </w:rPr>
      </w:pPr>
      <w:r>
        <w:rPr>
          <w:b/>
          <w:color w:val="000000" w:themeColor="text1"/>
          <w:sz w:val="28"/>
          <w:szCs w:val="28"/>
        </w:rPr>
        <w:t>四、不相一致假设</w:t>
      </w:r>
    </w:p>
    <w:p>
      <w:pPr>
        <w:spacing w:line="500" w:lineRule="exact"/>
        <w:ind w:firstLine="560" w:firstLineChars="200"/>
        <w:rPr>
          <w:color w:val="000000" w:themeColor="text1"/>
          <w:sz w:val="28"/>
          <w:szCs w:val="28"/>
        </w:rPr>
      </w:pPr>
      <w:r>
        <w:rPr>
          <w:rFonts w:hint="eastAsia"/>
          <w:color w:val="000000" w:themeColor="text1"/>
          <w:sz w:val="28"/>
          <w:szCs w:val="28"/>
        </w:rPr>
        <w:t>无不相一致假设。</w:t>
      </w:r>
    </w:p>
    <w:p>
      <w:pPr>
        <w:spacing w:line="500" w:lineRule="exact"/>
        <w:ind w:firstLine="562" w:firstLineChars="200"/>
        <w:rPr>
          <w:color w:val="000000" w:themeColor="text1"/>
          <w:sz w:val="28"/>
          <w:szCs w:val="28"/>
        </w:rPr>
      </w:pPr>
      <w:r>
        <w:rPr>
          <w:b/>
          <w:color w:val="000000" w:themeColor="text1"/>
          <w:sz w:val="28"/>
          <w:szCs w:val="28"/>
        </w:rPr>
        <w:t>五、依据不足假设</w:t>
      </w:r>
    </w:p>
    <w:p>
      <w:pPr>
        <w:widowControl/>
        <w:spacing w:line="500" w:lineRule="exact"/>
        <w:ind w:firstLine="560" w:firstLineChars="200"/>
        <w:jc w:val="left"/>
        <w:rPr>
          <w:color w:val="000000" w:themeColor="text1"/>
          <w:sz w:val="28"/>
          <w:szCs w:val="28"/>
        </w:rPr>
      </w:pPr>
      <w:r>
        <w:rPr>
          <w:rFonts w:hint="eastAsia"/>
          <w:color w:val="000000" w:themeColor="text1"/>
          <w:sz w:val="28"/>
          <w:szCs w:val="28"/>
        </w:rPr>
        <w:t>委托方</w:t>
      </w:r>
      <w:r>
        <w:rPr>
          <w:color w:val="000000" w:themeColor="text1"/>
          <w:sz w:val="28"/>
          <w:szCs w:val="28"/>
        </w:rPr>
        <w:t>所提供的</w:t>
      </w:r>
      <w:r>
        <w:rPr>
          <w:rFonts w:hint="eastAsia"/>
          <w:color w:val="000000" w:themeColor="text1"/>
          <w:sz w:val="28"/>
          <w:szCs w:val="28"/>
        </w:rPr>
        <w:t>《房地产权登记信息表》等</w:t>
      </w:r>
      <w:r>
        <w:rPr>
          <w:color w:val="000000" w:themeColor="text1"/>
          <w:sz w:val="28"/>
          <w:szCs w:val="28"/>
        </w:rPr>
        <w:t>资料均为复印件，未提供原件。我们进行了审慎的检查但未与原件核实，在无理由怀疑其真实的情况下，假设</w:t>
      </w:r>
      <w:r>
        <w:rPr>
          <w:rFonts w:hint="eastAsia"/>
          <w:color w:val="000000" w:themeColor="text1"/>
          <w:sz w:val="28"/>
          <w:szCs w:val="28"/>
        </w:rPr>
        <w:t>委托方</w:t>
      </w:r>
      <w:r>
        <w:rPr>
          <w:color w:val="000000" w:themeColor="text1"/>
          <w:sz w:val="28"/>
          <w:szCs w:val="28"/>
        </w:rPr>
        <w:t>提供的资料是真实的且与原件一致。</w:t>
      </w:r>
    </w:p>
    <w:p>
      <w:pPr>
        <w:spacing w:line="500" w:lineRule="exact"/>
        <w:ind w:firstLine="562" w:firstLineChars="200"/>
        <w:rPr>
          <w:b/>
          <w:color w:val="000000" w:themeColor="text1"/>
          <w:sz w:val="28"/>
          <w:szCs w:val="28"/>
        </w:rPr>
      </w:pPr>
      <w:r>
        <w:rPr>
          <w:b/>
          <w:color w:val="000000" w:themeColor="text1"/>
          <w:sz w:val="28"/>
          <w:szCs w:val="28"/>
        </w:rPr>
        <w:t>六、估价报告使用限制</w:t>
      </w:r>
    </w:p>
    <w:p>
      <w:pPr>
        <w:spacing w:line="500" w:lineRule="exact"/>
        <w:ind w:firstLine="560" w:firstLineChars="200"/>
        <w:rPr>
          <w:color w:val="000000" w:themeColor="text1"/>
          <w:sz w:val="28"/>
          <w:szCs w:val="28"/>
        </w:rPr>
      </w:pPr>
      <w:r>
        <w:rPr>
          <w:color w:val="000000" w:themeColor="text1"/>
          <w:sz w:val="28"/>
          <w:szCs w:val="28"/>
        </w:rPr>
        <w:t>1、本报告受估价的假设前提限制，若发现并证实假设与事实不符合、假设依据与事实不符合或产生变化时，本报告无效或作相应调整。</w:t>
      </w:r>
    </w:p>
    <w:p>
      <w:pPr>
        <w:spacing w:line="500" w:lineRule="exact"/>
        <w:ind w:firstLine="560" w:firstLineChars="200"/>
        <w:rPr>
          <w:color w:val="000000" w:themeColor="text1"/>
          <w:sz w:val="28"/>
          <w:szCs w:val="28"/>
        </w:rPr>
      </w:pPr>
      <w:r>
        <w:rPr>
          <w:color w:val="000000" w:themeColor="text1"/>
          <w:sz w:val="28"/>
          <w:szCs w:val="28"/>
        </w:rPr>
        <w:t>2、本报告对估价对象市场价格的把握，仅对于价值时点市场状况及估价对象的现状而言，使用者在运用本报告的结果时应予以充分考虑。</w:t>
      </w:r>
    </w:p>
    <w:p>
      <w:pPr>
        <w:spacing w:line="500" w:lineRule="exact"/>
        <w:ind w:firstLine="560" w:firstLineChars="200"/>
        <w:rPr>
          <w:color w:val="000000" w:themeColor="text1"/>
          <w:sz w:val="28"/>
          <w:szCs w:val="28"/>
        </w:rPr>
      </w:pPr>
      <w:r>
        <w:rPr>
          <w:color w:val="000000" w:themeColor="text1"/>
          <w:sz w:val="28"/>
          <w:szCs w:val="28"/>
        </w:rPr>
        <w:t>3、本次估价结果未考虑国家宏观经济政策发生重大变化以及遇有自然力和其他不可抗力对估价结论的影响。</w:t>
      </w:r>
    </w:p>
    <w:p>
      <w:pPr>
        <w:spacing w:line="500" w:lineRule="exact"/>
        <w:ind w:firstLine="560" w:firstLineChars="200"/>
        <w:rPr>
          <w:color w:val="000000" w:themeColor="text1"/>
          <w:sz w:val="28"/>
          <w:szCs w:val="28"/>
        </w:rPr>
      </w:pPr>
      <w:r>
        <w:rPr>
          <w:color w:val="000000" w:themeColor="text1"/>
          <w:sz w:val="28"/>
          <w:szCs w:val="28"/>
        </w:rPr>
        <w:t>4、本估价报告仅为</w:t>
      </w:r>
      <w:r>
        <w:rPr>
          <w:rFonts w:hint="eastAsia"/>
          <w:sz w:val="28"/>
          <w:szCs w:val="28"/>
        </w:rPr>
        <w:t>人民法院确定财产处置参考价提供参考依据</w:t>
      </w:r>
      <w:r>
        <w:rPr>
          <w:color w:val="000000" w:themeColor="text1"/>
          <w:sz w:val="28"/>
          <w:szCs w:val="28"/>
        </w:rPr>
        <w:t>，不作其他用途。</w:t>
      </w:r>
    </w:p>
    <w:p>
      <w:pPr>
        <w:spacing w:line="500" w:lineRule="exact"/>
        <w:ind w:firstLine="560" w:firstLineChars="200"/>
        <w:rPr>
          <w:color w:val="000000" w:themeColor="text1"/>
          <w:sz w:val="28"/>
          <w:szCs w:val="28"/>
        </w:rPr>
      </w:pPr>
      <w:r>
        <w:rPr>
          <w:color w:val="000000" w:themeColor="text1"/>
          <w:sz w:val="28"/>
          <w:szCs w:val="28"/>
        </w:rPr>
        <w:t>5、本估价报告的有效期自出具估价报告之日起为一年。在有效期内实现估价目的时，可以以本报告及估价结果的应用日期与估价结果作为衡量估价对象价值的参考依据，超过有效期范围，须重新进行估价（当房地产市场状况或房地产政策法规发生重大变化和调整时，该有效期应相应调整）。</w:t>
      </w:r>
    </w:p>
    <w:p>
      <w:pPr>
        <w:spacing w:line="500" w:lineRule="exact"/>
        <w:ind w:firstLine="560" w:firstLineChars="200"/>
        <w:rPr>
          <w:color w:val="000000" w:themeColor="text1"/>
          <w:sz w:val="28"/>
          <w:szCs w:val="28"/>
        </w:rPr>
      </w:pPr>
      <w:r>
        <w:rPr>
          <w:color w:val="000000" w:themeColor="text1"/>
          <w:sz w:val="28"/>
          <w:szCs w:val="28"/>
        </w:rPr>
        <w:t>6、本报告的最终解释权由黄冈市海正房地产评估有限公司所有。</w:t>
      </w:r>
    </w:p>
    <w:p>
      <w:pPr>
        <w:spacing w:line="14" w:lineRule="exact"/>
        <w:rPr>
          <w:color w:val="FFFFFF" w:themeColor="background1"/>
          <w:sz w:val="10"/>
          <w:szCs w:val="10"/>
        </w:rPr>
      </w:pPr>
      <w:r>
        <w:rPr>
          <w:rFonts w:hint="eastAsia"/>
          <w:color w:val="FFFFFF" w:themeColor="background1"/>
          <w:sz w:val="10"/>
          <w:szCs w:val="10"/>
        </w:rPr>
        <w:t>【页眉_估价地址】【页眉_房屋所有权人</w:t>
      </w:r>
    </w:p>
    <w:p>
      <w:pPr>
        <w:widowControl/>
        <w:jc w:val="left"/>
        <w:rPr>
          <w:rFonts w:eastAsia="黑体"/>
          <w:b/>
          <w:color w:val="000000" w:themeColor="text1"/>
          <w:sz w:val="48"/>
          <w:szCs w:val="48"/>
        </w:rPr>
      </w:pPr>
      <w:r>
        <w:rPr>
          <w:rFonts w:eastAsia="黑体"/>
          <w:b/>
          <w:color w:val="000000" w:themeColor="text1"/>
          <w:sz w:val="48"/>
          <w:szCs w:val="48"/>
        </w:rPr>
        <w:br w:type="page"/>
      </w:r>
    </w:p>
    <w:p>
      <w:pPr>
        <w:spacing w:line="500" w:lineRule="exact"/>
        <w:jc w:val="center"/>
        <w:outlineLvl w:val="0"/>
        <w:rPr>
          <w:rFonts w:eastAsia="黑体"/>
          <w:b/>
          <w:color w:val="000000" w:themeColor="text1"/>
          <w:sz w:val="48"/>
          <w:szCs w:val="48"/>
        </w:rPr>
      </w:pPr>
      <w:bookmarkStart w:id="2" w:name="_Toc69288498"/>
      <w:r>
        <w:rPr>
          <w:rFonts w:eastAsia="黑体"/>
          <w:b/>
          <w:color w:val="000000" w:themeColor="text1"/>
          <w:sz w:val="48"/>
          <w:szCs w:val="48"/>
        </w:rPr>
        <w:t>估价结果报告</w:t>
      </w:r>
      <w:bookmarkEnd w:id="2"/>
    </w:p>
    <w:p>
      <w:pPr>
        <w:spacing w:line="500" w:lineRule="exact"/>
        <w:jc w:val="center"/>
        <w:outlineLvl w:val="0"/>
        <w:rPr>
          <w:rFonts w:ascii="宋体" w:hAnsi="宋体"/>
          <w:b/>
          <w:color w:val="000000" w:themeColor="text1"/>
          <w:sz w:val="28"/>
          <w:szCs w:val="28"/>
        </w:rPr>
      </w:pPr>
    </w:p>
    <w:p>
      <w:pPr>
        <w:numPr>
          <w:ilvl w:val="0"/>
          <w:numId w:val="3"/>
        </w:numPr>
        <w:spacing w:line="500" w:lineRule="exact"/>
        <w:outlineLvl w:val="1"/>
        <w:rPr>
          <w:b/>
          <w:color w:val="000000" w:themeColor="text1"/>
          <w:sz w:val="28"/>
          <w:szCs w:val="28"/>
        </w:rPr>
      </w:pPr>
      <w:bookmarkStart w:id="3" w:name="_Toc69288499"/>
      <w:r>
        <w:rPr>
          <w:b/>
          <w:color w:val="000000" w:themeColor="text1"/>
          <w:sz w:val="28"/>
          <w:szCs w:val="28"/>
        </w:rPr>
        <w:t>估价委托人</w:t>
      </w:r>
      <w:bookmarkEnd w:id="3"/>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color w:val="000000" w:themeColor="text1"/>
          <w:sz w:val="28"/>
          <w:szCs w:val="28"/>
        </w:rPr>
        <w:t>委托人名称：</w:t>
      </w:r>
      <w:r>
        <w:rPr>
          <w:rFonts w:hint="eastAsia"/>
          <w:color w:val="000000" w:themeColor="text1"/>
          <w:sz w:val="28"/>
          <w:szCs w:val="28"/>
        </w:rPr>
        <w:t>武穴市人民法院</w:t>
      </w:r>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rFonts w:hint="eastAsia"/>
          <w:color w:val="000000" w:themeColor="text1"/>
          <w:sz w:val="28"/>
          <w:szCs w:val="28"/>
        </w:rPr>
        <w:t>地址</w:t>
      </w:r>
      <w:r>
        <w:rPr>
          <w:color w:val="000000" w:themeColor="text1"/>
          <w:sz w:val="28"/>
          <w:szCs w:val="28"/>
        </w:rPr>
        <w:t>：</w:t>
      </w:r>
      <w:r>
        <w:rPr>
          <w:rFonts w:hint="eastAsia"/>
          <w:color w:val="000000" w:themeColor="text1"/>
          <w:sz w:val="28"/>
          <w:szCs w:val="28"/>
        </w:rPr>
        <w:t>武穴市城东新区</w:t>
      </w:r>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color w:val="000000" w:themeColor="text1"/>
          <w:sz w:val="28"/>
          <w:szCs w:val="28"/>
        </w:rPr>
        <w:t>联系电话</w:t>
      </w:r>
      <w:r>
        <w:rPr>
          <w:rFonts w:hint="eastAsia"/>
          <w:color w:val="000000" w:themeColor="text1"/>
          <w:sz w:val="28"/>
          <w:szCs w:val="28"/>
        </w:rPr>
        <w:t>1</w:t>
      </w:r>
      <w:r>
        <w:rPr>
          <w:color w:val="000000" w:themeColor="text1"/>
          <w:sz w:val="28"/>
          <w:szCs w:val="28"/>
        </w:rPr>
        <w:t>8008610333</w:t>
      </w:r>
    </w:p>
    <w:p>
      <w:pPr>
        <w:numPr>
          <w:ilvl w:val="0"/>
          <w:numId w:val="3"/>
        </w:numPr>
        <w:spacing w:line="500" w:lineRule="exact"/>
        <w:outlineLvl w:val="1"/>
        <w:rPr>
          <w:b/>
          <w:color w:val="000000" w:themeColor="text1"/>
          <w:sz w:val="28"/>
          <w:szCs w:val="28"/>
        </w:rPr>
      </w:pPr>
      <w:bookmarkStart w:id="4" w:name="_Toc69288500"/>
      <w:r>
        <w:rPr>
          <w:b/>
          <w:color w:val="000000" w:themeColor="text1"/>
          <w:sz w:val="28"/>
          <w:szCs w:val="28"/>
        </w:rPr>
        <w:t>估价方</w:t>
      </w:r>
      <w:bookmarkEnd w:id="4"/>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机构名称：黄冈市海正房地产评估有限公司</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法定代表人：</w:t>
      </w:r>
      <w:r>
        <w:rPr>
          <w:rFonts w:hint="eastAsia"/>
          <w:sz w:val="28"/>
          <w:szCs w:val="28"/>
        </w:rPr>
        <w:t>付险峰</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工商注册号：91421100730853961B</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机构地址：黄州区西湖二路56号黄冈房地产二楼</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房地产估价机构等级：贰级</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房地产估价证书编号：鄂建房估证字第43号</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土地估价机构备案编号：2017420007</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执业范围：执业范围不受限</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联系人：汪震超</w:t>
      </w:r>
    </w:p>
    <w:p>
      <w:pPr>
        <w:numPr>
          <w:ilvl w:val="0"/>
          <w:numId w:val="5"/>
        </w:numPr>
        <w:tabs>
          <w:tab w:val="left" w:pos="540"/>
          <w:tab w:val="left" w:pos="720"/>
          <w:tab w:val="left" w:pos="900"/>
          <w:tab w:val="left" w:pos="1260"/>
          <w:tab w:val="clear" w:pos="1137"/>
        </w:tabs>
        <w:spacing w:line="500" w:lineRule="exact"/>
        <w:ind w:left="0" w:firstLine="560" w:firstLineChars="200"/>
        <w:rPr>
          <w:b/>
          <w:sz w:val="28"/>
          <w:szCs w:val="28"/>
        </w:rPr>
      </w:pPr>
      <w:r>
        <w:rPr>
          <w:sz w:val="28"/>
          <w:szCs w:val="28"/>
        </w:rPr>
        <w:t>联系电话：0713-8693126、15307250966</w:t>
      </w:r>
    </w:p>
    <w:p>
      <w:pPr>
        <w:numPr>
          <w:ilvl w:val="0"/>
          <w:numId w:val="3"/>
        </w:numPr>
        <w:spacing w:line="500" w:lineRule="exact"/>
        <w:outlineLvl w:val="1"/>
        <w:rPr>
          <w:b/>
          <w:color w:val="000000" w:themeColor="text1"/>
          <w:sz w:val="28"/>
          <w:szCs w:val="28"/>
        </w:rPr>
      </w:pPr>
      <w:bookmarkStart w:id="5" w:name="_Toc69288501"/>
      <w:r>
        <w:rPr>
          <w:b/>
          <w:color w:val="000000" w:themeColor="text1"/>
          <w:sz w:val="28"/>
          <w:szCs w:val="28"/>
        </w:rPr>
        <w:t>估价目的</w:t>
      </w:r>
      <w:bookmarkEnd w:id="5"/>
    </w:p>
    <w:p>
      <w:pPr>
        <w:tabs>
          <w:tab w:val="left" w:pos="540"/>
          <w:tab w:val="left" w:pos="720"/>
          <w:tab w:val="left" w:pos="900"/>
          <w:tab w:val="left" w:pos="1260"/>
        </w:tabs>
        <w:spacing w:line="500" w:lineRule="exact"/>
        <w:ind w:firstLine="560" w:firstLineChars="200"/>
        <w:rPr>
          <w:color w:val="000000" w:themeColor="text1"/>
          <w:sz w:val="28"/>
          <w:szCs w:val="28"/>
        </w:rPr>
      </w:pPr>
      <w:r>
        <w:rPr>
          <w:color w:val="000000" w:themeColor="text1"/>
          <w:sz w:val="28"/>
          <w:szCs w:val="28"/>
        </w:rPr>
        <w:t>本次估价目的</w:t>
      </w:r>
      <w:r>
        <w:rPr>
          <w:sz w:val="28"/>
          <w:szCs w:val="28"/>
        </w:rPr>
        <w:t>是为</w:t>
      </w:r>
      <w:r>
        <w:rPr>
          <w:rFonts w:hint="eastAsia"/>
          <w:sz w:val="28"/>
          <w:szCs w:val="28"/>
        </w:rPr>
        <w:t>人民法院确定财产处置参考价提供参考依据</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6" w:name="_Toc69288502"/>
      <w:r>
        <w:rPr>
          <w:b/>
          <w:color w:val="000000" w:themeColor="text1"/>
          <w:sz w:val="28"/>
          <w:szCs w:val="28"/>
        </w:rPr>
        <w:t>估价对象</w:t>
      </w:r>
      <w:bookmarkEnd w:id="6"/>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估价对象范围的确定</w:t>
      </w:r>
    </w:p>
    <w:p>
      <w:pPr>
        <w:spacing w:line="500" w:lineRule="exact"/>
        <w:ind w:firstLine="560" w:firstLineChars="200"/>
        <w:rPr>
          <w:color w:val="000000" w:themeColor="text1"/>
          <w:sz w:val="28"/>
          <w:szCs w:val="28"/>
        </w:rPr>
      </w:pPr>
      <w:r>
        <w:rPr>
          <w:color w:val="000000" w:themeColor="text1"/>
          <w:sz w:val="28"/>
          <w:szCs w:val="28"/>
        </w:rPr>
        <w:t>根据委托方提供的相关资料及介绍，本次评估对象为刘晓栋所有的位于</w:t>
      </w:r>
      <w:r>
        <w:rPr>
          <w:rFonts w:hint="eastAsia"/>
          <w:color w:val="000000" w:themeColor="text1"/>
          <w:sz w:val="28"/>
          <w:szCs w:val="28"/>
        </w:rPr>
        <w:t>武穴市永宁大道南侧方正广场804室</w:t>
      </w:r>
      <w:r>
        <w:rPr>
          <w:color w:val="000000" w:themeColor="text1"/>
          <w:sz w:val="28"/>
          <w:szCs w:val="28"/>
        </w:rPr>
        <w:t>的</w:t>
      </w:r>
      <w:r>
        <w:rPr>
          <w:rFonts w:hint="eastAsia"/>
          <w:color w:val="000000" w:themeColor="text1"/>
          <w:sz w:val="28"/>
          <w:szCs w:val="28"/>
        </w:rPr>
        <w:t>住宅房地产</w:t>
      </w:r>
      <w:r>
        <w:rPr>
          <w:color w:val="000000" w:themeColor="text1"/>
          <w:sz w:val="28"/>
          <w:szCs w:val="28"/>
        </w:rPr>
        <w:t>的房屋所有权及国有土地使用权。详见下表：</w:t>
      </w:r>
    </w:p>
    <w:tbl>
      <w:tblPr>
        <w:tblStyle w:val="26"/>
        <w:tblW w:w="95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101"/>
        <w:gridCol w:w="1450"/>
        <w:gridCol w:w="1144"/>
        <w:gridCol w:w="850"/>
        <w:gridCol w:w="709"/>
        <w:gridCol w:w="709"/>
        <w:gridCol w:w="919"/>
        <w:gridCol w:w="993"/>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58" w:type="dxa"/>
            <w:vAlign w:val="center"/>
          </w:tcPr>
          <w:p>
            <w:pPr>
              <w:jc w:val="center"/>
              <w:rPr>
                <w:color w:val="000000" w:themeColor="text1"/>
                <w:szCs w:val="21"/>
              </w:rPr>
            </w:pPr>
            <w:r>
              <w:rPr>
                <w:color w:val="000000" w:themeColor="text1"/>
                <w:szCs w:val="21"/>
              </w:rPr>
              <w:t>房地产权利人</w:t>
            </w:r>
          </w:p>
        </w:tc>
        <w:tc>
          <w:tcPr>
            <w:tcW w:w="1101" w:type="dxa"/>
            <w:vAlign w:val="center"/>
          </w:tcPr>
          <w:p>
            <w:pPr>
              <w:jc w:val="center"/>
              <w:rPr>
                <w:color w:val="000000" w:themeColor="text1"/>
                <w:szCs w:val="21"/>
              </w:rPr>
            </w:pPr>
            <w:r>
              <w:rPr>
                <w:color w:val="000000" w:themeColor="text1"/>
                <w:szCs w:val="21"/>
              </w:rPr>
              <w:t>位置</w:t>
            </w:r>
          </w:p>
        </w:tc>
        <w:tc>
          <w:tcPr>
            <w:tcW w:w="1450" w:type="dxa"/>
            <w:vAlign w:val="center"/>
          </w:tcPr>
          <w:p>
            <w:pPr>
              <w:jc w:val="center"/>
              <w:rPr>
                <w:color w:val="000000" w:themeColor="text1"/>
                <w:szCs w:val="21"/>
              </w:rPr>
            </w:pPr>
            <w:r>
              <w:rPr>
                <w:color w:val="000000" w:themeColor="text1"/>
                <w:szCs w:val="21"/>
              </w:rPr>
              <w:t>房地产权登记信息表号</w:t>
            </w:r>
          </w:p>
        </w:tc>
        <w:tc>
          <w:tcPr>
            <w:tcW w:w="1144" w:type="dxa"/>
            <w:vAlign w:val="center"/>
          </w:tcPr>
          <w:p>
            <w:pPr>
              <w:jc w:val="center"/>
              <w:rPr>
                <w:color w:val="000000" w:themeColor="text1"/>
                <w:szCs w:val="21"/>
              </w:rPr>
            </w:pPr>
            <w:r>
              <w:rPr>
                <w:rFonts w:hint="eastAsia"/>
                <w:color w:val="000000" w:themeColor="text1"/>
                <w:szCs w:val="21"/>
              </w:rPr>
              <w:t>国有土地使用证号</w:t>
            </w:r>
          </w:p>
        </w:tc>
        <w:tc>
          <w:tcPr>
            <w:tcW w:w="850" w:type="dxa"/>
            <w:vAlign w:val="center"/>
          </w:tcPr>
          <w:p>
            <w:pPr>
              <w:jc w:val="center"/>
              <w:rPr>
                <w:color w:val="000000" w:themeColor="text1"/>
                <w:szCs w:val="21"/>
              </w:rPr>
            </w:pPr>
            <w:r>
              <w:rPr>
                <w:rFonts w:hint="eastAsia"/>
                <w:color w:val="000000" w:themeColor="text1"/>
                <w:szCs w:val="21"/>
              </w:rPr>
              <w:t>建成年份（年）</w:t>
            </w:r>
          </w:p>
        </w:tc>
        <w:tc>
          <w:tcPr>
            <w:tcW w:w="709" w:type="dxa"/>
            <w:vAlign w:val="center"/>
          </w:tcPr>
          <w:p>
            <w:pPr>
              <w:jc w:val="center"/>
              <w:rPr>
                <w:color w:val="000000" w:themeColor="text1"/>
                <w:szCs w:val="21"/>
              </w:rPr>
            </w:pPr>
            <w:r>
              <w:rPr>
                <w:color w:val="000000" w:themeColor="text1"/>
                <w:szCs w:val="21"/>
              </w:rPr>
              <w:t>房屋用途</w:t>
            </w:r>
          </w:p>
        </w:tc>
        <w:tc>
          <w:tcPr>
            <w:tcW w:w="709" w:type="dxa"/>
            <w:vAlign w:val="center"/>
          </w:tcPr>
          <w:p>
            <w:pPr>
              <w:jc w:val="center"/>
              <w:rPr>
                <w:color w:val="000000" w:themeColor="text1"/>
                <w:szCs w:val="21"/>
              </w:rPr>
            </w:pPr>
            <w:r>
              <w:rPr>
                <w:color w:val="000000" w:themeColor="text1"/>
                <w:szCs w:val="21"/>
              </w:rPr>
              <w:t>土地用途</w:t>
            </w:r>
          </w:p>
        </w:tc>
        <w:tc>
          <w:tcPr>
            <w:tcW w:w="919" w:type="dxa"/>
            <w:vAlign w:val="center"/>
          </w:tcPr>
          <w:p>
            <w:pPr>
              <w:rPr>
                <w:color w:val="000000" w:themeColor="text1"/>
                <w:szCs w:val="21"/>
              </w:rPr>
            </w:pPr>
            <w:r>
              <w:rPr>
                <w:rFonts w:hint="eastAsia"/>
                <w:color w:val="000000" w:themeColor="text1"/>
                <w:szCs w:val="21"/>
              </w:rPr>
              <w:t>证载建筑面积</w:t>
            </w:r>
            <w:r>
              <w:rPr>
                <w:color w:val="000000" w:themeColor="text1"/>
                <w:szCs w:val="21"/>
              </w:rPr>
              <w:t>（㎡）</w:t>
            </w:r>
          </w:p>
        </w:tc>
        <w:tc>
          <w:tcPr>
            <w:tcW w:w="993" w:type="dxa"/>
            <w:vAlign w:val="center"/>
          </w:tcPr>
          <w:p>
            <w:pPr>
              <w:jc w:val="center"/>
              <w:rPr>
                <w:color w:val="000000" w:themeColor="text1"/>
                <w:szCs w:val="21"/>
              </w:rPr>
            </w:pPr>
            <w:r>
              <w:rPr>
                <w:rFonts w:hint="eastAsia"/>
                <w:color w:val="000000" w:themeColor="text1"/>
                <w:szCs w:val="21"/>
              </w:rPr>
              <w:t>分摊土地面积</w:t>
            </w:r>
            <w:r>
              <w:rPr>
                <w:color w:val="000000" w:themeColor="text1"/>
                <w:szCs w:val="21"/>
              </w:rPr>
              <w:t>（㎡）</w:t>
            </w:r>
          </w:p>
        </w:tc>
        <w:tc>
          <w:tcPr>
            <w:tcW w:w="780" w:type="dxa"/>
            <w:vAlign w:val="center"/>
          </w:tcPr>
          <w:p>
            <w:pPr>
              <w:jc w:val="center"/>
              <w:rPr>
                <w:color w:val="000000" w:themeColor="text1"/>
                <w:szCs w:val="21"/>
              </w:rPr>
            </w:pPr>
            <w:r>
              <w:rPr>
                <w:rFonts w:hint="eastAsia"/>
                <w:color w:val="000000" w:themeColor="text1"/>
                <w:szCs w:val="21"/>
              </w:rPr>
              <w:t>装修状况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6" w:hRule="atLeast"/>
          <w:jc w:val="center"/>
        </w:trPr>
        <w:tc>
          <w:tcPr>
            <w:tcW w:w="858" w:type="dxa"/>
            <w:vAlign w:val="center"/>
          </w:tcPr>
          <w:p>
            <w:pPr>
              <w:jc w:val="center"/>
              <w:rPr>
                <w:color w:val="000000" w:themeColor="text1"/>
                <w:szCs w:val="21"/>
              </w:rPr>
            </w:pPr>
            <w:r>
              <w:rPr>
                <w:color w:val="000000" w:themeColor="text1"/>
                <w:szCs w:val="21"/>
              </w:rPr>
              <w:t>刘晓栋</w:t>
            </w:r>
          </w:p>
        </w:tc>
        <w:tc>
          <w:tcPr>
            <w:tcW w:w="1101" w:type="dxa"/>
            <w:vAlign w:val="center"/>
          </w:tcPr>
          <w:p>
            <w:pPr>
              <w:jc w:val="center"/>
              <w:rPr>
                <w:color w:val="000000" w:themeColor="text1"/>
                <w:szCs w:val="21"/>
              </w:rPr>
            </w:pPr>
            <w:r>
              <w:rPr>
                <w:rFonts w:hint="eastAsia"/>
                <w:color w:val="000000" w:themeColor="text1"/>
                <w:szCs w:val="21"/>
              </w:rPr>
              <w:t>武穴市永宁大道南侧方正广场804室</w:t>
            </w:r>
          </w:p>
        </w:tc>
        <w:tc>
          <w:tcPr>
            <w:tcW w:w="1450" w:type="dxa"/>
            <w:vAlign w:val="center"/>
          </w:tcPr>
          <w:p>
            <w:pPr>
              <w:jc w:val="center"/>
              <w:rPr>
                <w:color w:val="000000" w:themeColor="text1"/>
                <w:szCs w:val="21"/>
              </w:rPr>
            </w:pPr>
            <w:r>
              <w:rPr>
                <w:color w:val="000000" w:themeColor="text1"/>
                <w:szCs w:val="21"/>
              </w:rPr>
              <w:t>未提供（面积数据来源于房地产权登记信息表）</w:t>
            </w:r>
          </w:p>
        </w:tc>
        <w:tc>
          <w:tcPr>
            <w:tcW w:w="1144" w:type="dxa"/>
            <w:vAlign w:val="center"/>
          </w:tcPr>
          <w:p>
            <w:pPr>
              <w:jc w:val="center"/>
              <w:rPr>
                <w:color w:val="000000" w:themeColor="text1"/>
                <w:szCs w:val="21"/>
              </w:rPr>
            </w:pPr>
            <w:r>
              <w:rPr>
                <w:color w:val="000000" w:themeColor="text1"/>
                <w:szCs w:val="21"/>
              </w:rPr>
              <w:t>未办理</w:t>
            </w:r>
          </w:p>
        </w:tc>
        <w:tc>
          <w:tcPr>
            <w:tcW w:w="850" w:type="dxa"/>
            <w:vAlign w:val="center"/>
          </w:tcPr>
          <w:p>
            <w:pPr>
              <w:jc w:val="center"/>
              <w:rPr>
                <w:color w:val="000000" w:themeColor="text1"/>
                <w:szCs w:val="21"/>
              </w:rPr>
            </w:pPr>
            <w:r>
              <w:rPr>
                <w:color w:val="000000" w:themeColor="text1"/>
                <w:szCs w:val="21"/>
              </w:rPr>
              <w:t>2009</w:t>
            </w:r>
          </w:p>
        </w:tc>
        <w:tc>
          <w:tcPr>
            <w:tcW w:w="709" w:type="dxa"/>
            <w:vAlign w:val="center"/>
          </w:tcPr>
          <w:p>
            <w:pPr>
              <w:jc w:val="center"/>
              <w:rPr>
                <w:color w:val="000000" w:themeColor="text1"/>
                <w:szCs w:val="21"/>
              </w:rPr>
            </w:pPr>
            <w:r>
              <w:rPr>
                <w:rFonts w:hint="eastAsia"/>
                <w:color w:val="000000" w:themeColor="text1"/>
                <w:szCs w:val="21"/>
              </w:rPr>
              <w:t>住宅</w:t>
            </w:r>
          </w:p>
        </w:tc>
        <w:tc>
          <w:tcPr>
            <w:tcW w:w="709" w:type="dxa"/>
            <w:vAlign w:val="center"/>
          </w:tcPr>
          <w:p>
            <w:pPr>
              <w:jc w:val="center"/>
              <w:rPr>
                <w:color w:val="000000" w:themeColor="text1"/>
                <w:szCs w:val="21"/>
              </w:rPr>
            </w:pPr>
            <w:r>
              <w:rPr>
                <w:rFonts w:hint="eastAsia"/>
                <w:color w:val="000000" w:themeColor="text1"/>
                <w:szCs w:val="21"/>
              </w:rPr>
              <w:t>住宅用地</w:t>
            </w:r>
          </w:p>
        </w:tc>
        <w:tc>
          <w:tcPr>
            <w:tcW w:w="919" w:type="dxa"/>
            <w:vAlign w:val="center"/>
          </w:tcPr>
          <w:p>
            <w:pPr>
              <w:jc w:val="center"/>
              <w:rPr>
                <w:color w:val="000000" w:themeColor="text1"/>
                <w:szCs w:val="21"/>
              </w:rPr>
            </w:pPr>
            <w:r>
              <w:rPr>
                <w:rFonts w:hint="eastAsia"/>
                <w:color w:val="000000" w:themeColor="text1"/>
                <w:szCs w:val="21"/>
              </w:rPr>
              <w:t>102.61</w:t>
            </w:r>
          </w:p>
        </w:tc>
        <w:tc>
          <w:tcPr>
            <w:tcW w:w="993" w:type="dxa"/>
            <w:vAlign w:val="center"/>
          </w:tcPr>
          <w:p>
            <w:pPr>
              <w:jc w:val="center"/>
              <w:rPr>
                <w:color w:val="000000" w:themeColor="text1"/>
                <w:szCs w:val="21"/>
              </w:rPr>
            </w:pPr>
            <w:r>
              <w:rPr>
                <w:color w:val="000000" w:themeColor="text1"/>
                <w:szCs w:val="21"/>
              </w:rPr>
              <w:t>/</w:t>
            </w:r>
          </w:p>
        </w:tc>
        <w:tc>
          <w:tcPr>
            <w:tcW w:w="780" w:type="dxa"/>
            <w:vAlign w:val="center"/>
          </w:tcPr>
          <w:p>
            <w:pPr>
              <w:jc w:val="center"/>
              <w:rPr>
                <w:color w:val="000000" w:themeColor="text1"/>
                <w:szCs w:val="21"/>
              </w:rPr>
            </w:pPr>
            <w:r>
              <w:rPr>
                <w:color w:val="000000" w:themeColor="text1"/>
                <w:szCs w:val="21"/>
              </w:rPr>
              <w:t>普通装修</w:t>
            </w:r>
          </w:p>
        </w:tc>
      </w:tr>
    </w:tbl>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估价对象区位状况</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rPr>
        <w:t>1、位置及四至</w:t>
      </w:r>
    </w:p>
    <w:p>
      <w:pPr>
        <w:spacing w:line="500" w:lineRule="exact"/>
        <w:ind w:firstLine="470" w:firstLineChars="168"/>
        <w:rPr>
          <w:color w:val="000000" w:themeColor="text1"/>
          <w:sz w:val="28"/>
          <w:szCs w:val="28"/>
        </w:rPr>
      </w:pPr>
      <w:bookmarkStart w:id="7" w:name="OLE_LINK3"/>
      <w:bookmarkStart w:id="8" w:name="OLE_LINK2"/>
      <w:r>
        <w:rPr>
          <w:color w:val="000000" w:themeColor="text1"/>
          <w:sz w:val="28"/>
          <w:szCs w:val="28"/>
        </w:rPr>
        <w:t>估价对象位于</w:t>
      </w:r>
      <w:r>
        <w:rPr>
          <w:rFonts w:hint="eastAsia"/>
          <w:color w:val="000000" w:themeColor="text1"/>
          <w:sz w:val="28"/>
          <w:szCs w:val="28"/>
        </w:rPr>
        <w:t>武穴市城区方正广场</w:t>
      </w:r>
      <w:r>
        <w:rPr>
          <w:color w:val="000000" w:themeColor="text1"/>
          <w:sz w:val="28"/>
          <w:szCs w:val="28"/>
        </w:rPr>
        <w:t>，所在住宅楼</w:t>
      </w:r>
      <w:r>
        <w:rPr>
          <w:rFonts w:hint="eastAsia"/>
          <w:color w:val="000000" w:themeColor="text1"/>
          <w:sz w:val="28"/>
          <w:szCs w:val="28"/>
        </w:rPr>
        <w:t>东临商业大楼，西临文体巷，南临住宅区，北临永宁大道，四至清晰</w:t>
      </w:r>
      <w:r>
        <w:rPr>
          <w:color w:val="000000" w:themeColor="text1"/>
          <w:sz w:val="28"/>
          <w:szCs w:val="28"/>
        </w:rPr>
        <w:t>。</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2、外部配套设施</w:t>
      </w:r>
    </w:p>
    <w:p>
      <w:pPr>
        <w:numPr>
          <w:ilvl w:val="3"/>
          <w:numId w:val="6"/>
        </w:numPr>
        <w:tabs>
          <w:tab w:val="left" w:pos="1080"/>
          <w:tab w:val="clear" w:pos="2340"/>
        </w:tabs>
        <w:spacing w:line="500" w:lineRule="exact"/>
        <w:ind w:left="1440"/>
        <w:rPr>
          <w:color w:val="000000" w:themeColor="text1"/>
          <w:sz w:val="28"/>
          <w:szCs w:val="28"/>
        </w:rPr>
      </w:pPr>
      <w:r>
        <w:rPr>
          <w:color w:val="000000" w:themeColor="text1"/>
          <w:sz w:val="28"/>
          <w:szCs w:val="28"/>
          <w:lang w:val="zh-CN"/>
        </w:rPr>
        <w:t>、城市基础设施状况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估价对象所处区域为武穴市城建成熟区，城市基础设施完善，配套状况已达“六通一平”，即道路、供水、供电、排水、通讯、燃气等基础设施完善，能满足周边居民的正常生活需要。</w:t>
      </w:r>
    </w:p>
    <w:p>
      <w:pPr>
        <w:numPr>
          <w:ilvl w:val="3"/>
          <w:numId w:val="6"/>
        </w:numPr>
        <w:tabs>
          <w:tab w:val="left" w:pos="1080"/>
          <w:tab w:val="clear" w:pos="2340"/>
        </w:tabs>
        <w:spacing w:line="500" w:lineRule="exact"/>
        <w:ind w:left="1440"/>
        <w:rPr>
          <w:color w:val="000000" w:themeColor="text1"/>
          <w:sz w:val="28"/>
          <w:szCs w:val="28"/>
        </w:rPr>
      </w:pPr>
      <w:r>
        <w:rPr>
          <w:color w:val="000000" w:themeColor="text1"/>
          <w:sz w:val="28"/>
          <w:szCs w:val="28"/>
        </w:rPr>
        <w:t>、公共服务设施状况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的区域为武穴市城建成熟区，以估价对象1000米为半径分布有武穴城市广场、好又多超市、市直属幼儿园、实验小学、实验中学、师范附属小学、小龙潭公园等公共生活服务设施，配套设施齐全，能够满足业主日常生活需求。</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3、交通条件</w:t>
      </w:r>
    </w:p>
    <w:p>
      <w:pPr>
        <w:spacing w:line="500" w:lineRule="exact"/>
        <w:ind w:firstLine="560" w:firstLineChars="200"/>
        <w:rPr>
          <w:color w:val="000000" w:themeColor="text1"/>
          <w:sz w:val="28"/>
          <w:szCs w:val="28"/>
        </w:rPr>
      </w:pPr>
      <w:r>
        <w:rPr>
          <w:rFonts w:hint="eastAsia"/>
          <w:color w:val="000000" w:themeColor="text1"/>
          <w:sz w:val="28"/>
          <w:szCs w:val="28"/>
        </w:rPr>
        <w:t>估价对象所在住宅楼北临永宁大道</w:t>
      </w:r>
      <w:r>
        <w:rPr>
          <w:color w:val="000000" w:themeColor="text1"/>
          <w:sz w:val="28"/>
          <w:szCs w:val="28"/>
        </w:rPr>
        <w:t>，永宁大道</w:t>
      </w:r>
      <w:r>
        <w:rPr>
          <w:rFonts w:hint="eastAsia"/>
          <w:color w:val="000000" w:themeColor="text1"/>
          <w:sz w:val="28"/>
          <w:szCs w:val="28"/>
        </w:rPr>
        <w:t>为武穴市城区混合型主干道，该道路自东向西分别与明珠路、粮食路、民主路、窝陂塘路等主干道相接，道路条件较好，可及性较强，对外交通便利；但估价对象所在区域住宅区密集，公共停车位较少，车辆停放较不便；估价对象交通条件总体较好。</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4、周边环境</w:t>
      </w:r>
      <w:r>
        <w:rPr>
          <w:color w:val="000000" w:themeColor="text1"/>
          <w:sz w:val="28"/>
          <w:szCs w:val="28"/>
        </w:rPr>
        <w:t>和景观</w:t>
      </w:r>
    </w:p>
    <w:p>
      <w:pPr>
        <w:spacing w:line="500" w:lineRule="exact"/>
        <w:ind w:firstLine="560" w:firstLineChars="200"/>
        <w:rPr>
          <w:color w:val="000000" w:themeColor="text1"/>
          <w:sz w:val="28"/>
          <w:szCs w:val="28"/>
        </w:rPr>
      </w:pPr>
      <w:r>
        <w:rPr>
          <w:rFonts w:hint="eastAsia"/>
          <w:color w:val="000000" w:themeColor="text1"/>
          <w:sz w:val="28"/>
          <w:szCs w:val="28"/>
        </w:rPr>
        <w:t>估价对象所在区域周边无特殊景观，区域内无污染性工业企业；空气质量、卫生条件较一般；且估价对象临近永宁大道南侧主干道永宁大道，声环境一般；故周边环境总体一般。</w:t>
      </w:r>
    </w:p>
    <w:p>
      <w:pPr>
        <w:spacing w:line="500" w:lineRule="exact"/>
        <w:ind w:firstLine="630" w:firstLineChars="225"/>
        <w:rPr>
          <w:color w:val="000000" w:themeColor="text1"/>
          <w:sz w:val="28"/>
          <w:szCs w:val="28"/>
        </w:rPr>
      </w:pPr>
      <w:r>
        <w:rPr>
          <w:rFonts w:hint="eastAsia"/>
          <w:color w:val="000000" w:themeColor="text1"/>
          <w:sz w:val="28"/>
          <w:szCs w:val="28"/>
          <w:lang w:val="zh-CN"/>
        </w:rPr>
        <w:t>综上所述，估价对象作为住宅，地理位置较好，所在区域内基础设施、公共服务设施较完善，交通条件较好，周边环境一般，均对估价对象的价格有一定的影响。</w:t>
      </w:r>
    </w:p>
    <w:bookmarkEnd w:id="7"/>
    <w:bookmarkEnd w:id="8"/>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估价对象实物状况</w:t>
      </w:r>
    </w:p>
    <w:p>
      <w:pPr>
        <w:spacing w:line="500" w:lineRule="exact"/>
        <w:ind w:firstLine="630" w:firstLineChars="225"/>
        <w:rPr>
          <w:color w:val="000000" w:themeColor="text1"/>
          <w:sz w:val="28"/>
          <w:szCs w:val="28"/>
        </w:rPr>
      </w:pPr>
      <w:r>
        <w:rPr>
          <w:color w:val="000000" w:themeColor="text1"/>
          <w:sz w:val="28"/>
          <w:szCs w:val="28"/>
        </w:rPr>
        <w:t>本次估价对象为</w:t>
      </w:r>
      <w:r>
        <w:rPr>
          <w:rFonts w:hint="eastAsia"/>
          <w:color w:val="000000" w:themeColor="text1"/>
          <w:sz w:val="28"/>
          <w:szCs w:val="28"/>
        </w:rPr>
        <w:t>位于武穴市永宁大道南侧方正广场804室的一套住宅</w:t>
      </w:r>
      <w:r>
        <w:rPr>
          <w:color w:val="000000" w:themeColor="text1"/>
          <w:sz w:val="28"/>
          <w:szCs w:val="28"/>
        </w:rPr>
        <w:t>房地产，用途为</w:t>
      </w:r>
      <w:r>
        <w:rPr>
          <w:rFonts w:hint="eastAsia"/>
          <w:color w:val="000000" w:themeColor="text1"/>
          <w:sz w:val="28"/>
          <w:szCs w:val="28"/>
        </w:rPr>
        <w:t>住宅</w:t>
      </w:r>
      <w:r>
        <w:rPr>
          <w:color w:val="000000" w:themeColor="text1"/>
          <w:sz w:val="28"/>
          <w:szCs w:val="28"/>
        </w:rPr>
        <w:t>。</w:t>
      </w:r>
    </w:p>
    <w:p>
      <w:pPr>
        <w:tabs>
          <w:tab w:val="left" w:pos="0"/>
        </w:tabs>
        <w:spacing w:line="500" w:lineRule="exact"/>
        <w:ind w:firstLine="560" w:firstLineChars="200"/>
        <w:rPr>
          <w:color w:val="000000" w:themeColor="text1"/>
          <w:sz w:val="28"/>
          <w:szCs w:val="28"/>
        </w:rPr>
      </w:pPr>
      <w:r>
        <w:rPr>
          <w:color w:val="000000" w:themeColor="text1"/>
          <w:sz w:val="28"/>
          <w:szCs w:val="28"/>
        </w:rPr>
        <w:t>（1）土地实物状况</w:t>
      </w:r>
    </w:p>
    <w:p>
      <w:pPr>
        <w:tabs>
          <w:tab w:val="left" w:pos="0"/>
        </w:tabs>
        <w:spacing w:line="500" w:lineRule="exact"/>
        <w:ind w:firstLine="3124" w:firstLineChars="1100"/>
        <w:rPr>
          <w:color w:val="000000" w:themeColor="text1"/>
          <w:spacing w:val="2"/>
          <w:sz w:val="28"/>
          <w:szCs w:val="28"/>
        </w:rPr>
      </w:pPr>
      <w:r>
        <w:rPr>
          <w:color w:val="000000" w:themeColor="text1"/>
          <w:spacing w:val="2"/>
          <w:sz w:val="28"/>
          <w:szCs w:val="28"/>
        </w:rPr>
        <w:t>估价对象土地实物状况一览表</w:t>
      </w:r>
    </w:p>
    <w:tbl>
      <w:tblPr>
        <w:tblStyle w:val="26"/>
        <w:tblW w:w="93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7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1751" w:type="dxa"/>
            <w:vAlign w:val="center"/>
          </w:tcPr>
          <w:p>
            <w:pPr>
              <w:spacing w:line="320" w:lineRule="exact"/>
              <w:jc w:val="center"/>
              <w:rPr>
                <w:color w:val="000000" w:themeColor="text1"/>
                <w:sz w:val="24"/>
              </w:rPr>
            </w:pPr>
            <w:r>
              <w:rPr>
                <w:color w:val="000000" w:themeColor="text1"/>
                <w:sz w:val="24"/>
              </w:rPr>
              <w:t>用途</w:t>
            </w:r>
          </w:p>
        </w:tc>
        <w:tc>
          <w:tcPr>
            <w:tcW w:w="7593" w:type="dxa"/>
            <w:vAlign w:val="center"/>
          </w:tcPr>
          <w:p>
            <w:pPr>
              <w:spacing w:line="320" w:lineRule="exact"/>
              <w:jc w:val="left"/>
              <w:rPr>
                <w:color w:val="000000" w:themeColor="text1"/>
                <w:sz w:val="24"/>
              </w:rPr>
            </w:pPr>
            <w:r>
              <w:rPr>
                <w:rFonts w:hint="eastAsia"/>
                <w:color w:val="000000" w:themeColor="text1"/>
                <w:sz w:val="24"/>
              </w:rPr>
              <w:t>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面积</w:t>
            </w:r>
          </w:p>
        </w:tc>
        <w:tc>
          <w:tcPr>
            <w:tcW w:w="7593" w:type="dxa"/>
            <w:vAlign w:val="center"/>
          </w:tcPr>
          <w:p>
            <w:pPr>
              <w:spacing w:line="320" w:lineRule="exact"/>
              <w:jc w:val="left"/>
              <w:rPr>
                <w:color w:val="000000" w:themeColor="text1"/>
                <w:sz w:val="24"/>
              </w:rPr>
            </w:pPr>
            <w:r>
              <w:rPr>
                <w:color w:val="000000" w:themeColor="text1"/>
                <w:sz w:val="24"/>
              </w:rPr>
              <w:t>未提供《国有土地使用证》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四至</w:t>
            </w:r>
          </w:p>
        </w:tc>
        <w:tc>
          <w:tcPr>
            <w:tcW w:w="7593" w:type="dxa"/>
            <w:vAlign w:val="center"/>
          </w:tcPr>
          <w:p>
            <w:pPr>
              <w:spacing w:line="320" w:lineRule="exact"/>
              <w:jc w:val="left"/>
              <w:rPr>
                <w:color w:val="000000" w:themeColor="text1"/>
                <w:sz w:val="24"/>
              </w:rPr>
            </w:pPr>
            <w:r>
              <w:rPr>
                <w:rFonts w:hint="eastAsia"/>
                <w:color w:val="000000" w:themeColor="text1"/>
                <w:sz w:val="24"/>
              </w:rPr>
              <w:t>东临商业大楼，西临文体巷，南临住宅区，北临永宁大道，四至清晰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土地使用期限</w:t>
            </w:r>
          </w:p>
        </w:tc>
        <w:tc>
          <w:tcPr>
            <w:tcW w:w="7593" w:type="dxa"/>
            <w:vAlign w:val="center"/>
          </w:tcPr>
          <w:p>
            <w:pPr>
              <w:spacing w:line="320" w:lineRule="exact"/>
              <w:jc w:val="left"/>
              <w:rPr>
                <w:color w:val="000000" w:themeColor="text1"/>
                <w:sz w:val="24"/>
              </w:rPr>
            </w:pPr>
            <w:r>
              <w:rPr>
                <w:color w:val="000000" w:themeColor="text1"/>
                <w:sz w:val="24"/>
              </w:rPr>
              <w:t>未提供《国有土地使用证》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形状</w:t>
            </w:r>
          </w:p>
        </w:tc>
        <w:tc>
          <w:tcPr>
            <w:tcW w:w="7593" w:type="dxa"/>
            <w:vAlign w:val="center"/>
          </w:tcPr>
          <w:p>
            <w:pPr>
              <w:spacing w:line="320" w:lineRule="exact"/>
              <w:jc w:val="left"/>
              <w:rPr>
                <w:color w:val="000000" w:themeColor="text1"/>
                <w:sz w:val="24"/>
              </w:rPr>
            </w:pPr>
            <w:r>
              <w:rPr>
                <w:color w:val="000000" w:themeColor="text1"/>
                <w:sz w:val="24"/>
              </w:rPr>
              <w:t>所在宗地形状较</w:t>
            </w:r>
            <w:r>
              <w:rPr>
                <w:rFonts w:hint="eastAsia"/>
                <w:color w:val="000000" w:themeColor="text1"/>
                <w:sz w:val="24"/>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51" w:type="dxa"/>
            <w:vAlign w:val="center"/>
          </w:tcPr>
          <w:p>
            <w:pPr>
              <w:spacing w:line="320" w:lineRule="exact"/>
              <w:jc w:val="center"/>
              <w:rPr>
                <w:color w:val="000000" w:themeColor="text1"/>
                <w:sz w:val="24"/>
              </w:rPr>
            </w:pPr>
            <w:r>
              <w:rPr>
                <w:color w:val="000000" w:themeColor="text1"/>
                <w:sz w:val="24"/>
              </w:rPr>
              <w:t>地形、地势及工程地质</w:t>
            </w:r>
          </w:p>
        </w:tc>
        <w:tc>
          <w:tcPr>
            <w:tcW w:w="7593" w:type="dxa"/>
            <w:vAlign w:val="center"/>
          </w:tcPr>
          <w:p>
            <w:pPr>
              <w:spacing w:line="320" w:lineRule="exact"/>
              <w:jc w:val="left"/>
              <w:rPr>
                <w:color w:val="000000" w:themeColor="text1"/>
                <w:sz w:val="24"/>
              </w:rPr>
            </w:pPr>
            <w:r>
              <w:rPr>
                <w:rFonts w:hint="eastAsia"/>
                <w:color w:val="000000" w:themeColor="text1"/>
                <w:kern w:val="0"/>
                <w:sz w:val="24"/>
                <w:lang w:val="zh-CN"/>
              </w:rPr>
              <w:t>宗地地形平坦，与相临道路无高差，无影响建筑物修建的不良地势、地质和水文状况，具有足够的承载力。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color w:val="000000" w:themeColor="text1"/>
                <w:sz w:val="24"/>
              </w:rPr>
            </w:pPr>
            <w:r>
              <w:rPr>
                <w:color w:val="000000" w:themeColor="text1"/>
                <w:sz w:val="24"/>
              </w:rPr>
              <w:t>开发程度</w:t>
            </w:r>
          </w:p>
        </w:tc>
        <w:tc>
          <w:tcPr>
            <w:tcW w:w="7593" w:type="dxa"/>
            <w:vAlign w:val="center"/>
          </w:tcPr>
          <w:p>
            <w:pPr>
              <w:spacing w:line="320" w:lineRule="exact"/>
              <w:jc w:val="left"/>
              <w:rPr>
                <w:color w:val="000000" w:themeColor="text1"/>
                <w:sz w:val="24"/>
              </w:rPr>
            </w:pPr>
            <w:r>
              <w:rPr>
                <w:rFonts w:hint="eastAsia"/>
                <w:color w:val="000000" w:themeColor="text1"/>
                <w:sz w:val="24"/>
              </w:rPr>
              <w:t>宗地内开发程度“六通一平”(通上水、通下水、通电、通路、通讯、通气及场地平整)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color w:val="000000" w:themeColor="text1"/>
                <w:sz w:val="24"/>
              </w:rPr>
            </w:pPr>
            <w:r>
              <w:rPr>
                <w:color w:val="000000" w:themeColor="text1"/>
                <w:sz w:val="24"/>
              </w:rPr>
              <w:t>土地利用状况</w:t>
            </w:r>
          </w:p>
        </w:tc>
        <w:tc>
          <w:tcPr>
            <w:tcW w:w="7593" w:type="dxa"/>
            <w:vAlign w:val="center"/>
          </w:tcPr>
          <w:p>
            <w:pPr>
              <w:spacing w:line="320" w:lineRule="exact"/>
              <w:jc w:val="left"/>
              <w:rPr>
                <w:color w:val="000000" w:themeColor="text1"/>
                <w:sz w:val="24"/>
              </w:rPr>
            </w:pPr>
            <w:r>
              <w:rPr>
                <w:rFonts w:hint="eastAsia" w:hAnsi="宋体"/>
                <w:color w:val="000000" w:themeColor="text1"/>
                <w:sz w:val="24"/>
              </w:rPr>
              <w:t>宗地内已建成方正广场小区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基础设施完备程度</w:t>
            </w:r>
          </w:p>
        </w:tc>
        <w:tc>
          <w:tcPr>
            <w:tcW w:w="7593" w:type="dxa"/>
            <w:vAlign w:val="center"/>
          </w:tcPr>
          <w:p>
            <w:pPr>
              <w:spacing w:line="320" w:lineRule="exact"/>
              <w:jc w:val="left"/>
              <w:rPr>
                <w:color w:val="000000" w:themeColor="text1"/>
                <w:sz w:val="24"/>
              </w:rPr>
            </w:pPr>
            <w:r>
              <w:rPr>
                <w:rFonts w:hint="eastAsia" w:hAnsi="宋体"/>
                <w:color w:val="000000" w:themeColor="text1"/>
                <w:sz w:val="24"/>
              </w:rPr>
              <w:t>市政供电、供气、自来水进水管、排污管与城市管网相连，完备度较高。</w:t>
            </w:r>
          </w:p>
        </w:tc>
      </w:tr>
    </w:tbl>
    <w:p>
      <w:pPr>
        <w:tabs>
          <w:tab w:val="left" w:pos="0"/>
        </w:tabs>
        <w:spacing w:line="500" w:lineRule="exact"/>
        <w:ind w:firstLine="560" w:firstLineChars="200"/>
        <w:rPr>
          <w:color w:val="000000" w:themeColor="text1"/>
          <w:sz w:val="28"/>
          <w:szCs w:val="28"/>
        </w:rPr>
      </w:pPr>
      <w:r>
        <w:rPr>
          <w:color w:val="000000" w:themeColor="text1"/>
          <w:sz w:val="28"/>
          <w:szCs w:val="28"/>
        </w:rPr>
        <w:t>（2）建筑物实物状况</w:t>
      </w:r>
    </w:p>
    <w:p>
      <w:pPr>
        <w:tabs>
          <w:tab w:val="left" w:pos="0"/>
        </w:tabs>
        <w:spacing w:line="500" w:lineRule="exact"/>
        <w:ind w:firstLine="2800" w:firstLineChars="1000"/>
        <w:rPr>
          <w:color w:val="000000" w:themeColor="text1"/>
          <w:sz w:val="28"/>
          <w:szCs w:val="28"/>
        </w:rPr>
      </w:pPr>
      <w:r>
        <w:rPr>
          <w:color w:val="000000" w:themeColor="text1"/>
          <w:sz w:val="28"/>
          <w:szCs w:val="28"/>
        </w:rPr>
        <w:t>估价对象建筑物实物状况一览表</w:t>
      </w:r>
    </w:p>
    <w:tbl>
      <w:tblPr>
        <w:tblStyle w:val="26"/>
        <w:tblW w:w="92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932"/>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86" w:type="dxa"/>
            <w:gridSpan w:val="2"/>
            <w:shd w:val="clear" w:color="auto" w:fill="auto"/>
            <w:vAlign w:val="center"/>
          </w:tcPr>
          <w:p>
            <w:pPr>
              <w:spacing w:line="280" w:lineRule="exact"/>
              <w:jc w:val="center"/>
              <w:rPr>
                <w:color w:val="000000" w:themeColor="text1"/>
                <w:sz w:val="24"/>
              </w:rPr>
            </w:pPr>
            <w:r>
              <w:rPr>
                <w:color w:val="000000" w:themeColor="text1"/>
                <w:sz w:val="24"/>
              </w:rPr>
              <w:t>建筑物用途</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restart"/>
            <w:shd w:val="clear" w:color="auto" w:fill="auto"/>
            <w:vAlign w:val="center"/>
          </w:tcPr>
          <w:p>
            <w:pPr>
              <w:spacing w:line="280" w:lineRule="exact"/>
              <w:jc w:val="center"/>
              <w:rPr>
                <w:color w:val="000000" w:themeColor="text1"/>
                <w:sz w:val="24"/>
              </w:rPr>
            </w:pPr>
            <w:r>
              <w:rPr>
                <w:color w:val="000000" w:themeColor="text1"/>
                <w:sz w:val="24"/>
              </w:rPr>
              <w:t>建筑物基本情况</w:t>
            </w:r>
          </w:p>
        </w:tc>
        <w:tc>
          <w:tcPr>
            <w:tcW w:w="1932" w:type="dxa"/>
            <w:shd w:val="clear" w:color="auto" w:fill="auto"/>
            <w:vAlign w:val="center"/>
          </w:tcPr>
          <w:p>
            <w:pPr>
              <w:spacing w:line="280" w:lineRule="exact"/>
              <w:jc w:val="center"/>
              <w:rPr>
                <w:color w:val="000000" w:themeColor="text1"/>
                <w:sz w:val="24"/>
              </w:rPr>
            </w:pPr>
            <w:r>
              <w:rPr>
                <w:rFonts w:hint="eastAsia"/>
                <w:color w:val="000000" w:themeColor="text1"/>
                <w:sz w:val="24"/>
              </w:rPr>
              <w:t>建成年份</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20</w:t>
            </w:r>
            <w:r>
              <w:rPr>
                <w:color w:val="000000" w:themeColor="text1"/>
                <w:sz w:val="24"/>
              </w:rPr>
              <w:t>09年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建筑面积</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102.61</w:t>
            </w:r>
            <w:r>
              <w:rPr>
                <w:color w:val="000000" w:themeColor="text1"/>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层数</w:t>
            </w:r>
          </w:p>
        </w:tc>
        <w:tc>
          <w:tcPr>
            <w:tcW w:w="5988" w:type="dxa"/>
            <w:shd w:val="clear" w:color="auto" w:fill="auto"/>
            <w:vAlign w:val="center"/>
          </w:tcPr>
          <w:p>
            <w:pPr>
              <w:spacing w:line="280" w:lineRule="exact"/>
              <w:rPr>
                <w:color w:val="000000" w:themeColor="text1"/>
                <w:sz w:val="24"/>
              </w:rPr>
            </w:pPr>
            <w:r>
              <w:rPr>
                <w:color w:val="000000" w:themeColor="text1"/>
                <w:sz w:val="24"/>
              </w:rPr>
              <w:t>所在大楼共16层，估价对象位于第</w:t>
            </w:r>
            <w:r>
              <w:rPr>
                <w:rFonts w:hint="eastAsia"/>
                <w:color w:val="000000" w:themeColor="text1"/>
                <w:sz w:val="24"/>
              </w:rPr>
              <w:t>8层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建筑结构</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层高</w:t>
            </w:r>
          </w:p>
        </w:tc>
        <w:tc>
          <w:tcPr>
            <w:tcW w:w="5988" w:type="dxa"/>
            <w:shd w:val="clear" w:color="auto" w:fill="auto"/>
            <w:vAlign w:val="center"/>
          </w:tcPr>
          <w:p>
            <w:pPr>
              <w:spacing w:line="280" w:lineRule="exact"/>
              <w:rPr>
                <w:color w:val="000000" w:themeColor="text1"/>
                <w:sz w:val="24"/>
              </w:rPr>
            </w:pPr>
            <w:r>
              <w:rPr>
                <w:color w:val="000000" w:themeColor="text1"/>
                <w:sz w:val="24"/>
              </w:rPr>
              <w:t>约</w:t>
            </w:r>
            <w:r>
              <w:rPr>
                <w:rFonts w:hint="eastAsia"/>
                <w:color w:val="000000" w:themeColor="text1"/>
                <w:sz w:val="24"/>
              </w:rPr>
              <w:t>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垂直交通</w:t>
            </w:r>
          </w:p>
        </w:tc>
        <w:tc>
          <w:tcPr>
            <w:tcW w:w="5988" w:type="dxa"/>
            <w:shd w:val="clear" w:color="auto" w:fill="auto"/>
            <w:vAlign w:val="center"/>
          </w:tcPr>
          <w:p>
            <w:pPr>
              <w:spacing w:line="280" w:lineRule="exact"/>
              <w:rPr>
                <w:color w:val="000000" w:themeColor="text1"/>
                <w:sz w:val="24"/>
              </w:rPr>
            </w:pPr>
            <w:r>
              <w:rPr>
                <w:rFonts w:hAnsi="宋体"/>
                <w:color w:val="000000" w:themeColor="text1"/>
                <w:sz w:val="24"/>
              </w:rPr>
              <w:t>电梯、步梯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rFonts w:hint="eastAsia"/>
                <w:color w:val="000000" w:themeColor="text1"/>
                <w:sz w:val="24"/>
              </w:rPr>
              <w:t>主</w:t>
            </w:r>
            <w:r>
              <w:rPr>
                <w:color w:val="000000" w:themeColor="text1"/>
                <w:sz w:val="24"/>
              </w:rPr>
              <w:t>朝向</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设施、设备</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kern w:val="0"/>
                <w:sz w:val="24"/>
              </w:rPr>
              <w:t>水、电、视、讯、宽带均已安装。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户型</w:t>
            </w:r>
          </w:p>
        </w:tc>
        <w:tc>
          <w:tcPr>
            <w:tcW w:w="5988" w:type="dxa"/>
            <w:shd w:val="clear" w:color="auto" w:fill="auto"/>
            <w:vAlign w:val="center"/>
          </w:tcPr>
          <w:p>
            <w:pPr>
              <w:spacing w:line="280" w:lineRule="exact"/>
              <w:rPr>
                <w:color w:val="000000" w:themeColor="text1"/>
                <w:kern w:val="0"/>
                <w:sz w:val="24"/>
              </w:rPr>
            </w:pPr>
            <w:r>
              <w:rPr>
                <w:rFonts w:hint="eastAsia"/>
                <w:color w:val="000000" w:themeColor="text1"/>
                <w:sz w:val="24"/>
              </w:rPr>
              <w:t>三室两厅一厨一卫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空间布局</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通风采光</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采光较好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利用现状</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自住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354" w:type="dxa"/>
            <w:shd w:val="clear" w:color="auto" w:fill="auto"/>
            <w:vAlign w:val="center"/>
          </w:tcPr>
          <w:p>
            <w:pPr>
              <w:spacing w:line="280" w:lineRule="exact"/>
              <w:jc w:val="center"/>
              <w:rPr>
                <w:color w:val="000000" w:themeColor="text1"/>
                <w:sz w:val="24"/>
              </w:rPr>
            </w:pPr>
            <w:r>
              <w:rPr>
                <w:color w:val="000000" w:themeColor="text1"/>
                <w:sz w:val="24"/>
              </w:rPr>
              <w:t>装修状况</w:t>
            </w:r>
          </w:p>
        </w:tc>
        <w:tc>
          <w:tcPr>
            <w:tcW w:w="7920" w:type="dxa"/>
            <w:gridSpan w:val="2"/>
            <w:shd w:val="clear" w:color="auto" w:fill="auto"/>
            <w:vAlign w:val="center"/>
          </w:tcPr>
          <w:p>
            <w:pPr>
              <w:spacing w:line="300" w:lineRule="exact"/>
              <w:ind w:firstLine="480" w:firstLineChars="200"/>
              <w:rPr>
                <w:color w:val="000000" w:themeColor="text1"/>
                <w:sz w:val="24"/>
              </w:rPr>
            </w:pPr>
            <w:r>
              <w:rPr>
                <w:rFonts w:hint="eastAsia"/>
                <w:color w:val="000000" w:themeColor="text1"/>
                <w:sz w:val="24"/>
              </w:rPr>
              <w:t>外墙贴红色墙砖，局部刷白色防水涂料；入户门为防盗门，室内为套装门，安铝合金窗；</w:t>
            </w:r>
            <w:r>
              <w:rPr>
                <w:color w:val="000000" w:themeColor="text1"/>
                <w:sz w:val="24"/>
              </w:rPr>
              <w:t>水电均为</w:t>
            </w:r>
            <w:r>
              <w:rPr>
                <w:rFonts w:hint="eastAsia"/>
                <w:color w:val="000000" w:themeColor="text1"/>
                <w:sz w:val="24"/>
              </w:rPr>
              <w:t>暗</w:t>
            </w:r>
            <w:r>
              <w:rPr>
                <w:color w:val="000000" w:themeColor="text1"/>
                <w:sz w:val="24"/>
              </w:rPr>
              <w:t>线布置</w:t>
            </w:r>
            <w:r>
              <w:rPr>
                <w:rFonts w:hint="eastAsia"/>
                <w:color w:val="000000" w:themeColor="text1"/>
                <w:sz w:val="24"/>
              </w:rPr>
              <w:t>。</w:t>
            </w:r>
          </w:p>
          <w:p>
            <w:pPr>
              <w:spacing w:line="300" w:lineRule="exact"/>
              <w:ind w:firstLine="480" w:firstLineChars="200"/>
              <w:rPr>
                <w:color w:val="000000" w:themeColor="text1"/>
                <w:sz w:val="24"/>
              </w:rPr>
            </w:pPr>
            <w:r>
              <w:rPr>
                <w:color w:val="000000" w:themeColor="text1"/>
                <w:sz w:val="24"/>
              </w:rPr>
              <w:t>室内地面餐厅、客厅、厨卫处贴地砖，卧室贴复合地板，内墙面刷乳胶漆</w:t>
            </w:r>
            <w:r>
              <w:rPr>
                <w:rFonts w:hint="eastAsia"/>
                <w:color w:val="000000" w:themeColor="text1"/>
                <w:sz w:val="24"/>
              </w:rPr>
              <w:t>，</w:t>
            </w:r>
            <w:r>
              <w:rPr>
                <w:color w:val="000000" w:themeColor="text1"/>
                <w:sz w:val="24"/>
              </w:rPr>
              <w:t>厨房</w:t>
            </w:r>
            <w:r>
              <w:rPr>
                <w:rFonts w:hint="eastAsia"/>
                <w:color w:val="000000" w:themeColor="text1"/>
                <w:sz w:val="24"/>
              </w:rPr>
              <w:t>、</w:t>
            </w:r>
            <w:r>
              <w:rPr>
                <w:color w:val="000000" w:themeColor="text1"/>
                <w:sz w:val="24"/>
              </w:rPr>
              <w:t>卫生间</w:t>
            </w:r>
            <w:r>
              <w:rPr>
                <w:rFonts w:hint="eastAsia"/>
                <w:color w:val="000000" w:themeColor="text1"/>
                <w:sz w:val="24"/>
              </w:rPr>
              <w:t>处</w:t>
            </w:r>
            <w:r>
              <w:rPr>
                <w:color w:val="000000" w:themeColor="text1"/>
                <w:sz w:val="24"/>
              </w:rPr>
              <w:t>贴墙砖，客厅天棚</w:t>
            </w:r>
            <w:r>
              <w:rPr>
                <w:rFonts w:hint="eastAsia"/>
                <w:color w:val="000000" w:themeColor="text1"/>
                <w:sz w:val="24"/>
              </w:rPr>
              <w:t>做石膏板吊顶，其余部分刷乳胶漆，厨卫设施齐全；</w:t>
            </w:r>
            <w:r>
              <w:rPr>
                <w:color w:val="000000" w:themeColor="text1"/>
                <w:sz w:val="24"/>
              </w:rPr>
              <w:t>普通装修，保养较好。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restart"/>
            <w:shd w:val="clear" w:color="auto" w:fill="auto"/>
            <w:vAlign w:val="center"/>
          </w:tcPr>
          <w:p>
            <w:pPr>
              <w:spacing w:line="280" w:lineRule="exact"/>
              <w:jc w:val="center"/>
              <w:rPr>
                <w:color w:val="000000" w:themeColor="text1"/>
                <w:sz w:val="24"/>
              </w:rPr>
            </w:pPr>
            <w:r>
              <w:rPr>
                <w:color w:val="000000" w:themeColor="text1"/>
                <w:sz w:val="24"/>
              </w:rPr>
              <w:t>建筑物完损状况</w:t>
            </w: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地基及墙面</w:t>
            </w:r>
          </w:p>
        </w:tc>
        <w:tc>
          <w:tcPr>
            <w:tcW w:w="5988" w:type="dxa"/>
            <w:shd w:val="clear" w:color="auto" w:fill="auto"/>
            <w:vAlign w:val="center"/>
          </w:tcPr>
          <w:p>
            <w:pPr>
              <w:spacing w:line="300" w:lineRule="exact"/>
              <w:rPr>
                <w:color w:val="000000" w:themeColor="text1"/>
                <w:sz w:val="24"/>
              </w:rPr>
            </w:pPr>
            <w:r>
              <w:rPr>
                <w:rFonts w:hint="eastAsia" w:hAnsi="宋体"/>
                <w:color w:val="000000" w:themeColor="text1"/>
                <w:sz w:val="24"/>
              </w:rPr>
              <w:t>地基无不均匀下降，墙面无裂缝现象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主体结构</w:t>
            </w:r>
          </w:p>
        </w:tc>
        <w:tc>
          <w:tcPr>
            <w:tcW w:w="5988" w:type="dxa"/>
            <w:shd w:val="clear" w:color="auto" w:fill="auto"/>
            <w:vAlign w:val="center"/>
          </w:tcPr>
          <w:p>
            <w:pPr>
              <w:spacing w:line="300" w:lineRule="exact"/>
              <w:rPr>
                <w:color w:val="000000" w:themeColor="text1"/>
                <w:sz w:val="24"/>
              </w:rPr>
            </w:pPr>
            <w:r>
              <w:rPr>
                <w:rFonts w:hint="eastAsia" w:hAnsi="宋体"/>
                <w:color w:val="000000" w:themeColor="text1"/>
                <w:sz w:val="24"/>
              </w:rPr>
              <w:t>设计使用年期为60年，已使用约</w:t>
            </w:r>
            <w:r>
              <w:rPr>
                <w:rFonts w:hAnsi="宋体"/>
                <w:color w:val="000000" w:themeColor="text1"/>
                <w:sz w:val="24"/>
              </w:rPr>
              <w:t>11</w:t>
            </w:r>
            <w:r>
              <w:rPr>
                <w:rFonts w:hint="eastAsia" w:hAnsi="宋体"/>
                <w:color w:val="000000" w:themeColor="text1"/>
                <w:sz w:val="24"/>
              </w:rPr>
              <w:t>年，尚未发现主体结构受损，</w:t>
            </w:r>
            <w:r>
              <w:rPr>
                <w:rFonts w:hint="eastAsia"/>
                <w:color w:val="000000" w:themeColor="text1"/>
                <w:kern w:val="0"/>
                <w:sz w:val="24"/>
              </w:rPr>
              <w:t>内外墙无裂缝，楼地面平整，</w:t>
            </w:r>
            <w:r>
              <w:rPr>
                <w:color w:val="000000" w:themeColor="text1"/>
                <w:kern w:val="0"/>
                <w:sz w:val="24"/>
              </w:rPr>
              <w:t>楼板</w:t>
            </w:r>
            <w:r>
              <w:rPr>
                <w:rFonts w:hint="eastAsia"/>
                <w:color w:val="000000" w:themeColor="text1"/>
                <w:kern w:val="0"/>
                <w:sz w:val="24"/>
              </w:rPr>
              <w:t>未见</w:t>
            </w:r>
            <w:r>
              <w:rPr>
                <w:color w:val="000000" w:themeColor="text1"/>
                <w:kern w:val="0"/>
                <w:sz w:val="24"/>
              </w:rPr>
              <w:t>漏水现象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配套设施设备</w:t>
            </w:r>
          </w:p>
        </w:tc>
        <w:tc>
          <w:tcPr>
            <w:tcW w:w="5988" w:type="dxa"/>
            <w:shd w:val="clear" w:color="auto" w:fill="auto"/>
            <w:vAlign w:val="center"/>
          </w:tcPr>
          <w:p>
            <w:pPr>
              <w:spacing w:line="300" w:lineRule="exact"/>
              <w:rPr>
                <w:color w:val="000000" w:themeColor="text1"/>
                <w:sz w:val="24"/>
              </w:rPr>
            </w:pPr>
            <w:r>
              <w:rPr>
                <w:rFonts w:hint="eastAsia"/>
                <w:color w:val="000000" w:themeColor="text1"/>
                <w:kern w:val="0"/>
                <w:sz w:val="24"/>
              </w:rPr>
              <w:t>估价对象设备使用正常，房屋门窗无破损，水电管线通畅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装修装饰</w:t>
            </w:r>
          </w:p>
        </w:tc>
        <w:tc>
          <w:tcPr>
            <w:tcW w:w="5988" w:type="dxa"/>
            <w:shd w:val="clear" w:color="auto" w:fill="auto"/>
            <w:vAlign w:val="center"/>
          </w:tcPr>
          <w:p>
            <w:pPr>
              <w:spacing w:line="300" w:lineRule="exact"/>
              <w:rPr>
                <w:color w:val="000000" w:themeColor="text1"/>
                <w:sz w:val="24"/>
              </w:rPr>
            </w:pPr>
            <w:r>
              <w:rPr>
                <w:color w:val="000000" w:themeColor="text1"/>
                <w:sz w:val="24"/>
              </w:rPr>
              <w:t>普通装修，保养较好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完损状况</w:t>
            </w:r>
          </w:p>
        </w:tc>
        <w:tc>
          <w:tcPr>
            <w:tcW w:w="5988" w:type="dxa"/>
            <w:shd w:val="clear" w:color="auto" w:fill="auto"/>
            <w:vAlign w:val="center"/>
          </w:tcPr>
          <w:p>
            <w:pPr>
              <w:spacing w:line="300" w:lineRule="exact"/>
              <w:rPr>
                <w:color w:val="000000" w:themeColor="text1"/>
                <w:sz w:val="24"/>
              </w:rPr>
            </w:pPr>
            <w:r>
              <w:rPr>
                <w:rFonts w:hint="eastAsia"/>
                <w:color w:val="000000" w:themeColor="text1"/>
                <w:sz w:val="24"/>
              </w:rPr>
              <w:t>总体较好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86" w:type="dxa"/>
            <w:gridSpan w:val="2"/>
            <w:shd w:val="clear" w:color="auto" w:fill="auto"/>
            <w:vAlign w:val="center"/>
          </w:tcPr>
          <w:p>
            <w:pPr>
              <w:spacing w:line="280" w:lineRule="exact"/>
              <w:jc w:val="center"/>
              <w:rPr>
                <w:color w:val="000000" w:themeColor="text1"/>
                <w:sz w:val="24"/>
              </w:rPr>
            </w:pPr>
            <w:r>
              <w:rPr>
                <w:color w:val="000000" w:themeColor="text1"/>
                <w:sz w:val="24"/>
              </w:rPr>
              <w:t>物业状况</w:t>
            </w:r>
          </w:p>
        </w:tc>
        <w:tc>
          <w:tcPr>
            <w:tcW w:w="5988" w:type="dxa"/>
            <w:shd w:val="clear" w:color="auto" w:fill="auto"/>
            <w:vAlign w:val="center"/>
          </w:tcPr>
          <w:p>
            <w:pPr>
              <w:spacing w:line="300" w:lineRule="exact"/>
              <w:rPr>
                <w:color w:val="000000" w:themeColor="text1"/>
                <w:sz w:val="24"/>
              </w:rPr>
            </w:pPr>
            <w:r>
              <w:rPr>
                <w:color w:val="000000" w:themeColor="text1"/>
                <w:sz w:val="24"/>
              </w:rPr>
              <w:t>一般物业</w:t>
            </w:r>
          </w:p>
        </w:tc>
      </w:tr>
    </w:tbl>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估价对象权属状况</w:t>
      </w:r>
    </w:p>
    <w:p>
      <w:pPr>
        <w:spacing w:line="500" w:lineRule="exact"/>
        <w:ind w:firstLine="630" w:firstLineChars="225"/>
        <w:rPr>
          <w:color w:val="000000" w:themeColor="text1"/>
          <w:sz w:val="28"/>
          <w:szCs w:val="28"/>
          <w:lang w:val="zh-CN"/>
        </w:rPr>
      </w:pPr>
      <w:r>
        <w:rPr>
          <w:color w:val="000000" w:themeColor="text1"/>
          <w:sz w:val="28"/>
          <w:szCs w:val="28"/>
          <w:lang w:val="zh-CN"/>
        </w:rPr>
        <w:t>估价对象房屋所有权属刘晓栋所有，根据委托方提供的《房地产权登记信息表》</w:t>
      </w:r>
      <w:r>
        <w:rPr>
          <w:rFonts w:hint="eastAsia"/>
          <w:color w:val="000000" w:themeColor="text1"/>
          <w:sz w:val="28"/>
          <w:szCs w:val="28"/>
          <w:lang w:val="zh-CN"/>
        </w:rPr>
        <w:t>及现场查勘</w:t>
      </w:r>
      <w:r>
        <w:rPr>
          <w:color w:val="000000" w:themeColor="text1"/>
          <w:sz w:val="28"/>
          <w:szCs w:val="28"/>
          <w:lang w:val="zh-CN"/>
        </w:rPr>
        <w:t>，房屋产别为私有，</w:t>
      </w:r>
      <w:r>
        <w:rPr>
          <w:rFonts w:hint="eastAsia"/>
          <w:color w:val="000000" w:themeColor="text1"/>
          <w:sz w:val="28"/>
          <w:szCs w:val="28"/>
          <w:lang w:val="zh-CN"/>
        </w:rPr>
        <w:t>钢混结构，登记</w:t>
      </w:r>
      <w:r>
        <w:rPr>
          <w:color w:val="000000" w:themeColor="text1"/>
          <w:sz w:val="28"/>
          <w:szCs w:val="28"/>
          <w:lang w:val="zh-CN"/>
        </w:rPr>
        <w:t>建筑面积为</w:t>
      </w:r>
      <w:r>
        <w:rPr>
          <w:rFonts w:hint="eastAsia"/>
          <w:color w:val="000000" w:themeColor="text1"/>
          <w:sz w:val="28"/>
          <w:szCs w:val="28"/>
          <w:lang w:val="zh-CN"/>
        </w:rPr>
        <w:t>102.61</w:t>
      </w:r>
      <w:r>
        <w:rPr>
          <w:color w:val="000000" w:themeColor="text1"/>
          <w:sz w:val="28"/>
          <w:szCs w:val="28"/>
          <w:lang w:val="zh-CN"/>
        </w:rPr>
        <w:t>平方米，用途为住宅，位于所在住宅楼的第8层</w:t>
      </w:r>
      <w:r>
        <w:rPr>
          <w:rFonts w:hint="eastAsia"/>
          <w:color w:val="000000" w:themeColor="text1"/>
          <w:sz w:val="28"/>
          <w:szCs w:val="28"/>
          <w:lang w:val="zh-CN"/>
        </w:rPr>
        <w:t>。</w:t>
      </w:r>
    </w:p>
    <w:p>
      <w:pPr>
        <w:spacing w:line="500" w:lineRule="exact"/>
        <w:ind w:firstLine="630" w:firstLineChars="225"/>
        <w:rPr>
          <w:color w:val="000000" w:themeColor="text1"/>
          <w:sz w:val="28"/>
          <w:szCs w:val="28"/>
        </w:rPr>
      </w:pPr>
      <w:r>
        <w:rPr>
          <w:color w:val="000000" w:themeColor="text1"/>
          <w:sz w:val="28"/>
          <w:szCs w:val="28"/>
          <w:lang w:val="zh-CN"/>
        </w:rPr>
        <w:t>估价对象未办理《国有土地使用证》</w:t>
      </w:r>
      <w:r>
        <w:rPr>
          <w:rFonts w:hint="eastAsia"/>
          <w:sz w:val="28"/>
          <w:szCs w:val="28"/>
        </w:rPr>
        <w:t>，本次评估</w:t>
      </w:r>
      <w:r>
        <w:rPr>
          <w:color w:val="000000" w:themeColor="text1"/>
          <w:sz w:val="28"/>
          <w:szCs w:val="28"/>
          <w:lang w:val="zh-CN"/>
        </w:rPr>
        <w:t>根据实地查勘及现场问询所掌握的资料信息，</w:t>
      </w:r>
      <w:r>
        <w:rPr>
          <w:rFonts w:hint="eastAsia"/>
          <w:sz w:val="28"/>
          <w:szCs w:val="28"/>
        </w:rPr>
        <w:t>假设</w:t>
      </w:r>
      <w:r>
        <w:rPr>
          <w:sz w:val="28"/>
          <w:szCs w:val="28"/>
        </w:rPr>
        <w:t>估价对象分摊的土地为住宅用地，使用权类型为出让；并</w:t>
      </w:r>
      <w:r>
        <w:rPr>
          <w:color w:val="000000" w:themeColor="text1"/>
          <w:sz w:val="28"/>
          <w:szCs w:val="28"/>
        </w:rPr>
        <w:t>以此为估价的前提条件</w:t>
      </w:r>
      <w:bookmarkStart w:id="9" w:name="OLE_LINK7"/>
      <w:r>
        <w:rPr>
          <w:rFonts w:hint="eastAsia"/>
          <w:color w:val="000000" w:themeColor="text1"/>
          <w:sz w:val="28"/>
          <w:szCs w:val="28"/>
          <w:lang w:val="zh-CN"/>
        </w:rPr>
        <w:t>。</w:t>
      </w:r>
    </w:p>
    <w:bookmarkEnd w:id="9"/>
    <w:p>
      <w:pPr>
        <w:numPr>
          <w:ilvl w:val="0"/>
          <w:numId w:val="3"/>
        </w:numPr>
        <w:spacing w:line="500" w:lineRule="exact"/>
        <w:outlineLvl w:val="1"/>
        <w:rPr>
          <w:b/>
          <w:color w:val="000000" w:themeColor="text1"/>
          <w:sz w:val="28"/>
          <w:szCs w:val="28"/>
        </w:rPr>
      </w:pPr>
      <w:bookmarkStart w:id="10" w:name="_Toc69288503"/>
      <w:r>
        <w:rPr>
          <w:b/>
          <w:color w:val="000000" w:themeColor="text1"/>
          <w:sz w:val="28"/>
          <w:szCs w:val="28"/>
        </w:rPr>
        <w:t>价值时点</w:t>
      </w:r>
      <w:bookmarkEnd w:id="10"/>
    </w:p>
    <w:p>
      <w:pPr>
        <w:spacing w:line="500" w:lineRule="exact"/>
        <w:ind w:firstLine="630" w:firstLineChars="225"/>
        <w:rPr>
          <w:b/>
          <w:color w:val="000000" w:themeColor="text1"/>
          <w:sz w:val="28"/>
          <w:szCs w:val="28"/>
        </w:rPr>
      </w:pPr>
      <w:r>
        <w:rPr>
          <w:rFonts w:hint="eastAsia"/>
          <w:color w:val="000000" w:themeColor="text1"/>
          <w:sz w:val="28"/>
          <w:szCs w:val="28"/>
        </w:rPr>
        <w:t>二〇二一年一月十八日</w:t>
      </w:r>
      <w:r>
        <w:rPr>
          <w:color w:val="000000" w:themeColor="text1"/>
          <w:sz w:val="28"/>
          <w:szCs w:val="28"/>
        </w:rPr>
        <w:t>，此价值时点是估价人员对估价对象进行实地查</w:t>
      </w:r>
      <w:r>
        <w:rPr>
          <w:rFonts w:hint="eastAsia"/>
          <w:color w:val="000000" w:themeColor="text1"/>
          <w:sz w:val="28"/>
          <w:szCs w:val="28"/>
        </w:rPr>
        <w:t>勘</w:t>
      </w:r>
      <w:r>
        <w:rPr>
          <w:color w:val="000000" w:themeColor="text1"/>
          <w:sz w:val="28"/>
          <w:szCs w:val="28"/>
        </w:rPr>
        <w:t>之日。</w:t>
      </w:r>
    </w:p>
    <w:p>
      <w:pPr>
        <w:numPr>
          <w:ilvl w:val="0"/>
          <w:numId w:val="3"/>
        </w:numPr>
        <w:spacing w:line="500" w:lineRule="exact"/>
        <w:outlineLvl w:val="1"/>
        <w:rPr>
          <w:b/>
          <w:color w:val="000000" w:themeColor="text1"/>
          <w:sz w:val="28"/>
          <w:szCs w:val="28"/>
        </w:rPr>
      </w:pPr>
      <w:bookmarkStart w:id="11" w:name="_Toc69288504"/>
      <w:r>
        <w:rPr>
          <w:b/>
          <w:color w:val="000000" w:themeColor="text1"/>
          <w:sz w:val="28"/>
          <w:szCs w:val="28"/>
        </w:rPr>
        <w:t>价值类型</w:t>
      </w:r>
      <w:bookmarkEnd w:id="11"/>
    </w:p>
    <w:p>
      <w:pPr>
        <w:spacing w:line="500" w:lineRule="exact"/>
        <w:ind w:firstLine="630" w:firstLineChars="225"/>
        <w:rPr>
          <w:color w:val="000000" w:themeColor="text1"/>
          <w:sz w:val="28"/>
          <w:szCs w:val="28"/>
        </w:rPr>
      </w:pPr>
      <w:r>
        <w:rPr>
          <w:color w:val="000000" w:themeColor="text1"/>
          <w:sz w:val="28"/>
          <w:szCs w:val="28"/>
          <w:lang w:val="zh-CN"/>
        </w:rPr>
        <w:t>本次估价价值定义为房地产市场价值</w:t>
      </w:r>
      <w:r>
        <w:rPr>
          <w:color w:val="000000" w:themeColor="text1"/>
          <w:sz w:val="28"/>
          <w:szCs w:val="28"/>
        </w:rPr>
        <w:t>。</w:t>
      </w:r>
    </w:p>
    <w:p>
      <w:pPr>
        <w:tabs>
          <w:tab w:val="left" w:pos="2340"/>
        </w:tabs>
        <w:spacing w:line="500" w:lineRule="exact"/>
        <w:ind w:firstLine="560" w:firstLineChars="200"/>
        <w:rPr>
          <w:color w:val="000000" w:themeColor="text1"/>
          <w:sz w:val="28"/>
          <w:szCs w:val="28"/>
        </w:rPr>
      </w:pPr>
      <w:r>
        <w:rPr>
          <w:color w:val="000000" w:themeColor="text1"/>
          <w:sz w:val="28"/>
          <w:szCs w:val="28"/>
        </w:rPr>
        <w:t>市场价值：在公开市场上最可能形成的价格。</w:t>
      </w:r>
      <w:r>
        <w:rPr>
          <w:color w:val="000000" w:themeColor="text1"/>
          <w:sz w:val="28"/>
          <w:szCs w:val="28"/>
          <w:lang w:val="zh-CN"/>
        </w:rPr>
        <w:t>公开市场指在该市场上交易双方进行交易的目的在于最大限度地追求经济效益</w:t>
      </w:r>
      <w:r>
        <w:rPr>
          <w:color w:val="000000" w:themeColor="text1"/>
          <w:sz w:val="28"/>
          <w:szCs w:val="28"/>
        </w:rPr>
        <w:t>，并掌握必要的市场信息，有效充裕的时间进行交易，对交易对象具有必要的专业知识，交易条件公开并不具有排它性。</w:t>
      </w:r>
    </w:p>
    <w:p>
      <w:pPr>
        <w:spacing w:line="500" w:lineRule="exact"/>
        <w:ind w:firstLine="630" w:firstLineChars="225"/>
        <w:rPr>
          <w:color w:val="000000" w:themeColor="text1"/>
          <w:sz w:val="28"/>
          <w:szCs w:val="28"/>
        </w:rPr>
      </w:pPr>
      <w:r>
        <w:rPr>
          <w:color w:val="000000" w:themeColor="text1"/>
          <w:sz w:val="28"/>
          <w:szCs w:val="28"/>
        </w:rPr>
        <w:t>1、用途：估价对象证载用途为</w:t>
      </w:r>
      <w:r>
        <w:rPr>
          <w:rFonts w:hint="eastAsia"/>
          <w:color w:val="000000" w:themeColor="text1"/>
          <w:sz w:val="28"/>
          <w:szCs w:val="28"/>
        </w:rPr>
        <w:t>住宅</w:t>
      </w:r>
      <w:r>
        <w:rPr>
          <w:color w:val="000000" w:themeColor="text1"/>
          <w:sz w:val="28"/>
          <w:szCs w:val="28"/>
        </w:rPr>
        <w:t>，实际用途</w:t>
      </w:r>
      <w:r>
        <w:rPr>
          <w:rFonts w:hint="eastAsia"/>
          <w:color w:val="000000" w:themeColor="text1"/>
          <w:sz w:val="28"/>
          <w:szCs w:val="28"/>
        </w:rPr>
        <w:t>与证载用途一致；故</w:t>
      </w:r>
      <w:r>
        <w:rPr>
          <w:color w:val="000000" w:themeColor="text1"/>
          <w:sz w:val="28"/>
          <w:szCs w:val="28"/>
          <w:lang w:val="zh-CN"/>
        </w:rPr>
        <w:t>本次按</w:t>
      </w:r>
      <w:r>
        <w:rPr>
          <w:rFonts w:hint="eastAsia"/>
          <w:color w:val="000000" w:themeColor="text1"/>
          <w:sz w:val="28"/>
          <w:szCs w:val="28"/>
          <w:lang w:val="zh-CN"/>
        </w:rPr>
        <w:t>住宅房地产的特性</w:t>
      </w:r>
      <w:r>
        <w:rPr>
          <w:color w:val="000000" w:themeColor="text1"/>
          <w:sz w:val="28"/>
          <w:szCs w:val="28"/>
          <w:lang w:val="zh-CN"/>
        </w:rPr>
        <w:t>进行评估</w:t>
      </w:r>
      <w:r>
        <w:rPr>
          <w:color w:val="000000" w:themeColor="text1"/>
          <w:sz w:val="28"/>
          <w:szCs w:val="28"/>
        </w:rPr>
        <w:t>。</w:t>
      </w:r>
    </w:p>
    <w:p>
      <w:pPr>
        <w:spacing w:line="500" w:lineRule="exact"/>
        <w:ind w:firstLine="630" w:firstLineChars="225"/>
        <w:rPr>
          <w:color w:val="000000" w:themeColor="text1"/>
          <w:sz w:val="28"/>
          <w:szCs w:val="28"/>
        </w:rPr>
      </w:pPr>
      <w:r>
        <w:rPr>
          <w:color w:val="000000" w:themeColor="text1"/>
          <w:sz w:val="28"/>
          <w:szCs w:val="28"/>
        </w:rPr>
        <w:t>2、</w:t>
      </w:r>
      <w:r>
        <w:rPr>
          <w:color w:val="000000" w:themeColor="text1"/>
          <w:sz w:val="28"/>
          <w:szCs w:val="28"/>
          <w:lang w:val="zh-CN"/>
        </w:rPr>
        <w:t>权利状况</w:t>
      </w:r>
      <w:r>
        <w:rPr>
          <w:color w:val="000000" w:themeColor="text1"/>
          <w:sz w:val="28"/>
          <w:szCs w:val="28"/>
        </w:rPr>
        <w:t>：刘晓栋拥有估价对象的房屋所有权和国有</w:t>
      </w:r>
      <w:r>
        <w:rPr>
          <w:rFonts w:hint="eastAsia"/>
          <w:color w:val="000000" w:themeColor="text1"/>
          <w:sz w:val="28"/>
          <w:szCs w:val="28"/>
        </w:rPr>
        <w:t>出让</w:t>
      </w:r>
      <w:r>
        <w:rPr>
          <w:color w:val="000000" w:themeColor="text1"/>
          <w:sz w:val="28"/>
          <w:szCs w:val="28"/>
        </w:rPr>
        <w:t>住宅</w:t>
      </w:r>
      <w:r>
        <w:rPr>
          <w:rFonts w:hint="eastAsia"/>
          <w:color w:val="000000" w:themeColor="text1"/>
          <w:sz w:val="28"/>
          <w:szCs w:val="28"/>
        </w:rPr>
        <w:t>用地</w:t>
      </w:r>
      <w:r>
        <w:rPr>
          <w:color w:val="000000" w:themeColor="text1"/>
          <w:sz w:val="28"/>
          <w:szCs w:val="28"/>
        </w:rPr>
        <w:t>使用权</w:t>
      </w:r>
      <w:r>
        <w:rPr>
          <w:color w:val="000000" w:themeColor="text1"/>
          <w:spacing w:val="-8"/>
          <w:sz w:val="28"/>
          <w:szCs w:val="28"/>
        </w:rPr>
        <w:t>。</w:t>
      </w:r>
    </w:p>
    <w:p>
      <w:pPr>
        <w:spacing w:line="500" w:lineRule="exact"/>
        <w:ind w:firstLine="630" w:firstLineChars="225"/>
        <w:rPr>
          <w:color w:val="000000" w:themeColor="text1"/>
          <w:sz w:val="28"/>
          <w:szCs w:val="28"/>
        </w:rPr>
      </w:pPr>
      <w:r>
        <w:rPr>
          <w:color w:val="000000" w:themeColor="text1"/>
          <w:sz w:val="28"/>
          <w:szCs w:val="28"/>
        </w:rPr>
        <w:t>3、</w:t>
      </w:r>
      <w:r>
        <w:rPr>
          <w:color w:val="000000" w:themeColor="text1"/>
          <w:sz w:val="28"/>
          <w:szCs w:val="28"/>
          <w:lang w:val="zh-CN"/>
        </w:rPr>
        <w:t>开发利用程度</w:t>
      </w:r>
      <w:r>
        <w:rPr>
          <w:color w:val="000000" w:themeColor="text1"/>
          <w:sz w:val="28"/>
          <w:szCs w:val="28"/>
        </w:rPr>
        <w:t>：</w:t>
      </w:r>
      <w:r>
        <w:rPr>
          <w:rFonts w:hint="eastAsia"/>
          <w:color w:val="000000" w:themeColor="text1"/>
          <w:sz w:val="28"/>
          <w:szCs w:val="28"/>
        </w:rPr>
        <w:t>宗地内开发程度“六通一平”(通上水、通下水、通电、通路、通讯、通气及场地平整)</w:t>
      </w:r>
    </w:p>
    <w:p>
      <w:pPr>
        <w:spacing w:line="500" w:lineRule="exact"/>
        <w:ind w:firstLine="630" w:firstLineChars="225"/>
        <w:rPr>
          <w:b/>
          <w:color w:val="000000" w:themeColor="text1"/>
          <w:sz w:val="28"/>
          <w:szCs w:val="28"/>
        </w:rPr>
      </w:pPr>
      <w:r>
        <w:rPr>
          <w:color w:val="000000" w:themeColor="text1"/>
          <w:sz w:val="28"/>
          <w:szCs w:val="28"/>
        </w:rPr>
        <w:t>4、</w:t>
      </w:r>
      <w:r>
        <w:rPr>
          <w:color w:val="000000" w:themeColor="text1"/>
          <w:sz w:val="28"/>
          <w:szCs w:val="28"/>
          <w:lang w:val="zh-CN"/>
        </w:rPr>
        <w:t>建筑物结构</w:t>
      </w:r>
      <w:r>
        <w:rPr>
          <w:color w:val="000000" w:themeColor="text1"/>
          <w:sz w:val="28"/>
          <w:szCs w:val="28"/>
        </w:rPr>
        <w:t>：</w:t>
      </w:r>
      <w:r>
        <w:rPr>
          <w:rFonts w:hint="eastAsia"/>
          <w:color w:val="000000" w:themeColor="text1"/>
          <w:sz w:val="28"/>
          <w:szCs w:val="28"/>
        </w:rPr>
        <w:t>钢混</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12" w:name="_Toc69288505"/>
      <w:r>
        <w:rPr>
          <w:b/>
          <w:color w:val="000000" w:themeColor="text1"/>
          <w:sz w:val="28"/>
          <w:szCs w:val="28"/>
        </w:rPr>
        <w:t>估价原则</w:t>
      </w:r>
      <w:bookmarkEnd w:id="12"/>
    </w:p>
    <w:p>
      <w:pPr>
        <w:spacing w:line="500" w:lineRule="exact"/>
        <w:ind w:firstLine="560" w:firstLineChars="200"/>
        <w:rPr>
          <w:color w:val="000000" w:themeColor="text1"/>
          <w:sz w:val="28"/>
          <w:szCs w:val="28"/>
        </w:rPr>
      </w:pPr>
      <w:r>
        <w:rPr>
          <w:color w:val="000000" w:themeColor="text1"/>
          <w:sz w:val="28"/>
          <w:szCs w:val="28"/>
        </w:rPr>
        <w:t>本次估价应遵循以下估价原则：</w:t>
      </w:r>
    </w:p>
    <w:p>
      <w:pPr>
        <w:spacing w:line="500" w:lineRule="exact"/>
        <w:ind w:left="63" w:leftChars="30" w:firstLine="560" w:firstLineChars="200"/>
        <w:rPr>
          <w:color w:val="000000" w:themeColor="text1"/>
          <w:sz w:val="28"/>
          <w:szCs w:val="28"/>
        </w:rPr>
      </w:pPr>
      <w:r>
        <w:rPr>
          <w:color w:val="000000" w:themeColor="text1"/>
          <w:sz w:val="28"/>
          <w:szCs w:val="28"/>
        </w:rPr>
        <w:t>1、独立、客观、公正原则</w:t>
      </w:r>
    </w:p>
    <w:p>
      <w:pPr>
        <w:spacing w:line="500" w:lineRule="exact"/>
        <w:ind w:firstLine="630" w:firstLineChars="225"/>
        <w:rPr>
          <w:color w:val="000000" w:themeColor="text1"/>
          <w:sz w:val="28"/>
          <w:szCs w:val="28"/>
        </w:rPr>
      </w:pPr>
      <w:r>
        <w:rPr>
          <w:color w:val="000000" w:themeColor="text1"/>
          <w:sz w:val="28"/>
          <w:szCs w:val="28"/>
        </w:rPr>
        <w:t>独立、客观、公正原则是房地产估价的最高行为准则。独立原则要求估价机构本身应当是一个不依赖他人、不受他人束缚的</w:t>
      </w:r>
      <w:r>
        <w:rPr>
          <w:snapToGrid w:val="0"/>
          <w:color w:val="000000" w:themeColor="text1"/>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pPr>
        <w:spacing w:line="500" w:lineRule="exact"/>
        <w:ind w:left="63" w:leftChars="30" w:firstLine="560" w:firstLineChars="200"/>
        <w:rPr>
          <w:color w:val="000000" w:themeColor="text1"/>
          <w:sz w:val="28"/>
          <w:szCs w:val="28"/>
        </w:rPr>
      </w:pPr>
      <w:r>
        <w:rPr>
          <w:color w:val="000000" w:themeColor="text1"/>
          <w:sz w:val="28"/>
          <w:szCs w:val="28"/>
        </w:rPr>
        <w:t>2、合法原则：</w:t>
      </w:r>
    </w:p>
    <w:p>
      <w:pPr>
        <w:spacing w:line="500" w:lineRule="exact"/>
        <w:ind w:firstLine="630" w:firstLineChars="225"/>
        <w:rPr>
          <w:color w:val="000000" w:themeColor="text1"/>
          <w:sz w:val="28"/>
          <w:szCs w:val="28"/>
        </w:rPr>
      </w:pPr>
      <w:r>
        <w:rPr>
          <w:color w:val="000000" w:themeColor="text1"/>
          <w:sz w:val="28"/>
          <w:szCs w:val="28"/>
        </w:rPr>
        <w:t>即必须以估价对象的合法使用、合法交易或合法处分为前提进行。所谓合法，</w:t>
      </w:r>
      <w:r>
        <w:rPr>
          <w:color w:val="000000" w:themeColor="text1"/>
          <w:sz w:val="28"/>
          <w:szCs w:val="28"/>
          <w:lang w:val="zh-CN"/>
        </w:rPr>
        <w:t>是指符合国家的法律</w:t>
      </w:r>
      <w:r>
        <w:rPr>
          <w:color w:val="000000" w:themeColor="text1"/>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pPr>
        <w:spacing w:line="500" w:lineRule="exact"/>
        <w:ind w:left="63" w:leftChars="30" w:firstLine="560" w:firstLineChars="200"/>
        <w:rPr>
          <w:color w:val="000000" w:themeColor="text1"/>
          <w:sz w:val="28"/>
          <w:szCs w:val="28"/>
        </w:rPr>
      </w:pPr>
      <w:r>
        <w:rPr>
          <w:color w:val="000000" w:themeColor="text1"/>
          <w:sz w:val="28"/>
          <w:szCs w:val="28"/>
        </w:rPr>
        <w:t>3、最高最佳使用原则</w:t>
      </w:r>
    </w:p>
    <w:p>
      <w:pPr>
        <w:spacing w:line="500" w:lineRule="exact"/>
        <w:ind w:firstLine="630" w:firstLineChars="225"/>
        <w:rPr>
          <w:color w:val="000000" w:themeColor="text1"/>
          <w:sz w:val="28"/>
          <w:szCs w:val="28"/>
        </w:rPr>
      </w:pPr>
      <w:r>
        <w:rPr>
          <w:color w:val="000000" w:themeColor="text1"/>
          <w:sz w:val="28"/>
          <w:szCs w:val="28"/>
        </w:rPr>
        <w:t>最高最佳使用是指法律上许可、技术上可能、经济上可行，经过充分合理的论证，能使估价对象的价值达到最大的一种最可能的使用，具体包括3个方面：（1）</w:t>
      </w:r>
      <w:r>
        <w:rPr>
          <w:color w:val="000000" w:themeColor="text1"/>
          <w:sz w:val="28"/>
          <w:szCs w:val="28"/>
          <w:lang w:val="zh-CN"/>
        </w:rPr>
        <w:t>最佳用途</w:t>
      </w:r>
      <w:r>
        <w:rPr>
          <w:color w:val="000000" w:themeColor="text1"/>
          <w:sz w:val="28"/>
          <w:szCs w:val="28"/>
        </w:rPr>
        <w:t>；（2）最佳规模；（3）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pPr>
        <w:spacing w:line="500" w:lineRule="exact"/>
        <w:ind w:firstLine="612" w:firstLineChars="225"/>
        <w:rPr>
          <w:color w:val="000000" w:themeColor="text1"/>
          <w:spacing w:val="-4"/>
          <w:sz w:val="28"/>
          <w:szCs w:val="28"/>
        </w:rPr>
      </w:pPr>
      <w:r>
        <w:rPr>
          <w:color w:val="000000" w:themeColor="text1"/>
          <w:spacing w:val="-4"/>
          <w:sz w:val="28"/>
          <w:szCs w:val="28"/>
        </w:rPr>
        <w:t>本次评估对象</w:t>
      </w:r>
      <w:r>
        <w:rPr>
          <w:rFonts w:hint="eastAsia"/>
          <w:color w:val="000000" w:themeColor="text1"/>
          <w:spacing w:val="-4"/>
          <w:sz w:val="28"/>
          <w:szCs w:val="28"/>
        </w:rPr>
        <w:t>证载用途为住宅，实际用途与证载用途一致；根据合法原则及最高最佳利用原则，本次评估按照住宅房地产的特性进行评估</w:t>
      </w:r>
      <w:r>
        <w:rPr>
          <w:color w:val="000000" w:themeColor="text1"/>
          <w:spacing w:val="-4"/>
          <w:sz w:val="28"/>
          <w:szCs w:val="28"/>
        </w:rPr>
        <w:t>。</w:t>
      </w:r>
    </w:p>
    <w:p>
      <w:pPr>
        <w:spacing w:line="500" w:lineRule="exact"/>
        <w:ind w:left="63" w:leftChars="30" w:firstLine="560" w:firstLineChars="200"/>
        <w:rPr>
          <w:color w:val="000000" w:themeColor="text1"/>
          <w:sz w:val="28"/>
          <w:szCs w:val="28"/>
        </w:rPr>
      </w:pPr>
      <w:r>
        <w:rPr>
          <w:color w:val="000000" w:themeColor="text1"/>
          <w:sz w:val="28"/>
          <w:szCs w:val="28"/>
        </w:rPr>
        <w:t>4、房地产替代性原则</w:t>
      </w:r>
    </w:p>
    <w:p>
      <w:pPr>
        <w:spacing w:line="500" w:lineRule="exact"/>
        <w:ind w:firstLine="630" w:firstLineChars="225"/>
        <w:rPr>
          <w:color w:val="000000" w:themeColor="text1"/>
          <w:sz w:val="28"/>
          <w:szCs w:val="28"/>
        </w:rPr>
      </w:pPr>
      <w:r>
        <w:rPr>
          <w:color w:val="000000" w:themeColor="text1"/>
          <w:sz w:val="28"/>
          <w:szCs w:val="28"/>
          <w:lang w:val="zh-CN"/>
        </w:rPr>
        <w:t>市场竞争规律表明</w:t>
      </w:r>
      <w:r>
        <w:rPr>
          <w:color w:val="000000" w:themeColor="text1"/>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pPr>
        <w:spacing w:line="500" w:lineRule="exact"/>
        <w:ind w:left="63" w:leftChars="30" w:firstLine="560" w:firstLineChars="200"/>
        <w:rPr>
          <w:color w:val="000000" w:themeColor="text1"/>
          <w:sz w:val="28"/>
          <w:szCs w:val="28"/>
        </w:rPr>
      </w:pPr>
      <w:r>
        <w:rPr>
          <w:color w:val="000000" w:themeColor="text1"/>
          <w:sz w:val="28"/>
          <w:szCs w:val="28"/>
        </w:rPr>
        <w:t>5、价值时点原则：</w:t>
      </w:r>
    </w:p>
    <w:p>
      <w:pPr>
        <w:spacing w:line="500" w:lineRule="exact"/>
        <w:ind w:firstLine="630" w:firstLineChars="225"/>
        <w:rPr>
          <w:color w:val="000000" w:themeColor="text1"/>
          <w:sz w:val="28"/>
          <w:szCs w:val="28"/>
        </w:rPr>
      </w:pPr>
      <w:r>
        <w:rPr>
          <w:color w:val="000000" w:themeColor="text1"/>
          <w:sz w:val="28"/>
          <w:szCs w:val="28"/>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Pr>
          <w:color w:val="000000" w:themeColor="text1"/>
          <w:sz w:val="28"/>
          <w:szCs w:val="28"/>
          <w:lang w:val="zh-CN"/>
        </w:rPr>
        <w:t>如果一些款项的发生时点与价值时点不一致</w:t>
      </w:r>
      <w:r>
        <w:rPr>
          <w:color w:val="000000" w:themeColor="text1"/>
          <w:sz w:val="28"/>
          <w:szCs w:val="28"/>
        </w:rPr>
        <w:t>，应当折算为价值时点的现值。估价结论同时具有很强的时效性，这主要是考虑到房地产市场价格的波动，同一估价对象在不同时点会具有不同的市场价格。</w:t>
      </w:r>
    </w:p>
    <w:p>
      <w:pPr>
        <w:numPr>
          <w:ilvl w:val="0"/>
          <w:numId w:val="3"/>
        </w:numPr>
        <w:spacing w:line="500" w:lineRule="exact"/>
        <w:outlineLvl w:val="1"/>
        <w:rPr>
          <w:b/>
          <w:color w:val="000000" w:themeColor="text1"/>
          <w:sz w:val="28"/>
          <w:szCs w:val="28"/>
        </w:rPr>
      </w:pPr>
      <w:bookmarkStart w:id="13" w:name="_Toc69288506"/>
      <w:r>
        <w:rPr>
          <w:b/>
          <w:color w:val="000000" w:themeColor="text1"/>
          <w:sz w:val="28"/>
          <w:szCs w:val="28"/>
        </w:rPr>
        <w:t>估价依据</w:t>
      </w:r>
      <w:bookmarkEnd w:id="13"/>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本次估价所依据的有关法律、法规和部门规章：</w:t>
      </w:r>
    </w:p>
    <w:p>
      <w:pPr>
        <w:spacing w:line="500" w:lineRule="exact"/>
        <w:ind w:firstLine="560" w:firstLineChars="200"/>
        <w:rPr>
          <w:color w:val="000000" w:themeColor="text1"/>
          <w:sz w:val="28"/>
          <w:szCs w:val="28"/>
        </w:rPr>
      </w:pPr>
      <w:r>
        <w:rPr>
          <w:color w:val="000000" w:themeColor="text1"/>
          <w:sz w:val="28"/>
          <w:szCs w:val="28"/>
          <w:lang w:val="zh-CN"/>
        </w:rPr>
        <w:t>1、</w:t>
      </w:r>
      <w:r>
        <w:rPr>
          <w:color w:val="000000" w:themeColor="text1"/>
          <w:sz w:val="28"/>
          <w:szCs w:val="28"/>
        </w:rPr>
        <w:t>《中华人民共和国物权法》（中华人民共和国主席令第62 号）；</w:t>
      </w:r>
    </w:p>
    <w:p>
      <w:pPr>
        <w:spacing w:line="500" w:lineRule="exact"/>
        <w:ind w:firstLine="560" w:firstLineChars="200"/>
        <w:rPr>
          <w:color w:val="000000" w:themeColor="text1"/>
          <w:sz w:val="28"/>
          <w:szCs w:val="28"/>
        </w:rPr>
      </w:pPr>
      <w:r>
        <w:rPr>
          <w:color w:val="000000" w:themeColor="text1"/>
          <w:sz w:val="28"/>
          <w:szCs w:val="28"/>
        </w:rPr>
        <w:t>2、《中华人民共和国城市房地产管理法》(2007年修正)(中华人民共和国主席令第72号)；</w:t>
      </w:r>
    </w:p>
    <w:p>
      <w:pPr>
        <w:spacing w:line="500" w:lineRule="exact"/>
        <w:ind w:firstLine="560" w:firstLineChars="200"/>
        <w:rPr>
          <w:color w:val="000000" w:themeColor="text1"/>
          <w:sz w:val="28"/>
          <w:szCs w:val="28"/>
        </w:rPr>
      </w:pPr>
      <w:r>
        <w:rPr>
          <w:color w:val="000000" w:themeColor="text1"/>
          <w:sz w:val="28"/>
          <w:szCs w:val="28"/>
        </w:rPr>
        <w:t>3、《中华人民共和国土地管理法》（2004年修正）（中华人民共和国主席令第28号）；</w:t>
      </w:r>
    </w:p>
    <w:p>
      <w:pPr>
        <w:spacing w:line="500" w:lineRule="exact"/>
        <w:ind w:firstLine="560" w:firstLineChars="200"/>
        <w:rPr>
          <w:color w:val="000000" w:themeColor="text1"/>
          <w:sz w:val="28"/>
          <w:szCs w:val="28"/>
        </w:rPr>
      </w:pPr>
      <w:r>
        <w:rPr>
          <w:color w:val="000000" w:themeColor="text1"/>
          <w:sz w:val="28"/>
          <w:szCs w:val="28"/>
        </w:rPr>
        <w:t>4、《中华人民共和国担保法》（中华人民共和国主席令第50号）；</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本次估价采用的技术标准和规范类文件：</w:t>
      </w:r>
    </w:p>
    <w:p>
      <w:pPr>
        <w:spacing w:line="500" w:lineRule="exact"/>
        <w:ind w:firstLine="560" w:firstLineChars="200"/>
        <w:rPr>
          <w:color w:val="000000" w:themeColor="text1"/>
          <w:sz w:val="28"/>
          <w:szCs w:val="28"/>
        </w:rPr>
      </w:pPr>
      <w:r>
        <w:rPr>
          <w:color w:val="000000" w:themeColor="text1"/>
          <w:sz w:val="28"/>
          <w:szCs w:val="28"/>
        </w:rPr>
        <w:t>1、</w:t>
      </w:r>
      <w:r>
        <w:rPr>
          <w:color w:val="000000" w:themeColor="text1"/>
          <w:sz w:val="28"/>
          <w:szCs w:val="28"/>
          <w:lang w:val="zh-CN"/>
        </w:rPr>
        <w:t>中华人民共和国国家标准</w:t>
      </w:r>
      <w:r>
        <w:rPr>
          <w:color w:val="000000" w:themeColor="text1"/>
          <w:sz w:val="28"/>
          <w:szCs w:val="28"/>
        </w:rPr>
        <w:t>GB/T50291-2015《房地产估价规范》；</w:t>
      </w:r>
    </w:p>
    <w:p>
      <w:pPr>
        <w:spacing w:line="500" w:lineRule="exact"/>
        <w:ind w:firstLine="560" w:firstLineChars="200"/>
        <w:rPr>
          <w:color w:val="000000" w:themeColor="text1"/>
          <w:sz w:val="28"/>
          <w:szCs w:val="28"/>
        </w:rPr>
      </w:pPr>
      <w:r>
        <w:rPr>
          <w:color w:val="000000" w:themeColor="text1"/>
          <w:sz w:val="28"/>
          <w:szCs w:val="28"/>
        </w:rPr>
        <w:t>2、</w:t>
      </w:r>
      <w:r>
        <w:rPr>
          <w:color w:val="000000" w:themeColor="text1"/>
          <w:sz w:val="28"/>
          <w:szCs w:val="28"/>
          <w:lang w:val="zh-CN"/>
        </w:rPr>
        <w:t>中华人</w:t>
      </w:r>
      <w:r>
        <w:rPr>
          <w:color w:val="000000" w:themeColor="text1"/>
          <w:spacing w:val="-6"/>
          <w:sz w:val="28"/>
          <w:szCs w:val="28"/>
          <w:lang w:val="zh-CN"/>
        </w:rPr>
        <w:t>民共和国国家标准</w:t>
      </w:r>
      <w:r>
        <w:rPr>
          <w:color w:val="000000" w:themeColor="text1"/>
          <w:spacing w:val="-6"/>
          <w:kern w:val="0"/>
          <w:sz w:val="28"/>
          <w:szCs w:val="28"/>
        </w:rPr>
        <w:t>GB/T50419.29-2013</w:t>
      </w:r>
      <w:r>
        <w:rPr>
          <w:color w:val="000000" w:themeColor="text1"/>
          <w:spacing w:val="-6"/>
          <w:sz w:val="28"/>
          <w:szCs w:val="28"/>
        </w:rPr>
        <w:t>《房地产估价基本术语</w:t>
      </w:r>
      <w:r>
        <w:rPr>
          <w:color w:val="000000" w:themeColor="text1"/>
          <w:sz w:val="28"/>
          <w:szCs w:val="28"/>
        </w:rPr>
        <w:t>标准》；</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委托方提供的有关资料：</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湖北省武穴市人民法院评估委托书</w:t>
      </w:r>
      <w:r>
        <w:rPr>
          <w:color w:val="000000" w:themeColor="text1"/>
          <w:sz w:val="28"/>
          <w:szCs w:val="28"/>
        </w:rPr>
        <w:t>》</w:t>
      </w:r>
    </w:p>
    <w:p>
      <w:pPr>
        <w:spacing w:line="500" w:lineRule="exact"/>
        <w:ind w:left="1134"/>
        <w:jc w:val="left"/>
        <w:rPr>
          <w:color w:val="000000" w:themeColor="text1"/>
          <w:sz w:val="28"/>
          <w:szCs w:val="28"/>
        </w:rPr>
      </w:pPr>
      <w:r>
        <w:rPr>
          <w:rFonts w:hint="eastAsia"/>
          <w:color w:val="000000" w:themeColor="text1"/>
          <w:sz w:val="28"/>
          <w:szCs w:val="28"/>
        </w:rPr>
        <w:t>【（2021）鄂武穴评委字第1号】；</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湖北省武穴市人民法院执行裁定书</w:t>
      </w:r>
      <w:r>
        <w:rPr>
          <w:color w:val="000000" w:themeColor="text1"/>
          <w:sz w:val="28"/>
          <w:szCs w:val="28"/>
        </w:rPr>
        <w:t>》</w:t>
      </w:r>
    </w:p>
    <w:p>
      <w:pPr>
        <w:spacing w:line="500" w:lineRule="exact"/>
        <w:ind w:left="1134"/>
        <w:jc w:val="left"/>
        <w:rPr>
          <w:color w:val="000000" w:themeColor="text1"/>
          <w:sz w:val="28"/>
          <w:szCs w:val="28"/>
        </w:rPr>
      </w:pPr>
      <w:r>
        <w:rPr>
          <w:rFonts w:hint="eastAsia"/>
          <w:color w:val="000000" w:themeColor="text1"/>
          <w:sz w:val="28"/>
          <w:szCs w:val="28"/>
        </w:rPr>
        <w:t>【（2019）鄂1182执恢96号之一】；</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湖北省武穴市人民法院民事判决书</w:t>
      </w:r>
      <w:r>
        <w:rPr>
          <w:color w:val="000000" w:themeColor="text1"/>
          <w:sz w:val="28"/>
          <w:szCs w:val="28"/>
        </w:rPr>
        <w:t>》</w:t>
      </w:r>
    </w:p>
    <w:p>
      <w:pPr>
        <w:spacing w:line="500" w:lineRule="exact"/>
        <w:ind w:left="1134"/>
        <w:jc w:val="left"/>
        <w:rPr>
          <w:color w:val="000000" w:themeColor="text1"/>
          <w:sz w:val="28"/>
          <w:szCs w:val="28"/>
        </w:rPr>
      </w:pPr>
      <w:r>
        <w:rPr>
          <w:rFonts w:hint="eastAsia"/>
          <w:color w:val="000000" w:themeColor="text1"/>
          <w:sz w:val="28"/>
          <w:szCs w:val="28"/>
        </w:rPr>
        <w:t>【（2017）鄂1182民初870号】；</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《房地产权登记信息表》</w:t>
      </w:r>
      <w:r>
        <w:rPr>
          <w:rFonts w:hint="eastAsia"/>
          <w:color w:val="000000" w:themeColor="text1"/>
          <w:sz w:val="28"/>
          <w:szCs w:val="28"/>
        </w:rPr>
        <w:t>；</w:t>
      </w:r>
    </w:p>
    <w:p>
      <w:pPr>
        <w:numPr>
          <w:ilvl w:val="0"/>
          <w:numId w:val="7"/>
        </w:numPr>
        <w:spacing w:line="500" w:lineRule="exact"/>
        <w:rPr>
          <w:color w:val="000000" w:themeColor="text1"/>
          <w:sz w:val="28"/>
          <w:szCs w:val="28"/>
        </w:rPr>
      </w:pPr>
      <w:r>
        <w:rPr>
          <w:color w:val="000000" w:themeColor="text1"/>
          <w:sz w:val="28"/>
          <w:szCs w:val="28"/>
          <w:lang w:val="zh-CN"/>
        </w:rPr>
        <w:t>委托方提供的其他相关资料</w:t>
      </w:r>
      <w:r>
        <w:rPr>
          <w:rFonts w:hint="eastAsia"/>
          <w:color w:val="000000" w:themeColor="text1"/>
          <w:sz w:val="28"/>
          <w:szCs w:val="28"/>
          <w:lang w:val="zh-CN"/>
        </w:rPr>
        <w:t>；</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本公司搜集掌握的有关资料和估价人员现场</w:t>
      </w:r>
      <w:r>
        <w:rPr>
          <w:rFonts w:hint="eastAsia"/>
          <w:color w:val="000000" w:themeColor="text1"/>
          <w:sz w:val="28"/>
          <w:szCs w:val="28"/>
        </w:rPr>
        <w:t>查勘</w:t>
      </w:r>
      <w:r>
        <w:rPr>
          <w:color w:val="000000" w:themeColor="text1"/>
          <w:sz w:val="28"/>
          <w:szCs w:val="28"/>
        </w:rPr>
        <w:t>记录</w:t>
      </w:r>
      <w:r>
        <w:rPr>
          <w:rFonts w:hint="eastAsia"/>
          <w:color w:val="000000" w:themeColor="text1"/>
          <w:sz w:val="28"/>
          <w:szCs w:val="28"/>
        </w:rPr>
        <w:t>：</w:t>
      </w:r>
    </w:p>
    <w:p>
      <w:pPr>
        <w:spacing w:line="500" w:lineRule="exact"/>
        <w:ind w:firstLine="560" w:firstLineChars="200"/>
        <w:rPr>
          <w:color w:val="000000" w:themeColor="text1"/>
          <w:sz w:val="28"/>
          <w:szCs w:val="28"/>
        </w:rPr>
      </w:pPr>
      <w:r>
        <w:rPr>
          <w:color w:val="000000" w:themeColor="text1"/>
          <w:sz w:val="28"/>
          <w:szCs w:val="28"/>
        </w:rPr>
        <w:t>1、估价人员现场</w:t>
      </w:r>
      <w:r>
        <w:rPr>
          <w:rFonts w:hint="eastAsia"/>
          <w:color w:val="000000" w:themeColor="text1"/>
          <w:sz w:val="28"/>
          <w:szCs w:val="28"/>
        </w:rPr>
        <w:t>查勘</w:t>
      </w:r>
      <w:r>
        <w:rPr>
          <w:color w:val="000000" w:themeColor="text1"/>
          <w:sz w:val="28"/>
          <w:szCs w:val="28"/>
        </w:rPr>
        <w:t xml:space="preserve">记录； </w:t>
      </w:r>
    </w:p>
    <w:p>
      <w:pPr>
        <w:spacing w:line="500" w:lineRule="exact"/>
        <w:ind w:firstLine="560" w:firstLineChars="200"/>
        <w:rPr>
          <w:color w:val="000000" w:themeColor="text1"/>
          <w:sz w:val="28"/>
          <w:szCs w:val="28"/>
        </w:rPr>
      </w:pPr>
      <w:r>
        <w:rPr>
          <w:color w:val="000000" w:themeColor="text1"/>
          <w:sz w:val="28"/>
          <w:szCs w:val="28"/>
        </w:rPr>
        <w:t>2、估价对象现场</w:t>
      </w:r>
      <w:r>
        <w:rPr>
          <w:rFonts w:hint="eastAsia"/>
          <w:color w:val="000000" w:themeColor="text1"/>
          <w:sz w:val="28"/>
          <w:szCs w:val="28"/>
        </w:rPr>
        <w:t>查勘</w:t>
      </w:r>
      <w:r>
        <w:rPr>
          <w:color w:val="000000" w:themeColor="text1"/>
          <w:sz w:val="28"/>
          <w:szCs w:val="28"/>
        </w:rPr>
        <w:t>照片；</w:t>
      </w:r>
    </w:p>
    <w:p>
      <w:pPr>
        <w:spacing w:line="500" w:lineRule="exact"/>
        <w:ind w:firstLine="560" w:firstLineChars="200"/>
        <w:rPr>
          <w:color w:val="000000" w:themeColor="text1"/>
          <w:sz w:val="28"/>
          <w:szCs w:val="28"/>
        </w:rPr>
      </w:pPr>
      <w:r>
        <w:rPr>
          <w:color w:val="000000" w:themeColor="text1"/>
          <w:sz w:val="28"/>
          <w:szCs w:val="28"/>
        </w:rPr>
        <w:t>3、评估人员现场查</w:t>
      </w:r>
      <w:r>
        <w:rPr>
          <w:rFonts w:hint="eastAsia"/>
          <w:color w:val="000000" w:themeColor="text1"/>
          <w:sz w:val="28"/>
          <w:szCs w:val="28"/>
        </w:rPr>
        <w:t>勘</w:t>
      </w:r>
      <w:r>
        <w:rPr>
          <w:color w:val="000000" w:themeColor="text1"/>
          <w:sz w:val="28"/>
          <w:szCs w:val="28"/>
        </w:rPr>
        <w:t>、调查所获取资料及市场收集的资料；</w:t>
      </w:r>
    </w:p>
    <w:p>
      <w:pPr>
        <w:spacing w:line="500" w:lineRule="exact"/>
        <w:ind w:firstLine="560" w:firstLineChars="200"/>
        <w:rPr>
          <w:color w:val="000000" w:themeColor="text1"/>
          <w:sz w:val="28"/>
          <w:szCs w:val="28"/>
        </w:rPr>
      </w:pPr>
      <w:r>
        <w:rPr>
          <w:color w:val="000000" w:themeColor="text1"/>
          <w:sz w:val="28"/>
          <w:szCs w:val="28"/>
        </w:rPr>
        <w:t>4、评估机构收集的国家有关部门发布的统计资料，以及评估机构收集的有关询价资料和参数资料等。</w:t>
      </w:r>
    </w:p>
    <w:p>
      <w:pPr>
        <w:numPr>
          <w:ilvl w:val="0"/>
          <w:numId w:val="3"/>
        </w:numPr>
        <w:spacing w:line="500" w:lineRule="exact"/>
        <w:outlineLvl w:val="1"/>
        <w:rPr>
          <w:b/>
          <w:color w:val="000000" w:themeColor="text1"/>
          <w:sz w:val="28"/>
          <w:szCs w:val="28"/>
        </w:rPr>
      </w:pPr>
      <w:bookmarkStart w:id="14" w:name="_Toc69288507"/>
      <w:r>
        <w:rPr>
          <w:b/>
          <w:color w:val="000000" w:themeColor="text1"/>
          <w:sz w:val="28"/>
          <w:szCs w:val="28"/>
        </w:rPr>
        <w:t>估价方法</w:t>
      </w:r>
      <w:bookmarkEnd w:id="14"/>
    </w:p>
    <w:p>
      <w:pPr>
        <w:widowControl/>
        <w:spacing w:line="500" w:lineRule="exact"/>
        <w:ind w:firstLine="560" w:firstLineChars="200"/>
        <w:rPr>
          <w:color w:val="000000" w:themeColor="text1"/>
          <w:sz w:val="28"/>
          <w:szCs w:val="28"/>
        </w:rPr>
      </w:pPr>
      <w:r>
        <w:rPr>
          <w:color w:val="000000" w:themeColor="text1"/>
          <w:sz w:val="28"/>
          <w:szCs w:val="28"/>
        </w:rPr>
        <w:t>（一）估价方法定义及确定的原则</w:t>
      </w:r>
    </w:p>
    <w:p>
      <w:pPr>
        <w:spacing w:line="500" w:lineRule="exact"/>
        <w:ind w:firstLine="560" w:firstLineChars="200"/>
        <w:rPr>
          <w:color w:val="000000" w:themeColor="text1"/>
          <w:sz w:val="28"/>
          <w:szCs w:val="28"/>
        </w:rPr>
      </w:pPr>
      <w:r>
        <w:rPr>
          <w:color w:val="000000" w:themeColor="text1"/>
          <w:sz w:val="28"/>
          <w:szCs w:val="28"/>
        </w:rPr>
        <w:t>房地产评估的常用方法有比较法、收益法、成本法，假设开发法等，估价方法选用应按照《房地产估价规范》（GB/T50291-2015）要求，根据当地房地产市场发育情况，结合估价对象的具体特点以及估价目的等，选择适宜的估价方法。</w:t>
      </w:r>
    </w:p>
    <w:p>
      <w:pPr>
        <w:spacing w:line="500" w:lineRule="exact"/>
        <w:ind w:firstLine="560" w:firstLineChars="20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pPr>
        <w:spacing w:line="500" w:lineRule="exact"/>
        <w:ind w:firstLine="560" w:firstLineChars="200"/>
        <w:rPr>
          <w:color w:val="000000" w:themeColor="text1"/>
          <w:sz w:val="28"/>
          <w:szCs w:val="28"/>
        </w:rPr>
      </w:pPr>
      <w:r>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pPr>
        <w:spacing w:line="500" w:lineRule="exact"/>
        <w:ind w:firstLine="560" w:firstLineChars="20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pPr>
        <w:spacing w:line="500" w:lineRule="exact"/>
        <w:ind w:firstLine="560" w:firstLineChars="200"/>
        <w:rPr>
          <w:color w:val="000000" w:themeColor="text1"/>
          <w:sz w:val="28"/>
          <w:szCs w:val="28"/>
        </w:rPr>
      </w:pPr>
      <w:r>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pPr>
        <w:widowControl/>
        <w:spacing w:line="500" w:lineRule="exact"/>
        <w:ind w:firstLine="560" w:firstLineChars="200"/>
        <w:rPr>
          <w:color w:val="000000" w:themeColor="text1"/>
          <w:sz w:val="28"/>
          <w:szCs w:val="28"/>
        </w:rPr>
      </w:pPr>
      <w:r>
        <w:rPr>
          <w:color w:val="000000" w:themeColor="text1"/>
          <w:sz w:val="28"/>
          <w:szCs w:val="28"/>
        </w:rPr>
        <w:t>（二）本次估价选用的方法</w:t>
      </w:r>
    </w:p>
    <w:p>
      <w:pPr>
        <w:pStyle w:val="4"/>
        <w:spacing w:line="500" w:lineRule="exact"/>
        <w:ind w:firstLine="560" w:firstLineChars="200"/>
        <w:rPr>
          <w:color w:val="FF0000"/>
        </w:rPr>
      </w:pPr>
      <w:r>
        <w:rPr>
          <w:color w:val="000000" w:themeColor="text1"/>
          <w:sz w:val="28"/>
          <w:szCs w:val="28"/>
          <w:lang w:val="zh-CN"/>
        </w:rPr>
        <w:t>估价对象</w:t>
      </w:r>
      <w:r>
        <w:rPr>
          <w:rFonts w:hint="eastAsia"/>
          <w:color w:val="000000" w:themeColor="text1"/>
          <w:sz w:val="28"/>
          <w:szCs w:val="28"/>
          <w:lang w:val="zh-CN"/>
        </w:rPr>
        <w:t>作为住宅</w:t>
      </w:r>
      <w:r>
        <w:rPr>
          <w:color w:val="000000" w:themeColor="text1"/>
          <w:sz w:val="28"/>
          <w:szCs w:val="28"/>
        </w:rPr>
        <w:t>，在估价对象区域内房地产市场上类似房地产交易市场活跃，</w:t>
      </w:r>
      <w:r>
        <w:rPr>
          <w:rFonts w:hint="eastAsia"/>
          <w:color w:val="000000" w:themeColor="text1"/>
          <w:sz w:val="28"/>
          <w:szCs w:val="28"/>
        </w:rPr>
        <w:t>交易案例较多且易于收集，市场依据充分，可比性强，故</w:t>
      </w:r>
      <w:r>
        <w:rPr>
          <w:color w:val="000000" w:themeColor="text1"/>
          <w:sz w:val="28"/>
          <w:szCs w:val="28"/>
        </w:rPr>
        <w:t>宜选用市场法</w:t>
      </w:r>
      <w:r>
        <w:rPr>
          <w:rFonts w:hint="eastAsia"/>
          <w:color w:val="000000" w:themeColor="text1"/>
          <w:sz w:val="28"/>
          <w:szCs w:val="28"/>
        </w:rPr>
        <w:t>评估；</w:t>
      </w:r>
      <w:r>
        <w:rPr>
          <w:color w:val="000000" w:themeColor="text1"/>
          <w:sz w:val="28"/>
          <w:szCs w:val="28"/>
        </w:rPr>
        <w:t>而估价对象作为住宅房地产，可用于对外出租，存在潜在租金</w:t>
      </w:r>
      <w:r>
        <w:rPr>
          <w:rFonts w:hint="eastAsia"/>
          <w:color w:val="000000" w:themeColor="text1"/>
          <w:sz w:val="28"/>
          <w:szCs w:val="28"/>
        </w:rPr>
        <w:t>收益，收益水平较易收集</w:t>
      </w:r>
      <w:r>
        <w:rPr>
          <w:color w:val="000000" w:themeColor="text1"/>
          <w:sz w:val="28"/>
          <w:szCs w:val="28"/>
        </w:rPr>
        <w:t>，故可选择收益法</w:t>
      </w:r>
      <w:r>
        <w:rPr>
          <w:rFonts w:hint="eastAsia"/>
          <w:color w:val="000000" w:themeColor="text1"/>
          <w:sz w:val="28"/>
          <w:szCs w:val="28"/>
        </w:rPr>
        <w:t>评估</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15" w:name="_Toc69288508"/>
      <w:r>
        <w:rPr>
          <w:b/>
          <w:color w:val="000000" w:themeColor="text1"/>
          <w:sz w:val="28"/>
          <w:szCs w:val="28"/>
        </w:rPr>
        <w:t>估价结果</w:t>
      </w:r>
      <w:bookmarkEnd w:id="15"/>
    </w:p>
    <w:p>
      <w:pPr>
        <w:spacing w:line="500" w:lineRule="exact"/>
        <w:ind w:firstLine="560" w:firstLineChars="200"/>
        <w:rPr>
          <w:color w:val="000000" w:themeColor="text1"/>
          <w:sz w:val="28"/>
          <w:szCs w:val="28"/>
        </w:rPr>
      </w:pPr>
      <w:r>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满足本次估价的全部假设与限制条件下估价结果为</w:t>
      </w:r>
      <w:r>
        <w:rPr>
          <w:b/>
          <w:color w:val="000000" w:themeColor="text1"/>
          <w:sz w:val="28"/>
          <w:szCs w:val="28"/>
        </w:rPr>
        <w:t>RMB47.35万元，</w:t>
      </w:r>
      <w:r>
        <w:rPr>
          <w:color w:val="000000" w:themeColor="text1"/>
          <w:sz w:val="28"/>
          <w:szCs w:val="28"/>
        </w:rPr>
        <w:t>大写金额（人民币）：</w:t>
      </w:r>
      <w:r>
        <w:rPr>
          <w:b/>
          <w:color w:val="000000" w:themeColor="text1"/>
          <w:sz w:val="28"/>
          <w:szCs w:val="28"/>
        </w:rPr>
        <w:t>肆拾柒万叁仟伍佰</w:t>
      </w:r>
      <w:r>
        <w:rPr>
          <w:rFonts w:hint="eastAsia"/>
          <w:b/>
          <w:color w:val="000000" w:themeColor="text1"/>
          <w:sz w:val="28"/>
          <w:szCs w:val="28"/>
        </w:rPr>
        <w:t>元整</w:t>
      </w:r>
      <w:r>
        <w:rPr>
          <w:color w:val="000000" w:themeColor="text1"/>
          <w:sz w:val="28"/>
          <w:szCs w:val="28"/>
        </w:rPr>
        <w:t>。评估单价为</w:t>
      </w:r>
      <w:r>
        <w:rPr>
          <w:rFonts w:hint="eastAsia"/>
          <w:color w:val="000000" w:themeColor="text1"/>
          <w:sz w:val="28"/>
          <w:szCs w:val="28"/>
        </w:rPr>
        <w:t>4615</w:t>
      </w:r>
      <w:r>
        <w:rPr>
          <w:color w:val="000000" w:themeColor="text1"/>
          <w:sz w:val="28"/>
          <w:szCs w:val="28"/>
        </w:rPr>
        <w:t>元/㎡。详见《估价结果一览表》：</w:t>
      </w:r>
    </w:p>
    <w:p>
      <w:pPr>
        <w:spacing w:line="500" w:lineRule="exact"/>
        <w:jc w:val="center"/>
        <w:rPr>
          <w:b/>
          <w:color w:val="000000" w:themeColor="text1"/>
          <w:sz w:val="24"/>
        </w:rPr>
      </w:pPr>
      <w:r>
        <w:rPr>
          <w:b/>
          <w:color w:val="000000" w:themeColor="text1"/>
          <w:sz w:val="24"/>
        </w:rPr>
        <w:t>估价结果一览表</w:t>
      </w:r>
    </w:p>
    <w:tbl>
      <w:tblPr>
        <w:tblStyle w:val="26"/>
        <w:tblW w:w="9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140"/>
        <w:gridCol w:w="1270"/>
        <w:gridCol w:w="1178"/>
        <w:gridCol w:w="1134"/>
        <w:gridCol w:w="1096"/>
        <w:gridCol w:w="112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43" w:type="dxa"/>
            <w:vAlign w:val="center"/>
          </w:tcPr>
          <w:p>
            <w:pPr>
              <w:jc w:val="center"/>
              <w:rPr>
                <w:color w:val="000000" w:themeColor="text1"/>
                <w:szCs w:val="21"/>
              </w:rPr>
            </w:pPr>
            <w:r>
              <w:rPr>
                <w:color w:val="000000" w:themeColor="text1"/>
                <w:szCs w:val="21"/>
              </w:rPr>
              <w:t>房地产权利人</w:t>
            </w:r>
          </w:p>
        </w:tc>
        <w:tc>
          <w:tcPr>
            <w:tcW w:w="1140" w:type="dxa"/>
            <w:vAlign w:val="center"/>
          </w:tcPr>
          <w:p>
            <w:pPr>
              <w:jc w:val="center"/>
              <w:rPr>
                <w:color w:val="000000" w:themeColor="text1"/>
                <w:szCs w:val="21"/>
              </w:rPr>
            </w:pPr>
            <w:r>
              <w:rPr>
                <w:color w:val="000000" w:themeColor="text1"/>
                <w:szCs w:val="21"/>
              </w:rPr>
              <w:t>建筑面积（㎡）</w:t>
            </w:r>
          </w:p>
        </w:tc>
        <w:tc>
          <w:tcPr>
            <w:tcW w:w="1270" w:type="dxa"/>
            <w:vAlign w:val="center"/>
          </w:tcPr>
          <w:p>
            <w:pPr>
              <w:jc w:val="center"/>
              <w:rPr>
                <w:color w:val="000000" w:themeColor="text1"/>
                <w:szCs w:val="21"/>
              </w:rPr>
            </w:pPr>
            <w:r>
              <w:rPr>
                <w:color w:val="000000" w:themeColor="text1"/>
                <w:szCs w:val="21"/>
              </w:rPr>
              <w:t>分摊土地面积（㎡）</w:t>
            </w:r>
          </w:p>
        </w:tc>
        <w:tc>
          <w:tcPr>
            <w:tcW w:w="1178" w:type="dxa"/>
            <w:vAlign w:val="center"/>
          </w:tcPr>
          <w:p>
            <w:pPr>
              <w:jc w:val="center"/>
              <w:rPr>
                <w:color w:val="000000" w:themeColor="text1"/>
                <w:szCs w:val="21"/>
              </w:rPr>
            </w:pPr>
            <w:r>
              <w:rPr>
                <w:rFonts w:hint="eastAsia"/>
                <w:color w:val="000000" w:themeColor="text1"/>
                <w:szCs w:val="21"/>
              </w:rPr>
              <w:t>现状用途</w:t>
            </w:r>
          </w:p>
        </w:tc>
        <w:tc>
          <w:tcPr>
            <w:tcW w:w="1134" w:type="dxa"/>
            <w:vAlign w:val="center"/>
          </w:tcPr>
          <w:p>
            <w:pPr>
              <w:jc w:val="center"/>
              <w:rPr>
                <w:color w:val="000000" w:themeColor="text1"/>
                <w:szCs w:val="21"/>
              </w:rPr>
            </w:pPr>
            <w:r>
              <w:rPr>
                <w:rFonts w:hint="eastAsia"/>
                <w:color w:val="000000" w:themeColor="text1"/>
                <w:szCs w:val="21"/>
              </w:rPr>
              <w:t>垂直交通</w:t>
            </w:r>
          </w:p>
        </w:tc>
        <w:tc>
          <w:tcPr>
            <w:tcW w:w="1096" w:type="dxa"/>
            <w:vAlign w:val="center"/>
          </w:tcPr>
          <w:p>
            <w:pPr>
              <w:jc w:val="center"/>
              <w:rPr>
                <w:color w:val="000000" w:themeColor="text1"/>
                <w:szCs w:val="21"/>
              </w:rPr>
            </w:pPr>
            <w:r>
              <w:rPr>
                <w:rFonts w:hint="eastAsia"/>
                <w:color w:val="000000" w:themeColor="text1"/>
                <w:szCs w:val="21"/>
              </w:rPr>
              <w:t>建成年份（年）</w:t>
            </w:r>
          </w:p>
        </w:tc>
        <w:tc>
          <w:tcPr>
            <w:tcW w:w="1128" w:type="dxa"/>
            <w:vAlign w:val="center"/>
          </w:tcPr>
          <w:p>
            <w:pPr>
              <w:jc w:val="center"/>
              <w:rPr>
                <w:color w:val="000000" w:themeColor="text1"/>
                <w:szCs w:val="21"/>
              </w:rPr>
            </w:pPr>
            <w:r>
              <w:rPr>
                <w:rFonts w:hint="eastAsia"/>
                <w:color w:val="000000" w:themeColor="text1"/>
                <w:szCs w:val="21"/>
              </w:rPr>
              <w:t>单价</w:t>
            </w:r>
          </w:p>
          <w:p>
            <w:pPr>
              <w:jc w:val="center"/>
              <w:rPr>
                <w:color w:val="000000" w:themeColor="text1"/>
                <w:szCs w:val="21"/>
              </w:rPr>
            </w:pPr>
            <w:r>
              <w:rPr>
                <w:color w:val="000000" w:themeColor="text1"/>
                <w:szCs w:val="21"/>
              </w:rPr>
              <w:t>（</w:t>
            </w:r>
            <w:r>
              <w:rPr>
                <w:rFonts w:hint="eastAsia"/>
                <w:color w:val="000000" w:themeColor="text1"/>
                <w:szCs w:val="21"/>
              </w:rPr>
              <w:t>元/㎡）</w:t>
            </w:r>
          </w:p>
        </w:tc>
        <w:tc>
          <w:tcPr>
            <w:tcW w:w="1140" w:type="dxa"/>
            <w:vAlign w:val="center"/>
          </w:tcPr>
          <w:p>
            <w:pPr>
              <w:jc w:val="center"/>
              <w:rPr>
                <w:color w:val="000000" w:themeColor="text1"/>
                <w:szCs w:val="21"/>
              </w:rPr>
            </w:pPr>
            <w:r>
              <w:rPr>
                <w:rFonts w:hint="eastAsia"/>
                <w:color w:val="000000" w:themeColor="text1"/>
                <w:szCs w:val="21"/>
              </w:rPr>
              <w:t>总价</w:t>
            </w:r>
          </w:p>
          <w:p>
            <w:pPr>
              <w:jc w:val="center"/>
              <w:rPr>
                <w:color w:val="000000" w:themeColor="text1"/>
                <w:szCs w:val="21"/>
              </w:rPr>
            </w:pPr>
            <w:r>
              <w:rPr>
                <w:color w:val="000000" w:themeColor="text1"/>
                <w:szCs w:val="21"/>
              </w:rPr>
              <w:t>（万元</w:t>
            </w: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jc w:val="center"/>
        </w:trPr>
        <w:tc>
          <w:tcPr>
            <w:tcW w:w="943" w:type="dxa"/>
            <w:vAlign w:val="center"/>
          </w:tcPr>
          <w:p>
            <w:pPr>
              <w:spacing w:line="240" w:lineRule="atLeast"/>
              <w:jc w:val="center"/>
              <w:rPr>
                <w:color w:val="000000" w:themeColor="text1"/>
                <w:szCs w:val="21"/>
              </w:rPr>
            </w:pPr>
            <w:r>
              <w:rPr>
                <w:color w:val="000000" w:themeColor="text1"/>
                <w:szCs w:val="21"/>
              </w:rPr>
              <w:t>刘晓栋</w:t>
            </w:r>
          </w:p>
        </w:tc>
        <w:tc>
          <w:tcPr>
            <w:tcW w:w="1140" w:type="dxa"/>
            <w:vAlign w:val="center"/>
          </w:tcPr>
          <w:p>
            <w:pPr>
              <w:spacing w:line="240" w:lineRule="atLeast"/>
              <w:jc w:val="center"/>
              <w:rPr>
                <w:color w:val="000000" w:themeColor="text1"/>
                <w:szCs w:val="21"/>
              </w:rPr>
            </w:pPr>
            <w:r>
              <w:rPr>
                <w:color w:val="000000" w:themeColor="text1"/>
                <w:szCs w:val="21"/>
              </w:rPr>
              <w:t>102.61</w:t>
            </w:r>
          </w:p>
        </w:tc>
        <w:tc>
          <w:tcPr>
            <w:tcW w:w="1270" w:type="dxa"/>
            <w:vAlign w:val="center"/>
          </w:tcPr>
          <w:p>
            <w:pPr>
              <w:spacing w:line="240" w:lineRule="atLeast"/>
              <w:jc w:val="center"/>
              <w:rPr>
                <w:color w:val="000000" w:themeColor="text1"/>
                <w:szCs w:val="21"/>
              </w:rPr>
            </w:pPr>
            <w:r>
              <w:rPr>
                <w:color w:val="000000" w:themeColor="text1"/>
                <w:szCs w:val="21"/>
              </w:rPr>
              <w:t>/</w:t>
            </w:r>
          </w:p>
        </w:tc>
        <w:tc>
          <w:tcPr>
            <w:tcW w:w="1178" w:type="dxa"/>
            <w:vAlign w:val="center"/>
          </w:tcPr>
          <w:p>
            <w:pPr>
              <w:spacing w:line="240" w:lineRule="atLeast"/>
              <w:jc w:val="center"/>
              <w:rPr>
                <w:color w:val="000000" w:themeColor="text1"/>
                <w:szCs w:val="21"/>
              </w:rPr>
            </w:pPr>
            <w:r>
              <w:rPr>
                <w:rFonts w:hint="eastAsia"/>
                <w:color w:val="000000" w:themeColor="text1"/>
                <w:szCs w:val="21"/>
              </w:rPr>
              <w:t>住宅</w:t>
            </w:r>
          </w:p>
        </w:tc>
        <w:tc>
          <w:tcPr>
            <w:tcW w:w="1134" w:type="dxa"/>
            <w:vAlign w:val="center"/>
          </w:tcPr>
          <w:p>
            <w:pPr>
              <w:spacing w:line="240" w:lineRule="atLeast"/>
              <w:jc w:val="center"/>
              <w:rPr>
                <w:color w:val="000000" w:themeColor="text1"/>
                <w:szCs w:val="21"/>
              </w:rPr>
            </w:pPr>
            <w:r>
              <w:rPr>
                <w:rFonts w:hint="eastAsia"/>
                <w:color w:val="000000" w:themeColor="text1"/>
                <w:szCs w:val="21"/>
              </w:rPr>
              <w:t>电梯</w:t>
            </w:r>
          </w:p>
        </w:tc>
        <w:tc>
          <w:tcPr>
            <w:tcW w:w="1096" w:type="dxa"/>
            <w:vAlign w:val="center"/>
          </w:tcPr>
          <w:p>
            <w:pPr>
              <w:spacing w:line="240" w:lineRule="atLeast"/>
              <w:jc w:val="center"/>
              <w:rPr>
                <w:color w:val="000000" w:themeColor="text1"/>
                <w:szCs w:val="21"/>
              </w:rPr>
            </w:pPr>
            <w:r>
              <w:rPr>
                <w:color w:val="000000" w:themeColor="text1"/>
                <w:szCs w:val="21"/>
              </w:rPr>
              <w:t>2009</w:t>
            </w:r>
          </w:p>
        </w:tc>
        <w:tc>
          <w:tcPr>
            <w:tcW w:w="1128" w:type="dxa"/>
            <w:vAlign w:val="center"/>
          </w:tcPr>
          <w:p>
            <w:pPr>
              <w:spacing w:line="240" w:lineRule="atLeast"/>
              <w:jc w:val="center"/>
              <w:rPr>
                <w:color w:val="000000" w:themeColor="text1"/>
                <w:szCs w:val="21"/>
              </w:rPr>
            </w:pPr>
            <w:r>
              <w:rPr>
                <w:color w:val="000000" w:themeColor="text1"/>
                <w:szCs w:val="21"/>
              </w:rPr>
              <w:t>4615</w:t>
            </w:r>
          </w:p>
        </w:tc>
        <w:tc>
          <w:tcPr>
            <w:tcW w:w="1140" w:type="dxa"/>
            <w:vAlign w:val="center"/>
          </w:tcPr>
          <w:p>
            <w:pPr>
              <w:spacing w:line="240" w:lineRule="atLeast"/>
              <w:jc w:val="center"/>
              <w:rPr>
                <w:color w:val="000000" w:themeColor="text1"/>
                <w:szCs w:val="21"/>
              </w:rPr>
            </w:pPr>
            <w:r>
              <w:rPr>
                <w:color w:val="000000" w:themeColor="text1"/>
                <w:szCs w:val="21"/>
              </w:rPr>
              <w:t>47.35</w:t>
            </w:r>
          </w:p>
        </w:tc>
      </w:tr>
    </w:tbl>
    <w:p>
      <w:pPr>
        <w:numPr>
          <w:ilvl w:val="0"/>
          <w:numId w:val="3"/>
        </w:numPr>
        <w:tabs>
          <w:tab w:val="left" w:pos="1080"/>
        </w:tabs>
        <w:spacing w:line="500" w:lineRule="exact"/>
        <w:outlineLvl w:val="1"/>
        <w:rPr>
          <w:b/>
          <w:color w:val="000000" w:themeColor="text1"/>
          <w:sz w:val="28"/>
          <w:szCs w:val="28"/>
        </w:rPr>
      </w:pPr>
      <w:bookmarkStart w:id="16" w:name="_Toc69288509"/>
      <w:r>
        <w:rPr>
          <w:b/>
          <w:color w:val="000000" w:themeColor="text1"/>
          <w:sz w:val="28"/>
          <w:szCs w:val="28"/>
        </w:rPr>
        <w:t>注册房地产估价师</w:t>
      </w:r>
      <w:bookmarkEnd w:id="16"/>
    </w:p>
    <w:tbl>
      <w:tblPr>
        <w:tblStyle w:val="26"/>
        <w:tblW w:w="91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3119"/>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816" w:type="dxa"/>
            <w:tcBorders>
              <w:top w:val="single" w:color="auto" w:sz="12" w:space="0"/>
              <w:left w:val="single" w:color="auto" w:sz="12" w:space="0"/>
            </w:tcBorders>
            <w:vAlign w:val="center"/>
          </w:tcPr>
          <w:p>
            <w:pPr>
              <w:tabs>
                <w:tab w:val="left" w:pos="735"/>
              </w:tabs>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姓  名</w:t>
            </w:r>
          </w:p>
        </w:tc>
        <w:tc>
          <w:tcPr>
            <w:tcW w:w="3119"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注册号</w:t>
            </w:r>
          </w:p>
        </w:tc>
        <w:tc>
          <w:tcPr>
            <w:tcW w:w="3260"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2816"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3119"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3260"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816"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张  杰</w:t>
            </w:r>
          </w:p>
        </w:tc>
        <w:tc>
          <w:tcPr>
            <w:tcW w:w="3119"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w:t>
            </w:r>
            <w:r>
              <w:rPr>
                <w:rFonts w:asciiTheme="minorEastAsia" w:hAnsiTheme="minorEastAsia" w:eastAsiaTheme="minorEastAsia"/>
                <w:color w:val="000000" w:themeColor="text1"/>
                <w:sz w:val="24"/>
              </w:rPr>
              <w:t>190036</w:t>
            </w:r>
          </w:p>
        </w:tc>
        <w:tc>
          <w:tcPr>
            <w:tcW w:w="3260"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bl>
    <w:p>
      <w:pPr>
        <w:numPr>
          <w:ilvl w:val="0"/>
          <w:numId w:val="3"/>
        </w:numPr>
        <w:tabs>
          <w:tab w:val="left" w:pos="1080"/>
        </w:tabs>
        <w:spacing w:line="500" w:lineRule="exact"/>
        <w:outlineLvl w:val="1"/>
        <w:rPr>
          <w:b/>
          <w:color w:val="000000" w:themeColor="text1"/>
          <w:sz w:val="28"/>
          <w:szCs w:val="28"/>
        </w:rPr>
      </w:pPr>
      <w:bookmarkStart w:id="17" w:name="_Toc69288510"/>
      <w:r>
        <w:rPr>
          <w:b/>
          <w:color w:val="000000" w:themeColor="text1"/>
          <w:sz w:val="28"/>
          <w:szCs w:val="28"/>
        </w:rPr>
        <w:t>实地查勘期</w:t>
      </w:r>
      <w:bookmarkEnd w:id="17"/>
    </w:p>
    <w:p>
      <w:pPr>
        <w:spacing w:line="500" w:lineRule="exact"/>
        <w:ind w:firstLine="560" w:firstLineChars="200"/>
        <w:rPr>
          <w:b/>
          <w:color w:val="000000" w:themeColor="text1"/>
          <w:sz w:val="28"/>
          <w:szCs w:val="28"/>
        </w:rPr>
      </w:pPr>
      <w:bookmarkStart w:id="18" w:name="_Toc452650182"/>
      <w:bookmarkStart w:id="19" w:name="_Toc418697316"/>
      <w:bookmarkStart w:id="20" w:name="_Toc452649916"/>
      <w:bookmarkStart w:id="21" w:name="_Toc434232783"/>
      <w:bookmarkStart w:id="22" w:name="_Toc434232587"/>
      <w:bookmarkStart w:id="23" w:name="_Toc414467439"/>
      <w:bookmarkStart w:id="24" w:name="_Toc453169022"/>
      <w:bookmarkStart w:id="25" w:name="_Toc453591245"/>
      <w:r>
        <w:rPr>
          <w:color w:val="000000" w:themeColor="text1"/>
          <w:sz w:val="28"/>
          <w:szCs w:val="28"/>
        </w:rPr>
        <w:t>估价人员于</w:t>
      </w:r>
      <w:r>
        <w:rPr>
          <w:rFonts w:hint="eastAsia"/>
          <w:color w:val="000000" w:themeColor="text1"/>
          <w:sz w:val="28"/>
          <w:szCs w:val="28"/>
        </w:rPr>
        <w:t>二〇二一年一月十八日</w:t>
      </w:r>
      <w:r>
        <w:rPr>
          <w:color w:val="000000" w:themeColor="text1"/>
          <w:sz w:val="28"/>
          <w:szCs w:val="28"/>
        </w:rPr>
        <w:t>进入估价对象现场并完成实地查勘。</w:t>
      </w:r>
      <w:bookmarkEnd w:id="18"/>
      <w:bookmarkEnd w:id="19"/>
      <w:bookmarkEnd w:id="20"/>
      <w:bookmarkEnd w:id="21"/>
      <w:bookmarkEnd w:id="22"/>
      <w:bookmarkEnd w:id="23"/>
      <w:bookmarkEnd w:id="24"/>
      <w:bookmarkEnd w:id="25"/>
    </w:p>
    <w:p>
      <w:pPr>
        <w:numPr>
          <w:ilvl w:val="0"/>
          <w:numId w:val="3"/>
        </w:numPr>
        <w:tabs>
          <w:tab w:val="left" w:pos="1080"/>
        </w:tabs>
        <w:spacing w:line="500" w:lineRule="exact"/>
        <w:outlineLvl w:val="1"/>
        <w:rPr>
          <w:b/>
          <w:color w:val="000000" w:themeColor="text1"/>
          <w:sz w:val="28"/>
          <w:szCs w:val="28"/>
        </w:rPr>
      </w:pPr>
      <w:bookmarkStart w:id="26" w:name="_Toc69288511"/>
      <w:r>
        <w:rPr>
          <w:b/>
          <w:color w:val="000000" w:themeColor="text1"/>
          <w:sz w:val="28"/>
          <w:szCs w:val="28"/>
        </w:rPr>
        <w:t>估价作业期</w:t>
      </w:r>
      <w:bookmarkEnd w:id="26"/>
    </w:p>
    <w:p>
      <w:pPr>
        <w:tabs>
          <w:tab w:val="left" w:pos="1080"/>
        </w:tabs>
        <w:spacing w:line="500" w:lineRule="exact"/>
        <w:ind w:left="720"/>
        <w:rPr>
          <w:b/>
          <w:color w:val="000000" w:themeColor="text1"/>
          <w:sz w:val="28"/>
          <w:szCs w:val="28"/>
        </w:rPr>
      </w:pPr>
      <w:r>
        <w:rPr>
          <w:rFonts w:hint="eastAsia"/>
          <w:color w:val="000000" w:themeColor="text1"/>
          <w:sz w:val="28"/>
          <w:szCs w:val="28"/>
        </w:rPr>
        <w:t>二〇二一年一月十一日至二〇</w:t>
      </w:r>
      <w:r>
        <w:rPr>
          <w:rFonts w:hint="eastAsia"/>
          <w:sz w:val="28"/>
          <w:szCs w:val="28"/>
        </w:rPr>
        <w:t>二一年三月十二日。</w:t>
      </w:r>
    </w:p>
    <w:p>
      <w:pPr>
        <w:numPr>
          <w:ilvl w:val="0"/>
          <w:numId w:val="3"/>
        </w:numPr>
        <w:tabs>
          <w:tab w:val="left" w:pos="1080"/>
        </w:tabs>
        <w:spacing w:line="500" w:lineRule="exact"/>
        <w:outlineLvl w:val="1"/>
        <w:rPr>
          <w:b/>
          <w:color w:val="000000" w:themeColor="text1"/>
          <w:sz w:val="28"/>
          <w:szCs w:val="28"/>
        </w:rPr>
      </w:pPr>
      <w:bookmarkStart w:id="27" w:name="_Toc69288512"/>
      <w:r>
        <w:rPr>
          <w:b/>
          <w:color w:val="000000" w:themeColor="text1"/>
          <w:sz w:val="28"/>
          <w:szCs w:val="28"/>
        </w:rPr>
        <w:t>估价报告应用的有效期</w:t>
      </w:r>
      <w:bookmarkEnd w:id="27"/>
    </w:p>
    <w:p>
      <w:pPr>
        <w:spacing w:line="500" w:lineRule="exact"/>
        <w:ind w:firstLine="560" w:firstLineChars="200"/>
        <w:rPr>
          <w:color w:val="000000" w:themeColor="text1"/>
          <w:sz w:val="28"/>
          <w:szCs w:val="28"/>
        </w:rPr>
      </w:pPr>
      <w:r>
        <w:rPr>
          <w:color w:val="000000" w:themeColor="text1"/>
          <w:sz w:val="28"/>
          <w:szCs w:val="28"/>
        </w:rPr>
        <w:t>1、本报告所确定的房地产价格，即该房地产的客观合理价格，是在公开市场条件下，在本次估价目的的特定条件下形成或者成立的正常价格，只能用于与估价目的相符的用途，不对其他用途和目的负责。</w:t>
      </w:r>
    </w:p>
    <w:p>
      <w:pPr>
        <w:spacing w:line="500" w:lineRule="exact"/>
        <w:ind w:firstLine="560" w:firstLineChars="200"/>
        <w:rPr>
          <w:sz w:val="28"/>
          <w:szCs w:val="28"/>
        </w:rPr>
      </w:pPr>
      <w:r>
        <w:rPr>
          <w:sz w:val="28"/>
          <w:szCs w:val="28"/>
        </w:rPr>
        <w:t>2、本估价报告自出具之日（</w:t>
      </w:r>
      <w:r>
        <w:rPr>
          <w:rFonts w:hint="eastAsia"/>
          <w:sz w:val="28"/>
          <w:szCs w:val="28"/>
        </w:rPr>
        <w:t>2021年</w:t>
      </w:r>
      <w:r>
        <w:rPr>
          <w:sz w:val="28"/>
          <w:szCs w:val="28"/>
        </w:rPr>
        <w:t>03</w:t>
      </w:r>
      <w:r>
        <w:rPr>
          <w:rFonts w:hint="eastAsia"/>
          <w:sz w:val="28"/>
          <w:szCs w:val="28"/>
        </w:rPr>
        <w:t>月</w:t>
      </w:r>
      <w:r>
        <w:rPr>
          <w:sz w:val="28"/>
          <w:szCs w:val="28"/>
        </w:rPr>
        <w:t>12</w:t>
      </w:r>
      <w:r>
        <w:rPr>
          <w:rFonts w:hint="eastAsia"/>
          <w:sz w:val="28"/>
          <w:szCs w:val="28"/>
        </w:rPr>
        <w:t>日</w:t>
      </w:r>
      <w:r>
        <w:rPr>
          <w:sz w:val="28"/>
          <w:szCs w:val="28"/>
        </w:rPr>
        <w:t>）起生效。</w:t>
      </w:r>
    </w:p>
    <w:p>
      <w:pPr>
        <w:spacing w:line="500" w:lineRule="exact"/>
        <w:ind w:firstLine="548" w:firstLineChars="196"/>
        <w:rPr>
          <w:b/>
          <w:color w:val="000000" w:themeColor="text1"/>
          <w:sz w:val="28"/>
          <w:szCs w:val="28"/>
        </w:rPr>
      </w:pPr>
      <w:r>
        <w:rPr>
          <w:sz w:val="28"/>
          <w:szCs w:val="28"/>
        </w:rPr>
        <w:t>3、本报告书的应用有效期自完成日期起壹年，即从</w:t>
      </w:r>
      <w:r>
        <w:rPr>
          <w:rFonts w:hint="eastAsia"/>
          <w:sz w:val="28"/>
          <w:szCs w:val="28"/>
        </w:rPr>
        <w:t>2021年</w:t>
      </w:r>
      <w:r>
        <w:rPr>
          <w:sz w:val="28"/>
          <w:szCs w:val="28"/>
        </w:rPr>
        <w:t>03</w:t>
      </w:r>
      <w:r>
        <w:rPr>
          <w:rFonts w:hint="eastAsia"/>
          <w:sz w:val="28"/>
          <w:szCs w:val="28"/>
        </w:rPr>
        <w:t>月</w:t>
      </w:r>
      <w:r>
        <w:rPr>
          <w:sz w:val="28"/>
          <w:szCs w:val="28"/>
        </w:rPr>
        <w:t>12</w:t>
      </w:r>
      <w:r>
        <w:rPr>
          <w:rFonts w:hint="eastAsia"/>
          <w:sz w:val="28"/>
          <w:szCs w:val="28"/>
        </w:rPr>
        <w:t>日</w:t>
      </w:r>
      <w:r>
        <w:rPr>
          <w:sz w:val="28"/>
          <w:szCs w:val="28"/>
        </w:rPr>
        <w:t>起至</w:t>
      </w:r>
      <w:r>
        <w:rPr>
          <w:rFonts w:hint="eastAsia"/>
          <w:sz w:val="28"/>
          <w:szCs w:val="28"/>
        </w:rPr>
        <w:t>20</w:t>
      </w:r>
      <w:r>
        <w:rPr>
          <w:sz w:val="28"/>
          <w:szCs w:val="28"/>
        </w:rPr>
        <w:t>22</w:t>
      </w:r>
      <w:r>
        <w:rPr>
          <w:rFonts w:hint="eastAsia"/>
          <w:sz w:val="28"/>
          <w:szCs w:val="28"/>
        </w:rPr>
        <w:t>年</w:t>
      </w:r>
      <w:r>
        <w:rPr>
          <w:sz w:val="28"/>
          <w:szCs w:val="28"/>
        </w:rPr>
        <w:t>03</w:t>
      </w:r>
      <w:r>
        <w:rPr>
          <w:rFonts w:hint="eastAsia"/>
          <w:sz w:val="28"/>
          <w:szCs w:val="28"/>
        </w:rPr>
        <w:t>月</w:t>
      </w:r>
      <w:r>
        <w:rPr>
          <w:sz w:val="28"/>
          <w:szCs w:val="28"/>
        </w:rPr>
        <w:t>11</w:t>
      </w:r>
      <w:r>
        <w:rPr>
          <w:rFonts w:hint="eastAsia"/>
          <w:sz w:val="28"/>
          <w:szCs w:val="28"/>
        </w:rPr>
        <w:t>日</w:t>
      </w:r>
      <w:r>
        <w:rPr>
          <w:sz w:val="28"/>
          <w:szCs w:val="28"/>
        </w:rPr>
        <w:t>止。当房地产市场价格或房地产政策法</w:t>
      </w:r>
      <w:r>
        <w:rPr>
          <w:color w:val="000000" w:themeColor="text1"/>
          <w:sz w:val="28"/>
          <w:szCs w:val="28"/>
        </w:rPr>
        <w:t>规发生重大变化和调整时，该有效期应相应调减。</w:t>
      </w:r>
    </w:p>
    <w:p>
      <w:pPr>
        <w:widowControl/>
        <w:jc w:val="left"/>
        <w:rPr>
          <w:rFonts w:eastAsia="黑体"/>
          <w:b/>
          <w:color w:val="000000" w:themeColor="text1"/>
          <w:sz w:val="48"/>
          <w:szCs w:val="48"/>
        </w:rPr>
      </w:pPr>
      <w:r>
        <w:rPr>
          <w:rFonts w:eastAsia="黑体"/>
          <w:b/>
          <w:color w:val="000000" w:themeColor="text1"/>
          <w:sz w:val="48"/>
          <w:szCs w:val="48"/>
        </w:rPr>
        <w:br w:type="page"/>
      </w:r>
    </w:p>
    <w:p>
      <w:pPr>
        <w:widowControl/>
        <w:jc w:val="center"/>
        <w:rPr>
          <w:rFonts w:eastAsia="黑体"/>
          <w:b/>
          <w:sz w:val="44"/>
          <w:szCs w:val="44"/>
        </w:rPr>
      </w:pPr>
      <w:r>
        <w:rPr>
          <w:rFonts w:eastAsia="黑体"/>
          <w:b/>
          <w:sz w:val="44"/>
          <w:szCs w:val="44"/>
        </w:rPr>
        <w:t>附 件</w:t>
      </w:r>
    </w:p>
    <w:p>
      <w:pPr>
        <w:tabs>
          <w:tab w:val="left" w:pos="1080"/>
        </w:tabs>
        <w:spacing w:line="500" w:lineRule="exact"/>
        <w:jc w:val="center"/>
        <w:rPr>
          <w:rFonts w:eastAsia="黑体"/>
          <w:b/>
          <w:sz w:val="44"/>
          <w:szCs w:val="44"/>
        </w:rPr>
      </w:pPr>
    </w:p>
    <w:p>
      <w:pPr>
        <w:tabs>
          <w:tab w:val="left" w:pos="1260"/>
          <w:tab w:val="left" w:pos="1440"/>
          <w:tab w:val="left" w:pos="1620"/>
        </w:tabs>
        <w:jc w:val="center"/>
        <w:rPr>
          <w:sz w:val="28"/>
          <w:szCs w:val="28"/>
        </w:rPr>
      </w:pPr>
      <w:bookmarkStart w:id="28" w:name="_Toc461629219"/>
      <w:r>
        <w:rPr>
          <w:rFonts w:hint="eastAsia"/>
          <w:sz w:val="28"/>
          <w:szCs w:val="28"/>
        </w:rPr>
        <w:t>一、估价对象区位示意图</w:t>
      </w:r>
    </w:p>
    <w:p>
      <w:pPr>
        <w:tabs>
          <w:tab w:val="left" w:pos="1260"/>
          <w:tab w:val="left" w:pos="1440"/>
          <w:tab w:val="left" w:pos="1620"/>
        </w:tabs>
        <w:jc w:val="center"/>
        <w:rPr>
          <w:sz w:val="28"/>
          <w:szCs w:val="28"/>
        </w:rPr>
      </w:pPr>
    </w:p>
    <w:p>
      <w:pPr>
        <w:tabs>
          <w:tab w:val="left" w:pos="1260"/>
          <w:tab w:val="left" w:pos="1440"/>
          <w:tab w:val="left" w:pos="1620"/>
        </w:tabs>
        <w:jc w:val="center"/>
        <w:rPr>
          <w:sz w:val="28"/>
          <w:szCs w:val="28"/>
        </w:rPr>
      </w:pPr>
      <w:bookmarkStart w:id="29" w:name="_Toc461629220"/>
      <w:r>
        <w:rPr>
          <w:rFonts w:hint="eastAsia"/>
          <w:sz w:val="28"/>
          <w:szCs w:val="28"/>
        </w:rPr>
        <w:t>二、估价对象现场查勘照片</w:t>
      </w:r>
      <w:bookmarkEnd w:id="29"/>
    </w:p>
    <w:p>
      <w:pPr>
        <w:tabs>
          <w:tab w:val="left" w:pos="1260"/>
          <w:tab w:val="left" w:pos="1440"/>
          <w:tab w:val="left" w:pos="1620"/>
        </w:tabs>
        <w:jc w:val="center"/>
        <w:rPr>
          <w:sz w:val="28"/>
          <w:szCs w:val="28"/>
        </w:rPr>
      </w:pPr>
    </w:p>
    <w:bookmarkEnd w:id="28"/>
    <w:p>
      <w:pPr>
        <w:tabs>
          <w:tab w:val="left" w:pos="1260"/>
          <w:tab w:val="left" w:pos="1440"/>
          <w:tab w:val="left" w:pos="1620"/>
        </w:tabs>
        <w:jc w:val="center"/>
        <w:rPr>
          <w:color w:val="000000" w:themeColor="text1"/>
          <w:sz w:val="28"/>
          <w:szCs w:val="28"/>
        </w:rPr>
      </w:pPr>
      <w:r>
        <w:rPr>
          <w:color w:val="000000" w:themeColor="text1"/>
          <w:sz w:val="28"/>
          <w:szCs w:val="28"/>
        </w:rPr>
        <w:t>三、《</w:t>
      </w:r>
      <w:r>
        <w:rPr>
          <w:rFonts w:hint="eastAsia"/>
          <w:color w:val="000000" w:themeColor="text1"/>
          <w:sz w:val="28"/>
          <w:szCs w:val="28"/>
          <w:lang w:val="zh-CN"/>
        </w:rPr>
        <w:t>湖北省武穴市人民法院评估委托书</w:t>
      </w:r>
      <w:r>
        <w:rPr>
          <w:color w:val="000000" w:themeColor="text1"/>
          <w:sz w:val="28"/>
          <w:szCs w:val="28"/>
        </w:rPr>
        <w:t>》</w:t>
      </w:r>
      <w:r>
        <w:rPr>
          <w:rFonts w:hint="eastAsia"/>
          <w:color w:val="000000" w:themeColor="text1"/>
          <w:sz w:val="28"/>
          <w:szCs w:val="28"/>
        </w:rPr>
        <w:t>【（2021）鄂武穴评委字第1号】</w:t>
      </w:r>
    </w:p>
    <w:p>
      <w:pPr>
        <w:tabs>
          <w:tab w:val="left" w:pos="1260"/>
          <w:tab w:val="left" w:pos="1440"/>
          <w:tab w:val="left" w:pos="1620"/>
        </w:tabs>
        <w:jc w:val="center"/>
        <w:rPr>
          <w:color w:val="000000" w:themeColor="text1"/>
          <w:sz w:val="28"/>
          <w:szCs w:val="28"/>
        </w:rPr>
      </w:pPr>
    </w:p>
    <w:p>
      <w:pPr>
        <w:jc w:val="center"/>
        <w:rPr>
          <w:color w:val="000000" w:themeColor="text1"/>
          <w:sz w:val="28"/>
          <w:szCs w:val="28"/>
        </w:rPr>
      </w:pPr>
      <w:r>
        <w:rPr>
          <w:color w:val="000000" w:themeColor="text1"/>
          <w:sz w:val="28"/>
          <w:szCs w:val="28"/>
        </w:rPr>
        <w:t>四、《</w:t>
      </w:r>
      <w:r>
        <w:rPr>
          <w:rFonts w:hint="eastAsia"/>
          <w:color w:val="000000" w:themeColor="text1"/>
          <w:sz w:val="28"/>
          <w:szCs w:val="28"/>
          <w:lang w:val="zh-CN"/>
        </w:rPr>
        <w:t>湖北省武穴市人民法院执行裁定书</w:t>
      </w:r>
      <w:r>
        <w:rPr>
          <w:color w:val="000000" w:themeColor="text1"/>
          <w:sz w:val="28"/>
          <w:szCs w:val="28"/>
        </w:rPr>
        <w:t>》</w:t>
      </w:r>
      <w:r>
        <w:rPr>
          <w:rFonts w:hint="eastAsia"/>
          <w:color w:val="000000" w:themeColor="text1"/>
          <w:sz w:val="28"/>
          <w:szCs w:val="28"/>
        </w:rPr>
        <w:t>【（2019）鄂1182执恢96号之一】</w:t>
      </w:r>
    </w:p>
    <w:p>
      <w:pPr>
        <w:jc w:val="center"/>
        <w:rPr>
          <w:color w:val="000000" w:themeColor="text1"/>
          <w:sz w:val="28"/>
          <w:szCs w:val="28"/>
        </w:rPr>
      </w:pPr>
    </w:p>
    <w:p>
      <w:pPr>
        <w:jc w:val="center"/>
        <w:rPr>
          <w:color w:val="000000" w:themeColor="text1"/>
          <w:sz w:val="28"/>
          <w:szCs w:val="28"/>
        </w:rPr>
      </w:pPr>
      <w:r>
        <w:rPr>
          <w:color w:val="000000" w:themeColor="text1"/>
          <w:sz w:val="28"/>
          <w:szCs w:val="28"/>
        </w:rPr>
        <w:t>五、《</w:t>
      </w:r>
      <w:r>
        <w:rPr>
          <w:rFonts w:hint="eastAsia"/>
          <w:color w:val="000000" w:themeColor="text1"/>
          <w:sz w:val="28"/>
          <w:szCs w:val="28"/>
          <w:lang w:val="zh-CN"/>
        </w:rPr>
        <w:t>湖北省武穴市人民法院民事判决书</w:t>
      </w:r>
      <w:r>
        <w:rPr>
          <w:color w:val="000000" w:themeColor="text1"/>
          <w:sz w:val="28"/>
          <w:szCs w:val="28"/>
        </w:rPr>
        <w:t>》</w:t>
      </w:r>
      <w:r>
        <w:rPr>
          <w:rFonts w:hint="eastAsia"/>
          <w:color w:val="000000" w:themeColor="text1"/>
          <w:sz w:val="28"/>
          <w:szCs w:val="28"/>
        </w:rPr>
        <w:t>【（2017）鄂1182民初870号】</w:t>
      </w:r>
    </w:p>
    <w:p>
      <w:pPr>
        <w:jc w:val="center"/>
        <w:rPr>
          <w:color w:val="000000" w:themeColor="text1"/>
          <w:sz w:val="28"/>
          <w:szCs w:val="28"/>
        </w:rPr>
      </w:pPr>
    </w:p>
    <w:p>
      <w:pPr>
        <w:jc w:val="center"/>
        <w:rPr>
          <w:color w:val="000000" w:themeColor="text1"/>
          <w:sz w:val="28"/>
          <w:szCs w:val="28"/>
        </w:rPr>
      </w:pPr>
      <w:r>
        <w:rPr>
          <w:color w:val="000000" w:themeColor="text1"/>
          <w:sz w:val="28"/>
          <w:szCs w:val="28"/>
        </w:rPr>
        <w:t>六、《房地产权登记信息表》</w:t>
      </w:r>
    </w:p>
    <w:p>
      <w:pPr>
        <w:widowControl/>
        <w:jc w:val="center"/>
        <w:rPr>
          <w:color w:val="000000" w:themeColor="text1"/>
          <w:sz w:val="28"/>
          <w:szCs w:val="28"/>
        </w:rPr>
      </w:pPr>
    </w:p>
    <w:p>
      <w:pPr>
        <w:tabs>
          <w:tab w:val="left" w:pos="1260"/>
          <w:tab w:val="left" w:pos="1440"/>
          <w:tab w:val="left" w:pos="1620"/>
        </w:tabs>
        <w:jc w:val="center"/>
        <w:rPr>
          <w:sz w:val="28"/>
          <w:szCs w:val="28"/>
        </w:rPr>
      </w:pPr>
      <w:r>
        <w:rPr>
          <w:sz w:val="28"/>
          <w:szCs w:val="28"/>
        </w:rPr>
        <w:t>七、估价机构营业执照</w:t>
      </w:r>
      <w:r>
        <w:rPr>
          <w:rFonts w:hint="eastAsia"/>
          <w:sz w:val="28"/>
          <w:szCs w:val="28"/>
        </w:rPr>
        <w:t>（复印件）</w:t>
      </w:r>
    </w:p>
    <w:p>
      <w:pPr>
        <w:tabs>
          <w:tab w:val="left" w:pos="1260"/>
          <w:tab w:val="left" w:pos="1440"/>
          <w:tab w:val="left" w:pos="1620"/>
        </w:tabs>
        <w:jc w:val="center"/>
        <w:rPr>
          <w:sz w:val="28"/>
          <w:szCs w:val="28"/>
        </w:rPr>
      </w:pPr>
    </w:p>
    <w:p>
      <w:pPr>
        <w:tabs>
          <w:tab w:val="left" w:pos="1260"/>
          <w:tab w:val="left" w:pos="1440"/>
          <w:tab w:val="left" w:pos="1620"/>
        </w:tabs>
        <w:jc w:val="center"/>
        <w:rPr>
          <w:sz w:val="28"/>
          <w:szCs w:val="28"/>
        </w:rPr>
      </w:pPr>
      <w:r>
        <w:rPr>
          <w:sz w:val="28"/>
          <w:szCs w:val="28"/>
        </w:rPr>
        <w:t>八、估价机构资质证书</w:t>
      </w:r>
      <w:r>
        <w:rPr>
          <w:rFonts w:hint="eastAsia"/>
          <w:sz w:val="28"/>
          <w:szCs w:val="28"/>
        </w:rPr>
        <w:t>（复印件）</w:t>
      </w:r>
    </w:p>
    <w:p>
      <w:pPr>
        <w:tabs>
          <w:tab w:val="left" w:pos="1260"/>
          <w:tab w:val="left" w:pos="1440"/>
          <w:tab w:val="left" w:pos="1620"/>
        </w:tabs>
        <w:jc w:val="center"/>
        <w:rPr>
          <w:sz w:val="28"/>
          <w:szCs w:val="28"/>
        </w:rPr>
      </w:pPr>
    </w:p>
    <w:p>
      <w:pPr>
        <w:widowControl/>
        <w:jc w:val="center"/>
        <w:rPr>
          <w:sz w:val="28"/>
          <w:szCs w:val="28"/>
        </w:rPr>
      </w:pPr>
      <w:r>
        <w:rPr>
          <w:sz w:val="28"/>
          <w:szCs w:val="28"/>
        </w:rPr>
        <w:t>九、房地产估价师注册证</w:t>
      </w:r>
      <w:r>
        <w:rPr>
          <w:rFonts w:hint="eastAsia"/>
          <w:sz w:val="28"/>
          <w:szCs w:val="28"/>
        </w:rPr>
        <w:t>（复印件）</w:t>
      </w:r>
    </w:p>
    <w:p>
      <w:pPr>
        <w:widowControl/>
        <w:jc w:val="left"/>
        <w:rPr>
          <w:sz w:val="28"/>
          <w:szCs w:val="28"/>
        </w:rPr>
      </w:pPr>
      <w:r>
        <w:rPr>
          <w:sz w:val="28"/>
          <w:szCs w:val="28"/>
        </w:rPr>
        <w:br w:type="page"/>
      </w:r>
    </w:p>
    <w:p>
      <w:pPr>
        <w:tabs>
          <w:tab w:val="left" w:pos="1260"/>
          <w:tab w:val="left" w:pos="1440"/>
          <w:tab w:val="left" w:pos="1620"/>
        </w:tabs>
        <w:jc w:val="center"/>
        <w:rPr>
          <w:sz w:val="28"/>
          <w:szCs w:val="28"/>
        </w:rPr>
      </w:pPr>
      <w:r>
        <w:rPr>
          <w:rFonts w:hint="eastAsia"/>
          <w:sz w:val="28"/>
          <w:szCs w:val="28"/>
        </w:rPr>
        <w:t>一、估价对象区位示意图</w:t>
      </w:r>
    </w:p>
    <w:p>
      <w:pPr>
        <w:tabs>
          <w:tab w:val="left" w:pos="1260"/>
          <w:tab w:val="left" w:pos="1440"/>
          <w:tab w:val="left" w:pos="1620"/>
        </w:tabs>
        <w:jc w:val="center"/>
        <w:rPr>
          <w:sz w:val="28"/>
          <w:szCs w:val="28"/>
        </w:rPr>
      </w:pPr>
      <w:r>
        <w:rPr>
          <w:sz w:val="28"/>
          <w:szCs w:val="28"/>
        </w:rPr>
        <w:drawing>
          <wp:inline distT="0" distB="0" distL="0" distR="0">
            <wp:extent cx="5838190" cy="8553450"/>
            <wp:effectExtent l="19050" t="1905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8190" cy="8553450"/>
                    </a:xfrm>
                    <a:prstGeom prst="rect">
                      <a:avLst/>
                    </a:prstGeom>
                    <a:ln>
                      <a:solidFill>
                        <a:schemeClr val="tx1"/>
                      </a:solidFill>
                    </a:ln>
                  </pic:spPr>
                </pic:pic>
              </a:graphicData>
            </a:graphic>
          </wp:inline>
        </w:drawing>
      </w:r>
    </w:p>
    <w:p>
      <w:pPr>
        <w:pStyle w:val="32"/>
        <w:numPr>
          <w:ilvl w:val="0"/>
          <w:numId w:val="6"/>
        </w:numPr>
        <w:tabs>
          <w:tab w:val="left" w:pos="1260"/>
          <w:tab w:val="left" w:pos="1440"/>
          <w:tab w:val="left" w:pos="1620"/>
        </w:tabs>
        <w:ind w:firstLineChars="0"/>
        <w:jc w:val="center"/>
        <w:rPr>
          <w:sz w:val="28"/>
          <w:szCs w:val="28"/>
        </w:rPr>
      </w:pPr>
      <w:r>
        <w:rPr>
          <w:rFonts w:hint="eastAsia"/>
          <w:sz w:val="28"/>
          <w:szCs w:val="28"/>
        </w:rPr>
        <w:t>估价对象现场查勘照片</w:t>
      </w:r>
    </w:p>
    <w:p>
      <w:pPr>
        <w:pStyle w:val="32"/>
        <w:tabs>
          <w:tab w:val="left" w:pos="1260"/>
          <w:tab w:val="left" w:pos="1440"/>
          <w:tab w:val="left" w:pos="1620"/>
        </w:tabs>
        <w:ind w:left="720" w:firstLine="0" w:firstLineChars="0"/>
        <w:jc w:val="center"/>
        <w:rPr>
          <w:sz w:val="28"/>
          <w:szCs w:val="28"/>
        </w:rPr>
      </w:pPr>
    </w:p>
    <w:p>
      <w:pPr>
        <w:tabs>
          <w:tab w:val="left" w:pos="1260"/>
          <w:tab w:val="left" w:pos="1440"/>
          <w:tab w:val="left" w:pos="1620"/>
        </w:tabs>
        <w:ind w:left="0" w:leftChars="-202" w:hanging="424" w:hangingChars="177"/>
        <w:jc w:val="center"/>
        <w:rPr>
          <w:sz w:val="24"/>
        </w:rPr>
      </w:pPr>
      <w:r>
        <w:rPr>
          <w:rFonts w:hint="eastAsia"/>
          <w:sz w:val="24"/>
        </w:rPr>
        <w:t xml:space="preserve">  </w:t>
      </w:r>
      <w:r>
        <w:rPr>
          <w:rFonts w:hint="eastAsia"/>
          <w:sz w:val="28"/>
          <w:szCs w:val="28"/>
        </w:rPr>
        <w:drawing>
          <wp:inline distT="0" distB="0" distL="0" distR="0">
            <wp:extent cx="2879725" cy="2159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sz w:val="24"/>
        </w:rPr>
        <w:t xml:space="preserve">  </w:t>
      </w:r>
      <w:r>
        <w:rPr>
          <w:rFonts w:hint="eastAsia"/>
          <w:sz w:val="28"/>
          <w:szCs w:val="28"/>
        </w:rPr>
        <w:drawing>
          <wp:inline distT="0" distB="0" distL="0" distR="0">
            <wp:extent cx="2879725" cy="2159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sz w:val="24"/>
        </w:rPr>
        <w:t xml:space="preserve"> </w:t>
      </w:r>
    </w:p>
    <w:p>
      <w:pPr>
        <w:tabs>
          <w:tab w:val="left" w:pos="1260"/>
          <w:tab w:val="left" w:pos="1440"/>
          <w:tab w:val="left" w:pos="1620"/>
        </w:tabs>
        <w:jc w:val="center"/>
        <w:rPr>
          <w:szCs w:val="21"/>
        </w:rPr>
      </w:pPr>
      <w:r>
        <w:rPr>
          <w:szCs w:val="21"/>
        </w:rPr>
        <w:t>所临道路</w:t>
      </w:r>
      <w:r>
        <w:rPr>
          <w:rFonts w:hint="eastAsia"/>
          <w:szCs w:val="21"/>
        </w:rPr>
        <w:t xml:space="preserve">                               </w:t>
      </w:r>
      <w:r>
        <w:rPr>
          <w:szCs w:val="21"/>
        </w:rPr>
        <w:t>所临道路</w:t>
      </w:r>
    </w:p>
    <w:p>
      <w:pPr>
        <w:tabs>
          <w:tab w:val="left" w:pos="1260"/>
          <w:tab w:val="left" w:pos="1440"/>
          <w:tab w:val="left" w:pos="1620"/>
        </w:tabs>
        <w:ind w:left="-1" w:leftChars="-67" w:hanging="140" w:hangingChars="50"/>
        <w:jc w:val="center"/>
        <w:rPr>
          <w:sz w:val="28"/>
          <w:szCs w:val="28"/>
        </w:rPr>
      </w:pPr>
      <w:r>
        <w:rPr>
          <w:rFonts w:hint="eastAsia"/>
          <w:sz w:val="28"/>
          <w:szCs w:val="28"/>
        </w:rPr>
        <w:drawing>
          <wp:inline distT="0" distB="0" distL="0" distR="0">
            <wp:extent cx="2879725" cy="2159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sz w:val="28"/>
          <w:szCs w:val="28"/>
        </w:rPr>
        <w:t xml:space="preserve">  </w:t>
      </w:r>
      <w:r>
        <w:rPr>
          <w:rFonts w:hint="eastAsia"/>
          <w:sz w:val="28"/>
          <w:szCs w:val="28"/>
        </w:rPr>
        <w:drawing>
          <wp:inline distT="0" distB="0" distL="0" distR="0">
            <wp:extent cx="2879725" cy="21596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hint="eastAsia"/>
          <w:sz w:val="28"/>
          <w:szCs w:val="28"/>
        </w:rPr>
        <w:t xml:space="preserve"> </w:t>
      </w:r>
    </w:p>
    <w:p>
      <w:pPr>
        <w:tabs>
          <w:tab w:val="left" w:pos="1260"/>
          <w:tab w:val="left" w:pos="1440"/>
          <w:tab w:val="left" w:pos="1620"/>
        </w:tabs>
        <w:jc w:val="center"/>
        <w:rPr>
          <w:sz w:val="28"/>
          <w:szCs w:val="28"/>
        </w:rPr>
      </w:pPr>
      <w:r>
        <w:rPr>
          <w:szCs w:val="21"/>
        </w:rPr>
        <w:t>外观</w:t>
      </w:r>
      <w:r>
        <w:rPr>
          <w:rFonts w:hint="eastAsia"/>
          <w:szCs w:val="21"/>
        </w:rPr>
        <w:t xml:space="preserve">                 </w:t>
      </w:r>
      <w:r>
        <w:rPr>
          <w:szCs w:val="21"/>
        </w:rPr>
        <w:t xml:space="preserve">       </w:t>
      </w:r>
      <w:r>
        <w:rPr>
          <w:rFonts w:hint="eastAsia"/>
          <w:szCs w:val="21"/>
        </w:rPr>
        <w:t xml:space="preserve">              </w:t>
      </w:r>
      <w:r>
        <w:rPr>
          <w:szCs w:val="21"/>
        </w:rPr>
        <w:t>外观</w:t>
      </w:r>
    </w:p>
    <w:p>
      <w:pPr>
        <w:tabs>
          <w:tab w:val="left" w:pos="1260"/>
          <w:tab w:val="left" w:pos="1440"/>
          <w:tab w:val="left" w:pos="1620"/>
        </w:tabs>
        <w:ind w:left="-1" w:leftChars="-67" w:hanging="140" w:hangingChars="50"/>
        <w:jc w:val="center"/>
        <w:rPr>
          <w:sz w:val="28"/>
          <w:szCs w:val="28"/>
        </w:rPr>
      </w:pPr>
      <w:r>
        <w:rPr>
          <w:rFonts w:hint="eastAsia"/>
          <w:sz w:val="28"/>
          <w:szCs w:val="28"/>
        </w:rPr>
        <w:drawing>
          <wp:inline distT="0" distB="0" distL="0" distR="0">
            <wp:extent cx="2879725" cy="2159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sz w:val="28"/>
          <w:szCs w:val="28"/>
        </w:rPr>
        <w:t xml:space="preserve">  </w:t>
      </w:r>
      <w:r>
        <w:rPr>
          <w:rFonts w:hint="eastAsia"/>
          <w:sz w:val="28"/>
          <w:szCs w:val="28"/>
        </w:rPr>
        <w:t xml:space="preserve"> </w:t>
      </w:r>
    </w:p>
    <w:p>
      <w:pPr>
        <w:tabs>
          <w:tab w:val="left" w:pos="1260"/>
          <w:tab w:val="left" w:pos="1440"/>
          <w:tab w:val="left" w:pos="1620"/>
        </w:tabs>
        <w:jc w:val="center"/>
        <w:rPr>
          <w:sz w:val="28"/>
          <w:szCs w:val="28"/>
        </w:rPr>
      </w:pPr>
      <w:r>
        <w:rPr>
          <w:szCs w:val="21"/>
        </w:rPr>
        <w:t>餐厅</w:t>
      </w:r>
      <w:r>
        <w:rPr>
          <w:rFonts w:hint="eastAsia"/>
          <w:szCs w:val="21"/>
        </w:rPr>
        <w:t xml:space="preserve">                 </w:t>
      </w:r>
      <w:r>
        <w:rPr>
          <w:szCs w:val="21"/>
        </w:rPr>
        <w:t xml:space="preserve">       </w:t>
      </w:r>
      <w:r>
        <w:rPr>
          <w:rFonts w:hint="eastAsia"/>
          <w:szCs w:val="21"/>
        </w:rPr>
        <w:t xml:space="preserve">              </w:t>
      </w:r>
    </w:p>
    <w:p>
      <w:pPr>
        <w:tabs>
          <w:tab w:val="left" w:pos="1260"/>
          <w:tab w:val="left" w:pos="1440"/>
          <w:tab w:val="left" w:pos="1620"/>
        </w:tabs>
        <w:ind w:left="-2" w:leftChars="-1" w:firstLine="1"/>
        <w:jc w:val="center"/>
        <w:rPr>
          <w:sz w:val="28"/>
          <w:szCs w:val="28"/>
        </w:rPr>
      </w:pPr>
      <w:r>
        <w:rPr>
          <w:rFonts w:hint="eastAsia"/>
          <w:sz w:val="28"/>
          <w:szCs w:val="28"/>
        </w:rPr>
        <w:drawing>
          <wp:inline distT="0" distB="0" distL="0" distR="0">
            <wp:extent cx="2879725" cy="21596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sz w:val="28"/>
          <w:szCs w:val="28"/>
        </w:rPr>
        <w:t xml:space="preserve">  </w:t>
      </w:r>
      <w:r>
        <w:rPr>
          <w:rFonts w:hint="eastAsia"/>
          <w:sz w:val="28"/>
          <w:szCs w:val="28"/>
        </w:rPr>
        <w:drawing>
          <wp:inline distT="0" distB="0" distL="0" distR="0">
            <wp:extent cx="2879725" cy="21596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hint="eastAsia"/>
          <w:sz w:val="28"/>
          <w:szCs w:val="28"/>
        </w:rPr>
        <w:t xml:space="preserve"> </w:t>
      </w:r>
    </w:p>
    <w:p>
      <w:pPr>
        <w:tabs>
          <w:tab w:val="left" w:pos="1260"/>
          <w:tab w:val="left" w:pos="1440"/>
          <w:tab w:val="left" w:pos="1620"/>
        </w:tabs>
        <w:ind w:left="-2" w:leftChars="-1" w:firstLine="1"/>
        <w:jc w:val="center"/>
        <w:rPr>
          <w:sz w:val="28"/>
          <w:szCs w:val="28"/>
        </w:rPr>
      </w:pPr>
      <w:r>
        <w:rPr>
          <w:szCs w:val="21"/>
        </w:rPr>
        <w:t>厨房</w:t>
      </w:r>
      <w:r>
        <w:rPr>
          <w:rFonts w:hint="eastAsia"/>
          <w:szCs w:val="21"/>
        </w:rPr>
        <w:t xml:space="preserve">                 </w:t>
      </w:r>
      <w:r>
        <w:rPr>
          <w:szCs w:val="21"/>
        </w:rPr>
        <w:t xml:space="preserve">       </w:t>
      </w:r>
      <w:r>
        <w:rPr>
          <w:rFonts w:hint="eastAsia"/>
          <w:szCs w:val="21"/>
        </w:rPr>
        <w:t xml:space="preserve">              </w:t>
      </w:r>
      <w:r>
        <w:rPr>
          <w:szCs w:val="21"/>
        </w:rPr>
        <w:t>卫生间</w:t>
      </w:r>
    </w:p>
    <w:p>
      <w:pPr>
        <w:tabs>
          <w:tab w:val="left" w:pos="1260"/>
          <w:tab w:val="left" w:pos="1440"/>
          <w:tab w:val="left" w:pos="1620"/>
        </w:tabs>
        <w:jc w:val="center"/>
        <w:rPr>
          <w:sz w:val="28"/>
          <w:szCs w:val="28"/>
        </w:rPr>
      </w:pPr>
      <w:r>
        <w:rPr>
          <w:rFonts w:hint="eastAsia"/>
          <w:sz w:val="28"/>
          <w:szCs w:val="28"/>
        </w:rPr>
        <w:drawing>
          <wp:inline distT="0" distB="0" distL="0" distR="0">
            <wp:extent cx="2879725" cy="21596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sz w:val="28"/>
          <w:szCs w:val="28"/>
        </w:rPr>
        <w:t xml:space="preserve">  </w:t>
      </w:r>
      <w:r>
        <w:rPr>
          <w:rFonts w:hint="eastAsia"/>
          <w:sz w:val="28"/>
          <w:szCs w:val="28"/>
        </w:rPr>
        <w:drawing>
          <wp:inline distT="0" distB="0" distL="0" distR="0">
            <wp:extent cx="2879725" cy="21596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hint="eastAsia"/>
          <w:sz w:val="28"/>
          <w:szCs w:val="28"/>
        </w:rPr>
        <w:t xml:space="preserve"> </w:t>
      </w:r>
    </w:p>
    <w:p>
      <w:pPr>
        <w:tabs>
          <w:tab w:val="left" w:pos="1260"/>
          <w:tab w:val="left" w:pos="1440"/>
          <w:tab w:val="left" w:pos="1620"/>
        </w:tabs>
        <w:jc w:val="center"/>
        <w:rPr>
          <w:sz w:val="28"/>
          <w:szCs w:val="28"/>
        </w:rPr>
      </w:pPr>
      <w:r>
        <w:rPr>
          <w:rFonts w:hint="eastAsia"/>
          <w:szCs w:val="21"/>
        </w:rPr>
        <w:t xml:space="preserve">房间                 </w:t>
      </w:r>
      <w:r>
        <w:rPr>
          <w:szCs w:val="21"/>
        </w:rPr>
        <w:t xml:space="preserve">       </w:t>
      </w:r>
      <w:r>
        <w:rPr>
          <w:rFonts w:hint="eastAsia"/>
          <w:szCs w:val="21"/>
        </w:rPr>
        <w:t xml:space="preserve">              </w:t>
      </w:r>
      <w:r>
        <w:rPr>
          <w:szCs w:val="21"/>
        </w:rPr>
        <w:t>房间</w:t>
      </w:r>
    </w:p>
    <w:p>
      <w:pPr>
        <w:tabs>
          <w:tab w:val="left" w:pos="1260"/>
          <w:tab w:val="left" w:pos="1440"/>
          <w:tab w:val="left" w:pos="1620"/>
        </w:tabs>
        <w:jc w:val="center"/>
        <w:rPr>
          <w:sz w:val="28"/>
          <w:szCs w:val="28"/>
        </w:rPr>
      </w:pPr>
      <w:r>
        <w:rPr>
          <w:rFonts w:hint="eastAsia"/>
          <w:sz w:val="28"/>
          <w:szCs w:val="28"/>
        </w:rPr>
        <w:drawing>
          <wp:inline distT="0" distB="0" distL="0" distR="0">
            <wp:extent cx="2879725" cy="21596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sz w:val="28"/>
          <w:szCs w:val="28"/>
        </w:rPr>
        <w:t xml:space="preserve">  </w:t>
      </w:r>
      <w:r>
        <w:rPr>
          <w:rFonts w:hint="eastAsia"/>
          <w:sz w:val="28"/>
          <w:szCs w:val="28"/>
        </w:rPr>
        <w:drawing>
          <wp:inline distT="0" distB="0" distL="0" distR="0">
            <wp:extent cx="2879725" cy="21596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hint="eastAsia"/>
          <w:sz w:val="28"/>
          <w:szCs w:val="28"/>
        </w:rPr>
        <w:t xml:space="preserve"> </w:t>
      </w:r>
    </w:p>
    <w:p>
      <w:pPr>
        <w:tabs>
          <w:tab w:val="left" w:pos="1260"/>
          <w:tab w:val="left" w:pos="1440"/>
          <w:tab w:val="left" w:pos="1620"/>
        </w:tabs>
        <w:jc w:val="center"/>
        <w:rPr>
          <w:sz w:val="28"/>
          <w:szCs w:val="28"/>
        </w:rPr>
      </w:pPr>
      <w:r>
        <w:rPr>
          <w:rFonts w:hint="eastAsia"/>
          <w:szCs w:val="21"/>
        </w:rPr>
        <w:t xml:space="preserve">房间                 </w:t>
      </w:r>
      <w:r>
        <w:rPr>
          <w:szCs w:val="21"/>
        </w:rPr>
        <w:t xml:space="preserve">       </w:t>
      </w:r>
      <w:r>
        <w:rPr>
          <w:rFonts w:hint="eastAsia"/>
          <w:szCs w:val="21"/>
        </w:rPr>
        <w:t xml:space="preserve">              </w:t>
      </w:r>
      <w:r>
        <w:rPr>
          <w:szCs w:val="21"/>
        </w:rPr>
        <w:t>房间</w:t>
      </w:r>
    </w:p>
    <w:p>
      <w:pPr>
        <w:widowControl/>
        <w:jc w:val="left"/>
        <w:rPr>
          <w:color w:val="000000" w:themeColor="text1"/>
          <w:sz w:val="28"/>
          <w:szCs w:val="28"/>
        </w:rPr>
      </w:pPr>
      <w:bookmarkStart w:id="30" w:name="_GoBack"/>
      <w:bookmarkEnd w:id="30"/>
    </w:p>
    <w:sectPr>
      <w:headerReference r:id="rId6" w:type="first"/>
      <w:headerReference r:id="rId4" w:type="default"/>
      <w:footerReference r:id="rId7" w:type="default"/>
      <w:headerReference r:id="rId5" w:type="even"/>
      <w:pgSz w:w="11906" w:h="16838"/>
      <w:pgMar w:top="1134" w:right="1247" w:bottom="993" w:left="1247" w:header="1021" w:footer="1021"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thickThinSmallGap" w:color="auto" w:sz="12" w:space="1"/>
      </w:pBdr>
      <w:ind w:right="70"/>
    </w:pPr>
    <w:r>
      <w:rPr>
        <w:rFonts w:hint="eastAsia"/>
        <w:b/>
        <w:kern w:val="0"/>
        <w:szCs w:val="21"/>
      </w:rPr>
      <w:t>黄冈市海正房地产评估有限公司</w:t>
    </w:r>
    <w:r>
      <w:rPr>
        <w:rFonts w:hint="eastAsia"/>
        <w:kern w:val="0"/>
        <w:szCs w:val="21"/>
      </w:rPr>
      <w:t xml:space="preserve">                          </w:t>
    </w:r>
    <w:r>
      <w:rPr>
        <w:rFonts w:hint="eastAsia"/>
        <w:b/>
        <w:kern w:val="0"/>
        <w:szCs w:val="21"/>
      </w:rPr>
      <w:t>电话：0713－8693126</w:t>
    </w:r>
    <w:r>
      <w:rPr>
        <w:rFonts w:hint="eastAsia"/>
        <w:kern w:val="0"/>
        <w:szCs w:val="21"/>
      </w:rPr>
      <w:t xml:space="preserve">                       </w:t>
    </w:r>
    <w:r>
      <w:rPr>
        <w:rFonts w:hint="eastAsia"/>
        <w:kern w:val="0"/>
        <w:sz w:val="24"/>
        <w:szCs w:val="24"/>
      </w:rPr>
      <w:t xml:space="preserve">  </w:t>
    </w:r>
    <w:r>
      <w:rPr>
        <w:rFonts w:hint="eastAsia"/>
        <w:kern w:val="0"/>
      </w:rPr>
      <w:t xml:space="preserve"> </w:t>
    </w:r>
    <w:r>
      <w:rPr>
        <w:b/>
        <w:kern w:val="0"/>
      </w:rPr>
      <w:t xml:space="preserve">- </w:t>
    </w:r>
    <w:r>
      <w:rPr>
        <w:b/>
        <w:kern w:val="0"/>
      </w:rPr>
      <w:fldChar w:fldCharType="begin"/>
    </w:r>
    <w:r>
      <w:rPr>
        <w:b/>
        <w:kern w:val="0"/>
      </w:rPr>
      <w:instrText xml:space="preserve"> PAGE </w:instrText>
    </w:r>
    <w:r>
      <w:rPr>
        <w:b/>
        <w:kern w:val="0"/>
      </w:rPr>
      <w:fldChar w:fldCharType="separate"/>
    </w:r>
    <w:r>
      <w:rPr>
        <w:b/>
        <w:kern w:val="0"/>
      </w:rPr>
      <w:t>6</w:t>
    </w:r>
    <w:r>
      <w:rPr>
        <w:b/>
        <w:kern w:val="0"/>
      </w:rPr>
      <w:fldChar w:fldCharType="end"/>
    </w:r>
    <w:r>
      <w:rPr>
        <w:b/>
        <w:kern w:val="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double" w:color="auto" w:sz="4" w:space="1"/>
      </w:pBdr>
      <w:jc w:val="center"/>
    </w:pPr>
    <w:r>
      <w:rPr>
        <w:rFonts w:hint="eastAsia"/>
      </w:rPr>
      <w:t>位于</w:t>
    </w:r>
    <w:r>
      <w:rPr>
        <w:rFonts w:hint="eastAsia"/>
        <w:color w:val="000000" w:themeColor="text1"/>
        <w:szCs w:val="21"/>
      </w:rPr>
      <w:t>武穴市永宁大道南侧方正广场804室</w:t>
    </w:r>
    <w:r>
      <w:rPr>
        <w:rFonts w:hint="eastAsia"/>
      </w:rPr>
      <w:t>，刘晓栋所有的一套住宅房地产价值评估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5" o:spid="_x0000_s4098" o:spt="75" type="#_x0000_t75" style="position:absolute;left:0pt;height:111.4pt;width:82.5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4" o:spid="_x0000_s4097" o:spt="75" type="#_x0000_t75" style="position:absolute;left:0pt;height:111.4pt;width:82.55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823DB"/>
    <w:multiLevelType w:val="multilevel"/>
    <w:tmpl w:val="15D823DB"/>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567"/>
        </w:tabs>
        <w:ind w:left="57" w:firstLine="510"/>
      </w:pPr>
      <w:rPr>
        <w:rFonts w:hint="eastAsia"/>
        <w:b/>
      </w:rPr>
    </w:lvl>
    <w:lvl w:ilvl="2" w:tentative="0">
      <w:start w:val="1"/>
      <w:numFmt w:val="decimal"/>
      <w:lvlText w:val="%3、"/>
      <w:lvlJc w:val="left"/>
      <w:pPr>
        <w:tabs>
          <w:tab w:val="left" w:pos="1500"/>
        </w:tabs>
        <w:ind w:left="1500" w:hanging="960"/>
      </w:pPr>
      <w:rPr>
        <w:rFonts w:hint="default"/>
        <w:color w:val="auto"/>
      </w:rPr>
    </w:lvl>
    <w:lvl w:ilvl="3" w:tentative="0">
      <w:start w:val="1"/>
      <w:numFmt w:val="decimal"/>
      <w:lvlText w:val="（%4）"/>
      <w:lvlJc w:val="left"/>
      <w:pPr>
        <w:tabs>
          <w:tab w:val="left" w:pos="2340"/>
        </w:tabs>
        <w:ind w:left="2340" w:hanging="108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5136777"/>
    <w:multiLevelType w:val="multilevel"/>
    <w:tmpl w:val="35136777"/>
    <w:lvl w:ilvl="0" w:tentative="0">
      <w:start w:val="1"/>
      <w:numFmt w:val="chineseCountingThousand"/>
      <w:lvlText w:val="(%1)"/>
      <w:lvlJc w:val="left"/>
      <w:pPr>
        <w:tabs>
          <w:tab w:val="left" w:pos="1137"/>
        </w:tabs>
        <w:ind w:left="1137" w:hanging="57"/>
      </w:pPr>
      <w:rPr>
        <w:rFonts w:hint="eastAsia" w:ascii="宋体" w:hAnsi="宋体" w:eastAsia="宋体"/>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CC16A4F"/>
    <w:multiLevelType w:val="multilevel"/>
    <w:tmpl w:val="3CC16A4F"/>
    <w:lvl w:ilvl="0" w:tentative="0">
      <w:start w:val="1"/>
      <w:numFmt w:val="chineseCountingThousand"/>
      <w:lvlText w:val="(%1)"/>
      <w:lvlJc w:val="left"/>
      <w:pPr>
        <w:tabs>
          <w:tab w:val="left" w:pos="1137"/>
        </w:tabs>
        <w:ind w:left="1137" w:hanging="57"/>
      </w:pPr>
      <w:rPr>
        <w:rFonts w:hint="eastAsia" w:ascii="宋体" w:hAnsi="宋体" w:eastAsia="宋体"/>
        <w:b w:val="0"/>
      </w:rPr>
    </w:lvl>
    <w:lvl w:ilvl="1" w:tentative="0">
      <w:start w:val="2"/>
      <w:numFmt w:val="decimal"/>
      <w:lvlText w:val="%2、"/>
      <w:lvlJc w:val="left"/>
      <w:pPr>
        <w:tabs>
          <w:tab w:val="left" w:pos="1140"/>
        </w:tabs>
        <w:ind w:left="1140" w:hanging="720"/>
      </w:pPr>
      <w:rPr>
        <w:rFonts w:hint="default" w:ascii="ˎ̥" w:hAnsi="ˎ̥"/>
        <w:b w:val="0"/>
        <w:color w:val="333333"/>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E5A490E"/>
    <w:multiLevelType w:val="multilevel"/>
    <w:tmpl w:val="3E5A490E"/>
    <w:lvl w:ilvl="0" w:tentative="0">
      <w:start w:val="1"/>
      <w:numFmt w:val="decimal"/>
      <w:suff w:val="space"/>
      <w:lvlText w:val="%1、"/>
      <w:lvlJc w:val="right"/>
      <w:pPr>
        <w:ind w:left="-8450" w:firstLine="9584"/>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53971CC5"/>
    <w:multiLevelType w:val="multilevel"/>
    <w:tmpl w:val="53971CC5"/>
    <w:lvl w:ilvl="0" w:tentative="0">
      <w:start w:val="1"/>
      <w:numFmt w:val="decimal"/>
      <w:suff w:val="space"/>
      <w:lvlText w:val="%1、"/>
      <w:lvlJc w:val="right"/>
      <w:pPr>
        <w:ind w:left="227" w:firstLine="113"/>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6A0E6574"/>
    <w:multiLevelType w:val="multilevel"/>
    <w:tmpl w:val="6A0E6574"/>
    <w:lvl w:ilvl="0" w:tentative="0">
      <w:start w:val="1"/>
      <w:numFmt w:val="japaneseCounting"/>
      <w:lvlText w:val="%1、"/>
      <w:lvlJc w:val="left"/>
      <w:pPr>
        <w:tabs>
          <w:tab w:val="left" w:pos="720"/>
        </w:tabs>
        <w:ind w:left="720" w:hanging="720"/>
      </w:pPr>
      <w:rPr>
        <w:rFonts w:hint="default"/>
      </w:rPr>
    </w:lvl>
    <w:lvl w:ilvl="1" w:tentative="0">
      <w:start w:val="1"/>
      <w:numFmt w:val="japaneseCounting"/>
      <w:lvlText w:val="（%2）"/>
      <w:lvlJc w:val="left"/>
      <w:pPr>
        <w:tabs>
          <w:tab w:val="left" w:pos="1506"/>
        </w:tabs>
        <w:ind w:left="1506" w:hanging="1080"/>
      </w:pPr>
      <w:rPr>
        <w:rFonts w:hint="default"/>
        <w:b w:val="0"/>
      </w:rPr>
    </w:lvl>
    <w:lvl w:ilvl="2" w:tentative="0">
      <w:start w:val="1"/>
      <w:numFmt w:val="decimal"/>
      <w:lvlText w:val="%3、"/>
      <w:lvlJc w:val="left"/>
      <w:pPr>
        <w:tabs>
          <w:tab w:val="left" w:pos="1560"/>
        </w:tabs>
        <w:ind w:left="1560" w:hanging="720"/>
      </w:pPr>
      <w:rPr>
        <w:rFonts w:hint="default" w:ascii="Times New Roman" w:hAnsi="Times New Roman"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85059AE"/>
    <w:multiLevelType w:val="multilevel"/>
    <w:tmpl w:val="785059AE"/>
    <w:lvl w:ilvl="0" w:tentative="0">
      <w:start w:val="1"/>
      <w:numFmt w:val="chineseCountingThousand"/>
      <w:lvlText w:val="%1"/>
      <w:lvlJc w:val="left"/>
      <w:pPr>
        <w:tabs>
          <w:tab w:val="left" w:pos="1021"/>
        </w:tabs>
        <w:ind w:left="1021" w:hanging="681"/>
      </w:pPr>
      <w:rPr>
        <w:rFonts w:hint="default"/>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4"/>
  </w:num>
  <w:num w:numId="3">
    <w:abstractNumId w:val="5"/>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34D48"/>
    <w:rsid w:val="00001D75"/>
    <w:rsid w:val="00002178"/>
    <w:rsid w:val="000021CB"/>
    <w:rsid w:val="00002C54"/>
    <w:rsid w:val="00002C9A"/>
    <w:rsid w:val="00003FBC"/>
    <w:rsid w:val="00004806"/>
    <w:rsid w:val="00005DB6"/>
    <w:rsid w:val="000061D5"/>
    <w:rsid w:val="00006315"/>
    <w:rsid w:val="00011DB9"/>
    <w:rsid w:val="000123B3"/>
    <w:rsid w:val="000137F2"/>
    <w:rsid w:val="00013955"/>
    <w:rsid w:val="00013E47"/>
    <w:rsid w:val="0001417A"/>
    <w:rsid w:val="0001497A"/>
    <w:rsid w:val="00015566"/>
    <w:rsid w:val="00016C9C"/>
    <w:rsid w:val="00022AD3"/>
    <w:rsid w:val="00022FEC"/>
    <w:rsid w:val="00025139"/>
    <w:rsid w:val="000258C0"/>
    <w:rsid w:val="00025F38"/>
    <w:rsid w:val="0002777D"/>
    <w:rsid w:val="00027AD8"/>
    <w:rsid w:val="00031941"/>
    <w:rsid w:val="000329D5"/>
    <w:rsid w:val="000354DB"/>
    <w:rsid w:val="00035933"/>
    <w:rsid w:val="00036003"/>
    <w:rsid w:val="00037E79"/>
    <w:rsid w:val="00041997"/>
    <w:rsid w:val="00045632"/>
    <w:rsid w:val="0004596E"/>
    <w:rsid w:val="000500EE"/>
    <w:rsid w:val="00051369"/>
    <w:rsid w:val="00051555"/>
    <w:rsid w:val="00052396"/>
    <w:rsid w:val="00053DEB"/>
    <w:rsid w:val="000541B6"/>
    <w:rsid w:val="0005684C"/>
    <w:rsid w:val="000601C4"/>
    <w:rsid w:val="00061DD2"/>
    <w:rsid w:val="000624B6"/>
    <w:rsid w:val="00063860"/>
    <w:rsid w:val="00065D0E"/>
    <w:rsid w:val="000710F6"/>
    <w:rsid w:val="0007393D"/>
    <w:rsid w:val="00074FF9"/>
    <w:rsid w:val="0007603B"/>
    <w:rsid w:val="000761E2"/>
    <w:rsid w:val="000765E0"/>
    <w:rsid w:val="000768A1"/>
    <w:rsid w:val="00083292"/>
    <w:rsid w:val="000859AF"/>
    <w:rsid w:val="000868D9"/>
    <w:rsid w:val="000870A3"/>
    <w:rsid w:val="00087DF1"/>
    <w:rsid w:val="00091B3B"/>
    <w:rsid w:val="0009471D"/>
    <w:rsid w:val="00095647"/>
    <w:rsid w:val="000A0845"/>
    <w:rsid w:val="000A4809"/>
    <w:rsid w:val="000A4DD6"/>
    <w:rsid w:val="000A6DDB"/>
    <w:rsid w:val="000A7175"/>
    <w:rsid w:val="000B0B52"/>
    <w:rsid w:val="000B17E4"/>
    <w:rsid w:val="000B24EC"/>
    <w:rsid w:val="000B27FB"/>
    <w:rsid w:val="000B29FE"/>
    <w:rsid w:val="000B5ABC"/>
    <w:rsid w:val="000C1D50"/>
    <w:rsid w:val="000C3D3D"/>
    <w:rsid w:val="000C484A"/>
    <w:rsid w:val="000C4B56"/>
    <w:rsid w:val="000C4F9D"/>
    <w:rsid w:val="000C6182"/>
    <w:rsid w:val="000C7AC1"/>
    <w:rsid w:val="000C7CA0"/>
    <w:rsid w:val="000D0DFE"/>
    <w:rsid w:val="000D2571"/>
    <w:rsid w:val="000D42C5"/>
    <w:rsid w:val="000D6198"/>
    <w:rsid w:val="000D7E5A"/>
    <w:rsid w:val="000E19B2"/>
    <w:rsid w:val="000E2A35"/>
    <w:rsid w:val="000E2F21"/>
    <w:rsid w:val="000E5D32"/>
    <w:rsid w:val="000F2FFF"/>
    <w:rsid w:val="000F34E3"/>
    <w:rsid w:val="000F5566"/>
    <w:rsid w:val="000F7636"/>
    <w:rsid w:val="001028E5"/>
    <w:rsid w:val="001055D2"/>
    <w:rsid w:val="001058D5"/>
    <w:rsid w:val="00105A23"/>
    <w:rsid w:val="0010606C"/>
    <w:rsid w:val="00107B05"/>
    <w:rsid w:val="00111B0F"/>
    <w:rsid w:val="00112AA1"/>
    <w:rsid w:val="00114D99"/>
    <w:rsid w:val="00122182"/>
    <w:rsid w:val="00122469"/>
    <w:rsid w:val="001239A7"/>
    <w:rsid w:val="00127098"/>
    <w:rsid w:val="0013069F"/>
    <w:rsid w:val="0013090C"/>
    <w:rsid w:val="00131292"/>
    <w:rsid w:val="001343C7"/>
    <w:rsid w:val="00135591"/>
    <w:rsid w:val="00136092"/>
    <w:rsid w:val="00140894"/>
    <w:rsid w:val="00143F1E"/>
    <w:rsid w:val="00146C78"/>
    <w:rsid w:val="00147DB7"/>
    <w:rsid w:val="001510D3"/>
    <w:rsid w:val="00152DAF"/>
    <w:rsid w:val="00154563"/>
    <w:rsid w:val="00170DD5"/>
    <w:rsid w:val="00172AD6"/>
    <w:rsid w:val="00175461"/>
    <w:rsid w:val="00175CAB"/>
    <w:rsid w:val="0017602C"/>
    <w:rsid w:val="001809D0"/>
    <w:rsid w:val="00180CB8"/>
    <w:rsid w:val="00182422"/>
    <w:rsid w:val="00184E79"/>
    <w:rsid w:val="00187180"/>
    <w:rsid w:val="0019442A"/>
    <w:rsid w:val="001950B5"/>
    <w:rsid w:val="00196741"/>
    <w:rsid w:val="001A1008"/>
    <w:rsid w:val="001A377C"/>
    <w:rsid w:val="001A69EE"/>
    <w:rsid w:val="001A6BA0"/>
    <w:rsid w:val="001A75BA"/>
    <w:rsid w:val="001B27E2"/>
    <w:rsid w:val="001B6B74"/>
    <w:rsid w:val="001C1B26"/>
    <w:rsid w:val="001C395D"/>
    <w:rsid w:val="001C51A1"/>
    <w:rsid w:val="001C57AC"/>
    <w:rsid w:val="001C5812"/>
    <w:rsid w:val="001D08D5"/>
    <w:rsid w:val="001D2337"/>
    <w:rsid w:val="001D6914"/>
    <w:rsid w:val="001D69E2"/>
    <w:rsid w:val="001E0372"/>
    <w:rsid w:val="001E05BA"/>
    <w:rsid w:val="001E38A9"/>
    <w:rsid w:val="001E4381"/>
    <w:rsid w:val="001E5F17"/>
    <w:rsid w:val="001E703A"/>
    <w:rsid w:val="001F00FA"/>
    <w:rsid w:val="001F36F7"/>
    <w:rsid w:val="001F4ED6"/>
    <w:rsid w:val="001F563A"/>
    <w:rsid w:val="001F56C1"/>
    <w:rsid w:val="001F57F8"/>
    <w:rsid w:val="002019A5"/>
    <w:rsid w:val="00202D2E"/>
    <w:rsid w:val="0020558C"/>
    <w:rsid w:val="002068FD"/>
    <w:rsid w:val="0020769B"/>
    <w:rsid w:val="0021046C"/>
    <w:rsid w:val="00211900"/>
    <w:rsid w:val="0021193F"/>
    <w:rsid w:val="00211961"/>
    <w:rsid w:val="00213958"/>
    <w:rsid w:val="0021475D"/>
    <w:rsid w:val="00214D08"/>
    <w:rsid w:val="00214E09"/>
    <w:rsid w:val="00215379"/>
    <w:rsid w:val="00215B7E"/>
    <w:rsid w:val="0021685E"/>
    <w:rsid w:val="00217430"/>
    <w:rsid w:val="00217473"/>
    <w:rsid w:val="0022161B"/>
    <w:rsid w:val="00222AFD"/>
    <w:rsid w:val="00223DB4"/>
    <w:rsid w:val="00225E99"/>
    <w:rsid w:val="00226005"/>
    <w:rsid w:val="0023171F"/>
    <w:rsid w:val="00233A92"/>
    <w:rsid w:val="002350CB"/>
    <w:rsid w:val="0023785E"/>
    <w:rsid w:val="00240E63"/>
    <w:rsid w:val="00242ED8"/>
    <w:rsid w:val="00243585"/>
    <w:rsid w:val="00245002"/>
    <w:rsid w:val="00245284"/>
    <w:rsid w:val="002468A6"/>
    <w:rsid w:val="00247416"/>
    <w:rsid w:val="00250C62"/>
    <w:rsid w:val="002514CC"/>
    <w:rsid w:val="002559C3"/>
    <w:rsid w:val="0025669D"/>
    <w:rsid w:val="00256780"/>
    <w:rsid w:val="00262553"/>
    <w:rsid w:val="00265401"/>
    <w:rsid w:val="002657B6"/>
    <w:rsid w:val="00266362"/>
    <w:rsid w:val="00266E84"/>
    <w:rsid w:val="00267166"/>
    <w:rsid w:val="00267B3F"/>
    <w:rsid w:val="00271921"/>
    <w:rsid w:val="00271D45"/>
    <w:rsid w:val="00274BCE"/>
    <w:rsid w:val="00276930"/>
    <w:rsid w:val="00283AD3"/>
    <w:rsid w:val="00283DD7"/>
    <w:rsid w:val="00283FBC"/>
    <w:rsid w:val="002841DB"/>
    <w:rsid w:val="0028484A"/>
    <w:rsid w:val="0028501F"/>
    <w:rsid w:val="00285ACF"/>
    <w:rsid w:val="00290688"/>
    <w:rsid w:val="002944F7"/>
    <w:rsid w:val="0029556C"/>
    <w:rsid w:val="00296272"/>
    <w:rsid w:val="00297636"/>
    <w:rsid w:val="002A243B"/>
    <w:rsid w:val="002A2924"/>
    <w:rsid w:val="002A2E99"/>
    <w:rsid w:val="002A4858"/>
    <w:rsid w:val="002A4DA8"/>
    <w:rsid w:val="002A5383"/>
    <w:rsid w:val="002A53E8"/>
    <w:rsid w:val="002A7A86"/>
    <w:rsid w:val="002B0B75"/>
    <w:rsid w:val="002B215D"/>
    <w:rsid w:val="002B3CAF"/>
    <w:rsid w:val="002B4A10"/>
    <w:rsid w:val="002B4CEE"/>
    <w:rsid w:val="002B7349"/>
    <w:rsid w:val="002B7CB8"/>
    <w:rsid w:val="002C1F5E"/>
    <w:rsid w:val="002C2375"/>
    <w:rsid w:val="002C2393"/>
    <w:rsid w:val="002C343F"/>
    <w:rsid w:val="002C37C2"/>
    <w:rsid w:val="002C5B5F"/>
    <w:rsid w:val="002C6A2C"/>
    <w:rsid w:val="002D11AD"/>
    <w:rsid w:val="002D4E71"/>
    <w:rsid w:val="002D5FA1"/>
    <w:rsid w:val="002E30DF"/>
    <w:rsid w:val="002E316F"/>
    <w:rsid w:val="002E571E"/>
    <w:rsid w:val="002E5D50"/>
    <w:rsid w:val="002E5F66"/>
    <w:rsid w:val="002E62CE"/>
    <w:rsid w:val="002E6E28"/>
    <w:rsid w:val="002F0C3F"/>
    <w:rsid w:val="002F3B0B"/>
    <w:rsid w:val="002F3D67"/>
    <w:rsid w:val="002F40FD"/>
    <w:rsid w:val="002F439A"/>
    <w:rsid w:val="002F61E1"/>
    <w:rsid w:val="002F7FF5"/>
    <w:rsid w:val="00301BED"/>
    <w:rsid w:val="003025C7"/>
    <w:rsid w:val="003050DE"/>
    <w:rsid w:val="00305E6C"/>
    <w:rsid w:val="00307DBF"/>
    <w:rsid w:val="00311249"/>
    <w:rsid w:val="003117F2"/>
    <w:rsid w:val="003123FC"/>
    <w:rsid w:val="0031365E"/>
    <w:rsid w:val="00314A21"/>
    <w:rsid w:val="00317B10"/>
    <w:rsid w:val="00320423"/>
    <w:rsid w:val="00324377"/>
    <w:rsid w:val="00324C2C"/>
    <w:rsid w:val="003258B0"/>
    <w:rsid w:val="00330711"/>
    <w:rsid w:val="00330C24"/>
    <w:rsid w:val="00331DD1"/>
    <w:rsid w:val="00331ED2"/>
    <w:rsid w:val="00332BB1"/>
    <w:rsid w:val="00332DAB"/>
    <w:rsid w:val="00333739"/>
    <w:rsid w:val="00333A9A"/>
    <w:rsid w:val="00334568"/>
    <w:rsid w:val="003352E2"/>
    <w:rsid w:val="003356D4"/>
    <w:rsid w:val="00337167"/>
    <w:rsid w:val="00341B8A"/>
    <w:rsid w:val="00341FCD"/>
    <w:rsid w:val="00342F02"/>
    <w:rsid w:val="003442F1"/>
    <w:rsid w:val="00344CE8"/>
    <w:rsid w:val="00346E84"/>
    <w:rsid w:val="00350C0A"/>
    <w:rsid w:val="00353605"/>
    <w:rsid w:val="00353CC4"/>
    <w:rsid w:val="003559E6"/>
    <w:rsid w:val="00356E20"/>
    <w:rsid w:val="0035716B"/>
    <w:rsid w:val="00361567"/>
    <w:rsid w:val="003629DA"/>
    <w:rsid w:val="00363911"/>
    <w:rsid w:val="00367859"/>
    <w:rsid w:val="00371E33"/>
    <w:rsid w:val="0037412C"/>
    <w:rsid w:val="00374A3B"/>
    <w:rsid w:val="0037554F"/>
    <w:rsid w:val="003764C8"/>
    <w:rsid w:val="00376714"/>
    <w:rsid w:val="003768FA"/>
    <w:rsid w:val="00380535"/>
    <w:rsid w:val="00384E74"/>
    <w:rsid w:val="0038533E"/>
    <w:rsid w:val="00385E56"/>
    <w:rsid w:val="003861DF"/>
    <w:rsid w:val="00386BD4"/>
    <w:rsid w:val="0038752D"/>
    <w:rsid w:val="003913E7"/>
    <w:rsid w:val="00391490"/>
    <w:rsid w:val="00391D16"/>
    <w:rsid w:val="00393562"/>
    <w:rsid w:val="003935B4"/>
    <w:rsid w:val="00396AD8"/>
    <w:rsid w:val="003975F7"/>
    <w:rsid w:val="00397E7F"/>
    <w:rsid w:val="00397F77"/>
    <w:rsid w:val="003A007B"/>
    <w:rsid w:val="003A11C8"/>
    <w:rsid w:val="003A1DCE"/>
    <w:rsid w:val="003A27D1"/>
    <w:rsid w:val="003A2F1C"/>
    <w:rsid w:val="003A357A"/>
    <w:rsid w:val="003A3650"/>
    <w:rsid w:val="003A36FB"/>
    <w:rsid w:val="003A49BC"/>
    <w:rsid w:val="003A4A34"/>
    <w:rsid w:val="003B1654"/>
    <w:rsid w:val="003B1B52"/>
    <w:rsid w:val="003B67B4"/>
    <w:rsid w:val="003B7C5B"/>
    <w:rsid w:val="003C1BA6"/>
    <w:rsid w:val="003C244A"/>
    <w:rsid w:val="003C332E"/>
    <w:rsid w:val="003C39D5"/>
    <w:rsid w:val="003C4F4C"/>
    <w:rsid w:val="003C61DF"/>
    <w:rsid w:val="003C6A27"/>
    <w:rsid w:val="003D002A"/>
    <w:rsid w:val="003D042B"/>
    <w:rsid w:val="003D1C71"/>
    <w:rsid w:val="003D3853"/>
    <w:rsid w:val="003D4070"/>
    <w:rsid w:val="003D4C99"/>
    <w:rsid w:val="003D56EC"/>
    <w:rsid w:val="003D57F9"/>
    <w:rsid w:val="003E343A"/>
    <w:rsid w:val="003E585A"/>
    <w:rsid w:val="003E714E"/>
    <w:rsid w:val="003E7B52"/>
    <w:rsid w:val="003F070A"/>
    <w:rsid w:val="003F0D91"/>
    <w:rsid w:val="003F17B2"/>
    <w:rsid w:val="003F1934"/>
    <w:rsid w:val="003F533C"/>
    <w:rsid w:val="003F53BE"/>
    <w:rsid w:val="003F5C40"/>
    <w:rsid w:val="003F5FF7"/>
    <w:rsid w:val="003F6146"/>
    <w:rsid w:val="00400D24"/>
    <w:rsid w:val="00400E33"/>
    <w:rsid w:val="004050D4"/>
    <w:rsid w:val="00406C5E"/>
    <w:rsid w:val="00407AB7"/>
    <w:rsid w:val="004125E1"/>
    <w:rsid w:val="00412FA7"/>
    <w:rsid w:val="00414505"/>
    <w:rsid w:val="00414FAD"/>
    <w:rsid w:val="00415B5A"/>
    <w:rsid w:val="00417986"/>
    <w:rsid w:val="00420670"/>
    <w:rsid w:val="00420E96"/>
    <w:rsid w:val="00421E3D"/>
    <w:rsid w:val="004229D1"/>
    <w:rsid w:val="004236AE"/>
    <w:rsid w:val="00423ADB"/>
    <w:rsid w:val="00425551"/>
    <w:rsid w:val="00430301"/>
    <w:rsid w:val="004312BF"/>
    <w:rsid w:val="0043183C"/>
    <w:rsid w:val="00434A23"/>
    <w:rsid w:val="0043738C"/>
    <w:rsid w:val="00440355"/>
    <w:rsid w:val="00440701"/>
    <w:rsid w:val="00441495"/>
    <w:rsid w:val="0044174A"/>
    <w:rsid w:val="004451E8"/>
    <w:rsid w:val="00445BE1"/>
    <w:rsid w:val="00447E60"/>
    <w:rsid w:val="004513A1"/>
    <w:rsid w:val="004513E2"/>
    <w:rsid w:val="004536FC"/>
    <w:rsid w:val="004539D4"/>
    <w:rsid w:val="00453D6B"/>
    <w:rsid w:val="00454CC2"/>
    <w:rsid w:val="0045512B"/>
    <w:rsid w:val="00455FC0"/>
    <w:rsid w:val="004576AE"/>
    <w:rsid w:val="00457839"/>
    <w:rsid w:val="00460991"/>
    <w:rsid w:val="004631A0"/>
    <w:rsid w:val="00463280"/>
    <w:rsid w:val="00463CE4"/>
    <w:rsid w:val="00463F63"/>
    <w:rsid w:val="004648F9"/>
    <w:rsid w:val="004675E0"/>
    <w:rsid w:val="00471CF6"/>
    <w:rsid w:val="00474082"/>
    <w:rsid w:val="004776E4"/>
    <w:rsid w:val="00477911"/>
    <w:rsid w:val="00481755"/>
    <w:rsid w:val="0048317E"/>
    <w:rsid w:val="00485FF2"/>
    <w:rsid w:val="004902C2"/>
    <w:rsid w:val="00494F15"/>
    <w:rsid w:val="00494FC7"/>
    <w:rsid w:val="00496196"/>
    <w:rsid w:val="004A1126"/>
    <w:rsid w:val="004A1947"/>
    <w:rsid w:val="004A1A63"/>
    <w:rsid w:val="004A7261"/>
    <w:rsid w:val="004B0FC7"/>
    <w:rsid w:val="004B19EE"/>
    <w:rsid w:val="004B1C20"/>
    <w:rsid w:val="004B20E2"/>
    <w:rsid w:val="004B37CE"/>
    <w:rsid w:val="004C08F9"/>
    <w:rsid w:val="004C3682"/>
    <w:rsid w:val="004C5F65"/>
    <w:rsid w:val="004C65FE"/>
    <w:rsid w:val="004C6931"/>
    <w:rsid w:val="004C6C60"/>
    <w:rsid w:val="004C6D3D"/>
    <w:rsid w:val="004C78E4"/>
    <w:rsid w:val="004D257D"/>
    <w:rsid w:val="004D309A"/>
    <w:rsid w:val="004D48C6"/>
    <w:rsid w:val="004D49A3"/>
    <w:rsid w:val="004E0C50"/>
    <w:rsid w:val="004E43DC"/>
    <w:rsid w:val="004E585B"/>
    <w:rsid w:val="004E6A94"/>
    <w:rsid w:val="004F0201"/>
    <w:rsid w:val="004F0823"/>
    <w:rsid w:val="004F17D2"/>
    <w:rsid w:val="004F222F"/>
    <w:rsid w:val="004F2E1E"/>
    <w:rsid w:val="004F2E37"/>
    <w:rsid w:val="004F546A"/>
    <w:rsid w:val="004F6152"/>
    <w:rsid w:val="005013B2"/>
    <w:rsid w:val="00501FEB"/>
    <w:rsid w:val="005023B7"/>
    <w:rsid w:val="005027FF"/>
    <w:rsid w:val="00502BB9"/>
    <w:rsid w:val="0050389E"/>
    <w:rsid w:val="0051101E"/>
    <w:rsid w:val="00512EB7"/>
    <w:rsid w:val="00513A13"/>
    <w:rsid w:val="00515D38"/>
    <w:rsid w:val="0051656F"/>
    <w:rsid w:val="00516E3D"/>
    <w:rsid w:val="005170F2"/>
    <w:rsid w:val="00523689"/>
    <w:rsid w:val="005237B5"/>
    <w:rsid w:val="005250D3"/>
    <w:rsid w:val="00525328"/>
    <w:rsid w:val="0052547E"/>
    <w:rsid w:val="00527964"/>
    <w:rsid w:val="00530649"/>
    <w:rsid w:val="00530811"/>
    <w:rsid w:val="0053199F"/>
    <w:rsid w:val="00533040"/>
    <w:rsid w:val="005367F1"/>
    <w:rsid w:val="00537F42"/>
    <w:rsid w:val="005420D5"/>
    <w:rsid w:val="005423B1"/>
    <w:rsid w:val="005438B0"/>
    <w:rsid w:val="00543F0C"/>
    <w:rsid w:val="00546363"/>
    <w:rsid w:val="005469F2"/>
    <w:rsid w:val="00547F0B"/>
    <w:rsid w:val="005513E2"/>
    <w:rsid w:val="0055328F"/>
    <w:rsid w:val="00553C10"/>
    <w:rsid w:val="00555FEA"/>
    <w:rsid w:val="00556AA5"/>
    <w:rsid w:val="0056023F"/>
    <w:rsid w:val="005608AF"/>
    <w:rsid w:val="0056159B"/>
    <w:rsid w:val="00562E12"/>
    <w:rsid w:val="00564F4A"/>
    <w:rsid w:val="00565294"/>
    <w:rsid w:val="005665FC"/>
    <w:rsid w:val="0056718E"/>
    <w:rsid w:val="0057061C"/>
    <w:rsid w:val="00571EF0"/>
    <w:rsid w:val="00581E4B"/>
    <w:rsid w:val="00583321"/>
    <w:rsid w:val="0058618E"/>
    <w:rsid w:val="00586F62"/>
    <w:rsid w:val="00587866"/>
    <w:rsid w:val="00587A4C"/>
    <w:rsid w:val="00587AC0"/>
    <w:rsid w:val="00590AAC"/>
    <w:rsid w:val="005916EF"/>
    <w:rsid w:val="005919AF"/>
    <w:rsid w:val="00592BDC"/>
    <w:rsid w:val="00594AD4"/>
    <w:rsid w:val="00596645"/>
    <w:rsid w:val="00596F57"/>
    <w:rsid w:val="005A067C"/>
    <w:rsid w:val="005A06D6"/>
    <w:rsid w:val="005A0B15"/>
    <w:rsid w:val="005A0F3F"/>
    <w:rsid w:val="005A11CF"/>
    <w:rsid w:val="005A1FCA"/>
    <w:rsid w:val="005A3180"/>
    <w:rsid w:val="005A4B55"/>
    <w:rsid w:val="005A5267"/>
    <w:rsid w:val="005A544B"/>
    <w:rsid w:val="005A72E2"/>
    <w:rsid w:val="005B089B"/>
    <w:rsid w:val="005B10F1"/>
    <w:rsid w:val="005B11E7"/>
    <w:rsid w:val="005B7D25"/>
    <w:rsid w:val="005B7D67"/>
    <w:rsid w:val="005C2077"/>
    <w:rsid w:val="005C22DA"/>
    <w:rsid w:val="005C2F5A"/>
    <w:rsid w:val="005C4F4B"/>
    <w:rsid w:val="005D0D4C"/>
    <w:rsid w:val="005D44CA"/>
    <w:rsid w:val="005E4E3B"/>
    <w:rsid w:val="005E758C"/>
    <w:rsid w:val="005E7B52"/>
    <w:rsid w:val="005F281A"/>
    <w:rsid w:val="005F450A"/>
    <w:rsid w:val="005F4626"/>
    <w:rsid w:val="005F5F38"/>
    <w:rsid w:val="005F62E7"/>
    <w:rsid w:val="005F7622"/>
    <w:rsid w:val="005F7AF6"/>
    <w:rsid w:val="0060460A"/>
    <w:rsid w:val="00605A64"/>
    <w:rsid w:val="006063A2"/>
    <w:rsid w:val="00607FE9"/>
    <w:rsid w:val="00611AF5"/>
    <w:rsid w:val="006127F8"/>
    <w:rsid w:val="00613868"/>
    <w:rsid w:val="00616396"/>
    <w:rsid w:val="00617BED"/>
    <w:rsid w:val="00620B45"/>
    <w:rsid w:val="00622D67"/>
    <w:rsid w:val="006234F0"/>
    <w:rsid w:val="0062579A"/>
    <w:rsid w:val="00626778"/>
    <w:rsid w:val="00626781"/>
    <w:rsid w:val="0062791A"/>
    <w:rsid w:val="00630C29"/>
    <w:rsid w:val="00630F2E"/>
    <w:rsid w:val="00631746"/>
    <w:rsid w:val="0063325A"/>
    <w:rsid w:val="00634C12"/>
    <w:rsid w:val="00634D48"/>
    <w:rsid w:val="00635090"/>
    <w:rsid w:val="006405E8"/>
    <w:rsid w:val="006418D1"/>
    <w:rsid w:val="006429C4"/>
    <w:rsid w:val="00646B69"/>
    <w:rsid w:val="00647D5D"/>
    <w:rsid w:val="00647F54"/>
    <w:rsid w:val="0065022A"/>
    <w:rsid w:val="00652C20"/>
    <w:rsid w:val="00653302"/>
    <w:rsid w:val="00654005"/>
    <w:rsid w:val="00656F2F"/>
    <w:rsid w:val="00663D45"/>
    <w:rsid w:val="006652A7"/>
    <w:rsid w:val="00670A64"/>
    <w:rsid w:val="00670B92"/>
    <w:rsid w:val="0067259C"/>
    <w:rsid w:val="006738DC"/>
    <w:rsid w:val="006741E6"/>
    <w:rsid w:val="00674B8E"/>
    <w:rsid w:val="006752A7"/>
    <w:rsid w:val="00675B31"/>
    <w:rsid w:val="006847E4"/>
    <w:rsid w:val="00685218"/>
    <w:rsid w:val="00685BB7"/>
    <w:rsid w:val="00687FD8"/>
    <w:rsid w:val="00690F5E"/>
    <w:rsid w:val="00691B9E"/>
    <w:rsid w:val="0069494E"/>
    <w:rsid w:val="00694BC7"/>
    <w:rsid w:val="006960BD"/>
    <w:rsid w:val="00697341"/>
    <w:rsid w:val="006A3585"/>
    <w:rsid w:val="006A4B8A"/>
    <w:rsid w:val="006A4BD2"/>
    <w:rsid w:val="006A566A"/>
    <w:rsid w:val="006A58E4"/>
    <w:rsid w:val="006A653F"/>
    <w:rsid w:val="006A6C5E"/>
    <w:rsid w:val="006B00A4"/>
    <w:rsid w:val="006B6268"/>
    <w:rsid w:val="006C1C51"/>
    <w:rsid w:val="006C4900"/>
    <w:rsid w:val="006C60D5"/>
    <w:rsid w:val="006C7433"/>
    <w:rsid w:val="006D43EB"/>
    <w:rsid w:val="006D4C02"/>
    <w:rsid w:val="006D5545"/>
    <w:rsid w:val="006D55DE"/>
    <w:rsid w:val="006D7EE5"/>
    <w:rsid w:val="006E01A7"/>
    <w:rsid w:val="006E0E10"/>
    <w:rsid w:val="006E2728"/>
    <w:rsid w:val="006E46DC"/>
    <w:rsid w:val="006E63B0"/>
    <w:rsid w:val="006F00E4"/>
    <w:rsid w:val="006F133D"/>
    <w:rsid w:val="006F4985"/>
    <w:rsid w:val="006F5B85"/>
    <w:rsid w:val="006F71CD"/>
    <w:rsid w:val="006F74FB"/>
    <w:rsid w:val="00702C9F"/>
    <w:rsid w:val="00702D17"/>
    <w:rsid w:val="007038D3"/>
    <w:rsid w:val="00703972"/>
    <w:rsid w:val="00704821"/>
    <w:rsid w:val="00706843"/>
    <w:rsid w:val="007071E3"/>
    <w:rsid w:val="00707FB3"/>
    <w:rsid w:val="007106D7"/>
    <w:rsid w:val="00711852"/>
    <w:rsid w:val="00713F70"/>
    <w:rsid w:val="0071430A"/>
    <w:rsid w:val="00716FDF"/>
    <w:rsid w:val="00720242"/>
    <w:rsid w:val="00721794"/>
    <w:rsid w:val="0072293B"/>
    <w:rsid w:val="00724F32"/>
    <w:rsid w:val="00731E9E"/>
    <w:rsid w:val="0073207E"/>
    <w:rsid w:val="00732918"/>
    <w:rsid w:val="00734151"/>
    <w:rsid w:val="00734ECB"/>
    <w:rsid w:val="007359B4"/>
    <w:rsid w:val="00735A0D"/>
    <w:rsid w:val="00735D83"/>
    <w:rsid w:val="00735FD0"/>
    <w:rsid w:val="00743C55"/>
    <w:rsid w:val="0074519E"/>
    <w:rsid w:val="00745A31"/>
    <w:rsid w:val="00746E05"/>
    <w:rsid w:val="007509B3"/>
    <w:rsid w:val="00750AD9"/>
    <w:rsid w:val="00750D2B"/>
    <w:rsid w:val="00751C65"/>
    <w:rsid w:val="00754B4B"/>
    <w:rsid w:val="00755D1F"/>
    <w:rsid w:val="00756651"/>
    <w:rsid w:val="007574B0"/>
    <w:rsid w:val="007576F9"/>
    <w:rsid w:val="00757C28"/>
    <w:rsid w:val="00761474"/>
    <w:rsid w:val="00761BC5"/>
    <w:rsid w:val="00763289"/>
    <w:rsid w:val="007644F3"/>
    <w:rsid w:val="00764805"/>
    <w:rsid w:val="007659B3"/>
    <w:rsid w:val="00766B36"/>
    <w:rsid w:val="00772EA3"/>
    <w:rsid w:val="0077423D"/>
    <w:rsid w:val="00776993"/>
    <w:rsid w:val="00782569"/>
    <w:rsid w:val="0078369B"/>
    <w:rsid w:val="007870A6"/>
    <w:rsid w:val="007900AF"/>
    <w:rsid w:val="00790318"/>
    <w:rsid w:val="00790995"/>
    <w:rsid w:val="00792F9B"/>
    <w:rsid w:val="0079375F"/>
    <w:rsid w:val="007961A8"/>
    <w:rsid w:val="00796817"/>
    <w:rsid w:val="00796A95"/>
    <w:rsid w:val="00797035"/>
    <w:rsid w:val="007A10D8"/>
    <w:rsid w:val="007A177B"/>
    <w:rsid w:val="007A5511"/>
    <w:rsid w:val="007A67A1"/>
    <w:rsid w:val="007A7650"/>
    <w:rsid w:val="007B06F0"/>
    <w:rsid w:val="007B18C0"/>
    <w:rsid w:val="007B2B5E"/>
    <w:rsid w:val="007B3DFB"/>
    <w:rsid w:val="007B58E4"/>
    <w:rsid w:val="007B6DC3"/>
    <w:rsid w:val="007B7231"/>
    <w:rsid w:val="007C007A"/>
    <w:rsid w:val="007C1BFA"/>
    <w:rsid w:val="007C4030"/>
    <w:rsid w:val="007C5769"/>
    <w:rsid w:val="007C6437"/>
    <w:rsid w:val="007D1CBD"/>
    <w:rsid w:val="007D1E03"/>
    <w:rsid w:val="007E0F8D"/>
    <w:rsid w:val="007E40C4"/>
    <w:rsid w:val="007E6EFC"/>
    <w:rsid w:val="007E7FB0"/>
    <w:rsid w:val="007F05EA"/>
    <w:rsid w:val="007F0B62"/>
    <w:rsid w:val="007F3331"/>
    <w:rsid w:val="007F3375"/>
    <w:rsid w:val="007F360C"/>
    <w:rsid w:val="007F54E0"/>
    <w:rsid w:val="007F6CB6"/>
    <w:rsid w:val="00801EA2"/>
    <w:rsid w:val="008020BB"/>
    <w:rsid w:val="0080360F"/>
    <w:rsid w:val="00804262"/>
    <w:rsid w:val="00805922"/>
    <w:rsid w:val="00806EB9"/>
    <w:rsid w:val="00812F17"/>
    <w:rsid w:val="00813909"/>
    <w:rsid w:val="00820030"/>
    <w:rsid w:val="00821498"/>
    <w:rsid w:val="00823115"/>
    <w:rsid w:val="00827FAD"/>
    <w:rsid w:val="00830371"/>
    <w:rsid w:val="00831708"/>
    <w:rsid w:val="008328FA"/>
    <w:rsid w:val="00837755"/>
    <w:rsid w:val="00840D9B"/>
    <w:rsid w:val="008411C5"/>
    <w:rsid w:val="00842FB6"/>
    <w:rsid w:val="00844702"/>
    <w:rsid w:val="00844AEB"/>
    <w:rsid w:val="00844C86"/>
    <w:rsid w:val="00847129"/>
    <w:rsid w:val="00847B8A"/>
    <w:rsid w:val="00850822"/>
    <w:rsid w:val="00852164"/>
    <w:rsid w:val="00852E65"/>
    <w:rsid w:val="008533A8"/>
    <w:rsid w:val="008610E3"/>
    <w:rsid w:val="00861C61"/>
    <w:rsid w:val="0087164F"/>
    <w:rsid w:val="00872483"/>
    <w:rsid w:val="00874EC6"/>
    <w:rsid w:val="00875CA5"/>
    <w:rsid w:val="00877A33"/>
    <w:rsid w:val="00881F8E"/>
    <w:rsid w:val="00882CE2"/>
    <w:rsid w:val="00883013"/>
    <w:rsid w:val="008863EF"/>
    <w:rsid w:val="00887070"/>
    <w:rsid w:val="00890CCB"/>
    <w:rsid w:val="00891219"/>
    <w:rsid w:val="008937CA"/>
    <w:rsid w:val="00894C07"/>
    <w:rsid w:val="00894ECB"/>
    <w:rsid w:val="0089561B"/>
    <w:rsid w:val="00895BB2"/>
    <w:rsid w:val="00895C26"/>
    <w:rsid w:val="008969ED"/>
    <w:rsid w:val="008A6102"/>
    <w:rsid w:val="008B093B"/>
    <w:rsid w:val="008B2D2B"/>
    <w:rsid w:val="008B3691"/>
    <w:rsid w:val="008B4D37"/>
    <w:rsid w:val="008C03C1"/>
    <w:rsid w:val="008C18FD"/>
    <w:rsid w:val="008C1BF0"/>
    <w:rsid w:val="008C2FEB"/>
    <w:rsid w:val="008C4508"/>
    <w:rsid w:val="008C5F72"/>
    <w:rsid w:val="008C5FCC"/>
    <w:rsid w:val="008D796C"/>
    <w:rsid w:val="008D7E6A"/>
    <w:rsid w:val="008E0040"/>
    <w:rsid w:val="008E25DB"/>
    <w:rsid w:val="008E4D0D"/>
    <w:rsid w:val="008E6684"/>
    <w:rsid w:val="008F1996"/>
    <w:rsid w:val="008F1F05"/>
    <w:rsid w:val="008F372C"/>
    <w:rsid w:val="008F76EF"/>
    <w:rsid w:val="0090269F"/>
    <w:rsid w:val="00905AF9"/>
    <w:rsid w:val="00910276"/>
    <w:rsid w:val="00910EFB"/>
    <w:rsid w:val="0091133E"/>
    <w:rsid w:val="009139A9"/>
    <w:rsid w:val="00913F15"/>
    <w:rsid w:val="00916721"/>
    <w:rsid w:val="009204DB"/>
    <w:rsid w:val="0092057A"/>
    <w:rsid w:val="00920FD9"/>
    <w:rsid w:val="009214BD"/>
    <w:rsid w:val="009228EC"/>
    <w:rsid w:val="009236C6"/>
    <w:rsid w:val="00924764"/>
    <w:rsid w:val="009247FD"/>
    <w:rsid w:val="00924981"/>
    <w:rsid w:val="0092688B"/>
    <w:rsid w:val="00933AD1"/>
    <w:rsid w:val="00941C45"/>
    <w:rsid w:val="009461CC"/>
    <w:rsid w:val="00951F36"/>
    <w:rsid w:val="00952212"/>
    <w:rsid w:val="00952694"/>
    <w:rsid w:val="00952F42"/>
    <w:rsid w:val="00953C26"/>
    <w:rsid w:val="00957056"/>
    <w:rsid w:val="009573FA"/>
    <w:rsid w:val="009601E0"/>
    <w:rsid w:val="00962C65"/>
    <w:rsid w:val="00964BED"/>
    <w:rsid w:val="0097021D"/>
    <w:rsid w:val="0097259B"/>
    <w:rsid w:val="0097505E"/>
    <w:rsid w:val="00975D35"/>
    <w:rsid w:val="009819C6"/>
    <w:rsid w:val="009837A3"/>
    <w:rsid w:val="00984126"/>
    <w:rsid w:val="00984803"/>
    <w:rsid w:val="0098777D"/>
    <w:rsid w:val="00990D7C"/>
    <w:rsid w:val="00994C26"/>
    <w:rsid w:val="0099714D"/>
    <w:rsid w:val="009A3A0C"/>
    <w:rsid w:val="009A42D2"/>
    <w:rsid w:val="009A4535"/>
    <w:rsid w:val="009A6024"/>
    <w:rsid w:val="009A79F5"/>
    <w:rsid w:val="009B3154"/>
    <w:rsid w:val="009B328E"/>
    <w:rsid w:val="009B4897"/>
    <w:rsid w:val="009B49E1"/>
    <w:rsid w:val="009B505E"/>
    <w:rsid w:val="009B5174"/>
    <w:rsid w:val="009C0471"/>
    <w:rsid w:val="009C0C48"/>
    <w:rsid w:val="009C1AAB"/>
    <w:rsid w:val="009C283C"/>
    <w:rsid w:val="009C3B38"/>
    <w:rsid w:val="009D1534"/>
    <w:rsid w:val="009D223F"/>
    <w:rsid w:val="009D7FF1"/>
    <w:rsid w:val="009E1605"/>
    <w:rsid w:val="009E2647"/>
    <w:rsid w:val="009E33AD"/>
    <w:rsid w:val="009E388A"/>
    <w:rsid w:val="009E3AA8"/>
    <w:rsid w:val="009E5F20"/>
    <w:rsid w:val="009F06BD"/>
    <w:rsid w:val="009F11F8"/>
    <w:rsid w:val="009F1683"/>
    <w:rsid w:val="009F1A26"/>
    <w:rsid w:val="009F1C66"/>
    <w:rsid w:val="009F7B6B"/>
    <w:rsid w:val="00A0028F"/>
    <w:rsid w:val="00A0735A"/>
    <w:rsid w:val="00A07FF0"/>
    <w:rsid w:val="00A111A5"/>
    <w:rsid w:val="00A12286"/>
    <w:rsid w:val="00A129E6"/>
    <w:rsid w:val="00A141DA"/>
    <w:rsid w:val="00A176C2"/>
    <w:rsid w:val="00A2069D"/>
    <w:rsid w:val="00A206C4"/>
    <w:rsid w:val="00A208CE"/>
    <w:rsid w:val="00A2113C"/>
    <w:rsid w:val="00A22E58"/>
    <w:rsid w:val="00A23B85"/>
    <w:rsid w:val="00A26600"/>
    <w:rsid w:val="00A271C6"/>
    <w:rsid w:val="00A36F9D"/>
    <w:rsid w:val="00A37573"/>
    <w:rsid w:val="00A37BEB"/>
    <w:rsid w:val="00A37CBB"/>
    <w:rsid w:val="00A433F8"/>
    <w:rsid w:val="00A44A58"/>
    <w:rsid w:val="00A4622B"/>
    <w:rsid w:val="00A47D83"/>
    <w:rsid w:val="00A51DC9"/>
    <w:rsid w:val="00A52F6A"/>
    <w:rsid w:val="00A54E3A"/>
    <w:rsid w:val="00A564BE"/>
    <w:rsid w:val="00A57436"/>
    <w:rsid w:val="00A60414"/>
    <w:rsid w:val="00A62528"/>
    <w:rsid w:val="00A630BE"/>
    <w:rsid w:val="00A64749"/>
    <w:rsid w:val="00A6480E"/>
    <w:rsid w:val="00A6595B"/>
    <w:rsid w:val="00A66DDA"/>
    <w:rsid w:val="00A673EC"/>
    <w:rsid w:val="00A706ED"/>
    <w:rsid w:val="00A71E3C"/>
    <w:rsid w:val="00A74E30"/>
    <w:rsid w:val="00A76C3D"/>
    <w:rsid w:val="00A811F6"/>
    <w:rsid w:val="00A82AF3"/>
    <w:rsid w:val="00A82D65"/>
    <w:rsid w:val="00A84585"/>
    <w:rsid w:val="00A854B9"/>
    <w:rsid w:val="00A86BE9"/>
    <w:rsid w:val="00A87B3F"/>
    <w:rsid w:val="00A903DD"/>
    <w:rsid w:val="00A97555"/>
    <w:rsid w:val="00A97BB9"/>
    <w:rsid w:val="00AA1137"/>
    <w:rsid w:val="00AA18B8"/>
    <w:rsid w:val="00AA1C7F"/>
    <w:rsid w:val="00AA1E8E"/>
    <w:rsid w:val="00AA28FF"/>
    <w:rsid w:val="00AA55F8"/>
    <w:rsid w:val="00AA5FFD"/>
    <w:rsid w:val="00AA6D65"/>
    <w:rsid w:val="00AB199E"/>
    <w:rsid w:val="00AB232A"/>
    <w:rsid w:val="00AB35BA"/>
    <w:rsid w:val="00AB39BE"/>
    <w:rsid w:val="00AB4428"/>
    <w:rsid w:val="00AB46CF"/>
    <w:rsid w:val="00AB649F"/>
    <w:rsid w:val="00AB6C1F"/>
    <w:rsid w:val="00AB72F0"/>
    <w:rsid w:val="00AB7CE0"/>
    <w:rsid w:val="00AC07CD"/>
    <w:rsid w:val="00AC3194"/>
    <w:rsid w:val="00AC7C51"/>
    <w:rsid w:val="00AD0BAE"/>
    <w:rsid w:val="00AD138E"/>
    <w:rsid w:val="00AD234F"/>
    <w:rsid w:val="00AD61A4"/>
    <w:rsid w:val="00AD7692"/>
    <w:rsid w:val="00AE0289"/>
    <w:rsid w:val="00AE5BB7"/>
    <w:rsid w:val="00AE7A4C"/>
    <w:rsid w:val="00AF3035"/>
    <w:rsid w:val="00AF33B2"/>
    <w:rsid w:val="00AF792C"/>
    <w:rsid w:val="00B058A3"/>
    <w:rsid w:val="00B05DF7"/>
    <w:rsid w:val="00B1623A"/>
    <w:rsid w:val="00B23676"/>
    <w:rsid w:val="00B2530B"/>
    <w:rsid w:val="00B26FEA"/>
    <w:rsid w:val="00B308DB"/>
    <w:rsid w:val="00B30AAF"/>
    <w:rsid w:val="00B32122"/>
    <w:rsid w:val="00B335CC"/>
    <w:rsid w:val="00B33E43"/>
    <w:rsid w:val="00B35124"/>
    <w:rsid w:val="00B363ED"/>
    <w:rsid w:val="00B42797"/>
    <w:rsid w:val="00B42DE7"/>
    <w:rsid w:val="00B4513D"/>
    <w:rsid w:val="00B4627E"/>
    <w:rsid w:val="00B51B7A"/>
    <w:rsid w:val="00B52363"/>
    <w:rsid w:val="00B531A3"/>
    <w:rsid w:val="00B53D70"/>
    <w:rsid w:val="00B54B0F"/>
    <w:rsid w:val="00B55178"/>
    <w:rsid w:val="00B55DFF"/>
    <w:rsid w:val="00B62B6A"/>
    <w:rsid w:val="00B6300C"/>
    <w:rsid w:val="00B631B8"/>
    <w:rsid w:val="00B637F0"/>
    <w:rsid w:val="00B63BF5"/>
    <w:rsid w:val="00B64720"/>
    <w:rsid w:val="00B6491F"/>
    <w:rsid w:val="00B672B9"/>
    <w:rsid w:val="00B7051B"/>
    <w:rsid w:val="00B73BA2"/>
    <w:rsid w:val="00B74221"/>
    <w:rsid w:val="00B7648C"/>
    <w:rsid w:val="00B8248D"/>
    <w:rsid w:val="00B84E16"/>
    <w:rsid w:val="00B859D6"/>
    <w:rsid w:val="00B92122"/>
    <w:rsid w:val="00B9533F"/>
    <w:rsid w:val="00B96A87"/>
    <w:rsid w:val="00B96FD6"/>
    <w:rsid w:val="00BA09B7"/>
    <w:rsid w:val="00BA0D6B"/>
    <w:rsid w:val="00BA1C10"/>
    <w:rsid w:val="00BA1F6F"/>
    <w:rsid w:val="00BA37BF"/>
    <w:rsid w:val="00BA4A79"/>
    <w:rsid w:val="00BA4B62"/>
    <w:rsid w:val="00BA5A2B"/>
    <w:rsid w:val="00BA5D77"/>
    <w:rsid w:val="00BB5935"/>
    <w:rsid w:val="00BC2507"/>
    <w:rsid w:val="00BC2F51"/>
    <w:rsid w:val="00BC31D7"/>
    <w:rsid w:val="00BC634A"/>
    <w:rsid w:val="00BC769F"/>
    <w:rsid w:val="00BD03BC"/>
    <w:rsid w:val="00BD0733"/>
    <w:rsid w:val="00BD3747"/>
    <w:rsid w:val="00BD3E85"/>
    <w:rsid w:val="00BD715F"/>
    <w:rsid w:val="00BD7971"/>
    <w:rsid w:val="00BE0804"/>
    <w:rsid w:val="00BE0B8F"/>
    <w:rsid w:val="00BE0D75"/>
    <w:rsid w:val="00BE0F74"/>
    <w:rsid w:val="00BE3154"/>
    <w:rsid w:val="00BE4B1B"/>
    <w:rsid w:val="00BE5256"/>
    <w:rsid w:val="00BE7BB6"/>
    <w:rsid w:val="00BE7F09"/>
    <w:rsid w:val="00BF2C8D"/>
    <w:rsid w:val="00BF2FB8"/>
    <w:rsid w:val="00BF3222"/>
    <w:rsid w:val="00BF50F8"/>
    <w:rsid w:val="00BF6E1F"/>
    <w:rsid w:val="00C00415"/>
    <w:rsid w:val="00C015DC"/>
    <w:rsid w:val="00C04629"/>
    <w:rsid w:val="00C046BA"/>
    <w:rsid w:val="00C04D19"/>
    <w:rsid w:val="00C067B8"/>
    <w:rsid w:val="00C10674"/>
    <w:rsid w:val="00C14CAA"/>
    <w:rsid w:val="00C16523"/>
    <w:rsid w:val="00C17003"/>
    <w:rsid w:val="00C17936"/>
    <w:rsid w:val="00C20104"/>
    <w:rsid w:val="00C2498A"/>
    <w:rsid w:val="00C249C1"/>
    <w:rsid w:val="00C27DBD"/>
    <w:rsid w:val="00C31053"/>
    <w:rsid w:val="00C31268"/>
    <w:rsid w:val="00C32138"/>
    <w:rsid w:val="00C34142"/>
    <w:rsid w:val="00C35ECB"/>
    <w:rsid w:val="00C369C2"/>
    <w:rsid w:val="00C37C49"/>
    <w:rsid w:val="00C407EE"/>
    <w:rsid w:val="00C41267"/>
    <w:rsid w:val="00C4134F"/>
    <w:rsid w:val="00C421A7"/>
    <w:rsid w:val="00C425AC"/>
    <w:rsid w:val="00C430C3"/>
    <w:rsid w:val="00C44A1A"/>
    <w:rsid w:val="00C47BB9"/>
    <w:rsid w:val="00C47ED2"/>
    <w:rsid w:val="00C50C95"/>
    <w:rsid w:val="00C51F45"/>
    <w:rsid w:val="00C5578C"/>
    <w:rsid w:val="00C5643C"/>
    <w:rsid w:val="00C56F84"/>
    <w:rsid w:val="00C60521"/>
    <w:rsid w:val="00C60925"/>
    <w:rsid w:val="00C63D6F"/>
    <w:rsid w:val="00C644B0"/>
    <w:rsid w:val="00C64B0E"/>
    <w:rsid w:val="00C717EC"/>
    <w:rsid w:val="00C7246D"/>
    <w:rsid w:val="00C7393E"/>
    <w:rsid w:val="00C73A41"/>
    <w:rsid w:val="00C80A81"/>
    <w:rsid w:val="00C837B0"/>
    <w:rsid w:val="00C84963"/>
    <w:rsid w:val="00C849DA"/>
    <w:rsid w:val="00C85287"/>
    <w:rsid w:val="00C871DC"/>
    <w:rsid w:val="00C90451"/>
    <w:rsid w:val="00C90A16"/>
    <w:rsid w:val="00C91545"/>
    <w:rsid w:val="00C91AA8"/>
    <w:rsid w:val="00C91BBA"/>
    <w:rsid w:val="00C923E6"/>
    <w:rsid w:val="00C92A72"/>
    <w:rsid w:val="00C92D86"/>
    <w:rsid w:val="00C94987"/>
    <w:rsid w:val="00C94B9C"/>
    <w:rsid w:val="00C9588D"/>
    <w:rsid w:val="00C960D3"/>
    <w:rsid w:val="00C96EA7"/>
    <w:rsid w:val="00C97D77"/>
    <w:rsid w:val="00CA0100"/>
    <w:rsid w:val="00CA04EB"/>
    <w:rsid w:val="00CA11D6"/>
    <w:rsid w:val="00CA36E5"/>
    <w:rsid w:val="00CA3D9E"/>
    <w:rsid w:val="00CA5E1A"/>
    <w:rsid w:val="00CA6B54"/>
    <w:rsid w:val="00CA7800"/>
    <w:rsid w:val="00CB1E35"/>
    <w:rsid w:val="00CB214E"/>
    <w:rsid w:val="00CB4B36"/>
    <w:rsid w:val="00CB5FDE"/>
    <w:rsid w:val="00CB6488"/>
    <w:rsid w:val="00CC04B2"/>
    <w:rsid w:val="00CC1DF4"/>
    <w:rsid w:val="00CC2735"/>
    <w:rsid w:val="00CC3A00"/>
    <w:rsid w:val="00CC533F"/>
    <w:rsid w:val="00CD1233"/>
    <w:rsid w:val="00CD1350"/>
    <w:rsid w:val="00CD4391"/>
    <w:rsid w:val="00CD4A33"/>
    <w:rsid w:val="00CD5C63"/>
    <w:rsid w:val="00CD5E65"/>
    <w:rsid w:val="00CE0883"/>
    <w:rsid w:val="00CE1912"/>
    <w:rsid w:val="00CE3814"/>
    <w:rsid w:val="00CE464D"/>
    <w:rsid w:val="00CE4892"/>
    <w:rsid w:val="00CE5884"/>
    <w:rsid w:val="00CE6FE2"/>
    <w:rsid w:val="00CF3573"/>
    <w:rsid w:val="00CF420A"/>
    <w:rsid w:val="00CF54AD"/>
    <w:rsid w:val="00CF68B3"/>
    <w:rsid w:val="00CF70A8"/>
    <w:rsid w:val="00D104C3"/>
    <w:rsid w:val="00D13993"/>
    <w:rsid w:val="00D13B7D"/>
    <w:rsid w:val="00D1403E"/>
    <w:rsid w:val="00D1510F"/>
    <w:rsid w:val="00D16BBF"/>
    <w:rsid w:val="00D208CB"/>
    <w:rsid w:val="00D213F4"/>
    <w:rsid w:val="00D22618"/>
    <w:rsid w:val="00D237BF"/>
    <w:rsid w:val="00D24241"/>
    <w:rsid w:val="00D31585"/>
    <w:rsid w:val="00D3220E"/>
    <w:rsid w:val="00D32682"/>
    <w:rsid w:val="00D33112"/>
    <w:rsid w:val="00D35085"/>
    <w:rsid w:val="00D40CFD"/>
    <w:rsid w:val="00D45241"/>
    <w:rsid w:val="00D50C38"/>
    <w:rsid w:val="00D51037"/>
    <w:rsid w:val="00D53BB2"/>
    <w:rsid w:val="00D5433B"/>
    <w:rsid w:val="00D6023E"/>
    <w:rsid w:val="00D62AF7"/>
    <w:rsid w:val="00D63035"/>
    <w:rsid w:val="00D64B77"/>
    <w:rsid w:val="00D70EAC"/>
    <w:rsid w:val="00D71468"/>
    <w:rsid w:val="00D775F8"/>
    <w:rsid w:val="00D8119E"/>
    <w:rsid w:val="00D81384"/>
    <w:rsid w:val="00D827E9"/>
    <w:rsid w:val="00D84730"/>
    <w:rsid w:val="00D84D5D"/>
    <w:rsid w:val="00D84E1E"/>
    <w:rsid w:val="00D9056C"/>
    <w:rsid w:val="00D9077E"/>
    <w:rsid w:val="00D90E14"/>
    <w:rsid w:val="00D91157"/>
    <w:rsid w:val="00D92431"/>
    <w:rsid w:val="00D92B6B"/>
    <w:rsid w:val="00D92CF7"/>
    <w:rsid w:val="00D95169"/>
    <w:rsid w:val="00D95698"/>
    <w:rsid w:val="00D95AB3"/>
    <w:rsid w:val="00D968C9"/>
    <w:rsid w:val="00D97D11"/>
    <w:rsid w:val="00DA0317"/>
    <w:rsid w:val="00DA12FD"/>
    <w:rsid w:val="00DA1457"/>
    <w:rsid w:val="00DA36D8"/>
    <w:rsid w:val="00DA45ED"/>
    <w:rsid w:val="00DA49E9"/>
    <w:rsid w:val="00DA4C6E"/>
    <w:rsid w:val="00DA4DD2"/>
    <w:rsid w:val="00DA54B4"/>
    <w:rsid w:val="00DA6DBB"/>
    <w:rsid w:val="00DA7E39"/>
    <w:rsid w:val="00DB024C"/>
    <w:rsid w:val="00DB442E"/>
    <w:rsid w:val="00DB5AAB"/>
    <w:rsid w:val="00DB5C86"/>
    <w:rsid w:val="00DB5DF9"/>
    <w:rsid w:val="00DB6333"/>
    <w:rsid w:val="00DC427F"/>
    <w:rsid w:val="00DC4657"/>
    <w:rsid w:val="00DC5342"/>
    <w:rsid w:val="00DD1842"/>
    <w:rsid w:val="00DD2B52"/>
    <w:rsid w:val="00DD3F26"/>
    <w:rsid w:val="00DD4EE9"/>
    <w:rsid w:val="00DE3AFC"/>
    <w:rsid w:val="00DE415B"/>
    <w:rsid w:val="00DE483D"/>
    <w:rsid w:val="00DE4B28"/>
    <w:rsid w:val="00DE618B"/>
    <w:rsid w:val="00DE7AC1"/>
    <w:rsid w:val="00DF0B2D"/>
    <w:rsid w:val="00DF1BA7"/>
    <w:rsid w:val="00DF2209"/>
    <w:rsid w:val="00DF3F83"/>
    <w:rsid w:val="00DF4F19"/>
    <w:rsid w:val="00DF651D"/>
    <w:rsid w:val="00DF70DF"/>
    <w:rsid w:val="00E00201"/>
    <w:rsid w:val="00E054B3"/>
    <w:rsid w:val="00E06BAD"/>
    <w:rsid w:val="00E07019"/>
    <w:rsid w:val="00E11307"/>
    <w:rsid w:val="00E17541"/>
    <w:rsid w:val="00E20F6B"/>
    <w:rsid w:val="00E2103E"/>
    <w:rsid w:val="00E24686"/>
    <w:rsid w:val="00E2568A"/>
    <w:rsid w:val="00E262A5"/>
    <w:rsid w:val="00E26F71"/>
    <w:rsid w:val="00E2775B"/>
    <w:rsid w:val="00E27FC1"/>
    <w:rsid w:val="00E30E01"/>
    <w:rsid w:val="00E318A8"/>
    <w:rsid w:val="00E323BF"/>
    <w:rsid w:val="00E337FB"/>
    <w:rsid w:val="00E34B10"/>
    <w:rsid w:val="00E35EBA"/>
    <w:rsid w:val="00E37231"/>
    <w:rsid w:val="00E37D60"/>
    <w:rsid w:val="00E41F23"/>
    <w:rsid w:val="00E424A8"/>
    <w:rsid w:val="00E43059"/>
    <w:rsid w:val="00E44290"/>
    <w:rsid w:val="00E45956"/>
    <w:rsid w:val="00E470EC"/>
    <w:rsid w:val="00E53D04"/>
    <w:rsid w:val="00E5746D"/>
    <w:rsid w:val="00E611A9"/>
    <w:rsid w:val="00E64173"/>
    <w:rsid w:val="00E65AD7"/>
    <w:rsid w:val="00E67915"/>
    <w:rsid w:val="00E70C35"/>
    <w:rsid w:val="00E736FB"/>
    <w:rsid w:val="00E80C9D"/>
    <w:rsid w:val="00E82B01"/>
    <w:rsid w:val="00E82D57"/>
    <w:rsid w:val="00E83B15"/>
    <w:rsid w:val="00E92A1C"/>
    <w:rsid w:val="00E94804"/>
    <w:rsid w:val="00E9705A"/>
    <w:rsid w:val="00EA09A8"/>
    <w:rsid w:val="00EA1462"/>
    <w:rsid w:val="00EA1520"/>
    <w:rsid w:val="00EA361A"/>
    <w:rsid w:val="00EB3F07"/>
    <w:rsid w:val="00EB4C24"/>
    <w:rsid w:val="00EB6978"/>
    <w:rsid w:val="00EC1880"/>
    <w:rsid w:val="00EC5015"/>
    <w:rsid w:val="00EC5197"/>
    <w:rsid w:val="00EC51BC"/>
    <w:rsid w:val="00EC7AE9"/>
    <w:rsid w:val="00ED19E2"/>
    <w:rsid w:val="00ED2381"/>
    <w:rsid w:val="00ED2F33"/>
    <w:rsid w:val="00ED6BDE"/>
    <w:rsid w:val="00EE0D76"/>
    <w:rsid w:val="00EE193B"/>
    <w:rsid w:val="00EE27FF"/>
    <w:rsid w:val="00EE4DF3"/>
    <w:rsid w:val="00EE54A3"/>
    <w:rsid w:val="00EE61D2"/>
    <w:rsid w:val="00EE64B8"/>
    <w:rsid w:val="00EF01F4"/>
    <w:rsid w:val="00EF02F3"/>
    <w:rsid w:val="00EF1D2C"/>
    <w:rsid w:val="00EF2F7C"/>
    <w:rsid w:val="00EF32A2"/>
    <w:rsid w:val="00EF4414"/>
    <w:rsid w:val="00EF489F"/>
    <w:rsid w:val="00EF582E"/>
    <w:rsid w:val="00EF650C"/>
    <w:rsid w:val="00EF6B46"/>
    <w:rsid w:val="00F04113"/>
    <w:rsid w:val="00F061A7"/>
    <w:rsid w:val="00F07507"/>
    <w:rsid w:val="00F07A11"/>
    <w:rsid w:val="00F1269A"/>
    <w:rsid w:val="00F12AF4"/>
    <w:rsid w:val="00F137C5"/>
    <w:rsid w:val="00F153DC"/>
    <w:rsid w:val="00F16FE4"/>
    <w:rsid w:val="00F21ECF"/>
    <w:rsid w:val="00F222CD"/>
    <w:rsid w:val="00F2271F"/>
    <w:rsid w:val="00F24BF0"/>
    <w:rsid w:val="00F25621"/>
    <w:rsid w:val="00F2572C"/>
    <w:rsid w:val="00F26177"/>
    <w:rsid w:val="00F26AA8"/>
    <w:rsid w:val="00F30907"/>
    <w:rsid w:val="00F357BA"/>
    <w:rsid w:val="00F3602C"/>
    <w:rsid w:val="00F36A81"/>
    <w:rsid w:val="00F4116A"/>
    <w:rsid w:val="00F4330E"/>
    <w:rsid w:val="00F43928"/>
    <w:rsid w:val="00F43EA6"/>
    <w:rsid w:val="00F47A3C"/>
    <w:rsid w:val="00F51E61"/>
    <w:rsid w:val="00F525D7"/>
    <w:rsid w:val="00F54061"/>
    <w:rsid w:val="00F5605F"/>
    <w:rsid w:val="00F579C8"/>
    <w:rsid w:val="00F600E4"/>
    <w:rsid w:val="00F602F3"/>
    <w:rsid w:val="00F62607"/>
    <w:rsid w:val="00F62E5B"/>
    <w:rsid w:val="00F63E08"/>
    <w:rsid w:val="00F6584B"/>
    <w:rsid w:val="00F679E4"/>
    <w:rsid w:val="00F71400"/>
    <w:rsid w:val="00F7197C"/>
    <w:rsid w:val="00F72B82"/>
    <w:rsid w:val="00F74456"/>
    <w:rsid w:val="00F769EB"/>
    <w:rsid w:val="00F778E9"/>
    <w:rsid w:val="00F77A12"/>
    <w:rsid w:val="00F77F54"/>
    <w:rsid w:val="00F80E99"/>
    <w:rsid w:val="00F82F73"/>
    <w:rsid w:val="00F84FB9"/>
    <w:rsid w:val="00F86005"/>
    <w:rsid w:val="00F92705"/>
    <w:rsid w:val="00F932E0"/>
    <w:rsid w:val="00F94159"/>
    <w:rsid w:val="00F949C4"/>
    <w:rsid w:val="00F94ECC"/>
    <w:rsid w:val="00F952D6"/>
    <w:rsid w:val="00F9690F"/>
    <w:rsid w:val="00F9731D"/>
    <w:rsid w:val="00FA0565"/>
    <w:rsid w:val="00FA1C0C"/>
    <w:rsid w:val="00FA222C"/>
    <w:rsid w:val="00FB0323"/>
    <w:rsid w:val="00FB12DD"/>
    <w:rsid w:val="00FB15FD"/>
    <w:rsid w:val="00FB3487"/>
    <w:rsid w:val="00FB4B6A"/>
    <w:rsid w:val="00FB5047"/>
    <w:rsid w:val="00FB5E92"/>
    <w:rsid w:val="00FB61C5"/>
    <w:rsid w:val="00FC07D3"/>
    <w:rsid w:val="00FC3B24"/>
    <w:rsid w:val="00FC4046"/>
    <w:rsid w:val="00FC42F8"/>
    <w:rsid w:val="00FC453F"/>
    <w:rsid w:val="00FC5C90"/>
    <w:rsid w:val="00FC6D2F"/>
    <w:rsid w:val="00FD142B"/>
    <w:rsid w:val="00FD171B"/>
    <w:rsid w:val="00FD1D87"/>
    <w:rsid w:val="00FD2773"/>
    <w:rsid w:val="00FD3D6F"/>
    <w:rsid w:val="00FD4175"/>
    <w:rsid w:val="00FD5B59"/>
    <w:rsid w:val="00FE0004"/>
    <w:rsid w:val="00FE1607"/>
    <w:rsid w:val="00FE20AF"/>
    <w:rsid w:val="00FE3761"/>
    <w:rsid w:val="00FE62AF"/>
    <w:rsid w:val="00FE67FA"/>
    <w:rsid w:val="00FE6892"/>
    <w:rsid w:val="00FE7010"/>
    <w:rsid w:val="00FF09F7"/>
    <w:rsid w:val="00FF1D43"/>
    <w:rsid w:val="00FF4C16"/>
    <w:rsid w:val="00FF5601"/>
    <w:rsid w:val="00FF7598"/>
    <w:rsid w:val="00FF765F"/>
    <w:rsid w:val="2318223C"/>
    <w:rsid w:val="30076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21">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semiHidden/>
    <w:qFormat/>
    <w:uiPriority w:val="0"/>
    <w:rPr>
      <w:b/>
      <w:bCs/>
    </w:rPr>
  </w:style>
  <w:style w:type="paragraph" w:styleId="4">
    <w:name w:val="annotation text"/>
    <w:basedOn w:val="1"/>
    <w:link w:val="28"/>
    <w:semiHidden/>
    <w:qFormat/>
    <w:uiPriority w:val="0"/>
    <w:pPr>
      <w:jc w:val="left"/>
    </w:pPr>
  </w:style>
  <w:style w:type="paragraph" w:styleId="5">
    <w:name w:val="toc 7"/>
    <w:basedOn w:val="1"/>
    <w:next w:val="1"/>
    <w:qFormat/>
    <w:uiPriority w:val="0"/>
    <w:pPr>
      <w:ind w:left="1260"/>
      <w:jc w:val="left"/>
    </w:pPr>
    <w:rPr>
      <w:rFonts w:asciiTheme="minorHAnsi" w:hAnsiTheme="minorHAnsi"/>
      <w:sz w:val="18"/>
      <w:szCs w:val="18"/>
    </w:rPr>
  </w:style>
  <w:style w:type="paragraph" w:styleId="6">
    <w:name w:val="Body Text First Indent"/>
    <w:basedOn w:val="7"/>
    <w:qFormat/>
    <w:uiPriority w:val="0"/>
    <w:pPr>
      <w:ind w:firstLine="420" w:firstLineChars="100"/>
    </w:pPr>
  </w:style>
  <w:style w:type="paragraph" w:styleId="7">
    <w:name w:val="Body Text"/>
    <w:basedOn w:val="1"/>
    <w:qFormat/>
    <w:uiPriority w:val="0"/>
    <w:pPr>
      <w:spacing w:after="120"/>
    </w:pPr>
  </w:style>
  <w:style w:type="paragraph" w:styleId="8">
    <w:name w:val="toc 5"/>
    <w:basedOn w:val="1"/>
    <w:next w:val="1"/>
    <w:qFormat/>
    <w:uiPriority w:val="0"/>
    <w:pPr>
      <w:ind w:left="840"/>
      <w:jc w:val="left"/>
    </w:pPr>
    <w:rPr>
      <w:rFonts w:asciiTheme="minorHAnsi" w:hAnsiTheme="minorHAnsi"/>
      <w:sz w:val="18"/>
      <w:szCs w:val="18"/>
    </w:rPr>
  </w:style>
  <w:style w:type="paragraph" w:styleId="9">
    <w:name w:val="toc 3"/>
    <w:basedOn w:val="1"/>
    <w:next w:val="1"/>
    <w:qFormat/>
    <w:uiPriority w:val="0"/>
    <w:pPr>
      <w:ind w:left="420"/>
      <w:jc w:val="left"/>
    </w:pPr>
    <w:rPr>
      <w:rFonts w:asciiTheme="minorHAnsi" w:hAnsiTheme="minorHAnsi"/>
      <w:i/>
      <w:iCs/>
      <w:sz w:val="20"/>
      <w:szCs w:val="20"/>
    </w:rPr>
  </w:style>
  <w:style w:type="paragraph" w:styleId="10">
    <w:name w:val="toc 8"/>
    <w:basedOn w:val="1"/>
    <w:next w:val="1"/>
    <w:qFormat/>
    <w:uiPriority w:val="0"/>
    <w:pPr>
      <w:ind w:left="1470"/>
      <w:jc w:val="left"/>
    </w:pPr>
    <w:rPr>
      <w:rFonts w:asciiTheme="minorHAnsi" w:hAnsiTheme="minorHAnsi"/>
      <w:sz w:val="18"/>
      <w:szCs w:val="18"/>
    </w:rPr>
  </w:style>
  <w:style w:type="paragraph" w:styleId="11">
    <w:name w:val="Balloon Text"/>
    <w:basedOn w:val="1"/>
    <w:semiHidden/>
    <w:qFormat/>
    <w:uiPriority w:val="0"/>
    <w:rPr>
      <w:sz w:val="18"/>
      <w:szCs w:val="18"/>
    </w:rPr>
  </w:style>
  <w:style w:type="paragraph" w:styleId="12">
    <w:name w:val="footer"/>
    <w:basedOn w:val="1"/>
    <w:link w:val="45"/>
    <w:qFormat/>
    <w:uiPriority w:val="99"/>
    <w:pPr>
      <w:tabs>
        <w:tab w:val="center" w:pos="4153"/>
        <w:tab w:val="right" w:pos="8306"/>
      </w:tabs>
      <w:snapToGrid w:val="0"/>
      <w:jc w:val="left"/>
    </w:pPr>
    <w:rPr>
      <w:sz w:val="18"/>
      <w:szCs w:val="18"/>
    </w:rPr>
  </w:style>
  <w:style w:type="paragraph" w:styleId="13">
    <w:name w:val="header"/>
    <w:basedOn w:val="1"/>
    <w:link w:val="35"/>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402"/>
      </w:tabs>
      <w:spacing w:before="120" w:after="120" w:line="400" w:lineRule="exact"/>
      <w:jc w:val="left"/>
    </w:pPr>
    <w:rPr>
      <w:rFonts w:eastAsia="Times New Roman"/>
      <w:b/>
      <w:bCs/>
      <w:caps/>
      <w:color w:val="000000" w:themeColor="text1"/>
      <w:sz w:val="24"/>
      <w:szCs w:val="28"/>
    </w:rPr>
  </w:style>
  <w:style w:type="paragraph" w:styleId="15">
    <w:name w:val="toc 4"/>
    <w:basedOn w:val="1"/>
    <w:next w:val="1"/>
    <w:qFormat/>
    <w:uiPriority w:val="0"/>
    <w:pPr>
      <w:ind w:left="630"/>
      <w:jc w:val="left"/>
    </w:pPr>
    <w:rPr>
      <w:rFonts w:asciiTheme="minorHAnsi" w:hAnsiTheme="minorHAnsi"/>
      <w:sz w:val="18"/>
      <w:szCs w:val="18"/>
    </w:rPr>
  </w:style>
  <w:style w:type="paragraph" w:styleId="16">
    <w:name w:val="toc 6"/>
    <w:basedOn w:val="1"/>
    <w:next w:val="1"/>
    <w:qFormat/>
    <w:uiPriority w:val="0"/>
    <w:pPr>
      <w:ind w:left="1050"/>
      <w:jc w:val="left"/>
    </w:pPr>
    <w:rPr>
      <w:rFonts w:asciiTheme="minorHAnsi" w:hAnsiTheme="minorHAnsi"/>
      <w:sz w:val="18"/>
      <w:szCs w:val="18"/>
    </w:rPr>
  </w:style>
  <w:style w:type="paragraph" w:styleId="17">
    <w:name w:val="Body Text Indent 3"/>
    <w:basedOn w:val="1"/>
    <w:link w:val="29"/>
    <w:qFormat/>
    <w:uiPriority w:val="0"/>
    <w:pPr>
      <w:adjustRightInd w:val="0"/>
      <w:spacing w:line="312" w:lineRule="atLeast"/>
      <w:ind w:firstLine="555"/>
      <w:textAlignment w:val="baseline"/>
    </w:pPr>
    <w:rPr>
      <w:rFonts w:ascii="仿宋_GB2312" w:eastAsia="仿宋_GB2312"/>
      <w:color w:val="000000"/>
      <w:kern w:val="0"/>
      <w:sz w:val="28"/>
      <w:szCs w:val="20"/>
    </w:rPr>
  </w:style>
  <w:style w:type="paragraph" w:styleId="18">
    <w:name w:val="toc 2"/>
    <w:basedOn w:val="1"/>
    <w:next w:val="1"/>
    <w:qFormat/>
    <w:uiPriority w:val="39"/>
    <w:pPr>
      <w:tabs>
        <w:tab w:val="left" w:pos="840"/>
        <w:tab w:val="right" w:leader="dot" w:pos="9402"/>
      </w:tabs>
      <w:ind w:left="210"/>
      <w:jc w:val="left"/>
    </w:pPr>
    <w:rPr>
      <w:rFonts w:ascii="宋体" w:hAnsi="宋体" w:eastAsia="Times New Roman"/>
      <w:b/>
      <w:smallCaps/>
      <w:sz w:val="24"/>
      <w:szCs w:val="28"/>
    </w:rPr>
  </w:style>
  <w:style w:type="paragraph" w:styleId="19">
    <w:name w:val="toc 9"/>
    <w:basedOn w:val="1"/>
    <w:next w:val="1"/>
    <w:qFormat/>
    <w:uiPriority w:val="0"/>
    <w:pPr>
      <w:ind w:left="1680"/>
      <w:jc w:val="left"/>
    </w:pPr>
    <w:rPr>
      <w:rFonts w:asciiTheme="minorHAnsi" w:hAnsiTheme="minorHAnsi"/>
      <w:sz w:val="18"/>
      <w:szCs w:val="18"/>
    </w:rPr>
  </w:style>
  <w:style w:type="paragraph" w:styleId="20">
    <w:name w:val="Normal (Web)"/>
    <w:basedOn w:val="1"/>
    <w:qFormat/>
    <w:uiPriority w:val="0"/>
    <w:pPr>
      <w:widowControl/>
      <w:spacing w:before="100" w:beforeAutospacing="1" w:after="100" w:afterAutospacing="1" w:line="432" w:lineRule="auto"/>
      <w:ind w:firstLine="480"/>
      <w:jc w:val="left"/>
    </w:pPr>
    <w:rPr>
      <w:rFonts w:ascii="宋体" w:hAnsi="宋体" w:cs="宋体"/>
      <w:spacing w:val="15"/>
      <w:kern w:val="0"/>
      <w:sz w:val="24"/>
    </w:r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qFormat/>
    <w:uiPriority w:val="99"/>
    <w:rPr>
      <w:rFonts w:cs="Times New Roman"/>
      <w:color w:val="0000FF"/>
      <w:u w:val="single"/>
    </w:rPr>
  </w:style>
  <w:style w:type="character" w:styleId="25">
    <w:name w:val="annotation reference"/>
    <w:basedOn w:val="21"/>
    <w:semiHidden/>
    <w:qFormat/>
    <w:uiPriority w:val="0"/>
    <w:rPr>
      <w:sz w:val="21"/>
      <w:szCs w:val="21"/>
    </w:r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批注文字 Char"/>
    <w:basedOn w:val="21"/>
    <w:link w:val="4"/>
    <w:qFormat/>
    <w:locked/>
    <w:uiPriority w:val="0"/>
    <w:rPr>
      <w:rFonts w:eastAsia="宋体"/>
      <w:kern w:val="2"/>
      <w:sz w:val="21"/>
      <w:szCs w:val="24"/>
      <w:lang w:val="en-US" w:eastAsia="zh-CN" w:bidi="ar-SA"/>
    </w:rPr>
  </w:style>
  <w:style w:type="character" w:customStyle="1" w:styleId="29">
    <w:name w:val="正文文本缩进 3 Char"/>
    <w:basedOn w:val="21"/>
    <w:link w:val="17"/>
    <w:semiHidden/>
    <w:qFormat/>
    <w:locked/>
    <w:uiPriority w:val="0"/>
    <w:rPr>
      <w:rFonts w:ascii="仿宋_GB2312" w:eastAsia="仿宋_GB2312"/>
      <w:color w:val="000000"/>
      <w:sz w:val="28"/>
      <w:lang w:val="en-US" w:eastAsia="zh-CN" w:bidi="ar-SA"/>
    </w:rPr>
  </w:style>
  <w:style w:type="character" w:customStyle="1" w:styleId="30">
    <w:name w:val="font01"/>
    <w:basedOn w:val="21"/>
    <w:qFormat/>
    <w:uiPriority w:val="99"/>
    <w:rPr>
      <w:rFonts w:ascii="宋体" w:hAnsi="宋体" w:eastAsia="宋体" w:cs="宋体"/>
      <w:color w:val="000000"/>
      <w:sz w:val="24"/>
      <w:szCs w:val="24"/>
      <w:u w:val="none"/>
    </w:rPr>
  </w:style>
  <w:style w:type="character" w:customStyle="1" w:styleId="31">
    <w:name w:val="font41"/>
    <w:basedOn w:val="21"/>
    <w:qFormat/>
    <w:uiPriority w:val="99"/>
    <w:rPr>
      <w:rFonts w:ascii="宋体" w:hAnsi="宋体" w:eastAsia="宋体" w:cs="宋体"/>
      <w:color w:val="000000"/>
      <w:sz w:val="24"/>
      <w:szCs w:val="24"/>
      <w:u w:val="none"/>
      <w:vertAlign w:val="superscript"/>
    </w:rPr>
  </w:style>
  <w:style w:type="paragraph" w:styleId="32">
    <w:name w:val="List Paragraph"/>
    <w:basedOn w:val="1"/>
    <w:qFormat/>
    <w:uiPriority w:val="34"/>
    <w:pPr>
      <w:ind w:firstLine="420" w:firstLineChars="200"/>
    </w:pPr>
  </w:style>
  <w:style w:type="paragraph" w:customStyle="1" w:styleId="33">
    <w:name w:val="Revision"/>
    <w:hidden/>
    <w:semiHidden/>
    <w:uiPriority w:val="99"/>
    <w:rPr>
      <w:rFonts w:ascii="Times New Roman" w:hAnsi="Times New Roman" w:eastAsia="宋体" w:cs="Times New Roman"/>
      <w:kern w:val="2"/>
      <w:sz w:val="21"/>
      <w:szCs w:val="24"/>
      <w:lang w:val="en-US" w:eastAsia="zh-CN" w:bidi="ar-SA"/>
    </w:rPr>
  </w:style>
  <w:style w:type="paragraph" w:customStyle="1" w:styleId="34">
    <w:name w:val="样式1"/>
    <w:link w:val="36"/>
    <w:qFormat/>
    <w:uiPriority w:val="0"/>
    <w:rPr>
      <w:rFonts w:ascii="Times New Roman" w:hAnsi="Times New Roman" w:eastAsia="宋体" w:cs="Times New Roman"/>
      <w:kern w:val="2"/>
      <w:sz w:val="18"/>
      <w:szCs w:val="18"/>
      <w:lang w:val="en-US" w:eastAsia="zh-CN" w:bidi="ar-SA"/>
    </w:rPr>
  </w:style>
  <w:style w:type="character" w:customStyle="1" w:styleId="35">
    <w:name w:val="页眉 Char"/>
    <w:basedOn w:val="21"/>
    <w:link w:val="13"/>
    <w:qFormat/>
    <w:uiPriority w:val="99"/>
    <w:rPr>
      <w:kern w:val="2"/>
      <w:sz w:val="18"/>
      <w:szCs w:val="18"/>
    </w:rPr>
  </w:style>
  <w:style w:type="character" w:customStyle="1" w:styleId="36">
    <w:name w:val="样式1 Char"/>
    <w:basedOn w:val="21"/>
    <w:link w:val="34"/>
    <w:qFormat/>
    <w:uiPriority w:val="0"/>
    <w:rPr>
      <w:kern w:val="2"/>
      <w:sz w:val="18"/>
      <w:szCs w:val="18"/>
    </w:rPr>
  </w:style>
  <w:style w:type="paragraph" w:customStyle="1" w:styleId="37">
    <w:name w:val="样式2"/>
    <w:link w:val="38"/>
    <w:qFormat/>
    <w:uiPriority w:val="0"/>
    <w:rPr>
      <w:rFonts w:ascii="Times New Roman" w:hAnsi="Times New Roman" w:eastAsia="宋体" w:cs="Times New Roman"/>
      <w:kern w:val="2"/>
      <w:sz w:val="18"/>
      <w:szCs w:val="18"/>
      <w:lang w:val="en-US" w:eastAsia="zh-CN" w:bidi="ar-SA"/>
    </w:rPr>
  </w:style>
  <w:style w:type="character" w:customStyle="1" w:styleId="38">
    <w:name w:val="样式2 Char"/>
    <w:basedOn w:val="21"/>
    <w:link w:val="37"/>
    <w:qFormat/>
    <w:uiPriority w:val="0"/>
    <w:rPr>
      <w:kern w:val="2"/>
      <w:sz w:val="18"/>
      <w:szCs w:val="18"/>
    </w:rPr>
  </w:style>
  <w:style w:type="paragraph" w:customStyle="1" w:styleId="39">
    <w:name w:val="样式3"/>
    <w:link w:val="41"/>
    <w:qFormat/>
    <w:uiPriority w:val="0"/>
    <w:rPr>
      <w:rFonts w:ascii="Times New Roman" w:hAnsi="Times New Roman" w:eastAsia="黑体" w:cs="Times New Roman"/>
      <w:color w:val="000000" w:themeColor="text1"/>
      <w:sz w:val="28"/>
      <w:szCs w:val="28"/>
      <w:u w:val="words"/>
      <w:lang w:val="en-US" w:eastAsia="zh-CN" w:bidi="ar-SA"/>
    </w:rPr>
  </w:style>
  <w:style w:type="paragraph" w:customStyle="1" w:styleId="40">
    <w:name w:val="样式4"/>
    <w:link w:val="42"/>
    <w:qFormat/>
    <w:uiPriority w:val="0"/>
    <w:pPr>
      <w:jc w:val="both"/>
    </w:pPr>
    <w:rPr>
      <w:rFonts w:ascii="Times New Roman" w:hAnsi="Times New Roman" w:eastAsia="宋体" w:cs="Times New Roman"/>
      <w:kern w:val="2"/>
      <w:sz w:val="18"/>
      <w:szCs w:val="18"/>
      <w:lang w:val="en-US" w:eastAsia="zh-CN" w:bidi="ar-SA"/>
    </w:rPr>
  </w:style>
  <w:style w:type="character" w:customStyle="1" w:styleId="41">
    <w:name w:val="样式3 Char"/>
    <w:basedOn w:val="21"/>
    <w:link w:val="39"/>
    <w:qFormat/>
    <w:uiPriority w:val="0"/>
    <w:rPr>
      <w:rFonts w:eastAsia="黑体"/>
      <w:color w:val="000000" w:themeColor="text1"/>
      <w:sz w:val="28"/>
      <w:szCs w:val="28"/>
      <w:u w:val="words"/>
    </w:rPr>
  </w:style>
  <w:style w:type="character" w:customStyle="1" w:styleId="42">
    <w:name w:val="样式4 Char"/>
    <w:basedOn w:val="21"/>
    <w:link w:val="40"/>
    <w:qFormat/>
    <w:uiPriority w:val="0"/>
    <w:rPr>
      <w:kern w:val="2"/>
      <w:sz w:val="18"/>
      <w:szCs w:val="18"/>
    </w:rPr>
  </w:style>
  <w:style w:type="paragraph" w:customStyle="1" w:styleId="43">
    <w:name w:val="样式5"/>
    <w:link w:val="44"/>
    <w:qFormat/>
    <w:uiPriority w:val="0"/>
    <w:rPr>
      <w:rFonts w:ascii="Times New Roman" w:hAnsi="Times New Roman" w:eastAsia="宋体" w:cs="Times New Roman"/>
      <w:kern w:val="2"/>
      <w:sz w:val="18"/>
      <w:szCs w:val="18"/>
      <w:lang w:val="en-US" w:eastAsia="zh-CN" w:bidi="ar-SA"/>
    </w:rPr>
  </w:style>
  <w:style w:type="character" w:customStyle="1" w:styleId="44">
    <w:name w:val="样式5 Char"/>
    <w:basedOn w:val="21"/>
    <w:link w:val="43"/>
    <w:qFormat/>
    <w:uiPriority w:val="0"/>
    <w:rPr>
      <w:kern w:val="2"/>
      <w:sz w:val="18"/>
      <w:szCs w:val="18"/>
    </w:rPr>
  </w:style>
  <w:style w:type="character" w:customStyle="1" w:styleId="45">
    <w:name w:val="页脚 Char"/>
    <w:basedOn w:val="21"/>
    <w:link w:val="12"/>
    <w:qFormat/>
    <w:uiPriority w:val="99"/>
    <w:rPr>
      <w:kern w:val="2"/>
      <w:sz w:val="18"/>
      <w:szCs w:val="18"/>
    </w:rPr>
  </w:style>
  <w:style w:type="paragraph" w:styleId="46">
    <w:name w:val="No Spacing"/>
    <w:link w:val="47"/>
    <w:qFormat/>
    <w:uiPriority w:val="1"/>
    <w:rPr>
      <w:rFonts w:asciiTheme="minorHAnsi" w:hAnsiTheme="minorHAnsi" w:eastAsiaTheme="minorEastAsia" w:cstheme="minorBidi"/>
      <w:sz w:val="22"/>
      <w:szCs w:val="22"/>
      <w:lang w:val="en-US" w:eastAsia="zh-CN" w:bidi="ar-SA"/>
    </w:rPr>
  </w:style>
  <w:style w:type="character" w:customStyle="1" w:styleId="47">
    <w:name w:val="无间隔 Char"/>
    <w:basedOn w:val="21"/>
    <w:link w:val="46"/>
    <w:qFormat/>
    <w:uiPriority w:val="1"/>
    <w:rPr>
      <w:rFonts w:asciiTheme="minorHAnsi" w:hAnsiTheme="minorHAnsi" w:eastAsiaTheme="minorEastAsia" w:cstheme="minorBidi"/>
      <w:sz w:val="22"/>
      <w:szCs w:val="22"/>
    </w:rPr>
  </w:style>
  <w:style w:type="paragraph" w:customStyle="1" w:styleId="48">
    <w:name w:val="F003B95880B542B9BE8F051F7F66E3A4"/>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49">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F00CCD-EBA2-42E2-B054-BAC48FB68D8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1790</Words>
  <Characters>10203</Characters>
  <Lines>85</Lines>
  <Paragraphs>23</Paragraphs>
  <ScaleCrop>false</ScaleCrop>
  <LinksUpToDate>false</LinksUpToDate>
  <CharactersWithSpaces>11970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2018-10-31T01:27:00Z</dcterms:created>
  <dc:creator>User</dc:creator>
  <cp:lastModifiedBy>zx406</cp:lastModifiedBy>
  <cp:lastPrinted>2021-03-12T07:02:00Z</cp:lastPrinted>
  <dcterms:modified xsi:type="dcterms:W3CDTF">2021-04-19T03:07:54Z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