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000000"/>
          <w:sz w:val="48"/>
          <w:szCs w:val="4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sz w:val="48"/>
          <w:szCs w:val="48"/>
          <w:lang w:eastAsia="zh-CN"/>
        </w:rPr>
      </w:pPr>
      <w:r>
        <w:rPr>
          <w:rFonts w:hint="eastAsia" w:ascii="仿宋" w:hAnsi="仿宋" w:eastAsia="仿宋" w:cs="仿宋"/>
          <w:b/>
          <w:bCs w:val="0"/>
          <w:color w:val="000000"/>
          <w:sz w:val="48"/>
          <w:szCs w:val="48"/>
          <w:lang w:eastAsia="zh-CN"/>
        </w:rPr>
        <w:t>京谷·美丽城</w:t>
      </w:r>
      <w:r>
        <w:rPr>
          <w:rFonts w:hint="eastAsia" w:ascii="仿宋" w:hAnsi="仿宋" w:eastAsia="仿宋" w:cs="仿宋"/>
          <w:b/>
          <w:bCs w:val="0"/>
          <w:color w:val="000000"/>
          <w:sz w:val="48"/>
          <w:szCs w:val="48"/>
          <w:lang w:val="en-US" w:eastAsia="zh-CN"/>
        </w:rPr>
        <w:t>涉案</w:t>
      </w:r>
      <w:r>
        <w:rPr>
          <w:rFonts w:hint="eastAsia" w:ascii="仿宋" w:hAnsi="仿宋" w:eastAsia="仿宋" w:cs="仿宋"/>
          <w:b/>
          <w:color w:val="000000"/>
          <w:sz w:val="48"/>
          <w:szCs w:val="48"/>
          <w:lang w:val="en-US" w:eastAsia="zh-CN"/>
        </w:rPr>
        <w:t>房地产价格评估报告</w:t>
      </w: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000000"/>
          <w:sz w:val="28"/>
          <w:szCs w:val="28"/>
          <w:u w:val="single"/>
          <w:lang w:eastAsia="zh-CN"/>
        </w:rPr>
        <w:t>本价评</w:t>
      </w:r>
      <w:r>
        <w:rPr>
          <w:rFonts w:hint="eastAsia" w:ascii="仿宋" w:hAnsi="仿宋" w:eastAsia="仿宋"/>
          <w:b/>
          <w:bCs w:val="0"/>
          <w:color w:val="000000"/>
          <w:sz w:val="28"/>
          <w:szCs w:val="28"/>
          <w:u w:val="single"/>
          <w:lang w:val="en-US" w:eastAsia="zh-CN"/>
        </w:rPr>
        <w:t>[2021]第42</w:t>
      </w:r>
      <w:r>
        <w:rPr>
          <w:rFonts w:hint="eastAsia" w:ascii="仿宋" w:hAnsi="仿宋" w:eastAsia="仿宋"/>
          <w:b/>
          <w:bCs w:val="0"/>
          <w:color w:val="auto"/>
          <w:sz w:val="28"/>
          <w:szCs w:val="28"/>
          <w:u w:val="single"/>
          <w:lang w:val="en-US" w:eastAsia="zh-CN"/>
        </w:rPr>
        <w:t>08002号</w:t>
      </w: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本惟识（湖北）价格评估有限公司</w:t>
      </w:r>
    </w:p>
    <w:p>
      <w:pPr>
        <w:keepNext w:val="0"/>
        <w:keepLines w:val="0"/>
        <w:pageBreakBefore w:val="0"/>
        <w:kinsoku/>
        <w:wordWrap/>
        <w:overflowPunct/>
        <w:topLinePunct w:val="0"/>
        <w:bidi w:val="0"/>
        <w:snapToGrid/>
        <w:spacing w:line="240" w:lineRule="auto"/>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二一</w:t>
      </w:r>
      <w:r>
        <w:rPr>
          <w:rFonts w:hint="eastAsia" w:ascii="仿宋" w:hAnsi="仿宋" w:eastAsia="仿宋" w:cs="仿宋"/>
          <w:b/>
          <w:bCs/>
          <w:color w:val="auto"/>
          <w:sz w:val="30"/>
          <w:szCs w:val="30"/>
        </w:rPr>
        <w:t>年</w:t>
      </w:r>
      <w:r>
        <w:rPr>
          <w:rFonts w:hint="eastAsia" w:ascii="仿宋" w:hAnsi="仿宋" w:eastAsia="仿宋" w:cs="仿宋"/>
          <w:b/>
          <w:bCs/>
          <w:color w:val="auto"/>
          <w:sz w:val="30"/>
          <w:szCs w:val="30"/>
          <w:lang w:eastAsia="zh-CN"/>
        </w:rPr>
        <w:t>四</w:t>
      </w:r>
      <w:r>
        <w:rPr>
          <w:rFonts w:hint="eastAsia" w:ascii="仿宋" w:hAnsi="仿宋" w:eastAsia="仿宋" w:cs="仿宋"/>
          <w:b/>
          <w:bCs/>
          <w:color w:val="auto"/>
          <w:sz w:val="30"/>
          <w:szCs w:val="30"/>
        </w:rPr>
        <w:t>月</w:t>
      </w:r>
      <w:r>
        <w:rPr>
          <w:rFonts w:hint="eastAsia" w:ascii="仿宋" w:hAnsi="仿宋" w:eastAsia="仿宋" w:cs="仿宋"/>
          <w:b/>
          <w:bCs/>
          <w:color w:val="auto"/>
          <w:sz w:val="30"/>
          <w:szCs w:val="30"/>
          <w:lang w:val="en-US" w:eastAsia="zh-CN"/>
        </w:rPr>
        <w:t>六日</w:t>
      </w: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000000"/>
          <w:sz w:val="30"/>
          <w:szCs w:val="30"/>
        </w:rPr>
        <w:sectPr>
          <w:headerReference r:id="rId4" w:type="default"/>
          <w:footerReference r:id="rId5" w:type="default"/>
          <w:pgSz w:w="11906" w:h="16838"/>
          <w:pgMar w:top="1701" w:right="1531" w:bottom="907" w:left="1582" w:header="851" w:footer="567" w:gutter="0"/>
          <w:pgNumType w:fmt="decimal"/>
          <w:cols w:space="720" w:num="1"/>
          <w:titlePg/>
          <w:rtlGutter w:val="0"/>
          <w:docGrid w:type="lines" w:linePitch="318" w:charSpace="0"/>
        </w:sect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b/>
          <w:color w:val="000000"/>
          <w:sz w:val="48"/>
          <w:szCs w:val="48"/>
        </w:rPr>
      </w:pPr>
      <w:r>
        <w:rPr>
          <w:rFonts w:hint="eastAsia" w:ascii="仿宋" w:hAnsi="仿宋" w:eastAsia="仿宋"/>
          <w:b/>
          <w:color w:val="000000"/>
          <w:sz w:val="48"/>
          <w:szCs w:val="48"/>
        </w:rPr>
        <w:t>声 明</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olor w:val="000000"/>
          <w:sz w:val="30"/>
          <w:szCs w:val="30"/>
        </w:rPr>
      </w:pP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报告，是在价格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人员对纳入价格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范围的委</w:t>
      </w:r>
      <w:r>
        <w:rPr>
          <w:rFonts w:hint="eastAsia" w:ascii="仿宋" w:hAnsi="仿宋" w:eastAsia="仿宋" w:cs="仿宋"/>
          <w:color w:val="000000"/>
          <w:sz w:val="30"/>
          <w:szCs w:val="30"/>
          <w:lang w:val="en-US" w:eastAsia="zh-CN"/>
        </w:rPr>
        <w:t>托标的</w:t>
      </w:r>
      <w:r>
        <w:rPr>
          <w:rFonts w:hint="eastAsia" w:ascii="仿宋" w:hAnsi="仿宋" w:eastAsia="仿宋" w:cs="仿宋"/>
          <w:color w:val="000000"/>
          <w:sz w:val="30"/>
          <w:szCs w:val="30"/>
        </w:rPr>
        <w:t>进行了认真的核实、依据操作规程评定估算等必要</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程序的基础上作出的，针对本</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报告，特作如下声明：</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一、我们在执行本</w:t>
      </w:r>
      <w:r>
        <w:rPr>
          <w:rFonts w:hint="eastAsia" w:ascii="仿宋" w:hAnsi="仿宋" w:eastAsia="仿宋" w:cs="仿宋"/>
          <w:color w:val="000000"/>
          <w:sz w:val="30"/>
          <w:szCs w:val="30"/>
          <w:lang w:eastAsia="zh-CN"/>
        </w:rPr>
        <w:t>价格评估</w:t>
      </w:r>
      <w:r>
        <w:rPr>
          <w:rFonts w:hint="eastAsia" w:ascii="仿宋" w:hAnsi="仿宋" w:eastAsia="仿宋" w:cs="仿宋"/>
          <w:color w:val="000000"/>
          <w:sz w:val="30"/>
          <w:szCs w:val="30"/>
        </w:rPr>
        <w:t>业务中，遵循了相关法律法规和</w:t>
      </w:r>
      <w:r>
        <w:rPr>
          <w:rFonts w:hint="eastAsia" w:ascii="仿宋" w:hAnsi="仿宋" w:eastAsia="仿宋" w:cs="仿宋"/>
          <w:color w:val="000000"/>
          <w:sz w:val="30"/>
          <w:szCs w:val="30"/>
          <w:lang w:eastAsia="zh-CN"/>
        </w:rPr>
        <w:t>价格</w:t>
      </w:r>
      <w:r>
        <w:rPr>
          <w:rFonts w:hint="eastAsia" w:ascii="仿宋" w:hAnsi="仿宋" w:eastAsia="仿宋" w:cs="仿宋"/>
          <w:color w:val="000000"/>
          <w:sz w:val="30"/>
          <w:szCs w:val="30"/>
        </w:rPr>
        <w:t>评估准则，恪守了独立、客观和公正的原则。根据执业过程中收集的资料，</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报告陈述的内容是客观的，并对</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结论合理性承担相应的法律责任。</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对象涉及的</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数据清单</w:t>
      </w:r>
      <w:r>
        <w:rPr>
          <w:rFonts w:hint="eastAsia" w:ascii="仿宋" w:hAnsi="仿宋" w:eastAsia="仿宋" w:cs="仿宋"/>
          <w:color w:val="000000"/>
          <w:sz w:val="30"/>
          <w:szCs w:val="30"/>
          <w:lang w:val="en-US" w:eastAsia="zh-CN"/>
        </w:rPr>
        <w:t>由资料提供方提供</w:t>
      </w:r>
      <w:r>
        <w:rPr>
          <w:rFonts w:hint="eastAsia" w:ascii="仿宋" w:hAnsi="仿宋" w:eastAsia="仿宋" w:cs="仿宋"/>
          <w:color w:val="000000"/>
          <w:sz w:val="30"/>
          <w:szCs w:val="30"/>
        </w:rPr>
        <w:t>并经其签章确认；提供必要资料并保证所提供资料的真实性、合法性、完整性以及恰当使用</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报告是委托方和相关当事方的责任。</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三、我们与价格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报告中的</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四、我们及其所在机构具备本价格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业务所需的执业资质和相关专业价格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经验，本价格</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报告没有利用其他机构报告的情形。</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b/>
          <w:color w:val="000000"/>
          <w:sz w:val="48"/>
          <w:szCs w:val="48"/>
        </w:rPr>
      </w:pPr>
      <w:r>
        <w:rPr>
          <w:rFonts w:hint="eastAsia" w:ascii="仿宋" w:hAnsi="仿宋" w:eastAsia="仿宋" w:cs="仿宋"/>
          <w:color w:val="000000"/>
          <w:spacing w:val="0"/>
          <w:kern w:val="0"/>
          <w:sz w:val="30"/>
          <w:szCs w:val="30"/>
        </w:rPr>
        <w:t>五、我们已对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报告中的</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产进行了现场调查；已对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产的法律权属状况给予必要的关注，对</w:t>
      </w:r>
      <w:r>
        <w:rPr>
          <w:rFonts w:hint="eastAsia" w:ascii="仿宋" w:hAnsi="仿宋" w:eastAsia="仿宋" w:cs="仿宋"/>
          <w:color w:val="000000"/>
          <w:spacing w:val="0"/>
          <w:kern w:val="0"/>
          <w:sz w:val="30"/>
          <w:szCs w:val="30"/>
          <w:lang w:eastAsia="zh-CN"/>
        </w:rPr>
        <w:t>评估</w:t>
      </w:r>
      <w:r>
        <w:rPr>
          <w:rFonts w:hint="eastAsia" w:ascii="仿宋" w:hAnsi="仿宋" w:eastAsia="仿宋" w:cs="仿宋"/>
          <w:color w:val="000000"/>
          <w:spacing w:val="0"/>
          <w:kern w:val="0"/>
          <w:sz w:val="30"/>
          <w:szCs w:val="30"/>
        </w:rPr>
        <w:t>对象及其所涉及</w:t>
      </w:r>
      <w:r>
        <w:rPr>
          <w:rFonts w:hint="eastAsia" w:ascii="仿宋" w:hAnsi="仿宋" w:eastAsia="仿宋" w:cs="仿宋"/>
          <w:color w:val="000000"/>
          <w:spacing w:val="0"/>
          <w:kern w:val="0"/>
          <w:sz w:val="30"/>
          <w:szCs w:val="30"/>
          <w:lang w:eastAsia="zh-CN"/>
        </w:rPr>
        <w:t>财</w:t>
      </w:r>
      <w:r>
        <w:rPr>
          <w:rFonts w:hint="eastAsia" w:ascii="仿宋" w:hAnsi="仿宋" w:eastAsia="仿宋" w:cs="仿宋"/>
          <w:color w:val="000000"/>
          <w:spacing w:val="0"/>
          <w:kern w:val="0"/>
          <w:sz w:val="30"/>
          <w:szCs w:val="30"/>
        </w:rPr>
        <w:t>产的法律权属资料进行了</w:t>
      </w:r>
      <w:r>
        <w:rPr>
          <w:rFonts w:hint="eastAsia" w:ascii="仿宋" w:hAnsi="仿宋" w:eastAsia="仿宋" w:cs="仿宋"/>
          <w:color w:val="000000"/>
          <w:spacing w:val="0"/>
          <w:kern w:val="0"/>
          <w:sz w:val="30"/>
          <w:szCs w:val="30"/>
          <w:lang w:eastAsia="zh-CN"/>
        </w:rPr>
        <w:t>查验</w:t>
      </w:r>
      <w:r>
        <w:rPr>
          <w:rFonts w:hint="eastAsia" w:ascii="仿宋" w:hAnsi="仿宋" w:eastAsia="仿宋" w:cs="仿宋"/>
          <w:color w:val="000000"/>
          <w:spacing w:val="0"/>
          <w:kern w:val="0"/>
          <w:sz w:val="30"/>
          <w:szCs w:val="30"/>
        </w:rPr>
        <w:t>。</w:t>
      </w:r>
    </w:p>
    <w:p>
      <w:pPr>
        <w:keepNext w:val="0"/>
        <w:keepLines w:val="0"/>
        <w:pageBreakBefore w:val="0"/>
        <w:kinsoku/>
        <w:wordWrap/>
        <w:overflowPunct/>
        <w:topLinePunct w:val="0"/>
        <w:bidi w:val="0"/>
        <w:spacing w:line="240" w:lineRule="auto"/>
        <w:jc w:val="center"/>
        <w:textAlignment w:val="auto"/>
        <w:rPr>
          <w:rStyle w:val="9"/>
          <w:rFonts w:hint="eastAsia" w:ascii="仿宋" w:hAnsi="仿宋" w:eastAsia="仿宋"/>
          <w:b/>
          <w:color w:val="000000"/>
          <w:sz w:val="48"/>
          <w:szCs w:val="48"/>
        </w:rPr>
      </w:pPr>
      <w:r>
        <w:rPr>
          <w:rFonts w:hint="eastAsia" w:ascii="仿宋" w:hAnsi="仿宋" w:eastAsia="仿宋"/>
          <w:b/>
          <w:color w:val="000000"/>
          <w:sz w:val="48"/>
          <w:szCs w:val="48"/>
        </w:rPr>
        <w:t>摘　要</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00" w:firstLineChars="200"/>
        <w:jc w:val="both"/>
        <w:textAlignment w:val="auto"/>
        <w:rPr>
          <w:rStyle w:val="9"/>
          <w:rFonts w:hint="eastAsia" w:ascii="仿宋" w:hAnsi="仿宋" w:eastAsia="仿宋" w:cs="仿宋"/>
          <w:color w:val="000000"/>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w:t>
      </w:r>
      <w:r>
        <w:rPr>
          <w:rFonts w:hint="eastAsia" w:ascii="仿宋" w:hAnsi="仿宋" w:eastAsia="仿宋" w:cs="仿宋"/>
          <w:sz w:val="30"/>
          <w:szCs w:val="30"/>
        </w:rPr>
        <w:t>循依法、公正、科学、效率的原则，按照规定的标准、程序和方法，</w:t>
      </w:r>
      <w:r>
        <w:rPr>
          <w:rFonts w:hint="eastAsia" w:ascii="仿宋" w:hAnsi="仿宋" w:eastAsia="仿宋" w:cs="仿宋"/>
          <w:color w:val="auto"/>
          <w:sz w:val="30"/>
          <w:szCs w:val="30"/>
          <w:lang w:eastAsia="zh-CN"/>
        </w:rPr>
        <w:t>对</w:t>
      </w:r>
      <w:r>
        <w:rPr>
          <w:rFonts w:hint="eastAsia" w:ascii="仿宋" w:hAnsi="仿宋" w:eastAsia="仿宋" w:cs="仿宋"/>
          <w:b w:val="0"/>
          <w:bCs/>
          <w:color w:val="000000"/>
          <w:sz w:val="30"/>
          <w:szCs w:val="30"/>
          <w:lang w:eastAsia="zh-CN"/>
        </w:rPr>
        <w:t>位于新市镇赵畈村京谷·美丽城</w:t>
      </w:r>
      <w:r>
        <w:rPr>
          <w:rFonts w:hint="eastAsia" w:ascii="仿宋" w:hAnsi="仿宋" w:eastAsia="仿宋" w:cs="仿宋"/>
          <w:b w:val="0"/>
          <w:bCs/>
          <w:color w:val="000000"/>
          <w:sz w:val="30"/>
          <w:szCs w:val="30"/>
          <w:lang w:val="en-US" w:eastAsia="zh-CN"/>
        </w:rPr>
        <w:t>16-1-601室</w:t>
      </w:r>
      <w:r>
        <w:rPr>
          <w:rFonts w:hint="eastAsia" w:ascii="仿宋" w:hAnsi="仿宋" w:eastAsia="仿宋" w:cs="仿宋"/>
          <w:color w:val="auto"/>
          <w:sz w:val="30"/>
          <w:szCs w:val="30"/>
          <w:lang w:eastAsia="zh-CN"/>
        </w:rPr>
        <w:t>进行了价格评估</w:t>
      </w:r>
      <w:r>
        <w:rPr>
          <w:rFonts w:hint="eastAsia" w:ascii="仿宋" w:hAnsi="仿宋" w:eastAsia="仿宋" w:cs="仿宋"/>
          <w:b w:val="0"/>
          <w:bCs/>
          <w:sz w:val="30"/>
          <w:szCs w:val="30"/>
          <w:lang w:eastAsia="zh-CN"/>
        </w:rPr>
        <w:t>。</w:t>
      </w:r>
      <w:r>
        <w:rPr>
          <w:rFonts w:hint="eastAsia" w:ascii="仿宋" w:hAnsi="仿宋" w:eastAsia="仿宋" w:cs="仿宋"/>
          <w:color w:val="000000"/>
          <w:sz w:val="30"/>
          <w:szCs w:val="30"/>
        </w:rPr>
        <w:t>现将</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情况及结果报告如下：</w:t>
      </w:r>
      <w:r>
        <w:rPr>
          <w:rStyle w:val="9"/>
          <w:rFonts w:hint="eastAsia" w:ascii="仿宋" w:hAnsi="仿宋" w:eastAsia="仿宋" w:cs="仿宋"/>
          <w:color w:val="000000"/>
          <w:sz w:val="30"/>
          <w:szCs w:val="30"/>
        </w:rPr>
        <w:t> </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目的</w:t>
      </w:r>
      <w:r>
        <w:rPr>
          <w:rStyle w:val="9"/>
          <w:rFonts w:hint="eastAsia" w:ascii="仿宋" w:hAnsi="仿宋" w:eastAsia="仿宋" w:cs="仿宋"/>
          <w:b/>
          <w:bCs/>
          <w:color w:val="000000"/>
          <w:sz w:val="30"/>
          <w:szCs w:val="30"/>
        </w:rPr>
        <w:t>：</w:t>
      </w:r>
      <w:r>
        <w:rPr>
          <w:rStyle w:val="9"/>
          <w:rFonts w:hint="eastAsia" w:ascii="仿宋" w:hAnsi="仿宋" w:eastAsia="仿宋" w:cs="仿宋"/>
          <w:b w:val="0"/>
          <w:bCs w:val="0"/>
          <w:color w:val="000000"/>
          <w:sz w:val="30"/>
          <w:szCs w:val="30"/>
          <w:lang w:val="en-US" w:eastAsia="zh-CN"/>
        </w:rPr>
        <w:t>确定评估标的在评估基准日现有价值，</w:t>
      </w:r>
      <w:r>
        <w:rPr>
          <w:rFonts w:hint="eastAsia" w:ascii="仿宋" w:hAnsi="仿宋" w:eastAsia="仿宋" w:cs="仿宋"/>
          <w:sz w:val="30"/>
          <w:szCs w:val="30"/>
          <w:lang w:eastAsia="zh-CN"/>
        </w:rPr>
        <w:t>为人民法院</w:t>
      </w:r>
      <w:r>
        <w:rPr>
          <w:rFonts w:hint="eastAsia" w:ascii="仿宋" w:hAnsi="仿宋" w:eastAsia="仿宋" w:cs="仿宋"/>
          <w:sz w:val="30"/>
          <w:szCs w:val="30"/>
          <w:lang w:val="en-US" w:eastAsia="zh-CN"/>
        </w:rPr>
        <w:t>执行相关案件</w:t>
      </w:r>
      <w:r>
        <w:rPr>
          <w:rFonts w:hint="eastAsia" w:ascii="仿宋" w:hAnsi="仿宋" w:eastAsia="仿宋" w:cs="仿宋"/>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对象和</w:t>
      </w: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范围</w:t>
      </w:r>
      <w:r>
        <w:rPr>
          <w:rStyle w:val="9"/>
          <w:rFonts w:hint="eastAsia" w:ascii="仿宋" w:hAnsi="仿宋" w:eastAsia="仿宋" w:cs="仿宋"/>
          <w:b/>
          <w:bCs/>
          <w:color w:val="000000"/>
          <w:sz w:val="30"/>
          <w:szCs w:val="30"/>
        </w:rPr>
        <w:t>：</w:t>
      </w:r>
      <w:r>
        <w:rPr>
          <w:rFonts w:hint="eastAsia" w:ascii="仿宋" w:hAnsi="仿宋" w:eastAsia="仿宋" w:cs="仿宋"/>
          <w:color w:val="000000"/>
          <w:sz w:val="30"/>
          <w:szCs w:val="30"/>
        </w:rPr>
        <w:t>本次价格评估对象为有形财产价格，</w:t>
      </w:r>
      <w:r>
        <w:rPr>
          <w:rFonts w:hint="eastAsia" w:ascii="仿宋" w:hAnsi="仿宋" w:eastAsia="仿宋" w:cs="仿宋"/>
          <w:color w:val="000000"/>
          <w:sz w:val="30"/>
          <w:szCs w:val="30"/>
          <w:lang w:val="en-US" w:eastAsia="zh-CN"/>
        </w:rPr>
        <w:t>评估范围为</w:t>
      </w:r>
      <w:r>
        <w:rPr>
          <w:rFonts w:hint="eastAsia" w:ascii="仿宋" w:hAnsi="仿宋" w:eastAsia="仿宋" w:cs="仿宋"/>
          <w:b w:val="0"/>
          <w:bCs/>
          <w:color w:val="000000"/>
          <w:sz w:val="30"/>
          <w:szCs w:val="30"/>
          <w:lang w:eastAsia="zh-CN"/>
        </w:rPr>
        <w:t>位于新市镇赵畈村京谷·美丽城</w:t>
      </w:r>
      <w:r>
        <w:rPr>
          <w:rFonts w:hint="eastAsia" w:ascii="仿宋" w:hAnsi="仿宋" w:eastAsia="仿宋" w:cs="仿宋"/>
          <w:b w:val="0"/>
          <w:bCs/>
          <w:color w:val="000000"/>
          <w:sz w:val="30"/>
          <w:szCs w:val="30"/>
          <w:lang w:val="en-US" w:eastAsia="zh-CN"/>
        </w:rPr>
        <w:t>16-1-601室</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000000"/>
          <w:sz w:val="30"/>
          <w:szCs w:val="30"/>
        </w:rPr>
        <w:t>价格</w:t>
      </w:r>
      <w:r>
        <w:rPr>
          <w:rFonts w:hint="eastAsia" w:ascii="仿宋" w:hAnsi="仿宋" w:eastAsia="仿宋" w:cs="仿宋"/>
          <w:b/>
          <w:bCs/>
          <w:color w:val="000000"/>
          <w:sz w:val="30"/>
          <w:szCs w:val="30"/>
          <w:lang w:eastAsia="zh-CN"/>
        </w:rPr>
        <w:t>评估基准日</w:t>
      </w:r>
      <w:r>
        <w:rPr>
          <w:rFonts w:hint="eastAsia" w:ascii="仿宋" w:hAnsi="仿宋" w:eastAsia="仿宋" w:cs="仿宋"/>
          <w:b/>
          <w:bCs/>
          <w:color w:val="000000"/>
          <w:sz w:val="30"/>
          <w:szCs w:val="30"/>
        </w:rPr>
        <w:t>：</w:t>
      </w:r>
      <w:r>
        <w:rPr>
          <w:rFonts w:hint="eastAsia" w:ascii="仿宋" w:hAnsi="仿宋" w:eastAsia="仿宋" w:cs="仿宋"/>
          <w:color w:val="auto"/>
          <w:sz w:val="30"/>
          <w:szCs w:val="30"/>
          <w:lang w:val="en-US" w:eastAsia="zh-CN"/>
        </w:rPr>
        <w:t>2021年4月1日（现场勘验时间）。</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jc w:val="both"/>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价格</w:t>
      </w: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方法：</w:t>
      </w:r>
      <w:r>
        <w:rPr>
          <w:rFonts w:hint="eastAsia" w:ascii="仿宋" w:hAnsi="仿宋" w:eastAsia="仿宋" w:cs="仿宋"/>
          <w:color w:val="000000"/>
          <w:sz w:val="30"/>
          <w:szCs w:val="30"/>
        </w:rPr>
        <w:t>市场法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textAlignment w:val="auto"/>
        <w:rPr>
          <w:rFonts w:hint="eastAsia" w:ascii="仿宋" w:hAnsi="仿宋" w:eastAsia="仿宋" w:cs="仿宋"/>
          <w:sz w:val="30"/>
          <w:szCs w:val="30"/>
        </w:rPr>
      </w:pPr>
      <w:r>
        <w:rPr>
          <w:rFonts w:hint="eastAsia" w:ascii="仿宋" w:hAnsi="仿宋" w:eastAsia="仿宋" w:cs="仿宋"/>
          <w:b/>
          <w:bCs/>
          <w:color w:val="000000"/>
          <w:sz w:val="30"/>
          <w:szCs w:val="30"/>
          <w:lang w:eastAsia="zh-CN"/>
        </w:rPr>
        <w:t>价格定义</w:t>
      </w:r>
      <w:r>
        <w:rPr>
          <w:rFonts w:hint="eastAsia" w:ascii="仿宋" w:hAnsi="仿宋" w:eastAsia="仿宋" w:cs="仿宋"/>
          <w:b/>
          <w:bCs/>
          <w:color w:val="000000"/>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w:t>
      </w:r>
      <w:r>
        <w:rPr>
          <w:rFonts w:hint="eastAsia" w:ascii="仿宋" w:hAnsi="仿宋" w:eastAsia="仿宋" w:cs="仿宋"/>
          <w:sz w:val="30"/>
          <w:szCs w:val="30"/>
        </w:rPr>
        <w:t>采用公开市场价值标准确定的客观合理的价格水平，即评估对象在估价时点，满足各项限制条件下</w:t>
      </w:r>
      <w:r>
        <w:rPr>
          <w:rFonts w:hint="eastAsia" w:ascii="仿宋" w:hAnsi="仿宋" w:eastAsia="仿宋" w:cs="仿宋"/>
          <w:sz w:val="30"/>
          <w:szCs w:val="30"/>
          <w:lang w:eastAsia="zh-CN"/>
        </w:rPr>
        <w:t>房地合一</w:t>
      </w:r>
      <w:r>
        <w:rPr>
          <w:rFonts w:hint="eastAsia" w:ascii="仿宋" w:hAnsi="仿宋" w:eastAsia="仿宋" w:cs="仿宋"/>
          <w:sz w:val="30"/>
          <w:szCs w:val="30"/>
        </w:rPr>
        <w:t>公开市场价值。</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jc w:val="both"/>
        <w:textAlignment w:val="auto"/>
        <w:outlineLvl w:val="9"/>
        <w:rPr>
          <w:rFonts w:hint="eastAsia" w:ascii="仿宋" w:hAnsi="仿宋" w:eastAsia="仿宋" w:cs="仿宋"/>
          <w:color w:val="000000"/>
          <w:sz w:val="30"/>
          <w:szCs w:val="30"/>
          <w:lang w:eastAsia="zh-CN"/>
        </w:rPr>
      </w:pPr>
      <w:r>
        <w:rPr>
          <w:rFonts w:hint="eastAsia" w:ascii="仿宋" w:hAnsi="仿宋" w:eastAsia="仿宋" w:cs="仿宋"/>
          <w:b/>
          <w:bCs/>
          <w:color w:val="000000"/>
          <w:sz w:val="30"/>
          <w:szCs w:val="30"/>
          <w:lang w:eastAsia="zh-CN"/>
        </w:rPr>
        <w:t>评估</w:t>
      </w:r>
      <w:r>
        <w:rPr>
          <w:rFonts w:hint="eastAsia" w:ascii="仿宋" w:hAnsi="仿宋" w:eastAsia="仿宋" w:cs="仿宋"/>
          <w:b/>
          <w:bCs/>
          <w:color w:val="000000"/>
          <w:sz w:val="30"/>
          <w:szCs w:val="30"/>
        </w:rPr>
        <w:t>结论</w:t>
      </w:r>
      <w:r>
        <w:rPr>
          <w:rStyle w:val="9"/>
          <w:rFonts w:hint="eastAsia" w:ascii="仿宋" w:hAnsi="仿宋" w:eastAsia="仿宋" w:cs="仿宋"/>
          <w:b/>
          <w:bCs/>
          <w:color w:val="000000"/>
          <w:sz w:val="30"/>
          <w:szCs w:val="30"/>
        </w:rPr>
        <w:t>：</w:t>
      </w:r>
      <w:r>
        <w:rPr>
          <w:rFonts w:hint="eastAsia" w:ascii="仿宋" w:hAnsi="仿宋" w:eastAsia="仿宋" w:cs="仿宋"/>
          <w:color w:val="000000"/>
          <w:sz w:val="30"/>
          <w:szCs w:val="30"/>
          <w:lang w:eastAsia="zh-CN"/>
        </w:rPr>
        <w:t>通过价格评估，</w:t>
      </w:r>
      <w:r>
        <w:rPr>
          <w:rFonts w:hint="eastAsia" w:ascii="仿宋" w:hAnsi="仿宋" w:eastAsia="仿宋" w:cs="仿宋"/>
          <w:b w:val="0"/>
          <w:bCs/>
          <w:color w:val="000000"/>
          <w:sz w:val="30"/>
          <w:szCs w:val="30"/>
          <w:lang w:eastAsia="zh-CN"/>
        </w:rPr>
        <w:t>位</w:t>
      </w:r>
      <w:r>
        <w:rPr>
          <w:rFonts w:hint="eastAsia" w:ascii="仿宋" w:hAnsi="仿宋" w:eastAsia="仿宋" w:cs="仿宋"/>
          <w:color w:val="000000"/>
          <w:sz w:val="30"/>
          <w:szCs w:val="30"/>
          <w:lang w:eastAsia="zh-CN"/>
        </w:rPr>
        <w:t>于新市镇赵畈村</w:t>
      </w:r>
      <w:r>
        <w:rPr>
          <w:rFonts w:hint="eastAsia" w:ascii="仿宋" w:hAnsi="仿宋" w:eastAsia="仿宋" w:cs="仿宋"/>
          <w:b w:val="0"/>
          <w:bCs/>
          <w:color w:val="000000"/>
          <w:sz w:val="30"/>
          <w:szCs w:val="30"/>
          <w:lang w:eastAsia="zh-CN"/>
        </w:rPr>
        <w:t>京谷·美丽城</w:t>
      </w:r>
      <w:r>
        <w:rPr>
          <w:rFonts w:hint="eastAsia" w:ascii="仿宋" w:hAnsi="仿宋" w:eastAsia="仿宋" w:cs="仿宋"/>
          <w:color w:val="000000"/>
          <w:sz w:val="30"/>
          <w:szCs w:val="30"/>
          <w:lang w:val="en-US" w:eastAsia="zh-CN"/>
        </w:rPr>
        <w:t>16-1-601室</w:t>
      </w:r>
      <w:r>
        <w:rPr>
          <w:rFonts w:hint="eastAsia" w:ascii="仿宋" w:hAnsi="仿宋" w:eastAsia="仿宋" w:cs="仿宋"/>
          <w:color w:val="000000"/>
          <w:sz w:val="30"/>
          <w:szCs w:val="30"/>
          <w:lang w:eastAsia="zh-CN"/>
        </w:rPr>
        <w:t>在</w:t>
      </w:r>
      <w:r>
        <w:rPr>
          <w:rFonts w:hint="eastAsia" w:ascii="仿宋" w:hAnsi="仿宋" w:eastAsia="仿宋" w:cs="仿宋"/>
          <w:color w:val="auto"/>
          <w:sz w:val="30"/>
          <w:szCs w:val="30"/>
          <w:lang w:val="en-US" w:eastAsia="zh-CN"/>
        </w:rPr>
        <w:t>2021年4月1日</w:t>
      </w:r>
      <w:r>
        <w:rPr>
          <w:rFonts w:hint="eastAsia" w:ascii="仿宋" w:hAnsi="仿宋" w:eastAsia="仿宋" w:cs="仿宋"/>
          <w:color w:val="000000"/>
          <w:sz w:val="30"/>
          <w:szCs w:val="30"/>
          <w:lang w:eastAsia="zh-CN"/>
        </w:rPr>
        <w:t>的评估价格为：￥</w:t>
      </w:r>
      <w:r>
        <w:rPr>
          <w:rFonts w:hint="eastAsia" w:ascii="仿宋" w:hAnsi="仿宋" w:eastAsia="仿宋" w:cs="仿宋"/>
          <w:color w:val="000000"/>
          <w:sz w:val="30"/>
          <w:szCs w:val="30"/>
          <w:lang w:val="en-US" w:eastAsia="zh-CN"/>
        </w:rPr>
        <w:t>414780</w:t>
      </w:r>
      <w:r>
        <w:rPr>
          <w:rFonts w:hint="eastAsia" w:ascii="仿宋" w:hAnsi="仿宋" w:eastAsia="仿宋" w:cs="仿宋"/>
          <w:color w:val="000000"/>
          <w:sz w:val="30"/>
          <w:szCs w:val="30"/>
          <w:lang w:eastAsia="zh-CN"/>
        </w:rPr>
        <w:t>元（大写人民币</w:t>
      </w:r>
      <w:r>
        <w:rPr>
          <w:rFonts w:hint="eastAsia" w:ascii="仿宋" w:hAnsi="仿宋" w:eastAsia="仿宋" w:cs="仿宋"/>
          <w:color w:val="000000"/>
          <w:sz w:val="30"/>
          <w:szCs w:val="30"/>
          <w:lang w:eastAsia="zh-CN"/>
        </w:rPr>
        <w:fldChar w:fldCharType="begin"/>
      </w:r>
      <w:r>
        <w:rPr>
          <w:rFonts w:hint="eastAsia" w:ascii="仿宋" w:hAnsi="仿宋" w:eastAsia="仿宋" w:cs="仿宋"/>
          <w:color w:val="000000"/>
          <w:sz w:val="30"/>
          <w:szCs w:val="30"/>
          <w:lang w:eastAsia="zh-CN"/>
        </w:rPr>
        <w:instrText xml:space="preserve"> = 414780 \* CHINESENUM4 \* MERGEFORMAT </w:instrText>
      </w:r>
      <w:r>
        <w:rPr>
          <w:rFonts w:hint="eastAsia" w:ascii="仿宋" w:hAnsi="仿宋" w:eastAsia="仿宋" w:cs="仿宋"/>
          <w:color w:val="000000"/>
          <w:sz w:val="30"/>
          <w:szCs w:val="30"/>
          <w:lang w:eastAsia="zh-CN"/>
        </w:rPr>
        <w:fldChar w:fldCharType="separate"/>
      </w:r>
      <w:r>
        <w:rPr>
          <w:rFonts w:hint="eastAsia" w:ascii="仿宋" w:hAnsi="仿宋" w:eastAsia="仿宋" w:cs="仿宋"/>
          <w:color w:val="000000"/>
          <w:sz w:val="30"/>
          <w:szCs w:val="30"/>
          <w:lang w:eastAsia="zh-CN"/>
        </w:rPr>
        <w:t>肆拾壹万肆仟柒佰捌拾元整</w:t>
      </w:r>
      <w:r>
        <w:rPr>
          <w:rFonts w:hint="eastAsia" w:ascii="仿宋" w:hAnsi="仿宋" w:eastAsia="仿宋" w:cs="仿宋"/>
          <w:color w:val="000000"/>
          <w:sz w:val="30"/>
          <w:szCs w:val="30"/>
          <w:lang w:eastAsia="zh-CN"/>
        </w:rPr>
        <w:fldChar w:fldCharType="end"/>
      </w:r>
      <w:r>
        <w:rPr>
          <w:rFonts w:hint="eastAsia" w:ascii="仿宋" w:hAnsi="仿宋" w:eastAsia="仿宋" w:cs="仿宋"/>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b/>
          <w:bCs/>
          <w:color w:val="000000"/>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600" w:lineRule="exact"/>
        <w:ind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1、对存在的可能影响</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值的瑕疵事项，在委托时未作特殊说明而价格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人员执行</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程序一般不能获知的情况下，</w:t>
      </w:r>
      <w:r>
        <w:rPr>
          <w:rFonts w:hint="eastAsia" w:ascii="仿宋" w:hAnsi="仿宋" w:eastAsia="仿宋" w:cs="仿宋"/>
          <w:color w:val="000000"/>
          <w:sz w:val="30"/>
          <w:szCs w:val="30"/>
          <w:lang w:eastAsia="zh-CN"/>
        </w:rPr>
        <w:t>评估</w:t>
      </w:r>
      <w:r>
        <w:rPr>
          <w:rFonts w:hint="eastAsia" w:ascii="仿宋" w:hAnsi="仿宋" w:eastAsia="仿宋" w:cs="仿宋"/>
          <w:color w:val="000000"/>
          <w:sz w:val="30"/>
          <w:szCs w:val="30"/>
        </w:rPr>
        <w:t>机构及</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600" w:lineRule="exact"/>
        <w:ind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2、报告中的分析、意见和结论只在报告阐明的假设前提和限制条件下有效，它们代表价格</w:t>
      </w:r>
      <w:r>
        <w:rPr>
          <w:rFonts w:hint="eastAsia" w:ascii="仿宋" w:hAnsi="仿宋" w:eastAsia="仿宋" w:cs="仿宋"/>
          <w:color w:val="000000"/>
          <w:sz w:val="30"/>
          <w:szCs w:val="30"/>
          <w:lang w:eastAsia="zh-CN"/>
        </w:rPr>
        <w:t>评估专业</w:t>
      </w:r>
      <w:r>
        <w:rPr>
          <w:rFonts w:hint="eastAsia" w:ascii="仿宋" w:hAnsi="仿宋" w:eastAsia="仿宋" w:cs="仿宋"/>
          <w:color w:val="000000"/>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600" w:lineRule="exact"/>
        <w:ind w:right="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000000"/>
          <w:sz w:val="30"/>
          <w:szCs w:val="30"/>
        </w:rPr>
        <w:t>即有效期自20</w:t>
      </w:r>
      <w:r>
        <w:rPr>
          <w:rFonts w:hint="eastAsia" w:ascii="仿宋" w:hAnsi="仿宋" w:eastAsia="仿宋" w:cs="仿宋"/>
          <w:color w:val="000000"/>
          <w:sz w:val="30"/>
          <w:szCs w:val="30"/>
          <w:lang w:val="en-US" w:eastAsia="zh-CN"/>
        </w:rPr>
        <w:t>21</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日起至20</w:t>
      </w:r>
      <w:r>
        <w:rPr>
          <w:rFonts w:hint="eastAsia" w:ascii="仿宋" w:hAnsi="仿宋" w:eastAsia="仿宋" w:cs="仿宋"/>
          <w:color w:val="000000"/>
          <w:sz w:val="30"/>
          <w:szCs w:val="30"/>
          <w:lang w:val="en-US" w:eastAsia="zh-CN"/>
        </w:rPr>
        <w:t>22</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31</w:t>
      </w:r>
      <w:r>
        <w:rPr>
          <w:rFonts w:hint="eastAsia" w:ascii="仿宋" w:hAnsi="仿宋" w:eastAsia="仿宋" w:cs="仿宋"/>
          <w:color w:val="000000"/>
          <w:sz w:val="30"/>
          <w:szCs w:val="30"/>
        </w:rPr>
        <w:t>日止。</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jc w:val="both"/>
        <w:textAlignment w:val="auto"/>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rPr>
        <w:t>以上内容摘自</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报告正文，欲了解本</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项目的详细情况和合理理解</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结论，应当阅读</w:t>
      </w:r>
      <w:r>
        <w:rPr>
          <w:rFonts w:hint="eastAsia" w:ascii="仿宋" w:hAnsi="仿宋" w:eastAsia="仿宋" w:cs="仿宋"/>
          <w:b/>
          <w:bCs w:val="0"/>
          <w:color w:val="000000"/>
          <w:sz w:val="30"/>
          <w:szCs w:val="30"/>
          <w:lang w:eastAsia="zh-CN"/>
        </w:rPr>
        <w:t>评估</w:t>
      </w:r>
      <w:r>
        <w:rPr>
          <w:rFonts w:hint="eastAsia" w:ascii="仿宋" w:hAnsi="仿宋" w:eastAsia="仿宋" w:cs="仿宋"/>
          <w:b/>
          <w:bCs w:val="0"/>
          <w:color w:val="000000"/>
          <w:sz w:val="30"/>
          <w:szCs w:val="30"/>
        </w:rPr>
        <w:t>报告正文。</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000000"/>
          <w:sz w:val="30"/>
          <w:szCs w:val="30"/>
        </w:rPr>
      </w:pPr>
    </w:p>
    <w:p>
      <w:pPr>
        <w:keepNext w:val="0"/>
        <w:keepLines w:val="0"/>
        <w:pageBreakBefore w:val="0"/>
        <w:kinsoku/>
        <w:wordWrap/>
        <w:overflowPunct/>
        <w:topLinePunct w:val="0"/>
        <w:autoSpaceDE w:val="0"/>
        <w:autoSpaceDN w:val="0"/>
        <w:bidi w:val="0"/>
        <w:adjustRightInd w:val="0"/>
        <w:spacing w:line="240" w:lineRule="auto"/>
        <w:textAlignment w:val="auto"/>
        <w:rPr>
          <w:rFonts w:hint="eastAsia" w:ascii="仿宋_GB2312" w:hAnsi="仿宋" w:eastAsia="仿宋_GB2312"/>
          <w:sz w:val="30"/>
          <w:szCs w:val="30"/>
        </w:rPr>
      </w:pPr>
      <w:r>
        <w:rPr>
          <w:rFonts w:hint="eastAsia" w:ascii="仿宋_GB2312" w:hAnsi="仿宋" w:eastAsia="仿宋_GB2312"/>
          <w:sz w:val="30"/>
          <w:szCs w:val="30"/>
        </w:rPr>
        <w:pict>
          <v:shape id="_x0000_s1026" o:spid="_x0000_s1026" o:spt="136" type="#_x0000_t136" style="position:absolute;left:0pt;margin-left:-0.4pt;margin-top:15.7pt;height:52.25pt;width:421.5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240" w:lineRule="auto"/>
        <w:textAlignment w:val="auto"/>
        <w:rPr>
          <w:rFonts w:hint="eastAsia" w:ascii="仿宋_GB2312" w:hAnsi="仿宋" w:eastAsia="仿宋_GB2312"/>
          <w:sz w:val="30"/>
          <w:szCs w:val="30"/>
        </w:rPr>
      </w:pP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仿宋_GB2312" w:eastAsia="仿宋_GB2312"/>
          <w:sz w:val="28"/>
          <w:szCs w:val="28"/>
          <w:lang w:eastAsia="zh-CN"/>
        </w:rPr>
      </w:pP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仿宋_GB2312" w:hAnsi="仿宋_GB2312" w:eastAsia="仿宋_GB2312" w:cs="仿宋_GB2312"/>
          <w:bCs/>
          <w:color w:val="auto"/>
          <w:sz w:val="28"/>
          <w:szCs w:val="28"/>
          <w:lang w:val="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iLZX1QAAAAcBAAAPAAAAAAAAAAEAIAAAACIAAABkcnMvZG93bnJldi54bWxQSwEC&#10;FAAUAAAACACHTuJAc3TGyvcBAADlAwAADgAAAAAAAAABACAAAAAkAQAAZHJzL2Uyb0RvYy54bWxQ&#10;SwUGAAAAAAYABgBZAQAAjQUAAAAA&#10;">
                <v:fill on="f" focussize="0,0"/>
                <v:stroke weight="1pt" color="#000000" joinstyle="round"/>
                <v:imagedata o:title=""/>
                <o:lock v:ext="edit" aspectratio="f"/>
              </v:line>
            </w:pict>
          </mc:Fallback>
        </mc:AlternateContent>
      </w:r>
      <w:r>
        <w:rPr>
          <w:rFonts w:hint="eastAsia" w:ascii="仿宋_GB2312" w:eastAsia="仿宋_GB2312"/>
          <w:sz w:val="28"/>
          <w:szCs w:val="28"/>
          <w:lang w:eastAsia="zh-CN"/>
        </w:rPr>
        <w:t>本价评</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4208002</w:t>
      </w:r>
      <w:r>
        <w:rPr>
          <w:rFonts w:hint="eastAsia" w:ascii="仿宋_GB2312" w:hAnsi="仿宋_GB2312" w:eastAsia="仿宋_GB2312" w:cs="仿宋_GB2312"/>
          <w:bCs/>
          <w:color w:val="auto"/>
          <w:sz w:val="28"/>
          <w:szCs w:val="28"/>
          <w:lang w:val="zh-CN"/>
        </w:rPr>
        <w:t>号</w:t>
      </w:r>
    </w:p>
    <w:p>
      <w:pPr>
        <w:keepNext w:val="0"/>
        <w:keepLines w:val="0"/>
        <w:pageBreakBefore w:val="0"/>
        <w:kinsoku/>
        <w:wordWrap/>
        <w:overflowPunct/>
        <w:topLinePunct w:val="0"/>
        <w:bidi w:val="0"/>
        <w:spacing w:line="240" w:lineRule="auto"/>
        <w:ind w:right="-13"/>
        <w:jc w:val="center"/>
        <w:textAlignment w:val="auto"/>
        <w:rPr>
          <w:rFonts w:hint="eastAsia" w:ascii="仿宋_GB2312" w:hAnsi="仿宋_GB2312" w:eastAsia="仿宋_GB2312" w:cs="仿宋_GB2312"/>
          <w:b/>
          <w:sz w:val="30"/>
          <w:szCs w:val="3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sz w:val="48"/>
          <w:szCs w:val="48"/>
          <w:lang w:eastAsia="zh-CN"/>
        </w:rPr>
      </w:pPr>
      <w:r>
        <w:rPr>
          <w:rFonts w:hint="eastAsia" w:ascii="仿宋" w:hAnsi="仿宋" w:eastAsia="仿宋" w:cs="仿宋"/>
          <w:b/>
          <w:bCs w:val="0"/>
          <w:color w:val="000000"/>
          <w:sz w:val="48"/>
          <w:szCs w:val="48"/>
          <w:lang w:eastAsia="zh-CN"/>
        </w:rPr>
        <w:t>京谷·美丽城</w:t>
      </w:r>
      <w:r>
        <w:rPr>
          <w:rFonts w:hint="eastAsia" w:ascii="仿宋" w:hAnsi="仿宋" w:eastAsia="仿宋" w:cs="仿宋"/>
          <w:b/>
          <w:bCs w:val="0"/>
          <w:color w:val="000000"/>
          <w:sz w:val="48"/>
          <w:szCs w:val="48"/>
          <w:lang w:val="en-US" w:eastAsia="zh-CN"/>
        </w:rPr>
        <w:t>涉案</w:t>
      </w:r>
      <w:r>
        <w:rPr>
          <w:rFonts w:hint="eastAsia" w:ascii="仿宋" w:hAnsi="仿宋" w:eastAsia="仿宋" w:cs="仿宋"/>
          <w:b/>
          <w:color w:val="000000"/>
          <w:sz w:val="48"/>
          <w:szCs w:val="48"/>
          <w:lang w:val="en-US" w:eastAsia="zh-CN"/>
        </w:rPr>
        <w:t>房地产价格评估报告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sz w:val="48"/>
          <w:szCs w:val="48"/>
          <w:lang w:eastAsia="zh-CN"/>
        </w:rPr>
      </w:pPr>
    </w:p>
    <w:p>
      <w:pPr>
        <w:keepNext w:val="0"/>
        <w:keepLines w:val="0"/>
        <w:pageBreakBefore w:val="0"/>
        <w:kinsoku/>
        <w:wordWrap/>
        <w:overflowPunct/>
        <w:topLinePunct w:val="0"/>
        <w:autoSpaceDE/>
        <w:autoSpaceDN/>
        <w:bidi w:val="0"/>
        <w:spacing w:line="24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580" w:lineRule="exact"/>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580" w:lineRule="exact"/>
        <w:ind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w:t>
      </w:r>
      <w:r>
        <w:rPr>
          <w:rFonts w:hint="eastAsia" w:ascii="仿宋" w:hAnsi="仿宋" w:eastAsia="仿宋" w:cs="仿宋"/>
          <w:sz w:val="30"/>
          <w:szCs w:val="30"/>
        </w:rPr>
        <w:t>遵循</w:t>
      </w:r>
      <w:r>
        <w:rPr>
          <w:rFonts w:hint="eastAsia" w:ascii="仿宋" w:hAnsi="仿宋" w:eastAsia="仿宋" w:cs="仿宋"/>
          <w:sz w:val="30"/>
          <w:szCs w:val="30"/>
          <w:lang w:eastAsia="zh-CN"/>
        </w:rPr>
        <w:t>依法、公正、科学、</w:t>
      </w:r>
      <w:r>
        <w:rPr>
          <w:rFonts w:hint="eastAsia" w:ascii="仿宋" w:hAnsi="仿宋" w:eastAsia="仿宋" w:cs="仿宋"/>
          <w:sz w:val="30"/>
          <w:szCs w:val="30"/>
        </w:rPr>
        <w:t>效率的原则，按照规定的标准、程序和方法，</w:t>
      </w:r>
      <w:r>
        <w:rPr>
          <w:rFonts w:hint="eastAsia" w:ascii="仿宋" w:hAnsi="仿宋" w:eastAsia="仿宋" w:cs="仿宋"/>
          <w:sz w:val="30"/>
          <w:szCs w:val="30"/>
          <w:lang w:eastAsia="zh-CN"/>
        </w:rPr>
        <w:t>对贵院出具的《司法鉴定委托书》</w:t>
      </w:r>
      <w:r>
        <w:rPr>
          <w:rFonts w:hint="eastAsia" w:ascii="仿宋" w:hAnsi="仿宋" w:eastAsia="仿宋" w:cs="仿宋"/>
          <w:sz w:val="30"/>
          <w:szCs w:val="30"/>
          <w:lang w:val="en-US" w:eastAsia="zh-CN"/>
        </w:rPr>
        <w:t>[京法鉴委（2021）特5号]</w:t>
      </w:r>
      <w:r>
        <w:rPr>
          <w:rFonts w:hint="eastAsia" w:ascii="仿宋" w:hAnsi="仿宋" w:eastAsia="仿宋" w:cs="仿宋"/>
          <w:sz w:val="30"/>
          <w:szCs w:val="30"/>
          <w:lang w:eastAsia="zh-CN"/>
        </w:rPr>
        <w:t>中所载内容进行了价格评估。</w:t>
      </w:r>
      <w:r>
        <w:rPr>
          <w:rFonts w:hint="eastAsia" w:ascii="仿宋" w:hAnsi="仿宋" w:eastAsia="仿宋" w:cs="仿宋"/>
          <w:sz w:val="30"/>
          <w:szCs w:val="30"/>
        </w:rPr>
        <w:t>现将</w:t>
      </w:r>
      <w:r>
        <w:rPr>
          <w:rFonts w:hint="eastAsia" w:ascii="仿宋" w:hAnsi="仿宋" w:eastAsia="仿宋" w:cs="仿宋"/>
          <w:sz w:val="30"/>
          <w:szCs w:val="30"/>
          <w:lang w:eastAsia="zh-CN"/>
        </w:rPr>
        <w:t>评估</w:t>
      </w:r>
      <w:r>
        <w:rPr>
          <w:rFonts w:hint="eastAsia" w:ascii="仿宋" w:hAnsi="仿宋" w:eastAsia="仿宋" w:cs="仿宋"/>
          <w:sz w:val="30"/>
          <w:szCs w:val="30"/>
        </w:rPr>
        <w:t>情况</w:t>
      </w:r>
      <w:r>
        <w:rPr>
          <w:rFonts w:hint="eastAsia" w:ascii="仿宋" w:hAnsi="仿宋" w:eastAsia="仿宋" w:cs="仿宋"/>
          <w:sz w:val="30"/>
          <w:szCs w:val="30"/>
          <w:lang w:eastAsia="zh-CN"/>
        </w:rPr>
        <w:t>及评估结果报告如</w:t>
      </w:r>
      <w:r>
        <w:rPr>
          <w:rFonts w:hint="eastAsia" w:ascii="仿宋" w:hAnsi="仿宋" w:eastAsia="仿宋" w:cs="仿宋"/>
          <w:sz w:val="30"/>
          <w:szCs w:val="30"/>
        </w:rPr>
        <w:t>下：</w:t>
      </w:r>
    </w:p>
    <w:p>
      <w:pPr>
        <w:keepNext w:val="0"/>
        <w:keepLines w:val="0"/>
        <w:pageBreakBefore w:val="0"/>
        <w:widowControl w:val="0"/>
        <w:kinsoku/>
        <w:wordWrap/>
        <w:overflowPunct/>
        <w:topLinePunct w:val="0"/>
        <w:autoSpaceDE/>
        <w:autoSpaceDN/>
        <w:bidi w:val="0"/>
        <w:adjustRightInd/>
        <w:snapToGrid/>
        <w:spacing w:line="580" w:lineRule="exact"/>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评估标的</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本次价格评估标的为</w:t>
      </w:r>
      <w:r>
        <w:rPr>
          <w:rFonts w:hint="eastAsia" w:ascii="仿宋" w:hAnsi="仿宋" w:eastAsia="仿宋" w:cs="仿宋"/>
          <w:sz w:val="30"/>
          <w:szCs w:val="30"/>
          <w:lang w:eastAsia="zh-CN"/>
        </w:rPr>
        <w:t>位于</w:t>
      </w:r>
      <w:r>
        <w:rPr>
          <w:rFonts w:hint="eastAsia" w:ascii="仿宋" w:hAnsi="仿宋" w:eastAsia="仿宋" w:cs="仿宋"/>
          <w:sz w:val="30"/>
          <w:szCs w:val="30"/>
          <w:lang w:val="en-US" w:eastAsia="zh-CN"/>
        </w:rPr>
        <w:t>新市镇赵畈村</w:t>
      </w:r>
      <w:r>
        <w:rPr>
          <w:rFonts w:hint="eastAsia" w:ascii="仿宋" w:hAnsi="仿宋" w:eastAsia="仿宋" w:cs="仿宋"/>
          <w:b w:val="0"/>
          <w:bCs/>
          <w:color w:val="000000"/>
          <w:sz w:val="30"/>
          <w:szCs w:val="30"/>
          <w:lang w:eastAsia="zh-CN"/>
        </w:rPr>
        <w:t>京谷·美丽城</w:t>
      </w:r>
      <w:r>
        <w:rPr>
          <w:rFonts w:hint="eastAsia" w:ascii="仿宋" w:hAnsi="仿宋" w:eastAsia="仿宋" w:cs="仿宋"/>
          <w:sz w:val="30"/>
          <w:szCs w:val="30"/>
          <w:lang w:val="en-US" w:eastAsia="zh-CN"/>
        </w:rPr>
        <w:t>16-1-601室房屋，建筑面积123.11㎡。</w:t>
      </w:r>
    </w:p>
    <w:p>
      <w:pPr>
        <w:keepNext w:val="0"/>
        <w:keepLines w:val="0"/>
        <w:pageBreakBefore w:val="0"/>
        <w:widowControl w:val="0"/>
        <w:kinsoku/>
        <w:wordWrap/>
        <w:overflowPunct/>
        <w:topLinePunct w:val="0"/>
        <w:autoSpaceDE/>
        <w:autoSpaceDN/>
        <w:bidi w:val="0"/>
        <w:adjustRightInd/>
        <w:snapToGrid/>
        <w:spacing w:line="580" w:lineRule="exact"/>
        <w:ind w:right="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二、价格评估目的 </w:t>
      </w:r>
    </w:p>
    <w:p>
      <w:pPr>
        <w:keepNext w:val="0"/>
        <w:keepLines w:val="0"/>
        <w:pageBreakBefore w:val="0"/>
        <w:kinsoku/>
        <w:wordWrap/>
        <w:overflowPunct/>
        <w:topLinePunct w:val="0"/>
        <w:autoSpaceDE/>
        <w:autoSpaceDN/>
        <w:bidi w:val="0"/>
        <w:spacing w:line="580" w:lineRule="exact"/>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000000"/>
          <w:sz w:val="30"/>
          <w:szCs w:val="30"/>
          <w:lang w:val="en-US" w:eastAsia="zh-CN"/>
        </w:rPr>
        <w:t>确定评估标的在评估基准日现有价值，</w:t>
      </w:r>
      <w:r>
        <w:rPr>
          <w:rFonts w:hint="eastAsia" w:ascii="仿宋" w:hAnsi="仿宋" w:eastAsia="仿宋" w:cs="仿宋"/>
          <w:sz w:val="30"/>
          <w:szCs w:val="30"/>
          <w:lang w:eastAsia="zh-CN"/>
        </w:rPr>
        <w:t>为人民法院</w:t>
      </w:r>
      <w:r>
        <w:rPr>
          <w:rFonts w:hint="eastAsia" w:ascii="仿宋" w:hAnsi="仿宋" w:eastAsia="仿宋" w:cs="仿宋"/>
          <w:sz w:val="30"/>
          <w:szCs w:val="30"/>
          <w:lang w:val="en-US" w:eastAsia="zh-CN"/>
        </w:rPr>
        <w:t>执行相关案件</w:t>
      </w:r>
      <w:r>
        <w:rPr>
          <w:rFonts w:hint="eastAsia" w:ascii="仿宋" w:hAnsi="仿宋" w:eastAsia="仿宋" w:cs="仿宋"/>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580" w:lineRule="exact"/>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评估基准日</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2021年4月1日（现场勘验时间）。</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000000"/>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000000"/>
          <w:sz w:val="30"/>
          <w:szCs w:val="30"/>
          <w:lang w:eastAsia="zh-CN"/>
        </w:rPr>
        <w:t>。</w:t>
      </w:r>
    </w:p>
    <w:p>
      <w:pPr>
        <w:keepNext w:val="0"/>
        <w:keepLines w:val="0"/>
        <w:pageBreakBefore w:val="0"/>
        <w:kinsoku/>
        <w:wordWrap/>
        <w:overflowPunct/>
        <w:topLinePunct w:val="0"/>
        <w:autoSpaceDE/>
        <w:autoSpaceDN/>
        <w:bidi w:val="0"/>
        <w:spacing w:line="580" w:lineRule="exact"/>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pacing w:line="580" w:lineRule="exact"/>
        <w:ind w:righ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w:t>
      </w:r>
      <w:r>
        <w:rPr>
          <w:rFonts w:hint="eastAsia" w:ascii="仿宋" w:hAnsi="仿宋" w:eastAsia="仿宋" w:cs="仿宋"/>
          <w:sz w:val="30"/>
          <w:szCs w:val="30"/>
        </w:rPr>
        <w:t>采用公开市场价值标准确定的客观合理的价格水平，即评估对象在估价时点，满足各项限制条件下</w:t>
      </w:r>
      <w:r>
        <w:rPr>
          <w:rFonts w:hint="eastAsia" w:ascii="仿宋" w:hAnsi="仿宋" w:eastAsia="仿宋" w:cs="仿宋"/>
          <w:sz w:val="30"/>
          <w:szCs w:val="30"/>
          <w:lang w:eastAsia="zh-CN"/>
        </w:rPr>
        <w:t>房地合一</w:t>
      </w:r>
      <w:r>
        <w:rPr>
          <w:rFonts w:hint="eastAsia" w:ascii="仿宋" w:hAnsi="仿宋" w:eastAsia="仿宋" w:cs="仿宋"/>
          <w:sz w:val="30"/>
          <w:szCs w:val="30"/>
        </w:rPr>
        <w:t>公开市场价值。</w:t>
      </w:r>
    </w:p>
    <w:p>
      <w:pPr>
        <w:keepNext w:val="0"/>
        <w:keepLines w:val="0"/>
        <w:pageBreakBefore w:val="0"/>
        <w:widowControl w:val="0"/>
        <w:kinsoku/>
        <w:wordWrap/>
        <w:overflowPunct/>
        <w:topLinePunct w:val="0"/>
        <w:autoSpaceDE/>
        <w:autoSpaceDN/>
        <w:bidi w:val="0"/>
        <w:adjustRightInd/>
        <w:snapToGrid/>
        <w:spacing w:line="580" w:lineRule="exact"/>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评估依据</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（一）国家、地方有关法律、法规及相关文件</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1、《中华人民共和国价格法》；</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3、《中华人民共和国城市房地产管理法》；</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《房地产</w:t>
      </w:r>
      <w:r>
        <w:rPr>
          <w:rFonts w:hint="eastAsia" w:ascii="仿宋" w:hAnsi="仿宋" w:eastAsia="仿宋" w:cs="仿宋"/>
          <w:sz w:val="30"/>
          <w:szCs w:val="30"/>
          <w:lang w:eastAsia="zh-CN"/>
        </w:rPr>
        <w:t>估价</w:t>
      </w:r>
      <w:r>
        <w:rPr>
          <w:rFonts w:hint="eastAsia" w:ascii="仿宋" w:hAnsi="仿宋" w:eastAsia="仿宋" w:cs="仿宋"/>
          <w:sz w:val="30"/>
          <w:szCs w:val="30"/>
        </w:rPr>
        <w:t>规范》；</w:t>
      </w:r>
    </w:p>
    <w:p>
      <w:pPr>
        <w:keepNext w:val="0"/>
        <w:keepLines w:val="0"/>
        <w:pageBreakBefore w:val="0"/>
        <w:numPr>
          <w:ilvl w:val="0"/>
          <w:numId w:val="0"/>
        </w:numPr>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5、《不动产价格鉴证评估技术规范》；</w:t>
      </w:r>
    </w:p>
    <w:p>
      <w:pPr>
        <w:keepNext w:val="0"/>
        <w:keepLines w:val="0"/>
        <w:pageBreakBefore w:val="0"/>
        <w:numPr>
          <w:ilvl w:val="0"/>
          <w:numId w:val="0"/>
        </w:numPr>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《价格鉴证评估执业规范》；</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、《价格评估专业人员自律守则》；</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、《价格评估行业职业操守》；</w:t>
      </w:r>
    </w:p>
    <w:p>
      <w:pPr>
        <w:keepNext w:val="0"/>
        <w:keepLines w:val="0"/>
        <w:pageBreakBefore w:val="0"/>
        <w:kinsoku/>
        <w:wordWrap/>
        <w:overflowPunct/>
        <w:topLinePunct w:val="0"/>
        <w:autoSpaceDE/>
        <w:autoSpaceDN/>
        <w:bidi w:val="0"/>
        <w:spacing w:line="580" w:lineRule="exact"/>
        <w:ind w:right="0" w:firstLine="588" w:firstLineChars="196"/>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、《价格评估结论异议处理规范》。</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（二）委托方提供的相关资料</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《司法鉴定委托书》</w:t>
      </w:r>
      <w:r>
        <w:rPr>
          <w:rFonts w:hint="eastAsia" w:ascii="仿宋" w:hAnsi="仿宋" w:eastAsia="仿宋" w:cs="仿宋"/>
          <w:sz w:val="30"/>
          <w:szCs w:val="30"/>
          <w:lang w:val="en-US" w:eastAsia="zh-CN"/>
        </w:rPr>
        <w:t>[京法鉴委（2021）特5号]</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2、委托方提供的其他相关资料。</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（三）评估方收集的相关资料</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1、现场（实物）勘验资料；</w:t>
      </w:r>
    </w:p>
    <w:p>
      <w:pPr>
        <w:keepNext w:val="0"/>
        <w:keepLines w:val="0"/>
        <w:pageBreakBefore w:val="0"/>
        <w:kinsoku/>
        <w:wordWrap/>
        <w:overflowPunct/>
        <w:topLinePunct w:val="0"/>
        <w:autoSpaceDE/>
        <w:autoSpaceDN/>
        <w:bidi w:val="0"/>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580" w:lineRule="exact"/>
        <w:ind w:right="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w:t>
      </w:r>
      <w:r>
        <w:rPr>
          <w:rFonts w:hint="eastAsia" w:ascii="仿宋" w:hAnsi="仿宋" w:eastAsia="仿宋" w:cs="仿宋"/>
          <w:b/>
          <w:bCs/>
          <w:sz w:val="30"/>
          <w:szCs w:val="30"/>
          <w:lang w:eastAsia="zh-CN"/>
        </w:rPr>
        <w:t>价格</w:t>
      </w:r>
      <w:r>
        <w:rPr>
          <w:rFonts w:hint="eastAsia" w:ascii="仿宋" w:hAnsi="仿宋" w:eastAsia="仿宋" w:cs="仿宋"/>
          <w:b/>
          <w:bCs/>
          <w:sz w:val="30"/>
          <w:szCs w:val="30"/>
        </w:rPr>
        <w:t>评估方法 </w:t>
      </w:r>
    </w:p>
    <w:p>
      <w:pPr>
        <w:keepNext w:val="0"/>
        <w:keepLines w:val="0"/>
        <w:pageBreakBefore w:val="0"/>
        <w:kinsoku/>
        <w:wordWrap/>
        <w:overflowPunct/>
        <w:topLinePunct w:val="0"/>
        <w:autoSpaceDE/>
        <w:autoSpaceDN/>
        <w:bidi w:val="0"/>
        <w:spacing w:line="580" w:lineRule="exact"/>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rPr>
        <w:t>市场法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right="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价格评估</w:t>
      </w:r>
      <w:r>
        <w:rPr>
          <w:rFonts w:hint="eastAsia" w:ascii="仿宋" w:hAnsi="仿宋" w:eastAsia="仿宋" w:cs="仿宋"/>
          <w:b/>
          <w:bCs/>
          <w:sz w:val="30"/>
          <w:szCs w:val="30"/>
          <w:lang w:val="en-US" w:eastAsia="zh-CN"/>
        </w:rPr>
        <w:t>程序和</w:t>
      </w:r>
      <w:r>
        <w:rPr>
          <w:rFonts w:hint="eastAsia" w:ascii="仿宋" w:hAnsi="仿宋" w:eastAsia="仿宋" w:cs="仿宋"/>
          <w:b/>
          <w:bCs/>
          <w:sz w:val="30"/>
          <w:szCs w:val="30"/>
        </w:rPr>
        <w:t>过程</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000000"/>
          <w:sz w:val="30"/>
          <w:szCs w:val="30"/>
          <w:lang w:eastAsia="zh-CN"/>
        </w:rPr>
        <w:t>位于新市镇赵畈村京谷·美丽城</w:t>
      </w:r>
      <w:r>
        <w:rPr>
          <w:rFonts w:hint="eastAsia" w:ascii="仿宋" w:hAnsi="仿宋" w:eastAsia="仿宋" w:cs="仿宋"/>
          <w:b w:val="0"/>
          <w:bCs/>
          <w:color w:val="000000"/>
          <w:sz w:val="30"/>
          <w:szCs w:val="30"/>
          <w:lang w:val="en-US" w:eastAsia="zh-CN"/>
        </w:rPr>
        <w:t>16-1-601室</w:t>
      </w:r>
      <w:r>
        <w:rPr>
          <w:rFonts w:hint="eastAsia" w:ascii="仿宋" w:hAnsi="仿宋" w:eastAsia="仿宋" w:cs="仿宋"/>
          <w:color w:val="auto"/>
          <w:sz w:val="30"/>
          <w:szCs w:val="30"/>
          <w:lang w:eastAsia="zh-CN"/>
        </w:rPr>
        <w:t>进行价格评估</w:t>
      </w:r>
      <w:r>
        <w:rPr>
          <w:rFonts w:hint="eastAsia" w:ascii="仿宋" w:hAnsi="仿宋" w:eastAsia="仿宋" w:cs="仿宋"/>
          <w:b w:val="0"/>
          <w:bCs/>
          <w:sz w:val="30"/>
          <w:szCs w:val="30"/>
          <w:lang w:eastAsia="zh-CN"/>
        </w:rPr>
        <w:t>，</w:t>
      </w:r>
      <w:r>
        <w:rPr>
          <w:rFonts w:hint="eastAsia" w:ascii="仿宋" w:hAnsi="仿宋" w:eastAsia="仿宋" w:cs="仿宋"/>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（一）初步了解此次委估财产的有关情况，明确评估目的、评估范围和评估对象，与委托方共同确定评估基准日；根据财产评估规范要求，准备资料。</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（二）前期准备</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公司根据评估标的组建了价格评估项目专家小组，并对评估标的制定了项目情况和评估计划。</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根据委托方提供的评估申报资料，价格评估人员于20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1日</w:t>
      </w:r>
      <w:r>
        <w:rPr>
          <w:rFonts w:hint="eastAsia" w:ascii="仿宋" w:hAnsi="仿宋" w:eastAsia="仿宋" w:cs="仿宋"/>
          <w:sz w:val="30"/>
          <w:szCs w:val="30"/>
          <w:lang w:eastAsia="zh-CN"/>
        </w:rPr>
        <w:t>与京山市人民法院执行科工作人员及申请人共同</w:t>
      </w:r>
      <w:r>
        <w:rPr>
          <w:rFonts w:hint="eastAsia" w:ascii="仿宋" w:hAnsi="仿宋" w:eastAsia="仿宋" w:cs="仿宋"/>
          <w:sz w:val="30"/>
          <w:szCs w:val="30"/>
        </w:rPr>
        <w:t>对委估财产组织了勘查，并对相关情况进行调查。</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1、标的概况</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委估房产</w:t>
      </w:r>
      <w:r>
        <w:rPr>
          <w:rFonts w:hint="eastAsia" w:ascii="仿宋" w:hAnsi="仿宋" w:eastAsia="仿宋" w:cs="仿宋"/>
          <w:sz w:val="30"/>
          <w:szCs w:val="30"/>
          <w:lang w:eastAsia="zh-CN"/>
        </w:rPr>
        <w:t>位于新市镇赵畈村</w:t>
      </w:r>
      <w:r>
        <w:rPr>
          <w:rFonts w:hint="eastAsia" w:ascii="仿宋" w:hAnsi="仿宋" w:eastAsia="仿宋" w:cs="仿宋"/>
          <w:b w:val="0"/>
          <w:bCs/>
          <w:color w:val="000000"/>
          <w:sz w:val="30"/>
          <w:szCs w:val="30"/>
          <w:lang w:eastAsia="zh-CN"/>
        </w:rPr>
        <w:t>京谷·美丽城</w:t>
      </w:r>
      <w:r>
        <w:rPr>
          <w:rFonts w:hint="eastAsia" w:ascii="仿宋" w:hAnsi="仿宋" w:eastAsia="仿宋" w:cs="仿宋"/>
          <w:sz w:val="30"/>
          <w:szCs w:val="30"/>
          <w:lang w:val="en-US" w:eastAsia="zh-CN"/>
        </w:rPr>
        <w:t>16-2-601室，合同约定建筑面积123.11㎡，总层数为11层，标的所在楼层第6层，房屋为电梯楼两梯三户，毛坯房，南北朝向，现空置中。</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2、区位状况</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标的</w:t>
      </w:r>
      <w:r>
        <w:rPr>
          <w:rFonts w:hint="eastAsia" w:ascii="仿宋" w:hAnsi="仿宋" w:eastAsia="仿宋" w:cs="仿宋"/>
          <w:sz w:val="30"/>
          <w:szCs w:val="30"/>
          <w:lang w:eastAsia="zh-CN"/>
        </w:rPr>
        <w:t>房屋</w:t>
      </w:r>
      <w:r>
        <w:rPr>
          <w:rFonts w:hint="eastAsia" w:ascii="仿宋" w:hAnsi="仿宋" w:eastAsia="仿宋" w:cs="仿宋"/>
          <w:sz w:val="30"/>
          <w:szCs w:val="30"/>
        </w:rPr>
        <w:t>位于</w:t>
      </w:r>
      <w:r>
        <w:rPr>
          <w:rFonts w:hint="eastAsia" w:ascii="仿宋" w:hAnsi="仿宋" w:eastAsia="仿宋" w:cs="仿宋"/>
          <w:sz w:val="30"/>
          <w:szCs w:val="30"/>
          <w:lang w:eastAsia="zh-CN"/>
        </w:rPr>
        <w:t>新市镇赵畈村京谷美丽城，南临惠亭路，有惠水乐园、惠亭水库；东至楚望大道；周围多为住房</w:t>
      </w:r>
      <w:r>
        <w:rPr>
          <w:rFonts w:hint="eastAsia" w:ascii="仿宋" w:hAnsi="仿宋" w:eastAsia="仿宋" w:cs="仿宋"/>
          <w:sz w:val="30"/>
          <w:szCs w:val="30"/>
          <w:lang w:val="en-US" w:eastAsia="zh-CN"/>
        </w:rPr>
        <w:t>，小区环境优雅，道路宽敞，停车位充足，生活配套设施齐全，地理位置良好。</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委托方提供的资料显示，商品房买卖合同买受人为涂国庆、刘兴丫，合同编号为</w:t>
      </w:r>
      <w:r>
        <w:rPr>
          <w:rFonts w:hint="eastAsia" w:ascii="仿宋" w:hAnsi="仿宋" w:eastAsia="仿宋" w:cs="仿宋"/>
          <w:sz w:val="30"/>
          <w:szCs w:val="30"/>
          <w:lang w:val="en-US" w:eastAsia="zh-CN"/>
        </w:rPr>
        <w:t>JSX17002989，合同约定建筑面积123.11平方米</w:t>
      </w:r>
      <w:r>
        <w:rPr>
          <w:rFonts w:hint="eastAsia" w:ascii="仿宋" w:hAnsi="仿宋" w:eastAsia="仿宋" w:cs="仿宋"/>
          <w:sz w:val="30"/>
          <w:szCs w:val="30"/>
          <w:lang w:eastAsia="zh-CN"/>
        </w:rPr>
        <w:t>。合同签订时间为</w:t>
      </w:r>
      <w:r>
        <w:rPr>
          <w:rFonts w:hint="eastAsia" w:ascii="仿宋" w:hAnsi="仿宋" w:eastAsia="仿宋" w:cs="仿宋"/>
          <w:sz w:val="30"/>
          <w:szCs w:val="30"/>
          <w:lang w:val="en-US" w:eastAsia="zh-CN"/>
        </w:rPr>
        <w:t>2017</w:t>
      </w:r>
      <w:r>
        <w:rPr>
          <w:rFonts w:hint="eastAsia" w:ascii="仿宋" w:hAnsi="仿宋" w:eastAsia="仿宋" w:cs="仿宋"/>
          <w:sz w:val="30"/>
          <w:szCs w:val="30"/>
          <w:lang w:eastAsia="zh-CN"/>
        </w:rPr>
        <w:t>年</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月</w:t>
      </w:r>
      <w:r>
        <w:rPr>
          <w:rFonts w:hint="eastAsia" w:ascii="仿宋" w:hAnsi="仿宋" w:eastAsia="仿宋" w:cs="仿宋"/>
          <w:sz w:val="30"/>
          <w:szCs w:val="30"/>
          <w:lang w:val="en-US" w:eastAsia="zh-CN"/>
        </w:rPr>
        <w:t>19</w:t>
      </w:r>
      <w:r>
        <w:rPr>
          <w:rFonts w:hint="eastAsia" w:ascii="仿宋" w:hAnsi="仿宋" w:eastAsia="仿宋" w:cs="仿宋"/>
          <w:sz w:val="30"/>
          <w:szCs w:val="30"/>
          <w:lang w:eastAsia="zh-CN"/>
        </w:rPr>
        <w:t>日。</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评定估算</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标的房产</w:t>
      </w:r>
      <w:r>
        <w:rPr>
          <w:rFonts w:hint="eastAsia" w:ascii="仿宋" w:hAnsi="仿宋" w:eastAsia="仿宋" w:cs="仿宋"/>
          <w:sz w:val="30"/>
          <w:szCs w:val="30"/>
        </w:rPr>
        <w:t>位于</w:t>
      </w:r>
      <w:r>
        <w:rPr>
          <w:rFonts w:hint="eastAsia" w:ascii="仿宋" w:hAnsi="仿宋" w:eastAsia="仿宋" w:cs="仿宋"/>
          <w:sz w:val="30"/>
          <w:szCs w:val="30"/>
          <w:lang w:eastAsia="zh-CN"/>
        </w:rPr>
        <w:t>新市镇城区住宅集中</w:t>
      </w:r>
      <w:r>
        <w:rPr>
          <w:rFonts w:hint="eastAsia" w:ascii="仿宋" w:hAnsi="仿宋" w:eastAsia="仿宋" w:cs="仿宋"/>
          <w:sz w:val="30"/>
          <w:szCs w:val="30"/>
        </w:rPr>
        <w:t>地段，市场成交活跃。</w:t>
      </w:r>
      <w:r>
        <w:rPr>
          <w:rFonts w:hint="eastAsia" w:ascii="仿宋" w:hAnsi="仿宋" w:eastAsia="仿宋" w:cs="仿宋"/>
          <w:sz w:val="30"/>
          <w:szCs w:val="30"/>
          <w:lang w:eastAsia="zh-CN"/>
        </w:rPr>
        <w:t>根据本次评估的市场价值类型，选用</w:t>
      </w:r>
      <w:r>
        <w:rPr>
          <w:rFonts w:hint="eastAsia" w:ascii="仿宋" w:hAnsi="仿宋" w:eastAsia="仿宋" w:cs="仿宋"/>
          <w:sz w:val="30"/>
          <w:szCs w:val="30"/>
        </w:rPr>
        <w:t>市场比较法评估。采用市场比较法作为评估基础，必须建立一些假设以充分支持我们所得出的评估结论。本次评估建立在以下假设和限定条件基础上：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市场比较法是</w:t>
      </w:r>
      <w:r>
        <w:rPr>
          <w:rFonts w:hint="eastAsia" w:ascii="仿宋" w:hAnsi="仿宋" w:eastAsia="仿宋" w:cs="仿宋"/>
          <w:sz w:val="30"/>
          <w:szCs w:val="30"/>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sz w:val="30"/>
          <w:szCs w:val="30"/>
          <w:lang w:eastAsia="zh-CN"/>
        </w:rPr>
        <w:t>主要修正项目如下：</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交易日期修正，是将可比实例在其成交日期价格修正到价格鉴定基准日的价格。本次评估所选案例成交时间均未超过基准日半年，符合相关评估准则。</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区域因素修正，评估人员对影响房屋建筑物价格的区域因素如繁华程度、交通便捷程度、环境、景观、公共设施配套完备程度、城市规划限制与所选交易案例根据当地房屋建筑现有情况和发展趋势及自已经验积累进行判断，并加</w:t>
      </w:r>
      <w:r>
        <w:rPr>
          <w:rFonts w:hint="eastAsia" w:ascii="仿宋" w:hAnsi="仿宋" w:eastAsia="仿宋" w:cs="仿宋"/>
          <w:sz w:val="30"/>
          <w:szCs w:val="30"/>
          <w:lang w:eastAsia="zh-CN"/>
        </w:rPr>
        <w:t>以</w:t>
      </w:r>
      <w:r>
        <w:rPr>
          <w:rFonts w:hint="eastAsia" w:ascii="仿宋" w:hAnsi="仿宋" w:eastAsia="仿宋" w:cs="仿宋"/>
          <w:sz w:val="30"/>
          <w:szCs w:val="30"/>
        </w:rPr>
        <w:t>修正。</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评估标的价格</w:t>
      </w:r>
      <w:r>
        <w:rPr>
          <w:rFonts w:hint="eastAsia" w:ascii="仿宋" w:hAnsi="仿宋" w:eastAsia="仿宋" w:cs="仿宋"/>
          <w:sz w:val="30"/>
          <w:szCs w:val="30"/>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评估人员对该区域类似标的房产的市场交易情况进行了调查，综合测算类似房屋的市场交易均价为</w:t>
      </w:r>
      <w:r>
        <w:rPr>
          <w:rFonts w:hint="eastAsia" w:ascii="仿宋" w:hAnsi="仿宋" w:eastAsia="仿宋" w:cs="仿宋"/>
          <w:sz w:val="30"/>
          <w:szCs w:val="30"/>
          <w:lang w:val="en-US" w:eastAsia="zh-CN"/>
        </w:rPr>
        <w:t>3478元/㎡。</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color w:val="000000"/>
          <w:sz w:val="30"/>
          <w:szCs w:val="30"/>
          <w:lang w:eastAsia="zh-CN"/>
        </w:rPr>
        <w:t>评估总价值</w:t>
      </w:r>
      <w:r>
        <w:rPr>
          <w:rFonts w:hint="eastAsia" w:ascii="仿宋" w:hAnsi="仿宋" w:eastAsia="仿宋" w:cs="仿宋"/>
          <w:sz w:val="30"/>
          <w:szCs w:val="30"/>
          <w:lang w:val="en-US" w:eastAsia="zh-CN"/>
        </w:rPr>
        <w:t>为：123.11×3478=428170元(取整）。</w:t>
      </w:r>
    </w:p>
    <w:p>
      <w:pPr>
        <w:keepNext w:val="0"/>
        <w:keepLines w:val="0"/>
        <w:pageBreakBefore w:val="0"/>
        <w:kinsoku/>
        <w:wordWrap/>
        <w:overflowPunct/>
        <w:topLinePunct w:val="0"/>
        <w:autoSpaceDE/>
        <w:autoSpaceDN/>
        <w:bidi w:val="0"/>
        <w:adjustRightInd/>
        <w:spacing w:line="580" w:lineRule="exact"/>
        <w:ind w:right="0" w:firstLine="600" w:firstLineChars="200"/>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该房屋未办理不动产权证，预计办理不动产权证时应补交契税及房屋维修基金估算为</w:t>
      </w:r>
      <w:r>
        <w:rPr>
          <w:rFonts w:hint="eastAsia" w:ascii="仿宋" w:hAnsi="仿宋" w:eastAsia="仿宋" w:cs="仿宋"/>
          <w:color w:val="auto"/>
          <w:sz w:val="30"/>
          <w:szCs w:val="30"/>
          <w:lang w:val="en-US" w:eastAsia="zh-CN"/>
        </w:rPr>
        <w:t>13390</w:t>
      </w:r>
      <w:r>
        <w:rPr>
          <w:rFonts w:hint="eastAsia" w:ascii="仿宋" w:hAnsi="仿宋" w:eastAsia="仿宋" w:cs="仿宋"/>
          <w:color w:val="000000"/>
          <w:sz w:val="30"/>
          <w:szCs w:val="30"/>
          <w:lang w:val="en-US" w:eastAsia="zh-CN"/>
        </w:rPr>
        <w:t>元（设定为首套房税率，实际应缴以征收部门核定为准）。</w:t>
      </w:r>
    </w:p>
    <w:p>
      <w:pPr>
        <w:keepNext w:val="0"/>
        <w:keepLines w:val="0"/>
        <w:pageBreakBefore w:val="0"/>
        <w:widowControl w:val="0"/>
        <w:kinsoku/>
        <w:wordWrap/>
        <w:overflowPunct/>
        <w:topLinePunct w:val="0"/>
        <w:autoSpaceDE/>
        <w:autoSpaceDN/>
        <w:bidi w:val="0"/>
        <w:adjustRightInd/>
        <w:spacing w:line="580" w:lineRule="exact"/>
        <w:ind w:right="0"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color w:val="000000"/>
          <w:sz w:val="30"/>
          <w:szCs w:val="30"/>
          <w:lang w:val="en-US" w:eastAsia="zh-CN"/>
        </w:rPr>
        <w:t>则标的房产的评估价格为：</w:t>
      </w:r>
      <w:r>
        <w:rPr>
          <w:rFonts w:hint="eastAsia" w:ascii="仿宋" w:hAnsi="仿宋" w:eastAsia="仿宋" w:cs="仿宋"/>
          <w:sz w:val="30"/>
          <w:szCs w:val="30"/>
          <w:lang w:val="en-US" w:eastAsia="zh-CN"/>
        </w:rPr>
        <w:t>428170</w:t>
      </w:r>
      <w:r>
        <w:rPr>
          <w:rFonts w:hint="eastAsia" w:ascii="仿宋" w:hAnsi="仿宋" w:eastAsia="仿宋" w:cs="仿宋"/>
          <w:color w:val="000000"/>
          <w:sz w:val="30"/>
          <w:szCs w:val="30"/>
          <w:lang w:val="en-US" w:eastAsia="zh-CN"/>
        </w:rPr>
        <w:t>-</w:t>
      </w:r>
      <w:r>
        <w:rPr>
          <w:rFonts w:hint="eastAsia" w:ascii="仿宋" w:hAnsi="仿宋" w:eastAsia="仿宋" w:cs="仿宋"/>
          <w:color w:val="auto"/>
          <w:sz w:val="30"/>
          <w:szCs w:val="30"/>
          <w:lang w:val="en-US" w:eastAsia="zh-CN"/>
        </w:rPr>
        <w:t>13390</w:t>
      </w:r>
      <w:r>
        <w:rPr>
          <w:rFonts w:hint="eastAsia" w:ascii="仿宋" w:hAnsi="仿宋" w:eastAsia="仿宋" w:cs="仿宋"/>
          <w:color w:val="000000"/>
          <w:sz w:val="30"/>
          <w:szCs w:val="30"/>
          <w:lang w:val="en-US" w:eastAsia="zh-CN"/>
        </w:rPr>
        <w:t>=414780元。</w:t>
      </w:r>
    </w:p>
    <w:p>
      <w:pPr>
        <w:keepNext w:val="0"/>
        <w:keepLines w:val="0"/>
        <w:pageBreakBefore w:val="0"/>
        <w:widowControl w:val="0"/>
        <w:kinsoku/>
        <w:wordWrap/>
        <w:overflowPunct/>
        <w:topLinePunct w:val="0"/>
        <w:autoSpaceDE/>
        <w:autoSpaceDN/>
        <w:bidi w:val="0"/>
        <w:adjustRightInd w:val="0"/>
        <w:snapToGrid w:val="0"/>
        <w:spacing w:line="580" w:lineRule="exact"/>
        <w:ind w:right="0"/>
        <w:jc w:val="both"/>
        <w:textAlignment w:val="auto"/>
        <w:outlineLvl w:val="9"/>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　　</w:t>
      </w:r>
      <w:r>
        <w:rPr>
          <w:rFonts w:hint="eastAsia" w:ascii="仿宋" w:hAnsi="仿宋" w:eastAsia="仿宋" w:cs="仿宋"/>
          <w:b/>
          <w:color w:val="000000"/>
          <w:sz w:val="30"/>
          <w:szCs w:val="30"/>
        </w:rPr>
        <w:t>八、价格</w:t>
      </w:r>
      <w:r>
        <w:rPr>
          <w:rFonts w:hint="eastAsia" w:ascii="仿宋" w:hAnsi="仿宋" w:eastAsia="仿宋" w:cs="仿宋"/>
          <w:b/>
          <w:color w:val="000000"/>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000000"/>
          <w:sz w:val="30"/>
          <w:szCs w:val="30"/>
          <w:lang w:eastAsia="zh-CN"/>
        </w:rPr>
        <w:t>通过价格评估，</w:t>
      </w:r>
      <w:r>
        <w:rPr>
          <w:rFonts w:hint="eastAsia" w:ascii="仿宋" w:hAnsi="仿宋" w:eastAsia="仿宋" w:cs="仿宋"/>
          <w:b w:val="0"/>
          <w:bCs/>
          <w:color w:val="000000"/>
          <w:sz w:val="30"/>
          <w:szCs w:val="30"/>
          <w:lang w:eastAsia="zh-CN"/>
        </w:rPr>
        <w:t>位</w:t>
      </w:r>
      <w:r>
        <w:rPr>
          <w:rFonts w:hint="eastAsia" w:ascii="仿宋" w:hAnsi="仿宋" w:eastAsia="仿宋" w:cs="仿宋"/>
          <w:color w:val="000000"/>
          <w:sz w:val="30"/>
          <w:szCs w:val="30"/>
          <w:lang w:eastAsia="zh-CN"/>
        </w:rPr>
        <w:t>于新市镇赵畈村</w:t>
      </w:r>
      <w:r>
        <w:rPr>
          <w:rFonts w:hint="eastAsia" w:ascii="仿宋" w:hAnsi="仿宋" w:eastAsia="仿宋" w:cs="仿宋"/>
          <w:b w:val="0"/>
          <w:bCs/>
          <w:color w:val="000000"/>
          <w:sz w:val="30"/>
          <w:szCs w:val="30"/>
          <w:lang w:eastAsia="zh-CN"/>
        </w:rPr>
        <w:t>京谷·美丽城</w:t>
      </w:r>
      <w:r>
        <w:rPr>
          <w:rFonts w:hint="eastAsia" w:ascii="仿宋" w:hAnsi="仿宋" w:eastAsia="仿宋" w:cs="仿宋"/>
          <w:color w:val="000000"/>
          <w:sz w:val="30"/>
          <w:szCs w:val="30"/>
          <w:lang w:val="en-US" w:eastAsia="zh-CN"/>
        </w:rPr>
        <w:t>16-1-601室</w:t>
      </w:r>
      <w:r>
        <w:rPr>
          <w:rFonts w:hint="eastAsia" w:ascii="仿宋" w:hAnsi="仿宋" w:eastAsia="仿宋" w:cs="仿宋"/>
          <w:color w:val="000000"/>
          <w:sz w:val="30"/>
          <w:szCs w:val="30"/>
          <w:lang w:eastAsia="zh-CN"/>
        </w:rPr>
        <w:t>在</w:t>
      </w:r>
      <w:r>
        <w:rPr>
          <w:rFonts w:hint="eastAsia" w:ascii="仿宋" w:hAnsi="仿宋" w:eastAsia="仿宋" w:cs="仿宋"/>
          <w:color w:val="auto"/>
          <w:sz w:val="30"/>
          <w:szCs w:val="30"/>
          <w:lang w:val="en-US" w:eastAsia="zh-CN"/>
        </w:rPr>
        <w:t>2021年4月1日</w:t>
      </w:r>
      <w:r>
        <w:rPr>
          <w:rFonts w:hint="eastAsia" w:ascii="仿宋" w:hAnsi="仿宋" w:eastAsia="仿宋" w:cs="仿宋"/>
          <w:color w:val="000000"/>
          <w:sz w:val="30"/>
          <w:szCs w:val="30"/>
          <w:lang w:eastAsia="zh-CN"/>
        </w:rPr>
        <w:t>的评估价格为：￥</w:t>
      </w:r>
      <w:r>
        <w:rPr>
          <w:rFonts w:hint="eastAsia" w:ascii="仿宋" w:hAnsi="仿宋" w:eastAsia="仿宋" w:cs="仿宋"/>
          <w:color w:val="000000"/>
          <w:sz w:val="30"/>
          <w:szCs w:val="30"/>
          <w:lang w:val="en-US" w:eastAsia="zh-CN"/>
        </w:rPr>
        <w:t>414780</w:t>
      </w:r>
      <w:r>
        <w:rPr>
          <w:rFonts w:hint="eastAsia" w:ascii="仿宋" w:hAnsi="仿宋" w:eastAsia="仿宋" w:cs="仿宋"/>
          <w:color w:val="000000"/>
          <w:sz w:val="30"/>
          <w:szCs w:val="30"/>
          <w:lang w:eastAsia="zh-CN"/>
        </w:rPr>
        <w:t>元（大写人民币</w:t>
      </w:r>
      <w:r>
        <w:rPr>
          <w:rFonts w:hint="eastAsia" w:ascii="仿宋" w:hAnsi="仿宋" w:eastAsia="仿宋" w:cs="仿宋"/>
          <w:color w:val="000000"/>
          <w:sz w:val="30"/>
          <w:szCs w:val="30"/>
          <w:lang w:eastAsia="zh-CN"/>
        </w:rPr>
        <w:fldChar w:fldCharType="begin"/>
      </w:r>
      <w:r>
        <w:rPr>
          <w:rFonts w:hint="eastAsia" w:ascii="仿宋" w:hAnsi="仿宋" w:eastAsia="仿宋" w:cs="仿宋"/>
          <w:color w:val="000000"/>
          <w:sz w:val="30"/>
          <w:szCs w:val="30"/>
          <w:lang w:eastAsia="zh-CN"/>
        </w:rPr>
        <w:instrText xml:space="preserve"> = 414780 \* CHINESENUM4 \* MERGEFORMAT </w:instrText>
      </w:r>
      <w:r>
        <w:rPr>
          <w:rFonts w:hint="eastAsia" w:ascii="仿宋" w:hAnsi="仿宋" w:eastAsia="仿宋" w:cs="仿宋"/>
          <w:color w:val="000000"/>
          <w:sz w:val="30"/>
          <w:szCs w:val="30"/>
          <w:lang w:eastAsia="zh-CN"/>
        </w:rPr>
        <w:fldChar w:fldCharType="separate"/>
      </w:r>
      <w:r>
        <w:rPr>
          <w:rFonts w:hint="eastAsia" w:ascii="仿宋" w:hAnsi="仿宋" w:eastAsia="仿宋" w:cs="仿宋"/>
          <w:color w:val="000000"/>
          <w:sz w:val="30"/>
          <w:szCs w:val="30"/>
          <w:lang w:eastAsia="zh-CN"/>
        </w:rPr>
        <w:t>肆拾壹万肆仟柒佰捌拾元整</w:t>
      </w:r>
      <w:r>
        <w:rPr>
          <w:rFonts w:hint="eastAsia" w:ascii="仿宋" w:hAnsi="仿宋" w:eastAsia="仿宋" w:cs="仿宋"/>
          <w:color w:val="000000"/>
          <w:sz w:val="30"/>
          <w:szCs w:val="30"/>
          <w:lang w:eastAsia="zh-CN"/>
        </w:rPr>
        <w:fldChar w:fldCharType="end"/>
      </w:r>
      <w:r>
        <w:rPr>
          <w:rFonts w:hint="eastAsia" w:ascii="仿宋" w:hAnsi="仿宋" w:eastAsia="仿宋" w:cs="仿宋"/>
          <w:color w:val="000000"/>
          <w:sz w:val="30"/>
          <w:szCs w:val="30"/>
          <w:lang w:eastAsia="zh-CN"/>
        </w:rPr>
        <w:t>）。</w:t>
      </w:r>
    </w:p>
    <w:p>
      <w:pPr>
        <w:keepNext w:val="0"/>
        <w:keepLines w:val="0"/>
        <w:pageBreakBefore w:val="0"/>
        <w:kinsoku/>
        <w:wordWrap/>
        <w:overflowPunct/>
        <w:topLinePunct w:val="0"/>
        <w:autoSpaceDE/>
        <w:autoSpaceDN/>
        <w:bidi w:val="0"/>
        <w:spacing w:line="580" w:lineRule="exact"/>
        <w:ind w:right="0" w:firstLine="602" w:firstLineChars="200"/>
        <w:jc w:val="both"/>
        <w:textAlignment w:val="auto"/>
        <w:outlineLvl w:val="9"/>
        <w:rPr>
          <w:rFonts w:hint="eastAsia" w:ascii="仿宋" w:hAnsi="仿宋" w:eastAsia="仿宋" w:cs="仿宋"/>
          <w:b/>
          <w:color w:val="000000"/>
          <w:sz w:val="30"/>
          <w:szCs w:val="30"/>
        </w:rPr>
      </w:pPr>
      <w:r>
        <w:rPr>
          <w:rFonts w:hint="eastAsia" w:ascii="仿宋" w:hAnsi="仿宋" w:eastAsia="仿宋" w:cs="仿宋"/>
          <w:b/>
          <w:color w:val="000000"/>
          <w:sz w:val="30"/>
          <w:szCs w:val="30"/>
        </w:rPr>
        <w:t>九、价格</w:t>
      </w:r>
      <w:r>
        <w:rPr>
          <w:rFonts w:hint="eastAsia" w:ascii="仿宋" w:hAnsi="仿宋" w:eastAsia="仿宋" w:cs="仿宋"/>
          <w:b/>
          <w:color w:val="000000"/>
          <w:sz w:val="30"/>
          <w:szCs w:val="30"/>
          <w:lang w:eastAsia="zh-CN"/>
        </w:rPr>
        <w:t>评估</w:t>
      </w:r>
      <w:r>
        <w:rPr>
          <w:rFonts w:hint="eastAsia" w:ascii="仿宋" w:hAnsi="仿宋" w:eastAsia="仿宋" w:cs="仿宋"/>
          <w:b/>
          <w:color w:val="000000"/>
          <w:sz w:val="30"/>
          <w:szCs w:val="30"/>
        </w:rPr>
        <w:t>限定条件</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2、评估结论仅为本</w:t>
      </w:r>
      <w:r>
        <w:rPr>
          <w:rFonts w:hint="eastAsia" w:ascii="仿宋" w:hAnsi="仿宋" w:eastAsia="仿宋" w:cs="仿宋"/>
          <w:sz w:val="30"/>
          <w:szCs w:val="30"/>
          <w:lang w:eastAsia="zh-CN"/>
        </w:rPr>
        <w:t>次</w:t>
      </w:r>
      <w:r>
        <w:rPr>
          <w:rFonts w:hint="eastAsia" w:ascii="仿宋" w:hAnsi="仿宋" w:eastAsia="仿宋" w:cs="仿宋"/>
          <w:sz w:val="30"/>
          <w:szCs w:val="30"/>
        </w:rPr>
        <w:t>评估目</w:t>
      </w:r>
      <w:r>
        <w:rPr>
          <w:rFonts w:hint="eastAsia" w:ascii="仿宋" w:hAnsi="仿宋" w:eastAsia="仿宋" w:cs="仿宋"/>
          <w:sz w:val="30"/>
          <w:szCs w:val="30"/>
          <w:lang w:eastAsia="zh-CN"/>
        </w:rPr>
        <w:t>的即司法拍卖强制变现这一特定目</w:t>
      </w:r>
      <w:r>
        <w:rPr>
          <w:rFonts w:hint="eastAsia" w:ascii="仿宋" w:hAnsi="仿宋" w:eastAsia="仿宋" w:cs="仿宋"/>
          <w:sz w:val="30"/>
          <w:szCs w:val="30"/>
        </w:rPr>
        <w:t>的服务，</w:t>
      </w:r>
      <w:r>
        <w:rPr>
          <w:rFonts w:hint="eastAsia" w:ascii="仿宋" w:hAnsi="仿宋" w:eastAsia="仿宋" w:cs="仿宋"/>
          <w:sz w:val="30"/>
          <w:szCs w:val="30"/>
          <w:lang w:eastAsia="zh-CN"/>
        </w:rPr>
        <w:t>其他经济行为引用无效</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受评估人员专业范围及清查技术手段的限制，本次评估未对地上建筑物的建筑结构强度、所用材料品质等进行检测，本报告</w:t>
      </w:r>
      <w:r>
        <w:rPr>
          <w:rFonts w:hint="eastAsia" w:ascii="仿宋" w:hAnsi="仿宋" w:eastAsia="仿宋" w:cs="仿宋"/>
          <w:sz w:val="30"/>
          <w:szCs w:val="30"/>
          <w:lang w:eastAsia="zh-CN"/>
        </w:rPr>
        <w:t>设定</w:t>
      </w:r>
      <w:r>
        <w:rPr>
          <w:rFonts w:hint="eastAsia" w:ascii="仿宋" w:hAnsi="仿宋" w:eastAsia="仿宋" w:cs="仿宋"/>
          <w:sz w:val="30"/>
          <w:szCs w:val="30"/>
        </w:rPr>
        <w:t>评估基准日时点的评估对象房地产</w:t>
      </w:r>
      <w:r>
        <w:rPr>
          <w:rFonts w:hint="eastAsia" w:ascii="仿宋" w:hAnsi="仿宋" w:eastAsia="仿宋" w:cs="仿宋"/>
          <w:sz w:val="30"/>
          <w:szCs w:val="30"/>
          <w:lang w:eastAsia="zh-CN"/>
        </w:rPr>
        <w:t>及附属设施</w:t>
      </w:r>
      <w:r>
        <w:rPr>
          <w:rFonts w:hint="eastAsia" w:ascii="仿宋" w:hAnsi="仿宋" w:eastAsia="仿宋" w:cs="仿宋"/>
          <w:sz w:val="30"/>
          <w:szCs w:val="30"/>
        </w:rPr>
        <w:t>工程质量符合国家和地区相关标准</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4、本次评估以合同约定建筑面积测算，受委托人提供资料的限制，未考虑产权办理时实际补差面积对评估结论的影响；</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、本评估结论设定为“司法执行财产处置中的交易税费及财产处置费用</w:t>
      </w:r>
      <w:r>
        <w:rPr>
          <w:rFonts w:hint="eastAsia" w:ascii="仿宋" w:hAnsi="仿宋" w:eastAsia="仿宋" w:cs="仿宋"/>
          <w:sz w:val="30"/>
          <w:szCs w:val="30"/>
          <w:lang w:eastAsia="zh-CN"/>
        </w:rPr>
        <w:t>均由买卖双方按相关规定各自承担</w:t>
      </w:r>
      <w:r>
        <w:rPr>
          <w:rFonts w:hint="eastAsia" w:ascii="仿宋" w:hAnsi="仿宋" w:eastAsia="仿宋" w:cs="仿宋"/>
          <w:sz w:val="30"/>
          <w:szCs w:val="30"/>
        </w:rPr>
        <w:t>”这一税费负担方式下的价值，未考虑评估费、拍卖费、诉讼费、律师费</w:t>
      </w:r>
      <w:r>
        <w:rPr>
          <w:rFonts w:hint="eastAsia" w:ascii="仿宋" w:hAnsi="仿宋" w:eastAsia="仿宋" w:cs="仿宋"/>
          <w:sz w:val="30"/>
          <w:szCs w:val="30"/>
          <w:lang w:eastAsia="zh-CN"/>
        </w:rPr>
        <w:t>、</w:t>
      </w:r>
      <w:r>
        <w:rPr>
          <w:rFonts w:hint="eastAsia" w:ascii="仿宋" w:hAnsi="仿宋" w:eastAsia="仿宋" w:cs="仿宋"/>
          <w:sz w:val="30"/>
          <w:szCs w:val="30"/>
        </w:rPr>
        <w:t>交易税费</w:t>
      </w:r>
      <w:r>
        <w:rPr>
          <w:rFonts w:hint="eastAsia" w:ascii="仿宋" w:hAnsi="仿宋" w:eastAsia="仿宋" w:cs="仿宋"/>
          <w:sz w:val="30"/>
          <w:szCs w:val="30"/>
          <w:lang w:eastAsia="zh-CN"/>
        </w:rPr>
        <w:t>以及欠缴的物业水电费</w:t>
      </w:r>
      <w:r>
        <w:rPr>
          <w:rFonts w:hint="eastAsia" w:ascii="仿宋" w:hAnsi="仿宋" w:eastAsia="仿宋" w:cs="仿宋"/>
          <w:sz w:val="30"/>
          <w:szCs w:val="30"/>
        </w:rPr>
        <w:t>等财产处置费用对评估结论的影响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、评估结论是本公司出具的，受具体参加本项目的评估人员的执业水平和能力的影响。 </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580" w:lineRule="exact"/>
        <w:ind w:right="0" w:firstLine="602" w:firstLineChars="200"/>
        <w:jc w:val="both"/>
        <w:textAlignment w:val="auto"/>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十、特别事项说明</w:t>
      </w:r>
      <w:r>
        <w:rPr>
          <w:rStyle w:val="9"/>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报告使用者在使用本评估报告时，应关注以下特别事项对评估结论可能产生的影响，在依据本报告自行决策时给予充分考虑。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580" w:lineRule="exact"/>
        <w:ind w:right="0" w:firstLine="602"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9"/>
          <w:rFonts w:hint="eastAsia" w:ascii="仿宋" w:hAnsi="仿宋" w:eastAsia="仿宋" w:cs="仿宋"/>
          <w:b/>
          <w:color w:val="auto"/>
          <w:sz w:val="30"/>
          <w:szCs w:val="30"/>
        </w:rPr>
        <w:t> </w:t>
      </w:r>
    </w:p>
    <w:p>
      <w:pPr>
        <w:keepNext w:val="0"/>
        <w:keepLines w:val="0"/>
        <w:pageBreakBefore w:val="0"/>
        <w:kinsoku/>
        <w:wordWrap/>
        <w:overflowPunct/>
        <w:topLinePunct w:val="0"/>
        <w:autoSpaceDE/>
        <w:autoSpaceDN/>
        <w:bidi w:val="0"/>
        <w:spacing w:line="580" w:lineRule="exact"/>
        <w:ind w:right="0" w:firstLine="600" w:firstLineChars="200"/>
        <w:jc w:val="both"/>
        <w:textAlignment w:val="auto"/>
        <w:outlineLvl w:val="9"/>
        <w:rPr>
          <w:rStyle w:val="9"/>
          <w:rFonts w:hint="eastAsia" w:ascii="仿宋" w:hAnsi="仿宋" w:eastAsia="仿宋" w:cs="仿宋"/>
          <w:color w:val="auto"/>
          <w:sz w:val="30"/>
          <w:szCs w:val="30"/>
        </w:rPr>
      </w:pP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报告日为</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人员专业意见形成日，本次出具</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报告日期为20</w:t>
      </w:r>
      <w:r>
        <w:rPr>
          <w:rStyle w:val="9"/>
          <w:rFonts w:hint="eastAsia" w:ascii="仿宋" w:hAnsi="仿宋" w:eastAsia="仿宋" w:cs="仿宋"/>
          <w:color w:val="auto"/>
          <w:sz w:val="30"/>
          <w:szCs w:val="30"/>
          <w:lang w:val="en-US" w:eastAsia="zh-CN"/>
        </w:rPr>
        <w:t>21</w:t>
      </w:r>
      <w:r>
        <w:rPr>
          <w:rStyle w:val="9"/>
          <w:rFonts w:hint="eastAsia" w:ascii="仿宋" w:hAnsi="仿宋" w:eastAsia="仿宋" w:cs="仿宋"/>
          <w:color w:val="auto"/>
          <w:sz w:val="30"/>
          <w:szCs w:val="30"/>
        </w:rPr>
        <w:t>年</w:t>
      </w:r>
      <w:r>
        <w:rPr>
          <w:rStyle w:val="9"/>
          <w:rFonts w:hint="eastAsia" w:ascii="仿宋" w:hAnsi="仿宋" w:eastAsia="仿宋" w:cs="仿宋"/>
          <w:color w:val="auto"/>
          <w:sz w:val="30"/>
          <w:szCs w:val="30"/>
          <w:lang w:val="en-US" w:eastAsia="zh-CN"/>
        </w:rPr>
        <w:t>4</w:t>
      </w:r>
      <w:r>
        <w:rPr>
          <w:rStyle w:val="9"/>
          <w:rFonts w:hint="eastAsia" w:ascii="仿宋" w:hAnsi="仿宋" w:eastAsia="仿宋" w:cs="仿宋"/>
          <w:color w:val="auto"/>
          <w:sz w:val="30"/>
          <w:szCs w:val="30"/>
        </w:rPr>
        <w:t>月</w:t>
      </w:r>
      <w:r>
        <w:rPr>
          <w:rStyle w:val="9"/>
          <w:rFonts w:hint="eastAsia" w:ascii="仿宋" w:hAnsi="仿宋" w:eastAsia="仿宋" w:cs="仿宋"/>
          <w:color w:val="auto"/>
          <w:sz w:val="30"/>
          <w:szCs w:val="30"/>
          <w:lang w:val="en-US" w:eastAsia="zh-CN"/>
        </w:rPr>
        <w:t>6</w:t>
      </w:r>
      <w:r>
        <w:rPr>
          <w:rStyle w:val="9"/>
          <w:rFonts w:hint="eastAsia" w:ascii="仿宋" w:hAnsi="仿宋" w:eastAsia="仿宋" w:cs="仿宋"/>
          <w:color w:val="auto"/>
          <w:sz w:val="30"/>
          <w:szCs w:val="30"/>
        </w:rPr>
        <w:t>日。</w:t>
      </w:r>
    </w:p>
    <w:p>
      <w:pPr>
        <w:pStyle w:val="5"/>
        <w:keepNext w:val="0"/>
        <w:keepLines w:val="0"/>
        <w:pageBreakBefore w:val="0"/>
        <w:kinsoku/>
        <w:wordWrap/>
        <w:overflowPunct/>
        <w:topLinePunct w:val="0"/>
        <w:autoSpaceDE/>
        <w:autoSpaceDN/>
        <w:bidi w:val="0"/>
        <w:spacing w:line="580" w:lineRule="exact"/>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pacing w:line="580" w:lineRule="exact"/>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580" w:lineRule="exact"/>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580" w:lineRule="exact"/>
        <w:ind w:right="0" w:firstLine="600"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sz w:val="30"/>
          <w:szCs w:val="30"/>
          <w:lang w:val="en-US" w:eastAsia="zh-CN"/>
        </w:rPr>
        <w:t>公司地址：</w:t>
      </w:r>
      <w:r>
        <w:rPr>
          <w:rFonts w:hint="eastAsia" w:ascii="仿宋" w:hAnsi="仿宋" w:eastAsia="仿宋" w:cs="仿宋"/>
          <w:b w:val="0"/>
          <w:bCs w:val="0"/>
          <w:sz w:val="30"/>
          <w:szCs w:val="30"/>
        </w:rPr>
        <w:t>武汉市</w:t>
      </w:r>
      <w:r>
        <w:rPr>
          <w:rFonts w:hint="eastAsia" w:ascii="仿宋" w:hAnsi="仿宋" w:eastAsia="仿宋" w:cs="仿宋"/>
          <w:b w:val="0"/>
          <w:bCs w:val="0"/>
          <w:sz w:val="30"/>
          <w:szCs w:val="30"/>
          <w:lang w:eastAsia="zh-CN"/>
        </w:rPr>
        <w:t>黄陂区前川街西寺大道</w:t>
      </w:r>
      <w:r>
        <w:rPr>
          <w:rFonts w:hint="eastAsia" w:ascii="仿宋" w:hAnsi="仿宋" w:eastAsia="仿宋" w:cs="仿宋"/>
          <w:b w:val="0"/>
          <w:bCs w:val="0"/>
          <w:sz w:val="30"/>
          <w:szCs w:val="30"/>
          <w:lang w:val="en-US" w:eastAsia="zh-CN"/>
        </w:rPr>
        <w:t>188号4层第2层</w:t>
      </w:r>
    </w:p>
    <w:p>
      <w:pPr>
        <w:keepNext w:val="0"/>
        <w:keepLines w:val="0"/>
        <w:pageBreakBefore w:val="0"/>
        <w:kinsoku/>
        <w:wordWrap/>
        <w:overflowPunct/>
        <w:topLinePunct w:val="0"/>
        <w:autoSpaceDE/>
        <w:autoSpaceDN/>
        <w:bidi w:val="0"/>
        <w:spacing w:line="580" w:lineRule="exact"/>
        <w:ind w:right="0" w:firstLine="602" w:firstLineChars="200"/>
        <w:jc w:val="both"/>
        <w:textAlignment w:val="auto"/>
        <w:outlineLvl w:val="9"/>
        <w:rPr>
          <w:rFonts w:hint="eastAsia" w:ascii="仿宋" w:hAnsi="仿宋" w:eastAsia="仿宋" w:cs="仿宋"/>
          <w:b/>
          <w:color w:val="auto"/>
          <w:sz w:val="30"/>
          <w:szCs w:val="30"/>
        </w:rPr>
      </w:pPr>
      <w:r>
        <w:rPr>
          <w:rStyle w:val="9"/>
          <w:rFonts w:hint="eastAsia" w:ascii="仿宋" w:hAnsi="仿宋" w:eastAsia="仿宋" w:cs="仿宋"/>
          <w:b/>
          <w:color w:val="auto"/>
          <w:sz w:val="30"/>
          <w:szCs w:val="30"/>
        </w:rPr>
        <w:t>十三、价格</w:t>
      </w:r>
      <w:r>
        <w:rPr>
          <w:rStyle w:val="9"/>
          <w:rFonts w:hint="eastAsia" w:ascii="仿宋" w:hAnsi="仿宋" w:eastAsia="仿宋" w:cs="仿宋"/>
          <w:b/>
          <w:color w:val="auto"/>
          <w:sz w:val="30"/>
          <w:szCs w:val="30"/>
          <w:lang w:eastAsia="zh-CN"/>
        </w:rPr>
        <w:t>评估专业</w:t>
      </w:r>
      <w:r>
        <w:rPr>
          <w:rStyle w:val="9"/>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6"/>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827"/>
        <w:gridCol w:w="1589"/>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589"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141"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589"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141"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186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kern w:val="0"/>
                <w:sz w:val="30"/>
                <w:szCs w:val="30"/>
                <w:lang w:val="zh-CN" w:eastAsia="zh-CN" w:bidi="ar-SA"/>
              </w:rPr>
            </w:pPr>
            <w:r>
              <w:rPr>
                <w:rFonts w:hint="eastAsia" w:ascii="仿宋" w:hAnsi="仿宋" w:eastAsia="仿宋" w:cs="仿宋"/>
                <w:color w:val="auto"/>
                <w:sz w:val="28"/>
                <w:szCs w:val="28"/>
                <w:lang w:val="en-US" w:eastAsia="zh-CN"/>
              </w:rPr>
              <w:t>陈  松</w:t>
            </w:r>
          </w:p>
        </w:tc>
        <w:tc>
          <w:tcPr>
            <w:tcW w:w="1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kern w:val="0"/>
                <w:sz w:val="30"/>
                <w:szCs w:val="30"/>
                <w:lang w:val="zh-CN" w:eastAsia="zh-CN" w:bidi="ar-SA"/>
              </w:rPr>
            </w:pPr>
            <w:r>
              <w:rPr>
                <w:rFonts w:hint="eastAsia" w:ascii="仿宋" w:hAnsi="仿宋" w:eastAsia="仿宋" w:cs="仿宋"/>
                <w:color w:val="auto"/>
                <w:sz w:val="28"/>
                <w:szCs w:val="28"/>
              </w:rPr>
              <w:t>价格鉴证师</w:t>
            </w:r>
          </w:p>
        </w:tc>
        <w:tc>
          <w:tcPr>
            <w:tcW w:w="15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kern w:val="0"/>
                <w:sz w:val="30"/>
                <w:szCs w:val="30"/>
                <w:lang w:val="en-US" w:eastAsia="zh-CN" w:bidi="ar-SA"/>
              </w:rPr>
            </w:pPr>
            <w:r>
              <w:rPr>
                <w:rFonts w:hint="eastAsia" w:ascii="仿宋" w:hAnsi="仿宋" w:eastAsia="仿宋" w:cs="仿宋"/>
                <w:color w:val="auto"/>
                <w:sz w:val="28"/>
                <w:szCs w:val="28"/>
                <w:lang w:val="en-US" w:eastAsia="zh-CN"/>
              </w:rPr>
              <w:t>0017044</w:t>
            </w:r>
          </w:p>
        </w:tc>
        <w:tc>
          <w:tcPr>
            <w:tcW w:w="3141"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580" w:lineRule="exact"/>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1、现场勘验</w:t>
      </w:r>
      <w:r>
        <w:rPr>
          <w:rFonts w:hint="eastAsia" w:ascii="仿宋" w:hAnsi="仿宋" w:eastAsia="仿宋" w:cs="仿宋"/>
          <w:sz w:val="30"/>
          <w:szCs w:val="30"/>
          <w:lang w:val="en-US" w:eastAsia="zh-CN"/>
        </w:rPr>
        <w:t>概貌</w:t>
      </w:r>
      <w:r>
        <w:rPr>
          <w:rFonts w:hint="eastAsia" w:ascii="仿宋" w:hAnsi="仿宋" w:eastAsia="仿宋" w:cs="仿宋"/>
          <w:sz w:val="30"/>
          <w:szCs w:val="30"/>
        </w:rPr>
        <w:t>照片；</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2、价格评估委托书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4、价格评估机构营业执照</w:t>
      </w:r>
      <w:r>
        <w:rPr>
          <w:rFonts w:hint="eastAsia" w:ascii="仿宋" w:hAnsi="仿宋" w:eastAsia="仿宋" w:cs="仿宋"/>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5、价格评估机构资质证书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价格评估人员资格证书</w:t>
      </w:r>
      <w:r>
        <w:rPr>
          <w:rFonts w:hint="eastAsia" w:ascii="仿宋" w:hAnsi="仿宋" w:eastAsia="仿宋" w:cs="仿宋"/>
          <w:sz w:val="30"/>
          <w:szCs w:val="30"/>
          <w:lang w:eastAsia="zh-CN"/>
        </w:rPr>
        <w:t>复印件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right="0" w:firstLine="600" w:firstLineChars="200"/>
        <w:jc w:val="right"/>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本惟识（湖北）价格评估有限公司</w:t>
      </w: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w:t>
      </w:r>
      <w:r>
        <w:rPr>
          <w:rFonts w:hint="eastAsia" w:ascii="仿宋" w:hAnsi="仿宋" w:eastAsia="仿宋" w:cs="仿宋"/>
          <w:b w:val="0"/>
          <w:bCs w:val="0"/>
          <w:color w:val="auto"/>
          <w:sz w:val="30"/>
          <w:szCs w:val="30"/>
        </w:rPr>
        <w:t>二0</w:t>
      </w:r>
      <w:r>
        <w:rPr>
          <w:rFonts w:hint="eastAsia" w:ascii="仿宋" w:hAnsi="仿宋" w:eastAsia="仿宋" w:cs="仿宋"/>
          <w:b w:val="0"/>
          <w:bCs w:val="0"/>
          <w:color w:val="auto"/>
          <w:sz w:val="30"/>
          <w:szCs w:val="30"/>
          <w:lang w:eastAsia="zh-CN"/>
        </w:rPr>
        <w:t>二一</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eastAsia="zh-CN"/>
        </w:rPr>
        <w:t>四</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val="en-US" w:eastAsia="zh-CN"/>
        </w:rPr>
        <w:t>六日</w:t>
      </w: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default" w:ascii="仿宋" w:hAnsi="仿宋" w:eastAsia="仿宋" w:cs="仿宋"/>
          <w:b w:val="0"/>
          <w:bCs w:val="0"/>
          <w:color w:val="auto"/>
          <w:sz w:val="30"/>
          <w:szCs w:val="30"/>
          <w:lang w:val="en-US" w:eastAsia="zh-CN"/>
        </w:rPr>
      </w:pPr>
      <w:r>
        <w:rPr>
          <w:rFonts w:hint="eastAsia" w:ascii="仿宋" w:hAnsi="仿宋" w:eastAsia="仿宋" w:cs="仿宋"/>
          <w:b/>
          <w:bCs/>
          <w:sz w:val="30"/>
          <w:szCs w:val="30"/>
          <w:lang w:val="en-US" w:eastAsia="zh-CN"/>
        </w:rPr>
        <w:drawing>
          <wp:anchor distT="0" distB="0" distL="114300" distR="114300" simplePos="0" relativeHeight="251663360" behindDoc="0" locked="0" layoutInCell="1" allowOverlap="1">
            <wp:simplePos x="0" y="0"/>
            <wp:positionH relativeFrom="column">
              <wp:posOffset>2933700</wp:posOffset>
            </wp:positionH>
            <wp:positionV relativeFrom="paragraph">
              <wp:posOffset>3612515</wp:posOffset>
            </wp:positionV>
            <wp:extent cx="2955290" cy="2216785"/>
            <wp:effectExtent l="0" t="0" r="16510" b="12065"/>
            <wp:wrapNone/>
            <wp:docPr id="9" name="图片 9" descr="DSC0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SC08012"/>
                    <pic:cNvPicPr>
                      <a:picLocks noChangeAspect="1"/>
                    </pic:cNvPicPr>
                  </pic:nvPicPr>
                  <pic:blipFill>
                    <a:blip r:embed="rId9"/>
                    <a:stretch>
                      <a:fillRect/>
                    </a:stretch>
                  </pic:blipFill>
                  <pic:spPr>
                    <a:xfrm>
                      <a:off x="0" y="0"/>
                      <a:ext cx="2955290" cy="2216785"/>
                    </a:xfrm>
                    <a:prstGeom prst="rect">
                      <a:avLst/>
                    </a:prstGeom>
                  </pic:spPr>
                </pic:pic>
              </a:graphicData>
            </a:graphic>
          </wp:anchor>
        </w:drawing>
      </w:r>
      <w:r>
        <w:rPr>
          <w:rFonts w:hint="eastAsia" w:ascii="仿宋" w:hAnsi="仿宋" w:eastAsia="仿宋" w:cs="仿宋"/>
          <w:b/>
          <w:bCs/>
          <w:sz w:val="30"/>
          <w:szCs w:val="30"/>
          <w:lang w:val="en-US" w:eastAsia="zh-CN"/>
        </w:rPr>
        <w:drawing>
          <wp:anchor distT="0" distB="0" distL="114300" distR="114300" simplePos="0" relativeHeight="251664384" behindDoc="0" locked="0" layoutInCell="1" allowOverlap="1">
            <wp:simplePos x="0" y="0"/>
            <wp:positionH relativeFrom="column">
              <wp:posOffset>-57150</wp:posOffset>
            </wp:positionH>
            <wp:positionV relativeFrom="paragraph">
              <wp:posOffset>3620770</wp:posOffset>
            </wp:positionV>
            <wp:extent cx="2955925" cy="2217420"/>
            <wp:effectExtent l="0" t="0" r="15875" b="11430"/>
            <wp:wrapNone/>
            <wp:docPr id="10" name="图片 10" descr="DSC08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SC08015"/>
                    <pic:cNvPicPr>
                      <a:picLocks noChangeAspect="1"/>
                    </pic:cNvPicPr>
                  </pic:nvPicPr>
                  <pic:blipFill>
                    <a:blip r:embed="rId10"/>
                    <a:stretch>
                      <a:fillRect/>
                    </a:stretch>
                  </pic:blipFill>
                  <pic:spPr>
                    <a:xfrm>
                      <a:off x="0" y="0"/>
                      <a:ext cx="2955925" cy="2217420"/>
                    </a:xfrm>
                    <a:prstGeom prst="rect">
                      <a:avLst/>
                    </a:prstGeom>
                  </pic:spPr>
                </pic:pic>
              </a:graphicData>
            </a:graphic>
          </wp:anchor>
        </w:drawing>
      </w:r>
      <w:r>
        <w:rPr>
          <w:rFonts w:hint="eastAsia" w:ascii="仿宋" w:hAnsi="仿宋" w:eastAsia="仿宋" w:cs="仿宋"/>
          <w:b/>
          <w:bCs/>
          <w:sz w:val="30"/>
          <w:szCs w:val="30"/>
        </w:rPr>
        <w:drawing>
          <wp:anchor distT="0" distB="0" distL="114300" distR="114300" simplePos="0" relativeHeight="251662336" behindDoc="0" locked="0" layoutInCell="1" allowOverlap="1">
            <wp:simplePos x="0" y="0"/>
            <wp:positionH relativeFrom="column">
              <wp:posOffset>2924175</wp:posOffset>
            </wp:positionH>
            <wp:positionV relativeFrom="paragraph">
              <wp:posOffset>1017905</wp:posOffset>
            </wp:positionV>
            <wp:extent cx="2955290" cy="2216785"/>
            <wp:effectExtent l="0" t="0" r="16510" b="12065"/>
            <wp:wrapNone/>
            <wp:docPr id="8" name="图片 8" descr="DSC08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SC08019"/>
                    <pic:cNvPicPr>
                      <a:picLocks noChangeAspect="1"/>
                    </pic:cNvPicPr>
                  </pic:nvPicPr>
                  <pic:blipFill>
                    <a:blip r:embed="rId11"/>
                    <a:stretch>
                      <a:fillRect/>
                    </a:stretch>
                  </pic:blipFill>
                  <pic:spPr>
                    <a:xfrm>
                      <a:off x="0" y="0"/>
                      <a:ext cx="2955290" cy="2216785"/>
                    </a:xfrm>
                    <a:prstGeom prst="rect">
                      <a:avLst/>
                    </a:prstGeom>
                  </pic:spPr>
                </pic:pic>
              </a:graphicData>
            </a:graphic>
          </wp:anchor>
        </w:drawing>
      </w:r>
      <w:r>
        <w:rPr>
          <w:rFonts w:hint="eastAsia" w:ascii="仿宋" w:hAnsi="仿宋" w:eastAsia="仿宋" w:cs="仿宋"/>
          <w:b/>
          <w:bCs/>
          <w:color w:val="auto"/>
          <w:sz w:val="30"/>
          <w:szCs w:val="30"/>
          <w:lang w:val="en-US" w:eastAsia="zh-CN"/>
        </w:rPr>
        <w:drawing>
          <wp:anchor distT="0" distB="0" distL="114300" distR="114300" simplePos="0" relativeHeight="251661312" behindDoc="0" locked="0" layoutInCell="1" allowOverlap="1">
            <wp:simplePos x="0" y="0"/>
            <wp:positionH relativeFrom="column">
              <wp:posOffset>-57150</wp:posOffset>
            </wp:positionH>
            <wp:positionV relativeFrom="paragraph">
              <wp:posOffset>1017905</wp:posOffset>
            </wp:positionV>
            <wp:extent cx="2955925" cy="2217420"/>
            <wp:effectExtent l="0" t="0" r="15875" b="11430"/>
            <wp:wrapNone/>
            <wp:docPr id="7" name="图片 7" descr="DSC0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SC08004"/>
                    <pic:cNvPicPr>
                      <a:picLocks noChangeAspect="1"/>
                    </pic:cNvPicPr>
                  </pic:nvPicPr>
                  <pic:blipFill>
                    <a:blip r:embed="rId12"/>
                    <a:stretch>
                      <a:fillRect/>
                    </a:stretch>
                  </pic:blipFill>
                  <pic:spPr>
                    <a:xfrm>
                      <a:off x="0" y="0"/>
                      <a:ext cx="2955925" cy="2217420"/>
                    </a:xfrm>
                    <a:prstGeom prst="rect">
                      <a:avLst/>
                    </a:prstGeom>
                  </pic:spPr>
                </pic:pic>
              </a:graphicData>
            </a:graphic>
          </wp:anchor>
        </w:drawing>
      </w:r>
      <w:r>
        <w:rPr>
          <w:rFonts w:hint="eastAsia" w:ascii="仿宋" w:hAnsi="仿宋" w:eastAsia="仿宋" w:cs="仿宋"/>
          <w:b/>
          <w:bCs/>
          <w:color w:val="auto"/>
          <w:sz w:val="30"/>
          <w:szCs w:val="30"/>
          <w:lang w:val="en-US" w:eastAsia="zh-CN"/>
        </w:rPr>
        <w:t>现场</w:t>
      </w:r>
      <w:r>
        <w:rPr>
          <w:rFonts w:hint="eastAsia" w:ascii="仿宋" w:hAnsi="仿宋" w:eastAsia="仿宋" w:cs="仿宋"/>
          <w:b/>
          <w:bCs/>
          <w:sz w:val="30"/>
          <w:szCs w:val="30"/>
        </w:rPr>
        <w:t>勘验</w:t>
      </w:r>
      <w:r>
        <w:rPr>
          <w:rFonts w:hint="eastAsia" w:ascii="仿宋" w:hAnsi="仿宋" w:eastAsia="仿宋" w:cs="仿宋"/>
          <w:b/>
          <w:bCs/>
          <w:sz w:val="30"/>
          <w:szCs w:val="30"/>
          <w:lang w:val="en-US" w:eastAsia="zh-CN"/>
        </w:rPr>
        <w:t>概貌</w:t>
      </w:r>
      <w:r>
        <w:rPr>
          <w:rFonts w:hint="eastAsia" w:ascii="仿宋" w:hAnsi="仿宋" w:eastAsia="仿宋" w:cs="仿宋"/>
          <w:b/>
          <w:bCs/>
          <w:sz w:val="30"/>
          <w:szCs w:val="30"/>
        </w:rPr>
        <w:t>照片</w:t>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bWmy1wAAAAoBAAAPAAAAAAAAAAEAIAAAACIAAABkcnMvZG93&#10;bnJldi54bWxQSwECFAAUAAAACACHTuJAGnaBycgBAACZAwAADgAAAAAAAAABACAAAAAmAQAAZHJz&#10;L2Uyb0RvYy54bWxQSwUGAAAAAAYABgBZAQAAYAU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21pstcAAAAKAQAADwAAAAAAAAABACAAAAAiAAAAZHJzL2Rv&#10;d25yZXYueG1sUEsBAhQAFAAAAAgAh07iQNrtXBfJAQAAmQMAAA4AAAAAAAAAAQAgAAAAJgEAAGRy&#10;cy9lMm9Eb2MueG1sUEsFBgAAAAAGAAYAWQEAAGE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13</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AWKKvWAAAACA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13</w:t>
                    </w:r>
                    <w:r>
                      <w:rPr>
                        <w:rFonts w:hint="eastAsia" w:ascii="仿宋" w:hAnsi="仿宋" w:eastAsia="仿宋" w:cs="仿宋"/>
                      </w:rPr>
                      <w:t xml:space="preserve"> 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sz w:val="18"/>
        <w:szCs w:val="18"/>
        <w:u w:val="single"/>
        <w:lang w:val="en-US" w:eastAsia="zh-CN"/>
      </w:rPr>
      <w:t xml:space="preserve">        </w:t>
    </w:r>
    <w:r>
      <w:rPr>
        <w:rFonts w:hint="eastAsia" w:ascii="仿宋" w:hAnsi="仿宋" w:eastAsia="仿宋" w:cs="仿宋"/>
        <w:b w:val="0"/>
        <w:bCs w:val="0"/>
        <w:color w:val="000000"/>
        <w:sz w:val="18"/>
        <w:szCs w:val="18"/>
        <w:u w:val="single"/>
        <w:lang w:eastAsia="zh-CN"/>
      </w:rPr>
      <w:t>京谷·美丽城</w:t>
    </w:r>
    <w:r>
      <w:rPr>
        <w:rFonts w:hint="eastAsia" w:ascii="仿宋" w:hAnsi="仿宋" w:eastAsia="仿宋" w:cs="仿宋"/>
        <w:b w:val="0"/>
        <w:bCs w:val="0"/>
        <w:color w:val="000000"/>
        <w:sz w:val="18"/>
        <w:szCs w:val="18"/>
        <w:u w:val="single"/>
        <w:lang w:val="en-US" w:eastAsia="zh-CN"/>
      </w:rPr>
      <w:t>涉案房地产价格评估报告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91686"/>
    <w:rsid w:val="067D72A9"/>
    <w:rsid w:val="0A2903BC"/>
    <w:rsid w:val="1363044B"/>
    <w:rsid w:val="17CD76C8"/>
    <w:rsid w:val="1DDF5330"/>
    <w:rsid w:val="1E374E3D"/>
    <w:rsid w:val="1EA74BC6"/>
    <w:rsid w:val="20604A48"/>
    <w:rsid w:val="2AEF6DDD"/>
    <w:rsid w:val="2AF94A6F"/>
    <w:rsid w:val="2D3E274C"/>
    <w:rsid w:val="2DE0216D"/>
    <w:rsid w:val="311C0ED7"/>
    <w:rsid w:val="341A5754"/>
    <w:rsid w:val="34773A5C"/>
    <w:rsid w:val="39211B4B"/>
    <w:rsid w:val="3D595694"/>
    <w:rsid w:val="3E0C71BB"/>
    <w:rsid w:val="42095CC8"/>
    <w:rsid w:val="4C0210B2"/>
    <w:rsid w:val="52862090"/>
    <w:rsid w:val="57C220DA"/>
    <w:rsid w:val="5E904B65"/>
    <w:rsid w:val="5FD97855"/>
    <w:rsid w:val="63D65DAF"/>
    <w:rsid w:val="64653AF9"/>
    <w:rsid w:val="65990707"/>
    <w:rsid w:val="68FC7892"/>
    <w:rsid w:val="6BBE4943"/>
    <w:rsid w:val="72725902"/>
    <w:rsid w:val="72964F11"/>
    <w:rsid w:val="761C6F01"/>
    <w:rsid w:val="782E1B43"/>
    <w:rsid w:val="785E1AF8"/>
    <w:rsid w:val="7E6004A2"/>
    <w:rsid w:val="7E8F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Administrator</cp:lastModifiedBy>
  <dcterms:modified xsi:type="dcterms:W3CDTF">2021-04-06T06:27:39Z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9BFB8A4F48124894A64D391970F98223</vt:lpwstr>
  </property>
</Properties>
</file>