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p>
    <w:p>
      <w:pPr>
        <w:spacing w:line="360" w:lineRule="auto"/>
        <w:jc w:val="center"/>
        <w:rPr>
          <w:rFonts w:ascii="宋体"/>
          <w:sz w:val="72"/>
        </w:rPr>
      </w:pPr>
      <w:r>
        <w:rPr>
          <w:rFonts w:hint="eastAsia" w:ascii="宋体" w:hAnsi="宋体"/>
          <w:sz w:val="72"/>
        </w:rPr>
        <w:t>房地产估价报告</w:t>
      </w:r>
    </w:p>
    <w:p>
      <w:pPr>
        <w:tabs>
          <w:tab w:val="left" w:pos="1500"/>
        </w:tabs>
        <w:spacing w:line="360" w:lineRule="auto"/>
        <w:ind w:firstLine="2730" w:firstLineChars="1300"/>
        <w:rPr>
          <w:rFonts w:ascii="宋体"/>
        </w:rPr>
      </w:pPr>
    </w:p>
    <w:p>
      <w:pPr>
        <w:spacing w:line="360" w:lineRule="auto"/>
        <w:jc w:val="center"/>
        <w:rPr>
          <w:rFonts w:ascii="宋体"/>
          <w:b/>
          <w:sz w:val="24"/>
        </w:rPr>
      </w:pPr>
      <w:r>
        <w:rPr>
          <w:rFonts w:hint="eastAsia" w:ascii="宋体" w:hAnsi="宋体"/>
          <w:b/>
          <w:sz w:val="24"/>
        </w:rPr>
        <w:t>辽俊房估报字（</w:t>
      </w:r>
      <w:r>
        <w:rPr>
          <w:rFonts w:ascii="宋体" w:hAnsi="宋体"/>
          <w:b/>
          <w:sz w:val="24"/>
        </w:rPr>
        <w:t>20</w:t>
      </w:r>
      <w:r>
        <w:rPr>
          <w:rFonts w:hint="eastAsia" w:ascii="宋体" w:hAnsi="宋体"/>
          <w:b/>
          <w:sz w:val="24"/>
        </w:rPr>
        <w:t>2</w:t>
      </w:r>
      <w:r>
        <w:rPr>
          <w:rFonts w:hint="eastAsia" w:ascii="宋体" w:hAnsi="宋体"/>
          <w:b/>
          <w:sz w:val="24"/>
          <w:lang w:val="en-US" w:eastAsia="zh-CN"/>
        </w:rPr>
        <w:t>1</w:t>
      </w:r>
      <w:r>
        <w:rPr>
          <w:rFonts w:hint="eastAsia" w:ascii="宋体" w:hAnsi="宋体"/>
          <w:b/>
          <w:sz w:val="24"/>
        </w:rPr>
        <w:t>）第</w:t>
      </w:r>
      <w:r>
        <w:rPr>
          <w:rFonts w:hint="eastAsia" w:ascii="宋体" w:hAnsi="宋体"/>
          <w:b/>
          <w:sz w:val="24"/>
          <w:lang w:val="en-US" w:eastAsia="zh-CN"/>
        </w:rPr>
        <w:t>01001</w:t>
      </w:r>
      <w:r>
        <w:rPr>
          <w:rFonts w:hint="eastAsia" w:ascii="宋体" w:hAnsi="宋体"/>
          <w:b/>
          <w:sz w:val="24"/>
        </w:rPr>
        <w:t>号</w:t>
      </w:r>
      <w:r>
        <w:rPr>
          <w:rFonts w:ascii="宋体" w:hAnsi="宋体"/>
          <w:b/>
          <w:sz w:val="24"/>
        </w:rPr>
        <w:t xml:space="preserve"> </w:t>
      </w:r>
    </w:p>
    <w:p>
      <w:pPr>
        <w:spacing w:line="360" w:lineRule="auto"/>
        <w:jc w:val="center"/>
        <w:rPr>
          <w:rFonts w:ascii="宋体"/>
          <w:sz w:val="24"/>
        </w:rPr>
      </w:pPr>
    </w:p>
    <w:p>
      <w:pPr>
        <w:spacing w:line="360" w:lineRule="auto"/>
        <w:ind w:firstLine="2160" w:firstLineChars="1029"/>
      </w:pPr>
    </w:p>
    <w:p>
      <w:pPr>
        <w:spacing w:line="360" w:lineRule="auto"/>
        <w:jc w:val="center"/>
        <w:rPr>
          <w:rFonts w:ascii="宋体"/>
        </w:rPr>
      </w:pPr>
      <w:r>
        <w:rPr>
          <w:rFonts w:ascii="宋体"/>
        </w:rPr>
        <w:drawing>
          <wp:inline distT="0" distB="0" distL="0" distR="0">
            <wp:extent cx="2667000" cy="2667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7000" cy="2667000"/>
                    </a:xfrm>
                    <a:prstGeom prst="rect">
                      <a:avLst/>
                    </a:prstGeom>
                    <a:noFill/>
                    <a:ln>
                      <a:noFill/>
                    </a:ln>
                  </pic:spPr>
                </pic:pic>
              </a:graphicData>
            </a:graphic>
          </wp:inline>
        </w:drawing>
      </w:r>
    </w:p>
    <w:p>
      <w:pPr>
        <w:spacing w:line="360" w:lineRule="auto"/>
        <w:ind w:firstLine="2160" w:firstLineChars="1029"/>
        <w:rPr>
          <w:rFonts w:ascii="宋体"/>
        </w:rPr>
      </w:pPr>
    </w:p>
    <w:p>
      <w:pPr>
        <w:spacing w:line="360" w:lineRule="auto"/>
        <w:ind w:firstLine="2160" w:firstLineChars="1029"/>
        <w:rPr>
          <w:rFonts w:ascii="宋体"/>
        </w:rPr>
      </w:pPr>
    </w:p>
    <w:p>
      <w:pPr>
        <w:tabs>
          <w:tab w:val="left" w:pos="0"/>
        </w:tabs>
        <w:spacing w:line="360" w:lineRule="auto"/>
        <w:ind w:left="2125" w:hanging="2125" w:hangingChars="882"/>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项</w:t>
      </w:r>
      <w:r>
        <w:rPr>
          <w:b/>
          <w:bCs/>
          <w:sz w:val="24"/>
        </w:rPr>
        <w:t xml:space="preserve"> </w:t>
      </w:r>
      <w:r>
        <w:rPr>
          <w:rFonts w:hint="eastAsia"/>
          <w:b/>
          <w:bCs/>
          <w:sz w:val="24"/>
        </w:rPr>
        <w:t>目</w:t>
      </w:r>
      <w:r>
        <w:rPr>
          <w:b/>
          <w:bCs/>
          <w:sz w:val="24"/>
        </w:rPr>
        <w:t xml:space="preserve"> </w:t>
      </w:r>
      <w:r>
        <w:rPr>
          <w:rFonts w:hint="eastAsia"/>
          <w:b/>
          <w:bCs/>
          <w:sz w:val="24"/>
        </w:rPr>
        <w:t>名称：申请人</w:t>
      </w:r>
      <w:r>
        <w:rPr>
          <w:rFonts w:hint="eastAsia"/>
          <w:b/>
          <w:bCs/>
          <w:sz w:val="24"/>
          <w:lang w:eastAsia="zh-CN"/>
        </w:rPr>
        <w:t>鞍山银行股份有限公司</w:t>
      </w:r>
      <w:r>
        <w:rPr>
          <w:rFonts w:hint="eastAsia"/>
          <w:b/>
          <w:bCs/>
          <w:sz w:val="24"/>
        </w:rPr>
        <w:t>与</w:t>
      </w:r>
      <w:r>
        <w:rPr>
          <w:rFonts w:hint="eastAsia"/>
          <w:b/>
          <w:bCs/>
          <w:sz w:val="24"/>
          <w:lang w:eastAsia="zh-CN"/>
        </w:rPr>
        <w:t>对方当事人陈雅明</w:t>
      </w:r>
      <w:r>
        <w:rPr>
          <w:rFonts w:hint="eastAsia"/>
          <w:b/>
          <w:bCs/>
          <w:sz w:val="24"/>
        </w:rPr>
        <w:t>一案所涉及的位于</w:t>
      </w:r>
      <w:r>
        <w:rPr>
          <w:rFonts w:hint="eastAsia"/>
          <w:b/>
          <w:bCs/>
          <w:sz w:val="24"/>
          <w:highlight w:val="none"/>
          <w:lang w:eastAsia="zh-CN"/>
        </w:rPr>
        <w:t>鞍山市立山区灵山22所3-3-3-3</w:t>
      </w:r>
      <w:r>
        <w:rPr>
          <w:rFonts w:hint="eastAsia"/>
          <w:b/>
          <w:bCs/>
          <w:sz w:val="24"/>
          <w:highlight w:val="none"/>
        </w:rPr>
        <w:t>的</w:t>
      </w:r>
      <w:r>
        <w:rPr>
          <w:rFonts w:hint="eastAsia"/>
          <w:b/>
          <w:bCs/>
          <w:sz w:val="24"/>
          <w:lang w:eastAsia="zh-CN"/>
        </w:rPr>
        <w:t>住宅</w:t>
      </w:r>
      <w:r>
        <w:rPr>
          <w:rFonts w:hint="eastAsia"/>
          <w:b/>
          <w:bCs/>
          <w:sz w:val="24"/>
        </w:rPr>
        <w:t>价值评估</w:t>
      </w:r>
    </w:p>
    <w:p>
      <w:pPr>
        <w:tabs>
          <w:tab w:val="left" w:pos="0"/>
        </w:tabs>
        <w:spacing w:line="360" w:lineRule="auto"/>
        <w:rPr>
          <w:rFonts w:hint="eastAsia" w:ascii="宋体" w:eastAsia="宋体" w:cs="宋体"/>
          <w:b/>
          <w:bCs/>
          <w:sz w:val="24"/>
          <w:shd w:val="clear" w:color="auto" w:fill="FFCC99"/>
          <w:lang w:eastAsia="zh-CN"/>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委</w:t>
      </w:r>
      <w:r>
        <w:rPr>
          <w:b/>
          <w:bCs/>
          <w:sz w:val="24"/>
        </w:rPr>
        <w:t xml:space="preserve"> </w:t>
      </w:r>
      <w:r>
        <w:rPr>
          <w:rFonts w:hint="eastAsia"/>
          <w:b/>
          <w:bCs/>
          <w:sz w:val="24"/>
        </w:rPr>
        <w:t>托</w:t>
      </w:r>
      <w:r>
        <w:rPr>
          <w:b/>
          <w:bCs/>
          <w:sz w:val="24"/>
        </w:rPr>
        <w:t xml:space="preserve"> </w:t>
      </w:r>
      <w:r>
        <w:rPr>
          <w:rFonts w:hint="eastAsia"/>
          <w:b/>
          <w:bCs/>
          <w:sz w:val="24"/>
        </w:rPr>
        <w:t>人：</w:t>
      </w:r>
      <w:r>
        <w:rPr>
          <w:rFonts w:hint="eastAsia" w:ascii="宋体" w:hAnsi="宋体" w:cs="宋体"/>
          <w:b/>
          <w:bCs/>
          <w:sz w:val="24"/>
          <w:lang w:eastAsia="zh-CN"/>
        </w:rPr>
        <w:t>鞍山市铁东区人民法院</w:t>
      </w:r>
    </w:p>
    <w:p>
      <w:pPr>
        <w:tabs>
          <w:tab w:val="left" w:pos="0"/>
        </w:tabs>
        <w:spacing w:line="360" w:lineRule="auto"/>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机</w:t>
      </w:r>
      <w:r>
        <w:rPr>
          <w:b/>
          <w:bCs/>
          <w:sz w:val="24"/>
        </w:rPr>
        <w:t xml:space="preserve">  </w:t>
      </w:r>
      <w:r>
        <w:rPr>
          <w:rFonts w:hint="eastAsia"/>
          <w:b/>
          <w:bCs/>
          <w:sz w:val="24"/>
        </w:rPr>
        <w:t>构：辽宁俊隆房地产土地资产评估有限责任公司</w:t>
      </w:r>
    </w:p>
    <w:p>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pPr>
        <w:spacing w:line="360" w:lineRule="auto"/>
        <w:ind w:firstLine="2241" w:firstLineChars="930"/>
        <w:rPr>
          <w:b/>
          <w:bCs/>
          <w:sz w:val="24"/>
        </w:rPr>
      </w:pPr>
      <w:r>
        <w:rPr>
          <w:rFonts w:hint="eastAsia"/>
          <w:b/>
          <w:bCs/>
          <w:sz w:val="24"/>
        </w:rPr>
        <w:t>杜利（注册号：</w:t>
      </w:r>
      <w:r>
        <w:rPr>
          <w:b/>
          <w:bCs/>
          <w:sz w:val="24"/>
        </w:rPr>
        <w:t>2120080066</w:t>
      </w:r>
      <w:r>
        <w:rPr>
          <w:rFonts w:hint="eastAsia"/>
          <w:b/>
          <w:bCs/>
          <w:sz w:val="24"/>
        </w:rPr>
        <w:t>）</w:t>
      </w:r>
    </w:p>
    <w:p>
      <w:pPr>
        <w:spacing w:line="360" w:lineRule="auto"/>
        <w:rPr>
          <w:b/>
          <w:bCs/>
          <w:sz w:val="24"/>
        </w:rPr>
      </w:pPr>
      <w:r>
        <w:rPr>
          <w:rFonts w:hint="eastAsia"/>
          <w:b/>
          <w:bCs/>
          <w:sz w:val="24"/>
        </w:rPr>
        <w:t>估价报告出具日期：</w:t>
      </w:r>
      <w:r>
        <w:rPr>
          <w:b/>
          <w:bCs/>
          <w:sz w:val="24"/>
        </w:rPr>
        <w:t xml:space="preserve"> </w:t>
      </w:r>
      <w:r>
        <w:rPr>
          <w:b/>
          <w:bCs/>
          <w:sz w:val="24"/>
          <w:highlight w:val="none"/>
        </w:rPr>
        <w:t>202</w:t>
      </w:r>
      <w:r>
        <w:rPr>
          <w:rFonts w:hint="eastAsia"/>
          <w:b/>
          <w:bCs/>
          <w:sz w:val="24"/>
          <w:highlight w:val="none"/>
          <w:lang w:val="en-US" w:eastAsia="zh-CN"/>
        </w:rPr>
        <w:t>1</w:t>
      </w:r>
      <w:r>
        <w:rPr>
          <w:b/>
          <w:bCs/>
          <w:sz w:val="24"/>
          <w:highlight w:val="none"/>
        </w:rPr>
        <w:t>年</w:t>
      </w:r>
      <w:r>
        <w:rPr>
          <w:rFonts w:hint="eastAsia"/>
          <w:b/>
          <w:bCs/>
          <w:sz w:val="24"/>
          <w:highlight w:val="none"/>
          <w:lang w:val="en-US" w:eastAsia="zh-CN"/>
        </w:rPr>
        <w:t>1</w:t>
      </w:r>
      <w:r>
        <w:rPr>
          <w:b/>
          <w:bCs/>
          <w:sz w:val="24"/>
          <w:highlight w:val="none"/>
        </w:rPr>
        <w:t>月</w:t>
      </w:r>
      <w:r>
        <w:rPr>
          <w:rFonts w:hint="eastAsia"/>
          <w:b/>
          <w:bCs/>
          <w:sz w:val="24"/>
          <w:highlight w:val="none"/>
          <w:lang w:val="en-US" w:eastAsia="zh-CN"/>
        </w:rPr>
        <w:t>5</w:t>
      </w:r>
      <w:r>
        <w:rPr>
          <w:b/>
          <w:bCs/>
          <w:sz w:val="24"/>
          <w:highlight w:val="none"/>
        </w:rPr>
        <w:t>日</w:t>
      </w:r>
    </w:p>
    <w:p>
      <w:pPr>
        <w:spacing w:line="360" w:lineRule="auto"/>
        <w:rPr>
          <w:rFonts w:ascii="楷体_GB2312" w:eastAsia="楷体_GB2312"/>
          <w:sz w:val="36"/>
          <w:szCs w:val="36"/>
        </w:rPr>
        <w:sectPr>
          <w:headerReference r:id="rId5" w:type="first"/>
          <w:headerReference r:id="rId3" w:type="default"/>
          <w:footerReference r:id="rId6" w:type="default"/>
          <w:headerReference r:id="rId4" w:type="even"/>
          <w:footerReference r:id="rId7" w:type="even"/>
          <w:pgSz w:w="11906" w:h="16838"/>
          <w:pgMar w:top="1440" w:right="1701" w:bottom="1440" w:left="1797" w:header="851" w:footer="992" w:gutter="0"/>
          <w:pgNumType w:start="0"/>
          <w:cols w:space="425" w:num="1"/>
          <w:titlePg/>
          <w:docGrid w:type="lines" w:linePitch="312" w:charSpace="0"/>
        </w:sectPr>
      </w:pPr>
      <w:r>
        <w:rPr>
          <w:rFonts w:hint="eastAsia" w:ascii="楷体_GB2312" w:eastAsia="楷体_GB2312"/>
          <w:b/>
          <w:bCs/>
          <w:sz w:val="36"/>
          <w:szCs w:val="36"/>
        </w:rPr>
        <w:t>重要提示：本报告第</w:t>
      </w:r>
      <w:r>
        <w:rPr>
          <w:rFonts w:ascii="楷体_GB2312" w:eastAsia="楷体_GB2312"/>
          <w:b/>
          <w:bCs/>
          <w:sz w:val="36"/>
          <w:szCs w:val="36"/>
        </w:rPr>
        <w:t>2</w:t>
      </w:r>
      <w:r>
        <w:rPr>
          <w:rFonts w:hint="eastAsia" w:ascii="楷体_GB2312" w:eastAsia="楷体_GB2312"/>
          <w:b/>
          <w:bCs/>
          <w:sz w:val="36"/>
          <w:szCs w:val="36"/>
        </w:rPr>
        <w:t>页评估值处贴有红色（辽宁俊隆）防伪贴，无此贴报告无效</w:t>
      </w:r>
    </w:p>
    <w:p>
      <w:pPr>
        <w:spacing w:line="360" w:lineRule="auto"/>
        <w:jc w:val="center"/>
        <w:rPr>
          <w:b/>
          <w:sz w:val="44"/>
          <w:szCs w:val="44"/>
        </w:rPr>
      </w:pPr>
      <w:r>
        <w:rPr>
          <w:rFonts w:hint="eastAsia"/>
          <w:b/>
          <w:sz w:val="44"/>
          <w:szCs w:val="44"/>
        </w:rPr>
        <w:t>致估价委托人函</w:t>
      </w:r>
    </w:p>
    <w:p>
      <w:pPr>
        <w:snapToGrid w:val="0"/>
        <w:spacing w:before="240" w:line="360" w:lineRule="auto"/>
        <w:ind w:right="238"/>
        <w:rPr>
          <w:rFonts w:ascii="宋体"/>
          <w:b/>
          <w:spacing w:val="2"/>
          <w:sz w:val="28"/>
          <w:szCs w:val="28"/>
          <w:shd w:val="clear" w:color="auto" w:fill="FFFFFF"/>
        </w:rPr>
      </w:pPr>
      <w:r>
        <w:rPr>
          <w:rFonts w:hint="eastAsia" w:ascii="宋体" w:hAnsi="宋体"/>
          <w:b/>
          <w:bCs/>
          <w:sz w:val="28"/>
          <w:szCs w:val="28"/>
          <w:shd w:val="clear" w:color="auto" w:fill="FFFFFF"/>
          <w:lang w:eastAsia="zh-CN"/>
        </w:rPr>
        <w:t>鞍山市铁东区人民法院</w:t>
      </w:r>
      <w:r>
        <w:rPr>
          <w:rFonts w:hint="eastAsia" w:ascii="宋体" w:hAnsi="宋体"/>
          <w:b/>
          <w:spacing w:val="2"/>
          <w:sz w:val="28"/>
          <w:szCs w:val="28"/>
          <w:shd w:val="clear" w:color="auto" w:fill="FFFFFF"/>
        </w:rPr>
        <w:t>：</w:t>
      </w:r>
    </w:p>
    <w:p>
      <w:pPr>
        <w:spacing w:line="360" w:lineRule="auto"/>
        <w:ind w:firstLine="568" w:firstLineChars="200"/>
        <w:rPr>
          <w:rFonts w:ascii="宋体" w:hAnsi="宋体"/>
          <w:sz w:val="28"/>
          <w:szCs w:val="28"/>
        </w:rPr>
      </w:pPr>
      <w:r>
        <w:rPr>
          <w:rFonts w:hint="eastAsia" w:ascii="宋体" w:hAnsi="宋体"/>
          <w:bCs/>
          <w:spacing w:val="2"/>
          <w:sz w:val="28"/>
          <w:szCs w:val="28"/>
        </w:rPr>
        <w:t>受贵</w:t>
      </w:r>
      <w:r>
        <w:rPr>
          <w:rFonts w:hint="eastAsia" w:ascii="宋体" w:hAnsi="宋体"/>
          <w:bCs/>
          <w:spacing w:val="2"/>
          <w:sz w:val="28"/>
          <w:szCs w:val="28"/>
          <w:lang w:eastAsia="zh-CN"/>
        </w:rPr>
        <w:t>院</w:t>
      </w:r>
      <w:r>
        <w:rPr>
          <w:rFonts w:hint="eastAsia" w:ascii="宋体" w:hAnsi="宋体"/>
          <w:bCs/>
          <w:spacing w:val="2"/>
          <w:sz w:val="28"/>
          <w:szCs w:val="28"/>
        </w:rPr>
        <w:t>的委托，根据国家有关法律、法规和政策要求，遵循中华人民共和国国家标准</w:t>
      </w:r>
      <w:r>
        <w:rPr>
          <w:rFonts w:ascii="宋体" w:hAnsi="宋体"/>
          <w:bCs/>
          <w:spacing w:val="2"/>
          <w:sz w:val="28"/>
          <w:szCs w:val="28"/>
        </w:rPr>
        <w:t>GB/T50291-2015</w:t>
      </w:r>
      <w:r>
        <w:rPr>
          <w:rFonts w:hint="eastAsia" w:ascii="宋体" w:hAnsi="宋体"/>
          <w:bCs/>
          <w:spacing w:val="2"/>
          <w:sz w:val="28"/>
          <w:szCs w:val="28"/>
        </w:rPr>
        <w:t>《房地产估价规范》的操作程序，经过认真地查验了贵</w:t>
      </w:r>
      <w:r>
        <w:rPr>
          <w:rFonts w:hint="eastAsia" w:ascii="宋体" w:hAnsi="宋体"/>
          <w:bCs/>
          <w:spacing w:val="2"/>
          <w:sz w:val="28"/>
          <w:szCs w:val="28"/>
          <w:lang w:eastAsia="zh-CN"/>
        </w:rPr>
        <w:t>院</w:t>
      </w:r>
      <w:r>
        <w:rPr>
          <w:rFonts w:hint="eastAsia" w:ascii="宋体" w:hAnsi="宋体"/>
          <w:bCs/>
          <w:spacing w:val="2"/>
          <w:sz w:val="28"/>
          <w:szCs w:val="28"/>
        </w:rPr>
        <w:t>提交的估价对象的相关资料，细致地进行了现场查</w:t>
      </w:r>
      <w:r>
        <w:rPr>
          <w:rFonts w:hint="eastAsia" w:ascii="宋体" w:hAnsi="宋体"/>
          <w:sz w:val="28"/>
          <w:szCs w:val="28"/>
        </w:rPr>
        <w:t>看，分析考虑了影响房地产估价的诸多因素，遵循房地产估价原则，运用科学合理的估价方法分析、测算，对申请人</w:t>
      </w:r>
      <w:r>
        <w:rPr>
          <w:rFonts w:hint="eastAsia" w:ascii="宋体" w:hAnsi="宋体"/>
          <w:sz w:val="28"/>
          <w:szCs w:val="28"/>
          <w:lang w:eastAsia="zh-CN"/>
        </w:rPr>
        <w:t>鞍山银行股份有限公司</w:t>
      </w:r>
      <w:r>
        <w:rPr>
          <w:rFonts w:hint="eastAsia" w:ascii="宋体" w:hAnsi="宋体"/>
          <w:sz w:val="28"/>
          <w:szCs w:val="28"/>
        </w:rPr>
        <w:t>与</w:t>
      </w:r>
      <w:r>
        <w:rPr>
          <w:rFonts w:hint="eastAsia" w:ascii="宋体" w:hAnsi="宋体"/>
          <w:sz w:val="28"/>
          <w:szCs w:val="28"/>
          <w:lang w:eastAsia="zh-CN"/>
        </w:rPr>
        <w:t>对方当事人陈雅明</w:t>
      </w:r>
      <w:r>
        <w:rPr>
          <w:rFonts w:hint="eastAsia" w:ascii="宋体" w:hAnsi="宋体"/>
          <w:sz w:val="28"/>
          <w:szCs w:val="28"/>
        </w:rPr>
        <w:t>一案所涉及的位于</w:t>
      </w:r>
      <w:r>
        <w:rPr>
          <w:rFonts w:hint="eastAsia" w:ascii="宋体" w:hAnsi="宋体"/>
          <w:sz w:val="28"/>
          <w:szCs w:val="28"/>
          <w:highlight w:val="none"/>
          <w:lang w:eastAsia="zh-CN"/>
        </w:rPr>
        <w:t>鞍山市立山区灵山22所3-3-3-3</w:t>
      </w:r>
      <w:r>
        <w:rPr>
          <w:rFonts w:hint="eastAsia" w:ascii="宋体" w:hAnsi="宋体"/>
          <w:sz w:val="28"/>
          <w:szCs w:val="28"/>
        </w:rPr>
        <w:t>的</w:t>
      </w:r>
      <w:r>
        <w:rPr>
          <w:rFonts w:hint="eastAsia" w:ascii="宋体" w:hAnsi="宋体"/>
          <w:sz w:val="28"/>
          <w:szCs w:val="28"/>
          <w:lang w:eastAsia="zh-CN"/>
        </w:rPr>
        <w:t>房地产</w:t>
      </w:r>
      <w:r>
        <w:rPr>
          <w:rFonts w:hint="eastAsia" w:ascii="宋体" w:hAnsi="宋体"/>
          <w:sz w:val="28"/>
          <w:szCs w:val="28"/>
        </w:rPr>
        <w:t>进行了评估，估价基本情况与估价结果报告如下：</w:t>
      </w:r>
    </w:p>
    <w:p>
      <w:pPr>
        <w:spacing w:line="360" w:lineRule="auto"/>
        <w:ind w:firstLine="560" w:firstLineChars="200"/>
        <w:rPr>
          <w:rFonts w:ascii="宋体" w:hAnsi="宋体"/>
          <w:sz w:val="28"/>
          <w:szCs w:val="28"/>
        </w:rPr>
      </w:pPr>
      <w:r>
        <w:rPr>
          <w:rFonts w:hint="eastAsia" w:ascii="宋体" w:hAnsi="宋体"/>
          <w:sz w:val="28"/>
          <w:szCs w:val="28"/>
        </w:rPr>
        <w:t>估价目的：为委托方解决案件纠纷提供价值依据而评估</w:t>
      </w:r>
      <w:r>
        <w:rPr>
          <w:rFonts w:hint="eastAsia" w:ascii="宋体" w:hAnsi="宋体"/>
          <w:color w:val="000000"/>
          <w:sz w:val="28"/>
          <w:szCs w:val="28"/>
        </w:rPr>
        <w:t>房地产市场价值</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估价对象：名称：</w:t>
      </w:r>
      <w:r>
        <w:rPr>
          <w:rFonts w:hint="eastAsia" w:ascii="宋体" w:hAnsi="宋体"/>
          <w:sz w:val="28"/>
          <w:szCs w:val="28"/>
          <w:highlight w:val="none"/>
          <w:lang w:eastAsia="zh-CN"/>
        </w:rPr>
        <w:t>陈雅明</w:t>
      </w:r>
      <w:r>
        <w:rPr>
          <w:rFonts w:hint="eastAsia" w:ascii="宋体" w:hAnsi="宋体"/>
          <w:sz w:val="28"/>
          <w:szCs w:val="28"/>
          <w:highlight w:val="none"/>
        </w:rPr>
        <w:t>所属</w:t>
      </w:r>
      <w:r>
        <w:rPr>
          <w:rFonts w:hint="eastAsia" w:ascii="宋体" w:hAnsi="宋体"/>
          <w:sz w:val="28"/>
          <w:szCs w:val="28"/>
          <w:highlight w:val="none"/>
          <w:lang w:eastAsia="zh-CN"/>
        </w:rPr>
        <w:t>住宅</w:t>
      </w:r>
      <w:r>
        <w:rPr>
          <w:rFonts w:hint="eastAsia" w:ascii="宋体" w:hAnsi="宋体"/>
          <w:sz w:val="28"/>
          <w:szCs w:val="28"/>
          <w:highlight w:val="none"/>
        </w:rPr>
        <w:t>房地产；坐落：</w:t>
      </w:r>
      <w:r>
        <w:rPr>
          <w:rFonts w:hint="eastAsia" w:ascii="宋体" w:hAnsi="宋体"/>
          <w:sz w:val="28"/>
          <w:szCs w:val="28"/>
          <w:highlight w:val="none"/>
          <w:lang w:eastAsia="zh-CN"/>
        </w:rPr>
        <w:t>鞍山市立山区灵山22所3-3-3-3</w:t>
      </w:r>
      <w:r>
        <w:rPr>
          <w:rFonts w:hint="eastAsia" w:ascii="宋体" w:hAnsi="宋体"/>
          <w:sz w:val="28"/>
          <w:szCs w:val="28"/>
          <w:highlight w:val="none"/>
        </w:rPr>
        <w:t>；范围及规模：</w:t>
      </w:r>
      <w:r>
        <w:rPr>
          <w:rFonts w:hint="eastAsia" w:ascii="宋体" w:hAnsi="宋体"/>
          <w:sz w:val="28"/>
          <w:szCs w:val="28"/>
          <w:highlight w:val="none"/>
          <w:lang w:val="en-US" w:eastAsia="zh-CN"/>
        </w:rPr>
        <w:t>64.20平方米</w:t>
      </w:r>
      <w:r>
        <w:rPr>
          <w:rFonts w:hint="eastAsia" w:ascii="宋体" w:hAnsi="宋体"/>
          <w:sz w:val="28"/>
          <w:szCs w:val="28"/>
          <w:highlight w:val="none"/>
        </w:rPr>
        <w:t>。用途：</w:t>
      </w:r>
      <w:r>
        <w:rPr>
          <w:rFonts w:hint="eastAsia" w:ascii="宋体" w:hAnsi="宋体"/>
          <w:sz w:val="28"/>
          <w:szCs w:val="28"/>
          <w:highlight w:val="none"/>
          <w:lang w:eastAsia="zh-CN"/>
        </w:rPr>
        <w:t>住宅</w:t>
      </w:r>
      <w:r>
        <w:rPr>
          <w:rFonts w:hint="eastAsia" w:ascii="宋体" w:hAnsi="宋体"/>
          <w:sz w:val="28"/>
          <w:szCs w:val="28"/>
          <w:highlight w:val="none"/>
        </w:rPr>
        <w:t>；权利人：</w:t>
      </w:r>
      <w:r>
        <w:rPr>
          <w:rFonts w:hint="eastAsia" w:ascii="宋体" w:hAnsi="宋体"/>
          <w:sz w:val="28"/>
          <w:szCs w:val="28"/>
          <w:highlight w:val="none"/>
          <w:lang w:eastAsia="zh-CN"/>
        </w:rPr>
        <w:t>陈雅明</w:t>
      </w:r>
      <w:r>
        <w:rPr>
          <w:rFonts w:hint="eastAsia" w:ascii="宋体" w:hAnsi="宋体"/>
          <w:sz w:val="28"/>
          <w:szCs w:val="28"/>
          <w:highlight w:val="none"/>
        </w:rPr>
        <w:t>。</w:t>
      </w:r>
    </w:p>
    <w:p>
      <w:pPr>
        <w:spacing w:line="360" w:lineRule="auto"/>
        <w:ind w:firstLine="560" w:firstLineChars="200"/>
        <w:rPr>
          <w:rFonts w:ascii="宋体" w:hAnsi="宋体"/>
          <w:bCs/>
          <w:spacing w:val="2"/>
          <w:sz w:val="28"/>
          <w:szCs w:val="28"/>
        </w:rPr>
      </w:pPr>
      <w:r>
        <w:rPr>
          <w:rFonts w:hint="eastAsia" w:ascii="宋体" w:hAnsi="宋体"/>
          <w:sz w:val="28"/>
          <w:szCs w:val="28"/>
        </w:rPr>
        <w:t>价值时点：</w:t>
      </w:r>
      <w:r>
        <w:rPr>
          <w:rFonts w:hint="eastAsia" w:ascii="宋体" w:hAnsi="宋体"/>
          <w:bCs/>
          <w:spacing w:val="2"/>
          <w:sz w:val="28"/>
          <w:szCs w:val="28"/>
          <w:lang w:eastAsia="zh-CN"/>
        </w:rPr>
        <w:t>2020年12月11日</w:t>
      </w:r>
      <w:r>
        <w:rPr>
          <w:rFonts w:hint="eastAsia" w:ascii="宋体" w:hAnsi="宋体"/>
          <w:bCs/>
          <w:spacing w:val="2"/>
          <w:sz w:val="28"/>
          <w:szCs w:val="28"/>
        </w:rPr>
        <w:t>。</w:t>
      </w:r>
    </w:p>
    <w:p>
      <w:pPr>
        <w:spacing w:line="360" w:lineRule="auto"/>
        <w:ind w:firstLine="568" w:firstLineChars="200"/>
        <w:rPr>
          <w:rFonts w:ascii="宋体" w:hAnsi="宋体"/>
          <w:bCs/>
          <w:spacing w:val="2"/>
          <w:sz w:val="28"/>
          <w:szCs w:val="28"/>
        </w:rPr>
      </w:pPr>
      <w:r>
        <w:rPr>
          <w:rFonts w:hint="eastAsia" w:ascii="宋体" w:hAnsi="宋体"/>
          <w:bCs/>
          <w:spacing w:val="2"/>
          <w:sz w:val="28"/>
          <w:szCs w:val="28"/>
        </w:rPr>
        <w:t>价值类型：</w:t>
      </w:r>
      <w:r>
        <w:rPr>
          <w:rFonts w:hint="eastAsia" w:ascii="宋体" w:hAnsi="宋体"/>
          <w:bCs/>
          <w:spacing w:val="2"/>
          <w:sz w:val="28"/>
          <w:szCs w:val="28"/>
          <w:lang w:eastAsia="zh-CN"/>
        </w:rPr>
        <w:t>市场</w:t>
      </w:r>
      <w:r>
        <w:rPr>
          <w:rFonts w:hint="eastAsia" w:ascii="宋体" w:hAnsi="宋体"/>
          <w:bCs/>
          <w:spacing w:val="2"/>
          <w:sz w:val="28"/>
          <w:szCs w:val="28"/>
        </w:rPr>
        <w:t>价值。</w:t>
      </w:r>
    </w:p>
    <w:p>
      <w:pPr>
        <w:spacing w:line="360" w:lineRule="auto"/>
        <w:ind w:firstLine="568" w:firstLineChars="200"/>
        <w:rPr>
          <w:rFonts w:ascii="宋体" w:hAnsi="宋体"/>
          <w:bCs/>
          <w:spacing w:val="2"/>
          <w:sz w:val="28"/>
          <w:szCs w:val="28"/>
        </w:rPr>
      </w:pPr>
      <w:r>
        <w:rPr>
          <w:rFonts w:hint="eastAsia" w:ascii="宋体" w:hAnsi="宋体"/>
          <w:bCs/>
          <w:spacing w:val="2"/>
          <w:sz w:val="28"/>
          <w:szCs w:val="28"/>
        </w:rPr>
        <w:t>估价方法：比较法、收益法。</w:t>
      </w:r>
    </w:p>
    <w:p>
      <w:pPr>
        <w:spacing w:line="360" w:lineRule="auto"/>
        <w:ind w:firstLine="568" w:firstLineChars="200"/>
        <w:rPr>
          <w:rFonts w:ascii="宋体" w:hAnsi="宋体"/>
          <w:bCs/>
          <w:spacing w:val="2"/>
          <w:sz w:val="28"/>
          <w:szCs w:val="28"/>
          <w:highlight w:val="none"/>
        </w:rPr>
      </w:pPr>
      <w:r>
        <w:rPr>
          <w:rFonts w:hint="eastAsia" w:ascii="宋体" w:hAnsi="宋体"/>
          <w:bCs/>
          <w:spacing w:val="2"/>
          <w:sz w:val="28"/>
          <w:szCs w:val="28"/>
        </w:rPr>
        <w:t>估价结果：</w:t>
      </w:r>
      <w:r>
        <w:rPr>
          <w:rFonts w:hint="eastAsia" w:ascii="宋体" w:hAnsi="宋体"/>
          <w:sz w:val="28"/>
          <w:szCs w:val="28"/>
        </w:rPr>
        <w:t>经过综合测算，确定该估价对象</w:t>
      </w:r>
      <w:r>
        <w:rPr>
          <w:rFonts w:hint="eastAsia" w:ascii="宋体" w:hAnsi="宋体"/>
          <w:bCs/>
          <w:spacing w:val="2"/>
          <w:sz w:val="28"/>
          <w:szCs w:val="28"/>
        </w:rPr>
        <w:t>在价值时点</w:t>
      </w:r>
      <w:r>
        <w:rPr>
          <w:rFonts w:hint="eastAsia" w:ascii="宋体" w:hAnsi="宋体"/>
          <w:bCs/>
          <w:spacing w:val="2"/>
          <w:sz w:val="28"/>
          <w:szCs w:val="28"/>
          <w:lang w:eastAsia="zh-CN"/>
        </w:rPr>
        <w:t>2020年12月11日</w:t>
      </w:r>
      <w:r>
        <w:rPr>
          <w:rFonts w:hint="eastAsia" w:ascii="宋体" w:hAnsi="宋体"/>
          <w:bCs/>
          <w:spacing w:val="2"/>
          <w:sz w:val="28"/>
          <w:szCs w:val="28"/>
        </w:rPr>
        <w:t>满足各项假设限制条件下的</w:t>
      </w:r>
      <w:r>
        <w:rPr>
          <w:rFonts w:hint="eastAsia" w:ascii="宋体" w:hAnsi="宋体"/>
          <w:bCs/>
          <w:color w:val="000000"/>
          <w:spacing w:val="2"/>
          <w:sz w:val="28"/>
          <w:szCs w:val="28"/>
        </w:rPr>
        <w:t>市场价值为</w:t>
      </w:r>
      <w:r>
        <w:rPr>
          <w:rFonts w:hint="eastAsia" w:ascii="宋体" w:hAnsi="宋体"/>
          <w:bCs/>
          <w:color w:val="000000"/>
          <w:spacing w:val="2"/>
          <w:sz w:val="28"/>
          <w:szCs w:val="28"/>
          <w:highlight w:val="none"/>
          <w:lang w:eastAsia="zh-CN"/>
        </w:rPr>
        <w:t>77,040.00</w:t>
      </w:r>
      <w:r>
        <w:rPr>
          <w:rFonts w:hint="eastAsia" w:ascii="宋体" w:hAnsi="宋体"/>
          <w:bCs/>
          <w:color w:val="000000"/>
          <w:spacing w:val="2"/>
          <w:sz w:val="28"/>
          <w:szCs w:val="28"/>
          <w:highlight w:val="none"/>
        </w:rPr>
        <w:t>元，大写金额：人民币</w:t>
      </w:r>
      <w:r>
        <w:rPr>
          <w:rFonts w:hint="eastAsia" w:ascii="宋体" w:hAnsi="宋体"/>
          <w:bCs/>
          <w:color w:val="000000"/>
          <w:spacing w:val="2"/>
          <w:sz w:val="28"/>
          <w:szCs w:val="28"/>
          <w:highlight w:val="none"/>
          <w:lang w:eastAsia="zh-CN"/>
        </w:rPr>
        <w:t>柒万柒仟零肆拾</w:t>
      </w:r>
      <w:r>
        <w:rPr>
          <w:rFonts w:hint="eastAsia" w:ascii="宋体" w:hAnsi="宋体"/>
          <w:bCs/>
          <w:color w:val="000000"/>
          <w:spacing w:val="2"/>
          <w:sz w:val="28"/>
          <w:szCs w:val="28"/>
          <w:highlight w:val="none"/>
        </w:rPr>
        <w:t>元整。</w:t>
      </w:r>
    </w:p>
    <w:p>
      <w:pPr>
        <w:spacing w:line="360" w:lineRule="auto"/>
        <w:ind w:firstLine="568" w:firstLineChars="200"/>
        <w:rPr>
          <w:rFonts w:ascii="宋体"/>
          <w:bCs/>
          <w:spacing w:val="2"/>
          <w:sz w:val="28"/>
          <w:szCs w:val="28"/>
        </w:rPr>
      </w:pPr>
      <w:r>
        <w:rPr>
          <w:rFonts w:hint="eastAsia" w:ascii="宋体" w:hAnsi="宋体"/>
          <w:bCs/>
          <w:spacing w:val="2"/>
          <w:sz w:val="28"/>
          <w:szCs w:val="28"/>
        </w:rPr>
        <w:t>特别提示：估价结果包含了房屋建筑分摊的土地使用权价值及满足房屋使用功能的配套设施设备的价值。本估价结果是满足本估价报告的假设和限制条件的价值，报告使用人应仔细阅读全文，</w:t>
      </w:r>
      <w:r>
        <w:rPr>
          <w:rFonts w:hint="eastAsia" w:ascii="宋体" w:hAnsi="宋体"/>
          <w:sz w:val="28"/>
          <w:szCs w:val="28"/>
        </w:rPr>
        <w:t>本估价报告必须完整使用方为有效，对仅使用本报告中部分内容而导致可能的损失，本评估机构不承担责任。</w:t>
      </w:r>
    </w:p>
    <w:p>
      <w:pPr>
        <w:snapToGrid w:val="0"/>
        <w:spacing w:line="360" w:lineRule="auto"/>
        <w:ind w:right="238" w:firstLine="847" w:firstLineChars="297"/>
        <w:jc w:val="center"/>
        <w:rPr>
          <w:rFonts w:ascii="宋体"/>
          <w:b/>
          <w:spacing w:val="2"/>
          <w:sz w:val="28"/>
          <w:szCs w:val="28"/>
          <w:u w:val="single"/>
        </w:rPr>
      </w:pPr>
      <w:r>
        <w:rPr>
          <w:rFonts w:hint="eastAsia" w:ascii="宋体" w:hAnsi="宋体"/>
          <w:b/>
          <w:spacing w:val="2"/>
          <w:sz w:val="28"/>
          <w:szCs w:val="28"/>
          <w:u w:val="single"/>
        </w:rPr>
        <w:t>估价结果明细表</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885"/>
        <w:gridCol w:w="1593"/>
        <w:gridCol w:w="2013"/>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pct"/>
            <w:vAlign w:val="center"/>
          </w:tcPr>
          <w:p>
            <w:pPr>
              <w:spacing w:line="360" w:lineRule="auto"/>
              <w:jc w:val="center"/>
              <w:rPr>
                <w:sz w:val="18"/>
                <w:szCs w:val="18"/>
              </w:rPr>
            </w:pPr>
            <w:r>
              <w:rPr>
                <w:rFonts w:hint="eastAsia"/>
                <w:sz w:val="18"/>
                <w:szCs w:val="18"/>
              </w:rPr>
              <w:t>产籍号</w:t>
            </w:r>
          </w:p>
        </w:tc>
        <w:tc>
          <w:tcPr>
            <w:tcW w:w="1034" w:type="pct"/>
            <w:vAlign w:val="center"/>
          </w:tcPr>
          <w:p>
            <w:pPr>
              <w:spacing w:line="360" w:lineRule="auto"/>
              <w:jc w:val="center"/>
              <w:rPr>
                <w:rFonts w:hint="eastAsia" w:eastAsia="宋体"/>
                <w:sz w:val="18"/>
                <w:szCs w:val="18"/>
                <w:lang w:eastAsia="zh-CN"/>
              </w:rPr>
            </w:pPr>
            <w:r>
              <w:rPr>
                <w:rFonts w:hint="eastAsia"/>
                <w:sz w:val="18"/>
                <w:szCs w:val="18"/>
                <w:lang w:eastAsia="zh-CN"/>
              </w:rPr>
              <w:t>坐落</w:t>
            </w:r>
          </w:p>
        </w:tc>
        <w:tc>
          <w:tcPr>
            <w:tcW w:w="874" w:type="pct"/>
            <w:vAlign w:val="center"/>
          </w:tcPr>
          <w:p>
            <w:pPr>
              <w:spacing w:line="360" w:lineRule="auto"/>
              <w:jc w:val="center"/>
              <w:rPr>
                <w:sz w:val="18"/>
                <w:szCs w:val="18"/>
              </w:rPr>
            </w:pPr>
            <w:r>
              <w:rPr>
                <w:rFonts w:hint="eastAsia"/>
                <w:sz w:val="18"/>
                <w:szCs w:val="18"/>
              </w:rPr>
              <w:t>建筑面积㎡</w:t>
            </w:r>
          </w:p>
        </w:tc>
        <w:tc>
          <w:tcPr>
            <w:tcW w:w="1104" w:type="pct"/>
            <w:vAlign w:val="center"/>
          </w:tcPr>
          <w:p>
            <w:pPr>
              <w:spacing w:line="360" w:lineRule="auto"/>
              <w:jc w:val="center"/>
              <w:rPr>
                <w:sz w:val="18"/>
                <w:szCs w:val="18"/>
              </w:rPr>
            </w:pPr>
            <w:r>
              <w:rPr>
                <w:rFonts w:hint="eastAsia"/>
                <w:sz w:val="18"/>
                <w:szCs w:val="18"/>
              </w:rPr>
              <w:t>评估单价(元/㎡)</w:t>
            </w:r>
          </w:p>
        </w:tc>
        <w:tc>
          <w:tcPr>
            <w:tcW w:w="1156" w:type="pct"/>
            <w:vAlign w:val="center"/>
          </w:tcPr>
          <w:p>
            <w:pPr>
              <w:spacing w:line="360" w:lineRule="auto"/>
              <w:jc w:val="center"/>
              <w:rPr>
                <w:sz w:val="18"/>
                <w:szCs w:val="18"/>
              </w:rPr>
            </w:pPr>
            <w:r>
              <w:rPr>
                <w:rFonts w:hint="eastAsia"/>
                <w:sz w:val="18"/>
                <w:szCs w:val="18"/>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pct"/>
            <w:vAlign w:val="center"/>
          </w:tcPr>
          <w:p>
            <w:pPr>
              <w:spacing w:line="360" w:lineRule="auto"/>
              <w:jc w:val="center"/>
              <w:rPr>
                <w:rFonts w:hint="default" w:eastAsia="宋体"/>
                <w:sz w:val="18"/>
                <w:szCs w:val="18"/>
                <w:lang w:val="en-US" w:eastAsia="zh-CN"/>
              </w:rPr>
            </w:pPr>
            <w:r>
              <w:rPr>
                <w:rFonts w:hint="eastAsia"/>
                <w:sz w:val="18"/>
                <w:szCs w:val="18"/>
                <w:lang w:eastAsia="zh-CN"/>
              </w:rPr>
              <w:t>3-</w:t>
            </w:r>
            <w:r>
              <w:rPr>
                <w:rFonts w:hint="eastAsia"/>
                <w:sz w:val="18"/>
                <w:szCs w:val="18"/>
                <w:lang w:val="en-US" w:eastAsia="zh-CN"/>
              </w:rPr>
              <w:t>88-221-3033</w:t>
            </w:r>
          </w:p>
        </w:tc>
        <w:tc>
          <w:tcPr>
            <w:tcW w:w="1034" w:type="pct"/>
            <w:vAlign w:val="center"/>
          </w:tcPr>
          <w:p>
            <w:pPr>
              <w:spacing w:line="360" w:lineRule="auto"/>
              <w:jc w:val="center"/>
              <w:rPr>
                <w:rFonts w:hint="eastAsia"/>
                <w:sz w:val="18"/>
                <w:szCs w:val="18"/>
                <w:lang w:val="en-US" w:eastAsia="zh-CN"/>
              </w:rPr>
            </w:pPr>
            <w:r>
              <w:rPr>
                <w:rFonts w:hint="eastAsia"/>
                <w:sz w:val="18"/>
                <w:szCs w:val="18"/>
                <w:lang w:val="en-US" w:eastAsia="zh-CN"/>
              </w:rPr>
              <w:t>鞍山市立山区灵山22所3-3-3-3</w:t>
            </w:r>
          </w:p>
        </w:tc>
        <w:tc>
          <w:tcPr>
            <w:tcW w:w="874" w:type="pct"/>
            <w:vAlign w:val="center"/>
          </w:tcPr>
          <w:p>
            <w:pPr>
              <w:spacing w:line="360" w:lineRule="auto"/>
              <w:jc w:val="center"/>
              <w:rPr>
                <w:rFonts w:hint="default" w:eastAsia="宋体"/>
                <w:sz w:val="18"/>
                <w:szCs w:val="18"/>
                <w:lang w:val="en-US" w:eastAsia="zh-CN"/>
              </w:rPr>
            </w:pPr>
            <w:r>
              <w:rPr>
                <w:rFonts w:hint="eastAsia"/>
                <w:sz w:val="18"/>
                <w:szCs w:val="18"/>
                <w:lang w:val="en-US" w:eastAsia="zh-CN"/>
              </w:rPr>
              <w:t>64.20</w:t>
            </w:r>
          </w:p>
        </w:tc>
        <w:tc>
          <w:tcPr>
            <w:tcW w:w="1104" w:type="pct"/>
            <w:vAlign w:val="center"/>
          </w:tcPr>
          <w:p>
            <w:pPr>
              <w:spacing w:line="360" w:lineRule="auto"/>
              <w:jc w:val="center"/>
              <w:rPr>
                <w:rFonts w:ascii="宋体" w:hAnsi="宋体" w:cs="宋体"/>
                <w:sz w:val="24"/>
              </w:rPr>
            </w:pPr>
            <w:r>
              <w:rPr>
                <w:rFonts w:hint="eastAsia"/>
                <w:lang w:val="en-US" w:eastAsia="zh-CN"/>
              </w:rPr>
              <w:t>1200.00</w:t>
            </w:r>
          </w:p>
        </w:tc>
        <w:tc>
          <w:tcPr>
            <w:tcW w:w="1156" w:type="pct"/>
            <w:vAlign w:val="center"/>
          </w:tcPr>
          <w:p>
            <w:pPr>
              <w:spacing w:line="360" w:lineRule="auto"/>
              <w:jc w:val="center"/>
              <w:rPr>
                <w:rFonts w:hint="eastAsia" w:ascii="宋体" w:hAnsi="宋体" w:eastAsia="宋体" w:cs="宋体"/>
                <w:sz w:val="24"/>
                <w:lang w:eastAsia="zh-CN"/>
              </w:rPr>
            </w:pPr>
            <w:r>
              <w:rPr>
                <w:rFonts w:hint="eastAsia"/>
                <w:lang w:val="en-US" w:eastAsia="zh-CN"/>
              </w:rPr>
              <w:t>77,040.00</w:t>
            </w:r>
          </w:p>
        </w:tc>
      </w:tr>
    </w:tbl>
    <w:p>
      <w:pPr>
        <w:pStyle w:val="5"/>
        <w:spacing w:line="360" w:lineRule="auto"/>
        <w:ind w:left="0" w:leftChars="0"/>
        <w:rPr>
          <w:rFonts w:ascii="宋体" w:hAnsi="宋体"/>
          <w:sz w:val="28"/>
          <w:szCs w:val="28"/>
        </w:rPr>
      </w:pPr>
    </w:p>
    <w:p>
      <w:pPr>
        <w:pStyle w:val="5"/>
        <w:spacing w:line="360" w:lineRule="auto"/>
        <w:ind w:left="0" w:leftChars="0"/>
        <w:rPr>
          <w:rFonts w:ascii="宋体" w:hAnsi="宋体"/>
          <w:sz w:val="28"/>
          <w:szCs w:val="28"/>
        </w:rPr>
      </w:pPr>
    </w:p>
    <w:p>
      <w:pPr>
        <w:pStyle w:val="5"/>
        <w:spacing w:line="360" w:lineRule="auto"/>
        <w:ind w:left="0" w:leftChars="0"/>
        <w:rPr>
          <w:rFonts w:ascii="宋体" w:hAnsi="宋体"/>
          <w:sz w:val="28"/>
          <w:szCs w:val="28"/>
        </w:rPr>
      </w:pPr>
      <w:r>
        <w:rPr>
          <w:rFonts w:hint="eastAsia" w:ascii="宋体" w:hAnsi="宋体"/>
          <w:sz w:val="28"/>
          <w:szCs w:val="28"/>
        </w:rPr>
        <w:t>特此函告</w:t>
      </w:r>
    </w:p>
    <w:p>
      <w:pPr>
        <w:pStyle w:val="5"/>
        <w:spacing w:line="360" w:lineRule="auto"/>
        <w:ind w:left="0" w:leftChars="0"/>
        <w:rPr>
          <w:rFonts w:ascii="宋体"/>
          <w:sz w:val="28"/>
          <w:szCs w:val="28"/>
        </w:rPr>
      </w:pPr>
    </w:p>
    <w:p>
      <w:pPr>
        <w:pStyle w:val="5"/>
        <w:spacing w:line="360" w:lineRule="auto"/>
        <w:ind w:left="0" w:leftChars="0"/>
        <w:rPr>
          <w:rFonts w:ascii="宋体"/>
          <w:sz w:val="28"/>
          <w:szCs w:val="28"/>
        </w:rPr>
      </w:pPr>
    </w:p>
    <w:p>
      <w:pPr>
        <w:spacing w:line="360" w:lineRule="auto"/>
        <w:rPr>
          <w:rFonts w:ascii="宋体"/>
          <w:spacing w:val="2"/>
          <w:sz w:val="28"/>
          <w:szCs w:val="28"/>
        </w:rPr>
      </w:pPr>
      <w:r>
        <w:rPr>
          <w:rFonts w:hint="eastAsia" w:ascii="宋体"/>
          <w:spacing w:val="2"/>
          <w:sz w:val="28"/>
          <w:szCs w:val="28"/>
        </w:rPr>
        <w:t>评估机构法定代表人</w:t>
      </w:r>
      <w:r>
        <w:rPr>
          <w:rFonts w:ascii="宋体"/>
          <w:spacing w:val="2"/>
          <w:sz w:val="28"/>
          <w:szCs w:val="28"/>
        </w:rPr>
        <w:t xml:space="preserve"> </w:t>
      </w:r>
      <w:r>
        <w:rPr>
          <w:rFonts w:hint="eastAsia" w:ascii="宋体"/>
          <w:spacing w:val="2"/>
          <w:sz w:val="28"/>
          <w:szCs w:val="28"/>
        </w:rPr>
        <w:t>：</w:t>
      </w:r>
    </w:p>
    <w:p>
      <w:pPr>
        <w:spacing w:line="360" w:lineRule="auto"/>
        <w:rPr>
          <w:rFonts w:ascii="宋体"/>
          <w:spacing w:val="2"/>
          <w:sz w:val="28"/>
          <w:szCs w:val="28"/>
        </w:rPr>
      </w:pPr>
    </w:p>
    <w:p>
      <w:pPr>
        <w:spacing w:line="360" w:lineRule="auto"/>
        <w:rPr>
          <w:rFonts w:ascii="宋体"/>
          <w:spacing w:val="2"/>
          <w:sz w:val="28"/>
          <w:szCs w:val="28"/>
        </w:rPr>
      </w:pPr>
    </w:p>
    <w:p>
      <w:pPr>
        <w:spacing w:line="360" w:lineRule="auto"/>
        <w:rPr>
          <w:rFonts w:ascii="宋体"/>
          <w:spacing w:val="2"/>
          <w:sz w:val="28"/>
          <w:szCs w:val="28"/>
        </w:rPr>
      </w:pPr>
    </w:p>
    <w:tbl>
      <w:tblPr>
        <w:tblStyle w:val="13"/>
        <w:tblW w:w="8394" w:type="dxa"/>
        <w:tblInd w:w="0" w:type="dxa"/>
        <w:tblLayout w:type="fixed"/>
        <w:tblCellMar>
          <w:top w:w="0" w:type="dxa"/>
          <w:left w:w="108" w:type="dxa"/>
          <w:bottom w:w="0" w:type="dxa"/>
          <w:right w:w="108" w:type="dxa"/>
        </w:tblCellMar>
      </w:tblPr>
      <w:tblGrid>
        <w:gridCol w:w="3993"/>
        <w:gridCol w:w="4401"/>
      </w:tblGrid>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r>
              <w:rPr>
                <w:rFonts w:hint="eastAsia" w:ascii="宋体"/>
                <w:sz w:val="24"/>
              </w:rPr>
              <w:t>辽宁俊隆房地产土地资产评估有限责任公司</w:t>
            </w:r>
          </w:p>
        </w:tc>
        <w:tc>
          <w:tcPr>
            <w:tcW w:w="4401" w:type="dxa"/>
            <w:vAlign w:val="center"/>
          </w:tcPr>
          <w:p>
            <w:pPr>
              <w:spacing w:line="360" w:lineRule="auto"/>
              <w:jc w:val="center"/>
              <w:rPr>
                <w:rFonts w:ascii="宋体"/>
                <w:sz w:val="24"/>
              </w:rPr>
            </w:pPr>
            <w:bookmarkStart w:id="0" w:name="_Toc275773242"/>
            <w:bookmarkStart w:id="1" w:name="_Toc514661587"/>
            <w:bookmarkStart w:id="2" w:name="_Toc275961659"/>
            <w:r>
              <w:rPr>
                <w:rFonts w:hint="eastAsia" w:ascii="宋体"/>
                <w:sz w:val="24"/>
              </w:rPr>
              <w:t>地址：辽宁省鞍山市铁东区南胜利路</w:t>
            </w:r>
            <w:r>
              <w:rPr>
                <w:rFonts w:ascii="宋体"/>
                <w:sz w:val="24"/>
              </w:rPr>
              <w:t>21</w:t>
            </w:r>
            <w:r>
              <w:rPr>
                <w:rFonts w:hint="eastAsia" w:ascii="宋体"/>
                <w:sz w:val="24"/>
              </w:rPr>
              <w:t>号万科东源大厦</w:t>
            </w:r>
            <w:r>
              <w:rPr>
                <w:rFonts w:ascii="宋体"/>
                <w:sz w:val="24"/>
              </w:rPr>
              <w:t>1201</w:t>
            </w:r>
            <w:r>
              <w:rPr>
                <w:rFonts w:hint="eastAsia" w:ascii="宋体"/>
                <w:sz w:val="24"/>
              </w:rPr>
              <w:t>室</w:t>
            </w:r>
            <w:bookmarkEnd w:id="0"/>
            <w:bookmarkEnd w:id="1"/>
            <w:bookmarkEnd w:id="2"/>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bookmarkStart w:id="3" w:name="_Toc514661588"/>
            <w:bookmarkStart w:id="4" w:name="_Toc275961660"/>
            <w:bookmarkStart w:id="5" w:name="_Toc275773243"/>
            <w:r>
              <w:rPr>
                <w:rFonts w:hint="eastAsia" w:ascii="宋体"/>
                <w:sz w:val="24"/>
              </w:rPr>
              <w:t>中国</w:t>
            </w:r>
            <w:r>
              <w:rPr>
                <w:rFonts w:ascii="宋体"/>
                <w:sz w:val="24"/>
              </w:rPr>
              <w:t xml:space="preserve">   </w:t>
            </w:r>
            <w:r>
              <w:rPr>
                <w:rFonts w:hint="eastAsia" w:ascii="宋体"/>
                <w:sz w:val="24"/>
              </w:rPr>
              <w:t>辽宁</w:t>
            </w:r>
            <w:bookmarkEnd w:id="3"/>
            <w:bookmarkEnd w:id="4"/>
            <w:bookmarkEnd w:id="5"/>
          </w:p>
        </w:tc>
        <w:tc>
          <w:tcPr>
            <w:tcW w:w="4401" w:type="dxa"/>
            <w:vAlign w:val="center"/>
          </w:tcPr>
          <w:p>
            <w:pPr>
              <w:spacing w:line="360" w:lineRule="auto"/>
              <w:jc w:val="center"/>
              <w:rPr>
                <w:rFonts w:ascii="宋体"/>
                <w:sz w:val="24"/>
              </w:rPr>
            </w:pPr>
            <w:bookmarkStart w:id="6" w:name="_Toc275773244"/>
            <w:bookmarkStart w:id="7" w:name="_Toc514661589"/>
            <w:bookmarkStart w:id="8" w:name="_Toc275961661"/>
            <w:r>
              <w:rPr>
                <w:rFonts w:hint="eastAsia" w:ascii="宋体"/>
                <w:sz w:val="24"/>
              </w:rPr>
              <w:t>电话：</w:t>
            </w:r>
            <w:r>
              <w:rPr>
                <w:rFonts w:ascii="宋体"/>
                <w:sz w:val="24"/>
              </w:rPr>
              <w:t>0412-2520126</w:t>
            </w:r>
            <w:bookmarkEnd w:id="6"/>
            <w:bookmarkEnd w:id="7"/>
            <w:bookmarkEnd w:id="8"/>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rPr>
            </w:pPr>
            <w:bookmarkStart w:id="9" w:name="_Toc514661591"/>
            <w:bookmarkStart w:id="10" w:name="_Toc275773246"/>
            <w:bookmarkStart w:id="11" w:name="_Toc275961663"/>
            <w:r>
              <w:rPr>
                <w:rFonts w:hint="eastAsia" w:ascii="宋体"/>
                <w:sz w:val="24"/>
                <w:highlight w:val="none"/>
              </w:rPr>
              <w:t>二○</w:t>
            </w:r>
            <w:bookmarkEnd w:id="9"/>
            <w:bookmarkEnd w:id="10"/>
            <w:bookmarkEnd w:id="11"/>
            <w:r>
              <w:rPr>
                <w:rFonts w:hint="eastAsia" w:ascii="宋体"/>
                <w:sz w:val="24"/>
                <w:highlight w:val="none"/>
              </w:rPr>
              <w:t>二</w:t>
            </w:r>
            <w:r>
              <w:rPr>
                <w:rFonts w:hint="eastAsia" w:ascii="宋体"/>
                <w:sz w:val="24"/>
                <w:highlight w:val="none"/>
                <w:lang w:eastAsia="zh-CN"/>
              </w:rPr>
              <w:t>一</w:t>
            </w:r>
            <w:r>
              <w:rPr>
                <w:rFonts w:hint="eastAsia" w:ascii="宋体" w:hAnsi="宋体" w:cs="宋体"/>
                <w:sz w:val="24"/>
                <w:highlight w:val="none"/>
              </w:rPr>
              <w:t>年</w:t>
            </w:r>
            <w:r>
              <w:rPr>
                <w:rFonts w:hint="eastAsia" w:ascii="宋体" w:hAnsi="宋体" w:cs="宋体"/>
                <w:sz w:val="24"/>
                <w:highlight w:val="none"/>
                <w:lang w:eastAsia="zh-CN"/>
              </w:rPr>
              <w:t>一</w:t>
            </w:r>
            <w:r>
              <w:rPr>
                <w:rFonts w:hint="eastAsia" w:ascii="宋体" w:hAnsi="宋体" w:cs="宋体"/>
                <w:sz w:val="24"/>
                <w:highlight w:val="none"/>
              </w:rPr>
              <w:t>月</w:t>
            </w:r>
            <w:r>
              <w:rPr>
                <w:rFonts w:hint="eastAsia" w:ascii="宋体" w:hAnsi="宋体" w:cs="宋体"/>
                <w:sz w:val="24"/>
                <w:highlight w:val="none"/>
                <w:lang w:eastAsia="zh-CN"/>
              </w:rPr>
              <w:t>五</w:t>
            </w:r>
            <w:r>
              <w:rPr>
                <w:rFonts w:hint="eastAsia" w:ascii="宋体" w:hAnsi="宋体" w:cs="宋体"/>
                <w:sz w:val="24"/>
                <w:highlight w:val="none"/>
              </w:rPr>
              <w:t>日</w:t>
            </w:r>
          </w:p>
        </w:tc>
        <w:tc>
          <w:tcPr>
            <w:tcW w:w="4401" w:type="dxa"/>
            <w:vAlign w:val="center"/>
          </w:tcPr>
          <w:p>
            <w:pPr>
              <w:spacing w:line="360" w:lineRule="auto"/>
              <w:ind w:firstLine="960" w:firstLineChars="400"/>
              <w:rPr>
                <w:rFonts w:ascii="宋体"/>
                <w:sz w:val="24"/>
              </w:rPr>
            </w:pPr>
            <w:bookmarkStart w:id="12" w:name="_Toc275773247"/>
            <w:bookmarkStart w:id="13" w:name="_Toc275961664"/>
            <w:bookmarkStart w:id="14" w:name="_Toc514661592"/>
            <w:r>
              <w:rPr>
                <w:rFonts w:hint="eastAsia" w:ascii="宋体"/>
                <w:sz w:val="24"/>
              </w:rPr>
              <w:t>邮编：</w:t>
            </w:r>
            <w:r>
              <w:rPr>
                <w:rFonts w:ascii="宋体"/>
                <w:sz w:val="24"/>
              </w:rPr>
              <w:t>114001</w:t>
            </w:r>
            <w:bookmarkEnd w:id="12"/>
            <w:bookmarkEnd w:id="13"/>
            <w:bookmarkEnd w:id="14"/>
          </w:p>
        </w:tc>
      </w:tr>
    </w:tbl>
    <w:p>
      <w:pPr>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目</w:t>
      </w:r>
      <w:r>
        <w:rPr>
          <w:rFonts w:ascii="华文中宋" w:hAnsi="华文中宋" w:eastAsia="华文中宋"/>
          <w:b/>
          <w:sz w:val="48"/>
          <w:szCs w:val="48"/>
        </w:rPr>
        <w:t xml:space="preserve">  </w:t>
      </w:r>
      <w:r>
        <w:rPr>
          <w:rFonts w:hint="eastAsia" w:ascii="华文中宋" w:hAnsi="华文中宋" w:eastAsia="华文中宋"/>
          <w:b/>
          <w:sz w:val="48"/>
          <w:szCs w:val="48"/>
        </w:rPr>
        <w:t>录</w:t>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 w:val="21"/>
          <w:szCs w:val="21"/>
        </w:rPr>
        <w:fldChar w:fldCharType="begin"/>
      </w:r>
      <w:r>
        <w:rPr>
          <w:rFonts w:ascii="Arial" w:hAnsi="Arial"/>
          <w:spacing w:val="2"/>
          <w:sz w:val="21"/>
          <w:szCs w:val="21"/>
        </w:rPr>
        <w:instrText xml:space="preserve"> TOC \o "1-2" \h \z \u </w:instrText>
      </w:r>
      <w:r>
        <w:rPr>
          <w:rFonts w:ascii="Arial" w:hAnsi="Arial"/>
          <w:spacing w:val="2"/>
          <w:sz w:val="21"/>
          <w:szCs w:val="21"/>
        </w:rPr>
        <w:fldChar w:fldCharType="separate"/>
      </w:r>
      <w:r>
        <w:rPr>
          <w:rFonts w:ascii="Arial" w:hAnsi="Arial"/>
          <w:spacing w:val="2"/>
          <w:szCs w:val="21"/>
        </w:rPr>
        <w:fldChar w:fldCharType="begin"/>
      </w:r>
      <w:r>
        <w:rPr>
          <w:rFonts w:ascii="Arial" w:hAnsi="Arial"/>
          <w:spacing w:val="2"/>
          <w:szCs w:val="21"/>
        </w:rPr>
        <w:instrText xml:space="preserve"> HYPERLINK \l _Toc6399 </w:instrText>
      </w:r>
      <w:r>
        <w:rPr>
          <w:rFonts w:ascii="Arial" w:hAnsi="Arial"/>
          <w:spacing w:val="2"/>
          <w:szCs w:val="21"/>
        </w:rPr>
        <w:fldChar w:fldCharType="separate"/>
      </w:r>
      <w:r>
        <w:rPr>
          <w:rFonts w:hint="eastAsia"/>
        </w:rPr>
        <w:t>注册房地产估价师声明</w:t>
      </w:r>
      <w:r>
        <w:tab/>
      </w:r>
      <w:r>
        <w:fldChar w:fldCharType="begin"/>
      </w:r>
      <w:r>
        <w:instrText xml:space="preserve"> PAGEREF _Toc6399 </w:instrText>
      </w:r>
      <w:r>
        <w:fldChar w:fldCharType="separate"/>
      </w:r>
      <w:r>
        <w:t>4</w:t>
      </w:r>
      <w:r>
        <w:fldChar w:fldCharType="end"/>
      </w:r>
      <w:r>
        <w:rPr>
          <w:rFonts w:ascii="Arial" w:hAnsi="Arial"/>
          <w:spacing w:val="2"/>
          <w:szCs w:val="21"/>
        </w:rPr>
        <w:fldChar w:fldCharType="end"/>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_Toc2292 </w:instrText>
      </w:r>
      <w:r>
        <w:rPr>
          <w:rFonts w:ascii="Arial" w:hAnsi="Arial"/>
          <w:spacing w:val="2"/>
          <w:szCs w:val="21"/>
        </w:rPr>
        <w:fldChar w:fldCharType="separate"/>
      </w:r>
      <w:r>
        <w:rPr>
          <w:rFonts w:hint="eastAsia"/>
        </w:rPr>
        <w:t>估价假设和限制条件</w:t>
      </w:r>
      <w:r>
        <w:tab/>
      </w:r>
      <w:r>
        <w:fldChar w:fldCharType="begin"/>
      </w:r>
      <w:r>
        <w:instrText xml:space="preserve"> PAGEREF _Toc2292 </w:instrText>
      </w:r>
      <w:r>
        <w:fldChar w:fldCharType="separate"/>
      </w:r>
      <w:r>
        <w:t>7</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_Toc3749 </w:instrText>
      </w:r>
      <w:r>
        <w:rPr>
          <w:rFonts w:ascii="Arial" w:hAnsi="Arial"/>
          <w:spacing w:val="2"/>
          <w:szCs w:val="21"/>
        </w:rPr>
        <w:fldChar w:fldCharType="separate"/>
      </w:r>
      <w:r>
        <w:rPr>
          <w:rFonts w:hint="eastAsia"/>
          <w:bCs w:val="0"/>
          <w:szCs w:val="28"/>
        </w:rPr>
        <w:t>一、估价假设条件</w:t>
      </w:r>
      <w:r>
        <w:tab/>
      </w:r>
      <w:r>
        <w:fldChar w:fldCharType="begin"/>
      </w:r>
      <w:r>
        <w:instrText xml:space="preserve"> PAGEREF _Toc3749 </w:instrText>
      </w:r>
      <w:r>
        <w:fldChar w:fldCharType="separate"/>
      </w:r>
      <w:r>
        <w:t>7</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_Toc3539 </w:instrText>
      </w:r>
      <w:r>
        <w:rPr>
          <w:rFonts w:ascii="Arial" w:hAnsi="Arial"/>
          <w:spacing w:val="2"/>
          <w:szCs w:val="21"/>
        </w:rPr>
        <w:fldChar w:fldCharType="separate"/>
      </w:r>
      <w:r>
        <w:rPr>
          <w:rFonts w:hint="eastAsia" w:ascii="宋体" w:hAnsi="宋体"/>
          <w:bCs w:val="0"/>
          <w:szCs w:val="28"/>
        </w:rPr>
        <w:t>二、估价限制条件</w:t>
      </w:r>
      <w:r>
        <w:tab/>
      </w:r>
      <w:r>
        <w:fldChar w:fldCharType="begin"/>
      </w:r>
      <w:r>
        <w:instrText xml:space="preserve"> PAGEREF _Toc3539 </w:instrText>
      </w:r>
      <w:r>
        <w:fldChar w:fldCharType="separate"/>
      </w:r>
      <w:r>
        <w:t>8</w:t>
      </w:r>
      <w:r>
        <w:fldChar w:fldCharType="end"/>
      </w:r>
      <w:r>
        <w:rPr>
          <w:rFonts w:ascii="Arial" w:hAnsi="Arial"/>
          <w:spacing w:val="2"/>
          <w:szCs w:val="21"/>
        </w:rPr>
        <w:fldChar w:fldCharType="end"/>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_Toc27829 </w:instrText>
      </w:r>
      <w:r>
        <w:rPr>
          <w:rFonts w:ascii="Arial" w:hAnsi="Arial"/>
          <w:spacing w:val="2"/>
          <w:szCs w:val="21"/>
        </w:rPr>
        <w:fldChar w:fldCharType="separate"/>
      </w:r>
      <w:r>
        <w:rPr>
          <w:rFonts w:hint="eastAsia"/>
        </w:rPr>
        <w:t>房地产估价结果报告</w:t>
      </w:r>
      <w:r>
        <w:tab/>
      </w:r>
      <w:r>
        <w:fldChar w:fldCharType="begin"/>
      </w:r>
      <w:r>
        <w:instrText xml:space="preserve"> PAGEREF _Toc27829 </w:instrText>
      </w:r>
      <w:r>
        <w:fldChar w:fldCharType="separate"/>
      </w:r>
      <w:r>
        <w:t>10</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_Toc21311 </w:instrText>
      </w:r>
      <w:r>
        <w:rPr>
          <w:rFonts w:ascii="Arial" w:hAnsi="Arial"/>
          <w:spacing w:val="2"/>
          <w:szCs w:val="21"/>
        </w:rPr>
        <w:fldChar w:fldCharType="separate"/>
      </w:r>
      <w:r>
        <w:rPr>
          <w:rFonts w:hint="eastAsia" w:ascii="宋体" w:hAnsi="宋体"/>
          <w:bCs w:val="0"/>
          <w:szCs w:val="28"/>
        </w:rPr>
        <w:t>一、估价委托人</w:t>
      </w:r>
      <w:r>
        <w:tab/>
      </w:r>
      <w:r>
        <w:fldChar w:fldCharType="begin"/>
      </w:r>
      <w:r>
        <w:instrText xml:space="preserve"> PAGEREF _Toc21311 </w:instrText>
      </w:r>
      <w:r>
        <w:fldChar w:fldCharType="separate"/>
      </w:r>
      <w:r>
        <w:t>10</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_Toc3270 </w:instrText>
      </w:r>
      <w:r>
        <w:rPr>
          <w:rFonts w:ascii="Arial" w:hAnsi="Arial"/>
          <w:spacing w:val="2"/>
          <w:szCs w:val="21"/>
        </w:rPr>
        <w:fldChar w:fldCharType="separate"/>
      </w:r>
      <w:r>
        <w:rPr>
          <w:rFonts w:hint="eastAsia" w:ascii="宋体" w:hAnsi="宋体"/>
          <w:bCs w:val="0"/>
          <w:szCs w:val="28"/>
        </w:rPr>
        <w:t>二、估价机构</w:t>
      </w:r>
      <w:r>
        <w:tab/>
      </w:r>
      <w:r>
        <w:fldChar w:fldCharType="begin"/>
      </w:r>
      <w:r>
        <w:instrText xml:space="preserve"> PAGEREF _Toc3270 </w:instrText>
      </w:r>
      <w:r>
        <w:fldChar w:fldCharType="separate"/>
      </w:r>
      <w:r>
        <w:t>10</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_Toc29869 </w:instrText>
      </w:r>
      <w:r>
        <w:rPr>
          <w:rFonts w:ascii="Arial" w:hAnsi="Arial"/>
          <w:spacing w:val="2"/>
          <w:szCs w:val="21"/>
        </w:rPr>
        <w:fldChar w:fldCharType="separate"/>
      </w:r>
      <w:r>
        <w:rPr>
          <w:rFonts w:hint="eastAsia" w:ascii="宋体" w:hAnsi="宋体"/>
          <w:szCs w:val="28"/>
        </w:rPr>
        <w:t>三、估价对象</w:t>
      </w:r>
      <w:r>
        <w:tab/>
      </w:r>
      <w:r>
        <w:fldChar w:fldCharType="begin"/>
      </w:r>
      <w:r>
        <w:instrText xml:space="preserve"> PAGEREF _Toc29869 </w:instrText>
      </w:r>
      <w:r>
        <w:fldChar w:fldCharType="separate"/>
      </w:r>
      <w:r>
        <w:t>10</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_Toc11185 </w:instrText>
      </w:r>
      <w:r>
        <w:rPr>
          <w:rFonts w:ascii="Arial" w:hAnsi="Arial"/>
          <w:spacing w:val="2"/>
          <w:szCs w:val="21"/>
        </w:rPr>
        <w:fldChar w:fldCharType="separate"/>
      </w:r>
      <w:r>
        <w:rPr>
          <w:rFonts w:hint="eastAsia" w:ascii="宋体" w:hAnsi="宋体" w:eastAsia="宋体"/>
          <w:szCs w:val="28"/>
        </w:rPr>
        <w:t>四、估价目的</w:t>
      </w:r>
      <w:r>
        <w:tab/>
      </w:r>
      <w:r>
        <w:fldChar w:fldCharType="begin"/>
      </w:r>
      <w:r>
        <w:instrText xml:space="preserve"> PAGEREF _Toc11185 </w:instrText>
      </w:r>
      <w:r>
        <w:fldChar w:fldCharType="separate"/>
      </w:r>
      <w:r>
        <w:t>12</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_Toc30189 </w:instrText>
      </w:r>
      <w:r>
        <w:rPr>
          <w:rFonts w:ascii="Arial" w:hAnsi="Arial"/>
          <w:spacing w:val="2"/>
          <w:szCs w:val="21"/>
        </w:rPr>
        <w:fldChar w:fldCharType="separate"/>
      </w:r>
      <w:r>
        <w:rPr>
          <w:rFonts w:hint="eastAsia" w:ascii="宋体" w:hAnsi="宋体"/>
          <w:bCs w:val="0"/>
          <w:szCs w:val="28"/>
        </w:rPr>
        <w:t>五、价值时点</w:t>
      </w:r>
      <w:r>
        <w:tab/>
      </w:r>
      <w:r>
        <w:fldChar w:fldCharType="begin"/>
      </w:r>
      <w:r>
        <w:instrText xml:space="preserve"> PAGEREF _Toc30189 </w:instrText>
      </w:r>
      <w:r>
        <w:fldChar w:fldCharType="separate"/>
      </w:r>
      <w:r>
        <w:t>12</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_Toc22290 </w:instrText>
      </w:r>
      <w:r>
        <w:rPr>
          <w:rFonts w:ascii="Arial" w:hAnsi="Arial"/>
          <w:spacing w:val="2"/>
          <w:szCs w:val="21"/>
        </w:rPr>
        <w:fldChar w:fldCharType="separate"/>
      </w:r>
      <w:r>
        <w:rPr>
          <w:rFonts w:hint="eastAsia" w:ascii="宋体" w:hAnsi="宋体"/>
          <w:bCs w:val="0"/>
          <w:szCs w:val="28"/>
        </w:rPr>
        <w:t>六、价值类型</w:t>
      </w:r>
      <w:r>
        <w:tab/>
      </w:r>
      <w:r>
        <w:fldChar w:fldCharType="begin"/>
      </w:r>
      <w:r>
        <w:instrText xml:space="preserve"> PAGEREF _Toc22290 </w:instrText>
      </w:r>
      <w:r>
        <w:fldChar w:fldCharType="separate"/>
      </w:r>
      <w:r>
        <w:t>12</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_Toc2823 </w:instrText>
      </w:r>
      <w:r>
        <w:rPr>
          <w:rFonts w:ascii="Arial" w:hAnsi="Arial"/>
          <w:spacing w:val="2"/>
          <w:szCs w:val="21"/>
        </w:rPr>
        <w:fldChar w:fldCharType="separate"/>
      </w:r>
      <w:r>
        <w:rPr>
          <w:rFonts w:hint="eastAsia" w:ascii="宋体" w:hAnsi="宋体"/>
          <w:bCs w:val="0"/>
          <w:szCs w:val="28"/>
        </w:rPr>
        <w:t>七、估价依据</w:t>
      </w:r>
      <w:r>
        <w:tab/>
      </w:r>
      <w:r>
        <w:fldChar w:fldCharType="begin"/>
      </w:r>
      <w:r>
        <w:instrText xml:space="preserve"> PAGEREF _Toc2823 </w:instrText>
      </w:r>
      <w:r>
        <w:fldChar w:fldCharType="separate"/>
      </w:r>
      <w:r>
        <w:t>13</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_Toc25643 </w:instrText>
      </w:r>
      <w:r>
        <w:rPr>
          <w:rFonts w:ascii="Arial" w:hAnsi="Arial"/>
          <w:spacing w:val="2"/>
          <w:szCs w:val="21"/>
        </w:rPr>
        <w:fldChar w:fldCharType="separate"/>
      </w:r>
      <w:r>
        <w:rPr>
          <w:rFonts w:hint="eastAsia" w:ascii="宋体" w:hAnsi="宋体"/>
          <w:bCs w:val="0"/>
          <w:szCs w:val="28"/>
        </w:rPr>
        <w:t>八、估价原则</w:t>
      </w:r>
      <w:r>
        <w:tab/>
      </w:r>
      <w:r>
        <w:fldChar w:fldCharType="begin"/>
      </w:r>
      <w:r>
        <w:instrText xml:space="preserve"> PAGEREF _Toc25643 </w:instrText>
      </w:r>
      <w:r>
        <w:fldChar w:fldCharType="separate"/>
      </w:r>
      <w:r>
        <w:t>13</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_Toc18475 </w:instrText>
      </w:r>
      <w:r>
        <w:rPr>
          <w:rFonts w:ascii="Arial" w:hAnsi="Arial"/>
          <w:spacing w:val="2"/>
          <w:szCs w:val="21"/>
        </w:rPr>
        <w:fldChar w:fldCharType="separate"/>
      </w:r>
      <w:r>
        <w:rPr>
          <w:rFonts w:hint="eastAsia" w:ascii="宋体" w:hAnsi="宋体"/>
          <w:bCs/>
          <w:szCs w:val="28"/>
        </w:rPr>
        <w:t>九、估价方法</w:t>
      </w:r>
      <w:r>
        <w:tab/>
      </w:r>
      <w:r>
        <w:fldChar w:fldCharType="begin"/>
      </w:r>
      <w:r>
        <w:instrText xml:space="preserve"> PAGEREF _Toc18475 </w:instrText>
      </w:r>
      <w:r>
        <w:fldChar w:fldCharType="separate"/>
      </w:r>
      <w:r>
        <w:t>14</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_Toc8849 </w:instrText>
      </w:r>
      <w:r>
        <w:rPr>
          <w:rFonts w:ascii="Arial" w:hAnsi="Arial"/>
          <w:spacing w:val="2"/>
          <w:szCs w:val="21"/>
        </w:rPr>
        <w:fldChar w:fldCharType="separate"/>
      </w:r>
      <w:r>
        <w:rPr>
          <w:rFonts w:hint="eastAsia" w:ascii="宋体" w:hAnsi="宋体"/>
          <w:bCs/>
          <w:szCs w:val="28"/>
        </w:rPr>
        <w:t>十、估价结果</w:t>
      </w:r>
      <w:r>
        <w:tab/>
      </w:r>
      <w:r>
        <w:fldChar w:fldCharType="begin"/>
      </w:r>
      <w:r>
        <w:instrText xml:space="preserve"> PAGEREF _Toc8849 </w:instrText>
      </w:r>
      <w:r>
        <w:fldChar w:fldCharType="separate"/>
      </w:r>
      <w:r>
        <w:t>15</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_Toc16920 </w:instrText>
      </w:r>
      <w:r>
        <w:rPr>
          <w:rFonts w:ascii="Arial" w:hAnsi="Arial"/>
          <w:spacing w:val="2"/>
          <w:szCs w:val="21"/>
        </w:rPr>
        <w:fldChar w:fldCharType="separate"/>
      </w:r>
      <w:r>
        <w:rPr>
          <w:rFonts w:hint="eastAsia" w:ascii="宋体" w:hAnsi="宋体"/>
          <w:bCs/>
          <w:szCs w:val="28"/>
        </w:rPr>
        <w:t>十一、注册房地产估价师</w:t>
      </w:r>
      <w:r>
        <w:tab/>
      </w:r>
      <w:r>
        <w:fldChar w:fldCharType="begin"/>
      </w:r>
      <w:r>
        <w:instrText xml:space="preserve"> PAGEREF _Toc16920 </w:instrText>
      </w:r>
      <w:r>
        <w:fldChar w:fldCharType="separate"/>
      </w:r>
      <w:r>
        <w:t>16</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_Toc10903 </w:instrText>
      </w:r>
      <w:r>
        <w:rPr>
          <w:rFonts w:ascii="Arial" w:hAnsi="Arial"/>
          <w:spacing w:val="2"/>
          <w:szCs w:val="21"/>
        </w:rPr>
        <w:fldChar w:fldCharType="separate"/>
      </w:r>
      <w:r>
        <w:rPr>
          <w:rFonts w:hint="eastAsia" w:ascii="宋体" w:hAnsi="宋体"/>
          <w:bCs w:val="0"/>
          <w:szCs w:val="28"/>
        </w:rPr>
        <w:t>十二、实地查勘期</w:t>
      </w:r>
      <w:r>
        <w:tab/>
      </w:r>
      <w:r>
        <w:fldChar w:fldCharType="begin"/>
      </w:r>
      <w:r>
        <w:instrText xml:space="preserve"> PAGEREF _Toc10903 </w:instrText>
      </w:r>
      <w:r>
        <w:fldChar w:fldCharType="separate"/>
      </w:r>
      <w:r>
        <w:t>16</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_Toc21757 </w:instrText>
      </w:r>
      <w:r>
        <w:rPr>
          <w:rFonts w:ascii="Arial" w:hAnsi="Arial"/>
          <w:spacing w:val="2"/>
          <w:szCs w:val="21"/>
        </w:rPr>
        <w:fldChar w:fldCharType="separate"/>
      </w:r>
      <w:r>
        <w:rPr>
          <w:rFonts w:hint="eastAsia" w:ascii="宋体" w:hAnsi="宋体"/>
          <w:bCs/>
          <w:szCs w:val="28"/>
        </w:rPr>
        <w:t>十三、估价作业日期</w:t>
      </w:r>
      <w:r>
        <w:tab/>
      </w:r>
      <w:r>
        <w:fldChar w:fldCharType="begin"/>
      </w:r>
      <w:r>
        <w:instrText xml:space="preserve"> PAGEREF _Toc21757 </w:instrText>
      </w:r>
      <w:r>
        <w:fldChar w:fldCharType="separate"/>
      </w:r>
      <w:r>
        <w:t>16</w:t>
      </w:r>
      <w:r>
        <w:fldChar w:fldCharType="end"/>
      </w:r>
      <w:r>
        <w:rPr>
          <w:rFonts w:ascii="Arial" w:hAnsi="Arial"/>
          <w:spacing w:val="2"/>
          <w:szCs w:val="21"/>
        </w:rPr>
        <w:fldChar w:fldCharType="end"/>
      </w:r>
    </w:p>
    <w:p>
      <w:pPr>
        <w:pStyle w:val="12"/>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_Toc4613 </w:instrText>
      </w:r>
      <w:r>
        <w:rPr>
          <w:rFonts w:ascii="Arial" w:hAnsi="Arial"/>
          <w:spacing w:val="2"/>
          <w:szCs w:val="21"/>
        </w:rPr>
        <w:fldChar w:fldCharType="separate"/>
      </w:r>
      <w:r>
        <w:rPr>
          <w:rFonts w:hint="eastAsia" w:ascii="宋体" w:hAnsi="宋体"/>
          <w:bCs/>
          <w:szCs w:val="28"/>
        </w:rPr>
        <w:t>十四、估价报告使用期限</w:t>
      </w:r>
      <w:r>
        <w:tab/>
      </w:r>
      <w:r>
        <w:fldChar w:fldCharType="begin"/>
      </w:r>
      <w:r>
        <w:instrText xml:space="preserve"> PAGEREF _Toc4613 </w:instrText>
      </w:r>
      <w:r>
        <w:fldChar w:fldCharType="separate"/>
      </w:r>
      <w:r>
        <w:t>16</w:t>
      </w:r>
      <w:r>
        <w:fldChar w:fldCharType="end"/>
      </w:r>
      <w:r>
        <w:rPr>
          <w:rFonts w:ascii="Arial" w:hAnsi="Arial"/>
          <w:spacing w:val="2"/>
          <w:szCs w:val="21"/>
        </w:rPr>
        <w:fldChar w:fldCharType="end"/>
      </w:r>
    </w:p>
    <w:p>
      <w:pPr>
        <w:pStyle w:val="11"/>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pPr>
      <w:r>
        <w:rPr>
          <w:rFonts w:ascii="Arial" w:hAnsi="Arial"/>
          <w:spacing w:val="2"/>
          <w:szCs w:val="21"/>
        </w:rPr>
        <w:fldChar w:fldCharType="begin"/>
      </w:r>
      <w:r>
        <w:rPr>
          <w:rFonts w:ascii="Arial" w:hAnsi="Arial"/>
          <w:spacing w:val="2"/>
          <w:szCs w:val="21"/>
        </w:rPr>
        <w:instrText xml:space="preserve"> HYPERLINK \l _Toc20341 </w:instrText>
      </w:r>
      <w:r>
        <w:rPr>
          <w:rFonts w:ascii="Arial" w:hAnsi="Arial"/>
          <w:spacing w:val="2"/>
          <w:szCs w:val="21"/>
        </w:rPr>
        <w:fldChar w:fldCharType="separate"/>
      </w:r>
      <w:r>
        <w:rPr>
          <w:rFonts w:hint="eastAsia"/>
          <w:bCs/>
          <w:szCs w:val="28"/>
        </w:rPr>
        <w:t>附件：</w:t>
      </w:r>
      <w:r>
        <w:tab/>
      </w:r>
      <w:r>
        <w:fldChar w:fldCharType="begin"/>
      </w:r>
      <w:r>
        <w:instrText xml:space="preserve"> PAGEREF _Toc20341 </w:instrText>
      </w:r>
      <w:r>
        <w:fldChar w:fldCharType="separate"/>
      </w:r>
      <w:r>
        <w:t>17</w:t>
      </w:r>
      <w:r>
        <w:fldChar w:fldCharType="end"/>
      </w:r>
      <w:r>
        <w:rPr>
          <w:rFonts w:ascii="Arial" w:hAnsi="Arial"/>
          <w:spacing w:val="2"/>
          <w:szCs w:val="21"/>
        </w:rPr>
        <w:fldChar w:fldCharType="end"/>
      </w:r>
    </w:p>
    <w:p>
      <w:pPr>
        <w:keepNext w:val="0"/>
        <w:keepLines w:val="0"/>
        <w:pageBreakBefore w:val="0"/>
        <w:widowControl w:val="0"/>
        <w:kinsoku/>
        <w:wordWrap/>
        <w:overflowPunct/>
        <w:topLinePunct w:val="0"/>
        <w:autoSpaceDE/>
        <w:autoSpaceDN/>
        <w:bidi w:val="0"/>
        <w:adjustRightInd/>
        <w:snapToGrid w:val="0"/>
        <w:spacing w:before="240" w:after="240" w:line="360" w:lineRule="auto"/>
        <w:ind w:right="238"/>
        <w:jc w:val="center"/>
        <w:textAlignment w:val="auto"/>
        <w:rPr>
          <w:rFonts w:ascii="Arial" w:hAnsi="Arial"/>
          <w:spacing w:val="2"/>
          <w:sz w:val="36"/>
        </w:rPr>
      </w:pPr>
      <w:r>
        <w:rPr>
          <w:rFonts w:ascii="Arial" w:hAnsi="Arial"/>
          <w:spacing w:val="2"/>
          <w:szCs w:val="21"/>
        </w:rPr>
        <w:fldChar w:fldCharType="end"/>
      </w:r>
    </w:p>
    <w:p>
      <w:pPr>
        <w:snapToGrid w:val="0"/>
        <w:spacing w:before="240" w:after="240" w:line="360" w:lineRule="auto"/>
        <w:ind w:right="238"/>
        <w:jc w:val="center"/>
        <w:rPr>
          <w:rFonts w:ascii="Arial" w:hAnsi="Arial"/>
          <w:b/>
          <w:spacing w:val="2"/>
          <w:sz w:val="36"/>
        </w:rPr>
      </w:pPr>
    </w:p>
    <w:p>
      <w:pPr>
        <w:snapToGrid w:val="0"/>
        <w:spacing w:before="240" w:after="240" w:line="360" w:lineRule="auto"/>
        <w:ind w:right="238"/>
        <w:jc w:val="center"/>
        <w:rPr>
          <w:rFonts w:ascii="Arial" w:hAnsi="Arial"/>
          <w:b/>
          <w:spacing w:val="2"/>
          <w:sz w:val="36"/>
        </w:rPr>
      </w:pPr>
    </w:p>
    <w:p>
      <w:pPr>
        <w:pStyle w:val="2"/>
        <w:spacing w:line="360" w:lineRule="auto"/>
        <w:jc w:val="center"/>
      </w:pPr>
      <w:bookmarkStart w:id="15" w:name="_Toc6399"/>
      <w:r>
        <w:rPr>
          <w:rFonts w:hint="eastAsia"/>
        </w:rPr>
        <w:t>注册房地产估价师声明</w:t>
      </w:r>
      <w:bookmarkEnd w:id="15"/>
    </w:p>
    <w:p>
      <w:pPr>
        <w:spacing w:line="360" w:lineRule="auto"/>
        <w:ind w:firstLine="560" w:firstLineChars="200"/>
        <w:rPr>
          <w:rFonts w:ascii="宋体" w:hAnsi="宋体"/>
          <w:sz w:val="28"/>
          <w:szCs w:val="28"/>
        </w:rPr>
      </w:pPr>
      <w:r>
        <w:rPr>
          <w:rFonts w:hint="eastAsia" w:ascii="宋体" w:hAnsi="宋体"/>
          <w:sz w:val="28"/>
          <w:szCs w:val="28"/>
        </w:rPr>
        <w:t>注册房地产估价师郑重声明：</w:t>
      </w:r>
    </w:p>
    <w:p>
      <w:pPr>
        <w:numPr>
          <w:ilvl w:val="0"/>
          <w:numId w:val="1"/>
        </w:numPr>
        <w:spacing w:line="360" w:lineRule="auto"/>
        <w:rPr>
          <w:rFonts w:ascii="宋体" w:hAnsi="宋体"/>
          <w:sz w:val="28"/>
          <w:szCs w:val="28"/>
        </w:rPr>
      </w:pPr>
      <w:r>
        <w:rPr>
          <w:rFonts w:hint="eastAsia" w:ascii="宋体" w:hAnsi="宋体"/>
          <w:sz w:val="28"/>
          <w:szCs w:val="28"/>
        </w:rPr>
        <w:t>注册房地产估价师在估价报告中对事实的说明是真实和准确的，没有虚假记载、误导性陈述和重大遗漏；</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估价报告中的分析、意见和结论是注册房地产估价师独立 、客观、公正的专业分析、意见和结论，但受到估价报告中已说明的假设和限制条件的限制；</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注册房地产估价师与估价报告中的估价对象没有现实或潜在的利益，与估价委托人及估价利害关系人没有利害关系，也与估价对象、估价委托人及估价利害关系人没有偏见；</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注册房地产估价师是按照有关房地产估价标准的规定进行估价工作，撰写估价报告；</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没有人对本估价报告提供特定的专业帮助；</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本报告书供贵方按报告确定的评估目的正常使用。未经本估价机构书面同意，本估价报告的全部或任何一部分内容均不得向委托方及报告审查部门以外的单位和个人提供，报告的全部或其部分内容不得发表于任何公开媒体上。</w:t>
      </w:r>
      <w:r>
        <w:rPr>
          <w:rFonts w:hint="eastAsia" w:ascii="宋体" w:hAnsi="宋体"/>
          <w:color w:val="000000"/>
          <w:sz w:val="28"/>
          <w:szCs w:val="28"/>
        </w:rPr>
        <w:t>本报告的附件是本报告的重要组成部分，与本报告正文具有同等法律效力。</w:t>
      </w:r>
    </w:p>
    <w:p>
      <w:pPr>
        <w:numPr>
          <w:ilvl w:val="0"/>
          <w:numId w:val="1"/>
        </w:numPr>
        <w:tabs>
          <w:tab w:val="left" w:pos="0"/>
          <w:tab w:val="clear" w:pos="780"/>
        </w:tabs>
        <w:spacing w:line="360" w:lineRule="auto"/>
        <w:ind w:left="0" w:firstLine="420"/>
        <w:rPr>
          <w:rFonts w:ascii="宋体" w:hAnsi="宋体"/>
          <w:sz w:val="28"/>
          <w:szCs w:val="28"/>
        </w:rPr>
      </w:pPr>
      <w:r>
        <w:rPr>
          <w:rFonts w:hint="eastAsia" w:ascii="宋体" w:hAnsi="宋体"/>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pPr>
        <w:numPr>
          <w:ilvl w:val="0"/>
          <w:numId w:val="1"/>
        </w:numPr>
        <w:tabs>
          <w:tab w:val="left" w:pos="0"/>
          <w:tab w:val="clear" w:pos="780"/>
        </w:tabs>
        <w:spacing w:line="360" w:lineRule="auto"/>
        <w:ind w:left="0" w:firstLine="420"/>
        <w:rPr>
          <w:rFonts w:hint="eastAsia" w:ascii="宋体"/>
          <w:sz w:val="28"/>
          <w:szCs w:val="28"/>
        </w:rPr>
      </w:pPr>
      <w:r>
        <w:rPr>
          <w:rFonts w:hint="eastAsia" w:ascii="宋体" w:hAnsi="宋体"/>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pPr>
        <w:numPr>
          <w:ilvl w:val="0"/>
          <w:numId w:val="1"/>
        </w:numPr>
        <w:tabs>
          <w:tab w:val="left" w:pos="0"/>
          <w:tab w:val="clear" w:pos="780"/>
        </w:tabs>
        <w:spacing w:line="360" w:lineRule="auto"/>
        <w:ind w:left="0" w:firstLine="420"/>
        <w:rPr>
          <w:rFonts w:ascii="宋体"/>
          <w:sz w:val="28"/>
          <w:szCs w:val="28"/>
        </w:rPr>
      </w:pPr>
      <w:r>
        <w:rPr>
          <w:rFonts w:hint="eastAsia" w:ascii="宋体" w:hAnsi="宋体"/>
          <w:sz w:val="28"/>
          <w:szCs w:val="28"/>
          <w:lang w:eastAsia="zh-CN"/>
        </w:rPr>
        <w:t>对方当事人</w:t>
      </w:r>
      <w:r>
        <w:rPr>
          <w:rFonts w:hint="eastAsia" w:ascii="宋体" w:hAnsi="宋体"/>
          <w:sz w:val="28"/>
          <w:szCs w:val="28"/>
        </w:rPr>
        <w:t>提供</w:t>
      </w:r>
      <w:r>
        <w:rPr>
          <w:rFonts w:hint="eastAsia" w:ascii="宋体" w:hAnsi="宋体"/>
          <w:sz w:val="28"/>
          <w:szCs w:val="28"/>
          <w:lang w:eastAsia="zh-CN"/>
        </w:rPr>
        <w:t>了</w:t>
      </w:r>
      <w:r>
        <w:rPr>
          <w:rFonts w:hint="eastAsia" w:ascii="宋体" w:hAnsi="宋体"/>
          <w:sz w:val="28"/>
          <w:szCs w:val="28"/>
        </w:rPr>
        <w:t>估价对象权属证明原件，由于估价人员没有到相关产权登记部门核实证件真伪的权利，估价人员不保证</w:t>
      </w:r>
      <w:r>
        <w:rPr>
          <w:rFonts w:hint="eastAsia" w:ascii="宋体" w:hAnsi="宋体"/>
          <w:sz w:val="28"/>
          <w:szCs w:val="28"/>
          <w:lang w:eastAsia="zh-CN"/>
        </w:rPr>
        <w:t>对方当事人</w:t>
      </w:r>
      <w:r>
        <w:rPr>
          <w:rFonts w:hint="eastAsia" w:ascii="宋体" w:hAnsi="宋体"/>
          <w:sz w:val="28"/>
          <w:szCs w:val="28"/>
        </w:rPr>
        <w:t>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numPr>
          <w:ilvl w:val="0"/>
          <w:numId w:val="1"/>
        </w:numPr>
        <w:tabs>
          <w:tab w:val="left" w:pos="0"/>
          <w:tab w:val="clear" w:pos="780"/>
        </w:tabs>
        <w:spacing w:line="360" w:lineRule="auto"/>
        <w:ind w:left="0" w:firstLine="420"/>
        <w:rPr>
          <w:rFonts w:ascii="宋体"/>
          <w:sz w:val="28"/>
          <w:szCs w:val="28"/>
        </w:rPr>
      </w:pPr>
      <w:r>
        <w:rPr>
          <w:rFonts w:hint="eastAsia" w:ascii="宋体"/>
          <w:sz w:val="28"/>
          <w:szCs w:val="28"/>
        </w:rPr>
        <w:t>本房地产估价报告是根据人民法院及相关当事人提供的资料和信息出具，资料和信息的真实性、完整性、合法性对评估结论构成影响，依据同一标的资产的其他资料或者信息可能得出与本报告不一致的评估结论。</w:t>
      </w:r>
    </w:p>
    <w:p>
      <w:pPr>
        <w:numPr>
          <w:ilvl w:val="0"/>
          <w:numId w:val="1"/>
        </w:numPr>
        <w:tabs>
          <w:tab w:val="left" w:pos="0"/>
          <w:tab w:val="clear" w:pos="780"/>
        </w:tabs>
        <w:spacing w:line="360" w:lineRule="auto"/>
        <w:ind w:left="0" w:firstLine="420"/>
        <w:rPr>
          <w:rFonts w:ascii="宋体"/>
          <w:sz w:val="28"/>
          <w:szCs w:val="28"/>
        </w:rPr>
      </w:pPr>
      <w:r>
        <w:rPr>
          <w:rFonts w:hint="eastAsia" w:ascii="宋体"/>
          <w:sz w:val="28"/>
          <w:szCs w:val="28"/>
        </w:rPr>
        <w:t>如对评估结论有异议，请在接到评估报告15日内按照相关程序向评估机构书面提出补充鉴定或重新鉴定，逾期视为认同</w:t>
      </w:r>
      <w:r>
        <w:rPr>
          <w:rFonts w:hint="eastAsia" w:ascii="宋体"/>
          <w:sz w:val="28"/>
          <w:szCs w:val="28"/>
          <w:lang w:eastAsia="zh-CN"/>
        </w:rPr>
        <w:t>。</w:t>
      </w:r>
    </w:p>
    <w:p>
      <w:pPr>
        <w:spacing w:line="360" w:lineRule="auto"/>
        <w:rPr>
          <w:rFonts w:ascii="宋体"/>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spacing w:line="360" w:lineRule="auto"/>
        <w:rPr>
          <w:rFonts w:ascii="宋体"/>
          <w:b/>
          <w:bCs/>
          <w:sz w:val="28"/>
          <w:szCs w:val="28"/>
        </w:rPr>
      </w:pPr>
    </w:p>
    <w:p>
      <w:pPr>
        <w:pStyle w:val="2"/>
        <w:spacing w:line="360" w:lineRule="auto"/>
        <w:jc w:val="center"/>
      </w:pPr>
      <w:bookmarkStart w:id="16" w:name="_Toc2292"/>
      <w:r>
        <w:rPr>
          <w:rFonts w:hint="eastAsia"/>
        </w:rPr>
        <w:t>估价假设和限制条件</w:t>
      </w:r>
      <w:bookmarkEnd w:id="16"/>
    </w:p>
    <w:p>
      <w:pPr>
        <w:pStyle w:val="3"/>
        <w:spacing w:before="0" w:after="0" w:line="360" w:lineRule="auto"/>
        <w:rPr>
          <w:b w:val="0"/>
          <w:bCs w:val="0"/>
          <w:sz w:val="28"/>
          <w:szCs w:val="28"/>
        </w:rPr>
      </w:pPr>
      <w:bookmarkStart w:id="17" w:name="_Toc3749"/>
      <w:r>
        <w:rPr>
          <w:rFonts w:hint="eastAsia"/>
          <w:b w:val="0"/>
          <w:bCs w:val="0"/>
          <w:sz w:val="28"/>
          <w:szCs w:val="28"/>
        </w:rPr>
        <w:t>一、估价假设条件</w:t>
      </w:r>
      <w:bookmarkEnd w:id="17"/>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．一般假设：</w:t>
      </w:r>
    </w:p>
    <w:p>
      <w:pPr>
        <w:spacing w:line="360" w:lineRule="auto"/>
        <w:ind w:firstLine="420" w:firstLineChars="150"/>
        <w:rPr>
          <w:rFonts w:ascii="宋体"/>
          <w:sz w:val="28"/>
          <w:szCs w:val="28"/>
        </w:rPr>
      </w:pPr>
      <w:r>
        <w:rPr>
          <w:rFonts w:hint="eastAsia" w:ascii="宋体" w:hAnsi="宋体"/>
          <w:sz w:val="28"/>
          <w:szCs w:val="28"/>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未定事项假设：</w:t>
      </w:r>
    </w:p>
    <w:p>
      <w:pPr>
        <w:spacing w:line="360" w:lineRule="auto"/>
        <w:ind w:firstLine="560" w:firstLineChars="200"/>
        <w:rPr>
          <w:rFonts w:ascii="宋体" w:hAnsi="宋体"/>
          <w:sz w:val="28"/>
          <w:szCs w:val="28"/>
        </w:rPr>
      </w:pPr>
      <w:r>
        <w:rPr>
          <w:rFonts w:hint="eastAsia" w:ascii="宋体" w:hAnsi="宋体"/>
          <w:sz w:val="28"/>
          <w:szCs w:val="28"/>
        </w:rPr>
        <w:t>委托方提供的估价对象的</w:t>
      </w:r>
      <w:r>
        <w:rPr>
          <w:rFonts w:hint="eastAsia" w:ascii="宋体" w:hAnsi="宋体"/>
          <w:sz w:val="28"/>
          <w:szCs w:val="28"/>
          <w:lang w:eastAsia="zh-CN"/>
        </w:rPr>
        <w:t>房屋所有权证</w:t>
      </w:r>
      <w:r>
        <w:rPr>
          <w:rFonts w:hint="eastAsia" w:ascii="宋体" w:hAnsi="宋体"/>
          <w:sz w:val="28"/>
          <w:szCs w:val="28"/>
        </w:rPr>
        <w:t>，土地权属、容积率信息</w:t>
      </w:r>
      <w:r>
        <w:rPr>
          <w:rFonts w:hint="eastAsia" w:ascii="宋体" w:hAnsi="宋体"/>
          <w:sz w:val="28"/>
          <w:szCs w:val="28"/>
          <w:lang w:eastAsia="zh-CN"/>
        </w:rPr>
        <w:t>不</w:t>
      </w:r>
      <w:r>
        <w:rPr>
          <w:rFonts w:hint="eastAsia" w:ascii="宋体" w:hAnsi="宋体"/>
          <w:sz w:val="28"/>
          <w:szCs w:val="28"/>
        </w:rPr>
        <w:t>明确，因此本次估价假设</w:t>
      </w:r>
      <w:r>
        <w:rPr>
          <w:rFonts w:hint="eastAsia" w:ascii="宋体" w:hAnsi="宋体"/>
          <w:sz w:val="28"/>
          <w:szCs w:val="28"/>
          <w:lang w:eastAsia="zh-CN"/>
        </w:rPr>
        <w:t>土地权属无争议，容积率为客观平均水平，对估价结果无影响</w:t>
      </w:r>
      <w:r>
        <w:rPr>
          <w:rFonts w:hint="eastAsia" w:ascii="宋体" w:hAnsi="宋体"/>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．背离事实假设：</w:t>
      </w:r>
    </w:p>
    <w:p>
      <w:pPr>
        <w:spacing w:line="360" w:lineRule="auto"/>
        <w:ind w:firstLine="560" w:firstLineChars="200"/>
        <w:rPr>
          <w:rFonts w:ascii="宋体"/>
          <w:sz w:val="28"/>
          <w:szCs w:val="28"/>
        </w:rPr>
      </w:pPr>
      <w:r>
        <w:rPr>
          <w:rFonts w:hint="eastAsia" w:ascii="宋体" w:hAnsi="宋体"/>
          <w:sz w:val="28"/>
          <w:szCs w:val="28"/>
        </w:rPr>
        <w:t>背离事实假设指应说明因估价目的的特殊需要、交易条件设定或约定，对估价对象状况所做的与估价对象的实际状况不一致的合理假定。本次估价无背离事实假设。</w:t>
      </w:r>
    </w:p>
    <w:p>
      <w:pPr>
        <w:spacing w:line="360" w:lineRule="auto"/>
        <w:ind w:firstLine="560" w:firstLineChars="200"/>
        <w:rPr>
          <w:rFonts w:ascii="宋体"/>
          <w:sz w:val="28"/>
          <w:szCs w:val="28"/>
        </w:rPr>
      </w:pPr>
      <w:r>
        <w:rPr>
          <w:rFonts w:ascii="宋体" w:hAnsi="宋体"/>
          <w:sz w:val="28"/>
          <w:szCs w:val="28"/>
        </w:rPr>
        <w:t>4</w:t>
      </w:r>
      <w:r>
        <w:rPr>
          <w:rFonts w:hint="eastAsia" w:ascii="宋体" w:hAnsi="宋体"/>
          <w:sz w:val="28"/>
          <w:szCs w:val="28"/>
        </w:rPr>
        <w:t>．不相一致假设：</w:t>
      </w:r>
    </w:p>
    <w:p>
      <w:pPr>
        <w:spacing w:line="360" w:lineRule="auto"/>
        <w:ind w:firstLine="560" w:firstLineChars="200"/>
        <w:rPr>
          <w:rFonts w:ascii="宋体"/>
          <w:sz w:val="28"/>
          <w:szCs w:val="28"/>
        </w:rPr>
      </w:pPr>
      <w:r>
        <w:rPr>
          <w:rFonts w:hint="eastAsia" w:ascii="宋体" w:hAnsi="宋体"/>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pPr>
        <w:spacing w:line="360" w:lineRule="auto"/>
        <w:ind w:firstLine="560" w:firstLineChars="200"/>
        <w:rPr>
          <w:rFonts w:ascii="宋体"/>
          <w:sz w:val="28"/>
          <w:szCs w:val="28"/>
        </w:rPr>
      </w:pPr>
      <w:r>
        <w:rPr>
          <w:rFonts w:ascii="宋体" w:hAnsi="宋体"/>
          <w:sz w:val="28"/>
          <w:szCs w:val="28"/>
        </w:rPr>
        <w:t>5</w:t>
      </w:r>
      <w:r>
        <w:rPr>
          <w:rFonts w:hint="eastAsia" w:ascii="宋体" w:hAnsi="宋体"/>
          <w:sz w:val="28"/>
          <w:szCs w:val="28"/>
        </w:rPr>
        <w:t>．依据不足假设：</w:t>
      </w:r>
    </w:p>
    <w:p>
      <w:pPr>
        <w:spacing w:line="360" w:lineRule="auto"/>
        <w:ind w:firstLine="560" w:firstLineChars="200"/>
        <w:rPr>
          <w:rFonts w:ascii="宋体" w:hAnsi="宋体"/>
          <w:sz w:val="28"/>
          <w:szCs w:val="28"/>
        </w:rPr>
      </w:pPr>
      <w:r>
        <w:rPr>
          <w:rFonts w:hint="eastAsia" w:ascii="宋体" w:hAnsi="宋体"/>
          <w:sz w:val="28"/>
          <w:szCs w:val="28"/>
        </w:rPr>
        <w:t>依据不足假设指应说明在估价委托人无法提供估价所必需</w:t>
      </w:r>
      <w:r>
        <w:rPr>
          <w:rFonts w:hint="eastAsia" w:ascii="宋体" w:hAnsi="宋体"/>
          <w:sz w:val="28"/>
          <w:szCs w:val="28"/>
          <w:lang w:eastAsia="zh-CN"/>
        </w:rPr>
        <w:t>的</w:t>
      </w:r>
      <w:r>
        <w:rPr>
          <w:rFonts w:hint="eastAsia" w:ascii="宋体" w:hAnsi="宋体"/>
          <w:sz w:val="28"/>
          <w:szCs w:val="28"/>
        </w:rPr>
        <w:t>反映估价对象的资料及注册房地产估价师进行了尽职调查仍然难以取得该资料的情况下，</w:t>
      </w:r>
      <w:r>
        <w:rPr>
          <w:rFonts w:hint="eastAsia" w:ascii="宋体" w:hAnsi="宋体"/>
          <w:sz w:val="28"/>
          <w:szCs w:val="28"/>
          <w:lang w:eastAsia="zh-CN"/>
        </w:rPr>
        <w:t>对</w:t>
      </w:r>
      <w:r>
        <w:rPr>
          <w:rFonts w:hint="eastAsia" w:ascii="宋体" w:hAnsi="宋体"/>
          <w:sz w:val="28"/>
          <w:szCs w:val="28"/>
        </w:rPr>
        <w:t>缺少该资料及对相应的估价对象状况的合理假定。</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估价委托人未提供估价对象权属证明原件，所提供资料为复印件，由于估价人员没有到相关产权登记部门核实证件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spacing w:line="360" w:lineRule="auto"/>
        <w:ind w:firstLine="560" w:firstLineChars="200"/>
        <w:rPr>
          <w:rFonts w:ascii="宋体" w:hAnsi="宋体"/>
          <w:sz w:val="28"/>
          <w:szCs w:val="28"/>
        </w:rPr>
      </w:pPr>
      <w:r>
        <w:rPr>
          <w:rFonts w:ascii="宋体" w:hAnsi="宋体"/>
          <w:sz w:val="28"/>
          <w:szCs w:val="28"/>
        </w:rPr>
        <w:t>6.</w:t>
      </w:r>
      <w:r>
        <w:rPr>
          <w:rFonts w:hint="eastAsia" w:ascii="宋体" w:hAnsi="宋体"/>
          <w:sz w:val="28"/>
          <w:szCs w:val="28"/>
        </w:rPr>
        <w:t>公开市场假设：</w:t>
      </w:r>
    </w:p>
    <w:p>
      <w:pPr>
        <w:spacing w:line="360" w:lineRule="auto"/>
        <w:ind w:firstLine="560" w:firstLineChars="200"/>
        <w:rPr>
          <w:rFonts w:ascii="宋体"/>
          <w:sz w:val="28"/>
          <w:szCs w:val="28"/>
        </w:rPr>
      </w:pPr>
      <w:r>
        <w:rPr>
          <w:rFonts w:hint="eastAsia" w:ascii="宋体" w:hAnsi="宋体"/>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pPr>
        <w:pStyle w:val="3"/>
        <w:spacing w:before="0" w:after="0" w:line="360" w:lineRule="auto"/>
        <w:rPr>
          <w:rFonts w:ascii="宋体" w:eastAsia="宋体"/>
          <w:b w:val="0"/>
          <w:bCs w:val="0"/>
          <w:sz w:val="28"/>
          <w:szCs w:val="28"/>
        </w:rPr>
      </w:pPr>
      <w:bookmarkStart w:id="18" w:name="_Toc3539"/>
      <w:r>
        <w:rPr>
          <w:rFonts w:hint="eastAsia" w:ascii="宋体" w:hAnsi="宋体"/>
          <w:b w:val="0"/>
          <w:bCs w:val="0"/>
          <w:sz w:val="28"/>
          <w:szCs w:val="28"/>
        </w:rPr>
        <w:t>二、估价限制条件</w:t>
      </w:r>
      <w:bookmarkEnd w:id="18"/>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pPr>
        <w:spacing w:line="36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．本次评估结果包含了房屋建筑分摊的土地使用权价值及满足房屋使用功能的配套设施的价值。</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．本报告出具日期之后及评估结果有效期内，如发生影响估价对象价值的重大期后事项，不能直接使用本评估结论。</w:t>
      </w:r>
    </w:p>
    <w:p>
      <w:pPr>
        <w:spacing w:line="360" w:lineRule="auto"/>
        <w:ind w:firstLine="560" w:firstLineChars="200"/>
        <w:rPr>
          <w:rFonts w:ascii="宋体"/>
          <w:sz w:val="28"/>
          <w:szCs w:val="28"/>
        </w:rPr>
      </w:pPr>
      <w:r>
        <w:rPr>
          <w:rFonts w:ascii="宋体" w:hAnsi="宋体"/>
          <w:sz w:val="28"/>
          <w:szCs w:val="28"/>
        </w:rPr>
        <w:t>4</w:t>
      </w:r>
      <w:r>
        <w:rPr>
          <w:rFonts w:hint="eastAsia" w:ascii="宋体" w:hAnsi="宋体"/>
          <w:sz w:val="28"/>
          <w:szCs w:val="28"/>
        </w:rPr>
        <w:t>．在价值时点后，且评估结果有效期内如果资产价格标准发生变化，并对评估值产生明显影响时，委托方应及时聘请评估机构重新确定评估值。</w:t>
      </w:r>
    </w:p>
    <w:p>
      <w:pPr>
        <w:spacing w:line="360" w:lineRule="auto"/>
        <w:ind w:firstLine="560" w:firstLineChars="200"/>
        <w:rPr>
          <w:rFonts w:hint="eastAsia" w:ascii="宋体" w:hAnsi="宋体"/>
          <w:sz w:val="28"/>
          <w:szCs w:val="28"/>
        </w:rPr>
      </w:pPr>
      <w:r>
        <w:rPr>
          <w:rFonts w:ascii="宋体" w:hAnsi="宋体"/>
          <w:sz w:val="28"/>
          <w:szCs w:val="28"/>
        </w:rPr>
        <w:t xml:space="preserve">5. </w:t>
      </w:r>
      <w:r>
        <w:rPr>
          <w:rFonts w:hint="eastAsia" w:ascii="宋体" w:hAnsi="宋体"/>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pPr>
        <w:spacing w:line="360" w:lineRule="auto"/>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6.</w:t>
      </w:r>
      <w:r>
        <w:rPr>
          <w:rFonts w:hint="eastAsia" w:ascii="宋体" w:hAnsi="宋体"/>
          <w:sz w:val="28"/>
          <w:szCs w:val="28"/>
        </w:rPr>
        <w:t>提醒报告使用人正确理解和使用评估结论，评估结论不等同于评估对象可实现价格，评估结论不应当被认为是对评估对象可实现价格的保证</w:t>
      </w:r>
      <w:r>
        <w:rPr>
          <w:rFonts w:hint="eastAsia" w:ascii="宋体" w:hAnsi="宋体"/>
          <w:sz w:val="28"/>
          <w:szCs w:val="28"/>
          <w:lang w:eastAsia="zh-CN"/>
        </w:rPr>
        <w:t>。</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pStyle w:val="2"/>
        <w:spacing w:line="360" w:lineRule="auto"/>
        <w:jc w:val="center"/>
      </w:pPr>
      <w:bookmarkStart w:id="19" w:name="_Toc27829"/>
      <w:r>
        <w:rPr>
          <w:rFonts w:hint="eastAsia"/>
        </w:rPr>
        <w:t>房地产估价结果报告</w:t>
      </w:r>
      <w:bookmarkEnd w:id="19"/>
    </w:p>
    <w:p>
      <w:pPr>
        <w:pStyle w:val="3"/>
        <w:spacing w:before="0" w:after="0" w:line="360" w:lineRule="auto"/>
        <w:rPr>
          <w:rFonts w:ascii="宋体" w:eastAsia="宋体"/>
          <w:bCs w:val="0"/>
          <w:sz w:val="28"/>
          <w:szCs w:val="28"/>
        </w:rPr>
      </w:pPr>
      <w:bookmarkStart w:id="20" w:name="_Toc21311"/>
      <w:r>
        <w:rPr>
          <w:rFonts w:hint="eastAsia" w:ascii="宋体" w:hAnsi="宋体"/>
          <w:b w:val="0"/>
          <w:bCs w:val="0"/>
          <w:sz w:val="28"/>
          <w:szCs w:val="28"/>
        </w:rPr>
        <w:t>一、估价委托人</w:t>
      </w:r>
      <w:bookmarkEnd w:id="20"/>
    </w:p>
    <w:p>
      <w:pPr>
        <w:spacing w:line="360" w:lineRule="auto"/>
        <w:ind w:firstLine="560" w:firstLineChars="200"/>
        <w:rPr>
          <w:rFonts w:ascii="宋体"/>
          <w:bCs/>
          <w:sz w:val="28"/>
          <w:szCs w:val="28"/>
        </w:rPr>
      </w:pPr>
      <w:r>
        <w:rPr>
          <w:rFonts w:ascii="宋体" w:hAnsi="宋体"/>
          <w:bCs/>
          <w:sz w:val="28"/>
          <w:szCs w:val="28"/>
        </w:rPr>
        <w:t xml:space="preserve">    </w:t>
      </w:r>
      <w:r>
        <w:rPr>
          <w:rFonts w:hint="eastAsia" w:ascii="宋体" w:hAnsi="宋体"/>
          <w:bCs/>
          <w:sz w:val="28"/>
          <w:szCs w:val="28"/>
        </w:rPr>
        <w:t>估价委托人：</w:t>
      </w:r>
      <w:r>
        <w:rPr>
          <w:rFonts w:hint="eastAsia" w:ascii="宋体" w:hAnsi="宋体"/>
          <w:bCs/>
          <w:sz w:val="28"/>
          <w:szCs w:val="28"/>
          <w:lang w:eastAsia="zh-CN"/>
        </w:rPr>
        <w:t>鞍山市铁东区人民法院</w:t>
      </w:r>
    </w:p>
    <w:p>
      <w:pPr>
        <w:pStyle w:val="3"/>
        <w:spacing w:before="0" w:after="0" w:line="360" w:lineRule="auto"/>
        <w:rPr>
          <w:rFonts w:ascii="宋体" w:eastAsia="宋体"/>
          <w:b w:val="0"/>
          <w:bCs w:val="0"/>
          <w:sz w:val="28"/>
          <w:szCs w:val="28"/>
        </w:rPr>
      </w:pPr>
      <w:bookmarkStart w:id="21" w:name="_Toc3270"/>
      <w:r>
        <w:rPr>
          <w:rFonts w:hint="eastAsia" w:ascii="宋体" w:hAnsi="宋体"/>
          <w:b w:val="0"/>
          <w:bCs w:val="0"/>
          <w:sz w:val="28"/>
          <w:szCs w:val="28"/>
        </w:rPr>
        <w:t>二、估价机构</w:t>
      </w:r>
      <w:bookmarkEnd w:id="21"/>
    </w:p>
    <w:p>
      <w:pPr>
        <w:spacing w:line="360" w:lineRule="auto"/>
        <w:ind w:firstLine="1050" w:firstLineChars="375"/>
        <w:rPr>
          <w:rFonts w:ascii="宋体"/>
          <w:sz w:val="28"/>
          <w:szCs w:val="28"/>
        </w:rPr>
      </w:pPr>
      <w:r>
        <w:rPr>
          <w:rFonts w:hint="eastAsia" w:ascii="宋体" w:hAnsi="宋体"/>
          <w:bCs/>
          <w:sz w:val="28"/>
          <w:szCs w:val="28"/>
        </w:rPr>
        <w:t>估价机构：辽宁俊隆房地产土地资产评估有限责任公司</w:t>
      </w:r>
    </w:p>
    <w:p>
      <w:pPr>
        <w:spacing w:line="360" w:lineRule="auto"/>
        <w:ind w:firstLine="1050" w:firstLineChars="375"/>
        <w:rPr>
          <w:rFonts w:ascii="宋体"/>
          <w:sz w:val="28"/>
          <w:szCs w:val="28"/>
        </w:rPr>
      </w:pPr>
      <w:r>
        <w:rPr>
          <w:rFonts w:hint="eastAsia" w:ascii="宋体" w:hAnsi="宋体"/>
          <w:sz w:val="28"/>
          <w:szCs w:val="28"/>
        </w:rPr>
        <w:t>法定代表人：白云</w:t>
      </w:r>
    </w:p>
    <w:p>
      <w:pPr>
        <w:spacing w:line="360" w:lineRule="auto"/>
        <w:ind w:firstLine="1050" w:firstLineChars="375"/>
        <w:rPr>
          <w:rFonts w:ascii="宋体" w:hAnsi="宋体"/>
          <w:sz w:val="28"/>
          <w:szCs w:val="28"/>
        </w:rPr>
      </w:pPr>
      <w:r>
        <w:rPr>
          <w:rFonts w:hint="eastAsia" w:ascii="宋体" w:hAnsi="宋体"/>
          <w:sz w:val="28"/>
          <w:szCs w:val="28"/>
        </w:rPr>
        <w:t>备案等级：贰级</w:t>
      </w:r>
    </w:p>
    <w:p>
      <w:pPr>
        <w:spacing w:line="360" w:lineRule="auto"/>
        <w:ind w:firstLine="1050" w:firstLineChars="375"/>
        <w:rPr>
          <w:rFonts w:ascii="宋体" w:hAnsi="宋体"/>
          <w:sz w:val="28"/>
          <w:szCs w:val="28"/>
        </w:rPr>
      </w:pPr>
      <w:r>
        <w:rPr>
          <w:rFonts w:hint="eastAsia" w:ascii="宋体" w:hAnsi="宋体"/>
          <w:sz w:val="28"/>
          <w:szCs w:val="28"/>
        </w:rPr>
        <w:t>备案证书编号：第000010305号</w:t>
      </w:r>
    </w:p>
    <w:p>
      <w:pPr>
        <w:spacing w:line="360" w:lineRule="auto"/>
        <w:ind w:firstLine="1050" w:firstLineChars="375"/>
        <w:rPr>
          <w:rFonts w:ascii="宋体"/>
          <w:sz w:val="28"/>
          <w:szCs w:val="28"/>
        </w:rPr>
      </w:pPr>
      <w:r>
        <w:rPr>
          <w:rFonts w:hint="eastAsia" w:ascii="宋体" w:hAnsi="宋体"/>
          <w:sz w:val="28"/>
          <w:szCs w:val="28"/>
        </w:rPr>
        <w:t>备案证书有效期：</w:t>
      </w:r>
      <w:r>
        <w:rPr>
          <w:rFonts w:hint="eastAsia" w:ascii="宋体" w:hAnsi="宋体"/>
          <w:bCs/>
          <w:sz w:val="28"/>
          <w:szCs w:val="28"/>
        </w:rPr>
        <w:t>自2019年9月12日至2022年9月11日止</w:t>
      </w:r>
    </w:p>
    <w:p>
      <w:pPr>
        <w:spacing w:line="360" w:lineRule="auto"/>
        <w:ind w:firstLine="1050" w:firstLineChars="375"/>
        <w:rPr>
          <w:rFonts w:ascii="宋体"/>
          <w:sz w:val="28"/>
          <w:szCs w:val="28"/>
        </w:rPr>
      </w:pPr>
      <w:r>
        <w:rPr>
          <w:rFonts w:hint="eastAsia" w:ascii="宋体" w:hAnsi="宋体"/>
          <w:sz w:val="28"/>
          <w:szCs w:val="28"/>
        </w:rPr>
        <w:t>统一社会信用代码：</w:t>
      </w:r>
      <w:r>
        <w:rPr>
          <w:rFonts w:ascii="宋体" w:hAnsi="宋体"/>
          <w:sz w:val="28"/>
          <w:szCs w:val="28"/>
        </w:rPr>
        <w:t>91210300765423945M</w:t>
      </w:r>
    </w:p>
    <w:p>
      <w:pPr>
        <w:spacing w:line="360" w:lineRule="auto"/>
        <w:ind w:firstLine="1050" w:firstLineChars="375"/>
        <w:rPr>
          <w:rFonts w:ascii="宋体"/>
          <w:sz w:val="28"/>
          <w:szCs w:val="28"/>
        </w:rPr>
      </w:pPr>
      <w:r>
        <w:rPr>
          <w:rFonts w:hint="eastAsia" w:ascii="宋体" w:hAnsi="宋体"/>
          <w:sz w:val="28"/>
          <w:szCs w:val="28"/>
        </w:rPr>
        <w:t>办公地址：鞍山市铁东区南胜利路</w:t>
      </w:r>
      <w:r>
        <w:rPr>
          <w:rFonts w:ascii="宋体" w:hAnsi="宋体"/>
          <w:sz w:val="28"/>
          <w:szCs w:val="28"/>
        </w:rPr>
        <w:t>21</w:t>
      </w:r>
      <w:r>
        <w:rPr>
          <w:rFonts w:hint="eastAsia" w:ascii="宋体" w:hAnsi="宋体"/>
          <w:sz w:val="28"/>
          <w:szCs w:val="28"/>
        </w:rPr>
        <w:t>号万科东源大厦</w:t>
      </w:r>
      <w:r>
        <w:rPr>
          <w:rFonts w:ascii="宋体" w:hAnsi="宋体"/>
          <w:sz w:val="28"/>
          <w:szCs w:val="28"/>
        </w:rPr>
        <w:t>1201</w:t>
      </w:r>
      <w:r>
        <w:rPr>
          <w:rFonts w:hint="eastAsia" w:ascii="宋体" w:hAnsi="宋体"/>
          <w:sz w:val="28"/>
          <w:szCs w:val="28"/>
        </w:rPr>
        <w:t>室</w:t>
      </w:r>
    </w:p>
    <w:p>
      <w:pPr>
        <w:spacing w:line="360" w:lineRule="auto"/>
        <w:ind w:firstLine="1050" w:firstLineChars="375"/>
        <w:rPr>
          <w:rFonts w:ascii="宋体"/>
          <w:sz w:val="28"/>
          <w:szCs w:val="28"/>
        </w:rPr>
      </w:pPr>
      <w:r>
        <w:rPr>
          <w:rFonts w:hint="eastAsia" w:ascii="宋体" w:hAnsi="宋体"/>
          <w:sz w:val="28"/>
          <w:szCs w:val="28"/>
        </w:rPr>
        <w:t>办公电话：</w:t>
      </w:r>
      <w:r>
        <w:rPr>
          <w:rFonts w:ascii="宋体" w:hAnsi="宋体"/>
          <w:sz w:val="28"/>
          <w:szCs w:val="28"/>
        </w:rPr>
        <w:t>0412-2520126</w:t>
      </w:r>
    </w:p>
    <w:p>
      <w:pPr>
        <w:pStyle w:val="3"/>
        <w:spacing w:before="100" w:beforeAutospacing="1" w:after="100" w:afterAutospacing="1" w:line="360" w:lineRule="auto"/>
        <w:rPr>
          <w:rFonts w:ascii="宋体" w:eastAsia="宋体"/>
          <w:b w:val="0"/>
          <w:sz w:val="28"/>
          <w:szCs w:val="28"/>
        </w:rPr>
      </w:pPr>
      <w:bookmarkStart w:id="22" w:name="_Toc29869"/>
      <w:r>
        <w:rPr>
          <w:rFonts w:hint="eastAsia" w:ascii="宋体" w:hAnsi="宋体"/>
          <w:b w:val="0"/>
          <w:sz w:val="28"/>
          <w:szCs w:val="28"/>
        </w:rPr>
        <w:t>三、估价对象</w:t>
      </w:r>
      <w:bookmarkEnd w:id="22"/>
    </w:p>
    <w:p>
      <w:pPr>
        <w:spacing w:line="360" w:lineRule="auto"/>
        <w:ind w:firstLine="560" w:firstLineChars="200"/>
        <w:rPr>
          <w:rFonts w:hint="eastAsia" w:ascii="宋体" w:hAnsi="宋体"/>
          <w:sz w:val="28"/>
          <w:szCs w:val="28"/>
        </w:rPr>
      </w:pPr>
      <w:r>
        <w:rPr>
          <w:rFonts w:hint="eastAsia" w:ascii="宋体" w:hAnsi="宋体"/>
          <w:sz w:val="28"/>
          <w:szCs w:val="28"/>
        </w:rPr>
        <w:t>估价对象为位于</w:t>
      </w:r>
      <w:r>
        <w:rPr>
          <w:rFonts w:hint="eastAsia" w:ascii="宋体" w:hAnsi="宋体"/>
          <w:sz w:val="28"/>
          <w:szCs w:val="28"/>
          <w:highlight w:val="none"/>
          <w:lang w:eastAsia="zh-CN"/>
        </w:rPr>
        <w:t>鞍山市立山区灵山22所3-3-3-3</w:t>
      </w:r>
      <w:r>
        <w:rPr>
          <w:rFonts w:hint="eastAsia" w:ascii="宋体" w:hAnsi="宋体"/>
          <w:sz w:val="28"/>
          <w:szCs w:val="28"/>
        </w:rPr>
        <w:t>的房地产，基本情况如下：</w:t>
      </w:r>
    </w:p>
    <w:p>
      <w:pPr>
        <w:pStyle w:val="26"/>
        <w:spacing w:line="360" w:lineRule="auto"/>
        <w:ind w:firstLine="410"/>
        <w:rPr>
          <w:rFonts w:ascii="宋体" w:hAnsi="宋体" w:eastAsia="宋体"/>
          <w:sz w:val="28"/>
          <w:szCs w:val="28"/>
        </w:rPr>
      </w:pPr>
      <w:r>
        <w:rPr>
          <w:rFonts w:hint="eastAsia" w:ascii="宋体" w:hAnsi="宋体" w:eastAsia="宋体"/>
          <w:sz w:val="28"/>
          <w:szCs w:val="28"/>
        </w:rPr>
        <w:t>1.估价对象名称、范围及规模</w:t>
      </w:r>
    </w:p>
    <w:p>
      <w:pPr>
        <w:pStyle w:val="26"/>
        <w:spacing w:line="360" w:lineRule="auto"/>
        <w:ind w:firstLine="410"/>
        <w:rPr>
          <w:rFonts w:ascii="宋体" w:hAnsi="宋体" w:eastAsia="宋体"/>
          <w:sz w:val="28"/>
          <w:szCs w:val="28"/>
        </w:rPr>
      </w:pPr>
      <w:r>
        <w:rPr>
          <w:rFonts w:hint="eastAsia" w:ascii="宋体" w:hAnsi="宋体" w:eastAsia="宋体"/>
          <w:sz w:val="28"/>
          <w:szCs w:val="28"/>
        </w:rPr>
        <w:t xml:space="preserve">    估价对象名称：</w:t>
      </w:r>
      <w:r>
        <w:rPr>
          <w:rFonts w:hint="eastAsia" w:ascii="宋体" w:hAnsi="宋体" w:eastAsia="宋体"/>
          <w:sz w:val="28"/>
          <w:szCs w:val="28"/>
          <w:lang w:eastAsia="zh-CN"/>
        </w:rPr>
        <w:t>陈雅明</w:t>
      </w:r>
      <w:r>
        <w:rPr>
          <w:rFonts w:hint="eastAsia" w:ascii="宋体" w:hAnsi="宋体" w:eastAsia="宋体"/>
          <w:sz w:val="28"/>
          <w:szCs w:val="28"/>
        </w:rPr>
        <w:t>所属</w:t>
      </w:r>
      <w:r>
        <w:rPr>
          <w:rFonts w:hint="eastAsia" w:ascii="宋体" w:hAnsi="宋体" w:eastAsia="宋体"/>
          <w:sz w:val="28"/>
          <w:szCs w:val="28"/>
          <w:lang w:eastAsia="zh-CN"/>
        </w:rPr>
        <w:t>住宅</w:t>
      </w:r>
      <w:r>
        <w:rPr>
          <w:rFonts w:hint="eastAsia" w:ascii="宋体" w:hAnsi="宋体" w:eastAsia="宋体"/>
          <w:sz w:val="28"/>
          <w:szCs w:val="28"/>
        </w:rPr>
        <w:t>房地产；坐落：</w:t>
      </w:r>
      <w:r>
        <w:rPr>
          <w:rFonts w:hint="eastAsia" w:ascii="宋体" w:hAnsi="宋体" w:eastAsia="宋体"/>
          <w:sz w:val="28"/>
          <w:szCs w:val="28"/>
          <w:lang w:eastAsia="zh-CN"/>
        </w:rPr>
        <w:t>鞍山市立山区灵山22所3-3-3-3</w:t>
      </w:r>
      <w:r>
        <w:rPr>
          <w:rFonts w:hint="eastAsia" w:ascii="宋体" w:hAnsi="宋体" w:eastAsia="宋体"/>
          <w:sz w:val="28"/>
          <w:szCs w:val="28"/>
        </w:rPr>
        <w:t>；范围及规模：</w:t>
      </w:r>
      <w:r>
        <w:rPr>
          <w:rFonts w:hint="eastAsia" w:ascii="宋体" w:hAnsi="宋体" w:eastAsia="宋体"/>
          <w:sz w:val="28"/>
          <w:szCs w:val="28"/>
          <w:lang w:val="en-US" w:eastAsia="zh-CN"/>
        </w:rPr>
        <w:t>64.20</w:t>
      </w:r>
      <w:r>
        <w:rPr>
          <w:rFonts w:hint="eastAsia" w:ascii="宋体" w:hAnsi="宋体" w:eastAsia="宋体"/>
          <w:sz w:val="28"/>
          <w:szCs w:val="28"/>
        </w:rPr>
        <w:t>平方米</w:t>
      </w:r>
      <w:r>
        <w:rPr>
          <w:rFonts w:hint="eastAsia" w:ascii="宋体" w:hAnsi="宋体" w:eastAsia="宋体"/>
          <w:sz w:val="28"/>
          <w:szCs w:val="28"/>
          <w:lang w:eastAsia="zh-CN"/>
        </w:rPr>
        <w:t>住宅</w:t>
      </w:r>
      <w:r>
        <w:rPr>
          <w:rFonts w:hint="eastAsia" w:ascii="宋体" w:hAnsi="宋体" w:eastAsia="宋体"/>
          <w:sz w:val="28"/>
          <w:szCs w:val="28"/>
        </w:rPr>
        <w:t>房地产。</w:t>
      </w:r>
    </w:p>
    <w:p>
      <w:pPr>
        <w:pStyle w:val="26"/>
        <w:spacing w:line="360" w:lineRule="auto"/>
        <w:ind w:firstLine="410"/>
        <w:rPr>
          <w:rFonts w:ascii="宋体" w:hAnsi="宋体" w:eastAsia="宋体"/>
          <w:sz w:val="28"/>
          <w:szCs w:val="28"/>
        </w:rPr>
      </w:pPr>
      <w:r>
        <w:rPr>
          <w:rFonts w:hint="eastAsia" w:ascii="宋体" w:hAnsi="宋体" w:eastAsia="宋体"/>
          <w:sz w:val="28"/>
          <w:szCs w:val="28"/>
        </w:rPr>
        <w:t>2.估价对象区位状况</w:t>
      </w:r>
    </w:p>
    <w:p>
      <w:pPr>
        <w:tabs>
          <w:tab w:val="left" w:pos="5018"/>
          <w:tab w:val="left" w:pos="5211"/>
        </w:tabs>
        <w:spacing w:line="360" w:lineRule="auto"/>
        <w:ind w:left="-277" w:leftChars="-132" w:right="227" w:firstLine="700" w:firstLineChars="250"/>
        <w:rPr>
          <w:rFonts w:ascii="宋体" w:hAnsi="宋体"/>
          <w:sz w:val="28"/>
          <w:szCs w:val="28"/>
        </w:rPr>
      </w:pPr>
      <w:r>
        <w:rPr>
          <w:rFonts w:hint="eastAsia" w:ascii="宋体" w:hAnsi="宋体"/>
          <w:sz w:val="28"/>
          <w:szCs w:val="28"/>
        </w:rPr>
        <w:t>估价对象位于</w:t>
      </w:r>
      <w:r>
        <w:rPr>
          <w:rFonts w:hint="eastAsia" w:ascii="宋体" w:hAnsi="宋体"/>
          <w:sz w:val="28"/>
          <w:szCs w:val="28"/>
          <w:lang w:eastAsia="zh-CN"/>
        </w:rPr>
        <w:t>鞍山市立山区灵山22所3-3-3-3</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估价对象房屋朝向：</w:t>
      </w:r>
      <w:r>
        <w:rPr>
          <w:rFonts w:hint="eastAsia" w:ascii="宋体" w:hAnsi="宋体"/>
          <w:sz w:val="28"/>
          <w:szCs w:val="28"/>
          <w:lang w:eastAsia="zh-CN"/>
        </w:rPr>
        <w:t>南北朝向</w:t>
      </w:r>
      <w:r>
        <w:rPr>
          <w:rFonts w:hint="eastAsia" w:ascii="宋体" w:hAnsi="宋体"/>
          <w:sz w:val="28"/>
          <w:szCs w:val="28"/>
        </w:rPr>
        <w:t>。</w:t>
      </w:r>
    </w:p>
    <w:p>
      <w:pPr>
        <w:tabs>
          <w:tab w:val="left" w:pos="5018"/>
          <w:tab w:val="left" w:pos="5211"/>
        </w:tabs>
        <w:spacing w:line="360" w:lineRule="auto"/>
        <w:ind w:left="-277" w:leftChars="-132" w:right="227" w:firstLine="700" w:firstLineChars="250"/>
        <w:rPr>
          <w:rFonts w:ascii="宋体"/>
          <w:sz w:val="28"/>
          <w:szCs w:val="28"/>
          <w:highlight w:val="none"/>
        </w:rPr>
      </w:pPr>
      <w:r>
        <w:rPr>
          <w:rFonts w:hint="eastAsia" w:ascii="宋体" w:hAnsi="宋体"/>
          <w:sz w:val="28"/>
          <w:szCs w:val="28"/>
          <w:highlight w:val="none"/>
        </w:rPr>
        <w:t>估价对象所在宗地四至：</w:t>
      </w:r>
      <w:r>
        <w:rPr>
          <w:rFonts w:hint="eastAsia" w:ascii="宋体" w:hAnsi="宋体"/>
          <w:sz w:val="28"/>
          <w:szCs w:val="28"/>
          <w:highlight w:val="none"/>
          <w:lang w:bidi="ar"/>
        </w:rPr>
        <w:t>东临</w:t>
      </w:r>
      <w:r>
        <w:rPr>
          <w:rFonts w:hint="eastAsia" w:ascii="宋体" w:hAnsi="宋体"/>
          <w:sz w:val="28"/>
          <w:szCs w:val="28"/>
          <w:highlight w:val="none"/>
          <w:lang w:eastAsia="zh-CN" w:bidi="ar"/>
        </w:rPr>
        <w:t>道路</w:t>
      </w:r>
      <w:r>
        <w:rPr>
          <w:rFonts w:hint="eastAsia" w:ascii="宋体" w:hAnsi="宋体"/>
          <w:sz w:val="28"/>
          <w:szCs w:val="28"/>
          <w:highlight w:val="none"/>
          <w:lang w:bidi="ar"/>
        </w:rPr>
        <w:t>；南临</w:t>
      </w:r>
      <w:r>
        <w:rPr>
          <w:rFonts w:hint="eastAsia" w:ascii="宋体" w:hAnsi="宋体"/>
          <w:sz w:val="28"/>
          <w:szCs w:val="28"/>
          <w:highlight w:val="none"/>
          <w:lang w:eastAsia="zh-CN" w:bidi="ar"/>
        </w:rPr>
        <w:t>住宅</w:t>
      </w:r>
      <w:r>
        <w:rPr>
          <w:rFonts w:hint="eastAsia" w:ascii="宋体" w:hAnsi="宋体"/>
          <w:sz w:val="28"/>
          <w:szCs w:val="28"/>
          <w:highlight w:val="none"/>
          <w:lang w:bidi="ar"/>
        </w:rPr>
        <w:t>；西临</w:t>
      </w:r>
      <w:r>
        <w:rPr>
          <w:rFonts w:hint="eastAsia" w:ascii="宋体" w:hAnsi="宋体"/>
          <w:sz w:val="28"/>
          <w:szCs w:val="28"/>
          <w:highlight w:val="none"/>
          <w:lang w:eastAsia="zh-CN" w:bidi="ar"/>
        </w:rPr>
        <w:t>住宅</w:t>
      </w:r>
      <w:r>
        <w:rPr>
          <w:rFonts w:hint="eastAsia" w:ascii="宋体" w:hAnsi="宋体"/>
          <w:sz w:val="28"/>
          <w:szCs w:val="28"/>
          <w:highlight w:val="none"/>
          <w:lang w:bidi="ar"/>
        </w:rPr>
        <w:t>；北临</w:t>
      </w:r>
      <w:r>
        <w:rPr>
          <w:rFonts w:hint="eastAsia" w:ascii="宋体" w:hAnsi="宋体"/>
          <w:sz w:val="28"/>
          <w:szCs w:val="28"/>
          <w:highlight w:val="none"/>
          <w:lang w:eastAsia="zh-CN" w:bidi="ar"/>
        </w:rPr>
        <w:t>住宅</w:t>
      </w:r>
      <w:r>
        <w:rPr>
          <w:rFonts w:hint="eastAsia" w:ascii="宋体" w:hAnsi="宋体"/>
          <w:sz w:val="28"/>
          <w:szCs w:val="28"/>
          <w:highlight w:val="none"/>
        </w:rPr>
        <w:t>。</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交通状况：附近有</w:t>
      </w:r>
      <w:r>
        <w:rPr>
          <w:rFonts w:hint="eastAsia" w:ascii="宋体" w:hAnsi="宋体"/>
          <w:sz w:val="28"/>
          <w:szCs w:val="28"/>
          <w:lang w:eastAsia="zh-CN"/>
        </w:rPr>
        <w:t>胜利北</w:t>
      </w:r>
      <w:r>
        <w:rPr>
          <w:rFonts w:hint="eastAsia" w:ascii="宋体" w:hAnsi="宋体"/>
          <w:sz w:val="28"/>
          <w:szCs w:val="28"/>
        </w:rPr>
        <w:t>路等主干道，道路通达性较好，有</w:t>
      </w:r>
      <w:r>
        <w:rPr>
          <w:rFonts w:hint="eastAsia" w:ascii="宋体" w:hAnsi="宋体"/>
          <w:sz w:val="28"/>
          <w:szCs w:val="28"/>
          <w:lang w:val="en-US" w:eastAsia="zh-CN"/>
        </w:rPr>
        <w:t>77</w:t>
      </w:r>
      <w:r>
        <w:rPr>
          <w:rFonts w:hint="eastAsia" w:ascii="宋体" w:hAnsi="宋体"/>
          <w:sz w:val="28"/>
          <w:szCs w:val="28"/>
        </w:rPr>
        <w:t>路、</w:t>
      </w:r>
      <w:r>
        <w:rPr>
          <w:rFonts w:hint="eastAsia" w:ascii="宋体" w:hAnsi="宋体"/>
          <w:sz w:val="28"/>
          <w:szCs w:val="28"/>
          <w:lang w:val="en-US" w:eastAsia="zh-CN"/>
        </w:rPr>
        <w:t>11</w:t>
      </w:r>
      <w:r>
        <w:rPr>
          <w:rFonts w:hint="eastAsia" w:ascii="宋体" w:hAnsi="宋体"/>
          <w:sz w:val="28"/>
          <w:szCs w:val="28"/>
        </w:rPr>
        <w:t>路等公交站点，出入较便利；</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所在区域基础设施状况：基础配套设施已达到</w:t>
      </w:r>
      <w:r>
        <w:rPr>
          <w:rFonts w:ascii="宋体" w:hAnsi="宋体"/>
          <w:sz w:val="28"/>
          <w:szCs w:val="28"/>
        </w:rPr>
        <w:t xml:space="preserve"> </w:t>
      </w:r>
      <w:r>
        <w:rPr>
          <w:rFonts w:hint="eastAsia" w:ascii="宋体" w:hAnsi="宋体"/>
          <w:sz w:val="28"/>
          <w:szCs w:val="28"/>
        </w:rPr>
        <w:t>“七通”（即：通电、通上、下水、通路、通讯、通暖、通煤气）。</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生活服务设施：附近有超市、银行网点、学校、医院等生活服务设施。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环境状况：估价对象所在区域为</w:t>
      </w:r>
      <w:r>
        <w:rPr>
          <w:rFonts w:hint="eastAsia" w:ascii="宋体" w:hAnsi="宋体"/>
          <w:sz w:val="28"/>
          <w:szCs w:val="28"/>
          <w:lang w:eastAsia="zh-CN"/>
        </w:rPr>
        <w:t>立山</w:t>
      </w:r>
      <w:r>
        <w:rPr>
          <w:rFonts w:hint="eastAsia" w:ascii="宋体" w:hAnsi="宋体"/>
          <w:sz w:val="28"/>
          <w:szCs w:val="28"/>
        </w:rPr>
        <w:t>区，空气、噪音污染较少，整体环境状况较好。</w:t>
      </w:r>
    </w:p>
    <w:p>
      <w:pPr>
        <w:tabs>
          <w:tab w:val="left" w:pos="5018"/>
          <w:tab w:val="left" w:pos="5211"/>
        </w:tabs>
        <w:spacing w:line="360" w:lineRule="auto"/>
        <w:ind w:left="-277" w:leftChars="-132" w:right="227" w:firstLine="700" w:firstLineChars="250"/>
        <w:rPr>
          <w:rFonts w:ascii="宋体"/>
          <w:sz w:val="28"/>
          <w:szCs w:val="28"/>
        </w:rPr>
      </w:pPr>
      <w:r>
        <w:rPr>
          <w:rFonts w:hint="eastAsia" w:ascii="宋体" w:hAnsi="宋体"/>
          <w:sz w:val="28"/>
          <w:szCs w:val="28"/>
        </w:rPr>
        <w:t>产业聚集度：所在区域为住宅区。</w:t>
      </w:r>
    </w:p>
    <w:p>
      <w:pPr>
        <w:spacing w:line="360" w:lineRule="auto"/>
        <w:ind w:firstLine="560" w:firstLineChars="200"/>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估价对象权益状况</w:t>
      </w:r>
    </w:p>
    <w:p>
      <w:pPr>
        <w:spacing w:line="360" w:lineRule="auto"/>
        <w:ind w:firstLine="560" w:firstLineChars="200"/>
        <w:rPr>
          <w:rFonts w:ascii="宋体" w:hAnsi="宋体"/>
          <w:sz w:val="28"/>
          <w:szCs w:val="28"/>
        </w:rPr>
      </w:pPr>
      <w:r>
        <w:rPr>
          <w:rFonts w:hint="eastAsia" w:ascii="宋体" w:hAnsi="宋体"/>
          <w:sz w:val="28"/>
          <w:szCs w:val="28"/>
          <w:lang w:eastAsia="zh-CN"/>
        </w:rPr>
        <w:t>房屋所有权证</w:t>
      </w:r>
      <w:r>
        <w:rPr>
          <w:rFonts w:hint="eastAsia" w:ascii="宋体" w:hAnsi="宋体"/>
          <w:sz w:val="28"/>
          <w:szCs w:val="28"/>
        </w:rPr>
        <w:t>号：</w:t>
      </w:r>
      <w:r>
        <w:rPr>
          <w:rFonts w:hint="eastAsia" w:ascii="宋体" w:hAnsi="宋体"/>
          <w:sz w:val="28"/>
          <w:szCs w:val="28"/>
          <w:highlight w:val="none"/>
          <w:lang w:eastAsia="zh-CN"/>
        </w:rPr>
        <w:t>鞍房权证立山字第</w:t>
      </w:r>
      <w:r>
        <w:rPr>
          <w:rFonts w:hint="eastAsia" w:ascii="宋体" w:hAnsi="宋体"/>
          <w:sz w:val="28"/>
          <w:szCs w:val="28"/>
          <w:highlight w:val="none"/>
          <w:lang w:val="en-US" w:eastAsia="zh-CN"/>
        </w:rPr>
        <w:t>201210150283</w:t>
      </w:r>
      <w:r>
        <w:rPr>
          <w:rFonts w:hint="eastAsia" w:ascii="宋体" w:hAnsi="宋体"/>
          <w:sz w:val="28"/>
          <w:szCs w:val="28"/>
          <w:highlight w:val="none"/>
          <w:lang w:eastAsia="zh-CN"/>
        </w:rPr>
        <w:t>号</w:t>
      </w:r>
      <w:r>
        <w:rPr>
          <w:rFonts w:hint="eastAsia" w:ascii="宋体" w:hAnsi="宋体"/>
          <w:sz w:val="28"/>
          <w:szCs w:val="28"/>
        </w:rPr>
        <w:t>，产籍号：</w:t>
      </w:r>
      <w:r>
        <w:rPr>
          <w:rFonts w:hint="eastAsia" w:ascii="宋体" w:hAnsi="宋体"/>
          <w:sz w:val="28"/>
          <w:szCs w:val="28"/>
          <w:lang w:eastAsia="zh-CN"/>
        </w:rPr>
        <w:t>3-</w:t>
      </w:r>
      <w:r>
        <w:rPr>
          <w:rFonts w:hint="eastAsia" w:ascii="宋体" w:hAnsi="宋体"/>
          <w:sz w:val="28"/>
          <w:szCs w:val="28"/>
          <w:lang w:val="en-US" w:eastAsia="zh-CN"/>
        </w:rPr>
        <w:t>88-221-3033</w:t>
      </w:r>
      <w:r>
        <w:rPr>
          <w:rFonts w:hint="eastAsia" w:ascii="宋体" w:hAnsi="宋体"/>
          <w:sz w:val="28"/>
          <w:szCs w:val="28"/>
        </w:rPr>
        <w:t>号；</w:t>
      </w:r>
    </w:p>
    <w:p>
      <w:pPr>
        <w:spacing w:line="360" w:lineRule="auto"/>
        <w:ind w:firstLine="560" w:firstLineChars="200"/>
        <w:rPr>
          <w:rFonts w:ascii="宋体" w:hAnsi="宋体"/>
          <w:bCs/>
          <w:sz w:val="28"/>
          <w:szCs w:val="28"/>
          <w:highlight w:val="none"/>
        </w:rPr>
      </w:pPr>
      <w:r>
        <w:rPr>
          <w:rFonts w:hint="eastAsia" w:ascii="宋体" w:hAnsi="宋体"/>
          <w:sz w:val="28"/>
          <w:szCs w:val="28"/>
          <w:highlight w:val="none"/>
        </w:rPr>
        <w:t>权利人：</w:t>
      </w:r>
      <w:r>
        <w:rPr>
          <w:rFonts w:hint="eastAsia" w:ascii="宋体" w:hAnsi="宋体"/>
          <w:bCs/>
          <w:sz w:val="28"/>
          <w:szCs w:val="28"/>
          <w:highlight w:val="none"/>
          <w:lang w:eastAsia="zh-CN"/>
        </w:rPr>
        <w:t>陈雅明</w:t>
      </w:r>
      <w:r>
        <w:rPr>
          <w:rFonts w:hint="eastAsia" w:ascii="宋体" w:hAnsi="宋体"/>
          <w:bCs/>
          <w:sz w:val="28"/>
          <w:szCs w:val="28"/>
          <w:highlight w:val="none"/>
        </w:rPr>
        <w:t>；</w:t>
      </w:r>
    </w:p>
    <w:p>
      <w:pPr>
        <w:spacing w:line="360" w:lineRule="auto"/>
        <w:ind w:firstLine="560" w:firstLineChars="200"/>
        <w:rPr>
          <w:rFonts w:ascii="宋体" w:hAnsi="宋体"/>
          <w:bCs/>
          <w:sz w:val="28"/>
          <w:szCs w:val="28"/>
          <w:highlight w:val="none"/>
        </w:rPr>
      </w:pPr>
      <w:r>
        <w:rPr>
          <w:rFonts w:hint="eastAsia" w:ascii="宋体" w:hAnsi="宋体"/>
          <w:bCs/>
          <w:sz w:val="28"/>
          <w:szCs w:val="28"/>
          <w:highlight w:val="none"/>
        </w:rPr>
        <w:t>共有情况：</w:t>
      </w:r>
      <w:r>
        <w:rPr>
          <w:rFonts w:hint="eastAsia" w:ascii="宋体" w:hAnsi="宋体"/>
          <w:bCs/>
          <w:sz w:val="28"/>
          <w:szCs w:val="28"/>
          <w:highlight w:val="none"/>
          <w:lang w:eastAsia="zh-CN"/>
        </w:rPr>
        <w:t>单独所有</w:t>
      </w:r>
      <w:r>
        <w:rPr>
          <w:rFonts w:hint="eastAsia" w:ascii="宋体" w:hAnsi="宋体"/>
          <w:bCs/>
          <w:sz w:val="28"/>
          <w:szCs w:val="28"/>
          <w:highlight w:val="none"/>
        </w:rPr>
        <w:t>；</w:t>
      </w:r>
    </w:p>
    <w:p>
      <w:pPr>
        <w:spacing w:line="360" w:lineRule="auto"/>
        <w:ind w:firstLine="560" w:firstLineChars="200"/>
        <w:rPr>
          <w:rFonts w:ascii="宋体" w:hAnsi="宋体"/>
          <w:sz w:val="28"/>
          <w:szCs w:val="28"/>
        </w:rPr>
      </w:pPr>
      <w:r>
        <w:rPr>
          <w:rFonts w:hint="eastAsia" w:ascii="宋体" w:hAnsi="宋体"/>
          <w:bCs/>
          <w:sz w:val="28"/>
          <w:szCs w:val="28"/>
          <w:highlight w:val="none"/>
        </w:rPr>
        <w:t>坐落：</w:t>
      </w:r>
      <w:r>
        <w:rPr>
          <w:rFonts w:hint="eastAsia" w:ascii="宋体" w:hAnsi="宋体"/>
          <w:sz w:val="28"/>
          <w:szCs w:val="28"/>
          <w:highlight w:val="none"/>
          <w:lang w:eastAsia="zh-CN"/>
        </w:rPr>
        <w:t>鞍山市立山区灵山22所3-3-3-3</w:t>
      </w:r>
      <w:r>
        <w:rPr>
          <w:rFonts w:hint="eastAsia" w:ascii="宋体" w:hAnsi="宋体"/>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用途：</w:t>
      </w:r>
      <w:r>
        <w:rPr>
          <w:rFonts w:hint="eastAsia" w:ascii="宋体" w:hAnsi="宋体"/>
          <w:bCs/>
          <w:sz w:val="28"/>
          <w:szCs w:val="28"/>
          <w:lang w:eastAsia="zh-CN"/>
        </w:rPr>
        <w:t>住宅</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sz w:val="28"/>
          <w:szCs w:val="28"/>
        </w:rPr>
        <w:t>4.估价对象实物状况</w:t>
      </w:r>
    </w:p>
    <w:p>
      <w:pPr>
        <w:spacing w:line="360" w:lineRule="auto"/>
        <w:ind w:firstLine="560" w:firstLineChars="200"/>
        <w:rPr>
          <w:rFonts w:ascii="宋体" w:hAnsi="宋体"/>
          <w:bCs/>
          <w:sz w:val="28"/>
          <w:szCs w:val="28"/>
        </w:rPr>
      </w:pPr>
      <w:r>
        <w:rPr>
          <w:rFonts w:hint="eastAsia" w:ascii="宋体" w:hAnsi="宋体"/>
          <w:bCs/>
          <w:sz w:val="28"/>
          <w:szCs w:val="28"/>
        </w:rPr>
        <w:t>建筑面积：</w:t>
      </w:r>
      <w:r>
        <w:rPr>
          <w:rFonts w:hint="eastAsia" w:ascii="宋体" w:hAnsi="宋体"/>
          <w:sz w:val="28"/>
          <w:szCs w:val="28"/>
          <w:lang w:eastAsia="zh-CN"/>
        </w:rPr>
        <w:t>64.20</w:t>
      </w:r>
      <w:r>
        <w:rPr>
          <w:rFonts w:hint="eastAsia" w:ascii="宋体" w:hAnsi="宋体"/>
          <w:bCs/>
          <w:sz w:val="28"/>
          <w:szCs w:val="28"/>
        </w:rPr>
        <w:t>平方米。</w:t>
      </w:r>
    </w:p>
    <w:p>
      <w:pPr>
        <w:spacing w:line="360" w:lineRule="auto"/>
        <w:ind w:firstLine="560" w:firstLineChars="200"/>
        <w:rPr>
          <w:rFonts w:ascii="宋体" w:hAnsi="宋体"/>
          <w:bCs/>
          <w:sz w:val="28"/>
          <w:szCs w:val="28"/>
        </w:rPr>
      </w:pPr>
      <w:r>
        <w:rPr>
          <w:rFonts w:hint="eastAsia" w:ascii="宋体" w:hAnsi="宋体"/>
          <w:bCs/>
          <w:sz w:val="28"/>
          <w:szCs w:val="28"/>
        </w:rPr>
        <w:t>建成时间：</w:t>
      </w:r>
      <w:r>
        <w:rPr>
          <w:rFonts w:hint="eastAsia" w:ascii="宋体" w:hAnsi="宋体"/>
          <w:bCs/>
          <w:sz w:val="28"/>
          <w:szCs w:val="28"/>
          <w:lang w:val="en-US" w:eastAsia="zh-CN"/>
        </w:rPr>
        <w:t>1996</w:t>
      </w:r>
      <w:r>
        <w:rPr>
          <w:rFonts w:hint="eastAsia" w:ascii="宋体" w:hAnsi="宋体"/>
          <w:bCs/>
          <w:sz w:val="28"/>
          <w:szCs w:val="28"/>
        </w:rPr>
        <w:t>年。</w:t>
      </w:r>
    </w:p>
    <w:p>
      <w:pPr>
        <w:spacing w:line="360" w:lineRule="auto"/>
        <w:ind w:firstLine="560" w:firstLineChars="200"/>
        <w:rPr>
          <w:rFonts w:ascii="宋体" w:hAnsi="宋体"/>
          <w:bCs/>
          <w:sz w:val="28"/>
          <w:szCs w:val="28"/>
        </w:rPr>
      </w:pPr>
      <w:r>
        <w:rPr>
          <w:rFonts w:hint="eastAsia" w:ascii="宋体" w:hAnsi="宋体"/>
          <w:bCs/>
          <w:sz w:val="28"/>
          <w:szCs w:val="28"/>
        </w:rPr>
        <w:t>建筑结构：钢筋混凝土结构。</w:t>
      </w:r>
    </w:p>
    <w:p>
      <w:pPr>
        <w:spacing w:line="360" w:lineRule="auto"/>
        <w:ind w:firstLine="560" w:firstLineChars="200"/>
        <w:rPr>
          <w:rFonts w:ascii="宋体" w:hAnsi="宋体"/>
          <w:bCs/>
          <w:sz w:val="28"/>
          <w:szCs w:val="28"/>
        </w:rPr>
      </w:pPr>
      <w:r>
        <w:rPr>
          <w:rFonts w:hint="eastAsia" w:ascii="宋体" w:hAnsi="宋体"/>
          <w:bCs/>
          <w:sz w:val="28"/>
          <w:szCs w:val="28"/>
        </w:rPr>
        <w:t>总层数：</w:t>
      </w:r>
      <w:r>
        <w:rPr>
          <w:rFonts w:hint="eastAsia" w:ascii="宋体" w:hAnsi="宋体"/>
          <w:sz w:val="28"/>
          <w:szCs w:val="28"/>
          <w:lang w:val="en-US" w:eastAsia="zh-CN"/>
        </w:rPr>
        <w:t>6</w:t>
      </w:r>
      <w:r>
        <w:rPr>
          <w:rFonts w:hint="eastAsia" w:ascii="宋体" w:hAnsi="宋体"/>
          <w:sz w:val="28"/>
          <w:szCs w:val="28"/>
        </w:rPr>
        <w:t>层。估价对象所在层数为</w:t>
      </w:r>
      <w:r>
        <w:rPr>
          <w:rFonts w:hint="eastAsia" w:ascii="宋体" w:hAnsi="宋体"/>
          <w:sz w:val="28"/>
          <w:szCs w:val="28"/>
          <w:highlight w:val="none"/>
          <w:lang w:val="en-US" w:eastAsia="zh-CN"/>
        </w:rPr>
        <w:t>3</w:t>
      </w:r>
      <w:r>
        <w:rPr>
          <w:rFonts w:hint="eastAsia" w:ascii="宋体" w:hAnsi="宋体"/>
          <w:sz w:val="28"/>
          <w:szCs w:val="28"/>
        </w:rPr>
        <w:t>层</w:t>
      </w:r>
      <w:r>
        <w:rPr>
          <w:rFonts w:hint="eastAsia" w:ascii="宋体" w:hAnsi="宋体"/>
          <w:bCs/>
          <w:sz w:val="28"/>
          <w:szCs w:val="28"/>
        </w:rPr>
        <w:t>。</w:t>
      </w:r>
    </w:p>
    <w:p>
      <w:pPr>
        <w:spacing w:line="360" w:lineRule="auto"/>
        <w:ind w:firstLine="560" w:firstLineChars="200"/>
        <w:rPr>
          <w:rFonts w:ascii="宋体" w:hAnsi="宋体"/>
          <w:bCs/>
          <w:sz w:val="28"/>
          <w:szCs w:val="28"/>
        </w:rPr>
      </w:pPr>
      <w:r>
        <w:rPr>
          <w:rFonts w:hint="eastAsia" w:ascii="宋体" w:hAnsi="宋体"/>
          <w:bCs/>
          <w:sz w:val="28"/>
          <w:szCs w:val="28"/>
        </w:rPr>
        <w:t>设施设备：有上、下水、供暖、通电等。</w:t>
      </w:r>
    </w:p>
    <w:p>
      <w:pPr>
        <w:spacing w:line="360" w:lineRule="auto"/>
        <w:ind w:firstLine="560" w:firstLineChars="200"/>
        <w:rPr>
          <w:rFonts w:ascii="宋体" w:hAnsi="宋体"/>
          <w:bCs/>
          <w:sz w:val="28"/>
          <w:szCs w:val="28"/>
        </w:rPr>
      </w:pPr>
      <w:r>
        <w:rPr>
          <w:rFonts w:hint="eastAsia" w:ascii="宋体" w:hAnsi="宋体"/>
          <w:bCs/>
          <w:sz w:val="28"/>
          <w:szCs w:val="28"/>
        </w:rPr>
        <w:t>装饰装修：</w:t>
      </w:r>
      <w:r>
        <w:rPr>
          <w:rFonts w:hint="eastAsia" w:ascii="宋体" w:hAnsi="宋体"/>
          <w:bCs/>
          <w:sz w:val="28"/>
          <w:szCs w:val="28"/>
          <w:lang w:eastAsia="zh-CN"/>
        </w:rPr>
        <w:t>建筑</w:t>
      </w:r>
      <w:r>
        <w:rPr>
          <w:rFonts w:hint="eastAsia" w:ascii="宋体" w:hAnsi="宋体"/>
          <w:bCs/>
          <w:sz w:val="28"/>
          <w:szCs w:val="28"/>
        </w:rPr>
        <w:t>外墙</w:t>
      </w:r>
      <w:r>
        <w:rPr>
          <w:rFonts w:hint="eastAsia" w:ascii="宋体" w:hAnsi="宋体"/>
          <w:bCs/>
          <w:sz w:val="28"/>
          <w:szCs w:val="28"/>
          <w:lang w:eastAsia="zh-CN"/>
        </w:rPr>
        <w:t>面涂料</w:t>
      </w:r>
      <w:r>
        <w:rPr>
          <w:rFonts w:hint="eastAsia" w:ascii="宋体" w:hAnsi="宋体"/>
          <w:bCs/>
          <w:sz w:val="28"/>
          <w:szCs w:val="28"/>
        </w:rPr>
        <w:t>；</w:t>
      </w:r>
      <w:r>
        <w:rPr>
          <w:rFonts w:hint="eastAsia" w:ascii="宋体" w:hAnsi="宋体"/>
          <w:bCs/>
          <w:sz w:val="28"/>
          <w:szCs w:val="28"/>
          <w:lang w:eastAsia="zh-CN"/>
        </w:rPr>
        <w:t>入户双层门，外面为铁门，里面为木质门；南北卧室均为地板地面，大白墙面；客厅为地板胶地面，大白墙面；北侧厨房为瓷砖地面，墙面</w:t>
      </w:r>
      <w:r>
        <w:rPr>
          <w:rFonts w:hint="eastAsia" w:ascii="宋体" w:hAnsi="宋体"/>
          <w:bCs/>
          <w:sz w:val="28"/>
          <w:szCs w:val="28"/>
          <w:lang w:val="en-US" w:eastAsia="zh-CN"/>
        </w:rPr>
        <w:t>1.1米以下为瓷砖，其余为大白墙面；北侧卫生间为瓷砖地面，墙面1.7米以下为瓷砖，其余为大白墙面。</w:t>
      </w:r>
    </w:p>
    <w:p>
      <w:pPr>
        <w:spacing w:line="360" w:lineRule="auto"/>
        <w:ind w:firstLine="560" w:firstLineChars="200"/>
        <w:rPr>
          <w:rFonts w:ascii="宋体" w:hAnsi="宋体"/>
          <w:bCs/>
          <w:sz w:val="28"/>
          <w:szCs w:val="28"/>
        </w:rPr>
      </w:pPr>
      <w:r>
        <w:rPr>
          <w:rFonts w:hint="eastAsia" w:ascii="宋体" w:hAnsi="宋体"/>
          <w:bCs/>
          <w:sz w:val="28"/>
          <w:szCs w:val="28"/>
        </w:rPr>
        <w:t>维护状况：估价对象棚壁</w:t>
      </w:r>
      <w:r>
        <w:rPr>
          <w:rFonts w:hint="eastAsia" w:ascii="宋体" w:hAnsi="宋体"/>
          <w:bCs/>
          <w:sz w:val="28"/>
          <w:szCs w:val="28"/>
          <w:lang w:eastAsia="zh-CN"/>
        </w:rPr>
        <w:t>及橱柜存在</w:t>
      </w:r>
      <w:r>
        <w:rPr>
          <w:rFonts w:hint="eastAsia" w:ascii="宋体" w:hAnsi="宋体"/>
          <w:bCs/>
          <w:sz w:val="28"/>
          <w:szCs w:val="28"/>
        </w:rPr>
        <w:t>破损，维护状况</w:t>
      </w:r>
      <w:r>
        <w:rPr>
          <w:rFonts w:hint="eastAsia" w:ascii="宋体" w:hAnsi="宋体"/>
          <w:bCs/>
          <w:sz w:val="28"/>
          <w:szCs w:val="28"/>
          <w:lang w:eastAsia="zh-CN"/>
        </w:rPr>
        <w:t>一般</w:t>
      </w:r>
      <w:r>
        <w:rPr>
          <w:rFonts w:hint="eastAsia" w:ascii="宋体" w:hAnsi="宋体"/>
          <w:bCs/>
          <w:sz w:val="28"/>
          <w:szCs w:val="28"/>
        </w:rPr>
        <w:t>。</w:t>
      </w:r>
    </w:p>
    <w:p>
      <w:pPr>
        <w:pStyle w:val="3"/>
        <w:spacing w:before="100" w:beforeAutospacing="1" w:after="100" w:afterAutospacing="1" w:line="360" w:lineRule="auto"/>
        <w:rPr>
          <w:rFonts w:ascii="宋体" w:hAnsi="宋体" w:eastAsia="宋体"/>
          <w:sz w:val="28"/>
          <w:szCs w:val="28"/>
        </w:rPr>
      </w:pPr>
      <w:bookmarkStart w:id="23" w:name="_Toc11185"/>
      <w:r>
        <w:rPr>
          <w:rFonts w:hint="eastAsia" w:ascii="宋体" w:hAnsi="宋体" w:eastAsia="宋体"/>
          <w:sz w:val="28"/>
          <w:szCs w:val="28"/>
        </w:rPr>
        <w:t>四、估价目的</w:t>
      </w:r>
      <w:bookmarkEnd w:id="23"/>
    </w:p>
    <w:p>
      <w:pPr>
        <w:spacing w:before="100" w:beforeAutospacing="1" w:after="100" w:afterAutospacing="1" w:line="360" w:lineRule="auto"/>
        <w:ind w:firstLine="560" w:firstLineChars="200"/>
        <w:rPr>
          <w:rFonts w:ascii="宋体"/>
          <w:sz w:val="28"/>
          <w:szCs w:val="28"/>
        </w:rPr>
      </w:pPr>
      <w:r>
        <w:rPr>
          <w:rFonts w:hint="eastAsia" w:ascii="宋体" w:hAnsi="宋体"/>
          <w:sz w:val="28"/>
          <w:szCs w:val="28"/>
        </w:rPr>
        <w:t>为委托方解决案件纠纷提供价值依据而评估</w:t>
      </w:r>
      <w:r>
        <w:rPr>
          <w:rFonts w:hint="eastAsia" w:ascii="宋体" w:hAnsi="宋体"/>
          <w:color w:val="000000"/>
          <w:sz w:val="28"/>
          <w:szCs w:val="28"/>
        </w:rPr>
        <w:t>房地产市场价值</w:t>
      </w:r>
      <w:r>
        <w:rPr>
          <w:rFonts w:hint="eastAsia" w:ascii="宋体" w:hAnsi="宋体"/>
          <w:sz w:val="28"/>
          <w:szCs w:val="28"/>
        </w:rPr>
        <w:t>。</w:t>
      </w:r>
    </w:p>
    <w:p>
      <w:pPr>
        <w:pStyle w:val="3"/>
        <w:spacing w:before="100" w:beforeAutospacing="1" w:after="100" w:afterAutospacing="1" w:line="360" w:lineRule="auto"/>
        <w:rPr>
          <w:rFonts w:ascii="宋体" w:eastAsia="宋体"/>
          <w:b w:val="0"/>
          <w:bCs w:val="0"/>
          <w:sz w:val="28"/>
          <w:szCs w:val="28"/>
        </w:rPr>
      </w:pPr>
      <w:bookmarkStart w:id="24" w:name="_Toc30189"/>
      <w:r>
        <w:rPr>
          <w:rFonts w:hint="eastAsia" w:ascii="宋体" w:hAnsi="宋体"/>
          <w:b w:val="0"/>
          <w:bCs w:val="0"/>
          <w:sz w:val="28"/>
          <w:szCs w:val="28"/>
        </w:rPr>
        <w:t>五、价值时点</w:t>
      </w:r>
      <w:bookmarkEnd w:id="24"/>
    </w:p>
    <w:p>
      <w:pPr>
        <w:spacing w:before="100" w:beforeAutospacing="1" w:after="100" w:afterAutospacing="1" w:line="360" w:lineRule="auto"/>
        <w:ind w:firstLine="560" w:firstLineChars="200"/>
        <w:rPr>
          <w:rFonts w:ascii="宋体"/>
          <w:sz w:val="28"/>
          <w:szCs w:val="28"/>
        </w:rPr>
      </w:pPr>
      <w:r>
        <w:rPr>
          <w:rFonts w:hint="eastAsia" w:ascii="宋体" w:hAnsi="宋体"/>
          <w:sz w:val="28"/>
          <w:szCs w:val="28"/>
        </w:rPr>
        <w:t>本报告的价值时点为</w:t>
      </w:r>
      <w:r>
        <w:rPr>
          <w:rFonts w:hint="eastAsia" w:ascii="宋体" w:hAnsi="宋体"/>
          <w:sz w:val="28"/>
          <w:szCs w:val="28"/>
          <w:lang w:eastAsia="zh-CN"/>
        </w:rPr>
        <w:t>2020年12月11日</w:t>
      </w:r>
      <w:r>
        <w:rPr>
          <w:rFonts w:hint="eastAsia" w:ascii="宋体" w:hAnsi="宋体"/>
          <w:sz w:val="28"/>
          <w:szCs w:val="28"/>
        </w:rPr>
        <w:t>。根据本次评估的估价目的确定价值时点。</w:t>
      </w:r>
    </w:p>
    <w:p>
      <w:pPr>
        <w:pStyle w:val="3"/>
        <w:spacing w:before="100" w:beforeAutospacing="1" w:after="100" w:afterAutospacing="1" w:line="360" w:lineRule="auto"/>
        <w:rPr>
          <w:rFonts w:ascii="宋体" w:eastAsia="宋体"/>
          <w:b w:val="0"/>
          <w:bCs w:val="0"/>
          <w:sz w:val="28"/>
          <w:szCs w:val="28"/>
        </w:rPr>
      </w:pPr>
      <w:bookmarkStart w:id="25" w:name="_Toc22290"/>
      <w:r>
        <w:rPr>
          <w:rFonts w:hint="eastAsia" w:ascii="宋体" w:hAnsi="宋体"/>
          <w:b w:val="0"/>
          <w:bCs w:val="0"/>
          <w:sz w:val="28"/>
          <w:szCs w:val="28"/>
        </w:rPr>
        <w:t>六、价值类型</w:t>
      </w:r>
      <w:bookmarkEnd w:id="25"/>
    </w:p>
    <w:p>
      <w:pPr>
        <w:spacing w:line="360" w:lineRule="auto"/>
        <w:ind w:firstLine="560" w:firstLineChars="200"/>
        <w:rPr>
          <w:rFonts w:ascii="宋体" w:hAnsi="宋体"/>
          <w:sz w:val="28"/>
          <w:szCs w:val="28"/>
        </w:rPr>
      </w:pPr>
      <w:r>
        <w:rPr>
          <w:rFonts w:hint="eastAsia" w:ascii="宋体" w:hAnsi="宋体"/>
          <w:sz w:val="28"/>
          <w:szCs w:val="28"/>
          <w:lang w:eastAsia="zh-CN"/>
        </w:rPr>
        <w:t>本报告书</w:t>
      </w:r>
      <w:r>
        <w:rPr>
          <w:rFonts w:hint="eastAsia" w:ascii="宋体" w:hAnsi="宋体"/>
          <w:sz w:val="28"/>
          <w:szCs w:val="28"/>
        </w:rPr>
        <w:t>采用公开市场价值标准，即本次评估估价对象房地产在价值时点状况下的市场价格。</w:t>
      </w:r>
    </w:p>
    <w:p>
      <w:pPr>
        <w:spacing w:line="360" w:lineRule="auto"/>
        <w:ind w:firstLine="560" w:firstLineChars="200"/>
        <w:rPr>
          <w:rFonts w:ascii="宋体" w:hAnsi="宋体"/>
          <w:sz w:val="28"/>
          <w:szCs w:val="28"/>
        </w:rPr>
      </w:pPr>
      <w:r>
        <w:rPr>
          <w:rFonts w:hint="eastAsia" w:ascii="宋体" w:hAnsi="宋体"/>
          <w:sz w:val="28"/>
          <w:szCs w:val="28"/>
        </w:rPr>
        <w:t>市场价值，是估价对象经适当营销后，由熟悉情况、谨慎行事且不受强迫的交易双方，以公平交易方式在价值时点自愿进行交易的金额。</w:t>
      </w:r>
    </w:p>
    <w:p>
      <w:pPr>
        <w:pStyle w:val="3"/>
        <w:spacing w:before="100" w:beforeAutospacing="1" w:after="100" w:afterAutospacing="1" w:line="360" w:lineRule="auto"/>
        <w:rPr>
          <w:rFonts w:ascii="宋体" w:eastAsia="宋体"/>
          <w:b w:val="0"/>
          <w:bCs w:val="0"/>
          <w:sz w:val="28"/>
          <w:szCs w:val="28"/>
        </w:rPr>
      </w:pPr>
      <w:bookmarkStart w:id="26" w:name="_Toc2823"/>
      <w:r>
        <w:rPr>
          <w:rFonts w:hint="eastAsia" w:ascii="宋体" w:hAnsi="宋体"/>
          <w:b w:val="0"/>
          <w:bCs w:val="0"/>
          <w:sz w:val="28"/>
          <w:szCs w:val="28"/>
        </w:rPr>
        <w:t>七、估价依据</w:t>
      </w:r>
      <w:bookmarkEnd w:id="26"/>
    </w:p>
    <w:p>
      <w:pPr>
        <w:numPr>
          <w:ilvl w:val="0"/>
          <w:numId w:val="2"/>
        </w:numPr>
        <w:spacing w:line="360" w:lineRule="auto"/>
        <w:rPr>
          <w:rFonts w:ascii="宋体" w:hAnsi="宋体"/>
          <w:sz w:val="28"/>
          <w:szCs w:val="28"/>
        </w:rPr>
      </w:pPr>
      <w:r>
        <w:rPr>
          <w:rFonts w:hint="eastAsia" w:ascii="宋体" w:hAnsi="宋体"/>
          <w:sz w:val="28"/>
          <w:szCs w:val="28"/>
        </w:rPr>
        <w:t>《中华人民共和国城市房地产管理法》（中华人民共和国主席令第72号,2007年8月30日）；</w:t>
      </w:r>
    </w:p>
    <w:p>
      <w:pPr>
        <w:numPr>
          <w:ilvl w:val="0"/>
          <w:numId w:val="2"/>
        </w:numPr>
        <w:spacing w:line="360" w:lineRule="auto"/>
        <w:rPr>
          <w:rFonts w:ascii="宋体" w:hAnsi="宋体" w:cs="宋体"/>
          <w:sz w:val="28"/>
          <w:szCs w:val="28"/>
        </w:rPr>
      </w:pPr>
      <w:r>
        <w:rPr>
          <w:rFonts w:hint="eastAsia" w:ascii="宋体" w:hAnsi="宋体"/>
          <w:sz w:val="28"/>
        </w:rPr>
        <w:t>《中华人民共和国物权法》（中华人民共和国主席令第62号，2007年10月1日）；</w:t>
      </w:r>
    </w:p>
    <w:p>
      <w:pPr>
        <w:numPr>
          <w:ilvl w:val="0"/>
          <w:numId w:val="2"/>
        </w:numPr>
        <w:spacing w:line="360" w:lineRule="auto"/>
        <w:rPr>
          <w:rFonts w:ascii="宋体" w:hAnsi="宋体" w:cs="宋体"/>
          <w:sz w:val="28"/>
          <w:szCs w:val="28"/>
        </w:rPr>
      </w:pPr>
      <w:r>
        <w:rPr>
          <w:rFonts w:hint="eastAsia" w:ascii="宋体" w:hAnsi="宋体"/>
          <w:sz w:val="28"/>
          <w:szCs w:val="28"/>
        </w:rPr>
        <w:t>《资产评估法》（中</w:t>
      </w:r>
      <w:r>
        <w:rPr>
          <w:rFonts w:hint="eastAsia" w:ascii="宋体" w:hAnsi="宋体"/>
          <w:sz w:val="28"/>
        </w:rPr>
        <w:t>华人民共和国主席令第62号，2016年12月1日起施行）</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中华人民共和国国家标准《房地产估价规范》（GB∕T50291-2015）；</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中华人民共和国国家标准《房地产估价基本术语标准》（GB∕T50899-2013）；</w:t>
      </w:r>
    </w:p>
    <w:p>
      <w:pPr>
        <w:numPr>
          <w:ilvl w:val="0"/>
          <w:numId w:val="2"/>
        </w:numPr>
        <w:spacing w:line="360" w:lineRule="auto"/>
        <w:rPr>
          <w:rFonts w:ascii="宋体" w:hAnsi="宋体"/>
          <w:sz w:val="28"/>
          <w:szCs w:val="28"/>
        </w:rPr>
      </w:pPr>
      <w:r>
        <w:rPr>
          <w:rFonts w:hint="eastAsia" w:ascii="宋体" w:hAnsi="宋体"/>
          <w:sz w:val="28"/>
          <w:szCs w:val="28"/>
        </w:rPr>
        <w:t>《</w:t>
      </w:r>
      <w:r>
        <w:rPr>
          <w:rFonts w:hint="eastAsia" w:ascii="宋体" w:hAnsi="宋体"/>
          <w:sz w:val="28"/>
          <w:szCs w:val="28"/>
          <w:lang w:eastAsia="zh-CN"/>
        </w:rPr>
        <w:t>司法鉴定评估委托书</w:t>
      </w:r>
      <w:r>
        <w:rPr>
          <w:rFonts w:hint="eastAsia" w:ascii="宋体" w:hAnsi="宋体"/>
          <w:sz w:val="28"/>
          <w:szCs w:val="28"/>
        </w:rPr>
        <w:t>》</w:t>
      </w:r>
      <w:r>
        <w:rPr>
          <w:rFonts w:hint="eastAsia" w:ascii="宋体" w:hAnsi="宋体"/>
          <w:sz w:val="28"/>
          <w:szCs w:val="28"/>
          <w:lang w:eastAsia="zh-CN"/>
        </w:rPr>
        <w:t>（2020）辽03司辅委263号</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估价对象现场查看记录；</w:t>
      </w:r>
    </w:p>
    <w:p>
      <w:pPr>
        <w:numPr>
          <w:ilvl w:val="0"/>
          <w:numId w:val="2"/>
        </w:numPr>
        <w:spacing w:line="360" w:lineRule="auto"/>
        <w:rPr>
          <w:rFonts w:ascii="宋体" w:hAnsi="宋体"/>
          <w:sz w:val="28"/>
          <w:szCs w:val="28"/>
        </w:rPr>
      </w:pPr>
      <w:r>
        <w:rPr>
          <w:rFonts w:hint="eastAsia" w:ascii="宋体" w:hAnsi="宋体"/>
          <w:sz w:val="28"/>
          <w:szCs w:val="28"/>
        </w:rPr>
        <w:t>委托方提供的与本次估价相关的其他资料；</w:t>
      </w:r>
    </w:p>
    <w:p>
      <w:pPr>
        <w:numPr>
          <w:ilvl w:val="0"/>
          <w:numId w:val="2"/>
        </w:numPr>
        <w:spacing w:line="360" w:lineRule="auto"/>
        <w:rPr>
          <w:rFonts w:ascii="宋体"/>
          <w:sz w:val="28"/>
          <w:szCs w:val="28"/>
        </w:rPr>
      </w:pPr>
      <w:r>
        <w:rPr>
          <w:rFonts w:hint="eastAsia" w:ascii="宋体" w:hAnsi="宋体"/>
          <w:sz w:val="28"/>
          <w:szCs w:val="28"/>
        </w:rPr>
        <w:t>本估价机构掌握的其他房地产估价相关资料。</w:t>
      </w:r>
    </w:p>
    <w:p>
      <w:pPr>
        <w:pStyle w:val="3"/>
        <w:spacing w:before="0" w:after="0" w:line="360" w:lineRule="auto"/>
        <w:rPr>
          <w:rFonts w:ascii="宋体" w:eastAsia="宋体"/>
          <w:b w:val="0"/>
          <w:bCs w:val="0"/>
          <w:sz w:val="28"/>
          <w:szCs w:val="28"/>
        </w:rPr>
      </w:pPr>
      <w:bookmarkStart w:id="27" w:name="_Toc25643"/>
      <w:r>
        <w:rPr>
          <w:rFonts w:hint="eastAsia" w:ascii="宋体" w:hAnsi="宋体"/>
          <w:b w:val="0"/>
          <w:bCs w:val="0"/>
          <w:sz w:val="28"/>
          <w:szCs w:val="28"/>
        </w:rPr>
        <w:t>八、估价原则</w:t>
      </w:r>
      <w:bookmarkEnd w:id="27"/>
    </w:p>
    <w:p>
      <w:pPr>
        <w:pStyle w:val="7"/>
        <w:spacing w:after="0" w:line="360" w:lineRule="auto"/>
        <w:ind w:left="0" w:leftChars="0" w:firstLine="490" w:firstLineChars="175"/>
        <w:rPr>
          <w:rFonts w:ascii="宋体" w:hAnsi="宋体"/>
          <w:sz w:val="28"/>
          <w:szCs w:val="28"/>
        </w:rPr>
      </w:pPr>
      <w:r>
        <w:rPr>
          <w:rFonts w:hint="eastAsia" w:ascii="宋体" w:hAnsi="宋体"/>
          <w:sz w:val="28"/>
          <w:szCs w:val="28"/>
        </w:rPr>
        <w:t>本估价报告在遵循客观、公正、科学、合理的基本原则下，结合估价目的对估价对象进行估价。具体估价作业中应当遵循的主要原则有：独立、客观、公正原则；合法原则；价值时点原则；替代原则；最高最佳利用原则。</w:t>
      </w:r>
    </w:p>
    <w:p>
      <w:pPr>
        <w:pStyle w:val="7"/>
        <w:spacing w:after="0" w:line="360" w:lineRule="auto"/>
        <w:rPr>
          <w:rFonts w:ascii="宋体" w:hAnsi="宋体"/>
          <w:sz w:val="28"/>
          <w:szCs w:val="28"/>
        </w:rPr>
      </w:pPr>
      <w:r>
        <w:rPr>
          <w:rFonts w:hint="eastAsia" w:ascii="宋体" w:hAnsi="宋体"/>
          <w:sz w:val="28"/>
          <w:szCs w:val="28"/>
        </w:rPr>
        <w:t>1．遵循独立、客观、公正原则，评估价值应为对各方估价利害关系人均是公平合理的价值或价格；</w:t>
      </w:r>
    </w:p>
    <w:p>
      <w:pPr>
        <w:pStyle w:val="7"/>
        <w:spacing w:after="0" w:line="360" w:lineRule="auto"/>
        <w:rPr>
          <w:rFonts w:ascii="宋体" w:hAnsi="宋体"/>
          <w:sz w:val="28"/>
          <w:szCs w:val="28"/>
        </w:rPr>
      </w:pPr>
      <w:r>
        <w:rPr>
          <w:rFonts w:hint="eastAsia" w:ascii="宋体" w:hAnsi="宋体"/>
          <w:sz w:val="28"/>
          <w:szCs w:val="28"/>
        </w:rPr>
        <w:t>2．遵循合法原则，评估价值应为在依法判定的估价对象状况下的价值或价格；</w:t>
      </w:r>
    </w:p>
    <w:p>
      <w:pPr>
        <w:pStyle w:val="7"/>
        <w:spacing w:after="0" w:line="360" w:lineRule="auto"/>
        <w:rPr>
          <w:rFonts w:ascii="宋体" w:hAnsi="宋体"/>
          <w:sz w:val="28"/>
          <w:szCs w:val="28"/>
        </w:rPr>
      </w:pPr>
      <w:r>
        <w:rPr>
          <w:rFonts w:hint="eastAsia" w:ascii="宋体" w:hAnsi="宋体"/>
          <w:sz w:val="28"/>
          <w:szCs w:val="28"/>
        </w:rPr>
        <w:t>3．遵循价值时点原则，评估价值应为在根据估价目的确定的某一特定时间的价值或价格；</w:t>
      </w:r>
    </w:p>
    <w:p>
      <w:pPr>
        <w:pStyle w:val="7"/>
        <w:spacing w:after="0" w:line="360" w:lineRule="auto"/>
        <w:rPr>
          <w:rFonts w:ascii="宋体" w:hAnsi="宋体"/>
          <w:sz w:val="28"/>
          <w:szCs w:val="28"/>
        </w:rPr>
      </w:pPr>
      <w:r>
        <w:rPr>
          <w:rFonts w:hint="eastAsia" w:ascii="宋体" w:hAnsi="宋体"/>
          <w:sz w:val="28"/>
          <w:szCs w:val="28"/>
        </w:rPr>
        <w:t>4．遵循替代原则，评估价值与估价对象的类似房地产在同等条件下的价值或价格偏差应在合理范围内；</w:t>
      </w:r>
    </w:p>
    <w:p>
      <w:pPr>
        <w:pStyle w:val="7"/>
        <w:spacing w:after="0" w:line="360" w:lineRule="auto"/>
        <w:rPr>
          <w:rFonts w:hint="eastAsia" w:ascii="宋体" w:hAnsi="宋体" w:eastAsia="宋体"/>
          <w:sz w:val="28"/>
          <w:szCs w:val="28"/>
          <w:lang w:eastAsia="zh-CN"/>
        </w:rPr>
      </w:pPr>
      <w:r>
        <w:rPr>
          <w:rFonts w:hint="eastAsia" w:ascii="宋体" w:hAnsi="宋体"/>
          <w:sz w:val="28"/>
          <w:szCs w:val="28"/>
        </w:rPr>
        <w:t>5．遵循最高最佳利用原则：评估价值应为在估价对象最高最佳利用状况下的价值或价格</w:t>
      </w:r>
      <w:r>
        <w:rPr>
          <w:rFonts w:hint="eastAsia" w:ascii="宋体" w:hAnsi="宋体"/>
          <w:sz w:val="28"/>
          <w:szCs w:val="28"/>
          <w:lang w:eastAsia="zh-CN"/>
        </w:rPr>
        <w:t>。</w:t>
      </w:r>
    </w:p>
    <w:p>
      <w:pPr>
        <w:spacing w:before="100" w:beforeAutospacing="1" w:after="100" w:afterAutospacing="1" w:line="360" w:lineRule="auto"/>
        <w:ind w:firstLine="562" w:firstLineChars="200"/>
        <w:outlineLvl w:val="1"/>
        <w:rPr>
          <w:rFonts w:ascii="宋体"/>
          <w:b/>
          <w:bCs/>
          <w:sz w:val="28"/>
          <w:szCs w:val="28"/>
        </w:rPr>
      </w:pPr>
      <w:bookmarkStart w:id="28" w:name="_Toc18475"/>
      <w:r>
        <w:rPr>
          <w:rFonts w:hint="eastAsia" w:ascii="宋体" w:hAnsi="宋体"/>
          <w:b/>
          <w:bCs/>
          <w:sz w:val="28"/>
          <w:szCs w:val="28"/>
        </w:rPr>
        <w:t>九、估价方法</w:t>
      </w:r>
      <w:bookmarkEnd w:id="28"/>
    </w:p>
    <w:p>
      <w:pPr>
        <w:spacing w:line="360" w:lineRule="auto"/>
        <w:ind w:firstLine="560" w:firstLineChars="200"/>
        <w:rPr>
          <w:rFonts w:ascii="宋体"/>
          <w:sz w:val="28"/>
          <w:szCs w:val="28"/>
        </w:rPr>
      </w:pPr>
      <w:r>
        <w:rPr>
          <w:rFonts w:hint="eastAsia" w:ascii="宋体" w:hAnsi="宋体"/>
          <w:sz w:val="28"/>
          <w:szCs w:val="28"/>
        </w:rPr>
        <w:t>据估价对象的实际状况和客观实际能够搜集的资料，采用比较法</w:t>
      </w:r>
      <w:r>
        <w:rPr>
          <w:rFonts w:hint="eastAsia" w:hAnsi="宋体"/>
          <w:sz w:val="28"/>
          <w:szCs w:val="28"/>
        </w:rPr>
        <w:t>和收益法</w:t>
      </w:r>
      <w:r>
        <w:rPr>
          <w:rFonts w:hint="eastAsia" w:ascii="宋体" w:hAnsi="宋体"/>
          <w:sz w:val="28"/>
          <w:szCs w:val="28"/>
        </w:rPr>
        <w:t>评估。</w:t>
      </w:r>
    </w:p>
    <w:p>
      <w:pPr>
        <w:spacing w:line="360" w:lineRule="auto"/>
        <w:ind w:firstLine="560" w:firstLineChars="200"/>
        <w:rPr>
          <w:rFonts w:ascii="宋体" w:hAnsi="宋体"/>
          <w:sz w:val="28"/>
          <w:szCs w:val="28"/>
        </w:rPr>
      </w:pPr>
      <w:r>
        <w:rPr>
          <w:rFonts w:hint="eastAsia" w:hAnsi="宋体"/>
          <w:sz w:val="28"/>
          <w:szCs w:val="28"/>
        </w:rPr>
        <w:t>1、采用比较法依据：</w:t>
      </w:r>
      <w:r>
        <w:rPr>
          <w:rFonts w:hint="eastAsia" w:ascii="宋体" w:hAnsi="宋体"/>
          <w:sz w:val="28"/>
          <w:szCs w:val="28"/>
        </w:rPr>
        <w:t>《中华人民共和国国家标准房地产估价规范》GB/T50291——2015的规定：“估价对象的同类房地产有较多交易的，应选用比较法”。本次评估估价对象周围</w:t>
      </w:r>
      <w:r>
        <w:rPr>
          <w:rFonts w:hint="eastAsia" w:ascii="宋体" w:hAnsi="宋体"/>
          <w:sz w:val="28"/>
          <w:szCs w:val="28"/>
          <w:lang w:eastAsia="zh-CN"/>
        </w:rPr>
        <w:t>住宅</w:t>
      </w:r>
      <w:r>
        <w:rPr>
          <w:rFonts w:hint="eastAsia" w:ascii="宋体" w:hAnsi="宋体"/>
          <w:sz w:val="28"/>
          <w:szCs w:val="28"/>
        </w:rPr>
        <w:t>用房地产较多，区域内有较多的类似</w:t>
      </w:r>
      <w:r>
        <w:rPr>
          <w:rFonts w:hint="eastAsia" w:ascii="宋体" w:hAnsi="宋体"/>
          <w:sz w:val="28"/>
          <w:szCs w:val="28"/>
          <w:lang w:eastAsia="zh-CN"/>
        </w:rPr>
        <w:t>住宅</w:t>
      </w:r>
      <w:r>
        <w:rPr>
          <w:rFonts w:hint="eastAsia" w:ascii="宋体" w:hAnsi="宋体"/>
          <w:sz w:val="28"/>
          <w:szCs w:val="28"/>
        </w:rPr>
        <w:t>房地产的交易案例。因此适宜采用比较法。</w:t>
      </w:r>
    </w:p>
    <w:p>
      <w:pPr>
        <w:spacing w:line="360" w:lineRule="auto"/>
        <w:ind w:firstLine="560" w:firstLineChars="200"/>
        <w:rPr>
          <w:rFonts w:ascii="宋体" w:hAnsi="宋体"/>
          <w:sz w:val="28"/>
          <w:szCs w:val="28"/>
        </w:rPr>
      </w:pPr>
      <w:r>
        <w:rPr>
          <w:rFonts w:hint="eastAsia" w:hAnsi="宋体"/>
          <w:sz w:val="28"/>
          <w:szCs w:val="28"/>
        </w:rPr>
        <w:t>（1）</w:t>
      </w:r>
      <w:r>
        <w:rPr>
          <w:rFonts w:hint="eastAsia" w:ascii="宋体" w:hAnsi="宋体"/>
          <w:sz w:val="28"/>
          <w:szCs w:val="28"/>
        </w:rPr>
        <w:t>比较法概念：选取一定数量的可比实例，将它们与估价对象进行</w:t>
      </w:r>
      <w:r>
        <w:rPr>
          <w:rFonts w:ascii="宋体" w:hAnsi="宋体"/>
          <w:sz w:val="28"/>
          <w:szCs w:val="28"/>
        </w:rPr>
        <w:t>比较</w:t>
      </w:r>
      <w:r>
        <w:rPr>
          <w:rFonts w:hint="eastAsia" w:ascii="宋体" w:hAnsi="宋体"/>
          <w:sz w:val="28"/>
          <w:szCs w:val="28"/>
        </w:rPr>
        <w:t>，根据其间的差异对可比实例成交价格进行处理后得到估价对象价值或价格的方法。</w:t>
      </w:r>
    </w:p>
    <w:p>
      <w:pPr>
        <w:spacing w:line="360" w:lineRule="auto"/>
        <w:ind w:firstLine="560" w:firstLineChars="200"/>
        <w:rPr>
          <w:rFonts w:hAnsi="宋体"/>
          <w:sz w:val="28"/>
          <w:szCs w:val="28"/>
        </w:rPr>
      </w:pPr>
      <w:r>
        <w:rPr>
          <w:rFonts w:hint="eastAsia" w:hAnsi="宋体"/>
          <w:sz w:val="28"/>
          <w:szCs w:val="28"/>
        </w:rPr>
        <w:t>（2）</w:t>
      </w:r>
      <w:r>
        <w:rPr>
          <w:rFonts w:hint="eastAsia" w:ascii="宋体" w:hAnsi="宋体"/>
          <w:sz w:val="28"/>
          <w:szCs w:val="28"/>
        </w:rPr>
        <w:t>比较法公式为：比准价格=可比实例价格×交易情况修正系数×交易日期调整系数×房地产状况调整系数</w:t>
      </w:r>
    </w:p>
    <w:p>
      <w:pPr>
        <w:spacing w:line="360" w:lineRule="auto"/>
        <w:ind w:firstLine="560" w:firstLineChars="200"/>
        <w:rPr>
          <w:rFonts w:ascii="宋体" w:hAnsi="宋体"/>
          <w:sz w:val="28"/>
          <w:szCs w:val="28"/>
        </w:rPr>
      </w:pPr>
      <w:r>
        <w:rPr>
          <w:rFonts w:hint="eastAsia" w:hAnsi="宋体"/>
          <w:sz w:val="28"/>
          <w:szCs w:val="28"/>
        </w:rPr>
        <w:t>2、采用收益法依据：</w:t>
      </w:r>
      <w:r>
        <w:rPr>
          <w:rFonts w:hint="eastAsia" w:ascii="宋体" w:hAnsi="宋体"/>
          <w:sz w:val="28"/>
          <w:szCs w:val="28"/>
        </w:rPr>
        <w:t>《中华人民共和国国家标准房地产估价规范》（GB/T50291-2015）4.1.2.2的规定：“估价对象或其同类房地产通常有租金等经济收入的，应选</w:t>
      </w:r>
      <w:r>
        <w:rPr>
          <w:rFonts w:ascii="宋体" w:hAnsi="宋体"/>
          <w:sz w:val="28"/>
          <w:szCs w:val="28"/>
        </w:rPr>
        <w:t>用收益法。</w:t>
      </w:r>
      <w:r>
        <w:rPr>
          <w:rFonts w:hint="eastAsia" w:ascii="宋体" w:hAnsi="宋体"/>
          <w:sz w:val="28"/>
          <w:szCs w:val="28"/>
        </w:rPr>
        <w:t>”估价对象为</w:t>
      </w:r>
      <w:r>
        <w:rPr>
          <w:rFonts w:hint="eastAsia" w:ascii="宋体" w:hAnsi="宋体"/>
          <w:sz w:val="28"/>
          <w:szCs w:val="28"/>
          <w:lang w:eastAsia="zh-CN"/>
        </w:rPr>
        <w:t>住宅</w:t>
      </w:r>
      <w:r>
        <w:rPr>
          <w:rFonts w:hint="eastAsia" w:ascii="宋体" w:hAnsi="宋体"/>
          <w:sz w:val="28"/>
          <w:szCs w:val="28"/>
        </w:rPr>
        <w:t>用房地产，可以出租，有潜在租金收益，因此可以采用收益法。</w:t>
      </w:r>
    </w:p>
    <w:p>
      <w:pPr>
        <w:spacing w:line="360" w:lineRule="auto"/>
        <w:ind w:firstLine="570"/>
        <w:rPr>
          <w:rFonts w:ascii="宋体" w:hAnsi="宋体"/>
          <w:sz w:val="28"/>
          <w:szCs w:val="28"/>
        </w:rPr>
      </w:pPr>
      <w:r>
        <w:rPr>
          <w:rFonts w:hint="eastAsia" w:ascii="宋体" w:hAnsi="宋体"/>
          <w:sz w:val="28"/>
          <w:szCs w:val="28"/>
        </w:rPr>
        <w:t>（1）收益法概念：收益法是</w:t>
      </w:r>
      <w:r>
        <w:rPr>
          <w:rFonts w:ascii="宋体" w:hAnsi="宋体"/>
          <w:sz w:val="28"/>
          <w:szCs w:val="28"/>
        </w:rPr>
        <w:t>预</w:t>
      </w:r>
      <w:r>
        <w:rPr>
          <w:rFonts w:hint="eastAsia" w:ascii="宋体" w:hAnsi="宋体"/>
          <w:sz w:val="28"/>
          <w:szCs w:val="28"/>
        </w:rPr>
        <w:t>测</w:t>
      </w:r>
      <w:r>
        <w:rPr>
          <w:rFonts w:ascii="宋体" w:hAnsi="宋体"/>
          <w:sz w:val="28"/>
          <w:szCs w:val="28"/>
        </w:rPr>
        <w:t>估价对象的未来收益，</w:t>
      </w:r>
      <w:r>
        <w:rPr>
          <w:rFonts w:hint="eastAsia" w:ascii="宋体" w:hAnsi="宋体"/>
          <w:sz w:val="28"/>
          <w:szCs w:val="28"/>
        </w:rPr>
        <w:t>利用报酬</w:t>
      </w:r>
      <w:r>
        <w:rPr>
          <w:rFonts w:ascii="宋体" w:hAnsi="宋体"/>
          <w:sz w:val="28"/>
          <w:szCs w:val="28"/>
        </w:rPr>
        <w:t>率</w:t>
      </w:r>
      <w:r>
        <w:rPr>
          <w:rFonts w:hint="eastAsia" w:ascii="宋体" w:hAnsi="宋体"/>
          <w:sz w:val="28"/>
          <w:szCs w:val="28"/>
        </w:rPr>
        <w:t>或资本化率、收益乘数</w:t>
      </w:r>
      <w:r>
        <w:rPr>
          <w:rFonts w:ascii="宋体" w:hAnsi="宋体"/>
          <w:sz w:val="28"/>
          <w:szCs w:val="28"/>
        </w:rPr>
        <w:t>将</w:t>
      </w:r>
      <w:r>
        <w:rPr>
          <w:rFonts w:hint="eastAsia" w:ascii="宋体" w:hAnsi="宋体"/>
          <w:sz w:val="28"/>
          <w:szCs w:val="28"/>
        </w:rPr>
        <w:t>未来收益转换为价值得到</w:t>
      </w:r>
      <w:r>
        <w:rPr>
          <w:rFonts w:ascii="宋体" w:hAnsi="宋体"/>
          <w:sz w:val="28"/>
          <w:szCs w:val="28"/>
        </w:rPr>
        <w:t>估价对象的价值或价格的方法。</w:t>
      </w:r>
    </w:p>
    <w:p>
      <w:pPr>
        <w:spacing w:line="360" w:lineRule="auto"/>
        <w:ind w:firstLine="570"/>
        <w:rPr>
          <w:rFonts w:ascii="宋体" w:hAnsi="宋体"/>
          <w:sz w:val="28"/>
          <w:szCs w:val="28"/>
        </w:rPr>
      </w:pPr>
      <w:r>
        <w:rPr>
          <w:rFonts w:hint="eastAsia" w:ascii="宋体" w:hAnsi="宋体"/>
          <w:sz w:val="28"/>
          <w:szCs w:val="28"/>
        </w:rPr>
        <w:t>（2）收益法公式：V=A/Y〔1-1/(1+Y)</w:t>
      </w:r>
      <w:r>
        <w:rPr>
          <w:rFonts w:hint="eastAsia" w:ascii="宋体" w:hAnsi="宋体"/>
          <w:sz w:val="28"/>
          <w:szCs w:val="28"/>
          <w:vertAlign w:val="superscript"/>
        </w:rPr>
        <w:t>n</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V—房地产在价值时点的收益价格</w:t>
      </w:r>
    </w:p>
    <w:p>
      <w:pPr>
        <w:spacing w:line="360" w:lineRule="auto"/>
        <w:ind w:firstLine="560" w:firstLineChars="200"/>
        <w:rPr>
          <w:rFonts w:ascii="宋体" w:hAnsi="宋体"/>
          <w:sz w:val="28"/>
          <w:szCs w:val="28"/>
        </w:rPr>
      </w:pPr>
      <w:r>
        <w:rPr>
          <w:rFonts w:hint="eastAsia" w:ascii="宋体" w:hAnsi="宋体"/>
          <w:sz w:val="28"/>
          <w:szCs w:val="28"/>
        </w:rPr>
        <w:t>A—房地产的未来净收益</w:t>
      </w:r>
    </w:p>
    <w:p>
      <w:pPr>
        <w:spacing w:line="360" w:lineRule="auto"/>
        <w:ind w:firstLine="560" w:firstLineChars="200"/>
        <w:rPr>
          <w:rFonts w:ascii="宋体" w:hAnsi="宋体"/>
          <w:sz w:val="28"/>
          <w:szCs w:val="28"/>
        </w:rPr>
      </w:pPr>
      <w:r>
        <w:rPr>
          <w:rFonts w:hint="eastAsia" w:ascii="宋体" w:hAnsi="宋体"/>
          <w:sz w:val="28"/>
          <w:szCs w:val="28"/>
        </w:rPr>
        <w:t>Y—房地产的报酬率</w:t>
      </w:r>
    </w:p>
    <w:p>
      <w:pPr>
        <w:spacing w:line="360" w:lineRule="auto"/>
        <w:ind w:firstLine="560" w:firstLineChars="200"/>
        <w:rPr>
          <w:rFonts w:hAnsi="宋体"/>
          <w:sz w:val="28"/>
          <w:szCs w:val="28"/>
        </w:rPr>
      </w:pPr>
      <w:r>
        <w:rPr>
          <w:rFonts w:hint="eastAsia" w:ascii="宋体" w:hAnsi="宋体"/>
          <w:sz w:val="28"/>
          <w:szCs w:val="28"/>
        </w:rPr>
        <w:t>n—房地产的收益期限</w:t>
      </w:r>
    </w:p>
    <w:p>
      <w:pPr>
        <w:spacing w:line="360" w:lineRule="auto"/>
        <w:ind w:firstLine="562" w:firstLineChars="200"/>
        <w:outlineLvl w:val="1"/>
        <w:rPr>
          <w:rFonts w:ascii="宋体" w:hAnsi="宋体"/>
          <w:b/>
          <w:bCs/>
          <w:sz w:val="28"/>
          <w:szCs w:val="28"/>
        </w:rPr>
      </w:pPr>
      <w:bookmarkStart w:id="29" w:name="_Toc8849"/>
      <w:bookmarkStart w:id="30" w:name="_Toc1026542"/>
      <w:bookmarkStart w:id="31" w:name="_Toc275961679"/>
      <w:r>
        <w:rPr>
          <w:rFonts w:hint="eastAsia" w:ascii="宋体" w:hAnsi="宋体"/>
          <w:b/>
          <w:bCs/>
          <w:sz w:val="28"/>
          <w:szCs w:val="28"/>
        </w:rPr>
        <w:t>十、估价结果</w:t>
      </w:r>
      <w:bookmarkEnd w:id="29"/>
      <w:bookmarkEnd w:id="30"/>
      <w:bookmarkEnd w:id="31"/>
    </w:p>
    <w:p>
      <w:pPr>
        <w:spacing w:line="360" w:lineRule="auto"/>
        <w:ind w:firstLine="568" w:firstLineChars="200"/>
        <w:rPr>
          <w:rFonts w:hint="eastAsia" w:ascii="宋体" w:hAnsi="宋体"/>
          <w:bCs/>
          <w:color w:val="000000"/>
          <w:spacing w:val="2"/>
          <w:sz w:val="28"/>
          <w:szCs w:val="28"/>
        </w:rPr>
      </w:pPr>
      <w:r>
        <w:rPr>
          <w:rFonts w:hint="eastAsia" w:ascii="宋体" w:hAnsi="宋体"/>
          <w:bCs/>
          <w:color w:val="000000"/>
          <w:spacing w:val="2"/>
          <w:sz w:val="28"/>
          <w:szCs w:val="28"/>
        </w:rPr>
        <w:t>经过评估人员实地勘察、资料分析和价格测算与判断，并结合鞍山市房地产市场行情，确定该估价对象房地产在价值时点</w:t>
      </w:r>
      <w:r>
        <w:rPr>
          <w:rFonts w:hint="eastAsia" w:ascii="宋体" w:hAnsi="宋体"/>
          <w:sz w:val="28"/>
          <w:szCs w:val="28"/>
          <w:lang w:eastAsia="zh-CN"/>
        </w:rPr>
        <w:t>2020年12月11日</w:t>
      </w:r>
      <w:r>
        <w:rPr>
          <w:rFonts w:hint="eastAsia" w:ascii="宋体" w:hAnsi="宋体"/>
          <w:bCs/>
          <w:color w:val="000000"/>
          <w:spacing w:val="2"/>
          <w:sz w:val="28"/>
          <w:szCs w:val="28"/>
        </w:rPr>
        <w:t>满足各项假设限制条件下的</w:t>
      </w:r>
      <w:r>
        <w:rPr>
          <w:rFonts w:hint="eastAsia" w:ascii="宋体" w:hAnsi="宋体"/>
          <w:bCs/>
          <w:color w:val="000000"/>
          <w:spacing w:val="2"/>
          <w:sz w:val="28"/>
          <w:szCs w:val="28"/>
          <w:lang w:eastAsia="zh-CN"/>
        </w:rPr>
        <w:t>市场</w:t>
      </w:r>
      <w:r>
        <w:rPr>
          <w:rFonts w:hint="eastAsia" w:ascii="宋体" w:hAnsi="宋体"/>
          <w:bCs/>
          <w:color w:val="000000"/>
          <w:spacing w:val="2"/>
          <w:sz w:val="28"/>
          <w:szCs w:val="28"/>
        </w:rPr>
        <w:t>价值为</w:t>
      </w:r>
      <w:r>
        <w:rPr>
          <w:rFonts w:hint="eastAsia" w:ascii="宋体" w:hAnsi="宋体"/>
          <w:bCs/>
          <w:color w:val="000000"/>
          <w:spacing w:val="2"/>
          <w:sz w:val="28"/>
          <w:szCs w:val="28"/>
          <w:lang w:eastAsia="zh-CN"/>
        </w:rPr>
        <w:t>77,040.00</w:t>
      </w:r>
      <w:r>
        <w:rPr>
          <w:rFonts w:hint="eastAsia" w:ascii="宋体" w:hAnsi="宋体"/>
          <w:bCs/>
          <w:color w:val="000000"/>
          <w:spacing w:val="2"/>
          <w:sz w:val="28"/>
          <w:szCs w:val="28"/>
        </w:rPr>
        <w:t>元，大写金额：人民币</w:t>
      </w:r>
      <w:r>
        <w:rPr>
          <w:rFonts w:hint="eastAsia" w:ascii="宋体" w:hAnsi="宋体"/>
          <w:bCs/>
          <w:color w:val="000000"/>
          <w:spacing w:val="2"/>
          <w:sz w:val="28"/>
          <w:szCs w:val="28"/>
          <w:lang w:eastAsia="zh-CN"/>
        </w:rPr>
        <w:t>柒万柒仟零肆拾</w:t>
      </w:r>
      <w:r>
        <w:rPr>
          <w:rFonts w:hint="eastAsia" w:ascii="宋体" w:hAnsi="宋体"/>
          <w:bCs/>
          <w:color w:val="000000"/>
          <w:spacing w:val="2"/>
          <w:sz w:val="28"/>
          <w:szCs w:val="28"/>
        </w:rPr>
        <w:t>元整</w:t>
      </w:r>
      <w:r>
        <w:rPr>
          <w:rFonts w:hint="eastAsia" w:ascii="宋体" w:hAnsi="宋体"/>
          <w:bCs/>
          <w:color w:val="000000"/>
          <w:spacing w:val="2"/>
          <w:sz w:val="28"/>
          <w:szCs w:val="28"/>
          <w:lang w:eastAsia="zh-CN"/>
        </w:rPr>
        <w:t>。</w:t>
      </w:r>
    </w:p>
    <w:p>
      <w:pPr>
        <w:spacing w:line="360" w:lineRule="auto"/>
        <w:ind w:firstLine="570" w:firstLineChars="200"/>
        <w:jc w:val="center"/>
        <w:rPr>
          <w:rFonts w:ascii="宋体" w:hAnsi="宋体"/>
          <w:bCs/>
          <w:color w:val="000000"/>
          <w:spacing w:val="2"/>
          <w:sz w:val="28"/>
          <w:szCs w:val="28"/>
        </w:rPr>
      </w:pPr>
      <w:r>
        <w:rPr>
          <w:rFonts w:hint="eastAsia" w:ascii="宋体" w:hAnsi="宋体"/>
          <w:b/>
          <w:color w:val="000000"/>
          <w:spacing w:val="2"/>
          <w:sz w:val="28"/>
          <w:szCs w:val="28"/>
          <w:u w:val="single"/>
        </w:rPr>
        <w:t>估价结果汇总表</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885"/>
        <w:gridCol w:w="1593"/>
        <w:gridCol w:w="2013"/>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pct"/>
            <w:vAlign w:val="center"/>
          </w:tcPr>
          <w:p>
            <w:pPr>
              <w:spacing w:line="360" w:lineRule="auto"/>
              <w:jc w:val="center"/>
              <w:rPr>
                <w:sz w:val="18"/>
                <w:szCs w:val="18"/>
              </w:rPr>
            </w:pPr>
            <w:r>
              <w:rPr>
                <w:rFonts w:hint="eastAsia"/>
                <w:sz w:val="18"/>
                <w:szCs w:val="18"/>
              </w:rPr>
              <w:t>产籍号</w:t>
            </w:r>
          </w:p>
        </w:tc>
        <w:tc>
          <w:tcPr>
            <w:tcW w:w="1034" w:type="pct"/>
            <w:vAlign w:val="center"/>
          </w:tcPr>
          <w:p>
            <w:pPr>
              <w:spacing w:line="360" w:lineRule="auto"/>
              <w:jc w:val="center"/>
              <w:rPr>
                <w:rFonts w:hint="eastAsia" w:eastAsia="宋体"/>
                <w:sz w:val="18"/>
                <w:szCs w:val="18"/>
                <w:lang w:eastAsia="zh-CN"/>
              </w:rPr>
            </w:pPr>
            <w:r>
              <w:rPr>
                <w:rFonts w:hint="eastAsia"/>
                <w:sz w:val="18"/>
                <w:szCs w:val="18"/>
                <w:lang w:eastAsia="zh-CN"/>
              </w:rPr>
              <w:t>坐落</w:t>
            </w:r>
          </w:p>
        </w:tc>
        <w:tc>
          <w:tcPr>
            <w:tcW w:w="874" w:type="pct"/>
            <w:vAlign w:val="center"/>
          </w:tcPr>
          <w:p>
            <w:pPr>
              <w:spacing w:line="360" w:lineRule="auto"/>
              <w:jc w:val="center"/>
              <w:rPr>
                <w:sz w:val="18"/>
                <w:szCs w:val="18"/>
              </w:rPr>
            </w:pPr>
            <w:r>
              <w:rPr>
                <w:rFonts w:hint="eastAsia"/>
                <w:sz w:val="18"/>
                <w:szCs w:val="18"/>
              </w:rPr>
              <w:t>建筑面积㎡</w:t>
            </w:r>
          </w:p>
        </w:tc>
        <w:tc>
          <w:tcPr>
            <w:tcW w:w="1104" w:type="pct"/>
            <w:vAlign w:val="center"/>
          </w:tcPr>
          <w:p>
            <w:pPr>
              <w:spacing w:line="360" w:lineRule="auto"/>
              <w:jc w:val="center"/>
              <w:rPr>
                <w:sz w:val="18"/>
                <w:szCs w:val="18"/>
              </w:rPr>
            </w:pPr>
            <w:r>
              <w:rPr>
                <w:rFonts w:hint="eastAsia"/>
                <w:sz w:val="18"/>
                <w:szCs w:val="18"/>
              </w:rPr>
              <w:t>评估单价(元/㎡)</w:t>
            </w:r>
          </w:p>
        </w:tc>
        <w:tc>
          <w:tcPr>
            <w:tcW w:w="1156" w:type="pct"/>
            <w:vAlign w:val="center"/>
          </w:tcPr>
          <w:p>
            <w:pPr>
              <w:spacing w:line="360" w:lineRule="auto"/>
              <w:jc w:val="center"/>
              <w:rPr>
                <w:sz w:val="18"/>
                <w:szCs w:val="18"/>
              </w:rPr>
            </w:pPr>
            <w:r>
              <w:rPr>
                <w:rFonts w:hint="eastAsia"/>
                <w:sz w:val="18"/>
                <w:szCs w:val="18"/>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0" w:type="pct"/>
            <w:vAlign w:val="center"/>
          </w:tcPr>
          <w:p>
            <w:pPr>
              <w:spacing w:line="360" w:lineRule="auto"/>
              <w:jc w:val="center"/>
              <w:rPr>
                <w:rFonts w:hint="default" w:eastAsia="宋体"/>
                <w:sz w:val="18"/>
                <w:szCs w:val="18"/>
                <w:lang w:val="en-US" w:eastAsia="zh-CN"/>
              </w:rPr>
            </w:pPr>
            <w:r>
              <w:rPr>
                <w:rFonts w:hint="eastAsia"/>
                <w:sz w:val="18"/>
                <w:szCs w:val="18"/>
                <w:lang w:eastAsia="zh-CN"/>
              </w:rPr>
              <w:t>3-</w:t>
            </w:r>
            <w:r>
              <w:rPr>
                <w:rFonts w:hint="eastAsia"/>
                <w:sz w:val="18"/>
                <w:szCs w:val="18"/>
                <w:lang w:val="en-US" w:eastAsia="zh-CN"/>
              </w:rPr>
              <w:t>88-221-3033</w:t>
            </w:r>
          </w:p>
        </w:tc>
        <w:tc>
          <w:tcPr>
            <w:tcW w:w="1034" w:type="pct"/>
            <w:vAlign w:val="center"/>
          </w:tcPr>
          <w:p>
            <w:pPr>
              <w:spacing w:line="360" w:lineRule="auto"/>
              <w:jc w:val="center"/>
              <w:rPr>
                <w:rFonts w:hint="eastAsia"/>
                <w:sz w:val="18"/>
                <w:szCs w:val="18"/>
                <w:lang w:val="en-US" w:eastAsia="zh-CN"/>
              </w:rPr>
            </w:pPr>
            <w:r>
              <w:rPr>
                <w:rFonts w:hint="eastAsia"/>
                <w:sz w:val="18"/>
                <w:szCs w:val="18"/>
                <w:lang w:val="en-US" w:eastAsia="zh-CN"/>
              </w:rPr>
              <w:t>鞍山市立山区灵山22所3-3-3-3</w:t>
            </w:r>
          </w:p>
        </w:tc>
        <w:tc>
          <w:tcPr>
            <w:tcW w:w="874" w:type="pct"/>
            <w:vAlign w:val="center"/>
          </w:tcPr>
          <w:p>
            <w:pPr>
              <w:spacing w:line="360" w:lineRule="auto"/>
              <w:jc w:val="center"/>
              <w:rPr>
                <w:rFonts w:hint="default" w:eastAsia="宋体"/>
                <w:sz w:val="18"/>
                <w:szCs w:val="18"/>
                <w:lang w:val="en-US" w:eastAsia="zh-CN"/>
              </w:rPr>
            </w:pPr>
            <w:r>
              <w:rPr>
                <w:rFonts w:hint="eastAsia"/>
                <w:sz w:val="18"/>
                <w:szCs w:val="18"/>
                <w:lang w:val="en-US" w:eastAsia="zh-CN"/>
              </w:rPr>
              <w:t>64.20</w:t>
            </w:r>
          </w:p>
        </w:tc>
        <w:tc>
          <w:tcPr>
            <w:tcW w:w="1104" w:type="pct"/>
            <w:vAlign w:val="center"/>
          </w:tcPr>
          <w:p>
            <w:pPr>
              <w:spacing w:line="360" w:lineRule="auto"/>
              <w:jc w:val="center"/>
              <w:rPr>
                <w:rFonts w:ascii="宋体" w:hAnsi="宋体" w:cs="宋体"/>
                <w:sz w:val="24"/>
              </w:rPr>
            </w:pPr>
            <w:r>
              <w:rPr>
                <w:rFonts w:hint="eastAsia"/>
                <w:lang w:val="en-US" w:eastAsia="zh-CN"/>
              </w:rPr>
              <w:t>1200.00</w:t>
            </w:r>
          </w:p>
        </w:tc>
        <w:tc>
          <w:tcPr>
            <w:tcW w:w="1156" w:type="pct"/>
            <w:vAlign w:val="center"/>
          </w:tcPr>
          <w:p>
            <w:pPr>
              <w:spacing w:line="360" w:lineRule="auto"/>
              <w:jc w:val="center"/>
              <w:rPr>
                <w:rFonts w:hint="eastAsia" w:ascii="宋体" w:hAnsi="宋体" w:eastAsia="宋体" w:cs="宋体"/>
                <w:sz w:val="24"/>
                <w:lang w:eastAsia="zh-CN"/>
              </w:rPr>
            </w:pPr>
            <w:r>
              <w:rPr>
                <w:rFonts w:hint="eastAsia"/>
                <w:lang w:val="en-US" w:eastAsia="zh-CN"/>
              </w:rPr>
              <w:t>77,040.00</w:t>
            </w:r>
          </w:p>
        </w:tc>
      </w:tr>
    </w:tbl>
    <w:p>
      <w:pPr>
        <w:spacing w:before="100" w:beforeAutospacing="1" w:line="360" w:lineRule="auto"/>
        <w:ind w:firstLine="562" w:firstLineChars="200"/>
        <w:outlineLvl w:val="1"/>
        <w:rPr>
          <w:rFonts w:hint="eastAsia" w:ascii="宋体" w:hAnsi="宋体"/>
          <w:b/>
          <w:bCs/>
          <w:sz w:val="28"/>
          <w:szCs w:val="28"/>
        </w:rPr>
      </w:pPr>
    </w:p>
    <w:p>
      <w:pPr>
        <w:spacing w:before="100" w:beforeAutospacing="1" w:line="360" w:lineRule="auto"/>
        <w:ind w:firstLine="562" w:firstLineChars="200"/>
        <w:outlineLvl w:val="1"/>
        <w:rPr>
          <w:rFonts w:ascii="宋体"/>
          <w:b/>
          <w:bCs/>
          <w:sz w:val="28"/>
          <w:szCs w:val="28"/>
        </w:rPr>
      </w:pPr>
      <w:bookmarkStart w:id="32" w:name="_Toc16920"/>
      <w:r>
        <w:rPr>
          <w:rFonts w:hint="eastAsia" w:ascii="宋体" w:hAnsi="宋体"/>
          <w:b/>
          <w:bCs/>
          <w:sz w:val="28"/>
          <w:szCs w:val="28"/>
        </w:rPr>
        <w:t>十一、注册房地产估价师</w:t>
      </w:r>
      <w:bookmarkEnd w:id="32"/>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175"/>
        <w:gridCol w:w="2826"/>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姓名</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注册号</w:t>
            </w:r>
          </w:p>
        </w:tc>
        <w:tc>
          <w:tcPr>
            <w:tcW w:w="1550" w:type="pct"/>
            <w:vAlign w:val="center"/>
          </w:tcPr>
          <w:p>
            <w:pPr>
              <w:spacing w:line="360" w:lineRule="auto"/>
              <w:jc w:val="center"/>
              <w:rPr>
                <w:rFonts w:ascii="宋体" w:hAnsi="宋体"/>
                <w:bCs/>
                <w:sz w:val="28"/>
                <w:szCs w:val="28"/>
              </w:rPr>
            </w:pPr>
            <w:r>
              <w:rPr>
                <w:rFonts w:hint="eastAsia" w:ascii="宋体" w:hAnsi="宋体"/>
                <w:bCs/>
                <w:sz w:val="28"/>
                <w:szCs w:val="28"/>
              </w:rPr>
              <w:t>签名</w:t>
            </w: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唐巍</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2120190143</w:t>
            </w:r>
          </w:p>
        </w:tc>
        <w:tc>
          <w:tcPr>
            <w:tcW w:w="1550" w:type="pct"/>
            <w:vAlign w:val="center"/>
          </w:tcPr>
          <w:p>
            <w:pPr>
              <w:spacing w:line="360" w:lineRule="auto"/>
              <w:jc w:val="center"/>
              <w:rPr>
                <w:rFonts w:ascii="宋体" w:hAnsi="宋体"/>
                <w:bCs/>
                <w:sz w:val="28"/>
                <w:szCs w:val="28"/>
              </w:rPr>
            </w:pP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spacing w:line="360" w:lineRule="auto"/>
              <w:jc w:val="center"/>
              <w:rPr>
                <w:rFonts w:ascii="宋体" w:hAnsi="宋体"/>
                <w:bCs/>
                <w:sz w:val="28"/>
                <w:szCs w:val="28"/>
              </w:rPr>
            </w:pPr>
            <w:r>
              <w:rPr>
                <w:rFonts w:hint="eastAsia" w:ascii="宋体" w:hAnsi="宋体"/>
                <w:bCs/>
                <w:sz w:val="28"/>
                <w:szCs w:val="28"/>
              </w:rPr>
              <w:t>杜利</w:t>
            </w:r>
          </w:p>
        </w:tc>
        <w:tc>
          <w:tcPr>
            <w:tcW w:w="1193" w:type="pct"/>
            <w:vAlign w:val="center"/>
          </w:tcPr>
          <w:p>
            <w:pPr>
              <w:spacing w:line="360" w:lineRule="auto"/>
              <w:jc w:val="center"/>
              <w:rPr>
                <w:rFonts w:ascii="宋体" w:hAnsi="宋体"/>
                <w:bCs/>
                <w:sz w:val="28"/>
                <w:szCs w:val="28"/>
              </w:rPr>
            </w:pPr>
            <w:r>
              <w:rPr>
                <w:rFonts w:hint="eastAsia" w:ascii="宋体" w:hAnsi="宋体"/>
                <w:bCs/>
                <w:sz w:val="28"/>
                <w:szCs w:val="28"/>
              </w:rPr>
              <w:t>2120080066</w:t>
            </w:r>
          </w:p>
        </w:tc>
        <w:tc>
          <w:tcPr>
            <w:tcW w:w="1550" w:type="pct"/>
            <w:vAlign w:val="center"/>
          </w:tcPr>
          <w:p>
            <w:pPr>
              <w:spacing w:line="360" w:lineRule="auto"/>
              <w:jc w:val="center"/>
              <w:rPr>
                <w:rFonts w:ascii="宋体" w:hAnsi="宋体"/>
                <w:bCs/>
                <w:sz w:val="28"/>
                <w:szCs w:val="28"/>
              </w:rPr>
            </w:pPr>
          </w:p>
        </w:tc>
        <w:tc>
          <w:tcPr>
            <w:tcW w:w="1480" w:type="pct"/>
            <w:vAlign w:val="center"/>
          </w:tcPr>
          <w:p>
            <w:pPr>
              <w:spacing w:line="360" w:lineRule="auto"/>
              <w:jc w:val="center"/>
              <w:rPr>
                <w:rFonts w:ascii="宋体" w:hAnsi="宋体"/>
                <w:bCs/>
                <w:sz w:val="28"/>
                <w:szCs w:val="28"/>
              </w:rPr>
            </w:pPr>
            <w:r>
              <w:rPr>
                <w:rFonts w:hint="eastAsia" w:ascii="宋体" w:hAnsi="宋体"/>
                <w:bCs/>
                <w:sz w:val="28"/>
                <w:szCs w:val="28"/>
              </w:rPr>
              <w:t>年  月  日</w:t>
            </w:r>
          </w:p>
        </w:tc>
      </w:tr>
    </w:tbl>
    <w:p>
      <w:pPr>
        <w:pStyle w:val="3"/>
        <w:spacing w:before="100" w:beforeAutospacing="1" w:after="0" w:line="360" w:lineRule="auto"/>
        <w:rPr>
          <w:rFonts w:hint="eastAsia" w:ascii="宋体" w:hAnsi="宋体" w:eastAsia="黑体"/>
          <w:b w:val="0"/>
          <w:bCs w:val="0"/>
          <w:sz w:val="28"/>
          <w:szCs w:val="28"/>
          <w:lang w:val="en-US" w:eastAsia="zh-CN"/>
        </w:rPr>
      </w:pPr>
      <w:bookmarkStart w:id="33" w:name="_Toc3311"/>
      <w:bookmarkStart w:id="34" w:name="_Toc20873"/>
      <w:r>
        <w:rPr>
          <w:rFonts w:hint="eastAsia" w:ascii="宋体" w:hAnsi="宋体"/>
          <w:b w:val="0"/>
          <w:bCs w:val="0"/>
          <w:sz w:val="28"/>
          <w:szCs w:val="28"/>
          <w:lang w:val="en-US" w:eastAsia="zh-CN"/>
        </w:rPr>
        <w:t>项目负责人：唐巍</w:t>
      </w:r>
      <w:bookmarkEnd w:id="33"/>
      <w:bookmarkEnd w:id="34"/>
    </w:p>
    <w:p>
      <w:pPr>
        <w:pStyle w:val="3"/>
        <w:spacing w:before="100" w:beforeAutospacing="1" w:after="0" w:line="360" w:lineRule="auto"/>
        <w:rPr>
          <w:rFonts w:ascii="宋体" w:hAnsi="宋体"/>
          <w:b w:val="0"/>
          <w:bCs w:val="0"/>
          <w:sz w:val="28"/>
          <w:szCs w:val="28"/>
        </w:rPr>
      </w:pPr>
      <w:bookmarkStart w:id="35" w:name="_Toc10903"/>
      <w:r>
        <w:rPr>
          <w:rFonts w:hint="eastAsia" w:ascii="宋体" w:hAnsi="宋体"/>
          <w:b w:val="0"/>
          <w:bCs w:val="0"/>
          <w:sz w:val="28"/>
          <w:szCs w:val="28"/>
        </w:rPr>
        <w:t>十二、实地查勘期</w:t>
      </w:r>
      <w:bookmarkEnd w:id="35"/>
    </w:p>
    <w:p>
      <w:pPr>
        <w:spacing w:line="360" w:lineRule="auto"/>
        <w:ind w:firstLine="411" w:firstLineChars="147"/>
        <w:rPr>
          <w:rFonts w:hint="eastAsia" w:ascii="宋体" w:hAnsi="宋体" w:eastAsia="宋体"/>
          <w:b/>
          <w:bCs/>
          <w:sz w:val="28"/>
          <w:szCs w:val="28"/>
          <w:lang w:eastAsia="zh-CN"/>
        </w:rPr>
      </w:pPr>
      <w:r>
        <w:rPr>
          <w:rFonts w:hint="eastAsia" w:ascii="宋体" w:hAnsi="宋体"/>
          <w:bCs/>
          <w:sz w:val="28"/>
          <w:szCs w:val="28"/>
          <w:lang w:eastAsia="zh-CN"/>
        </w:rPr>
        <w:t>2020年12月11日</w:t>
      </w:r>
    </w:p>
    <w:p>
      <w:pPr>
        <w:spacing w:before="100" w:beforeAutospacing="1" w:line="360" w:lineRule="auto"/>
        <w:outlineLvl w:val="1"/>
        <w:rPr>
          <w:rFonts w:ascii="宋体" w:hAnsi="宋体"/>
          <w:b/>
          <w:bCs/>
          <w:sz w:val="28"/>
          <w:szCs w:val="28"/>
        </w:rPr>
      </w:pPr>
      <w:bookmarkStart w:id="36" w:name="_Toc21757"/>
      <w:bookmarkStart w:id="37" w:name="_Toc275961680"/>
      <w:bookmarkStart w:id="38" w:name="_Toc1026543"/>
      <w:r>
        <w:rPr>
          <w:rFonts w:hint="eastAsia" w:ascii="宋体" w:hAnsi="宋体"/>
          <w:b/>
          <w:bCs/>
          <w:sz w:val="28"/>
          <w:szCs w:val="28"/>
        </w:rPr>
        <w:t>十三、估价作业日期</w:t>
      </w:r>
      <w:bookmarkEnd w:id="36"/>
      <w:bookmarkEnd w:id="37"/>
      <w:bookmarkEnd w:id="38"/>
    </w:p>
    <w:p>
      <w:pPr>
        <w:snapToGrid w:val="0"/>
        <w:spacing w:before="100" w:beforeAutospacing="1" w:line="360" w:lineRule="auto"/>
        <w:ind w:right="238" w:firstLine="560" w:firstLineChars="200"/>
        <w:rPr>
          <w:rFonts w:ascii="宋体" w:hAnsi="宋体"/>
          <w:bCs/>
          <w:color w:val="000000"/>
          <w:spacing w:val="2"/>
          <w:sz w:val="28"/>
          <w:szCs w:val="28"/>
        </w:rPr>
      </w:pPr>
      <w:r>
        <w:rPr>
          <w:rFonts w:hint="eastAsia" w:ascii="宋体" w:hAnsi="宋体"/>
          <w:bCs/>
          <w:sz w:val="28"/>
          <w:szCs w:val="28"/>
          <w:lang w:eastAsia="zh-CN"/>
        </w:rPr>
        <w:t>2020年12月11日</w:t>
      </w:r>
      <w:r>
        <w:rPr>
          <w:rFonts w:hint="eastAsia" w:ascii="宋体" w:hAnsi="宋体"/>
          <w:bCs/>
          <w:sz w:val="28"/>
          <w:szCs w:val="28"/>
        </w:rPr>
        <w:t>至</w:t>
      </w:r>
      <w:r>
        <w:rPr>
          <w:rFonts w:hint="eastAsia" w:ascii="宋体" w:hAnsi="宋体"/>
          <w:bCs/>
          <w:sz w:val="28"/>
          <w:szCs w:val="28"/>
          <w:highlight w:val="none"/>
          <w:lang w:eastAsia="zh-CN"/>
        </w:rPr>
        <w:t>202</w:t>
      </w:r>
      <w:r>
        <w:rPr>
          <w:rFonts w:hint="eastAsia" w:ascii="宋体" w:hAnsi="宋体"/>
          <w:bCs/>
          <w:sz w:val="28"/>
          <w:szCs w:val="28"/>
          <w:highlight w:val="none"/>
          <w:lang w:val="en-US" w:eastAsia="zh-CN"/>
        </w:rPr>
        <w:t>1</w:t>
      </w:r>
      <w:r>
        <w:rPr>
          <w:rFonts w:hint="eastAsia" w:ascii="宋体" w:hAnsi="宋体"/>
          <w:bCs/>
          <w:sz w:val="28"/>
          <w:szCs w:val="28"/>
          <w:highlight w:val="none"/>
          <w:lang w:eastAsia="zh-CN"/>
        </w:rPr>
        <w:t>年</w:t>
      </w:r>
      <w:r>
        <w:rPr>
          <w:rFonts w:hint="eastAsia" w:ascii="宋体" w:hAnsi="宋体"/>
          <w:bCs/>
          <w:sz w:val="28"/>
          <w:szCs w:val="28"/>
          <w:highlight w:val="none"/>
          <w:lang w:val="en-US" w:eastAsia="zh-CN"/>
        </w:rPr>
        <w:t>1</w:t>
      </w:r>
      <w:r>
        <w:rPr>
          <w:rFonts w:hint="eastAsia" w:ascii="宋体" w:hAnsi="宋体"/>
          <w:bCs/>
          <w:sz w:val="28"/>
          <w:szCs w:val="28"/>
          <w:highlight w:val="none"/>
          <w:lang w:eastAsia="zh-CN"/>
        </w:rPr>
        <w:t>月</w:t>
      </w:r>
      <w:r>
        <w:rPr>
          <w:rFonts w:hint="eastAsia" w:ascii="宋体" w:hAnsi="宋体"/>
          <w:bCs/>
          <w:sz w:val="28"/>
          <w:szCs w:val="28"/>
          <w:highlight w:val="none"/>
          <w:lang w:val="en-US" w:eastAsia="zh-CN"/>
        </w:rPr>
        <w:t>5</w:t>
      </w:r>
      <w:r>
        <w:rPr>
          <w:rFonts w:hint="eastAsia" w:ascii="宋体" w:hAnsi="宋体"/>
          <w:bCs/>
          <w:sz w:val="28"/>
          <w:szCs w:val="28"/>
          <w:highlight w:val="none"/>
          <w:lang w:eastAsia="zh-CN"/>
        </w:rPr>
        <w:t>日</w:t>
      </w:r>
      <w:r>
        <w:rPr>
          <w:rFonts w:hint="eastAsia" w:ascii="宋体" w:hAnsi="宋体"/>
          <w:bCs/>
          <w:color w:val="000000"/>
          <w:spacing w:val="2"/>
          <w:sz w:val="28"/>
          <w:szCs w:val="28"/>
        </w:rPr>
        <w:t>。</w:t>
      </w:r>
    </w:p>
    <w:p>
      <w:pPr>
        <w:spacing w:before="100" w:beforeAutospacing="1" w:line="360" w:lineRule="auto"/>
        <w:outlineLvl w:val="1"/>
        <w:rPr>
          <w:rFonts w:ascii="宋体" w:hAnsi="宋体"/>
          <w:b/>
          <w:bCs/>
          <w:sz w:val="28"/>
          <w:szCs w:val="28"/>
        </w:rPr>
      </w:pPr>
      <w:bookmarkStart w:id="39" w:name="_Toc1026544"/>
      <w:bookmarkStart w:id="40" w:name="_Toc41917692"/>
      <w:bookmarkStart w:id="41" w:name="_Toc275961681"/>
      <w:bookmarkStart w:id="42" w:name="_Toc4613"/>
      <w:r>
        <w:rPr>
          <w:rFonts w:hint="eastAsia" w:ascii="宋体" w:hAnsi="宋体"/>
          <w:b/>
          <w:bCs/>
          <w:sz w:val="28"/>
          <w:szCs w:val="28"/>
        </w:rPr>
        <w:t>十四、估价报告使用期限</w:t>
      </w:r>
      <w:bookmarkEnd w:id="39"/>
      <w:bookmarkEnd w:id="40"/>
      <w:bookmarkEnd w:id="41"/>
      <w:bookmarkEnd w:id="42"/>
    </w:p>
    <w:p>
      <w:pPr>
        <w:spacing w:line="360" w:lineRule="auto"/>
        <w:ind w:firstLine="826" w:firstLineChars="295"/>
        <w:rPr>
          <w:rFonts w:ascii="宋体"/>
          <w:b/>
          <w:bCs/>
          <w:sz w:val="28"/>
          <w:szCs w:val="28"/>
        </w:rPr>
      </w:pPr>
      <w:r>
        <w:rPr>
          <w:rFonts w:hint="eastAsia" w:ascii="宋体" w:hAnsi="宋体"/>
          <w:sz w:val="28"/>
          <w:szCs w:val="28"/>
        </w:rPr>
        <w:t>本评估结果自报告提出之日起一年内有效，即：</w:t>
      </w:r>
      <w:r>
        <w:rPr>
          <w:rFonts w:hint="eastAsia" w:ascii="宋体" w:hAnsi="宋体"/>
          <w:sz w:val="28"/>
          <w:szCs w:val="28"/>
          <w:highlight w:val="none"/>
        </w:rPr>
        <w:t>自</w:t>
      </w:r>
      <w:r>
        <w:rPr>
          <w:rFonts w:hint="eastAsia" w:ascii="宋体" w:hAnsi="宋体"/>
          <w:sz w:val="28"/>
          <w:szCs w:val="28"/>
          <w:highlight w:val="none"/>
          <w:lang w:eastAsia="zh-CN"/>
        </w:rPr>
        <w:t>202</w:t>
      </w:r>
      <w:r>
        <w:rPr>
          <w:rFonts w:hint="eastAsia" w:ascii="宋体" w:hAnsi="宋体"/>
          <w:sz w:val="28"/>
          <w:szCs w:val="28"/>
          <w:highlight w:val="none"/>
          <w:lang w:val="en-US" w:eastAsia="zh-CN"/>
        </w:rPr>
        <w:t>1</w:t>
      </w:r>
      <w:r>
        <w:rPr>
          <w:rFonts w:hint="eastAsia" w:ascii="宋体" w:hAnsi="宋体"/>
          <w:sz w:val="28"/>
          <w:szCs w:val="28"/>
          <w:highlight w:val="none"/>
          <w:lang w:eastAsia="zh-CN"/>
        </w:rPr>
        <w:t>年</w:t>
      </w:r>
      <w:r>
        <w:rPr>
          <w:rFonts w:hint="eastAsia" w:ascii="宋体" w:hAnsi="宋体"/>
          <w:sz w:val="28"/>
          <w:szCs w:val="28"/>
          <w:highlight w:val="none"/>
          <w:lang w:val="en-US" w:eastAsia="zh-CN"/>
        </w:rPr>
        <w:t>1</w:t>
      </w:r>
      <w:r>
        <w:rPr>
          <w:rFonts w:hint="eastAsia" w:ascii="宋体" w:hAnsi="宋体"/>
          <w:sz w:val="28"/>
          <w:szCs w:val="28"/>
          <w:highlight w:val="none"/>
          <w:lang w:eastAsia="zh-CN"/>
        </w:rPr>
        <w:t>月</w:t>
      </w:r>
      <w:r>
        <w:rPr>
          <w:rFonts w:hint="eastAsia" w:ascii="宋体" w:hAnsi="宋体"/>
          <w:sz w:val="28"/>
          <w:szCs w:val="28"/>
          <w:highlight w:val="none"/>
          <w:lang w:val="en-US" w:eastAsia="zh-CN"/>
        </w:rPr>
        <w:t>5</w:t>
      </w:r>
      <w:r>
        <w:rPr>
          <w:rFonts w:hint="eastAsia" w:ascii="宋体" w:hAnsi="宋体"/>
          <w:sz w:val="28"/>
          <w:szCs w:val="28"/>
          <w:highlight w:val="none"/>
          <w:lang w:eastAsia="zh-CN"/>
        </w:rPr>
        <w:t>日</w:t>
      </w:r>
      <w:r>
        <w:rPr>
          <w:rFonts w:hint="eastAsia" w:ascii="宋体" w:hAnsi="宋体"/>
          <w:sz w:val="28"/>
          <w:szCs w:val="28"/>
          <w:highlight w:val="none"/>
        </w:rPr>
        <w:t>至202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w:t>
      </w:r>
      <w:r>
        <w:rPr>
          <w:rFonts w:hint="eastAsia" w:ascii="宋体" w:hAnsi="宋体"/>
          <w:sz w:val="28"/>
          <w:szCs w:val="28"/>
          <w:highlight w:val="none"/>
        </w:rPr>
        <w:t>月</w:t>
      </w:r>
      <w:r>
        <w:rPr>
          <w:rFonts w:hint="eastAsia" w:ascii="宋体" w:hAnsi="宋体"/>
          <w:sz w:val="28"/>
          <w:szCs w:val="28"/>
          <w:highlight w:val="none"/>
          <w:lang w:val="en-US" w:eastAsia="zh-CN"/>
        </w:rPr>
        <w:t>4</w:t>
      </w:r>
      <w:r>
        <w:rPr>
          <w:rFonts w:hint="eastAsia" w:ascii="宋体" w:hAnsi="宋体"/>
          <w:sz w:val="28"/>
          <w:szCs w:val="28"/>
          <w:highlight w:val="none"/>
        </w:rPr>
        <w:t>日</w:t>
      </w:r>
      <w:r>
        <w:rPr>
          <w:rFonts w:hint="eastAsia" w:ascii="宋体" w:hAnsi="宋体"/>
          <w:sz w:val="28"/>
          <w:szCs w:val="28"/>
        </w:rPr>
        <w:t>。</w:t>
      </w:r>
    </w:p>
    <w:p>
      <w:pPr>
        <w:spacing w:line="360" w:lineRule="auto"/>
        <w:ind w:firstLine="562" w:firstLineChars="200"/>
        <w:outlineLvl w:val="0"/>
        <w:rPr>
          <w:rFonts w:hint="eastAsia"/>
          <w:b/>
          <w:bCs/>
          <w:sz w:val="28"/>
          <w:szCs w:val="28"/>
        </w:rPr>
      </w:pPr>
      <w:bookmarkStart w:id="43" w:name="_Toc20341"/>
    </w:p>
    <w:p>
      <w:pPr>
        <w:spacing w:line="360" w:lineRule="auto"/>
        <w:ind w:firstLine="562" w:firstLineChars="200"/>
        <w:outlineLvl w:val="0"/>
        <w:rPr>
          <w:rFonts w:hint="eastAsia"/>
          <w:b/>
          <w:bCs/>
          <w:sz w:val="28"/>
          <w:szCs w:val="28"/>
        </w:rPr>
      </w:pPr>
    </w:p>
    <w:p>
      <w:pPr>
        <w:spacing w:line="360" w:lineRule="auto"/>
        <w:ind w:firstLine="562" w:firstLineChars="200"/>
        <w:outlineLvl w:val="0"/>
        <w:rPr>
          <w:rFonts w:hint="eastAsia"/>
          <w:b/>
          <w:bCs/>
          <w:sz w:val="28"/>
          <w:szCs w:val="28"/>
        </w:rPr>
      </w:pPr>
    </w:p>
    <w:p>
      <w:pPr>
        <w:spacing w:line="360" w:lineRule="auto"/>
        <w:ind w:firstLine="562" w:firstLineChars="200"/>
        <w:outlineLvl w:val="0"/>
        <w:rPr>
          <w:rFonts w:hint="eastAsia"/>
          <w:b/>
          <w:bCs/>
          <w:sz w:val="28"/>
          <w:szCs w:val="28"/>
        </w:rPr>
      </w:pPr>
    </w:p>
    <w:p>
      <w:pPr>
        <w:spacing w:line="360" w:lineRule="auto"/>
        <w:ind w:firstLine="562" w:firstLineChars="200"/>
        <w:outlineLvl w:val="0"/>
        <w:rPr>
          <w:rFonts w:hint="eastAsia"/>
          <w:b/>
          <w:bCs/>
          <w:sz w:val="28"/>
          <w:szCs w:val="28"/>
        </w:rPr>
      </w:pPr>
    </w:p>
    <w:p>
      <w:pPr>
        <w:spacing w:line="360" w:lineRule="auto"/>
        <w:ind w:firstLine="562" w:firstLineChars="200"/>
        <w:outlineLvl w:val="0"/>
        <w:rPr>
          <w:rFonts w:hint="eastAsia"/>
          <w:b/>
          <w:bCs/>
          <w:sz w:val="28"/>
          <w:szCs w:val="28"/>
        </w:rPr>
      </w:pPr>
    </w:p>
    <w:p>
      <w:pPr>
        <w:spacing w:line="360" w:lineRule="auto"/>
        <w:ind w:firstLine="562" w:firstLineChars="200"/>
        <w:outlineLvl w:val="0"/>
        <w:rPr>
          <w:b/>
          <w:bCs/>
          <w:sz w:val="28"/>
          <w:szCs w:val="28"/>
        </w:rPr>
      </w:pPr>
      <w:bookmarkStart w:id="44" w:name="_GoBack"/>
      <w:bookmarkEnd w:id="44"/>
      <w:r>
        <w:rPr>
          <w:rFonts w:hint="eastAsia"/>
          <w:b/>
          <w:bCs/>
          <w:sz w:val="28"/>
          <w:szCs w:val="28"/>
        </w:rPr>
        <w:t>附件：</w:t>
      </w:r>
      <w:bookmarkEnd w:id="43"/>
    </w:p>
    <w:p>
      <w:pPr>
        <w:numPr>
          <w:ilvl w:val="0"/>
          <w:numId w:val="3"/>
        </w:numPr>
        <w:spacing w:line="360" w:lineRule="auto"/>
        <w:rPr>
          <w:rFonts w:ascii="宋体"/>
          <w:sz w:val="28"/>
          <w:szCs w:val="28"/>
        </w:rPr>
      </w:pPr>
      <w:r>
        <w:rPr>
          <w:rFonts w:hint="eastAsia" w:ascii="宋体" w:hAnsi="宋体"/>
          <w:sz w:val="28"/>
          <w:szCs w:val="28"/>
        </w:rPr>
        <w:t>辽宁俊隆房地产土地资产评估有限责任公司营业执照复印件；</w:t>
      </w:r>
    </w:p>
    <w:p>
      <w:pPr>
        <w:numPr>
          <w:ilvl w:val="0"/>
          <w:numId w:val="3"/>
        </w:numPr>
        <w:spacing w:line="360" w:lineRule="auto"/>
        <w:rPr>
          <w:rFonts w:ascii="宋体"/>
          <w:sz w:val="28"/>
          <w:szCs w:val="28"/>
        </w:rPr>
      </w:pPr>
      <w:r>
        <w:rPr>
          <w:rFonts w:hint="eastAsia" w:ascii="宋体" w:hAnsi="宋体"/>
          <w:sz w:val="28"/>
          <w:szCs w:val="28"/>
        </w:rPr>
        <w:t>辽宁俊隆房地产土地资产评估有限责任公司评估机构资格证书复印件；</w:t>
      </w:r>
    </w:p>
    <w:p>
      <w:pPr>
        <w:numPr>
          <w:ilvl w:val="0"/>
          <w:numId w:val="3"/>
        </w:numPr>
        <w:spacing w:line="360" w:lineRule="auto"/>
        <w:rPr>
          <w:rFonts w:ascii="宋体"/>
          <w:sz w:val="28"/>
          <w:szCs w:val="28"/>
        </w:rPr>
      </w:pPr>
      <w:r>
        <w:rPr>
          <w:rFonts w:hint="eastAsia" w:ascii="宋体" w:hAnsi="宋体"/>
          <w:sz w:val="28"/>
          <w:szCs w:val="28"/>
        </w:rPr>
        <w:t>注册房地产估价师证书复印件；</w:t>
      </w:r>
    </w:p>
    <w:p>
      <w:pPr>
        <w:numPr>
          <w:ilvl w:val="0"/>
          <w:numId w:val="3"/>
        </w:numPr>
        <w:spacing w:line="360" w:lineRule="auto"/>
        <w:rPr>
          <w:rFonts w:ascii="宋体"/>
          <w:sz w:val="28"/>
          <w:szCs w:val="28"/>
        </w:rPr>
      </w:pPr>
      <w:r>
        <w:rPr>
          <w:rFonts w:hint="eastAsia" w:ascii="宋体" w:hAnsi="宋体"/>
          <w:sz w:val="28"/>
          <w:szCs w:val="28"/>
        </w:rPr>
        <w:t>《</w:t>
      </w:r>
      <w:r>
        <w:rPr>
          <w:rFonts w:hint="eastAsia" w:ascii="宋体" w:hAnsi="宋体"/>
          <w:sz w:val="28"/>
          <w:szCs w:val="28"/>
          <w:lang w:eastAsia="zh-CN"/>
        </w:rPr>
        <w:t>司法鉴定评估委托书</w:t>
      </w:r>
      <w:r>
        <w:rPr>
          <w:rFonts w:hint="eastAsia" w:ascii="宋体" w:hAnsi="宋体"/>
          <w:sz w:val="28"/>
          <w:szCs w:val="28"/>
        </w:rPr>
        <w:t>》</w:t>
      </w:r>
      <w:r>
        <w:rPr>
          <w:rFonts w:hint="eastAsia" w:ascii="宋体" w:hAnsi="宋体"/>
          <w:sz w:val="28"/>
          <w:szCs w:val="28"/>
          <w:lang w:eastAsia="zh-CN"/>
        </w:rPr>
        <w:t>（2020）辽03司辅委263号</w:t>
      </w:r>
      <w:r>
        <w:rPr>
          <w:rFonts w:hint="eastAsia" w:ascii="宋体" w:hAnsi="宋体"/>
          <w:sz w:val="28"/>
          <w:szCs w:val="28"/>
        </w:rPr>
        <w:t>；</w:t>
      </w:r>
    </w:p>
    <w:p>
      <w:pPr>
        <w:numPr>
          <w:ilvl w:val="0"/>
          <w:numId w:val="3"/>
        </w:numPr>
        <w:spacing w:line="360" w:lineRule="auto"/>
        <w:rPr>
          <w:rFonts w:ascii="宋体"/>
          <w:sz w:val="28"/>
          <w:szCs w:val="28"/>
        </w:rPr>
      </w:pPr>
      <w:r>
        <w:rPr>
          <w:rFonts w:hint="eastAsia" w:ascii="宋体" w:hAnsi="宋体"/>
          <w:sz w:val="28"/>
          <w:szCs w:val="28"/>
        </w:rPr>
        <w:t>委托方提供的资料复印件；</w:t>
      </w:r>
    </w:p>
    <w:p>
      <w:pPr>
        <w:numPr>
          <w:ilvl w:val="0"/>
          <w:numId w:val="3"/>
        </w:numPr>
        <w:spacing w:line="360" w:lineRule="auto"/>
        <w:rPr>
          <w:rFonts w:ascii="宋体"/>
          <w:sz w:val="28"/>
          <w:szCs w:val="28"/>
        </w:rPr>
      </w:pPr>
      <w:r>
        <w:rPr>
          <w:rFonts w:hint="eastAsia" w:ascii="宋体" w:hAnsi="宋体"/>
          <w:sz w:val="28"/>
          <w:szCs w:val="28"/>
        </w:rPr>
        <w:t>估价对象照片；</w:t>
      </w:r>
    </w:p>
    <w:p>
      <w:pPr>
        <w:numPr>
          <w:ilvl w:val="0"/>
          <w:numId w:val="3"/>
        </w:numPr>
        <w:spacing w:line="360" w:lineRule="auto"/>
        <w:rPr>
          <w:rFonts w:hint="eastAsia" w:ascii="宋体" w:hAnsi="宋体"/>
          <w:sz w:val="28"/>
          <w:szCs w:val="28"/>
        </w:rPr>
      </w:pPr>
      <w:r>
        <w:rPr>
          <w:rFonts w:hint="eastAsia" w:ascii="宋体" w:hAnsi="宋体"/>
          <w:sz w:val="28"/>
          <w:szCs w:val="28"/>
        </w:rPr>
        <w:t>估价对象位置图。</w:t>
      </w:r>
    </w:p>
    <w:sectPr>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9"/>
      <w:pBdr>
        <w:top w:val="single" w:color="auto" w:sz="4" w:space="1"/>
      </w:pBdr>
      <w:ind w:right="360"/>
    </w:pPr>
    <w:r>
      <w:rPr>
        <w:rFonts w:ascii="宋体"/>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宋体" w:hAnsi="宋体"/>
        <w:bCs/>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2201877" o:spid="_x0000_s4097" o:spt="136" type="#_x0000_t136" style="position:absolute;left:0pt;height:24.65pt;width:567.8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focussize="0,0"/>
          <v:stroke on="f"/>
          <v:imagedata o:title=""/>
          <o:lock v:ext="edit"/>
          <v:textpath on="t" fitshape="t" fitpath="t" trim="t" xscale="f" string="非正式报告，不得用于抵押登记，不得作为贷款依据"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5B8"/>
    <w:multiLevelType w:val="multilevel"/>
    <w:tmpl w:val="565A15B8"/>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1">
    <w:nsid w:val="68E01FC9"/>
    <w:multiLevelType w:val="multilevel"/>
    <w:tmpl w:val="68E01FC9"/>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6F277BC5"/>
    <w:multiLevelType w:val="multilevel"/>
    <w:tmpl w:val="6F277BC5"/>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B72E9"/>
    <w:rsid w:val="00165B6D"/>
    <w:rsid w:val="0020665B"/>
    <w:rsid w:val="002619B8"/>
    <w:rsid w:val="002744DA"/>
    <w:rsid w:val="00284EB5"/>
    <w:rsid w:val="002C73F0"/>
    <w:rsid w:val="002E0ACA"/>
    <w:rsid w:val="00321FCF"/>
    <w:rsid w:val="00397A1F"/>
    <w:rsid w:val="003F4C48"/>
    <w:rsid w:val="004419DA"/>
    <w:rsid w:val="00495ED1"/>
    <w:rsid w:val="00540819"/>
    <w:rsid w:val="005E21E5"/>
    <w:rsid w:val="006948BA"/>
    <w:rsid w:val="00694CBC"/>
    <w:rsid w:val="007012A3"/>
    <w:rsid w:val="008D384B"/>
    <w:rsid w:val="00906BB5"/>
    <w:rsid w:val="009643F7"/>
    <w:rsid w:val="009954A0"/>
    <w:rsid w:val="00A12180"/>
    <w:rsid w:val="00A335C7"/>
    <w:rsid w:val="00A3448B"/>
    <w:rsid w:val="00A61226"/>
    <w:rsid w:val="00B0008D"/>
    <w:rsid w:val="00B0280A"/>
    <w:rsid w:val="00B03DF3"/>
    <w:rsid w:val="00B2269A"/>
    <w:rsid w:val="00B618EB"/>
    <w:rsid w:val="00B72EE6"/>
    <w:rsid w:val="00BE4F82"/>
    <w:rsid w:val="00C30564"/>
    <w:rsid w:val="00D127A5"/>
    <w:rsid w:val="00D205FF"/>
    <w:rsid w:val="00D67581"/>
    <w:rsid w:val="00E25916"/>
    <w:rsid w:val="00E2649E"/>
    <w:rsid w:val="00F03549"/>
    <w:rsid w:val="00F84195"/>
    <w:rsid w:val="036938A2"/>
    <w:rsid w:val="076523AB"/>
    <w:rsid w:val="0C896ADD"/>
    <w:rsid w:val="0C8A6754"/>
    <w:rsid w:val="1A6F306C"/>
    <w:rsid w:val="2F9279A0"/>
    <w:rsid w:val="36FA4632"/>
    <w:rsid w:val="405F5B5A"/>
    <w:rsid w:val="4A4B34F0"/>
    <w:rsid w:val="5A703DF6"/>
    <w:rsid w:val="71426C21"/>
    <w:rsid w:val="7FD6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22"/>
    <w:qFormat/>
    <w:uiPriority w:val="99"/>
    <w:pPr>
      <w:jc w:val="center"/>
    </w:pPr>
    <w:rPr>
      <w:rFonts w:ascii="楷体_GB2312" w:eastAsia="楷体_GB2312"/>
      <w:b/>
      <w:sz w:val="30"/>
      <w:szCs w:val="20"/>
    </w:rPr>
  </w:style>
  <w:style w:type="paragraph" w:styleId="5">
    <w:name w:val="Body Text Indent"/>
    <w:basedOn w:val="1"/>
    <w:link w:val="23"/>
    <w:qFormat/>
    <w:uiPriority w:val="99"/>
    <w:pPr>
      <w:spacing w:after="120"/>
      <w:ind w:left="420" w:leftChars="200"/>
    </w:pPr>
  </w:style>
  <w:style w:type="paragraph" w:styleId="6">
    <w:name w:val="Plain Text"/>
    <w:basedOn w:val="1"/>
    <w:link w:val="24"/>
    <w:qFormat/>
    <w:uiPriority w:val="99"/>
    <w:rPr>
      <w:rFonts w:ascii="宋体" w:hAnsi="Courier New"/>
      <w:szCs w:val="20"/>
    </w:rPr>
  </w:style>
  <w:style w:type="paragraph" w:styleId="7">
    <w:name w:val="Body Text Indent 2"/>
    <w:basedOn w:val="1"/>
    <w:link w:val="25"/>
    <w:qFormat/>
    <w:uiPriority w:val="0"/>
    <w:pPr>
      <w:spacing w:after="120" w:line="480" w:lineRule="auto"/>
      <w:ind w:left="420" w:leftChars="200"/>
    </w:pPr>
  </w:style>
  <w:style w:type="paragraph" w:styleId="8">
    <w:name w:val="Balloon Text"/>
    <w:basedOn w:val="1"/>
    <w:link w:val="2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776"/>
      </w:tabs>
      <w:jc w:val="distribute"/>
    </w:pPr>
  </w:style>
  <w:style w:type="paragraph" w:styleId="12">
    <w:name w:val="toc 2"/>
    <w:basedOn w:val="1"/>
    <w:next w:val="1"/>
    <w:qFormat/>
    <w:uiPriority w:val="39"/>
    <w:pPr>
      <w:ind w:left="420" w:left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rPr>
      <w:rFonts w:cs="Times New Roman"/>
    </w:rPr>
  </w:style>
  <w:style w:type="character" w:styleId="17">
    <w:name w:val="Hyperlink"/>
    <w:basedOn w:val="15"/>
    <w:qFormat/>
    <w:uiPriority w:val="99"/>
    <w:rPr>
      <w:rFonts w:cs="Times New Roman"/>
      <w:color w:val="0000FF"/>
      <w:u w:val="single"/>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标题 1 Char"/>
    <w:basedOn w:val="15"/>
    <w:link w:val="2"/>
    <w:qFormat/>
    <w:uiPriority w:val="99"/>
    <w:rPr>
      <w:rFonts w:ascii="Times New Roman" w:hAnsi="Times New Roman" w:eastAsia="宋体" w:cs="Times New Roman"/>
      <w:b/>
      <w:bCs/>
      <w:kern w:val="44"/>
      <w:sz w:val="44"/>
      <w:szCs w:val="44"/>
    </w:rPr>
  </w:style>
  <w:style w:type="character" w:customStyle="1" w:styleId="21">
    <w:name w:val="标题 2 Char"/>
    <w:basedOn w:val="15"/>
    <w:link w:val="3"/>
    <w:qFormat/>
    <w:uiPriority w:val="0"/>
    <w:rPr>
      <w:rFonts w:ascii="Arial" w:hAnsi="Arial" w:eastAsia="黑体" w:cs="Times New Roman"/>
      <w:b/>
      <w:bCs/>
      <w:sz w:val="32"/>
      <w:szCs w:val="32"/>
    </w:rPr>
  </w:style>
  <w:style w:type="character" w:customStyle="1" w:styleId="22">
    <w:name w:val="正文文本 3 Char"/>
    <w:basedOn w:val="15"/>
    <w:link w:val="4"/>
    <w:qFormat/>
    <w:uiPriority w:val="99"/>
    <w:rPr>
      <w:rFonts w:ascii="楷体_GB2312" w:hAnsi="Times New Roman" w:eastAsia="楷体_GB2312" w:cs="Times New Roman"/>
      <w:b/>
      <w:sz w:val="30"/>
      <w:szCs w:val="20"/>
    </w:rPr>
  </w:style>
  <w:style w:type="character" w:customStyle="1" w:styleId="23">
    <w:name w:val="正文文本缩进 Char"/>
    <w:basedOn w:val="15"/>
    <w:link w:val="5"/>
    <w:qFormat/>
    <w:uiPriority w:val="99"/>
    <w:rPr>
      <w:rFonts w:ascii="Times New Roman" w:hAnsi="Times New Roman" w:eastAsia="宋体" w:cs="Times New Roman"/>
      <w:szCs w:val="24"/>
    </w:rPr>
  </w:style>
  <w:style w:type="character" w:customStyle="1" w:styleId="24">
    <w:name w:val="纯文本 Char"/>
    <w:basedOn w:val="15"/>
    <w:link w:val="6"/>
    <w:qFormat/>
    <w:uiPriority w:val="99"/>
    <w:rPr>
      <w:rFonts w:ascii="宋体" w:hAnsi="Courier New" w:eastAsia="宋体" w:cs="Times New Roman"/>
      <w:szCs w:val="20"/>
    </w:rPr>
  </w:style>
  <w:style w:type="character" w:customStyle="1" w:styleId="25">
    <w:name w:val="正文文本缩进 2 Char"/>
    <w:basedOn w:val="15"/>
    <w:link w:val="7"/>
    <w:qFormat/>
    <w:uiPriority w:val="0"/>
    <w:rPr>
      <w:rFonts w:ascii="Times New Roman" w:hAnsi="Times New Roman" w:eastAsia="宋体" w:cs="Times New Roman"/>
      <w:szCs w:val="24"/>
    </w:rPr>
  </w:style>
  <w:style w:type="paragraph" w:customStyle="1" w:styleId="26">
    <w:name w:val="正文的样式"/>
    <w:basedOn w:val="1"/>
    <w:qFormat/>
    <w:uiPriority w:val="99"/>
    <w:pPr>
      <w:ind w:firstLine="735"/>
    </w:pPr>
    <w:rPr>
      <w:rFonts w:ascii="仿宋_GB2312" w:eastAsia="仿宋_GB2312"/>
      <w:sz w:val="30"/>
      <w:szCs w:val="20"/>
    </w:rPr>
  </w:style>
  <w:style w:type="character" w:customStyle="1" w:styleId="27">
    <w:name w:val="批注框文本 Char"/>
    <w:basedOn w:val="15"/>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95D5-2E07-4FD1-83AA-CEE2B6AE27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1624</Words>
  <Characters>9261</Characters>
  <Lines>77</Lines>
  <Paragraphs>21</Paragraphs>
  <TotalTime>33</TotalTime>
  <ScaleCrop>false</ScaleCrop>
  <LinksUpToDate>false</LinksUpToDate>
  <CharactersWithSpaces>10864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2020-05-29T05:37:00Z</dcterms:created>
  <dc:creator>Administrator</dc:creator>
  <cp:lastModifiedBy>卡西莫多</cp:lastModifiedBy>
  <cp:lastPrinted>2021-01-06T00:27:13Z</cp:lastPrinted>
  <dcterms:modified xsi:type="dcterms:W3CDTF">2021-01-06T00:43:14Z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