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after="100" w:line="360" w:lineRule="auto"/>
        <w:jc w:val="center"/>
        <w:rPr>
          <w:rFonts w:hint="eastAsia" w:ascii="楷体" w:hAnsi="楷体" w:eastAsia="楷体" w:cs="楷体"/>
          <w:b/>
          <w:spacing w:val="18"/>
          <w:sz w:val="36"/>
          <w:szCs w:val="36"/>
          <w:lang w:eastAsia="zh-CN"/>
        </w:rPr>
      </w:pPr>
      <w:bookmarkStart w:id="54" w:name="_GoBack"/>
    </w:p>
    <w:p>
      <w:pPr>
        <w:adjustRightInd w:val="0"/>
        <w:snapToGrid w:val="0"/>
        <w:spacing w:before="312" w:beforeLines="100" w:after="100" w:line="360" w:lineRule="auto"/>
        <w:jc w:val="center"/>
        <w:rPr>
          <w:rFonts w:hint="eastAsia" w:ascii="楷体" w:hAnsi="楷体" w:eastAsia="楷体" w:cs="楷体"/>
          <w:b/>
          <w:spacing w:val="18"/>
          <w:sz w:val="36"/>
          <w:szCs w:val="36"/>
          <w:lang w:eastAsia="zh-CN"/>
        </w:rPr>
      </w:pPr>
      <w:r>
        <w:rPr>
          <w:rFonts w:hint="eastAsia" w:ascii="楷体" w:hAnsi="楷体" w:eastAsia="楷体" w:cs="楷体"/>
          <w:b/>
          <w:spacing w:val="18"/>
          <w:sz w:val="36"/>
          <w:szCs w:val="36"/>
          <w:lang w:eastAsia="zh-CN"/>
        </w:rPr>
        <w:t xml:space="preserve">东莞市第一人民法院拟资产处置                      所涉及的刘树群                           </w:t>
      </w:r>
      <w:r>
        <w:rPr>
          <w:rFonts w:hint="eastAsia" w:ascii="楷体" w:hAnsi="楷体" w:eastAsia="楷体" w:cs="楷体"/>
          <w:b/>
          <w:spacing w:val="18"/>
          <w:sz w:val="36"/>
          <w:szCs w:val="36"/>
          <w:lang w:eastAsia="zh-CN"/>
        </w:rPr>
        <w:t xml:space="preserve">  </w:t>
      </w:r>
      <w:r>
        <w:rPr>
          <w:rFonts w:hint="eastAsia" w:ascii="楷体" w:hAnsi="楷体" w:eastAsia="楷体" w:cs="楷体"/>
          <w:b/>
          <w:spacing w:val="18"/>
          <w:sz w:val="36"/>
          <w:szCs w:val="36"/>
          <w:lang w:eastAsia="zh-CN"/>
        </w:rPr>
        <w:t xml:space="preserve">   家私电器</w:t>
      </w:r>
    </w:p>
    <w:p>
      <w:pPr>
        <w:adjustRightInd w:val="0"/>
        <w:snapToGrid w:val="0"/>
        <w:spacing w:before="312" w:beforeLines="100" w:after="120" w:line="240" w:lineRule="auto"/>
        <w:jc w:val="center"/>
        <w:rPr>
          <w:rFonts w:hint="eastAsia" w:ascii="楷体" w:hAnsi="楷体" w:eastAsia="楷体" w:cs="楷体"/>
          <w:b/>
          <w:sz w:val="84"/>
          <w:szCs w:val="84"/>
          <w:lang w:eastAsia="zh-CN"/>
        </w:rPr>
      </w:pPr>
      <w:r>
        <w:rPr>
          <w:rFonts w:hint="eastAsia" w:ascii="楷体" w:hAnsi="楷体" w:eastAsia="楷体" w:cs="楷体"/>
          <w:b/>
          <w:sz w:val="84"/>
          <w:szCs w:val="84"/>
          <w:lang w:eastAsia="zh-CN"/>
        </w:rPr>
        <w:t>资产评估报告</w:t>
      </w:r>
    </w:p>
    <w:p>
      <w:pPr>
        <w:spacing w:after="0" w:line="240" w:lineRule="auto"/>
        <w:jc w:val="center"/>
        <w:rPr>
          <w:rFonts w:hint="eastAsia" w:ascii="楷体" w:hAnsi="楷体" w:eastAsia="楷体" w:cs="楷体"/>
          <w:b/>
          <w:bCs/>
          <w:sz w:val="21"/>
          <w:szCs w:val="21"/>
          <w:lang w:eastAsia="zh-CN"/>
        </w:rPr>
      </w:pPr>
    </w:p>
    <w:p>
      <w:pPr>
        <w:spacing w:after="0" w:line="240" w:lineRule="auto"/>
        <w:jc w:val="center"/>
        <w:rPr>
          <w:rFonts w:hint="eastAsia" w:ascii="楷体" w:hAnsi="楷体" w:eastAsia="楷体" w:cs="楷体"/>
          <w:b/>
          <w:bCs/>
          <w:sz w:val="21"/>
          <w:szCs w:val="21"/>
          <w:lang w:eastAsia="zh-CN"/>
        </w:rPr>
      </w:pPr>
      <w:r>
        <w:rPr>
          <w:rFonts w:hint="eastAsia" w:ascii="楷体" w:hAnsi="楷体" w:eastAsia="楷体" w:cs="楷体"/>
          <w:b/>
          <w:bCs/>
          <w:sz w:val="21"/>
          <w:szCs w:val="21"/>
          <w:lang w:eastAsia="zh-CN"/>
        </w:rPr>
        <w:t>鹏信咨询字[2021]第F230号</w:t>
      </w:r>
    </w:p>
    <w:p>
      <w:pPr>
        <w:spacing w:after="0" w:line="240" w:lineRule="auto"/>
        <w:jc w:val="center"/>
        <w:rPr>
          <w:rFonts w:hint="eastAsia" w:ascii="楷体" w:hAnsi="楷体" w:eastAsia="楷体" w:cs="楷体"/>
          <w:b/>
          <w:bCs/>
          <w:sz w:val="21"/>
          <w:szCs w:val="21"/>
          <w:lang w:eastAsia="zh-CN"/>
        </w:rPr>
      </w:pPr>
      <w:r>
        <w:rPr>
          <w:rFonts w:hint="eastAsia" w:ascii="楷体" w:hAnsi="楷体" w:eastAsia="楷体" w:cs="楷体"/>
          <w:b/>
          <w:bCs/>
          <w:sz w:val="21"/>
          <w:szCs w:val="21"/>
          <w:lang w:eastAsia="zh-CN"/>
        </w:rPr>
        <w:t>（共1册，第1册）</w:t>
      </w:r>
    </w:p>
    <w:p>
      <w:pPr>
        <w:spacing w:after="0" w:line="240" w:lineRule="auto"/>
        <w:jc w:val="center"/>
        <w:rPr>
          <w:rFonts w:hint="eastAsia" w:ascii="楷体" w:hAnsi="楷体" w:eastAsia="楷体" w:cs="楷体"/>
          <w:b/>
          <w:bCs/>
          <w:sz w:val="21"/>
          <w:szCs w:val="21"/>
          <w:lang w:eastAsia="zh-CN"/>
        </w:rPr>
      </w:pPr>
      <w:r>
        <w:rPr>
          <w:rFonts w:hint="eastAsia" w:ascii="楷体" w:hAnsi="楷体" w:eastAsia="楷体" w:cs="楷体"/>
          <w:b/>
          <w:bCs/>
          <w:sz w:val="21"/>
          <w:szCs w:val="21"/>
          <w:lang w:eastAsia="zh-CN"/>
        </w:rPr>
        <w:t>评估基准日：2021年1月22日</w:t>
      </w:r>
    </w:p>
    <w:p>
      <w:pPr>
        <w:jc w:val="center"/>
        <w:rPr>
          <w:rFonts w:hint="eastAsia" w:ascii="楷体" w:hAnsi="楷体" w:eastAsia="楷体" w:cs="楷体"/>
          <w:b/>
          <w:bCs/>
          <w:sz w:val="21"/>
          <w:szCs w:val="21"/>
          <w:lang w:eastAsia="zh-CN"/>
        </w:rPr>
      </w:pPr>
      <w:r>
        <w:rPr>
          <w:rFonts w:hint="eastAsia" w:ascii="楷体" w:hAnsi="楷体" w:eastAsia="楷体" w:cs="楷体"/>
          <w:b/>
          <w:bCs/>
          <w:sz w:val="21"/>
          <w:szCs w:val="21"/>
          <w:lang w:eastAsia="zh-CN"/>
        </w:rPr>
        <w:t>资产评估报告日：2021年2月19日</w:t>
      </w:r>
    </w:p>
    <w:p>
      <w:pPr>
        <w:jc w:val="center"/>
        <w:rPr>
          <w:rFonts w:hint="eastAsia" w:ascii="楷体" w:hAnsi="楷体" w:eastAsia="楷体" w:cs="楷体"/>
          <w:b/>
          <w:bCs/>
          <w:sz w:val="21"/>
          <w:szCs w:val="21"/>
          <w:lang w:eastAsia="zh-CN"/>
        </w:rPr>
      </w:pPr>
    </w:p>
    <w:p>
      <w:pPr>
        <w:pStyle w:val="11"/>
        <w:spacing w:after="0" w:line="0" w:lineRule="atLeast"/>
        <w:ind w:firstLine="0"/>
        <w:jc w:val="center"/>
        <w:rPr>
          <w:rFonts w:hint="eastAsia" w:ascii="楷体" w:hAnsi="楷体" w:eastAsia="楷体" w:cs="楷体"/>
        </w:rPr>
      </w:pPr>
      <w:r>
        <w:rPr>
          <w:rFonts w:hint="eastAsia" w:ascii="楷体" w:hAnsi="楷体" w:eastAsia="楷体" w:cs="楷体"/>
          <w:lang w:eastAsia="zh-CN" w:bidi="ar-SA"/>
        </w:rPr>
        <w:drawing>
          <wp:inline distT="0" distB="0" distL="0" distR="0">
            <wp:extent cx="1585595" cy="1606550"/>
            <wp:effectExtent l="0" t="0" r="0" b="0"/>
            <wp:docPr id="2" name="图片 1"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鹏信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585595" cy="1606550"/>
                    </a:xfrm>
                    <a:prstGeom prst="rect">
                      <a:avLst/>
                    </a:prstGeom>
                    <a:noFill/>
                    <a:ln>
                      <a:noFill/>
                    </a:ln>
                  </pic:spPr>
                </pic:pic>
              </a:graphicData>
            </a:graphic>
          </wp:inline>
        </w:drawing>
      </w:r>
    </w:p>
    <w:p>
      <w:pPr>
        <w:spacing w:after="0" w:line="0" w:lineRule="atLeast"/>
        <w:jc w:val="center"/>
        <w:rPr>
          <w:rFonts w:hint="eastAsia" w:ascii="楷体" w:hAnsi="楷体" w:eastAsia="楷体" w:cs="楷体"/>
          <w:b/>
          <w:sz w:val="28"/>
          <w:szCs w:val="28"/>
          <w:lang w:eastAsia="zh-CN"/>
        </w:rPr>
      </w:pPr>
      <w:r>
        <w:rPr>
          <w:rFonts w:hint="eastAsia" w:ascii="楷体" w:hAnsi="楷体" w:eastAsia="楷体" w:cs="楷体"/>
          <w:b/>
          <w:sz w:val="28"/>
          <w:szCs w:val="28"/>
          <w:lang w:eastAsia="zh-CN"/>
        </w:rPr>
        <w:t>深圳市鹏信资产评估土地房地产估价有限公司</w:t>
      </w:r>
    </w:p>
    <w:p>
      <w:pPr>
        <w:spacing w:after="0" w:line="0" w:lineRule="atLeast"/>
        <w:jc w:val="center"/>
        <w:rPr>
          <w:rFonts w:hint="eastAsia" w:ascii="楷体" w:hAnsi="楷体" w:eastAsia="楷体" w:cs="楷体"/>
          <w:b/>
          <w:sz w:val="24"/>
          <w:szCs w:val="24"/>
          <w:lang w:eastAsia="zh-CN"/>
        </w:rPr>
      </w:pPr>
      <w:r>
        <w:rPr>
          <w:rFonts w:hint="eastAsia" w:ascii="楷体" w:hAnsi="楷体" w:eastAsia="楷体" w:cs="楷体"/>
          <w:b/>
          <w:sz w:val="24"/>
          <w:szCs w:val="24"/>
          <w:lang w:eastAsia="zh-CN"/>
        </w:rPr>
        <w:t>SHENZHEN  PENGXIN  APPRAISAL  LIMITED</w:t>
      </w:r>
    </w:p>
    <w:p>
      <w:pPr>
        <w:spacing w:after="0" w:line="0" w:lineRule="atLeast"/>
        <w:jc w:val="center"/>
        <w:rPr>
          <w:rFonts w:hint="eastAsia" w:ascii="楷体" w:hAnsi="楷体" w:eastAsia="楷体" w:cs="楷体"/>
          <w:szCs w:val="21"/>
        </w:rPr>
      </w:pPr>
      <w:r>
        <w:rPr>
          <w:rFonts w:hint="eastAsia" w:ascii="楷体" w:hAnsi="楷体" w:eastAsia="楷体" w:cs="楷体"/>
          <w:szCs w:val="21"/>
        </w:rPr>
        <w:t>中国广东省深圳市福田区福中路</w:t>
      </w:r>
      <w:r>
        <w:rPr>
          <w:rFonts w:hint="eastAsia" w:ascii="楷体" w:hAnsi="楷体" w:eastAsia="楷体" w:cs="楷体"/>
          <w:szCs w:val="21"/>
        </w:rPr>
        <w:t>29</w:t>
      </w:r>
      <w:r>
        <w:rPr>
          <w:rFonts w:hint="eastAsia" w:ascii="楷体" w:hAnsi="楷体" w:eastAsia="楷体" w:cs="楷体"/>
          <w:szCs w:val="21"/>
        </w:rPr>
        <w:t>号</w:t>
      </w:r>
      <w:r>
        <w:rPr>
          <w:rFonts w:hint="eastAsia" w:ascii="楷体" w:hAnsi="楷体" w:eastAsia="楷体" w:cs="楷体"/>
          <w:szCs w:val="21"/>
        </w:rPr>
        <w:t>(</w:t>
      </w:r>
      <w:r>
        <w:rPr>
          <w:rFonts w:hint="eastAsia" w:ascii="楷体" w:hAnsi="楷体" w:eastAsia="楷体" w:cs="楷体"/>
          <w:szCs w:val="21"/>
        </w:rPr>
        <w:t>彩田路口</w:t>
      </w:r>
      <w:r>
        <w:rPr>
          <w:rFonts w:hint="eastAsia" w:ascii="楷体" w:hAnsi="楷体" w:eastAsia="楷体" w:cs="楷体"/>
          <w:szCs w:val="21"/>
        </w:rPr>
        <w:t>)</w:t>
      </w:r>
      <w:r>
        <w:rPr>
          <w:rFonts w:hint="eastAsia" w:ascii="楷体" w:hAnsi="楷体" w:eastAsia="楷体" w:cs="楷体"/>
          <w:szCs w:val="21"/>
        </w:rPr>
        <w:t>福景大厦中座十四楼</w:t>
      </w:r>
    </w:p>
    <w:p>
      <w:pPr>
        <w:spacing w:after="0" w:line="0" w:lineRule="atLeast"/>
        <w:jc w:val="center"/>
        <w:rPr>
          <w:rFonts w:hint="eastAsia" w:ascii="楷体" w:hAnsi="楷体" w:eastAsia="楷体" w:cs="楷体"/>
          <w:sz w:val="21"/>
          <w:szCs w:val="21"/>
        </w:rPr>
      </w:pPr>
      <w:r>
        <w:rPr>
          <w:rFonts w:hint="eastAsia" w:ascii="楷体" w:hAnsi="楷体" w:eastAsia="楷体" w:cs="楷体"/>
          <w:sz w:val="21"/>
          <w:szCs w:val="21"/>
        </w:rPr>
        <w:t>F</w:t>
      </w:r>
      <w:r>
        <w:rPr>
          <w:rFonts w:hint="eastAsia" w:ascii="楷体" w:hAnsi="楷体" w:eastAsia="楷体" w:cs="楷体"/>
          <w:sz w:val="21"/>
          <w:szCs w:val="21"/>
        </w:rPr>
        <w:t>loor</w:t>
      </w:r>
      <w:r>
        <w:rPr>
          <w:rFonts w:hint="eastAsia" w:ascii="楷体" w:hAnsi="楷体" w:eastAsia="楷体" w:cs="楷体"/>
          <w:sz w:val="21"/>
          <w:szCs w:val="21"/>
        </w:rPr>
        <w:t xml:space="preserve"> 14, Middle Block,</w:t>
      </w:r>
      <w:r>
        <w:rPr>
          <w:rFonts w:hint="eastAsia" w:ascii="楷体" w:hAnsi="楷体" w:eastAsia="楷体" w:cs="楷体"/>
          <w:sz w:val="21"/>
          <w:szCs w:val="21"/>
        </w:rPr>
        <w:t xml:space="preserve"> Fujing Building</w:t>
      </w:r>
      <w:r>
        <w:rPr>
          <w:rFonts w:hint="eastAsia" w:ascii="楷体" w:hAnsi="楷体" w:eastAsia="楷体" w:cs="楷体"/>
          <w:sz w:val="21"/>
          <w:szCs w:val="21"/>
        </w:rPr>
        <w:t>, 29 Fuzhong Road, Futian District,Shenzhen, China</w:t>
      </w:r>
    </w:p>
    <w:tbl>
      <w:tblPr>
        <w:tblStyle w:val="12"/>
        <w:tblW w:w="8522" w:type="dxa"/>
        <w:tblInd w:w="0" w:type="dxa"/>
        <w:tblLayout w:type="fixed"/>
        <w:tblCellMar>
          <w:top w:w="0" w:type="dxa"/>
          <w:left w:w="108" w:type="dxa"/>
          <w:bottom w:w="0" w:type="dxa"/>
          <w:right w:w="108" w:type="dxa"/>
        </w:tblCellMar>
      </w:tblPr>
      <w:tblGrid>
        <w:gridCol w:w="288"/>
        <w:gridCol w:w="3600"/>
        <w:gridCol w:w="360"/>
        <w:gridCol w:w="3960"/>
        <w:gridCol w:w="314"/>
      </w:tblGrid>
      <w:tr>
        <w:tblPrEx>
          <w:tblCellMar>
            <w:top w:w="0" w:type="dxa"/>
            <w:left w:w="108" w:type="dxa"/>
            <w:bottom w:w="0" w:type="dxa"/>
            <w:right w:w="108" w:type="dxa"/>
          </w:tblCellMar>
        </w:tblPrEx>
        <w:tc>
          <w:tcPr>
            <w:tcW w:w="288" w:type="dxa"/>
            <w:tcBorders>
              <w:top w:val="single" w:color="auto" w:sz="4" w:space="0"/>
              <w:left w:val="nil"/>
              <w:bottom w:val="nil"/>
              <w:right w:val="nil"/>
            </w:tcBorders>
          </w:tcPr>
          <w:p>
            <w:pPr>
              <w:adjustRightInd w:val="0"/>
              <w:snapToGrid w:val="0"/>
              <w:spacing w:after="0" w:line="0" w:lineRule="atLeast"/>
              <w:rPr>
                <w:rFonts w:hint="eastAsia" w:ascii="楷体" w:hAnsi="楷体" w:eastAsia="楷体" w:cs="楷体"/>
                <w:szCs w:val="21"/>
              </w:rPr>
            </w:pPr>
          </w:p>
        </w:tc>
        <w:tc>
          <w:tcPr>
            <w:tcW w:w="3600" w:type="dxa"/>
            <w:tcBorders>
              <w:top w:val="single" w:color="auto" w:sz="4" w:space="0"/>
              <w:left w:val="nil"/>
              <w:bottom w:val="nil"/>
              <w:right w:val="nil"/>
            </w:tcBorders>
          </w:tcPr>
          <w:p>
            <w:pPr>
              <w:adjustRightInd w:val="0"/>
              <w:snapToGrid w:val="0"/>
              <w:spacing w:after="0" w:line="0" w:lineRule="atLeast"/>
              <w:rPr>
                <w:rFonts w:hint="eastAsia" w:ascii="楷体" w:hAnsi="楷体" w:eastAsia="楷体" w:cs="楷体"/>
                <w:sz w:val="21"/>
                <w:szCs w:val="21"/>
              </w:rPr>
            </w:pPr>
            <w:r>
              <w:rPr>
                <w:rFonts w:hint="eastAsia" w:ascii="楷体" w:hAnsi="楷体" w:eastAsia="楷体" w:cs="楷体"/>
                <w:sz w:val="21"/>
                <w:szCs w:val="21"/>
              </w:rPr>
              <w:t>电话(Tel):+86755-8240 6288</w:t>
            </w:r>
          </w:p>
        </w:tc>
        <w:tc>
          <w:tcPr>
            <w:tcW w:w="360" w:type="dxa"/>
            <w:tcBorders>
              <w:top w:val="single" w:color="auto" w:sz="4" w:space="0"/>
              <w:left w:val="nil"/>
              <w:bottom w:val="nil"/>
              <w:right w:val="nil"/>
            </w:tcBorders>
          </w:tcPr>
          <w:p>
            <w:pPr>
              <w:adjustRightInd w:val="0"/>
              <w:snapToGrid w:val="0"/>
              <w:spacing w:after="0" w:line="0" w:lineRule="atLeast"/>
              <w:rPr>
                <w:rFonts w:hint="eastAsia" w:ascii="楷体" w:hAnsi="楷体" w:eastAsia="楷体" w:cs="楷体"/>
                <w:sz w:val="21"/>
                <w:szCs w:val="21"/>
              </w:rPr>
            </w:pPr>
          </w:p>
        </w:tc>
        <w:tc>
          <w:tcPr>
            <w:tcW w:w="3960" w:type="dxa"/>
            <w:tcBorders>
              <w:top w:val="single" w:color="auto" w:sz="4" w:space="0"/>
              <w:left w:val="nil"/>
              <w:bottom w:val="nil"/>
              <w:right w:val="nil"/>
            </w:tcBorders>
          </w:tcPr>
          <w:p>
            <w:pPr>
              <w:adjustRightInd w:val="0"/>
              <w:snapToGrid w:val="0"/>
              <w:spacing w:after="0" w:line="0" w:lineRule="atLeast"/>
              <w:jc w:val="right"/>
              <w:rPr>
                <w:rFonts w:hint="eastAsia" w:ascii="楷体" w:hAnsi="楷体" w:eastAsia="楷体" w:cs="楷体"/>
                <w:sz w:val="21"/>
                <w:szCs w:val="21"/>
              </w:rPr>
            </w:pPr>
            <w:r>
              <w:rPr>
                <w:rFonts w:hint="eastAsia" w:ascii="楷体" w:hAnsi="楷体" w:eastAsia="楷体" w:cs="楷体"/>
                <w:sz w:val="21"/>
                <w:szCs w:val="21"/>
              </w:rPr>
              <w:t>传真(Fax):+86755-8242 0222</w:t>
            </w:r>
          </w:p>
        </w:tc>
        <w:tc>
          <w:tcPr>
            <w:tcW w:w="314" w:type="dxa"/>
            <w:tcBorders>
              <w:top w:val="single" w:color="auto" w:sz="4" w:space="0"/>
              <w:left w:val="nil"/>
              <w:bottom w:val="nil"/>
              <w:right w:val="nil"/>
            </w:tcBorders>
          </w:tcPr>
          <w:p>
            <w:pPr>
              <w:adjustRightInd w:val="0"/>
              <w:snapToGrid w:val="0"/>
              <w:spacing w:after="0" w:line="0" w:lineRule="atLeast"/>
              <w:rPr>
                <w:rFonts w:hint="eastAsia" w:ascii="楷体" w:hAnsi="楷体" w:eastAsia="楷体" w:cs="楷体"/>
                <w:szCs w:val="21"/>
              </w:rPr>
            </w:pPr>
          </w:p>
        </w:tc>
      </w:tr>
      <w:tr>
        <w:tblPrEx>
          <w:tblCellMar>
            <w:top w:w="0" w:type="dxa"/>
            <w:left w:w="108" w:type="dxa"/>
            <w:bottom w:w="0" w:type="dxa"/>
            <w:right w:w="108" w:type="dxa"/>
          </w:tblCellMar>
        </w:tblPrEx>
        <w:tc>
          <w:tcPr>
            <w:tcW w:w="288" w:type="dxa"/>
          </w:tcPr>
          <w:p>
            <w:pPr>
              <w:adjustRightInd w:val="0"/>
              <w:snapToGrid w:val="0"/>
              <w:spacing w:after="0" w:line="0" w:lineRule="atLeast"/>
              <w:rPr>
                <w:rFonts w:hint="eastAsia" w:ascii="楷体" w:hAnsi="楷体" w:eastAsia="楷体" w:cs="楷体"/>
                <w:szCs w:val="21"/>
              </w:rPr>
            </w:pPr>
          </w:p>
        </w:tc>
        <w:tc>
          <w:tcPr>
            <w:tcW w:w="3600" w:type="dxa"/>
          </w:tcPr>
          <w:p>
            <w:pPr>
              <w:adjustRightInd w:val="0"/>
              <w:snapToGrid w:val="0"/>
              <w:spacing w:after="0" w:line="0" w:lineRule="atLeast"/>
              <w:rPr>
                <w:rFonts w:hint="eastAsia" w:ascii="楷体" w:hAnsi="楷体" w:eastAsia="楷体" w:cs="楷体"/>
                <w:sz w:val="21"/>
                <w:szCs w:val="21"/>
              </w:rPr>
            </w:pPr>
            <w:r>
              <w:rPr>
                <w:rFonts w:hint="eastAsia" w:ascii="楷体" w:hAnsi="楷体" w:eastAsia="楷体" w:cs="楷体"/>
                <w:sz w:val="21"/>
                <w:szCs w:val="21"/>
              </w:rPr>
              <w:t>直线(Dir):+86755-8240 3555</w:t>
            </w:r>
          </w:p>
        </w:tc>
        <w:tc>
          <w:tcPr>
            <w:tcW w:w="360" w:type="dxa"/>
          </w:tcPr>
          <w:p>
            <w:pPr>
              <w:adjustRightInd w:val="0"/>
              <w:snapToGrid w:val="0"/>
              <w:spacing w:after="0" w:line="0" w:lineRule="atLeast"/>
              <w:rPr>
                <w:rFonts w:hint="eastAsia" w:ascii="楷体" w:hAnsi="楷体" w:eastAsia="楷体" w:cs="楷体"/>
                <w:sz w:val="21"/>
                <w:szCs w:val="21"/>
              </w:rPr>
            </w:pPr>
          </w:p>
        </w:tc>
        <w:tc>
          <w:tcPr>
            <w:tcW w:w="3960" w:type="dxa"/>
          </w:tcPr>
          <w:p>
            <w:pPr>
              <w:adjustRightInd w:val="0"/>
              <w:snapToGrid w:val="0"/>
              <w:spacing w:after="0" w:line="0" w:lineRule="atLeast"/>
              <w:jc w:val="right"/>
              <w:rPr>
                <w:rFonts w:hint="eastAsia" w:ascii="楷体" w:hAnsi="楷体" w:eastAsia="楷体" w:cs="楷体"/>
                <w:sz w:val="21"/>
                <w:szCs w:val="21"/>
              </w:rPr>
            </w:pPr>
            <w:r>
              <w:rPr>
                <w:rFonts w:hint="eastAsia" w:ascii="楷体" w:hAnsi="楷体" w:eastAsia="楷体" w:cs="楷体"/>
                <w:sz w:val="21"/>
                <w:szCs w:val="21"/>
              </w:rPr>
              <w:t>邮政编码(Postcode):518026</w:t>
            </w:r>
          </w:p>
        </w:tc>
        <w:tc>
          <w:tcPr>
            <w:tcW w:w="314" w:type="dxa"/>
          </w:tcPr>
          <w:p>
            <w:pPr>
              <w:adjustRightInd w:val="0"/>
              <w:snapToGrid w:val="0"/>
              <w:spacing w:after="0" w:line="0" w:lineRule="atLeast"/>
              <w:rPr>
                <w:rFonts w:hint="eastAsia" w:ascii="楷体" w:hAnsi="楷体" w:eastAsia="楷体" w:cs="楷体"/>
                <w:szCs w:val="21"/>
              </w:rPr>
            </w:pPr>
          </w:p>
        </w:tc>
      </w:tr>
      <w:tr>
        <w:tblPrEx>
          <w:tblCellMar>
            <w:top w:w="0" w:type="dxa"/>
            <w:left w:w="108" w:type="dxa"/>
            <w:bottom w:w="0" w:type="dxa"/>
            <w:right w:w="108" w:type="dxa"/>
          </w:tblCellMar>
        </w:tblPrEx>
        <w:tc>
          <w:tcPr>
            <w:tcW w:w="288" w:type="dxa"/>
          </w:tcPr>
          <w:p>
            <w:pPr>
              <w:adjustRightInd w:val="0"/>
              <w:snapToGrid w:val="0"/>
              <w:spacing w:after="0" w:line="0" w:lineRule="atLeast"/>
              <w:rPr>
                <w:rFonts w:hint="eastAsia" w:ascii="楷体" w:hAnsi="楷体" w:eastAsia="楷体" w:cs="楷体"/>
                <w:szCs w:val="21"/>
              </w:rPr>
            </w:pPr>
          </w:p>
        </w:tc>
        <w:tc>
          <w:tcPr>
            <w:tcW w:w="3600" w:type="dxa"/>
          </w:tcPr>
          <w:p>
            <w:pPr>
              <w:adjustRightInd w:val="0"/>
              <w:snapToGrid w:val="0"/>
              <w:spacing w:after="0" w:line="0" w:lineRule="atLeast"/>
              <w:rPr>
                <w:rFonts w:hint="eastAsia" w:ascii="楷体" w:hAnsi="楷体" w:eastAsia="楷体" w:cs="楷体"/>
                <w:sz w:val="21"/>
                <w:szCs w:val="21"/>
              </w:rPr>
            </w:pPr>
            <w:r>
              <w:rPr>
                <w:rFonts w:hint="eastAsia" w:ascii="楷体" w:hAnsi="楷体" w:eastAsia="楷体" w:cs="楷体"/>
                <w:sz w:val="21"/>
                <w:szCs w:val="21"/>
              </w:rPr>
              <w:t>http://www.pengxin.com</w:t>
            </w:r>
          </w:p>
        </w:tc>
        <w:tc>
          <w:tcPr>
            <w:tcW w:w="360" w:type="dxa"/>
          </w:tcPr>
          <w:p>
            <w:pPr>
              <w:adjustRightInd w:val="0"/>
              <w:snapToGrid w:val="0"/>
              <w:spacing w:after="0" w:line="0" w:lineRule="atLeast"/>
              <w:rPr>
                <w:rFonts w:hint="eastAsia" w:ascii="楷体" w:hAnsi="楷体" w:eastAsia="楷体" w:cs="楷体"/>
                <w:sz w:val="21"/>
                <w:szCs w:val="21"/>
              </w:rPr>
            </w:pPr>
          </w:p>
        </w:tc>
        <w:tc>
          <w:tcPr>
            <w:tcW w:w="3960" w:type="dxa"/>
          </w:tcPr>
          <w:p>
            <w:pPr>
              <w:adjustRightInd w:val="0"/>
              <w:snapToGrid w:val="0"/>
              <w:spacing w:after="0" w:line="0" w:lineRule="atLeast"/>
              <w:jc w:val="right"/>
              <w:rPr>
                <w:rFonts w:hint="eastAsia" w:ascii="楷体" w:hAnsi="楷体" w:eastAsia="楷体" w:cs="楷体"/>
                <w:sz w:val="21"/>
                <w:szCs w:val="21"/>
              </w:rPr>
            </w:pPr>
            <w:r>
              <w:rPr>
                <w:rFonts w:hint="eastAsia" w:ascii="楷体" w:hAnsi="楷体" w:eastAsia="楷体" w:cs="楷体"/>
                <w:sz w:val="21"/>
                <w:szCs w:val="21"/>
              </w:rPr>
              <w:t>Email: px@pengxin.com</w:t>
            </w:r>
          </w:p>
        </w:tc>
        <w:tc>
          <w:tcPr>
            <w:tcW w:w="314" w:type="dxa"/>
          </w:tcPr>
          <w:p>
            <w:pPr>
              <w:adjustRightInd w:val="0"/>
              <w:snapToGrid w:val="0"/>
              <w:spacing w:after="0" w:line="0" w:lineRule="atLeast"/>
              <w:rPr>
                <w:rFonts w:hint="eastAsia" w:ascii="楷体" w:hAnsi="楷体" w:eastAsia="楷体" w:cs="楷体"/>
                <w:szCs w:val="21"/>
              </w:rPr>
            </w:pPr>
          </w:p>
        </w:tc>
      </w:tr>
    </w:tbl>
    <w:p>
      <w:pPr>
        <w:rPr>
          <w:rFonts w:hint="eastAsia" w:ascii="楷体" w:hAnsi="楷体" w:eastAsia="楷体" w:cs="楷体"/>
          <w:lang w:eastAsia="zh-CN"/>
        </w:rPr>
        <w:sectPr>
          <w:headerReference r:id="rId3" w:type="default"/>
          <w:pgSz w:w="11906" w:h="16838"/>
          <w:pgMar w:top="1440" w:right="1800" w:bottom="1440" w:left="1800" w:header="851" w:footer="992" w:gutter="0"/>
          <w:cols w:space="425" w:num="1"/>
          <w:docGrid w:type="lines" w:linePitch="312" w:charSpace="0"/>
        </w:sectPr>
      </w:pPr>
    </w:p>
    <w:p>
      <w:pPr>
        <w:spacing w:before="156" w:beforeLines="50" w:after="0" w:line="600" w:lineRule="exact"/>
        <w:jc w:val="center"/>
        <w:rPr>
          <w:rFonts w:hint="eastAsia" w:ascii="楷体" w:hAnsi="楷体" w:eastAsia="楷体" w:cs="楷体"/>
          <w:sz w:val="21"/>
          <w:lang w:eastAsia="zh-CN"/>
        </w:rPr>
      </w:pPr>
      <w:r>
        <w:rPr>
          <w:rFonts w:hint="eastAsia" w:ascii="楷体" w:hAnsi="楷体" w:eastAsia="楷体" w:cs="楷体"/>
          <w:b/>
          <w:sz w:val="28"/>
          <w:szCs w:val="28"/>
          <w:lang w:eastAsia="zh-CN"/>
        </w:rPr>
        <w:t>目  录</w:t>
      </w:r>
    </w:p>
    <w:sdt>
      <w:sdtPr>
        <w:rPr>
          <w:rFonts w:hint="eastAsia" w:ascii="楷体" w:hAnsi="楷体" w:eastAsia="楷体" w:cs="楷体"/>
          <w:b w:val="0"/>
          <w:bCs w:val="0"/>
          <w:color w:val="auto"/>
          <w:sz w:val="22"/>
          <w:szCs w:val="22"/>
          <w:lang w:val="zh-CN" w:eastAsia="en-US" w:bidi="en-US"/>
        </w:rPr>
        <w:id w:val="16985873"/>
      </w:sdtPr>
      <w:sdtEndPr>
        <w:rPr>
          <w:rFonts w:hint="eastAsia" w:ascii="楷体" w:hAnsi="楷体" w:eastAsia="楷体" w:cs="楷体"/>
          <w:b w:val="0"/>
          <w:bCs w:val="0"/>
          <w:color w:val="auto"/>
          <w:sz w:val="21"/>
          <w:szCs w:val="22"/>
          <w:lang w:val="en-US" w:eastAsia="en-US" w:bidi="en-US"/>
        </w:rPr>
      </w:sdtEndPr>
      <w:sdtContent>
        <w:p>
          <w:pPr>
            <w:pStyle w:val="23"/>
            <w:tabs>
              <w:tab w:val="left" w:pos="456"/>
            </w:tabs>
            <w:spacing w:before="0" w:line="600" w:lineRule="exact"/>
            <w:rPr>
              <w:rFonts w:hint="eastAsia" w:ascii="楷体" w:hAnsi="楷体" w:eastAsia="楷体" w:cs="楷体"/>
            </w:rPr>
          </w:pPr>
          <w:r>
            <w:rPr>
              <w:rFonts w:hint="eastAsia" w:ascii="楷体" w:hAnsi="楷体" w:eastAsia="楷体" w:cs="楷体"/>
              <w:b w:val="0"/>
              <w:bCs w:val="0"/>
              <w:color w:val="auto"/>
              <w:sz w:val="22"/>
              <w:szCs w:val="22"/>
              <w:lang w:val="zh-CN" w:eastAsia="en-US" w:bidi="en-US"/>
            </w:rPr>
            <w:tab/>
          </w:r>
        </w:p>
        <w:p>
          <w:pPr>
            <w:pStyle w:val="8"/>
            <w:tabs>
              <w:tab w:val="right" w:leader="dot" w:pos="8296"/>
            </w:tabs>
            <w:rPr>
              <w:rFonts w:hint="eastAsia" w:ascii="楷体" w:hAnsi="楷体" w:eastAsia="楷体" w:cs="楷体"/>
              <w:kern w:val="2"/>
              <w:sz w:val="21"/>
              <w:lang w:eastAsia="zh-CN" w:bidi="ar-SA"/>
            </w:rPr>
          </w:pPr>
          <w:r>
            <w:rPr>
              <w:rFonts w:hint="eastAsia" w:ascii="楷体" w:hAnsi="楷体" w:eastAsia="楷体" w:cs="楷体"/>
              <w:sz w:val="21"/>
              <w:lang w:eastAsia="zh-CN"/>
            </w:rPr>
            <w:fldChar w:fldCharType="begin"/>
          </w:r>
          <w:r>
            <w:rPr>
              <w:rFonts w:hint="eastAsia" w:ascii="楷体" w:hAnsi="楷体" w:eastAsia="楷体" w:cs="楷体"/>
              <w:sz w:val="21"/>
              <w:lang w:eastAsia="zh-CN"/>
            </w:rPr>
            <w:instrText xml:space="preserve"> TOC \o "1-3" \h \z \u </w:instrText>
          </w:r>
          <w:r>
            <w:rPr>
              <w:rFonts w:hint="eastAsia" w:ascii="楷体" w:hAnsi="楷体" w:eastAsia="楷体" w:cs="楷体"/>
              <w:sz w:val="21"/>
              <w:lang w:eastAsia="zh-CN"/>
            </w:rPr>
            <w:fldChar w:fldCharType="separate"/>
          </w:r>
          <w:r>
            <w:rPr>
              <w:rFonts w:hint="eastAsia" w:ascii="楷体" w:hAnsi="楷体" w:eastAsia="楷体" w:cs="楷体"/>
            </w:rPr>
            <w:fldChar w:fldCharType="begin"/>
          </w:r>
          <w:r>
            <w:rPr>
              <w:rFonts w:hint="eastAsia" w:ascii="楷体" w:hAnsi="楷体" w:eastAsia="楷体" w:cs="楷体"/>
            </w:rPr>
            <w:instrText xml:space="preserve"> HYPERLINK \l "_Toc20062428" </w:instrText>
          </w:r>
          <w:r>
            <w:rPr>
              <w:rFonts w:hint="eastAsia" w:ascii="楷体" w:hAnsi="楷体" w:eastAsia="楷体" w:cs="楷体"/>
            </w:rPr>
            <w:fldChar w:fldCharType="separate"/>
          </w:r>
          <w:r>
            <w:rPr>
              <w:rStyle w:val="14"/>
              <w:rFonts w:hint="eastAsia" w:ascii="楷体" w:hAnsi="楷体" w:eastAsia="楷体" w:cs="楷体"/>
              <w:b/>
              <w:bCs/>
              <w:lang w:eastAsia="zh-CN"/>
            </w:rPr>
            <w:t>声明</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_Toc20062428 \h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rPr>
            <w:fldChar w:fldCharType="end"/>
          </w:r>
          <w:r>
            <w:rPr>
              <w:rFonts w:hint="eastAsia" w:ascii="楷体" w:hAnsi="楷体" w:eastAsia="楷体" w:cs="楷体"/>
            </w:rPr>
            <w:fldChar w:fldCharType="end"/>
          </w:r>
        </w:p>
        <w:p>
          <w:pPr>
            <w:pStyle w:val="8"/>
            <w:tabs>
              <w:tab w:val="right" w:leader="dot" w:pos="8296"/>
            </w:tabs>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"_Toc20062429" </w:instrText>
          </w:r>
          <w:r>
            <w:rPr>
              <w:rFonts w:hint="eastAsia" w:ascii="楷体" w:hAnsi="楷体" w:eastAsia="楷体" w:cs="楷体"/>
            </w:rPr>
            <w:fldChar w:fldCharType="separate"/>
          </w:r>
          <w:r>
            <w:rPr>
              <w:rStyle w:val="14"/>
              <w:rFonts w:hint="eastAsia" w:ascii="楷体" w:hAnsi="楷体" w:eastAsia="楷体" w:cs="楷体"/>
              <w:b/>
              <w:bCs/>
              <w:lang w:eastAsia="zh-CN"/>
            </w:rPr>
            <w:t>资产评估报告摘要</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_Toc20062429 \h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rPr>
            <w:fldChar w:fldCharType="end"/>
          </w:r>
          <w:r>
            <w:rPr>
              <w:rFonts w:hint="eastAsia" w:ascii="楷体" w:hAnsi="楷体" w:eastAsia="楷体" w:cs="楷体"/>
            </w:rPr>
            <w:fldChar w:fldCharType="end"/>
          </w:r>
        </w:p>
        <w:p>
          <w:pPr>
            <w:pStyle w:val="8"/>
            <w:tabs>
              <w:tab w:val="right" w:leader="dot" w:pos="8296"/>
            </w:tabs>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"_Toc20062430" </w:instrText>
          </w:r>
          <w:r>
            <w:rPr>
              <w:rFonts w:hint="eastAsia" w:ascii="楷体" w:hAnsi="楷体" w:eastAsia="楷体" w:cs="楷体"/>
            </w:rPr>
            <w:fldChar w:fldCharType="separate"/>
          </w:r>
          <w:r>
            <w:rPr>
              <w:rStyle w:val="14"/>
              <w:rFonts w:hint="eastAsia" w:ascii="楷体" w:hAnsi="楷体" w:eastAsia="楷体" w:cs="楷体"/>
              <w:b/>
              <w:bCs/>
              <w:lang w:eastAsia="zh-CN"/>
            </w:rPr>
            <w:t>资产评估报告正文</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_Toc20062430 \h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rPr>
            <w:fldChar w:fldCharType="end"/>
          </w:r>
          <w:r>
            <w:rPr>
              <w:rFonts w:hint="eastAsia" w:ascii="楷体" w:hAnsi="楷体" w:eastAsia="楷体" w:cs="楷体"/>
            </w:rPr>
            <w:fldChar w:fldCharType="end"/>
          </w:r>
        </w:p>
        <w:p>
          <w:pPr>
            <w:pStyle w:val="9"/>
            <w:tabs>
              <w:tab w:val="right" w:leader="dot" w:pos="8296"/>
            </w:tabs>
            <w:ind w:left="440"/>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"_Toc20062431" </w:instrText>
          </w:r>
          <w:r>
            <w:rPr>
              <w:rFonts w:hint="eastAsia" w:ascii="楷体" w:hAnsi="楷体" w:eastAsia="楷体" w:cs="楷体"/>
            </w:rPr>
            <w:fldChar w:fldCharType="separate"/>
          </w:r>
          <w:r>
            <w:rPr>
              <w:rStyle w:val="14"/>
              <w:rFonts w:hint="eastAsia" w:ascii="楷体" w:hAnsi="楷体" w:eastAsia="楷体" w:cs="楷体"/>
              <w:lang w:eastAsia="zh-CN"/>
            </w:rPr>
            <w:t>一、</w:t>
          </w:r>
          <w:r>
            <w:rPr>
              <w:rStyle w:val="14"/>
              <w:rFonts w:hint="eastAsia" w:ascii="楷体" w:hAnsi="楷体" w:eastAsia="楷体" w:cs="楷体"/>
              <w:lang w:eastAsia="zh-CN"/>
            </w:rPr>
            <w:t>委托人及其他资产评估报告使用人</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_Toc20062431 \h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rPr>
            <w:fldChar w:fldCharType="end"/>
          </w:r>
          <w:r>
            <w:rPr>
              <w:rFonts w:hint="eastAsia" w:ascii="楷体" w:hAnsi="楷体" w:eastAsia="楷体" w:cs="楷体"/>
            </w:rPr>
            <w:fldChar w:fldCharType="end"/>
          </w:r>
        </w:p>
        <w:p>
          <w:pPr>
            <w:pStyle w:val="9"/>
            <w:tabs>
              <w:tab w:val="right" w:leader="dot" w:pos="8296"/>
            </w:tabs>
            <w:ind w:left="440"/>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"_Toc20062432" </w:instrText>
          </w:r>
          <w:r>
            <w:rPr>
              <w:rFonts w:hint="eastAsia" w:ascii="楷体" w:hAnsi="楷体" w:eastAsia="楷体" w:cs="楷体"/>
            </w:rPr>
            <w:fldChar w:fldCharType="separate"/>
          </w:r>
          <w:r>
            <w:rPr>
              <w:rStyle w:val="14"/>
              <w:rFonts w:hint="eastAsia" w:ascii="楷体" w:hAnsi="楷体" w:eastAsia="楷体" w:cs="楷体"/>
              <w:lang w:eastAsia="zh-CN"/>
            </w:rPr>
            <w:t>二、评估目的</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_Toc20062432 \h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rPr>
            <w:fldChar w:fldCharType="end"/>
          </w:r>
          <w:r>
            <w:rPr>
              <w:rFonts w:hint="eastAsia" w:ascii="楷体" w:hAnsi="楷体" w:eastAsia="楷体" w:cs="楷体"/>
            </w:rPr>
            <w:fldChar w:fldCharType="end"/>
          </w:r>
        </w:p>
        <w:p>
          <w:pPr>
            <w:pStyle w:val="9"/>
            <w:tabs>
              <w:tab w:val="right" w:leader="dot" w:pos="8296"/>
            </w:tabs>
            <w:ind w:left="440"/>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"_Toc20062433" </w:instrText>
          </w:r>
          <w:r>
            <w:rPr>
              <w:rFonts w:hint="eastAsia" w:ascii="楷体" w:hAnsi="楷体" w:eastAsia="楷体" w:cs="楷体"/>
            </w:rPr>
            <w:fldChar w:fldCharType="separate"/>
          </w:r>
          <w:r>
            <w:rPr>
              <w:rStyle w:val="14"/>
              <w:rFonts w:hint="eastAsia" w:ascii="楷体" w:hAnsi="楷体" w:eastAsia="楷体" w:cs="楷体"/>
              <w:lang w:eastAsia="zh-CN"/>
            </w:rPr>
            <w:t>三、评估对象和评估范围</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_Toc20062433 \h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rPr>
            <w:fldChar w:fldCharType="end"/>
          </w:r>
          <w:r>
            <w:rPr>
              <w:rFonts w:hint="eastAsia" w:ascii="楷体" w:hAnsi="楷体" w:eastAsia="楷体" w:cs="楷体"/>
            </w:rPr>
            <w:fldChar w:fldCharType="end"/>
          </w:r>
        </w:p>
        <w:p>
          <w:pPr>
            <w:pStyle w:val="9"/>
            <w:tabs>
              <w:tab w:val="right" w:leader="dot" w:pos="8296"/>
            </w:tabs>
            <w:ind w:left="440"/>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"_Toc20062434" </w:instrText>
          </w:r>
          <w:r>
            <w:rPr>
              <w:rFonts w:hint="eastAsia" w:ascii="楷体" w:hAnsi="楷体" w:eastAsia="楷体" w:cs="楷体"/>
            </w:rPr>
            <w:fldChar w:fldCharType="separate"/>
          </w:r>
          <w:r>
            <w:rPr>
              <w:rStyle w:val="14"/>
              <w:rFonts w:hint="eastAsia" w:ascii="楷体" w:hAnsi="楷体" w:eastAsia="楷体" w:cs="楷体"/>
              <w:lang w:eastAsia="zh-CN"/>
            </w:rPr>
            <w:t>四、价值类型</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_Toc20062434 \h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rPr>
            <w:fldChar w:fldCharType="end"/>
          </w:r>
          <w:r>
            <w:rPr>
              <w:rFonts w:hint="eastAsia" w:ascii="楷体" w:hAnsi="楷体" w:eastAsia="楷体" w:cs="楷体"/>
            </w:rPr>
            <w:fldChar w:fldCharType="end"/>
          </w:r>
        </w:p>
        <w:p>
          <w:pPr>
            <w:pStyle w:val="9"/>
            <w:tabs>
              <w:tab w:val="right" w:leader="dot" w:pos="8296"/>
            </w:tabs>
            <w:ind w:left="440"/>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"_Toc20062435" </w:instrText>
          </w:r>
          <w:r>
            <w:rPr>
              <w:rFonts w:hint="eastAsia" w:ascii="楷体" w:hAnsi="楷体" w:eastAsia="楷体" w:cs="楷体"/>
            </w:rPr>
            <w:fldChar w:fldCharType="separate"/>
          </w:r>
          <w:r>
            <w:rPr>
              <w:rStyle w:val="14"/>
              <w:rFonts w:hint="eastAsia" w:ascii="楷体" w:hAnsi="楷体" w:eastAsia="楷体" w:cs="楷体"/>
              <w:lang w:eastAsia="zh-CN"/>
            </w:rPr>
            <w:t>五、评估基准日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_Toc20062435 \h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rPr>
            <w:fldChar w:fldCharType="end"/>
          </w:r>
          <w:r>
            <w:rPr>
              <w:rFonts w:hint="eastAsia" w:ascii="楷体" w:hAnsi="楷体" w:eastAsia="楷体" w:cs="楷体"/>
            </w:rPr>
            <w:fldChar w:fldCharType="end"/>
          </w:r>
        </w:p>
        <w:p>
          <w:pPr>
            <w:pStyle w:val="9"/>
            <w:tabs>
              <w:tab w:val="right" w:leader="dot" w:pos="8296"/>
            </w:tabs>
            <w:ind w:left="440"/>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"_Toc20062436" </w:instrText>
          </w:r>
          <w:r>
            <w:rPr>
              <w:rFonts w:hint="eastAsia" w:ascii="楷体" w:hAnsi="楷体" w:eastAsia="楷体" w:cs="楷体"/>
            </w:rPr>
            <w:fldChar w:fldCharType="separate"/>
          </w:r>
          <w:r>
            <w:rPr>
              <w:rStyle w:val="14"/>
              <w:rFonts w:hint="eastAsia" w:ascii="楷体" w:hAnsi="楷体" w:eastAsia="楷体" w:cs="楷体"/>
              <w:lang w:eastAsia="zh-CN"/>
            </w:rPr>
            <w:t>六、评估依据</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_Toc20062436 \h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rPr>
            <w:fldChar w:fldCharType="end"/>
          </w:r>
          <w:r>
            <w:rPr>
              <w:rFonts w:hint="eastAsia" w:ascii="楷体" w:hAnsi="楷体" w:eastAsia="楷体" w:cs="楷体"/>
            </w:rPr>
            <w:fldChar w:fldCharType="end"/>
          </w:r>
        </w:p>
        <w:p>
          <w:pPr>
            <w:pStyle w:val="9"/>
            <w:tabs>
              <w:tab w:val="right" w:leader="dot" w:pos="8296"/>
            </w:tabs>
            <w:ind w:left="440"/>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"_Toc20062437" </w:instrText>
          </w:r>
          <w:r>
            <w:rPr>
              <w:rFonts w:hint="eastAsia" w:ascii="楷体" w:hAnsi="楷体" w:eastAsia="楷体" w:cs="楷体"/>
            </w:rPr>
            <w:fldChar w:fldCharType="separate"/>
          </w:r>
          <w:r>
            <w:rPr>
              <w:rStyle w:val="14"/>
              <w:rFonts w:hint="eastAsia" w:ascii="楷体" w:hAnsi="楷体" w:eastAsia="楷体" w:cs="楷体"/>
              <w:lang w:eastAsia="zh-CN"/>
            </w:rPr>
            <w:t>七、评估方法</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_Toc20062437 \h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rPr>
            <w:fldChar w:fldCharType="end"/>
          </w:r>
          <w:r>
            <w:rPr>
              <w:rFonts w:hint="eastAsia" w:ascii="楷体" w:hAnsi="楷体" w:eastAsia="楷体" w:cs="楷体"/>
            </w:rPr>
            <w:fldChar w:fldCharType="end"/>
          </w:r>
        </w:p>
        <w:p>
          <w:pPr>
            <w:pStyle w:val="9"/>
            <w:tabs>
              <w:tab w:val="right" w:leader="dot" w:pos="8296"/>
            </w:tabs>
            <w:ind w:left="440"/>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"_Toc20062438" </w:instrText>
          </w:r>
          <w:r>
            <w:rPr>
              <w:rFonts w:hint="eastAsia" w:ascii="楷体" w:hAnsi="楷体" w:eastAsia="楷体" w:cs="楷体"/>
            </w:rPr>
            <w:fldChar w:fldCharType="separate"/>
          </w:r>
          <w:r>
            <w:rPr>
              <w:rStyle w:val="14"/>
              <w:rFonts w:hint="eastAsia" w:ascii="楷体" w:hAnsi="楷体" w:eastAsia="楷体" w:cs="楷体"/>
              <w:lang w:eastAsia="zh-CN"/>
            </w:rPr>
            <w:t>八、评估程序实施过程和情况</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_Toc20062438 \h </w:instrText>
          </w:r>
          <w:r>
            <w:rPr>
              <w:rFonts w:hint="eastAsia" w:ascii="楷体" w:hAnsi="楷体" w:eastAsia="楷体" w:cs="楷体"/>
            </w:rPr>
            <w:fldChar w:fldCharType="separate"/>
          </w:r>
          <w:r>
            <w:rPr>
              <w:rFonts w:hint="eastAsia" w:ascii="楷体" w:hAnsi="楷体" w:eastAsia="楷体" w:cs="楷体"/>
            </w:rPr>
            <w:t>5</w:t>
          </w:r>
          <w:r>
            <w:rPr>
              <w:rFonts w:hint="eastAsia" w:ascii="楷体" w:hAnsi="楷体" w:eastAsia="楷体" w:cs="楷体"/>
            </w:rPr>
            <w:fldChar w:fldCharType="end"/>
          </w:r>
          <w:r>
            <w:rPr>
              <w:rFonts w:hint="eastAsia" w:ascii="楷体" w:hAnsi="楷体" w:eastAsia="楷体" w:cs="楷体"/>
            </w:rPr>
            <w:fldChar w:fldCharType="end"/>
          </w:r>
        </w:p>
        <w:p>
          <w:pPr>
            <w:pStyle w:val="9"/>
            <w:tabs>
              <w:tab w:val="right" w:leader="dot" w:pos="8296"/>
            </w:tabs>
            <w:ind w:left="440"/>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"_Toc20062439" </w:instrText>
          </w:r>
          <w:r>
            <w:rPr>
              <w:rFonts w:hint="eastAsia" w:ascii="楷体" w:hAnsi="楷体" w:eastAsia="楷体" w:cs="楷体"/>
            </w:rPr>
            <w:fldChar w:fldCharType="separate"/>
          </w:r>
          <w:r>
            <w:rPr>
              <w:rStyle w:val="14"/>
              <w:rFonts w:hint="eastAsia" w:ascii="楷体" w:hAnsi="楷体" w:eastAsia="楷体" w:cs="楷体"/>
              <w:lang w:eastAsia="zh-CN"/>
            </w:rPr>
            <w:t>九、评估假设</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_Toc20062439 \h </w:instrText>
          </w:r>
          <w:r>
            <w:rPr>
              <w:rFonts w:hint="eastAsia" w:ascii="楷体" w:hAnsi="楷体" w:eastAsia="楷体" w:cs="楷体"/>
            </w:rPr>
            <w:fldChar w:fldCharType="separate"/>
          </w:r>
          <w:r>
            <w:rPr>
              <w:rFonts w:hint="eastAsia" w:ascii="楷体" w:hAnsi="楷体" w:eastAsia="楷体" w:cs="楷体"/>
            </w:rPr>
            <w:t>6</w:t>
          </w:r>
          <w:r>
            <w:rPr>
              <w:rFonts w:hint="eastAsia" w:ascii="楷体" w:hAnsi="楷体" w:eastAsia="楷体" w:cs="楷体"/>
            </w:rPr>
            <w:fldChar w:fldCharType="end"/>
          </w:r>
          <w:r>
            <w:rPr>
              <w:rFonts w:hint="eastAsia" w:ascii="楷体" w:hAnsi="楷体" w:eastAsia="楷体" w:cs="楷体"/>
            </w:rPr>
            <w:fldChar w:fldCharType="end"/>
          </w:r>
        </w:p>
        <w:p>
          <w:pPr>
            <w:pStyle w:val="9"/>
            <w:tabs>
              <w:tab w:val="right" w:leader="dot" w:pos="8296"/>
            </w:tabs>
            <w:ind w:left="440"/>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"_Toc20062440" </w:instrText>
          </w:r>
          <w:r>
            <w:rPr>
              <w:rFonts w:hint="eastAsia" w:ascii="楷体" w:hAnsi="楷体" w:eastAsia="楷体" w:cs="楷体"/>
            </w:rPr>
            <w:fldChar w:fldCharType="separate"/>
          </w:r>
          <w:r>
            <w:rPr>
              <w:rStyle w:val="14"/>
              <w:rFonts w:hint="eastAsia" w:ascii="楷体" w:hAnsi="楷体" w:eastAsia="楷体" w:cs="楷体"/>
              <w:lang w:eastAsia="zh-CN"/>
            </w:rPr>
            <w:t>十、评估结论</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_Toc20062440 \h </w:instrText>
          </w:r>
          <w:r>
            <w:rPr>
              <w:rFonts w:hint="eastAsia" w:ascii="楷体" w:hAnsi="楷体" w:eastAsia="楷体" w:cs="楷体"/>
            </w:rPr>
            <w:fldChar w:fldCharType="separate"/>
          </w:r>
          <w:r>
            <w:rPr>
              <w:rFonts w:hint="eastAsia" w:ascii="楷体" w:hAnsi="楷体" w:eastAsia="楷体" w:cs="楷体"/>
            </w:rPr>
            <w:t>8</w:t>
          </w:r>
          <w:r>
            <w:rPr>
              <w:rFonts w:hint="eastAsia" w:ascii="楷体" w:hAnsi="楷体" w:eastAsia="楷体" w:cs="楷体"/>
            </w:rPr>
            <w:fldChar w:fldCharType="end"/>
          </w:r>
          <w:r>
            <w:rPr>
              <w:rFonts w:hint="eastAsia" w:ascii="楷体" w:hAnsi="楷体" w:eastAsia="楷体" w:cs="楷体"/>
            </w:rPr>
            <w:fldChar w:fldCharType="end"/>
          </w:r>
        </w:p>
        <w:p>
          <w:pPr>
            <w:pStyle w:val="9"/>
            <w:tabs>
              <w:tab w:val="right" w:leader="dot" w:pos="8296"/>
            </w:tabs>
            <w:ind w:left="440"/>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"_Toc20062441" </w:instrText>
          </w:r>
          <w:r>
            <w:rPr>
              <w:rFonts w:hint="eastAsia" w:ascii="楷体" w:hAnsi="楷体" w:eastAsia="楷体" w:cs="楷体"/>
            </w:rPr>
            <w:fldChar w:fldCharType="separate"/>
          </w:r>
          <w:r>
            <w:rPr>
              <w:rStyle w:val="14"/>
              <w:rFonts w:hint="eastAsia" w:ascii="楷体" w:hAnsi="楷体" w:eastAsia="楷体" w:cs="楷体"/>
              <w:lang w:eastAsia="zh-CN"/>
            </w:rPr>
            <w:t>十一、特别事项说明</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_Toc20062441 \h </w:instrText>
          </w:r>
          <w:r>
            <w:rPr>
              <w:rFonts w:hint="eastAsia" w:ascii="楷体" w:hAnsi="楷体" w:eastAsia="楷体" w:cs="楷体"/>
            </w:rPr>
            <w:fldChar w:fldCharType="separate"/>
          </w:r>
          <w:r>
            <w:rPr>
              <w:rFonts w:hint="eastAsia" w:ascii="楷体" w:hAnsi="楷体" w:eastAsia="楷体" w:cs="楷体"/>
            </w:rPr>
            <w:t>8</w:t>
          </w:r>
          <w:r>
            <w:rPr>
              <w:rFonts w:hint="eastAsia" w:ascii="楷体" w:hAnsi="楷体" w:eastAsia="楷体" w:cs="楷体"/>
            </w:rPr>
            <w:fldChar w:fldCharType="end"/>
          </w:r>
          <w:r>
            <w:rPr>
              <w:rFonts w:hint="eastAsia" w:ascii="楷体" w:hAnsi="楷体" w:eastAsia="楷体" w:cs="楷体"/>
            </w:rPr>
            <w:fldChar w:fldCharType="end"/>
          </w:r>
        </w:p>
        <w:p>
          <w:pPr>
            <w:pStyle w:val="9"/>
            <w:tabs>
              <w:tab w:val="right" w:leader="dot" w:pos="8296"/>
            </w:tabs>
            <w:ind w:left="440"/>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"_Toc20062442" </w:instrText>
          </w:r>
          <w:r>
            <w:rPr>
              <w:rFonts w:hint="eastAsia" w:ascii="楷体" w:hAnsi="楷体" w:eastAsia="楷体" w:cs="楷体"/>
            </w:rPr>
            <w:fldChar w:fldCharType="separate"/>
          </w:r>
          <w:r>
            <w:rPr>
              <w:rStyle w:val="14"/>
              <w:rFonts w:hint="eastAsia" w:ascii="楷体" w:hAnsi="楷体" w:eastAsia="楷体" w:cs="楷体"/>
              <w:lang w:eastAsia="zh-CN"/>
            </w:rPr>
            <w:t>十二、</w:t>
          </w:r>
          <w:r>
            <w:rPr>
              <w:rStyle w:val="14"/>
              <w:rFonts w:hint="eastAsia" w:ascii="楷体" w:hAnsi="楷体" w:eastAsia="楷体" w:cs="楷体"/>
              <w:lang w:eastAsia="zh-CN"/>
            </w:rPr>
            <w:t>资产评估报告使用限制说明</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_Toc20062442 \h </w:instrText>
          </w:r>
          <w:r>
            <w:rPr>
              <w:rFonts w:hint="eastAsia" w:ascii="楷体" w:hAnsi="楷体" w:eastAsia="楷体" w:cs="楷体"/>
            </w:rPr>
            <w:fldChar w:fldCharType="separate"/>
          </w:r>
          <w:r>
            <w:rPr>
              <w:rFonts w:hint="eastAsia" w:ascii="楷体" w:hAnsi="楷体" w:eastAsia="楷体" w:cs="楷体"/>
            </w:rPr>
            <w:t>9</w:t>
          </w:r>
          <w:r>
            <w:rPr>
              <w:rFonts w:hint="eastAsia" w:ascii="楷体" w:hAnsi="楷体" w:eastAsia="楷体" w:cs="楷体"/>
            </w:rPr>
            <w:fldChar w:fldCharType="end"/>
          </w:r>
          <w:r>
            <w:rPr>
              <w:rFonts w:hint="eastAsia" w:ascii="楷体" w:hAnsi="楷体" w:eastAsia="楷体" w:cs="楷体"/>
            </w:rPr>
            <w:fldChar w:fldCharType="end"/>
          </w:r>
        </w:p>
        <w:p>
          <w:pPr>
            <w:pStyle w:val="9"/>
            <w:tabs>
              <w:tab w:val="right" w:leader="dot" w:pos="8296"/>
            </w:tabs>
            <w:ind w:left="440"/>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"_Toc20062443" </w:instrText>
          </w:r>
          <w:r>
            <w:rPr>
              <w:rFonts w:hint="eastAsia" w:ascii="楷体" w:hAnsi="楷体" w:eastAsia="楷体" w:cs="楷体"/>
            </w:rPr>
            <w:fldChar w:fldCharType="separate"/>
          </w:r>
          <w:r>
            <w:rPr>
              <w:rStyle w:val="14"/>
              <w:rFonts w:hint="eastAsia" w:ascii="楷体" w:hAnsi="楷体" w:eastAsia="楷体" w:cs="楷体"/>
              <w:lang w:eastAsia="zh-CN"/>
            </w:rPr>
            <w:t>十三、</w:t>
          </w:r>
          <w:r>
            <w:rPr>
              <w:rStyle w:val="14"/>
              <w:rFonts w:hint="eastAsia" w:ascii="楷体" w:hAnsi="楷体" w:eastAsia="楷体" w:cs="楷体"/>
              <w:lang w:eastAsia="zh-CN"/>
            </w:rPr>
            <w:t>资产评估报告日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_Toc20062443 \h </w:instrText>
          </w:r>
          <w:r>
            <w:rPr>
              <w:rFonts w:hint="eastAsia" w:ascii="楷体" w:hAnsi="楷体" w:eastAsia="楷体" w:cs="楷体"/>
            </w:rPr>
            <w:fldChar w:fldCharType="separate"/>
          </w:r>
          <w:r>
            <w:rPr>
              <w:rFonts w:hint="eastAsia" w:ascii="楷体" w:hAnsi="楷体" w:eastAsia="楷体" w:cs="楷体"/>
            </w:rPr>
            <w:t>9</w:t>
          </w:r>
          <w:r>
            <w:rPr>
              <w:rFonts w:hint="eastAsia" w:ascii="楷体" w:hAnsi="楷体" w:eastAsia="楷体" w:cs="楷体"/>
            </w:rPr>
            <w:fldChar w:fldCharType="end"/>
          </w:r>
          <w:r>
            <w:rPr>
              <w:rFonts w:hint="eastAsia" w:ascii="楷体" w:hAnsi="楷体" w:eastAsia="楷体" w:cs="楷体"/>
            </w:rPr>
            <w:fldChar w:fldCharType="end"/>
          </w:r>
        </w:p>
        <w:p>
          <w:pPr>
            <w:pStyle w:val="8"/>
            <w:tabs>
              <w:tab w:val="right" w:leader="dot" w:pos="8296"/>
            </w:tabs>
            <w:rPr>
              <w:rFonts w:hint="eastAsia" w:ascii="楷体" w:hAnsi="楷体" w:eastAsia="楷体" w:cs="楷体"/>
              <w:kern w:val="2"/>
              <w:sz w:val="21"/>
              <w:lang w:eastAsia="zh-CN" w:bidi="ar-SA"/>
            </w:rPr>
          </w:pPr>
          <w:r>
            <w:rPr>
              <w:rFonts w:hint="eastAsia" w:ascii="楷体" w:hAnsi="楷体" w:eastAsia="楷体" w:cs="楷体"/>
            </w:rPr>
            <w:fldChar w:fldCharType="begin"/>
          </w:r>
          <w:r>
            <w:rPr>
              <w:rFonts w:hint="eastAsia" w:ascii="楷体" w:hAnsi="楷体" w:eastAsia="楷体" w:cs="楷体"/>
            </w:rPr>
            <w:instrText xml:space="preserve"> HYPERLINK \l "_Toc20062444" </w:instrText>
          </w:r>
          <w:r>
            <w:rPr>
              <w:rFonts w:hint="eastAsia" w:ascii="楷体" w:hAnsi="楷体" w:eastAsia="楷体" w:cs="楷体"/>
            </w:rPr>
            <w:fldChar w:fldCharType="separate"/>
          </w:r>
          <w:r>
            <w:rPr>
              <w:rStyle w:val="14"/>
              <w:rFonts w:hint="eastAsia" w:ascii="楷体" w:hAnsi="楷体" w:eastAsia="楷体" w:cs="楷体"/>
              <w:b/>
              <w:bCs/>
              <w:lang w:eastAsia="zh-CN"/>
            </w:rPr>
            <w:t>资产评估报告附件</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_Toc20062444 \h </w:instrText>
          </w:r>
          <w:r>
            <w:rPr>
              <w:rFonts w:hint="eastAsia" w:ascii="楷体" w:hAnsi="楷体" w:eastAsia="楷体" w:cs="楷体"/>
            </w:rPr>
            <w:fldChar w:fldCharType="separate"/>
          </w:r>
          <w:r>
            <w:rPr>
              <w:rFonts w:hint="eastAsia" w:ascii="楷体" w:hAnsi="楷体" w:eastAsia="楷体" w:cs="楷体"/>
            </w:rPr>
            <w:t>11</w:t>
          </w:r>
          <w:r>
            <w:rPr>
              <w:rFonts w:hint="eastAsia" w:ascii="楷体" w:hAnsi="楷体" w:eastAsia="楷体" w:cs="楷体"/>
            </w:rPr>
            <w:fldChar w:fldCharType="end"/>
          </w:r>
          <w:r>
            <w:rPr>
              <w:rFonts w:hint="eastAsia" w:ascii="楷体" w:hAnsi="楷体" w:eastAsia="楷体" w:cs="楷体"/>
            </w:rPr>
            <w:fldChar w:fldCharType="end"/>
          </w:r>
        </w:p>
        <w:p>
          <w:pPr>
            <w:spacing w:after="0" w:line="600" w:lineRule="exact"/>
            <w:rPr>
              <w:rFonts w:hint="eastAsia" w:ascii="楷体" w:hAnsi="楷体" w:eastAsia="楷体" w:cs="楷体"/>
              <w:sz w:val="21"/>
              <w:lang w:eastAsia="zh-CN"/>
            </w:rPr>
          </w:pPr>
          <w:r>
            <w:rPr>
              <w:rFonts w:hint="eastAsia" w:ascii="楷体" w:hAnsi="楷体" w:eastAsia="楷体" w:cs="楷体"/>
              <w:lang w:eastAsia="zh-CN"/>
            </w:rPr>
            <w:fldChar w:fldCharType="end"/>
          </w:r>
        </w:p>
      </w:sdtContent>
    </w:sdt>
    <w:p>
      <w:pPr>
        <w:spacing w:before="156" w:beforeLines="50" w:after="0" w:line="240" w:lineRule="auto"/>
        <w:rPr>
          <w:rFonts w:hint="eastAsia" w:ascii="楷体" w:hAnsi="楷体" w:eastAsia="楷体" w:cs="楷体"/>
          <w:sz w:val="21"/>
          <w:lang w:eastAsia="zh-CN"/>
        </w:rPr>
      </w:pPr>
    </w:p>
    <w:p>
      <w:pPr>
        <w:tabs>
          <w:tab w:val="left" w:pos="4936"/>
        </w:tabs>
        <w:spacing w:before="156" w:beforeLines="50" w:after="0" w:line="240" w:lineRule="auto"/>
        <w:rPr>
          <w:rFonts w:hint="eastAsia" w:ascii="楷体" w:hAnsi="楷体" w:eastAsia="楷体" w:cs="楷体"/>
          <w:sz w:val="21"/>
          <w:lang w:eastAsia="zh-CN"/>
        </w:rPr>
        <w:sectPr>
          <w:headerReference r:id="rId4" w:type="default"/>
          <w:footerReference r:id="rId5" w:type="default"/>
          <w:pgSz w:w="11906" w:h="16838"/>
          <w:pgMar w:top="1560" w:right="1800" w:bottom="1276" w:left="1800" w:header="426" w:footer="340" w:gutter="0"/>
          <w:cols w:space="425" w:num="1"/>
          <w:docGrid w:type="lines" w:linePitch="312" w:charSpace="0"/>
        </w:sectPr>
      </w:pPr>
      <w:r>
        <w:rPr>
          <w:rFonts w:hint="eastAsia" w:ascii="楷体" w:hAnsi="楷体" w:eastAsia="楷体" w:cs="楷体"/>
          <w:sz w:val="21"/>
          <w:lang w:eastAsia="zh-CN"/>
        </w:rPr>
        <w:tab/>
      </w:r>
    </w:p>
    <w:p>
      <w:pPr>
        <w:pStyle w:val="2"/>
        <w:spacing w:before="0" w:line="360" w:lineRule="auto"/>
        <w:jc w:val="center"/>
        <w:rPr>
          <w:rFonts w:hint="eastAsia" w:ascii="楷体" w:hAnsi="楷体" w:eastAsia="楷体" w:cs="楷体"/>
          <w:b/>
          <w:sz w:val="28"/>
          <w:szCs w:val="28"/>
          <w:lang w:eastAsia="zh-CN"/>
        </w:rPr>
      </w:pPr>
      <w:bookmarkStart w:id="0" w:name="_Toc20062428"/>
      <w:bookmarkStart w:id="1" w:name="_Toc447125207"/>
      <w:bookmarkStart w:id="2" w:name="_Toc205618349"/>
      <w:r>
        <w:rPr>
          <w:rFonts w:hint="eastAsia" w:ascii="楷体" w:hAnsi="楷体" w:eastAsia="楷体" w:cs="楷体"/>
          <w:b/>
          <w:bCs/>
          <w:kern w:val="2"/>
          <w:sz w:val="28"/>
          <w:szCs w:val="28"/>
          <w:lang w:eastAsia="zh-CN"/>
        </w:rPr>
        <w:t>声明</w:t>
      </w:r>
      <w:bookmarkEnd w:id="0"/>
      <w:bookmarkEnd w:id="1"/>
      <w:bookmarkEnd w:id="2"/>
    </w:p>
    <w:p>
      <w:pPr>
        <w:spacing w:before="156" w:beforeLines="50" w:after="0" w:line="240" w:lineRule="auto"/>
        <w:ind w:firstLine="480" w:firstLineChars="200"/>
        <w:jc w:val="both"/>
        <w:rPr>
          <w:rFonts w:hint="eastAsia" w:ascii="楷体" w:hAnsi="楷体" w:eastAsia="楷体" w:cs="楷体"/>
          <w:sz w:val="24"/>
          <w:lang w:eastAsia="zh-CN"/>
        </w:rPr>
      </w:pPr>
      <w:r>
        <w:rPr>
          <w:rFonts w:hint="eastAsia" w:ascii="楷体" w:hAnsi="楷体" w:eastAsia="楷体" w:cs="楷体"/>
          <w:sz w:val="24"/>
          <w:lang w:eastAsia="zh-CN"/>
        </w:rPr>
        <w:t>一、本资产评估报告依据财政部发布的资产评估基本准则和中国资产评估协会发布的资产评估执业准则及职业道德准则编制。</w:t>
      </w:r>
    </w:p>
    <w:p>
      <w:pPr>
        <w:spacing w:before="156" w:beforeLines="50" w:after="0" w:line="240" w:lineRule="auto"/>
        <w:ind w:firstLine="480" w:firstLineChars="200"/>
        <w:jc w:val="both"/>
        <w:rPr>
          <w:rFonts w:hint="eastAsia" w:ascii="楷体" w:hAnsi="楷体" w:eastAsia="楷体" w:cs="楷体"/>
          <w:sz w:val="24"/>
          <w:lang w:eastAsia="zh-CN"/>
        </w:rPr>
      </w:pPr>
      <w:r>
        <w:rPr>
          <w:rFonts w:hint="eastAsia" w:ascii="楷体" w:hAnsi="楷体" w:eastAsia="楷体" w:cs="楷体"/>
          <w:sz w:val="24"/>
          <w:lang w:eastAsia="zh-CN"/>
        </w:rPr>
        <w:t>二、本资产评估报告使用人应当按照法律、行政法规规定和本资产评估报告载明的使用范围使用本资产评估报告；本资产评估报告使用人违反前述规定使用本资产评估报告的，本公司及其签字资产评估师不承担责任。</w:t>
      </w:r>
    </w:p>
    <w:p>
      <w:pPr>
        <w:spacing w:before="156" w:beforeLines="50" w:after="0" w:line="240" w:lineRule="auto"/>
        <w:ind w:firstLine="480" w:firstLineChars="200"/>
        <w:jc w:val="both"/>
        <w:rPr>
          <w:rFonts w:hint="eastAsia" w:ascii="楷体" w:hAnsi="楷体" w:eastAsia="楷体" w:cs="楷体"/>
          <w:sz w:val="24"/>
          <w:lang w:eastAsia="zh-CN"/>
        </w:rPr>
      </w:pPr>
      <w:r>
        <w:rPr>
          <w:rFonts w:hint="eastAsia" w:ascii="楷体" w:hAnsi="楷体" w:eastAsia="楷体" w:cs="楷体"/>
          <w:sz w:val="24"/>
          <w:lang w:eastAsia="zh-CN"/>
        </w:rPr>
        <w:t>三、本资产评估报告使用人限于且仅限于委托人和法律、行政法规规定的本资产评估报告使用人，即本资产评估报告仅供委托人、资产评估委托合同中约定的其他资产评估报告使用人和法律、行政法规规定的本资产评估报告使用人使用；除此之外，其他任何机构和个人均不得成为本资产评估报告的使用人。</w:t>
      </w:r>
    </w:p>
    <w:p>
      <w:pPr>
        <w:spacing w:before="156" w:beforeLines="50" w:after="0" w:line="240" w:lineRule="auto"/>
        <w:ind w:firstLine="480" w:firstLineChars="200"/>
        <w:jc w:val="both"/>
        <w:rPr>
          <w:rFonts w:hint="eastAsia" w:ascii="楷体" w:hAnsi="楷体" w:eastAsia="楷体" w:cs="楷体"/>
          <w:sz w:val="24"/>
          <w:lang w:eastAsia="zh-CN"/>
        </w:rPr>
      </w:pPr>
      <w:r>
        <w:rPr>
          <w:rFonts w:hint="eastAsia" w:ascii="楷体" w:hAnsi="楷体" w:eastAsia="楷体" w:cs="楷体"/>
          <w:sz w:val="24"/>
          <w:lang w:eastAsia="zh-CN"/>
        </w:rPr>
        <w:t>四、本资产评估报告使用人应当正确理解和使用评估结论，评估结论不等同于评估对象可实现价格，评估结论不应当被认为是对评估对象可实现价格的保证。</w:t>
      </w:r>
    </w:p>
    <w:p>
      <w:pPr>
        <w:spacing w:before="156" w:beforeLines="50" w:after="0" w:line="240" w:lineRule="auto"/>
        <w:ind w:firstLine="480" w:firstLineChars="200"/>
        <w:jc w:val="both"/>
        <w:rPr>
          <w:rFonts w:hint="eastAsia" w:ascii="楷体" w:hAnsi="楷体" w:eastAsia="楷体" w:cs="楷体"/>
          <w:sz w:val="24"/>
          <w:lang w:eastAsia="zh-CN"/>
        </w:rPr>
      </w:pPr>
      <w:r>
        <w:rPr>
          <w:rFonts w:hint="eastAsia" w:ascii="楷体" w:hAnsi="楷体" w:eastAsia="楷体" w:cs="楷体"/>
          <w:sz w:val="24"/>
          <w:lang w:eastAsia="zh-CN"/>
        </w:rPr>
        <w:t>五、本资产评估报告使用人应当关注评估结论成立的假设前提、特别事项说明和资产评估报告使用限制说明。</w:t>
      </w:r>
    </w:p>
    <w:p>
      <w:pPr>
        <w:spacing w:before="156" w:beforeLines="50" w:after="0" w:line="240" w:lineRule="auto"/>
        <w:ind w:firstLine="480" w:firstLineChars="200"/>
        <w:jc w:val="both"/>
        <w:rPr>
          <w:rFonts w:hint="eastAsia" w:ascii="楷体" w:hAnsi="楷体" w:eastAsia="楷体" w:cs="楷体"/>
          <w:sz w:val="24"/>
          <w:lang w:eastAsia="zh-CN"/>
        </w:rPr>
      </w:pPr>
      <w:r>
        <w:rPr>
          <w:rFonts w:hint="eastAsia" w:ascii="楷体" w:hAnsi="楷体" w:eastAsia="楷体" w:cs="楷体"/>
          <w:sz w:val="24"/>
          <w:lang w:eastAsia="zh-CN"/>
        </w:rPr>
        <w:t>六、本公司及本资产评估报告的签字资产评估师遵守法律、行政法规和资产评估准则，坚持独立、客观、公正的原则，并对所出具的本资产评估报告依法承担责任。</w:t>
      </w:r>
    </w:p>
    <w:p>
      <w:pPr>
        <w:spacing w:before="156" w:beforeLines="50" w:after="0" w:line="240" w:lineRule="auto"/>
        <w:ind w:firstLine="480" w:firstLineChars="200"/>
        <w:jc w:val="both"/>
        <w:rPr>
          <w:rFonts w:hint="eastAsia" w:ascii="楷体" w:hAnsi="楷体" w:eastAsia="楷体" w:cs="楷体"/>
          <w:sz w:val="24"/>
          <w:lang w:eastAsia="zh-CN"/>
        </w:rPr>
      </w:pPr>
      <w:r>
        <w:rPr>
          <w:rFonts w:hint="eastAsia" w:ascii="楷体" w:hAnsi="楷体" w:eastAsia="楷体" w:cs="楷体"/>
          <w:sz w:val="24"/>
          <w:lang w:eastAsia="zh-CN"/>
        </w:rPr>
        <w:t>七、评估对象及其对应的评估范围所涉及的资产评估明细表中的申报评估信息、经营数据和信息、财务报告和资料及其他重要资料等由委托人和/或相关当事人（包括评估对象的产权持有人或实际控制人、被评估企业、被评估企业的关联方等及其管理者或相关职员）申报或提供并经其采用签名、盖章或法律允许的其他方式确认；相关当事人依法对其提供资料的真实性、完整性、合法性和有效性负责。</w:t>
      </w:r>
    </w:p>
    <w:p>
      <w:pPr>
        <w:spacing w:before="156" w:beforeLines="50" w:after="0" w:line="240" w:lineRule="auto"/>
        <w:ind w:firstLine="480" w:firstLineChars="200"/>
        <w:jc w:val="both"/>
        <w:rPr>
          <w:rFonts w:hint="eastAsia" w:ascii="楷体" w:hAnsi="楷体" w:eastAsia="楷体" w:cs="楷体"/>
          <w:sz w:val="24"/>
          <w:lang w:eastAsia="zh-CN"/>
        </w:rPr>
      </w:pPr>
      <w:r>
        <w:rPr>
          <w:rFonts w:hint="eastAsia" w:ascii="楷体" w:hAnsi="楷体" w:eastAsia="楷体" w:cs="楷体"/>
          <w:sz w:val="24"/>
          <w:lang w:eastAsia="zh-CN"/>
        </w:rPr>
        <w:t>八、本资产评估报告的签字资产评估师（包括协助其工作的资产评估专业人员）已经对本资产评估报告中的评估对象及其所涉及资产进行了必要的现场调查；对评估对象及其所涉及资产的法律权属状况给予必要的关注，对评估对象及其所涉及资产的法律权属资料进行了抽查查验，对已经发现的问题进行了如实披露，并且已提请相关当事人完善产权以满足出具资产评估报告的要求。</w:t>
      </w:r>
    </w:p>
    <w:p>
      <w:pPr>
        <w:spacing w:before="156" w:beforeLines="50" w:after="0" w:line="240" w:lineRule="auto"/>
        <w:ind w:firstLine="480" w:firstLineChars="200"/>
        <w:jc w:val="both"/>
        <w:rPr>
          <w:rFonts w:hint="eastAsia" w:ascii="楷体" w:hAnsi="楷体" w:eastAsia="楷体" w:cs="楷体"/>
          <w:sz w:val="24"/>
          <w:lang w:eastAsia="zh-CN"/>
        </w:rPr>
      </w:pPr>
      <w:r>
        <w:rPr>
          <w:rFonts w:hint="eastAsia" w:ascii="楷体" w:hAnsi="楷体" w:eastAsia="楷体" w:cs="楷体"/>
          <w:sz w:val="24"/>
          <w:lang w:eastAsia="zh-CN"/>
        </w:rPr>
        <w:t>九、本公司及本资产评估报告的签字资产评估师与本资产评估报告中的评估对象没有现存或者预期的利益关系，与相关当事人没有现存或者预期的利益关系，对相关当事人不存在偏见。</w:t>
      </w:r>
    </w:p>
    <w:p>
      <w:pPr>
        <w:spacing w:before="156" w:beforeLines="50" w:after="0" w:line="240" w:lineRule="auto"/>
        <w:ind w:firstLine="480" w:firstLineChars="200"/>
        <w:jc w:val="both"/>
        <w:rPr>
          <w:rFonts w:hint="eastAsia" w:ascii="楷体" w:hAnsi="楷体" w:eastAsia="楷体" w:cs="楷体"/>
          <w:sz w:val="21"/>
          <w:lang w:eastAsia="zh-CN"/>
        </w:rPr>
      </w:pPr>
      <w:r>
        <w:rPr>
          <w:rFonts w:hint="eastAsia" w:ascii="楷体" w:hAnsi="楷体" w:eastAsia="楷体" w:cs="楷体"/>
          <w:sz w:val="24"/>
          <w:lang w:eastAsia="zh-CN"/>
        </w:rPr>
        <w:t>十、未经本公司书面同意，本资产评估报告的内容不得被摘抄、引用或者披露于公开媒体，法律、行政法规规定和资产评估委托合同另有约定的除外</w:t>
      </w:r>
      <w:r>
        <w:rPr>
          <w:rFonts w:hint="eastAsia" w:ascii="楷体" w:hAnsi="楷体" w:eastAsia="楷体" w:cs="楷体"/>
          <w:sz w:val="21"/>
          <w:lang w:eastAsia="zh-CN"/>
        </w:rPr>
        <w:t>。</w:t>
      </w:r>
    </w:p>
    <w:p>
      <w:pPr>
        <w:spacing w:before="156" w:beforeLines="50" w:after="0" w:line="240" w:lineRule="auto"/>
        <w:rPr>
          <w:rFonts w:hint="eastAsia" w:ascii="楷体" w:hAnsi="楷体" w:eastAsia="楷体" w:cs="楷体"/>
          <w:sz w:val="21"/>
          <w:lang w:eastAsia="zh-CN"/>
        </w:rPr>
        <w:sectPr>
          <w:headerReference r:id="rId6" w:type="default"/>
          <w:footerReference r:id="rId7" w:type="default"/>
          <w:pgSz w:w="11906" w:h="16838"/>
          <w:pgMar w:top="1560" w:right="1800" w:bottom="1276" w:left="1800" w:header="426" w:footer="340" w:gutter="0"/>
          <w:pgNumType w:start="1"/>
          <w:cols w:space="425" w:num="1"/>
          <w:docGrid w:type="lines" w:linePitch="312" w:charSpace="0"/>
        </w:sectPr>
      </w:pPr>
    </w:p>
    <w:p>
      <w:pPr>
        <w:adjustRightInd w:val="0"/>
        <w:snapToGrid w:val="0"/>
        <w:spacing w:after="0" w:line="240" w:lineRule="auto"/>
        <w:jc w:val="center"/>
        <w:rPr>
          <w:rFonts w:hint="eastAsia" w:ascii="楷体" w:hAnsi="楷体" w:eastAsia="楷体" w:cs="楷体"/>
          <w:b/>
          <w:spacing w:val="18"/>
          <w:sz w:val="28"/>
          <w:szCs w:val="28"/>
          <w:lang w:eastAsia="zh-CN"/>
        </w:rPr>
      </w:pPr>
      <w:r>
        <w:rPr>
          <w:rFonts w:hint="eastAsia" w:ascii="楷体" w:hAnsi="楷体" w:eastAsia="楷体" w:cs="楷体"/>
          <w:b/>
          <w:spacing w:val="18"/>
          <w:sz w:val="28"/>
          <w:szCs w:val="28"/>
          <w:lang w:eastAsia="zh-CN"/>
        </w:rPr>
        <w:t>东莞市第一人民法院拟资产处置                        所涉及的刘树群</w:t>
      </w:r>
    </w:p>
    <w:p>
      <w:pPr>
        <w:adjustRightInd w:val="0"/>
        <w:snapToGrid w:val="0"/>
        <w:spacing w:after="0" w:line="240" w:lineRule="auto"/>
        <w:jc w:val="center"/>
        <w:rPr>
          <w:rFonts w:hint="eastAsia" w:ascii="楷体" w:hAnsi="楷体" w:eastAsia="楷体" w:cs="楷体"/>
          <w:b/>
          <w:spacing w:val="18"/>
          <w:sz w:val="28"/>
          <w:szCs w:val="28"/>
          <w:lang w:eastAsia="zh-CN"/>
        </w:rPr>
      </w:pPr>
      <w:r>
        <w:rPr>
          <w:rFonts w:hint="eastAsia" w:ascii="楷体" w:hAnsi="楷体" w:eastAsia="楷体" w:cs="楷体"/>
          <w:b/>
          <w:spacing w:val="18"/>
          <w:sz w:val="28"/>
          <w:szCs w:val="28"/>
          <w:lang w:eastAsia="zh-CN"/>
        </w:rPr>
        <w:t>家私电器</w:t>
      </w:r>
    </w:p>
    <w:p>
      <w:pPr>
        <w:pStyle w:val="2"/>
        <w:spacing w:before="156" w:beforeLines="50" w:line="360" w:lineRule="auto"/>
        <w:jc w:val="center"/>
        <w:rPr>
          <w:rFonts w:hint="eastAsia" w:ascii="楷体" w:hAnsi="楷体" w:eastAsia="楷体" w:cs="楷体"/>
          <w:bCs/>
          <w:kern w:val="2"/>
          <w:sz w:val="28"/>
          <w:szCs w:val="28"/>
          <w:lang w:eastAsia="zh-CN"/>
        </w:rPr>
      </w:pPr>
      <w:bookmarkStart w:id="3" w:name="_Toc447125208"/>
      <w:bookmarkStart w:id="4" w:name="_Toc20062429"/>
      <w:bookmarkStart w:id="5" w:name="_Toc502866367"/>
      <w:r>
        <w:rPr>
          <w:rFonts w:hint="eastAsia" w:ascii="楷体" w:hAnsi="楷体" w:eastAsia="楷体" w:cs="楷体"/>
          <w:b/>
          <w:bCs/>
          <w:kern w:val="2"/>
          <w:sz w:val="28"/>
          <w:szCs w:val="28"/>
          <w:lang w:eastAsia="zh-CN"/>
        </w:rPr>
        <w:t>资产评估报告摘要</w:t>
      </w:r>
      <w:bookmarkEnd w:id="3"/>
      <w:bookmarkEnd w:id="4"/>
      <w:bookmarkEnd w:id="5"/>
    </w:p>
    <w:p>
      <w:pPr>
        <w:adjustRightInd w:val="0"/>
        <w:snapToGrid w:val="0"/>
        <w:spacing w:after="100" w:line="240" w:lineRule="auto"/>
        <w:jc w:val="center"/>
        <w:rPr>
          <w:rFonts w:hint="eastAsia" w:ascii="楷体" w:hAnsi="楷体" w:eastAsia="楷体" w:cs="楷体"/>
          <w:sz w:val="18"/>
          <w:szCs w:val="18"/>
          <w:lang w:eastAsia="zh-CN"/>
        </w:rPr>
      </w:pPr>
      <w:r>
        <w:rPr>
          <w:rFonts w:hint="eastAsia" w:ascii="楷体" w:hAnsi="楷体" w:eastAsia="楷体" w:cs="楷体"/>
          <w:spacing w:val="18"/>
          <w:sz w:val="21"/>
          <w:szCs w:val="21"/>
          <w:lang w:eastAsia="zh-CN"/>
        </w:rPr>
        <w:t>鹏信咨询字[2021]第F230号</w:t>
      </w:r>
    </w:p>
    <w:tbl>
      <w:tblPr>
        <w:tblStyle w:val="12"/>
        <w:tblW w:w="8130" w:type="dxa"/>
        <w:tblInd w:w="39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2F2F2"/>
        <w:tblLayout w:type="fixed"/>
        <w:tblCellMar>
          <w:top w:w="0" w:type="dxa"/>
          <w:left w:w="108" w:type="dxa"/>
          <w:bottom w:w="0" w:type="dxa"/>
          <w:right w:w="108" w:type="dxa"/>
        </w:tblCellMar>
      </w:tblPr>
      <w:tblGrid>
        <w:gridCol w:w="81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2F2F2"/>
        </w:tblPrEx>
        <w:tc>
          <w:tcPr>
            <w:tcW w:w="8130" w:type="dxa"/>
            <w:shd w:val="clear" w:color="auto" w:fill="F2F2F2"/>
          </w:tcPr>
          <w:p>
            <w:pPr>
              <w:spacing w:after="0" w:line="0" w:lineRule="atLeast"/>
              <w:jc w:val="both"/>
              <w:rPr>
                <w:rFonts w:hint="eastAsia" w:ascii="楷体" w:hAnsi="楷体" w:eastAsia="楷体" w:cs="楷体"/>
                <w:color w:val="000000"/>
                <w:szCs w:val="21"/>
                <w:lang w:eastAsia="zh-CN"/>
              </w:rPr>
            </w:pPr>
            <w:r>
              <w:rPr>
                <w:rFonts w:hint="eastAsia" w:ascii="楷体" w:hAnsi="楷体" w:eastAsia="楷体" w:cs="楷体"/>
                <w:b/>
                <w:color w:val="000000"/>
                <w:sz w:val="21"/>
                <w:szCs w:val="21"/>
                <w:lang w:eastAsia="zh-CN"/>
              </w:rPr>
              <w:t>谨提请本资产评估报告摘要之使用者和阅读者注意</w:t>
            </w:r>
            <w:r>
              <w:rPr>
                <w:rFonts w:hint="eastAsia" w:ascii="楷体" w:hAnsi="楷体" w:eastAsia="楷体" w:cs="楷体"/>
                <w:color w:val="000000"/>
                <w:sz w:val="21"/>
                <w:szCs w:val="21"/>
                <w:lang w:eastAsia="zh-CN"/>
              </w:rPr>
              <w:t>：本资产评估报告摘要之内容摘自资产评估报告正文，欲了解本评估项目的详细情况和合理理解评估结论，应当详细阅读资产评估报告全文。</w:t>
            </w:r>
          </w:p>
        </w:tc>
      </w:tr>
    </w:tbl>
    <w:p>
      <w:pPr>
        <w:widowControl w:val="0"/>
        <w:spacing w:before="156" w:beforeLines="50" w:after="0" w:line="240" w:lineRule="auto"/>
        <w:ind w:firstLine="480" w:firstLineChars="200"/>
        <w:jc w:val="both"/>
        <w:rPr>
          <w:rFonts w:hint="eastAsia" w:ascii="楷体" w:hAnsi="楷体" w:eastAsia="楷体" w:cs="楷体"/>
          <w:b/>
          <w:sz w:val="24"/>
          <w:szCs w:val="24"/>
          <w:lang w:eastAsia="zh-CN"/>
        </w:rPr>
      </w:pPr>
      <w:r>
        <w:rPr>
          <w:rFonts w:hint="eastAsia" w:ascii="楷体" w:hAnsi="楷体" w:eastAsia="楷体" w:cs="楷体"/>
          <w:sz w:val="24"/>
          <w:szCs w:val="24"/>
          <w:lang w:eastAsia="zh-CN"/>
        </w:rPr>
        <w:t>深圳市鹏信资产评估土地房地产估价有限公司接受东莞市第一人民法院的委托，就东莞市第一人民法院拟资产处置之经济行为，所涉及的刘树群家私电器在评估基准日的市场价值进行了评估，现将</w:t>
      </w:r>
      <w:r>
        <w:rPr>
          <w:rFonts w:hint="eastAsia" w:ascii="楷体" w:hAnsi="楷体" w:eastAsia="楷体" w:cs="楷体"/>
          <w:sz w:val="24"/>
          <w:szCs w:val="24"/>
          <w:lang w:eastAsia="zh-CN"/>
        </w:rPr>
        <w:t>资产评估报告</w:t>
      </w:r>
      <w:r>
        <w:rPr>
          <w:rFonts w:hint="eastAsia" w:ascii="楷体" w:hAnsi="楷体" w:eastAsia="楷体" w:cs="楷体"/>
          <w:sz w:val="24"/>
          <w:szCs w:val="24"/>
          <w:lang w:eastAsia="zh-CN"/>
        </w:rPr>
        <w:t>正文的相关内容摘要如下：</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一、评估目的：东莞市第一人民法院拟资产处置，为此，东莞市第一人民法院委托本公司对刘树群家私电器的市场价值进行评估，</w:t>
      </w:r>
      <w:r>
        <w:rPr>
          <w:rFonts w:hint="eastAsia" w:ascii="楷体" w:hAnsi="楷体" w:eastAsia="楷体" w:cs="楷体"/>
          <w:sz w:val="24"/>
          <w:szCs w:val="24"/>
          <w:lang w:eastAsia="zh-CN"/>
        </w:rPr>
        <w:t>为上述经济行为提供价值参考</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b/>
          <w:sz w:val="24"/>
          <w:szCs w:val="24"/>
          <w:lang w:eastAsia="zh-CN"/>
        </w:rPr>
      </w:pPr>
      <w:r>
        <w:rPr>
          <w:rFonts w:hint="eastAsia" w:ascii="楷体" w:hAnsi="楷体" w:eastAsia="楷体" w:cs="楷体"/>
          <w:sz w:val="24"/>
          <w:szCs w:val="24"/>
          <w:lang w:eastAsia="zh-CN"/>
        </w:rPr>
        <w:t>二、评估对象：刘树群家私电器价值，</w:t>
      </w:r>
      <w:r>
        <w:rPr>
          <w:rFonts w:hint="eastAsia" w:ascii="楷体" w:hAnsi="楷体" w:eastAsia="楷体" w:cs="楷体"/>
          <w:sz w:val="24"/>
          <w:szCs w:val="24"/>
          <w:lang w:eastAsia="zh-CN"/>
        </w:rPr>
        <w:t>与评估对象相对应的评估范围为</w:t>
      </w:r>
      <w:r>
        <w:rPr>
          <w:rFonts w:hint="eastAsia" w:ascii="楷体" w:hAnsi="楷体" w:eastAsia="楷体" w:cs="楷体"/>
          <w:sz w:val="24"/>
          <w:szCs w:val="24"/>
          <w:lang w:eastAsia="zh-CN"/>
        </w:rPr>
        <w:t>刘树群</w:t>
      </w:r>
      <w:r>
        <w:rPr>
          <w:rFonts w:hint="eastAsia" w:ascii="楷体" w:hAnsi="楷体" w:eastAsia="楷体" w:cs="楷体"/>
          <w:sz w:val="24"/>
          <w:szCs w:val="24"/>
          <w:lang w:eastAsia="zh-CN"/>
        </w:rPr>
        <w:t>的家私电器</w:t>
      </w:r>
      <w:r>
        <w:rPr>
          <w:rFonts w:hint="eastAsia" w:ascii="楷体" w:hAnsi="楷体" w:eastAsia="楷体" w:cs="楷体"/>
          <w:sz w:val="24"/>
          <w:szCs w:val="24"/>
          <w:lang w:eastAsia="zh-CN"/>
        </w:rPr>
        <w:t>5项</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三、评估基准日：</w:t>
      </w:r>
      <w:r>
        <w:rPr>
          <w:rFonts w:hint="eastAsia" w:ascii="楷体" w:hAnsi="楷体" w:eastAsia="楷体" w:cs="楷体"/>
          <w:color w:val="000000" w:themeColor="text1"/>
          <w:sz w:val="24"/>
          <w:szCs w:val="24"/>
          <w:lang w:eastAsia="zh-CN"/>
        </w:rPr>
        <w:t>2021年1月22日</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四、价值类型：市场价值。</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五、评估方法：成本法</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 xml:space="preserve">六、评估结论： </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采用成本法评估的刘树群家私电器于评估基准日的评估值为：</w:t>
      </w:r>
      <w:r>
        <w:rPr>
          <w:rFonts w:hint="eastAsia" w:ascii="楷体" w:hAnsi="楷体" w:eastAsia="楷体" w:cs="楷体"/>
          <w:sz w:val="24"/>
          <w:szCs w:val="24"/>
          <w:lang w:eastAsia="zh-CN"/>
        </w:rPr>
        <w:t>0.39万</w:t>
      </w:r>
      <w:r>
        <w:rPr>
          <w:rFonts w:hint="eastAsia" w:ascii="楷体" w:hAnsi="楷体" w:eastAsia="楷体" w:cs="楷体"/>
          <w:sz w:val="24"/>
          <w:szCs w:val="24"/>
          <w:lang w:eastAsia="zh-CN"/>
        </w:rPr>
        <w:t>元人民币。</w:t>
      </w:r>
    </w:p>
    <w:p>
      <w:pPr>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评估结论使用有效期：通常情况下，评估结论的使用有效期自评估基准日</w:t>
      </w:r>
      <w:r>
        <w:rPr>
          <w:rFonts w:hint="eastAsia" w:ascii="楷体" w:hAnsi="楷体" w:eastAsia="楷体" w:cs="楷体"/>
          <w:color w:val="000000" w:themeColor="text1"/>
          <w:sz w:val="24"/>
          <w:szCs w:val="24"/>
          <w:lang w:eastAsia="zh-CN"/>
        </w:rPr>
        <w:t>2021年1月22日至2022年1月21日</w:t>
      </w:r>
      <w:r>
        <w:rPr>
          <w:rFonts w:hint="eastAsia" w:ascii="楷体" w:hAnsi="楷体" w:eastAsia="楷体" w:cs="楷体"/>
          <w:sz w:val="24"/>
          <w:szCs w:val="24"/>
          <w:lang w:eastAsia="zh-CN"/>
        </w:rPr>
        <w:t>止。</w:t>
      </w:r>
    </w:p>
    <w:p>
      <w:pPr>
        <w:spacing w:before="156" w:beforeLines="50" w:after="0" w:line="240" w:lineRule="auto"/>
        <w:ind w:firstLine="480" w:firstLineChars="200"/>
        <w:jc w:val="both"/>
        <w:rPr>
          <w:rFonts w:hint="eastAsia" w:ascii="楷体" w:hAnsi="楷体" w:eastAsia="楷体" w:cs="楷体"/>
          <w:sz w:val="21"/>
          <w:lang w:eastAsia="zh-CN"/>
        </w:rPr>
      </w:pPr>
      <w:r>
        <w:rPr>
          <w:rFonts w:hint="eastAsia" w:ascii="楷体" w:hAnsi="楷体" w:eastAsia="楷体" w:cs="楷体"/>
          <w:sz w:val="24"/>
          <w:szCs w:val="24"/>
          <w:lang w:eastAsia="zh-CN"/>
        </w:rPr>
        <w:t>资产评估报告使用人应当充分关注资产评估报告中载明的评估假设和特别事项说明以及资产评估报告使用限制说明</w:t>
      </w:r>
      <w:r>
        <w:rPr>
          <w:rFonts w:hint="eastAsia" w:ascii="楷体" w:hAnsi="楷体" w:eastAsia="楷体" w:cs="楷体"/>
          <w:sz w:val="24"/>
          <w:szCs w:val="24"/>
          <w:lang w:eastAsia="zh-CN"/>
        </w:rPr>
        <w:t>。</w:t>
      </w:r>
    </w:p>
    <w:p>
      <w:pPr>
        <w:spacing w:before="156" w:beforeLines="50" w:after="0" w:line="240" w:lineRule="auto"/>
        <w:ind w:firstLine="420" w:firstLineChars="200"/>
        <w:jc w:val="both"/>
        <w:rPr>
          <w:rFonts w:hint="eastAsia" w:ascii="楷体" w:hAnsi="楷体" w:eastAsia="楷体" w:cs="楷体"/>
          <w:sz w:val="21"/>
          <w:lang w:eastAsia="zh-CN"/>
        </w:rPr>
        <w:sectPr>
          <w:headerReference r:id="rId8" w:type="default"/>
          <w:footerReference r:id="rId9" w:type="default"/>
          <w:pgSz w:w="11906" w:h="16838"/>
          <w:pgMar w:top="1560" w:right="1800" w:bottom="1276" w:left="1800" w:header="426" w:footer="340" w:gutter="0"/>
          <w:pgNumType w:start="1"/>
          <w:cols w:space="425" w:num="1"/>
          <w:docGrid w:type="lines" w:linePitch="312" w:charSpace="0"/>
        </w:sectPr>
      </w:pPr>
    </w:p>
    <w:p>
      <w:pPr>
        <w:adjustRightInd w:val="0"/>
        <w:snapToGrid w:val="0"/>
        <w:spacing w:after="0" w:line="240" w:lineRule="auto"/>
        <w:jc w:val="center"/>
        <w:rPr>
          <w:rFonts w:hint="eastAsia" w:ascii="楷体" w:hAnsi="楷体" w:eastAsia="楷体" w:cs="楷体"/>
          <w:b/>
          <w:spacing w:val="18"/>
          <w:sz w:val="28"/>
          <w:szCs w:val="28"/>
          <w:lang w:eastAsia="zh-CN"/>
        </w:rPr>
      </w:pPr>
      <w:r>
        <w:rPr>
          <w:rFonts w:hint="eastAsia" w:ascii="楷体" w:hAnsi="楷体" w:eastAsia="楷体" w:cs="楷体"/>
          <w:b/>
          <w:spacing w:val="18"/>
          <w:sz w:val="28"/>
          <w:szCs w:val="28"/>
          <w:lang w:eastAsia="zh-CN"/>
        </w:rPr>
        <w:t>东莞市第一人民法院拟资产处置                        所涉及的刘树群</w:t>
      </w:r>
    </w:p>
    <w:p>
      <w:pPr>
        <w:adjustRightInd w:val="0"/>
        <w:snapToGrid w:val="0"/>
        <w:spacing w:after="0" w:line="240" w:lineRule="auto"/>
        <w:jc w:val="center"/>
        <w:rPr>
          <w:rFonts w:hint="eastAsia" w:ascii="楷体" w:hAnsi="楷体" w:eastAsia="楷体" w:cs="楷体"/>
          <w:b/>
          <w:spacing w:val="18"/>
          <w:sz w:val="28"/>
          <w:szCs w:val="28"/>
          <w:lang w:eastAsia="zh-CN"/>
        </w:rPr>
      </w:pPr>
      <w:r>
        <w:rPr>
          <w:rFonts w:hint="eastAsia" w:ascii="楷体" w:hAnsi="楷体" w:eastAsia="楷体" w:cs="楷体"/>
          <w:b/>
          <w:spacing w:val="18"/>
          <w:sz w:val="28"/>
          <w:szCs w:val="28"/>
          <w:lang w:eastAsia="zh-CN"/>
        </w:rPr>
        <w:t>家私电器</w:t>
      </w:r>
    </w:p>
    <w:p>
      <w:pPr>
        <w:pStyle w:val="2"/>
        <w:spacing w:before="156" w:beforeLines="50" w:line="360" w:lineRule="auto"/>
        <w:jc w:val="center"/>
        <w:rPr>
          <w:rFonts w:hint="eastAsia" w:ascii="楷体" w:hAnsi="楷体" w:eastAsia="楷体" w:cs="楷体"/>
          <w:bCs/>
          <w:kern w:val="2"/>
          <w:sz w:val="28"/>
          <w:szCs w:val="28"/>
          <w:lang w:eastAsia="zh-CN"/>
        </w:rPr>
      </w:pPr>
      <w:bookmarkStart w:id="6" w:name="_Toc502866368"/>
      <w:bookmarkStart w:id="7" w:name="_Toc447125209"/>
      <w:bookmarkStart w:id="8" w:name="_Toc20062430"/>
      <w:r>
        <w:rPr>
          <w:rFonts w:hint="eastAsia" w:ascii="楷体" w:hAnsi="楷体" w:eastAsia="楷体" w:cs="楷体"/>
          <w:b/>
          <w:bCs/>
          <w:kern w:val="2"/>
          <w:sz w:val="28"/>
          <w:szCs w:val="28"/>
          <w:lang w:eastAsia="zh-CN"/>
        </w:rPr>
        <w:t>资产评估报告正文</w:t>
      </w:r>
      <w:bookmarkEnd w:id="6"/>
      <w:bookmarkEnd w:id="7"/>
      <w:bookmarkEnd w:id="8"/>
    </w:p>
    <w:p>
      <w:pPr>
        <w:pBdr>
          <w:bottom w:val="single" w:color="auto" w:sz="4" w:space="1"/>
        </w:pBdr>
        <w:spacing w:line="360" w:lineRule="auto"/>
        <w:jc w:val="center"/>
        <w:rPr>
          <w:rFonts w:hint="eastAsia" w:ascii="楷体" w:hAnsi="楷体" w:eastAsia="楷体" w:cs="楷体"/>
          <w:sz w:val="18"/>
          <w:szCs w:val="18"/>
          <w:lang w:eastAsia="zh-CN"/>
        </w:rPr>
      </w:pPr>
      <w:r>
        <w:rPr>
          <w:rFonts w:hint="eastAsia" w:ascii="楷体" w:hAnsi="楷体" w:eastAsia="楷体" w:cs="楷体"/>
          <w:spacing w:val="18"/>
          <w:sz w:val="21"/>
          <w:szCs w:val="21"/>
          <w:lang w:eastAsia="zh-CN"/>
        </w:rPr>
        <w:t>鹏信咨询字[2021]第F230号</w:t>
      </w:r>
    </w:p>
    <w:p>
      <w:pPr>
        <w:spacing w:before="156" w:beforeLines="50" w:line="480" w:lineRule="exact"/>
        <w:rPr>
          <w:rFonts w:hint="eastAsia" w:ascii="楷体" w:hAnsi="楷体" w:eastAsia="楷体" w:cs="楷体"/>
          <w:b/>
          <w:bCs/>
          <w:sz w:val="24"/>
          <w:szCs w:val="24"/>
          <w:lang w:eastAsia="zh-CN"/>
        </w:rPr>
      </w:pPr>
      <w:bookmarkStart w:id="9" w:name="_Toc48442636"/>
      <w:bookmarkStart w:id="10" w:name="_Toc49339794"/>
      <w:r>
        <w:rPr>
          <w:rFonts w:hint="eastAsia" w:ascii="楷体" w:hAnsi="楷体" w:eastAsia="楷体" w:cs="楷体"/>
          <w:b/>
          <w:bCs/>
          <w:sz w:val="24"/>
          <w:szCs w:val="24"/>
          <w:lang w:eastAsia="zh-CN"/>
        </w:rPr>
        <w:t>东莞市第一人民法院：</w:t>
      </w:r>
    </w:p>
    <w:bookmarkEnd w:id="9"/>
    <w:bookmarkEnd w:id="10"/>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本公司接受 贵院的委托，根据有关法律法规和</w:t>
      </w:r>
      <w:r>
        <w:rPr>
          <w:rFonts w:hint="eastAsia" w:ascii="楷体" w:hAnsi="楷体" w:eastAsia="楷体" w:cs="楷体"/>
          <w:sz w:val="24"/>
          <w:szCs w:val="24"/>
          <w:lang w:eastAsia="zh-CN"/>
        </w:rPr>
        <w:t>中国资产评估准则的有关规定，坚持独立、客观和公正的原则</w:t>
      </w:r>
      <w:r>
        <w:rPr>
          <w:rFonts w:hint="eastAsia" w:ascii="楷体" w:hAnsi="楷体" w:eastAsia="楷体" w:cs="楷体"/>
          <w:sz w:val="24"/>
          <w:szCs w:val="24"/>
          <w:lang w:eastAsia="zh-CN"/>
        </w:rPr>
        <w:t>，采用成本法，实施必要的评估程序，对东莞市第一人民法院拟资产处置之行为所涉及的刘树群家私电器于</w:t>
      </w:r>
      <w:r>
        <w:rPr>
          <w:rFonts w:hint="eastAsia" w:ascii="楷体" w:hAnsi="楷体" w:eastAsia="楷体" w:cs="楷体"/>
          <w:sz w:val="24"/>
          <w:szCs w:val="24"/>
          <w:lang w:eastAsia="zh-CN"/>
        </w:rPr>
        <w:t>2021年1月22日</w:t>
      </w:r>
      <w:r>
        <w:rPr>
          <w:rFonts w:hint="eastAsia" w:ascii="楷体" w:hAnsi="楷体" w:eastAsia="楷体" w:cs="楷体"/>
          <w:sz w:val="24"/>
          <w:szCs w:val="24"/>
          <w:lang w:eastAsia="zh-CN"/>
        </w:rPr>
        <w:t>的市场价值进行了评估。现将资产评估情况报告如下：</w:t>
      </w:r>
    </w:p>
    <w:p>
      <w:pPr>
        <w:pStyle w:val="3"/>
        <w:spacing w:before="156" w:beforeLines="50" w:line="480" w:lineRule="exact"/>
        <w:ind w:firstLine="482" w:firstLineChars="200"/>
        <w:jc w:val="both"/>
        <w:rPr>
          <w:rFonts w:hint="eastAsia" w:ascii="楷体" w:hAnsi="楷体" w:eastAsia="楷体" w:cs="楷体"/>
          <w:sz w:val="24"/>
          <w:szCs w:val="24"/>
          <w:lang w:eastAsia="zh-CN"/>
        </w:rPr>
      </w:pPr>
      <w:bookmarkStart w:id="11" w:name="_Toc447125210"/>
      <w:bookmarkStart w:id="12" w:name="_Toc20062431"/>
      <w:r>
        <w:rPr>
          <w:rFonts w:hint="eastAsia" w:ascii="楷体" w:hAnsi="楷体" w:eastAsia="楷体" w:cs="楷体"/>
          <w:sz w:val="24"/>
          <w:szCs w:val="24"/>
          <w:lang w:eastAsia="zh-CN"/>
        </w:rPr>
        <w:t>一、</w:t>
      </w:r>
      <w:bookmarkEnd w:id="11"/>
      <w:r>
        <w:rPr>
          <w:rFonts w:hint="eastAsia" w:ascii="楷体" w:hAnsi="楷体" w:eastAsia="楷体" w:cs="楷体"/>
          <w:sz w:val="24"/>
          <w:szCs w:val="24"/>
          <w:lang w:eastAsia="zh-CN"/>
        </w:rPr>
        <w:t>委托人及其他资产评估报告使用人</w:t>
      </w:r>
      <w:bookmarkEnd w:id="12"/>
    </w:p>
    <w:p>
      <w:pPr>
        <w:widowControl w:val="0"/>
        <w:spacing w:before="156" w:beforeLines="50" w:after="0" w:line="240" w:lineRule="auto"/>
        <w:ind w:firstLine="482" w:firstLineChars="200"/>
        <w:jc w:val="both"/>
        <w:rPr>
          <w:rFonts w:hint="eastAsia" w:ascii="楷体" w:hAnsi="楷体" w:eastAsia="楷体" w:cs="楷体"/>
          <w:sz w:val="24"/>
          <w:szCs w:val="24"/>
          <w:lang w:eastAsia="zh-CN"/>
        </w:rPr>
      </w:pPr>
      <w:r>
        <w:rPr>
          <w:rFonts w:hint="eastAsia" w:ascii="楷体" w:hAnsi="楷体" w:eastAsia="楷体" w:cs="楷体"/>
          <w:b/>
          <w:sz w:val="24"/>
          <w:szCs w:val="24"/>
          <w:lang w:eastAsia="zh-CN"/>
        </w:rPr>
        <w:t>(一)委托人概况</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东莞市第一人民法院</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(二)资产评估委托合同中约定的其他资产评估报告使用人</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根据 贵院摇珠产生的《委托评估函》，除 贵院和法律、行政法规规定的资产评估报告使用人外，没有其他资产评估报告使用人。</w:t>
      </w:r>
    </w:p>
    <w:p>
      <w:pPr>
        <w:pStyle w:val="3"/>
        <w:spacing w:before="156" w:beforeLines="50" w:line="480" w:lineRule="exact"/>
        <w:ind w:firstLine="482" w:firstLineChars="200"/>
        <w:jc w:val="both"/>
        <w:rPr>
          <w:rFonts w:hint="eastAsia" w:ascii="楷体" w:hAnsi="楷体" w:eastAsia="楷体" w:cs="楷体"/>
          <w:sz w:val="24"/>
          <w:szCs w:val="24"/>
          <w:lang w:eastAsia="zh-CN"/>
        </w:rPr>
      </w:pPr>
      <w:bookmarkStart w:id="13" w:name="_Toc447125211"/>
      <w:bookmarkStart w:id="14" w:name="_Toc20062432"/>
      <w:r>
        <w:rPr>
          <w:rFonts w:hint="eastAsia" w:ascii="楷体" w:hAnsi="楷体" w:eastAsia="楷体" w:cs="楷体"/>
          <w:sz w:val="24"/>
          <w:szCs w:val="24"/>
          <w:lang w:eastAsia="zh-CN"/>
        </w:rPr>
        <w:t>二、评估目的</w:t>
      </w:r>
      <w:bookmarkEnd w:id="13"/>
      <w:bookmarkEnd w:id="14"/>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东莞市第一人民法院拟资产处置，为此， 贵院委托本公司对刘树群家私电器于评估基准日的价值进行评估，为上述经济行为提供价值参考。</w:t>
      </w:r>
    </w:p>
    <w:p>
      <w:pPr>
        <w:pStyle w:val="3"/>
        <w:spacing w:before="156" w:beforeLines="50" w:line="480" w:lineRule="exact"/>
        <w:ind w:firstLine="482" w:firstLineChars="200"/>
        <w:jc w:val="both"/>
        <w:rPr>
          <w:rFonts w:hint="eastAsia" w:ascii="楷体" w:hAnsi="楷体" w:eastAsia="楷体" w:cs="楷体"/>
          <w:sz w:val="24"/>
          <w:szCs w:val="24"/>
          <w:lang w:eastAsia="zh-CN"/>
        </w:rPr>
      </w:pPr>
      <w:bookmarkStart w:id="15" w:name="_Toc20062433"/>
      <w:bookmarkStart w:id="16" w:name="_Toc447125212"/>
      <w:r>
        <w:rPr>
          <w:rFonts w:hint="eastAsia" w:ascii="楷体" w:hAnsi="楷体" w:eastAsia="楷体" w:cs="楷体"/>
          <w:sz w:val="24"/>
          <w:szCs w:val="24"/>
          <w:lang w:eastAsia="zh-CN"/>
        </w:rPr>
        <w:t>三、评估对象和评估范围</w:t>
      </w:r>
      <w:bookmarkEnd w:id="15"/>
      <w:bookmarkEnd w:id="16"/>
    </w:p>
    <w:p>
      <w:pPr>
        <w:widowControl w:val="0"/>
        <w:spacing w:before="156" w:beforeLines="50" w:after="0" w:line="240" w:lineRule="auto"/>
        <w:ind w:firstLine="482" w:firstLineChars="200"/>
        <w:jc w:val="both"/>
        <w:rPr>
          <w:rFonts w:hint="eastAsia" w:ascii="楷体" w:hAnsi="楷体" w:eastAsia="楷体" w:cs="楷体"/>
          <w:sz w:val="24"/>
          <w:szCs w:val="24"/>
          <w:lang w:eastAsia="zh-CN"/>
        </w:rPr>
      </w:pPr>
      <w:r>
        <w:rPr>
          <w:rFonts w:hint="eastAsia" w:ascii="楷体" w:hAnsi="楷体" w:eastAsia="楷体" w:cs="楷体"/>
          <w:b/>
          <w:sz w:val="24"/>
          <w:szCs w:val="24"/>
          <w:lang w:eastAsia="zh-CN"/>
        </w:rPr>
        <w:t>(</w:t>
      </w:r>
      <w:r>
        <w:rPr>
          <w:rFonts w:hint="eastAsia" w:ascii="楷体" w:hAnsi="楷体" w:eastAsia="楷体" w:cs="楷体"/>
          <w:b/>
          <w:sz w:val="24"/>
          <w:szCs w:val="24"/>
          <w:lang w:eastAsia="zh-CN"/>
        </w:rPr>
        <w:t>一</w:t>
      </w:r>
      <w:r>
        <w:rPr>
          <w:rFonts w:hint="eastAsia" w:ascii="楷体" w:hAnsi="楷体" w:eastAsia="楷体" w:cs="楷体"/>
          <w:b/>
          <w:sz w:val="24"/>
          <w:szCs w:val="24"/>
          <w:lang w:eastAsia="zh-CN"/>
        </w:rPr>
        <w:t>)评估对象和评估范围</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根据本次评估目的，评估对象为刘树群家私电器价值。</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与上述评估对象相对应的评估范围为刘树群所有的其于评估基准日的家私电器</w:t>
      </w:r>
      <w:r>
        <w:rPr>
          <w:rFonts w:hint="eastAsia" w:ascii="楷体" w:hAnsi="楷体" w:eastAsia="楷体" w:cs="楷体"/>
          <w:sz w:val="24"/>
          <w:szCs w:val="24"/>
          <w:lang w:eastAsia="zh-CN"/>
        </w:rPr>
        <w:t>5项</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(二)评估范围的基本情况</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纳入评估范围的主要资产的现状如下：</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纳入评估范围的资产为电视、立式空调等资产，共</w:t>
      </w:r>
      <w:r>
        <w:rPr>
          <w:rFonts w:hint="eastAsia" w:ascii="楷体" w:hAnsi="楷体" w:eastAsia="楷体" w:cs="楷体"/>
          <w:sz w:val="24"/>
          <w:szCs w:val="24"/>
          <w:lang w:eastAsia="zh-CN"/>
        </w:rPr>
        <w:t>5项</w:t>
      </w:r>
      <w:r>
        <w:rPr>
          <w:rFonts w:hint="eastAsia" w:ascii="楷体" w:hAnsi="楷体" w:eastAsia="楷体" w:cs="楷体"/>
          <w:sz w:val="24"/>
          <w:szCs w:val="24"/>
          <w:lang w:eastAsia="zh-CN"/>
        </w:rPr>
        <w:t>，存放环境一般，保养状况一般。</w:t>
      </w:r>
      <w:r>
        <w:rPr>
          <w:rFonts w:hint="eastAsia" w:ascii="楷体" w:hAnsi="楷体" w:eastAsia="楷体" w:cs="楷体"/>
          <w:sz w:val="24"/>
          <w:szCs w:val="24"/>
          <w:lang w:eastAsia="zh-CN"/>
        </w:rPr>
        <w:t>根据现场勘查记录结果，以上资产已被法院查封，于评估基准日具体状况详见资产清查评估明细表</w:t>
      </w:r>
      <w:r>
        <w:rPr>
          <w:rFonts w:hint="eastAsia" w:ascii="楷体" w:hAnsi="楷体" w:eastAsia="楷体" w:cs="楷体"/>
          <w:sz w:val="24"/>
          <w:szCs w:val="24"/>
          <w:lang w:eastAsia="zh-CN"/>
        </w:rPr>
        <w:t>。</w:t>
      </w:r>
    </w:p>
    <w:p>
      <w:pPr>
        <w:pStyle w:val="3"/>
        <w:spacing w:before="156" w:beforeLines="50" w:line="480" w:lineRule="exact"/>
        <w:ind w:firstLine="482" w:firstLineChars="200"/>
        <w:jc w:val="both"/>
        <w:rPr>
          <w:rFonts w:hint="eastAsia" w:ascii="楷体" w:hAnsi="楷体" w:eastAsia="楷体" w:cs="楷体"/>
          <w:sz w:val="24"/>
          <w:szCs w:val="24"/>
          <w:lang w:eastAsia="zh-CN"/>
        </w:rPr>
      </w:pPr>
      <w:bookmarkStart w:id="17" w:name="_Toc20062434"/>
      <w:bookmarkStart w:id="18" w:name="_Toc447125213"/>
      <w:r>
        <w:rPr>
          <w:rFonts w:hint="eastAsia" w:ascii="楷体" w:hAnsi="楷体" w:eastAsia="楷体" w:cs="楷体"/>
          <w:sz w:val="24"/>
          <w:szCs w:val="24"/>
          <w:lang w:eastAsia="zh-CN"/>
        </w:rPr>
        <w:t>四、价值类型</w:t>
      </w:r>
      <w:bookmarkEnd w:id="17"/>
      <w:bookmarkEnd w:id="18"/>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(一)本次评估的价值类型及其定义</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本次评估的价值类型为市场价值。</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市场价值是指自愿买方和自愿卖方在各自理性行事且未受任何强迫的情况下，评估对象在评估基准日进行正常公平交易的价值估计数额。</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(二)价值类型的选择说明</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本次评估目的所对应的经济行为是与评估对象有关的处置之交易，该交易的市场条件与市场价值所界定的条件基本类似，结合考虑评估对象自身条件等因素，本次评估选择的价值类型为市场价值</w:t>
      </w:r>
      <w:r>
        <w:rPr>
          <w:rFonts w:hint="eastAsia" w:ascii="楷体" w:hAnsi="楷体" w:eastAsia="楷体" w:cs="楷体"/>
          <w:sz w:val="24"/>
          <w:szCs w:val="24"/>
          <w:lang w:eastAsia="zh-CN"/>
        </w:rPr>
        <w:t>。</w:t>
      </w:r>
    </w:p>
    <w:p>
      <w:pPr>
        <w:pStyle w:val="3"/>
        <w:spacing w:before="156" w:beforeLines="50" w:line="480" w:lineRule="exact"/>
        <w:ind w:firstLine="482" w:firstLineChars="200"/>
        <w:jc w:val="both"/>
        <w:rPr>
          <w:rFonts w:hint="eastAsia" w:ascii="楷体" w:hAnsi="楷体" w:eastAsia="楷体" w:cs="楷体"/>
          <w:sz w:val="24"/>
          <w:szCs w:val="24"/>
          <w:lang w:eastAsia="zh-CN"/>
        </w:rPr>
      </w:pPr>
      <w:bookmarkStart w:id="19" w:name="_Toc447125214"/>
      <w:bookmarkStart w:id="20" w:name="_Toc18131595"/>
      <w:bookmarkStart w:id="21" w:name="_Toc20062435"/>
      <w:r>
        <w:rPr>
          <w:rFonts w:hint="eastAsia" w:ascii="楷体" w:hAnsi="楷体" w:eastAsia="楷体" w:cs="楷体"/>
          <w:sz w:val="24"/>
          <w:szCs w:val="24"/>
          <w:lang w:eastAsia="zh-CN"/>
        </w:rPr>
        <w:t>五、评估基准日</w:t>
      </w:r>
      <w:bookmarkEnd w:id="19"/>
      <w:bookmarkEnd w:id="20"/>
      <w:bookmarkEnd w:id="21"/>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w:t>
      </w:r>
      <w:r>
        <w:rPr>
          <w:rFonts w:hint="eastAsia" w:ascii="楷体" w:hAnsi="楷体" w:eastAsia="楷体" w:cs="楷体"/>
          <w:sz w:val="24"/>
          <w:szCs w:val="24"/>
          <w:lang w:eastAsia="zh-CN"/>
        </w:rPr>
        <w:t>次</w:t>
      </w:r>
      <w:r>
        <w:rPr>
          <w:rFonts w:hint="eastAsia" w:ascii="楷体" w:hAnsi="楷体" w:eastAsia="楷体" w:cs="楷体"/>
          <w:sz w:val="24"/>
          <w:szCs w:val="24"/>
          <w:lang w:eastAsia="zh-CN"/>
        </w:rPr>
        <w:t>评估基准日是</w:t>
      </w:r>
      <w:r>
        <w:rPr>
          <w:rFonts w:hint="eastAsia" w:ascii="楷体" w:hAnsi="楷体" w:eastAsia="楷体" w:cs="楷体"/>
          <w:sz w:val="24"/>
          <w:szCs w:val="24"/>
          <w:lang w:eastAsia="zh-CN"/>
        </w:rPr>
        <w:t>2021年1月22日</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上述评估基准日与《委托评估函》中评估基准日一致。</w:t>
      </w:r>
    </w:p>
    <w:p>
      <w:pPr>
        <w:pStyle w:val="3"/>
        <w:spacing w:before="156" w:beforeLines="50" w:line="480" w:lineRule="exact"/>
        <w:ind w:firstLine="482" w:firstLineChars="200"/>
        <w:jc w:val="both"/>
        <w:rPr>
          <w:rFonts w:hint="eastAsia" w:ascii="楷体" w:hAnsi="楷体" w:eastAsia="楷体" w:cs="楷体"/>
          <w:sz w:val="24"/>
          <w:szCs w:val="24"/>
          <w:lang w:eastAsia="zh-CN"/>
        </w:rPr>
      </w:pPr>
      <w:bookmarkStart w:id="22" w:name="_Toc20062436"/>
      <w:bookmarkStart w:id="23" w:name="_Toc447125215"/>
      <w:r>
        <w:rPr>
          <w:rFonts w:hint="eastAsia" w:ascii="楷体" w:hAnsi="楷体" w:eastAsia="楷体" w:cs="楷体"/>
          <w:sz w:val="24"/>
          <w:szCs w:val="24"/>
          <w:lang w:eastAsia="zh-CN"/>
        </w:rPr>
        <w:t>六、评估依据</w:t>
      </w:r>
      <w:bookmarkEnd w:id="22"/>
      <w:bookmarkEnd w:id="23"/>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bookmarkStart w:id="24" w:name="_Toc205892042"/>
      <w:bookmarkStart w:id="25" w:name="_Toc205892043"/>
      <w:r>
        <w:rPr>
          <w:rFonts w:hint="eastAsia" w:ascii="楷体" w:hAnsi="楷体" w:eastAsia="楷体" w:cs="楷体"/>
          <w:sz w:val="24"/>
          <w:szCs w:val="24"/>
          <w:lang w:eastAsia="zh-CN"/>
        </w:rPr>
        <w:t>本次资产评估遵循的评估依据主要包括法律法规依据、评估准则依据、资产权属依据，及评定估算时采用的取价依据和其他参考资料等，具体如下：</w:t>
      </w:r>
    </w:p>
    <w:bookmarkEnd w:id="24"/>
    <w:bookmarkEnd w:id="25"/>
    <w:p>
      <w:pPr>
        <w:widowControl w:val="0"/>
        <w:spacing w:before="156" w:beforeLines="50" w:after="0" w:line="240" w:lineRule="auto"/>
        <w:ind w:firstLine="482" w:firstLineChars="200"/>
        <w:jc w:val="both"/>
        <w:rPr>
          <w:rFonts w:hint="eastAsia" w:ascii="楷体" w:hAnsi="楷体" w:eastAsia="楷体" w:cs="楷体"/>
          <w:sz w:val="24"/>
          <w:szCs w:val="24"/>
          <w:lang w:eastAsia="zh-CN"/>
        </w:rPr>
      </w:pPr>
      <w:r>
        <w:rPr>
          <w:rFonts w:hint="eastAsia" w:ascii="楷体" w:hAnsi="楷体" w:eastAsia="楷体" w:cs="楷体"/>
          <w:b/>
          <w:sz w:val="24"/>
          <w:szCs w:val="24"/>
          <w:lang w:eastAsia="zh-CN"/>
        </w:rPr>
        <w:t xml:space="preserve"> (一)法律法规依据</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1.《中华人民共和国资产评估法》(2016年7月2日第十二届全国人民代表大会常务委员会第二十一次会议通过，2016年12月1日起施行)。</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2</w:t>
      </w:r>
      <w:r>
        <w:rPr>
          <w:rFonts w:hint="eastAsia" w:ascii="楷体" w:hAnsi="楷体" w:eastAsia="楷体" w:cs="楷体"/>
          <w:sz w:val="24"/>
          <w:szCs w:val="24"/>
          <w:lang w:eastAsia="zh-CN"/>
        </w:rPr>
        <w:t>.</w:t>
      </w:r>
      <w:r>
        <w:rPr>
          <w:rFonts w:hint="eastAsia" w:ascii="楷体" w:hAnsi="楷体" w:eastAsia="楷体" w:cs="楷体"/>
          <w:sz w:val="24"/>
          <w:szCs w:val="24"/>
          <w:lang w:eastAsia="zh-CN"/>
        </w:rPr>
        <w:t>《中华人民共和国公司法》(1993年12月29日第八届全国人民代表大会常务委员会第五次会议通过；根据1999年12月25日第九届全国人民代表大会常务委员会第十三次会议《关于修改〈中华人民共和国公司法〉的决定》第一次修正；根据2004年8月28日第十届全国人民代表大会常务委员会第十一次会议《关于修改〈中华人民共和国公司法〉的决定》第二次修正；2005年10月27日第十届全国人民代表大会常务委员会第十八次会议修订；根据2013年12月28日第十二届全国人民代表大会常务委员会第六次会议《关于修改〈中华人民共和国海洋环境保护法〉等七部法律的决定》第三次修正，2013年12月28日中华人民共和国主席令第八号公布)。</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3</w:t>
      </w:r>
      <w:r>
        <w:rPr>
          <w:rFonts w:hint="eastAsia" w:ascii="楷体" w:hAnsi="楷体" w:eastAsia="楷体" w:cs="楷体"/>
          <w:sz w:val="24"/>
          <w:szCs w:val="24"/>
          <w:lang w:eastAsia="zh-CN"/>
        </w:rPr>
        <w:t>.《人民法院委托司法执行财产处置资产评估指导意见》(中评协〔2019〕14号)。</w:t>
      </w:r>
    </w:p>
    <w:p>
      <w:pPr>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4</w:t>
      </w:r>
      <w:r>
        <w:rPr>
          <w:rFonts w:hint="eastAsia" w:ascii="楷体" w:hAnsi="楷体" w:eastAsia="楷体" w:cs="楷体"/>
          <w:sz w:val="24"/>
          <w:szCs w:val="24"/>
          <w:lang w:eastAsia="zh-CN"/>
        </w:rPr>
        <w:t>.《最高人民法院关于人民法院确定财产处置参考价若干问题的规定》(法释〔2018〕15号)</w:t>
      </w:r>
      <w:r>
        <w:rPr>
          <w:rFonts w:hint="eastAsia" w:ascii="楷体" w:hAnsi="楷体" w:eastAsia="楷体" w:cs="楷体"/>
          <w:sz w:val="24"/>
          <w:szCs w:val="24"/>
          <w:lang w:eastAsia="zh-CN"/>
        </w:rPr>
        <w:t>。</w:t>
      </w:r>
    </w:p>
    <w:p>
      <w:pPr>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5</w:t>
      </w:r>
      <w:r>
        <w:rPr>
          <w:rFonts w:hint="eastAsia" w:ascii="楷体" w:hAnsi="楷体" w:eastAsia="楷体" w:cs="楷体"/>
          <w:sz w:val="24"/>
          <w:szCs w:val="24"/>
          <w:lang w:eastAsia="zh-CN"/>
        </w:rPr>
        <w:t>.《人民法院委托评估工作规范》(法办〔2018〕273号)</w:t>
      </w:r>
      <w:r>
        <w:rPr>
          <w:rFonts w:hint="eastAsia" w:ascii="楷体" w:hAnsi="楷体" w:eastAsia="楷体" w:cs="楷体"/>
          <w:sz w:val="24"/>
          <w:szCs w:val="24"/>
          <w:lang w:eastAsia="zh-CN"/>
        </w:rPr>
        <w:t>。</w:t>
      </w:r>
    </w:p>
    <w:p>
      <w:pPr>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6</w:t>
      </w:r>
      <w:r>
        <w:rPr>
          <w:rFonts w:hint="eastAsia" w:ascii="楷体" w:hAnsi="楷体" w:eastAsia="楷体" w:cs="楷体"/>
          <w:sz w:val="24"/>
          <w:szCs w:val="24"/>
          <w:lang w:eastAsia="zh-CN"/>
        </w:rPr>
        <w:t>.《中华人民共和国证券法》(1998年12月29日第九届全国人民代表大会常务委员会第六次会议通过；根据2004年8月28日第十届全国人民代表大会常务委员会第十一次会议《关于修改&lt;中华人民共和国证券法&gt;的决定》第一次修正；2005年10月27日第十届全国人民代表大会常务委员会第十八次会议修订；根据 2013年6月29日第十二届全国人民代表大会常务委员会第三次会议《关于修改〈中华人民共和国文物保护法〉等十二部法律的决定》第二次修正；根据2014年8月31日第十二届全国人民代表大会常务委员会第十次会议《关于修改&lt;中华人民共和国保险法&gt;等五部法律的决定》第三次修正)</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7</w:t>
      </w:r>
      <w:r>
        <w:rPr>
          <w:rFonts w:hint="eastAsia" w:ascii="楷体" w:hAnsi="楷体" w:eastAsia="楷体" w:cs="楷体"/>
          <w:sz w:val="24"/>
          <w:szCs w:val="24"/>
          <w:lang w:eastAsia="zh-CN"/>
        </w:rPr>
        <w:t>.《中华人民共和国增值税暂行条例》(1993年12月13日中华人民共和国国务院令第134号发布；2008年11月5日国务院第34次常务会议修订通过，2008年11月10日中华人民共和国国务院令第538号发布；2016年1月13日国务院第119次常务会议通过，2016年2月6日中华人民共和国国务院令第666号发布)。</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8</w:t>
      </w:r>
      <w:r>
        <w:rPr>
          <w:rFonts w:hint="eastAsia" w:ascii="楷体" w:hAnsi="楷体" w:eastAsia="楷体" w:cs="楷体"/>
          <w:sz w:val="24"/>
          <w:szCs w:val="24"/>
          <w:lang w:eastAsia="zh-CN"/>
        </w:rPr>
        <w:t>.《中华人民共和国增值税暂行条例实施细则》(2008年12月18日以财政部、国家税务总局令第50号公布；2011年10月28日财政部、国家税务总局令第65号修订和公布)。</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9</w:t>
      </w:r>
      <w:r>
        <w:rPr>
          <w:rFonts w:hint="eastAsia" w:ascii="楷体" w:hAnsi="楷体" w:eastAsia="楷体" w:cs="楷体"/>
          <w:sz w:val="24"/>
          <w:szCs w:val="24"/>
          <w:lang w:eastAsia="zh-CN"/>
        </w:rPr>
        <w:t>.其他相关法律、法规和规范性文件</w:t>
      </w:r>
      <w:r>
        <w:rPr>
          <w:rFonts w:hint="eastAsia" w:ascii="楷体" w:hAnsi="楷体" w:eastAsia="楷体" w:cs="楷体"/>
          <w:sz w:val="24"/>
          <w:szCs w:val="24"/>
          <w:lang w:eastAsia="zh-CN"/>
        </w:rPr>
        <w:t>。</w:t>
      </w:r>
    </w:p>
    <w:p>
      <w:pPr>
        <w:widowControl w:val="0"/>
        <w:spacing w:before="156" w:beforeLines="50" w:after="0" w:line="240" w:lineRule="auto"/>
        <w:ind w:firstLine="482" w:firstLineChars="200"/>
        <w:jc w:val="both"/>
        <w:rPr>
          <w:rFonts w:hint="eastAsia" w:ascii="楷体" w:hAnsi="楷体" w:eastAsia="楷体" w:cs="楷体"/>
          <w:sz w:val="24"/>
          <w:szCs w:val="24"/>
          <w:lang w:eastAsia="zh-CN"/>
        </w:rPr>
      </w:pPr>
      <w:r>
        <w:rPr>
          <w:rFonts w:hint="eastAsia" w:ascii="楷体" w:hAnsi="楷体" w:eastAsia="楷体" w:cs="楷体"/>
          <w:b/>
          <w:sz w:val="24"/>
          <w:szCs w:val="24"/>
          <w:lang w:eastAsia="zh-CN"/>
        </w:rPr>
        <w:t>(二)评估</w:t>
      </w:r>
      <w:r>
        <w:rPr>
          <w:rFonts w:hint="eastAsia" w:ascii="楷体" w:hAnsi="楷体" w:eastAsia="楷体" w:cs="楷体"/>
          <w:b/>
          <w:sz w:val="24"/>
          <w:szCs w:val="24"/>
          <w:lang w:eastAsia="zh-CN"/>
        </w:rPr>
        <w:t>准则依据</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1.《资产评估准则—基本准则》(财资[2017]43号)。</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2.《资产评估职业道德准则》(中评协[2017]30号)。</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3.《资产评估执业准则——资产评估程序》(中评协[201</w:t>
      </w:r>
      <w:r>
        <w:rPr>
          <w:rFonts w:hint="eastAsia" w:ascii="楷体" w:hAnsi="楷体" w:eastAsia="楷体" w:cs="楷体"/>
          <w:sz w:val="24"/>
          <w:szCs w:val="24"/>
          <w:lang w:eastAsia="zh-CN"/>
        </w:rPr>
        <w:t>8</w:t>
      </w:r>
      <w:r>
        <w:rPr>
          <w:rFonts w:hint="eastAsia" w:ascii="楷体" w:hAnsi="楷体" w:eastAsia="楷体" w:cs="楷体"/>
          <w:sz w:val="24"/>
          <w:szCs w:val="24"/>
          <w:lang w:eastAsia="zh-CN"/>
        </w:rPr>
        <w:t>]3</w:t>
      </w:r>
      <w:r>
        <w:rPr>
          <w:rFonts w:hint="eastAsia" w:ascii="楷体" w:hAnsi="楷体" w:eastAsia="楷体" w:cs="楷体"/>
          <w:sz w:val="24"/>
          <w:szCs w:val="24"/>
          <w:lang w:eastAsia="zh-CN"/>
        </w:rPr>
        <w:t>6</w:t>
      </w:r>
      <w:r>
        <w:rPr>
          <w:rFonts w:hint="eastAsia" w:ascii="楷体" w:hAnsi="楷体" w:eastAsia="楷体" w:cs="楷体"/>
          <w:sz w:val="24"/>
          <w:szCs w:val="24"/>
          <w:lang w:eastAsia="zh-CN"/>
        </w:rPr>
        <w:t>号)。</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4.《资产评估执业准则——资产评估报告》(中评协[201</w:t>
      </w:r>
      <w:r>
        <w:rPr>
          <w:rFonts w:hint="eastAsia" w:ascii="楷体" w:hAnsi="楷体" w:eastAsia="楷体" w:cs="楷体"/>
          <w:sz w:val="24"/>
          <w:szCs w:val="24"/>
          <w:lang w:eastAsia="zh-CN"/>
        </w:rPr>
        <w:t>8</w:t>
      </w:r>
      <w:r>
        <w:rPr>
          <w:rFonts w:hint="eastAsia" w:ascii="楷体" w:hAnsi="楷体" w:eastAsia="楷体" w:cs="楷体"/>
          <w:sz w:val="24"/>
          <w:szCs w:val="24"/>
          <w:lang w:eastAsia="zh-CN"/>
        </w:rPr>
        <w:t>]3</w:t>
      </w:r>
      <w:r>
        <w:rPr>
          <w:rFonts w:hint="eastAsia" w:ascii="楷体" w:hAnsi="楷体" w:eastAsia="楷体" w:cs="楷体"/>
          <w:sz w:val="24"/>
          <w:szCs w:val="24"/>
          <w:lang w:eastAsia="zh-CN"/>
        </w:rPr>
        <w:t>5</w:t>
      </w:r>
      <w:r>
        <w:rPr>
          <w:rFonts w:hint="eastAsia" w:ascii="楷体" w:hAnsi="楷体" w:eastAsia="楷体" w:cs="楷体"/>
          <w:sz w:val="24"/>
          <w:szCs w:val="24"/>
          <w:lang w:eastAsia="zh-CN"/>
        </w:rPr>
        <w:t>号)</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5.《资产评估执业准则——资产评估委托合同》(中评协[2017]33号)</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6.《资产评估执业准则——机器设备》(中评协[2017]39号)。</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7.《资产评估执业准则——资产评估档案》(中评协〔2018〕37号)。</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8.《资产评估执业准则——资产评估方法》(中评协〔2019〕35号)。</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9.《资产评估机构业务质量控制指南》(中评协[2017]46号)。</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10</w:t>
      </w:r>
      <w:r>
        <w:rPr>
          <w:rFonts w:hint="eastAsia" w:ascii="楷体" w:hAnsi="楷体" w:eastAsia="楷体" w:cs="楷体"/>
          <w:sz w:val="24"/>
          <w:szCs w:val="24"/>
          <w:lang w:eastAsia="zh-CN"/>
        </w:rPr>
        <w:t>.《资产评估价值类型指导意见》(中评协[2017]47号)。</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11</w:t>
      </w:r>
      <w:r>
        <w:rPr>
          <w:rFonts w:hint="eastAsia" w:ascii="楷体" w:hAnsi="楷体" w:eastAsia="楷体" w:cs="楷体"/>
          <w:sz w:val="24"/>
          <w:szCs w:val="24"/>
          <w:lang w:eastAsia="zh-CN"/>
        </w:rPr>
        <w:t>.《资产评估对象法律权属指导意见》(会协[2017]48号)。</w:t>
      </w:r>
    </w:p>
    <w:p>
      <w:pPr>
        <w:widowControl w:val="0"/>
        <w:spacing w:before="156" w:beforeLines="50" w:after="0" w:line="240" w:lineRule="auto"/>
        <w:ind w:firstLine="482" w:firstLineChars="200"/>
        <w:jc w:val="both"/>
        <w:rPr>
          <w:rFonts w:hint="eastAsia" w:ascii="楷体" w:hAnsi="楷体" w:eastAsia="楷体" w:cs="楷体"/>
          <w:sz w:val="24"/>
          <w:szCs w:val="24"/>
          <w:lang w:eastAsia="zh-CN"/>
        </w:rPr>
      </w:pPr>
      <w:r>
        <w:rPr>
          <w:rFonts w:hint="eastAsia" w:ascii="楷体" w:hAnsi="楷体" w:eastAsia="楷体" w:cs="楷体"/>
          <w:b/>
          <w:sz w:val="24"/>
          <w:szCs w:val="24"/>
          <w:lang w:eastAsia="zh-CN"/>
        </w:rPr>
        <w:t>(三)资产权属依据</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1.</w:t>
      </w:r>
      <w:r>
        <w:rPr>
          <w:rFonts w:hint="eastAsia" w:ascii="楷体" w:hAnsi="楷体" w:eastAsia="楷体" w:cs="楷体"/>
          <w:sz w:val="24"/>
          <w:szCs w:val="24"/>
          <w:lang w:eastAsia="zh-CN"/>
        </w:rPr>
        <w:t>东莞市第一人民法院委托评估函。</w:t>
      </w:r>
    </w:p>
    <w:p>
      <w:pPr>
        <w:widowControl w:val="0"/>
        <w:spacing w:before="156" w:beforeLines="50" w:after="0" w:line="240" w:lineRule="auto"/>
        <w:ind w:firstLine="482" w:firstLineChars="200"/>
        <w:jc w:val="both"/>
        <w:rPr>
          <w:rFonts w:hint="eastAsia" w:ascii="楷体" w:hAnsi="楷体" w:eastAsia="楷体" w:cs="楷体"/>
          <w:sz w:val="24"/>
          <w:szCs w:val="24"/>
          <w:lang w:eastAsia="zh-CN"/>
        </w:rPr>
      </w:pPr>
      <w:bookmarkStart w:id="26" w:name="_Toc205892045"/>
      <w:bookmarkStart w:id="27" w:name="_Toc66605632"/>
      <w:r>
        <w:rPr>
          <w:rFonts w:hint="eastAsia" w:ascii="楷体" w:hAnsi="楷体" w:eastAsia="楷体" w:cs="楷体"/>
          <w:b/>
          <w:sz w:val="24"/>
          <w:szCs w:val="24"/>
          <w:lang w:eastAsia="zh-CN"/>
        </w:rPr>
        <w:t>(四)取价依据</w:t>
      </w:r>
      <w:bookmarkEnd w:id="26"/>
      <w:bookmarkEnd w:id="27"/>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1</w:t>
      </w:r>
      <w:bookmarkStart w:id="28" w:name="_Toc66605633"/>
      <w:bookmarkStart w:id="29" w:name="_Toc205892046"/>
      <w:r>
        <w:rPr>
          <w:rFonts w:hint="eastAsia" w:ascii="楷体" w:hAnsi="楷体" w:eastAsia="楷体" w:cs="楷体"/>
          <w:sz w:val="24"/>
          <w:szCs w:val="24"/>
          <w:lang w:eastAsia="zh-CN"/>
        </w:rPr>
        <w:t>. 《资产评估常用方法与参数手册》（杨志明主编，机械工业出版社，2011年11月第一版）。</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2.</w:t>
      </w:r>
      <w:r>
        <w:rPr>
          <w:rFonts w:hint="eastAsia" w:ascii="楷体" w:hAnsi="楷体" w:eastAsia="楷体" w:cs="楷体"/>
          <w:sz w:val="24"/>
          <w:szCs w:val="24"/>
          <w:lang w:eastAsia="zh-CN"/>
        </w:rPr>
        <w:t>有关价格目录或报价资料。</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3.</w:t>
      </w:r>
      <w:r>
        <w:rPr>
          <w:rFonts w:hint="eastAsia" w:ascii="楷体" w:hAnsi="楷体" w:eastAsia="楷体" w:cs="楷体"/>
          <w:sz w:val="24"/>
          <w:szCs w:val="24"/>
          <w:lang w:eastAsia="zh-CN"/>
        </w:rPr>
        <w:t>评估人员现场调查记录及收集的其他相关价格信息资料。</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4</w:t>
      </w:r>
      <w:r>
        <w:rPr>
          <w:rFonts w:hint="eastAsia" w:ascii="楷体" w:hAnsi="楷体" w:eastAsia="楷体" w:cs="楷体"/>
          <w:sz w:val="24"/>
          <w:szCs w:val="24"/>
          <w:lang w:eastAsia="zh-CN"/>
        </w:rPr>
        <w:t>.</w:t>
      </w:r>
      <w:r>
        <w:rPr>
          <w:rFonts w:hint="eastAsia" w:ascii="楷体" w:hAnsi="楷体" w:eastAsia="楷体" w:cs="楷体"/>
          <w:sz w:val="24"/>
          <w:szCs w:val="24"/>
          <w:lang w:eastAsia="zh-CN"/>
        </w:rPr>
        <w:t>与本次评估有关的</w:t>
      </w:r>
      <w:r>
        <w:rPr>
          <w:rFonts w:hint="eastAsia" w:ascii="楷体" w:hAnsi="楷体" w:eastAsia="楷体" w:cs="楷体"/>
          <w:sz w:val="24"/>
          <w:szCs w:val="24"/>
          <w:lang w:eastAsia="zh-CN"/>
        </w:rPr>
        <w:t>其他参考资料。</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(五)其它参考资料</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1.委托人提供的执行裁定书。</w:t>
      </w:r>
    </w:p>
    <w:bookmarkEnd w:id="28"/>
    <w:bookmarkEnd w:id="29"/>
    <w:p>
      <w:pPr>
        <w:pStyle w:val="3"/>
        <w:spacing w:before="156" w:beforeLines="50" w:line="480" w:lineRule="exact"/>
        <w:ind w:firstLine="482" w:firstLineChars="200"/>
        <w:jc w:val="both"/>
        <w:rPr>
          <w:rFonts w:hint="eastAsia" w:ascii="楷体" w:hAnsi="楷体" w:eastAsia="楷体" w:cs="楷体"/>
          <w:sz w:val="24"/>
          <w:szCs w:val="24"/>
          <w:lang w:eastAsia="zh-CN"/>
        </w:rPr>
      </w:pPr>
      <w:bookmarkStart w:id="30" w:name="_Toc447125216"/>
      <w:bookmarkStart w:id="31" w:name="_Toc20062437"/>
      <w:r>
        <w:rPr>
          <w:rFonts w:hint="eastAsia" w:ascii="楷体" w:hAnsi="楷体" w:eastAsia="楷体" w:cs="楷体"/>
          <w:sz w:val="24"/>
          <w:szCs w:val="24"/>
          <w:lang w:eastAsia="zh-CN"/>
        </w:rPr>
        <w:t>七、评估方法</w:t>
      </w:r>
      <w:bookmarkEnd w:id="30"/>
      <w:bookmarkEnd w:id="31"/>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(一)</w:t>
      </w:r>
      <w:r>
        <w:rPr>
          <w:rFonts w:hint="eastAsia" w:ascii="楷体" w:hAnsi="楷体" w:eastAsia="楷体" w:cs="楷体"/>
          <w:b/>
          <w:sz w:val="24"/>
          <w:szCs w:val="24"/>
          <w:lang w:eastAsia="zh-CN"/>
        </w:rPr>
        <w:t>评估方法的选择</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本次评估选用的评估方法为</w:t>
      </w:r>
      <w:r>
        <w:rPr>
          <w:rFonts w:hint="eastAsia" w:ascii="楷体" w:hAnsi="楷体" w:eastAsia="楷体" w:cs="楷体"/>
          <w:sz w:val="24"/>
          <w:szCs w:val="24"/>
          <w:lang w:eastAsia="zh-CN"/>
        </w:rPr>
        <w:t>成本法。</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(二)</w:t>
      </w:r>
      <w:r>
        <w:rPr>
          <w:rFonts w:hint="eastAsia" w:ascii="楷体" w:hAnsi="楷体" w:eastAsia="楷体" w:cs="楷体"/>
          <w:b/>
          <w:sz w:val="24"/>
          <w:szCs w:val="24"/>
          <w:lang w:eastAsia="zh-CN"/>
        </w:rPr>
        <w:t>评估方法的选择</w:t>
      </w:r>
      <w:r>
        <w:rPr>
          <w:rFonts w:hint="eastAsia" w:ascii="楷体" w:hAnsi="楷体" w:eastAsia="楷体" w:cs="楷体"/>
          <w:b/>
          <w:sz w:val="24"/>
          <w:szCs w:val="24"/>
          <w:lang w:eastAsia="zh-CN"/>
        </w:rPr>
        <w:t>理由</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根据《资产评估执业准则——机器设备》(中评协[2017]39号)，资产评估师执行价值评估业务，应当根据评估对象、价值类型、资料收集情况等相关条件，分析收益法、市场法和成本法三种资产评估基本方法的适用性，恰当选择一种或多种资产评估基本方法</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选取评估方法的说明</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1、</w:t>
      </w:r>
      <w:r>
        <w:rPr>
          <w:rFonts w:hint="eastAsia" w:ascii="楷体" w:hAnsi="楷体" w:eastAsia="楷体" w:cs="楷体"/>
          <w:sz w:val="24"/>
          <w:szCs w:val="24"/>
          <w:lang w:eastAsia="zh-CN"/>
        </w:rPr>
        <w:t>关于不采用收益法进行评估的说明</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收益法是指通过</w:t>
      </w:r>
      <w:r>
        <w:rPr>
          <w:rFonts w:hint="eastAsia" w:ascii="楷体" w:hAnsi="楷体" w:eastAsia="楷体" w:cs="楷体"/>
          <w:sz w:val="24"/>
          <w:szCs w:val="24"/>
          <w:lang w:eastAsia="zh-CN"/>
        </w:rPr>
        <w:t>估测被</w:t>
      </w:r>
      <w:r>
        <w:rPr>
          <w:rFonts w:hint="eastAsia" w:ascii="楷体" w:hAnsi="楷体" w:eastAsia="楷体" w:cs="楷体"/>
          <w:sz w:val="24"/>
          <w:szCs w:val="24"/>
          <w:lang w:eastAsia="zh-CN"/>
        </w:rPr>
        <w:t>评估</w:t>
      </w:r>
      <w:r>
        <w:rPr>
          <w:rFonts w:hint="eastAsia" w:ascii="楷体" w:hAnsi="楷体" w:eastAsia="楷体" w:cs="楷体"/>
          <w:sz w:val="24"/>
          <w:szCs w:val="24"/>
          <w:lang w:eastAsia="zh-CN"/>
        </w:rPr>
        <w:t>资产未来预期收益的现值，来判断资产价值的各种评估方法的总称</w:t>
      </w:r>
      <w:r>
        <w:rPr>
          <w:rFonts w:hint="eastAsia" w:ascii="楷体" w:hAnsi="楷体" w:eastAsia="楷体" w:cs="楷体"/>
          <w:sz w:val="24"/>
          <w:szCs w:val="24"/>
          <w:lang w:eastAsia="zh-CN"/>
        </w:rPr>
        <w:t>。运用收益法进行评估需具备以下三个前提条件：</w:t>
      </w:r>
      <w:r>
        <w:rPr>
          <w:rFonts w:hint="eastAsia" w:ascii="楷体" w:hAnsi="楷体" w:eastAsia="楷体" w:cs="楷体"/>
          <w:sz w:val="24"/>
          <w:szCs w:val="24"/>
          <w:lang w:eastAsia="zh-CN"/>
        </w:rPr>
        <w:t>一是被评估资产的未来预期收益可以被预测并可以用货币来衡量；二是资产拥有者获得预期收益所承担的风险可以被预测并可以用货币来衡量；三是被评估资产预期获利年限可以被预测</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由于上述委估资产不具备</w:t>
      </w:r>
      <w:r>
        <w:rPr>
          <w:rFonts w:hint="eastAsia" w:ascii="楷体" w:hAnsi="楷体" w:eastAsia="楷体" w:cs="楷体"/>
          <w:sz w:val="24"/>
          <w:szCs w:val="24"/>
          <w:lang w:eastAsia="zh-CN"/>
        </w:rPr>
        <w:t>收益法</w:t>
      </w:r>
      <w:r>
        <w:rPr>
          <w:rFonts w:hint="eastAsia" w:ascii="楷体" w:hAnsi="楷体" w:eastAsia="楷体" w:cs="楷体"/>
          <w:sz w:val="24"/>
          <w:szCs w:val="24"/>
          <w:lang w:eastAsia="zh-CN"/>
        </w:rPr>
        <w:t>评估的前提条件，因此，对上述委估资产不采用</w:t>
      </w:r>
      <w:r>
        <w:rPr>
          <w:rFonts w:hint="eastAsia" w:ascii="楷体" w:hAnsi="楷体" w:eastAsia="楷体" w:cs="楷体"/>
          <w:sz w:val="24"/>
          <w:szCs w:val="24"/>
          <w:lang w:eastAsia="zh-CN"/>
        </w:rPr>
        <w:t>收益法</w:t>
      </w:r>
      <w:r>
        <w:rPr>
          <w:rFonts w:hint="eastAsia" w:ascii="楷体" w:hAnsi="楷体" w:eastAsia="楷体" w:cs="楷体"/>
          <w:sz w:val="24"/>
          <w:szCs w:val="24"/>
          <w:lang w:eastAsia="zh-CN"/>
        </w:rPr>
        <w:t>评估</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2、</w:t>
      </w:r>
      <w:r>
        <w:rPr>
          <w:rFonts w:hint="eastAsia" w:ascii="楷体" w:hAnsi="楷体" w:eastAsia="楷体" w:cs="楷体"/>
          <w:sz w:val="24"/>
          <w:szCs w:val="24"/>
          <w:lang w:eastAsia="zh-CN"/>
        </w:rPr>
        <w:t>关于不采用市场法进行评估的说明</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市场法是指</w:t>
      </w:r>
      <w:r>
        <w:rPr>
          <w:rFonts w:hint="eastAsia" w:ascii="楷体" w:hAnsi="楷体" w:eastAsia="楷体" w:cs="楷体"/>
          <w:sz w:val="24"/>
          <w:szCs w:val="24"/>
          <w:lang w:eastAsia="zh-CN"/>
        </w:rPr>
        <w:t>是利用市场上同样或类似资产的近期交易价格，经过直接比较或类比分析以估测资产价值的各种评估技术方法的总称。利用市场法评估需满足两个最基本的前提条件：一是要有一个活跃的公开市场；二是公开市场上要有可比的资产及交易活动。</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由于上述委估资产不具备市场法评估的前提条件，因此，对上述委估资产不采用市场法评估</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3、</w:t>
      </w:r>
      <w:r>
        <w:rPr>
          <w:rFonts w:hint="eastAsia" w:ascii="楷体" w:hAnsi="楷体" w:eastAsia="楷体" w:cs="楷体"/>
          <w:sz w:val="24"/>
          <w:szCs w:val="24"/>
          <w:lang w:eastAsia="zh-CN"/>
        </w:rPr>
        <w:t>关于采用成本法进行评估的说明</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报告书所述重置成本法系指在现时条件下重新购置或建造一个全新状态的被评估资产所需的全部成本，减去被评估资产已经发生的实体性陈旧贬值、功能性陈旧贬值和经济性陈旧贬值，所得的差额作为被评估资产的评估值的一种评估方法。在具体估算评估值时，先将各种陈旧性贬值用资产的成新率反映出来，然后用全部成本</w:t>
      </w:r>
      <w:r>
        <w:rPr>
          <w:rFonts w:hint="eastAsia" w:ascii="楷体" w:hAnsi="楷体" w:eastAsia="楷体" w:cs="楷体"/>
          <w:sz w:val="24"/>
          <w:szCs w:val="24"/>
          <w:lang w:eastAsia="zh-CN"/>
        </w:rPr>
        <w:t>(</w:t>
      </w:r>
      <w:r>
        <w:rPr>
          <w:rFonts w:hint="eastAsia" w:ascii="楷体" w:hAnsi="楷体" w:eastAsia="楷体" w:cs="楷体"/>
          <w:sz w:val="24"/>
          <w:szCs w:val="24"/>
          <w:lang w:eastAsia="zh-CN"/>
        </w:rPr>
        <w:t>重置完全成本</w:t>
      </w:r>
      <w:r>
        <w:rPr>
          <w:rFonts w:hint="eastAsia" w:ascii="楷体" w:hAnsi="楷体" w:eastAsia="楷体" w:cs="楷体"/>
          <w:sz w:val="24"/>
          <w:szCs w:val="24"/>
          <w:lang w:eastAsia="zh-CN"/>
        </w:rPr>
        <w:t>)</w:t>
      </w:r>
      <w:r>
        <w:rPr>
          <w:rFonts w:hint="eastAsia" w:ascii="楷体" w:hAnsi="楷体" w:eastAsia="楷体" w:cs="楷体"/>
          <w:sz w:val="24"/>
          <w:szCs w:val="24"/>
          <w:lang w:eastAsia="zh-CN"/>
        </w:rPr>
        <w:t>与成新率的乘积作为被评估资产的评估值。</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委估家私电器按评估基准日相同或类似设备易查找其重置价值，因此采用成本法进行评估。</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成本法是用现时条件下重新购置或建造一个全新状态的被评估资产所需的全部成本，减去被评估资产已经发生的实体性贬值、功能性贬值和经济性贬值，得到的差额作为被评估资产的评估值的一种资产评估方法。</w:t>
      </w:r>
      <w:r>
        <w:rPr>
          <w:rFonts w:hint="eastAsia" w:ascii="楷体" w:hAnsi="楷体" w:eastAsia="楷体" w:cs="楷体"/>
          <w:sz w:val="24"/>
          <w:szCs w:val="24"/>
          <w:lang w:eastAsia="zh-CN"/>
        </w:rPr>
        <w:t xml:space="preserve"> </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成本法的基本公式为：</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eastAsia="zh-CN"/>
        </w:rPr>
        <w:t>1</w:t>
      </w:r>
      <w:r>
        <w:rPr>
          <w:rFonts w:hint="eastAsia" w:ascii="楷体" w:hAnsi="楷体" w:eastAsia="楷体" w:cs="楷体"/>
          <w:sz w:val="24"/>
          <w:szCs w:val="24"/>
          <w:lang w:eastAsia="zh-CN"/>
        </w:rPr>
        <w:t>）评估值</w:t>
      </w:r>
      <w:r>
        <w:rPr>
          <w:rFonts w:hint="eastAsia" w:ascii="楷体" w:hAnsi="楷体" w:eastAsia="楷体" w:cs="楷体"/>
          <w:sz w:val="24"/>
          <w:szCs w:val="24"/>
          <w:lang w:eastAsia="zh-CN"/>
        </w:rPr>
        <w:t>=</w:t>
      </w:r>
      <w:r>
        <w:rPr>
          <w:rFonts w:hint="eastAsia" w:ascii="楷体" w:hAnsi="楷体" w:eastAsia="楷体" w:cs="楷体"/>
          <w:sz w:val="24"/>
          <w:szCs w:val="24"/>
          <w:lang w:eastAsia="zh-CN"/>
        </w:rPr>
        <w:t>重置价值</w:t>
      </w:r>
      <w:r>
        <w:rPr>
          <w:rFonts w:hint="eastAsia" w:ascii="楷体" w:hAnsi="楷体" w:eastAsia="楷体" w:cs="楷体"/>
          <w:sz w:val="24"/>
          <w:szCs w:val="24"/>
          <w:lang w:eastAsia="zh-CN"/>
        </w:rPr>
        <w:t>-</w:t>
      </w:r>
      <w:r>
        <w:rPr>
          <w:rFonts w:hint="eastAsia" w:ascii="楷体" w:hAnsi="楷体" w:eastAsia="楷体" w:cs="楷体"/>
          <w:sz w:val="24"/>
          <w:szCs w:val="24"/>
          <w:lang w:eastAsia="zh-CN"/>
        </w:rPr>
        <w:t>实体性贬值</w:t>
      </w:r>
      <w:r>
        <w:rPr>
          <w:rFonts w:hint="eastAsia" w:ascii="楷体" w:hAnsi="楷体" w:eastAsia="楷体" w:cs="楷体"/>
          <w:sz w:val="24"/>
          <w:szCs w:val="24"/>
          <w:lang w:eastAsia="zh-CN"/>
        </w:rPr>
        <w:t>-</w:t>
      </w:r>
      <w:r>
        <w:rPr>
          <w:rFonts w:hint="eastAsia" w:ascii="楷体" w:hAnsi="楷体" w:eastAsia="楷体" w:cs="楷体"/>
          <w:sz w:val="24"/>
          <w:szCs w:val="24"/>
          <w:lang w:eastAsia="zh-CN"/>
        </w:rPr>
        <w:t>功能性贬值</w:t>
      </w:r>
      <w:r>
        <w:rPr>
          <w:rFonts w:hint="eastAsia" w:ascii="楷体" w:hAnsi="楷体" w:eastAsia="楷体" w:cs="楷体"/>
          <w:sz w:val="24"/>
          <w:szCs w:val="24"/>
          <w:lang w:eastAsia="zh-CN"/>
        </w:rPr>
        <w:t>-</w:t>
      </w:r>
      <w:r>
        <w:rPr>
          <w:rFonts w:hint="eastAsia" w:ascii="楷体" w:hAnsi="楷体" w:eastAsia="楷体" w:cs="楷体"/>
          <w:sz w:val="24"/>
          <w:szCs w:val="24"/>
          <w:lang w:eastAsia="zh-CN"/>
        </w:rPr>
        <w:t>经济性贬值</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eastAsia="zh-CN"/>
        </w:rPr>
        <w:t>2</w:t>
      </w:r>
      <w:r>
        <w:rPr>
          <w:rFonts w:hint="eastAsia" w:ascii="楷体" w:hAnsi="楷体" w:eastAsia="楷体" w:cs="楷体"/>
          <w:sz w:val="24"/>
          <w:szCs w:val="24"/>
          <w:lang w:eastAsia="zh-CN"/>
        </w:rPr>
        <w:t>）评估值</w:t>
      </w:r>
      <w:r>
        <w:rPr>
          <w:rFonts w:hint="eastAsia" w:ascii="楷体" w:hAnsi="楷体" w:eastAsia="楷体" w:cs="楷体"/>
          <w:sz w:val="24"/>
          <w:szCs w:val="24"/>
          <w:lang w:eastAsia="zh-CN"/>
        </w:rPr>
        <w:t>=</w:t>
      </w:r>
      <w:r>
        <w:rPr>
          <w:rFonts w:hint="eastAsia" w:ascii="楷体" w:hAnsi="楷体" w:eastAsia="楷体" w:cs="楷体"/>
          <w:sz w:val="24"/>
          <w:szCs w:val="24"/>
          <w:lang w:eastAsia="zh-CN"/>
        </w:rPr>
        <w:t>重置价值×成新率</w:t>
      </w:r>
      <w:r>
        <w:rPr>
          <w:rFonts w:hint="eastAsia" w:ascii="楷体" w:hAnsi="楷体" w:eastAsia="楷体" w:cs="楷体"/>
          <w:sz w:val="24"/>
          <w:szCs w:val="24"/>
          <w:lang w:eastAsia="zh-CN"/>
        </w:rPr>
        <w:t xml:space="preserve">  </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家私电器的重置价值及成新率</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资产的重置价值是根据评估目的实现后的资产占有者，在评估基准日自行购置、建造或形成该项资产，投入使用并达到正常生产状态或进入生产过程所需发生的全部费用。</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成新率则是通过使用年限法、功能法结合实地勘察的结果综合确定。</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重置价值的确定方法：</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eastAsia="zh-CN"/>
        </w:rPr>
        <w:t>1</w:t>
      </w:r>
      <w:r>
        <w:rPr>
          <w:rFonts w:hint="eastAsia" w:ascii="楷体" w:hAnsi="楷体" w:eastAsia="楷体" w:cs="楷体"/>
          <w:sz w:val="24"/>
          <w:szCs w:val="24"/>
          <w:lang w:eastAsia="zh-CN"/>
        </w:rPr>
        <w:t>）目前市场上仍在生产和销售或具有可比性的资产以现行市场价格并考虑相应的运杂费用、安装调试费及手续费等，确定重置价值。</w:t>
      </w:r>
      <w:r>
        <w:rPr>
          <w:rFonts w:hint="eastAsia" w:ascii="楷体" w:hAnsi="楷体" w:eastAsia="楷体" w:cs="楷体"/>
          <w:sz w:val="24"/>
          <w:szCs w:val="24"/>
          <w:lang w:eastAsia="zh-CN"/>
        </w:rPr>
        <w:t xml:space="preserve"> </w:t>
      </w:r>
      <w:r>
        <w:rPr>
          <w:rFonts w:hint="eastAsia" w:ascii="楷体" w:hAnsi="楷体" w:eastAsia="楷体" w:cs="楷体"/>
          <w:sz w:val="24"/>
          <w:szCs w:val="24"/>
          <w:lang w:eastAsia="zh-CN"/>
        </w:rPr>
        <w:t xml:space="preserve">   </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eastAsia="zh-CN"/>
        </w:rPr>
        <w:t>2</w:t>
      </w:r>
      <w:r>
        <w:rPr>
          <w:rFonts w:hint="eastAsia" w:ascii="楷体" w:hAnsi="楷体" w:eastAsia="楷体" w:cs="楷体"/>
          <w:sz w:val="24"/>
          <w:szCs w:val="24"/>
          <w:lang w:eastAsia="zh-CN"/>
        </w:rPr>
        <w:t>）目前市场上已不生产和销售</w:t>
      </w:r>
      <w:r>
        <w:rPr>
          <w:rFonts w:hint="eastAsia" w:ascii="楷体" w:hAnsi="楷体" w:eastAsia="楷体" w:cs="楷体"/>
          <w:sz w:val="24"/>
          <w:szCs w:val="24"/>
          <w:lang w:eastAsia="zh-CN"/>
        </w:rPr>
        <w:t>,</w:t>
      </w:r>
      <w:r>
        <w:rPr>
          <w:rFonts w:hint="eastAsia" w:ascii="楷体" w:hAnsi="楷体" w:eastAsia="楷体" w:cs="楷体"/>
          <w:sz w:val="24"/>
          <w:szCs w:val="24"/>
          <w:lang w:eastAsia="zh-CN"/>
        </w:rPr>
        <w:t>但有替代产品的资产</w:t>
      </w:r>
      <w:r>
        <w:rPr>
          <w:rFonts w:hint="eastAsia" w:ascii="楷体" w:hAnsi="楷体" w:eastAsia="楷体" w:cs="楷体"/>
          <w:sz w:val="24"/>
          <w:szCs w:val="24"/>
          <w:lang w:eastAsia="zh-CN"/>
        </w:rPr>
        <w:t>,</w:t>
      </w:r>
      <w:r>
        <w:rPr>
          <w:rFonts w:hint="eastAsia" w:ascii="楷体" w:hAnsi="楷体" w:eastAsia="楷体" w:cs="楷体"/>
          <w:sz w:val="24"/>
          <w:szCs w:val="24"/>
          <w:lang w:eastAsia="zh-CN"/>
        </w:rPr>
        <w:t>以替代产品的市场价格，并考虑原有设备的经济性及功能性贬值，确定设备更新重置成本。</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eastAsia="zh-CN"/>
        </w:rPr>
        <w:t>3</w:t>
      </w:r>
      <w:r>
        <w:rPr>
          <w:rFonts w:hint="eastAsia" w:ascii="楷体" w:hAnsi="楷体" w:eastAsia="楷体" w:cs="楷体"/>
          <w:sz w:val="24"/>
          <w:szCs w:val="24"/>
          <w:lang w:eastAsia="zh-CN"/>
        </w:rPr>
        <w:t>）如目前市场既不生产和销售</w:t>
      </w:r>
      <w:r>
        <w:rPr>
          <w:rFonts w:hint="eastAsia" w:ascii="楷体" w:hAnsi="楷体" w:eastAsia="楷体" w:cs="楷体"/>
          <w:sz w:val="24"/>
          <w:szCs w:val="24"/>
          <w:lang w:eastAsia="zh-CN"/>
        </w:rPr>
        <w:t>,</w:t>
      </w:r>
      <w:r>
        <w:rPr>
          <w:rFonts w:hint="eastAsia" w:ascii="楷体" w:hAnsi="楷体" w:eastAsia="楷体" w:cs="楷体"/>
          <w:sz w:val="24"/>
          <w:szCs w:val="24"/>
          <w:lang w:eastAsia="zh-CN"/>
        </w:rPr>
        <w:t>又无替代产品的资产</w:t>
      </w:r>
      <w:r>
        <w:rPr>
          <w:rFonts w:hint="eastAsia" w:ascii="楷体" w:hAnsi="楷体" w:eastAsia="楷体" w:cs="楷体"/>
          <w:sz w:val="24"/>
          <w:szCs w:val="24"/>
          <w:lang w:eastAsia="zh-CN"/>
        </w:rPr>
        <w:t>,</w:t>
      </w:r>
      <w:r>
        <w:rPr>
          <w:rFonts w:hint="eastAsia" w:ascii="楷体" w:hAnsi="楷体" w:eastAsia="楷体" w:cs="楷体"/>
          <w:sz w:val="24"/>
          <w:szCs w:val="24"/>
          <w:lang w:eastAsia="zh-CN"/>
        </w:rPr>
        <w:t>则以资产原始价值用物价指数法计算其复原重置成本。</w:t>
      </w:r>
      <w:r>
        <w:rPr>
          <w:rFonts w:hint="eastAsia" w:ascii="楷体" w:hAnsi="楷体" w:eastAsia="楷体" w:cs="楷体"/>
          <w:sz w:val="24"/>
          <w:szCs w:val="24"/>
          <w:lang w:eastAsia="zh-CN"/>
        </w:rPr>
        <w:t xml:space="preserve"> </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 xml:space="preserve"> 成新率的确定：</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成新率主要采用使用年限法计算成新率，然后再根据实地察勘的结果，综合考虑设备的功能性贬值和经济性贬值，从而最终判断得出综合成新率，运用年限法确定设备的成新率时，成新率的计算公式为：</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成新率</w:t>
      </w:r>
      <w:r>
        <w:rPr>
          <w:rFonts w:hint="eastAsia" w:ascii="楷体" w:hAnsi="楷体" w:eastAsia="楷体" w:cs="楷体"/>
          <w:sz w:val="24"/>
          <w:szCs w:val="24"/>
          <w:lang w:eastAsia="zh-CN"/>
        </w:rPr>
        <w:t>=</w:t>
      </w:r>
      <w:r>
        <w:rPr>
          <w:rFonts w:hint="eastAsia" w:ascii="楷体" w:hAnsi="楷体" w:eastAsia="楷体" w:cs="楷体"/>
          <w:sz w:val="24"/>
          <w:szCs w:val="24"/>
          <w:lang w:eastAsia="zh-CN"/>
        </w:rPr>
        <w:t>尚可使用年限</w:t>
      </w:r>
      <w:r>
        <w:rPr>
          <w:rFonts w:hint="eastAsia" w:ascii="楷体" w:hAnsi="楷体" w:eastAsia="楷体" w:cs="楷体"/>
          <w:sz w:val="24"/>
          <w:szCs w:val="24"/>
          <w:lang w:eastAsia="zh-CN"/>
        </w:rPr>
        <w:t>/</w:t>
      </w:r>
      <w:r>
        <w:rPr>
          <w:rFonts w:hint="eastAsia" w:ascii="楷体" w:hAnsi="楷体" w:eastAsia="楷体" w:cs="楷体"/>
          <w:sz w:val="24"/>
          <w:szCs w:val="24"/>
          <w:lang w:eastAsia="zh-CN"/>
        </w:rPr>
        <w:t>（已使用年限</w:t>
      </w:r>
      <w:r>
        <w:rPr>
          <w:rFonts w:hint="eastAsia" w:ascii="楷体" w:hAnsi="楷体" w:eastAsia="楷体" w:cs="楷体"/>
          <w:sz w:val="24"/>
          <w:szCs w:val="24"/>
          <w:lang w:eastAsia="zh-CN"/>
        </w:rPr>
        <w:t>+</w:t>
      </w:r>
      <w:r>
        <w:rPr>
          <w:rFonts w:hint="eastAsia" w:ascii="楷体" w:hAnsi="楷体" w:eastAsia="楷体" w:cs="楷体"/>
          <w:sz w:val="24"/>
          <w:szCs w:val="24"/>
          <w:lang w:eastAsia="zh-CN"/>
        </w:rPr>
        <w:t>尚可使用年限）×</w:t>
      </w:r>
      <w:r>
        <w:rPr>
          <w:rFonts w:hint="eastAsia" w:ascii="楷体" w:hAnsi="楷体" w:eastAsia="楷体" w:cs="楷体"/>
          <w:sz w:val="24"/>
          <w:szCs w:val="24"/>
          <w:lang w:eastAsia="zh-CN"/>
        </w:rPr>
        <w:t>100%</w:t>
      </w:r>
    </w:p>
    <w:p>
      <w:pPr>
        <w:pStyle w:val="3"/>
        <w:spacing w:before="156" w:beforeLines="50" w:line="480" w:lineRule="exact"/>
        <w:ind w:firstLine="482" w:firstLineChars="200"/>
        <w:jc w:val="both"/>
        <w:rPr>
          <w:rFonts w:hint="eastAsia" w:ascii="楷体" w:hAnsi="楷体" w:eastAsia="楷体" w:cs="楷体"/>
          <w:sz w:val="24"/>
          <w:szCs w:val="24"/>
          <w:lang w:eastAsia="zh-CN"/>
        </w:rPr>
      </w:pPr>
      <w:bookmarkStart w:id="32" w:name="_Toc20062438"/>
      <w:bookmarkStart w:id="33" w:name="_Toc447125217"/>
      <w:r>
        <w:rPr>
          <w:rFonts w:hint="eastAsia" w:ascii="楷体" w:hAnsi="楷体" w:eastAsia="楷体" w:cs="楷体"/>
          <w:sz w:val="24"/>
          <w:szCs w:val="24"/>
          <w:lang w:eastAsia="zh-CN"/>
        </w:rPr>
        <w:t>八、评估程序实施过程和情况</w:t>
      </w:r>
      <w:bookmarkEnd w:id="32"/>
      <w:bookmarkEnd w:id="33"/>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(一)明确资产评估业务基本事项</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通过向委托人了解总体方案，明确委托人和其他资产评估报告使用人、被评估企业、评估目的、评估对象和评估范围、价值类型、评估基准日、资产评估报告使用范围、资产评估报告提交时间及方式等资产评估业务基本事项</w:t>
      </w:r>
      <w:r>
        <w:rPr>
          <w:rFonts w:hint="eastAsia" w:ascii="楷体" w:hAnsi="楷体" w:eastAsia="楷体" w:cs="楷体"/>
          <w:sz w:val="24"/>
          <w:szCs w:val="24"/>
          <w:lang w:eastAsia="zh-CN"/>
        </w:rPr>
        <w:t>。</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(二)订立资产评估委托合同</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根据了解的资产评估业务基本情况，本公司对自身专业胜任能力、独立性和业务风险进行综合分析和评价，最终决定与委托人订立资产评估委托合同。</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(三)编制资产评估计划</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根据评估项目的具体情况，由项目负责人编制资产评估计划，对评估项目的具体实施程序、时间要求、人员分工做出安排，并将资产评估计划报经本公司相关人员审核批准</w:t>
      </w:r>
      <w:r>
        <w:rPr>
          <w:rFonts w:hint="eastAsia" w:ascii="楷体" w:hAnsi="楷体" w:eastAsia="楷体" w:cs="楷体"/>
          <w:sz w:val="24"/>
          <w:szCs w:val="24"/>
          <w:lang w:eastAsia="zh-CN"/>
        </w:rPr>
        <w:t>。</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(四)现场调查</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根据批准的评估计划，评估人员进驻被评估单位进行现场调查工作，主要包括对企业经营状况的了解、向企业有关人员了解评估范围内实物资产的运行、维护、保养状况等。</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(五)收集整理评估资料</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根据评估工作的需要，评估人员收集与本次评估相关的各种资料与信息，包括被评估单位的资产权属证明材料以及市场价格信息、行业信息</w:t>
      </w:r>
      <w:r>
        <w:rPr>
          <w:rFonts w:hint="eastAsia" w:ascii="楷体" w:hAnsi="楷体" w:eastAsia="楷体" w:cs="楷体"/>
          <w:sz w:val="24"/>
          <w:szCs w:val="24"/>
          <w:lang w:eastAsia="zh-CN"/>
        </w:rPr>
        <w:t>、相关市场数据等。</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(六)评定估算形成评估结论</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根据现场调查情况和所收集的评估资料，结合评估对象的实际状况和特点，选择相应的评估方法，对评估对象的市场价值进行评定估算，在此基础上形成评估结论。</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(七)编制出具评估报告</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项目负责人（本报告的签字资产评估师）在以上工作的基础上编制资产评估报告，经本公司内部审核通过后，出具资产评估报告并提交给委托人。</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(八)整理归集评估档案</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评估人员对工作底稿、资产评估报告及其他相关资料进行整理，形成资产评估档案</w:t>
      </w:r>
      <w:r>
        <w:rPr>
          <w:rFonts w:hint="eastAsia" w:ascii="楷体" w:hAnsi="楷体" w:eastAsia="楷体" w:cs="楷体"/>
          <w:sz w:val="24"/>
          <w:szCs w:val="24"/>
          <w:lang w:eastAsia="zh-CN"/>
        </w:rPr>
        <w:t>。</w:t>
      </w:r>
    </w:p>
    <w:p>
      <w:pPr>
        <w:pStyle w:val="3"/>
        <w:spacing w:before="156" w:beforeLines="50" w:line="480" w:lineRule="exact"/>
        <w:ind w:firstLine="482" w:firstLineChars="200"/>
        <w:jc w:val="both"/>
        <w:rPr>
          <w:rFonts w:hint="eastAsia" w:ascii="楷体" w:hAnsi="楷体" w:eastAsia="楷体" w:cs="楷体"/>
          <w:sz w:val="24"/>
          <w:szCs w:val="24"/>
          <w:lang w:eastAsia="zh-CN"/>
        </w:rPr>
      </w:pPr>
      <w:bookmarkStart w:id="34" w:name="_Toc447125218"/>
      <w:bookmarkStart w:id="35" w:name="_Toc20062439"/>
      <w:bookmarkStart w:id="36" w:name="_Toc144489314"/>
      <w:bookmarkStart w:id="37" w:name="_Toc146119326"/>
      <w:r>
        <w:rPr>
          <w:rFonts w:hint="eastAsia" w:ascii="楷体" w:hAnsi="楷体" w:eastAsia="楷体" w:cs="楷体"/>
          <w:sz w:val="24"/>
          <w:szCs w:val="24"/>
          <w:lang w:eastAsia="zh-CN"/>
        </w:rPr>
        <w:t>九、评估假设</w:t>
      </w:r>
      <w:bookmarkEnd w:id="34"/>
      <w:bookmarkEnd w:id="35"/>
      <w:bookmarkEnd w:id="36"/>
      <w:bookmarkEnd w:id="37"/>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本次评估中，评估人员遵循了以下评估假设。本评估报告及评估结论的成立，依赖于以下评估假设：</w:t>
      </w:r>
    </w:p>
    <w:p>
      <w:pPr>
        <w:widowControl w:val="0"/>
        <w:spacing w:before="156" w:beforeLines="50" w:after="0" w:line="240" w:lineRule="auto"/>
        <w:ind w:firstLine="482" w:firstLineChars="200"/>
        <w:jc w:val="both"/>
        <w:rPr>
          <w:rFonts w:hint="eastAsia" w:ascii="楷体" w:hAnsi="楷体" w:eastAsia="楷体" w:cs="楷体"/>
          <w:sz w:val="24"/>
          <w:szCs w:val="24"/>
          <w:lang w:eastAsia="zh-CN"/>
        </w:rPr>
      </w:pPr>
      <w:r>
        <w:rPr>
          <w:rFonts w:hint="eastAsia" w:ascii="楷体" w:hAnsi="楷体" w:eastAsia="楷体" w:cs="楷体"/>
          <w:b/>
          <w:sz w:val="24"/>
          <w:szCs w:val="24"/>
          <w:lang w:eastAsia="zh-CN"/>
        </w:rPr>
        <w:t>(一)评估基本假设</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1.交易基本假设</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假设评估对象或所有被评估资产于评估基准日处在市场交易过程中，资产评估专业人员根据评估基准日的市场环境和评估对象或所有被评估资产的交易条件等模拟市场进行相应的价值估计或测算</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2.公开市场基本假设</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假设评估对象或所有被评估资产于评估基准日处在的交易市场是公开市场。公开市场是指至少符合下列条件的交易市场：(</w:t>
      </w:r>
      <w:r>
        <w:rPr>
          <w:rFonts w:hint="eastAsia" w:ascii="楷体" w:hAnsi="楷体" w:eastAsia="楷体" w:cs="楷体"/>
          <w:sz w:val="24"/>
          <w:szCs w:val="24"/>
          <w:lang w:eastAsia="zh-CN"/>
        </w:rPr>
        <w:t>1)</w:t>
      </w:r>
      <w:r>
        <w:rPr>
          <w:rFonts w:hint="eastAsia" w:ascii="楷体" w:hAnsi="楷体" w:eastAsia="楷体" w:cs="楷体"/>
          <w:sz w:val="24"/>
          <w:szCs w:val="24"/>
          <w:lang w:eastAsia="zh-CN"/>
        </w:rPr>
        <w:t>市场中有足够数量的买者且彼此地位是平等的，所有买者都是自愿的、理性的且均具有足够的专业知识；(</w:t>
      </w:r>
      <w:r>
        <w:rPr>
          <w:rFonts w:hint="eastAsia" w:ascii="楷体" w:hAnsi="楷体" w:eastAsia="楷体" w:cs="楷体"/>
          <w:sz w:val="24"/>
          <w:szCs w:val="24"/>
          <w:lang w:eastAsia="zh-CN"/>
        </w:rPr>
        <w:t>2)</w:t>
      </w:r>
      <w:r>
        <w:rPr>
          <w:rFonts w:hint="eastAsia" w:ascii="楷体" w:hAnsi="楷体" w:eastAsia="楷体" w:cs="楷体"/>
          <w:sz w:val="24"/>
          <w:szCs w:val="24"/>
          <w:lang w:eastAsia="zh-CN"/>
        </w:rPr>
        <w:t>市场中有足够数量的卖者且彼此地位是平等的，所有卖者都是自愿的、理性的且均具有足够的专业知识；(</w:t>
      </w:r>
      <w:r>
        <w:rPr>
          <w:rFonts w:hint="eastAsia" w:ascii="楷体" w:hAnsi="楷体" w:eastAsia="楷体" w:cs="楷体"/>
          <w:sz w:val="24"/>
          <w:szCs w:val="24"/>
          <w:lang w:eastAsia="zh-CN"/>
        </w:rPr>
        <w:t>3)</w:t>
      </w:r>
      <w:r>
        <w:rPr>
          <w:rFonts w:hint="eastAsia" w:ascii="楷体" w:hAnsi="楷体" w:eastAsia="楷体" w:cs="楷体"/>
          <w:sz w:val="24"/>
          <w:szCs w:val="24"/>
          <w:lang w:eastAsia="zh-CN"/>
        </w:rPr>
        <w:t>市场中所有买者和所有卖者之间的地位也是平等的；(</w:t>
      </w:r>
      <w:r>
        <w:rPr>
          <w:rFonts w:hint="eastAsia" w:ascii="楷体" w:hAnsi="楷体" w:eastAsia="楷体" w:cs="楷体"/>
          <w:sz w:val="24"/>
          <w:szCs w:val="24"/>
          <w:lang w:eastAsia="zh-CN"/>
        </w:rPr>
        <w:t>4)</w:t>
      </w:r>
      <w:r>
        <w:rPr>
          <w:rFonts w:hint="eastAsia" w:ascii="楷体" w:hAnsi="楷体" w:eastAsia="楷体" w:cs="楷体"/>
          <w:sz w:val="24"/>
          <w:szCs w:val="24"/>
          <w:lang w:eastAsia="zh-CN"/>
        </w:rPr>
        <w:t>市场中的所有交易规则都是明确的且是公开的；(</w:t>
      </w:r>
      <w:r>
        <w:rPr>
          <w:rFonts w:hint="eastAsia" w:ascii="楷体" w:hAnsi="楷体" w:eastAsia="楷体" w:cs="楷体"/>
          <w:sz w:val="24"/>
          <w:szCs w:val="24"/>
          <w:lang w:eastAsia="zh-CN"/>
        </w:rPr>
        <w:t>5)</w:t>
      </w:r>
      <w:r>
        <w:rPr>
          <w:rFonts w:hint="eastAsia" w:ascii="楷体" w:hAnsi="楷体" w:eastAsia="楷体" w:cs="楷体"/>
          <w:sz w:val="24"/>
          <w:szCs w:val="24"/>
          <w:lang w:eastAsia="zh-CN"/>
        </w:rPr>
        <w:t>市场中所有买者和所有卖者均充分知情，都能够获得相同且足够的交易信息；(</w:t>
      </w:r>
      <w:r>
        <w:rPr>
          <w:rFonts w:hint="eastAsia" w:ascii="楷体" w:hAnsi="楷体" w:eastAsia="楷体" w:cs="楷体"/>
          <w:sz w:val="24"/>
          <w:szCs w:val="24"/>
          <w:lang w:eastAsia="zh-CN"/>
        </w:rPr>
        <w:t>6)</w:t>
      </w:r>
      <w:r>
        <w:rPr>
          <w:rFonts w:hint="eastAsia" w:ascii="楷体" w:hAnsi="楷体" w:eastAsia="楷体" w:cs="楷体"/>
          <w:sz w:val="24"/>
          <w:szCs w:val="24"/>
          <w:lang w:eastAsia="zh-CN"/>
        </w:rPr>
        <w:t>市场中所有交易行为都是在足够充分的时间内自由进行的，而非强制或不受限制的条件下进行的</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3.</w:t>
      </w:r>
      <w:r>
        <w:rPr>
          <w:rFonts w:hint="eastAsia" w:ascii="楷体" w:hAnsi="楷体" w:eastAsia="楷体" w:cs="楷体"/>
          <w:sz w:val="24"/>
          <w:szCs w:val="24"/>
          <w:lang w:eastAsia="zh-CN"/>
        </w:rPr>
        <w:t>持续经营基本假设</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资产持续经营假设是指评估时需根据被评估资产按目前的用途和使用的方式、规模、频度、环境等情况继续使用，或者在有所改变的基础上使用，相应确定评估方法、参数和依据。</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(二)评估条件假设</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1</w:t>
      </w:r>
      <w:r>
        <w:rPr>
          <w:rFonts w:hint="eastAsia" w:ascii="楷体" w:hAnsi="楷体" w:eastAsia="楷体" w:cs="楷体"/>
          <w:sz w:val="24"/>
          <w:szCs w:val="24"/>
          <w:lang w:eastAsia="zh-CN"/>
        </w:rPr>
        <w:t>.</w:t>
      </w:r>
      <w:r>
        <w:rPr>
          <w:rFonts w:hint="eastAsia" w:ascii="楷体" w:hAnsi="楷体" w:eastAsia="楷体" w:cs="楷体"/>
          <w:sz w:val="24"/>
          <w:szCs w:val="24"/>
          <w:lang w:eastAsia="zh-CN"/>
        </w:rPr>
        <w:t>评估外部条件假设</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假设国家现行的有关法律法规及政策、国家宏观经济形势无重大变化，本次交易各方所处地区的政治、经济和社会环境无重大变化；假设有关利率、汇率、赋税基准及税率、政策性征收费用、融资条件等不发生重大变化；假设无其他人力不可抗拒因素及不可预见因素对企业造成重大不利影响。</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2.</w:t>
      </w:r>
      <w:r>
        <w:rPr>
          <w:rFonts w:hint="eastAsia" w:ascii="楷体" w:hAnsi="楷体" w:eastAsia="楷体" w:cs="楷体"/>
          <w:sz w:val="24"/>
          <w:szCs w:val="24"/>
          <w:lang w:eastAsia="zh-CN"/>
        </w:rPr>
        <w:t>对委托人和/或相关当事人所提供的评估所必需资料的假设</w:t>
      </w:r>
    </w:p>
    <w:p>
      <w:pPr>
        <w:widowControl w:val="0"/>
        <w:spacing w:before="156" w:beforeLines="50" w:after="0" w:line="240" w:lineRule="auto"/>
        <w:ind w:firstLine="480" w:firstLineChars="200"/>
        <w:jc w:val="both"/>
        <w:rPr>
          <w:rFonts w:hint="eastAsia" w:ascii="楷体" w:hAnsi="楷体" w:eastAsia="楷体" w:cs="楷体"/>
          <w:sz w:val="24"/>
          <w:lang w:eastAsia="zh-CN"/>
        </w:rPr>
      </w:pPr>
      <w:r>
        <w:rPr>
          <w:rFonts w:hint="eastAsia" w:ascii="楷体" w:hAnsi="楷体" w:eastAsia="楷体" w:cs="楷体"/>
          <w:sz w:val="24"/>
          <w:szCs w:val="24"/>
          <w:lang w:eastAsia="zh-CN"/>
        </w:rPr>
        <w:t>假设委托人和/或相关当事人（指依照国家有关法律法规、评估准则等之相关规定和评估目的所对应的经济行为的要求，负有提供评估所必需资料的责任和义务的单位及其工作职员，包括但不限于：评估对象的产权持有人或其实际控制人；被评估企业</w:t>
      </w:r>
      <w:bookmarkStart w:id="38" w:name="_Hlk502922675"/>
      <w:r>
        <w:rPr>
          <w:rFonts w:hint="eastAsia" w:ascii="楷体" w:hAnsi="楷体" w:eastAsia="楷体" w:cs="楷体"/>
          <w:sz w:val="24"/>
          <w:szCs w:val="24"/>
          <w:lang w:eastAsia="zh-CN"/>
        </w:rPr>
        <w:t>及其关联方</w:t>
      </w:r>
      <w:bookmarkEnd w:id="38"/>
      <w:r>
        <w:rPr>
          <w:rFonts w:hint="eastAsia" w:ascii="楷体" w:hAnsi="楷体" w:eastAsia="楷体" w:cs="楷体"/>
          <w:sz w:val="24"/>
          <w:szCs w:val="24"/>
          <w:lang w:eastAsia="zh-CN"/>
        </w:rPr>
        <w:t>；与评估对象及其对应的评估范围内的资产或负债相关的实际占有者、使用人、控制者、管理者、债权人、债务人等）所提供的评估所必需资料（包括但不限于资产评估明细表申报评估信息、与评估对象及其对应评估范围所涵盖的资产负债或被评估企业有关的经营数据和信息、相关财务报告和资料及其他重要资料等）是</w:t>
      </w:r>
      <w:r>
        <w:rPr>
          <w:rFonts w:hint="eastAsia" w:ascii="楷体" w:hAnsi="楷体" w:eastAsia="楷体" w:cs="楷体"/>
          <w:sz w:val="24"/>
          <w:lang w:eastAsia="zh-CN"/>
        </w:rPr>
        <w:t>真实的、完整的、合法的和有效的。</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本次评估在很大程度上依赖委托人和/或相关当事人所提供的有关本次评估所必需的资料。尽管委托人和/或相关当事人已向本公司承诺其所提供的资料是</w:t>
      </w:r>
      <w:r>
        <w:rPr>
          <w:rFonts w:hint="eastAsia" w:ascii="楷体" w:hAnsi="楷体" w:eastAsia="楷体" w:cs="楷体"/>
          <w:sz w:val="24"/>
          <w:lang w:eastAsia="zh-CN"/>
        </w:rPr>
        <w:t>真实的、完整的、合法的和有效的，且本公司评估专业人员在现场调查过程中已采取包括观察、询问、书面审查、实地调查、查询、函证、复核等方式进行了我们认为适当的抽查验证并在本资产评估报告中对相关情况进行了说明，但并不代表我们</w:t>
      </w:r>
      <w:r>
        <w:rPr>
          <w:rFonts w:hint="eastAsia" w:ascii="楷体" w:hAnsi="楷体" w:eastAsia="楷体" w:cs="楷体"/>
          <w:sz w:val="24"/>
          <w:szCs w:val="24"/>
          <w:lang w:eastAsia="zh-CN"/>
        </w:rPr>
        <w:t>对其准确性作出任何保证。</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3</w:t>
      </w:r>
      <w:r>
        <w:rPr>
          <w:rFonts w:hint="eastAsia" w:ascii="楷体" w:hAnsi="楷体" w:eastAsia="楷体" w:cs="楷体"/>
          <w:sz w:val="24"/>
          <w:szCs w:val="24"/>
          <w:lang w:eastAsia="zh-CN"/>
        </w:rPr>
        <w:t>.</w:t>
      </w:r>
      <w:r>
        <w:rPr>
          <w:rFonts w:hint="eastAsia" w:ascii="楷体" w:hAnsi="楷体" w:eastAsia="楷体" w:cs="楷体"/>
          <w:sz w:val="24"/>
          <w:szCs w:val="24"/>
          <w:lang w:eastAsia="zh-CN"/>
        </w:rPr>
        <w:t>对从与委托人和相关当事人以外的其他方面所获取的资料的假设</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假设本次评估从与委托人和相关当事人以外的其他方面所获取的资料能够合理反映相应的市场交易逻辑，或市场交易行情，或市场运行状况，或市场发展趋势等。对本次评估引用的与价格相关的标准、参数等，我们均在本资产评估报告中进行了如实披露。</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4</w:t>
      </w:r>
      <w:r>
        <w:rPr>
          <w:rFonts w:hint="eastAsia" w:ascii="楷体" w:hAnsi="楷体" w:eastAsia="楷体" w:cs="楷体"/>
          <w:sz w:val="24"/>
          <w:szCs w:val="24"/>
          <w:lang w:eastAsia="zh-CN"/>
        </w:rPr>
        <w:t>.</w:t>
      </w:r>
      <w:r>
        <w:rPr>
          <w:rFonts w:hint="eastAsia" w:ascii="楷体" w:hAnsi="楷体" w:eastAsia="楷体" w:cs="楷体"/>
          <w:sz w:val="24"/>
          <w:szCs w:val="24"/>
          <w:lang w:eastAsia="zh-CN"/>
        </w:rPr>
        <w:t>有关评估对象及与其相关的重要资产的法律权属的假设</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除本资产评估报告中另有陈述、描述和考虑外，评估对象及所有被评估资产的取得、使用、持有等均被假设符合国家法律、法规和规范性文件的规定，即其法律权属是明确的。</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次评估是对评估对象价值进行估算并发表专业意见，对评估对象及所有被评估资产的法律权属确认或者发表意见超出资产评估专业人员的执业范围。我们不对评估对象及所有被评估资产的法律权属提供任何保证。</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5.</w:t>
      </w:r>
      <w:r>
        <w:rPr>
          <w:rFonts w:hint="eastAsia" w:ascii="楷体" w:hAnsi="楷体" w:eastAsia="楷体" w:cs="楷体"/>
          <w:sz w:val="24"/>
          <w:szCs w:val="24"/>
          <w:lang w:eastAsia="zh-CN"/>
        </w:rPr>
        <w:t>其他假设条件</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eastAsia="zh-CN"/>
        </w:rPr>
        <w:t>1)</w:t>
      </w:r>
      <w:r>
        <w:rPr>
          <w:rFonts w:hint="eastAsia" w:ascii="楷体" w:hAnsi="楷体" w:eastAsia="楷体" w:cs="楷体"/>
          <w:sz w:val="24"/>
          <w:szCs w:val="24"/>
          <w:lang w:eastAsia="zh-CN"/>
        </w:rPr>
        <w:t>除在本资产评估报告中另有说明外，以下情况均被假设处在正常状态下：①所有不可见或不便观察的资产或资产的某一部分如埋藏在地下的建筑物基础和管网、放置在高压电附近的设施设备、不宜拆封的资产以及在我们实施现场查看时仍在异地作业的资产均被认为是正常的；②所有实物资产的内部结构、性能、品质、性状、功能等均被假设是正常的；③所有被评估资产均被假设是符合法律或专业规范等要求而记录、保管、存放等，因而其是处在安全、经济、可靠的环境之下，其可能存在的危险因素均未列于本次评估的考虑范围。</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尽管我们实施的评估程序已经包括了对被评估资产的现场调查，这种调查工作仅限于对被评估资产可见部分的观察，以及相关管理、使用、维护记录之抽查和有限了解等。我们并不具备了解任何实体资产内部结构、物质性状、安全可靠等专业知识之能力，也没有资格对这些内容进行检测、检验或表达意见。</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eastAsia="zh-CN"/>
        </w:rPr>
        <w:t>2)</w:t>
      </w:r>
      <w:r>
        <w:rPr>
          <w:rFonts w:hint="eastAsia" w:ascii="楷体" w:hAnsi="楷体" w:eastAsia="楷体" w:cs="楷体"/>
          <w:sz w:val="24"/>
          <w:szCs w:val="24"/>
          <w:lang w:eastAsia="zh-CN"/>
        </w:rPr>
        <w:t>对资产的数量，我们进行了现场盘点，并在此基础上进行评估。</w:t>
      </w:r>
    </w:p>
    <w:p>
      <w:pPr>
        <w:pStyle w:val="3"/>
        <w:spacing w:before="156" w:beforeLines="50" w:line="480" w:lineRule="exact"/>
        <w:ind w:firstLine="482" w:firstLineChars="200"/>
        <w:jc w:val="both"/>
        <w:rPr>
          <w:rFonts w:hint="eastAsia" w:ascii="楷体" w:hAnsi="楷体" w:eastAsia="楷体" w:cs="楷体"/>
          <w:sz w:val="24"/>
          <w:szCs w:val="24"/>
          <w:lang w:eastAsia="zh-CN"/>
        </w:rPr>
      </w:pPr>
      <w:bookmarkStart w:id="39" w:name="_Toc20062440"/>
      <w:bookmarkStart w:id="40" w:name="_Toc447125219"/>
      <w:r>
        <w:rPr>
          <w:rFonts w:hint="eastAsia" w:ascii="楷体" w:hAnsi="楷体" w:eastAsia="楷体" w:cs="楷体"/>
          <w:sz w:val="24"/>
          <w:szCs w:val="24"/>
          <w:lang w:eastAsia="zh-CN"/>
        </w:rPr>
        <w:t>十、评估结论</w:t>
      </w:r>
      <w:bookmarkEnd w:id="39"/>
      <w:bookmarkEnd w:id="40"/>
    </w:p>
    <w:p>
      <w:pPr>
        <w:widowControl w:val="0"/>
        <w:spacing w:before="156" w:beforeLines="50" w:after="0" w:line="240" w:lineRule="auto"/>
        <w:ind w:firstLine="480" w:firstLineChars="200"/>
        <w:jc w:val="both"/>
        <w:rPr>
          <w:rFonts w:hint="eastAsia" w:ascii="楷体" w:hAnsi="楷体" w:eastAsia="楷体" w:cs="楷体"/>
          <w:b/>
          <w:bCs/>
          <w:sz w:val="24"/>
          <w:szCs w:val="24"/>
          <w:lang w:eastAsia="zh-CN"/>
        </w:rPr>
      </w:pPr>
      <w:r>
        <w:rPr>
          <w:rFonts w:hint="eastAsia" w:ascii="楷体" w:hAnsi="楷体" w:eastAsia="楷体" w:cs="楷体"/>
          <w:sz w:val="24"/>
          <w:szCs w:val="24"/>
          <w:lang w:eastAsia="zh-CN"/>
        </w:rPr>
        <w:t>我们认为，除评估报告所载明的特别事项说明外，在本报告载明的评估目的、价值类型、评估基准和评估假设条件下，采用成本法评估的刘树群家私电器于评估基准日的市场价值为</w:t>
      </w:r>
      <w:r>
        <w:rPr>
          <w:rFonts w:hint="eastAsia" w:ascii="楷体" w:hAnsi="楷体" w:eastAsia="楷体" w:cs="楷体"/>
          <w:sz w:val="24"/>
          <w:szCs w:val="24"/>
          <w:lang w:eastAsia="zh-CN"/>
        </w:rPr>
        <w:t>人民币：</w:t>
      </w:r>
      <w:r>
        <w:rPr>
          <w:rFonts w:hint="eastAsia" w:ascii="楷体" w:hAnsi="楷体" w:eastAsia="楷体" w:cs="楷体"/>
          <w:sz w:val="24"/>
          <w:szCs w:val="24"/>
          <w:lang w:eastAsia="zh-CN"/>
        </w:rPr>
        <w:t>0.39万</w:t>
      </w:r>
      <w:r>
        <w:rPr>
          <w:rFonts w:hint="eastAsia" w:ascii="楷体" w:hAnsi="楷体" w:eastAsia="楷体" w:cs="楷体"/>
          <w:sz w:val="24"/>
          <w:szCs w:val="24"/>
          <w:lang w:eastAsia="zh-CN"/>
        </w:rPr>
        <w:t>元（大写：人民币</w:t>
      </w:r>
      <w:r>
        <w:rPr>
          <w:rFonts w:hint="eastAsia" w:ascii="楷体" w:hAnsi="楷体" w:eastAsia="楷体" w:cs="楷体"/>
          <w:b/>
          <w:bCs/>
          <w:sz w:val="24"/>
          <w:szCs w:val="24"/>
          <w:lang w:eastAsia="zh-CN"/>
        </w:rPr>
        <w:t>叁仟玖佰</w:t>
      </w:r>
      <w:r>
        <w:rPr>
          <w:rFonts w:hint="eastAsia" w:ascii="楷体" w:hAnsi="楷体" w:eastAsia="楷体" w:cs="楷体"/>
          <w:sz w:val="24"/>
          <w:szCs w:val="24"/>
          <w:lang w:eastAsia="zh-CN"/>
        </w:rPr>
        <w:t>圆整）。</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有关评估结果的详细内容参见资产评估结果汇总表和资产清查评估明细表。</w:t>
      </w:r>
    </w:p>
    <w:p>
      <w:pPr>
        <w:pStyle w:val="3"/>
        <w:spacing w:before="156" w:beforeLines="50" w:line="480" w:lineRule="exact"/>
        <w:ind w:firstLine="482" w:firstLineChars="200"/>
        <w:jc w:val="both"/>
        <w:rPr>
          <w:rFonts w:hint="eastAsia" w:ascii="楷体" w:hAnsi="楷体" w:eastAsia="楷体" w:cs="楷体"/>
          <w:sz w:val="24"/>
          <w:szCs w:val="24"/>
          <w:lang w:eastAsia="zh-CN"/>
        </w:rPr>
      </w:pPr>
      <w:bookmarkStart w:id="41" w:name="_Toc20062441"/>
      <w:bookmarkStart w:id="42" w:name="_Toc447125220"/>
      <w:r>
        <w:rPr>
          <w:rFonts w:hint="eastAsia" w:ascii="楷体" w:hAnsi="楷体" w:eastAsia="楷体" w:cs="楷体"/>
          <w:sz w:val="24"/>
          <w:szCs w:val="24"/>
          <w:lang w:eastAsia="zh-CN"/>
        </w:rPr>
        <w:t>十一、特别事项说明</w:t>
      </w:r>
      <w:bookmarkEnd w:id="41"/>
      <w:bookmarkEnd w:id="42"/>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资产评估报告所载评估结论仅反映评估对象在本次评估目的、价值类型和评估假设条件下，根据有关经济原则确定的市场价值。我们认为：我们在评估过程中发现的以下事项可能会影响评估结论，但在目前情况下我们无法估计其对评估结果的影响程度。谨提请本资产评估报告使用人对该等特别事项予以关注</w:t>
      </w:r>
      <w:r>
        <w:rPr>
          <w:rFonts w:hint="eastAsia" w:ascii="楷体" w:hAnsi="楷体" w:eastAsia="楷体" w:cs="楷体"/>
          <w:sz w:val="24"/>
          <w:szCs w:val="24"/>
          <w:lang w:eastAsia="zh-CN"/>
        </w:rPr>
        <w:t>。</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(一)权属等主要资料不完整或者存在瑕疵的情形</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本次评估未发现权属等主要资料不完整或者存在瑕疵的情形</w:t>
      </w:r>
      <w:r>
        <w:rPr>
          <w:rFonts w:hint="eastAsia" w:ascii="楷体" w:hAnsi="楷体" w:eastAsia="楷体" w:cs="楷体"/>
          <w:sz w:val="24"/>
          <w:szCs w:val="24"/>
          <w:lang w:eastAsia="zh-CN"/>
        </w:rPr>
        <w:t>。</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(二)未决事项、法律纠纷等不确定因素</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未发现纳入评估范围的未决事项、或有事项等不确定因素。</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(三)重要的利用专家工作及相关报告情况</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本次评估未利用专家工作及相关报告。</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(四)重大期后事项</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本次评估未发现纳入评估范围资产的重大期后事项。</w:t>
      </w:r>
    </w:p>
    <w:p>
      <w:pPr>
        <w:pStyle w:val="3"/>
        <w:spacing w:before="156" w:beforeLines="50" w:line="480" w:lineRule="exact"/>
        <w:ind w:firstLine="482" w:firstLineChars="200"/>
        <w:jc w:val="both"/>
        <w:rPr>
          <w:rFonts w:hint="eastAsia" w:ascii="楷体" w:hAnsi="楷体" w:eastAsia="楷体" w:cs="楷体"/>
          <w:sz w:val="24"/>
          <w:szCs w:val="24"/>
          <w:lang w:eastAsia="zh-CN"/>
        </w:rPr>
      </w:pPr>
      <w:bookmarkStart w:id="43" w:name="_Toc447125221"/>
      <w:bookmarkStart w:id="44" w:name="_Toc20062442"/>
      <w:r>
        <w:rPr>
          <w:rFonts w:hint="eastAsia" w:ascii="楷体" w:hAnsi="楷体" w:eastAsia="楷体" w:cs="楷体"/>
          <w:sz w:val="24"/>
          <w:szCs w:val="24"/>
          <w:lang w:eastAsia="zh-CN"/>
        </w:rPr>
        <w:t>十二、</w:t>
      </w:r>
      <w:bookmarkEnd w:id="43"/>
      <w:r>
        <w:rPr>
          <w:rFonts w:hint="eastAsia" w:ascii="楷体" w:hAnsi="楷体" w:eastAsia="楷体" w:cs="楷体"/>
          <w:sz w:val="24"/>
          <w:szCs w:val="24"/>
          <w:lang w:eastAsia="zh-CN"/>
        </w:rPr>
        <w:t>资产评估报告使用限制说明</w:t>
      </w:r>
      <w:bookmarkEnd w:id="44"/>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bookmarkStart w:id="45" w:name="_Toc9908281"/>
      <w:bookmarkStart w:id="46" w:name="_Toc527655926"/>
      <w:r>
        <w:rPr>
          <w:rFonts w:hint="eastAsia" w:ascii="楷体" w:hAnsi="楷体" w:eastAsia="楷体" w:cs="楷体"/>
          <w:b/>
          <w:sz w:val="24"/>
          <w:szCs w:val="24"/>
          <w:lang w:eastAsia="zh-CN"/>
        </w:rPr>
        <w:t>(一)本资产评估报告的使用范围</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1</w:t>
      </w:r>
      <w:r>
        <w:rPr>
          <w:rFonts w:hint="eastAsia" w:ascii="楷体" w:hAnsi="楷体" w:eastAsia="楷体" w:cs="楷体"/>
          <w:sz w:val="24"/>
          <w:szCs w:val="24"/>
          <w:lang w:eastAsia="zh-CN"/>
        </w:rPr>
        <w:t>.</w:t>
      </w:r>
      <w:r>
        <w:rPr>
          <w:rFonts w:hint="eastAsia" w:ascii="楷体" w:hAnsi="楷体" w:eastAsia="楷体" w:cs="楷体"/>
          <w:sz w:val="24"/>
          <w:szCs w:val="24"/>
          <w:lang w:eastAsia="zh-CN"/>
        </w:rPr>
        <w:t>本资产评估报告使用人的范围限制：本资产评估报告使用人限于且仅限于委托人和法律、行政法规规定的本资产评估报告使用人，即本资产评估报告仅供委托人和法律、行政法规规定的本资产评估报告使用人使用；除此之外，其他任何机构和个人均不得成为本资产评估报告的使用人。</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2</w:t>
      </w:r>
      <w:r>
        <w:rPr>
          <w:rFonts w:hint="eastAsia" w:ascii="楷体" w:hAnsi="楷体" w:eastAsia="楷体" w:cs="楷体"/>
          <w:sz w:val="24"/>
          <w:szCs w:val="24"/>
          <w:lang w:eastAsia="zh-CN"/>
        </w:rPr>
        <w:t>.</w:t>
      </w:r>
      <w:r>
        <w:rPr>
          <w:rFonts w:hint="eastAsia" w:ascii="楷体" w:hAnsi="楷体" w:eastAsia="楷体" w:cs="楷体"/>
          <w:sz w:val="24"/>
          <w:szCs w:val="24"/>
          <w:lang w:eastAsia="zh-CN"/>
        </w:rPr>
        <w:t>本资产评估报告的用途或使用目的的范围限制：本资产评估报告使用人应当按照法律、行政法规规定和本资产评估报告载明的评估目的使用本资产评估报告，即本资产评估报告只能按照法律、行政法规规定用于本资产评估报告所载明的评估目的所对应的经济行为，除此之外，其他任何情形均不得使用本资产评估报告。</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3</w:t>
      </w:r>
      <w:r>
        <w:rPr>
          <w:rFonts w:hint="eastAsia" w:ascii="楷体" w:hAnsi="楷体" w:eastAsia="楷体" w:cs="楷体"/>
          <w:sz w:val="24"/>
          <w:szCs w:val="24"/>
          <w:lang w:eastAsia="zh-CN"/>
        </w:rPr>
        <w:t>.</w:t>
      </w:r>
      <w:r>
        <w:rPr>
          <w:rFonts w:hint="eastAsia" w:ascii="楷体" w:hAnsi="楷体" w:eastAsia="楷体" w:cs="楷体"/>
          <w:sz w:val="24"/>
          <w:szCs w:val="24"/>
          <w:lang w:eastAsia="zh-CN"/>
        </w:rPr>
        <w:t>本资产评估报告所载评估结论的使用有效期的范围限制：本资产评估报告所载评估结论的使用有效期自评估基准日起不超过一年。</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4</w:t>
      </w:r>
      <w:r>
        <w:rPr>
          <w:rFonts w:hint="eastAsia" w:ascii="楷体" w:hAnsi="楷体" w:eastAsia="楷体" w:cs="楷体"/>
          <w:sz w:val="24"/>
          <w:szCs w:val="24"/>
          <w:lang w:eastAsia="zh-CN"/>
        </w:rPr>
        <w:t>.</w:t>
      </w:r>
      <w:r>
        <w:rPr>
          <w:rFonts w:hint="eastAsia" w:ascii="楷体" w:hAnsi="楷体" w:eastAsia="楷体" w:cs="楷体"/>
          <w:sz w:val="24"/>
          <w:szCs w:val="24"/>
          <w:lang w:eastAsia="zh-CN"/>
        </w:rPr>
        <w:t>本资产评估报告的摘抄、引用或者披露的限制：未经本公司书面同意，本资产评估报告的内容不得被摘抄、引用或者披露于公开媒体，法律、行政法规规定和资产评估委托合同另有规定的除外。</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(二)超使用范围使用本资产评估报告的责任说明</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资产评估报告使用人未按照法律、行政法规规定和上述载明的使用范围使用本资产评估报告的，本公司</w:t>
      </w:r>
      <w:bookmarkStart w:id="47" w:name="_Hlk530738277"/>
      <w:r>
        <w:rPr>
          <w:rFonts w:hint="eastAsia" w:ascii="楷体" w:hAnsi="楷体" w:eastAsia="楷体" w:cs="楷体"/>
          <w:sz w:val="24"/>
          <w:szCs w:val="24"/>
          <w:lang w:eastAsia="zh-CN"/>
        </w:rPr>
        <w:t>签字资产评估师</w:t>
      </w:r>
      <w:bookmarkEnd w:id="47"/>
      <w:r>
        <w:rPr>
          <w:rFonts w:hint="eastAsia" w:ascii="楷体" w:hAnsi="楷体" w:eastAsia="楷体" w:cs="楷体"/>
          <w:sz w:val="24"/>
          <w:szCs w:val="24"/>
          <w:lang w:eastAsia="zh-CN"/>
        </w:rPr>
        <w:t>不承担责任。</w:t>
      </w:r>
    </w:p>
    <w:p>
      <w:pPr>
        <w:widowControl w:val="0"/>
        <w:spacing w:before="156" w:beforeLines="50" w:after="0" w:line="240" w:lineRule="auto"/>
        <w:ind w:firstLine="482" w:firstLineChars="200"/>
        <w:jc w:val="both"/>
        <w:rPr>
          <w:rFonts w:hint="eastAsia" w:ascii="楷体" w:hAnsi="楷体" w:eastAsia="楷体" w:cs="楷体"/>
          <w:b/>
          <w:sz w:val="24"/>
          <w:szCs w:val="24"/>
          <w:lang w:eastAsia="zh-CN"/>
        </w:rPr>
      </w:pPr>
      <w:r>
        <w:rPr>
          <w:rFonts w:hint="eastAsia" w:ascii="楷体" w:hAnsi="楷体" w:eastAsia="楷体" w:cs="楷体"/>
          <w:b/>
          <w:sz w:val="24"/>
          <w:szCs w:val="24"/>
          <w:lang w:eastAsia="zh-CN"/>
        </w:rPr>
        <w:t>(三)本资产评估报告的其他使用限制说明</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1.</w:t>
      </w:r>
      <w:r>
        <w:rPr>
          <w:rFonts w:hint="eastAsia" w:ascii="楷体" w:hAnsi="楷体" w:eastAsia="楷体" w:cs="楷体"/>
          <w:sz w:val="24"/>
          <w:szCs w:val="24"/>
          <w:lang w:eastAsia="zh-CN"/>
        </w:rPr>
        <w:t>本资产评估报告使用人应当正确理解</w:t>
      </w:r>
      <w:bookmarkStart w:id="48" w:name="_Hlk530738303"/>
      <w:r>
        <w:rPr>
          <w:rFonts w:hint="eastAsia" w:ascii="楷体" w:hAnsi="楷体" w:eastAsia="楷体" w:cs="楷体"/>
          <w:sz w:val="24"/>
          <w:szCs w:val="24"/>
          <w:lang w:eastAsia="zh-CN"/>
        </w:rPr>
        <w:t>和使用</w:t>
      </w:r>
      <w:bookmarkEnd w:id="48"/>
      <w:r>
        <w:rPr>
          <w:rFonts w:hint="eastAsia" w:ascii="楷体" w:hAnsi="楷体" w:eastAsia="楷体" w:cs="楷体"/>
          <w:sz w:val="24"/>
          <w:szCs w:val="24"/>
          <w:lang w:eastAsia="zh-CN"/>
        </w:rPr>
        <w:t>评估结论。评估结论不等同于评估对象可实现价格，评估结论不应当被认为是对评估对象可实现价格的保证。</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2.</w:t>
      </w:r>
      <w:r>
        <w:rPr>
          <w:rFonts w:hint="eastAsia" w:ascii="楷体" w:hAnsi="楷体" w:eastAsia="楷体" w:cs="楷体"/>
          <w:sz w:val="24"/>
          <w:szCs w:val="24"/>
          <w:lang w:eastAsia="zh-CN"/>
        </w:rPr>
        <w:t>本资产评估报告使用人应当关注评估结论成立的假设条件，当使用本资产评估报告所载评估结论时的实际情况与评估基准日的情况或者本资产评估报告所载评估假设条件不再相符时，通常情况下，评估结论也不会成立。</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3.</w:t>
      </w:r>
      <w:r>
        <w:rPr>
          <w:rFonts w:hint="eastAsia" w:ascii="楷体" w:hAnsi="楷体" w:eastAsia="楷体" w:cs="楷体"/>
          <w:sz w:val="24"/>
          <w:szCs w:val="24"/>
          <w:lang w:eastAsia="zh-CN"/>
        </w:rPr>
        <w:t>本资产评估报告使用人应当关注特别事项说明，并在实施评估目的所对应的经济行为过程中采取相应的措施</w:t>
      </w:r>
      <w:r>
        <w:rPr>
          <w:rFonts w:hint="eastAsia" w:ascii="楷体" w:hAnsi="楷体" w:eastAsia="楷体" w:cs="楷体"/>
          <w:sz w:val="24"/>
          <w:szCs w:val="24"/>
          <w:lang w:eastAsia="zh-CN"/>
        </w:rPr>
        <w:t>。</w:t>
      </w:r>
    </w:p>
    <w:bookmarkEnd w:id="45"/>
    <w:bookmarkEnd w:id="46"/>
    <w:p>
      <w:pPr>
        <w:pStyle w:val="3"/>
        <w:spacing w:before="156" w:beforeLines="50" w:line="480" w:lineRule="exact"/>
        <w:ind w:firstLine="482" w:firstLineChars="200"/>
        <w:jc w:val="both"/>
        <w:rPr>
          <w:rFonts w:hint="eastAsia" w:ascii="楷体" w:hAnsi="楷体" w:eastAsia="楷体" w:cs="楷体"/>
          <w:sz w:val="24"/>
          <w:szCs w:val="24"/>
          <w:lang w:eastAsia="zh-CN"/>
        </w:rPr>
      </w:pPr>
      <w:bookmarkStart w:id="49" w:name="_Toc447125222"/>
      <w:bookmarkStart w:id="50" w:name="_Toc20062443"/>
      <w:r>
        <w:rPr>
          <w:rFonts w:hint="eastAsia" w:ascii="楷体" w:hAnsi="楷体" w:eastAsia="楷体" w:cs="楷体"/>
          <w:sz w:val="24"/>
          <w:szCs w:val="24"/>
          <w:lang w:eastAsia="zh-CN"/>
        </w:rPr>
        <w:t>十三、</w:t>
      </w:r>
      <w:bookmarkEnd w:id="49"/>
      <w:r>
        <w:rPr>
          <w:rFonts w:hint="eastAsia" w:ascii="楷体" w:hAnsi="楷体" w:eastAsia="楷体" w:cs="楷体"/>
          <w:sz w:val="24"/>
          <w:szCs w:val="24"/>
          <w:lang w:eastAsia="zh-CN"/>
        </w:rPr>
        <w:t>资产评估报告日</w:t>
      </w:r>
      <w:bookmarkEnd w:id="50"/>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本公司资产评估师姚继丽、唐刊于</w:t>
      </w:r>
      <w:r>
        <w:rPr>
          <w:rFonts w:hint="eastAsia" w:ascii="楷体" w:hAnsi="楷体" w:eastAsia="楷体" w:cs="楷体"/>
          <w:sz w:val="24"/>
          <w:szCs w:val="24"/>
          <w:lang w:eastAsia="zh-CN"/>
        </w:rPr>
        <w:t>2021年2月19日形成评估结论，并签署本资产评估报告</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本</w:t>
      </w:r>
      <w:r>
        <w:rPr>
          <w:rFonts w:hint="eastAsia" w:ascii="楷体" w:hAnsi="楷体" w:eastAsia="楷体" w:cs="楷体"/>
          <w:sz w:val="24"/>
          <w:szCs w:val="24"/>
          <w:lang w:eastAsia="zh-CN"/>
        </w:rPr>
        <w:t>资产评估报告所</w:t>
      </w:r>
      <w:r>
        <w:rPr>
          <w:rFonts w:hint="eastAsia" w:ascii="楷体" w:hAnsi="楷体" w:eastAsia="楷体" w:cs="楷体"/>
          <w:sz w:val="24"/>
          <w:szCs w:val="24"/>
          <w:lang w:eastAsia="zh-CN"/>
        </w:rPr>
        <w:t>附若干附件，</w:t>
      </w:r>
      <w:r>
        <w:rPr>
          <w:rFonts w:hint="eastAsia" w:ascii="楷体" w:hAnsi="楷体" w:eastAsia="楷体" w:cs="楷体"/>
          <w:sz w:val="24"/>
          <w:szCs w:val="24"/>
          <w:lang w:eastAsia="zh-CN"/>
        </w:rPr>
        <w:t>系本资产评估报告的组成部分</w:t>
      </w:r>
      <w:r>
        <w:rPr>
          <w:rFonts w:hint="eastAsia" w:ascii="楷体" w:hAnsi="楷体" w:eastAsia="楷体" w:cs="楷体"/>
          <w:sz w:val="24"/>
          <w:szCs w:val="24"/>
          <w:lang w:eastAsia="zh-CN"/>
        </w:rPr>
        <w:t>。</w:t>
      </w:r>
    </w:p>
    <w:p>
      <w:pPr>
        <w:widowControl w:val="0"/>
        <w:spacing w:before="156" w:beforeLines="50" w:after="0" w:line="240" w:lineRule="auto"/>
        <w:ind w:firstLine="480" w:firstLineChars="200"/>
        <w:jc w:val="both"/>
        <w:rPr>
          <w:rFonts w:hint="eastAsia" w:ascii="楷体" w:hAnsi="楷体" w:eastAsia="楷体" w:cs="楷体"/>
          <w:sz w:val="24"/>
          <w:szCs w:val="24"/>
          <w:lang w:eastAsia="zh-CN"/>
        </w:rPr>
      </w:pPr>
      <w:r>
        <w:rPr>
          <w:rFonts w:hint="eastAsia" w:ascii="楷体" w:hAnsi="楷体" w:eastAsia="楷体" w:cs="楷体"/>
          <w:sz w:val="24"/>
          <w:szCs w:val="24"/>
          <w:lang w:eastAsia="zh-CN"/>
        </w:rPr>
        <w:t>（以下无正文）</w:t>
      </w:r>
    </w:p>
    <w:p>
      <w:pPr>
        <w:widowControl w:val="0"/>
        <w:spacing w:before="156" w:beforeLines="50" w:after="0" w:line="240" w:lineRule="auto"/>
        <w:ind w:firstLine="360" w:firstLineChars="150"/>
        <w:jc w:val="both"/>
        <w:rPr>
          <w:rFonts w:hint="eastAsia" w:ascii="楷体" w:hAnsi="楷体" w:eastAsia="楷体" w:cs="楷体"/>
          <w:sz w:val="24"/>
          <w:szCs w:val="24"/>
          <w:lang w:eastAsia="zh-CN"/>
        </w:rPr>
      </w:pPr>
    </w:p>
    <w:p>
      <w:pPr>
        <w:widowControl w:val="0"/>
        <w:spacing w:before="156" w:beforeLines="50" w:after="0" w:line="240" w:lineRule="auto"/>
        <w:ind w:firstLine="360" w:firstLineChars="150"/>
        <w:jc w:val="both"/>
        <w:rPr>
          <w:rFonts w:hint="eastAsia" w:ascii="楷体" w:hAnsi="楷体" w:eastAsia="楷体" w:cs="楷体"/>
          <w:sz w:val="24"/>
          <w:szCs w:val="24"/>
          <w:lang w:eastAsia="zh-CN"/>
        </w:rPr>
      </w:pPr>
    </w:p>
    <w:p>
      <w:pPr>
        <w:widowControl w:val="0"/>
        <w:spacing w:before="156" w:beforeLines="50" w:after="0" w:line="240" w:lineRule="auto"/>
        <w:ind w:firstLine="360" w:firstLineChars="150"/>
        <w:jc w:val="both"/>
        <w:rPr>
          <w:rFonts w:hint="eastAsia" w:ascii="楷体" w:hAnsi="楷体" w:eastAsia="楷体" w:cs="楷体"/>
          <w:sz w:val="24"/>
          <w:szCs w:val="24"/>
          <w:lang w:eastAsia="zh-CN"/>
        </w:rPr>
      </w:pPr>
    </w:p>
    <w:p>
      <w:pPr>
        <w:widowControl w:val="0"/>
        <w:spacing w:before="156" w:beforeLines="50" w:after="0" w:line="240" w:lineRule="auto"/>
        <w:ind w:firstLine="360" w:firstLineChars="150"/>
        <w:jc w:val="both"/>
        <w:rPr>
          <w:rFonts w:hint="eastAsia" w:ascii="楷体" w:hAnsi="楷体" w:eastAsia="楷体" w:cs="楷体"/>
          <w:sz w:val="24"/>
          <w:szCs w:val="24"/>
          <w:lang w:eastAsia="zh-CN"/>
        </w:rPr>
      </w:pPr>
    </w:p>
    <w:p>
      <w:pPr>
        <w:widowControl w:val="0"/>
        <w:spacing w:before="156" w:beforeLines="50" w:after="0" w:line="240" w:lineRule="auto"/>
        <w:ind w:firstLine="360" w:firstLineChars="150"/>
        <w:jc w:val="both"/>
        <w:rPr>
          <w:rFonts w:hint="eastAsia" w:ascii="楷体" w:hAnsi="楷体" w:eastAsia="楷体" w:cs="楷体"/>
          <w:sz w:val="24"/>
          <w:szCs w:val="24"/>
          <w:lang w:eastAsia="zh-CN"/>
        </w:rPr>
      </w:pPr>
    </w:p>
    <w:p>
      <w:pPr>
        <w:widowControl w:val="0"/>
        <w:spacing w:before="156" w:beforeLines="50" w:after="0" w:line="240" w:lineRule="auto"/>
        <w:ind w:firstLine="360" w:firstLineChars="150"/>
        <w:jc w:val="both"/>
        <w:rPr>
          <w:rFonts w:hint="eastAsia" w:ascii="楷体" w:hAnsi="楷体" w:eastAsia="楷体" w:cs="楷体"/>
          <w:sz w:val="24"/>
          <w:szCs w:val="24"/>
          <w:lang w:eastAsia="zh-CN"/>
        </w:rPr>
      </w:pPr>
    </w:p>
    <w:p>
      <w:pPr>
        <w:widowControl w:val="0"/>
        <w:spacing w:before="156" w:beforeLines="50" w:after="0" w:line="240" w:lineRule="auto"/>
        <w:ind w:firstLine="360" w:firstLineChars="150"/>
        <w:jc w:val="both"/>
        <w:rPr>
          <w:rFonts w:hint="eastAsia" w:ascii="楷体" w:hAnsi="楷体" w:eastAsia="楷体" w:cs="楷体"/>
          <w:sz w:val="24"/>
          <w:szCs w:val="24"/>
          <w:lang w:eastAsia="zh-CN"/>
        </w:rPr>
      </w:pPr>
    </w:p>
    <w:p>
      <w:pPr>
        <w:widowControl w:val="0"/>
        <w:spacing w:before="156" w:beforeLines="50" w:after="0" w:line="240" w:lineRule="auto"/>
        <w:ind w:firstLine="360" w:firstLineChars="150"/>
        <w:jc w:val="both"/>
        <w:rPr>
          <w:rFonts w:hint="eastAsia" w:ascii="楷体" w:hAnsi="楷体" w:eastAsia="楷体" w:cs="楷体"/>
          <w:sz w:val="24"/>
          <w:szCs w:val="24"/>
          <w:lang w:eastAsia="zh-CN"/>
        </w:rPr>
      </w:pPr>
    </w:p>
    <w:p>
      <w:pPr>
        <w:widowControl w:val="0"/>
        <w:spacing w:before="156" w:beforeLines="50" w:after="0" w:line="240" w:lineRule="auto"/>
        <w:ind w:firstLine="360" w:firstLineChars="150"/>
        <w:jc w:val="both"/>
        <w:rPr>
          <w:rFonts w:hint="eastAsia" w:ascii="楷体" w:hAnsi="楷体" w:eastAsia="楷体" w:cs="楷体"/>
          <w:sz w:val="21"/>
          <w:szCs w:val="21"/>
          <w:lang w:eastAsia="zh-CN"/>
        </w:rPr>
      </w:pPr>
      <w:r>
        <w:rPr>
          <w:rFonts w:hint="eastAsia" w:ascii="楷体" w:hAnsi="楷体" w:eastAsia="楷体" w:cs="楷体"/>
          <w:sz w:val="24"/>
          <w:szCs w:val="24"/>
          <w:lang w:eastAsia="zh-CN"/>
        </w:rPr>
        <w:t>（本页无正文，为资产评估报告签署页）</w:t>
      </w:r>
    </w:p>
    <w:p>
      <w:pPr>
        <w:spacing w:after="0" w:line="240" w:lineRule="auto"/>
        <w:rPr>
          <w:rFonts w:hint="eastAsia" w:ascii="楷体" w:hAnsi="楷体" w:eastAsia="楷体" w:cs="楷体"/>
          <w:sz w:val="21"/>
          <w:szCs w:val="21"/>
          <w:lang w:eastAsia="zh-CN"/>
        </w:rPr>
      </w:pPr>
    </w:p>
    <w:p>
      <w:pPr>
        <w:spacing w:after="0" w:line="240" w:lineRule="auto"/>
        <w:rPr>
          <w:rFonts w:hint="eastAsia" w:ascii="楷体" w:hAnsi="楷体" w:eastAsia="楷体" w:cs="楷体"/>
          <w:sz w:val="21"/>
          <w:szCs w:val="21"/>
          <w:lang w:eastAsia="zh-CN"/>
        </w:rPr>
      </w:pPr>
    </w:p>
    <w:tbl>
      <w:tblPr>
        <w:tblStyle w:val="12"/>
        <w:tblW w:w="8522" w:type="dxa"/>
        <w:tblInd w:w="0" w:type="dxa"/>
        <w:tblLayout w:type="fixed"/>
        <w:tblCellMar>
          <w:top w:w="0" w:type="dxa"/>
          <w:left w:w="108" w:type="dxa"/>
          <w:bottom w:w="0" w:type="dxa"/>
          <w:right w:w="108" w:type="dxa"/>
        </w:tblCellMar>
      </w:tblPr>
      <w:tblGrid>
        <w:gridCol w:w="4928"/>
        <w:gridCol w:w="283"/>
        <w:gridCol w:w="3311"/>
      </w:tblGrid>
      <w:tr>
        <w:tblPrEx>
          <w:tblCellMar>
            <w:top w:w="0" w:type="dxa"/>
            <w:left w:w="108" w:type="dxa"/>
            <w:bottom w:w="0" w:type="dxa"/>
            <w:right w:w="108" w:type="dxa"/>
          </w:tblCellMar>
        </w:tblPrEx>
        <w:tc>
          <w:tcPr>
            <w:tcW w:w="4928" w:type="dxa"/>
          </w:tcPr>
          <w:p>
            <w:pPr>
              <w:widowControl w:val="0"/>
              <w:spacing w:before="156" w:beforeLines="50" w:after="0" w:line="240" w:lineRule="auto"/>
              <w:ind w:right="-123" w:rightChars="-56"/>
              <w:rPr>
                <w:rFonts w:hint="eastAsia" w:ascii="楷体" w:hAnsi="楷体" w:eastAsia="楷体" w:cs="楷体"/>
                <w:sz w:val="24"/>
                <w:szCs w:val="24"/>
                <w:lang w:eastAsia="zh-CN"/>
              </w:rPr>
            </w:pPr>
            <w:r>
              <w:rPr>
                <w:rFonts w:hint="eastAsia" w:ascii="楷体" w:hAnsi="楷体" w:eastAsia="楷体" w:cs="楷体"/>
                <w:sz w:val="24"/>
                <w:szCs w:val="24"/>
                <w:lang w:eastAsia="zh-CN"/>
              </w:rPr>
              <w:t>深圳市鹏信资产评估土地房地产估价有限公司</w:t>
            </w:r>
          </w:p>
        </w:tc>
        <w:tc>
          <w:tcPr>
            <w:tcW w:w="283" w:type="dxa"/>
          </w:tcPr>
          <w:p>
            <w:pPr>
              <w:spacing w:before="156" w:beforeLines="50" w:after="0" w:line="240" w:lineRule="auto"/>
              <w:rPr>
                <w:rFonts w:hint="eastAsia" w:ascii="楷体" w:hAnsi="楷体" w:eastAsia="楷体" w:cs="楷体"/>
                <w:sz w:val="24"/>
                <w:szCs w:val="24"/>
                <w:lang w:eastAsia="zh-CN"/>
              </w:rPr>
            </w:pPr>
          </w:p>
        </w:tc>
        <w:tc>
          <w:tcPr>
            <w:tcW w:w="3311" w:type="dxa"/>
          </w:tcPr>
          <w:p>
            <w:pPr>
              <w:spacing w:before="156" w:beforeLines="50" w:after="0" w:line="240" w:lineRule="auto"/>
              <w:ind w:firstLine="240" w:firstLineChars="100"/>
              <w:rPr>
                <w:rFonts w:hint="eastAsia" w:ascii="楷体" w:hAnsi="楷体" w:eastAsia="楷体" w:cs="楷体"/>
                <w:sz w:val="24"/>
                <w:szCs w:val="24"/>
              </w:rPr>
            </w:pPr>
            <w:r>
              <w:rPr>
                <w:rFonts w:hint="eastAsia" w:ascii="楷体" w:hAnsi="楷体" w:eastAsia="楷体" w:cs="楷体"/>
                <w:sz w:val="24"/>
                <w:szCs w:val="24"/>
                <w:lang w:eastAsia="zh-CN"/>
              </w:rPr>
              <w:t>资产评估师：</w:t>
            </w:r>
          </w:p>
        </w:tc>
      </w:tr>
      <w:tr>
        <w:tblPrEx>
          <w:tblCellMar>
            <w:top w:w="0" w:type="dxa"/>
            <w:left w:w="108" w:type="dxa"/>
            <w:bottom w:w="0" w:type="dxa"/>
            <w:right w:w="108" w:type="dxa"/>
          </w:tblCellMar>
        </w:tblPrEx>
        <w:tc>
          <w:tcPr>
            <w:tcW w:w="4928" w:type="dxa"/>
          </w:tcPr>
          <w:p>
            <w:pPr>
              <w:spacing w:before="156" w:beforeLines="50" w:after="156" w:afterLines="50" w:line="480" w:lineRule="exact"/>
              <w:jc w:val="center"/>
              <w:rPr>
                <w:rFonts w:hint="eastAsia" w:ascii="楷体" w:hAnsi="楷体" w:eastAsia="楷体" w:cs="楷体"/>
                <w:sz w:val="24"/>
                <w:szCs w:val="24"/>
              </w:rPr>
            </w:pPr>
            <w:r>
              <w:rPr>
                <w:rFonts w:hint="eastAsia" w:ascii="楷体" w:hAnsi="楷体" w:eastAsia="楷体" w:cs="楷体"/>
                <w:sz w:val="24"/>
                <w:szCs w:val="24"/>
                <w:lang w:eastAsia="zh-CN"/>
              </w:rPr>
              <w:t>中国·深圳</w:t>
            </w:r>
          </w:p>
        </w:tc>
        <w:tc>
          <w:tcPr>
            <w:tcW w:w="283" w:type="dxa"/>
          </w:tcPr>
          <w:p>
            <w:pPr>
              <w:spacing w:before="156" w:beforeLines="50" w:after="156" w:afterLines="50" w:line="480" w:lineRule="exact"/>
              <w:rPr>
                <w:rFonts w:hint="eastAsia" w:ascii="楷体" w:hAnsi="楷体" w:eastAsia="楷体" w:cs="楷体"/>
                <w:sz w:val="24"/>
                <w:szCs w:val="24"/>
              </w:rPr>
            </w:pPr>
          </w:p>
        </w:tc>
        <w:tc>
          <w:tcPr>
            <w:tcW w:w="3311" w:type="dxa"/>
          </w:tcPr>
          <w:p>
            <w:pPr>
              <w:spacing w:before="156" w:beforeLines="50" w:after="156" w:afterLines="50" w:line="480" w:lineRule="exact"/>
              <w:rPr>
                <w:rFonts w:hint="eastAsia" w:ascii="楷体" w:hAnsi="楷体" w:eastAsia="楷体" w:cs="楷体"/>
                <w:sz w:val="24"/>
                <w:szCs w:val="24"/>
              </w:rPr>
            </w:pPr>
          </w:p>
        </w:tc>
      </w:tr>
      <w:tr>
        <w:tblPrEx>
          <w:tblCellMar>
            <w:top w:w="0" w:type="dxa"/>
            <w:left w:w="108" w:type="dxa"/>
            <w:bottom w:w="0" w:type="dxa"/>
            <w:right w:w="108" w:type="dxa"/>
          </w:tblCellMar>
        </w:tblPrEx>
        <w:tc>
          <w:tcPr>
            <w:tcW w:w="4928" w:type="dxa"/>
          </w:tcPr>
          <w:p>
            <w:pPr>
              <w:spacing w:before="156" w:beforeLines="50" w:after="156" w:afterLines="50" w:line="480" w:lineRule="exact"/>
              <w:jc w:val="center"/>
              <w:rPr>
                <w:rFonts w:hint="eastAsia" w:ascii="楷体" w:hAnsi="楷体" w:eastAsia="楷体" w:cs="楷体"/>
                <w:sz w:val="24"/>
                <w:szCs w:val="24"/>
              </w:rPr>
            </w:pPr>
            <w:r>
              <w:rPr>
                <w:rFonts w:hint="eastAsia" w:ascii="楷体" w:hAnsi="楷体" w:eastAsia="楷体" w:cs="楷体"/>
                <w:sz w:val="24"/>
                <w:szCs w:val="24"/>
                <w:lang w:eastAsia="zh-CN"/>
              </w:rPr>
              <w:t>二〇二一年二月十九日</w:t>
            </w:r>
          </w:p>
        </w:tc>
        <w:tc>
          <w:tcPr>
            <w:tcW w:w="283" w:type="dxa"/>
          </w:tcPr>
          <w:p>
            <w:pPr>
              <w:spacing w:before="156" w:beforeLines="50" w:after="156" w:afterLines="50" w:line="480" w:lineRule="exact"/>
              <w:rPr>
                <w:rFonts w:hint="eastAsia" w:ascii="楷体" w:hAnsi="楷体" w:eastAsia="楷体" w:cs="楷体"/>
                <w:sz w:val="24"/>
                <w:szCs w:val="24"/>
              </w:rPr>
            </w:pPr>
          </w:p>
        </w:tc>
        <w:tc>
          <w:tcPr>
            <w:tcW w:w="3311" w:type="dxa"/>
          </w:tcPr>
          <w:p>
            <w:pPr>
              <w:spacing w:before="156" w:beforeLines="50" w:after="156" w:afterLines="50" w:line="480" w:lineRule="exact"/>
              <w:ind w:firstLine="240" w:firstLineChars="100"/>
              <w:rPr>
                <w:rFonts w:hint="eastAsia" w:ascii="楷体" w:hAnsi="楷体" w:eastAsia="楷体" w:cs="楷体"/>
                <w:sz w:val="24"/>
                <w:szCs w:val="24"/>
              </w:rPr>
            </w:pPr>
            <w:r>
              <w:rPr>
                <w:rFonts w:hint="eastAsia" w:ascii="楷体" w:hAnsi="楷体" w:eastAsia="楷体" w:cs="楷体"/>
                <w:sz w:val="24"/>
                <w:szCs w:val="24"/>
                <w:lang w:eastAsia="zh-CN"/>
              </w:rPr>
              <w:t>资产评估师：</w:t>
            </w:r>
          </w:p>
        </w:tc>
      </w:tr>
    </w:tbl>
    <w:p>
      <w:pPr>
        <w:widowControl w:val="0"/>
        <w:spacing w:before="156" w:beforeLines="50" w:after="0" w:line="240" w:lineRule="auto"/>
        <w:ind w:firstLine="420" w:firstLineChars="200"/>
        <w:jc w:val="both"/>
        <w:rPr>
          <w:rFonts w:hint="eastAsia" w:ascii="楷体" w:hAnsi="楷体" w:eastAsia="楷体" w:cs="楷体"/>
          <w:sz w:val="21"/>
          <w:szCs w:val="21"/>
          <w:lang w:eastAsia="zh-CN"/>
        </w:rPr>
        <w:sectPr>
          <w:headerReference r:id="rId10" w:type="default"/>
          <w:footerReference r:id="rId11" w:type="default"/>
          <w:pgSz w:w="11906" w:h="16838"/>
          <w:pgMar w:top="1560" w:right="1800" w:bottom="1134" w:left="1800" w:header="426" w:footer="340" w:gutter="0"/>
          <w:pgNumType w:start="1"/>
          <w:cols w:space="425" w:num="1"/>
          <w:docGrid w:type="lines" w:linePitch="312" w:charSpace="0"/>
        </w:sectPr>
      </w:pPr>
    </w:p>
    <w:p>
      <w:pPr>
        <w:pStyle w:val="2"/>
        <w:spacing w:before="156" w:beforeLines="50" w:line="360" w:lineRule="auto"/>
        <w:jc w:val="center"/>
        <w:rPr>
          <w:rFonts w:hint="eastAsia" w:ascii="楷体" w:hAnsi="楷体" w:eastAsia="楷体" w:cs="楷体"/>
          <w:bCs/>
          <w:kern w:val="2"/>
          <w:sz w:val="28"/>
          <w:szCs w:val="28"/>
          <w:lang w:eastAsia="zh-CN"/>
        </w:rPr>
      </w:pPr>
      <w:bookmarkStart w:id="51" w:name="_Toc502866382"/>
      <w:bookmarkStart w:id="52" w:name="_Toc447125223"/>
      <w:bookmarkStart w:id="53" w:name="_Toc20062444"/>
      <w:r>
        <w:rPr>
          <w:rFonts w:hint="eastAsia" w:ascii="楷体" w:hAnsi="楷体" w:eastAsia="楷体" w:cs="楷体"/>
          <w:b/>
          <w:bCs/>
          <w:kern w:val="2"/>
          <w:sz w:val="28"/>
          <w:szCs w:val="28"/>
          <w:lang w:eastAsia="zh-CN"/>
        </w:rPr>
        <w:t>资产评估报告附件</w:t>
      </w:r>
      <w:bookmarkEnd w:id="51"/>
      <w:bookmarkEnd w:id="52"/>
      <w:bookmarkEnd w:id="53"/>
    </w:p>
    <w:p>
      <w:pPr>
        <w:widowControl w:val="0"/>
        <w:spacing w:before="156" w:beforeLines="50" w:after="0" w:line="240" w:lineRule="auto"/>
        <w:ind w:firstLine="480" w:firstLineChars="200"/>
        <w:jc w:val="both"/>
        <w:rPr>
          <w:rFonts w:hint="eastAsia" w:ascii="楷体" w:hAnsi="楷体" w:eastAsia="楷体" w:cs="楷体"/>
          <w:sz w:val="24"/>
          <w:szCs w:val="21"/>
          <w:lang w:eastAsia="zh-CN"/>
        </w:rPr>
      </w:pPr>
      <w:r>
        <w:rPr>
          <w:rFonts w:hint="eastAsia" w:ascii="楷体" w:hAnsi="楷体" w:eastAsia="楷体" w:cs="楷体"/>
          <w:sz w:val="24"/>
          <w:szCs w:val="21"/>
          <w:lang w:eastAsia="zh-CN"/>
        </w:rPr>
        <w:t>附件一：东莞市第一人民法院委托评估函(复印件)；</w:t>
      </w:r>
    </w:p>
    <w:p>
      <w:pPr>
        <w:widowControl w:val="0"/>
        <w:spacing w:before="156" w:beforeLines="50" w:after="0" w:line="240" w:lineRule="auto"/>
        <w:ind w:firstLine="480" w:firstLineChars="200"/>
        <w:jc w:val="both"/>
        <w:rPr>
          <w:rFonts w:hint="eastAsia" w:ascii="楷体" w:hAnsi="楷体" w:eastAsia="楷体" w:cs="楷体"/>
          <w:sz w:val="24"/>
          <w:szCs w:val="21"/>
          <w:lang w:eastAsia="zh-CN"/>
        </w:rPr>
      </w:pPr>
      <w:r>
        <w:rPr>
          <w:rFonts w:hint="eastAsia" w:ascii="楷体" w:hAnsi="楷体" w:eastAsia="楷体" w:cs="楷体"/>
          <w:sz w:val="24"/>
          <w:szCs w:val="21"/>
          <w:lang w:eastAsia="zh-CN"/>
        </w:rPr>
        <w:t>附件二：执行裁定书(复印件)；</w:t>
      </w:r>
    </w:p>
    <w:p>
      <w:pPr>
        <w:widowControl w:val="0"/>
        <w:spacing w:before="156" w:beforeLines="50" w:after="0" w:line="240" w:lineRule="auto"/>
        <w:ind w:firstLine="480" w:firstLineChars="200"/>
        <w:jc w:val="both"/>
        <w:rPr>
          <w:rFonts w:hint="eastAsia" w:ascii="楷体" w:hAnsi="楷体" w:eastAsia="楷体" w:cs="楷体"/>
          <w:sz w:val="24"/>
          <w:szCs w:val="21"/>
          <w:lang w:eastAsia="zh-CN"/>
        </w:rPr>
      </w:pPr>
      <w:r>
        <w:rPr>
          <w:rFonts w:hint="eastAsia" w:ascii="楷体" w:hAnsi="楷体" w:eastAsia="楷体" w:cs="楷体"/>
          <w:sz w:val="24"/>
          <w:szCs w:val="21"/>
          <w:lang w:eastAsia="zh-CN"/>
        </w:rPr>
        <w:t>附件三：现场勘察照片；</w:t>
      </w:r>
    </w:p>
    <w:p>
      <w:pPr>
        <w:widowControl w:val="0"/>
        <w:spacing w:before="156" w:beforeLines="50" w:after="0" w:line="240" w:lineRule="auto"/>
        <w:ind w:firstLine="480" w:firstLineChars="200"/>
        <w:jc w:val="both"/>
        <w:rPr>
          <w:rFonts w:hint="eastAsia" w:ascii="楷体" w:hAnsi="楷体" w:eastAsia="楷体" w:cs="楷体"/>
          <w:sz w:val="24"/>
          <w:szCs w:val="21"/>
          <w:lang w:eastAsia="zh-CN"/>
        </w:rPr>
      </w:pPr>
      <w:r>
        <w:rPr>
          <w:rFonts w:hint="eastAsia" w:ascii="楷体" w:hAnsi="楷体" w:eastAsia="楷体" w:cs="楷体"/>
          <w:sz w:val="24"/>
          <w:szCs w:val="21"/>
          <w:lang w:eastAsia="zh-CN"/>
        </w:rPr>
        <w:t>附件四：深圳市鹏信资产评估土地房地产估价有限公司营业执照(复印件)；</w:t>
      </w:r>
    </w:p>
    <w:p>
      <w:pPr>
        <w:widowControl w:val="0"/>
        <w:spacing w:before="156" w:beforeLines="50" w:after="0" w:line="240" w:lineRule="auto"/>
        <w:ind w:firstLine="480" w:firstLineChars="200"/>
        <w:jc w:val="both"/>
        <w:rPr>
          <w:rFonts w:hint="eastAsia" w:ascii="楷体" w:hAnsi="楷体" w:eastAsia="楷体" w:cs="楷体"/>
          <w:sz w:val="24"/>
          <w:szCs w:val="21"/>
          <w:lang w:eastAsia="zh-CN"/>
        </w:rPr>
      </w:pPr>
      <w:r>
        <w:rPr>
          <w:rFonts w:hint="eastAsia" w:ascii="楷体" w:hAnsi="楷体" w:eastAsia="楷体" w:cs="楷体"/>
          <w:sz w:val="24"/>
          <w:szCs w:val="21"/>
          <w:lang w:eastAsia="zh-CN"/>
        </w:rPr>
        <w:t>附件五：资产评估机构登记备案文件及签字资产评估师的职业资格证书登记卡(复印件)；</w:t>
      </w:r>
      <w:r>
        <w:rPr>
          <w:rFonts w:hint="eastAsia" w:ascii="楷体" w:hAnsi="楷体" w:eastAsia="楷体" w:cs="楷体"/>
          <w:sz w:val="24"/>
          <w:szCs w:val="21"/>
          <w:lang w:eastAsia="zh-CN"/>
        </w:rPr>
        <w:t xml:space="preserve"> </w:t>
      </w:r>
    </w:p>
    <w:p>
      <w:pPr>
        <w:widowControl w:val="0"/>
        <w:spacing w:before="156" w:beforeLines="50" w:after="0" w:line="240" w:lineRule="auto"/>
        <w:ind w:firstLine="480" w:firstLineChars="200"/>
        <w:jc w:val="both"/>
        <w:rPr>
          <w:rFonts w:hint="eastAsia" w:ascii="楷体" w:hAnsi="楷体" w:eastAsia="楷体" w:cs="楷体"/>
          <w:sz w:val="24"/>
          <w:szCs w:val="21"/>
          <w:lang w:eastAsia="zh-CN"/>
        </w:rPr>
      </w:pPr>
      <w:r>
        <w:rPr>
          <w:rFonts w:hint="eastAsia" w:ascii="楷体" w:hAnsi="楷体" w:eastAsia="楷体" w:cs="楷体"/>
          <w:sz w:val="24"/>
          <w:szCs w:val="21"/>
          <w:lang w:eastAsia="zh-CN"/>
        </w:rPr>
        <w:t>附件六：资产评估汇总表及明细。</w:t>
      </w:r>
    </w:p>
    <w:p>
      <w:pPr>
        <w:widowControl w:val="0"/>
        <w:spacing w:before="156" w:beforeLines="50" w:after="0" w:line="240" w:lineRule="auto"/>
        <w:ind w:firstLine="420" w:firstLineChars="200"/>
        <w:jc w:val="both"/>
        <w:rPr>
          <w:rFonts w:hint="eastAsia" w:ascii="楷体" w:hAnsi="楷体" w:eastAsia="楷体" w:cs="楷体"/>
          <w:sz w:val="21"/>
          <w:szCs w:val="21"/>
          <w:lang w:eastAsia="zh-CN"/>
        </w:rPr>
      </w:pPr>
    </w:p>
    <w:p>
      <w:pPr>
        <w:spacing w:after="0" w:line="240" w:lineRule="auto"/>
        <w:rPr>
          <w:rFonts w:hint="eastAsia" w:ascii="楷体" w:hAnsi="楷体" w:eastAsia="楷体" w:cs="楷体"/>
          <w:sz w:val="21"/>
          <w:szCs w:val="21"/>
          <w:lang w:eastAsia="zh-CN"/>
        </w:rPr>
      </w:pPr>
    </w:p>
    <w:bookmarkEnd w:id="54"/>
    <w:sectPr>
      <w:headerReference r:id="rId12" w:type="default"/>
      <w:pgSz w:w="11906" w:h="16838"/>
      <w:pgMar w:top="1560" w:right="1800" w:bottom="1134" w:left="1800" w:header="426" w:footer="34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rial Narrow">
    <w:altName w:val="Arial"/>
    <w:panose1 w:val="020B0606020202030204"/>
    <w:charset w:val="00"/>
    <w:family w:val="swiss"/>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6" w:space="7"/>
      </w:pBdr>
      <w:jc w:val="both"/>
      <w:rPr>
        <w:lang w:eastAsia="zh-CN"/>
      </w:rPr>
    </w:pPr>
    <w:r>
      <w:rPr>
        <w:rFonts w:ascii="华文仿宋" w:hAnsi="华文仿宋" w:eastAsia="华文仿宋"/>
        <w:lang w:eastAsia="zh-CN"/>
      </w:rPr>
      <w:t>©</w:t>
    </w:r>
    <w:r>
      <w:rPr>
        <w:rFonts w:hint="eastAsia" w:ascii="华文仿宋" w:hAnsi="华文仿宋" w:eastAsia="华文仿宋"/>
        <w:lang w:eastAsia="zh-CN"/>
      </w:rPr>
      <w:t>深圳市鹏信资产评估土地房地产估价有限公司</w:t>
    </w:r>
    <w:r>
      <w:rPr>
        <w:rFonts w:hint="eastAsia" w:ascii="Calibri" w:hAnsi="Calibri" w:eastAsia="华文中宋"/>
        <w:lang w:eastAsia="zh-CN"/>
      </w:rPr>
      <w:t xml:space="preserv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6" w:space="7"/>
      </w:pBdr>
      <w:jc w:val="both"/>
      <w:rPr>
        <w:lang w:eastAsia="zh-CN"/>
      </w:rPr>
    </w:pPr>
    <w:r>
      <w:rPr>
        <w:rFonts w:ascii="华文仿宋" w:hAnsi="华文仿宋" w:eastAsia="华文仿宋"/>
        <w:lang w:eastAsia="zh-CN"/>
      </w:rPr>
      <w:t>©</w:t>
    </w:r>
    <w:r>
      <w:rPr>
        <w:rFonts w:hint="eastAsia" w:ascii="华文仿宋" w:hAnsi="华文仿宋" w:eastAsia="华文仿宋"/>
        <w:lang w:eastAsia="zh-CN"/>
      </w:rPr>
      <w:t>深圳市鹏信资产评估土地房地产估价有限公司</w:t>
    </w:r>
    <w:r>
      <w:rPr>
        <w:rFonts w:hint="eastAsia" w:ascii="Calibri" w:hAnsi="Calibri" w:eastAsia="华文中宋"/>
        <w:lang w:eastAsia="zh-CN"/>
      </w:rPr>
      <w:t xml:space="preserv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6" w:space="7"/>
      </w:pBdr>
      <w:jc w:val="both"/>
      <w:rPr>
        <w:lang w:eastAsia="zh-CN"/>
      </w:rPr>
    </w:pPr>
    <w:r>
      <w:rPr>
        <w:rFonts w:ascii="华文仿宋" w:hAnsi="华文仿宋" w:eastAsia="华文仿宋"/>
        <w:lang w:eastAsia="zh-CN"/>
      </w:rPr>
      <w:t>©</w:t>
    </w:r>
    <w:r>
      <w:rPr>
        <w:rFonts w:hint="eastAsia" w:ascii="华文仿宋" w:hAnsi="华文仿宋" w:eastAsia="华文仿宋"/>
        <w:lang w:eastAsia="zh-CN"/>
      </w:rPr>
      <w:t>深圳市鹏信资产评估土地房地产估价有限公司</w:t>
    </w:r>
    <w:r>
      <w:rPr>
        <w:rFonts w:hint="eastAsia" w:ascii="Calibri" w:hAnsi="Calibri" w:eastAsia="华文中宋"/>
        <w:lang w:eastAsia="zh-CN"/>
      </w:rPr>
      <w:t xml:space="preserv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6" w:space="7"/>
      </w:pBdr>
      <w:jc w:val="both"/>
      <w:rPr>
        <w:lang w:eastAsia="zh-CN"/>
      </w:rPr>
    </w:pPr>
    <w:r>
      <w:rPr>
        <w:rFonts w:ascii="华文仿宋" w:hAnsi="华文仿宋" w:eastAsia="华文仿宋"/>
        <w:lang w:eastAsia="zh-CN"/>
      </w:rPr>
      <w:t>©</w:t>
    </w:r>
    <w:r>
      <w:rPr>
        <w:rFonts w:hint="eastAsia" w:ascii="华文仿宋" w:hAnsi="华文仿宋" w:eastAsia="华文仿宋"/>
        <w:lang w:eastAsia="zh-CN"/>
      </w:rPr>
      <w:t>深圳市鹏信资产评估土地房地产估价有限公司</w:t>
    </w:r>
    <w:r>
      <w:rPr>
        <w:rFonts w:hint="eastAsia" w:ascii="Calibri" w:hAnsi="Calibri" w:eastAsia="华文中宋"/>
        <w:lang w:eastAsia="zh-CN"/>
      </w:rPr>
      <w:t xml:space="preserve">                                              </w:t>
    </w:r>
    <w:r>
      <w:rPr>
        <w:rFonts w:ascii="Calibri" w:hAnsi="Calibri" w:eastAsia="华文中宋"/>
        <w:lang w:eastAsia="zh-CN"/>
      </w:rPr>
      <w:fldChar w:fldCharType="begin"/>
    </w:r>
    <w:r>
      <w:rPr>
        <w:rFonts w:ascii="Calibri" w:hAnsi="Calibri" w:eastAsia="华文中宋"/>
        <w:lang w:eastAsia="zh-CN"/>
      </w:rPr>
      <w:instrText xml:space="preserve"> PAGE   \* MERGEFORMAT </w:instrText>
    </w:r>
    <w:r>
      <w:rPr>
        <w:rFonts w:ascii="Calibri" w:hAnsi="Calibri" w:eastAsia="华文中宋"/>
        <w:lang w:eastAsia="zh-CN"/>
      </w:rPr>
      <w:fldChar w:fldCharType="separate"/>
    </w:r>
    <w:r>
      <w:rPr>
        <w:rFonts w:ascii="Calibri" w:hAnsi="Calibri" w:eastAsia="华文中宋"/>
        <w:lang w:val="zh-CN" w:eastAsia="zh-CN"/>
      </w:rPr>
      <w:t>9</w:t>
    </w:r>
    <w:r>
      <w:rPr>
        <w:rFonts w:ascii="Calibri" w:hAnsi="Calibri" w:eastAsia="华文中宋"/>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0" w:leftChars="-193" w:hanging="425" w:hangingChars="152"/>
      <w:jc w:val="left"/>
      <w:rPr>
        <w:lang w:eastAsia="zh-CN"/>
      </w:rPr>
    </w:pPr>
    <w:r>
      <w:rPr>
        <w:rFonts w:hint="eastAsia" w:ascii="楷体" w:hAnsi="楷体" w:eastAsia="楷体"/>
        <w:sz w:val="28"/>
        <w:szCs w:val="28"/>
        <w:lang w:eastAsia="zh-CN"/>
      </w:rPr>
      <w:t>本资产评估报告依据中国资产评估准则编制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8522" w:type="dxa"/>
      <w:tblInd w:w="0" w:type="dxa"/>
      <w:tblLayout w:type="fixed"/>
      <w:tblCellMar>
        <w:top w:w="0" w:type="dxa"/>
        <w:left w:w="108" w:type="dxa"/>
        <w:bottom w:w="0" w:type="dxa"/>
        <w:right w:w="108" w:type="dxa"/>
      </w:tblCellMar>
    </w:tblPr>
    <w:tblGrid>
      <w:gridCol w:w="1096"/>
      <w:gridCol w:w="7426"/>
    </w:tblGrid>
    <w:tr>
      <w:tblPrEx>
        <w:tblCellMar>
          <w:top w:w="0" w:type="dxa"/>
          <w:left w:w="108" w:type="dxa"/>
          <w:bottom w:w="0" w:type="dxa"/>
          <w:right w:w="108" w:type="dxa"/>
        </w:tblCellMar>
      </w:tblPrEx>
      <w:tc>
        <w:tcPr>
          <w:tcW w:w="1096" w:type="dxa"/>
          <w:vMerge w:val="restart"/>
          <w:vAlign w:val="center"/>
        </w:tcPr>
        <w:p>
          <w:pPr>
            <w:pStyle w:val="7"/>
            <w:pBdr>
              <w:bottom w:val="none" w:color="auto" w:sz="0" w:space="0"/>
            </w:pBdr>
            <w:spacing w:after="0" w:line="0" w:lineRule="atLeast"/>
            <w:jc w:val="left"/>
            <w:rPr>
              <w:rFonts w:ascii="Calibri" w:hAnsi="Calibri" w:eastAsia="华文中宋"/>
              <w:sz w:val="15"/>
            </w:rPr>
          </w:pPr>
          <w:r>
            <w:rPr>
              <w:lang w:eastAsia="zh-CN" w:bidi="ar-SA"/>
            </w:rPr>
            <w:drawing>
              <wp:inline distT="0" distB="0" distL="0" distR="0">
                <wp:extent cx="444500" cy="452755"/>
                <wp:effectExtent l="0" t="0" r="0" b="0"/>
                <wp:docPr id="5" name="图片 9"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东莞市第一人民法院拟资产处置所涉及的</w:t>
          </w:r>
        </w:p>
      </w:tc>
    </w:tr>
    <w:tr>
      <w:tblPrEx>
        <w:tblCellMar>
          <w:top w:w="0" w:type="dxa"/>
          <w:left w:w="108" w:type="dxa"/>
          <w:bottom w:w="0" w:type="dxa"/>
          <w:right w:w="108" w:type="dxa"/>
        </w:tblCellMar>
      </w:tblPrEx>
      <w:tc>
        <w:tcPr>
          <w:tcW w:w="1096" w:type="dxa"/>
          <w:vMerge w:val="continue"/>
        </w:tcPr>
        <w:p>
          <w:pPr>
            <w:pStyle w:val="7"/>
            <w:pBdr>
              <w:bottom w:val="none" w:color="auto" w:sz="0" w:space="0"/>
            </w:pBdr>
            <w:spacing w:after="0" w:line="0" w:lineRule="atLeast"/>
            <w:jc w:val="both"/>
            <w:rPr>
              <w:rFonts w:ascii="Calibri" w:hAnsi="Calibri" w:eastAsia="华文中宋"/>
              <w:sz w:val="15"/>
              <w:lang w:eastAsia="zh-CN"/>
            </w:rPr>
          </w:pP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刘树群</w:t>
          </w:r>
        </w:p>
      </w:tc>
    </w:tr>
    <w:tr>
      <w:tblPrEx>
        <w:tblCellMar>
          <w:top w:w="0" w:type="dxa"/>
          <w:left w:w="108" w:type="dxa"/>
          <w:bottom w:w="0" w:type="dxa"/>
          <w:right w:w="108" w:type="dxa"/>
        </w:tblCellMar>
      </w:tblPrEx>
      <w:tc>
        <w:tcPr>
          <w:tcW w:w="1096" w:type="dxa"/>
          <w:vMerge w:val="continue"/>
        </w:tcPr>
        <w:p>
          <w:pPr>
            <w:pStyle w:val="7"/>
            <w:pBdr>
              <w:bottom w:val="none" w:color="auto" w:sz="0" w:space="0"/>
            </w:pBdr>
            <w:spacing w:after="0" w:line="0" w:lineRule="atLeast"/>
            <w:jc w:val="both"/>
            <w:rPr>
              <w:rFonts w:ascii="Calibri" w:hAnsi="Calibri" w:eastAsia="华文中宋"/>
              <w:sz w:val="15"/>
              <w:lang w:eastAsia="zh-CN"/>
            </w:rPr>
          </w:pP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家私电器资产评估报告·目录</w:t>
          </w:r>
        </w:p>
      </w:tc>
    </w:tr>
  </w:tbl>
  <w:p>
    <w:pPr>
      <w:pStyle w:val="7"/>
      <w:spacing w:after="0" w:line="0" w:lineRule="atLeast"/>
      <w:jc w:val="both"/>
      <w:rPr>
        <w:sz w:val="10"/>
        <w:szCs w:val="1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5948" w:type="dxa"/>
      <w:tblInd w:w="0" w:type="dxa"/>
      <w:tblLayout w:type="fixed"/>
      <w:tblCellMar>
        <w:top w:w="0" w:type="dxa"/>
        <w:left w:w="108" w:type="dxa"/>
        <w:bottom w:w="0" w:type="dxa"/>
        <w:right w:w="108" w:type="dxa"/>
      </w:tblCellMar>
    </w:tblPr>
    <w:tblGrid>
      <w:gridCol w:w="1096"/>
      <w:gridCol w:w="7426"/>
      <w:gridCol w:w="7426"/>
    </w:tblGrid>
    <w:tr>
      <w:tblPrEx>
        <w:tblCellMar>
          <w:top w:w="0" w:type="dxa"/>
          <w:left w:w="108" w:type="dxa"/>
          <w:bottom w:w="0" w:type="dxa"/>
          <w:right w:w="108" w:type="dxa"/>
        </w:tblCellMar>
      </w:tblPrEx>
      <w:tc>
        <w:tcPr>
          <w:tcW w:w="1096" w:type="dxa"/>
          <w:vMerge w:val="restart"/>
          <w:vAlign w:val="center"/>
        </w:tcPr>
        <w:p>
          <w:pPr>
            <w:pStyle w:val="7"/>
            <w:pBdr>
              <w:bottom w:val="none" w:color="auto" w:sz="0" w:space="0"/>
            </w:pBdr>
            <w:spacing w:after="0" w:line="0" w:lineRule="atLeast"/>
            <w:jc w:val="left"/>
            <w:rPr>
              <w:rFonts w:ascii="Calibri" w:hAnsi="Calibri" w:eastAsia="华文中宋"/>
              <w:sz w:val="15"/>
            </w:rPr>
          </w:pPr>
          <w:r>
            <w:rPr>
              <w:lang w:eastAsia="zh-CN" w:bidi="ar-SA"/>
            </w:rPr>
            <w:drawing>
              <wp:inline distT="0" distB="0" distL="0" distR="0">
                <wp:extent cx="444500" cy="452755"/>
                <wp:effectExtent l="0" t="0" r="0" b="0"/>
                <wp:docPr id="6" name="图片 9"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东莞市第一人民法院拟资产处置所涉及的</w:t>
          </w:r>
        </w:p>
      </w:tc>
      <w:tc>
        <w:tcPr>
          <w:tcW w:w="7426" w:type="dxa"/>
        </w:tcPr>
        <w:p>
          <w:pPr>
            <w:pStyle w:val="7"/>
            <w:pBdr>
              <w:bottom w:val="none" w:color="auto" w:sz="0" w:space="0"/>
            </w:pBdr>
            <w:spacing w:after="0" w:line="0" w:lineRule="atLeast"/>
            <w:jc w:val="right"/>
            <w:rPr>
              <w:rFonts w:ascii="Calibri" w:hAnsi="Calibri" w:eastAsia="华文中宋"/>
              <w:sz w:val="15"/>
              <w:lang w:eastAsia="zh-CN"/>
            </w:rPr>
          </w:pPr>
          <w:r>
            <w:rPr>
              <w:rFonts w:hint="eastAsia" w:ascii="Calibri" w:hAnsi="Calibri" w:eastAsia="华文中宋"/>
              <w:sz w:val="15"/>
              <w:lang w:eastAsia="zh-CN"/>
            </w:rPr>
            <w:t>东莞市第一人民法院</w:t>
          </w:r>
        </w:p>
      </w:tc>
    </w:tr>
    <w:tr>
      <w:tblPrEx>
        <w:tblCellMar>
          <w:top w:w="0" w:type="dxa"/>
          <w:left w:w="108" w:type="dxa"/>
          <w:bottom w:w="0" w:type="dxa"/>
          <w:right w:w="108" w:type="dxa"/>
        </w:tblCellMar>
      </w:tblPrEx>
      <w:tc>
        <w:tcPr>
          <w:tcW w:w="1096" w:type="dxa"/>
          <w:vMerge w:val="continue"/>
        </w:tcPr>
        <w:p>
          <w:pPr>
            <w:pStyle w:val="7"/>
            <w:pBdr>
              <w:bottom w:val="none" w:color="auto" w:sz="0" w:space="0"/>
            </w:pBdr>
            <w:spacing w:after="0" w:line="0" w:lineRule="atLeast"/>
            <w:jc w:val="both"/>
            <w:rPr>
              <w:rFonts w:ascii="Calibri" w:hAnsi="Calibri" w:eastAsia="华文中宋"/>
              <w:sz w:val="15"/>
              <w:lang w:eastAsia="zh-CN"/>
            </w:rPr>
          </w:pP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刘树群</w:t>
          </w:r>
        </w:p>
      </w:tc>
      <w:tc>
        <w:tcPr>
          <w:tcW w:w="7426" w:type="dxa"/>
        </w:tcPr>
        <w:p>
          <w:pPr>
            <w:pStyle w:val="7"/>
            <w:pBdr>
              <w:bottom w:val="none" w:color="auto" w:sz="0" w:space="0"/>
            </w:pBdr>
            <w:spacing w:after="0" w:line="0" w:lineRule="atLeast"/>
            <w:jc w:val="right"/>
            <w:rPr>
              <w:rFonts w:ascii="Calibri" w:hAnsi="Calibri" w:eastAsia="华文中宋"/>
              <w:sz w:val="15"/>
              <w:lang w:eastAsia="zh-CN"/>
            </w:rPr>
          </w:pPr>
          <w:r>
            <w:rPr>
              <w:rFonts w:hint="eastAsia" w:ascii="Calibri" w:hAnsi="Calibri" w:eastAsia="华文中宋"/>
              <w:sz w:val="15"/>
              <w:lang w:eastAsia="zh-CN"/>
            </w:rPr>
            <w:t>拟资产处置所涉及的</w:t>
          </w:r>
        </w:p>
      </w:tc>
    </w:tr>
    <w:tr>
      <w:tblPrEx>
        <w:tblCellMar>
          <w:top w:w="0" w:type="dxa"/>
          <w:left w:w="108" w:type="dxa"/>
          <w:bottom w:w="0" w:type="dxa"/>
          <w:right w:w="108" w:type="dxa"/>
        </w:tblCellMar>
      </w:tblPrEx>
      <w:tc>
        <w:tcPr>
          <w:tcW w:w="1096" w:type="dxa"/>
          <w:vMerge w:val="continue"/>
        </w:tcPr>
        <w:p>
          <w:pPr>
            <w:pStyle w:val="7"/>
            <w:pBdr>
              <w:bottom w:val="none" w:color="auto" w:sz="0" w:space="0"/>
            </w:pBdr>
            <w:spacing w:after="0" w:line="0" w:lineRule="atLeast"/>
            <w:jc w:val="both"/>
            <w:rPr>
              <w:rFonts w:ascii="Calibri" w:hAnsi="Calibri" w:eastAsia="华文中宋"/>
              <w:sz w:val="15"/>
              <w:lang w:eastAsia="zh-CN"/>
            </w:rPr>
          </w:pP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家私电器资产评估报告·声明</w:t>
          </w:r>
        </w:p>
      </w:tc>
      <w:tc>
        <w:tcPr>
          <w:tcW w:w="7426" w:type="dxa"/>
        </w:tcPr>
        <w:p>
          <w:pPr>
            <w:pStyle w:val="7"/>
            <w:pBdr>
              <w:bottom w:val="none" w:color="auto" w:sz="0" w:space="0"/>
            </w:pBdr>
            <w:spacing w:after="0" w:line="0" w:lineRule="atLeast"/>
            <w:jc w:val="right"/>
            <w:rPr>
              <w:rFonts w:ascii="Calibri" w:hAnsi="Calibri" w:eastAsia="华文中宋"/>
              <w:sz w:val="15"/>
              <w:lang w:eastAsia="zh-CN"/>
            </w:rPr>
          </w:pPr>
          <w:r>
            <w:rPr>
              <w:rFonts w:hint="eastAsia" w:ascii="Calibri" w:hAnsi="Calibri" w:eastAsia="华文中宋"/>
              <w:sz w:val="15"/>
              <w:lang w:eastAsia="zh-CN"/>
            </w:rPr>
            <w:t>部分资产·资产评估师声明</w:t>
          </w:r>
        </w:p>
      </w:tc>
    </w:tr>
  </w:tbl>
  <w:p>
    <w:pPr>
      <w:pStyle w:val="7"/>
      <w:spacing w:after="0" w:line="0" w:lineRule="atLeast"/>
      <w:jc w:val="both"/>
      <w:rPr>
        <w:sz w:val="10"/>
        <w:szCs w:val="10"/>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5948" w:type="dxa"/>
      <w:tblInd w:w="0" w:type="dxa"/>
      <w:tblLayout w:type="fixed"/>
      <w:tblCellMar>
        <w:top w:w="0" w:type="dxa"/>
        <w:left w:w="108" w:type="dxa"/>
        <w:bottom w:w="0" w:type="dxa"/>
        <w:right w:w="108" w:type="dxa"/>
      </w:tblCellMar>
    </w:tblPr>
    <w:tblGrid>
      <w:gridCol w:w="1096"/>
      <w:gridCol w:w="7426"/>
      <w:gridCol w:w="7426"/>
    </w:tblGrid>
    <w:tr>
      <w:trPr>
        <w:trHeight w:val="205" w:hRule="atLeast"/>
      </w:trPr>
      <w:tc>
        <w:tcPr>
          <w:tcW w:w="1096" w:type="dxa"/>
          <w:vMerge w:val="restart"/>
          <w:vAlign w:val="center"/>
        </w:tcPr>
        <w:p>
          <w:pPr>
            <w:pStyle w:val="7"/>
            <w:pBdr>
              <w:bottom w:val="none" w:color="auto" w:sz="0" w:space="0"/>
            </w:pBdr>
            <w:spacing w:after="0" w:line="0" w:lineRule="atLeast"/>
            <w:jc w:val="left"/>
            <w:rPr>
              <w:rFonts w:ascii="Calibri" w:hAnsi="Calibri" w:eastAsia="华文中宋"/>
              <w:sz w:val="15"/>
            </w:rPr>
          </w:pPr>
          <w:r>
            <w:rPr>
              <w:lang w:eastAsia="zh-CN" w:bidi="ar-SA"/>
            </w:rPr>
            <w:drawing>
              <wp:inline distT="0" distB="0" distL="0" distR="0">
                <wp:extent cx="444500" cy="452755"/>
                <wp:effectExtent l="0" t="0" r="0" b="0"/>
                <wp:docPr id="8" name="图片 8"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东莞市第一人民法院拟资产处置所涉及的</w:t>
          </w:r>
        </w:p>
      </w:tc>
      <w:tc>
        <w:tcPr>
          <w:tcW w:w="7426" w:type="dxa"/>
        </w:tcPr>
        <w:p>
          <w:pPr>
            <w:pStyle w:val="7"/>
            <w:pBdr>
              <w:bottom w:val="none" w:color="auto" w:sz="0" w:space="0"/>
            </w:pBdr>
            <w:spacing w:after="0" w:line="0" w:lineRule="atLeast"/>
            <w:jc w:val="right"/>
            <w:rPr>
              <w:rFonts w:ascii="Calibri" w:hAnsi="Calibri" w:eastAsia="华文中宋"/>
              <w:sz w:val="15"/>
              <w:lang w:eastAsia="zh-CN"/>
            </w:rPr>
          </w:pPr>
          <w:r>
            <w:rPr>
              <w:rFonts w:hint="eastAsia" w:ascii="Calibri" w:hAnsi="Calibri" w:eastAsia="华文中宋"/>
              <w:sz w:val="15"/>
              <w:lang w:eastAsia="zh-CN"/>
            </w:rPr>
            <w:t>东莞市第一人民法院</w:t>
          </w:r>
        </w:p>
      </w:tc>
    </w:tr>
    <w:tr>
      <w:tblPrEx>
        <w:tblCellMar>
          <w:top w:w="0" w:type="dxa"/>
          <w:left w:w="108" w:type="dxa"/>
          <w:bottom w:w="0" w:type="dxa"/>
          <w:right w:w="108" w:type="dxa"/>
        </w:tblCellMar>
      </w:tblPrEx>
      <w:tc>
        <w:tcPr>
          <w:tcW w:w="1096" w:type="dxa"/>
          <w:vMerge w:val="continue"/>
        </w:tcPr>
        <w:p>
          <w:pPr>
            <w:pStyle w:val="7"/>
            <w:pBdr>
              <w:bottom w:val="none" w:color="auto" w:sz="0" w:space="0"/>
            </w:pBdr>
            <w:spacing w:after="0" w:line="0" w:lineRule="atLeast"/>
            <w:jc w:val="both"/>
            <w:rPr>
              <w:rFonts w:ascii="Calibri" w:hAnsi="Calibri" w:eastAsia="华文中宋"/>
              <w:sz w:val="15"/>
              <w:lang w:eastAsia="zh-CN"/>
            </w:rPr>
          </w:pP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刘树群</w:t>
          </w:r>
        </w:p>
      </w:tc>
      <w:tc>
        <w:tcPr>
          <w:tcW w:w="7426" w:type="dxa"/>
        </w:tcPr>
        <w:p>
          <w:pPr>
            <w:pStyle w:val="7"/>
            <w:pBdr>
              <w:bottom w:val="none" w:color="auto" w:sz="0" w:space="0"/>
            </w:pBdr>
            <w:spacing w:after="0" w:line="0" w:lineRule="atLeast"/>
            <w:jc w:val="right"/>
            <w:rPr>
              <w:rFonts w:ascii="Calibri" w:hAnsi="Calibri" w:eastAsia="华文中宋"/>
              <w:sz w:val="15"/>
              <w:lang w:eastAsia="zh-CN"/>
            </w:rPr>
          </w:pPr>
          <w:r>
            <w:rPr>
              <w:rFonts w:hint="eastAsia" w:ascii="Calibri" w:hAnsi="Calibri" w:eastAsia="华文中宋"/>
              <w:sz w:val="15"/>
              <w:lang w:eastAsia="zh-CN"/>
            </w:rPr>
            <w:t>拟资产处置所涉及的</w:t>
          </w:r>
        </w:p>
      </w:tc>
    </w:tr>
    <w:tr>
      <w:tblPrEx>
        <w:tblCellMar>
          <w:top w:w="0" w:type="dxa"/>
          <w:left w:w="108" w:type="dxa"/>
          <w:bottom w:w="0" w:type="dxa"/>
          <w:right w:w="108" w:type="dxa"/>
        </w:tblCellMar>
      </w:tblPrEx>
      <w:tc>
        <w:tcPr>
          <w:tcW w:w="1096" w:type="dxa"/>
          <w:vMerge w:val="continue"/>
        </w:tcPr>
        <w:p>
          <w:pPr>
            <w:pStyle w:val="7"/>
            <w:pBdr>
              <w:bottom w:val="none" w:color="auto" w:sz="0" w:space="0"/>
            </w:pBdr>
            <w:spacing w:after="0" w:line="0" w:lineRule="atLeast"/>
            <w:jc w:val="both"/>
            <w:rPr>
              <w:rFonts w:ascii="Calibri" w:hAnsi="Calibri" w:eastAsia="华文中宋"/>
              <w:sz w:val="15"/>
              <w:lang w:eastAsia="zh-CN"/>
            </w:rPr>
          </w:pP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家私电器资产评估报告·摘要</w:t>
          </w:r>
        </w:p>
      </w:tc>
      <w:tc>
        <w:tcPr>
          <w:tcW w:w="7426" w:type="dxa"/>
        </w:tcPr>
        <w:p>
          <w:pPr>
            <w:pStyle w:val="7"/>
            <w:pBdr>
              <w:bottom w:val="none" w:color="auto" w:sz="0" w:space="0"/>
            </w:pBdr>
            <w:spacing w:after="0" w:line="0" w:lineRule="atLeast"/>
            <w:jc w:val="right"/>
            <w:rPr>
              <w:rFonts w:ascii="Calibri" w:hAnsi="Calibri" w:eastAsia="华文中宋"/>
              <w:sz w:val="15"/>
              <w:lang w:eastAsia="zh-CN"/>
            </w:rPr>
          </w:pPr>
          <w:r>
            <w:rPr>
              <w:rFonts w:hint="eastAsia" w:ascii="Calibri" w:hAnsi="Calibri" w:eastAsia="华文中宋"/>
              <w:sz w:val="15"/>
              <w:lang w:eastAsia="zh-CN"/>
            </w:rPr>
            <w:t>部分资产·评估报告摘要</w:t>
          </w:r>
        </w:p>
      </w:tc>
    </w:tr>
  </w:tbl>
  <w:p>
    <w:pPr>
      <w:pStyle w:val="7"/>
      <w:spacing w:after="0" w:line="0" w:lineRule="atLeast"/>
      <w:jc w:val="both"/>
      <w:rPr>
        <w:sz w:val="10"/>
        <w:szCs w:val="10"/>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5948" w:type="dxa"/>
      <w:tblInd w:w="0" w:type="dxa"/>
      <w:tblLayout w:type="fixed"/>
      <w:tblCellMar>
        <w:top w:w="0" w:type="dxa"/>
        <w:left w:w="108" w:type="dxa"/>
        <w:bottom w:w="0" w:type="dxa"/>
        <w:right w:w="108" w:type="dxa"/>
      </w:tblCellMar>
    </w:tblPr>
    <w:tblGrid>
      <w:gridCol w:w="1096"/>
      <w:gridCol w:w="7426"/>
      <w:gridCol w:w="7426"/>
    </w:tblGrid>
    <w:tr>
      <w:tblPrEx>
        <w:tblCellMar>
          <w:top w:w="0" w:type="dxa"/>
          <w:left w:w="108" w:type="dxa"/>
          <w:bottom w:w="0" w:type="dxa"/>
          <w:right w:w="108" w:type="dxa"/>
        </w:tblCellMar>
      </w:tblPrEx>
      <w:tc>
        <w:tcPr>
          <w:tcW w:w="1096" w:type="dxa"/>
          <w:vMerge w:val="restart"/>
          <w:vAlign w:val="center"/>
        </w:tcPr>
        <w:p>
          <w:pPr>
            <w:pStyle w:val="7"/>
            <w:pBdr>
              <w:bottom w:val="none" w:color="auto" w:sz="0" w:space="0"/>
            </w:pBdr>
            <w:spacing w:after="0" w:line="0" w:lineRule="atLeast"/>
            <w:jc w:val="left"/>
            <w:rPr>
              <w:rFonts w:ascii="Calibri" w:hAnsi="Calibri" w:eastAsia="华文中宋"/>
              <w:sz w:val="15"/>
            </w:rPr>
          </w:pPr>
          <w:r>
            <w:rPr>
              <w:lang w:eastAsia="zh-CN" w:bidi="ar-SA"/>
            </w:rPr>
            <w:drawing>
              <wp:inline distT="0" distB="0" distL="0" distR="0">
                <wp:extent cx="444500" cy="452755"/>
                <wp:effectExtent l="0" t="0" r="0" b="0"/>
                <wp:docPr id="11" name="图片 9"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东莞市第一人民法院拟资产处置所涉及的</w:t>
          </w:r>
        </w:p>
      </w:tc>
      <w:tc>
        <w:tcPr>
          <w:tcW w:w="7426" w:type="dxa"/>
        </w:tcPr>
        <w:p>
          <w:pPr>
            <w:pStyle w:val="7"/>
            <w:pBdr>
              <w:bottom w:val="none" w:color="auto" w:sz="0" w:space="0"/>
            </w:pBdr>
            <w:spacing w:after="0" w:line="0" w:lineRule="atLeast"/>
            <w:jc w:val="right"/>
            <w:rPr>
              <w:rFonts w:ascii="Calibri" w:hAnsi="Calibri" w:eastAsia="华文中宋"/>
              <w:sz w:val="15"/>
              <w:lang w:eastAsia="zh-CN"/>
            </w:rPr>
          </w:pPr>
          <w:r>
            <w:rPr>
              <w:rFonts w:hint="eastAsia" w:ascii="Calibri" w:hAnsi="Calibri" w:eastAsia="华文中宋"/>
              <w:sz w:val="15"/>
              <w:lang w:eastAsia="zh-CN"/>
            </w:rPr>
            <w:t>东莞市第一人民法院</w:t>
          </w:r>
        </w:p>
      </w:tc>
    </w:tr>
    <w:tr>
      <w:tc>
        <w:tcPr>
          <w:tcW w:w="1096" w:type="dxa"/>
          <w:vMerge w:val="continue"/>
        </w:tcPr>
        <w:p>
          <w:pPr>
            <w:pStyle w:val="7"/>
            <w:pBdr>
              <w:bottom w:val="none" w:color="auto" w:sz="0" w:space="0"/>
            </w:pBdr>
            <w:spacing w:after="0" w:line="0" w:lineRule="atLeast"/>
            <w:jc w:val="both"/>
            <w:rPr>
              <w:rFonts w:ascii="Calibri" w:hAnsi="Calibri" w:eastAsia="华文中宋"/>
              <w:sz w:val="15"/>
              <w:lang w:eastAsia="zh-CN"/>
            </w:rPr>
          </w:pP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刘树群</w:t>
          </w:r>
        </w:p>
      </w:tc>
      <w:tc>
        <w:tcPr>
          <w:tcW w:w="7426" w:type="dxa"/>
        </w:tcPr>
        <w:p>
          <w:pPr>
            <w:pStyle w:val="7"/>
            <w:pBdr>
              <w:bottom w:val="none" w:color="auto" w:sz="0" w:space="0"/>
            </w:pBdr>
            <w:spacing w:after="0" w:line="0" w:lineRule="atLeast"/>
            <w:jc w:val="right"/>
            <w:rPr>
              <w:rFonts w:ascii="Calibri" w:hAnsi="Calibri" w:eastAsia="华文中宋"/>
              <w:sz w:val="15"/>
              <w:lang w:eastAsia="zh-CN"/>
            </w:rPr>
          </w:pPr>
          <w:r>
            <w:rPr>
              <w:rFonts w:hint="eastAsia" w:ascii="Calibri" w:hAnsi="Calibri" w:eastAsia="华文中宋"/>
              <w:sz w:val="15"/>
              <w:lang w:eastAsia="zh-CN"/>
            </w:rPr>
            <w:t>拟资产处置所涉及的</w:t>
          </w:r>
        </w:p>
      </w:tc>
    </w:tr>
    <w:tr>
      <w:tblPrEx>
        <w:tblCellMar>
          <w:top w:w="0" w:type="dxa"/>
          <w:left w:w="108" w:type="dxa"/>
          <w:bottom w:w="0" w:type="dxa"/>
          <w:right w:w="108" w:type="dxa"/>
        </w:tblCellMar>
      </w:tblPrEx>
      <w:tc>
        <w:tcPr>
          <w:tcW w:w="1096" w:type="dxa"/>
          <w:vMerge w:val="continue"/>
        </w:tcPr>
        <w:p>
          <w:pPr>
            <w:pStyle w:val="7"/>
            <w:pBdr>
              <w:bottom w:val="none" w:color="auto" w:sz="0" w:space="0"/>
            </w:pBdr>
            <w:spacing w:after="0" w:line="0" w:lineRule="atLeast"/>
            <w:jc w:val="both"/>
            <w:rPr>
              <w:rFonts w:ascii="Calibri" w:hAnsi="Calibri" w:eastAsia="华文中宋"/>
              <w:sz w:val="15"/>
              <w:lang w:eastAsia="zh-CN"/>
            </w:rPr>
          </w:pP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家私电器资产评估报告·正文</w:t>
          </w:r>
        </w:p>
      </w:tc>
      <w:tc>
        <w:tcPr>
          <w:tcW w:w="7426" w:type="dxa"/>
        </w:tcPr>
        <w:p>
          <w:pPr>
            <w:pStyle w:val="7"/>
            <w:pBdr>
              <w:bottom w:val="none" w:color="auto" w:sz="0" w:space="0"/>
            </w:pBdr>
            <w:spacing w:after="0" w:line="0" w:lineRule="atLeast"/>
            <w:jc w:val="right"/>
            <w:rPr>
              <w:rFonts w:ascii="Calibri" w:hAnsi="Calibri" w:eastAsia="华文中宋"/>
              <w:sz w:val="15"/>
              <w:lang w:eastAsia="zh-CN"/>
            </w:rPr>
          </w:pPr>
          <w:r>
            <w:rPr>
              <w:rFonts w:hint="eastAsia" w:ascii="Calibri" w:hAnsi="Calibri" w:eastAsia="华文中宋"/>
              <w:sz w:val="15"/>
              <w:lang w:eastAsia="zh-CN"/>
            </w:rPr>
            <w:t>部分资产·评估报告正文</w:t>
          </w:r>
        </w:p>
      </w:tc>
    </w:tr>
  </w:tbl>
  <w:p>
    <w:pPr>
      <w:pStyle w:val="7"/>
      <w:spacing w:after="0" w:line="0" w:lineRule="atLeast"/>
      <w:jc w:val="both"/>
      <w:rPr>
        <w:sz w:val="10"/>
        <w:szCs w:val="10"/>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5948" w:type="dxa"/>
      <w:tblInd w:w="0" w:type="dxa"/>
      <w:tblLayout w:type="fixed"/>
      <w:tblCellMar>
        <w:top w:w="0" w:type="dxa"/>
        <w:left w:w="108" w:type="dxa"/>
        <w:bottom w:w="0" w:type="dxa"/>
        <w:right w:w="108" w:type="dxa"/>
      </w:tblCellMar>
    </w:tblPr>
    <w:tblGrid>
      <w:gridCol w:w="1096"/>
      <w:gridCol w:w="7426"/>
      <w:gridCol w:w="7426"/>
    </w:tblGrid>
    <w:tr>
      <w:tblPrEx>
        <w:tblCellMar>
          <w:top w:w="0" w:type="dxa"/>
          <w:left w:w="108" w:type="dxa"/>
          <w:bottom w:w="0" w:type="dxa"/>
          <w:right w:w="108" w:type="dxa"/>
        </w:tblCellMar>
      </w:tblPrEx>
      <w:tc>
        <w:tcPr>
          <w:tcW w:w="1096" w:type="dxa"/>
          <w:vMerge w:val="restart"/>
          <w:vAlign w:val="center"/>
        </w:tcPr>
        <w:p>
          <w:pPr>
            <w:pStyle w:val="7"/>
            <w:pBdr>
              <w:bottom w:val="none" w:color="auto" w:sz="0" w:space="0"/>
            </w:pBdr>
            <w:spacing w:after="0" w:line="0" w:lineRule="atLeast"/>
            <w:jc w:val="left"/>
            <w:rPr>
              <w:rFonts w:ascii="Calibri" w:hAnsi="Calibri" w:eastAsia="华文中宋"/>
              <w:sz w:val="15"/>
            </w:rPr>
          </w:pPr>
          <w:r>
            <w:rPr>
              <w:lang w:eastAsia="zh-CN" w:bidi="ar-SA"/>
            </w:rPr>
            <w:drawing>
              <wp:inline distT="0" distB="0" distL="0" distR="0">
                <wp:extent cx="444500" cy="452755"/>
                <wp:effectExtent l="0" t="0" r="0" b="0"/>
                <wp:docPr id="13" name="图片 9" descr="鹏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鹏信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44500" cy="452755"/>
                        </a:xfrm>
                        <a:prstGeom prst="rect">
                          <a:avLst/>
                        </a:prstGeom>
                        <a:noFill/>
                        <a:ln>
                          <a:noFill/>
                        </a:ln>
                      </pic:spPr>
                    </pic:pic>
                  </a:graphicData>
                </a:graphic>
              </wp:inline>
            </w:drawing>
          </w: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东莞市第一人民法院拟资产处置所涉及的</w:t>
          </w:r>
        </w:p>
      </w:tc>
      <w:tc>
        <w:tcPr>
          <w:tcW w:w="7426" w:type="dxa"/>
        </w:tcPr>
        <w:p>
          <w:pPr>
            <w:pStyle w:val="7"/>
            <w:pBdr>
              <w:bottom w:val="none" w:color="auto" w:sz="0" w:space="0"/>
            </w:pBdr>
            <w:spacing w:after="0" w:line="0" w:lineRule="atLeast"/>
            <w:jc w:val="right"/>
            <w:rPr>
              <w:rFonts w:ascii="Calibri" w:hAnsi="Calibri" w:eastAsia="华文中宋"/>
              <w:sz w:val="15"/>
              <w:lang w:eastAsia="zh-CN"/>
            </w:rPr>
          </w:pPr>
          <w:r>
            <w:rPr>
              <w:rFonts w:hint="eastAsia" w:ascii="Calibri" w:hAnsi="Calibri" w:eastAsia="华文中宋"/>
              <w:sz w:val="15"/>
              <w:lang w:eastAsia="zh-CN"/>
            </w:rPr>
            <w:t>东莞市第一人民法院</w:t>
          </w:r>
        </w:p>
      </w:tc>
    </w:tr>
    <w:tr>
      <w:tblPrEx>
        <w:tblCellMar>
          <w:top w:w="0" w:type="dxa"/>
          <w:left w:w="108" w:type="dxa"/>
          <w:bottom w:w="0" w:type="dxa"/>
          <w:right w:w="108" w:type="dxa"/>
        </w:tblCellMar>
      </w:tblPrEx>
      <w:tc>
        <w:tcPr>
          <w:tcW w:w="1096" w:type="dxa"/>
          <w:vMerge w:val="continue"/>
        </w:tcPr>
        <w:p>
          <w:pPr>
            <w:pStyle w:val="7"/>
            <w:pBdr>
              <w:bottom w:val="none" w:color="auto" w:sz="0" w:space="0"/>
            </w:pBdr>
            <w:spacing w:after="0" w:line="0" w:lineRule="atLeast"/>
            <w:jc w:val="both"/>
            <w:rPr>
              <w:rFonts w:ascii="Calibri" w:hAnsi="Calibri" w:eastAsia="华文中宋"/>
              <w:sz w:val="15"/>
              <w:lang w:eastAsia="zh-CN"/>
            </w:rPr>
          </w:pP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刘树群</w:t>
          </w:r>
        </w:p>
      </w:tc>
      <w:tc>
        <w:tcPr>
          <w:tcW w:w="7426" w:type="dxa"/>
        </w:tcPr>
        <w:p>
          <w:pPr>
            <w:pStyle w:val="7"/>
            <w:pBdr>
              <w:bottom w:val="none" w:color="auto" w:sz="0" w:space="0"/>
            </w:pBdr>
            <w:spacing w:after="0" w:line="0" w:lineRule="atLeast"/>
            <w:jc w:val="right"/>
            <w:rPr>
              <w:rFonts w:ascii="Calibri" w:hAnsi="Calibri" w:eastAsia="华文中宋"/>
              <w:sz w:val="15"/>
              <w:lang w:eastAsia="zh-CN"/>
            </w:rPr>
          </w:pPr>
          <w:r>
            <w:rPr>
              <w:rFonts w:hint="eastAsia" w:ascii="Calibri" w:hAnsi="Calibri" w:eastAsia="华文中宋"/>
              <w:sz w:val="15"/>
              <w:lang w:eastAsia="zh-CN"/>
            </w:rPr>
            <w:t>拟资产处置所涉及的</w:t>
          </w:r>
        </w:p>
      </w:tc>
    </w:tr>
    <w:tr>
      <w:tblPrEx>
        <w:tblCellMar>
          <w:top w:w="0" w:type="dxa"/>
          <w:left w:w="108" w:type="dxa"/>
          <w:bottom w:w="0" w:type="dxa"/>
          <w:right w:w="108" w:type="dxa"/>
        </w:tblCellMar>
      </w:tblPrEx>
      <w:tc>
        <w:tcPr>
          <w:tcW w:w="1096" w:type="dxa"/>
          <w:vMerge w:val="continue"/>
        </w:tcPr>
        <w:p>
          <w:pPr>
            <w:pStyle w:val="7"/>
            <w:pBdr>
              <w:bottom w:val="none" w:color="auto" w:sz="0" w:space="0"/>
            </w:pBdr>
            <w:spacing w:after="0" w:line="0" w:lineRule="atLeast"/>
            <w:jc w:val="both"/>
            <w:rPr>
              <w:rFonts w:ascii="Calibri" w:hAnsi="Calibri" w:eastAsia="华文中宋"/>
              <w:sz w:val="15"/>
              <w:lang w:eastAsia="zh-CN"/>
            </w:rPr>
          </w:pPr>
        </w:p>
      </w:tc>
      <w:tc>
        <w:tcPr>
          <w:tcW w:w="7426" w:type="dxa"/>
        </w:tcPr>
        <w:p>
          <w:pPr>
            <w:pStyle w:val="7"/>
            <w:pBdr>
              <w:bottom w:val="none" w:color="auto" w:sz="0" w:space="0"/>
            </w:pBdr>
            <w:spacing w:after="0" w:line="0" w:lineRule="atLeast"/>
            <w:jc w:val="right"/>
            <w:rPr>
              <w:rFonts w:ascii="仿宋" w:hAnsi="仿宋" w:eastAsia="仿宋"/>
              <w:lang w:eastAsia="zh-CN"/>
            </w:rPr>
          </w:pPr>
          <w:r>
            <w:rPr>
              <w:rFonts w:hint="eastAsia" w:ascii="仿宋" w:hAnsi="仿宋" w:eastAsia="仿宋"/>
              <w:lang w:eastAsia="zh-CN"/>
            </w:rPr>
            <w:t>家私电器资产评估报告·附件</w:t>
          </w:r>
        </w:p>
      </w:tc>
      <w:tc>
        <w:tcPr>
          <w:tcW w:w="7426" w:type="dxa"/>
        </w:tcPr>
        <w:p>
          <w:pPr>
            <w:pStyle w:val="7"/>
            <w:pBdr>
              <w:bottom w:val="none" w:color="auto" w:sz="0" w:space="0"/>
            </w:pBdr>
            <w:spacing w:after="0" w:line="0" w:lineRule="atLeast"/>
            <w:jc w:val="right"/>
            <w:rPr>
              <w:rFonts w:ascii="Calibri" w:hAnsi="Calibri" w:eastAsia="华文中宋"/>
              <w:sz w:val="15"/>
              <w:lang w:eastAsia="zh-CN"/>
            </w:rPr>
          </w:pPr>
          <w:r>
            <w:rPr>
              <w:rFonts w:hint="eastAsia" w:ascii="Calibri" w:hAnsi="Calibri" w:eastAsia="华文中宋"/>
              <w:sz w:val="15"/>
              <w:lang w:eastAsia="zh-CN"/>
            </w:rPr>
            <w:t>部分资产·评估报告附件</w:t>
          </w:r>
        </w:p>
      </w:tc>
    </w:tr>
  </w:tbl>
  <w:p>
    <w:pPr>
      <w:pStyle w:val="7"/>
      <w:spacing w:after="0" w:line="0" w:lineRule="atLeast"/>
      <w:jc w:val="both"/>
      <w:rPr>
        <w:sz w:val="10"/>
        <w:szCs w:val="1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3D193F6E"/>
    <w:rsid w:val="000060FB"/>
    <w:rsid w:val="00010AB3"/>
    <w:rsid w:val="0001251C"/>
    <w:rsid w:val="00017C62"/>
    <w:rsid w:val="000219CC"/>
    <w:rsid w:val="000271BB"/>
    <w:rsid w:val="00027AB7"/>
    <w:rsid w:val="000368CF"/>
    <w:rsid w:val="000379C0"/>
    <w:rsid w:val="0004074F"/>
    <w:rsid w:val="00041485"/>
    <w:rsid w:val="00041648"/>
    <w:rsid w:val="00041CE0"/>
    <w:rsid w:val="00053532"/>
    <w:rsid w:val="000541D2"/>
    <w:rsid w:val="00060692"/>
    <w:rsid w:val="000616FB"/>
    <w:rsid w:val="00064E78"/>
    <w:rsid w:val="000669CE"/>
    <w:rsid w:val="00071754"/>
    <w:rsid w:val="00072447"/>
    <w:rsid w:val="00073C2C"/>
    <w:rsid w:val="00083885"/>
    <w:rsid w:val="00086A96"/>
    <w:rsid w:val="000877AC"/>
    <w:rsid w:val="00093F06"/>
    <w:rsid w:val="000A3FA8"/>
    <w:rsid w:val="000B175A"/>
    <w:rsid w:val="000B482E"/>
    <w:rsid w:val="000B530D"/>
    <w:rsid w:val="000B53D7"/>
    <w:rsid w:val="000B6859"/>
    <w:rsid w:val="000B750D"/>
    <w:rsid w:val="000C553D"/>
    <w:rsid w:val="000E56EE"/>
    <w:rsid w:val="000F55E9"/>
    <w:rsid w:val="000F62F7"/>
    <w:rsid w:val="0010127B"/>
    <w:rsid w:val="001013FC"/>
    <w:rsid w:val="00106B8A"/>
    <w:rsid w:val="00117249"/>
    <w:rsid w:val="00117ADC"/>
    <w:rsid w:val="00130A2B"/>
    <w:rsid w:val="00133AAF"/>
    <w:rsid w:val="001344EB"/>
    <w:rsid w:val="00135539"/>
    <w:rsid w:val="00141641"/>
    <w:rsid w:val="001436C2"/>
    <w:rsid w:val="0014377B"/>
    <w:rsid w:val="00145E42"/>
    <w:rsid w:val="001476AA"/>
    <w:rsid w:val="001537A2"/>
    <w:rsid w:val="00154783"/>
    <w:rsid w:val="00154DDE"/>
    <w:rsid w:val="001620BE"/>
    <w:rsid w:val="00162193"/>
    <w:rsid w:val="00170AE3"/>
    <w:rsid w:val="001761BE"/>
    <w:rsid w:val="00185003"/>
    <w:rsid w:val="001A2E5C"/>
    <w:rsid w:val="001A54B0"/>
    <w:rsid w:val="001A5728"/>
    <w:rsid w:val="001A7B91"/>
    <w:rsid w:val="001B5304"/>
    <w:rsid w:val="001C0479"/>
    <w:rsid w:val="001C4B7F"/>
    <w:rsid w:val="001E09F5"/>
    <w:rsid w:val="001E1B57"/>
    <w:rsid w:val="001F0699"/>
    <w:rsid w:val="001F18B4"/>
    <w:rsid w:val="001F266C"/>
    <w:rsid w:val="001F31F7"/>
    <w:rsid w:val="001F4CE6"/>
    <w:rsid w:val="001F7E7F"/>
    <w:rsid w:val="0020063C"/>
    <w:rsid w:val="0020635C"/>
    <w:rsid w:val="002069A4"/>
    <w:rsid w:val="00210779"/>
    <w:rsid w:val="00211C17"/>
    <w:rsid w:val="00213367"/>
    <w:rsid w:val="002178E1"/>
    <w:rsid w:val="00224DB8"/>
    <w:rsid w:val="00225D4F"/>
    <w:rsid w:val="00227721"/>
    <w:rsid w:val="0023640E"/>
    <w:rsid w:val="00245C01"/>
    <w:rsid w:val="00261496"/>
    <w:rsid w:val="0026478A"/>
    <w:rsid w:val="00264AEE"/>
    <w:rsid w:val="0026738D"/>
    <w:rsid w:val="002675ED"/>
    <w:rsid w:val="00272947"/>
    <w:rsid w:val="0027487F"/>
    <w:rsid w:val="002748D2"/>
    <w:rsid w:val="0027545B"/>
    <w:rsid w:val="002768F1"/>
    <w:rsid w:val="00276FA5"/>
    <w:rsid w:val="00277BE5"/>
    <w:rsid w:val="002811BB"/>
    <w:rsid w:val="00283F0D"/>
    <w:rsid w:val="00285870"/>
    <w:rsid w:val="002859D5"/>
    <w:rsid w:val="00286EC0"/>
    <w:rsid w:val="00291742"/>
    <w:rsid w:val="002947BA"/>
    <w:rsid w:val="0029638B"/>
    <w:rsid w:val="002978ED"/>
    <w:rsid w:val="002A69DA"/>
    <w:rsid w:val="002A71F5"/>
    <w:rsid w:val="002A7487"/>
    <w:rsid w:val="002B7A55"/>
    <w:rsid w:val="002C06D6"/>
    <w:rsid w:val="002C2665"/>
    <w:rsid w:val="002C3240"/>
    <w:rsid w:val="002C58C4"/>
    <w:rsid w:val="002D4314"/>
    <w:rsid w:val="002E22E1"/>
    <w:rsid w:val="002E37F4"/>
    <w:rsid w:val="002F0C9B"/>
    <w:rsid w:val="00310BB7"/>
    <w:rsid w:val="00311158"/>
    <w:rsid w:val="003201B9"/>
    <w:rsid w:val="0032592C"/>
    <w:rsid w:val="00327DE4"/>
    <w:rsid w:val="00337008"/>
    <w:rsid w:val="00341769"/>
    <w:rsid w:val="00356106"/>
    <w:rsid w:val="00361DE4"/>
    <w:rsid w:val="00372D13"/>
    <w:rsid w:val="00393BBB"/>
    <w:rsid w:val="00393FD7"/>
    <w:rsid w:val="003A37A5"/>
    <w:rsid w:val="003A5971"/>
    <w:rsid w:val="003A5CDE"/>
    <w:rsid w:val="003A68A0"/>
    <w:rsid w:val="003A6E2F"/>
    <w:rsid w:val="003B298B"/>
    <w:rsid w:val="003B7DC5"/>
    <w:rsid w:val="003C19A5"/>
    <w:rsid w:val="003C1F81"/>
    <w:rsid w:val="003D6222"/>
    <w:rsid w:val="003E04CC"/>
    <w:rsid w:val="003E292D"/>
    <w:rsid w:val="004014CD"/>
    <w:rsid w:val="004022FC"/>
    <w:rsid w:val="004145BB"/>
    <w:rsid w:val="004167BF"/>
    <w:rsid w:val="00422174"/>
    <w:rsid w:val="00422B4F"/>
    <w:rsid w:val="004379E4"/>
    <w:rsid w:val="0044650A"/>
    <w:rsid w:val="00447ACF"/>
    <w:rsid w:val="00450135"/>
    <w:rsid w:val="00450F77"/>
    <w:rsid w:val="00456E1F"/>
    <w:rsid w:val="00465225"/>
    <w:rsid w:val="00467B76"/>
    <w:rsid w:val="00470520"/>
    <w:rsid w:val="004711B4"/>
    <w:rsid w:val="004743BB"/>
    <w:rsid w:val="0047799D"/>
    <w:rsid w:val="00481AFA"/>
    <w:rsid w:val="00491683"/>
    <w:rsid w:val="004942D1"/>
    <w:rsid w:val="004A4723"/>
    <w:rsid w:val="004A52F5"/>
    <w:rsid w:val="004A7D4D"/>
    <w:rsid w:val="004B3982"/>
    <w:rsid w:val="004C1E4D"/>
    <w:rsid w:val="004C45F1"/>
    <w:rsid w:val="004D0DEB"/>
    <w:rsid w:val="004D26CF"/>
    <w:rsid w:val="004D40EF"/>
    <w:rsid w:val="004E2C6B"/>
    <w:rsid w:val="004E455B"/>
    <w:rsid w:val="004E661D"/>
    <w:rsid w:val="004F09B7"/>
    <w:rsid w:val="0050041A"/>
    <w:rsid w:val="00502CDD"/>
    <w:rsid w:val="00506051"/>
    <w:rsid w:val="00507266"/>
    <w:rsid w:val="00512C67"/>
    <w:rsid w:val="005138BD"/>
    <w:rsid w:val="00515A5B"/>
    <w:rsid w:val="00521068"/>
    <w:rsid w:val="005245BC"/>
    <w:rsid w:val="00526317"/>
    <w:rsid w:val="005277B0"/>
    <w:rsid w:val="00530356"/>
    <w:rsid w:val="00533B0A"/>
    <w:rsid w:val="005370E1"/>
    <w:rsid w:val="00537449"/>
    <w:rsid w:val="0054132E"/>
    <w:rsid w:val="00544D3A"/>
    <w:rsid w:val="00547166"/>
    <w:rsid w:val="00556F9C"/>
    <w:rsid w:val="005657F8"/>
    <w:rsid w:val="00571870"/>
    <w:rsid w:val="00572B8D"/>
    <w:rsid w:val="005748BB"/>
    <w:rsid w:val="00576CDB"/>
    <w:rsid w:val="005771CB"/>
    <w:rsid w:val="00584F68"/>
    <w:rsid w:val="00586E40"/>
    <w:rsid w:val="005952C2"/>
    <w:rsid w:val="005A31C8"/>
    <w:rsid w:val="005A4261"/>
    <w:rsid w:val="005A7A80"/>
    <w:rsid w:val="005B18B0"/>
    <w:rsid w:val="005B37E4"/>
    <w:rsid w:val="005B7703"/>
    <w:rsid w:val="005C5D15"/>
    <w:rsid w:val="005D6EF4"/>
    <w:rsid w:val="005F3E89"/>
    <w:rsid w:val="005F4DC5"/>
    <w:rsid w:val="005F7D26"/>
    <w:rsid w:val="0060125E"/>
    <w:rsid w:val="00601321"/>
    <w:rsid w:val="00601C0A"/>
    <w:rsid w:val="0060250D"/>
    <w:rsid w:val="006050D1"/>
    <w:rsid w:val="00607C56"/>
    <w:rsid w:val="00611F95"/>
    <w:rsid w:val="00622BE8"/>
    <w:rsid w:val="00623472"/>
    <w:rsid w:val="00627CF5"/>
    <w:rsid w:val="00627DD2"/>
    <w:rsid w:val="00630760"/>
    <w:rsid w:val="00632A91"/>
    <w:rsid w:val="0064778B"/>
    <w:rsid w:val="00650DB8"/>
    <w:rsid w:val="006534B9"/>
    <w:rsid w:val="0065463D"/>
    <w:rsid w:val="00655338"/>
    <w:rsid w:val="006565FD"/>
    <w:rsid w:val="006577AC"/>
    <w:rsid w:val="00664B14"/>
    <w:rsid w:val="00667EF4"/>
    <w:rsid w:val="006704AA"/>
    <w:rsid w:val="00672844"/>
    <w:rsid w:val="00674C0F"/>
    <w:rsid w:val="00675289"/>
    <w:rsid w:val="00683D68"/>
    <w:rsid w:val="0068640F"/>
    <w:rsid w:val="006911B6"/>
    <w:rsid w:val="006A1ED6"/>
    <w:rsid w:val="006A52A0"/>
    <w:rsid w:val="006A5ED2"/>
    <w:rsid w:val="006B609B"/>
    <w:rsid w:val="006C58EB"/>
    <w:rsid w:val="006D7F3B"/>
    <w:rsid w:val="006E0E6B"/>
    <w:rsid w:val="006E13D9"/>
    <w:rsid w:val="006E2D36"/>
    <w:rsid w:val="006F3B8A"/>
    <w:rsid w:val="006F4836"/>
    <w:rsid w:val="006F6344"/>
    <w:rsid w:val="006F690F"/>
    <w:rsid w:val="0071274B"/>
    <w:rsid w:val="00713126"/>
    <w:rsid w:val="00720BC5"/>
    <w:rsid w:val="007224E9"/>
    <w:rsid w:val="007254F5"/>
    <w:rsid w:val="00731333"/>
    <w:rsid w:val="00746302"/>
    <w:rsid w:val="007809C8"/>
    <w:rsid w:val="00783F19"/>
    <w:rsid w:val="0079350E"/>
    <w:rsid w:val="00796D8D"/>
    <w:rsid w:val="007A1E27"/>
    <w:rsid w:val="007A6097"/>
    <w:rsid w:val="007B4069"/>
    <w:rsid w:val="007B720B"/>
    <w:rsid w:val="007C4CB5"/>
    <w:rsid w:val="007C57B6"/>
    <w:rsid w:val="007C6996"/>
    <w:rsid w:val="007D1CBE"/>
    <w:rsid w:val="007D7234"/>
    <w:rsid w:val="007E2FEB"/>
    <w:rsid w:val="007E3ACA"/>
    <w:rsid w:val="007E57BE"/>
    <w:rsid w:val="007E5A86"/>
    <w:rsid w:val="007F1EF8"/>
    <w:rsid w:val="00800C26"/>
    <w:rsid w:val="00800E92"/>
    <w:rsid w:val="008013AD"/>
    <w:rsid w:val="00802CD0"/>
    <w:rsid w:val="0080585D"/>
    <w:rsid w:val="008134AD"/>
    <w:rsid w:val="00817B29"/>
    <w:rsid w:val="00823261"/>
    <w:rsid w:val="008336C3"/>
    <w:rsid w:val="00834153"/>
    <w:rsid w:val="008419F0"/>
    <w:rsid w:val="00843534"/>
    <w:rsid w:val="00847CD4"/>
    <w:rsid w:val="00855D98"/>
    <w:rsid w:val="00860DF1"/>
    <w:rsid w:val="0086404E"/>
    <w:rsid w:val="008641B1"/>
    <w:rsid w:val="0086690C"/>
    <w:rsid w:val="00867630"/>
    <w:rsid w:val="00872A9F"/>
    <w:rsid w:val="00874FBB"/>
    <w:rsid w:val="00877F45"/>
    <w:rsid w:val="00882A26"/>
    <w:rsid w:val="0089153C"/>
    <w:rsid w:val="008933FB"/>
    <w:rsid w:val="00896312"/>
    <w:rsid w:val="008B2C2C"/>
    <w:rsid w:val="008B7EB4"/>
    <w:rsid w:val="008C4890"/>
    <w:rsid w:val="008C4962"/>
    <w:rsid w:val="008C7D38"/>
    <w:rsid w:val="008D21F2"/>
    <w:rsid w:val="008D28A8"/>
    <w:rsid w:val="008D2F60"/>
    <w:rsid w:val="008D765A"/>
    <w:rsid w:val="008E24A2"/>
    <w:rsid w:val="008E51F0"/>
    <w:rsid w:val="008F158A"/>
    <w:rsid w:val="0090059E"/>
    <w:rsid w:val="009037DA"/>
    <w:rsid w:val="00905727"/>
    <w:rsid w:val="009108ED"/>
    <w:rsid w:val="00911373"/>
    <w:rsid w:val="009138AA"/>
    <w:rsid w:val="00920ACA"/>
    <w:rsid w:val="00933B77"/>
    <w:rsid w:val="0093677C"/>
    <w:rsid w:val="0094104C"/>
    <w:rsid w:val="0094532A"/>
    <w:rsid w:val="0094702D"/>
    <w:rsid w:val="0095660E"/>
    <w:rsid w:val="00962827"/>
    <w:rsid w:val="009752CF"/>
    <w:rsid w:val="009755D9"/>
    <w:rsid w:val="009831B5"/>
    <w:rsid w:val="00983D7C"/>
    <w:rsid w:val="009960ED"/>
    <w:rsid w:val="00996617"/>
    <w:rsid w:val="009A0811"/>
    <w:rsid w:val="009A512D"/>
    <w:rsid w:val="009B2A68"/>
    <w:rsid w:val="009B2D8E"/>
    <w:rsid w:val="009B2E46"/>
    <w:rsid w:val="009B4E43"/>
    <w:rsid w:val="009C5BDE"/>
    <w:rsid w:val="009D200E"/>
    <w:rsid w:val="009D37F2"/>
    <w:rsid w:val="009D46CA"/>
    <w:rsid w:val="009E0356"/>
    <w:rsid w:val="009E2294"/>
    <w:rsid w:val="009F4FA7"/>
    <w:rsid w:val="009F5170"/>
    <w:rsid w:val="00A02642"/>
    <w:rsid w:val="00A0305E"/>
    <w:rsid w:val="00A075B4"/>
    <w:rsid w:val="00A0778B"/>
    <w:rsid w:val="00A102F4"/>
    <w:rsid w:val="00A2444C"/>
    <w:rsid w:val="00A30159"/>
    <w:rsid w:val="00A32DE5"/>
    <w:rsid w:val="00A363AB"/>
    <w:rsid w:val="00A440B5"/>
    <w:rsid w:val="00A471C0"/>
    <w:rsid w:val="00A477A7"/>
    <w:rsid w:val="00A505EF"/>
    <w:rsid w:val="00A53D51"/>
    <w:rsid w:val="00A56C5E"/>
    <w:rsid w:val="00A5749D"/>
    <w:rsid w:val="00A6141B"/>
    <w:rsid w:val="00A630BB"/>
    <w:rsid w:val="00A6378C"/>
    <w:rsid w:val="00A66D7F"/>
    <w:rsid w:val="00A71272"/>
    <w:rsid w:val="00A723DE"/>
    <w:rsid w:val="00A87393"/>
    <w:rsid w:val="00A92F4F"/>
    <w:rsid w:val="00A93202"/>
    <w:rsid w:val="00A94696"/>
    <w:rsid w:val="00AA63F6"/>
    <w:rsid w:val="00AC46E5"/>
    <w:rsid w:val="00AC6717"/>
    <w:rsid w:val="00AC7132"/>
    <w:rsid w:val="00AE3058"/>
    <w:rsid w:val="00AE5C83"/>
    <w:rsid w:val="00AF2F83"/>
    <w:rsid w:val="00B01060"/>
    <w:rsid w:val="00B05602"/>
    <w:rsid w:val="00B13EC2"/>
    <w:rsid w:val="00B145B0"/>
    <w:rsid w:val="00B14C57"/>
    <w:rsid w:val="00B216A0"/>
    <w:rsid w:val="00B236B6"/>
    <w:rsid w:val="00B24E47"/>
    <w:rsid w:val="00B3107D"/>
    <w:rsid w:val="00B33F96"/>
    <w:rsid w:val="00B34009"/>
    <w:rsid w:val="00B430EE"/>
    <w:rsid w:val="00B44A80"/>
    <w:rsid w:val="00B50F16"/>
    <w:rsid w:val="00B52674"/>
    <w:rsid w:val="00B65177"/>
    <w:rsid w:val="00B7187F"/>
    <w:rsid w:val="00B729C9"/>
    <w:rsid w:val="00B751E9"/>
    <w:rsid w:val="00B75E66"/>
    <w:rsid w:val="00B805E3"/>
    <w:rsid w:val="00B83DCB"/>
    <w:rsid w:val="00B84181"/>
    <w:rsid w:val="00B92CED"/>
    <w:rsid w:val="00B9525B"/>
    <w:rsid w:val="00B95853"/>
    <w:rsid w:val="00BA0D87"/>
    <w:rsid w:val="00BA1313"/>
    <w:rsid w:val="00BA206A"/>
    <w:rsid w:val="00BA26E9"/>
    <w:rsid w:val="00BA7EED"/>
    <w:rsid w:val="00BB7DEE"/>
    <w:rsid w:val="00BD02F5"/>
    <w:rsid w:val="00BD0549"/>
    <w:rsid w:val="00BD22BD"/>
    <w:rsid w:val="00BD5BAF"/>
    <w:rsid w:val="00BE1BB5"/>
    <w:rsid w:val="00BE486E"/>
    <w:rsid w:val="00BF2B64"/>
    <w:rsid w:val="00BF2B76"/>
    <w:rsid w:val="00BF44AF"/>
    <w:rsid w:val="00BF586F"/>
    <w:rsid w:val="00C04E55"/>
    <w:rsid w:val="00C069F7"/>
    <w:rsid w:val="00C07646"/>
    <w:rsid w:val="00C12264"/>
    <w:rsid w:val="00C14A33"/>
    <w:rsid w:val="00C1541F"/>
    <w:rsid w:val="00C22658"/>
    <w:rsid w:val="00C239E1"/>
    <w:rsid w:val="00C25101"/>
    <w:rsid w:val="00C305D0"/>
    <w:rsid w:val="00C3782D"/>
    <w:rsid w:val="00C417CA"/>
    <w:rsid w:val="00C44961"/>
    <w:rsid w:val="00C4727F"/>
    <w:rsid w:val="00C536E3"/>
    <w:rsid w:val="00C55C4A"/>
    <w:rsid w:val="00C56252"/>
    <w:rsid w:val="00C630C8"/>
    <w:rsid w:val="00C72507"/>
    <w:rsid w:val="00C72A33"/>
    <w:rsid w:val="00C76EDD"/>
    <w:rsid w:val="00C8142C"/>
    <w:rsid w:val="00C839D3"/>
    <w:rsid w:val="00C85454"/>
    <w:rsid w:val="00C875DF"/>
    <w:rsid w:val="00C92F75"/>
    <w:rsid w:val="00C95DAA"/>
    <w:rsid w:val="00CA3B6D"/>
    <w:rsid w:val="00CA3BD8"/>
    <w:rsid w:val="00CA4EAC"/>
    <w:rsid w:val="00CB23FF"/>
    <w:rsid w:val="00CB3309"/>
    <w:rsid w:val="00CB7891"/>
    <w:rsid w:val="00CB7EB7"/>
    <w:rsid w:val="00CC3EA2"/>
    <w:rsid w:val="00CC42E9"/>
    <w:rsid w:val="00CC5348"/>
    <w:rsid w:val="00CD108D"/>
    <w:rsid w:val="00CD1508"/>
    <w:rsid w:val="00CE3024"/>
    <w:rsid w:val="00CE4263"/>
    <w:rsid w:val="00CE4D95"/>
    <w:rsid w:val="00CE66D0"/>
    <w:rsid w:val="00CF0EE2"/>
    <w:rsid w:val="00CF613A"/>
    <w:rsid w:val="00D018B5"/>
    <w:rsid w:val="00D04E7B"/>
    <w:rsid w:val="00D05651"/>
    <w:rsid w:val="00D07A0A"/>
    <w:rsid w:val="00D11C9F"/>
    <w:rsid w:val="00D11D8D"/>
    <w:rsid w:val="00D142FF"/>
    <w:rsid w:val="00D16A83"/>
    <w:rsid w:val="00D17B4B"/>
    <w:rsid w:val="00D217CF"/>
    <w:rsid w:val="00D22966"/>
    <w:rsid w:val="00D25D1B"/>
    <w:rsid w:val="00D26324"/>
    <w:rsid w:val="00D340BC"/>
    <w:rsid w:val="00D35EFE"/>
    <w:rsid w:val="00D3655A"/>
    <w:rsid w:val="00D374BE"/>
    <w:rsid w:val="00D37910"/>
    <w:rsid w:val="00D45AE2"/>
    <w:rsid w:val="00D46631"/>
    <w:rsid w:val="00D46FE3"/>
    <w:rsid w:val="00D47CD9"/>
    <w:rsid w:val="00D539EC"/>
    <w:rsid w:val="00D5430D"/>
    <w:rsid w:val="00D57035"/>
    <w:rsid w:val="00D60031"/>
    <w:rsid w:val="00D76AFB"/>
    <w:rsid w:val="00D778F6"/>
    <w:rsid w:val="00D77D46"/>
    <w:rsid w:val="00D82CD8"/>
    <w:rsid w:val="00D844E5"/>
    <w:rsid w:val="00DB369B"/>
    <w:rsid w:val="00DC0781"/>
    <w:rsid w:val="00DC2C46"/>
    <w:rsid w:val="00DC39EA"/>
    <w:rsid w:val="00DC6B82"/>
    <w:rsid w:val="00DE4FB1"/>
    <w:rsid w:val="00DE630C"/>
    <w:rsid w:val="00DF240B"/>
    <w:rsid w:val="00DF36B2"/>
    <w:rsid w:val="00DF3787"/>
    <w:rsid w:val="00DF51EE"/>
    <w:rsid w:val="00DF584C"/>
    <w:rsid w:val="00DF58E7"/>
    <w:rsid w:val="00E00326"/>
    <w:rsid w:val="00E070DC"/>
    <w:rsid w:val="00E10837"/>
    <w:rsid w:val="00E10AAA"/>
    <w:rsid w:val="00E141DE"/>
    <w:rsid w:val="00E16578"/>
    <w:rsid w:val="00E2532F"/>
    <w:rsid w:val="00E2769F"/>
    <w:rsid w:val="00E36FFC"/>
    <w:rsid w:val="00E43BF5"/>
    <w:rsid w:val="00E51D2B"/>
    <w:rsid w:val="00E54B8E"/>
    <w:rsid w:val="00E74DF6"/>
    <w:rsid w:val="00E772B9"/>
    <w:rsid w:val="00E86DEA"/>
    <w:rsid w:val="00E94CEB"/>
    <w:rsid w:val="00E96B61"/>
    <w:rsid w:val="00EA2DBB"/>
    <w:rsid w:val="00EA48B5"/>
    <w:rsid w:val="00EB773F"/>
    <w:rsid w:val="00ED40A2"/>
    <w:rsid w:val="00EE13FC"/>
    <w:rsid w:val="00EF0B8C"/>
    <w:rsid w:val="00EF5936"/>
    <w:rsid w:val="00F041EE"/>
    <w:rsid w:val="00F07481"/>
    <w:rsid w:val="00F1018D"/>
    <w:rsid w:val="00F12C89"/>
    <w:rsid w:val="00F21FDE"/>
    <w:rsid w:val="00F23F82"/>
    <w:rsid w:val="00F26581"/>
    <w:rsid w:val="00F26D86"/>
    <w:rsid w:val="00F31D82"/>
    <w:rsid w:val="00F32991"/>
    <w:rsid w:val="00F348DD"/>
    <w:rsid w:val="00F41B60"/>
    <w:rsid w:val="00F46F07"/>
    <w:rsid w:val="00F50147"/>
    <w:rsid w:val="00F53976"/>
    <w:rsid w:val="00F54BF6"/>
    <w:rsid w:val="00F6168D"/>
    <w:rsid w:val="00F62000"/>
    <w:rsid w:val="00F62442"/>
    <w:rsid w:val="00F72F86"/>
    <w:rsid w:val="00F76FB7"/>
    <w:rsid w:val="00F77FA8"/>
    <w:rsid w:val="00F815BC"/>
    <w:rsid w:val="00F855B4"/>
    <w:rsid w:val="00F878F2"/>
    <w:rsid w:val="00F90F6E"/>
    <w:rsid w:val="00FA6BA8"/>
    <w:rsid w:val="00FB1F1A"/>
    <w:rsid w:val="00FB2910"/>
    <w:rsid w:val="00FB3B1F"/>
    <w:rsid w:val="00FC104F"/>
    <w:rsid w:val="00FC1BC5"/>
    <w:rsid w:val="00FC38D7"/>
    <w:rsid w:val="00FC3AA3"/>
    <w:rsid w:val="00FC3DF8"/>
    <w:rsid w:val="00FC7BF4"/>
    <w:rsid w:val="00FE025B"/>
    <w:rsid w:val="00FE2702"/>
    <w:rsid w:val="00FE7EFC"/>
    <w:rsid w:val="00FF57D4"/>
    <w:rsid w:val="00FF5CB3"/>
    <w:rsid w:val="00FF6A49"/>
    <w:rsid w:val="010D58B3"/>
    <w:rsid w:val="014225F1"/>
    <w:rsid w:val="015839D8"/>
    <w:rsid w:val="01682674"/>
    <w:rsid w:val="01876B2F"/>
    <w:rsid w:val="019163CB"/>
    <w:rsid w:val="019D049F"/>
    <w:rsid w:val="01B4734E"/>
    <w:rsid w:val="01B93C80"/>
    <w:rsid w:val="01D3044D"/>
    <w:rsid w:val="01E47DF0"/>
    <w:rsid w:val="01E70626"/>
    <w:rsid w:val="01E738BE"/>
    <w:rsid w:val="0226174E"/>
    <w:rsid w:val="02E242BF"/>
    <w:rsid w:val="03031155"/>
    <w:rsid w:val="034D01BD"/>
    <w:rsid w:val="03E97484"/>
    <w:rsid w:val="040B140F"/>
    <w:rsid w:val="04166AA4"/>
    <w:rsid w:val="0431460A"/>
    <w:rsid w:val="04A926FB"/>
    <w:rsid w:val="04AF31D3"/>
    <w:rsid w:val="04D8000B"/>
    <w:rsid w:val="04F2041D"/>
    <w:rsid w:val="052B0B4F"/>
    <w:rsid w:val="0574187F"/>
    <w:rsid w:val="057A2D64"/>
    <w:rsid w:val="05B7253A"/>
    <w:rsid w:val="05EA1ED6"/>
    <w:rsid w:val="06315508"/>
    <w:rsid w:val="069D1787"/>
    <w:rsid w:val="06AE26E0"/>
    <w:rsid w:val="06D5427A"/>
    <w:rsid w:val="07341696"/>
    <w:rsid w:val="073513A2"/>
    <w:rsid w:val="0742397B"/>
    <w:rsid w:val="075339B7"/>
    <w:rsid w:val="07571E37"/>
    <w:rsid w:val="0794218F"/>
    <w:rsid w:val="07CF49C4"/>
    <w:rsid w:val="07D945E2"/>
    <w:rsid w:val="080F3294"/>
    <w:rsid w:val="08286CC4"/>
    <w:rsid w:val="085C2A37"/>
    <w:rsid w:val="08C96617"/>
    <w:rsid w:val="09376A43"/>
    <w:rsid w:val="09530B0C"/>
    <w:rsid w:val="09930462"/>
    <w:rsid w:val="09EE3DEE"/>
    <w:rsid w:val="0A322EFF"/>
    <w:rsid w:val="0A3A6247"/>
    <w:rsid w:val="0A602DA4"/>
    <w:rsid w:val="0A652EA2"/>
    <w:rsid w:val="0ABD1B1B"/>
    <w:rsid w:val="0AC41F93"/>
    <w:rsid w:val="0B1E3E16"/>
    <w:rsid w:val="0B451A89"/>
    <w:rsid w:val="0B466729"/>
    <w:rsid w:val="0B4A5BC7"/>
    <w:rsid w:val="0B69372F"/>
    <w:rsid w:val="0B981A4F"/>
    <w:rsid w:val="0BAD404A"/>
    <w:rsid w:val="0BD5460E"/>
    <w:rsid w:val="0BDB5636"/>
    <w:rsid w:val="0C2B0232"/>
    <w:rsid w:val="0C8B7CC9"/>
    <w:rsid w:val="0CD74C04"/>
    <w:rsid w:val="0CDD6333"/>
    <w:rsid w:val="0CEF6744"/>
    <w:rsid w:val="0D0D2BEE"/>
    <w:rsid w:val="0D630929"/>
    <w:rsid w:val="0DB83214"/>
    <w:rsid w:val="0E826236"/>
    <w:rsid w:val="0E9450AF"/>
    <w:rsid w:val="0EAB77E5"/>
    <w:rsid w:val="0EBB2301"/>
    <w:rsid w:val="0F03465C"/>
    <w:rsid w:val="0F720648"/>
    <w:rsid w:val="0F72342F"/>
    <w:rsid w:val="0F946A81"/>
    <w:rsid w:val="0FC2407D"/>
    <w:rsid w:val="0FE072CD"/>
    <w:rsid w:val="0FF96F66"/>
    <w:rsid w:val="0FFE1D36"/>
    <w:rsid w:val="10966C98"/>
    <w:rsid w:val="10BD3A27"/>
    <w:rsid w:val="10DC1772"/>
    <w:rsid w:val="116B3151"/>
    <w:rsid w:val="11A437FB"/>
    <w:rsid w:val="11A51F12"/>
    <w:rsid w:val="11B60175"/>
    <w:rsid w:val="120B79C2"/>
    <w:rsid w:val="1299704D"/>
    <w:rsid w:val="12A80334"/>
    <w:rsid w:val="12A847D4"/>
    <w:rsid w:val="12E017D1"/>
    <w:rsid w:val="13115E73"/>
    <w:rsid w:val="13364423"/>
    <w:rsid w:val="133C56F0"/>
    <w:rsid w:val="13611C9F"/>
    <w:rsid w:val="13C75742"/>
    <w:rsid w:val="13DD30D0"/>
    <w:rsid w:val="13DF3A77"/>
    <w:rsid w:val="13FC729E"/>
    <w:rsid w:val="1415570C"/>
    <w:rsid w:val="142D2D35"/>
    <w:rsid w:val="144A6587"/>
    <w:rsid w:val="146520A8"/>
    <w:rsid w:val="146820EF"/>
    <w:rsid w:val="1474075C"/>
    <w:rsid w:val="14A8073B"/>
    <w:rsid w:val="14CA0056"/>
    <w:rsid w:val="14D7621E"/>
    <w:rsid w:val="151248AB"/>
    <w:rsid w:val="15174121"/>
    <w:rsid w:val="154423DB"/>
    <w:rsid w:val="156E0B64"/>
    <w:rsid w:val="15980568"/>
    <w:rsid w:val="15A067BE"/>
    <w:rsid w:val="15C24FD5"/>
    <w:rsid w:val="15C52B52"/>
    <w:rsid w:val="15E776C4"/>
    <w:rsid w:val="161C46C9"/>
    <w:rsid w:val="163C35BA"/>
    <w:rsid w:val="164C0AA8"/>
    <w:rsid w:val="166156DA"/>
    <w:rsid w:val="168131A7"/>
    <w:rsid w:val="168B298C"/>
    <w:rsid w:val="16991CEB"/>
    <w:rsid w:val="169E4778"/>
    <w:rsid w:val="16A65A51"/>
    <w:rsid w:val="16B4559A"/>
    <w:rsid w:val="16B76A2D"/>
    <w:rsid w:val="16D25D74"/>
    <w:rsid w:val="16D56350"/>
    <w:rsid w:val="175430F4"/>
    <w:rsid w:val="178A1DF3"/>
    <w:rsid w:val="17D25C2B"/>
    <w:rsid w:val="17D901D3"/>
    <w:rsid w:val="1806775A"/>
    <w:rsid w:val="1825175D"/>
    <w:rsid w:val="182A1CD8"/>
    <w:rsid w:val="182E4C04"/>
    <w:rsid w:val="18325AB6"/>
    <w:rsid w:val="18642244"/>
    <w:rsid w:val="18660C9C"/>
    <w:rsid w:val="188E6FF9"/>
    <w:rsid w:val="18AF2291"/>
    <w:rsid w:val="18BC4122"/>
    <w:rsid w:val="18DF3D6F"/>
    <w:rsid w:val="18E7292D"/>
    <w:rsid w:val="18FB5D93"/>
    <w:rsid w:val="19013C1D"/>
    <w:rsid w:val="19223537"/>
    <w:rsid w:val="19283C60"/>
    <w:rsid w:val="1929032E"/>
    <w:rsid w:val="1946122E"/>
    <w:rsid w:val="19697F08"/>
    <w:rsid w:val="19C1759E"/>
    <w:rsid w:val="1A006764"/>
    <w:rsid w:val="1A0965C0"/>
    <w:rsid w:val="1A517727"/>
    <w:rsid w:val="1A634797"/>
    <w:rsid w:val="1A6B2CA4"/>
    <w:rsid w:val="1A6E764E"/>
    <w:rsid w:val="1A702509"/>
    <w:rsid w:val="1A956CC8"/>
    <w:rsid w:val="1AAA598B"/>
    <w:rsid w:val="1AD40D89"/>
    <w:rsid w:val="1AD4686F"/>
    <w:rsid w:val="1B1514B9"/>
    <w:rsid w:val="1B337887"/>
    <w:rsid w:val="1B5F04C4"/>
    <w:rsid w:val="1B7864B7"/>
    <w:rsid w:val="1BA779BF"/>
    <w:rsid w:val="1C430D9D"/>
    <w:rsid w:val="1C5F2BA0"/>
    <w:rsid w:val="1C8440C3"/>
    <w:rsid w:val="1C9266C9"/>
    <w:rsid w:val="1CB6483F"/>
    <w:rsid w:val="1CC0518A"/>
    <w:rsid w:val="1CEE0DEC"/>
    <w:rsid w:val="1D360350"/>
    <w:rsid w:val="1D560C0E"/>
    <w:rsid w:val="1D645445"/>
    <w:rsid w:val="1DB223AF"/>
    <w:rsid w:val="1DC01491"/>
    <w:rsid w:val="1DDE0A46"/>
    <w:rsid w:val="1E141FDC"/>
    <w:rsid w:val="1E385CA6"/>
    <w:rsid w:val="1E57622D"/>
    <w:rsid w:val="1E647F82"/>
    <w:rsid w:val="1E785992"/>
    <w:rsid w:val="1ED4131B"/>
    <w:rsid w:val="1EDE699E"/>
    <w:rsid w:val="1F1765C6"/>
    <w:rsid w:val="1F211FC5"/>
    <w:rsid w:val="1F457B9D"/>
    <w:rsid w:val="1F705206"/>
    <w:rsid w:val="1FAE2F6B"/>
    <w:rsid w:val="1FCA0481"/>
    <w:rsid w:val="1FEA6199"/>
    <w:rsid w:val="200519D5"/>
    <w:rsid w:val="20570347"/>
    <w:rsid w:val="2067734C"/>
    <w:rsid w:val="20F40129"/>
    <w:rsid w:val="20FE01AE"/>
    <w:rsid w:val="214B2463"/>
    <w:rsid w:val="215919B4"/>
    <w:rsid w:val="217F539F"/>
    <w:rsid w:val="21B7146F"/>
    <w:rsid w:val="21EE2ED3"/>
    <w:rsid w:val="22015277"/>
    <w:rsid w:val="22317A58"/>
    <w:rsid w:val="22365EDD"/>
    <w:rsid w:val="223E39B4"/>
    <w:rsid w:val="2260705A"/>
    <w:rsid w:val="22684724"/>
    <w:rsid w:val="22C34C98"/>
    <w:rsid w:val="2354080D"/>
    <w:rsid w:val="23565997"/>
    <w:rsid w:val="235C1963"/>
    <w:rsid w:val="235D0393"/>
    <w:rsid w:val="23907C7C"/>
    <w:rsid w:val="23A66047"/>
    <w:rsid w:val="23CB35B2"/>
    <w:rsid w:val="2422633B"/>
    <w:rsid w:val="24887C00"/>
    <w:rsid w:val="24BE0AB3"/>
    <w:rsid w:val="25207428"/>
    <w:rsid w:val="2530781B"/>
    <w:rsid w:val="253C2D60"/>
    <w:rsid w:val="25731E52"/>
    <w:rsid w:val="25855C4C"/>
    <w:rsid w:val="25B34DDF"/>
    <w:rsid w:val="262308CB"/>
    <w:rsid w:val="263E402F"/>
    <w:rsid w:val="26744526"/>
    <w:rsid w:val="26F27F31"/>
    <w:rsid w:val="272737C3"/>
    <w:rsid w:val="275D4BF6"/>
    <w:rsid w:val="279A79E1"/>
    <w:rsid w:val="27A06B39"/>
    <w:rsid w:val="27AB2729"/>
    <w:rsid w:val="27C469A4"/>
    <w:rsid w:val="28612AB2"/>
    <w:rsid w:val="28A5375B"/>
    <w:rsid w:val="28D764B9"/>
    <w:rsid w:val="28E94B4C"/>
    <w:rsid w:val="29394C2F"/>
    <w:rsid w:val="2978149C"/>
    <w:rsid w:val="29B72C9A"/>
    <w:rsid w:val="2A0B0B69"/>
    <w:rsid w:val="2A336E92"/>
    <w:rsid w:val="2A3E2987"/>
    <w:rsid w:val="2A426517"/>
    <w:rsid w:val="2A7000B2"/>
    <w:rsid w:val="2A75638A"/>
    <w:rsid w:val="2A9635A4"/>
    <w:rsid w:val="2AB21431"/>
    <w:rsid w:val="2AE42B1A"/>
    <w:rsid w:val="2AFD5B64"/>
    <w:rsid w:val="2B044710"/>
    <w:rsid w:val="2B1860D7"/>
    <w:rsid w:val="2B3105BC"/>
    <w:rsid w:val="2B426F8F"/>
    <w:rsid w:val="2B5E69E6"/>
    <w:rsid w:val="2BA538F4"/>
    <w:rsid w:val="2BBE7214"/>
    <w:rsid w:val="2C0A18A7"/>
    <w:rsid w:val="2C1C7BF3"/>
    <w:rsid w:val="2C3354DF"/>
    <w:rsid w:val="2CAE38E9"/>
    <w:rsid w:val="2CBE4D9D"/>
    <w:rsid w:val="2CD60F3C"/>
    <w:rsid w:val="2CDD2BAC"/>
    <w:rsid w:val="2D177A58"/>
    <w:rsid w:val="2D74761C"/>
    <w:rsid w:val="2D752AEB"/>
    <w:rsid w:val="2DB05533"/>
    <w:rsid w:val="2DC42544"/>
    <w:rsid w:val="2E0C3699"/>
    <w:rsid w:val="2E301DD8"/>
    <w:rsid w:val="2E3B5124"/>
    <w:rsid w:val="2E5875C3"/>
    <w:rsid w:val="2E715B8F"/>
    <w:rsid w:val="2E806632"/>
    <w:rsid w:val="2ED32FD8"/>
    <w:rsid w:val="2ED86992"/>
    <w:rsid w:val="2EE60D78"/>
    <w:rsid w:val="2EF74320"/>
    <w:rsid w:val="2F016D60"/>
    <w:rsid w:val="2F2C3C87"/>
    <w:rsid w:val="2F6B25FD"/>
    <w:rsid w:val="2F9725CF"/>
    <w:rsid w:val="2F9D298E"/>
    <w:rsid w:val="30177AE0"/>
    <w:rsid w:val="30266927"/>
    <w:rsid w:val="303F35DE"/>
    <w:rsid w:val="30794560"/>
    <w:rsid w:val="307A1857"/>
    <w:rsid w:val="30B45DE2"/>
    <w:rsid w:val="312052F6"/>
    <w:rsid w:val="31237B2A"/>
    <w:rsid w:val="312E353A"/>
    <w:rsid w:val="31497E0D"/>
    <w:rsid w:val="3189319E"/>
    <w:rsid w:val="31D63DB4"/>
    <w:rsid w:val="320440A0"/>
    <w:rsid w:val="32071B94"/>
    <w:rsid w:val="3236198C"/>
    <w:rsid w:val="32457CD5"/>
    <w:rsid w:val="32537D11"/>
    <w:rsid w:val="32562B9C"/>
    <w:rsid w:val="32850E15"/>
    <w:rsid w:val="32855098"/>
    <w:rsid w:val="32A53D54"/>
    <w:rsid w:val="32CC32E8"/>
    <w:rsid w:val="32D3472D"/>
    <w:rsid w:val="32E8685A"/>
    <w:rsid w:val="331F58DD"/>
    <w:rsid w:val="33343B39"/>
    <w:rsid w:val="333F47C7"/>
    <w:rsid w:val="33556DA7"/>
    <w:rsid w:val="337865FD"/>
    <w:rsid w:val="33A33441"/>
    <w:rsid w:val="33A8584D"/>
    <w:rsid w:val="33AA7B58"/>
    <w:rsid w:val="33CB60D2"/>
    <w:rsid w:val="33CD2DA9"/>
    <w:rsid w:val="33F41BAF"/>
    <w:rsid w:val="341A71A4"/>
    <w:rsid w:val="3442526E"/>
    <w:rsid w:val="34615CDB"/>
    <w:rsid w:val="346F19E9"/>
    <w:rsid w:val="34796A88"/>
    <w:rsid w:val="34987D4B"/>
    <w:rsid w:val="349B08A0"/>
    <w:rsid w:val="34C5103D"/>
    <w:rsid w:val="34CD149F"/>
    <w:rsid w:val="34D31237"/>
    <w:rsid w:val="35106576"/>
    <w:rsid w:val="35134109"/>
    <w:rsid w:val="353C3986"/>
    <w:rsid w:val="354A71CF"/>
    <w:rsid w:val="36007ED5"/>
    <w:rsid w:val="361651E0"/>
    <w:rsid w:val="364016C1"/>
    <w:rsid w:val="36E62C42"/>
    <w:rsid w:val="3716456C"/>
    <w:rsid w:val="372B23C0"/>
    <w:rsid w:val="37C42569"/>
    <w:rsid w:val="37F045B5"/>
    <w:rsid w:val="38060034"/>
    <w:rsid w:val="3854756C"/>
    <w:rsid w:val="38823FAC"/>
    <w:rsid w:val="3886552C"/>
    <w:rsid w:val="3908672B"/>
    <w:rsid w:val="3938019B"/>
    <w:rsid w:val="394A4FC9"/>
    <w:rsid w:val="39546239"/>
    <w:rsid w:val="398539B1"/>
    <w:rsid w:val="39863B54"/>
    <w:rsid w:val="39CD7397"/>
    <w:rsid w:val="3A4C1D27"/>
    <w:rsid w:val="3A79634D"/>
    <w:rsid w:val="3B01323F"/>
    <w:rsid w:val="3B622A7E"/>
    <w:rsid w:val="3B784F6B"/>
    <w:rsid w:val="3B820E43"/>
    <w:rsid w:val="3BAD4016"/>
    <w:rsid w:val="3BD45D84"/>
    <w:rsid w:val="3BE41DB6"/>
    <w:rsid w:val="3BF83AC0"/>
    <w:rsid w:val="3C0C49B2"/>
    <w:rsid w:val="3C297D7C"/>
    <w:rsid w:val="3C725824"/>
    <w:rsid w:val="3CA2144F"/>
    <w:rsid w:val="3CF343F8"/>
    <w:rsid w:val="3D0F4529"/>
    <w:rsid w:val="3D193F6E"/>
    <w:rsid w:val="3D4C3A6B"/>
    <w:rsid w:val="3D567DD9"/>
    <w:rsid w:val="3D5A6679"/>
    <w:rsid w:val="3E017779"/>
    <w:rsid w:val="3E0B2710"/>
    <w:rsid w:val="3E1A4EA2"/>
    <w:rsid w:val="3E4F3144"/>
    <w:rsid w:val="3E5530FF"/>
    <w:rsid w:val="3E9438A1"/>
    <w:rsid w:val="3EB42C7B"/>
    <w:rsid w:val="3EDB1E6B"/>
    <w:rsid w:val="3EE443AE"/>
    <w:rsid w:val="3F042E37"/>
    <w:rsid w:val="3F184EFD"/>
    <w:rsid w:val="3F3A0E89"/>
    <w:rsid w:val="3F581B13"/>
    <w:rsid w:val="3F976A0C"/>
    <w:rsid w:val="3FE95FB8"/>
    <w:rsid w:val="3FF23AC3"/>
    <w:rsid w:val="40065124"/>
    <w:rsid w:val="40403B7F"/>
    <w:rsid w:val="40576FF6"/>
    <w:rsid w:val="40651E46"/>
    <w:rsid w:val="408C7A4A"/>
    <w:rsid w:val="40937351"/>
    <w:rsid w:val="40AA5790"/>
    <w:rsid w:val="40CC3F9A"/>
    <w:rsid w:val="40D16FB0"/>
    <w:rsid w:val="411D460B"/>
    <w:rsid w:val="41897B63"/>
    <w:rsid w:val="41A96006"/>
    <w:rsid w:val="41D068C6"/>
    <w:rsid w:val="420632CB"/>
    <w:rsid w:val="420B5D46"/>
    <w:rsid w:val="428C59B1"/>
    <w:rsid w:val="42AB0D22"/>
    <w:rsid w:val="432B53D3"/>
    <w:rsid w:val="43513EF1"/>
    <w:rsid w:val="441F3059"/>
    <w:rsid w:val="443214C0"/>
    <w:rsid w:val="446F3DE8"/>
    <w:rsid w:val="44971428"/>
    <w:rsid w:val="44C631C9"/>
    <w:rsid w:val="45436C16"/>
    <w:rsid w:val="454513B1"/>
    <w:rsid w:val="458B0F03"/>
    <w:rsid w:val="45F93A19"/>
    <w:rsid w:val="463719CC"/>
    <w:rsid w:val="46384FAF"/>
    <w:rsid w:val="46411E8A"/>
    <w:rsid w:val="465D75C6"/>
    <w:rsid w:val="46667BAB"/>
    <w:rsid w:val="46741439"/>
    <w:rsid w:val="472C16AD"/>
    <w:rsid w:val="473613AB"/>
    <w:rsid w:val="47AE2491"/>
    <w:rsid w:val="47C16129"/>
    <w:rsid w:val="47D55DC3"/>
    <w:rsid w:val="47DE0298"/>
    <w:rsid w:val="486B3638"/>
    <w:rsid w:val="487E2E5A"/>
    <w:rsid w:val="48922B19"/>
    <w:rsid w:val="489A200D"/>
    <w:rsid w:val="48A446F7"/>
    <w:rsid w:val="48B73E24"/>
    <w:rsid w:val="48F523F8"/>
    <w:rsid w:val="48F72AFA"/>
    <w:rsid w:val="490D78F5"/>
    <w:rsid w:val="4950704C"/>
    <w:rsid w:val="495112C8"/>
    <w:rsid w:val="49AC7393"/>
    <w:rsid w:val="49E26D2B"/>
    <w:rsid w:val="49E927B2"/>
    <w:rsid w:val="4A1631FE"/>
    <w:rsid w:val="4A441B5A"/>
    <w:rsid w:val="4A45162A"/>
    <w:rsid w:val="4A597A71"/>
    <w:rsid w:val="4AFA3808"/>
    <w:rsid w:val="4B596806"/>
    <w:rsid w:val="4B721C8D"/>
    <w:rsid w:val="4B9550DC"/>
    <w:rsid w:val="4C364938"/>
    <w:rsid w:val="4C512039"/>
    <w:rsid w:val="4C572C59"/>
    <w:rsid w:val="4C576F3D"/>
    <w:rsid w:val="4C63237F"/>
    <w:rsid w:val="4CB67931"/>
    <w:rsid w:val="4CDF6947"/>
    <w:rsid w:val="4CE93ECD"/>
    <w:rsid w:val="4D162ABF"/>
    <w:rsid w:val="4D1A4CFB"/>
    <w:rsid w:val="4DE51CB8"/>
    <w:rsid w:val="4ECF37AF"/>
    <w:rsid w:val="4F3B0AB6"/>
    <w:rsid w:val="4F8F7B58"/>
    <w:rsid w:val="4F984CAA"/>
    <w:rsid w:val="4FB822AA"/>
    <w:rsid w:val="4FCF14AF"/>
    <w:rsid w:val="4FFC458B"/>
    <w:rsid w:val="4FFD5C7C"/>
    <w:rsid w:val="503206E5"/>
    <w:rsid w:val="50482232"/>
    <w:rsid w:val="50564B0F"/>
    <w:rsid w:val="509814E8"/>
    <w:rsid w:val="509A452F"/>
    <w:rsid w:val="50A9213C"/>
    <w:rsid w:val="513F06DB"/>
    <w:rsid w:val="515155CE"/>
    <w:rsid w:val="51C12AEB"/>
    <w:rsid w:val="52E01E4E"/>
    <w:rsid w:val="52E33650"/>
    <w:rsid w:val="533813B6"/>
    <w:rsid w:val="536023FD"/>
    <w:rsid w:val="537E705C"/>
    <w:rsid w:val="53FD3CDE"/>
    <w:rsid w:val="540E2EAA"/>
    <w:rsid w:val="543F6D5E"/>
    <w:rsid w:val="54483ECD"/>
    <w:rsid w:val="54691210"/>
    <w:rsid w:val="54793527"/>
    <w:rsid w:val="547B287A"/>
    <w:rsid w:val="54A27CB1"/>
    <w:rsid w:val="54F7072E"/>
    <w:rsid w:val="55086BA9"/>
    <w:rsid w:val="550D6085"/>
    <w:rsid w:val="551A36D1"/>
    <w:rsid w:val="552039B5"/>
    <w:rsid w:val="553034C4"/>
    <w:rsid w:val="5538542A"/>
    <w:rsid w:val="55581EF4"/>
    <w:rsid w:val="5576782E"/>
    <w:rsid w:val="55833133"/>
    <w:rsid w:val="559F1227"/>
    <w:rsid w:val="55BC1956"/>
    <w:rsid w:val="55C55A5B"/>
    <w:rsid w:val="56707C40"/>
    <w:rsid w:val="567842A5"/>
    <w:rsid w:val="56820EB0"/>
    <w:rsid w:val="5683622A"/>
    <w:rsid w:val="56AF0A97"/>
    <w:rsid w:val="56B06227"/>
    <w:rsid w:val="57972123"/>
    <w:rsid w:val="579F5CDB"/>
    <w:rsid w:val="57A2102F"/>
    <w:rsid w:val="57A828F1"/>
    <w:rsid w:val="57A83413"/>
    <w:rsid w:val="57F70F19"/>
    <w:rsid w:val="581B62FE"/>
    <w:rsid w:val="581B77C9"/>
    <w:rsid w:val="58395AFB"/>
    <w:rsid w:val="5843490D"/>
    <w:rsid w:val="584D36AF"/>
    <w:rsid w:val="58512AC2"/>
    <w:rsid w:val="58530C13"/>
    <w:rsid w:val="5862357E"/>
    <w:rsid w:val="58633582"/>
    <w:rsid w:val="58665EDB"/>
    <w:rsid w:val="586F16C2"/>
    <w:rsid w:val="587D21CA"/>
    <w:rsid w:val="58A43B3C"/>
    <w:rsid w:val="592605BF"/>
    <w:rsid w:val="59536C7A"/>
    <w:rsid w:val="598B1795"/>
    <w:rsid w:val="598F7922"/>
    <w:rsid w:val="59923041"/>
    <w:rsid w:val="59C109C1"/>
    <w:rsid w:val="5A3D4F42"/>
    <w:rsid w:val="5A681CC3"/>
    <w:rsid w:val="5A897FE0"/>
    <w:rsid w:val="5A922FFA"/>
    <w:rsid w:val="5B83456F"/>
    <w:rsid w:val="5B97532A"/>
    <w:rsid w:val="5B9E176F"/>
    <w:rsid w:val="5BCF67FC"/>
    <w:rsid w:val="5BDF7384"/>
    <w:rsid w:val="5BE55BAC"/>
    <w:rsid w:val="5C195E98"/>
    <w:rsid w:val="5C5F7C41"/>
    <w:rsid w:val="5C701616"/>
    <w:rsid w:val="5CBF4274"/>
    <w:rsid w:val="5CF76D83"/>
    <w:rsid w:val="5D00601A"/>
    <w:rsid w:val="5D1E79FF"/>
    <w:rsid w:val="5D836166"/>
    <w:rsid w:val="5DD83F57"/>
    <w:rsid w:val="5DF05AAD"/>
    <w:rsid w:val="5DFF2EF9"/>
    <w:rsid w:val="5E1C16CD"/>
    <w:rsid w:val="5E8645FD"/>
    <w:rsid w:val="5F3F2790"/>
    <w:rsid w:val="5F7C6E1C"/>
    <w:rsid w:val="5FBF4047"/>
    <w:rsid w:val="60225BCF"/>
    <w:rsid w:val="60685649"/>
    <w:rsid w:val="60913D79"/>
    <w:rsid w:val="60C62D08"/>
    <w:rsid w:val="6104553A"/>
    <w:rsid w:val="61586053"/>
    <w:rsid w:val="61A75E69"/>
    <w:rsid w:val="622C2B37"/>
    <w:rsid w:val="62377C3D"/>
    <w:rsid w:val="62450929"/>
    <w:rsid w:val="62535673"/>
    <w:rsid w:val="63117BB6"/>
    <w:rsid w:val="632254C4"/>
    <w:rsid w:val="63416C33"/>
    <w:rsid w:val="6364194D"/>
    <w:rsid w:val="63933F0B"/>
    <w:rsid w:val="63B24125"/>
    <w:rsid w:val="63B52132"/>
    <w:rsid w:val="63CB5D51"/>
    <w:rsid w:val="63EC5FE4"/>
    <w:rsid w:val="64154475"/>
    <w:rsid w:val="642A3FCE"/>
    <w:rsid w:val="642C4369"/>
    <w:rsid w:val="64823817"/>
    <w:rsid w:val="649D55D5"/>
    <w:rsid w:val="64B75FC6"/>
    <w:rsid w:val="64C72912"/>
    <w:rsid w:val="64EE25AA"/>
    <w:rsid w:val="651526F1"/>
    <w:rsid w:val="65533F1C"/>
    <w:rsid w:val="655906A5"/>
    <w:rsid w:val="655E4DBD"/>
    <w:rsid w:val="657846B3"/>
    <w:rsid w:val="659568AE"/>
    <w:rsid w:val="65B62B4E"/>
    <w:rsid w:val="65C42D8B"/>
    <w:rsid w:val="65C572C5"/>
    <w:rsid w:val="65F2262F"/>
    <w:rsid w:val="65FD69E0"/>
    <w:rsid w:val="66037D2E"/>
    <w:rsid w:val="669A6139"/>
    <w:rsid w:val="66A40216"/>
    <w:rsid w:val="66A9231B"/>
    <w:rsid w:val="66C600E6"/>
    <w:rsid w:val="66D97F04"/>
    <w:rsid w:val="66DD5B9A"/>
    <w:rsid w:val="66E750DB"/>
    <w:rsid w:val="67074D42"/>
    <w:rsid w:val="672F673E"/>
    <w:rsid w:val="673509E4"/>
    <w:rsid w:val="6741091D"/>
    <w:rsid w:val="67756D61"/>
    <w:rsid w:val="67894D4C"/>
    <w:rsid w:val="67A17B20"/>
    <w:rsid w:val="67AC62A2"/>
    <w:rsid w:val="67AE6537"/>
    <w:rsid w:val="67C440AF"/>
    <w:rsid w:val="67D74CBC"/>
    <w:rsid w:val="67ED28D6"/>
    <w:rsid w:val="68423A7C"/>
    <w:rsid w:val="68764C2C"/>
    <w:rsid w:val="68A10DF2"/>
    <w:rsid w:val="68B82395"/>
    <w:rsid w:val="68C2109C"/>
    <w:rsid w:val="68E04773"/>
    <w:rsid w:val="691D3A00"/>
    <w:rsid w:val="69340C78"/>
    <w:rsid w:val="69864620"/>
    <w:rsid w:val="69B6540C"/>
    <w:rsid w:val="69BF13B5"/>
    <w:rsid w:val="69F37D95"/>
    <w:rsid w:val="6A3034A6"/>
    <w:rsid w:val="6A680A8F"/>
    <w:rsid w:val="6AD46636"/>
    <w:rsid w:val="6AFF13A1"/>
    <w:rsid w:val="6B117057"/>
    <w:rsid w:val="6B307CD1"/>
    <w:rsid w:val="6B727BDA"/>
    <w:rsid w:val="6BBE1C33"/>
    <w:rsid w:val="6BED3A8B"/>
    <w:rsid w:val="6C067A75"/>
    <w:rsid w:val="6C1F1399"/>
    <w:rsid w:val="6C2125C7"/>
    <w:rsid w:val="6C5B33E5"/>
    <w:rsid w:val="6C6138F8"/>
    <w:rsid w:val="6C731A48"/>
    <w:rsid w:val="6C7573AB"/>
    <w:rsid w:val="6C823EF0"/>
    <w:rsid w:val="6C850D84"/>
    <w:rsid w:val="6CAF3745"/>
    <w:rsid w:val="6CCC5CA2"/>
    <w:rsid w:val="6D1811C0"/>
    <w:rsid w:val="6D187F3D"/>
    <w:rsid w:val="6D367E55"/>
    <w:rsid w:val="6D816311"/>
    <w:rsid w:val="6DB37358"/>
    <w:rsid w:val="6DBB0EE0"/>
    <w:rsid w:val="6DE471EA"/>
    <w:rsid w:val="6E6E59FF"/>
    <w:rsid w:val="6E932003"/>
    <w:rsid w:val="6E953511"/>
    <w:rsid w:val="6EDA07F9"/>
    <w:rsid w:val="6F1B7FF7"/>
    <w:rsid w:val="6F30049D"/>
    <w:rsid w:val="707E32BC"/>
    <w:rsid w:val="70EC6A61"/>
    <w:rsid w:val="71D642D5"/>
    <w:rsid w:val="72022807"/>
    <w:rsid w:val="724A54D3"/>
    <w:rsid w:val="72773EE5"/>
    <w:rsid w:val="729B1A13"/>
    <w:rsid w:val="72A05501"/>
    <w:rsid w:val="72A9545C"/>
    <w:rsid w:val="72ED3028"/>
    <w:rsid w:val="7317687D"/>
    <w:rsid w:val="73201107"/>
    <w:rsid w:val="734D110C"/>
    <w:rsid w:val="737D21EE"/>
    <w:rsid w:val="738210F4"/>
    <w:rsid w:val="73882E5E"/>
    <w:rsid w:val="738C049E"/>
    <w:rsid w:val="73A25019"/>
    <w:rsid w:val="73CD7DAB"/>
    <w:rsid w:val="73D871E6"/>
    <w:rsid w:val="742F3CC2"/>
    <w:rsid w:val="744346BD"/>
    <w:rsid w:val="746A3CFB"/>
    <w:rsid w:val="747E75D6"/>
    <w:rsid w:val="748D5029"/>
    <w:rsid w:val="74902E77"/>
    <w:rsid w:val="749C2B9B"/>
    <w:rsid w:val="74AD60EB"/>
    <w:rsid w:val="74CE20BB"/>
    <w:rsid w:val="753B2C75"/>
    <w:rsid w:val="75545632"/>
    <w:rsid w:val="755C7EED"/>
    <w:rsid w:val="756056C0"/>
    <w:rsid w:val="75A60815"/>
    <w:rsid w:val="75B224E7"/>
    <w:rsid w:val="75B40091"/>
    <w:rsid w:val="764E2205"/>
    <w:rsid w:val="7662595E"/>
    <w:rsid w:val="7664667B"/>
    <w:rsid w:val="76791FAA"/>
    <w:rsid w:val="76F37483"/>
    <w:rsid w:val="77393564"/>
    <w:rsid w:val="775D2FD3"/>
    <w:rsid w:val="778C3FF9"/>
    <w:rsid w:val="77A052CC"/>
    <w:rsid w:val="77C20BE5"/>
    <w:rsid w:val="77F3128E"/>
    <w:rsid w:val="782F4F41"/>
    <w:rsid w:val="7861564E"/>
    <w:rsid w:val="78706928"/>
    <w:rsid w:val="78715A48"/>
    <w:rsid w:val="789C5F39"/>
    <w:rsid w:val="78AE128F"/>
    <w:rsid w:val="78E8506A"/>
    <w:rsid w:val="78EE6F9F"/>
    <w:rsid w:val="791557B1"/>
    <w:rsid w:val="79426444"/>
    <w:rsid w:val="799E4A1D"/>
    <w:rsid w:val="79CE6B0A"/>
    <w:rsid w:val="79DD1BE1"/>
    <w:rsid w:val="7A145B80"/>
    <w:rsid w:val="7A166E0A"/>
    <w:rsid w:val="7A93523A"/>
    <w:rsid w:val="7A971227"/>
    <w:rsid w:val="7AA54687"/>
    <w:rsid w:val="7AAE29CB"/>
    <w:rsid w:val="7AB65884"/>
    <w:rsid w:val="7AB76A45"/>
    <w:rsid w:val="7AE628EA"/>
    <w:rsid w:val="7B0133A6"/>
    <w:rsid w:val="7B334E1C"/>
    <w:rsid w:val="7B721DC3"/>
    <w:rsid w:val="7B735449"/>
    <w:rsid w:val="7B9430C5"/>
    <w:rsid w:val="7B9A3C3E"/>
    <w:rsid w:val="7BCB76E0"/>
    <w:rsid w:val="7BE84AE0"/>
    <w:rsid w:val="7C0B3C75"/>
    <w:rsid w:val="7C1621C5"/>
    <w:rsid w:val="7C297753"/>
    <w:rsid w:val="7C314FC8"/>
    <w:rsid w:val="7C431259"/>
    <w:rsid w:val="7C5C384A"/>
    <w:rsid w:val="7C706B2B"/>
    <w:rsid w:val="7CC12567"/>
    <w:rsid w:val="7CD94E8F"/>
    <w:rsid w:val="7D391A96"/>
    <w:rsid w:val="7D4375A0"/>
    <w:rsid w:val="7D466C9A"/>
    <w:rsid w:val="7D514E7F"/>
    <w:rsid w:val="7DD21669"/>
    <w:rsid w:val="7DFF29AF"/>
    <w:rsid w:val="7E4870A9"/>
    <w:rsid w:val="7E4A7D1E"/>
    <w:rsid w:val="7E9C3166"/>
    <w:rsid w:val="7EA456FF"/>
    <w:rsid w:val="7EDA19D6"/>
    <w:rsid w:val="7F142281"/>
    <w:rsid w:val="7F2854C4"/>
    <w:rsid w:val="7F2D7A3F"/>
    <w:rsid w:val="7F39474E"/>
    <w:rsid w:val="7FCA5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mbria" w:hAnsi="Cambria" w:eastAsia="宋体" w:cs="Times New Roman"/>
      <w:sz w:val="22"/>
      <w:szCs w:val="22"/>
      <w:lang w:val="en-US" w:eastAsia="en-US" w:bidi="en-US"/>
    </w:rPr>
  </w:style>
  <w:style w:type="paragraph" w:styleId="2">
    <w:name w:val="heading 1"/>
    <w:basedOn w:val="1"/>
    <w:next w:val="1"/>
    <w:link w:val="20"/>
    <w:qFormat/>
    <w:uiPriority w:val="9"/>
    <w:pPr>
      <w:spacing w:before="480" w:after="0"/>
      <w:contextualSpacing/>
      <w:outlineLvl w:val="0"/>
    </w:pPr>
    <w:rPr>
      <w:smallCaps/>
      <w:spacing w:val="5"/>
      <w:sz w:val="36"/>
      <w:szCs w:val="36"/>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Body Text"/>
    <w:basedOn w:val="1"/>
    <w:link w:val="26"/>
    <w:unhideWhenUsed/>
    <w:qFormat/>
    <w:uiPriority w:val="99"/>
    <w:pPr>
      <w:spacing w:after="120"/>
    </w:pPr>
  </w:style>
  <w:style w:type="paragraph" w:styleId="5">
    <w:name w:val="Balloon Text"/>
    <w:basedOn w:val="1"/>
    <w:link w:val="17"/>
    <w:unhideWhenUsed/>
    <w:qFormat/>
    <w:uiPriority w:val="99"/>
    <w:pPr>
      <w:spacing w:after="0" w:line="240" w:lineRule="auto"/>
    </w:pPr>
    <w:rPr>
      <w:sz w:val="18"/>
      <w:szCs w:val="18"/>
    </w:rPr>
  </w:style>
  <w:style w:type="paragraph" w:styleId="6">
    <w:name w:val="footer"/>
    <w:basedOn w:val="1"/>
    <w:link w:val="19"/>
    <w:unhideWhenUsed/>
    <w:qFormat/>
    <w:uiPriority w:val="0"/>
    <w:pPr>
      <w:tabs>
        <w:tab w:val="center" w:pos="4153"/>
        <w:tab w:val="right" w:pos="8306"/>
      </w:tabs>
      <w:snapToGrid w:val="0"/>
      <w:spacing w:line="240" w:lineRule="auto"/>
    </w:pPr>
    <w:rPr>
      <w:sz w:val="18"/>
      <w:szCs w:val="18"/>
    </w:rPr>
  </w:style>
  <w:style w:type="paragraph" w:styleId="7">
    <w:name w:val="header"/>
    <w:basedOn w:val="1"/>
    <w:link w:val="18"/>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unhideWhenUsed/>
    <w:uiPriority w:val="99"/>
    <w:rPr>
      <w:sz w:val="24"/>
    </w:rPr>
  </w:style>
  <w:style w:type="paragraph" w:styleId="11">
    <w:name w:val="Body Text First Indent"/>
    <w:basedOn w:val="4"/>
    <w:link w:val="16"/>
    <w:qFormat/>
    <w:uiPriority w:val="0"/>
    <w:pPr>
      <w:ind w:firstLine="420"/>
    </w:pPr>
    <w:rPr>
      <w:szCs w:val="20"/>
    </w:rPr>
  </w:style>
  <w:style w:type="character" w:styleId="14">
    <w:name w:val="Hyperlink"/>
    <w:basedOn w:val="13"/>
    <w:unhideWhenUsed/>
    <w:qFormat/>
    <w:uiPriority w:val="99"/>
    <w:rPr>
      <w:color w:val="0000FF" w:themeColor="hyperlink"/>
      <w:u w:val="single"/>
    </w:rPr>
  </w:style>
  <w:style w:type="character" w:customStyle="1" w:styleId="15">
    <w:name w:val="正文文本 Char"/>
    <w:basedOn w:val="13"/>
    <w:semiHidden/>
    <w:qFormat/>
    <w:uiPriority w:val="99"/>
    <w:rPr>
      <w:rFonts w:ascii="Cambria" w:hAnsi="Cambria" w:eastAsia="宋体" w:cs="Times New Roman"/>
      <w:kern w:val="0"/>
      <w:sz w:val="22"/>
      <w:lang w:eastAsia="en-US" w:bidi="en-US"/>
    </w:rPr>
  </w:style>
  <w:style w:type="character" w:customStyle="1" w:styleId="16">
    <w:name w:val="正文首行缩进 Char"/>
    <w:basedOn w:val="15"/>
    <w:link w:val="11"/>
    <w:qFormat/>
    <w:uiPriority w:val="0"/>
    <w:rPr>
      <w:rFonts w:ascii="Cambria" w:hAnsi="Cambria" w:eastAsia="宋体" w:cs="Times New Roman"/>
      <w:kern w:val="0"/>
      <w:sz w:val="22"/>
      <w:szCs w:val="20"/>
      <w:lang w:eastAsia="en-US" w:bidi="en-US"/>
    </w:rPr>
  </w:style>
  <w:style w:type="character" w:customStyle="1" w:styleId="17">
    <w:name w:val="批注框文本 Char"/>
    <w:basedOn w:val="13"/>
    <w:link w:val="5"/>
    <w:semiHidden/>
    <w:qFormat/>
    <w:uiPriority w:val="99"/>
    <w:rPr>
      <w:rFonts w:ascii="Cambria" w:hAnsi="Cambria" w:eastAsia="宋体" w:cs="Times New Roman"/>
      <w:kern w:val="0"/>
      <w:sz w:val="18"/>
      <w:szCs w:val="18"/>
      <w:lang w:eastAsia="en-US" w:bidi="en-US"/>
    </w:rPr>
  </w:style>
  <w:style w:type="character" w:customStyle="1" w:styleId="18">
    <w:name w:val="页眉 Char"/>
    <w:basedOn w:val="13"/>
    <w:link w:val="7"/>
    <w:semiHidden/>
    <w:qFormat/>
    <w:uiPriority w:val="99"/>
    <w:rPr>
      <w:rFonts w:ascii="Cambria" w:hAnsi="Cambria" w:eastAsia="宋体" w:cs="Times New Roman"/>
      <w:kern w:val="0"/>
      <w:sz w:val="18"/>
      <w:szCs w:val="18"/>
      <w:lang w:eastAsia="en-US" w:bidi="en-US"/>
    </w:rPr>
  </w:style>
  <w:style w:type="character" w:customStyle="1" w:styleId="19">
    <w:name w:val="页脚 Char"/>
    <w:basedOn w:val="13"/>
    <w:link w:val="6"/>
    <w:semiHidden/>
    <w:qFormat/>
    <w:uiPriority w:val="99"/>
    <w:rPr>
      <w:rFonts w:ascii="Cambria" w:hAnsi="Cambria" w:eastAsia="宋体" w:cs="Times New Roman"/>
      <w:kern w:val="0"/>
      <w:sz w:val="18"/>
      <w:szCs w:val="18"/>
      <w:lang w:eastAsia="en-US" w:bidi="en-US"/>
    </w:rPr>
  </w:style>
  <w:style w:type="character" w:customStyle="1" w:styleId="20">
    <w:name w:val="标题 1 Char"/>
    <w:basedOn w:val="13"/>
    <w:link w:val="2"/>
    <w:qFormat/>
    <w:uiPriority w:val="9"/>
    <w:rPr>
      <w:rFonts w:ascii="Cambria" w:hAnsi="Cambria" w:eastAsia="宋体" w:cs="Times New Roman"/>
      <w:smallCaps/>
      <w:spacing w:val="5"/>
      <w:kern w:val="0"/>
      <w:sz w:val="36"/>
      <w:szCs w:val="36"/>
      <w:lang w:eastAsia="en-US" w:bidi="en-US"/>
    </w:rPr>
  </w:style>
  <w:style w:type="character" w:customStyle="1" w:styleId="21">
    <w:name w:val="标题 2 Char"/>
    <w:basedOn w:val="13"/>
    <w:link w:val="3"/>
    <w:semiHidden/>
    <w:qFormat/>
    <w:uiPriority w:val="9"/>
    <w:rPr>
      <w:rFonts w:asciiTheme="majorHAnsi" w:hAnsiTheme="majorHAnsi" w:eastAsiaTheme="majorEastAsia" w:cstheme="majorBidi"/>
      <w:b/>
      <w:bCs/>
      <w:kern w:val="0"/>
      <w:sz w:val="32"/>
      <w:szCs w:val="32"/>
      <w:lang w:eastAsia="en-US" w:bidi="en-US"/>
    </w:rPr>
  </w:style>
  <w:style w:type="paragraph" w:customStyle="1" w:styleId="22">
    <w:name w:val="列出段落1"/>
    <w:basedOn w:val="1"/>
    <w:qFormat/>
    <w:uiPriority w:val="34"/>
    <w:pPr>
      <w:ind w:firstLine="420" w:firstLineChars="200"/>
    </w:pPr>
  </w:style>
  <w:style w:type="paragraph" w:customStyle="1" w:styleId="23">
    <w:name w:val="TOC 标题1"/>
    <w:basedOn w:val="2"/>
    <w:next w:val="1"/>
    <w:unhideWhenUsed/>
    <w:qFormat/>
    <w:uiPriority w:val="39"/>
    <w:pPr>
      <w:keepNext/>
      <w:keepLines/>
      <w:contextualSpacing w:val="0"/>
      <w:outlineLvl w:val="9"/>
    </w:pPr>
    <w:rPr>
      <w:rFonts w:asciiTheme="majorHAnsi" w:hAnsiTheme="majorHAnsi" w:eastAsiaTheme="majorEastAsia" w:cstheme="majorBidi"/>
      <w:b/>
      <w:bCs/>
      <w:smallCaps w:val="0"/>
      <w:color w:val="366091" w:themeColor="accent1" w:themeShade="BF"/>
      <w:spacing w:val="0"/>
      <w:sz w:val="28"/>
      <w:szCs w:val="28"/>
      <w:lang w:eastAsia="zh-CN" w:bidi="ar-SA"/>
    </w:rPr>
  </w:style>
  <w:style w:type="character" w:customStyle="1" w:styleId="24">
    <w:name w:val="font51"/>
    <w:basedOn w:val="13"/>
    <w:qFormat/>
    <w:uiPriority w:val="0"/>
    <w:rPr>
      <w:rFonts w:hint="eastAsia" w:ascii="宋体" w:hAnsi="宋体" w:eastAsia="宋体" w:cs="宋体"/>
      <w:color w:val="auto"/>
      <w:sz w:val="20"/>
      <w:szCs w:val="20"/>
      <w:u w:val="none"/>
    </w:rPr>
  </w:style>
  <w:style w:type="character" w:customStyle="1" w:styleId="25">
    <w:name w:val="font71"/>
    <w:basedOn w:val="13"/>
    <w:qFormat/>
    <w:uiPriority w:val="0"/>
    <w:rPr>
      <w:rFonts w:hint="eastAsia" w:ascii="宋体" w:hAnsi="宋体" w:eastAsia="宋体" w:cs="宋体"/>
      <w:color w:val="auto"/>
      <w:sz w:val="20"/>
      <w:szCs w:val="20"/>
      <w:u w:val="none"/>
    </w:rPr>
  </w:style>
  <w:style w:type="character" w:customStyle="1" w:styleId="26">
    <w:name w:val="正文文本 Char1"/>
    <w:basedOn w:val="13"/>
    <w:link w:val="4"/>
    <w:qFormat/>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A60BC-5469-42BE-9376-9647D525EC84}">
  <ds:schemaRefs/>
</ds:datastoreItem>
</file>

<file path=docProps/app.xml><?xml version="1.0" encoding="utf-8"?>
<Properties xmlns="http://schemas.openxmlformats.org/officeDocument/2006/extended-properties" xmlns:vt="http://schemas.openxmlformats.org/officeDocument/2006/docPropsVTypes">
  <Template>Normal</Template>
  <Pages>1</Pages>
  <Words>1713</Words>
  <Characters>9765</Characters>
  <Lines>81</Lines>
  <Paragraphs>22</Paragraphs>
  <TotalTime>1555</TotalTime>
  <ScaleCrop>false</ScaleCrop>
  <LinksUpToDate>false</LinksUpToDate>
  <CharactersWithSpaces>11456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2016-09-08T01:47:00Z</dcterms:created>
  <dc:creator>Administrator</dc:creator>
  <cp:lastModifiedBy>Hou梁</cp:lastModifiedBy>
  <cp:lastPrinted>2018-10-22T05:21:00Z</cp:lastPrinted>
  <dcterms:modified xsi:type="dcterms:W3CDTF">2021-03-11T04:44:06Z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