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于2020年11月19日派员对委托方列明的汪忠潮所有的、位于孝感市107复线以南、朝阳路以北，董永路以东湾流汇时代中心区7号楼幢12层1207室，建筑面积为88.01平方米的住宅房屋（含相关权益）进行了现场实地查勘，并对估价对象房地产于估价时点2020年11月18日的市场价值进行了估价，为委托方确定房地产拍卖底价提供价格参考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市场价值为￥</w:t>
      </w:r>
      <w:r>
        <w:rPr>
          <w:rFonts w:hint="eastAsia" w:ascii="仿宋" w:hAnsi="仿宋" w:eastAsia="仿宋" w:cs="仿宋"/>
          <w:sz w:val="30"/>
          <w:szCs w:val="30"/>
          <w:lang w:val="en-US" w:eastAsia="zh-CN"/>
        </w:rPr>
        <w:t>720538</w:t>
      </w:r>
      <w:r>
        <w:rPr>
          <w:rFonts w:hint="eastAsia" w:ascii="仿宋_GB2312" w:hAnsi="宋体" w:eastAsia="仿宋_GB2312" w:cs="Times New Roman"/>
          <w:kern w:val="2"/>
          <w:sz w:val="28"/>
          <w:szCs w:val="28"/>
          <w:lang w:val="en-US" w:eastAsia="zh-CN" w:bidi="ar-SA"/>
        </w:rPr>
        <w:t>元(大写人民币柒拾贰万零伍佰叁拾捌元整)。</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sz w:val="30"/>
          <w:szCs w:val="30"/>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二○二○年十一月二十五日</w:t>
      </w:r>
    </w:p>
    <w:p>
      <w:pPr>
        <w:ind w:firstLine="560" w:firstLineChars="200"/>
        <w:rPr>
          <w:rFonts w:hint="eastAsia" w:ascii="仿宋_GB2312" w:hAnsi="宋体" w:eastAsia="仿宋_GB2312" w:cs="Times New Roman"/>
          <w:kern w:val="2"/>
          <w:sz w:val="28"/>
          <w:szCs w:val="28"/>
          <w:lang w:val="en-US" w:eastAsia="zh-CN" w:bidi="ar-SA"/>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3、当事人或其他利害关系人对本估价报告如有异议，可以在收到本估价报告10日内以书面形式向人民法院提出。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4、估价结果是根据估价对象的使用年限，以及现场实物勘查情况，结合市场实际交易实例，采用市场法进行综合估算的。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5、评估过程中没有考虑该房屋产权抵押、查封后对估价结果的影响。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二○二○年十一月二十五日</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egKJ/9sBAACYAwAADgAAAGRycy9lMm9Eb2MueG1srVNL&#10;jhMxEN0jcQfLe9L5qAdopTOLCcMGQSTgABXb3W3JP7k86eQSXACJHaxYsuc2MxyDshMyfDYI0Yvq&#10;suv5db3n6uXl3hq2UxG1dy2fTaacKSe81K5v+ds314+ecIYJnATjnWr5QSG/XD18sBxDo+Z+8Eaq&#10;yIjEYTOGlg8phaaqUAzKAk58UI6KnY8WEi1jX8kII7FbU82n04tq9FGG6IVCpN31schXhb/rlEiv&#10;ug5VYqbl1FsqMZa4zbFaLaHpI4RBi1Mb8A9dWNCOPnqmWkMCdhP1H1RWi+jRd2kivK1812mhigZS&#10;M5v+pub1AEEVLWQOhrNN+P9oxcvdJjItW77gzIGlK7p7/+X23cdvXz9QvPv8iS2ySWPAhrBXbhNP&#10;KwybmBXvu2jzm7SwfTH2cDZW7RMTtFnX9WL6uOZMUO1iUWfG6v5oiJieK29ZTlputMuqoYHdC0xH&#10;6A9I3jaOjS1/Ws8zIdDQdAYSpTaQDHR9OYveaHmtjcknMPbbKxPZDvIYlOfUwi+w/JE14HDElVKG&#10;QTMokM+cZOkQyCBHk8xzC1ZJzoyiwc9ZQSbQ5m+QpN44MiH7enQyZ1svD3QdNyHqfiAnZqXLXKHr&#10;L5adRjXP18/rwnT/Q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MA8OjYAAAACQEAAA8AAAAA&#10;AAAAAQAgAAAAIgAAAGRycy9kb3ducmV2LnhtbFBLAQIUABQAAAAIAIdO4kB6Aon/2wEAAJgDAAAO&#10;AAAAAAAAAAEAIAAAACc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16144</w:t>
      </w:r>
      <w:r>
        <w:rPr>
          <w:rFonts w:hint="eastAsia" w:ascii="仿宋_GB2312" w:hAnsi="仿宋" w:eastAsia="仿宋_GB2312"/>
          <w:kern w:val="13"/>
          <w:sz w:val="28"/>
          <w:szCs w:val="28"/>
          <w:highlight w:val="none"/>
        </w:rPr>
        <w:t>号</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孝感市湾流汇时代中心7栋12层1207室汪忠潮所有的</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rPr>
          <w:rFonts w:hint="eastAsia" w:ascii="仿宋_GB2312" w:hAnsi="宋体" w:eastAsia="仿宋_GB2312"/>
          <w:b/>
          <w:bCs/>
          <w:sz w:val="30"/>
          <w:szCs w:val="30"/>
          <w:lang w:val="en-US" w:eastAsia="zh-CN"/>
        </w:rPr>
      </w:pP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0"/>
        </w:numP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2. 住所：湖北省孝感市孝南区黄花路38号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本次估价对象范围为汪忠潮所有的位于孝感市107复线以南、朝阳路以北，董永路以东湾流汇时代中心区7号楼幢12层1207室，建筑面积为88.01平方米的住宅房地产。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经本机构人员的实地勘查和委托方提供的委托书及房地产权登记信息等相关资料，可知估价对象实体状况如下：</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孝感市107复线以南、朝阳路以北，董永路以东湾流汇时代中心区7号楼幢12层1207室，建筑面积为88.01平方米</w:t>
      </w:r>
      <w:r>
        <w:rPr>
          <w:rFonts w:hint="eastAsia" w:ascii="仿宋_GB2312" w:hAnsi="宋体" w:eastAsia="仿宋_GB2312" w:cs="Times New Roman"/>
          <w:kern w:val="2"/>
          <w:sz w:val="28"/>
          <w:szCs w:val="28"/>
          <w:highlight w:val="none"/>
          <w:lang w:val="en-US" w:eastAsia="zh-CN" w:bidi="ar-SA"/>
        </w:rPr>
        <w:t>，房屋所有权人为汪忠潮，单独所有；分摊土地面积为9.1平方米，土地使用期限至2081年03月21日止；规划用途为成套住宅，房屋性质为市场化商品房，结构为钢筋混凝土结构，所在层数/总层数为12层/23层，首次登记于2015年01月29日，不动产权证书号为鄂（2016）孝感市不动产权第0007019号，目前已抵押并被依法查封。</w:t>
      </w:r>
    </w:p>
    <w:p>
      <w:pPr>
        <w:ind w:firstLine="560"/>
        <w:rPr>
          <w:rFonts w:hint="default"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房屋坐落于孝感市湾流汇亚澜湾（天丝路）7栋2单元12层1207室，建成于2012年，用途为住宅，二室二厅一卫一厨，房屋总层数23层，所在层12层，南北朝向，进户门为防盗门，因多种原因，估价人员未能进入屋内现场勘查室内装修情况，据相关当事人反映</w:t>
      </w:r>
      <w:r>
        <w:rPr>
          <w:rFonts w:hint="eastAsia" w:ascii="仿宋_GB2312" w:hAnsi="宋体" w:eastAsia="仿宋_GB2312" w:cs="Times New Roman"/>
          <w:kern w:val="2"/>
          <w:sz w:val="28"/>
          <w:szCs w:val="28"/>
          <w:highlight w:val="yellow"/>
          <w:lang w:val="en-US" w:eastAsia="zh-CN" w:bidi="ar-SA"/>
        </w:rPr>
        <w:t>室内为普通装修。</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二0二0年十一月十八日。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spacing w:beforeLines="0" w:afterLines="0"/>
        <w:jc w:val="left"/>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委托方提供的价格评估鉴定委托书及其他资料复印件。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w:t>
      </w:r>
      <w:r>
        <w:rPr>
          <w:rFonts w:hint="eastAsia" w:ascii="仿宋" w:hAnsi="仿宋" w:eastAsia="仿宋" w:cs="仿宋"/>
          <w:sz w:val="30"/>
          <w:szCs w:val="30"/>
          <w:lang w:val="en-US" w:eastAsia="zh-CN"/>
        </w:rPr>
        <w:t>720538</w:t>
      </w:r>
      <w:r>
        <w:rPr>
          <w:rFonts w:hint="eastAsia" w:ascii="仿宋_GB2312" w:hAnsi="宋体" w:eastAsia="仿宋_GB2312" w:cs="Times New Roman"/>
          <w:kern w:val="2"/>
          <w:sz w:val="28"/>
          <w:szCs w:val="28"/>
          <w:lang w:val="en-US" w:eastAsia="zh-CN" w:bidi="ar-SA"/>
        </w:rPr>
        <w:t>元(大写人民币柒拾贰万零伍佰叁拾捌元整)。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232410</wp:posOffset>
                  </wp:positionH>
                  <wp:positionV relativeFrom="paragraph">
                    <wp:posOffset>258445</wp:posOffset>
                  </wp:positionV>
                  <wp:extent cx="1273810" cy="491490"/>
                  <wp:effectExtent l="0" t="0" r="2540" b="3810"/>
                  <wp:wrapNone/>
                  <wp:docPr id="2" name="图片 3"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77470</wp:posOffset>
                  </wp:positionH>
                  <wp:positionV relativeFrom="paragraph">
                    <wp:posOffset>287020</wp:posOffset>
                  </wp:positionV>
                  <wp:extent cx="1408430" cy="644525"/>
                  <wp:effectExtent l="0" t="0" r="1270" b="3175"/>
                  <wp:wrapNone/>
                  <wp:docPr id="1" name="图片 4"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25</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若无特别约定，估价结论有效期为从估价报告完成之日起壹年。超过有效期后需重新估价方可使用。</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二○二○年十一月二十五日</w:t>
      </w:r>
    </w:p>
    <w:p>
      <w:pPr>
        <w:jc w:val="center"/>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孝感市湾流汇时代中心7栋12层1207室汪忠潮所有的</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孝感市107复线以南、朝阳路以北，董永路以东湾流汇时代中心区7号楼幢12层1207室，建筑面积为88.01平方米</w:t>
      </w:r>
      <w:r>
        <w:rPr>
          <w:rFonts w:hint="eastAsia" w:ascii="仿宋_GB2312" w:hAnsi="宋体" w:eastAsia="仿宋_GB2312" w:cs="Times New Roman"/>
          <w:kern w:val="2"/>
          <w:sz w:val="28"/>
          <w:szCs w:val="28"/>
          <w:highlight w:val="none"/>
          <w:lang w:val="en-US" w:eastAsia="zh-CN" w:bidi="ar-SA"/>
        </w:rPr>
        <w:t>，房屋所有权人为汪忠潮，单独所有；分摊土地面积为9.1平方米，土地使用期限至2081年03月21日止；规划用途为成套住宅，房屋性质为市场化商品房，结构为钢筋混凝土结构，所在层数/总层数为12层/23层，首次登记于2015年01月29日，不动产权证书号为鄂（2016）孝感市不动产权第0007019号，目前已抵押并被依法查封。</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房屋坐落于孝感市湾流汇亚澜湾（天丝路）7栋2单元12层1207室，建成于2012年，用途为住宅，二室二厅一卫一厨，房屋总层数23层，所在层12层，南北朝向，进户门为防盗门，因多种原因，估价人员未能进入屋内现场勘查室内装修情况，据相关当事人反映室内为普通装修。</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估价对象位于</w:t>
      </w:r>
      <w:r>
        <w:rPr>
          <w:rFonts w:hint="eastAsia" w:ascii="仿宋" w:hAnsi="仿宋" w:eastAsia="仿宋"/>
          <w:sz w:val="30"/>
          <w:szCs w:val="30"/>
          <w:lang w:eastAsia="zh-CN"/>
        </w:rPr>
        <w:t>湾流汇亚澜湾小区，座落</w:t>
      </w:r>
      <w:r>
        <w:rPr>
          <w:rFonts w:hint="eastAsia" w:ascii="仿宋" w:hAnsi="仿宋" w:eastAsia="仿宋"/>
          <w:sz w:val="30"/>
          <w:szCs w:val="30"/>
        </w:rPr>
        <w:t>于</w:t>
      </w:r>
      <w:r>
        <w:rPr>
          <w:rFonts w:hint="eastAsia" w:ascii="仿宋" w:hAnsi="仿宋" w:eastAsia="仿宋"/>
          <w:sz w:val="30"/>
          <w:szCs w:val="30"/>
          <w:lang w:eastAsia="zh-CN"/>
        </w:rPr>
        <w:t>孝感市董永路与天丝路，该小区已具规模，环境优美，绿化率较高，物业管理好，</w:t>
      </w:r>
      <w:r>
        <w:rPr>
          <w:rFonts w:hint="eastAsia" w:ascii="仿宋" w:hAnsi="仿宋" w:eastAsia="仿宋"/>
          <w:sz w:val="30"/>
          <w:szCs w:val="30"/>
          <w:lang w:val="en-US" w:eastAsia="zh-CN"/>
        </w:rPr>
        <w:t>24小时保安值守，且</w:t>
      </w:r>
      <w:r>
        <w:rPr>
          <w:rFonts w:hint="eastAsia" w:ascii="仿宋" w:hAnsi="仿宋" w:eastAsia="仿宋"/>
          <w:sz w:val="30"/>
          <w:szCs w:val="30"/>
          <w:lang w:eastAsia="zh-CN"/>
        </w:rPr>
        <w:t>初步形成小区商业圈；该区域属于孝感市高新技术经济开发区、</w:t>
      </w:r>
      <w:r>
        <w:rPr>
          <w:rFonts w:hint="eastAsia" w:ascii="仿宋" w:hAnsi="仿宋" w:eastAsia="仿宋"/>
          <w:color w:val="auto"/>
          <w:sz w:val="30"/>
          <w:szCs w:val="30"/>
          <w:lang w:eastAsia="zh-CN"/>
        </w:rPr>
        <w:t>孝感市政治文化中心区域，银泰城商圈，</w:t>
      </w:r>
      <w:r>
        <w:rPr>
          <w:rFonts w:hint="eastAsia" w:ascii="仿宋" w:hAnsi="仿宋" w:eastAsia="仿宋"/>
          <w:sz w:val="30"/>
          <w:szCs w:val="30"/>
          <w:lang w:eastAsia="zh-CN"/>
        </w:rPr>
        <w:t>与成熟商业旺区接合，属于开始转旺商业圈。所在区域皆为高端住宅小区及写字楼，高楼大厦林立，南距孝感市委、市政府</w:t>
      </w:r>
      <w:r>
        <w:rPr>
          <w:rFonts w:hint="eastAsia" w:ascii="仿宋" w:hAnsi="仿宋" w:eastAsia="仿宋"/>
          <w:sz w:val="30"/>
          <w:szCs w:val="30"/>
          <w:lang w:val="en-US" w:eastAsia="zh-CN"/>
        </w:rPr>
        <w:t>3千米左右，西与孝感东站斜对面</w:t>
      </w:r>
      <w:r>
        <w:rPr>
          <w:rFonts w:hint="eastAsia" w:ascii="仿宋" w:hAnsi="仿宋" w:eastAsia="仿宋"/>
          <w:sz w:val="30"/>
          <w:szCs w:val="30"/>
          <w:lang w:eastAsia="zh-CN"/>
        </w:rPr>
        <w:t>，仅一路之隔，多路公共汽车相通，自然环境较好。周边供水、排水、供电、通信等基础设施较为完备，附近有商场、超市及银行等市政配套设施，估价对象位于市级重点规划范围内，区域未来的产业空间布局将是孝感市政府重点调整和优化及发展的方向，估价对象极具升值潜力。</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接受委托后，我们会同委托人及相关当事人对估价对象进行了实地勘查，随后开展了广泛的市场调查，并进行了估价测算。经调查研究，估价人员采用市场法开展评估测算，确定估价结果。</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针对估价对象的功能和特点，根据替代原则，按用途相同、土地级别相同、价格类型相同等特点，对与估价对象在同一区域内的类似住宅进行了市场调查和比较分析，按照估价要求，筛选三个可比实例。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实例A：湾流汇小区住宅，2012年建成，总层数23层，所在层20层，2室2厅1卫，南北朝向，普通装修，建筑面积89平米，拟交易总价76万，折合单价约为8539元/平米，拟交易日期2020年11月份。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实例B：湾流汇小区住宅，2012年建成，总层数23层，所在层22层，2室2厅1卫，南北朝向，中档装修，建筑面积88平米，拟交易总价78万，折合单价约为8864元/平米，拟交易日期2020年11月份。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实例C：湾流汇小区住宅，2012年建成，总层数23层，所在层12层，2室2厅1卫，南北朝向，简单装修，建筑面积83平米，拟交易总价66万，折合单价约为7952元/平米，拟交易日期2020年11月份。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位 置</w:t>
            </w:r>
          </w:p>
        </w:tc>
        <w:tc>
          <w:tcPr>
            <w:tcW w:w="1446" w:type="dxa"/>
            <w:vAlign w:val="top"/>
          </w:tcPr>
          <w:p>
            <w:pPr>
              <w:numPr>
                <w:ilvl w:val="0"/>
                <w:numId w:val="0"/>
              </w:numPr>
              <w:ind w:left="0" w:leftChars="0" w:firstLine="0" w:firstLineChars="0"/>
              <w:jc w:val="both"/>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湾流汇时代中心7栋2单元12层1207室</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湾流汇</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湾流汇</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湾流汇</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湾流汇</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湾流汇</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湾流汇</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湾流汇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8539</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8864</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FF0000"/>
                <w:sz w:val="30"/>
                <w:szCs w:val="30"/>
                <w:vertAlign w:val="baseline"/>
                <w:lang w:val="en-US" w:eastAsia="zh-CN"/>
              </w:rPr>
            </w:pPr>
            <w:r>
              <w:rPr>
                <w:rFonts w:hint="eastAsia" w:ascii="仿宋" w:hAnsi="仿宋" w:eastAsia="仿宋" w:cs="仿宋"/>
                <w:color w:val="auto"/>
                <w:sz w:val="30"/>
                <w:szCs w:val="30"/>
                <w:vertAlign w:val="baseline"/>
                <w:lang w:val="en-US" w:eastAsia="zh-CN"/>
              </w:rPr>
              <w:t>普通装修</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30"/>
                <w:szCs w:val="30"/>
                <w:vertAlign w:val="baseline"/>
                <w:lang w:val="en-US" w:eastAsia="zh-CN"/>
              </w:rPr>
              <w:t>普通装修</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30"/>
                <w:szCs w:val="30"/>
                <w:vertAlign w:val="baseline"/>
                <w:lang w:val="en-US" w:eastAsia="zh-CN"/>
              </w:rPr>
              <w:t>中档装修</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8539</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8864</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2"/>
                <w:szCs w:val="32"/>
                <w:highlight w:val="none"/>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spacing w:line="480" w:lineRule="auto"/>
              <w:jc w:val="both"/>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 xml:space="preserve"> 朝向及采光通风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110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775"/>
        <w:gridCol w:w="164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775" w:type="dxa"/>
            <w:vAlign w:val="top"/>
          </w:tcPr>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0" w:firstLine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可比案例A </w:t>
            </w:r>
          </w:p>
        </w:tc>
        <w:tc>
          <w:tcPr>
            <w:tcW w:w="1642" w:type="dxa"/>
            <w:vAlign w:val="top"/>
          </w:tcPr>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0" w:firstLine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775"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8539</w:t>
            </w:r>
          </w:p>
        </w:tc>
        <w:tc>
          <w:tcPr>
            <w:tcW w:w="1642"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8864</w:t>
            </w:r>
          </w:p>
        </w:tc>
        <w:tc>
          <w:tcPr>
            <w:tcW w:w="16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775"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42"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775"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42"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775"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42"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775"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42"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6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775"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642"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6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775"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105</w:t>
            </w:r>
          </w:p>
        </w:tc>
        <w:tc>
          <w:tcPr>
            <w:tcW w:w="1642"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110</w:t>
            </w:r>
          </w:p>
        </w:tc>
        <w:tc>
          <w:tcPr>
            <w:tcW w:w="16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775"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8132</w:t>
            </w:r>
          </w:p>
        </w:tc>
        <w:tc>
          <w:tcPr>
            <w:tcW w:w="1642"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8058</w:t>
            </w:r>
          </w:p>
        </w:tc>
        <w:tc>
          <w:tcPr>
            <w:tcW w:w="16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8371</w:t>
            </w:r>
          </w:p>
        </w:tc>
      </w:tr>
    </w:tbl>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评估单价=（8132+8058+8371）</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w:t>
      </w:r>
      <w:bookmarkStart w:id="0" w:name="_GoBack"/>
      <w:bookmarkEnd w:id="0"/>
      <w:r>
        <w:rPr>
          <w:rFonts w:hint="eastAsia" w:ascii="仿宋_GB2312" w:hAnsi="宋体" w:eastAsia="仿宋_GB2312" w:cs="Times New Roman"/>
          <w:kern w:val="2"/>
          <w:sz w:val="28"/>
          <w:szCs w:val="28"/>
          <w:lang w:val="en-US" w:eastAsia="zh-CN" w:bidi="ar-SA"/>
        </w:rPr>
        <w:t>8187元/平米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评估总值=8187×88.01≈720538元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估价人员根据估价目的，遵循估价原则，按照规定估价程序和方法，经过具体测算，确定估价对象在估价时点的市场价值为￥720538元(大写人民币柒拾贰万零伍佰叁拾捌元整)。</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二○二○年十一月二十五日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25DE4"/>
    <w:rsid w:val="0A503B7A"/>
    <w:rsid w:val="0EDC3C6E"/>
    <w:rsid w:val="11632393"/>
    <w:rsid w:val="1C2361BA"/>
    <w:rsid w:val="23B665A6"/>
    <w:rsid w:val="263D1448"/>
    <w:rsid w:val="2EFA351F"/>
    <w:rsid w:val="320944A7"/>
    <w:rsid w:val="39AA695B"/>
    <w:rsid w:val="39C656D7"/>
    <w:rsid w:val="3B9B6EF1"/>
    <w:rsid w:val="451D4EF5"/>
    <w:rsid w:val="4B8B517E"/>
    <w:rsid w:val="4E684632"/>
    <w:rsid w:val="4F7C2E75"/>
    <w:rsid w:val="5248208F"/>
    <w:rsid w:val="53B72BFF"/>
    <w:rsid w:val="59C90EDB"/>
    <w:rsid w:val="5C625DE4"/>
    <w:rsid w:val="5D425C8F"/>
    <w:rsid w:val="5DFD2B3F"/>
    <w:rsid w:val="666948AD"/>
    <w:rsid w:val="684734A4"/>
    <w:rsid w:val="6E010407"/>
    <w:rsid w:val="77831323"/>
    <w:rsid w:val="7AD91D34"/>
    <w:rsid w:val="7EAA45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2020-11-24T01:30:00Z</dcterms:created>
  <dc:creator>Administrator</dc:creator>
  <cp:lastModifiedBy>Administrator</cp:lastModifiedBy>
  <dcterms:modified xsi:type="dcterms:W3CDTF">2021-01-26T08:42:12Z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