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（六）估价结果确定..................................20</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lang w:val="en-US" w:eastAsia="zh-CN" w:bidi="ar-SA"/>
        </w:rPr>
        <w:t xml:space="preserve"> 受贵方（以下简称委托方）的委托，本公司于2020年9月23日派员对委托方列明的位于孝感市玉泉南路国兴文昌综合楼B栋5层504室，建筑面积为146.75平方米的住宅房屋（含相关权益）进行了现场实地查勘，并对估价对象房地产于估价时点2020年9月16日的市场价值进行了估价，为委托方确定房地产拍卖底价提供价格参考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在估价时点的市场价值为￥622220元(大写人民币陆拾贰万贰仟贰佰贰拾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二○二○年九月二十八日</w:t>
      </w: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4、估价结果是根据估价对象的使用年限，以及现场实物勘查情况，结合市场实际交易实例，采用市场法进行综合估算的。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yellow"/>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二○二○年九月二十八日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346075</wp:posOffset>
                </wp:positionV>
                <wp:extent cx="55530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3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7.25pt;height:0.05pt;width:437.25pt;z-index:251660288;mso-width-relative:page;mso-height-relative:page;" filled="f" stroked="t" coordsize="21600,21600" o:gfxdata="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wDw6NgAAAAJAQAADwAAAAAA&#10;AAABACAAAAAiAAAAZHJzL2Rvd25yZXYueG1sUEsBAhQAFAAAAAgAh07iQHPpizfaAQAAmAMAAA4A&#10;AAAAAAAAAQAgAAAAJwEAAGRycy9lMm9Eb2MueG1sUEsFBgAAAAAGAAYAWQEAAHMFA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20</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16116</w:t>
      </w:r>
      <w:r>
        <w:rPr>
          <w:rFonts w:hint="eastAsia" w:ascii="仿宋_GB2312" w:hAnsi="仿宋" w:eastAsia="仿宋_GB2312"/>
          <w:kern w:val="13"/>
          <w:sz w:val="28"/>
          <w:szCs w:val="28"/>
          <w:highlight w:val="none"/>
        </w:rPr>
        <w:t>号</w:t>
      </w:r>
    </w:p>
    <w:p>
      <w:p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孝感市玉泉南路国兴文昌综合楼B栋5层504室</w:t>
      </w:r>
    </w:p>
    <w:p>
      <w:pPr>
        <w:jc w:val="center"/>
        <w:rPr>
          <w:rFonts w:ascii="仿宋" w:hAnsi="仿宋" w:eastAsia="仿宋"/>
          <w:b/>
          <w:bCs/>
          <w:sz w:val="36"/>
          <w:szCs w:val="36"/>
        </w:rPr>
      </w:pPr>
      <w:r>
        <w:rPr>
          <w:rFonts w:hint="eastAsia" w:ascii="仿宋" w:hAnsi="仿宋" w:eastAsia="仿宋"/>
          <w:b/>
          <w:bCs/>
          <w:sz w:val="32"/>
          <w:szCs w:val="32"/>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（一）委托方</w:t>
      </w:r>
      <w:bookmarkStart w:id="0" w:name="_GoBack"/>
      <w:bookmarkEnd w:id="0"/>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w:t>
      </w: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numPr>
          <w:ilvl w:val="0"/>
          <w:numId w:val="0"/>
        </w:numPr>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2. 住所：湖北省孝感市孝南区黄花路38号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w:t>
      </w:r>
      <w:r>
        <w:rPr>
          <w:rFonts w:hint="eastAsia" w:ascii="仿宋_GB2312" w:hAnsi="宋体" w:eastAsia="仿宋_GB2312" w:cs="Times New Roman"/>
          <w:kern w:val="2"/>
          <w:sz w:val="28"/>
          <w:szCs w:val="28"/>
          <w:lang w:val="en-US" w:eastAsia="zh-CN" w:bidi="ar-SA"/>
        </w:rPr>
        <w:t>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本次估价对象范围为胡亚丽所有的位于孝感市玉泉南路国兴文昌综合楼B栋5层504室、建筑面积为146.75平方米的住宅房地产。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经本机构人员的实地勘查和委托方提供的委托书及房地产权登记信息等资料，可知估价对象实体状况如下：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估价对象为位于</w:t>
      </w:r>
      <w:r>
        <w:rPr>
          <w:rFonts w:hint="eastAsia" w:ascii="仿宋_GB2312" w:hAnsi="宋体" w:eastAsia="仿宋_GB2312" w:cs="Times New Roman"/>
          <w:kern w:val="2"/>
          <w:sz w:val="28"/>
          <w:szCs w:val="28"/>
          <w:lang w:val="en-US" w:eastAsia="zh-CN" w:bidi="ar-SA"/>
        </w:rPr>
        <w:t>孝感市玉泉南路国兴文昌综合楼B栋5层504室、建筑面积为146.75平方米的住宅房地产，</w:t>
      </w:r>
      <w:r>
        <w:rPr>
          <w:rFonts w:hint="eastAsia" w:ascii="仿宋_GB2312" w:hAnsi="宋体" w:eastAsia="仿宋_GB2312" w:cs="Times New Roman"/>
          <w:kern w:val="2"/>
          <w:sz w:val="28"/>
          <w:szCs w:val="28"/>
          <w:highlight w:val="none"/>
          <w:lang w:val="en-US" w:eastAsia="zh-CN" w:bidi="ar-SA"/>
        </w:rPr>
        <w:t>房屋所有权人为胡亚丽，单独所有，不动产权证号为00069508，用途为成套住宅，混合结构，所在层数/总层数为5/7，登记日期为2012年07月30日。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经现场勘验和调查，估价对象坐落于</w:t>
      </w:r>
      <w:r>
        <w:rPr>
          <w:rFonts w:hint="eastAsia" w:ascii="仿宋_GB2312" w:hAnsi="宋体" w:eastAsia="仿宋_GB2312" w:cs="Times New Roman"/>
          <w:kern w:val="2"/>
          <w:sz w:val="28"/>
          <w:szCs w:val="28"/>
          <w:lang w:val="en-US" w:eastAsia="zh-CN" w:bidi="ar-SA"/>
        </w:rPr>
        <w:t>孝感市玉泉南路国兴文昌综合楼小区B栋5层504室。该小区位于湖北职业技术学院对面，</w:t>
      </w:r>
      <w:r>
        <w:rPr>
          <w:rFonts w:hint="eastAsia" w:ascii="仿宋_GB2312" w:hAnsi="宋体" w:eastAsia="仿宋_GB2312" w:cs="Times New Roman"/>
          <w:kern w:val="2"/>
          <w:sz w:val="28"/>
          <w:szCs w:val="28"/>
          <w:highlight w:val="none"/>
          <w:lang w:val="en-US" w:eastAsia="zh-CN" w:bidi="ar-SA"/>
        </w:rPr>
        <w:t>建成于2004年，有A、B两栋相对而建的多层步梯房，场地不大，比较脏乱，有门房值守。该房屋进户防盗门，混合结构，东西朝向，现状用途为住宅，室内错层设计，地面高差四步台阶；户型为二厅四室，墙面为乳胶漆刷白，厅堂简易造型吊顶，客厅建有电视背景墙，地面铺贴地板砖，卧室木质套装门，建有到顶衣柜，墙面、天棚为乳胶漆刷白，地面为木地板。室内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二0二0年九月十六日。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w:t>
      </w:r>
      <w:r>
        <w:rPr>
          <w:rFonts w:hint="eastAsia" w:ascii="仿宋_GB2312" w:hAnsi="宋体" w:eastAsia="仿宋_GB2312" w:cs="Times New Roman"/>
          <w:kern w:val="2"/>
          <w:sz w:val="28"/>
          <w:szCs w:val="28"/>
          <w:lang w:val="en-US" w:eastAsia="zh-CN" w:bidi="ar-SA"/>
        </w:rPr>
        <w:t>人民共和国国家标准《房地产估价规范</w:t>
      </w:r>
      <w:r>
        <w:rPr>
          <w:rFonts w:hint="eastAsia" w:ascii="仿宋_GB2312" w:hAnsi="宋体" w:eastAsia="仿宋_GB2312" w:cs="Times New Roman"/>
          <w:kern w:val="2"/>
          <w:sz w:val="28"/>
          <w:szCs w:val="28"/>
          <w:lang w:val="en-US" w:eastAsia="zh-CN" w:bidi="ar-SA"/>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spacing w:beforeLines="0" w:afterLines="0"/>
        <w:jc w:val="left"/>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我们按照《房地产估价规范》的规定，遵循估价行业公认的估价工作原则，对估价对象进行独立、客观、科学的评价，并遵守国家保密规定。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估价人员经过实地勘查和测算，确定估价对象在估价时点的市场价值为￥622220元(大写人民币陆拾贰万贰仟贰佰贰拾元整)。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232410</wp:posOffset>
                  </wp:positionH>
                  <wp:positionV relativeFrom="paragraph">
                    <wp:posOffset>353695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58420</wp:posOffset>
                  </wp:positionH>
                  <wp:positionV relativeFrom="paragraph">
                    <wp:posOffset>391795</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color w:val="000000"/>
          <w:sz w:val="28"/>
          <w:szCs w:val="28"/>
        </w:rPr>
        <w:t>评估报告日为评估人员专业意见形成日</w:t>
      </w:r>
      <w:r>
        <w:rPr>
          <w:rStyle w:val="11"/>
          <w:rFonts w:hint="eastAsia" w:ascii="仿宋_GB2312" w:hAnsi="仿宋" w:eastAsia="仿宋_GB2312" w:cs="宋体"/>
          <w:color w:val="000000"/>
          <w:sz w:val="28"/>
          <w:szCs w:val="28"/>
          <w:lang w:eastAsia="zh-CN"/>
        </w:rPr>
        <w:t>，</w:t>
      </w: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20</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09</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28</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2"/>
          <w:szCs w:val="32"/>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二○二○年九月二十八日</w:t>
      </w: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eastAsia" w:ascii="仿宋" w:hAnsi="仿宋" w:eastAsia="仿宋"/>
          <w:b/>
          <w:bCs/>
          <w:sz w:val="32"/>
          <w:szCs w:val="32"/>
          <w:lang w:val="en-US" w:eastAsia="zh-CN"/>
        </w:rPr>
      </w:pPr>
    </w:p>
    <w:p>
      <w:pPr>
        <w:jc w:val="center"/>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孝感市玉泉南路国兴文昌综合楼B栋5层504室</w:t>
      </w:r>
    </w:p>
    <w:p>
      <w:pPr>
        <w:jc w:val="center"/>
        <w:rPr>
          <w:rFonts w:hint="eastAsia" w:ascii="仿宋" w:hAnsi="仿宋" w:eastAsia="仿宋"/>
          <w:b/>
          <w:bCs/>
          <w:sz w:val="36"/>
          <w:szCs w:val="36"/>
        </w:rPr>
      </w:pP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估价对象为位于</w:t>
      </w:r>
      <w:r>
        <w:rPr>
          <w:rFonts w:hint="eastAsia" w:ascii="仿宋_GB2312" w:hAnsi="宋体" w:eastAsia="仿宋_GB2312" w:cs="Times New Roman"/>
          <w:kern w:val="2"/>
          <w:sz w:val="28"/>
          <w:szCs w:val="28"/>
          <w:lang w:val="en-US" w:eastAsia="zh-CN" w:bidi="ar-SA"/>
        </w:rPr>
        <w:t>孝感市玉泉南路国兴文昌综合楼B栋5层504室、建筑面积为146.75平方米的住宅房地产，</w:t>
      </w:r>
      <w:r>
        <w:rPr>
          <w:rFonts w:hint="eastAsia" w:ascii="仿宋_GB2312" w:hAnsi="宋体" w:eastAsia="仿宋_GB2312" w:cs="Times New Roman"/>
          <w:kern w:val="2"/>
          <w:sz w:val="28"/>
          <w:szCs w:val="28"/>
          <w:highlight w:val="none"/>
          <w:lang w:val="en-US" w:eastAsia="zh-CN" w:bidi="ar-SA"/>
        </w:rPr>
        <w:t>房屋所有权人为胡亚丽，单独所有，不动产权证号为00069508，用途为成套住宅，混合结构，所在层数/总层数为5/7，登记日期为2012年07月30日。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经现场勘验和调查，估价对象坐落于</w:t>
      </w:r>
      <w:r>
        <w:rPr>
          <w:rFonts w:hint="eastAsia" w:ascii="仿宋_GB2312" w:hAnsi="宋体" w:eastAsia="仿宋_GB2312" w:cs="Times New Roman"/>
          <w:kern w:val="2"/>
          <w:sz w:val="28"/>
          <w:szCs w:val="28"/>
          <w:lang w:val="en-US" w:eastAsia="zh-CN" w:bidi="ar-SA"/>
        </w:rPr>
        <w:t>孝感市玉泉南路国兴文昌综合楼小区B栋5层504室。该小区位于湖北职业技术学院对面，</w:t>
      </w:r>
      <w:r>
        <w:rPr>
          <w:rFonts w:hint="eastAsia" w:ascii="仿宋_GB2312" w:hAnsi="宋体" w:eastAsia="仿宋_GB2312" w:cs="Times New Roman"/>
          <w:kern w:val="2"/>
          <w:sz w:val="28"/>
          <w:szCs w:val="28"/>
          <w:highlight w:val="none"/>
          <w:lang w:val="en-US" w:eastAsia="zh-CN" w:bidi="ar-SA"/>
        </w:rPr>
        <w:t>建成于2004年，有A、B两栋相对而建的多层步梯房，场地不大，比较脏乱，有门房值守。该房屋进户防盗门，混合结构，东西朝向，现状用途为住宅，室内错层设计，地面高差四步台阶；户型为二厅四室，墙面为乳胶漆刷白，厅堂简易造型吊顶，客厅建有电视背景墙，地面铺贴地板砖，卧室木质套装门，建有到顶衣柜，墙面、天棚为乳胶漆刷白，地面为木地板。室内装修维护保养一般。</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估价对象位于</w:t>
      </w:r>
      <w:r>
        <w:rPr>
          <w:rFonts w:hint="eastAsia" w:ascii="仿宋_GB2312" w:hAnsi="宋体" w:eastAsia="仿宋_GB2312" w:cs="Times New Roman"/>
          <w:kern w:val="2"/>
          <w:sz w:val="28"/>
          <w:szCs w:val="28"/>
          <w:highlight w:val="none"/>
          <w:lang w:val="en-US" w:eastAsia="zh-CN" w:bidi="ar-SA"/>
        </w:rPr>
        <w:t>孝感市玉泉南路国兴文昌综合楼小区</w:t>
      </w:r>
      <w:r>
        <w:rPr>
          <w:rFonts w:hint="eastAsia" w:ascii="仿宋_GB2312" w:hAnsi="宋体" w:eastAsia="仿宋_GB2312" w:cs="Times New Roman"/>
          <w:kern w:val="2"/>
          <w:sz w:val="28"/>
          <w:szCs w:val="28"/>
          <w:lang w:val="en-US" w:eastAsia="zh-CN" w:bidi="ar-SA"/>
        </w:rPr>
        <w:t>。该小区东临玉泉南路，与湖北职业技术学院正对门，有东、西相对而建的2栋多层住宅楼，场地面积不大，环境一般，设有门房值守，物业管理一般。该区域属于孝感城区中心区域，是学生、居民商业区，商业繁华程度一般，周边生活配套设施齐全，配有各类型超市、菜场、大小餐饮店、银行和邮政，南边紧邻环河公园，有多路公共汽车相通，交通便捷，生活、购物、上学、出行十分方便，属于功能齐全、配套完备的成熟区域。</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规划用途、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接受委托后，我们会同委托人及相关当事人对估价对象进行了实地勘查，随后开展了广泛的市场调查，并进行了估价测算。经调查研究，估价人员采用市场法开展评估测算，确定估价结果。</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针对估价对象的功能和特点，根据替代原则，按用途相同、土地级别相同、价格类型相同等特点，对与估价对象在同一区域内的类似住宅进行了市场调查和比较分析，按照估价要求，筛选三个可比实例。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实例A：玉泉南路国兴文昌综合楼小区A栋住宅，2004年建成，总层数7层，所在层3层，2室2厅1卫，东西朝向，简单装修，建筑面积88.82平米，拟交易总价37万，折合单价约为4166元/平米，拟交易日期2020年9月份。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实例B：玉泉南路广玉南小区住宅，2000年建成，总层数8层，所在层8层，3室2厅2卫，南北朝向，简单装修，建筑面积106平米，拟交易总价39万，折合单价约为3679元/平米，拟交易日期2020年9月份。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实例C：玉泉路东升园</w:t>
      </w:r>
      <w:r>
        <w:rPr>
          <w:rFonts w:hint="eastAsia" w:ascii="仿宋_GB2312" w:hAnsi="宋体" w:eastAsia="仿宋_GB2312" w:cs="Times New Roman"/>
          <w:kern w:val="2"/>
          <w:sz w:val="28"/>
          <w:szCs w:val="28"/>
          <w:highlight w:val="none"/>
          <w:lang w:val="en-US" w:eastAsia="zh-CN" w:bidi="ar-SA"/>
        </w:rPr>
        <w:t>小区住宅，</w:t>
      </w:r>
      <w:r>
        <w:rPr>
          <w:rFonts w:hint="eastAsia" w:ascii="仿宋_GB2312" w:hAnsi="宋体" w:eastAsia="仿宋_GB2312" w:cs="Times New Roman"/>
          <w:kern w:val="2"/>
          <w:sz w:val="28"/>
          <w:szCs w:val="28"/>
          <w:lang w:val="en-US" w:eastAsia="zh-CN" w:bidi="ar-SA"/>
        </w:rPr>
        <w:t>2001年建成，总层数6层，所在层3层，3室2厅1卫，南北朝向，简单装修，建筑面积126平米，拟交易总价58万，折合单价约为4603元/平米，拟交易日期2020年9月份。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529"/>
        <w:gridCol w:w="1484"/>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w:t>
            </w:r>
            <w:r>
              <w:rPr>
                <w:rFonts w:hint="eastAsia" w:ascii="仿宋" w:hAnsi="仿宋" w:eastAsia="仿宋" w:cs="仿宋"/>
                <w:sz w:val="24"/>
                <w:szCs w:val="24"/>
                <w:vertAlign w:val="baseline"/>
                <w:lang w:val="en-US" w:eastAsia="zh-CN"/>
              </w:rPr>
              <w:t>案例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位 置</w:t>
            </w:r>
          </w:p>
        </w:tc>
        <w:tc>
          <w:tcPr>
            <w:tcW w:w="1529"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国兴文昌综合楼B栋5层504室</w:t>
            </w:r>
          </w:p>
        </w:tc>
        <w:tc>
          <w:tcPr>
            <w:tcW w:w="1484" w:type="dxa"/>
            <w:vAlign w:val="top"/>
          </w:tcPr>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4"/>
                <w:szCs w:val="24"/>
                <w:lang w:val="en-US" w:eastAsia="zh-CN"/>
              </w:rPr>
              <w:t>国兴文昌综合楼A栋3层302室</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玉泉南路</w:t>
            </w:r>
          </w:p>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4"/>
                <w:szCs w:val="24"/>
                <w:lang w:val="en-US" w:eastAsia="zh-CN"/>
              </w:rPr>
              <w:t>广玉南小区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4"/>
                <w:szCs w:val="24"/>
                <w:lang w:val="en-US" w:eastAsia="zh-CN"/>
              </w:rPr>
              <w:t>玉泉路东升园小区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529" w:type="dxa"/>
            <w:vAlign w:val="top"/>
          </w:tcPr>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8"/>
                <w:szCs w:val="28"/>
                <w:lang w:val="en-US" w:eastAsia="zh-CN"/>
              </w:rPr>
              <w:t>国兴文昌</w:t>
            </w:r>
          </w:p>
        </w:tc>
        <w:tc>
          <w:tcPr>
            <w:tcW w:w="1484"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国兴文昌</w:t>
            </w:r>
          </w:p>
        </w:tc>
        <w:tc>
          <w:tcPr>
            <w:tcW w:w="1550" w:type="dxa"/>
            <w:vAlign w:val="top"/>
          </w:tcPr>
          <w:p>
            <w:pPr>
              <w:numPr>
                <w:ilvl w:val="0"/>
                <w:numId w:val="0"/>
              </w:numPr>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广玉南</w:t>
            </w:r>
          </w:p>
        </w:tc>
        <w:tc>
          <w:tcPr>
            <w:tcW w:w="1633"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东升园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4166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3679</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2020.9</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2020.9</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2020.9</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529"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484"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550"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633"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529"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48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148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529"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二厅四室</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二房二厅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三房二厅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529" w:type="dxa"/>
            <w:vAlign w:val="top"/>
          </w:tcPr>
          <w:p>
            <w:pPr>
              <w:jc w:val="center"/>
              <w:rPr>
                <w:rFonts w:hint="default" w:ascii="仿宋" w:hAnsi="仿宋" w:eastAsia="仿宋" w:cs="仿宋"/>
                <w:color w:val="FF0000"/>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普通装修</w:t>
            </w:r>
          </w:p>
        </w:tc>
        <w:tc>
          <w:tcPr>
            <w:tcW w:w="148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简单装修</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简单装修</w:t>
            </w:r>
          </w:p>
        </w:tc>
        <w:tc>
          <w:tcPr>
            <w:tcW w:w="1633"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529"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东西，好</w:t>
            </w:r>
          </w:p>
        </w:tc>
        <w:tc>
          <w:tcPr>
            <w:tcW w:w="148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南北，好</w:t>
            </w:r>
          </w:p>
        </w:tc>
        <w:tc>
          <w:tcPr>
            <w:tcW w:w="1550"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南北，好</w:t>
            </w:r>
          </w:p>
        </w:tc>
        <w:tc>
          <w:tcPr>
            <w:tcW w:w="1633"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529"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48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529"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68%</w:t>
            </w:r>
          </w:p>
        </w:tc>
        <w:tc>
          <w:tcPr>
            <w:tcW w:w="1484"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68%</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60%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529"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48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550"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一般</w:t>
            </w:r>
          </w:p>
        </w:tc>
        <w:tc>
          <w:tcPr>
            <w:tcW w:w="1633"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529"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c>
          <w:tcPr>
            <w:tcW w:w="148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估价</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对象</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A </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 xml:space="preserve">可比案例B </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可比案例</w:t>
            </w:r>
          </w:p>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4166</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3679</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96</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633"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97</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92</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101</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4166</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3679</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t>4603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97</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92</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4295</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3999</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4425</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由于可比实例A、B、C与估价对象条件因素相当类似，且比准价格相差不远，因此采取算数平均值的求取方法。</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评估单价=（4295+3999+4425）</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3≈4240(元/平米)</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评估总值=4240×146.75=622220(元)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估价人员根据估价目的，遵循估价原则，按照规定估价程序和方法，经过具体测算，确定估价对象在估价时点的市场价值为￥622220元(大写人民币陆拾贰万贰仟贰佰贰拾元整)。</w:t>
      </w: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pPr>
      <w:r>
        <w:rPr>
          <w:rFonts w:hint="eastAsia" w:ascii="仿宋_GB2312" w:hAnsi="宋体" w:eastAsia="仿宋_GB2312" w:cs="Times New Roman"/>
          <w:kern w:val="2"/>
          <w:sz w:val="28"/>
          <w:szCs w:val="28"/>
          <w:highlight w:val="none"/>
          <w:lang w:val="en-US" w:eastAsia="zh-CN" w:bidi="ar-SA"/>
        </w:rPr>
        <w:t xml:space="preserve">                                   二○二○年九月二十八日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001010101"/>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20</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7CDA"/>
    <w:rsid w:val="0937562C"/>
    <w:rsid w:val="15DA37E6"/>
    <w:rsid w:val="18303CBB"/>
    <w:rsid w:val="26754E25"/>
    <w:rsid w:val="29465F48"/>
    <w:rsid w:val="29663923"/>
    <w:rsid w:val="2DFE2383"/>
    <w:rsid w:val="31F1357D"/>
    <w:rsid w:val="40662CB8"/>
    <w:rsid w:val="4F7A31F5"/>
    <w:rsid w:val="555F6D9E"/>
    <w:rsid w:val="5BA0686E"/>
    <w:rsid w:val="5E1509B2"/>
    <w:rsid w:val="68030431"/>
    <w:rsid w:val="6C4D333F"/>
    <w:rsid w:val="6C7D060B"/>
    <w:rsid w:val="6DA63570"/>
    <w:rsid w:val="775E4966"/>
    <w:rsid w:val="7BA57C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2020-09-28T02:17:00Z</dcterms:created>
  <dc:creator>Administrator</dc:creator>
  <cp:lastModifiedBy>Administrator</cp:lastModifiedBy>
  <dcterms:modified xsi:type="dcterms:W3CDTF">2020-09-28T13:18:31Z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