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.........................14-20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（五）估价测算过程...............................16-20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（六）估价结果确定..................................20</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（一）孝昌县人民法院司法鉴定委托书复印件；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孝昌县人民法院：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受贵方（以下简称委托方）的委托，本公司根据委托方提供的委托书及不动产权情况表、现场勘验照片等资料，对委托方列明的陈小平所有的、位于孝昌县花园镇安花路六0四宿舍八栋三单元5层、建筑面积为65.77平方米的住宅房地产，于估价时点2020年11月02日的市场价值进行了估价，为委托方确定房地产拍卖底价提供价格参考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在整个估价过程中，估价人员本着独立、客观、公正的原则，根据估价目的，收集有关资料，按照估价程序，选择市场法对估价对象进行了评估。估价人员经过实地勘察和测算，确定估价对象在估价时点的市场价值为￥151534元(大写人民币壹拾伍万壹仟伍佰叁拾肆元整)。</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二○二○年十一月二十日</w:t>
      </w:r>
    </w:p>
    <w:p>
      <w:pPr>
        <w:jc w:val="both"/>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4、估价结果是根据估价对象使用年限、现场勘查情况，结合市场实际交易实例，采用市场法进行综合估算的。</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二○二○年十一月二十日</w:t>
      </w: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lang w:val="en-US" w:eastAsia="zh-CN"/>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346075</wp:posOffset>
                </wp:positionV>
                <wp:extent cx="5511800" cy="15240"/>
                <wp:effectExtent l="0" t="4445" r="12700" b="8890"/>
                <wp:wrapNone/>
                <wp:docPr id="1" name="直接连接符 1"/>
                <wp:cNvGraphicFramePr/>
                <a:graphic xmlns:a="http://schemas.openxmlformats.org/drawingml/2006/main">
                  <a:graphicData uri="http://schemas.microsoft.com/office/word/2010/wordprocessingShape">
                    <wps:wsp>
                      <wps:cNvCnPr/>
                      <wps:spPr>
                        <a:xfrm>
                          <a:off x="0" y="0"/>
                          <a:ext cx="55118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27.25pt;height:1.2pt;width:434pt;z-index:251660288;mso-width-relative:page;mso-height-relative:page;" filled="f" stroked="t" coordsize="21600,21600" o:gfxdata="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G5bvVAAAACAEAAA8AAAAA&#10;AAAAAQAgAAAAIgAAAGRycy9kb3ducmV2LnhtbFBLAQIUABQAAAAIAIdO4kAwEdxg3gEAAJo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20</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16141</w:t>
      </w:r>
      <w:r>
        <w:rPr>
          <w:rFonts w:hint="eastAsia" w:ascii="仿宋_GB2312" w:hAnsi="仿宋" w:eastAsia="仿宋_GB2312"/>
          <w:kern w:val="13"/>
          <w:sz w:val="28"/>
          <w:szCs w:val="28"/>
          <w:highlight w:val="none"/>
        </w:rPr>
        <w:t>号</w:t>
      </w:r>
    </w:p>
    <w:p>
      <w:pPr>
        <w:jc w:val="cente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孝昌县桥西安花路六0四宿舍八栋三单元五层陈小平所属的</w:t>
      </w:r>
    </w:p>
    <w:p>
      <w:pPr>
        <w:jc w:val="center"/>
        <w:rPr>
          <w:rFonts w:ascii="仿宋" w:hAnsi="仿宋" w:eastAsia="仿宋"/>
          <w:b/>
          <w:bCs/>
          <w:sz w:val="32"/>
          <w:szCs w:val="32"/>
        </w:rPr>
      </w:pPr>
      <w:r>
        <w:rPr>
          <w:rFonts w:hint="eastAsia" w:ascii="仿宋" w:hAnsi="仿宋" w:eastAsia="仿宋"/>
          <w:b/>
          <w:bCs/>
          <w:sz w:val="32"/>
          <w:szCs w:val="32"/>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委托方：孝昌县人民法院</w:t>
      </w:r>
    </w:p>
    <w:p>
      <w:pPr>
        <w:numPr>
          <w:ilvl w:val="0"/>
          <w:numId w:val="1"/>
        </w:numPr>
        <w:ind w:left="0" w:leftChars="0"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住所：</w:t>
      </w:r>
      <w:r>
        <w:rPr>
          <w:rFonts w:hint="eastAsia" w:ascii="仿宋_GB2312" w:hAnsi="宋体" w:eastAsia="仿宋_GB2312" w:cs="Times New Roman"/>
          <w:kern w:val="2"/>
          <w:sz w:val="28"/>
          <w:szCs w:val="28"/>
          <w:lang w:val="en-US" w:eastAsia="zh-CN" w:bidi="ar-SA"/>
        </w:rPr>
        <w:t>湖北省孝昌县平安大道12号</w:t>
      </w:r>
    </w:p>
    <w:p>
      <w:pPr>
        <w:numPr>
          <w:ilvl w:val="0"/>
          <w:numId w:val="0"/>
        </w:num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本次估价对象范围为陈小平所有的位于孝昌县桥西安花路六0四宿舍八栋三单元5层、建筑面积为65.77平方米的住宅房地产。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根据委托方提供的司法鉴定委托书</w:t>
      </w:r>
      <w:r>
        <w:rPr>
          <w:rFonts w:hint="eastAsia" w:ascii="仿宋" w:hAnsi="仿宋" w:eastAsia="仿宋" w:cs="Arial"/>
          <w:color w:val="000000"/>
          <w:sz w:val="30"/>
          <w:szCs w:val="30"/>
          <w:lang w:eastAsia="zh-CN"/>
        </w:rPr>
        <w:t>及不动产登记信息、现场勘验照片等资料</w:t>
      </w:r>
      <w:r>
        <w:rPr>
          <w:rFonts w:hint="eastAsia" w:ascii="仿宋_GB2312" w:hAnsi="宋体" w:eastAsia="仿宋_GB2312" w:cs="Times New Roman"/>
          <w:kern w:val="2"/>
          <w:sz w:val="28"/>
          <w:szCs w:val="28"/>
          <w:lang w:val="en-US" w:eastAsia="zh-CN" w:bidi="ar-SA"/>
        </w:rPr>
        <w:t>，可知估价对象实体状况如下：</w:t>
      </w:r>
    </w:p>
    <w:p>
      <w:pPr>
        <w:ind w:firstLine="560" w:firstLineChars="20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估价对象房屋位于</w:t>
      </w:r>
      <w:r>
        <w:rPr>
          <w:rFonts w:hint="eastAsia" w:ascii="仿宋_GB2312" w:hAnsi="宋体" w:eastAsia="仿宋_GB2312" w:cs="Times New Roman"/>
          <w:kern w:val="2"/>
          <w:sz w:val="28"/>
          <w:szCs w:val="28"/>
          <w:lang w:val="en-US" w:eastAsia="zh-CN" w:bidi="ar-SA"/>
        </w:rPr>
        <w:t>孝昌县桥西安花路六0四宿舍八栋三单元5层，建筑面积为65.77平方米，</w:t>
      </w:r>
      <w:r>
        <w:rPr>
          <w:rFonts w:hint="eastAsia" w:ascii="仿宋_GB2312" w:hAnsi="宋体" w:eastAsia="仿宋_GB2312" w:cs="Times New Roman"/>
          <w:kern w:val="2"/>
          <w:sz w:val="28"/>
          <w:szCs w:val="28"/>
          <w:highlight w:val="none"/>
          <w:lang w:val="en-US" w:eastAsia="zh-CN" w:bidi="ar-SA"/>
        </w:rPr>
        <w:t>房屋所有权人为陈小平，单独所有，房屋结构为混合结构，所在层数/总层数为5层/5层，不动产权证号为00005295号，登记时间为2013年7月26日，登记类型为单位建造房屋。土地登记类型为房改房土地登记，不动产权证书（明）号为孝昌国用（2005）字第1209210000257号，土地使用权面积为536.20平方米，土地使用权人陈小平，土地类型为国用建设用地使用权，土地性质为划拨，土地用途为城镇住宅用地，土地登记日期为2005年11月13日。</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经查，估价对象房屋坐落于</w:t>
      </w:r>
      <w:r>
        <w:rPr>
          <w:rFonts w:hint="eastAsia" w:ascii="仿宋_GB2312" w:hAnsi="宋体" w:eastAsia="仿宋_GB2312" w:cs="Times New Roman"/>
          <w:kern w:val="2"/>
          <w:sz w:val="28"/>
          <w:szCs w:val="28"/>
          <w:lang w:val="en-US" w:eastAsia="zh-CN" w:bidi="ar-SA"/>
        </w:rPr>
        <w:t>孝昌县桥西安花路六0四宿舍八栋三单元5层</w:t>
      </w:r>
      <w:r>
        <w:rPr>
          <w:rFonts w:hint="eastAsia" w:ascii="仿宋_GB2312" w:hAnsi="宋体" w:eastAsia="仿宋_GB2312" w:cs="Times New Roman"/>
          <w:kern w:val="2"/>
          <w:sz w:val="28"/>
          <w:szCs w:val="28"/>
          <w:highlight w:val="none"/>
          <w:lang w:val="en-US" w:eastAsia="zh-CN" w:bidi="ar-SA"/>
        </w:rPr>
        <w:t>，建成于1999年，现状用途为成套住宅，户型为二室一厅一厨一卫，南北朝向。房屋外墙为水泥砂浆粉刷，进户门为简易防盗门，室内墙面、天棚为乳胶漆刷白，地面为地砖铺贴，厨卫墙面、地面铺贴瓷砖，铝合金窗户，室内为简单装修，维护保养差。</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二0二0年十一月二日。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我们按照《房地产估价规范》的规定，遵循估价行业公认的估价工作原则，对估价对象进行独立、客观、科学的评价，并遵守国家保密规定。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估价人员经过实地勘查和测算，确定估价对象在估价时点的市场价值为￥151534元(大写人民币壹拾伍万壹仟伍佰叁拾肆元整)。</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203835</wp:posOffset>
                  </wp:positionH>
                  <wp:positionV relativeFrom="paragraph">
                    <wp:posOffset>248920</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48895</wp:posOffset>
                  </wp:positionH>
                  <wp:positionV relativeFrom="paragraph">
                    <wp:posOffset>267970</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评估参加人员：谭思敏</w:t>
      </w:r>
    </w:p>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20</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11</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20</w:t>
      </w:r>
      <w:r>
        <w:rPr>
          <w:rStyle w:val="11"/>
          <w:rFonts w:hint="eastAsia" w:ascii="仿宋_GB2312" w:hAnsi="仿宋" w:eastAsia="仿宋_GB2312" w:cs="宋体"/>
          <w:sz w:val="28"/>
          <w:szCs w:val="28"/>
          <w:highlight w:val="none"/>
        </w:rPr>
        <w:t>日</w:t>
      </w:r>
      <w:r>
        <w:rPr>
          <w:rStyle w:val="11"/>
          <w:rFonts w:hint="eastAsia" w:ascii="仿宋_GB2312" w:hAnsi="仿宋" w:eastAsia="仿宋_GB2312" w:cs="宋体"/>
          <w:sz w:val="28"/>
          <w:szCs w:val="28"/>
          <w:highlight w:val="none"/>
        </w:rPr>
        <w:t>。</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若无特别约定，估价结论有效期为从估价报告完成之日起壹年。超过有效期后需重新估价方可使用。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2"/>
          <w:szCs w:val="32"/>
          <w:highlight w:val="none"/>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二0二0年十一月二十日</w:t>
      </w: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6"/>
          <w:szCs w:val="36"/>
        </w:rPr>
      </w:pPr>
      <w:r>
        <w:rPr>
          <w:rFonts w:hint="eastAsia" w:ascii="仿宋" w:hAnsi="仿宋" w:eastAsia="仿宋"/>
          <w:b/>
          <w:bCs/>
          <w:sz w:val="36"/>
          <w:szCs w:val="36"/>
          <w:lang w:val="en-US" w:eastAsia="zh-CN"/>
        </w:rPr>
        <w:t>孝</w:t>
      </w:r>
      <w:r>
        <w:rPr>
          <w:rFonts w:hint="eastAsia" w:ascii="仿宋" w:hAnsi="仿宋" w:eastAsia="仿宋"/>
          <w:b/>
          <w:bCs/>
          <w:sz w:val="36"/>
          <w:szCs w:val="36"/>
          <w:lang w:val="en-US" w:eastAsia="zh-CN"/>
        </w:rPr>
        <w:t>昌县桥西安花路六0四宿舍八栋三单元五层陈小平所属的</w:t>
      </w:r>
      <w:r>
        <w:rPr>
          <w:rFonts w:hint="eastAsia" w:ascii="仿宋" w:hAnsi="仿宋" w:eastAsia="仿宋"/>
          <w:b/>
          <w:bCs/>
          <w:sz w:val="36"/>
          <w:szCs w:val="36"/>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估价对象房屋位于</w:t>
      </w:r>
      <w:r>
        <w:rPr>
          <w:rFonts w:hint="eastAsia" w:ascii="仿宋_GB2312" w:hAnsi="宋体" w:eastAsia="仿宋_GB2312" w:cs="Times New Roman"/>
          <w:kern w:val="2"/>
          <w:sz w:val="28"/>
          <w:szCs w:val="28"/>
          <w:lang w:val="en-US" w:eastAsia="zh-CN" w:bidi="ar-SA"/>
        </w:rPr>
        <w:t>孝昌县桥西安花路六0四宿舍八栋三单元5层，建筑面积为65.77平方米，</w:t>
      </w:r>
      <w:r>
        <w:rPr>
          <w:rFonts w:hint="eastAsia" w:ascii="仿宋_GB2312" w:hAnsi="宋体" w:eastAsia="仿宋_GB2312" w:cs="Times New Roman"/>
          <w:kern w:val="2"/>
          <w:sz w:val="28"/>
          <w:szCs w:val="28"/>
          <w:highlight w:val="none"/>
          <w:lang w:val="en-US" w:eastAsia="zh-CN" w:bidi="ar-SA"/>
        </w:rPr>
        <w:t>房屋所有权人为陈小平，单独所有，房屋结构为混合结构，所在层数/总层数为5层/5层，不动产权证号为00005295号，登记时间为2013年7月26日，登记类型为单位建造房屋。土地登记类型为房改房土地登记，不动产权证书（明）号为孝昌国用（2005）字第1209210000257号，土地使用权面积为536.20平方米，土地使用权人陈小平，土地类型为国用建设用地使用权，土地性质为划拨，土地用途为城镇住宅用地，土地登记日期为2005年11月13日。</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经查，估价对象房屋坐落于</w:t>
      </w:r>
      <w:r>
        <w:rPr>
          <w:rFonts w:hint="eastAsia" w:ascii="仿宋_GB2312" w:hAnsi="宋体" w:eastAsia="仿宋_GB2312" w:cs="Times New Roman"/>
          <w:kern w:val="2"/>
          <w:sz w:val="28"/>
          <w:szCs w:val="28"/>
          <w:lang w:val="en-US" w:eastAsia="zh-CN" w:bidi="ar-SA"/>
        </w:rPr>
        <w:t>孝昌县桥西安花路六0四宿舍八栋三单元5层</w:t>
      </w:r>
      <w:r>
        <w:rPr>
          <w:rFonts w:hint="eastAsia" w:ascii="仿宋_GB2312" w:hAnsi="宋体" w:eastAsia="仿宋_GB2312" w:cs="Times New Roman"/>
          <w:kern w:val="2"/>
          <w:sz w:val="28"/>
          <w:szCs w:val="28"/>
          <w:highlight w:val="none"/>
          <w:lang w:val="en-US" w:eastAsia="zh-CN" w:bidi="ar-SA"/>
        </w:rPr>
        <w:t>，建成于1999年，现状用途为成套住宅，户型为二室一厅一厨一卫，南北朝向。房屋外墙为水泥砂浆粉刷，进户门为简易防盗门，室内墙面、天棚为乳胶漆刷白，地面为地砖铺贴，厨卫墙面、地面铺贴瓷砖，铝合金窗户，室内为简单装修，维护保养差。</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二、估价对象区域因素分析</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估价对象位于</w:t>
      </w:r>
      <w:r>
        <w:rPr>
          <w:rFonts w:hint="eastAsia" w:ascii="仿宋_GB2312" w:hAnsi="宋体" w:eastAsia="仿宋_GB2312" w:cs="Times New Roman"/>
          <w:kern w:val="2"/>
          <w:sz w:val="28"/>
          <w:szCs w:val="28"/>
          <w:lang w:val="en-US" w:eastAsia="zh-CN" w:bidi="ar-SA"/>
        </w:rPr>
        <w:t>孝昌县桥西安花路六0四宿舍院内</w:t>
      </w:r>
      <w:r>
        <w:rPr>
          <w:rFonts w:hint="eastAsia" w:ascii="仿宋_GB2312" w:hAnsi="宋体" w:eastAsia="仿宋_GB2312" w:cs="Times New Roman"/>
          <w:kern w:val="2"/>
          <w:sz w:val="28"/>
          <w:szCs w:val="28"/>
          <w:highlight w:val="none"/>
          <w:lang w:val="en-US" w:eastAsia="zh-CN" w:bidi="ar-SA"/>
        </w:rPr>
        <w:t>。该宿舍院环境幽静，绿化绿植茂盛，物业管理尚可。估价对象所在区域为孝昌县城西范围，邻近有万博名都、博士湾、昌泰梅园等规模居住小区，配套有小学校、幼儿园，各专业银行、邮政、超市、菜场，还有医疗诊所，交通比较便捷，周边生活、公共配套设施较为齐全，生活、购物、出行较方便。</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接受委托后，我们会同委托人及相关当事人对估价对象进行了实地勘查，随后开展了广泛的市场调查，并采用市场法进行了估价测算。</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针对估价对象的功能和特点，根据替代原则，按用途相同、土地级别相同、价格类型相同等特点，对与估价对象同一区域内的类似住宅房屋价格进行了市场调查和比较分析，按照估价要求，筛选三个可比实例。</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实例A：昌泰梅园小区住宅，2016年建成，总层数6层，所在层2层，南北朝向，毛坯，建筑面积117平米，拟交易总价26万，折合单价约为2222元/平米，拟交易日期2020年11月份。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实例B：昌泰梅园小区住宅，2016年建成，总层数6层，所在层6层，南北朝向，毛坯，建筑面积117平米，拟交易总价27万，折合单价约为2308元/平米，拟交易日期2020年11月份。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实例C：博士湾小区住宅，2013年建成，总层数层，所在层7层，南北朝向，毛坯，建筑面积84平米，拟交易总价25万，折合单价约为2976元/平米，拟交易日期2020年11月份。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w:t>
            </w:r>
            <w:r>
              <w:rPr>
                <w:rFonts w:hint="eastAsia" w:ascii="仿宋" w:hAnsi="仿宋" w:eastAsia="仿宋" w:cs="仿宋"/>
                <w:sz w:val="24"/>
                <w:szCs w:val="24"/>
                <w:vertAlign w:val="baseline"/>
                <w:lang w:val="en-US" w:eastAsia="zh-CN"/>
              </w:rPr>
              <w:t>案例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位 置</w:t>
            </w:r>
          </w:p>
        </w:tc>
        <w:tc>
          <w:tcPr>
            <w:tcW w:w="1446"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六0四</w:t>
            </w:r>
            <w:r>
              <w:rPr>
                <w:rFonts w:hint="eastAsia" w:ascii="仿宋" w:hAnsi="仿宋" w:eastAsia="仿宋" w:cs="仿宋"/>
                <w:sz w:val="24"/>
                <w:szCs w:val="24"/>
                <w:vertAlign w:val="baseline"/>
                <w:lang w:val="en-US" w:eastAsia="zh-CN"/>
              </w:rPr>
              <w:t>宿舍八栋三单元五层</w:t>
            </w:r>
          </w:p>
        </w:tc>
        <w:tc>
          <w:tcPr>
            <w:tcW w:w="1567"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昌泰梅园</w:t>
            </w: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小区</w:t>
            </w:r>
          </w:p>
        </w:tc>
        <w:tc>
          <w:tcPr>
            <w:tcW w:w="1550"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昌泰梅园</w:t>
            </w:r>
          </w:p>
          <w:p>
            <w:pPr>
              <w:numPr>
                <w:ilvl w:val="0"/>
                <w:numId w:val="0"/>
              </w:numPr>
              <w:ind w:left="0" w:leftChars="0"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8"/>
                <w:szCs w:val="28"/>
                <w:lang w:val="en-US" w:eastAsia="zh-CN"/>
              </w:rPr>
              <w:t>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博士湾</w:t>
            </w:r>
          </w:p>
          <w:p>
            <w:pPr>
              <w:numPr>
                <w:ilvl w:val="0"/>
                <w:numId w:val="0"/>
              </w:numPr>
              <w:ind w:left="0" w:leftChars="0" w:firstLine="0" w:firstLineChars="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昌泰梅园</w:t>
            </w:r>
          </w:p>
        </w:tc>
        <w:tc>
          <w:tcPr>
            <w:tcW w:w="1550"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昌泰梅园</w:t>
            </w:r>
          </w:p>
        </w:tc>
        <w:tc>
          <w:tcPr>
            <w:tcW w:w="1633"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博士湾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2222</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2308</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房改房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房改房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5</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二室一厅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446"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简单装修</w:t>
            </w:r>
          </w:p>
        </w:tc>
        <w:tc>
          <w:tcPr>
            <w:tcW w:w="1567"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毛坯</w:t>
            </w:r>
          </w:p>
        </w:tc>
        <w:tc>
          <w:tcPr>
            <w:tcW w:w="1550"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毛坯</w:t>
            </w:r>
          </w:p>
        </w:tc>
        <w:tc>
          <w:tcPr>
            <w:tcW w:w="1633"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spacing w:line="480" w:lineRule="auto"/>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朝向及采光通风</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58%</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92%</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92%</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2222</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2308</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97</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97</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朝向</w:t>
            </w:r>
            <w:r>
              <w:rPr>
                <w:rFonts w:hint="eastAsia" w:ascii="仿宋" w:hAnsi="仿宋" w:eastAsia="仿宋" w:cs="仿宋"/>
                <w:sz w:val="24"/>
                <w:szCs w:val="24"/>
                <w:vertAlign w:val="baseline"/>
                <w:lang w:val="en-US" w:eastAsia="zh-CN"/>
              </w:rPr>
              <w:t>及采光</w:t>
            </w:r>
            <w:r>
              <w:rPr>
                <w:rFonts w:hint="eastAsia" w:ascii="仿宋" w:hAnsi="仿宋" w:eastAsia="仿宋" w:cs="仿宋"/>
                <w:sz w:val="30"/>
                <w:szCs w:val="30"/>
                <w:vertAlign w:val="baseline"/>
                <w:lang w:val="en-US" w:eastAsia="zh-CN"/>
              </w:rPr>
              <w:t>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107</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107</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106</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104</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103</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对象</w:t>
            </w:r>
          </w:p>
        </w:tc>
        <w:tc>
          <w:tcPr>
            <w:tcW w:w="1867"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成交单价（元/平米）</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2222</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2308</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情况</w:t>
            </w: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交易情况</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4"/>
                <w:szCs w:val="24"/>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类型</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市场状况调整系数</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区域状况调整系数</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67"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550"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33"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106</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104</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2096</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2219</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2889</w:t>
            </w:r>
          </w:p>
        </w:tc>
      </w:tr>
    </w:tbl>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5、求取估价对象价值</w:t>
      </w:r>
    </w:p>
    <w:p>
      <w:pPr>
        <w:numPr>
          <w:ilvl w:val="0"/>
          <w:numId w:val="0"/>
        </w:numPr>
        <w:ind w:firstLine="600" w:firstLineChars="200"/>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可比实例A、B、C与估价对象条件因素相当类似，但A、B与C比准价格相差甚远，因此采取加权算数平均值的求取方法，估算估价对象的评估价格。经综合分析确定可比实例A、B、C的权重分别为40%、40%、20%。</w:t>
      </w:r>
    </w:p>
    <w:p>
      <w:pPr>
        <w:numPr>
          <w:ilvl w:val="0"/>
          <w:numId w:val="0"/>
        </w:numPr>
        <w:ind w:left="600" w:leftChars="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评估单价=2096×40%+2219×40%+2889×20%≈2304(元/平米)</w:t>
      </w:r>
    </w:p>
    <w:p>
      <w:pPr>
        <w:numPr>
          <w:ilvl w:val="0"/>
          <w:numId w:val="0"/>
        </w:numPr>
        <w:ind w:firstLine="600" w:firstLineChars="200"/>
        <w:jc w:val="both"/>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评估总值=2304</w:t>
      </w:r>
      <w:r>
        <w:rPr>
          <w:rFonts w:hint="eastAsia" w:ascii="仿宋" w:hAnsi="仿宋" w:eastAsia="仿宋" w:cs="仿宋"/>
          <w:sz w:val="30"/>
          <w:szCs w:val="30"/>
          <w:lang w:val="en-US" w:eastAsia="zh-CN"/>
        </w:rPr>
        <w:t>×65.77≈151534(元)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估价人员根据估价目的，遵循估价原则，按照规定估价程序和方法，经过具体测算，确定估价对象在估价时点的市场价值为￥151534元(大写人民币壹拾伍万壹仟伍佰叁拾肆元整)。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pPr>
      <w:r>
        <w:rPr>
          <w:rFonts w:hint="eastAsia" w:ascii="仿宋_GB2312" w:hAnsi="宋体" w:eastAsia="仿宋_GB2312" w:cs="Times New Roman"/>
          <w:kern w:val="2"/>
          <w:sz w:val="28"/>
          <w:szCs w:val="28"/>
          <w:highlight w:val="none"/>
          <w:lang w:val="en-US" w:eastAsia="zh-CN" w:bidi="ar-SA"/>
        </w:rPr>
        <w:t xml:space="preserve">                                   二0二0年十一月二十日</w:t>
      </w:r>
      <w:bookmarkStart w:id="0" w:name="_GoBack"/>
      <w:bookmarkEnd w:id="0"/>
    </w:p>
    <w:p>
      <w:pP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decorative"/>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仿宋_GB2312">
    <w:altName w:val="仿宋"/>
    <w:panose1 w:val="020106090300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创艺简仿宋">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20</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659EF"/>
    <w:rsid w:val="011659EF"/>
    <w:rsid w:val="045412A6"/>
    <w:rsid w:val="0FC803F4"/>
    <w:rsid w:val="155B3298"/>
    <w:rsid w:val="2C1218DE"/>
    <w:rsid w:val="2D5531EF"/>
    <w:rsid w:val="33747E76"/>
    <w:rsid w:val="33B77FE2"/>
    <w:rsid w:val="432F56C9"/>
    <w:rsid w:val="583818F9"/>
    <w:rsid w:val="775407D3"/>
    <w:rsid w:val="7A03263B"/>
    <w:rsid w:val="7D854D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2020-11-18T02:01:00Z</dcterms:created>
  <dc:creator>Administrator</dc:creator>
  <cp:lastModifiedBy>Administrator</cp:lastModifiedBy>
  <dcterms:modified xsi:type="dcterms:W3CDTF">2020-11-20T02:48:32Z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