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580" w:lineRule="exact"/>
        <w:jc w:val="center"/>
        <w:textAlignment w:val="bottom"/>
        <w:rPr>
          <w:rFonts w:hint="eastAsia" w:ascii="宋体" w:hAnsi="宋体" w:cs="宋体"/>
          <w:bCs/>
          <w:sz w:val="36"/>
          <w:szCs w:val="36"/>
          <w:lang w:eastAsia="zh-CN"/>
        </w:rPr>
      </w:pPr>
      <w:r>
        <w:rPr>
          <w:rFonts w:hint="eastAsia" w:ascii="宋体" w:hAnsi="宋体" w:cs="宋体"/>
          <w:bCs/>
          <w:sz w:val="36"/>
          <w:szCs w:val="36"/>
          <w:lang w:eastAsia="zh-CN"/>
        </w:rPr>
        <w:t>辽阳龙峰房地产开发有限公司住宅、车库及土地市场价值</w:t>
      </w:r>
    </w:p>
    <w:p>
      <w:pPr>
        <w:keepNext w:val="0"/>
        <w:keepLines w:val="0"/>
        <w:pageBreakBefore w:val="0"/>
        <w:widowControl/>
        <w:kinsoku/>
        <w:wordWrap/>
        <w:overflowPunct/>
        <w:topLinePunct w:val="0"/>
        <w:autoSpaceDE w:val="0"/>
        <w:autoSpaceDN w:val="0"/>
        <w:bidi w:val="0"/>
        <w:adjustRightInd/>
        <w:snapToGrid/>
        <w:spacing w:before="40" w:after="40" w:line="580" w:lineRule="exact"/>
        <w:jc w:val="center"/>
        <w:textAlignment w:val="bottom"/>
        <w:rPr>
          <w:rFonts w:ascii="宋体" w:cs="宋体"/>
          <w:sz w:val="36"/>
          <w:szCs w:val="36"/>
        </w:rPr>
      </w:pPr>
      <w:r>
        <w:rPr>
          <w:rFonts w:hint="eastAsia" w:ascii="宋体" w:hAnsi="宋体" w:cs="宋体"/>
          <w:bCs/>
          <w:sz w:val="36"/>
          <w:szCs w:val="36"/>
          <w:lang w:eastAsia="zh-CN"/>
        </w:rPr>
        <w:t>资产评估</w:t>
      </w:r>
      <w:r>
        <w:rPr>
          <w:rFonts w:hint="eastAsia" w:ascii="宋体" w:hAnsi="宋体" w:cs="宋体"/>
          <w:bCs/>
          <w:sz w:val="36"/>
          <w:szCs w:val="36"/>
        </w:rPr>
        <w:t>报告书</w:t>
      </w:r>
    </w:p>
    <w:p>
      <w:pPr>
        <w:keepNext w:val="0"/>
        <w:keepLines w:val="0"/>
        <w:pageBreakBefore w:val="0"/>
        <w:kinsoku/>
        <w:wordWrap/>
        <w:overflowPunct/>
        <w:topLinePunct w:val="0"/>
        <w:bidi w:val="0"/>
        <w:adjustRightInd/>
        <w:snapToGrid/>
        <w:spacing w:line="58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201</w:t>
      </w:r>
      <w:r>
        <w:rPr>
          <w:rFonts w:hint="eastAsia" w:ascii="仿宋" w:hAnsi="仿宋" w:eastAsia="仿宋" w:cs="仿宋"/>
          <w:color w:val="FF0000"/>
          <w:sz w:val="28"/>
          <w:szCs w:val="28"/>
          <w:lang w:val="en-US" w:eastAsia="zh-CN"/>
        </w:rPr>
        <w:t>9</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144</w:t>
      </w:r>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580" w:lineRule="exact"/>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580" w:lineRule="exact"/>
        <w:outlineLvl w:val="0"/>
        <w:rPr>
          <w:rFonts w:hint="eastAsia" w:ascii="仿宋" w:hAnsi="仿宋" w:eastAsia="仿宋" w:cs="仿宋"/>
          <w:sz w:val="28"/>
          <w:szCs w:val="28"/>
          <w:lang w:eastAsia="zh-CN"/>
        </w:rPr>
      </w:pPr>
      <w:r>
        <w:rPr>
          <w:rFonts w:hint="eastAsia" w:ascii="仿宋" w:hAnsi="仿宋" w:eastAsia="仿宋" w:cs="仿宋"/>
          <w:sz w:val="28"/>
          <w:szCs w:val="28"/>
          <w:lang w:eastAsia="zh-CN"/>
        </w:rPr>
        <w:t>辽阳龙峰房地产开发有限公司：</w:t>
      </w:r>
    </w:p>
    <w:p>
      <w:pPr>
        <w:keepNext w:val="0"/>
        <w:keepLines w:val="0"/>
        <w:pageBreakBefore w:val="0"/>
        <w:kinsoku/>
        <w:wordWrap/>
        <w:overflowPunct/>
        <w:topLinePunct w:val="0"/>
        <w:bidi w:val="0"/>
        <w:adjustRightInd/>
        <w:snapToGrid/>
        <w:spacing w:line="580" w:lineRule="exact"/>
        <w:outlineLvl w:val="0"/>
        <w:rPr>
          <w:rFonts w:ascii="仿宋" w:hAnsi="仿宋" w:eastAsia="仿宋" w:cs="仿宋"/>
          <w:sz w:val="28"/>
          <w:szCs w:val="28"/>
        </w:rPr>
      </w:pPr>
      <w:r>
        <w:rPr>
          <w:rFonts w:hint="eastAsia" w:ascii="仿宋" w:hAnsi="仿宋" w:eastAsia="仿宋" w:cs="仿宋"/>
          <w:sz w:val="28"/>
          <w:szCs w:val="28"/>
          <w:lang w:eastAsia="zh-CN"/>
        </w:rPr>
        <w:t>辽阳农村商业银行股份有限公司</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辽阳智达</w:t>
      </w:r>
      <w:r>
        <w:rPr>
          <w:rFonts w:hint="eastAsia" w:ascii="仿宋" w:hAnsi="仿宋" w:eastAsia="仿宋" w:cs="仿宋"/>
          <w:sz w:val="28"/>
          <w:szCs w:val="28"/>
          <w:lang w:eastAsia="zh-CN"/>
        </w:rPr>
        <w:t>资产评估</w:t>
      </w:r>
      <w:r>
        <w:rPr>
          <w:rFonts w:hint="eastAsia" w:ascii="仿宋" w:hAnsi="仿宋" w:eastAsia="仿宋" w:cs="仿宋"/>
          <w:sz w:val="28"/>
          <w:szCs w:val="28"/>
        </w:rPr>
        <w:t>事务所接受</w:t>
      </w:r>
      <w:r>
        <w:rPr>
          <w:rFonts w:hint="eastAsia" w:ascii="仿宋" w:hAnsi="仿宋" w:eastAsia="仿宋" w:cs="仿宋"/>
          <w:color w:val="FF0000"/>
          <w:sz w:val="28"/>
          <w:szCs w:val="28"/>
          <w:lang w:eastAsia="zh-CN"/>
        </w:rPr>
        <w:t>辽阳龙峰房地产开发有限公司及辽阳农村商业银行股份有限公司</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进行了评估。本所评估人员按照必要的评估程序对委估对象实施了实地勘察、市场调查与询证。对委估对象在</w:t>
      </w:r>
      <w:r>
        <w:rPr>
          <w:rFonts w:hint="eastAsia" w:ascii="仿宋" w:hAnsi="仿宋" w:eastAsia="仿宋" w:cs="仿宋"/>
          <w:color w:val="FF0000"/>
          <w:sz w:val="28"/>
          <w:szCs w:val="28"/>
          <w:lang w:eastAsia="zh-CN"/>
        </w:rPr>
        <w:t>2019年11月07日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辽阳龙峰房地产开发有限公司；辽阳农村商业银行股份有限公司</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58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val="0"/>
          <w:bCs w:val="0"/>
          <w:sz w:val="28"/>
          <w:szCs w:val="28"/>
          <w:lang w:eastAsia="zh-CN"/>
        </w:rPr>
        <w:t>无</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sz w:val="28"/>
        </w:rPr>
        <w:t>评估</w:t>
      </w:r>
      <w:r>
        <w:rPr>
          <w:rFonts w:hint="eastAsia" w:ascii="仿宋" w:hAnsi="仿宋" w:eastAsia="仿宋" w:cs="仿宋"/>
          <w:color w:val="FF0000"/>
          <w:sz w:val="28"/>
        </w:rPr>
        <w:t>核实资产价值，为委托人提供价值参考</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580" w:lineRule="exact"/>
        <w:ind w:firstLine="562" w:firstLineChars="200"/>
        <w:rPr>
          <w:rFonts w:ascii="仿宋" w:hAnsi="仿宋" w:eastAsia="仿宋" w:cs="仿宋"/>
          <w:sz w:val="28"/>
          <w:szCs w:val="28"/>
        </w:rPr>
      </w:pPr>
      <w:r>
        <w:rPr>
          <w:rFonts w:hint="eastAsia" w:ascii="仿宋" w:hAnsi="仿宋" w:eastAsia="仿宋" w:cs="仿宋"/>
          <w:b/>
          <w:bCs/>
          <w:sz w:val="28"/>
          <w:szCs w:val="28"/>
        </w:rPr>
        <w:t>三、评估对象和评估范围：</w:t>
      </w:r>
      <w:r>
        <w:rPr>
          <w:rFonts w:hint="eastAsia" w:ascii="仿宋" w:hAnsi="仿宋" w:eastAsia="仿宋" w:cs="仿宋"/>
          <w:sz w:val="28"/>
        </w:rPr>
        <w:t>评估对象为</w:t>
      </w:r>
      <w:r>
        <w:rPr>
          <w:rFonts w:hint="eastAsia" w:ascii="仿宋" w:hAnsi="仿宋" w:eastAsia="仿宋" w:cs="仿宋"/>
          <w:sz w:val="28"/>
          <w:lang w:val="en-US" w:eastAsia="zh-CN"/>
        </w:rPr>
        <w:t>辽阳龙峰房地产开发有限公司住宅、车库及土地</w:t>
      </w:r>
      <w:r>
        <w:rPr>
          <w:rFonts w:hint="eastAsia" w:ascii="仿宋" w:hAnsi="仿宋" w:eastAsia="仿宋" w:cs="仿宋"/>
          <w:sz w:val="28"/>
        </w:rPr>
        <w:t>，评估范围包括</w:t>
      </w:r>
      <w:r>
        <w:rPr>
          <w:rFonts w:hint="eastAsia" w:ascii="仿宋" w:hAnsi="仿宋" w:eastAsia="仿宋" w:cs="仿宋"/>
          <w:sz w:val="28"/>
          <w:lang w:eastAsia="zh-CN"/>
        </w:rPr>
        <w:t>住宅</w:t>
      </w:r>
      <w:r>
        <w:rPr>
          <w:rFonts w:hint="eastAsia" w:ascii="仿宋" w:hAnsi="仿宋" w:eastAsia="仿宋" w:cs="仿宋"/>
          <w:sz w:val="28"/>
          <w:lang w:val="en-US" w:eastAsia="zh-CN"/>
        </w:rPr>
        <w:t>52处；车库55处；商业服务业出让地一处</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58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58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w:t>
      </w:r>
      <w:r>
        <w:rPr>
          <w:rFonts w:hint="eastAsia" w:ascii="仿宋" w:hAnsi="仿宋" w:eastAsia="仿宋" w:cs="仿宋"/>
          <w:sz w:val="28"/>
          <w:szCs w:val="28"/>
          <w:lang w:eastAsia="zh-CN"/>
        </w:rPr>
        <w:t>资产评估</w:t>
      </w:r>
      <w:r>
        <w:rPr>
          <w:rFonts w:hint="eastAsia" w:ascii="仿宋" w:hAnsi="仿宋" w:eastAsia="仿宋" w:cs="仿宋"/>
          <w:sz w:val="28"/>
          <w:szCs w:val="28"/>
        </w:rPr>
        <w:t>基准日是</w:t>
      </w:r>
      <w:r>
        <w:rPr>
          <w:rFonts w:hint="eastAsia" w:ascii="仿宋" w:hAnsi="仿宋" w:eastAsia="仿宋" w:cs="仿宋"/>
          <w:color w:val="FF0000"/>
          <w:sz w:val="28"/>
          <w:szCs w:val="28"/>
          <w:u w:val="none"/>
          <w:lang w:eastAsia="zh-CN"/>
        </w:rPr>
        <w:t>2019年11月07日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w:t>
      </w:r>
      <w:r>
        <w:rPr>
          <w:rFonts w:hint="eastAsia" w:ascii="仿宋" w:hAnsi="仿宋" w:eastAsia="仿宋" w:cs="仿宋"/>
          <w:sz w:val="28"/>
          <w:szCs w:val="28"/>
          <w:lang w:eastAsia="zh-CN"/>
        </w:rPr>
        <w:t>资产评估</w:t>
      </w:r>
      <w:r>
        <w:rPr>
          <w:rFonts w:hint="eastAsia" w:ascii="仿宋" w:hAnsi="仿宋" w:eastAsia="仿宋" w:cs="仿宋"/>
          <w:sz w:val="28"/>
          <w:szCs w:val="28"/>
        </w:rPr>
        <w:t>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58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58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58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58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资产评估业务委托合同</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58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此次评估采用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58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5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5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kinsoku/>
        <w:wordWrap/>
        <w:overflowPunct/>
        <w:topLinePunct w:val="0"/>
        <w:bidi w:val="0"/>
        <w:adjustRightInd/>
        <w:snapToGrid/>
        <w:spacing w:line="580" w:lineRule="exact"/>
        <w:ind w:firstLine="560" w:firstLineChars="200"/>
        <w:jc w:val="left"/>
        <w:rPr>
          <w:rFonts w:hint="eastAsia" w:ascii="仿宋" w:hAnsi="仿宋" w:eastAsia="仿宋" w:cs="仿宋"/>
          <w:color w:val="FF0000"/>
          <w:sz w:val="28"/>
          <w:szCs w:val="28"/>
          <w:lang w:val="en-US" w:eastAsia="zh-CN"/>
        </w:rPr>
      </w:pPr>
      <w:r>
        <w:rPr>
          <w:rFonts w:hint="eastAsia" w:ascii="仿宋" w:hAnsi="仿宋" w:eastAsia="仿宋" w:cs="仿宋"/>
          <w:color w:val="FF0000"/>
          <w:sz w:val="28"/>
          <w:szCs w:val="28"/>
          <w:lang w:eastAsia="zh-CN"/>
        </w:rPr>
        <w:t>评估方法选取原因：</w:t>
      </w:r>
      <w:r>
        <w:rPr>
          <w:rFonts w:hint="eastAsia" w:ascii="仿宋" w:hAnsi="仿宋" w:eastAsia="仿宋" w:cs="仿宋"/>
          <w:color w:val="FF0000"/>
          <w:sz w:val="28"/>
          <w:szCs w:val="28"/>
          <w:lang w:val="en-US" w:eastAsia="zh-CN"/>
        </w:rPr>
        <w:t>1、因当事人/委托方未能提供委估标的原始购入材料/原始工程相关材料，故无法采用成本法；2、因当事人/委托方未能提供委估标的相关的收益材料，其相关收益材料获取困难或不具备单独收益能力，不具备使用收益法的前提，故无法采用收益法；3：委估标的所处公开市场活跃，交易频繁，故采用市场法进行评估。</w:t>
      </w:r>
    </w:p>
    <w:p>
      <w:pPr>
        <w:keepNext w:val="0"/>
        <w:keepLines w:val="0"/>
        <w:pageBreakBefore w:val="0"/>
        <w:numPr>
          <w:ilvl w:val="0"/>
          <w:numId w:val="3"/>
        </w:numPr>
        <w:kinsoku/>
        <w:wordWrap/>
        <w:overflowPunct/>
        <w:topLinePunct w:val="0"/>
        <w:bidi w:val="0"/>
        <w:adjustRightInd/>
        <w:snapToGrid/>
        <w:spacing w:line="58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58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2019年11月07日至</w:t>
      </w:r>
      <w:r>
        <w:rPr>
          <w:rFonts w:hint="eastAsia" w:ascii="仿宋" w:hAnsi="仿宋" w:eastAsia="仿宋" w:cs="仿宋"/>
          <w:color w:val="FF0000"/>
          <w:sz w:val="28"/>
          <w:szCs w:val="28"/>
          <w:lang w:val="en-US" w:eastAsia="zh-CN"/>
        </w:rPr>
        <w:t>12月06日</w:t>
      </w:r>
      <w:r>
        <w:rPr>
          <w:rFonts w:hint="eastAsia" w:ascii="仿宋" w:hAnsi="仿宋" w:eastAsia="仿宋" w:cs="仿宋"/>
          <w:sz w:val="28"/>
          <w:szCs w:val="28"/>
        </w:rPr>
        <w:t>，我机构评估人员对委估标的进行了清查核实和评估计算，经审核出具</w:t>
      </w:r>
      <w:r>
        <w:rPr>
          <w:rFonts w:hint="eastAsia" w:ascii="仿宋" w:hAnsi="仿宋" w:eastAsia="仿宋" w:cs="仿宋"/>
          <w:sz w:val="28"/>
          <w:szCs w:val="28"/>
          <w:lang w:eastAsia="zh-CN"/>
        </w:rPr>
        <w:t>资产评估</w:t>
      </w:r>
      <w:r>
        <w:rPr>
          <w:rFonts w:hint="eastAsia" w:ascii="仿宋" w:hAnsi="仿宋" w:eastAsia="仿宋" w:cs="仿宋"/>
          <w:sz w:val="28"/>
          <w:szCs w:val="28"/>
        </w:rPr>
        <w:t>报告。本次评估的主要工作步骤如下：</w:t>
      </w:r>
    </w:p>
    <w:p>
      <w:pPr>
        <w:keepNext w:val="0"/>
        <w:keepLines w:val="0"/>
        <w:pageBreakBefore w:val="0"/>
        <w:numPr>
          <w:ilvl w:val="0"/>
          <w:numId w:val="4"/>
        </w:numPr>
        <w:kinsoku/>
        <w:wordWrap/>
        <w:overflowPunct/>
        <w:topLinePunct w:val="0"/>
        <w:bidi w:val="0"/>
        <w:adjustRightInd/>
        <w:snapToGrid/>
        <w:spacing w:line="580" w:lineRule="exact"/>
        <w:ind w:firstLine="618"/>
        <w:jc w:val="left"/>
        <w:rPr>
          <w:rFonts w:ascii="仿宋" w:hAnsi="仿宋" w:eastAsia="仿宋" w:cs="仿宋"/>
          <w:color w:val="FF0000"/>
          <w:sz w:val="28"/>
          <w:szCs w:val="28"/>
        </w:rPr>
      </w:pP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rPr>
        <w:t>核实资产价值，为委托人提供价值参考</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辽阳龙峰房地产开发有限公司及辽阳农村商业银行股份有限公司</w:t>
      </w:r>
      <w:r>
        <w:rPr>
          <w:rFonts w:hint="eastAsia" w:ascii="仿宋" w:hAnsi="仿宋" w:eastAsia="仿宋" w:cs="仿宋"/>
          <w:color w:val="FF0000"/>
          <w:sz w:val="28"/>
          <w:szCs w:val="28"/>
        </w:rPr>
        <w:t>，</w:t>
      </w:r>
      <w:r>
        <w:rPr>
          <w:rFonts w:hint="eastAsia" w:ascii="仿宋" w:hAnsi="仿宋" w:eastAsia="仿宋" w:cs="仿宋"/>
          <w:sz w:val="28"/>
        </w:rPr>
        <w:t>评估对象为</w:t>
      </w:r>
      <w:r>
        <w:rPr>
          <w:rFonts w:hint="eastAsia" w:ascii="仿宋" w:hAnsi="仿宋" w:eastAsia="仿宋" w:cs="仿宋"/>
          <w:sz w:val="28"/>
          <w:lang w:val="en-US" w:eastAsia="zh-CN"/>
        </w:rPr>
        <w:t>辽阳龙峰房地产开发有限公司住宅、车库及土地</w:t>
      </w:r>
      <w:r>
        <w:rPr>
          <w:rFonts w:hint="eastAsia" w:ascii="仿宋" w:hAnsi="仿宋" w:eastAsia="仿宋" w:cs="仿宋"/>
          <w:sz w:val="28"/>
        </w:rPr>
        <w:t>，评估范围包括</w:t>
      </w:r>
      <w:r>
        <w:rPr>
          <w:rFonts w:hint="eastAsia" w:ascii="仿宋" w:hAnsi="仿宋" w:eastAsia="仿宋" w:cs="仿宋"/>
          <w:sz w:val="28"/>
          <w:lang w:eastAsia="zh-CN"/>
        </w:rPr>
        <w:t>住宅</w:t>
      </w:r>
      <w:r>
        <w:rPr>
          <w:rFonts w:hint="eastAsia" w:ascii="仿宋" w:hAnsi="仿宋" w:eastAsia="仿宋" w:cs="仿宋"/>
          <w:sz w:val="28"/>
          <w:lang w:val="en-US" w:eastAsia="zh-CN"/>
        </w:rPr>
        <w:t>52处；车库55处；商业服务业出让地一处</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2019年11月07日；</w:t>
      </w:r>
    </w:p>
    <w:p>
      <w:pPr>
        <w:keepNext w:val="0"/>
        <w:keepLines w:val="0"/>
        <w:pageBreakBefore w:val="0"/>
        <w:kinsoku/>
        <w:wordWrap/>
        <w:overflowPunct/>
        <w:topLinePunct w:val="0"/>
        <w:bidi w:val="0"/>
        <w:adjustRightInd/>
        <w:snapToGrid/>
        <w:spacing w:line="58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58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58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58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58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58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w:t>
      </w:r>
      <w:r>
        <w:rPr>
          <w:rFonts w:hint="eastAsia" w:ascii="仿宋" w:hAnsi="仿宋" w:eastAsia="仿宋" w:cs="仿宋"/>
          <w:sz w:val="28"/>
          <w:szCs w:val="28"/>
          <w:lang w:eastAsia="zh-CN"/>
        </w:rPr>
        <w:t>资产评估</w:t>
      </w:r>
      <w:r>
        <w:rPr>
          <w:rFonts w:hint="eastAsia" w:ascii="仿宋" w:hAnsi="仿宋" w:eastAsia="仿宋" w:cs="仿宋"/>
          <w:sz w:val="28"/>
          <w:szCs w:val="28"/>
        </w:rPr>
        <w:t>报告书。</w:t>
      </w:r>
    </w:p>
    <w:p>
      <w:pPr>
        <w:keepNext w:val="0"/>
        <w:keepLines w:val="0"/>
        <w:pageBreakBefore w:val="0"/>
        <w:kinsoku/>
        <w:wordWrap/>
        <w:overflowPunct/>
        <w:topLinePunct w:val="0"/>
        <w:bidi w:val="0"/>
        <w:adjustRightInd/>
        <w:snapToGrid/>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58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58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w:t>
      </w:r>
      <w:r>
        <w:rPr>
          <w:rFonts w:hint="eastAsia" w:ascii="仿宋" w:hAnsi="仿宋" w:eastAsia="仿宋" w:cs="仿宋"/>
          <w:sz w:val="28"/>
          <w:szCs w:val="28"/>
          <w:lang w:eastAsia="zh-CN"/>
        </w:rPr>
        <w:t>资产评估</w:t>
      </w:r>
      <w:r>
        <w:rPr>
          <w:rFonts w:hint="eastAsia" w:ascii="仿宋" w:hAnsi="仿宋" w:eastAsia="仿宋" w:cs="仿宋"/>
          <w:sz w:val="28"/>
          <w:szCs w:val="28"/>
        </w:rPr>
        <w:t>得以进行的一个最基本的前提假设。</w:t>
      </w:r>
    </w:p>
    <w:p>
      <w:pPr>
        <w:keepNext w:val="0"/>
        <w:keepLines w:val="0"/>
        <w:pageBreakBefore w:val="0"/>
        <w:kinsoku/>
        <w:wordWrap/>
        <w:overflowPunct/>
        <w:topLinePunct w:val="0"/>
        <w:bidi w:val="0"/>
        <w:adjustRightInd/>
        <w:snapToGrid/>
        <w:spacing w:line="58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58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58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，辽阳龙峰房地产开发有限公司及辽阳农村商业银行股份有限公司委托评估的</w:t>
      </w:r>
      <w:r>
        <w:rPr>
          <w:rFonts w:hint="eastAsia" w:ascii="仿宋" w:hAnsi="仿宋" w:eastAsia="仿宋" w:cs="仿宋"/>
          <w:sz w:val="28"/>
          <w:szCs w:val="28"/>
          <w:lang w:val="en-US" w:eastAsia="zh-CN"/>
        </w:rPr>
        <w:t>辽阳龙峰房地产开发有限公司住宅、车库及土地</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2019年11月07日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15，347，949.21</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eastAsia="zh-CN"/>
        </w:rPr>
        <w:t>壹仟伍佰叁拾肆万柒仟玖佰肆拾玖元贰角壹分</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《资产评估</w:t>
      </w:r>
      <w:r>
        <w:rPr>
          <w:rFonts w:hint="eastAsia" w:ascii="仿宋" w:hAnsi="仿宋" w:eastAsia="仿宋" w:cs="仿宋"/>
          <w:sz w:val="28"/>
          <w:szCs w:val="28"/>
        </w:rPr>
        <w:t>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58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58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w:t>
      </w:r>
      <w:r>
        <w:rPr>
          <w:rFonts w:hint="eastAsia" w:ascii="仿宋" w:hAnsi="仿宋" w:eastAsia="仿宋" w:cs="仿宋"/>
          <w:sz w:val="28"/>
          <w:szCs w:val="28"/>
          <w:lang w:eastAsia="zh-CN"/>
        </w:rPr>
        <w:t>资产评估</w:t>
      </w:r>
      <w:r>
        <w:rPr>
          <w:rFonts w:hint="eastAsia" w:ascii="仿宋" w:hAnsi="仿宋" w:eastAsia="仿宋" w:cs="仿宋"/>
          <w:sz w:val="28"/>
          <w:szCs w:val="28"/>
        </w:rPr>
        <w:t>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580" w:lineRule="exact"/>
        <w:ind w:firstLine="636"/>
        <w:rPr>
          <w:rFonts w:hint="eastAsia" w:ascii="仿宋" w:hAnsi="仿宋" w:eastAsia="仿宋_GB2312" w:cs="仿宋"/>
          <w:color w:val="FF0000"/>
          <w:sz w:val="28"/>
          <w:szCs w:val="28"/>
          <w:lang w:eastAsia="zh-CN"/>
        </w:rPr>
      </w:pPr>
      <w:r>
        <w:rPr>
          <w:rFonts w:ascii="仿宋" w:hAnsi="仿宋" w:eastAsia="仿宋" w:cs="仿宋"/>
          <w:sz w:val="28"/>
          <w:szCs w:val="28"/>
        </w:rPr>
        <w:t>4</w:t>
      </w:r>
      <w:r>
        <w:rPr>
          <w:rFonts w:hint="eastAsia" w:ascii="仿宋" w:hAnsi="仿宋" w:eastAsia="仿宋" w:cs="仿宋"/>
          <w:sz w:val="28"/>
          <w:szCs w:val="28"/>
        </w:rPr>
        <w:t>、</w:t>
      </w:r>
      <w:r>
        <w:rPr>
          <w:rFonts w:hint="eastAsia" w:ascii="仿宋" w:hAnsi="仿宋" w:eastAsia="仿宋" w:cs="仿宋"/>
          <w:color w:val="FF0000"/>
          <w:sz w:val="28"/>
          <w:szCs w:val="28"/>
        </w:rPr>
        <w:t>本次评估范围内委估资产数量由当事人提供并签字确认，</w:t>
      </w:r>
      <w:r>
        <w:rPr>
          <w:rFonts w:hint="eastAsia" w:ascii="仿宋_GB2312" w:eastAsia="仿宋_GB2312"/>
          <w:color w:val="FF0000"/>
          <w:sz w:val="30"/>
          <w:szCs w:val="30"/>
        </w:rPr>
        <w:t>本次评估面积为本公司对评估对象现场实测面积，评估对象的建筑面积因素均未予考虑，具体面积以国家测量单位确定的面积为标准，对此本所不担责</w:t>
      </w:r>
      <w:r>
        <w:rPr>
          <w:rFonts w:hint="eastAsia" w:ascii="仿宋" w:hAnsi="仿宋" w:eastAsia="仿宋" w:cs="仿宋"/>
          <w:color w:val="FF0000"/>
          <w:sz w:val="28"/>
          <w:szCs w:val="28"/>
          <w:lang w:eastAsia="zh-CN"/>
        </w:rPr>
        <w:t>；</w:t>
      </w:r>
    </w:p>
    <w:p>
      <w:pPr>
        <w:keepNext w:val="0"/>
        <w:keepLines w:val="0"/>
        <w:pageBreakBefore w:val="0"/>
        <w:kinsoku/>
        <w:wordWrap/>
        <w:overflowPunct/>
        <w:topLinePunct w:val="0"/>
        <w:bidi w:val="0"/>
        <w:adjustRightInd/>
        <w:snapToGrid/>
        <w:spacing w:line="580" w:lineRule="exact"/>
        <w:ind w:firstLine="636"/>
        <w:rPr>
          <w:rFonts w:hint="eastAsia" w:ascii="仿宋_GB2312" w:eastAsia="仿宋_GB2312"/>
          <w:color w:val="FF0000"/>
          <w:sz w:val="30"/>
          <w:szCs w:val="30"/>
        </w:rPr>
      </w:pPr>
      <w:r>
        <w:rPr>
          <w:rFonts w:ascii="仿宋" w:hAnsi="仿宋" w:eastAsia="仿宋" w:cs="仿宋"/>
          <w:color w:val="FF0000"/>
          <w:sz w:val="28"/>
          <w:szCs w:val="28"/>
        </w:rPr>
        <w:t>5</w:t>
      </w:r>
      <w:r>
        <w:rPr>
          <w:rFonts w:hint="eastAsia" w:ascii="仿宋" w:hAnsi="仿宋" w:eastAsia="仿宋" w:cs="仿宋"/>
          <w:color w:val="FF0000"/>
          <w:sz w:val="28"/>
          <w:szCs w:val="28"/>
        </w:rPr>
        <w:t>、</w:t>
      </w:r>
      <w:r>
        <w:rPr>
          <w:rFonts w:hint="eastAsia" w:ascii="仿宋_GB2312" w:eastAsia="仿宋_GB2312"/>
          <w:color w:val="FF0000"/>
          <w:sz w:val="30"/>
          <w:szCs w:val="30"/>
        </w:rPr>
        <w:t>此次评估范围</w:t>
      </w:r>
      <w:r>
        <w:rPr>
          <w:rFonts w:hint="eastAsia" w:ascii="仿宋_GB2312" w:eastAsia="仿宋_GB2312"/>
          <w:color w:val="FF0000"/>
          <w:sz w:val="30"/>
          <w:szCs w:val="30"/>
          <w:lang w:eastAsia="zh-CN"/>
        </w:rPr>
        <w:t>中住宅、车库</w:t>
      </w:r>
      <w:r>
        <w:rPr>
          <w:rFonts w:hint="eastAsia" w:ascii="仿宋_GB2312" w:eastAsia="仿宋_GB2312"/>
          <w:color w:val="FF0000"/>
          <w:sz w:val="30"/>
          <w:szCs w:val="30"/>
        </w:rPr>
        <w:t>仅限建筑物主体本身，不包括室内可移动财产。</w:t>
      </w:r>
    </w:p>
    <w:p>
      <w:pPr>
        <w:keepNext w:val="0"/>
        <w:keepLines w:val="0"/>
        <w:pageBreakBefore w:val="0"/>
        <w:kinsoku/>
        <w:wordWrap/>
        <w:overflowPunct/>
        <w:topLinePunct w:val="0"/>
        <w:bidi w:val="0"/>
        <w:adjustRightInd/>
        <w:snapToGrid/>
        <w:spacing w:line="580" w:lineRule="exact"/>
        <w:ind w:firstLine="636"/>
        <w:rPr>
          <w:rFonts w:hint="eastAsia" w:ascii="仿宋_GB2312" w:eastAsia="仿宋_GB2312"/>
          <w:color w:val="FF0000"/>
          <w:sz w:val="30"/>
          <w:szCs w:val="30"/>
          <w:lang w:val="en-US" w:eastAsia="zh-CN"/>
        </w:rPr>
      </w:pPr>
      <w:r>
        <w:rPr>
          <w:rFonts w:hint="eastAsia" w:ascii="仿宋_GB2312" w:eastAsia="仿宋_GB2312"/>
          <w:color w:val="FF0000"/>
          <w:sz w:val="30"/>
          <w:szCs w:val="30"/>
          <w:lang w:val="en-US" w:eastAsia="zh-CN"/>
        </w:rPr>
        <w:t>6、在履行评估程序过程中，评估人员依据评估的有关规定对被评估单位提供的评估对象的相关文件、资料进行了必要的查验，对其真实性进行了关注，但对委估资产项目的真实性鉴定工作超出了评估工作的范围，我们不对委估资产项目的真实性发表意见。</w:t>
      </w:r>
    </w:p>
    <w:p>
      <w:pPr>
        <w:keepNext w:val="0"/>
        <w:keepLines w:val="0"/>
        <w:pageBreakBefore w:val="0"/>
        <w:kinsoku/>
        <w:wordWrap/>
        <w:overflowPunct/>
        <w:topLinePunct w:val="0"/>
        <w:bidi w:val="0"/>
        <w:adjustRightInd/>
        <w:snapToGrid/>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w:t>
      </w:r>
      <w:r>
        <w:rPr>
          <w:rFonts w:hint="eastAsia" w:ascii="仿宋" w:hAnsi="仿宋" w:eastAsia="仿宋" w:cs="仿宋"/>
          <w:sz w:val="28"/>
          <w:szCs w:val="28"/>
          <w:lang w:eastAsia="zh-CN"/>
        </w:rPr>
        <w:t>资产评估</w:t>
      </w:r>
      <w:r>
        <w:rPr>
          <w:rFonts w:hint="eastAsia" w:ascii="仿宋" w:hAnsi="仿宋" w:eastAsia="仿宋" w:cs="仿宋"/>
          <w:sz w:val="28"/>
          <w:szCs w:val="28"/>
        </w:rPr>
        <w:t>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2019年11月07日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11</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06</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（六）出委托人、资产评估委托合同中约定的其他资产评估报告使用人和法律、行政法规规定的资产评估报告使用人之外，其他任何机构和个人不能成为资产评估报告的使用人；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580" w:lineRule="exact"/>
        <w:ind w:firstLine="585"/>
        <w:rPr>
          <w:rFonts w:ascii="仿宋_GB2312" w:hAnsi="Arial Narrow" w:eastAsia="仿宋_GB2312"/>
          <w:sz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hint="eastAsia" w:ascii="仿宋" w:hAnsi="仿宋" w:eastAsia="仿宋" w:cs="仿宋"/>
          <w:color w:val="FF0000"/>
          <w:sz w:val="28"/>
          <w:szCs w:val="28"/>
          <w:lang w:eastAsia="zh-CN"/>
        </w:rPr>
        <w:t>2019年</w:t>
      </w:r>
      <w:r>
        <w:rPr>
          <w:rFonts w:hint="eastAsia" w:ascii="仿宋" w:hAnsi="仿宋" w:eastAsia="仿宋" w:cs="仿宋"/>
          <w:color w:val="FF0000"/>
          <w:sz w:val="28"/>
          <w:szCs w:val="28"/>
          <w:lang w:val="en-US" w:eastAsia="zh-CN"/>
        </w:rPr>
        <w:t>12</w:t>
      </w:r>
      <w:r>
        <w:rPr>
          <w:rFonts w:hint="eastAsia" w:ascii="仿宋" w:hAnsi="仿宋" w:eastAsia="仿宋" w:cs="仿宋"/>
          <w:color w:val="FF0000"/>
          <w:sz w:val="28"/>
          <w:szCs w:val="28"/>
          <w:lang w:eastAsia="zh-CN"/>
        </w:rPr>
        <w:t>月</w:t>
      </w:r>
      <w:r>
        <w:rPr>
          <w:rFonts w:hint="eastAsia" w:ascii="仿宋" w:hAnsi="仿宋" w:eastAsia="仿宋" w:cs="仿宋"/>
          <w:color w:val="FF0000"/>
          <w:sz w:val="28"/>
          <w:szCs w:val="28"/>
          <w:lang w:val="en-US" w:eastAsia="zh-CN"/>
        </w:rPr>
        <w:t>06</w:t>
      </w:r>
      <w:r>
        <w:rPr>
          <w:rFonts w:hint="eastAsia" w:ascii="仿宋" w:hAnsi="仿宋" w:eastAsia="仿宋" w:cs="仿宋"/>
          <w:color w:val="FF0000"/>
          <w:sz w:val="28"/>
          <w:szCs w:val="28"/>
          <w:lang w:eastAsia="zh-CN"/>
        </w:rPr>
        <w:t>日</w:t>
      </w:r>
      <w:r>
        <w:rPr>
          <w:rFonts w:hint="eastAsia" w:ascii="仿宋" w:hAnsi="仿宋" w:eastAsia="仿宋" w:cs="仿宋"/>
          <w:sz w:val="28"/>
          <w:szCs w:val="28"/>
        </w:rPr>
        <w:t>。</w:t>
      </w:r>
    </w:p>
    <w:p>
      <w:pPr>
        <w:keepNext w:val="0"/>
        <w:keepLines w:val="0"/>
        <w:pageBreakBefore w:val="0"/>
        <w:numPr>
          <w:ilvl w:val="0"/>
          <w:numId w:val="5"/>
        </w:numPr>
        <w:kinsoku/>
        <w:wordWrap/>
        <w:overflowPunct/>
        <w:topLinePunct w:val="0"/>
        <w:bidi w:val="0"/>
        <w:adjustRightInd/>
        <w:snapToGrid/>
        <w:spacing w:line="58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keepNext w:val="0"/>
        <w:keepLines w:val="0"/>
        <w:pageBreakBefore w:val="0"/>
        <w:widowControl w:val="0"/>
        <w:numPr>
          <w:ilvl w:val="0"/>
          <w:numId w:val="0"/>
        </w:numPr>
        <w:kinsoku/>
        <w:wordWrap/>
        <w:overflowPunct/>
        <w:topLinePunct w:val="0"/>
        <w:bidi w:val="0"/>
        <w:adjustRightInd/>
        <w:snapToGrid/>
        <w:spacing w:line="580" w:lineRule="exact"/>
        <w:jc w:val="both"/>
        <w:rPr>
          <w:rFonts w:hint="eastAsia" w:ascii="仿宋" w:hAnsi="仿宋" w:eastAsia="仿宋" w:cs="仿宋"/>
          <w:b/>
          <w:bCs/>
          <w:sz w:val="28"/>
          <w:lang w:eastAsia="zh-CN"/>
        </w:rPr>
      </w:pPr>
    </w:p>
    <w:p>
      <w:pPr>
        <w:keepNext w:val="0"/>
        <w:keepLines w:val="0"/>
        <w:pageBreakBefore w:val="0"/>
        <w:kinsoku/>
        <w:wordWrap/>
        <w:overflowPunct/>
        <w:topLinePunct w:val="0"/>
        <w:bidi w:val="0"/>
        <w:adjustRightInd/>
        <w:snapToGrid/>
        <w:spacing w:line="58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58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58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58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58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580" w:lineRule="exact"/>
        <w:ind w:firstLine="2800" w:firstLineChars="1000"/>
        <w:rPr>
          <w:rFonts w:ascii="仿宋_GB2312" w:hAnsi="Arial Narrow" w:eastAsia="仿宋_GB2312"/>
          <w:sz w:val="28"/>
        </w:rPr>
      </w:pPr>
      <w:r>
        <w:rPr>
          <w:rFonts w:hint="eastAsia" w:ascii="仿宋_GB2312" w:hAnsi="Arial Narrow" w:eastAsia="仿宋_GB2312"/>
          <w:sz w:val="28"/>
        </w:rPr>
        <w:t>中国注册</w:t>
      </w:r>
      <w:r>
        <w:rPr>
          <w:rFonts w:hint="eastAsia" w:ascii="仿宋_GB2312" w:hAnsi="Arial Narrow" w:eastAsia="仿宋_GB2312"/>
          <w:sz w:val="28"/>
          <w:lang w:eastAsia="zh-CN"/>
        </w:rPr>
        <w:t>资产评估</w:t>
      </w:r>
      <w:r>
        <w:rPr>
          <w:rFonts w:hint="eastAsia" w:ascii="仿宋_GB2312" w:hAnsi="Arial Narrow" w:eastAsia="仿宋_GB2312"/>
          <w:sz w:val="28"/>
        </w:rPr>
        <w:t>师：</w:t>
      </w:r>
    </w:p>
    <w:p>
      <w:pPr>
        <w:keepNext w:val="0"/>
        <w:keepLines w:val="0"/>
        <w:pageBreakBefore w:val="0"/>
        <w:tabs>
          <w:tab w:val="left" w:pos="6915"/>
        </w:tabs>
        <w:kinsoku/>
        <w:wordWrap/>
        <w:overflowPunct/>
        <w:topLinePunct w:val="0"/>
        <w:bidi w:val="0"/>
        <w:adjustRightInd/>
        <w:snapToGrid/>
        <w:spacing w:line="58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580" w:lineRule="exact"/>
        <w:rPr>
          <w:rFonts w:ascii="仿宋_GB2312" w:hAnsi="Arial Narrow" w:eastAsia="仿宋_GB2312"/>
          <w:sz w:val="28"/>
        </w:rPr>
      </w:pPr>
      <w:bookmarkStart w:id="0" w:name="_GoBack"/>
      <w:bookmarkEnd w:id="0"/>
    </w:p>
    <w:p>
      <w:pPr>
        <w:keepNext w:val="0"/>
        <w:keepLines w:val="0"/>
        <w:pageBreakBefore w:val="0"/>
        <w:tabs>
          <w:tab w:val="left" w:pos="6915"/>
        </w:tabs>
        <w:kinsoku/>
        <w:wordWrap/>
        <w:overflowPunct/>
        <w:topLinePunct w:val="0"/>
        <w:bidi w:val="0"/>
        <w:adjustRightInd/>
        <w:snapToGrid/>
        <w:spacing w:line="58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580" w:lineRule="exact"/>
        <w:ind w:firstLine="2800" w:firstLineChars="1000"/>
        <w:rPr>
          <w:rFonts w:ascii="仿宋" w:hAnsi="仿宋" w:eastAsia="仿宋" w:cs="仿宋"/>
          <w:sz w:val="28"/>
          <w:szCs w:val="28"/>
        </w:rPr>
      </w:pPr>
      <w:r>
        <w:rPr>
          <w:rFonts w:hint="eastAsia" w:ascii="仿宋_GB2312" w:hAnsi="Arial Narrow" w:eastAsia="仿宋_GB2312"/>
          <w:sz w:val="28"/>
        </w:rPr>
        <w:t>中国注册</w:t>
      </w:r>
      <w:r>
        <w:rPr>
          <w:rFonts w:hint="eastAsia" w:ascii="仿宋_GB2312" w:hAnsi="Arial Narrow" w:eastAsia="仿宋_GB2312"/>
          <w:sz w:val="28"/>
          <w:lang w:eastAsia="zh-CN"/>
        </w:rPr>
        <w:t>资产评估</w:t>
      </w:r>
      <w:r>
        <w:rPr>
          <w:rFonts w:hint="eastAsia" w:ascii="仿宋_GB2312" w:hAnsi="Arial Narrow" w:eastAsia="仿宋_GB2312"/>
          <w:sz w:val="28"/>
        </w:rPr>
        <w:t>师：</w:t>
      </w:r>
    </w:p>
    <w:p>
      <w:pPr>
        <w:keepNext w:val="0"/>
        <w:keepLines w:val="0"/>
        <w:pageBreakBefore w:val="0"/>
        <w:kinsoku/>
        <w:wordWrap/>
        <w:overflowPunct/>
        <w:topLinePunct w:val="0"/>
        <w:bidi w:val="0"/>
        <w:adjustRightInd/>
        <w:snapToGrid/>
        <w:spacing w:line="580" w:lineRule="exact"/>
        <w:rPr>
          <w:rFonts w:ascii="仿宋" w:hAnsi="仿宋" w:eastAsia="仿宋" w:cs="仿宋"/>
          <w:sz w:val="28"/>
          <w:szCs w:val="28"/>
        </w:rPr>
      </w:pPr>
    </w:p>
    <w:p>
      <w:pPr>
        <w:keepNext w:val="0"/>
        <w:keepLines w:val="0"/>
        <w:pageBreakBefore w:val="0"/>
        <w:kinsoku/>
        <w:wordWrap/>
        <w:overflowPunct/>
        <w:topLinePunct w:val="0"/>
        <w:bidi w:val="0"/>
        <w:adjustRightInd/>
        <w:snapToGrid/>
        <w:spacing w:line="580" w:lineRule="exact"/>
        <w:rPr>
          <w:rFonts w:ascii="仿宋" w:hAnsi="仿宋" w:eastAsia="仿宋" w:cs="仿宋"/>
          <w:sz w:val="28"/>
          <w:szCs w:val="28"/>
        </w:rPr>
      </w:pPr>
    </w:p>
    <w:p>
      <w:pPr>
        <w:keepNext w:val="0"/>
        <w:keepLines w:val="0"/>
        <w:pageBreakBefore w:val="0"/>
        <w:kinsoku/>
        <w:wordWrap/>
        <w:overflowPunct/>
        <w:topLinePunct w:val="0"/>
        <w:bidi w:val="0"/>
        <w:adjustRightInd/>
        <w:snapToGrid/>
        <w:spacing w:line="580" w:lineRule="exact"/>
        <w:rPr>
          <w:rFonts w:ascii="仿宋" w:hAnsi="仿宋" w:eastAsia="仿宋" w:cs="仿宋"/>
          <w:sz w:val="28"/>
          <w:szCs w:val="28"/>
        </w:rPr>
      </w:pPr>
    </w:p>
    <w:p>
      <w:pPr>
        <w:keepNext w:val="0"/>
        <w:keepLines w:val="0"/>
        <w:pageBreakBefore w:val="0"/>
        <w:kinsoku/>
        <w:wordWrap/>
        <w:overflowPunct/>
        <w:topLinePunct w:val="0"/>
        <w:bidi w:val="0"/>
        <w:adjustRightInd/>
        <w:snapToGrid/>
        <w:spacing w:line="580" w:lineRule="exact"/>
        <w:rPr>
          <w:rFonts w:ascii="仿宋" w:hAnsi="仿宋" w:eastAsia="仿宋" w:cs="仿宋"/>
          <w:sz w:val="28"/>
          <w:szCs w:val="28"/>
        </w:rPr>
      </w:pPr>
    </w:p>
    <w:p>
      <w:pPr>
        <w:keepNext w:val="0"/>
        <w:keepLines w:val="0"/>
        <w:pageBreakBefore w:val="0"/>
        <w:kinsoku/>
        <w:wordWrap/>
        <w:overflowPunct/>
        <w:topLinePunct w:val="0"/>
        <w:bidi w:val="0"/>
        <w:adjustRightInd/>
        <w:snapToGrid/>
        <w:spacing w:line="580" w:lineRule="exact"/>
        <w:rPr>
          <w:rFonts w:ascii="仿宋" w:hAnsi="仿宋" w:eastAsia="仿宋" w:cs="仿宋"/>
          <w:sz w:val="28"/>
          <w:szCs w:val="28"/>
        </w:rPr>
      </w:pPr>
    </w:p>
    <w:p>
      <w:pPr>
        <w:keepNext w:val="0"/>
        <w:keepLines w:val="0"/>
        <w:pageBreakBefore w:val="0"/>
        <w:kinsoku/>
        <w:wordWrap/>
        <w:overflowPunct/>
        <w:topLinePunct w:val="0"/>
        <w:bidi w:val="0"/>
        <w:adjustRightInd/>
        <w:snapToGrid/>
        <w:spacing w:line="580" w:lineRule="exact"/>
        <w:rPr>
          <w:rFonts w:ascii="仿宋" w:hAnsi="仿宋" w:eastAsia="仿宋" w:cs="仿宋"/>
          <w:sz w:val="28"/>
          <w:szCs w:val="28"/>
        </w:rPr>
      </w:pPr>
    </w:p>
    <w:p>
      <w:pPr>
        <w:keepNext w:val="0"/>
        <w:keepLines w:val="0"/>
        <w:pageBreakBefore w:val="0"/>
        <w:kinsoku/>
        <w:wordWrap/>
        <w:overflowPunct/>
        <w:topLinePunct w:val="0"/>
        <w:bidi w:val="0"/>
        <w:adjustRightInd/>
        <w:snapToGrid/>
        <w:spacing w:line="580" w:lineRule="exact"/>
        <w:ind w:firstLine="5180" w:firstLineChars="1850"/>
        <w:rPr>
          <w:rFonts w:ascii="仿宋" w:hAnsi="仿宋" w:eastAsia="仿宋" w:cs="仿宋"/>
          <w:sz w:val="28"/>
          <w:szCs w:val="28"/>
        </w:rPr>
      </w:pPr>
      <w:r>
        <w:rPr>
          <w:rFonts w:hint="eastAsia" w:ascii="仿宋" w:hAnsi="仿宋" w:eastAsia="仿宋" w:cs="仿宋"/>
          <w:sz w:val="28"/>
          <w:szCs w:val="28"/>
        </w:rPr>
        <w:t>辽阳智达</w:t>
      </w:r>
      <w:r>
        <w:rPr>
          <w:rFonts w:hint="eastAsia" w:ascii="仿宋" w:hAnsi="仿宋" w:eastAsia="仿宋" w:cs="仿宋"/>
          <w:sz w:val="28"/>
          <w:szCs w:val="28"/>
          <w:lang w:eastAsia="zh-CN"/>
        </w:rPr>
        <w:t>资产评估</w:t>
      </w:r>
      <w:r>
        <w:rPr>
          <w:rFonts w:hint="eastAsia" w:ascii="仿宋" w:hAnsi="仿宋" w:eastAsia="仿宋" w:cs="仿宋"/>
          <w:sz w:val="28"/>
          <w:szCs w:val="28"/>
        </w:rPr>
        <w:t>事务所</w:t>
      </w:r>
    </w:p>
    <w:p>
      <w:pPr>
        <w:keepNext w:val="0"/>
        <w:keepLines w:val="0"/>
        <w:pageBreakBefore w:val="0"/>
        <w:kinsoku/>
        <w:wordWrap/>
        <w:overflowPunct/>
        <w:topLinePunct w:val="0"/>
        <w:bidi w:val="0"/>
        <w:adjustRightInd/>
        <w:snapToGrid/>
        <w:spacing w:line="580" w:lineRule="exact"/>
        <w:ind w:firstLine="5180" w:firstLineChars="1850"/>
        <w:rPr>
          <w:rFonts w:hint="eastAsia" w:eastAsia="仿宋"/>
          <w:u w:val="none"/>
          <w:lang w:eastAsia="zh-CN"/>
        </w:rPr>
      </w:pPr>
      <w:r>
        <w:rPr>
          <w:rFonts w:hint="eastAsia" w:ascii="仿宋" w:hAnsi="仿宋" w:eastAsia="仿宋" w:cs="仿宋"/>
          <w:color w:val="FF0000"/>
          <w:sz w:val="28"/>
          <w:szCs w:val="28"/>
          <w:u w:val="none"/>
        </w:rPr>
        <w:t>二</w:t>
      </w:r>
      <w:r>
        <w:rPr>
          <w:rFonts w:hint="eastAsia" w:ascii="仿宋" w:hAnsi="仿宋" w:eastAsia="仿宋" w:cs="仿宋"/>
          <w:color w:val="FF0000"/>
          <w:sz w:val="28"/>
          <w:szCs w:val="28"/>
          <w:u w:val="none"/>
          <w:lang w:eastAsia="zh-CN"/>
        </w:rPr>
        <w:t>〇</w:t>
      </w:r>
      <w:r>
        <w:rPr>
          <w:rFonts w:hint="eastAsia" w:ascii="仿宋" w:hAnsi="仿宋" w:eastAsia="仿宋" w:cs="仿宋"/>
          <w:color w:val="FF0000"/>
          <w:sz w:val="28"/>
          <w:szCs w:val="28"/>
          <w:u w:val="none"/>
        </w:rPr>
        <w:t>一</w:t>
      </w:r>
      <w:r>
        <w:rPr>
          <w:rFonts w:hint="eastAsia" w:ascii="仿宋" w:hAnsi="仿宋" w:eastAsia="仿宋" w:cs="仿宋"/>
          <w:color w:val="FF0000"/>
          <w:sz w:val="28"/>
          <w:szCs w:val="28"/>
          <w:u w:val="none"/>
          <w:lang w:eastAsia="zh-CN"/>
        </w:rPr>
        <w:t>九</w:t>
      </w:r>
      <w:r>
        <w:rPr>
          <w:rFonts w:hint="eastAsia" w:ascii="仿宋" w:hAnsi="仿宋" w:eastAsia="仿宋" w:cs="仿宋"/>
          <w:color w:val="FF0000"/>
          <w:sz w:val="28"/>
          <w:szCs w:val="28"/>
          <w:u w:val="none"/>
        </w:rPr>
        <w:t>年</w:t>
      </w:r>
      <w:r>
        <w:rPr>
          <w:rFonts w:hint="eastAsia" w:ascii="仿宋" w:hAnsi="仿宋" w:eastAsia="仿宋" w:cs="仿宋"/>
          <w:color w:val="FF0000"/>
          <w:sz w:val="28"/>
          <w:szCs w:val="28"/>
          <w:u w:val="none"/>
          <w:lang w:eastAsia="zh-CN"/>
        </w:rPr>
        <w:t>十二月十六日</w:t>
      </w:r>
    </w:p>
    <w:sectPr>
      <w:footerReference r:id="rId5" w:type="first"/>
      <w:footerReference r:id="rId3" w:type="default"/>
      <w:footerReference r:id="rId4" w:type="even"/>
      <w:pgSz w:w="11907" w:h="16840"/>
      <w:pgMar w:top="1247" w:right="1134" w:bottom="1134" w:left="16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w:t>
    </w:r>
    <w:r>
      <w:rPr>
        <w:rFonts w:hint="eastAsia"/>
        <w:lang w:eastAsia="zh-CN"/>
      </w:rPr>
      <w:t>资产评估</w:t>
    </w:r>
    <w:r>
      <w:rPr>
        <w:rFonts w:hint="eastAsia"/>
      </w:rPr>
      <w:t>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w:t>
    </w:r>
    <w:r>
      <w:rPr>
        <w:rFonts w:hint="eastAsia"/>
        <w:lang w:eastAsia="zh-CN"/>
      </w:rPr>
      <w:t>资产评估</w:t>
    </w:r>
    <w:r>
      <w:rPr>
        <w:rFonts w:hint="eastAsia"/>
      </w:rPr>
      <w:t>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83B8C9F"/>
    <w:multiLevelType w:val="singleLevel"/>
    <w:tmpl w:val="583B8C9F"/>
    <w:lvl w:ilvl="0" w:tentative="0">
      <w:start w:val="1"/>
      <w:numFmt w:val="decimal"/>
      <w:suff w:val="nothing"/>
      <w:lvlText w:val="%1、"/>
      <w:lvlJc w:val="left"/>
      <w:rPr>
        <w:rFonts w:cs="Times New Roman"/>
      </w:rPr>
    </w:lvl>
  </w:abstractNum>
  <w:abstractNum w:abstractNumId="4">
    <w:nsid w:val="59A4E1FD"/>
    <w:multiLevelType w:val="singleLevel"/>
    <w:tmpl w:val="59A4E1FD"/>
    <w:lvl w:ilvl="0" w:tentative="0">
      <w:start w:val="1"/>
      <w:numFmt w:val="chineseCounting"/>
      <w:suff w:val="nothing"/>
      <w:lvlText w:val="%1、"/>
      <w:lvlJc w:val="left"/>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5012A0"/>
    <w:rsid w:val="006046B9"/>
    <w:rsid w:val="00616B8F"/>
    <w:rsid w:val="0070468D"/>
    <w:rsid w:val="00782AFF"/>
    <w:rsid w:val="00852BC3"/>
    <w:rsid w:val="0086685A"/>
    <w:rsid w:val="008B7B93"/>
    <w:rsid w:val="00AE5B99"/>
    <w:rsid w:val="00B868C2"/>
    <w:rsid w:val="00D04177"/>
    <w:rsid w:val="00EC4BC3"/>
    <w:rsid w:val="00F05D41"/>
    <w:rsid w:val="03092C70"/>
    <w:rsid w:val="03BA0EFD"/>
    <w:rsid w:val="064E506A"/>
    <w:rsid w:val="076B4FAE"/>
    <w:rsid w:val="088D55C0"/>
    <w:rsid w:val="089B5509"/>
    <w:rsid w:val="0C1A7F3D"/>
    <w:rsid w:val="0E365A90"/>
    <w:rsid w:val="125251B9"/>
    <w:rsid w:val="13857967"/>
    <w:rsid w:val="14FC0A61"/>
    <w:rsid w:val="166E640A"/>
    <w:rsid w:val="1B8C46C2"/>
    <w:rsid w:val="1E240660"/>
    <w:rsid w:val="1E2A2256"/>
    <w:rsid w:val="222979F6"/>
    <w:rsid w:val="26E2648B"/>
    <w:rsid w:val="27842C7C"/>
    <w:rsid w:val="28693A83"/>
    <w:rsid w:val="28913C0F"/>
    <w:rsid w:val="2DC31EB8"/>
    <w:rsid w:val="31FB2D3A"/>
    <w:rsid w:val="32713F8A"/>
    <w:rsid w:val="35AC6D7F"/>
    <w:rsid w:val="373E7904"/>
    <w:rsid w:val="389879D6"/>
    <w:rsid w:val="3DC70708"/>
    <w:rsid w:val="3E90135C"/>
    <w:rsid w:val="409B3272"/>
    <w:rsid w:val="417A7066"/>
    <w:rsid w:val="41D77423"/>
    <w:rsid w:val="435A5422"/>
    <w:rsid w:val="43883599"/>
    <w:rsid w:val="43ED3569"/>
    <w:rsid w:val="44EE48AE"/>
    <w:rsid w:val="458B0344"/>
    <w:rsid w:val="47484342"/>
    <w:rsid w:val="4BEF2F24"/>
    <w:rsid w:val="4CCB2950"/>
    <w:rsid w:val="4E722B17"/>
    <w:rsid w:val="4F774465"/>
    <w:rsid w:val="55D119B9"/>
    <w:rsid w:val="55FC1070"/>
    <w:rsid w:val="56933EC8"/>
    <w:rsid w:val="593F60E9"/>
    <w:rsid w:val="5A507BA8"/>
    <w:rsid w:val="5CDC7BE0"/>
    <w:rsid w:val="5E487AFF"/>
    <w:rsid w:val="69E31FCD"/>
    <w:rsid w:val="6A0045D8"/>
    <w:rsid w:val="6BDE2E19"/>
    <w:rsid w:val="72276DC6"/>
    <w:rsid w:val="731178D1"/>
    <w:rsid w:val="772815A6"/>
    <w:rsid w:val="7A8F3B60"/>
    <w:rsid w:val="7E3474A5"/>
    <w:rsid w:val="7ED617F0"/>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城春</cp:lastModifiedBy>
  <cp:lastPrinted>2018-12-24T07:15:00Z</cp:lastPrinted>
  <dcterms:modified xsi:type="dcterms:W3CDTF">2019-12-16T01:41:32Z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