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color w:val="000000" w:themeColor="text1"/>
          <w:sz w:val="52"/>
          <w:szCs w:val="52"/>
        </w:rPr>
      </w:pPr>
    </w:p>
    <w:p>
      <w:pPr>
        <w:jc w:val="center"/>
        <w:rPr>
          <w:rFonts w:eastAsia="黑体"/>
          <w:b/>
          <w:color w:val="000000"/>
          <w:sz w:val="52"/>
          <w:szCs w:val="52"/>
        </w:rPr>
      </w:pPr>
      <w:r>
        <w:rPr>
          <w:rFonts w:hint="eastAsia" w:eastAsia="黑体"/>
          <w:b/>
          <w:color w:val="000000"/>
          <w:sz w:val="52"/>
          <w:szCs w:val="52"/>
        </w:rPr>
        <w:t>涉执</w:t>
      </w:r>
      <w:r>
        <w:rPr>
          <w:rFonts w:eastAsia="黑体"/>
          <w:b/>
          <w:color w:val="000000"/>
          <w:sz w:val="52"/>
          <w:szCs w:val="52"/>
        </w:rPr>
        <w:t>房地产</w:t>
      </w:r>
      <w:r>
        <w:rPr>
          <w:rFonts w:hint="eastAsia" w:eastAsia="黑体"/>
          <w:b/>
          <w:color w:val="000000"/>
          <w:sz w:val="52"/>
          <w:szCs w:val="52"/>
        </w:rPr>
        <w:t>处置司法</w:t>
      </w:r>
    </w:p>
    <w:p>
      <w:pPr>
        <w:jc w:val="center"/>
        <w:rPr>
          <w:rFonts w:eastAsia="黑体"/>
          <w:b/>
          <w:color w:val="000000"/>
          <w:sz w:val="52"/>
          <w:szCs w:val="52"/>
        </w:rPr>
      </w:pPr>
      <w:r>
        <w:rPr>
          <w:rFonts w:eastAsia="黑体"/>
          <w:b/>
          <w:color w:val="000000"/>
          <w:sz w:val="52"/>
          <w:szCs w:val="52"/>
        </w:rPr>
        <w:t>估价报告</w:t>
      </w:r>
    </w:p>
    <w:p>
      <w:pPr>
        <w:jc w:val="center"/>
        <w:rPr>
          <w:rFonts w:eastAsia="黑体"/>
          <w:b/>
          <w:color w:val="000000" w:themeColor="text1"/>
          <w:sz w:val="52"/>
          <w:szCs w:val="52"/>
        </w:rPr>
      </w:pPr>
    </w:p>
    <w:p>
      <w:pPr>
        <w:spacing w:line="500" w:lineRule="exact"/>
        <w:ind w:left="2923" w:leftChars="468" w:right="50" w:rightChars="24" w:hanging="1940" w:hangingChars="690"/>
        <w:rPr>
          <w:color w:val="000000" w:themeColor="text1"/>
          <w:sz w:val="28"/>
          <w:szCs w:val="28"/>
        </w:rPr>
      </w:pPr>
      <w:r>
        <w:rPr>
          <w:b/>
          <w:color w:val="000000" w:themeColor="text1"/>
          <w:sz w:val="28"/>
          <w:szCs w:val="28"/>
        </w:rPr>
        <w:t>估价项目名称：</w:t>
      </w:r>
      <w:r>
        <w:rPr>
          <w:color w:val="000000" w:themeColor="text1"/>
          <w:sz w:val="28"/>
          <w:szCs w:val="28"/>
        </w:rPr>
        <w:t>王国芬与何丽军民间借贷纠纷一案涉及</w:t>
      </w:r>
      <w:r>
        <w:rPr>
          <w:rFonts w:hint="eastAsia"/>
          <w:color w:val="000000" w:themeColor="text1"/>
          <w:sz w:val="28"/>
          <w:szCs w:val="28"/>
        </w:rPr>
        <w:t>的位于</w:t>
      </w:r>
      <w:r>
        <w:rPr>
          <w:rFonts w:hint="eastAsia"/>
          <w:color w:val="000000"/>
          <w:sz w:val="28"/>
          <w:szCs w:val="28"/>
        </w:rPr>
        <w:t>武穴市世纪江城A栋1702室的一宗住宅房地产</w:t>
      </w:r>
      <w:r>
        <w:rPr>
          <w:rFonts w:hint="eastAsia"/>
          <w:color w:val="000000" w:themeColor="text1"/>
          <w:sz w:val="28"/>
          <w:szCs w:val="28"/>
        </w:rPr>
        <w:t>价值</w:t>
      </w:r>
      <w:r>
        <w:rPr>
          <w:color w:val="000000" w:themeColor="text1"/>
          <w:sz w:val="28"/>
          <w:szCs w:val="28"/>
        </w:rPr>
        <w:t>评估</w:t>
      </w:r>
    </w:p>
    <w:p>
      <w:pPr>
        <w:spacing w:line="500" w:lineRule="exact"/>
        <w:ind w:left="2742" w:leftChars="399" w:right="808" w:rightChars="385" w:hanging="1904" w:hangingChars="680"/>
        <w:rPr>
          <w:color w:val="000000" w:themeColor="text1"/>
          <w:sz w:val="28"/>
          <w:szCs w:val="28"/>
        </w:rPr>
      </w:pPr>
    </w:p>
    <w:p>
      <w:pPr>
        <w:spacing w:line="500" w:lineRule="exact"/>
        <w:ind w:left="2923" w:leftChars="468" w:right="50" w:rightChars="24" w:hanging="1940" w:hangingChars="690"/>
        <w:rPr>
          <w:b/>
          <w:color w:val="000000" w:themeColor="text1"/>
          <w:sz w:val="28"/>
          <w:szCs w:val="28"/>
        </w:rPr>
      </w:pPr>
      <w:r>
        <w:rPr>
          <w:b/>
          <w:color w:val="000000" w:themeColor="text1"/>
          <w:sz w:val="28"/>
          <w:szCs w:val="28"/>
        </w:rPr>
        <w:t>估价委托人：</w:t>
      </w:r>
      <w:r>
        <w:rPr>
          <w:rFonts w:hint="eastAsia"/>
          <w:color w:val="000000" w:themeColor="text1"/>
          <w:sz w:val="28"/>
          <w:szCs w:val="28"/>
        </w:rPr>
        <w:t>武穴市人民法院</w:t>
      </w:r>
    </w:p>
    <w:p>
      <w:pPr>
        <w:spacing w:line="500" w:lineRule="exact"/>
        <w:ind w:left="2915" w:leftChars="468" w:right="50" w:rightChars="24" w:hanging="1932" w:hangingChars="690"/>
        <w:rPr>
          <w:color w:val="000000" w:themeColor="text1"/>
          <w:sz w:val="28"/>
          <w:szCs w:val="28"/>
        </w:rPr>
      </w:pPr>
    </w:p>
    <w:p>
      <w:pPr>
        <w:spacing w:line="500" w:lineRule="exact"/>
        <w:ind w:left="2923" w:leftChars="468" w:right="50" w:rightChars="24" w:hanging="1940" w:hangingChars="690"/>
        <w:rPr>
          <w:color w:val="000000" w:themeColor="text1"/>
          <w:sz w:val="28"/>
          <w:szCs w:val="28"/>
        </w:rPr>
      </w:pPr>
      <w:r>
        <w:rPr>
          <w:b/>
          <w:color w:val="000000" w:themeColor="text1"/>
          <w:sz w:val="28"/>
          <w:szCs w:val="28"/>
        </w:rPr>
        <w:t>房地产估价机构：</w:t>
      </w:r>
      <w:r>
        <w:rPr>
          <w:color w:val="000000" w:themeColor="text1"/>
          <w:sz w:val="28"/>
          <w:szCs w:val="28"/>
        </w:rPr>
        <w:t>黄冈市海正房地产评估有限公司</w:t>
      </w:r>
    </w:p>
    <w:p>
      <w:pPr>
        <w:spacing w:line="500" w:lineRule="exact"/>
        <w:ind w:left="2834" w:leftChars="399" w:right="808" w:rightChars="385" w:hanging="1996" w:hangingChars="713"/>
        <w:rPr>
          <w:color w:val="000000" w:themeColor="text1"/>
          <w:sz w:val="28"/>
          <w:szCs w:val="28"/>
        </w:rPr>
      </w:pPr>
    </w:p>
    <w:p>
      <w:pPr>
        <w:spacing w:line="500" w:lineRule="exact"/>
        <w:ind w:left="2923" w:leftChars="468" w:right="50" w:rightChars="24" w:hanging="1940" w:hangingChars="690"/>
        <w:rPr>
          <w:color w:val="000000" w:themeColor="text1"/>
          <w:sz w:val="28"/>
          <w:szCs w:val="28"/>
        </w:rPr>
      </w:pPr>
      <w:r>
        <w:rPr>
          <w:rFonts w:hint="eastAsia"/>
          <w:b/>
          <w:color w:val="000000" w:themeColor="text1"/>
          <w:sz w:val="28"/>
          <w:szCs w:val="28"/>
        </w:rPr>
        <w:t>注册房地产估价师：</w:t>
      </w:r>
      <w:r>
        <w:rPr>
          <w:rFonts w:hint="eastAsia"/>
          <w:color w:val="000000" w:themeColor="text1"/>
          <w:sz w:val="28"/>
          <w:szCs w:val="28"/>
        </w:rPr>
        <w:t>汪震超（注册号：</w:t>
      </w:r>
      <w:r>
        <w:rPr>
          <w:rFonts w:hint="eastAsia" w:hAnsi="宋体"/>
          <w:color w:val="000000" w:themeColor="text1"/>
          <w:sz w:val="28"/>
          <w:szCs w:val="28"/>
        </w:rPr>
        <w:t>4220040037</w:t>
      </w:r>
      <w:r>
        <w:rPr>
          <w:rFonts w:hint="eastAsia"/>
          <w:color w:val="000000" w:themeColor="text1"/>
          <w:sz w:val="28"/>
          <w:szCs w:val="28"/>
        </w:rPr>
        <w:t>）</w:t>
      </w:r>
    </w:p>
    <w:p>
      <w:pPr>
        <w:tabs>
          <w:tab w:val="left" w:pos="3420"/>
          <w:tab w:val="left" w:pos="3600"/>
        </w:tabs>
        <w:spacing w:line="500" w:lineRule="exact"/>
        <w:ind w:left="3683" w:leftChars="1686" w:hanging="142" w:hangingChars="51"/>
        <w:rPr>
          <w:b/>
          <w:color w:val="000000" w:themeColor="text1"/>
          <w:sz w:val="28"/>
          <w:szCs w:val="28"/>
        </w:rPr>
      </w:pPr>
      <w:r>
        <w:rPr>
          <w:rFonts w:hint="eastAsia"/>
          <w:color w:val="000000" w:themeColor="text1"/>
          <w:sz w:val="28"/>
          <w:szCs w:val="28"/>
        </w:rPr>
        <w:t>张  杰（注册号：4220</w:t>
      </w:r>
      <w:r>
        <w:rPr>
          <w:color w:val="000000" w:themeColor="text1"/>
          <w:sz w:val="28"/>
          <w:szCs w:val="28"/>
        </w:rPr>
        <w:t>19</w:t>
      </w:r>
      <w:r>
        <w:rPr>
          <w:rFonts w:hint="eastAsia"/>
          <w:color w:val="000000" w:themeColor="text1"/>
          <w:sz w:val="28"/>
          <w:szCs w:val="28"/>
        </w:rPr>
        <w:t>0036）</w:t>
      </w:r>
    </w:p>
    <w:p>
      <w:pPr>
        <w:spacing w:line="500" w:lineRule="exact"/>
        <w:ind w:right="50" w:rightChars="24"/>
        <w:rPr>
          <w:color w:val="000000" w:themeColor="text1"/>
          <w:sz w:val="28"/>
          <w:szCs w:val="28"/>
        </w:rPr>
      </w:pPr>
    </w:p>
    <w:p>
      <w:pPr>
        <w:spacing w:line="500" w:lineRule="exact"/>
        <w:ind w:left="2923" w:leftChars="468" w:right="50" w:rightChars="24" w:hanging="1940" w:hangingChars="690"/>
        <w:rPr>
          <w:sz w:val="28"/>
          <w:szCs w:val="28"/>
        </w:rPr>
      </w:pPr>
      <w:r>
        <w:rPr>
          <w:b/>
          <w:color w:val="000000" w:themeColor="text1"/>
          <w:sz w:val="28"/>
          <w:szCs w:val="28"/>
        </w:rPr>
        <w:t>估价报告出具日期：</w:t>
      </w:r>
      <w:r>
        <w:rPr>
          <w:rFonts w:hint="eastAsia"/>
          <w:color w:val="000000" w:themeColor="text1"/>
          <w:sz w:val="28"/>
          <w:szCs w:val="28"/>
        </w:rPr>
        <w:t>二〇二〇年十</w:t>
      </w:r>
      <w:r>
        <w:rPr>
          <w:rFonts w:hint="eastAsia"/>
          <w:sz w:val="28"/>
          <w:szCs w:val="28"/>
        </w:rPr>
        <w:t>月三十日</w:t>
      </w:r>
    </w:p>
    <w:p>
      <w:pPr>
        <w:spacing w:line="500" w:lineRule="exact"/>
        <w:ind w:left="2834" w:leftChars="399" w:right="808" w:rightChars="385" w:hanging="1996" w:hangingChars="713"/>
        <w:rPr>
          <w:color w:val="000000" w:themeColor="text1"/>
          <w:sz w:val="28"/>
          <w:szCs w:val="28"/>
        </w:rPr>
      </w:pPr>
    </w:p>
    <w:p>
      <w:pPr>
        <w:spacing w:line="500" w:lineRule="exact"/>
        <w:ind w:left="2923" w:leftChars="468" w:right="50" w:rightChars="24" w:hanging="1940" w:hangingChars="690"/>
        <w:rPr>
          <w:color w:val="000000" w:themeColor="text1"/>
          <w:sz w:val="28"/>
          <w:szCs w:val="28"/>
        </w:rPr>
      </w:pPr>
      <w:r>
        <w:rPr>
          <w:b/>
          <w:color w:val="000000" w:themeColor="text1"/>
          <w:sz w:val="28"/>
          <w:szCs w:val="28"/>
        </w:rPr>
        <w:t>估价报告编号</w:t>
      </w:r>
      <w:r>
        <w:rPr>
          <w:rFonts w:hint="eastAsia"/>
          <w:b/>
          <w:color w:val="000000" w:themeColor="text1"/>
          <w:sz w:val="28"/>
          <w:szCs w:val="28"/>
        </w:rPr>
        <w:t>：</w:t>
      </w:r>
      <w:r>
        <w:rPr>
          <w:color w:val="000000" w:themeColor="text1"/>
          <w:sz w:val="28"/>
          <w:szCs w:val="28"/>
        </w:rPr>
        <w:t>黄海房估字</w:t>
      </w:r>
      <w:r>
        <w:rPr>
          <w:rFonts w:hint="eastAsia"/>
          <w:color w:val="000000" w:themeColor="text1"/>
          <w:sz w:val="28"/>
          <w:szCs w:val="28"/>
        </w:rPr>
        <w:t>【2020】第</w:t>
      </w:r>
      <w:r>
        <w:rPr>
          <w:rFonts w:hint="eastAsia"/>
          <w:color w:val="FF0000"/>
          <w:sz w:val="28"/>
          <w:szCs w:val="28"/>
        </w:rPr>
        <w:t>2134</w:t>
      </w:r>
      <w:r>
        <w:rPr>
          <w:rFonts w:hint="eastAsia"/>
          <w:color w:val="000000" w:themeColor="text1"/>
          <w:sz w:val="28"/>
          <w:szCs w:val="28"/>
        </w:rPr>
        <w:t>号</w:t>
      </w:r>
    </w:p>
    <w:p>
      <w:pPr>
        <w:widowControl/>
        <w:jc w:val="left"/>
        <w:rPr>
          <w:rFonts w:eastAsia="黑体"/>
          <w:color w:val="000000" w:themeColor="text1"/>
          <w:kern w:val="0"/>
          <w:sz w:val="28"/>
          <w:szCs w:val="28"/>
        </w:rPr>
      </w:pPr>
      <w:r>
        <w:br w:type="page"/>
      </w:r>
    </w:p>
    <w:p>
      <w:pPr>
        <w:pStyle w:val="39"/>
        <w:rPr>
          <w:rFonts w:asciiTheme="minorEastAsia" w:hAnsiTheme="minorEastAsia" w:eastAsiaTheme="minorEastAsia"/>
          <w:color w:val="FFFFFF" w:themeColor="background1"/>
          <w:sz w:val="10"/>
          <w:szCs w:val="10"/>
          <w:u w:val="none"/>
        </w:rPr>
      </w:pPr>
      <w:r>
        <w:rPr>
          <w:rFonts w:hint="eastAsia" w:asciiTheme="minorEastAsia" w:hAnsiTheme="minorEastAsia" w:eastAsiaTheme="minorEastAsia"/>
          <w:color w:val="FFFFFF" w:themeColor="background1"/>
          <w:sz w:val="10"/>
          <w:szCs w:val="10"/>
        </w:rPr>
        <w:t>【页眉_产权人】</w:t>
      </w:r>
    </w:p>
    <w:p>
      <w:pPr>
        <w:spacing w:line="14" w:lineRule="exact"/>
        <w:rPr>
          <w:rFonts w:eastAsia="黑体"/>
          <w:color w:val="FFFFFF" w:themeColor="background1"/>
          <w:kern w:val="0"/>
          <w:sz w:val="10"/>
          <w:szCs w:val="10"/>
        </w:rPr>
      </w:pPr>
      <w:r>
        <w:rPr>
          <w:rFonts w:hint="eastAsia" w:eastAsia="黑体"/>
          <w:color w:val="FFFFFF" w:themeColor="background1"/>
          <w:kern w:val="0"/>
          <w:sz w:val="10"/>
          <w:szCs w:val="10"/>
        </w:rPr>
        <w:t>【页眉_共有权人1】</w:t>
      </w:r>
    </w:p>
    <w:p>
      <w:pPr>
        <w:rPr>
          <w:rFonts w:eastAsia="黑体"/>
          <w:b/>
          <w:color w:val="000000" w:themeColor="text1"/>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pPr>
        <w:rPr>
          <w:rFonts w:eastAsia="黑体"/>
          <w:b/>
          <w:kern w:val="0"/>
          <w:sz w:val="28"/>
          <w:szCs w:val="28"/>
          <w:u w:val="words"/>
        </w:rPr>
      </w:pPr>
    </w:p>
    <w:p>
      <w:r>
        <w:drawing>
          <wp:inline distT="0" distB="0" distL="114300" distR="114300">
            <wp:extent cx="590550" cy="790575"/>
            <wp:effectExtent l="0" t="0" r="0" b="952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790575"/>
                    </a:xfrm>
                    <a:prstGeom prst="rect">
                      <a:avLst/>
                    </a:prstGeom>
                    <a:noFill/>
                    <a:ln>
                      <a:noFill/>
                    </a:ln>
                  </pic:spPr>
                </pic:pic>
              </a:graphicData>
            </a:graphic>
          </wp:inline>
        </w:drawing>
      </w:r>
      <w:r>
        <w:drawing>
          <wp:inline distT="0" distB="0" distL="114300" distR="114300">
            <wp:extent cx="3676650" cy="694055"/>
            <wp:effectExtent l="0" t="0" r="0" b="1079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6650" cy="694055"/>
                    </a:xfrm>
                    <a:prstGeom prst="rect">
                      <a:avLst/>
                    </a:prstGeom>
                    <a:noFill/>
                    <a:ln>
                      <a:noFill/>
                    </a:ln>
                  </pic:spPr>
                </pic:pic>
              </a:graphicData>
            </a:graphic>
          </wp:inline>
        </w:drawing>
      </w:r>
    </w:p>
    <w:tbl>
      <w:tblPr>
        <w:tblStyle w:val="26"/>
        <w:tblW w:w="9628" w:type="dxa"/>
        <w:tblInd w:w="0" w:type="dxa"/>
        <w:tblLayout w:type="fixed"/>
        <w:tblCellMar>
          <w:top w:w="0" w:type="dxa"/>
          <w:left w:w="108" w:type="dxa"/>
          <w:bottom w:w="0" w:type="dxa"/>
          <w:right w:w="108" w:type="dxa"/>
        </w:tblCellMar>
      </w:tblPr>
      <w:tblGrid>
        <w:gridCol w:w="1188"/>
        <w:gridCol w:w="1620"/>
        <w:gridCol w:w="5379"/>
        <w:gridCol w:w="1441"/>
      </w:tblGrid>
      <w:tr>
        <w:tblPrEx>
          <w:tblLayout w:type="fixed"/>
          <w:tblCellMar>
            <w:top w:w="0" w:type="dxa"/>
            <w:left w:w="108" w:type="dxa"/>
            <w:bottom w:w="0" w:type="dxa"/>
            <w:right w:w="108" w:type="dxa"/>
          </w:tblCellMar>
        </w:tblPrEx>
        <w:trPr>
          <w:cantSplit/>
          <w:trHeight w:val="454" w:hRule="exact"/>
        </w:trPr>
        <w:tc>
          <w:tcPr>
            <w:tcW w:w="1188" w:type="dxa"/>
          </w:tcPr>
          <w:p>
            <w:pPr>
              <w:spacing w:line="500" w:lineRule="exact"/>
              <w:rPr>
                <w:b/>
                <w:szCs w:val="21"/>
              </w:rPr>
            </w:pPr>
          </w:p>
        </w:tc>
        <w:tc>
          <w:tcPr>
            <w:tcW w:w="1620" w:type="dxa"/>
          </w:tcPr>
          <w:p>
            <w:pPr>
              <w:spacing w:line="500" w:lineRule="exact"/>
              <w:rPr>
                <w:b/>
                <w:szCs w:val="21"/>
              </w:rPr>
            </w:pPr>
            <w:r>
              <w:rPr>
                <w:rFonts w:hint="eastAsia"/>
                <w:b/>
                <w:szCs w:val="21"/>
              </w:rPr>
              <w:t>公司总部地址</w:t>
            </w:r>
            <w:r>
              <w:rPr>
                <w:rFonts w:hint="eastAsia"/>
                <w:szCs w:val="21"/>
              </w:rPr>
              <w:t>：</w:t>
            </w:r>
          </w:p>
        </w:tc>
        <w:tc>
          <w:tcPr>
            <w:tcW w:w="5379" w:type="dxa"/>
          </w:tcPr>
          <w:p>
            <w:pPr>
              <w:spacing w:line="500" w:lineRule="exact"/>
              <w:rPr>
                <w:b/>
                <w:szCs w:val="21"/>
              </w:rPr>
            </w:pPr>
            <w:r>
              <w:rPr>
                <w:rFonts w:hint="eastAsia"/>
                <w:b/>
                <w:szCs w:val="21"/>
              </w:rPr>
              <w:t>黄州区西湖二路</w:t>
            </w:r>
            <w:r>
              <w:rPr>
                <w:b/>
                <w:szCs w:val="21"/>
              </w:rPr>
              <w:t>56</w:t>
            </w:r>
            <w:r>
              <w:rPr>
                <w:rFonts w:hint="eastAsia"/>
                <w:b/>
                <w:szCs w:val="21"/>
              </w:rPr>
              <w:t>号黄冈房地产大楼二楼</w:t>
            </w:r>
          </w:p>
        </w:tc>
        <w:tc>
          <w:tcPr>
            <w:tcW w:w="1441" w:type="dxa"/>
          </w:tcPr>
          <w:p>
            <w:pPr>
              <w:spacing w:line="500" w:lineRule="exact"/>
              <w:rPr>
                <w:b/>
                <w:szCs w:val="21"/>
              </w:rPr>
            </w:pPr>
            <w:r>
              <w:rPr>
                <w:b/>
                <w:szCs w:val="21"/>
              </w:rPr>
              <w:t>0713-8693126</w:t>
            </w:r>
          </w:p>
        </w:tc>
      </w:tr>
      <w:tr>
        <w:tblPrEx>
          <w:tblLayout w:type="fixed"/>
          <w:tblCellMar>
            <w:top w:w="0" w:type="dxa"/>
            <w:left w:w="108" w:type="dxa"/>
            <w:bottom w:w="0" w:type="dxa"/>
            <w:right w:w="108" w:type="dxa"/>
          </w:tblCellMar>
        </w:tblPrEx>
        <w:trPr>
          <w:cantSplit/>
          <w:trHeight w:val="454" w:hRule="exact"/>
        </w:trPr>
        <w:tc>
          <w:tcPr>
            <w:tcW w:w="1188" w:type="dxa"/>
          </w:tcPr>
          <w:p>
            <w:pPr>
              <w:spacing w:line="500" w:lineRule="exact"/>
              <w:rPr>
                <w:b/>
                <w:szCs w:val="21"/>
              </w:rPr>
            </w:pPr>
          </w:p>
        </w:tc>
        <w:tc>
          <w:tcPr>
            <w:tcW w:w="1620" w:type="dxa"/>
          </w:tcPr>
          <w:p>
            <w:pPr>
              <w:spacing w:line="500" w:lineRule="exact"/>
              <w:rPr>
                <w:b/>
                <w:szCs w:val="21"/>
              </w:rPr>
            </w:pPr>
            <w:r>
              <w:rPr>
                <w:rFonts w:hint="eastAsia"/>
                <w:b/>
                <w:szCs w:val="21"/>
              </w:rPr>
              <w:t>公司分部地址：</w:t>
            </w:r>
          </w:p>
        </w:tc>
        <w:tc>
          <w:tcPr>
            <w:tcW w:w="5379" w:type="dxa"/>
          </w:tcPr>
          <w:p>
            <w:pPr>
              <w:spacing w:line="500" w:lineRule="exact"/>
              <w:rPr>
                <w:b/>
                <w:szCs w:val="21"/>
              </w:rPr>
            </w:pPr>
            <w:r>
              <w:rPr>
                <w:rFonts w:hint="eastAsia"/>
                <w:b/>
                <w:szCs w:val="21"/>
              </w:rPr>
              <w:t>红安县沿河路金沙世纪城侧街113号</w:t>
            </w:r>
          </w:p>
        </w:tc>
        <w:tc>
          <w:tcPr>
            <w:tcW w:w="1441" w:type="dxa"/>
          </w:tcPr>
          <w:p>
            <w:pPr>
              <w:spacing w:line="500" w:lineRule="exact"/>
              <w:rPr>
                <w:b/>
                <w:szCs w:val="21"/>
              </w:rPr>
            </w:pPr>
            <w:r>
              <w:rPr>
                <w:b/>
                <w:szCs w:val="21"/>
              </w:rPr>
              <w:t>0713-3851288</w:t>
            </w:r>
          </w:p>
        </w:tc>
      </w:tr>
      <w:tr>
        <w:tblPrEx>
          <w:tblLayout w:type="fixed"/>
          <w:tblCellMar>
            <w:top w:w="0" w:type="dxa"/>
            <w:left w:w="108" w:type="dxa"/>
            <w:bottom w:w="0" w:type="dxa"/>
            <w:right w:w="108" w:type="dxa"/>
          </w:tblCellMar>
        </w:tblPrEx>
        <w:trPr>
          <w:cantSplit/>
          <w:trHeight w:val="454" w:hRule="exact"/>
        </w:trPr>
        <w:tc>
          <w:tcPr>
            <w:tcW w:w="1188" w:type="dxa"/>
          </w:tcPr>
          <w:p>
            <w:pPr>
              <w:spacing w:line="500" w:lineRule="exact"/>
              <w:rPr>
                <w:b/>
                <w:szCs w:val="21"/>
              </w:rPr>
            </w:pPr>
          </w:p>
        </w:tc>
        <w:tc>
          <w:tcPr>
            <w:tcW w:w="1620" w:type="dxa"/>
          </w:tcPr>
          <w:p>
            <w:pPr>
              <w:spacing w:line="500" w:lineRule="exact"/>
              <w:rPr>
                <w:b/>
                <w:szCs w:val="21"/>
              </w:rPr>
            </w:pPr>
          </w:p>
        </w:tc>
        <w:tc>
          <w:tcPr>
            <w:tcW w:w="5379" w:type="dxa"/>
          </w:tcPr>
          <w:p>
            <w:pPr>
              <w:spacing w:line="500" w:lineRule="exact"/>
              <w:rPr>
                <w:b/>
                <w:szCs w:val="21"/>
              </w:rPr>
            </w:pPr>
            <w:r>
              <w:rPr>
                <w:rFonts w:hint="eastAsia"/>
                <w:b/>
                <w:szCs w:val="21"/>
              </w:rPr>
              <w:t>黄梅县迎宾大道</w:t>
            </w:r>
            <w:r>
              <w:rPr>
                <w:b/>
                <w:szCs w:val="21"/>
              </w:rPr>
              <w:t>640</w:t>
            </w:r>
            <w:r>
              <w:rPr>
                <w:rFonts w:hint="eastAsia"/>
                <w:b/>
                <w:szCs w:val="21"/>
              </w:rPr>
              <w:t>号（房产局斜对面）</w:t>
            </w:r>
          </w:p>
        </w:tc>
        <w:tc>
          <w:tcPr>
            <w:tcW w:w="1441" w:type="dxa"/>
          </w:tcPr>
          <w:p>
            <w:pPr>
              <w:spacing w:line="500" w:lineRule="exact"/>
              <w:rPr>
                <w:b/>
                <w:szCs w:val="21"/>
              </w:rPr>
            </w:pPr>
            <w:r>
              <w:rPr>
                <w:b/>
                <w:szCs w:val="21"/>
              </w:rPr>
              <w:t>0713-3367698</w:t>
            </w:r>
          </w:p>
        </w:tc>
      </w:tr>
      <w:tr>
        <w:tblPrEx>
          <w:tblLayout w:type="fixed"/>
          <w:tblCellMar>
            <w:top w:w="0" w:type="dxa"/>
            <w:left w:w="108" w:type="dxa"/>
            <w:bottom w:w="0" w:type="dxa"/>
            <w:right w:w="108" w:type="dxa"/>
          </w:tblCellMar>
        </w:tblPrEx>
        <w:trPr>
          <w:cantSplit/>
          <w:trHeight w:val="454" w:hRule="exact"/>
        </w:trPr>
        <w:tc>
          <w:tcPr>
            <w:tcW w:w="1188" w:type="dxa"/>
          </w:tcPr>
          <w:p>
            <w:pPr>
              <w:spacing w:line="500" w:lineRule="exact"/>
              <w:rPr>
                <w:b/>
                <w:szCs w:val="21"/>
              </w:rPr>
            </w:pPr>
          </w:p>
        </w:tc>
        <w:tc>
          <w:tcPr>
            <w:tcW w:w="1620" w:type="dxa"/>
          </w:tcPr>
          <w:p>
            <w:pPr>
              <w:spacing w:line="500" w:lineRule="exact"/>
              <w:rPr>
                <w:b/>
                <w:szCs w:val="21"/>
              </w:rPr>
            </w:pPr>
          </w:p>
        </w:tc>
        <w:tc>
          <w:tcPr>
            <w:tcW w:w="5379" w:type="dxa"/>
          </w:tcPr>
          <w:p>
            <w:pPr>
              <w:spacing w:line="500" w:lineRule="exact"/>
              <w:rPr>
                <w:b/>
                <w:szCs w:val="21"/>
              </w:rPr>
            </w:pPr>
            <w:r>
              <w:rPr>
                <w:rFonts w:hint="eastAsia"/>
                <w:b/>
                <w:szCs w:val="21"/>
              </w:rPr>
              <w:t>麻城市金桥大道</w:t>
            </w:r>
            <w:r>
              <w:rPr>
                <w:b/>
                <w:szCs w:val="21"/>
              </w:rPr>
              <w:t>126</w:t>
            </w:r>
            <w:r>
              <w:rPr>
                <w:rFonts w:hint="eastAsia"/>
                <w:b/>
                <w:szCs w:val="21"/>
              </w:rPr>
              <w:t>号</w:t>
            </w:r>
          </w:p>
        </w:tc>
        <w:tc>
          <w:tcPr>
            <w:tcW w:w="1441" w:type="dxa"/>
          </w:tcPr>
          <w:p>
            <w:pPr>
              <w:spacing w:line="500" w:lineRule="exact"/>
              <w:rPr>
                <w:b/>
                <w:szCs w:val="21"/>
              </w:rPr>
            </w:pPr>
            <w:r>
              <w:rPr>
                <w:b/>
                <w:szCs w:val="21"/>
              </w:rPr>
              <w:t>13227396068</w:t>
            </w:r>
          </w:p>
        </w:tc>
      </w:tr>
      <w:tr>
        <w:tblPrEx>
          <w:tblLayout w:type="fixed"/>
          <w:tblCellMar>
            <w:top w:w="0" w:type="dxa"/>
            <w:left w:w="108" w:type="dxa"/>
            <w:bottom w:w="0" w:type="dxa"/>
            <w:right w:w="108" w:type="dxa"/>
          </w:tblCellMar>
        </w:tblPrEx>
        <w:trPr>
          <w:cantSplit/>
          <w:trHeight w:val="454" w:hRule="exact"/>
        </w:trPr>
        <w:tc>
          <w:tcPr>
            <w:tcW w:w="1188" w:type="dxa"/>
          </w:tcPr>
          <w:p>
            <w:pPr>
              <w:spacing w:line="500" w:lineRule="exact"/>
              <w:rPr>
                <w:b/>
                <w:szCs w:val="21"/>
              </w:rPr>
            </w:pPr>
          </w:p>
        </w:tc>
        <w:tc>
          <w:tcPr>
            <w:tcW w:w="1620" w:type="dxa"/>
          </w:tcPr>
          <w:p>
            <w:pPr>
              <w:spacing w:line="500" w:lineRule="exact"/>
              <w:rPr>
                <w:b/>
                <w:szCs w:val="21"/>
              </w:rPr>
            </w:pPr>
          </w:p>
        </w:tc>
        <w:tc>
          <w:tcPr>
            <w:tcW w:w="5379" w:type="dxa"/>
          </w:tcPr>
          <w:p>
            <w:pPr>
              <w:spacing w:line="500" w:lineRule="exact"/>
              <w:rPr>
                <w:b/>
                <w:szCs w:val="21"/>
              </w:rPr>
            </w:pPr>
            <w:r>
              <w:rPr>
                <w:rFonts w:hint="eastAsia"/>
                <w:b/>
                <w:szCs w:val="21"/>
              </w:rPr>
              <w:t>武穴市刊江大道59号兴雨科技大楼406室</w:t>
            </w:r>
          </w:p>
        </w:tc>
        <w:tc>
          <w:tcPr>
            <w:tcW w:w="1441" w:type="dxa"/>
          </w:tcPr>
          <w:p>
            <w:pPr>
              <w:spacing w:line="500" w:lineRule="exact"/>
              <w:rPr>
                <w:b/>
                <w:szCs w:val="21"/>
              </w:rPr>
            </w:pPr>
            <w:r>
              <w:rPr>
                <w:rFonts w:hint="eastAsia"/>
                <w:b/>
                <w:color w:val="000000" w:themeColor="text1"/>
                <w:szCs w:val="21"/>
              </w:rPr>
              <w:t>18671652282</w:t>
            </w:r>
          </w:p>
        </w:tc>
      </w:tr>
      <w:tr>
        <w:tblPrEx>
          <w:tblLayout w:type="fixed"/>
          <w:tblCellMar>
            <w:top w:w="0" w:type="dxa"/>
            <w:left w:w="108" w:type="dxa"/>
            <w:bottom w:w="0" w:type="dxa"/>
            <w:right w:w="108" w:type="dxa"/>
          </w:tblCellMar>
        </w:tblPrEx>
        <w:trPr>
          <w:cantSplit/>
          <w:trHeight w:val="454" w:hRule="exact"/>
        </w:trPr>
        <w:tc>
          <w:tcPr>
            <w:tcW w:w="1188" w:type="dxa"/>
          </w:tcPr>
          <w:p>
            <w:pPr>
              <w:spacing w:line="500" w:lineRule="exact"/>
              <w:rPr>
                <w:b/>
                <w:szCs w:val="21"/>
              </w:rPr>
            </w:pPr>
          </w:p>
        </w:tc>
        <w:tc>
          <w:tcPr>
            <w:tcW w:w="1620" w:type="dxa"/>
          </w:tcPr>
          <w:p>
            <w:pPr>
              <w:spacing w:line="500" w:lineRule="exact"/>
              <w:rPr>
                <w:b/>
                <w:szCs w:val="21"/>
              </w:rPr>
            </w:pPr>
          </w:p>
        </w:tc>
        <w:tc>
          <w:tcPr>
            <w:tcW w:w="5379" w:type="dxa"/>
          </w:tcPr>
          <w:p>
            <w:pPr>
              <w:spacing w:line="500" w:lineRule="exact"/>
              <w:rPr>
                <w:b/>
                <w:szCs w:val="21"/>
              </w:rPr>
            </w:pPr>
            <w:r>
              <w:rPr>
                <w:b/>
                <w:color w:val="000000" w:themeColor="text1"/>
                <w:szCs w:val="21"/>
              </w:rPr>
              <w:t>英山县温泉镇</w:t>
            </w:r>
            <w:r>
              <w:rPr>
                <w:rFonts w:hint="eastAsia"/>
                <w:b/>
                <w:color w:val="000000" w:themeColor="text1"/>
                <w:szCs w:val="21"/>
              </w:rPr>
              <w:t>莲花小区</w:t>
            </w:r>
          </w:p>
        </w:tc>
        <w:tc>
          <w:tcPr>
            <w:tcW w:w="1441" w:type="dxa"/>
          </w:tcPr>
          <w:p>
            <w:pPr>
              <w:spacing w:line="500" w:lineRule="exact"/>
              <w:rPr>
                <w:b/>
                <w:szCs w:val="21"/>
              </w:rPr>
            </w:pPr>
            <w:r>
              <w:rPr>
                <w:rFonts w:hint="eastAsia"/>
                <w:b/>
                <w:color w:val="000000" w:themeColor="text1"/>
                <w:szCs w:val="21"/>
              </w:rPr>
              <w:t>15171351678</w:t>
            </w:r>
          </w:p>
        </w:tc>
      </w:tr>
      <w:tr>
        <w:tblPrEx>
          <w:tblLayout w:type="fixed"/>
          <w:tblCellMar>
            <w:top w:w="0" w:type="dxa"/>
            <w:left w:w="108" w:type="dxa"/>
            <w:bottom w:w="0" w:type="dxa"/>
            <w:right w:w="108" w:type="dxa"/>
          </w:tblCellMar>
        </w:tblPrEx>
        <w:trPr>
          <w:cantSplit/>
          <w:trHeight w:val="454" w:hRule="exact"/>
        </w:trPr>
        <w:tc>
          <w:tcPr>
            <w:tcW w:w="1188" w:type="dxa"/>
          </w:tcPr>
          <w:p>
            <w:pPr>
              <w:spacing w:line="500" w:lineRule="exact"/>
              <w:rPr>
                <w:b/>
                <w:szCs w:val="21"/>
              </w:rPr>
            </w:pPr>
          </w:p>
        </w:tc>
        <w:tc>
          <w:tcPr>
            <w:tcW w:w="1620" w:type="dxa"/>
          </w:tcPr>
          <w:p>
            <w:pPr>
              <w:spacing w:line="500" w:lineRule="exact"/>
              <w:rPr>
                <w:b/>
                <w:szCs w:val="21"/>
              </w:rPr>
            </w:pPr>
          </w:p>
        </w:tc>
        <w:tc>
          <w:tcPr>
            <w:tcW w:w="5379" w:type="dxa"/>
          </w:tcPr>
          <w:p>
            <w:pPr>
              <w:spacing w:line="500" w:lineRule="exact"/>
              <w:rPr>
                <w:b/>
                <w:szCs w:val="21"/>
              </w:rPr>
            </w:pPr>
            <w:r>
              <w:rPr>
                <w:rFonts w:hint="eastAsia"/>
                <w:b/>
                <w:szCs w:val="21"/>
              </w:rPr>
              <w:t>浠水县清泉镇经济开发区重阳阁路</w:t>
            </w:r>
            <w:r>
              <w:rPr>
                <w:b/>
                <w:szCs w:val="21"/>
              </w:rPr>
              <w:t>10</w:t>
            </w:r>
            <w:r>
              <w:rPr>
                <w:rFonts w:hint="eastAsia"/>
                <w:b/>
                <w:szCs w:val="21"/>
              </w:rPr>
              <w:t>号</w:t>
            </w:r>
          </w:p>
        </w:tc>
        <w:tc>
          <w:tcPr>
            <w:tcW w:w="1441" w:type="dxa"/>
          </w:tcPr>
          <w:p>
            <w:pPr>
              <w:spacing w:line="500" w:lineRule="exact"/>
              <w:rPr>
                <w:b/>
                <w:szCs w:val="21"/>
              </w:rPr>
            </w:pPr>
            <w:r>
              <w:rPr>
                <w:b/>
                <w:color w:val="000000" w:themeColor="text1"/>
                <w:szCs w:val="21"/>
              </w:rPr>
              <w:t>15327485138</w:t>
            </w:r>
          </w:p>
        </w:tc>
      </w:tr>
      <w:tr>
        <w:tblPrEx>
          <w:tblLayout w:type="fixed"/>
          <w:tblCellMar>
            <w:top w:w="0" w:type="dxa"/>
            <w:left w:w="108" w:type="dxa"/>
            <w:bottom w:w="0" w:type="dxa"/>
            <w:right w:w="108" w:type="dxa"/>
          </w:tblCellMar>
        </w:tblPrEx>
        <w:trPr>
          <w:cantSplit/>
          <w:trHeight w:val="454" w:hRule="exact"/>
        </w:trPr>
        <w:tc>
          <w:tcPr>
            <w:tcW w:w="1188" w:type="dxa"/>
          </w:tcPr>
          <w:p>
            <w:pPr>
              <w:spacing w:line="500" w:lineRule="exact"/>
              <w:rPr>
                <w:b/>
                <w:szCs w:val="21"/>
              </w:rPr>
            </w:pPr>
          </w:p>
        </w:tc>
        <w:tc>
          <w:tcPr>
            <w:tcW w:w="1620" w:type="dxa"/>
          </w:tcPr>
          <w:p>
            <w:pPr>
              <w:spacing w:line="500" w:lineRule="exact"/>
              <w:rPr>
                <w:b/>
                <w:szCs w:val="21"/>
              </w:rPr>
            </w:pPr>
          </w:p>
        </w:tc>
        <w:tc>
          <w:tcPr>
            <w:tcW w:w="5379" w:type="dxa"/>
          </w:tcPr>
          <w:p>
            <w:pPr>
              <w:spacing w:line="500" w:lineRule="exact"/>
              <w:rPr>
                <w:b/>
                <w:szCs w:val="21"/>
              </w:rPr>
            </w:pPr>
            <w:r>
              <w:rPr>
                <w:rFonts w:hint="eastAsia"/>
                <w:b/>
                <w:color w:val="000000" w:themeColor="text1"/>
                <w:szCs w:val="21"/>
              </w:rPr>
              <w:t>罗田县凤山镇发展大道9号</w:t>
            </w:r>
          </w:p>
        </w:tc>
        <w:tc>
          <w:tcPr>
            <w:tcW w:w="1441" w:type="dxa"/>
          </w:tcPr>
          <w:p>
            <w:pPr>
              <w:spacing w:line="500" w:lineRule="exact"/>
              <w:rPr>
                <w:b/>
                <w:szCs w:val="21"/>
              </w:rPr>
            </w:pPr>
            <w:r>
              <w:rPr>
                <w:b/>
                <w:color w:val="000000" w:themeColor="text1"/>
                <w:szCs w:val="21"/>
              </w:rPr>
              <w:t>15997365186</w:t>
            </w:r>
          </w:p>
        </w:tc>
      </w:tr>
      <w:tr>
        <w:tblPrEx>
          <w:tblLayout w:type="fixed"/>
          <w:tblCellMar>
            <w:top w:w="0" w:type="dxa"/>
            <w:left w:w="108" w:type="dxa"/>
            <w:bottom w:w="0" w:type="dxa"/>
            <w:right w:w="108" w:type="dxa"/>
          </w:tblCellMar>
        </w:tblPrEx>
        <w:trPr>
          <w:cantSplit/>
          <w:trHeight w:val="454" w:hRule="exact"/>
        </w:trPr>
        <w:tc>
          <w:tcPr>
            <w:tcW w:w="1188" w:type="dxa"/>
          </w:tcPr>
          <w:p>
            <w:pPr>
              <w:spacing w:line="500" w:lineRule="exact"/>
              <w:rPr>
                <w:b/>
                <w:szCs w:val="21"/>
              </w:rPr>
            </w:pPr>
          </w:p>
        </w:tc>
        <w:tc>
          <w:tcPr>
            <w:tcW w:w="1620" w:type="dxa"/>
          </w:tcPr>
          <w:p>
            <w:pPr>
              <w:spacing w:line="500" w:lineRule="exact"/>
              <w:rPr>
                <w:b/>
                <w:szCs w:val="21"/>
              </w:rPr>
            </w:pPr>
          </w:p>
        </w:tc>
        <w:tc>
          <w:tcPr>
            <w:tcW w:w="5379" w:type="dxa"/>
          </w:tcPr>
          <w:p>
            <w:pPr>
              <w:spacing w:line="500" w:lineRule="exact"/>
              <w:rPr>
                <w:b/>
                <w:szCs w:val="21"/>
              </w:rPr>
            </w:pPr>
            <w:r>
              <w:rPr>
                <w:rFonts w:hint="eastAsia"/>
                <w:b/>
                <w:color w:val="000000" w:themeColor="text1"/>
                <w:szCs w:val="21"/>
              </w:rPr>
              <w:t>蕲春县漕河大道38号（房管局院内）</w:t>
            </w:r>
          </w:p>
        </w:tc>
        <w:tc>
          <w:tcPr>
            <w:tcW w:w="1441" w:type="dxa"/>
          </w:tcPr>
          <w:p>
            <w:pPr>
              <w:spacing w:line="500" w:lineRule="exact"/>
              <w:rPr>
                <w:b/>
                <w:szCs w:val="21"/>
              </w:rPr>
            </w:pPr>
            <w:r>
              <w:rPr>
                <w:rFonts w:hint="eastAsia"/>
                <w:b/>
                <w:color w:val="000000" w:themeColor="text1"/>
                <w:szCs w:val="21"/>
              </w:rPr>
              <w:t>0713-7235131</w:t>
            </w:r>
          </w:p>
        </w:tc>
      </w:tr>
    </w:tbl>
    <w:p>
      <w:pPr>
        <w:widowControl/>
        <w:jc w:val="left"/>
        <w:rPr>
          <w:sz w:val="10"/>
          <w:szCs w:val="10"/>
        </w:rPr>
      </w:pPr>
      <w:r>
        <w:rPr>
          <w:sz w:val="10"/>
          <w:szCs w:val="10"/>
        </w:rPr>
        <w:br w:type="page"/>
      </w:r>
    </w:p>
    <w:p>
      <w:pPr>
        <w:spacing w:line="500" w:lineRule="exact"/>
        <w:jc w:val="right"/>
        <w:rPr>
          <w:rFonts w:asciiTheme="minorEastAsia" w:hAnsiTheme="minorEastAsia" w:eastAsiaTheme="minorEastAsia"/>
          <w:color w:val="000000" w:themeColor="text1"/>
          <w:sz w:val="28"/>
          <w:szCs w:val="28"/>
        </w:rPr>
      </w:pPr>
    </w:p>
    <w:p>
      <w:pPr>
        <w:spacing w:line="500" w:lineRule="exact"/>
        <w:jc w:val="right"/>
        <w:rPr>
          <w:rFonts w:asciiTheme="minorEastAsia" w:hAnsiTheme="minorEastAsia" w:eastAsiaTheme="minorEastAsia"/>
          <w:color w:val="000000" w:themeColor="text1"/>
          <w:sz w:val="28"/>
          <w:szCs w:val="28"/>
        </w:rPr>
      </w:pPr>
    </w:p>
    <w:p>
      <w:pPr>
        <w:spacing w:line="500" w:lineRule="exact"/>
        <w:jc w:val="right"/>
        <w:rPr>
          <w:rFonts w:asciiTheme="minorEastAsia" w:hAnsiTheme="minorEastAsia" w:eastAsiaTheme="minorEastAsia"/>
          <w:color w:val="000000" w:themeColor="text1"/>
          <w:sz w:val="28"/>
          <w:szCs w:val="28"/>
        </w:rPr>
      </w:pPr>
    </w:p>
    <w:p>
      <w:pPr>
        <w:spacing w:line="500" w:lineRule="exact"/>
        <w:jc w:val="right"/>
        <w:rPr>
          <w:rFonts w:asciiTheme="minorEastAsia" w:hAnsiTheme="minorEastAsia" w:eastAsiaTheme="minorEastAsia"/>
          <w:color w:val="000000" w:themeColor="text1"/>
          <w:sz w:val="28"/>
          <w:szCs w:val="28"/>
        </w:rPr>
      </w:pPr>
    </w:p>
    <w:p>
      <w:pPr>
        <w:spacing w:line="500" w:lineRule="exact"/>
        <w:jc w:val="right"/>
        <w:rPr>
          <w:rFonts w:asciiTheme="minorEastAsia" w:hAnsiTheme="minorEastAsia" w:eastAsiaTheme="minorEastAsia"/>
          <w:color w:val="000000" w:themeColor="text1"/>
          <w:sz w:val="28"/>
          <w:szCs w:val="28"/>
        </w:rPr>
      </w:pPr>
    </w:p>
    <w:p>
      <w:pPr>
        <w:spacing w:line="500" w:lineRule="exact"/>
        <w:jc w:val="right"/>
        <w:rPr>
          <w:rFonts w:asciiTheme="minorEastAsia" w:hAnsiTheme="minorEastAsia" w:eastAsiaTheme="minorEastAsia"/>
          <w:color w:val="000000" w:themeColor="text1"/>
          <w:sz w:val="28"/>
          <w:szCs w:val="28"/>
        </w:rPr>
      </w:pPr>
    </w:p>
    <w:p>
      <w:pPr>
        <w:spacing w:line="500" w:lineRule="exact"/>
        <w:jc w:val="right"/>
        <w:rPr>
          <w:rFonts w:asciiTheme="minorEastAsia" w:hAnsiTheme="minorEastAsia" w:eastAsiaTheme="minorEastAsia"/>
          <w:color w:val="000000" w:themeColor="text1"/>
          <w:sz w:val="28"/>
          <w:szCs w:val="28"/>
        </w:rPr>
      </w:pPr>
    </w:p>
    <w:p>
      <w:pPr>
        <w:spacing w:line="500" w:lineRule="exact"/>
        <w:jc w:val="right"/>
        <w:rPr>
          <w:rFonts w:asciiTheme="minorEastAsia" w:hAnsiTheme="minorEastAsia" w:eastAsiaTheme="minorEastAsia"/>
          <w:color w:val="000000" w:themeColor="text1"/>
          <w:sz w:val="28"/>
          <w:szCs w:val="28"/>
        </w:rPr>
      </w:pPr>
    </w:p>
    <w:p>
      <w:pPr>
        <w:spacing w:line="500" w:lineRule="exact"/>
        <w:jc w:val="right"/>
        <w:rPr>
          <w:color w:val="000000" w:themeColor="text1"/>
          <w:sz w:val="28"/>
          <w:szCs w:val="28"/>
        </w:rPr>
      </w:pPr>
      <w:r>
        <w:rPr>
          <w:color w:val="000000" w:themeColor="text1"/>
          <w:sz w:val="28"/>
          <w:szCs w:val="28"/>
        </w:rPr>
        <w:t>黄海房估字</w:t>
      </w:r>
      <w:r>
        <w:rPr>
          <w:rFonts w:hint="eastAsia"/>
          <w:color w:val="000000" w:themeColor="text1"/>
          <w:sz w:val="28"/>
          <w:szCs w:val="28"/>
        </w:rPr>
        <w:t>【2020】第</w:t>
      </w:r>
      <w:r>
        <w:rPr>
          <w:rFonts w:hint="eastAsia"/>
          <w:color w:val="FF0000"/>
          <w:sz w:val="28"/>
          <w:szCs w:val="28"/>
        </w:rPr>
        <w:t>2134</w:t>
      </w:r>
      <w:r>
        <w:rPr>
          <w:rFonts w:hint="eastAsia"/>
          <w:color w:val="000000" w:themeColor="text1"/>
          <w:sz w:val="28"/>
          <w:szCs w:val="28"/>
        </w:rPr>
        <w:t>号</w:t>
      </w:r>
    </w:p>
    <w:p>
      <w:pPr>
        <w:spacing w:line="500" w:lineRule="exact"/>
        <w:jc w:val="right"/>
        <w:rPr>
          <w:color w:val="000000" w:themeColor="text1"/>
          <w:sz w:val="28"/>
          <w:szCs w:val="28"/>
        </w:rPr>
      </w:pPr>
    </w:p>
    <w:p>
      <w:pPr>
        <w:spacing w:line="500" w:lineRule="exact"/>
        <w:jc w:val="center"/>
        <w:rPr>
          <w:rFonts w:eastAsia="黑体"/>
          <w:b/>
          <w:color w:val="000000" w:themeColor="text1"/>
          <w:sz w:val="48"/>
          <w:szCs w:val="48"/>
        </w:rPr>
      </w:pPr>
      <w:r>
        <w:rPr>
          <w:rFonts w:eastAsia="黑体"/>
          <w:b/>
          <w:color w:val="000000" w:themeColor="text1"/>
          <w:sz w:val="48"/>
          <w:szCs w:val="48"/>
        </w:rPr>
        <w:t>致估价委托人函</w:t>
      </w:r>
    </w:p>
    <w:p>
      <w:pPr>
        <w:spacing w:line="500" w:lineRule="exact"/>
        <w:jc w:val="center"/>
        <w:rPr>
          <w:rFonts w:eastAsia="黑体"/>
          <w:b/>
          <w:color w:val="000000" w:themeColor="text1"/>
          <w:sz w:val="28"/>
          <w:szCs w:val="28"/>
        </w:rPr>
      </w:pPr>
    </w:p>
    <w:p>
      <w:pPr>
        <w:spacing w:line="500" w:lineRule="exact"/>
        <w:rPr>
          <w:b/>
          <w:color w:val="000000" w:themeColor="text1"/>
          <w:sz w:val="28"/>
          <w:szCs w:val="28"/>
        </w:rPr>
      </w:pPr>
      <w:r>
        <w:rPr>
          <w:rFonts w:hint="eastAsia" w:hAnsi="宋体"/>
          <w:color w:val="000000" w:themeColor="text1"/>
          <w:sz w:val="28"/>
          <w:szCs w:val="28"/>
        </w:rPr>
        <w:t>武穴市人民法院</w:t>
      </w:r>
      <w:r>
        <w:rPr>
          <w:b/>
          <w:color w:val="000000" w:themeColor="text1"/>
          <w:sz w:val="28"/>
          <w:szCs w:val="28"/>
        </w:rPr>
        <w:t>:</w:t>
      </w:r>
    </w:p>
    <w:p>
      <w:pPr>
        <w:spacing w:line="500" w:lineRule="exact"/>
        <w:ind w:firstLine="560" w:firstLineChars="200"/>
        <w:rPr>
          <w:color w:val="000000" w:themeColor="text1"/>
          <w:sz w:val="28"/>
          <w:szCs w:val="28"/>
        </w:rPr>
      </w:pPr>
      <w:r>
        <w:rPr>
          <w:color w:val="000000" w:themeColor="text1"/>
          <w:sz w:val="28"/>
          <w:szCs w:val="28"/>
        </w:rPr>
        <w:t>受</w:t>
      </w:r>
      <w:r>
        <w:rPr>
          <w:rFonts w:hint="eastAsia"/>
          <w:color w:val="000000" w:themeColor="text1"/>
          <w:sz w:val="28"/>
          <w:szCs w:val="28"/>
        </w:rPr>
        <w:t>贵法院2020年</w:t>
      </w:r>
      <w:r>
        <w:rPr>
          <w:color w:val="000000" w:themeColor="text1"/>
          <w:sz w:val="28"/>
          <w:szCs w:val="28"/>
        </w:rPr>
        <w:t>09</w:t>
      </w:r>
      <w:r>
        <w:rPr>
          <w:rFonts w:hint="eastAsia"/>
          <w:color w:val="000000" w:themeColor="text1"/>
          <w:sz w:val="28"/>
          <w:szCs w:val="28"/>
        </w:rPr>
        <w:t>月</w:t>
      </w:r>
      <w:r>
        <w:rPr>
          <w:color w:val="000000" w:themeColor="text1"/>
          <w:sz w:val="28"/>
          <w:szCs w:val="28"/>
        </w:rPr>
        <w:t>21</w:t>
      </w:r>
      <w:r>
        <w:rPr>
          <w:rFonts w:hint="eastAsia"/>
          <w:color w:val="000000" w:themeColor="text1"/>
          <w:sz w:val="28"/>
          <w:szCs w:val="28"/>
        </w:rPr>
        <w:t>日</w:t>
      </w:r>
      <w:r>
        <w:rPr>
          <w:color w:val="000000" w:themeColor="text1"/>
          <w:sz w:val="28"/>
          <w:szCs w:val="28"/>
        </w:rPr>
        <w:t>委托，我公司估价人员于</w:t>
      </w:r>
      <w:r>
        <w:rPr>
          <w:rFonts w:hint="eastAsia"/>
          <w:color w:val="000000" w:themeColor="text1"/>
          <w:sz w:val="28"/>
          <w:szCs w:val="28"/>
        </w:rPr>
        <w:t>2020年</w:t>
      </w:r>
      <w:r>
        <w:rPr>
          <w:color w:val="000000" w:themeColor="text1"/>
          <w:sz w:val="28"/>
          <w:szCs w:val="28"/>
        </w:rPr>
        <w:t>09</w:t>
      </w:r>
      <w:r>
        <w:rPr>
          <w:rFonts w:hint="eastAsia"/>
          <w:color w:val="000000" w:themeColor="text1"/>
          <w:sz w:val="28"/>
          <w:szCs w:val="28"/>
        </w:rPr>
        <w:t>月</w:t>
      </w:r>
      <w:r>
        <w:rPr>
          <w:color w:val="000000" w:themeColor="text1"/>
          <w:sz w:val="28"/>
          <w:szCs w:val="28"/>
        </w:rPr>
        <w:t>25</w:t>
      </w:r>
      <w:r>
        <w:rPr>
          <w:rFonts w:hint="eastAsia"/>
          <w:color w:val="000000" w:themeColor="text1"/>
          <w:sz w:val="28"/>
          <w:szCs w:val="28"/>
        </w:rPr>
        <w:t>日</w:t>
      </w:r>
      <w:r>
        <w:rPr>
          <w:color w:val="000000" w:themeColor="text1"/>
          <w:sz w:val="28"/>
          <w:szCs w:val="28"/>
        </w:rPr>
        <w:t>对估价对象进行了现场</w:t>
      </w:r>
      <w:r>
        <w:rPr>
          <w:rFonts w:hint="eastAsia"/>
          <w:color w:val="000000" w:themeColor="text1"/>
          <w:sz w:val="28"/>
          <w:szCs w:val="28"/>
        </w:rPr>
        <w:t>查勘</w:t>
      </w:r>
      <w:r>
        <w:rPr>
          <w:color w:val="000000" w:themeColor="text1"/>
          <w:sz w:val="28"/>
          <w:szCs w:val="28"/>
        </w:rPr>
        <w:t>，并</w:t>
      </w:r>
      <w:r>
        <w:rPr>
          <w:rFonts w:hint="eastAsia"/>
          <w:color w:val="000000" w:themeColor="text1"/>
          <w:sz w:val="28"/>
          <w:szCs w:val="28"/>
        </w:rPr>
        <w:t>分析</w:t>
      </w:r>
      <w:r>
        <w:rPr>
          <w:color w:val="000000" w:themeColor="text1"/>
          <w:sz w:val="28"/>
          <w:szCs w:val="28"/>
        </w:rPr>
        <w:t>、估算出估价对象房地产价值，现函告如下：</w:t>
      </w:r>
    </w:p>
    <w:p>
      <w:pPr>
        <w:spacing w:line="500" w:lineRule="exact"/>
        <w:ind w:firstLine="562" w:firstLineChars="200"/>
        <w:rPr>
          <w:color w:val="000000" w:themeColor="text1"/>
          <w:sz w:val="28"/>
          <w:szCs w:val="28"/>
        </w:rPr>
      </w:pPr>
      <w:r>
        <w:rPr>
          <w:b/>
          <w:color w:val="000000" w:themeColor="text1"/>
          <w:sz w:val="28"/>
          <w:szCs w:val="28"/>
        </w:rPr>
        <w:t>估价对象：</w:t>
      </w:r>
      <w:r>
        <w:rPr>
          <w:color w:val="000000" w:themeColor="text1"/>
          <w:sz w:val="28"/>
          <w:szCs w:val="28"/>
        </w:rPr>
        <w:t>根据委托事项，本次估价对象为一</w:t>
      </w:r>
      <w:r>
        <w:rPr>
          <w:rFonts w:hint="eastAsia"/>
          <w:color w:val="000000" w:themeColor="text1"/>
          <w:sz w:val="28"/>
          <w:szCs w:val="28"/>
        </w:rPr>
        <w:t>套</w:t>
      </w:r>
      <w:r>
        <w:rPr>
          <w:color w:val="000000" w:themeColor="text1"/>
          <w:sz w:val="28"/>
          <w:szCs w:val="28"/>
        </w:rPr>
        <w:t>住宅房地产，详见下表：</w:t>
      </w:r>
    </w:p>
    <w:tbl>
      <w:tblPr>
        <w:tblStyle w:val="26"/>
        <w:tblW w:w="87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1134"/>
        <w:gridCol w:w="1608"/>
        <w:gridCol w:w="850"/>
        <w:gridCol w:w="709"/>
        <w:gridCol w:w="709"/>
        <w:gridCol w:w="850"/>
        <w:gridCol w:w="851"/>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929" w:type="dxa"/>
            <w:vAlign w:val="center"/>
          </w:tcPr>
          <w:p>
            <w:pPr>
              <w:jc w:val="center"/>
              <w:rPr>
                <w:color w:val="000000" w:themeColor="text1"/>
                <w:szCs w:val="21"/>
              </w:rPr>
            </w:pPr>
            <w:r>
              <w:rPr>
                <w:color w:val="000000" w:themeColor="text1"/>
                <w:szCs w:val="21"/>
              </w:rPr>
              <w:t>房地产权利人</w:t>
            </w:r>
          </w:p>
        </w:tc>
        <w:tc>
          <w:tcPr>
            <w:tcW w:w="1134" w:type="dxa"/>
            <w:vAlign w:val="center"/>
          </w:tcPr>
          <w:p>
            <w:pPr>
              <w:jc w:val="center"/>
              <w:rPr>
                <w:color w:val="000000" w:themeColor="text1"/>
                <w:szCs w:val="21"/>
              </w:rPr>
            </w:pPr>
            <w:r>
              <w:rPr>
                <w:color w:val="000000" w:themeColor="text1"/>
                <w:szCs w:val="21"/>
              </w:rPr>
              <w:t>位置</w:t>
            </w:r>
          </w:p>
        </w:tc>
        <w:tc>
          <w:tcPr>
            <w:tcW w:w="1608" w:type="dxa"/>
            <w:vAlign w:val="center"/>
          </w:tcPr>
          <w:p>
            <w:pPr>
              <w:jc w:val="center"/>
              <w:rPr>
                <w:color w:val="000000" w:themeColor="text1"/>
                <w:szCs w:val="21"/>
              </w:rPr>
            </w:pPr>
            <w:r>
              <w:rPr>
                <w:color w:val="000000" w:themeColor="text1"/>
                <w:szCs w:val="21"/>
              </w:rPr>
              <w:t>房地产权证书</w:t>
            </w:r>
          </w:p>
        </w:tc>
        <w:tc>
          <w:tcPr>
            <w:tcW w:w="850" w:type="dxa"/>
            <w:vAlign w:val="center"/>
          </w:tcPr>
          <w:p>
            <w:pPr>
              <w:jc w:val="center"/>
              <w:rPr>
                <w:color w:val="000000" w:themeColor="text1"/>
                <w:szCs w:val="21"/>
              </w:rPr>
            </w:pPr>
            <w:r>
              <w:rPr>
                <w:rFonts w:hint="eastAsia"/>
                <w:color w:val="000000" w:themeColor="text1"/>
                <w:szCs w:val="21"/>
              </w:rPr>
              <w:t>建成年份（年）</w:t>
            </w:r>
          </w:p>
        </w:tc>
        <w:tc>
          <w:tcPr>
            <w:tcW w:w="709" w:type="dxa"/>
            <w:vAlign w:val="center"/>
          </w:tcPr>
          <w:p>
            <w:pPr>
              <w:jc w:val="center"/>
              <w:rPr>
                <w:color w:val="000000" w:themeColor="text1"/>
                <w:szCs w:val="21"/>
              </w:rPr>
            </w:pPr>
            <w:r>
              <w:rPr>
                <w:color w:val="000000" w:themeColor="text1"/>
                <w:szCs w:val="21"/>
              </w:rPr>
              <w:t>房屋用途</w:t>
            </w:r>
          </w:p>
        </w:tc>
        <w:tc>
          <w:tcPr>
            <w:tcW w:w="709" w:type="dxa"/>
            <w:vAlign w:val="center"/>
          </w:tcPr>
          <w:p>
            <w:pPr>
              <w:jc w:val="center"/>
              <w:rPr>
                <w:color w:val="000000" w:themeColor="text1"/>
                <w:szCs w:val="21"/>
              </w:rPr>
            </w:pPr>
            <w:r>
              <w:rPr>
                <w:color w:val="000000" w:themeColor="text1"/>
                <w:szCs w:val="21"/>
              </w:rPr>
              <w:t>土地用途</w:t>
            </w:r>
          </w:p>
        </w:tc>
        <w:tc>
          <w:tcPr>
            <w:tcW w:w="850" w:type="dxa"/>
            <w:vAlign w:val="center"/>
          </w:tcPr>
          <w:p>
            <w:pPr>
              <w:rPr>
                <w:color w:val="000000" w:themeColor="text1"/>
                <w:szCs w:val="21"/>
              </w:rPr>
            </w:pPr>
            <w:r>
              <w:rPr>
                <w:rFonts w:hint="eastAsia"/>
                <w:color w:val="000000" w:themeColor="text1"/>
                <w:szCs w:val="21"/>
              </w:rPr>
              <w:t>证载建筑面积</w:t>
            </w:r>
            <w:r>
              <w:rPr>
                <w:color w:val="000000" w:themeColor="text1"/>
                <w:szCs w:val="21"/>
              </w:rPr>
              <w:t>（㎡）</w:t>
            </w:r>
          </w:p>
        </w:tc>
        <w:tc>
          <w:tcPr>
            <w:tcW w:w="851" w:type="dxa"/>
            <w:vAlign w:val="center"/>
          </w:tcPr>
          <w:p>
            <w:pPr>
              <w:jc w:val="center"/>
              <w:rPr>
                <w:color w:val="000000" w:themeColor="text1"/>
                <w:szCs w:val="21"/>
              </w:rPr>
            </w:pPr>
            <w:r>
              <w:rPr>
                <w:rFonts w:hint="eastAsia"/>
                <w:color w:val="000000" w:themeColor="text1"/>
                <w:szCs w:val="21"/>
              </w:rPr>
              <w:t>分摊土地面积</w:t>
            </w:r>
            <w:r>
              <w:rPr>
                <w:color w:val="000000" w:themeColor="text1"/>
                <w:szCs w:val="21"/>
              </w:rPr>
              <w:t>（㎡）</w:t>
            </w:r>
          </w:p>
        </w:tc>
        <w:tc>
          <w:tcPr>
            <w:tcW w:w="1077" w:type="dxa"/>
            <w:vAlign w:val="center"/>
          </w:tcPr>
          <w:p>
            <w:pPr>
              <w:jc w:val="center"/>
              <w:rPr>
                <w:szCs w:val="21"/>
              </w:rPr>
            </w:pPr>
            <w:r>
              <w:rPr>
                <w:rFonts w:hint="eastAsia"/>
                <w:szCs w:val="21"/>
              </w:rPr>
              <w:t>土地出让终止日期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929" w:type="dxa"/>
            <w:vAlign w:val="center"/>
          </w:tcPr>
          <w:p>
            <w:pPr>
              <w:jc w:val="center"/>
              <w:rPr>
                <w:color w:val="000000" w:themeColor="text1"/>
                <w:szCs w:val="21"/>
              </w:rPr>
            </w:pPr>
            <w:r>
              <w:rPr>
                <w:rFonts w:hint="eastAsia"/>
                <w:color w:val="000000" w:themeColor="text1"/>
                <w:szCs w:val="21"/>
              </w:rPr>
              <w:t>何丽军宋焕玲</w:t>
            </w:r>
          </w:p>
        </w:tc>
        <w:tc>
          <w:tcPr>
            <w:tcW w:w="1134" w:type="dxa"/>
            <w:vAlign w:val="center"/>
          </w:tcPr>
          <w:p>
            <w:pPr>
              <w:jc w:val="center"/>
              <w:rPr>
                <w:color w:val="000000" w:themeColor="text1"/>
                <w:szCs w:val="21"/>
              </w:rPr>
            </w:pPr>
            <w:r>
              <w:rPr>
                <w:rFonts w:hint="eastAsia"/>
                <w:color w:val="000000" w:themeColor="text1"/>
                <w:szCs w:val="21"/>
              </w:rPr>
              <w:t>武穴市世纪江城A栋1702室</w:t>
            </w:r>
          </w:p>
        </w:tc>
        <w:tc>
          <w:tcPr>
            <w:tcW w:w="1608" w:type="dxa"/>
            <w:vAlign w:val="center"/>
          </w:tcPr>
          <w:p>
            <w:pPr>
              <w:jc w:val="center"/>
              <w:rPr>
                <w:color w:val="000000" w:themeColor="text1"/>
                <w:szCs w:val="21"/>
              </w:rPr>
            </w:pPr>
            <w:r>
              <w:rPr>
                <w:color w:val="000000" w:themeColor="text1"/>
                <w:szCs w:val="21"/>
              </w:rPr>
              <w:t>未办理，产权数据来源于《预告登记信息》</w:t>
            </w:r>
          </w:p>
        </w:tc>
        <w:tc>
          <w:tcPr>
            <w:tcW w:w="850" w:type="dxa"/>
            <w:vAlign w:val="center"/>
          </w:tcPr>
          <w:p>
            <w:pPr>
              <w:jc w:val="center"/>
              <w:rPr>
                <w:color w:val="000000" w:themeColor="text1"/>
                <w:szCs w:val="21"/>
              </w:rPr>
            </w:pPr>
            <w:r>
              <w:rPr>
                <w:color w:val="000000" w:themeColor="text1"/>
                <w:szCs w:val="21"/>
              </w:rPr>
              <w:t>2010</w:t>
            </w:r>
          </w:p>
        </w:tc>
        <w:tc>
          <w:tcPr>
            <w:tcW w:w="709" w:type="dxa"/>
            <w:vAlign w:val="center"/>
          </w:tcPr>
          <w:p>
            <w:pPr>
              <w:jc w:val="center"/>
              <w:rPr>
                <w:color w:val="000000" w:themeColor="text1"/>
                <w:szCs w:val="21"/>
              </w:rPr>
            </w:pPr>
            <w:r>
              <w:rPr>
                <w:rFonts w:hint="eastAsia"/>
                <w:color w:val="000000" w:themeColor="text1"/>
                <w:szCs w:val="21"/>
              </w:rPr>
              <w:t>住宅</w:t>
            </w:r>
          </w:p>
        </w:tc>
        <w:tc>
          <w:tcPr>
            <w:tcW w:w="709" w:type="dxa"/>
            <w:vAlign w:val="center"/>
          </w:tcPr>
          <w:p>
            <w:pPr>
              <w:jc w:val="center"/>
              <w:rPr>
                <w:color w:val="000000" w:themeColor="text1"/>
                <w:szCs w:val="21"/>
              </w:rPr>
            </w:pPr>
            <w:r>
              <w:rPr>
                <w:rFonts w:hint="eastAsia"/>
                <w:color w:val="000000" w:themeColor="text1"/>
                <w:szCs w:val="21"/>
              </w:rPr>
              <w:t>住宅用地</w:t>
            </w:r>
          </w:p>
        </w:tc>
        <w:tc>
          <w:tcPr>
            <w:tcW w:w="850" w:type="dxa"/>
            <w:vAlign w:val="center"/>
          </w:tcPr>
          <w:p>
            <w:pPr>
              <w:jc w:val="center"/>
              <w:rPr>
                <w:color w:val="000000" w:themeColor="text1"/>
                <w:szCs w:val="21"/>
              </w:rPr>
            </w:pPr>
            <w:r>
              <w:rPr>
                <w:rFonts w:hint="eastAsia"/>
                <w:color w:val="000000" w:themeColor="text1"/>
                <w:szCs w:val="21"/>
              </w:rPr>
              <w:t>147.95</w:t>
            </w:r>
          </w:p>
        </w:tc>
        <w:tc>
          <w:tcPr>
            <w:tcW w:w="851" w:type="dxa"/>
            <w:vAlign w:val="center"/>
          </w:tcPr>
          <w:p>
            <w:pPr>
              <w:jc w:val="center"/>
              <w:rPr>
                <w:color w:val="000000" w:themeColor="text1"/>
                <w:szCs w:val="21"/>
              </w:rPr>
            </w:pPr>
            <w:r>
              <w:rPr>
                <w:rFonts w:hint="eastAsia"/>
                <w:color w:val="000000" w:themeColor="text1"/>
                <w:szCs w:val="21"/>
              </w:rPr>
              <w:t>200</w:t>
            </w:r>
          </w:p>
        </w:tc>
        <w:tc>
          <w:tcPr>
            <w:tcW w:w="1077" w:type="dxa"/>
            <w:vAlign w:val="center"/>
          </w:tcPr>
          <w:p>
            <w:pPr>
              <w:jc w:val="center"/>
              <w:rPr>
                <w:szCs w:val="21"/>
              </w:rPr>
            </w:pPr>
            <w:r>
              <w:rPr>
                <w:szCs w:val="21"/>
              </w:rPr>
              <w:t>至</w:t>
            </w:r>
            <w:r>
              <w:rPr>
                <w:rFonts w:hint="eastAsia"/>
                <w:szCs w:val="21"/>
              </w:rPr>
              <w:t>2048年11月06日</w:t>
            </w:r>
          </w:p>
        </w:tc>
      </w:tr>
    </w:tbl>
    <w:p>
      <w:pPr>
        <w:spacing w:line="500" w:lineRule="exact"/>
        <w:ind w:firstLine="551" w:firstLineChars="196"/>
        <w:rPr>
          <w:color w:val="000000" w:themeColor="text1"/>
          <w:sz w:val="28"/>
          <w:szCs w:val="28"/>
        </w:rPr>
      </w:pPr>
      <w:r>
        <w:rPr>
          <w:b/>
          <w:color w:val="000000" w:themeColor="text1"/>
          <w:sz w:val="28"/>
          <w:szCs w:val="28"/>
        </w:rPr>
        <w:t>估价目的：</w:t>
      </w:r>
      <w:r>
        <w:rPr>
          <w:sz w:val="28"/>
          <w:szCs w:val="28"/>
        </w:rPr>
        <w:t>为</w:t>
      </w:r>
      <w:r>
        <w:rPr>
          <w:rFonts w:hint="eastAsia"/>
          <w:sz w:val="28"/>
          <w:szCs w:val="28"/>
        </w:rPr>
        <w:t>人民法院确定财产处置参考价提供参考依据</w:t>
      </w:r>
      <w:r>
        <w:rPr>
          <w:color w:val="000000" w:themeColor="text1"/>
          <w:spacing w:val="-8"/>
          <w:sz w:val="28"/>
          <w:szCs w:val="28"/>
        </w:rPr>
        <w:t>。</w:t>
      </w:r>
    </w:p>
    <w:p>
      <w:pPr>
        <w:spacing w:line="500" w:lineRule="exact"/>
        <w:ind w:firstLine="562" w:firstLineChars="200"/>
        <w:rPr>
          <w:sz w:val="28"/>
          <w:szCs w:val="28"/>
        </w:rPr>
      </w:pPr>
      <w:r>
        <w:rPr>
          <w:b/>
          <w:sz w:val="28"/>
          <w:szCs w:val="28"/>
        </w:rPr>
        <w:t>价值时点</w:t>
      </w:r>
      <w:r>
        <w:rPr>
          <w:sz w:val="28"/>
          <w:szCs w:val="28"/>
        </w:rPr>
        <w:t>：</w:t>
      </w:r>
      <w:r>
        <w:rPr>
          <w:rFonts w:hint="eastAsia"/>
          <w:sz w:val="28"/>
          <w:szCs w:val="28"/>
        </w:rPr>
        <w:t>2020年</w:t>
      </w:r>
      <w:r>
        <w:rPr>
          <w:sz w:val="28"/>
          <w:szCs w:val="28"/>
        </w:rPr>
        <w:t>09</w:t>
      </w:r>
      <w:r>
        <w:rPr>
          <w:rFonts w:hint="eastAsia"/>
          <w:sz w:val="28"/>
          <w:szCs w:val="28"/>
        </w:rPr>
        <w:t>月</w:t>
      </w:r>
      <w:r>
        <w:rPr>
          <w:sz w:val="28"/>
          <w:szCs w:val="28"/>
        </w:rPr>
        <w:t>25</w:t>
      </w:r>
      <w:r>
        <w:rPr>
          <w:rFonts w:hint="eastAsia"/>
          <w:sz w:val="28"/>
          <w:szCs w:val="28"/>
        </w:rPr>
        <w:t>日</w:t>
      </w:r>
      <w:r>
        <w:rPr>
          <w:sz w:val="28"/>
          <w:szCs w:val="28"/>
        </w:rPr>
        <w:t>。</w:t>
      </w:r>
    </w:p>
    <w:p>
      <w:pPr>
        <w:spacing w:line="500" w:lineRule="exact"/>
        <w:ind w:firstLine="562" w:firstLineChars="200"/>
        <w:rPr>
          <w:b/>
          <w:color w:val="000000" w:themeColor="text1"/>
          <w:sz w:val="28"/>
          <w:szCs w:val="28"/>
        </w:rPr>
      </w:pPr>
      <w:r>
        <w:rPr>
          <w:b/>
          <w:color w:val="000000" w:themeColor="text1"/>
          <w:sz w:val="28"/>
          <w:szCs w:val="28"/>
        </w:rPr>
        <w:t>价值类型：</w:t>
      </w:r>
      <w:r>
        <w:rPr>
          <w:rFonts w:hint="eastAsia" w:hAnsi="宋体"/>
          <w:color w:val="000000" w:themeColor="text1"/>
          <w:sz w:val="28"/>
          <w:szCs w:val="28"/>
        </w:rPr>
        <w:t>此次评估的价值类型为房地产市场价值</w:t>
      </w:r>
      <w:r>
        <w:rPr>
          <w:rFonts w:hAnsi="宋体"/>
          <w:color w:val="000000" w:themeColor="text1"/>
          <w:sz w:val="28"/>
          <w:szCs w:val="28"/>
        </w:rPr>
        <w:t>。</w:t>
      </w:r>
    </w:p>
    <w:p>
      <w:pPr>
        <w:spacing w:line="500" w:lineRule="exact"/>
        <w:ind w:firstLine="562" w:firstLineChars="200"/>
        <w:rPr>
          <w:color w:val="000000" w:themeColor="text1"/>
          <w:sz w:val="28"/>
          <w:szCs w:val="28"/>
        </w:rPr>
      </w:pPr>
      <w:r>
        <w:rPr>
          <w:b/>
          <w:sz w:val="28"/>
          <w:szCs w:val="28"/>
        </w:rPr>
        <w:t>估价结果：</w:t>
      </w:r>
      <w:r>
        <w:rPr>
          <w:color w:val="000000" w:themeColor="text1"/>
          <w:sz w:val="28"/>
          <w:szCs w:val="28"/>
        </w:rPr>
        <w:t>估价人员根据特定的估价目的，遵循公认的估价原则，按照严谨的估价程序，选用</w:t>
      </w:r>
      <w:r>
        <w:rPr>
          <w:rFonts w:hint="eastAsia"/>
          <w:color w:val="000000" w:themeColor="text1"/>
          <w:sz w:val="28"/>
          <w:szCs w:val="28"/>
        </w:rPr>
        <w:t>市场比较法、收益法</w:t>
      </w:r>
      <w:r>
        <w:rPr>
          <w:color w:val="000000" w:themeColor="text1"/>
          <w:sz w:val="28"/>
          <w:szCs w:val="28"/>
        </w:rPr>
        <w:t>，在对影响估价对象价值因素进行综合分析的基础上，通过测算和判断确定估价对象在价值时点</w:t>
      </w:r>
      <w:r>
        <w:rPr>
          <w:color w:val="000000" w:themeColor="text1"/>
          <w:spacing w:val="-4"/>
          <w:sz w:val="28"/>
          <w:szCs w:val="28"/>
        </w:rPr>
        <w:t>满足本次估价的全部假设与限制条件下估价结果为</w:t>
      </w:r>
      <w:r>
        <w:rPr>
          <w:b/>
          <w:color w:val="000000" w:themeColor="text1"/>
          <w:sz w:val="28"/>
          <w:szCs w:val="28"/>
        </w:rPr>
        <w:t>RMB90.04万元，</w:t>
      </w:r>
      <w:r>
        <w:rPr>
          <w:color w:val="000000" w:themeColor="text1"/>
          <w:sz w:val="28"/>
          <w:szCs w:val="28"/>
        </w:rPr>
        <w:t>大写金额（人民币）：</w:t>
      </w:r>
      <w:r>
        <w:rPr>
          <w:b/>
          <w:color w:val="000000" w:themeColor="text1"/>
          <w:sz w:val="28"/>
          <w:szCs w:val="28"/>
        </w:rPr>
        <w:t>玖拾万零肆佰</w:t>
      </w:r>
      <w:r>
        <w:rPr>
          <w:rFonts w:hint="eastAsia"/>
          <w:b/>
          <w:color w:val="000000" w:themeColor="text1"/>
          <w:sz w:val="28"/>
          <w:szCs w:val="28"/>
        </w:rPr>
        <w:t>元整</w:t>
      </w:r>
      <w:r>
        <w:rPr>
          <w:color w:val="000000" w:themeColor="text1"/>
          <w:sz w:val="28"/>
          <w:szCs w:val="28"/>
        </w:rPr>
        <w:t>。评估单价为6086元/㎡。详见下表：</w:t>
      </w:r>
    </w:p>
    <w:tbl>
      <w:tblPr>
        <w:tblStyle w:val="26"/>
        <w:tblW w:w="7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140"/>
        <w:gridCol w:w="1270"/>
        <w:gridCol w:w="1276"/>
        <w:gridCol w:w="851"/>
        <w:gridCol w:w="1128"/>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943" w:type="dxa"/>
            <w:vAlign w:val="center"/>
          </w:tcPr>
          <w:p>
            <w:pPr>
              <w:jc w:val="center"/>
              <w:rPr>
                <w:color w:val="000000" w:themeColor="text1"/>
                <w:szCs w:val="21"/>
              </w:rPr>
            </w:pPr>
            <w:r>
              <w:rPr>
                <w:color w:val="000000" w:themeColor="text1"/>
                <w:szCs w:val="21"/>
              </w:rPr>
              <w:t>房地产权利人</w:t>
            </w:r>
          </w:p>
        </w:tc>
        <w:tc>
          <w:tcPr>
            <w:tcW w:w="1140" w:type="dxa"/>
            <w:vAlign w:val="center"/>
          </w:tcPr>
          <w:p>
            <w:pPr>
              <w:jc w:val="center"/>
              <w:rPr>
                <w:color w:val="000000" w:themeColor="text1"/>
                <w:szCs w:val="21"/>
              </w:rPr>
            </w:pPr>
            <w:r>
              <w:rPr>
                <w:color w:val="000000" w:themeColor="text1"/>
                <w:szCs w:val="21"/>
              </w:rPr>
              <w:t>建筑</w:t>
            </w:r>
          </w:p>
          <w:p>
            <w:pPr>
              <w:jc w:val="center"/>
              <w:rPr>
                <w:color w:val="000000" w:themeColor="text1"/>
                <w:szCs w:val="21"/>
              </w:rPr>
            </w:pPr>
            <w:r>
              <w:rPr>
                <w:color w:val="000000" w:themeColor="text1"/>
                <w:szCs w:val="21"/>
              </w:rPr>
              <w:t>面积（㎡）</w:t>
            </w:r>
          </w:p>
        </w:tc>
        <w:tc>
          <w:tcPr>
            <w:tcW w:w="1270" w:type="dxa"/>
            <w:vAlign w:val="center"/>
          </w:tcPr>
          <w:p>
            <w:pPr>
              <w:jc w:val="center"/>
              <w:rPr>
                <w:color w:val="000000" w:themeColor="text1"/>
                <w:szCs w:val="21"/>
              </w:rPr>
            </w:pPr>
            <w:r>
              <w:rPr>
                <w:color w:val="000000" w:themeColor="text1"/>
                <w:szCs w:val="21"/>
              </w:rPr>
              <w:t>分摊土地面积（㎡）</w:t>
            </w:r>
          </w:p>
        </w:tc>
        <w:tc>
          <w:tcPr>
            <w:tcW w:w="1276" w:type="dxa"/>
            <w:vAlign w:val="center"/>
          </w:tcPr>
          <w:p>
            <w:pPr>
              <w:jc w:val="center"/>
              <w:rPr>
                <w:color w:val="000000" w:themeColor="text1"/>
                <w:szCs w:val="21"/>
              </w:rPr>
            </w:pPr>
            <w:r>
              <w:rPr>
                <w:rFonts w:hint="eastAsia"/>
                <w:color w:val="000000" w:themeColor="text1"/>
                <w:szCs w:val="21"/>
              </w:rPr>
              <w:t>房地产用途</w:t>
            </w:r>
          </w:p>
        </w:tc>
        <w:tc>
          <w:tcPr>
            <w:tcW w:w="851" w:type="dxa"/>
            <w:vAlign w:val="center"/>
          </w:tcPr>
          <w:p>
            <w:pPr>
              <w:jc w:val="center"/>
              <w:rPr>
                <w:color w:val="000000" w:themeColor="text1"/>
                <w:szCs w:val="21"/>
              </w:rPr>
            </w:pPr>
            <w:r>
              <w:rPr>
                <w:rFonts w:hint="eastAsia"/>
                <w:color w:val="000000" w:themeColor="text1"/>
                <w:szCs w:val="21"/>
              </w:rPr>
              <w:t>建成年份（年）</w:t>
            </w:r>
          </w:p>
        </w:tc>
        <w:tc>
          <w:tcPr>
            <w:tcW w:w="1128" w:type="dxa"/>
            <w:vAlign w:val="center"/>
          </w:tcPr>
          <w:p>
            <w:pPr>
              <w:jc w:val="center"/>
              <w:rPr>
                <w:color w:val="000000" w:themeColor="text1"/>
                <w:szCs w:val="21"/>
              </w:rPr>
            </w:pPr>
            <w:r>
              <w:rPr>
                <w:rFonts w:hint="eastAsia"/>
                <w:color w:val="000000" w:themeColor="text1"/>
                <w:szCs w:val="21"/>
              </w:rPr>
              <w:t>单价</w:t>
            </w:r>
          </w:p>
          <w:p>
            <w:pPr>
              <w:jc w:val="center"/>
              <w:rPr>
                <w:color w:val="000000" w:themeColor="text1"/>
                <w:szCs w:val="21"/>
              </w:rPr>
            </w:pPr>
            <w:r>
              <w:rPr>
                <w:color w:val="000000" w:themeColor="text1"/>
                <w:szCs w:val="21"/>
              </w:rPr>
              <w:t>（</w:t>
            </w:r>
            <w:r>
              <w:rPr>
                <w:rFonts w:hint="eastAsia"/>
                <w:color w:val="000000" w:themeColor="text1"/>
                <w:szCs w:val="21"/>
              </w:rPr>
              <w:t>元/㎡）</w:t>
            </w:r>
          </w:p>
        </w:tc>
        <w:tc>
          <w:tcPr>
            <w:tcW w:w="1140" w:type="dxa"/>
            <w:vAlign w:val="center"/>
          </w:tcPr>
          <w:p>
            <w:pPr>
              <w:jc w:val="center"/>
              <w:rPr>
                <w:color w:val="000000" w:themeColor="text1"/>
                <w:szCs w:val="21"/>
              </w:rPr>
            </w:pPr>
            <w:r>
              <w:rPr>
                <w:rFonts w:hint="eastAsia"/>
                <w:color w:val="000000" w:themeColor="text1"/>
                <w:szCs w:val="21"/>
              </w:rPr>
              <w:t>总价</w:t>
            </w:r>
          </w:p>
          <w:p>
            <w:pPr>
              <w:jc w:val="center"/>
              <w:rPr>
                <w:color w:val="000000" w:themeColor="text1"/>
                <w:szCs w:val="21"/>
              </w:rPr>
            </w:pPr>
            <w:r>
              <w:rPr>
                <w:color w:val="000000" w:themeColor="text1"/>
                <w:szCs w:val="21"/>
              </w:rPr>
              <w:t>（万元</w:t>
            </w: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43" w:type="dxa"/>
            <w:vAlign w:val="center"/>
          </w:tcPr>
          <w:p>
            <w:pPr>
              <w:spacing w:line="240" w:lineRule="atLeast"/>
              <w:jc w:val="center"/>
              <w:rPr>
                <w:color w:val="000000" w:themeColor="text1"/>
                <w:szCs w:val="21"/>
              </w:rPr>
            </w:pPr>
            <w:r>
              <w:rPr>
                <w:color w:val="000000" w:themeColor="text1"/>
                <w:szCs w:val="21"/>
              </w:rPr>
              <w:t>何丽军宋焕玲</w:t>
            </w:r>
          </w:p>
        </w:tc>
        <w:tc>
          <w:tcPr>
            <w:tcW w:w="1140" w:type="dxa"/>
            <w:vAlign w:val="center"/>
          </w:tcPr>
          <w:p>
            <w:pPr>
              <w:spacing w:line="240" w:lineRule="atLeast"/>
              <w:jc w:val="center"/>
              <w:rPr>
                <w:color w:val="000000" w:themeColor="text1"/>
                <w:szCs w:val="21"/>
              </w:rPr>
            </w:pPr>
            <w:r>
              <w:rPr>
                <w:color w:val="000000" w:themeColor="text1"/>
                <w:szCs w:val="21"/>
              </w:rPr>
              <w:t>147.95</w:t>
            </w:r>
          </w:p>
        </w:tc>
        <w:tc>
          <w:tcPr>
            <w:tcW w:w="1270" w:type="dxa"/>
            <w:vAlign w:val="center"/>
          </w:tcPr>
          <w:p>
            <w:pPr>
              <w:spacing w:line="240" w:lineRule="atLeast"/>
              <w:jc w:val="center"/>
              <w:rPr>
                <w:color w:val="000000" w:themeColor="text1"/>
                <w:szCs w:val="21"/>
              </w:rPr>
            </w:pPr>
            <w:r>
              <w:rPr>
                <w:color w:val="000000" w:themeColor="text1"/>
                <w:szCs w:val="21"/>
              </w:rPr>
              <w:t>/</w:t>
            </w:r>
          </w:p>
        </w:tc>
        <w:tc>
          <w:tcPr>
            <w:tcW w:w="1276" w:type="dxa"/>
            <w:vAlign w:val="center"/>
          </w:tcPr>
          <w:p>
            <w:pPr>
              <w:spacing w:line="240" w:lineRule="atLeast"/>
              <w:jc w:val="center"/>
              <w:rPr>
                <w:color w:val="000000" w:themeColor="text1"/>
                <w:szCs w:val="21"/>
              </w:rPr>
            </w:pPr>
            <w:r>
              <w:rPr>
                <w:rFonts w:hint="eastAsia"/>
                <w:color w:val="000000" w:themeColor="text1"/>
                <w:szCs w:val="21"/>
              </w:rPr>
              <w:t>住宅/住宅用地</w:t>
            </w:r>
          </w:p>
        </w:tc>
        <w:tc>
          <w:tcPr>
            <w:tcW w:w="851" w:type="dxa"/>
            <w:vAlign w:val="center"/>
          </w:tcPr>
          <w:p>
            <w:pPr>
              <w:spacing w:line="240" w:lineRule="atLeast"/>
              <w:jc w:val="center"/>
              <w:rPr>
                <w:color w:val="000000" w:themeColor="text1"/>
                <w:szCs w:val="21"/>
              </w:rPr>
            </w:pPr>
            <w:r>
              <w:rPr>
                <w:color w:val="000000" w:themeColor="text1"/>
                <w:szCs w:val="21"/>
              </w:rPr>
              <w:t>2010</w:t>
            </w:r>
          </w:p>
        </w:tc>
        <w:tc>
          <w:tcPr>
            <w:tcW w:w="1128" w:type="dxa"/>
            <w:vAlign w:val="center"/>
          </w:tcPr>
          <w:p>
            <w:pPr>
              <w:spacing w:line="240" w:lineRule="atLeast"/>
              <w:jc w:val="center"/>
              <w:rPr>
                <w:color w:val="000000" w:themeColor="text1"/>
                <w:szCs w:val="21"/>
              </w:rPr>
            </w:pPr>
            <w:r>
              <w:rPr>
                <w:color w:val="000000" w:themeColor="text1"/>
                <w:szCs w:val="21"/>
              </w:rPr>
              <w:t>6086</w:t>
            </w:r>
          </w:p>
        </w:tc>
        <w:tc>
          <w:tcPr>
            <w:tcW w:w="1140" w:type="dxa"/>
            <w:vAlign w:val="center"/>
          </w:tcPr>
          <w:p>
            <w:pPr>
              <w:spacing w:line="240" w:lineRule="atLeast"/>
              <w:jc w:val="center"/>
              <w:rPr>
                <w:color w:val="000000" w:themeColor="text1"/>
                <w:szCs w:val="21"/>
              </w:rPr>
            </w:pPr>
            <w:r>
              <w:rPr>
                <w:color w:val="000000" w:themeColor="text1"/>
                <w:szCs w:val="21"/>
              </w:rPr>
              <w:t>90.04</w:t>
            </w:r>
          </w:p>
        </w:tc>
      </w:tr>
    </w:tbl>
    <w:p>
      <w:pPr>
        <w:widowControl/>
        <w:jc w:val="left"/>
        <w:rPr>
          <w:rFonts w:eastAsia="黑体"/>
          <w:b/>
          <w:sz w:val="44"/>
          <w:szCs w:val="44"/>
        </w:rPr>
      </w:pPr>
    </w:p>
    <w:p>
      <w:pPr>
        <w:spacing w:line="500" w:lineRule="exact"/>
        <w:ind w:firstLine="560" w:firstLineChars="200"/>
        <w:rPr>
          <w:b/>
          <w:color w:val="000000" w:themeColor="text1"/>
          <w:sz w:val="28"/>
          <w:szCs w:val="28"/>
        </w:rPr>
      </w:pPr>
      <w:r>
        <w:rPr>
          <w:color w:val="000000" w:themeColor="text1"/>
          <w:sz w:val="28"/>
          <w:szCs w:val="28"/>
        </w:rPr>
        <w:t>使用本报告注意事项：</w:t>
      </w:r>
    </w:p>
    <w:p>
      <w:pPr>
        <w:spacing w:line="500" w:lineRule="exact"/>
        <w:ind w:firstLine="645"/>
        <w:rPr>
          <w:color w:val="000000" w:themeColor="text1"/>
          <w:sz w:val="28"/>
          <w:szCs w:val="28"/>
        </w:rPr>
      </w:pPr>
      <w:r>
        <w:rPr>
          <w:color w:val="000000" w:themeColor="text1"/>
          <w:sz w:val="28"/>
          <w:szCs w:val="28"/>
        </w:rPr>
        <w:t>1、</w:t>
      </w:r>
      <w:r>
        <w:rPr>
          <w:rFonts w:hint="eastAsia"/>
          <w:sz w:val="28"/>
          <w:szCs w:val="28"/>
        </w:rPr>
        <w:t>本估价报告仅为人民法院确定财产处置参考价提供参考依据，不作其他用</w:t>
      </w:r>
      <w:r>
        <w:rPr>
          <w:color w:val="000000" w:themeColor="text1"/>
          <w:sz w:val="28"/>
          <w:szCs w:val="28"/>
        </w:rPr>
        <w:t>途。</w:t>
      </w:r>
    </w:p>
    <w:p>
      <w:pPr>
        <w:spacing w:line="500" w:lineRule="exact"/>
        <w:ind w:firstLine="645"/>
        <w:rPr>
          <w:color w:val="000000" w:themeColor="text1"/>
          <w:sz w:val="28"/>
          <w:szCs w:val="28"/>
        </w:rPr>
      </w:pPr>
      <w:r>
        <w:rPr>
          <w:color w:val="000000" w:themeColor="text1"/>
          <w:sz w:val="28"/>
          <w:szCs w:val="28"/>
        </w:rPr>
        <w:t>2、委托方必须完整使用本报告，对仅使用报告中的部分内容或片面使用而导致的损失，本估价机构不承担责任。</w:t>
      </w:r>
    </w:p>
    <w:p>
      <w:pPr>
        <w:spacing w:line="500" w:lineRule="exact"/>
        <w:ind w:firstLine="645"/>
        <w:rPr>
          <w:color w:val="000000" w:themeColor="text1"/>
          <w:sz w:val="28"/>
          <w:szCs w:val="28"/>
        </w:rPr>
      </w:pPr>
      <w:r>
        <w:rPr>
          <w:color w:val="000000" w:themeColor="text1"/>
          <w:sz w:val="28"/>
          <w:szCs w:val="28"/>
        </w:rPr>
        <w:t>3、本估价报告有效期至</w:t>
      </w:r>
      <w:r>
        <w:rPr>
          <w:rFonts w:hint="eastAsia"/>
          <w:color w:val="000000" w:themeColor="text1"/>
          <w:sz w:val="28"/>
          <w:szCs w:val="28"/>
        </w:rPr>
        <w:t>20</w:t>
      </w:r>
      <w:r>
        <w:rPr>
          <w:color w:val="000000" w:themeColor="text1"/>
          <w:sz w:val="28"/>
          <w:szCs w:val="28"/>
        </w:rPr>
        <w:t>21</w:t>
      </w:r>
      <w:r>
        <w:rPr>
          <w:rFonts w:hint="eastAsia"/>
          <w:color w:val="000000" w:themeColor="text1"/>
          <w:sz w:val="28"/>
          <w:szCs w:val="28"/>
        </w:rPr>
        <w:t>年</w:t>
      </w:r>
      <w:r>
        <w:rPr>
          <w:sz w:val="28"/>
          <w:szCs w:val="28"/>
        </w:rPr>
        <w:t>10</w:t>
      </w:r>
      <w:r>
        <w:rPr>
          <w:rFonts w:hint="eastAsia"/>
          <w:sz w:val="28"/>
          <w:szCs w:val="28"/>
        </w:rPr>
        <w:t>月</w:t>
      </w:r>
      <w:r>
        <w:rPr>
          <w:sz w:val="28"/>
          <w:szCs w:val="28"/>
        </w:rPr>
        <w:t>29</w:t>
      </w:r>
      <w:r>
        <w:rPr>
          <w:rFonts w:hint="eastAsia"/>
          <w:sz w:val="28"/>
          <w:szCs w:val="28"/>
        </w:rPr>
        <w:t>日</w:t>
      </w:r>
      <w:r>
        <w:rPr>
          <w:sz w:val="28"/>
          <w:szCs w:val="28"/>
        </w:rPr>
        <w:t>止</w:t>
      </w:r>
      <w:r>
        <w:rPr>
          <w:color w:val="000000" w:themeColor="text1"/>
          <w:sz w:val="28"/>
          <w:szCs w:val="28"/>
        </w:rPr>
        <w:t>，报告使用人必须在有效期内使用</w:t>
      </w:r>
      <w:r>
        <w:rPr>
          <w:rFonts w:hint="eastAsia"/>
          <w:color w:val="000000" w:themeColor="text1"/>
          <w:sz w:val="28"/>
          <w:szCs w:val="28"/>
        </w:rPr>
        <w:t>，在估价结果有效期内，评估对象状况或者房地产市场发生明显变化的，评估结果应当进行相应调整</w:t>
      </w:r>
      <w:r>
        <w:rPr>
          <w:color w:val="000000" w:themeColor="text1"/>
          <w:sz w:val="28"/>
          <w:szCs w:val="28"/>
        </w:rPr>
        <w:t>。</w:t>
      </w:r>
    </w:p>
    <w:p>
      <w:pPr>
        <w:spacing w:line="500" w:lineRule="exact"/>
        <w:ind w:firstLine="645"/>
        <w:rPr>
          <w:color w:val="000000" w:themeColor="text1"/>
          <w:sz w:val="28"/>
          <w:szCs w:val="28"/>
        </w:rPr>
      </w:pPr>
      <w:r>
        <w:rPr>
          <w:rFonts w:hint="eastAsia"/>
          <w:color w:val="000000" w:themeColor="text1"/>
          <w:sz w:val="28"/>
          <w:szCs w:val="28"/>
        </w:rPr>
        <w:t>4、财产拍卖（或者变卖）日期与评估报告载明的价值时点不一致的，评估对象状况或者房地产市场状况的变化会对估价结果产生影响。</w:t>
      </w:r>
    </w:p>
    <w:p>
      <w:pPr>
        <w:spacing w:line="500" w:lineRule="exact"/>
        <w:ind w:firstLine="645"/>
        <w:rPr>
          <w:color w:val="000000" w:themeColor="text1"/>
          <w:sz w:val="28"/>
          <w:szCs w:val="28"/>
        </w:rPr>
      </w:pPr>
      <w:r>
        <w:rPr>
          <w:rFonts w:hint="eastAsia"/>
          <w:color w:val="000000" w:themeColor="text1"/>
          <w:sz w:val="28"/>
          <w:szCs w:val="28"/>
        </w:rPr>
        <w:t>5、委托人或者评估报告使用人应当按照法律规定和评估报告载明的使用范围使用评估报告，违反该规定使用评估报告的，本机构和注册房地产估价师依法不承担责任。</w:t>
      </w:r>
    </w:p>
    <w:p>
      <w:pPr>
        <w:spacing w:line="500" w:lineRule="exact"/>
        <w:ind w:firstLine="645"/>
        <w:rPr>
          <w:color w:val="000000" w:themeColor="text1"/>
          <w:sz w:val="28"/>
          <w:szCs w:val="28"/>
        </w:rPr>
      </w:pPr>
      <w:r>
        <w:rPr>
          <w:color w:val="000000" w:themeColor="text1"/>
          <w:sz w:val="28"/>
          <w:szCs w:val="28"/>
        </w:rPr>
        <w:t>6、</w:t>
      </w:r>
      <w:r>
        <w:rPr>
          <w:rFonts w:hint="eastAsia"/>
          <w:color w:val="000000" w:themeColor="text1"/>
          <w:sz w:val="28"/>
          <w:szCs w:val="28"/>
        </w:rPr>
        <w:t>本报告估价结果不等同于估价对象处置可实现的成交价，不应被认为是对估价对象处置成交价的保证</w:t>
      </w:r>
      <w:r>
        <w:rPr>
          <w:color w:val="000000" w:themeColor="text1"/>
          <w:sz w:val="28"/>
          <w:szCs w:val="28"/>
        </w:rPr>
        <w:t>。</w:t>
      </w:r>
    </w:p>
    <w:p>
      <w:pPr>
        <w:spacing w:line="500" w:lineRule="exact"/>
        <w:ind w:firstLine="646"/>
        <w:rPr>
          <w:color w:val="000000" w:themeColor="text1"/>
          <w:sz w:val="28"/>
          <w:szCs w:val="28"/>
        </w:rPr>
      </w:pPr>
      <w:r>
        <w:rPr>
          <w:color w:val="000000" w:themeColor="text1"/>
          <w:sz w:val="28"/>
          <w:szCs w:val="28"/>
        </w:rPr>
        <w:t>7、委托方若对估价报告结果有疑问，可以向本公司查询。若对本估价报告有异议的，可在收到本估价报告5日内向估价机构咨询或书面申请复估，或在签收本估价报告15日内向本市房地产估价师协会专家委员会申请鉴定。</w:t>
      </w:r>
    </w:p>
    <w:p>
      <w:pPr>
        <w:spacing w:line="500" w:lineRule="exact"/>
        <w:ind w:firstLine="645"/>
        <w:rPr>
          <w:color w:val="000000" w:themeColor="text1"/>
          <w:sz w:val="28"/>
          <w:szCs w:val="28"/>
        </w:rPr>
      </w:pPr>
      <w:r>
        <w:rPr>
          <w:color w:val="000000" w:themeColor="text1"/>
          <w:sz w:val="28"/>
          <w:szCs w:val="28"/>
        </w:rPr>
        <w:t>8、</w:t>
      </w:r>
      <w:r>
        <w:rPr>
          <w:color w:val="000000" w:themeColor="text1"/>
          <w:spacing w:val="-10"/>
          <w:sz w:val="28"/>
          <w:szCs w:val="28"/>
        </w:rPr>
        <w:t>本报告的最终解释权归黄冈市海正房地产评估有限公司所有。</w:t>
      </w:r>
    </w:p>
    <w:p>
      <w:pPr>
        <w:spacing w:line="500" w:lineRule="exact"/>
        <w:ind w:firstLine="560" w:firstLineChars="200"/>
        <w:rPr>
          <w:color w:val="000000" w:themeColor="text1"/>
          <w:sz w:val="28"/>
          <w:szCs w:val="28"/>
        </w:rPr>
      </w:pPr>
      <w:r>
        <w:rPr>
          <w:color w:val="000000" w:themeColor="text1"/>
          <w:sz w:val="28"/>
          <w:szCs w:val="28"/>
        </w:rPr>
        <w:t>特此奉达！</w:t>
      </w:r>
    </w:p>
    <w:p>
      <w:pPr>
        <w:tabs>
          <w:tab w:val="left" w:pos="720"/>
        </w:tabs>
        <w:spacing w:line="500" w:lineRule="exact"/>
        <w:rPr>
          <w:color w:val="000000" w:themeColor="text1"/>
          <w:sz w:val="28"/>
          <w:szCs w:val="28"/>
        </w:rPr>
      </w:pPr>
    </w:p>
    <w:p>
      <w:pPr>
        <w:spacing w:line="500" w:lineRule="exact"/>
        <w:ind w:firstLine="6720" w:firstLineChars="2400"/>
        <w:rPr>
          <w:color w:val="000000" w:themeColor="text1"/>
          <w:sz w:val="28"/>
          <w:szCs w:val="28"/>
        </w:rPr>
      </w:pPr>
      <w:r>
        <w:rPr>
          <w:color w:val="000000" w:themeColor="text1"/>
          <w:sz w:val="28"/>
          <w:szCs w:val="28"/>
        </w:rPr>
        <w:t>法定代表人：</w:t>
      </w:r>
    </w:p>
    <w:p>
      <w:pPr>
        <w:spacing w:line="500" w:lineRule="exact"/>
        <w:jc w:val="center"/>
        <w:rPr>
          <w:sz w:val="28"/>
          <w:szCs w:val="28"/>
        </w:rPr>
      </w:pPr>
      <w:r>
        <w:rPr>
          <w:rFonts w:hint="eastAsia"/>
          <w:color w:val="000000" w:themeColor="text1"/>
          <w:sz w:val="28"/>
          <w:szCs w:val="28"/>
        </w:rPr>
        <w:t xml:space="preserve">                                         二〇二〇年十</w:t>
      </w:r>
      <w:r>
        <w:rPr>
          <w:rFonts w:hint="eastAsia"/>
          <w:sz w:val="28"/>
          <w:szCs w:val="28"/>
        </w:rPr>
        <w:t>月三十日</w:t>
      </w:r>
    </w:p>
    <w:p>
      <w:pPr>
        <w:spacing w:line="500" w:lineRule="exact"/>
        <w:jc w:val="center"/>
        <w:rPr>
          <w:rFonts w:ascii="黑体" w:hAnsi="黑体" w:eastAsia="黑体"/>
          <w:b/>
          <w:color w:val="000000" w:themeColor="text1"/>
          <w:sz w:val="48"/>
          <w:szCs w:val="48"/>
        </w:rPr>
      </w:pPr>
      <w:r>
        <w:rPr>
          <w:color w:val="000000" w:themeColor="text1"/>
          <w:sz w:val="28"/>
          <w:szCs w:val="28"/>
        </w:rPr>
        <w:br w:type="page"/>
      </w:r>
      <w:r>
        <w:rPr>
          <w:rFonts w:ascii="黑体" w:hAnsi="黑体" w:eastAsia="黑体"/>
          <w:b/>
          <w:color w:val="000000" w:themeColor="text1"/>
          <w:sz w:val="48"/>
          <w:szCs w:val="48"/>
        </w:rPr>
        <w:t>目   录</w:t>
      </w:r>
    </w:p>
    <w:p>
      <w:pPr>
        <w:spacing w:line="400" w:lineRule="exact"/>
        <w:jc w:val="center"/>
        <w:rPr>
          <w:rFonts w:eastAsia="黑体"/>
          <w:b/>
          <w:color w:val="000000" w:themeColor="text1"/>
          <w:sz w:val="48"/>
          <w:szCs w:val="48"/>
        </w:rPr>
      </w:pPr>
    </w:p>
    <w:p>
      <w:pPr>
        <w:pStyle w:val="14"/>
        <w:rPr>
          <w:rFonts w:eastAsiaTheme="minorEastAsia"/>
          <w:b w:val="0"/>
          <w:bCs w:val="0"/>
          <w:caps w:val="0"/>
          <w:color w:val="auto"/>
          <w:sz w:val="21"/>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r>
        <w:fldChar w:fldCharType="begin"/>
      </w:r>
      <w:r>
        <w:instrText xml:space="preserve"> HYPERLINK \l "_Toc461629197" </w:instrText>
      </w:r>
      <w:r>
        <w:fldChar w:fldCharType="separate"/>
      </w:r>
      <w:r>
        <w:rPr>
          <w:rStyle w:val="24"/>
          <w:rFonts w:eastAsia="黑体"/>
          <w:u w:val="none"/>
        </w:rPr>
        <w:t>估价师声明</w:t>
      </w:r>
      <w:r>
        <w:rPr>
          <w:b w:val="0"/>
        </w:rPr>
        <w:tab/>
      </w:r>
      <w:r>
        <w:rPr>
          <w:b w:val="0"/>
        </w:rPr>
        <w:fldChar w:fldCharType="begin"/>
      </w:r>
      <w:r>
        <w:rPr>
          <w:b w:val="0"/>
        </w:rPr>
        <w:instrText xml:space="preserve"> PAGEREF _Toc461629197 \h </w:instrText>
      </w:r>
      <w:r>
        <w:rPr>
          <w:b w:val="0"/>
        </w:rPr>
        <w:fldChar w:fldCharType="separate"/>
      </w:r>
      <w:r>
        <w:rPr>
          <w:b w:val="0"/>
        </w:rPr>
        <w:t>6</w:t>
      </w:r>
      <w:r>
        <w:rPr>
          <w:b w:val="0"/>
        </w:rPr>
        <w:fldChar w:fldCharType="end"/>
      </w:r>
      <w:r>
        <w:rPr>
          <w:b w:val="0"/>
        </w:rPr>
        <w:fldChar w:fldCharType="end"/>
      </w:r>
    </w:p>
    <w:p>
      <w:pPr>
        <w:pStyle w:val="14"/>
        <w:rPr>
          <w:rFonts w:eastAsiaTheme="minorEastAsia"/>
          <w:b w:val="0"/>
          <w:bCs w:val="0"/>
          <w:caps w:val="0"/>
          <w:color w:val="auto"/>
          <w:sz w:val="21"/>
          <w:szCs w:val="22"/>
        </w:rPr>
      </w:pPr>
      <w:r>
        <w:fldChar w:fldCharType="begin"/>
      </w:r>
      <w:r>
        <w:instrText xml:space="preserve"> HYPERLINK \l "_Toc461629198" </w:instrText>
      </w:r>
      <w:r>
        <w:fldChar w:fldCharType="separate"/>
      </w:r>
      <w:r>
        <w:rPr>
          <w:rStyle w:val="24"/>
          <w:rFonts w:eastAsia="黑体"/>
          <w:u w:val="none"/>
        </w:rPr>
        <w:t>估价的假设和限制条件</w:t>
      </w:r>
      <w:r>
        <w:rPr>
          <w:b w:val="0"/>
        </w:rPr>
        <w:tab/>
      </w:r>
      <w:r>
        <w:rPr>
          <w:b w:val="0"/>
        </w:rPr>
        <w:fldChar w:fldCharType="begin"/>
      </w:r>
      <w:r>
        <w:rPr>
          <w:b w:val="0"/>
        </w:rPr>
        <w:instrText xml:space="preserve"> PAGEREF _Toc461629198 \h </w:instrText>
      </w:r>
      <w:r>
        <w:rPr>
          <w:b w:val="0"/>
        </w:rPr>
        <w:fldChar w:fldCharType="separate"/>
      </w:r>
      <w:r>
        <w:rPr>
          <w:b w:val="0"/>
        </w:rPr>
        <w:t>7</w:t>
      </w:r>
      <w:r>
        <w:rPr>
          <w:b w:val="0"/>
        </w:rPr>
        <w:fldChar w:fldCharType="end"/>
      </w:r>
      <w:r>
        <w:rPr>
          <w:b w:val="0"/>
        </w:rPr>
        <w:fldChar w:fldCharType="end"/>
      </w:r>
    </w:p>
    <w:p>
      <w:pPr>
        <w:pStyle w:val="14"/>
        <w:rPr>
          <w:rFonts w:eastAsiaTheme="minorEastAsia"/>
          <w:b w:val="0"/>
          <w:bCs w:val="0"/>
          <w:caps w:val="0"/>
          <w:color w:val="auto"/>
          <w:sz w:val="21"/>
          <w:szCs w:val="22"/>
        </w:rPr>
      </w:pPr>
      <w:r>
        <w:fldChar w:fldCharType="begin"/>
      </w:r>
      <w:r>
        <w:instrText xml:space="preserve"> HYPERLINK \l "_Toc461629199" </w:instrText>
      </w:r>
      <w:r>
        <w:fldChar w:fldCharType="separate"/>
      </w:r>
      <w:r>
        <w:rPr>
          <w:rStyle w:val="24"/>
          <w:rFonts w:eastAsia="黑体"/>
          <w:u w:val="none"/>
        </w:rPr>
        <w:t>估价结果报告</w:t>
      </w:r>
      <w:r>
        <w:rPr>
          <w:b w:val="0"/>
        </w:rPr>
        <w:tab/>
      </w:r>
      <w:r>
        <w:rPr>
          <w:b w:val="0"/>
        </w:rPr>
        <w:fldChar w:fldCharType="begin"/>
      </w:r>
      <w:r>
        <w:rPr>
          <w:b w:val="0"/>
        </w:rPr>
        <w:instrText xml:space="preserve"> PAGEREF _Toc461629199 \h </w:instrText>
      </w:r>
      <w:r>
        <w:rPr>
          <w:b w:val="0"/>
        </w:rPr>
        <w:fldChar w:fldCharType="separate"/>
      </w:r>
      <w:r>
        <w:rPr>
          <w:b w:val="0"/>
        </w:rPr>
        <w:t>10</w:t>
      </w:r>
      <w:r>
        <w:rPr>
          <w:b w:val="0"/>
        </w:rPr>
        <w:fldChar w:fldCharType="end"/>
      </w:r>
      <w:r>
        <w:rPr>
          <w:b w:val="0"/>
        </w:rPr>
        <w:fldChar w:fldCharType="end"/>
      </w:r>
    </w:p>
    <w:p>
      <w:pPr>
        <w:pStyle w:val="18"/>
        <w:rPr>
          <w:rFonts w:ascii="Times New Roman" w:hAnsi="Times New Roman" w:eastAsiaTheme="minorEastAsia"/>
          <w:b w:val="0"/>
          <w:smallCaps w:val="0"/>
          <w:sz w:val="21"/>
          <w:szCs w:val="22"/>
        </w:rPr>
      </w:pPr>
      <w:r>
        <w:fldChar w:fldCharType="begin"/>
      </w:r>
      <w:r>
        <w:instrText xml:space="preserve"> HYPERLINK \l "_Toc461629200" </w:instrText>
      </w:r>
      <w:r>
        <w:fldChar w:fldCharType="separate"/>
      </w:r>
      <w:r>
        <w:rPr>
          <w:rStyle w:val="24"/>
          <w:b w:val="0"/>
          <w:u w:val="none"/>
        </w:rPr>
        <w:t>一、</w:t>
      </w:r>
      <w:r>
        <w:rPr>
          <w:rFonts w:ascii="Times New Roman" w:hAnsi="Times New Roman" w:eastAsiaTheme="minorEastAsia"/>
          <w:b w:val="0"/>
          <w:smallCaps w:val="0"/>
          <w:sz w:val="21"/>
          <w:szCs w:val="22"/>
        </w:rPr>
        <w:tab/>
      </w:r>
      <w:r>
        <w:rPr>
          <w:rStyle w:val="24"/>
          <w:b w:val="0"/>
          <w:u w:val="none"/>
        </w:rPr>
        <w:t>估价委托人</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_Toc461629200 \h </w:instrText>
      </w:r>
      <w:r>
        <w:rPr>
          <w:rFonts w:ascii="Times New Roman" w:hAnsi="Times New Roman"/>
          <w:b w:val="0"/>
        </w:rPr>
        <w:fldChar w:fldCharType="separate"/>
      </w:r>
      <w:r>
        <w:rPr>
          <w:rFonts w:ascii="Times New Roman" w:hAnsi="Times New Roman"/>
          <w:b w:val="0"/>
        </w:rPr>
        <w:t>10</w:t>
      </w:r>
      <w:r>
        <w:rPr>
          <w:rFonts w:ascii="Times New Roman" w:hAnsi="Times New Roman"/>
          <w:b w:val="0"/>
        </w:rPr>
        <w:fldChar w:fldCharType="end"/>
      </w:r>
      <w:r>
        <w:rPr>
          <w:rFonts w:ascii="Times New Roman" w:hAnsi="Times New Roman"/>
          <w:b w:val="0"/>
        </w:rPr>
        <w:fldChar w:fldCharType="end"/>
      </w:r>
    </w:p>
    <w:p>
      <w:pPr>
        <w:pStyle w:val="18"/>
        <w:rPr>
          <w:rFonts w:ascii="Times New Roman" w:hAnsi="Times New Roman" w:eastAsiaTheme="minorEastAsia"/>
          <w:b w:val="0"/>
          <w:smallCaps w:val="0"/>
          <w:sz w:val="21"/>
          <w:szCs w:val="22"/>
        </w:rPr>
      </w:pPr>
      <w:r>
        <w:fldChar w:fldCharType="begin"/>
      </w:r>
      <w:r>
        <w:instrText xml:space="preserve"> HYPERLINK \l "_Toc461629201" </w:instrText>
      </w:r>
      <w:r>
        <w:fldChar w:fldCharType="separate"/>
      </w:r>
      <w:r>
        <w:rPr>
          <w:rStyle w:val="24"/>
          <w:b w:val="0"/>
          <w:u w:val="none"/>
        </w:rPr>
        <w:t>二、</w:t>
      </w:r>
      <w:r>
        <w:rPr>
          <w:rFonts w:ascii="Times New Roman" w:hAnsi="Times New Roman" w:eastAsiaTheme="minorEastAsia"/>
          <w:b w:val="0"/>
          <w:smallCaps w:val="0"/>
          <w:sz w:val="21"/>
          <w:szCs w:val="22"/>
        </w:rPr>
        <w:tab/>
      </w:r>
      <w:r>
        <w:rPr>
          <w:rStyle w:val="24"/>
          <w:b w:val="0"/>
          <w:u w:val="none"/>
        </w:rPr>
        <w:t>估价方</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_Toc461629201 \h </w:instrText>
      </w:r>
      <w:r>
        <w:rPr>
          <w:rFonts w:ascii="Times New Roman" w:hAnsi="Times New Roman"/>
          <w:b w:val="0"/>
        </w:rPr>
        <w:fldChar w:fldCharType="separate"/>
      </w:r>
      <w:r>
        <w:rPr>
          <w:rFonts w:ascii="Times New Roman" w:hAnsi="Times New Roman"/>
          <w:b w:val="0"/>
        </w:rPr>
        <w:t>10</w:t>
      </w:r>
      <w:r>
        <w:rPr>
          <w:rFonts w:ascii="Times New Roman" w:hAnsi="Times New Roman"/>
          <w:b w:val="0"/>
        </w:rPr>
        <w:fldChar w:fldCharType="end"/>
      </w:r>
      <w:r>
        <w:rPr>
          <w:rFonts w:ascii="Times New Roman" w:hAnsi="Times New Roman"/>
          <w:b w:val="0"/>
        </w:rPr>
        <w:fldChar w:fldCharType="end"/>
      </w:r>
    </w:p>
    <w:p>
      <w:pPr>
        <w:pStyle w:val="18"/>
        <w:rPr>
          <w:rFonts w:ascii="Times New Roman" w:hAnsi="Times New Roman" w:eastAsiaTheme="minorEastAsia"/>
          <w:b w:val="0"/>
          <w:smallCaps w:val="0"/>
          <w:sz w:val="21"/>
          <w:szCs w:val="22"/>
        </w:rPr>
      </w:pPr>
      <w:r>
        <w:fldChar w:fldCharType="begin"/>
      </w:r>
      <w:r>
        <w:instrText xml:space="preserve"> HYPERLINK \l "_Toc461629202" </w:instrText>
      </w:r>
      <w:r>
        <w:fldChar w:fldCharType="separate"/>
      </w:r>
      <w:r>
        <w:rPr>
          <w:rStyle w:val="24"/>
          <w:b w:val="0"/>
          <w:u w:val="none"/>
        </w:rPr>
        <w:t>三、</w:t>
      </w:r>
      <w:r>
        <w:rPr>
          <w:rFonts w:ascii="Times New Roman" w:hAnsi="Times New Roman" w:eastAsiaTheme="minorEastAsia"/>
          <w:b w:val="0"/>
          <w:smallCaps w:val="0"/>
          <w:sz w:val="21"/>
          <w:szCs w:val="22"/>
        </w:rPr>
        <w:tab/>
      </w:r>
      <w:r>
        <w:rPr>
          <w:rStyle w:val="24"/>
          <w:b w:val="0"/>
          <w:u w:val="none"/>
        </w:rPr>
        <w:t>估价目的</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_Toc461629202 \h </w:instrText>
      </w:r>
      <w:r>
        <w:rPr>
          <w:rFonts w:ascii="Times New Roman" w:hAnsi="Times New Roman"/>
          <w:b w:val="0"/>
        </w:rPr>
        <w:fldChar w:fldCharType="separate"/>
      </w:r>
      <w:r>
        <w:rPr>
          <w:rFonts w:ascii="Times New Roman" w:hAnsi="Times New Roman"/>
          <w:b w:val="0"/>
        </w:rPr>
        <w:t>10</w:t>
      </w:r>
      <w:r>
        <w:rPr>
          <w:rFonts w:ascii="Times New Roman" w:hAnsi="Times New Roman"/>
          <w:b w:val="0"/>
        </w:rPr>
        <w:fldChar w:fldCharType="end"/>
      </w:r>
      <w:r>
        <w:rPr>
          <w:rFonts w:ascii="Times New Roman" w:hAnsi="Times New Roman"/>
          <w:b w:val="0"/>
        </w:rPr>
        <w:fldChar w:fldCharType="end"/>
      </w:r>
    </w:p>
    <w:p>
      <w:pPr>
        <w:pStyle w:val="18"/>
        <w:rPr>
          <w:rFonts w:ascii="Times New Roman" w:hAnsi="Times New Roman" w:eastAsiaTheme="minorEastAsia"/>
          <w:b w:val="0"/>
          <w:smallCaps w:val="0"/>
          <w:sz w:val="21"/>
          <w:szCs w:val="22"/>
        </w:rPr>
      </w:pPr>
      <w:r>
        <w:fldChar w:fldCharType="begin"/>
      </w:r>
      <w:r>
        <w:instrText xml:space="preserve"> HYPERLINK \l "_Toc461629203" </w:instrText>
      </w:r>
      <w:r>
        <w:fldChar w:fldCharType="separate"/>
      </w:r>
      <w:r>
        <w:rPr>
          <w:rStyle w:val="24"/>
          <w:b w:val="0"/>
          <w:u w:val="none"/>
        </w:rPr>
        <w:t>四、</w:t>
      </w:r>
      <w:r>
        <w:rPr>
          <w:rFonts w:ascii="Times New Roman" w:hAnsi="Times New Roman" w:eastAsiaTheme="minorEastAsia"/>
          <w:b w:val="0"/>
          <w:smallCaps w:val="0"/>
          <w:sz w:val="21"/>
          <w:szCs w:val="22"/>
        </w:rPr>
        <w:tab/>
      </w:r>
      <w:r>
        <w:rPr>
          <w:rStyle w:val="24"/>
          <w:b w:val="0"/>
          <w:u w:val="none"/>
        </w:rPr>
        <w:t>估价对象</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_Toc461629203 \h </w:instrText>
      </w:r>
      <w:r>
        <w:rPr>
          <w:rFonts w:ascii="Times New Roman" w:hAnsi="Times New Roman"/>
          <w:b w:val="0"/>
        </w:rPr>
        <w:fldChar w:fldCharType="separate"/>
      </w:r>
      <w:r>
        <w:rPr>
          <w:rFonts w:ascii="Times New Roman" w:hAnsi="Times New Roman"/>
          <w:b w:val="0"/>
        </w:rPr>
        <w:t>10</w:t>
      </w:r>
      <w:r>
        <w:rPr>
          <w:rFonts w:ascii="Times New Roman" w:hAnsi="Times New Roman"/>
          <w:b w:val="0"/>
        </w:rPr>
        <w:fldChar w:fldCharType="end"/>
      </w:r>
      <w:r>
        <w:rPr>
          <w:rFonts w:ascii="Times New Roman" w:hAnsi="Times New Roman"/>
          <w:b w:val="0"/>
        </w:rPr>
        <w:fldChar w:fldCharType="end"/>
      </w:r>
    </w:p>
    <w:p>
      <w:pPr>
        <w:pStyle w:val="18"/>
        <w:rPr>
          <w:rFonts w:ascii="Times New Roman" w:hAnsi="Times New Roman" w:eastAsiaTheme="minorEastAsia"/>
          <w:b w:val="0"/>
          <w:smallCaps w:val="0"/>
          <w:sz w:val="21"/>
          <w:szCs w:val="22"/>
        </w:rPr>
      </w:pPr>
      <w:r>
        <w:fldChar w:fldCharType="begin"/>
      </w:r>
      <w:r>
        <w:instrText xml:space="preserve"> HYPERLINK \l "_Toc461629204" </w:instrText>
      </w:r>
      <w:r>
        <w:fldChar w:fldCharType="separate"/>
      </w:r>
      <w:r>
        <w:rPr>
          <w:rStyle w:val="24"/>
          <w:b w:val="0"/>
          <w:u w:val="none"/>
        </w:rPr>
        <w:t>五、</w:t>
      </w:r>
      <w:r>
        <w:rPr>
          <w:rFonts w:ascii="Times New Roman" w:hAnsi="Times New Roman" w:eastAsiaTheme="minorEastAsia"/>
          <w:b w:val="0"/>
          <w:smallCaps w:val="0"/>
          <w:sz w:val="21"/>
          <w:szCs w:val="22"/>
        </w:rPr>
        <w:tab/>
      </w:r>
      <w:r>
        <w:rPr>
          <w:rStyle w:val="24"/>
          <w:b w:val="0"/>
          <w:u w:val="none"/>
        </w:rPr>
        <w:t>价值时点</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_Toc461629204 \h </w:instrText>
      </w:r>
      <w:r>
        <w:rPr>
          <w:rFonts w:ascii="Times New Roman" w:hAnsi="Times New Roman"/>
          <w:b w:val="0"/>
        </w:rPr>
        <w:fldChar w:fldCharType="separate"/>
      </w:r>
      <w:r>
        <w:rPr>
          <w:rFonts w:ascii="Times New Roman" w:hAnsi="Times New Roman"/>
          <w:b w:val="0"/>
        </w:rPr>
        <w:t>13</w:t>
      </w:r>
      <w:r>
        <w:rPr>
          <w:rFonts w:ascii="Times New Roman" w:hAnsi="Times New Roman"/>
          <w:b w:val="0"/>
        </w:rPr>
        <w:fldChar w:fldCharType="end"/>
      </w:r>
      <w:r>
        <w:rPr>
          <w:rFonts w:ascii="Times New Roman" w:hAnsi="Times New Roman"/>
          <w:b w:val="0"/>
        </w:rPr>
        <w:fldChar w:fldCharType="end"/>
      </w:r>
    </w:p>
    <w:p>
      <w:pPr>
        <w:pStyle w:val="18"/>
        <w:rPr>
          <w:rFonts w:ascii="Times New Roman" w:hAnsi="Times New Roman" w:eastAsiaTheme="minorEastAsia"/>
          <w:b w:val="0"/>
          <w:smallCaps w:val="0"/>
          <w:sz w:val="21"/>
          <w:szCs w:val="22"/>
        </w:rPr>
      </w:pPr>
      <w:r>
        <w:fldChar w:fldCharType="begin"/>
      </w:r>
      <w:r>
        <w:instrText xml:space="preserve"> HYPERLINK \l "_Toc461629205" </w:instrText>
      </w:r>
      <w:r>
        <w:fldChar w:fldCharType="separate"/>
      </w:r>
      <w:r>
        <w:rPr>
          <w:rStyle w:val="24"/>
          <w:b w:val="0"/>
          <w:u w:val="none"/>
        </w:rPr>
        <w:t>六、</w:t>
      </w:r>
      <w:r>
        <w:rPr>
          <w:rFonts w:ascii="Times New Roman" w:hAnsi="Times New Roman" w:eastAsiaTheme="minorEastAsia"/>
          <w:b w:val="0"/>
          <w:smallCaps w:val="0"/>
          <w:sz w:val="21"/>
          <w:szCs w:val="22"/>
        </w:rPr>
        <w:tab/>
      </w:r>
      <w:r>
        <w:rPr>
          <w:rStyle w:val="24"/>
          <w:b w:val="0"/>
          <w:u w:val="none"/>
        </w:rPr>
        <w:t>价值类型</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_Toc461629205 \h </w:instrText>
      </w:r>
      <w:r>
        <w:rPr>
          <w:rFonts w:ascii="Times New Roman" w:hAnsi="Times New Roman"/>
          <w:b w:val="0"/>
        </w:rPr>
        <w:fldChar w:fldCharType="separate"/>
      </w:r>
      <w:r>
        <w:rPr>
          <w:rFonts w:ascii="Times New Roman" w:hAnsi="Times New Roman"/>
          <w:b w:val="0"/>
        </w:rPr>
        <w:t>13</w:t>
      </w:r>
      <w:r>
        <w:rPr>
          <w:rFonts w:ascii="Times New Roman" w:hAnsi="Times New Roman"/>
          <w:b w:val="0"/>
        </w:rPr>
        <w:fldChar w:fldCharType="end"/>
      </w:r>
      <w:r>
        <w:rPr>
          <w:rFonts w:ascii="Times New Roman" w:hAnsi="Times New Roman"/>
          <w:b w:val="0"/>
        </w:rPr>
        <w:fldChar w:fldCharType="end"/>
      </w:r>
    </w:p>
    <w:p>
      <w:pPr>
        <w:pStyle w:val="18"/>
        <w:rPr>
          <w:rFonts w:ascii="Times New Roman" w:hAnsi="Times New Roman" w:eastAsiaTheme="minorEastAsia"/>
          <w:b w:val="0"/>
          <w:smallCaps w:val="0"/>
          <w:sz w:val="21"/>
          <w:szCs w:val="22"/>
        </w:rPr>
      </w:pPr>
      <w:r>
        <w:fldChar w:fldCharType="begin"/>
      </w:r>
      <w:r>
        <w:instrText xml:space="preserve"> HYPERLINK \l "_Toc461629206" </w:instrText>
      </w:r>
      <w:r>
        <w:fldChar w:fldCharType="separate"/>
      </w:r>
      <w:r>
        <w:rPr>
          <w:rStyle w:val="24"/>
          <w:b w:val="0"/>
          <w:u w:val="none"/>
        </w:rPr>
        <w:t>七、</w:t>
      </w:r>
      <w:r>
        <w:rPr>
          <w:rFonts w:ascii="Times New Roman" w:hAnsi="Times New Roman" w:eastAsiaTheme="minorEastAsia"/>
          <w:b w:val="0"/>
          <w:smallCaps w:val="0"/>
          <w:sz w:val="21"/>
          <w:szCs w:val="22"/>
        </w:rPr>
        <w:tab/>
      </w:r>
      <w:r>
        <w:rPr>
          <w:rStyle w:val="24"/>
          <w:b w:val="0"/>
          <w:u w:val="none"/>
        </w:rPr>
        <w:t>估价原则</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_Toc461629206 \h </w:instrText>
      </w:r>
      <w:r>
        <w:rPr>
          <w:rFonts w:ascii="Times New Roman" w:hAnsi="Times New Roman"/>
          <w:b w:val="0"/>
        </w:rPr>
        <w:fldChar w:fldCharType="separate"/>
      </w:r>
      <w:r>
        <w:rPr>
          <w:rFonts w:ascii="Times New Roman" w:hAnsi="Times New Roman"/>
          <w:b w:val="0"/>
        </w:rPr>
        <w:t>14</w:t>
      </w:r>
      <w:r>
        <w:rPr>
          <w:rFonts w:ascii="Times New Roman" w:hAnsi="Times New Roman"/>
          <w:b w:val="0"/>
        </w:rPr>
        <w:fldChar w:fldCharType="end"/>
      </w:r>
      <w:r>
        <w:rPr>
          <w:rFonts w:ascii="Times New Roman" w:hAnsi="Times New Roman"/>
          <w:b w:val="0"/>
        </w:rPr>
        <w:fldChar w:fldCharType="end"/>
      </w:r>
    </w:p>
    <w:p>
      <w:pPr>
        <w:pStyle w:val="18"/>
        <w:rPr>
          <w:rFonts w:ascii="Times New Roman" w:hAnsi="Times New Roman" w:eastAsiaTheme="minorEastAsia"/>
          <w:b w:val="0"/>
          <w:smallCaps w:val="0"/>
          <w:sz w:val="21"/>
          <w:szCs w:val="22"/>
        </w:rPr>
      </w:pPr>
      <w:r>
        <w:fldChar w:fldCharType="begin"/>
      </w:r>
      <w:r>
        <w:instrText xml:space="preserve"> HYPERLINK \l "_Toc461629207" </w:instrText>
      </w:r>
      <w:r>
        <w:fldChar w:fldCharType="separate"/>
      </w:r>
      <w:r>
        <w:rPr>
          <w:rStyle w:val="24"/>
          <w:b w:val="0"/>
          <w:u w:val="none"/>
        </w:rPr>
        <w:t>八、</w:t>
      </w:r>
      <w:r>
        <w:rPr>
          <w:rFonts w:ascii="Times New Roman" w:hAnsi="Times New Roman" w:eastAsiaTheme="minorEastAsia"/>
          <w:b w:val="0"/>
          <w:smallCaps w:val="0"/>
          <w:sz w:val="21"/>
          <w:szCs w:val="22"/>
        </w:rPr>
        <w:tab/>
      </w:r>
      <w:r>
        <w:rPr>
          <w:rStyle w:val="24"/>
          <w:b w:val="0"/>
          <w:u w:val="none"/>
        </w:rPr>
        <w:t>估价依据</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_Toc461629207 \h </w:instrText>
      </w:r>
      <w:r>
        <w:rPr>
          <w:rFonts w:ascii="Times New Roman" w:hAnsi="Times New Roman"/>
          <w:b w:val="0"/>
        </w:rPr>
        <w:fldChar w:fldCharType="separate"/>
      </w:r>
      <w:r>
        <w:rPr>
          <w:rFonts w:ascii="Times New Roman" w:hAnsi="Times New Roman"/>
          <w:b w:val="0"/>
        </w:rPr>
        <w:t>15</w:t>
      </w:r>
      <w:r>
        <w:rPr>
          <w:rFonts w:ascii="Times New Roman" w:hAnsi="Times New Roman"/>
          <w:b w:val="0"/>
        </w:rPr>
        <w:fldChar w:fldCharType="end"/>
      </w:r>
      <w:r>
        <w:rPr>
          <w:rFonts w:ascii="Times New Roman" w:hAnsi="Times New Roman"/>
          <w:b w:val="0"/>
        </w:rPr>
        <w:fldChar w:fldCharType="end"/>
      </w:r>
    </w:p>
    <w:p>
      <w:pPr>
        <w:pStyle w:val="18"/>
        <w:rPr>
          <w:rFonts w:ascii="Times New Roman" w:hAnsi="Times New Roman" w:eastAsiaTheme="minorEastAsia"/>
          <w:b w:val="0"/>
          <w:smallCaps w:val="0"/>
          <w:sz w:val="21"/>
          <w:szCs w:val="22"/>
        </w:rPr>
      </w:pPr>
      <w:r>
        <w:fldChar w:fldCharType="begin"/>
      </w:r>
      <w:r>
        <w:instrText xml:space="preserve"> HYPERLINK \l "_Toc461629208" </w:instrText>
      </w:r>
      <w:r>
        <w:fldChar w:fldCharType="separate"/>
      </w:r>
      <w:r>
        <w:rPr>
          <w:rStyle w:val="24"/>
          <w:b w:val="0"/>
          <w:u w:val="none"/>
        </w:rPr>
        <w:t>九、</w:t>
      </w:r>
      <w:r>
        <w:rPr>
          <w:rFonts w:ascii="Times New Roman" w:hAnsi="Times New Roman" w:eastAsiaTheme="minorEastAsia"/>
          <w:b w:val="0"/>
          <w:smallCaps w:val="0"/>
          <w:sz w:val="21"/>
          <w:szCs w:val="22"/>
        </w:rPr>
        <w:tab/>
      </w:r>
      <w:r>
        <w:rPr>
          <w:rStyle w:val="24"/>
          <w:b w:val="0"/>
          <w:u w:val="none"/>
        </w:rPr>
        <w:t>估价方法</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_Toc461629208 \h </w:instrText>
      </w:r>
      <w:r>
        <w:rPr>
          <w:rFonts w:ascii="Times New Roman" w:hAnsi="Times New Roman"/>
          <w:b w:val="0"/>
        </w:rPr>
        <w:fldChar w:fldCharType="separate"/>
      </w:r>
      <w:r>
        <w:rPr>
          <w:rFonts w:ascii="Times New Roman" w:hAnsi="Times New Roman"/>
          <w:b w:val="0"/>
        </w:rPr>
        <w:t>16</w:t>
      </w:r>
      <w:r>
        <w:rPr>
          <w:rFonts w:ascii="Times New Roman" w:hAnsi="Times New Roman"/>
          <w:b w:val="0"/>
        </w:rPr>
        <w:fldChar w:fldCharType="end"/>
      </w:r>
      <w:r>
        <w:rPr>
          <w:rFonts w:ascii="Times New Roman" w:hAnsi="Times New Roman"/>
          <w:b w:val="0"/>
        </w:rPr>
        <w:fldChar w:fldCharType="end"/>
      </w:r>
    </w:p>
    <w:p>
      <w:pPr>
        <w:pStyle w:val="18"/>
        <w:rPr>
          <w:rFonts w:ascii="Times New Roman" w:hAnsi="Times New Roman" w:eastAsiaTheme="minorEastAsia"/>
          <w:b w:val="0"/>
          <w:smallCaps w:val="0"/>
          <w:sz w:val="21"/>
          <w:szCs w:val="22"/>
        </w:rPr>
      </w:pPr>
      <w:r>
        <w:fldChar w:fldCharType="begin"/>
      </w:r>
      <w:r>
        <w:instrText xml:space="preserve"> HYPERLINK \l "_Toc461629209" </w:instrText>
      </w:r>
      <w:r>
        <w:fldChar w:fldCharType="separate"/>
      </w:r>
      <w:r>
        <w:rPr>
          <w:rStyle w:val="24"/>
          <w:b w:val="0"/>
          <w:u w:val="none"/>
        </w:rPr>
        <w:t>十、</w:t>
      </w:r>
      <w:r>
        <w:rPr>
          <w:rFonts w:ascii="Times New Roman" w:hAnsi="Times New Roman" w:eastAsiaTheme="minorEastAsia"/>
          <w:b w:val="0"/>
          <w:smallCaps w:val="0"/>
          <w:sz w:val="21"/>
          <w:szCs w:val="22"/>
        </w:rPr>
        <w:tab/>
      </w:r>
      <w:r>
        <w:rPr>
          <w:rStyle w:val="24"/>
          <w:b w:val="0"/>
          <w:u w:val="none"/>
        </w:rPr>
        <w:t>估价结果</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_Toc461629209 \h </w:instrText>
      </w:r>
      <w:r>
        <w:rPr>
          <w:rFonts w:ascii="Times New Roman" w:hAnsi="Times New Roman"/>
          <w:b w:val="0"/>
        </w:rPr>
        <w:fldChar w:fldCharType="separate"/>
      </w:r>
      <w:r>
        <w:rPr>
          <w:rFonts w:ascii="Times New Roman" w:hAnsi="Times New Roman"/>
          <w:b w:val="0"/>
        </w:rPr>
        <w:t>17</w:t>
      </w:r>
      <w:r>
        <w:rPr>
          <w:rFonts w:ascii="Times New Roman" w:hAnsi="Times New Roman"/>
          <w:b w:val="0"/>
        </w:rPr>
        <w:fldChar w:fldCharType="end"/>
      </w:r>
      <w:r>
        <w:rPr>
          <w:rFonts w:ascii="Times New Roman" w:hAnsi="Times New Roman"/>
          <w:b w:val="0"/>
        </w:rPr>
        <w:fldChar w:fldCharType="end"/>
      </w:r>
    </w:p>
    <w:p>
      <w:pPr>
        <w:pStyle w:val="18"/>
        <w:tabs>
          <w:tab w:val="left" w:pos="1260"/>
        </w:tabs>
        <w:rPr>
          <w:rFonts w:ascii="Times New Roman" w:hAnsi="Times New Roman" w:eastAsiaTheme="minorEastAsia"/>
          <w:b w:val="0"/>
          <w:smallCaps w:val="0"/>
          <w:sz w:val="21"/>
          <w:szCs w:val="22"/>
        </w:rPr>
      </w:pPr>
      <w:r>
        <w:fldChar w:fldCharType="begin"/>
      </w:r>
      <w:r>
        <w:instrText xml:space="preserve"> HYPERLINK \l "_Toc461629210" </w:instrText>
      </w:r>
      <w:r>
        <w:fldChar w:fldCharType="separate"/>
      </w:r>
      <w:r>
        <w:rPr>
          <w:rStyle w:val="24"/>
          <w:b w:val="0"/>
          <w:u w:val="none"/>
        </w:rPr>
        <w:t>十一、</w:t>
      </w:r>
      <w:r>
        <w:rPr>
          <w:rFonts w:ascii="Times New Roman" w:hAnsi="Times New Roman" w:eastAsiaTheme="minorEastAsia"/>
          <w:b w:val="0"/>
          <w:smallCaps w:val="0"/>
          <w:sz w:val="21"/>
          <w:szCs w:val="22"/>
        </w:rPr>
        <w:tab/>
      </w:r>
      <w:r>
        <w:rPr>
          <w:rStyle w:val="24"/>
          <w:b w:val="0"/>
          <w:u w:val="none"/>
        </w:rPr>
        <w:t>注册房地产估价师</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_Toc461629210 \h </w:instrText>
      </w:r>
      <w:r>
        <w:rPr>
          <w:rFonts w:ascii="Times New Roman" w:hAnsi="Times New Roman"/>
          <w:b w:val="0"/>
        </w:rPr>
        <w:fldChar w:fldCharType="separate"/>
      </w:r>
      <w:r>
        <w:rPr>
          <w:rFonts w:ascii="Times New Roman" w:hAnsi="Times New Roman"/>
          <w:b w:val="0"/>
        </w:rPr>
        <w:t>17</w:t>
      </w:r>
      <w:r>
        <w:rPr>
          <w:rFonts w:ascii="Times New Roman" w:hAnsi="Times New Roman"/>
          <w:b w:val="0"/>
        </w:rPr>
        <w:fldChar w:fldCharType="end"/>
      </w:r>
      <w:r>
        <w:rPr>
          <w:rFonts w:ascii="Times New Roman" w:hAnsi="Times New Roman"/>
          <w:b w:val="0"/>
        </w:rPr>
        <w:fldChar w:fldCharType="end"/>
      </w:r>
    </w:p>
    <w:p>
      <w:pPr>
        <w:pStyle w:val="18"/>
        <w:tabs>
          <w:tab w:val="left" w:pos="1260"/>
        </w:tabs>
        <w:rPr>
          <w:rFonts w:ascii="Times New Roman" w:hAnsi="Times New Roman" w:eastAsiaTheme="minorEastAsia"/>
          <w:b w:val="0"/>
          <w:smallCaps w:val="0"/>
          <w:sz w:val="21"/>
          <w:szCs w:val="22"/>
        </w:rPr>
      </w:pPr>
      <w:r>
        <w:fldChar w:fldCharType="begin"/>
      </w:r>
      <w:r>
        <w:instrText xml:space="preserve"> HYPERLINK \l "_Toc461629211" </w:instrText>
      </w:r>
      <w:r>
        <w:fldChar w:fldCharType="separate"/>
      </w:r>
      <w:r>
        <w:rPr>
          <w:rStyle w:val="24"/>
          <w:b w:val="0"/>
          <w:u w:val="none"/>
        </w:rPr>
        <w:t>十二、</w:t>
      </w:r>
      <w:r>
        <w:rPr>
          <w:rFonts w:ascii="Times New Roman" w:hAnsi="Times New Roman" w:eastAsiaTheme="minorEastAsia"/>
          <w:b w:val="0"/>
          <w:smallCaps w:val="0"/>
          <w:sz w:val="21"/>
          <w:szCs w:val="22"/>
        </w:rPr>
        <w:tab/>
      </w:r>
      <w:r>
        <w:rPr>
          <w:rStyle w:val="24"/>
          <w:b w:val="0"/>
          <w:u w:val="none"/>
        </w:rPr>
        <w:t>实地查勘期</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_Toc461629211 \h </w:instrText>
      </w:r>
      <w:r>
        <w:rPr>
          <w:rFonts w:ascii="Times New Roman" w:hAnsi="Times New Roman"/>
          <w:b w:val="0"/>
        </w:rPr>
        <w:fldChar w:fldCharType="separate"/>
      </w:r>
      <w:r>
        <w:rPr>
          <w:rFonts w:ascii="Times New Roman" w:hAnsi="Times New Roman"/>
          <w:b w:val="0"/>
        </w:rPr>
        <w:t>18</w:t>
      </w:r>
      <w:r>
        <w:rPr>
          <w:rFonts w:ascii="Times New Roman" w:hAnsi="Times New Roman"/>
          <w:b w:val="0"/>
        </w:rPr>
        <w:fldChar w:fldCharType="end"/>
      </w:r>
      <w:r>
        <w:rPr>
          <w:rFonts w:ascii="Times New Roman" w:hAnsi="Times New Roman"/>
          <w:b w:val="0"/>
        </w:rPr>
        <w:fldChar w:fldCharType="end"/>
      </w:r>
    </w:p>
    <w:p>
      <w:pPr>
        <w:pStyle w:val="18"/>
        <w:tabs>
          <w:tab w:val="left" w:pos="1260"/>
        </w:tabs>
        <w:rPr>
          <w:rFonts w:ascii="Times New Roman" w:hAnsi="Times New Roman" w:eastAsiaTheme="minorEastAsia"/>
          <w:b w:val="0"/>
          <w:smallCaps w:val="0"/>
          <w:sz w:val="21"/>
          <w:szCs w:val="22"/>
        </w:rPr>
      </w:pPr>
      <w:r>
        <w:fldChar w:fldCharType="begin"/>
      </w:r>
      <w:r>
        <w:instrText xml:space="preserve"> HYPERLINK \l "_Toc461629212" </w:instrText>
      </w:r>
      <w:r>
        <w:fldChar w:fldCharType="separate"/>
      </w:r>
      <w:r>
        <w:rPr>
          <w:rStyle w:val="24"/>
          <w:b w:val="0"/>
          <w:u w:val="none"/>
        </w:rPr>
        <w:t>十三、</w:t>
      </w:r>
      <w:r>
        <w:rPr>
          <w:rFonts w:ascii="Times New Roman" w:hAnsi="Times New Roman" w:eastAsiaTheme="minorEastAsia"/>
          <w:b w:val="0"/>
          <w:smallCaps w:val="0"/>
          <w:sz w:val="21"/>
          <w:szCs w:val="22"/>
        </w:rPr>
        <w:tab/>
      </w:r>
      <w:r>
        <w:rPr>
          <w:rStyle w:val="24"/>
          <w:b w:val="0"/>
          <w:u w:val="none"/>
        </w:rPr>
        <w:t>估价作业期</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_Toc461629212 \h </w:instrText>
      </w:r>
      <w:r>
        <w:rPr>
          <w:rFonts w:ascii="Times New Roman" w:hAnsi="Times New Roman"/>
          <w:b w:val="0"/>
        </w:rPr>
        <w:fldChar w:fldCharType="separate"/>
      </w:r>
      <w:r>
        <w:rPr>
          <w:rFonts w:ascii="Times New Roman" w:hAnsi="Times New Roman"/>
          <w:b w:val="0"/>
        </w:rPr>
        <w:t>18</w:t>
      </w:r>
      <w:r>
        <w:rPr>
          <w:rFonts w:ascii="Times New Roman" w:hAnsi="Times New Roman"/>
          <w:b w:val="0"/>
        </w:rPr>
        <w:fldChar w:fldCharType="end"/>
      </w:r>
      <w:r>
        <w:rPr>
          <w:rFonts w:ascii="Times New Roman" w:hAnsi="Times New Roman"/>
          <w:b w:val="0"/>
        </w:rPr>
        <w:fldChar w:fldCharType="end"/>
      </w:r>
    </w:p>
    <w:p>
      <w:pPr>
        <w:pStyle w:val="18"/>
        <w:tabs>
          <w:tab w:val="left" w:pos="1260"/>
        </w:tabs>
        <w:rPr>
          <w:rFonts w:ascii="Times New Roman" w:hAnsi="Times New Roman" w:eastAsiaTheme="minorEastAsia"/>
          <w:b w:val="0"/>
          <w:smallCaps w:val="0"/>
          <w:sz w:val="21"/>
          <w:szCs w:val="22"/>
        </w:rPr>
      </w:pPr>
      <w:r>
        <w:fldChar w:fldCharType="begin"/>
      </w:r>
      <w:r>
        <w:instrText xml:space="preserve"> HYPERLINK \l "_Toc461629213" </w:instrText>
      </w:r>
      <w:r>
        <w:fldChar w:fldCharType="separate"/>
      </w:r>
      <w:r>
        <w:rPr>
          <w:rStyle w:val="24"/>
          <w:b w:val="0"/>
          <w:u w:val="none"/>
        </w:rPr>
        <w:t>十四、</w:t>
      </w:r>
      <w:r>
        <w:rPr>
          <w:rFonts w:ascii="Times New Roman" w:hAnsi="Times New Roman" w:eastAsiaTheme="minorEastAsia"/>
          <w:b w:val="0"/>
          <w:smallCaps w:val="0"/>
          <w:sz w:val="21"/>
          <w:szCs w:val="22"/>
        </w:rPr>
        <w:tab/>
      </w:r>
      <w:r>
        <w:rPr>
          <w:rStyle w:val="24"/>
          <w:b w:val="0"/>
          <w:u w:val="none"/>
        </w:rPr>
        <w:t>估价报告应用的有效期</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_Toc461629213 \h </w:instrText>
      </w:r>
      <w:r>
        <w:rPr>
          <w:rFonts w:ascii="Times New Roman" w:hAnsi="Times New Roman"/>
          <w:b w:val="0"/>
        </w:rPr>
        <w:fldChar w:fldCharType="separate"/>
      </w:r>
      <w:r>
        <w:rPr>
          <w:rFonts w:ascii="Times New Roman" w:hAnsi="Times New Roman"/>
          <w:b w:val="0"/>
        </w:rPr>
        <w:t>18</w:t>
      </w:r>
      <w:r>
        <w:rPr>
          <w:rFonts w:ascii="Times New Roman" w:hAnsi="Times New Roman"/>
          <w:b w:val="0"/>
        </w:rPr>
        <w:fldChar w:fldCharType="end"/>
      </w:r>
      <w:r>
        <w:rPr>
          <w:rFonts w:ascii="Times New Roman" w:hAnsi="Times New Roman"/>
          <w:b w:val="0"/>
        </w:rPr>
        <w:fldChar w:fldCharType="end"/>
      </w:r>
    </w:p>
    <w:p>
      <w:pPr>
        <w:pStyle w:val="14"/>
        <w:rPr>
          <w:rStyle w:val="24"/>
          <w:rFonts w:eastAsiaTheme="minorEastAsia"/>
          <w:b w:val="0"/>
          <w:u w:val="none"/>
        </w:rPr>
      </w:pPr>
      <w:r>
        <w:fldChar w:fldCharType="begin"/>
      </w:r>
      <w:r>
        <w:instrText xml:space="preserve"> HYPERLINK \l "_Toc461629216" </w:instrText>
      </w:r>
      <w:r>
        <w:fldChar w:fldCharType="separate"/>
      </w:r>
      <w:r>
        <w:rPr>
          <w:rStyle w:val="24"/>
          <w:rFonts w:eastAsia="黑体"/>
          <w:u w:val="none"/>
        </w:rPr>
        <w:t>房地产估价技术报告</w:t>
      </w:r>
      <w:r>
        <w:rPr>
          <w:b w:val="0"/>
        </w:rPr>
        <w:tab/>
      </w:r>
      <w:r>
        <w:rPr>
          <w:b w:val="0"/>
        </w:rPr>
        <w:fldChar w:fldCharType="begin"/>
      </w:r>
      <w:r>
        <w:rPr>
          <w:b w:val="0"/>
        </w:rPr>
        <w:instrText xml:space="preserve"> PAGEREF _Toc461629216 \h </w:instrText>
      </w:r>
      <w:r>
        <w:rPr>
          <w:b w:val="0"/>
        </w:rPr>
        <w:fldChar w:fldCharType="separate"/>
      </w:r>
      <w:r>
        <w:rPr>
          <w:b w:val="0"/>
        </w:rPr>
        <w:t>19</w:t>
      </w:r>
      <w:r>
        <w:rPr>
          <w:b w:val="0"/>
        </w:rPr>
        <w:fldChar w:fldCharType="end"/>
      </w:r>
      <w:r>
        <w:rPr>
          <w:b w:val="0"/>
        </w:rPr>
        <w:fldChar w:fldCharType="end"/>
      </w:r>
    </w:p>
    <w:p>
      <w:pPr>
        <w:spacing w:line="400" w:lineRule="exact"/>
        <w:rPr>
          <w:color w:val="000000" w:themeColor="text1"/>
          <w:sz w:val="24"/>
        </w:rPr>
      </w:pPr>
      <w:r>
        <w:rPr>
          <w:color w:val="000000" w:themeColor="text1"/>
          <w:sz w:val="24"/>
        </w:rPr>
        <w:t>（仅供估价机构存档和有关管理部门查阅，不向报告使用人提供</w:t>
      </w:r>
      <w:r>
        <w:rPr>
          <w:rFonts w:hint="eastAsia"/>
          <w:color w:val="000000" w:themeColor="text1"/>
          <w:sz w:val="24"/>
        </w:rPr>
        <w:t>）</w:t>
      </w:r>
    </w:p>
    <w:p>
      <w:pPr>
        <w:pStyle w:val="14"/>
        <w:rPr>
          <w:rFonts w:eastAsiaTheme="minorEastAsia"/>
          <w:b w:val="0"/>
          <w:bCs w:val="0"/>
          <w:caps w:val="0"/>
          <w:color w:val="auto"/>
          <w:sz w:val="21"/>
          <w:szCs w:val="22"/>
        </w:rPr>
      </w:pPr>
      <w:r>
        <w:fldChar w:fldCharType="begin"/>
      </w:r>
      <w:r>
        <w:instrText xml:space="preserve"> HYPERLINK \l "_Toc461629217" </w:instrText>
      </w:r>
      <w:r>
        <w:fldChar w:fldCharType="separate"/>
      </w:r>
      <w:r>
        <w:rPr>
          <w:rStyle w:val="24"/>
          <w:rFonts w:eastAsia="黑体"/>
          <w:u w:val="none"/>
        </w:rPr>
        <w:t>附 件</w:t>
      </w:r>
      <w:r>
        <w:rPr>
          <w:b w:val="0"/>
        </w:rPr>
        <w:tab/>
      </w:r>
      <w:r>
        <w:rPr>
          <w:b w:val="0"/>
        </w:rPr>
        <w:fldChar w:fldCharType="end"/>
      </w:r>
      <w:r>
        <w:rPr>
          <w:b w:val="0"/>
        </w:rPr>
        <w:t>44</w:t>
      </w:r>
    </w:p>
    <w:p>
      <w:pPr>
        <w:numPr>
          <w:ilvl w:val="0"/>
          <w:numId w:val="1"/>
        </w:numPr>
        <w:tabs>
          <w:tab w:val="left" w:pos="1260"/>
          <w:tab w:val="left" w:pos="1440"/>
          <w:tab w:val="left" w:pos="1620"/>
        </w:tabs>
        <w:spacing w:line="400" w:lineRule="exact"/>
        <w:ind w:left="567" w:firstLine="0"/>
        <w:rPr>
          <w:rStyle w:val="24"/>
          <w:rFonts w:ascii="宋体" w:hAnsi="宋体" w:eastAsia="Times New Roman"/>
          <w:smallCaps/>
          <w:color w:val="000000" w:themeColor="text1"/>
          <w:sz w:val="24"/>
          <w:u w:val="none"/>
        </w:rPr>
      </w:pPr>
      <w:r>
        <w:rPr>
          <w:rFonts w:eastAsia="Times New Roman"/>
          <w:bCs/>
          <w:caps/>
          <w:color w:val="000000" w:themeColor="text1"/>
          <w:sz w:val="24"/>
          <w:szCs w:val="28"/>
        </w:rPr>
        <w:fldChar w:fldCharType="end"/>
      </w:r>
      <w:r>
        <w:rPr>
          <w:rStyle w:val="24"/>
          <w:rFonts w:hint="eastAsia" w:ascii="宋体" w:hAnsi="宋体" w:eastAsia="Times New Roman"/>
          <w:smallCaps/>
          <w:color w:val="000000" w:themeColor="text1"/>
          <w:sz w:val="24"/>
          <w:u w:val="none"/>
        </w:rPr>
        <w:t>估价对象区位示意图</w:t>
      </w:r>
    </w:p>
    <w:p>
      <w:pPr>
        <w:numPr>
          <w:ilvl w:val="0"/>
          <w:numId w:val="1"/>
        </w:numPr>
        <w:tabs>
          <w:tab w:val="left" w:pos="1260"/>
          <w:tab w:val="left" w:pos="1440"/>
          <w:tab w:val="left" w:pos="1620"/>
        </w:tabs>
        <w:spacing w:line="400" w:lineRule="exact"/>
        <w:ind w:left="567" w:firstLine="0"/>
        <w:rPr>
          <w:rStyle w:val="24"/>
          <w:rFonts w:ascii="宋体" w:hAnsi="宋体" w:eastAsia="Times New Roman"/>
          <w:smallCaps/>
          <w:color w:val="000000" w:themeColor="text1"/>
          <w:sz w:val="24"/>
          <w:u w:val="none"/>
        </w:rPr>
      </w:pPr>
      <w:r>
        <w:rPr>
          <w:rStyle w:val="24"/>
          <w:rFonts w:hint="eastAsia" w:ascii="宋体" w:hAnsi="宋体" w:eastAsia="Times New Roman"/>
          <w:smallCaps/>
          <w:color w:val="000000" w:themeColor="text1"/>
          <w:sz w:val="24"/>
          <w:u w:val="none"/>
        </w:rPr>
        <w:t>估价对象</w:t>
      </w:r>
      <w:r>
        <w:rPr>
          <w:rStyle w:val="24"/>
          <w:rFonts w:hint="eastAsia" w:ascii="宋体" w:hAnsi="宋体" w:eastAsiaTheme="minorEastAsia"/>
          <w:smallCaps/>
          <w:color w:val="000000" w:themeColor="text1"/>
          <w:sz w:val="24"/>
          <w:u w:val="none"/>
        </w:rPr>
        <w:t>现场查勘</w:t>
      </w:r>
      <w:r>
        <w:rPr>
          <w:rStyle w:val="24"/>
          <w:rFonts w:hint="eastAsia" w:ascii="宋体" w:hAnsi="宋体" w:eastAsia="Times New Roman"/>
          <w:smallCaps/>
          <w:color w:val="000000" w:themeColor="text1"/>
          <w:sz w:val="24"/>
          <w:u w:val="none"/>
        </w:rPr>
        <w:t>照片</w:t>
      </w:r>
    </w:p>
    <w:p>
      <w:pPr>
        <w:numPr>
          <w:ilvl w:val="0"/>
          <w:numId w:val="1"/>
        </w:numPr>
        <w:tabs>
          <w:tab w:val="left" w:pos="1260"/>
          <w:tab w:val="left" w:pos="1440"/>
          <w:tab w:val="left" w:pos="1620"/>
        </w:tabs>
        <w:spacing w:line="400" w:lineRule="exact"/>
        <w:ind w:left="567" w:firstLine="0"/>
        <w:rPr>
          <w:rStyle w:val="24"/>
          <w:rFonts w:ascii="宋体" w:hAnsi="宋体" w:eastAsia="Times New Roman"/>
          <w:smallCaps/>
          <w:color w:val="000000" w:themeColor="text1"/>
          <w:sz w:val="24"/>
          <w:u w:val="none"/>
        </w:rPr>
      </w:pPr>
      <w:r>
        <w:rPr>
          <w:rStyle w:val="24"/>
          <w:rFonts w:hint="eastAsia" w:ascii="宋体" w:hAnsi="宋体" w:eastAsia="Times New Roman"/>
          <w:smallCaps/>
          <w:color w:val="000000" w:themeColor="text1"/>
          <w:sz w:val="24"/>
          <w:u w:val="none"/>
        </w:rPr>
        <w:t>《预告登记信息》（复印件）</w:t>
      </w:r>
    </w:p>
    <w:p>
      <w:pPr>
        <w:numPr>
          <w:ilvl w:val="0"/>
          <w:numId w:val="1"/>
        </w:numPr>
        <w:tabs>
          <w:tab w:val="left" w:pos="1260"/>
          <w:tab w:val="left" w:pos="1440"/>
          <w:tab w:val="left" w:pos="1620"/>
        </w:tabs>
        <w:spacing w:line="400" w:lineRule="exact"/>
        <w:ind w:left="567" w:firstLine="0"/>
        <w:rPr>
          <w:rStyle w:val="24"/>
          <w:rFonts w:ascii="宋体" w:hAnsi="宋体" w:eastAsia="Times New Roman"/>
          <w:smallCaps/>
          <w:color w:val="000000" w:themeColor="text1"/>
          <w:sz w:val="24"/>
          <w:u w:val="none"/>
        </w:rPr>
      </w:pPr>
      <w:r>
        <w:rPr>
          <w:rStyle w:val="24"/>
          <w:rFonts w:hint="eastAsia" w:ascii="宋体" w:hAnsi="宋体" w:eastAsia="Times New Roman"/>
          <w:smallCaps/>
          <w:color w:val="000000" w:themeColor="text1"/>
          <w:sz w:val="24"/>
          <w:u w:val="none"/>
        </w:rPr>
        <w:t>《</w:t>
      </w:r>
      <w:r>
        <w:rPr>
          <w:rStyle w:val="24"/>
          <w:rFonts w:hint="eastAsia" w:ascii="宋体" w:hAnsi="宋体" w:eastAsiaTheme="minorEastAsia"/>
          <w:smallCaps/>
          <w:color w:val="000000" w:themeColor="text1"/>
          <w:sz w:val="24"/>
          <w:u w:val="none"/>
        </w:rPr>
        <w:t>商品房买卖合同附页</w:t>
      </w:r>
      <w:r>
        <w:rPr>
          <w:rStyle w:val="24"/>
          <w:rFonts w:hint="eastAsia" w:ascii="宋体" w:hAnsi="宋体" w:eastAsia="Times New Roman"/>
          <w:smallCaps/>
          <w:color w:val="000000" w:themeColor="text1"/>
          <w:sz w:val="24"/>
          <w:u w:val="none"/>
        </w:rPr>
        <w:t>》（复印件）</w:t>
      </w:r>
    </w:p>
    <w:p>
      <w:pPr>
        <w:numPr>
          <w:ilvl w:val="0"/>
          <w:numId w:val="1"/>
        </w:numPr>
        <w:tabs>
          <w:tab w:val="left" w:pos="1260"/>
          <w:tab w:val="left" w:pos="1440"/>
          <w:tab w:val="left" w:pos="1620"/>
        </w:tabs>
        <w:spacing w:line="400" w:lineRule="exact"/>
        <w:ind w:left="567" w:firstLine="0"/>
        <w:rPr>
          <w:rStyle w:val="24"/>
          <w:rFonts w:ascii="宋体" w:hAnsi="宋体" w:eastAsia="Times New Roman"/>
          <w:smallCaps/>
          <w:color w:val="000000" w:themeColor="text1"/>
          <w:sz w:val="24"/>
          <w:u w:val="none"/>
        </w:rPr>
      </w:pPr>
      <w:r>
        <w:rPr>
          <w:rStyle w:val="24"/>
          <w:rFonts w:hint="eastAsia" w:ascii="宋体" w:hAnsi="宋体" w:eastAsiaTheme="minorEastAsia"/>
          <w:smallCaps/>
          <w:color w:val="000000" w:themeColor="text1"/>
          <w:sz w:val="24"/>
          <w:u w:val="none"/>
        </w:rPr>
        <w:t>湖北省武穴市人民法院鉴定委托书</w:t>
      </w:r>
    </w:p>
    <w:p>
      <w:pPr>
        <w:numPr>
          <w:ilvl w:val="0"/>
          <w:numId w:val="1"/>
        </w:numPr>
        <w:tabs>
          <w:tab w:val="left" w:pos="1260"/>
          <w:tab w:val="left" w:pos="1440"/>
          <w:tab w:val="left" w:pos="1620"/>
        </w:tabs>
        <w:spacing w:line="400" w:lineRule="exact"/>
        <w:ind w:left="567" w:firstLine="0"/>
        <w:rPr>
          <w:rStyle w:val="24"/>
          <w:rFonts w:ascii="宋体" w:hAnsi="宋体" w:eastAsia="Times New Roman"/>
          <w:smallCaps/>
          <w:color w:val="000000" w:themeColor="text1"/>
          <w:sz w:val="24"/>
          <w:u w:val="none"/>
        </w:rPr>
      </w:pPr>
      <w:r>
        <w:rPr>
          <w:rStyle w:val="24"/>
          <w:rFonts w:hint="eastAsia" w:ascii="宋体" w:hAnsi="宋体" w:eastAsiaTheme="minorEastAsia"/>
          <w:smallCaps/>
          <w:color w:val="000000" w:themeColor="text1"/>
          <w:sz w:val="24"/>
          <w:u w:val="none"/>
        </w:rPr>
        <w:t>湖北省武穴市人民法院执行裁定书</w:t>
      </w:r>
    </w:p>
    <w:p>
      <w:pPr>
        <w:numPr>
          <w:ilvl w:val="0"/>
          <w:numId w:val="1"/>
        </w:numPr>
        <w:tabs>
          <w:tab w:val="left" w:pos="1260"/>
          <w:tab w:val="left" w:pos="1440"/>
          <w:tab w:val="left" w:pos="1620"/>
        </w:tabs>
        <w:spacing w:line="400" w:lineRule="exact"/>
        <w:ind w:left="567" w:firstLine="0"/>
        <w:rPr>
          <w:rStyle w:val="24"/>
          <w:rFonts w:ascii="宋体" w:hAnsi="宋体" w:eastAsia="Times New Roman"/>
          <w:smallCaps/>
          <w:color w:val="000000" w:themeColor="text1"/>
          <w:sz w:val="24"/>
          <w:u w:val="none"/>
        </w:rPr>
      </w:pPr>
      <w:r>
        <w:rPr>
          <w:rStyle w:val="24"/>
          <w:rFonts w:hint="eastAsia" w:ascii="宋体" w:hAnsi="宋体" w:eastAsiaTheme="minorEastAsia"/>
          <w:smallCaps/>
          <w:color w:val="000000" w:themeColor="text1"/>
          <w:sz w:val="24"/>
          <w:u w:val="none"/>
        </w:rPr>
        <w:t>湖北省武穴市人民法院民事裁定书</w:t>
      </w:r>
    </w:p>
    <w:p>
      <w:pPr>
        <w:numPr>
          <w:ilvl w:val="0"/>
          <w:numId w:val="1"/>
        </w:numPr>
        <w:tabs>
          <w:tab w:val="left" w:pos="1260"/>
          <w:tab w:val="left" w:pos="1440"/>
          <w:tab w:val="left" w:pos="1620"/>
        </w:tabs>
        <w:spacing w:line="400" w:lineRule="exact"/>
        <w:ind w:left="567" w:firstLine="0"/>
        <w:rPr>
          <w:rStyle w:val="24"/>
          <w:rFonts w:ascii="宋体" w:hAnsi="宋体" w:eastAsia="Times New Roman"/>
          <w:smallCaps/>
          <w:color w:val="000000" w:themeColor="text1"/>
          <w:sz w:val="24"/>
          <w:u w:val="none"/>
        </w:rPr>
      </w:pPr>
      <w:r>
        <w:rPr>
          <w:rStyle w:val="24"/>
          <w:rFonts w:hint="eastAsia" w:ascii="宋体" w:hAnsi="宋体" w:eastAsiaTheme="minorEastAsia"/>
          <w:smallCaps/>
          <w:color w:val="000000" w:themeColor="text1"/>
          <w:sz w:val="24"/>
          <w:u w:val="none"/>
        </w:rPr>
        <w:t>湖北省武穴市人民法院民事判决书</w:t>
      </w:r>
    </w:p>
    <w:p>
      <w:pPr>
        <w:numPr>
          <w:ilvl w:val="0"/>
          <w:numId w:val="1"/>
        </w:numPr>
        <w:tabs>
          <w:tab w:val="left" w:pos="1260"/>
          <w:tab w:val="left" w:pos="1440"/>
          <w:tab w:val="left" w:pos="1620"/>
        </w:tabs>
        <w:spacing w:line="400" w:lineRule="exact"/>
        <w:ind w:left="567" w:firstLine="0"/>
        <w:rPr>
          <w:rStyle w:val="24"/>
          <w:rFonts w:ascii="宋体" w:hAnsi="宋体" w:eastAsia="Times New Roman"/>
          <w:smallCaps/>
          <w:color w:val="000000" w:themeColor="text1"/>
          <w:sz w:val="24"/>
          <w:u w:val="none"/>
        </w:rPr>
      </w:pPr>
      <w:r>
        <w:rPr>
          <w:rStyle w:val="24"/>
          <w:rFonts w:ascii="宋体" w:hAnsi="宋体" w:eastAsia="Times New Roman"/>
          <w:smallCaps/>
          <w:color w:val="000000" w:themeColor="text1"/>
          <w:sz w:val="24"/>
          <w:u w:val="none"/>
        </w:rPr>
        <w:t>估价机构营业执照</w:t>
      </w:r>
      <w:r>
        <w:rPr>
          <w:rStyle w:val="24"/>
          <w:rFonts w:hint="eastAsia" w:ascii="宋体" w:hAnsi="宋体" w:eastAsiaTheme="minorEastAsia"/>
          <w:smallCaps/>
          <w:color w:val="000000" w:themeColor="text1"/>
          <w:sz w:val="24"/>
          <w:u w:val="none"/>
        </w:rPr>
        <w:t>（复印件）</w:t>
      </w:r>
    </w:p>
    <w:p>
      <w:pPr>
        <w:numPr>
          <w:ilvl w:val="0"/>
          <w:numId w:val="1"/>
        </w:numPr>
        <w:tabs>
          <w:tab w:val="left" w:pos="1260"/>
          <w:tab w:val="left" w:pos="1440"/>
          <w:tab w:val="left" w:pos="1620"/>
        </w:tabs>
        <w:spacing w:line="400" w:lineRule="exact"/>
        <w:ind w:left="567" w:firstLine="0"/>
        <w:rPr>
          <w:rStyle w:val="24"/>
          <w:rFonts w:ascii="宋体" w:hAnsi="宋体" w:eastAsia="Times New Roman"/>
          <w:smallCaps/>
          <w:color w:val="000000" w:themeColor="text1"/>
          <w:sz w:val="24"/>
          <w:u w:val="none"/>
        </w:rPr>
      </w:pPr>
      <w:r>
        <w:rPr>
          <w:rStyle w:val="24"/>
          <w:rFonts w:ascii="宋体" w:hAnsi="宋体" w:eastAsia="Times New Roman"/>
          <w:smallCaps/>
          <w:color w:val="000000" w:themeColor="text1"/>
          <w:sz w:val="24"/>
          <w:u w:val="none"/>
        </w:rPr>
        <w:t>估价机构资质证书</w:t>
      </w:r>
      <w:r>
        <w:rPr>
          <w:rStyle w:val="24"/>
          <w:rFonts w:hint="eastAsia" w:ascii="宋体" w:hAnsi="宋体" w:eastAsiaTheme="minorEastAsia"/>
          <w:smallCaps/>
          <w:color w:val="000000" w:themeColor="text1"/>
          <w:sz w:val="24"/>
          <w:u w:val="none"/>
        </w:rPr>
        <w:t>（复印件）</w:t>
      </w:r>
    </w:p>
    <w:p>
      <w:pPr>
        <w:numPr>
          <w:ilvl w:val="0"/>
          <w:numId w:val="1"/>
        </w:numPr>
        <w:tabs>
          <w:tab w:val="left" w:pos="1260"/>
          <w:tab w:val="left" w:pos="1440"/>
          <w:tab w:val="left" w:pos="1620"/>
        </w:tabs>
        <w:spacing w:line="400" w:lineRule="exact"/>
        <w:ind w:left="567" w:firstLine="0"/>
        <w:rPr>
          <w:rStyle w:val="24"/>
          <w:rFonts w:ascii="宋体" w:hAnsi="宋体" w:eastAsia="Times New Roman"/>
          <w:smallCaps/>
          <w:color w:val="000000" w:themeColor="text1"/>
          <w:sz w:val="24"/>
          <w:u w:val="none"/>
        </w:rPr>
      </w:pPr>
      <w:r>
        <w:rPr>
          <w:rStyle w:val="24"/>
          <w:rFonts w:ascii="宋体" w:hAnsi="宋体" w:eastAsia="Times New Roman"/>
          <w:smallCaps/>
          <w:color w:val="000000" w:themeColor="text1"/>
          <w:sz w:val="24"/>
          <w:u w:val="none"/>
        </w:rPr>
        <w:t>房地产估价师注册证</w:t>
      </w:r>
      <w:r>
        <w:rPr>
          <w:rStyle w:val="24"/>
          <w:rFonts w:hint="eastAsia" w:ascii="宋体" w:hAnsi="宋体" w:eastAsiaTheme="minorEastAsia"/>
          <w:smallCaps/>
          <w:color w:val="000000" w:themeColor="text1"/>
          <w:sz w:val="24"/>
          <w:u w:val="none"/>
        </w:rPr>
        <w:t>书（复印件）</w:t>
      </w:r>
    </w:p>
    <w:p>
      <w:pPr>
        <w:tabs>
          <w:tab w:val="left" w:pos="1260"/>
          <w:tab w:val="left" w:pos="1440"/>
          <w:tab w:val="left" w:pos="1620"/>
        </w:tabs>
        <w:spacing w:line="400" w:lineRule="exact"/>
        <w:rPr>
          <w:sz w:val="24"/>
        </w:rPr>
      </w:pPr>
    </w:p>
    <w:p>
      <w:pPr>
        <w:tabs>
          <w:tab w:val="left" w:pos="1260"/>
          <w:tab w:val="left" w:pos="1440"/>
          <w:tab w:val="left" w:pos="1620"/>
        </w:tabs>
        <w:spacing w:line="400" w:lineRule="exact"/>
        <w:outlineLvl w:val="0"/>
        <w:rPr>
          <w:rFonts w:asciiTheme="majorEastAsia" w:hAnsiTheme="majorEastAsia" w:eastAsiaTheme="majorEastAsia"/>
          <w:b/>
          <w:color w:val="000000" w:themeColor="text1"/>
          <w:sz w:val="28"/>
          <w:szCs w:val="28"/>
        </w:rPr>
      </w:pPr>
    </w:p>
    <w:p>
      <w:pPr>
        <w:tabs>
          <w:tab w:val="left" w:pos="1260"/>
          <w:tab w:val="left" w:pos="1440"/>
          <w:tab w:val="left" w:pos="1620"/>
        </w:tabs>
        <w:spacing w:line="500" w:lineRule="exact"/>
        <w:ind w:left="1021"/>
        <w:jc w:val="center"/>
        <w:outlineLvl w:val="0"/>
        <w:rPr>
          <w:rFonts w:eastAsia="黑体"/>
          <w:b/>
          <w:color w:val="000000" w:themeColor="text1"/>
          <w:sz w:val="48"/>
          <w:szCs w:val="48"/>
        </w:rPr>
        <w:sectPr>
          <w:headerReference r:id="rId3" w:type="default"/>
          <w:pgSz w:w="11906" w:h="16838"/>
          <w:pgMar w:top="1134" w:right="1247" w:bottom="1134" w:left="1247" w:header="850" w:footer="992" w:gutter="0"/>
          <w:pgNumType w:start="1"/>
          <w:cols w:space="425" w:num="1"/>
          <w:docGrid w:linePitch="312" w:charSpace="0"/>
        </w:sectPr>
      </w:pPr>
    </w:p>
    <w:p>
      <w:pPr>
        <w:tabs>
          <w:tab w:val="left" w:pos="1260"/>
          <w:tab w:val="left" w:pos="1440"/>
          <w:tab w:val="left" w:pos="1620"/>
        </w:tabs>
        <w:spacing w:line="500" w:lineRule="exact"/>
        <w:ind w:left="1021"/>
        <w:jc w:val="center"/>
        <w:outlineLvl w:val="0"/>
        <w:rPr>
          <w:rFonts w:eastAsia="黑体"/>
          <w:b/>
          <w:color w:val="000000" w:themeColor="text1"/>
          <w:sz w:val="48"/>
          <w:szCs w:val="48"/>
        </w:rPr>
      </w:pPr>
      <w:bookmarkStart w:id="0" w:name="_Toc461629197"/>
      <w:r>
        <w:rPr>
          <w:rFonts w:eastAsia="黑体"/>
          <w:b/>
          <w:color w:val="000000" w:themeColor="text1"/>
          <w:sz w:val="48"/>
          <w:szCs w:val="48"/>
        </w:rPr>
        <w:t>估价师声明</w:t>
      </w:r>
      <w:bookmarkEnd w:id="0"/>
    </w:p>
    <w:p>
      <w:pPr>
        <w:tabs>
          <w:tab w:val="left" w:pos="1260"/>
          <w:tab w:val="left" w:pos="1440"/>
          <w:tab w:val="left" w:pos="1620"/>
        </w:tabs>
        <w:spacing w:line="500" w:lineRule="exact"/>
        <w:ind w:left="1021"/>
        <w:jc w:val="center"/>
        <w:outlineLvl w:val="0"/>
        <w:rPr>
          <w:rFonts w:ascii="宋体" w:hAnsi="宋体"/>
          <w:b/>
          <w:color w:val="000000" w:themeColor="text1"/>
          <w:sz w:val="28"/>
          <w:szCs w:val="28"/>
        </w:rPr>
      </w:pPr>
    </w:p>
    <w:p>
      <w:pPr>
        <w:spacing w:line="500" w:lineRule="exact"/>
        <w:ind w:firstLine="560" w:firstLineChars="200"/>
        <w:rPr>
          <w:color w:val="000000" w:themeColor="text1"/>
          <w:sz w:val="28"/>
          <w:szCs w:val="28"/>
        </w:rPr>
      </w:pPr>
      <w:r>
        <w:rPr>
          <w:color w:val="000000" w:themeColor="text1"/>
          <w:sz w:val="28"/>
          <w:szCs w:val="28"/>
        </w:rPr>
        <w:t>我们郑重声明：</w:t>
      </w:r>
    </w:p>
    <w:p>
      <w:pPr>
        <w:spacing w:line="500" w:lineRule="exact"/>
        <w:ind w:firstLine="560" w:firstLineChars="200"/>
        <w:rPr>
          <w:color w:val="000000" w:themeColor="text1"/>
          <w:sz w:val="28"/>
          <w:szCs w:val="28"/>
        </w:rPr>
      </w:pPr>
      <w:r>
        <w:rPr>
          <w:color w:val="000000" w:themeColor="text1"/>
          <w:sz w:val="28"/>
          <w:szCs w:val="28"/>
        </w:rPr>
        <w:t>1、注册房地产估价师在估价报告中对事实的说明是真实和准确的，没有虚假记载、误导性陈述和重大遗漏。</w:t>
      </w:r>
    </w:p>
    <w:p>
      <w:pPr>
        <w:spacing w:line="500" w:lineRule="exact"/>
        <w:ind w:firstLine="560" w:firstLineChars="200"/>
        <w:rPr>
          <w:color w:val="000000" w:themeColor="text1"/>
          <w:sz w:val="28"/>
          <w:szCs w:val="28"/>
        </w:rPr>
      </w:pPr>
      <w:r>
        <w:rPr>
          <w:color w:val="000000" w:themeColor="text1"/>
          <w:sz w:val="28"/>
          <w:szCs w:val="28"/>
        </w:rPr>
        <w:t>2、估价报告中的分析、意见和结论是注册房地产估价师独立、客观、公正的专业分析、意见和结论，但受到估价报告中已说明的估价假设和限制条件的限制。</w:t>
      </w:r>
    </w:p>
    <w:p>
      <w:pPr>
        <w:spacing w:line="500" w:lineRule="exact"/>
        <w:ind w:firstLine="560" w:firstLineChars="200"/>
        <w:rPr>
          <w:color w:val="000000" w:themeColor="text1"/>
          <w:sz w:val="28"/>
          <w:szCs w:val="28"/>
        </w:rPr>
      </w:pPr>
      <w:r>
        <w:rPr>
          <w:color w:val="000000" w:themeColor="text1"/>
          <w:sz w:val="28"/>
          <w:szCs w:val="28"/>
        </w:rPr>
        <w:t>3、注册房地产估价师与估价报告中的估价对象没有现实或潜在的利益，与估价委托人及估价利害关系人没有利害关系。</w:t>
      </w:r>
    </w:p>
    <w:p>
      <w:pPr>
        <w:spacing w:line="500" w:lineRule="exact"/>
        <w:ind w:firstLine="560" w:firstLineChars="200"/>
        <w:rPr>
          <w:color w:val="000000" w:themeColor="text1"/>
          <w:sz w:val="28"/>
          <w:szCs w:val="28"/>
        </w:rPr>
      </w:pPr>
      <w:r>
        <w:rPr>
          <w:color w:val="000000" w:themeColor="text1"/>
          <w:sz w:val="28"/>
          <w:szCs w:val="28"/>
        </w:rPr>
        <w:t>4、注册房地产估价师对估价报告中的估价对象、估价委托人及估价利害关系人没有偏见。</w:t>
      </w:r>
    </w:p>
    <w:p>
      <w:pPr>
        <w:spacing w:line="500" w:lineRule="exact"/>
        <w:ind w:firstLine="560" w:firstLineChars="200"/>
        <w:rPr>
          <w:color w:val="000000" w:themeColor="text1"/>
          <w:sz w:val="28"/>
          <w:szCs w:val="28"/>
        </w:rPr>
      </w:pPr>
      <w:r>
        <w:rPr>
          <w:color w:val="000000" w:themeColor="text1"/>
          <w:sz w:val="28"/>
          <w:szCs w:val="28"/>
        </w:rPr>
        <w:t>5、我们依照中华人民共和国国家标准《房地产估价规范》、《房地产估价基本术语标准》以及与估价目的相应的房地产估价专项标准进行分析，形成意见和结论，撰写估价报告。</w:t>
      </w:r>
    </w:p>
    <w:p>
      <w:pPr>
        <w:spacing w:line="500" w:lineRule="exact"/>
        <w:ind w:firstLine="560" w:firstLineChars="200"/>
        <w:rPr>
          <w:color w:val="000000" w:themeColor="text1"/>
          <w:sz w:val="28"/>
          <w:szCs w:val="28"/>
        </w:rPr>
      </w:pPr>
      <w:r>
        <w:rPr>
          <w:color w:val="000000" w:themeColor="text1"/>
          <w:sz w:val="28"/>
          <w:szCs w:val="28"/>
        </w:rPr>
        <w:t>6、注册房地产估价师</w:t>
      </w:r>
      <w:r>
        <w:rPr>
          <w:rFonts w:hint="eastAsia"/>
          <w:color w:val="000000" w:themeColor="text1"/>
          <w:sz w:val="28"/>
          <w:szCs w:val="28"/>
        </w:rPr>
        <w:t>张杰</w:t>
      </w:r>
      <w:r>
        <w:rPr>
          <w:color w:val="000000" w:themeColor="text1"/>
          <w:sz w:val="28"/>
          <w:szCs w:val="28"/>
        </w:rPr>
        <w:t>于</w:t>
      </w:r>
      <w:r>
        <w:rPr>
          <w:rFonts w:hint="eastAsia"/>
          <w:color w:val="000000" w:themeColor="text1"/>
          <w:sz w:val="28"/>
          <w:szCs w:val="28"/>
        </w:rPr>
        <w:t>2020年</w:t>
      </w:r>
      <w:r>
        <w:rPr>
          <w:color w:val="000000" w:themeColor="text1"/>
          <w:sz w:val="28"/>
          <w:szCs w:val="28"/>
        </w:rPr>
        <w:t>09</w:t>
      </w:r>
      <w:r>
        <w:rPr>
          <w:rFonts w:hint="eastAsia"/>
          <w:color w:val="000000" w:themeColor="text1"/>
          <w:sz w:val="28"/>
          <w:szCs w:val="28"/>
        </w:rPr>
        <w:t>月</w:t>
      </w:r>
      <w:r>
        <w:rPr>
          <w:color w:val="000000" w:themeColor="text1"/>
          <w:sz w:val="28"/>
          <w:szCs w:val="28"/>
        </w:rPr>
        <w:t>25</w:t>
      </w:r>
      <w:r>
        <w:rPr>
          <w:rFonts w:hint="eastAsia"/>
          <w:color w:val="000000" w:themeColor="text1"/>
          <w:sz w:val="28"/>
          <w:szCs w:val="28"/>
        </w:rPr>
        <w:t>日</w:t>
      </w:r>
      <w:r>
        <w:rPr>
          <w:color w:val="000000" w:themeColor="text1"/>
          <w:sz w:val="28"/>
          <w:szCs w:val="28"/>
        </w:rPr>
        <w:t>对估价报告中的估价对象进行了实地查勘，注册房地产估价师</w:t>
      </w:r>
      <w:r>
        <w:rPr>
          <w:rFonts w:hint="eastAsia"/>
          <w:color w:val="000000" w:themeColor="text1"/>
          <w:sz w:val="28"/>
          <w:szCs w:val="28"/>
        </w:rPr>
        <w:t>汪震超</w:t>
      </w:r>
      <w:r>
        <w:rPr>
          <w:color w:val="000000" w:themeColor="text1"/>
          <w:sz w:val="28"/>
          <w:szCs w:val="28"/>
        </w:rPr>
        <w:t>未对估价对象进行实地查勘；我们对估价对象的查勘仅限于其外观和使用情况，对被遮盖、未暴露的及难以接触到的部分，依据估价委托人提供的资料进行评估。</w:t>
      </w:r>
    </w:p>
    <w:p>
      <w:pPr>
        <w:spacing w:line="500" w:lineRule="exact"/>
        <w:ind w:firstLine="560" w:firstLineChars="200"/>
        <w:rPr>
          <w:color w:val="000000" w:themeColor="text1"/>
          <w:sz w:val="28"/>
          <w:szCs w:val="28"/>
        </w:rPr>
      </w:pPr>
      <w:r>
        <w:rPr>
          <w:color w:val="000000" w:themeColor="text1"/>
          <w:sz w:val="28"/>
          <w:szCs w:val="28"/>
        </w:rPr>
        <w:t>7、没有外部专家和单位对本估价报告提供重要专业帮助</w:t>
      </w:r>
      <w:r>
        <w:rPr>
          <w:color w:val="000000" w:themeColor="text1"/>
          <w:sz w:val="24"/>
        </w:rPr>
        <w:t>。</w:t>
      </w:r>
    </w:p>
    <w:p>
      <w:pPr>
        <w:spacing w:line="500" w:lineRule="exact"/>
        <w:ind w:firstLine="560" w:firstLineChars="200"/>
        <w:rPr>
          <w:color w:val="000000" w:themeColor="text1"/>
          <w:sz w:val="28"/>
          <w:szCs w:val="28"/>
        </w:rPr>
      </w:pPr>
      <w:r>
        <w:rPr>
          <w:color w:val="000000" w:themeColor="text1"/>
          <w:sz w:val="28"/>
          <w:szCs w:val="28"/>
        </w:rPr>
        <w:t>8、本估价报告依据了委托方提供相关资料，委托方应对资料的真实性、合法性、完整性、准确性和有效性负责。因资料失实造成评估结果有误差的，估价机构和估价人员不承担相应责任。</w:t>
      </w:r>
    </w:p>
    <w:tbl>
      <w:tblPr>
        <w:tblStyle w:val="26"/>
        <w:tblW w:w="8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gridCol w:w="2353"/>
        <w:gridCol w:w="198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5" w:type="dxa"/>
            <w:tcBorders>
              <w:top w:val="single" w:color="auto" w:sz="12" w:space="0"/>
              <w:left w:val="single" w:color="auto" w:sz="12" w:space="0"/>
            </w:tcBorders>
            <w:vAlign w:val="center"/>
          </w:tcPr>
          <w:p>
            <w:pPr>
              <w:tabs>
                <w:tab w:val="left" w:pos="735"/>
              </w:tabs>
              <w:overflowPunct w:val="0"/>
              <w:spacing w:line="312" w:lineRule="auto"/>
              <w:jc w:val="center"/>
              <w:rPr>
                <w:b/>
                <w:color w:val="000000" w:themeColor="text1"/>
                <w:sz w:val="24"/>
              </w:rPr>
            </w:pPr>
            <w:r>
              <w:rPr>
                <w:b/>
                <w:color w:val="000000" w:themeColor="text1"/>
                <w:sz w:val="24"/>
              </w:rPr>
              <w:t>姓  名</w:t>
            </w:r>
          </w:p>
        </w:tc>
        <w:tc>
          <w:tcPr>
            <w:tcW w:w="2353" w:type="dxa"/>
            <w:tcBorders>
              <w:top w:val="single" w:color="auto" w:sz="12" w:space="0"/>
            </w:tcBorders>
            <w:vAlign w:val="center"/>
          </w:tcPr>
          <w:p>
            <w:pPr>
              <w:tabs>
                <w:tab w:val="left" w:pos="735"/>
              </w:tabs>
              <w:wordWrap w:val="0"/>
              <w:overflowPunct w:val="0"/>
              <w:spacing w:line="312" w:lineRule="auto"/>
              <w:jc w:val="center"/>
              <w:rPr>
                <w:b/>
                <w:color w:val="000000" w:themeColor="text1"/>
                <w:sz w:val="24"/>
              </w:rPr>
            </w:pPr>
            <w:r>
              <w:rPr>
                <w:b/>
                <w:color w:val="000000" w:themeColor="text1"/>
                <w:sz w:val="24"/>
              </w:rPr>
              <w:t>注册号</w:t>
            </w:r>
          </w:p>
        </w:tc>
        <w:tc>
          <w:tcPr>
            <w:tcW w:w="1984" w:type="dxa"/>
            <w:tcBorders>
              <w:top w:val="single" w:color="auto" w:sz="12" w:space="0"/>
            </w:tcBorders>
            <w:vAlign w:val="center"/>
          </w:tcPr>
          <w:p>
            <w:pPr>
              <w:tabs>
                <w:tab w:val="left" w:pos="735"/>
              </w:tabs>
              <w:wordWrap w:val="0"/>
              <w:overflowPunct w:val="0"/>
              <w:spacing w:line="312" w:lineRule="auto"/>
              <w:jc w:val="center"/>
              <w:rPr>
                <w:b/>
                <w:color w:val="000000" w:themeColor="text1"/>
                <w:sz w:val="24"/>
              </w:rPr>
            </w:pPr>
            <w:r>
              <w:rPr>
                <w:b/>
                <w:color w:val="000000" w:themeColor="text1"/>
                <w:sz w:val="24"/>
              </w:rPr>
              <w:t>签  名</w:t>
            </w:r>
          </w:p>
        </w:tc>
        <w:tc>
          <w:tcPr>
            <w:tcW w:w="2268" w:type="dxa"/>
            <w:tcBorders>
              <w:top w:val="single" w:color="auto" w:sz="12" w:space="0"/>
              <w:right w:val="single" w:color="auto" w:sz="12" w:space="0"/>
            </w:tcBorders>
            <w:vAlign w:val="center"/>
          </w:tcPr>
          <w:p>
            <w:pPr>
              <w:tabs>
                <w:tab w:val="left" w:pos="735"/>
              </w:tabs>
              <w:wordWrap w:val="0"/>
              <w:overflowPunct w:val="0"/>
              <w:spacing w:line="312" w:lineRule="auto"/>
              <w:jc w:val="center"/>
              <w:rPr>
                <w:b/>
                <w:color w:val="000000" w:themeColor="text1"/>
                <w:sz w:val="24"/>
              </w:rPr>
            </w:pPr>
            <w:r>
              <w:rPr>
                <w:b/>
                <w:color w:val="000000" w:themeColor="text1"/>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5" w:type="dxa"/>
            <w:tcBorders>
              <w:left w:val="single" w:color="auto" w:sz="12" w:space="0"/>
            </w:tcBorders>
            <w:vAlign w:val="center"/>
          </w:tcPr>
          <w:p>
            <w:pPr>
              <w:tabs>
                <w:tab w:val="left" w:pos="735"/>
              </w:tabs>
              <w:wordWrap w:val="0"/>
              <w:overflowPunct w:val="0"/>
              <w:spacing w:line="312" w:lineRule="auto"/>
              <w:jc w:val="cente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汪震超</w:t>
            </w:r>
          </w:p>
        </w:tc>
        <w:tc>
          <w:tcPr>
            <w:tcW w:w="2353" w:type="dxa"/>
            <w:vAlign w:val="center"/>
          </w:tcPr>
          <w:p>
            <w:pPr>
              <w:tabs>
                <w:tab w:val="left" w:pos="735"/>
              </w:tabs>
              <w:wordWrap w:val="0"/>
              <w:overflowPunct w:val="0"/>
              <w:spacing w:line="312"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4220040037</w:t>
            </w:r>
          </w:p>
        </w:tc>
        <w:tc>
          <w:tcPr>
            <w:tcW w:w="1984" w:type="dxa"/>
            <w:vAlign w:val="center"/>
          </w:tcPr>
          <w:p>
            <w:pPr>
              <w:tabs>
                <w:tab w:val="left" w:pos="735"/>
              </w:tabs>
              <w:wordWrap w:val="0"/>
              <w:overflowPunct w:val="0"/>
              <w:spacing w:line="312" w:lineRule="auto"/>
              <w:jc w:val="center"/>
              <w:rPr>
                <w:rFonts w:asciiTheme="minorEastAsia" w:hAnsiTheme="minorEastAsia" w:eastAsiaTheme="minorEastAsia"/>
                <w:color w:val="000000" w:themeColor="text1"/>
                <w:sz w:val="24"/>
              </w:rPr>
            </w:pPr>
          </w:p>
        </w:tc>
        <w:tc>
          <w:tcPr>
            <w:tcW w:w="2268" w:type="dxa"/>
            <w:tcBorders>
              <w:right w:val="single" w:color="auto" w:sz="12" w:space="0"/>
            </w:tcBorders>
            <w:vAlign w:val="center"/>
          </w:tcPr>
          <w:p>
            <w:pPr>
              <w:tabs>
                <w:tab w:val="left" w:pos="735"/>
              </w:tabs>
              <w:wordWrap w:val="0"/>
              <w:overflowPunct w:val="0"/>
              <w:spacing w:line="312"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75" w:type="dxa"/>
            <w:tcBorders>
              <w:left w:val="single" w:color="auto" w:sz="12" w:space="0"/>
              <w:bottom w:val="single" w:color="auto" w:sz="12" w:space="0"/>
            </w:tcBorders>
            <w:vAlign w:val="center"/>
          </w:tcPr>
          <w:p>
            <w:pPr>
              <w:tabs>
                <w:tab w:val="left" w:pos="735"/>
              </w:tabs>
              <w:wordWrap w:val="0"/>
              <w:overflowPunct w:val="0"/>
              <w:spacing w:line="312" w:lineRule="auto"/>
              <w:jc w:val="cente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张  杰</w:t>
            </w:r>
          </w:p>
        </w:tc>
        <w:tc>
          <w:tcPr>
            <w:tcW w:w="2353" w:type="dxa"/>
            <w:tcBorders>
              <w:bottom w:val="single" w:color="auto" w:sz="12" w:space="0"/>
            </w:tcBorders>
            <w:vAlign w:val="center"/>
          </w:tcPr>
          <w:p>
            <w:pPr>
              <w:tabs>
                <w:tab w:val="left" w:pos="735"/>
              </w:tabs>
              <w:wordWrap w:val="0"/>
              <w:overflowPunct w:val="0"/>
              <w:spacing w:line="312"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4220</w:t>
            </w:r>
            <w:r>
              <w:rPr>
                <w:rFonts w:asciiTheme="minorEastAsia" w:hAnsiTheme="minorEastAsia" w:eastAsiaTheme="minorEastAsia"/>
                <w:color w:val="000000" w:themeColor="text1"/>
                <w:sz w:val="24"/>
              </w:rPr>
              <w:t>190036</w:t>
            </w:r>
          </w:p>
        </w:tc>
        <w:tc>
          <w:tcPr>
            <w:tcW w:w="1984" w:type="dxa"/>
            <w:tcBorders>
              <w:bottom w:val="single" w:color="auto" w:sz="12" w:space="0"/>
            </w:tcBorders>
            <w:vAlign w:val="center"/>
          </w:tcPr>
          <w:p>
            <w:pPr>
              <w:tabs>
                <w:tab w:val="left" w:pos="735"/>
              </w:tabs>
              <w:wordWrap w:val="0"/>
              <w:overflowPunct w:val="0"/>
              <w:spacing w:line="312" w:lineRule="auto"/>
              <w:jc w:val="center"/>
              <w:rPr>
                <w:rFonts w:asciiTheme="minorEastAsia" w:hAnsiTheme="minorEastAsia" w:eastAsiaTheme="minorEastAsia"/>
                <w:b/>
                <w:color w:val="000000" w:themeColor="text1"/>
                <w:sz w:val="24"/>
              </w:rPr>
            </w:pPr>
          </w:p>
        </w:tc>
        <w:tc>
          <w:tcPr>
            <w:tcW w:w="2268" w:type="dxa"/>
            <w:tcBorders>
              <w:bottom w:val="single" w:color="auto" w:sz="12" w:space="0"/>
              <w:right w:val="single" w:color="auto" w:sz="12" w:space="0"/>
            </w:tcBorders>
            <w:vAlign w:val="center"/>
          </w:tcPr>
          <w:p>
            <w:pPr>
              <w:tabs>
                <w:tab w:val="left" w:pos="735"/>
              </w:tabs>
              <w:wordWrap w:val="0"/>
              <w:overflowPunct w:val="0"/>
              <w:spacing w:line="312" w:lineRule="auto"/>
              <w:jc w:val="center"/>
              <w:rPr>
                <w:rFonts w:asciiTheme="minorEastAsia" w:hAnsiTheme="minorEastAsia" w:eastAsiaTheme="minorEastAsia"/>
                <w:b/>
                <w:color w:val="000000" w:themeColor="text1"/>
                <w:sz w:val="24"/>
              </w:rPr>
            </w:pPr>
          </w:p>
        </w:tc>
      </w:tr>
    </w:tbl>
    <w:p>
      <w:pPr>
        <w:widowControl/>
        <w:jc w:val="center"/>
        <w:outlineLvl w:val="0"/>
        <w:rPr>
          <w:rFonts w:eastAsia="黑体"/>
          <w:b/>
          <w:sz w:val="44"/>
          <w:szCs w:val="44"/>
        </w:rPr>
      </w:pPr>
      <w:r>
        <w:rPr>
          <w:rFonts w:eastAsia="黑体"/>
          <w:b/>
          <w:color w:val="000000" w:themeColor="text1"/>
          <w:sz w:val="48"/>
          <w:szCs w:val="48"/>
        </w:rPr>
        <w:br w:type="page"/>
      </w:r>
      <w:bookmarkStart w:id="1" w:name="_Toc461629198"/>
      <w:r>
        <w:rPr>
          <w:rFonts w:eastAsia="黑体"/>
          <w:b/>
          <w:sz w:val="48"/>
          <w:szCs w:val="48"/>
        </w:rPr>
        <w:t>估价的假设和限制条件</w:t>
      </w:r>
      <w:bookmarkEnd w:id="1"/>
    </w:p>
    <w:p>
      <w:pPr>
        <w:spacing w:line="500" w:lineRule="exact"/>
        <w:ind w:firstLine="560" w:firstLineChars="200"/>
        <w:jc w:val="center"/>
        <w:outlineLvl w:val="0"/>
        <w:rPr>
          <w:color w:val="000000" w:themeColor="text1"/>
          <w:sz w:val="28"/>
          <w:szCs w:val="28"/>
        </w:rPr>
      </w:pPr>
    </w:p>
    <w:p>
      <w:pPr>
        <w:spacing w:line="500" w:lineRule="exact"/>
        <w:ind w:firstLine="562" w:firstLineChars="200"/>
        <w:rPr>
          <w:b/>
          <w:color w:val="000000" w:themeColor="text1"/>
          <w:sz w:val="28"/>
          <w:szCs w:val="28"/>
        </w:rPr>
      </w:pPr>
      <w:r>
        <w:rPr>
          <w:b/>
          <w:color w:val="000000" w:themeColor="text1"/>
          <w:sz w:val="28"/>
          <w:szCs w:val="28"/>
        </w:rPr>
        <w:t>一、一般假设</w:t>
      </w:r>
    </w:p>
    <w:p>
      <w:pPr>
        <w:pStyle w:val="32"/>
        <w:numPr>
          <w:ilvl w:val="0"/>
          <w:numId w:val="2"/>
        </w:numPr>
        <w:spacing w:line="500" w:lineRule="exact"/>
        <w:ind w:firstLine="1134" w:firstLineChars="0"/>
        <w:rPr>
          <w:color w:val="000000" w:themeColor="text1"/>
          <w:sz w:val="28"/>
          <w:szCs w:val="28"/>
        </w:rPr>
      </w:pPr>
      <w:r>
        <w:rPr>
          <w:color w:val="000000" w:themeColor="text1"/>
          <w:sz w:val="28"/>
          <w:szCs w:val="28"/>
        </w:rPr>
        <w:t>注册房地产估价师对</w:t>
      </w:r>
      <w:r>
        <w:rPr>
          <w:rFonts w:hint="eastAsia"/>
          <w:color w:val="000000" w:themeColor="text1"/>
          <w:sz w:val="28"/>
          <w:szCs w:val="28"/>
        </w:rPr>
        <w:t>委托方</w:t>
      </w:r>
      <w:r>
        <w:rPr>
          <w:color w:val="000000" w:themeColor="text1"/>
          <w:sz w:val="28"/>
          <w:szCs w:val="28"/>
        </w:rPr>
        <w:t>提供的估价对象</w:t>
      </w:r>
      <w:r>
        <w:rPr>
          <w:rFonts w:hint="eastAsia"/>
          <w:color w:val="000000" w:themeColor="text1"/>
          <w:sz w:val="28"/>
          <w:szCs w:val="28"/>
        </w:rPr>
        <w:t>相关资料复印件</w:t>
      </w:r>
      <w:r>
        <w:rPr>
          <w:color w:val="000000" w:themeColor="text1"/>
          <w:sz w:val="28"/>
          <w:szCs w:val="28"/>
        </w:rPr>
        <w:t>内容进行了审慎的检查但未予核实。在无理由怀疑其合法性、真实性、准确性和完整性的情况下，假设利害关系人提供的资料是合法、真实、准确和完整的。</w:t>
      </w:r>
    </w:p>
    <w:p>
      <w:pPr>
        <w:pStyle w:val="32"/>
        <w:numPr>
          <w:ilvl w:val="0"/>
          <w:numId w:val="2"/>
        </w:numPr>
        <w:spacing w:line="500" w:lineRule="exact"/>
        <w:ind w:firstLine="1134" w:firstLineChars="0"/>
        <w:rPr>
          <w:color w:val="000000" w:themeColor="text1"/>
          <w:sz w:val="28"/>
          <w:szCs w:val="28"/>
        </w:rPr>
      </w:pPr>
      <w:r>
        <w:rPr>
          <w:color w:val="000000" w:themeColor="text1"/>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pStyle w:val="32"/>
        <w:numPr>
          <w:ilvl w:val="0"/>
          <w:numId w:val="2"/>
        </w:numPr>
        <w:spacing w:line="500" w:lineRule="exact"/>
        <w:ind w:firstLine="1134" w:firstLineChars="0"/>
        <w:rPr>
          <w:color w:val="000000" w:themeColor="text1"/>
          <w:sz w:val="28"/>
          <w:szCs w:val="28"/>
        </w:rPr>
      </w:pPr>
      <w:r>
        <w:rPr>
          <w:color w:val="000000" w:themeColor="text1"/>
          <w:sz w:val="28"/>
          <w:szCs w:val="28"/>
        </w:rPr>
        <w:t>估价对象房屋建筑面积为</w:t>
      </w:r>
      <w:r>
        <w:rPr>
          <w:rFonts w:hint="eastAsia"/>
          <w:color w:val="000000" w:themeColor="text1"/>
          <w:sz w:val="28"/>
          <w:szCs w:val="28"/>
        </w:rPr>
        <w:t>147.95</w:t>
      </w:r>
      <w:r>
        <w:rPr>
          <w:color w:val="000000" w:themeColor="text1"/>
          <w:sz w:val="28"/>
          <w:szCs w:val="28"/>
        </w:rPr>
        <w:t>平方米，</w:t>
      </w:r>
      <w:r>
        <w:rPr>
          <w:rFonts w:hint="eastAsia"/>
          <w:color w:val="000000" w:themeColor="text1"/>
          <w:sz w:val="28"/>
          <w:szCs w:val="28"/>
        </w:rPr>
        <w:t>数据</w:t>
      </w:r>
      <w:r>
        <w:rPr>
          <w:color w:val="000000" w:themeColor="text1"/>
          <w:sz w:val="28"/>
          <w:szCs w:val="28"/>
        </w:rPr>
        <w:t>来源于委托方提供的</w:t>
      </w:r>
      <w:r>
        <w:rPr>
          <w:rFonts w:hint="eastAsia"/>
          <w:color w:val="000000" w:themeColor="text1"/>
          <w:sz w:val="28"/>
          <w:szCs w:val="28"/>
        </w:rPr>
        <w:t>《预告登记信息》复印件上注明的面积，仅作为本次估价之依据</w:t>
      </w:r>
      <w:r>
        <w:rPr>
          <w:color w:val="000000" w:themeColor="text1"/>
          <w:sz w:val="28"/>
          <w:szCs w:val="28"/>
        </w:rPr>
        <w:t>，</w:t>
      </w:r>
      <w:r>
        <w:rPr>
          <w:rFonts w:hint="eastAsia"/>
          <w:color w:val="000000" w:themeColor="text1"/>
          <w:sz w:val="28"/>
          <w:szCs w:val="28"/>
        </w:rPr>
        <w:t>并</w:t>
      </w:r>
      <w:r>
        <w:rPr>
          <w:color w:val="000000" w:themeColor="text1"/>
          <w:sz w:val="28"/>
          <w:szCs w:val="28"/>
        </w:rPr>
        <w:t>以此为估价的前提条件。</w:t>
      </w:r>
    </w:p>
    <w:p>
      <w:pPr>
        <w:pStyle w:val="32"/>
        <w:numPr>
          <w:ilvl w:val="0"/>
          <w:numId w:val="2"/>
        </w:numPr>
        <w:spacing w:line="500" w:lineRule="exact"/>
        <w:ind w:firstLine="1134" w:firstLineChars="0"/>
        <w:rPr>
          <w:sz w:val="28"/>
          <w:szCs w:val="28"/>
        </w:rPr>
      </w:pPr>
      <w:r>
        <w:rPr>
          <w:rFonts w:hint="eastAsia"/>
          <w:sz w:val="28"/>
          <w:szCs w:val="28"/>
        </w:rPr>
        <w:t>估价对象土地使用权终止日期为2048年11月06日，地类用途为住宅用地，来源于委托方提供的《商品房买卖合同》</w:t>
      </w:r>
      <w:r>
        <w:rPr>
          <w:rFonts w:hint="eastAsia"/>
          <w:color w:val="000000" w:themeColor="text1"/>
          <w:sz w:val="28"/>
          <w:szCs w:val="28"/>
        </w:rPr>
        <w:t>复印件上注明的信息</w:t>
      </w:r>
      <w:r>
        <w:rPr>
          <w:rFonts w:hint="eastAsia"/>
          <w:sz w:val="28"/>
          <w:szCs w:val="28"/>
        </w:rPr>
        <w:t>，</w:t>
      </w:r>
      <w:r>
        <w:rPr>
          <w:rFonts w:hint="eastAsia"/>
          <w:color w:val="000000" w:themeColor="text1"/>
          <w:sz w:val="28"/>
          <w:szCs w:val="28"/>
        </w:rPr>
        <w:t>仅作为本次估价之依据</w:t>
      </w:r>
      <w:r>
        <w:rPr>
          <w:color w:val="000000" w:themeColor="text1"/>
          <w:sz w:val="28"/>
          <w:szCs w:val="28"/>
        </w:rPr>
        <w:t>，</w:t>
      </w:r>
      <w:r>
        <w:rPr>
          <w:rFonts w:hint="eastAsia"/>
          <w:color w:val="000000" w:themeColor="text1"/>
          <w:sz w:val="28"/>
          <w:szCs w:val="28"/>
        </w:rPr>
        <w:t>并</w:t>
      </w:r>
      <w:r>
        <w:rPr>
          <w:color w:val="000000" w:themeColor="text1"/>
          <w:sz w:val="28"/>
          <w:szCs w:val="28"/>
        </w:rPr>
        <w:t>以此为估价的前提条件</w:t>
      </w:r>
      <w:r>
        <w:rPr>
          <w:rFonts w:hint="eastAsia"/>
          <w:sz w:val="28"/>
          <w:szCs w:val="28"/>
        </w:rPr>
        <w:t>。</w:t>
      </w:r>
    </w:p>
    <w:p>
      <w:pPr>
        <w:pStyle w:val="32"/>
        <w:numPr>
          <w:ilvl w:val="0"/>
          <w:numId w:val="2"/>
        </w:numPr>
        <w:spacing w:line="500" w:lineRule="exact"/>
        <w:ind w:firstLine="1134" w:firstLineChars="0"/>
        <w:rPr>
          <w:sz w:val="28"/>
          <w:szCs w:val="28"/>
        </w:rPr>
      </w:pPr>
      <w:r>
        <w:rPr>
          <w:sz w:val="28"/>
          <w:szCs w:val="28"/>
        </w:rPr>
        <w:t>估价对象未办理相关房地产权证书，产权数据来源于</w:t>
      </w:r>
      <w:r>
        <w:rPr>
          <w:rFonts w:hint="eastAsia"/>
          <w:color w:val="000000" w:themeColor="text1"/>
          <w:sz w:val="28"/>
          <w:szCs w:val="28"/>
        </w:rPr>
        <w:t>《预告登记信息》和</w:t>
      </w:r>
      <w:r>
        <w:rPr>
          <w:rFonts w:hint="eastAsia"/>
          <w:sz w:val="28"/>
          <w:szCs w:val="28"/>
        </w:rPr>
        <w:t>《商品房买卖合同》等资料，本次评估假设估价对象能正常办理《不动产权证书》，若最终办理的《不动产权证书》证载建筑面积、土地分摊面积、使用权终止日期等权利信息与本报告设定不一致，应以《不动产权证书》为准，并对本报告作相应的调整。</w:t>
      </w:r>
    </w:p>
    <w:p>
      <w:pPr>
        <w:pStyle w:val="32"/>
        <w:numPr>
          <w:ilvl w:val="0"/>
          <w:numId w:val="2"/>
        </w:numPr>
        <w:spacing w:line="500" w:lineRule="exact"/>
        <w:ind w:firstLine="1134" w:firstLineChars="0"/>
        <w:rPr>
          <w:sz w:val="28"/>
          <w:szCs w:val="28"/>
        </w:rPr>
      </w:pPr>
      <w:r>
        <w:rPr>
          <w:rFonts w:hint="eastAsia"/>
          <w:sz w:val="28"/>
          <w:szCs w:val="28"/>
        </w:rPr>
        <w:t>估价对象登记用途为住宅，实际用途与登记用途一致。本次评估假设估价对象能够按照住宅的用途继续使用，并以此为估价的前提条件。</w:t>
      </w:r>
    </w:p>
    <w:p>
      <w:pPr>
        <w:pStyle w:val="32"/>
        <w:numPr>
          <w:ilvl w:val="0"/>
          <w:numId w:val="2"/>
        </w:numPr>
        <w:spacing w:line="500" w:lineRule="exact"/>
        <w:ind w:firstLine="1134" w:firstLineChars="0"/>
        <w:rPr>
          <w:color w:val="000000" w:themeColor="text1"/>
          <w:sz w:val="28"/>
          <w:szCs w:val="28"/>
        </w:rPr>
      </w:pPr>
      <w:r>
        <w:rPr>
          <w:color w:val="000000" w:themeColor="text1"/>
          <w:sz w:val="28"/>
          <w:szCs w:val="28"/>
        </w:rPr>
        <w:t>根据估价目的，假设估价对象处于以下市场状况：</w:t>
      </w:r>
    </w:p>
    <w:p>
      <w:pPr>
        <w:spacing w:line="500" w:lineRule="exact"/>
        <w:ind w:left="227" w:leftChars="108" w:firstLine="560" w:firstLineChars="200"/>
        <w:rPr>
          <w:color w:val="000000" w:themeColor="text1"/>
          <w:sz w:val="28"/>
          <w:szCs w:val="28"/>
        </w:rPr>
      </w:pPr>
      <w:r>
        <w:rPr>
          <w:color w:val="000000" w:themeColor="text1"/>
          <w:sz w:val="28"/>
          <w:szCs w:val="28"/>
        </w:rPr>
        <w:fldChar w:fldCharType="begin"/>
      </w:r>
      <w:r>
        <w:rPr>
          <w:color w:val="000000" w:themeColor="text1"/>
          <w:sz w:val="28"/>
          <w:szCs w:val="28"/>
        </w:rPr>
        <w:instrText xml:space="preserve">= 1 \* GB3</w:instrText>
      </w:r>
      <w:r>
        <w:rPr>
          <w:color w:val="000000" w:themeColor="text1"/>
          <w:sz w:val="28"/>
          <w:szCs w:val="28"/>
        </w:rPr>
        <w:fldChar w:fldCharType="separate"/>
      </w:r>
      <w:r>
        <w:rPr>
          <w:rFonts w:ascii="宋体" w:hAnsi="宋体"/>
          <w:color w:val="000000" w:themeColor="text1"/>
          <w:sz w:val="28"/>
          <w:szCs w:val="28"/>
        </w:rPr>
        <w:t>①</w:t>
      </w:r>
      <w:r>
        <w:rPr>
          <w:color w:val="000000" w:themeColor="text1"/>
          <w:sz w:val="28"/>
          <w:szCs w:val="28"/>
        </w:rPr>
        <w:fldChar w:fldCharType="end"/>
      </w:r>
      <w:r>
        <w:rPr>
          <w:color w:val="000000" w:themeColor="text1"/>
          <w:sz w:val="28"/>
          <w:szCs w:val="28"/>
        </w:rPr>
        <w:t>适当营销，即估价对象以适当的方式在市场上进行了展示，展示的时间长短可能随市场状况而变化，但足以使估价对象引起一定数量的潜在买者的注意；</w:t>
      </w:r>
    </w:p>
    <w:p>
      <w:pPr>
        <w:spacing w:line="500" w:lineRule="exact"/>
        <w:ind w:left="227" w:leftChars="108" w:firstLine="560" w:firstLineChars="200"/>
        <w:rPr>
          <w:color w:val="000000" w:themeColor="text1"/>
          <w:sz w:val="28"/>
          <w:szCs w:val="28"/>
        </w:rPr>
      </w:pPr>
      <w:r>
        <w:rPr>
          <w:color w:val="000000" w:themeColor="text1"/>
          <w:sz w:val="28"/>
          <w:szCs w:val="28"/>
        </w:rPr>
        <w:fldChar w:fldCharType="begin"/>
      </w:r>
      <w:r>
        <w:rPr>
          <w:color w:val="000000" w:themeColor="text1"/>
          <w:sz w:val="28"/>
          <w:szCs w:val="28"/>
        </w:rPr>
        <w:instrText xml:space="preserve">= 2 \* GB3</w:instrText>
      </w:r>
      <w:r>
        <w:rPr>
          <w:color w:val="000000" w:themeColor="text1"/>
          <w:sz w:val="28"/>
          <w:szCs w:val="28"/>
        </w:rPr>
        <w:fldChar w:fldCharType="separate"/>
      </w:r>
      <w:r>
        <w:rPr>
          <w:color w:val="000000" w:themeColor="text1"/>
          <w:sz w:val="28"/>
          <w:szCs w:val="28"/>
        </w:rPr>
        <w:t>②</w:t>
      </w:r>
      <w:r>
        <w:rPr>
          <w:color w:val="000000" w:themeColor="text1"/>
          <w:sz w:val="28"/>
          <w:szCs w:val="28"/>
        </w:rPr>
        <w:fldChar w:fldCharType="end"/>
      </w:r>
      <w:r>
        <w:rPr>
          <w:color w:val="000000" w:themeColor="text1"/>
          <w:sz w:val="28"/>
          <w:szCs w:val="28"/>
        </w:rPr>
        <w:t>熟悉情况，即买方和卖方都了解估价对象并熟悉市场行情，买方不是盲目的购买，卖方不是盲目的出售；</w:t>
      </w:r>
    </w:p>
    <w:p>
      <w:pPr>
        <w:spacing w:line="500" w:lineRule="exact"/>
        <w:ind w:left="227" w:leftChars="108" w:firstLine="560" w:firstLineChars="200"/>
        <w:rPr>
          <w:color w:val="000000" w:themeColor="text1"/>
          <w:sz w:val="28"/>
          <w:szCs w:val="28"/>
        </w:rPr>
      </w:pPr>
      <w:r>
        <w:rPr>
          <w:color w:val="000000" w:themeColor="text1"/>
          <w:sz w:val="28"/>
          <w:szCs w:val="28"/>
        </w:rPr>
        <w:fldChar w:fldCharType="begin"/>
      </w:r>
      <w:r>
        <w:rPr>
          <w:color w:val="000000" w:themeColor="text1"/>
          <w:sz w:val="28"/>
          <w:szCs w:val="28"/>
        </w:rPr>
        <w:instrText xml:space="preserve">= 3 \* GB3</w:instrText>
      </w:r>
      <w:r>
        <w:rPr>
          <w:color w:val="000000" w:themeColor="text1"/>
          <w:sz w:val="28"/>
          <w:szCs w:val="28"/>
        </w:rPr>
        <w:fldChar w:fldCharType="separate"/>
      </w:r>
      <w:r>
        <w:rPr>
          <w:color w:val="000000" w:themeColor="text1"/>
          <w:sz w:val="28"/>
          <w:szCs w:val="28"/>
        </w:rPr>
        <w:t>③</w:t>
      </w:r>
      <w:r>
        <w:rPr>
          <w:color w:val="000000" w:themeColor="text1"/>
          <w:sz w:val="28"/>
          <w:szCs w:val="28"/>
        </w:rPr>
        <w:fldChar w:fldCharType="end"/>
      </w:r>
      <w:r>
        <w:rPr>
          <w:color w:val="000000" w:themeColor="text1"/>
          <w:sz w:val="28"/>
          <w:szCs w:val="28"/>
        </w:rPr>
        <w:t>谨慎行事，即买方和卖方都是冷静、理性、谨慎的，没有感情用事；</w:t>
      </w:r>
    </w:p>
    <w:p>
      <w:pPr>
        <w:spacing w:line="500" w:lineRule="exact"/>
        <w:ind w:left="227" w:leftChars="108" w:firstLine="560" w:firstLineChars="200"/>
        <w:rPr>
          <w:color w:val="000000" w:themeColor="text1"/>
          <w:sz w:val="28"/>
          <w:szCs w:val="28"/>
        </w:rPr>
      </w:pPr>
      <w:r>
        <w:rPr>
          <w:color w:val="000000" w:themeColor="text1"/>
          <w:sz w:val="28"/>
          <w:szCs w:val="28"/>
        </w:rPr>
        <w:fldChar w:fldCharType="begin"/>
      </w:r>
      <w:r>
        <w:rPr>
          <w:color w:val="000000" w:themeColor="text1"/>
          <w:sz w:val="28"/>
          <w:szCs w:val="28"/>
        </w:rPr>
        <w:instrText xml:space="preserve">= 4 \* GB3</w:instrText>
      </w:r>
      <w:r>
        <w:rPr>
          <w:color w:val="000000" w:themeColor="text1"/>
          <w:sz w:val="28"/>
          <w:szCs w:val="28"/>
        </w:rPr>
        <w:fldChar w:fldCharType="separate"/>
      </w:r>
      <w:r>
        <w:rPr>
          <w:color w:val="000000" w:themeColor="text1"/>
          <w:sz w:val="28"/>
          <w:szCs w:val="28"/>
        </w:rPr>
        <w:t>④</w:t>
      </w:r>
      <w:r>
        <w:rPr>
          <w:color w:val="000000" w:themeColor="text1"/>
          <w:sz w:val="28"/>
          <w:szCs w:val="28"/>
        </w:rPr>
        <w:fldChar w:fldCharType="end"/>
      </w:r>
      <w:r>
        <w:rPr>
          <w:color w:val="000000" w:themeColor="text1"/>
          <w:sz w:val="28"/>
          <w:szCs w:val="28"/>
        </w:rPr>
        <w:t>不受强迫，即买方和卖方都是出于自发需要进行估价对象交易的，买方不是急于购买（不是非买不可），卖方不是急于出售（不是非卖不可），同时买方不是被迫的从特定的卖方那里购买估价对象，卖方不是被迫的将估价对象卖给特定的买方；</w:t>
      </w:r>
    </w:p>
    <w:p>
      <w:pPr>
        <w:spacing w:line="500" w:lineRule="exact"/>
        <w:ind w:left="227" w:leftChars="108" w:firstLine="560" w:firstLineChars="200"/>
        <w:rPr>
          <w:color w:val="000000" w:themeColor="text1"/>
          <w:sz w:val="28"/>
          <w:szCs w:val="28"/>
        </w:rPr>
      </w:pPr>
      <w:r>
        <w:rPr>
          <w:color w:val="000000" w:themeColor="text1"/>
          <w:sz w:val="28"/>
          <w:szCs w:val="28"/>
        </w:rPr>
        <w:fldChar w:fldCharType="begin"/>
      </w:r>
      <w:r>
        <w:rPr>
          <w:color w:val="000000" w:themeColor="text1"/>
          <w:sz w:val="28"/>
          <w:szCs w:val="28"/>
        </w:rPr>
        <w:instrText xml:space="preserve">= 5 \* GB3</w:instrText>
      </w:r>
      <w:r>
        <w:rPr>
          <w:color w:val="000000" w:themeColor="text1"/>
          <w:sz w:val="28"/>
          <w:szCs w:val="28"/>
        </w:rPr>
        <w:fldChar w:fldCharType="separate"/>
      </w:r>
      <w:r>
        <w:rPr>
          <w:color w:val="000000" w:themeColor="text1"/>
          <w:sz w:val="28"/>
          <w:szCs w:val="28"/>
        </w:rPr>
        <w:t>⑤</w:t>
      </w:r>
      <w:r>
        <w:rPr>
          <w:color w:val="000000" w:themeColor="text1"/>
          <w:sz w:val="28"/>
          <w:szCs w:val="28"/>
        </w:rPr>
        <w:fldChar w:fldCharType="end"/>
      </w:r>
      <w:r>
        <w:rPr>
          <w:color w:val="000000" w:themeColor="text1"/>
          <w:sz w:val="28"/>
          <w:szCs w:val="28"/>
        </w:rPr>
        <w:t>公平交易，即买方和买方都是出于自己利益的需要进行的估价对象交易，没有诸如亲友之间、母子公司之间、业主与租户之间等特殊或特别的关系，不是关联交易。</w:t>
      </w:r>
    </w:p>
    <w:p>
      <w:pPr>
        <w:pStyle w:val="32"/>
        <w:numPr>
          <w:ilvl w:val="0"/>
          <w:numId w:val="2"/>
        </w:numPr>
        <w:spacing w:line="500" w:lineRule="exact"/>
        <w:ind w:firstLine="1134" w:firstLineChars="0"/>
        <w:rPr>
          <w:color w:val="000000" w:themeColor="text1"/>
          <w:sz w:val="28"/>
          <w:szCs w:val="28"/>
        </w:rPr>
      </w:pPr>
      <w:r>
        <w:rPr>
          <w:color w:val="000000" w:themeColor="text1"/>
          <w:sz w:val="28"/>
          <w:szCs w:val="28"/>
        </w:rPr>
        <w:t>任何有关估价对象运作方式等符合国家和地方法律、法规。</w:t>
      </w:r>
    </w:p>
    <w:p>
      <w:pPr>
        <w:pStyle w:val="32"/>
        <w:numPr>
          <w:ilvl w:val="0"/>
          <w:numId w:val="2"/>
        </w:numPr>
        <w:spacing w:line="500" w:lineRule="exact"/>
        <w:ind w:firstLine="1134" w:firstLineChars="0"/>
        <w:rPr>
          <w:color w:val="000000" w:themeColor="text1"/>
          <w:sz w:val="28"/>
          <w:szCs w:val="28"/>
        </w:rPr>
      </w:pPr>
      <w:r>
        <w:rPr>
          <w:color w:val="000000" w:themeColor="text1"/>
          <w:sz w:val="28"/>
          <w:szCs w:val="28"/>
        </w:rPr>
        <w:t>在价值时点估价对象通过合法方式取得，产权关系清晰、合法，无所有权和使用权异议。同时未对外投资入股、转让，未发生任何产权转移行为。</w:t>
      </w:r>
    </w:p>
    <w:p>
      <w:pPr>
        <w:pStyle w:val="32"/>
        <w:numPr>
          <w:ilvl w:val="0"/>
          <w:numId w:val="2"/>
        </w:numPr>
        <w:spacing w:line="500" w:lineRule="exact"/>
        <w:ind w:firstLine="1134" w:firstLineChars="0"/>
        <w:rPr>
          <w:color w:val="000000" w:themeColor="text1"/>
          <w:sz w:val="28"/>
          <w:szCs w:val="28"/>
        </w:rPr>
      </w:pPr>
      <w:r>
        <w:rPr>
          <w:color w:val="000000" w:themeColor="text1"/>
          <w:sz w:val="28"/>
          <w:szCs w:val="28"/>
        </w:rPr>
        <w:t>在估价过程中，我们假定该物业的所有权人能在公开市场上出售该物业，且不包含所有权人凭借递延条件合约、售后租回、合作经营、管理协议等附加条件以抬高该物业权益价值的情况，也不存在任何留置权和要求权。</w:t>
      </w:r>
    </w:p>
    <w:p>
      <w:pPr>
        <w:pStyle w:val="32"/>
        <w:numPr>
          <w:ilvl w:val="0"/>
          <w:numId w:val="2"/>
        </w:numPr>
        <w:spacing w:line="500" w:lineRule="exact"/>
        <w:ind w:firstLine="1134" w:firstLineChars="0"/>
        <w:rPr>
          <w:color w:val="000000" w:themeColor="text1"/>
          <w:sz w:val="28"/>
          <w:szCs w:val="28"/>
        </w:rPr>
      </w:pPr>
      <w:r>
        <w:rPr>
          <w:snapToGrid w:val="0"/>
          <w:color w:val="000000" w:themeColor="text1"/>
          <w:kern w:val="0"/>
          <w:sz w:val="28"/>
          <w:szCs w:val="28"/>
        </w:rPr>
        <w:t>委托方未对估价对象进行任何方式的销售或者出租，本次估价是以估价对象未有任何方式的销售、未与任何一方签署针对于估价对象的无限期或影响估价对象价值的租赁协议为假设前提。</w:t>
      </w:r>
    </w:p>
    <w:p>
      <w:pPr>
        <w:spacing w:line="500" w:lineRule="exact"/>
        <w:ind w:firstLine="560" w:firstLineChars="200"/>
        <w:rPr>
          <w:b/>
          <w:color w:val="000000" w:themeColor="text1"/>
          <w:sz w:val="28"/>
          <w:szCs w:val="28"/>
        </w:rPr>
      </w:pPr>
      <w:r>
        <w:rPr>
          <w:color w:val="000000" w:themeColor="text1"/>
          <w:sz w:val="28"/>
          <w:szCs w:val="28"/>
        </w:rPr>
        <w:t xml:space="preserve"> </w:t>
      </w:r>
      <w:r>
        <w:rPr>
          <w:b/>
          <w:color w:val="000000" w:themeColor="text1"/>
          <w:sz w:val="28"/>
          <w:szCs w:val="28"/>
        </w:rPr>
        <w:t>二、未定事项假设</w:t>
      </w:r>
    </w:p>
    <w:p>
      <w:pPr>
        <w:spacing w:line="500" w:lineRule="exact"/>
        <w:ind w:left="141" w:leftChars="67" w:firstLine="560" w:firstLineChars="200"/>
        <w:rPr>
          <w:color w:val="000000" w:themeColor="text1"/>
          <w:sz w:val="28"/>
          <w:szCs w:val="28"/>
        </w:rPr>
      </w:pPr>
      <w:r>
        <w:rPr>
          <w:rFonts w:hint="eastAsia"/>
          <w:sz w:val="28"/>
          <w:szCs w:val="28"/>
        </w:rPr>
        <w:t>估价对象产权证书未记载房屋建成年份，根据房地产估价师现场问询当事人，房屋建成年份为20</w:t>
      </w:r>
      <w:r>
        <w:rPr>
          <w:sz w:val="28"/>
          <w:szCs w:val="28"/>
        </w:rPr>
        <w:t>10</w:t>
      </w:r>
      <w:r>
        <w:rPr>
          <w:rFonts w:hint="eastAsia"/>
          <w:sz w:val="28"/>
          <w:szCs w:val="28"/>
        </w:rPr>
        <w:t>年，本次评估以实际调查结果为准，并以此为估价的前提条件</w:t>
      </w:r>
      <w:r>
        <w:rPr>
          <w:sz w:val="28"/>
          <w:szCs w:val="28"/>
        </w:rPr>
        <w:t>。</w:t>
      </w:r>
    </w:p>
    <w:p>
      <w:pPr>
        <w:spacing w:line="500" w:lineRule="exact"/>
        <w:ind w:firstLine="562" w:firstLineChars="200"/>
        <w:rPr>
          <w:color w:val="000000" w:themeColor="text1"/>
          <w:sz w:val="28"/>
          <w:szCs w:val="28"/>
        </w:rPr>
      </w:pPr>
      <w:r>
        <w:rPr>
          <w:b/>
          <w:color w:val="000000" w:themeColor="text1"/>
          <w:sz w:val="28"/>
          <w:szCs w:val="28"/>
        </w:rPr>
        <w:t>三、背离事实假设</w:t>
      </w:r>
    </w:p>
    <w:p>
      <w:pPr>
        <w:spacing w:line="500" w:lineRule="exact"/>
        <w:ind w:firstLine="560" w:firstLineChars="200"/>
        <w:rPr>
          <w:color w:val="000000" w:themeColor="text1"/>
          <w:sz w:val="28"/>
          <w:szCs w:val="28"/>
        </w:rPr>
      </w:pPr>
      <w:r>
        <w:rPr>
          <w:rFonts w:hint="eastAsia"/>
          <w:color w:val="000000" w:themeColor="text1"/>
          <w:sz w:val="28"/>
          <w:szCs w:val="28"/>
        </w:rPr>
        <w:t>无背离事实假设。</w:t>
      </w:r>
    </w:p>
    <w:p>
      <w:pPr>
        <w:spacing w:line="500" w:lineRule="exact"/>
        <w:ind w:firstLine="562" w:firstLineChars="200"/>
        <w:rPr>
          <w:color w:val="000000" w:themeColor="text1"/>
          <w:sz w:val="28"/>
          <w:szCs w:val="28"/>
        </w:rPr>
      </w:pPr>
      <w:r>
        <w:rPr>
          <w:b/>
          <w:color w:val="000000" w:themeColor="text1"/>
          <w:sz w:val="28"/>
          <w:szCs w:val="28"/>
        </w:rPr>
        <w:t>四、不相一致假设</w:t>
      </w:r>
    </w:p>
    <w:p>
      <w:pPr>
        <w:spacing w:line="500" w:lineRule="exact"/>
        <w:ind w:firstLine="560" w:firstLineChars="200"/>
        <w:rPr>
          <w:color w:val="000000" w:themeColor="text1"/>
          <w:sz w:val="28"/>
          <w:szCs w:val="28"/>
        </w:rPr>
      </w:pPr>
      <w:r>
        <w:rPr>
          <w:rFonts w:hint="eastAsia"/>
          <w:color w:val="000000" w:themeColor="text1"/>
          <w:sz w:val="28"/>
          <w:szCs w:val="28"/>
        </w:rPr>
        <w:t>无不相一致假设。</w:t>
      </w:r>
    </w:p>
    <w:p>
      <w:pPr>
        <w:spacing w:line="500" w:lineRule="exact"/>
        <w:ind w:firstLine="562" w:firstLineChars="200"/>
        <w:rPr>
          <w:color w:val="000000" w:themeColor="text1"/>
          <w:sz w:val="28"/>
          <w:szCs w:val="28"/>
        </w:rPr>
      </w:pPr>
      <w:r>
        <w:rPr>
          <w:b/>
          <w:color w:val="000000" w:themeColor="text1"/>
          <w:sz w:val="28"/>
          <w:szCs w:val="28"/>
        </w:rPr>
        <w:t>五、依据不足假设</w:t>
      </w:r>
    </w:p>
    <w:p>
      <w:pPr>
        <w:widowControl/>
        <w:spacing w:line="500" w:lineRule="exact"/>
        <w:ind w:firstLine="560" w:firstLineChars="200"/>
        <w:jc w:val="left"/>
        <w:rPr>
          <w:color w:val="000000" w:themeColor="text1"/>
          <w:sz w:val="28"/>
          <w:szCs w:val="28"/>
        </w:rPr>
      </w:pPr>
      <w:r>
        <w:rPr>
          <w:rFonts w:hint="eastAsia"/>
          <w:color w:val="000000" w:themeColor="text1"/>
          <w:sz w:val="28"/>
          <w:szCs w:val="28"/>
        </w:rPr>
        <w:t>委托方</w:t>
      </w:r>
      <w:r>
        <w:rPr>
          <w:color w:val="000000" w:themeColor="text1"/>
          <w:sz w:val="28"/>
          <w:szCs w:val="28"/>
        </w:rPr>
        <w:t>所提供的</w:t>
      </w:r>
      <w:r>
        <w:rPr>
          <w:rFonts w:hint="eastAsia"/>
          <w:color w:val="000000" w:themeColor="text1"/>
          <w:sz w:val="28"/>
          <w:szCs w:val="28"/>
        </w:rPr>
        <w:t>《预告登记信息》、《商品房买卖合同》等</w:t>
      </w:r>
      <w:r>
        <w:rPr>
          <w:color w:val="000000" w:themeColor="text1"/>
          <w:sz w:val="28"/>
          <w:szCs w:val="28"/>
        </w:rPr>
        <w:t>资料均为复印件，未提供原件。我们进行了审慎的检查但未与原件核实，在无理由怀疑其真实的情况下，假设</w:t>
      </w:r>
      <w:r>
        <w:rPr>
          <w:rFonts w:hint="eastAsia"/>
          <w:color w:val="000000" w:themeColor="text1"/>
          <w:sz w:val="28"/>
          <w:szCs w:val="28"/>
        </w:rPr>
        <w:t>委托方</w:t>
      </w:r>
      <w:r>
        <w:rPr>
          <w:color w:val="000000" w:themeColor="text1"/>
          <w:sz w:val="28"/>
          <w:szCs w:val="28"/>
        </w:rPr>
        <w:t>提供的资料是真实的且与原件一致。</w:t>
      </w:r>
    </w:p>
    <w:p>
      <w:pPr>
        <w:spacing w:line="500" w:lineRule="exact"/>
        <w:ind w:firstLine="562" w:firstLineChars="200"/>
        <w:rPr>
          <w:b/>
          <w:color w:val="000000" w:themeColor="text1"/>
          <w:sz w:val="28"/>
          <w:szCs w:val="28"/>
        </w:rPr>
      </w:pPr>
      <w:r>
        <w:rPr>
          <w:b/>
          <w:color w:val="000000" w:themeColor="text1"/>
          <w:sz w:val="28"/>
          <w:szCs w:val="28"/>
        </w:rPr>
        <w:t>六、估价报告使用限制</w:t>
      </w:r>
    </w:p>
    <w:p>
      <w:pPr>
        <w:spacing w:line="500" w:lineRule="exact"/>
        <w:ind w:firstLine="560" w:firstLineChars="200"/>
        <w:rPr>
          <w:color w:val="000000" w:themeColor="text1"/>
          <w:sz w:val="28"/>
          <w:szCs w:val="28"/>
        </w:rPr>
      </w:pPr>
      <w:r>
        <w:rPr>
          <w:color w:val="000000" w:themeColor="text1"/>
          <w:sz w:val="28"/>
          <w:szCs w:val="28"/>
        </w:rPr>
        <w:t>1、本报告受估价的假设前提限制，若发现并证实假设与事实不符合、假设依据与事实不符合或产生变化时，本报告无效或作相应调整。</w:t>
      </w:r>
    </w:p>
    <w:p>
      <w:pPr>
        <w:spacing w:line="500" w:lineRule="exact"/>
        <w:ind w:firstLine="560" w:firstLineChars="200"/>
        <w:rPr>
          <w:color w:val="000000" w:themeColor="text1"/>
          <w:sz w:val="28"/>
          <w:szCs w:val="28"/>
        </w:rPr>
      </w:pPr>
      <w:r>
        <w:rPr>
          <w:color w:val="000000" w:themeColor="text1"/>
          <w:sz w:val="28"/>
          <w:szCs w:val="28"/>
        </w:rPr>
        <w:t>2、本报告对估价对象市场价格的把握，仅对于价值时点市场状况及估价对象的现状而言，使用者在运用本报告的结果时应予以充分考虑。</w:t>
      </w:r>
    </w:p>
    <w:p>
      <w:pPr>
        <w:spacing w:line="500" w:lineRule="exact"/>
        <w:ind w:firstLine="560" w:firstLineChars="200"/>
        <w:rPr>
          <w:color w:val="000000" w:themeColor="text1"/>
          <w:sz w:val="28"/>
          <w:szCs w:val="28"/>
        </w:rPr>
      </w:pPr>
      <w:r>
        <w:rPr>
          <w:color w:val="000000" w:themeColor="text1"/>
          <w:sz w:val="28"/>
          <w:szCs w:val="28"/>
        </w:rPr>
        <w:t>3、本次估价结果未考虑国家宏观经济政策发生重大变化以及遇有自然力和其他不可抗力对估价结论的影响。</w:t>
      </w:r>
    </w:p>
    <w:p>
      <w:pPr>
        <w:spacing w:line="500" w:lineRule="exact"/>
        <w:ind w:firstLine="560" w:firstLineChars="200"/>
        <w:rPr>
          <w:color w:val="000000" w:themeColor="text1"/>
          <w:sz w:val="28"/>
          <w:szCs w:val="28"/>
        </w:rPr>
      </w:pPr>
      <w:r>
        <w:rPr>
          <w:color w:val="000000" w:themeColor="text1"/>
          <w:sz w:val="28"/>
          <w:szCs w:val="28"/>
        </w:rPr>
        <w:t>4、本估价报告仅为</w:t>
      </w:r>
      <w:r>
        <w:rPr>
          <w:rFonts w:hint="eastAsia"/>
          <w:sz w:val="28"/>
          <w:szCs w:val="28"/>
        </w:rPr>
        <w:t>人民法院确定财产处置参考价提供参考依据</w:t>
      </w:r>
      <w:r>
        <w:rPr>
          <w:color w:val="000000" w:themeColor="text1"/>
          <w:sz w:val="28"/>
          <w:szCs w:val="28"/>
        </w:rPr>
        <w:t>，不作其他用途。</w:t>
      </w:r>
    </w:p>
    <w:p>
      <w:pPr>
        <w:spacing w:line="500" w:lineRule="exact"/>
        <w:ind w:firstLine="560" w:firstLineChars="200"/>
        <w:rPr>
          <w:color w:val="000000" w:themeColor="text1"/>
          <w:sz w:val="28"/>
          <w:szCs w:val="28"/>
        </w:rPr>
      </w:pPr>
      <w:r>
        <w:rPr>
          <w:color w:val="000000" w:themeColor="text1"/>
          <w:sz w:val="28"/>
          <w:szCs w:val="28"/>
        </w:rPr>
        <w:t>5、本估价报告的有效期自出具估价报告之日起为一年。在有效期内实现估价目的时，可以以本报告及估价结果的应用日期与估价结果作为衡量估价对象价值的参考依据，超过有效期范围，须重新进行估价（当房地产市场状况或房地产政策法规发生重大变化和调整时，该有效期应相应调整）。</w:t>
      </w:r>
    </w:p>
    <w:p>
      <w:pPr>
        <w:spacing w:line="500" w:lineRule="exact"/>
        <w:ind w:firstLine="560" w:firstLineChars="200"/>
        <w:rPr>
          <w:color w:val="000000" w:themeColor="text1"/>
          <w:sz w:val="28"/>
          <w:szCs w:val="28"/>
        </w:rPr>
      </w:pPr>
      <w:r>
        <w:rPr>
          <w:color w:val="000000" w:themeColor="text1"/>
          <w:sz w:val="28"/>
          <w:szCs w:val="28"/>
        </w:rPr>
        <w:t>6、本报告的最终解释权由黄冈市海正房地产评估有限公司所有。</w:t>
      </w:r>
    </w:p>
    <w:p>
      <w:pPr>
        <w:spacing w:line="14" w:lineRule="exact"/>
        <w:rPr>
          <w:color w:val="FFFFFF" w:themeColor="background1"/>
          <w:sz w:val="10"/>
          <w:szCs w:val="10"/>
        </w:rPr>
      </w:pPr>
      <w:r>
        <w:rPr>
          <w:rFonts w:hint="eastAsia"/>
          <w:color w:val="FFFFFF" w:themeColor="background1"/>
          <w:sz w:val="10"/>
          <w:szCs w:val="10"/>
        </w:rPr>
        <w:t>【页眉_估价地址】【页眉_房屋所有权人</w:t>
      </w:r>
    </w:p>
    <w:p>
      <w:pPr>
        <w:widowControl/>
        <w:jc w:val="left"/>
        <w:rPr>
          <w:rFonts w:eastAsia="黑体"/>
          <w:b/>
          <w:color w:val="000000" w:themeColor="text1"/>
          <w:sz w:val="48"/>
          <w:szCs w:val="48"/>
        </w:rPr>
      </w:pPr>
      <w:bookmarkStart w:id="2" w:name="_Toc461629199"/>
      <w:r>
        <w:rPr>
          <w:rFonts w:eastAsia="黑体"/>
          <w:b/>
          <w:color w:val="000000" w:themeColor="text1"/>
          <w:sz w:val="48"/>
          <w:szCs w:val="48"/>
        </w:rPr>
        <w:br w:type="page"/>
      </w:r>
    </w:p>
    <w:p>
      <w:pPr>
        <w:spacing w:line="500" w:lineRule="exact"/>
        <w:jc w:val="center"/>
        <w:outlineLvl w:val="0"/>
        <w:rPr>
          <w:rFonts w:eastAsia="黑体"/>
          <w:b/>
          <w:color w:val="000000" w:themeColor="text1"/>
          <w:sz w:val="48"/>
          <w:szCs w:val="48"/>
        </w:rPr>
      </w:pPr>
      <w:r>
        <w:rPr>
          <w:rFonts w:eastAsia="黑体"/>
          <w:b/>
          <w:color w:val="000000" w:themeColor="text1"/>
          <w:sz w:val="48"/>
          <w:szCs w:val="48"/>
        </w:rPr>
        <w:t>估价结果报告</w:t>
      </w:r>
      <w:bookmarkEnd w:id="2"/>
    </w:p>
    <w:p>
      <w:pPr>
        <w:spacing w:line="500" w:lineRule="exact"/>
        <w:jc w:val="center"/>
        <w:outlineLvl w:val="0"/>
        <w:rPr>
          <w:rFonts w:ascii="宋体" w:hAnsi="宋体"/>
          <w:b/>
          <w:color w:val="000000" w:themeColor="text1"/>
          <w:sz w:val="28"/>
          <w:szCs w:val="28"/>
        </w:rPr>
      </w:pPr>
    </w:p>
    <w:p>
      <w:pPr>
        <w:numPr>
          <w:ilvl w:val="0"/>
          <w:numId w:val="3"/>
        </w:numPr>
        <w:spacing w:line="500" w:lineRule="exact"/>
        <w:outlineLvl w:val="1"/>
        <w:rPr>
          <w:b/>
          <w:color w:val="000000" w:themeColor="text1"/>
          <w:sz w:val="28"/>
          <w:szCs w:val="28"/>
        </w:rPr>
      </w:pPr>
      <w:bookmarkStart w:id="3" w:name="_Toc461629200"/>
      <w:r>
        <w:rPr>
          <w:b/>
          <w:color w:val="000000" w:themeColor="text1"/>
          <w:sz w:val="28"/>
          <w:szCs w:val="28"/>
        </w:rPr>
        <w:t>估价委托人</w:t>
      </w:r>
      <w:bookmarkEnd w:id="3"/>
    </w:p>
    <w:p>
      <w:pPr>
        <w:numPr>
          <w:ilvl w:val="0"/>
          <w:numId w:val="4"/>
        </w:numPr>
        <w:tabs>
          <w:tab w:val="left" w:pos="540"/>
          <w:tab w:val="left" w:pos="720"/>
          <w:tab w:val="left" w:pos="900"/>
        </w:tabs>
        <w:spacing w:line="500" w:lineRule="exact"/>
        <w:ind w:left="0" w:firstLine="560" w:firstLineChars="200"/>
        <w:rPr>
          <w:color w:val="000000" w:themeColor="text1"/>
          <w:sz w:val="28"/>
          <w:szCs w:val="28"/>
        </w:rPr>
      </w:pPr>
      <w:r>
        <w:rPr>
          <w:color w:val="000000" w:themeColor="text1"/>
          <w:sz w:val="28"/>
          <w:szCs w:val="28"/>
        </w:rPr>
        <w:t>委托人名称：</w:t>
      </w:r>
      <w:r>
        <w:rPr>
          <w:rFonts w:hint="eastAsia"/>
          <w:color w:val="000000" w:themeColor="text1"/>
          <w:sz w:val="28"/>
          <w:szCs w:val="28"/>
        </w:rPr>
        <w:t>武穴市人民法院</w:t>
      </w:r>
    </w:p>
    <w:p>
      <w:pPr>
        <w:numPr>
          <w:ilvl w:val="0"/>
          <w:numId w:val="4"/>
        </w:numPr>
        <w:tabs>
          <w:tab w:val="left" w:pos="540"/>
          <w:tab w:val="left" w:pos="720"/>
          <w:tab w:val="left" w:pos="900"/>
        </w:tabs>
        <w:spacing w:line="500" w:lineRule="exact"/>
        <w:ind w:left="0" w:firstLine="560" w:firstLineChars="200"/>
        <w:rPr>
          <w:color w:val="000000" w:themeColor="text1"/>
          <w:sz w:val="28"/>
          <w:szCs w:val="28"/>
        </w:rPr>
      </w:pPr>
      <w:r>
        <w:rPr>
          <w:rFonts w:hint="eastAsia"/>
          <w:color w:val="000000" w:themeColor="text1"/>
          <w:sz w:val="28"/>
          <w:szCs w:val="28"/>
        </w:rPr>
        <w:t>地址</w:t>
      </w:r>
      <w:r>
        <w:rPr>
          <w:color w:val="000000" w:themeColor="text1"/>
          <w:sz w:val="28"/>
          <w:szCs w:val="28"/>
        </w:rPr>
        <w:t>：</w:t>
      </w:r>
      <w:r>
        <w:rPr>
          <w:rFonts w:hint="eastAsia"/>
          <w:color w:val="000000" w:themeColor="text1"/>
          <w:sz w:val="28"/>
          <w:szCs w:val="28"/>
        </w:rPr>
        <w:t>武穴市城东新区</w:t>
      </w:r>
    </w:p>
    <w:p>
      <w:pPr>
        <w:numPr>
          <w:ilvl w:val="0"/>
          <w:numId w:val="4"/>
        </w:numPr>
        <w:tabs>
          <w:tab w:val="left" w:pos="540"/>
          <w:tab w:val="left" w:pos="720"/>
          <w:tab w:val="left" w:pos="900"/>
        </w:tabs>
        <w:spacing w:line="500" w:lineRule="exact"/>
        <w:ind w:left="0" w:firstLine="560" w:firstLineChars="200"/>
        <w:rPr>
          <w:color w:val="000000" w:themeColor="text1"/>
          <w:sz w:val="28"/>
          <w:szCs w:val="28"/>
        </w:rPr>
      </w:pPr>
      <w:r>
        <w:rPr>
          <w:color w:val="000000" w:themeColor="text1"/>
          <w:sz w:val="28"/>
          <w:szCs w:val="28"/>
        </w:rPr>
        <w:t>联系电话：18008610333</w:t>
      </w:r>
    </w:p>
    <w:p>
      <w:pPr>
        <w:numPr>
          <w:ilvl w:val="0"/>
          <w:numId w:val="3"/>
        </w:numPr>
        <w:spacing w:line="500" w:lineRule="exact"/>
        <w:outlineLvl w:val="1"/>
        <w:rPr>
          <w:b/>
          <w:color w:val="000000" w:themeColor="text1"/>
          <w:sz w:val="28"/>
          <w:szCs w:val="28"/>
        </w:rPr>
      </w:pPr>
      <w:bookmarkStart w:id="4" w:name="_Toc461629201"/>
      <w:r>
        <w:rPr>
          <w:b/>
          <w:color w:val="000000" w:themeColor="text1"/>
          <w:sz w:val="28"/>
          <w:szCs w:val="28"/>
        </w:rPr>
        <w:t>估价方</w:t>
      </w:r>
      <w:bookmarkEnd w:id="4"/>
    </w:p>
    <w:p>
      <w:pPr>
        <w:numPr>
          <w:ilvl w:val="0"/>
          <w:numId w:val="5"/>
        </w:numPr>
        <w:tabs>
          <w:tab w:val="left" w:pos="540"/>
          <w:tab w:val="left" w:pos="720"/>
          <w:tab w:val="left" w:pos="900"/>
          <w:tab w:val="left" w:pos="1260"/>
          <w:tab w:val="clear" w:pos="1137"/>
        </w:tabs>
        <w:spacing w:line="500" w:lineRule="exact"/>
        <w:ind w:left="0" w:firstLine="560" w:firstLineChars="200"/>
        <w:rPr>
          <w:sz w:val="28"/>
          <w:szCs w:val="28"/>
        </w:rPr>
      </w:pPr>
      <w:r>
        <w:rPr>
          <w:sz w:val="28"/>
          <w:szCs w:val="28"/>
        </w:rPr>
        <w:t>机构名称：黄冈市海正房地产评估有限公司</w:t>
      </w:r>
    </w:p>
    <w:p>
      <w:pPr>
        <w:numPr>
          <w:ilvl w:val="0"/>
          <w:numId w:val="5"/>
        </w:numPr>
        <w:tabs>
          <w:tab w:val="left" w:pos="540"/>
          <w:tab w:val="left" w:pos="720"/>
          <w:tab w:val="left" w:pos="900"/>
          <w:tab w:val="left" w:pos="1260"/>
          <w:tab w:val="clear" w:pos="1137"/>
        </w:tabs>
        <w:spacing w:line="500" w:lineRule="exact"/>
        <w:ind w:left="0" w:firstLine="560" w:firstLineChars="200"/>
        <w:rPr>
          <w:sz w:val="28"/>
          <w:szCs w:val="28"/>
        </w:rPr>
      </w:pPr>
      <w:r>
        <w:rPr>
          <w:sz w:val="28"/>
          <w:szCs w:val="28"/>
        </w:rPr>
        <w:t>法定代表人：</w:t>
      </w:r>
      <w:r>
        <w:rPr>
          <w:rFonts w:hint="eastAsia"/>
          <w:sz w:val="28"/>
          <w:szCs w:val="28"/>
        </w:rPr>
        <w:t>付险峰</w:t>
      </w:r>
    </w:p>
    <w:p>
      <w:pPr>
        <w:numPr>
          <w:ilvl w:val="0"/>
          <w:numId w:val="5"/>
        </w:numPr>
        <w:tabs>
          <w:tab w:val="left" w:pos="540"/>
          <w:tab w:val="left" w:pos="720"/>
          <w:tab w:val="left" w:pos="900"/>
          <w:tab w:val="left" w:pos="1260"/>
          <w:tab w:val="clear" w:pos="1137"/>
        </w:tabs>
        <w:spacing w:line="500" w:lineRule="exact"/>
        <w:ind w:left="0" w:firstLine="560" w:firstLineChars="200"/>
        <w:rPr>
          <w:sz w:val="28"/>
          <w:szCs w:val="28"/>
        </w:rPr>
      </w:pPr>
      <w:r>
        <w:rPr>
          <w:rFonts w:hint="eastAsia"/>
          <w:sz w:val="28"/>
          <w:szCs w:val="28"/>
        </w:rPr>
        <w:t>工商注册号：91421100730853961B</w:t>
      </w:r>
    </w:p>
    <w:p>
      <w:pPr>
        <w:numPr>
          <w:ilvl w:val="0"/>
          <w:numId w:val="5"/>
        </w:numPr>
        <w:tabs>
          <w:tab w:val="left" w:pos="540"/>
          <w:tab w:val="left" w:pos="720"/>
          <w:tab w:val="left" w:pos="900"/>
          <w:tab w:val="left" w:pos="1260"/>
          <w:tab w:val="clear" w:pos="1137"/>
        </w:tabs>
        <w:spacing w:line="500" w:lineRule="exact"/>
        <w:ind w:left="0" w:firstLine="560" w:firstLineChars="200"/>
        <w:rPr>
          <w:sz w:val="28"/>
          <w:szCs w:val="28"/>
        </w:rPr>
      </w:pPr>
      <w:r>
        <w:rPr>
          <w:sz w:val="28"/>
          <w:szCs w:val="28"/>
        </w:rPr>
        <w:t>机构地址：黄州区西湖二路56号黄冈房地产二楼</w:t>
      </w:r>
    </w:p>
    <w:p>
      <w:pPr>
        <w:numPr>
          <w:ilvl w:val="0"/>
          <w:numId w:val="5"/>
        </w:numPr>
        <w:tabs>
          <w:tab w:val="left" w:pos="540"/>
          <w:tab w:val="left" w:pos="720"/>
          <w:tab w:val="left" w:pos="900"/>
          <w:tab w:val="left" w:pos="1260"/>
          <w:tab w:val="clear" w:pos="1137"/>
        </w:tabs>
        <w:spacing w:line="500" w:lineRule="exact"/>
        <w:ind w:left="0" w:firstLine="560" w:firstLineChars="200"/>
        <w:rPr>
          <w:sz w:val="28"/>
          <w:szCs w:val="28"/>
        </w:rPr>
      </w:pPr>
      <w:r>
        <w:rPr>
          <w:sz w:val="28"/>
          <w:szCs w:val="28"/>
        </w:rPr>
        <w:t>房地产估价机构等级：贰级</w:t>
      </w:r>
    </w:p>
    <w:p>
      <w:pPr>
        <w:numPr>
          <w:ilvl w:val="0"/>
          <w:numId w:val="5"/>
        </w:numPr>
        <w:tabs>
          <w:tab w:val="left" w:pos="540"/>
          <w:tab w:val="left" w:pos="720"/>
          <w:tab w:val="left" w:pos="900"/>
          <w:tab w:val="left" w:pos="1260"/>
          <w:tab w:val="clear" w:pos="1137"/>
        </w:tabs>
        <w:spacing w:line="500" w:lineRule="exact"/>
        <w:ind w:left="0" w:firstLine="560" w:firstLineChars="200"/>
        <w:rPr>
          <w:sz w:val="28"/>
          <w:szCs w:val="28"/>
        </w:rPr>
      </w:pPr>
      <w:r>
        <w:rPr>
          <w:sz w:val="28"/>
          <w:szCs w:val="28"/>
        </w:rPr>
        <w:t>房地产估价证书编号：鄂建房估证字第43号</w:t>
      </w:r>
    </w:p>
    <w:p>
      <w:pPr>
        <w:numPr>
          <w:ilvl w:val="0"/>
          <w:numId w:val="5"/>
        </w:numPr>
        <w:tabs>
          <w:tab w:val="left" w:pos="540"/>
          <w:tab w:val="left" w:pos="720"/>
          <w:tab w:val="left" w:pos="900"/>
          <w:tab w:val="left" w:pos="1260"/>
          <w:tab w:val="clear" w:pos="1137"/>
        </w:tabs>
        <w:spacing w:line="500" w:lineRule="exact"/>
        <w:ind w:left="0" w:firstLine="560" w:firstLineChars="200"/>
        <w:rPr>
          <w:sz w:val="28"/>
          <w:szCs w:val="28"/>
        </w:rPr>
      </w:pPr>
      <w:r>
        <w:rPr>
          <w:rFonts w:hint="eastAsia"/>
          <w:sz w:val="28"/>
          <w:szCs w:val="28"/>
        </w:rPr>
        <w:t>土地估价机构备案编号：2017420007</w:t>
      </w:r>
    </w:p>
    <w:p>
      <w:pPr>
        <w:numPr>
          <w:ilvl w:val="0"/>
          <w:numId w:val="5"/>
        </w:numPr>
        <w:tabs>
          <w:tab w:val="left" w:pos="540"/>
          <w:tab w:val="left" w:pos="720"/>
          <w:tab w:val="left" w:pos="900"/>
          <w:tab w:val="left" w:pos="1260"/>
          <w:tab w:val="clear" w:pos="1137"/>
        </w:tabs>
        <w:spacing w:line="500" w:lineRule="exact"/>
        <w:ind w:left="0" w:firstLine="560" w:firstLineChars="200"/>
        <w:rPr>
          <w:sz w:val="28"/>
          <w:szCs w:val="28"/>
        </w:rPr>
      </w:pPr>
      <w:r>
        <w:rPr>
          <w:rFonts w:hint="eastAsia"/>
          <w:sz w:val="28"/>
          <w:szCs w:val="28"/>
        </w:rPr>
        <w:t>执业范围：执业范围不受限</w:t>
      </w:r>
    </w:p>
    <w:p>
      <w:pPr>
        <w:numPr>
          <w:ilvl w:val="0"/>
          <w:numId w:val="5"/>
        </w:numPr>
        <w:tabs>
          <w:tab w:val="left" w:pos="540"/>
          <w:tab w:val="left" w:pos="720"/>
          <w:tab w:val="left" w:pos="900"/>
          <w:tab w:val="left" w:pos="1260"/>
          <w:tab w:val="clear" w:pos="1137"/>
        </w:tabs>
        <w:spacing w:line="500" w:lineRule="exact"/>
        <w:ind w:left="0" w:firstLine="560" w:firstLineChars="200"/>
        <w:rPr>
          <w:sz w:val="28"/>
          <w:szCs w:val="28"/>
        </w:rPr>
      </w:pPr>
      <w:r>
        <w:rPr>
          <w:rFonts w:hint="eastAsia"/>
          <w:sz w:val="28"/>
          <w:szCs w:val="28"/>
        </w:rPr>
        <w:t>联系人：汪震超</w:t>
      </w:r>
    </w:p>
    <w:p>
      <w:pPr>
        <w:numPr>
          <w:ilvl w:val="0"/>
          <w:numId w:val="5"/>
        </w:numPr>
        <w:tabs>
          <w:tab w:val="left" w:pos="540"/>
          <w:tab w:val="left" w:pos="720"/>
          <w:tab w:val="left" w:pos="900"/>
          <w:tab w:val="left" w:pos="1260"/>
          <w:tab w:val="clear" w:pos="1137"/>
        </w:tabs>
        <w:spacing w:line="500" w:lineRule="exact"/>
        <w:ind w:left="0" w:firstLine="560" w:firstLineChars="200"/>
        <w:rPr>
          <w:b/>
          <w:sz w:val="28"/>
          <w:szCs w:val="28"/>
        </w:rPr>
      </w:pPr>
      <w:r>
        <w:rPr>
          <w:sz w:val="28"/>
          <w:szCs w:val="28"/>
        </w:rPr>
        <w:t>联系电话：0713-8693126、15307250966</w:t>
      </w:r>
    </w:p>
    <w:p>
      <w:pPr>
        <w:numPr>
          <w:ilvl w:val="0"/>
          <w:numId w:val="3"/>
        </w:numPr>
        <w:spacing w:line="500" w:lineRule="exact"/>
        <w:outlineLvl w:val="1"/>
        <w:rPr>
          <w:b/>
          <w:color w:val="000000" w:themeColor="text1"/>
          <w:sz w:val="28"/>
          <w:szCs w:val="28"/>
        </w:rPr>
      </w:pPr>
      <w:bookmarkStart w:id="5" w:name="_Toc461629202"/>
      <w:r>
        <w:rPr>
          <w:b/>
          <w:color w:val="000000" w:themeColor="text1"/>
          <w:sz w:val="28"/>
          <w:szCs w:val="28"/>
        </w:rPr>
        <w:t>估价目的</w:t>
      </w:r>
      <w:bookmarkEnd w:id="5"/>
    </w:p>
    <w:p>
      <w:pPr>
        <w:tabs>
          <w:tab w:val="left" w:pos="540"/>
          <w:tab w:val="left" w:pos="720"/>
          <w:tab w:val="left" w:pos="900"/>
          <w:tab w:val="left" w:pos="1260"/>
        </w:tabs>
        <w:spacing w:line="500" w:lineRule="exact"/>
        <w:ind w:firstLine="560" w:firstLineChars="200"/>
        <w:rPr>
          <w:color w:val="000000" w:themeColor="text1"/>
          <w:sz w:val="28"/>
          <w:szCs w:val="28"/>
        </w:rPr>
      </w:pPr>
      <w:r>
        <w:rPr>
          <w:color w:val="000000" w:themeColor="text1"/>
          <w:sz w:val="28"/>
          <w:szCs w:val="28"/>
        </w:rPr>
        <w:t>本次估价目的</w:t>
      </w:r>
      <w:r>
        <w:rPr>
          <w:sz w:val="28"/>
          <w:szCs w:val="28"/>
        </w:rPr>
        <w:t>是为</w:t>
      </w:r>
      <w:r>
        <w:rPr>
          <w:rFonts w:hint="eastAsia"/>
          <w:sz w:val="28"/>
          <w:szCs w:val="28"/>
        </w:rPr>
        <w:t>人民法院确定财产处置参考价提供参考依据</w:t>
      </w:r>
      <w:r>
        <w:rPr>
          <w:color w:val="000000" w:themeColor="text1"/>
          <w:sz w:val="28"/>
          <w:szCs w:val="28"/>
        </w:rPr>
        <w:t>。</w:t>
      </w:r>
    </w:p>
    <w:p>
      <w:pPr>
        <w:numPr>
          <w:ilvl w:val="0"/>
          <w:numId w:val="3"/>
        </w:numPr>
        <w:spacing w:line="500" w:lineRule="exact"/>
        <w:outlineLvl w:val="1"/>
        <w:rPr>
          <w:b/>
          <w:color w:val="000000" w:themeColor="text1"/>
          <w:sz w:val="28"/>
          <w:szCs w:val="28"/>
        </w:rPr>
      </w:pPr>
      <w:bookmarkStart w:id="6" w:name="_Toc461629203"/>
      <w:r>
        <w:rPr>
          <w:b/>
          <w:color w:val="000000" w:themeColor="text1"/>
          <w:sz w:val="28"/>
          <w:szCs w:val="28"/>
        </w:rPr>
        <w:t>估价对象</w:t>
      </w:r>
      <w:bookmarkEnd w:id="6"/>
    </w:p>
    <w:p>
      <w:pPr>
        <w:numPr>
          <w:ilvl w:val="1"/>
          <w:numId w:val="3"/>
        </w:numPr>
        <w:tabs>
          <w:tab w:val="left" w:pos="720"/>
          <w:tab w:val="left" w:pos="900"/>
          <w:tab w:val="left" w:pos="1080"/>
          <w:tab w:val="left" w:pos="1440"/>
          <w:tab w:val="clear" w:pos="1506"/>
        </w:tabs>
        <w:spacing w:line="500" w:lineRule="exact"/>
        <w:ind w:left="0" w:firstLine="560" w:firstLineChars="200"/>
        <w:rPr>
          <w:color w:val="000000" w:themeColor="text1"/>
          <w:sz w:val="28"/>
          <w:szCs w:val="28"/>
        </w:rPr>
      </w:pPr>
      <w:r>
        <w:rPr>
          <w:color w:val="000000" w:themeColor="text1"/>
          <w:sz w:val="28"/>
          <w:szCs w:val="28"/>
        </w:rPr>
        <w:t>估价对象范围的确定</w:t>
      </w:r>
    </w:p>
    <w:p>
      <w:pPr>
        <w:spacing w:line="500" w:lineRule="exact"/>
        <w:ind w:firstLine="560" w:firstLineChars="200"/>
        <w:rPr>
          <w:color w:val="000000" w:themeColor="text1"/>
          <w:sz w:val="28"/>
          <w:szCs w:val="28"/>
        </w:rPr>
      </w:pPr>
      <w:r>
        <w:rPr>
          <w:color w:val="000000" w:themeColor="text1"/>
          <w:sz w:val="28"/>
          <w:szCs w:val="28"/>
        </w:rPr>
        <w:t>根据委托方提供的相关资料及介绍，本次评估对象为</w:t>
      </w:r>
      <w:r>
        <w:rPr>
          <w:rFonts w:hint="eastAsia"/>
          <w:color w:val="000000" w:themeColor="text1"/>
          <w:sz w:val="28"/>
          <w:szCs w:val="28"/>
        </w:rPr>
        <w:t>何丽军、宋焕玲</w:t>
      </w:r>
      <w:r>
        <w:rPr>
          <w:color w:val="000000" w:themeColor="text1"/>
          <w:sz w:val="28"/>
          <w:szCs w:val="28"/>
        </w:rPr>
        <w:t>所有的位于</w:t>
      </w:r>
      <w:r>
        <w:rPr>
          <w:rFonts w:hint="eastAsia"/>
          <w:color w:val="000000" w:themeColor="text1"/>
          <w:sz w:val="28"/>
          <w:szCs w:val="28"/>
        </w:rPr>
        <w:t>武穴市世纪江城A栋1702室</w:t>
      </w:r>
      <w:r>
        <w:rPr>
          <w:color w:val="000000" w:themeColor="text1"/>
          <w:sz w:val="28"/>
          <w:szCs w:val="28"/>
        </w:rPr>
        <w:t>的</w:t>
      </w:r>
      <w:r>
        <w:rPr>
          <w:rFonts w:hint="eastAsia"/>
          <w:color w:val="000000" w:themeColor="text1"/>
          <w:sz w:val="28"/>
          <w:szCs w:val="28"/>
        </w:rPr>
        <w:t>住宅房地产</w:t>
      </w:r>
      <w:r>
        <w:rPr>
          <w:color w:val="000000" w:themeColor="text1"/>
          <w:sz w:val="28"/>
          <w:szCs w:val="28"/>
        </w:rPr>
        <w:t>的房屋所有权及国有土地使用权。详见下表：</w:t>
      </w:r>
    </w:p>
    <w:tbl>
      <w:tblPr>
        <w:tblStyle w:val="26"/>
        <w:tblW w:w="87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1134"/>
        <w:gridCol w:w="1608"/>
        <w:gridCol w:w="850"/>
        <w:gridCol w:w="709"/>
        <w:gridCol w:w="709"/>
        <w:gridCol w:w="850"/>
        <w:gridCol w:w="851"/>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929" w:type="dxa"/>
            <w:vAlign w:val="center"/>
          </w:tcPr>
          <w:p>
            <w:pPr>
              <w:jc w:val="center"/>
              <w:rPr>
                <w:color w:val="000000" w:themeColor="text1"/>
                <w:szCs w:val="21"/>
              </w:rPr>
            </w:pPr>
            <w:r>
              <w:rPr>
                <w:color w:val="000000" w:themeColor="text1"/>
                <w:szCs w:val="21"/>
              </w:rPr>
              <w:t>房地产权利人</w:t>
            </w:r>
          </w:p>
        </w:tc>
        <w:tc>
          <w:tcPr>
            <w:tcW w:w="1134" w:type="dxa"/>
            <w:vAlign w:val="center"/>
          </w:tcPr>
          <w:p>
            <w:pPr>
              <w:jc w:val="center"/>
              <w:rPr>
                <w:color w:val="000000" w:themeColor="text1"/>
                <w:szCs w:val="21"/>
              </w:rPr>
            </w:pPr>
            <w:r>
              <w:rPr>
                <w:color w:val="000000" w:themeColor="text1"/>
                <w:szCs w:val="21"/>
              </w:rPr>
              <w:t>位置</w:t>
            </w:r>
          </w:p>
        </w:tc>
        <w:tc>
          <w:tcPr>
            <w:tcW w:w="1608" w:type="dxa"/>
            <w:vAlign w:val="center"/>
          </w:tcPr>
          <w:p>
            <w:pPr>
              <w:jc w:val="center"/>
              <w:rPr>
                <w:color w:val="000000" w:themeColor="text1"/>
                <w:szCs w:val="21"/>
              </w:rPr>
            </w:pPr>
            <w:r>
              <w:rPr>
                <w:color w:val="000000" w:themeColor="text1"/>
                <w:szCs w:val="21"/>
              </w:rPr>
              <w:t>房地产权证书</w:t>
            </w:r>
          </w:p>
        </w:tc>
        <w:tc>
          <w:tcPr>
            <w:tcW w:w="850" w:type="dxa"/>
            <w:vAlign w:val="center"/>
          </w:tcPr>
          <w:p>
            <w:pPr>
              <w:jc w:val="center"/>
              <w:rPr>
                <w:color w:val="000000" w:themeColor="text1"/>
                <w:szCs w:val="21"/>
              </w:rPr>
            </w:pPr>
            <w:r>
              <w:rPr>
                <w:rFonts w:hint="eastAsia"/>
                <w:color w:val="000000" w:themeColor="text1"/>
                <w:szCs w:val="21"/>
              </w:rPr>
              <w:t>建成年份（年）</w:t>
            </w:r>
          </w:p>
        </w:tc>
        <w:tc>
          <w:tcPr>
            <w:tcW w:w="709" w:type="dxa"/>
            <w:vAlign w:val="center"/>
          </w:tcPr>
          <w:p>
            <w:pPr>
              <w:jc w:val="center"/>
              <w:rPr>
                <w:color w:val="000000" w:themeColor="text1"/>
                <w:szCs w:val="21"/>
              </w:rPr>
            </w:pPr>
            <w:r>
              <w:rPr>
                <w:color w:val="000000" w:themeColor="text1"/>
                <w:szCs w:val="21"/>
              </w:rPr>
              <w:t>房屋用途</w:t>
            </w:r>
          </w:p>
        </w:tc>
        <w:tc>
          <w:tcPr>
            <w:tcW w:w="709" w:type="dxa"/>
            <w:vAlign w:val="center"/>
          </w:tcPr>
          <w:p>
            <w:pPr>
              <w:jc w:val="center"/>
              <w:rPr>
                <w:color w:val="000000" w:themeColor="text1"/>
                <w:szCs w:val="21"/>
              </w:rPr>
            </w:pPr>
            <w:r>
              <w:rPr>
                <w:color w:val="000000" w:themeColor="text1"/>
                <w:szCs w:val="21"/>
              </w:rPr>
              <w:t>土地用途</w:t>
            </w:r>
          </w:p>
        </w:tc>
        <w:tc>
          <w:tcPr>
            <w:tcW w:w="850" w:type="dxa"/>
            <w:vAlign w:val="center"/>
          </w:tcPr>
          <w:p>
            <w:pPr>
              <w:rPr>
                <w:color w:val="000000" w:themeColor="text1"/>
                <w:szCs w:val="21"/>
              </w:rPr>
            </w:pPr>
            <w:r>
              <w:rPr>
                <w:rFonts w:hint="eastAsia"/>
                <w:color w:val="000000" w:themeColor="text1"/>
                <w:szCs w:val="21"/>
              </w:rPr>
              <w:t>证载建筑面积</w:t>
            </w:r>
            <w:r>
              <w:rPr>
                <w:color w:val="000000" w:themeColor="text1"/>
                <w:szCs w:val="21"/>
              </w:rPr>
              <w:t>（㎡）</w:t>
            </w:r>
          </w:p>
        </w:tc>
        <w:tc>
          <w:tcPr>
            <w:tcW w:w="851" w:type="dxa"/>
            <w:vAlign w:val="center"/>
          </w:tcPr>
          <w:p>
            <w:pPr>
              <w:jc w:val="center"/>
              <w:rPr>
                <w:color w:val="000000" w:themeColor="text1"/>
                <w:szCs w:val="21"/>
              </w:rPr>
            </w:pPr>
            <w:r>
              <w:rPr>
                <w:rFonts w:hint="eastAsia"/>
                <w:color w:val="000000" w:themeColor="text1"/>
                <w:szCs w:val="21"/>
              </w:rPr>
              <w:t>分摊土地面积</w:t>
            </w:r>
            <w:r>
              <w:rPr>
                <w:color w:val="000000" w:themeColor="text1"/>
                <w:szCs w:val="21"/>
              </w:rPr>
              <w:t>（㎡）</w:t>
            </w:r>
          </w:p>
        </w:tc>
        <w:tc>
          <w:tcPr>
            <w:tcW w:w="1077" w:type="dxa"/>
            <w:vAlign w:val="center"/>
          </w:tcPr>
          <w:p>
            <w:pPr>
              <w:jc w:val="center"/>
              <w:rPr>
                <w:szCs w:val="21"/>
              </w:rPr>
            </w:pPr>
            <w:r>
              <w:rPr>
                <w:rFonts w:hint="eastAsia"/>
                <w:szCs w:val="21"/>
              </w:rPr>
              <w:t>土地出让终止日期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929" w:type="dxa"/>
            <w:vAlign w:val="center"/>
          </w:tcPr>
          <w:p>
            <w:pPr>
              <w:jc w:val="center"/>
              <w:rPr>
                <w:color w:val="000000" w:themeColor="text1"/>
                <w:szCs w:val="21"/>
              </w:rPr>
            </w:pPr>
            <w:r>
              <w:rPr>
                <w:rFonts w:hint="eastAsia"/>
                <w:color w:val="000000" w:themeColor="text1"/>
                <w:szCs w:val="21"/>
              </w:rPr>
              <w:t>何丽军宋焕玲</w:t>
            </w:r>
          </w:p>
        </w:tc>
        <w:tc>
          <w:tcPr>
            <w:tcW w:w="1134" w:type="dxa"/>
            <w:vAlign w:val="center"/>
          </w:tcPr>
          <w:p>
            <w:pPr>
              <w:jc w:val="center"/>
              <w:rPr>
                <w:color w:val="000000" w:themeColor="text1"/>
                <w:szCs w:val="21"/>
              </w:rPr>
            </w:pPr>
            <w:r>
              <w:rPr>
                <w:rFonts w:hint="eastAsia"/>
                <w:color w:val="000000" w:themeColor="text1"/>
                <w:szCs w:val="21"/>
              </w:rPr>
              <w:t>武穴市世纪江城A栋1702室</w:t>
            </w:r>
          </w:p>
        </w:tc>
        <w:tc>
          <w:tcPr>
            <w:tcW w:w="1608" w:type="dxa"/>
            <w:vAlign w:val="center"/>
          </w:tcPr>
          <w:p>
            <w:pPr>
              <w:jc w:val="center"/>
              <w:rPr>
                <w:color w:val="000000" w:themeColor="text1"/>
                <w:szCs w:val="21"/>
              </w:rPr>
            </w:pPr>
            <w:r>
              <w:rPr>
                <w:color w:val="000000" w:themeColor="text1"/>
                <w:szCs w:val="21"/>
              </w:rPr>
              <w:t>未办理，产权数据来源于《预告登记信息》</w:t>
            </w:r>
          </w:p>
        </w:tc>
        <w:tc>
          <w:tcPr>
            <w:tcW w:w="850" w:type="dxa"/>
            <w:vAlign w:val="center"/>
          </w:tcPr>
          <w:p>
            <w:pPr>
              <w:jc w:val="center"/>
              <w:rPr>
                <w:color w:val="000000" w:themeColor="text1"/>
                <w:szCs w:val="21"/>
              </w:rPr>
            </w:pPr>
            <w:r>
              <w:rPr>
                <w:color w:val="000000" w:themeColor="text1"/>
                <w:szCs w:val="21"/>
              </w:rPr>
              <w:t>2010</w:t>
            </w:r>
          </w:p>
        </w:tc>
        <w:tc>
          <w:tcPr>
            <w:tcW w:w="709" w:type="dxa"/>
            <w:vAlign w:val="center"/>
          </w:tcPr>
          <w:p>
            <w:pPr>
              <w:jc w:val="center"/>
              <w:rPr>
                <w:color w:val="000000" w:themeColor="text1"/>
                <w:szCs w:val="21"/>
              </w:rPr>
            </w:pPr>
            <w:r>
              <w:rPr>
                <w:rFonts w:hint="eastAsia"/>
                <w:color w:val="000000" w:themeColor="text1"/>
                <w:szCs w:val="21"/>
              </w:rPr>
              <w:t>住宅</w:t>
            </w:r>
          </w:p>
        </w:tc>
        <w:tc>
          <w:tcPr>
            <w:tcW w:w="709" w:type="dxa"/>
            <w:vAlign w:val="center"/>
          </w:tcPr>
          <w:p>
            <w:pPr>
              <w:jc w:val="center"/>
              <w:rPr>
                <w:color w:val="000000" w:themeColor="text1"/>
                <w:szCs w:val="21"/>
              </w:rPr>
            </w:pPr>
            <w:r>
              <w:rPr>
                <w:rFonts w:hint="eastAsia"/>
                <w:color w:val="000000" w:themeColor="text1"/>
                <w:szCs w:val="21"/>
              </w:rPr>
              <w:t>住宅用地</w:t>
            </w:r>
          </w:p>
        </w:tc>
        <w:tc>
          <w:tcPr>
            <w:tcW w:w="850" w:type="dxa"/>
            <w:vAlign w:val="center"/>
          </w:tcPr>
          <w:p>
            <w:pPr>
              <w:jc w:val="center"/>
              <w:rPr>
                <w:color w:val="000000" w:themeColor="text1"/>
                <w:szCs w:val="21"/>
              </w:rPr>
            </w:pPr>
            <w:r>
              <w:rPr>
                <w:rFonts w:hint="eastAsia"/>
                <w:color w:val="000000" w:themeColor="text1"/>
                <w:szCs w:val="21"/>
              </w:rPr>
              <w:t>147.95</w:t>
            </w:r>
          </w:p>
        </w:tc>
        <w:tc>
          <w:tcPr>
            <w:tcW w:w="851" w:type="dxa"/>
            <w:vAlign w:val="center"/>
          </w:tcPr>
          <w:p>
            <w:pPr>
              <w:jc w:val="center"/>
              <w:rPr>
                <w:color w:val="000000" w:themeColor="text1"/>
                <w:szCs w:val="21"/>
              </w:rPr>
            </w:pPr>
            <w:r>
              <w:rPr>
                <w:rFonts w:hint="eastAsia"/>
                <w:color w:val="000000" w:themeColor="text1"/>
                <w:szCs w:val="21"/>
              </w:rPr>
              <w:t>200</w:t>
            </w:r>
          </w:p>
        </w:tc>
        <w:tc>
          <w:tcPr>
            <w:tcW w:w="1077" w:type="dxa"/>
            <w:vAlign w:val="center"/>
          </w:tcPr>
          <w:p>
            <w:pPr>
              <w:jc w:val="center"/>
              <w:rPr>
                <w:szCs w:val="21"/>
              </w:rPr>
            </w:pPr>
            <w:r>
              <w:rPr>
                <w:szCs w:val="21"/>
              </w:rPr>
              <w:t>至</w:t>
            </w:r>
            <w:r>
              <w:rPr>
                <w:rFonts w:hint="eastAsia"/>
                <w:szCs w:val="21"/>
              </w:rPr>
              <w:t>2048年11月06日</w:t>
            </w:r>
          </w:p>
        </w:tc>
      </w:tr>
    </w:tbl>
    <w:p>
      <w:pPr>
        <w:numPr>
          <w:ilvl w:val="1"/>
          <w:numId w:val="3"/>
        </w:numPr>
        <w:tabs>
          <w:tab w:val="left" w:pos="720"/>
          <w:tab w:val="left" w:pos="900"/>
          <w:tab w:val="left" w:pos="1080"/>
          <w:tab w:val="left" w:pos="1440"/>
          <w:tab w:val="clear" w:pos="1506"/>
        </w:tabs>
        <w:spacing w:line="500" w:lineRule="exact"/>
        <w:ind w:left="0" w:firstLine="560" w:firstLineChars="200"/>
        <w:rPr>
          <w:color w:val="000000" w:themeColor="text1"/>
          <w:sz w:val="28"/>
          <w:szCs w:val="28"/>
        </w:rPr>
      </w:pPr>
      <w:r>
        <w:rPr>
          <w:color w:val="000000" w:themeColor="text1"/>
          <w:sz w:val="28"/>
          <w:szCs w:val="28"/>
        </w:rPr>
        <w:t>估价对象区位状况</w:t>
      </w:r>
    </w:p>
    <w:p>
      <w:pPr>
        <w:tabs>
          <w:tab w:val="left" w:pos="720"/>
          <w:tab w:val="left" w:pos="900"/>
          <w:tab w:val="left" w:pos="1080"/>
        </w:tabs>
        <w:spacing w:line="500" w:lineRule="exact"/>
        <w:ind w:firstLine="560" w:firstLineChars="200"/>
        <w:rPr>
          <w:color w:val="000000" w:themeColor="text1"/>
          <w:sz w:val="28"/>
          <w:szCs w:val="28"/>
        </w:rPr>
      </w:pPr>
      <w:r>
        <w:rPr>
          <w:color w:val="000000" w:themeColor="text1"/>
          <w:sz w:val="28"/>
          <w:szCs w:val="28"/>
        </w:rPr>
        <w:t>1、位置及四至</w:t>
      </w:r>
    </w:p>
    <w:p>
      <w:pPr>
        <w:spacing w:line="500" w:lineRule="exact"/>
        <w:ind w:firstLine="470" w:firstLineChars="168"/>
        <w:rPr>
          <w:color w:val="000000" w:themeColor="text1"/>
          <w:sz w:val="28"/>
          <w:szCs w:val="28"/>
        </w:rPr>
      </w:pPr>
      <w:bookmarkStart w:id="7" w:name="OLE_LINK3"/>
      <w:bookmarkStart w:id="8" w:name="OLE_LINK2"/>
      <w:r>
        <w:rPr>
          <w:color w:val="000000" w:themeColor="text1"/>
          <w:sz w:val="28"/>
          <w:szCs w:val="28"/>
        </w:rPr>
        <w:t>估价对象位于</w:t>
      </w:r>
      <w:r>
        <w:rPr>
          <w:rFonts w:hint="eastAsia"/>
          <w:color w:val="000000" w:themeColor="text1"/>
          <w:sz w:val="28"/>
          <w:szCs w:val="28"/>
        </w:rPr>
        <w:t>武穴市世纪江城A栋1702室</w:t>
      </w:r>
      <w:r>
        <w:rPr>
          <w:color w:val="000000" w:themeColor="text1"/>
          <w:sz w:val="28"/>
          <w:szCs w:val="28"/>
        </w:rPr>
        <w:t>，所在小区</w:t>
      </w:r>
      <w:r>
        <w:rPr>
          <w:rFonts w:hint="eastAsia"/>
          <w:color w:val="000000" w:themeColor="text1"/>
          <w:sz w:val="28"/>
          <w:szCs w:val="28"/>
        </w:rPr>
        <w:t>东临支路，西临正街，南临沿江大道，北临通道且靠近住宅区，四至清晰</w:t>
      </w:r>
      <w:r>
        <w:rPr>
          <w:color w:val="000000" w:themeColor="text1"/>
          <w:sz w:val="28"/>
          <w:szCs w:val="28"/>
        </w:rPr>
        <w:t>。</w:t>
      </w:r>
    </w:p>
    <w:p>
      <w:pPr>
        <w:tabs>
          <w:tab w:val="left" w:pos="720"/>
          <w:tab w:val="left" w:pos="900"/>
          <w:tab w:val="left" w:pos="1080"/>
        </w:tabs>
        <w:spacing w:line="500" w:lineRule="exact"/>
        <w:ind w:firstLine="560" w:firstLineChars="200"/>
        <w:rPr>
          <w:color w:val="000000" w:themeColor="text1"/>
          <w:sz w:val="28"/>
          <w:szCs w:val="28"/>
        </w:rPr>
      </w:pPr>
      <w:r>
        <w:rPr>
          <w:color w:val="000000" w:themeColor="text1"/>
          <w:sz w:val="28"/>
          <w:szCs w:val="28"/>
          <w:lang w:val="zh-CN"/>
        </w:rPr>
        <w:t>2、外部配套设施</w:t>
      </w:r>
    </w:p>
    <w:p>
      <w:pPr>
        <w:numPr>
          <w:ilvl w:val="3"/>
          <w:numId w:val="6"/>
        </w:numPr>
        <w:tabs>
          <w:tab w:val="left" w:pos="1080"/>
          <w:tab w:val="clear" w:pos="2340"/>
        </w:tabs>
        <w:spacing w:line="500" w:lineRule="exact"/>
        <w:ind w:left="1440"/>
        <w:rPr>
          <w:color w:val="000000" w:themeColor="text1"/>
          <w:sz w:val="28"/>
          <w:szCs w:val="28"/>
        </w:rPr>
      </w:pPr>
      <w:r>
        <w:rPr>
          <w:color w:val="000000" w:themeColor="text1"/>
          <w:sz w:val="28"/>
          <w:szCs w:val="28"/>
          <w:lang w:val="zh-CN"/>
        </w:rPr>
        <w:t>、城市基础设施状况</w:t>
      </w:r>
    </w:p>
    <w:p>
      <w:pPr>
        <w:spacing w:line="500" w:lineRule="exact"/>
        <w:ind w:firstLine="470" w:firstLineChars="168"/>
        <w:rPr>
          <w:color w:val="000000" w:themeColor="text1"/>
          <w:sz w:val="28"/>
          <w:szCs w:val="28"/>
        </w:rPr>
      </w:pPr>
      <w:r>
        <w:rPr>
          <w:rFonts w:hint="eastAsia"/>
          <w:color w:val="000000" w:themeColor="text1"/>
          <w:sz w:val="28"/>
          <w:szCs w:val="28"/>
        </w:rPr>
        <w:t>估价对象所处区域为武穴市城建成熟区，城市基础设施完善，配套状况已达“六通一平”，即道路、供水、供电、排水、通讯、燃气等基础设施完善，能满足周边居民的正常工作和生活需要。</w:t>
      </w:r>
    </w:p>
    <w:p>
      <w:pPr>
        <w:numPr>
          <w:ilvl w:val="3"/>
          <w:numId w:val="6"/>
        </w:numPr>
        <w:tabs>
          <w:tab w:val="left" w:pos="1080"/>
          <w:tab w:val="clear" w:pos="2340"/>
        </w:tabs>
        <w:spacing w:line="500" w:lineRule="exact"/>
        <w:ind w:left="1440"/>
        <w:rPr>
          <w:color w:val="000000" w:themeColor="text1"/>
          <w:sz w:val="28"/>
          <w:szCs w:val="28"/>
        </w:rPr>
      </w:pPr>
      <w:r>
        <w:rPr>
          <w:color w:val="000000" w:themeColor="text1"/>
          <w:sz w:val="28"/>
          <w:szCs w:val="28"/>
        </w:rPr>
        <w:t>、公共服务设施状况</w:t>
      </w:r>
    </w:p>
    <w:p>
      <w:pPr>
        <w:spacing w:line="500" w:lineRule="exact"/>
        <w:ind w:firstLine="470" w:firstLineChars="168"/>
        <w:rPr>
          <w:color w:val="000000" w:themeColor="text1"/>
          <w:sz w:val="28"/>
          <w:szCs w:val="28"/>
        </w:rPr>
      </w:pPr>
      <w:r>
        <w:rPr>
          <w:rFonts w:hint="eastAsia"/>
          <w:color w:val="000000" w:themeColor="text1"/>
          <w:sz w:val="28"/>
          <w:szCs w:val="28"/>
        </w:rPr>
        <w:t>估价对象所处的区域为武穴市城建成熟区，以估价对象1500米为半径分布有翡翠家园步行街、居仁街正街商业区、新春超市、邮政银行、工商银行、永宁医院、港口幼儿园、东风小学、实验小学、实验中学、滨江公园等公共生活服务设施，配套设施齐全，能够满足业主日常生活需求。</w:t>
      </w:r>
    </w:p>
    <w:p>
      <w:pPr>
        <w:tabs>
          <w:tab w:val="left" w:pos="720"/>
          <w:tab w:val="left" w:pos="900"/>
          <w:tab w:val="left" w:pos="1080"/>
        </w:tabs>
        <w:spacing w:line="500" w:lineRule="exact"/>
        <w:ind w:firstLine="560" w:firstLineChars="200"/>
        <w:rPr>
          <w:color w:val="000000" w:themeColor="text1"/>
          <w:sz w:val="28"/>
          <w:szCs w:val="28"/>
        </w:rPr>
      </w:pPr>
      <w:r>
        <w:rPr>
          <w:color w:val="000000" w:themeColor="text1"/>
          <w:sz w:val="28"/>
          <w:szCs w:val="28"/>
          <w:lang w:val="zh-CN"/>
        </w:rPr>
        <w:t>3、交通条件</w:t>
      </w:r>
    </w:p>
    <w:p>
      <w:pPr>
        <w:spacing w:line="500" w:lineRule="exact"/>
        <w:ind w:firstLine="560" w:firstLineChars="200"/>
        <w:rPr>
          <w:color w:val="000000" w:themeColor="text1"/>
          <w:sz w:val="28"/>
          <w:szCs w:val="28"/>
        </w:rPr>
      </w:pPr>
      <w:r>
        <w:rPr>
          <w:rFonts w:hint="eastAsia"/>
          <w:color w:val="000000" w:themeColor="text1"/>
          <w:sz w:val="28"/>
          <w:szCs w:val="28"/>
        </w:rPr>
        <w:t>估价对象所在小区</w:t>
      </w:r>
      <w:r>
        <w:rPr>
          <w:color w:val="000000" w:themeColor="text1"/>
          <w:sz w:val="28"/>
          <w:szCs w:val="28"/>
        </w:rPr>
        <w:t>南临沿江大道，西临正街</w:t>
      </w:r>
      <w:r>
        <w:rPr>
          <w:rFonts w:hint="eastAsia"/>
          <w:color w:val="000000" w:themeColor="text1"/>
          <w:sz w:val="28"/>
          <w:szCs w:val="28"/>
        </w:rPr>
        <w:t>。沿江大道为武穴市城区混合型交通干道，该道路自东向西分别与明珠路、粮食路、民主路、窝陂塘路等主干道相接，道路条件较好，可及性强，对外交通便利，交通状况总体较好。且估价对象所在小区配建有地下停车场，车辆进出、停放均较为便利。</w:t>
      </w:r>
    </w:p>
    <w:p>
      <w:pPr>
        <w:tabs>
          <w:tab w:val="left" w:pos="720"/>
          <w:tab w:val="left" w:pos="900"/>
          <w:tab w:val="left" w:pos="1080"/>
        </w:tabs>
        <w:spacing w:line="500" w:lineRule="exact"/>
        <w:ind w:firstLine="560" w:firstLineChars="200"/>
        <w:rPr>
          <w:color w:val="000000" w:themeColor="text1"/>
          <w:sz w:val="28"/>
          <w:szCs w:val="28"/>
        </w:rPr>
      </w:pPr>
      <w:r>
        <w:rPr>
          <w:color w:val="000000" w:themeColor="text1"/>
          <w:sz w:val="28"/>
          <w:szCs w:val="28"/>
          <w:lang w:val="zh-CN"/>
        </w:rPr>
        <w:t>4、周边环境</w:t>
      </w:r>
      <w:r>
        <w:rPr>
          <w:color w:val="000000" w:themeColor="text1"/>
          <w:sz w:val="28"/>
          <w:szCs w:val="28"/>
        </w:rPr>
        <w:t>和景观</w:t>
      </w:r>
    </w:p>
    <w:p>
      <w:pPr>
        <w:spacing w:line="500" w:lineRule="exact"/>
        <w:ind w:firstLine="560" w:firstLineChars="200"/>
        <w:rPr>
          <w:color w:val="000000" w:themeColor="text1"/>
          <w:sz w:val="28"/>
          <w:szCs w:val="28"/>
        </w:rPr>
      </w:pPr>
      <w:r>
        <w:rPr>
          <w:rFonts w:hint="eastAsia"/>
          <w:color w:val="000000" w:themeColor="text1"/>
          <w:sz w:val="28"/>
          <w:szCs w:val="28"/>
        </w:rPr>
        <w:t>估价对象所在小区临近长江且离滨江公园较近，主阳台、主卧均可见江景，周边无污染性工业企业，空气质量、卫生条件均较好；故周边环境总体较好。</w:t>
      </w:r>
    </w:p>
    <w:p>
      <w:pPr>
        <w:spacing w:line="500" w:lineRule="exact"/>
        <w:ind w:firstLine="630" w:firstLineChars="225"/>
        <w:rPr>
          <w:color w:val="000000" w:themeColor="text1"/>
          <w:sz w:val="28"/>
          <w:szCs w:val="28"/>
        </w:rPr>
      </w:pPr>
      <w:r>
        <w:rPr>
          <w:rFonts w:hint="eastAsia"/>
          <w:color w:val="000000" w:themeColor="text1"/>
          <w:sz w:val="28"/>
          <w:szCs w:val="28"/>
          <w:lang w:val="zh-CN"/>
        </w:rPr>
        <w:t>综上所述，估价对象作为住宅，地理位置较好，所在区域内基础设施、公共服务设施较完善，交通条件较好，周边环境较好，均对估价对象的价格有一定的影响。</w:t>
      </w:r>
    </w:p>
    <w:bookmarkEnd w:id="7"/>
    <w:bookmarkEnd w:id="8"/>
    <w:p>
      <w:pPr>
        <w:numPr>
          <w:ilvl w:val="1"/>
          <w:numId w:val="3"/>
        </w:numPr>
        <w:tabs>
          <w:tab w:val="left" w:pos="720"/>
          <w:tab w:val="left" w:pos="900"/>
          <w:tab w:val="left" w:pos="1080"/>
          <w:tab w:val="left" w:pos="1440"/>
          <w:tab w:val="clear" w:pos="1506"/>
        </w:tabs>
        <w:spacing w:line="500" w:lineRule="exact"/>
        <w:ind w:left="0" w:firstLine="560" w:firstLineChars="200"/>
        <w:rPr>
          <w:color w:val="000000" w:themeColor="text1"/>
          <w:sz w:val="28"/>
          <w:szCs w:val="28"/>
        </w:rPr>
      </w:pPr>
      <w:r>
        <w:rPr>
          <w:color w:val="000000" w:themeColor="text1"/>
          <w:sz w:val="28"/>
          <w:szCs w:val="28"/>
        </w:rPr>
        <w:t>估价对象实物状况</w:t>
      </w:r>
    </w:p>
    <w:p>
      <w:pPr>
        <w:spacing w:line="500" w:lineRule="exact"/>
        <w:ind w:firstLine="630" w:firstLineChars="225"/>
        <w:rPr>
          <w:color w:val="000000" w:themeColor="text1"/>
          <w:sz w:val="28"/>
          <w:szCs w:val="28"/>
        </w:rPr>
      </w:pPr>
      <w:r>
        <w:rPr>
          <w:color w:val="000000" w:themeColor="text1"/>
          <w:sz w:val="28"/>
          <w:szCs w:val="28"/>
        </w:rPr>
        <w:t>本次估价对象为</w:t>
      </w:r>
      <w:r>
        <w:rPr>
          <w:rFonts w:hint="eastAsia"/>
          <w:color w:val="000000" w:themeColor="text1"/>
          <w:sz w:val="28"/>
          <w:szCs w:val="28"/>
        </w:rPr>
        <w:t>位于武穴市世纪江城A栋1702室的一套住宅</w:t>
      </w:r>
      <w:r>
        <w:rPr>
          <w:color w:val="000000" w:themeColor="text1"/>
          <w:sz w:val="28"/>
          <w:szCs w:val="28"/>
        </w:rPr>
        <w:t>房地产，用途为</w:t>
      </w:r>
      <w:r>
        <w:rPr>
          <w:rFonts w:hint="eastAsia"/>
          <w:color w:val="000000" w:themeColor="text1"/>
          <w:sz w:val="28"/>
          <w:szCs w:val="28"/>
        </w:rPr>
        <w:t>住宅</w:t>
      </w:r>
      <w:r>
        <w:rPr>
          <w:color w:val="000000" w:themeColor="text1"/>
          <w:sz w:val="28"/>
          <w:szCs w:val="28"/>
        </w:rPr>
        <w:t>。</w:t>
      </w:r>
    </w:p>
    <w:p>
      <w:pPr>
        <w:tabs>
          <w:tab w:val="left" w:pos="0"/>
        </w:tabs>
        <w:spacing w:line="500" w:lineRule="exact"/>
        <w:ind w:firstLine="560" w:firstLineChars="200"/>
        <w:rPr>
          <w:color w:val="000000" w:themeColor="text1"/>
          <w:sz w:val="28"/>
          <w:szCs w:val="28"/>
        </w:rPr>
      </w:pPr>
      <w:r>
        <w:rPr>
          <w:color w:val="000000" w:themeColor="text1"/>
          <w:sz w:val="28"/>
          <w:szCs w:val="28"/>
        </w:rPr>
        <w:t>（1）土地实物状况</w:t>
      </w:r>
    </w:p>
    <w:p>
      <w:pPr>
        <w:tabs>
          <w:tab w:val="left" w:pos="0"/>
        </w:tabs>
        <w:spacing w:line="500" w:lineRule="exact"/>
        <w:ind w:firstLine="3124" w:firstLineChars="1100"/>
        <w:rPr>
          <w:color w:val="000000" w:themeColor="text1"/>
          <w:spacing w:val="2"/>
          <w:sz w:val="28"/>
          <w:szCs w:val="28"/>
        </w:rPr>
      </w:pPr>
      <w:r>
        <w:rPr>
          <w:color w:val="000000" w:themeColor="text1"/>
          <w:spacing w:val="2"/>
          <w:sz w:val="28"/>
          <w:szCs w:val="28"/>
        </w:rPr>
        <w:t>估价对象土地实物状况一览表</w:t>
      </w:r>
    </w:p>
    <w:tbl>
      <w:tblPr>
        <w:tblStyle w:val="26"/>
        <w:tblW w:w="93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7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1751" w:type="dxa"/>
            <w:vAlign w:val="center"/>
          </w:tcPr>
          <w:p>
            <w:pPr>
              <w:spacing w:line="320" w:lineRule="exact"/>
              <w:jc w:val="center"/>
              <w:rPr>
                <w:color w:val="000000" w:themeColor="text1"/>
                <w:sz w:val="24"/>
              </w:rPr>
            </w:pPr>
            <w:r>
              <w:rPr>
                <w:color w:val="000000" w:themeColor="text1"/>
                <w:sz w:val="24"/>
              </w:rPr>
              <w:t>用途</w:t>
            </w:r>
          </w:p>
        </w:tc>
        <w:tc>
          <w:tcPr>
            <w:tcW w:w="7593" w:type="dxa"/>
            <w:vAlign w:val="center"/>
          </w:tcPr>
          <w:p>
            <w:pPr>
              <w:spacing w:line="320" w:lineRule="exact"/>
              <w:jc w:val="left"/>
              <w:rPr>
                <w:color w:val="000000" w:themeColor="text1"/>
                <w:sz w:val="24"/>
              </w:rPr>
            </w:pPr>
            <w:r>
              <w:rPr>
                <w:rFonts w:hint="eastAsia"/>
                <w:color w:val="000000" w:themeColor="text1"/>
                <w:sz w:val="24"/>
              </w:rPr>
              <w:t>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751" w:type="dxa"/>
            <w:vAlign w:val="center"/>
          </w:tcPr>
          <w:p>
            <w:pPr>
              <w:spacing w:line="320" w:lineRule="exact"/>
              <w:jc w:val="center"/>
              <w:rPr>
                <w:color w:val="000000" w:themeColor="text1"/>
                <w:sz w:val="24"/>
              </w:rPr>
            </w:pPr>
            <w:r>
              <w:rPr>
                <w:color w:val="000000" w:themeColor="text1"/>
                <w:sz w:val="24"/>
              </w:rPr>
              <w:t>面积</w:t>
            </w:r>
          </w:p>
        </w:tc>
        <w:tc>
          <w:tcPr>
            <w:tcW w:w="7593" w:type="dxa"/>
            <w:vAlign w:val="center"/>
          </w:tcPr>
          <w:p>
            <w:pPr>
              <w:spacing w:line="320" w:lineRule="exact"/>
              <w:jc w:val="left"/>
              <w:rPr>
                <w:color w:val="000000" w:themeColor="text1"/>
                <w:sz w:val="24"/>
              </w:rPr>
            </w:pPr>
            <w:r>
              <w:rPr>
                <w:color w:val="000000" w:themeColor="text1"/>
                <w:sz w:val="24"/>
              </w:rPr>
              <w:t>未记载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751" w:type="dxa"/>
            <w:vAlign w:val="center"/>
          </w:tcPr>
          <w:p>
            <w:pPr>
              <w:spacing w:line="320" w:lineRule="exact"/>
              <w:jc w:val="center"/>
              <w:rPr>
                <w:color w:val="000000" w:themeColor="text1"/>
                <w:sz w:val="24"/>
              </w:rPr>
            </w:pPr>
            <w:r>
              <w:rPr>
                <w:color w:val="000000" w:themeColor="text1"/>
                <w:sz w:val="24"/>
              </w:rPr>
              <w:t>四至</w:t>
            </w:r>
          </w:p>
        </w:tc>
        <w:tc>
          <w:tcPr>
            <w:tcW w:w="7593" w:type="dxa"/>
            <w:vAlign w:val="center"/>
          </w:tcPr>
          <w:p>
            <w:pPr>
              <w:spacing w:line="320" w:lineRule="exact"/>
              <w:jc w:val="left"/>
              <w:rPr>
                <w:color w:val="000000" w:themeColor="text1"/>
                <w:sz w:val="24"/>
              </w:rPr>
            </w:pPr>
            <w:r>
              <w:rPr>
                <w:rFonts w:hint="eastAsia"/>
                <w:color w:val="000000" w:themeColor="text1"/>
                <w:sz w:val="24"/>
              </w:rPr>
              <w:t>东临支路，西临正街，南临沿江大道，北临通道且靠近住宅区，四至清晰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751" w:type="dxa"/>
            <w:vAlign w:val="center"/>
          </w:tcPr>
          <w:p>
            <w:pPr>
              <w:spacing w:line="320" w:lineRule="exact"/>
              <w:jc w:val="center"/>
              <w:rPr>
                <w:color w:val="000000" w:themeColor="text1"/>
                <w:sz w:val="24"/>
              </w:rPr>
            </w:pPr>
            <w:r>
              <w:rPr>
                <w:color w:val="000000" w:themeColor="text1"/>
                <w:sz w:val="24"/>
              </w:rPr>
              <w:t>土地使用期限</w:t>
            </w:r>
          </w:p>
        </w:tc>
        <w:tc>
          <w:tcPr>
            <w:tcW w:w="7593" w:type="dxa"/>
            <w:vAlign w:val="center"/>
          </w:tcPr>
          <w:p>
            <w:pPr>
              <w:spacing w:line="320" w:lineRule="exact"/>
              <w:jc w:val="left"/>
              <w:rPr>
                <w:color w:val="000000" w:themeColor="text1"/>
                <w:sz w:val="24"/>
              </w:rPr>
            </w:pPr>
            <w:r>
              <w:rPr>
                <w:rFonts w:hint="eastAsia"/>
                <w:color w:val="000000" w:themeColor="text1"/>
                <w:sz w:val="24"/>
              </w:rPr>
              <w:t>土地出让终止日期为20</w:t>
            </w:r>
            <w:r>
              <w:rPr>
                <w:color w:val="000000" w:themeColor="text1"/>
                <w:sz w:val="24"/>
              </w:rPr>
              <w:t>48</w:t>
            </w:r>
            <w:r>
              <w:rPr>
                <w:rFonts w:hint="eastAsia"/>
                <w:color w:val="000000" w:themeColor="text1"/>
                <w:sz w:val="24"/>
              </w:rPr>
              <w:t>-</w:t>
            </w:r>
            <w:r>
              <w:rPr>
                <w:color w:val="000000" w:themeColor="text1"/>
                <w:sz w:val="24"/>
              </w:rPr>
              <w:t>11</w:t>
            </w:r>
            <w:r>
              <w:rPr>
                <w:rFonts w:hint="eastAsia"/>
                <w:color w:val="000000" w:themeColor="text1"/>
                <w:sz w:val="24"/>
              </w:rPr>
              <w:t>-</w:t>
            </w:r>
            <w:r>
              <w:rPr>
                <w:color w:val="000000" w:themeColor="text1"/>
                <w:sz w:val="24"/>
              </w:rPr>
              <w:t>06</w:t>
            </w:r>
            <w:r>
              <w:rPr>
                <w:rFonts w:hint="eastAsia"/>
                <w:color w:val="000000" w:themeColor="text1"/>
                <w:sz w:val="24"/>
              </w:rPr>
              <w:t>，至价值时点土地使用权剩余28.1年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751" w:type="dxa"/>
            <w:vAlign w:val="center"/>
          </w:tcPr>
          <w:p>
            <w:pPr>
              <w:spacing w:line="320" w:lineRule="exact"/>
              <w:jc w:val="center"/>
              <w:rPr>
                <w:color w:val="000000" w:themeColor="text1"/>
                <w:sz w:val="24"/>
              </w:rPr>
            </w:pPr>
            <w:r>
              <w:rPr>
                <w:color w:val="000000" w:themeColor="text1"/>
                <w:sz w:val="24"/>
              </w:rPr>
              <w:t>形状</w:t>
            </w:r>
          </w:p>
        </w:tc>
        <w:tc>
          <w:tcPr>
            <w:tcW w:w="7593" w:type="dxa"/>
            <w:vAlign w:val="center"/>
          </w:tcPr>
          <w:p>
            <w:pPr>
              <w:spacing w:line="320" w:lineRule="exact"/>
              <w:jc w:val="left"/>
              <w:rPr>
                <w:color w:val="000000" w:themeColor="text1"/>
                <w:sz w:val="24"/>
              </w:rPr>
            </w:pPr>
            <w:r>
              <w:rPr>
                <w:color w:val="000000" w:themeColor="text1"/>
                <w:sz w:val="24"/>
              </w:rPr>
              <w:t>所在宗地形状较</w:t>
            </w:r>
            <w:r>
              <w:rPr>
                <w:rFonts w:hint="eastAsia"/>
                <w:color w:val="000000" w:themeColor="text1"/>
                <w:sz w:val="24"/>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751" w:type="dxa"/>
            <w:vAlign w:val="center"/>
          </w:tcPr>
          <w:p>
            <w:pPr>
              <w:spacing w:line="320" w:lineRule="exact"/>
              <w:jc w:val="center"/>
              <w:rPr>
                <w:color w:val="000000" w:themeColor="text1"/>
                <w:sz w:val="24"/>
              </w:rPr>
            </w:pPr>
            <w:r>
              <w:rPr>
                <w:color w:val="000000" w:themeColor="text1"/>
                <w:sz w:val="24"/>
              </w:rPr>
              <w:t>地形、地势及工程地质</w:t>
            </w:r>
          </w:p>
        </w:tc>
        <w:tc>
          <w:tcPr>
            <w:tcW w:w="7593" w:type="dxa"/>
            <w:vAlign w:val="center"/>
          </w:tcPr>
          <w:p>
            <w:pPr>
              <w:spacing w:line="320" w:lineRule="exact"/>
              <w:jc w:val="left"/>
              <w:rPr>
                <w:color w:val="000000" w:themeColor="text1"/>
                <w:sz w:val="24"/>
              </w:rPr>
            </w:pPr>
            <w:r>
              <w:rPr>
                <w:rFonts w:hint="eastAsia"/>
                <w:color w:val="000000" w:themeColor="text1"/>
                <w:kern w:val="0"/>
                <w:sz w:val="24"/>
                <w:lang w:val="zh-CN"/>
              </w:rPr>
              <w:t>宗地地形平坦，与相临道路无高差，无影响建筑物修建的不良地势、地质和水文状况，具有足够的承载力。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751" w:type="dxa"/>
            <w:vAlign w:val="center"/>
          </w:tcPr>
          <w:p>
            <w:pPr>
              <w:spacing w:line="320" w:lineRule="exact"/>
              <w:jc w:val="center"/>
              <w:rPr>
                <w:color w:val="000000" w:themeColor="text1"/>
                <w:sz w:val="24"/>
              </w:rPr>
            </w:pPr>
            <w:r>
              <w:rPr>
                <w:color w:val="000000" w:themeColor="text1"/>
                <w:sz w:val="24"/>
              </w:rPr>
              <w:t>开发程度</w:t>
            </w:r>
          </w:p>
        </w:tc>
        <w:tc>
          <w:tcPr>
            <w:tcW w:w="7593" w:type="dxa"/>
            <w:vAlign w:val="center"/>
          </w:tcPr>
          <w:p>
            <w:pPr>
              <w:spacing w:line="320" w:lineRule="exact"/>
              <w:jc w:val="left"/>
              <w:rPr>
                <w:color w:val="000000" w:themeColor="text1"/>
                <w:sz w:val="24"/>
              </w:rPr>
            </w:pPr>
            <w:r>
              <w:rPr>
                <w:rFonts w:hint="eastAsia"/>
                <w:color w:val="000000" w:themeColor="text1"/>
                <w:sz w:val="24"/>
              </w:rPr>
              <w:t>宗地内开发程度“六通一平”(通上水、通下水、通电、通路、通讯、通气及场地平整)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1751" w:type="dxa"/>
            <w:vAlign w:val="center"/>
          </w:tcPr>
          <w:p>
            <w:pPr>
              <w:spacing w:line="320" w:lineRule="exact"/>
              <w:jc w:val="center"/>
              <w:rPr>
                <w:color w:val="000000" w:themeColor="text1"/>
                <w:sz w:val="24"/>
              </w:rPr>
            </w:pPr>
            <w:r>
              <w:rPr>
                <w:color w:val="000000" w:themeColor="text1"/>
                <w:sz w:val="24"/>
              </w:rPr>
              <w:t>土地利用状况</w:t>
            </w:r>
          </w:p>
        </w:tc>
        <w:tc>
          <w:tcPr>
            <w:tcW w:w="7593" w:type="dxa"/>
            <w:vAlign w:val="center"/>
          </w:tcPr>
          <w:p>
            <w:pPr>
              <w:spacing w:line="320" w:lineRule="exact"/>
              <w:jc w:val="left"/>
              <w:rPr>
                <w:color w:val="000000" w:themeColor="text1"/>
                <w:sz w:val="24"/>
              </w:rPr>
            </w:pPr>
            <w:r>
              <w:rPr>
                <w:rFonts w:hint="eastAsia" w:hAnsi="宋体"/>
                <w:color w:val="000000" w:themeColor="text1"/>
                <w:sz w:val="24"/>
              </w:rPr>
              <w:t>宗地内已建成望江秀色商业、住宅混合小区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751" w:type="dxa"/>
            <w:vAlign w:val="center"/>
          </w:tcPr>
          <w:p>
            <w:pPr>
              <w:spacing w:line="320" w:lineRule="exact"/>
              <w:jc w:val="center"/>
              <w:rPr>
                <w:color w:val="000000" w:themeColor="text1"/>
                <w:sz w:val="24"/>
              </w:rPr>
            </w:pPr>
            <w:r>
              <w:rPr>
                <w:color w:val="000000" w:themeColor="text1"/>
                <w:sz w:val="24"/>
              </w:rPr>
              <w:t>基础设施完备程度</w:t>
            </w:r>
          </w:p>
        </w:tc>
        <w:tc>
          <w:tcPr>
            <w:tcW w:w="7593" w:type="dxa"/>
            <w:vAlign w:val="center"/>
          </w:tcPr>
          <w:p>
            <w:pPr>
              <w:spacing w:line="320" w:lineRule="exact"/>
              <w:jc w:val="left"/>
              <w:rPr>
                <w:color w:val="000000" w:themeColor="text1"/>
                <w:sz w:val="24"/>
              </w:rPr>
            </w:pPr>
            <w:r>
              <w:rPr>
                <w:rFonts w:hint="eastAsia" w:hAnsi="宋体"/>
                <w:color w:val="000000" w:themeColor="text1"/>
                <w:sz w:val="24"/>
              </w:rPr>
              <w:t>市政供电、供气、自来水进水管、排污管与城市管网相连，完备度较高。</w:t>
            </w:r>
          </w:p>
        </w:tc>
      </w:tr>
    </w:tbl>
    <w:p>
      <w:pPr>
        <w:tabs>
          <w:tab w:val="left" w:pos="0"/>
        </w:tabs>
        <w:spacing w:line="500" w:lineRule="exact"/>
        <w:ind w:firstLine="560" w:firstLineChars="200"/>
        <w:rPr>
          <w:color w:val="000000" w:themeColor="text1"/>
          <w:sz w:val="28"/>
          <w:szCs w:val="28"/>
        </w:rPr>
      </w:pPr>
      <w:r>
        <w:rPr>
          <w:color w:val="000000" w:themeColor="text1"/>
          <w:sz w:val="28"/>
          <w:szCs w:val="28"/>
        </w:rPr>
        <w:t>（2）建筑物实物状况</w:t>
      </w:r>
    </w:p>
    <w:p>
      <w:pPr>
        <w:tabs>
          <w:tab w:val="left" w:pos="0"/>
        </w:tabs>
        <w:spacing w:line="500" w:lineRule="exact"/>
        <w:ind w:firstLine="2800" w:firstLineChars="1000"/>
        <w:rPr>
          <w:color w:val="000000" w:themeColor="text1"/>
          <w:sz w:val="28"/>
          <w:szCs w:val="28"/>
        </w:rPr>
      </w:pPr>
      <w:r>
        <w:rPr>
          <w:color w:val="000000" w:themeColor="text1"/>
          <w:sz w:val="28"/>
          <w:szCs w:val="28"/>
        </w:rPr>
        <w:t>估价对象建筑物实物状况一览表</w:t>
      </w:r>
    </w:p>
    <w:tbl>
      <w:tblPr>
        <w:tblStyle w:val="26"/>
        <w:tblW w:w="9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932"/>
        <w:gridCol w:w="5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86" w:type="dxa"/>
            <w:gridSpan w:val="2"/>
            <w:shd w:val="clear" w:color="auto" w:fill="auto"/>
            <w:vAlign w:val="center"/>
          </w:tcPr>
          <w:p>
            <w:pPr>
              <w:spacing w:line="280" w:lineRule="exact"/>
              <w:jc w:val="center"/>
              <w:rPr>
                <w:color w:val="000000" w:themeColor="text1"/>
                <w:sz w:val="24"/>
              </w:rPr>
            </w:pPr>
            <w:r>
              <w:rPr>
                <w:color w:val="000000" w:themeColor="text1"/>
                <w:sz w:val="24"/>
              </w:rPr>
              <w:t>建筑物用途</w:t>
            </w:r>
          </w:p>
        </w:tc>
        <w:tc>
          <w:tcPr>
            <w:tcW w:w="5988" w:type="dxa"/>
            <w:shd w:val="clear" w:color="auto" w:fill="auto"/>
            <w:vAlign w:val="center"/>
          </w:tcPr>
          <w:p>
            <w:pPr>
              <w:spacing w:line="280" w:lineRule="exact"/>
              <w:rPr>
                <w:color w:val="000000" w:themeColor="text1"/>
                <w:sz w:val="24"/>
              </w:rPr>
            </w:pPr>
            <w:r>
              <w:rPr>
                <w:rFonts w:hint="eastAsia" w:hAnsi="宋体"/>
                <w:color w:val="000000" w:themeColor="text1"/>
                <w:sz w:val="24"/>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restart"/>
            <w:shd w:val="clear" w:color="auto" w:fill="auto"/>
            <w:vAlign w:val="center"/>
          </w:tcPr>
          <w:p>
            <w:pPr>
              <w:spacing w:line="280" w:lineRule="exact"/>
              <w:jc w:val="center"/>
              <w:rPr>
                <w:color w:val="000000" w:themeColor="text1"/>
                <w:sz w:val="24"/>
              </w:rPr>
            </w:pPr>
            <w:r>
              <w:rPr>
                <w:color w:val="000000" w:themeColor="text1"/>
                <w:sz w:val="24"/>
              </w:rPr>
              <w:t>建筑物基本情况</w:t>
            </w:r>
          </w:p>
        </w:tc>
        <w:tc>
          <w:tcPr>
            <w:tcW w:w="1932" w:type="dxa"/>
            <w:shd w:val="clear" w:color="auto" w:fill="auto"/>
            <w:vAlign w:val="center"/>
          </w:tcPr>
          <w:p>
            <w:pPr>
              <w:spacing w:line="280" w:lineRule="exact"/>
              <w:jc w:val="center"/>
              <w:rPr>
                <w:color w:val="000000" w:themeColor="text1"/>
                <w:sz w:val="24"/>
              </w:rPr>
            </w:pPr>
            <w:r>
              <w:rPr>
                <w:rFonts w:hint="eastAsia"/>
                <w:color w:val="000000" w:themeColor="text1"/>
                <w:sz w:val="24"/>
              </w:rPr>
              <w:t>建成年份</w:t>
            </w:r>
          </w:p>
        </w:tc>
        <w:tc>
          <w:tcPr>
            <w:tcW w:w="5988" w:type="dxa"/>
            <w:shd w:val="clear" w:color="auto" w:fill="auto"/>
            <w:vAlign w:val="center"/>
          </w:tcPr>
          <w:p>
            <w:pPr>
              <w:spacing w:line="280" w:lineRule="exact"/>
              <w:rPr>
                <w:color w:val="000000" w:themeColor="text1"/>
                <w:sz w:val="24"/>
              </w:rPr>
            </w:pPr>
            <w:r>
              <w:rPr>
                <w:rFonts w:hint="eastAsia"/>
                <w:color w:val="000000" w:themeColor="text1"/>
                <w:sz w:val="24"/>
              </w:rPr>
              <w:t>2010</w:t>
            </w:r>
            <w:r>
              <w:rPr>
                <w:color w:val="000000" w:themeColor="text1"/>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color w:val="000000" w:themeColor="text1"/>
                <w:sz w:val="24"/>
              </w:rPr>
              <w:t>建筑面积</w:t>
            </w:r>
          </w:p>
        </w:tc>
        <w:tc>
          <w:tcPr>
            <w:tcW w:w="5988" w:type="dxa"/>
            <w:shd w:val="clear" w:color="auto" w:fill="auto"/>
            <w:vAlign w:val="center"/>
          </w:tcPr>
          <w:p>
            <w:pPr>
              <w:spacing w:line="280" w:lineRule="exact"/>
              <w:rPr>
                <w:color w:val="000000" w:themeColor="text1"/>
                <w:sz w:val="24"/>
              </w:rPr>
            </w:pPr>
            <w:r>
              <w:rPr>
                <w:rFonts w:hint="eastAsia"/>
                <w:color w:val="000000" w:themeColor="text1"/>
                <w:sz w:val="24"/>
              </w:rPr>
              <w:t>147.95</w:t>
            </w:r>
            <w:r>
              <w:rPr>
                <w:color w:val="000000" w:themeColor="text1"/>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color w:val="000000" w:themeColor="text1"/>
                <w:sz w:val="24"/>
              </w:rPr>
              <w:t>层数</w:t>
            </w:r>
          </w:p>
        </w:tc>
        <w:tc>
          <w:tcPr>
            <w:tcW w:w="5988" w:type="dxa"/>
            <w:shd w:val="clear" w:color="auto" w:fill="auto"/>
            <w:vAlign w:val="center"/>
          </w:tcPr>
          <w:p>
            <w:pPr>
              <w:spacing w:line="280" w:lineRule="exact"/>
              <w:rPr>
                <w:color w:val="000000" w:themeColor="text1"/>
                <w:sz w:val="24"/>
              </w:rPr>
            </w:pPr>
            <w:r>
              <w:rPr>
                <w:color w:val="000000" w:themeColor="text1"/>
                <w:sz w:val="24"/>
              </w:rPr>
              <w:t>所在大楼共24层，估价对象位于</w:t>
            </w:r>
            <w:r>
              <w:rPr>
                <w:rFonts w:hint="eastAsia"/>
                <w:color w:val="000000" w:themeColor="text1"/>
                <w:sz w:val="24"/>
              </w:rPr>
              <w:t>17层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color w:val="000000" w:themeColor="text1"/>
                <w:sz w:val="24"/>
              </w:rPr>
              <w:t>建筑结构</w:t>
            </w:r>
          </w:p>
        </w:tc>
        <w:tc>
          <w:tcPr>
            <w:tcW w:w="5988" w:type="dxa"/>
            <w:shd w:val="clear" w:color="auto" w:fill="auto"/>
            <w:vAlign w:val="center"/>
          </w:tcPr>
          <w:p>
            <w:pPr>
              <w:spacing w:line="280" w:lineRule="exact"/>
              <w:rPr>
                <w:color w:val="000000" w:themeColor="text1"/>
                <w:sz w:val="24"/>
              </w:rPr>
            </w:pPr>
            <w:r>
              <w:rPr>
                <w:rFonts w:hint="eastAsia" w:hAnsi="宋体"/>
                <w:color w:val="000000" w:themeColor="text1"/>
                <w:sz w:val="24"/>
              </w:rPr>
              <w:t>钢混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color w:val="000000" w:themeColor="text1"/>
                <w:sz w:val="24"/>
              </w:rPr>
              <w:t>层高</w:t>
            </w:r>
          </w:p>
        </w:tc>
        <w:tc>
          <w:tcPr>
            <w:tcW w:w="5988" w:type="dxa"/>
            <w:shd w:val="clear" w:color="auto" w:fill="auto"/>
            <w:vAlign w:val="center"/>
          </w:tcPr>
          <w:p>
            <w:pPr>
              <w:spacing w:line="280" w:lineRule="exact"/>
              <w:rPr>
                <w:color w:val="000000" w:themeColor="text1"/>
                <w:sz w:val="24"/>
              </w:rPr>
            </w:pPr>
            <w:r>
              <w:rPr>
                <w:color w:val="000000" w:themeColor="text1"/>
                <w:sz w:val="24"/>
              </w:rPr>
              <w:t>约</w:t>
            </w:r>
            <w:r>
              <w:rPr>
                <w:rFonts w:hint="eastAsia"/>
                <w:color w:val="000000" w:themeColor="text1"/>
                <w:sz w:val="24"/>
              </w:rPr>
              <w:t>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color w:val="000000" w:themeColor="text1"/>
                <w:sz w:val="24"/>
              </w:rPr>
              <w:t>垂直交通</w:t>
            </w:r>
          </w:p>
        </w:tc>
        <w:tc>
          <w:tcPr>
            <w:tcW w:w="5988" w:type="dxa"/>
            <w:shd w:val="clear" w:color="auto" w:fill="auto"/>
            <w:vAlign w:val="center"/>
          </w:tcPr>
          <w:p>
            <w:pPr>
              <w:spacing w:line="280" w:lineRule="exact"/>
              <w:rPr>
                <w:color w:val="000000" w:themeColor="text1"/>
                <w:sz w:val="24"/>
              </w:rPr>
            </w:pPr>
            <w:r>
              <w:rPr>
                <w:rFonts w:hint="eastAsia" w:hAnsi="宋体"/>
                <w:color w:val="000000" w:themeColor="text1"/>
                <w:sz w:val="24"/>
              </w:rPr>
              <w:t>两部电梯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rFonts w:hint="eastAsia"/>
                <w:color w:val="000000" w:themeColor="text1"/>
                <w:sz w:val="24"/>
              </w:rPr>
              <w:t>主</w:t>
            </w:r>
            <w:r>
              <w:rPr>
                <w:color w:val="000000" w:themeColor="text1"/>
                <w:sz w:val="24"/>
              </w:rPr>
              <w:t>朝向</w:t>
            </w:r>
          </w:p>
        </w:tc>
        <w:tc>
          <w:tcPr>
            <w:tcW w:w="5988" w:type="dxa"/>
            <w:shd w:val="clear" w:color="auto" w:fill="auto"/>
            <w:vAlign w:val="center"/>
          </w:tcPr>
          <w:p>
            <w:pPr>
              <w:spacing w:line="280" w:lineRule="exact"/>
              <w:rPr>
                <w:color w:val="000000" w:themeColor="text1"/>
                <w:sz w:val="24"/>
              </w:rPr>
            </w:pPr>
            <w:r>
              <w:rPr>
                <w:rFonts w:hint="eastAsia" w:hAnsi="宋体"/>
                <w:color w:val="000000" w:themeColor="text1"/>
                <w:sz w:val="24"/>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color w:val="000000" w:themeColor="text1"/>
                <w:sz w:val="24"/>
              </w:rPr>
              <w:t>设施、设备</w:t>
            </w:r>
          </w:p>
        </w:tc>
        <w:tc>
          <w:tcPr>
            <w:tcW w:w="5988" w:type="dxa"/>
            <w:shd w:val="clear" w:color="auto" w:fill="auto"/>
            <w:vAlign w:val="center"/>
          </w:tcPr>
          <w:p>
            <w:pPr>
              <w:spacing w:line="280" w:lineRule="exact"/>
              <w:rPr>
                <w:color w:val="000000" w:themeColor="text1"/>
                <w:sz w:val="24"/>
              </w:rPr>
            </w:pPr>
            <w:r>
              <w:rPr>
                <w:rFonts w:hint="eastAsia" w:hAnsi="宋体"/>
                <w:color w:val="000000" w:themeColor="text1"/>
                <w:kern w:val="0"/>
                <w:sz w:val="24"/>
              </w:rPr>
              <w:t>水、电、视、讯、宽带均已安装。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rFonts w:hint="eastAsia"/>
                <w:color w:val="000000" w:themeColor="text1"/>
                <w:sz w:val="24"/>
              </w:rPr>
              <w:t>停车位</w:t>
            </w:r>
          </w:p>
        </w:tc>
        <w:tc>
          <w:tcPr>
            <w:tcW w:w="5988" w:type="dxa"/>
            <w:shd w:val="clear" w:color="auto" w:fill="auto"/>
            <w:vAlign w:val="center"/>
          </w:tcPr>
          <w:p>
            <w:pPr>
              <w:spacing w:line="280" w:lineRule="exact"/>
              <w:rPr>
                <w:rFonts w:hAnsi="宋体"/>
                <w:color w:val="000000" w:themeColor="text1"/>
                <w:kern w:val="0"/>
                <w:sz w:val="24"/>
              </w:rPr>
            </w:pPr>
            <w:r>
              <w:rPr>
                <w:rFonts w:hint="eastAsia" w:hAnsi="宋体"/>
                <w:color w:val="000000" w:themeColor="text1"/>
                <w:kern w:val="0"/>
                <w:sz w:val="24"/>
              </w:rPr>
              <w:t>地下停车场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color w:val="000000" w:themeColor="text1"/>
                <w:sz w:val="24"/>
              </w:rPr>
              <w:t>户型</w:t>
            </w:r>
          </w:p>
        </w:tc>
        <w:tc>
          <w:tcPr>
            <w:tcW w:w="5988" w:type="dxa"/>
            <w:shd w:val="clear" w:color="auto" w:fill="auto"/>
            <w:vAlign w:val="center"/>
          </w:tcPr>
          <w:p>
            <w:pPr>
              <w:spacing w:line="280" w:lineRule="exact"/>
              <w:rPr>
                <w:color w:val="000000" w:themeColor="text1"/>
                <w:kern w:val="0"/>
                <w:sz w:val="24"/>
              </w:rPr>
            </w:pPr>
            <w:r>
              <w:rPr>
                <w:rFonts w:hint="eastAsia"/>
                <w:color w:val="000000" w:themeColor="text1"/>
                <w:sz w:val="24"/>
              </w:rPr>
              <w:t>三室两厅一厨两卫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color w:val="000000" w:themeColor="text1"/>
                <w:sz w:val="24"/>
              </w:rPr>
              <w:t>空间布局</w:t>
            </w:r>
          </w:p>
        </w:tc>
        <w:tc>
          <w:tcPr>
            <w:tcW w:w="5988" w:type="dxa"/>
            <w:shd w:val="clear" w:color="auto" w:fill="auto"/>
            <w:vAlign w:val="center"/>
          </w:tcPr>
          <w:p>
            <w:pPr>
              <w:spacing w:line="280" w:lineRule="exact"/>
              <w:rPr>
                <w:color w:val="000000" w:themeColor="text1"/>
                <w:sz w:val="24"/>
              </w:rPr>
            </w:pPr>
            <w:r>
              <w:rPr>
                <w:rFonts w:hint="eastAsia" w:hAnsi="宋体"/>
                <w:color w:val="000000" w:themeColor="text1"/>
                <w:sz w:val="24"/>
              </w:rPr>
              <w:t>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color w:val="000000" w:themeColor="text1"/>
                <w:sz w:val="24"/>
              </w:rPr>
              <w:t>通风采光</w:t>
            </w:r>
          </w:p>
        </w:tc>
        <w:tc>
          <w:tcPr>
            <w:tcW w:w="5988" w:type="dxa"/>
            <w:shd w:val="clear" w:color="auto" w:fill="auto"/>
            <w:vAlign w:val="center"/>
          </w:tcPr>
          <w:p>
            <w:pPr>
              <w:spacing w:line="280" w:lineRule="exact"/>
              <w:rPr>
                <w:color w:val="000000" w:themeColor="text1"/>
                <w:sz w:val="24"/>
              </w:rPr>
            </w:pPr>
            <w:r>
              <w:rPr>
                <w:rFonts w:hint="eastAsia" w:hAnsi="宋体"/>
                <w:color w:val="000000" w:themeColor="text1"/>
                <w:sz w:val="24"/>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color w:val="000000" w:themeColor="text1"/>
                <w:sz w:val="24"/>
              </w:rPr>
              <w:t>利用现状</w:t>
            </w:r>
          </w:p>
        </w:tc>
        <w:tc>
          <w:tcPr>
            <w:tcW w:w="5988" w:type="dxa"/>
            <w:shd w:val="clear" w:color="auto" w:fill="auto"/>
            <w:vAlign w:val="center"/>
          </w:tcPr>
          <w:p>
            <w:pPr>
              <w:spacing w:line="280" w:lineRule="exact"/>
              <w:rPr>
                <w:color w:val="000000" w:themeColor="text1"/>
                <w:sz w:val="24"/>
              </w:rPr>
            </w:pPr>
            <w:r>
              <w:rPr>
                <w:rFonts w:hint="eastAsia"/>
                <w:color w:val="000000" w:themeColor="text1"/>
                <w:sz w:val="24"/>
              </w:rPr>
              <w:t>自住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354" w:type="dxa"/>
            <w:shd w:val="clear" w:color="auto" w:fill="auto"/>
            <w:vAlign w:val="center"/>
          </w:tcPr>
          <w:p>
            <w:pPr>
              <w:spacing w:line="280" w:lineRule="exact"/>
              <w:jc w:val="center"/>
              <w:rPr>
                <w:color w:val="000000" w:themeColor="text1"/>
                <w:sz w:val="24"/>
              </w:rPr>
            </w:pPr>
            <w:r>
              <w:rPr>
                <w:color w:val="000000" w:themeColor="text1"/>
                <w:sz w:val="24"/>
              </w:rPr>
              <w:t>装修状况</w:t>
            </w:r>
          </w:p>
        </w:tc>
        <w:tc>
          <w:tcPr>
            <w:tcW w:w="7920" w:type="dxa"/>
            <w:gridSpan w:val="2"/>
            <w:shd w:val="clear" w:color="auto" w:fill="auto"/>
            <w:vAlign w:val="center"/>
          </w:tcPr>
          <w:p>
            <w:pPr>
              <w:spacing w:line="300" w:lineRule="exact"/>
              <w:ind w:firstLine="480" w:firstLineChars="200"/>
              <w:rPr>
                <w:color w:val="000000" w:themeColor="text1"/>
                <w:sz w:val="24"/>
              </w:rPr>
            </w:pPr>
            <w:r>
              <w:rPr>
                <w:rFonts w:hint="eastAsia"/>
                <w:color w:val="000000" w:themeColor="text1"/>
                <w:sz w:val="24"/>
              </w:rPr>
              <w:t>外墙贴黄褐色墙砖；入户门为防盗门，室内为套装门，安铝合金窗；</w:t>
            </w:r>
            <w:r>
              <w:rPr>
                <w:color w:val="000000" w:themeColor="text1"/>
                <w:sz w:val="24"/>
              </w:rPr>
              <w:t>水电均为</w:t>
            </w:r>
            <w:r>
              <w:rPr>
                <w:rFonts w:hint="eastAsia"/>
                <w:color w:val="000000" w:themeColor="text1"/>
                <w:sz w:val="24"/>
              </w:rPr>
              <w:t>暗</w:t>
            </w:r>
            <w:r>
              <w:rPr>
                <w:color w:val="000000" w:themeColor="text1"/>
                <w:sz w:val="24"/>
              </w:rPr>
              <w:t>线布置</w:t>
            </w:r>
            <w:r>
              <w:rPr>
                <w:rFonts w:hint="eastAsia"/>
                <w:color w:val="000000" w:themeColor="text1"/>
                <w:sz w:val="24"/>
              </w:rPr>
              <w:t>。</w:t>
            </w:r>
          </w:p>
          <w:p>
            <w:pPr>
              <w:spacing w:line="300" w:lineRule="exact"/>
              <w:ind w:firstLine="480" w:firstLineChars="200"/>
              <w:rPr>
                <w:color w:val="000000" w:themeColor="text1"/>
                <w:sz w:val="24"/>
              </w:rPr>
            </w:pPr>
            <w:r>
              <w:rPr>
                <w:color w:val="000000" w:themeColor="text1"/>
                <w:sz w:val="24"/>
              </w:rPr>
              <w:t>室内地面贴地砖、复合地板，内墙面刷乳胶漆、贴墙布</w:t>
            </w:r>
            <w:r>
              <w:rPr>
                <w:rFonts w:hint="eastAsia"/>
                <w:color w:val="000000" w:themeColor="text1"/>
                <w:sz w:val="24"/>
              </w:rPr>
              <w:t>，</w:t>
            </w:r>
            <w:r>
              <w:rPr>
                <w:color w:val="000000" w:themeColor="text1"/>
                <w:sz w:val="24"/>
              </w:rPr>
              <w:t>厨房</w:t>
            </w:r>
            <w:r>
              <w:rPr>
                <w:rFonts w:hint="eastAsia"/>
                <w:color w:val="000000" w:themeColor="text1"/>
                <w:sz w:val="24"/>
              </w:rPr>
              <w:t>、</w:t>
            </w:r>
            <w:r>
              <w:rPr>
                <w:color w:val="000000" w:themeColor="text1"/>
                <w:sz w:val="24"/>
              </w:rPr>
              <w:t>卫生间</w:t>
            </w:r>
            <w:r>
              <w:rPr>
                <w:rFonts w:hint="eastAsia"/>
                <w:color w:val="000000" w:themeColor="text1"/>
                <w:sz w:val="24"/>
              </w:rPr>
              <w:t>处</w:t>
            </w:r>
            <w:r>
              <w:rPr>
                <w:color w:val="000000" w:themeColor="text1"/>
                <w:sz w:val="24"/>
              </w:rPr>
              <w:t>贴墙砖，天棚</w:t>
            </w:r>
            <w:r>
              <w:rPr>
                <w:rFonts w:hint="eastAsia"/>
                <w:color w:val="000000" w:themeColor="text1"/>
                <w:sz w:val="24"/>
              </w:rPr>
              <w:t>做石膏板造型吊顶，厨房、</w:t>
            </w:r>
            <w:r>
              <w:rPr>
                <w:color w:val="000000" w:themeColor="text1"/>
                <w:sz w:val="24"/>
              </w:rPr>
              <w:t>卫生间</w:t>
            </w:r>
            <w:r>
              <w:rPr>
                <w:rFonts w:hint="eastAsia"/>
                <w:color w:val="000000" w:themeColor="text1"/>
                <w:sz w:val="24"/>
              </w:rPr>
              <w:t>设施设备安装齐全；</w:t>
            </w:r>
            <w:r>
              <w:rPr>
                <w:color w:val="000000" w:themeColor="text1"/>
                <w:sz w:val="24"/>
              </w:rPr>
              <w:t>精装修，保养良好。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restart"/>
            <w:shd w:val="clear" w:color="auto" w:fill="auto"/>
            <w:vAlign w:val="center"/>
          </w:tcPr>
          <w:p>
            <w:pPr>
              <w:spacing w:line="280" w:lineRule="exact"/>
              <w:jc w:val="center"/>
              <w:rPr>
                <w:color w:val="000000" w:themeColor="text1"/>
                <w:sz w:val="24"/>
              </w:rPr>
            </w:pPr>
            <w:r>
              <w:rPr>
                <w:color w:val="000000" w:themeColor="text1"/>
                <w:sz w:val="24"/>
              </w:rPr>
              <w:t>建筑物完损状况</w:t>
            </w:r>
          </w:p>
        </w:tc>
        <w:tc>
          <w:tcPr>
            <w:tcW w:w="1932" w:type="dxa"/>
            <w:shd w:val="clear" w:color="auto" w:fill="auto"/>
            <w:vAlign w:val="center"/>
          </w:tcPr>
          <w:p>
            <w:pPr>
              <w:spacing w:line="280" w:lineRule="exact"/>
              <w:jc w:val="center"/>
              <w:rPr>
                <w:color w:val="000000" w:themeColor="text1"/>
                <w:sz w:val="24"/>
              </w:rPr>
            </w:pPr>
            <w:r>
              <w:rPr>
                <w:color w:val="000000" w:themeColor="text1"/>
                <w:sz w:val="24"/>
              </w:rPr>
              <w:t>地基及墙面</w:t>
            </w:r>
          </w:p>
        </w:tc>
        <w:tc>
          <w:tcPr>
            <w:tcW w:w="5988" w:type="dxa"/>
            <w:shd w:val="clear" w:color="auto" w:fill="auto"/>
            <w:vAlign w:val="center"/>
          </w:tcPr>
          <w:p>
            <w:pPr>
              <w:spacing w:line="300" w:lineRule="exact"/>
              <w:rPr>
                <w:color w:val="000000" w:themeColor="text1"/>
                <w:sz w:val="24"/>
              </w:rPr>
            </w:pPr>
            <w:r>
              <w:rPr>
                <w:rFonts w:hint="eastAsia" w:hAnsi="宋体"/>
                <w:color w:val="000000" w:themeColor="text1"/>
                <w:sz w:val="24"/>
              </w:rPr>
              <w:t>地基无不均匀下降，墙面无裂缝现象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color w:val="000000" w:themeColor="text1"/>
                <w:sz w:val="24"/>
              </w:rPr>
              <w:t>主体结构</w:t>
            </w:r>
          </w:p>
        </w:tc>
        <w:tc>
          <w:tcPr>
            <w:tcW w:w="5988" w:type="dxa"/>
            <w:shd w:val="clear" w:color="auto" w:fill="auto"/>
            <w:vAlign w:val="center"/>
          </w:tcPr>
          <w:p>
            <w:pPr>
              <w:spacing w:line="300" w:lineRule="exact"/>
              <w:rPr>
                <w:color w:val="000000" w:themeColor="text1"/>
                <w:sz w:val="24"/>
              </w:rPr>
            </w:pPr>
            <w:r>
              <w:rPr>
                <w:rFonts w:hint="eastAsia" w:hAnsi="宋体"/>
                <w:color w:val="000000" w:themeColor="text1"/>
                <w:sz w:val="24"/>
              </w:rPr>
              <w:t>设计使用年期为60年，已使用约</w:t>
            </w:r>
            <w:r>
              <w:rPr>
                <w:rFonts w:hAnsi="宋体"/>
                <w:color w:val="000000" w:themeColor="text1"/>
                <w:sz w:val="24"/>
              </w:rPr>
              <w:t>10</w:t>
            </w:r>
            <w:r>
              <w:rPr>
                <w:rFonts w:hint="eastAsia" w:hAnsi="宋体"/>
                <w:color w:val="000000" w:themeColor="text1"/>
                <w:sz w:val="24"/>
              </w:rPr>
              <w:t>年，尚未发现主体结构受损，</w:t>
            </w:r>
            <w:r>
              <w:rPr>
                <w:rFonts w:hint="eastAsia"/>
                <w:color w:val="000000" w:themeColor="text1"/>
                <w:kern w:val="0"/>
                <w:sz w:val="24"/>
              </w:rPr>
              <w:t>内外墙无裂缝，楼地面平整，</w:t>
            </w:r>
            <w:r>
              <w:rPr>
                <w:color w:val="000000" w:themeColor="text1"/>
                <w:kern w:val="0"/>
                <w:sz w:val="24"/>
              </w:rPr>
              <w:t>楼板</w:t>
            </w:r>
            <w:r>
              <w:rPr>
                <w:rFonts w:hint="eastAsia"/>
                <w:color w:val="000000" w:themeColor="text1"/>
                <w:kern w:val="0"/>
                <w:sz w:val="24"/>
              </w:rPr>
              <w:t>未见</w:t>
            </w:r>
            <w:r>
              <w:rPr>
                <w:color w:val="000000" w:themeColor="text1"/>
                <w:kern w:val="0"/>
                <w:sz w:val="24"/>
              </w:rPr>
              <w:t>漏水现象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color w:val="000000" w:themeColor="text1"/>
                <w:sz w:val="24"/>
              </w:rPr>
              <w:t>配套设施设备</w:t>
            </w:r>
          </w:p>
        </w:tc>
        <w:tc>
          <w:tcPr>
            <w:tcW w:w="5988" w:type="dxa"/>
            <w:shd w:val="clear" w:color="auto" w:fill="auto"/>
            <w:vAlign w:val="center"/>
          </w:tcPr>
          <w:p>
            <w:pPr>
              <w:spacing w:line="300" w:lineRule="exact"/>
              <w:rPr>
                <w:color w:val="000000" w:themeColor="text1"/>
                <w:sz w:val="24"/>
              </w:rPr>
            </w:pPr>
            <w:r>
              <w:rPr>
                <w:rFonts w:hint="eastAsia"/>
                <w:color w:val="000000" w:themeColor="text1"/>
                <w:kern w:val="0"/>
                <w:sz w:val="24"/>
              </w:rPr>
              <w:t>估价对象设备使用正常，房屋门窗无破损，水电管线通畅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color w:val="000000" w:themeColor="text1"/>
                <w:sz w:val="24"/>
              </w:rPr>
              <w:t>装修装饰</w:t>
            </w:r>
          </w:p>
        </w:tc>
        <w:tc>
          <w:tcPr>
            <w:tcW w:w="5988" w:type="dxa"/>
            <w:shd w:val="clear" w:color="auto" w:fill="auto"/>
            <w:vAlign w:val="center"/>
          </w:tcPr>
          <w:p>
            <w:pPr>
              <w:spacing w:line="300" w:lineRule="exact"/>
              <w:rPr>
                <w:color w:val="000000" w:themeColor="text1"/>
                <w:sz w:val="24"/>
              </w:rPr>
            </w:pPr>
            <w:r>
              <w:rPr>
                <w:rFonts w:hint="eastAsia"/>
                <w:color w:val="000000" w:themeColor="text1"/>
                <w:sz w:val="24"/>
              </w:rPr>
              <w:t>精装修，保养良好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4" w:type="dxa"/>
            <w:vMerge w:val="continue"/>
            <w:shd w:val="clear" w:color="auto" w:fill="auto"/>
            <w:vAlign w:val="center"/>
          </w:tcPr>
          <w:p>
            <w:pPr>
              <w:spacing w:line="280" w:lineRule="exact"/>
              <w:jc w:val="center"/>
              <w:rPr>
                <w:color w:val="000000" w:themeColor="text1"/>
                <w:sz w:val="24"/>
              </w:rPr>
            </w:pPr>
          </w:p>
        </w:tc>
        <w:tc>
          <w:tcPr>
            <w:tcW w:w="1932" w:type="dxa"/>
            <w:shd w:val="clear" w:color="auto" w:fill="auto"/>
            <w:vAlign w:val="center"/>
          </w:tcPr>
          <w:p>
            <w:pPr>
              <w:spacing w:line="280" w:lineRule="exact"/>
              <w:jc w:val="center"/>
              <w:rPr>
                <w:color w:val="000000" w:themeColor="text1"/>
                <w:sz w:val="24"/>
              </w:rPr>
            </w:pPr>
            <w:r>
              <w:rPr>
                <w:color w:val="000000" w:themeColor="text1"/>
                <w:sz w:val="24"/>
              </w:rPr>
              <w:t>完损状况</w:t>
            </w:r>
          </w:p>
        </w:tc>
        <w:tc>
          <w:tcPr>
            <w:tcW w:w="5988" w:type="dxa"/>
            <w:shd w:val="clear" w:color="auto" w:fill="auto"/>
            <w:vAlign w:val="center"/>
          </w:tcPr>
          <w:p>
            <w:pPr>
              <w:spacing w:line="300" w:lineRule="exact"/>
              <w:rPr>
                <w:color w:val="000000" w:themeColor="text1"/>
                <w:sz w:val="24"/>
              </w:rPr>
            </w:pPr>
            <w:r>
              <w:rPr>
                <w:rFonts w:hint="eastAsia"/>
                <w:color w:val="000000" w:themeColor="text1"/>
                <w:sz w:val="24"/>
              </w:rPr>
              <w:t>总体完好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86" w:type="dxa"/>
            <w:gridSpan w:val="2"/>
            <w:shd w:val="clear" w:color="auto" w:fill="auto"/>
            <w:vAlign w:val="center"/>
          </w:tcPr>
          <w:p>
            <w:pPr>
              <w:spacing w:line="280" w:lineRule="exact"/>
              <w:jc w:val="center"/>
              <w:rPr>
                <w:color w:val="000000" w:themeColor="text1"/>
                <w:sz w:val="24"/>
              </w:rPr>
            </w:pPr>
            <w:r>
              <w:rPr>
                <w:color w:val="000000" w:themeColor="text1"/>
                <w:sz w:val="24"/>
              </w:rPr>
              <w:t>物业状况</w:t>
            </w:r>
          </w:p>
        </w:tc>
        <w:tc>
          <w:tcPr>
            <w:tcW w:w="5988" w:type="dxa"/>
            <w:shd w:val="clear" w:color="auto" w:fill="auto"/>
            <w:vAlign w:val="center"/>
          </w:tcPr>
          <w:p>
            <w:pPr>
              <w:spacing w:line="300" w:lineRule="exact"/>
              <w:rPr>
                <w:color w:val="000000" w:themeColor="text1"/>
                <w:sz w:val="24"/>
              </w:rPr>
            </w:pPr>
            <w:r>
              <w:rPr>
                <w:rFonts w:hint="eastAsia"/>
                <w:color w:val="000000" w:themeColor="text1"/>
                <w:sz w:val="24"/>
              </w:rPr>
              <w:t>一般小区物管</w:t>
            </w:r>
          </w:p>
        </w:tc>
      </w:tr>
    </w:tbl>
    <w:p>
      <w:pPr>
        <w:numPr>
          <w:ilvl w:val="1"/>
          <w:numId w:val="3"/>
        </w:numPr>
        <w:tabs>
          <w:tab w:val="left" w:pos="720"/>
          <w:tab w:val="left" w:pos="900"/>
          <w:tab w:val="left" w:pos="1080"/>
          <w:tab w:val="left" w:pos="1440"/>
          <w:tab w:val="clear" w:pos="1506"/>
        </w:tabs>
        <w:spacing w:line="500" w:lineRule="exact"/>
        <w:ind w:left="0" w:firstLine="560" w:firstLineChars="200"/>
        <w:rPr>
          <w:color w:val="000000" w:themeColor="text1"/>
          <w:sz w:val="28"/>
          <w:szCs w:val="28"/>
        </w:rPr>
      </w:pPr>
      <w:r>
        <w:rPr>
          <w:color w:val="000000" w:themeColor="text1"/>
          <w:sz w:val="28"/>
          <w:szCs w:val="28"/>
        </w:rPr>
        <w:t>估价对象权属状况</w:t>
      </w:r>
    </w:p>
    <w:p>
      <w:pPr>
        <w:spacing w:line="500" w:lineRule="exact"/>
        <w:ind w:firstLine="630" w:firstLineChars="225"/>
        <w:rPr>
          <w:color w:val="000000" w:themeColor="text1"/>
          <w:sz w:val="28"/>
          <w:szCs w:val="28"/>
        </w:rPr>
      </w:pPr>
      <w:r>
        <w:rPr>
          <w:color w:val="000000" w:themeColor="text1"/>
          <w:sz w:val="28"/>
          <w:szCs w:val="28"/>
          <w:lang w:val="zh-CN"/>
        </w:rPr>
        <w:t>估价对象未办理相关房地产权证书，根据委托方提供的《预告登记信息》、《商品房买卖合同》等资料及估价人员现场询问，房屋所有权属</w:t>
      </w:r>
      <w:r>
        <w:rPr>
          <w:rFonts w:hint="eastAsia"/>
          <w:color w:val="000000" w:themeColor="text1"/>
          <w:sz w:val="28"/>
          <w:szCs w:val="28"/>
          <w:lang w:val="zh-CN"/>
        </w:rPr>
        <w:t>何丽军、宋焕玲</w:t>
      </w:r>
      <w:r>
        <w:rPr>
          <w:color w:val="000000" w:themeColor="text1"/>
          <w:sz w:val="28"/>
          <w:szCs w:val="28"/>
          <w:lang w:val="zh-CN"/>
        </w:rPr>
        <w:t>所有，</w:t>
      </w:r>
      <w:r>
        <w:rPr>
          <w:rFonts w:hint="eastAsia"/>
          <w:color w:val="000000" w:themeColor="text1"/>
          <w:sz w:val="28"/>
          <w:szCs w:val="28"/>
          <w:lang w:val="zh-CN"/>
        </w:rPr>
        <w:t>房屋用途为住宅，钢混结构，</w:t>
      </w:r>
      <w:r>
        <w:rPr>
          <w:color w:val="000000" w:themeColor="text1"/>
          <w:sz w:val="28"/>
          <w:szCs w:val="28"/>
          <w:lang w:val="zh-CN"/>
        </w:rPr>
        <w:t>建筑面积为</w:t>
      </w:r>
      <w:r>
        <w:rPr>
          <w:rFonts w:hint="eastAsia"/>
          <w:color w:val="000000" w:themeColor="text1"/>
          <w:sz w:val="28"/>
          <w:szCs w:val="28"/>
          <w:lang w:val="zh-CN"/>
        </w:rPr>
        <w:t>147.95</w:t>
      </w:r>
      <w:r>
        <w:rPr>
          <w:color w:val="000000" w:themeColor="text1"/>
          <w:sz w:val="28"/>
          <w:szCs w:val="28"/>
          <w:lang w:val="zh-CN"/>
        </w:rPr>
        <w:t>平方米；宗地地类用途为住宅用地，土地使用权类型为出让，出让终止日期为2048年</w:t>
      </w:r>
      <w:r>
        <w:rPr>
          <w:rFonts w:hint="eastAsia"/>
          <w:color w:val="000000" w:themeColor="text1"/>
          <w:sz w:val="28"/>
          <w:szCs w:val="28"/>
          <w:lang w:val="zh-CN"/>
        </w:rPr>
        <w:t>11月06日，剩余土地使用权年限为28.1年</w:t>
      </w:r>
      <w:bookmarkStart w:id="9" w:name="OLE_LINK7"/>
      <w:r>
        <w:rPr>
          <w:rFonts w:hint="eastAsia"/>
          <w:color w:val="000000" w:themeColor="text1"/>
          <w:sz w:val="28"/>
          <w:szCs w:val="28"/>
          <w:lang w:val="zh-CN"/>
        </w:rPr>
        <w:t>。</w:t>
      </w:r>
    </w:p>
    <w:bookmarkEnd w:id="9"/>
    <w:p>
      <w:pPr>
        <w:numPr>
          <w:ilvl w:val="0"/>
          <w:numId w:val="3"/>
        </w:numPr>
        <w:spacing w:line="500" w:lineRule="exact"/>
        <w:outlineLvl w:val="1"/>
        <w:rPr>
          <w:b/>
          <w:color w:val="000000" w:themeColor="text1"/>
          <w:sz w:val="28"/>
          <w:szCs w:val="28"/>
        </w:rPr>
      </w:pPr>
      <w:bookmarkStart w:id="10" w:name="_Toc461629204"/>
      <w:r>
        <w:rPr>
          <w:b/>
          <w:color w:val="000000" w:themeColor="text1"/>
          <w:sz w:val="28"/>
          <w:szCs w:val="28"/>
        </w:rPr>
        <w:t>价值时点</w:t>
      </w:r>
      <w:bookmarkEnd w:id="10"/>
    </w:p>
    <w:p>
      <w:pPr>
        <w:spacing w:line="500" w:lineRule="exact"/>
        <w:ind w:firstLine="630" w:firstLineChars="225"/>
        <w:rPr>
          <w:b/>
          <w:color w:val="000000" w:themeColor="text1"/>
          <w:sz w:val="28"/>
          <w:szCs w:val="28"/>
        </w:rPr>
      </w:pPr>
      <w:r>
        <w:rPr>
          <w:rFonts w:hint="eastAsia"/>
          <w:color w:val="000000" w:themeColor="text1"/>
          <w:sz w:val="28"/>
          <w:szCs w:val="28"/>
        </w:rPr>
        <w:t>二〇二〇年九月二十五日</w:t>
      </w:r>
      <w:r>
        <w:rPr>
          <w:color w:val="000000" w:themeColor="text1"/>
          <w:sz w:val="28"/>
          <w:szCs w:val="28"/>
        </w:rPr>
        <w:t>，此价值时点是估价人员对估价对象进行实地查</w:t>
      </w:r>
      <w:r>
        <w:rPr>
          <w:rFonts w:hint="eastAsia"/>
          <w:color w:val="000000" w:themeColor="text1"/>
          <w:sz w:val="28"/>
          <w:szCs w:val="28"/>
        </w:rPr>
        <w:t>勘</w:t>
      </w:r>
      <w:r>
        <w:rPr>
          <w:color w:val="000000" w:themeColor="text1"/>
          <w:sz w:val="28"/>
          <w:szCs w:val="28"/>
        </w:rPr>
        <w:t>之日。</w:t>
      </w:r>
    </w:p>
    <w:p>
      <w:pPr>
        <w:numPr>
          <w:ilvl w:val="0"/>
          <w:numId w:val="3"/>
        </w:numPr>
        <w:spacing w:line="500" w:lineRule="exact"/>
        <w:outlineLvl w:val="1"/>
        <w:rPr>
          <w:b/>
          <w:color w:val="000000" w:themeColor="text1"/>
          <w:sz w:val="28"/>
          <w:szCs w:val="28"/>
        </w:rPr>
      </w:pPr>
      <w:bookmarkStart w:id="11" w:name="_Toc461629205"/>
      <w:r>
        <w:rPr>
          <w:b/>
          <w:color w:val="000000" w:themeColor="text1"/>
          <w:sz w:val="28"/>
          <w:szCs w:val="28"/>
        </w:rPr>
        <w:t>价值类型</w:t>
      </w:r>
      <w:bookmarkEnd w:id="11"/>
    </w:p>
    <w:p>
      <w:pPr>
        <w:spacing w:line="500" w:lineRule="exact"/>
        <w:ind w:firstLine="630" w:firstLineChars="225"/>
        <w:rPr>
          <w:color w:val="000000" w:themeColor="text1"/>
          <w:sz w:val="28"/>
          <w:szCs w:val="28"/>
        </w:rPr>
      </w:pPr>
      <w:r>
        <w:rPr>
          <w:color w:val="000000" w:themeColor="text1"/>
          <w:sz w:val="28"/>
          <w:szCs w:val="28"/>
          <w:lang w:val="zh-CN"/>
        </w:rPr>
        <w:t>本次估价价值定义为房地产市场价值</w:t>
      </w:r>
      <w:r>
        <w:rPr>
          <w:color w:val="000000" w:themeColor="text1"/>
          <w:sz w:val="28"/>
          <w:szCs w:val="28"/>
        </w:rPr>
        <w:t>。</w:t>
      </w:r>
    </w:p>
    <w:p>
      <w:pPr>
        <w:tabs>
          <w:tab w:val="left" w:pos="2340"/>
        </w:tabs>
        <w:spacing w:line="500" w:lineRule="exact"/>
        <w:ind w:firstLine="560" w:firstLineChars="200"/>
        <w:rPr>
          <w:color w:val="000000" w:themeColor="text1"/>
          <w:sz w:val="28"/>
          <w:szCs w:val="28"/>
        </w:rPr>
      </w:pPr>
      <w:r>
        <w:rPr>
          <w:color w:val="000000" w:themeColor="text1"/>
          <w:sz w:val="28"/>
          <w:szCs w:val="28"/>
        </w:rPr>
        <w:t>市场价值：在公开市场上最可能形成的价格。</w:t>
      </w:r>
      <w:r>
        <w:rPr>
          <w:color w:val="000000" w:themeColor="text1"/>
          <w:sz w:val="28"/>
          <w:szCs w:val="28"/>
          <w:lang w:val="zh-CN"/>
        </w:rPr>
        <w:t>公开市场指在该市场上交易双方进行交易的目的在于最大限度地追求经济效益</w:t>
      </w:r>
      <w:r>
        <w:rPr>
          <w:color w:val="000000" w:themeColor="text1"/>
          <w:sz w:val="28"/>
          <w:szCs w:val="28"/>
        </w:rPr>
        <w:t>，并掌握必要的市场信息，有效充裕的时间进行交易，对交易对象具有必要的专业知识，交易条件公开并不具有排它性。</w:t>
      </w:r>
    </w:p>
    <w:p>
      <w:pPr>
        <w:spacing w:line="500" w:lineRule="exact"/>
        <w:ind w:firstLine="630" w:firstLineChars="225"/>
        <w:rPr>
          <w:color w:val="000000" w:themeColor="text1"/>
          <w:sz w:val="28"/>
          <w:szCs w:val="28"/>
        </w:rPr>
      </w:pPr>
      <w:r>
        <w:rPr>
          <w:color w:val="000000" w:themeColor="text1"/>
          <w:sz w:val="28"/>
          <w:szCs w:val="28"/>
        </w:rPr>
        <w:t>1、用途：估价对象证载用途为</w:t>
      </w:r>
      <w:r>
        <w:rPr>
          <w:rFonts w:hint="eastAsia"/>
          <w:color w:val="000000" w:themeColor="text1"/>
          <w:sz w:val="28"/>
          <w:szCs w:val="28"/>
        </w:rPr>
        <w:t>住宅</w:t>
      </w:r>
      <w:r>
        <w:rPr>
          <w:color w:val="000000" w:themeColor="text1"/>
          <w:sz w:val="28"/>
          <w:szCs w:val="28"/>
        </w:rPr>
        <w:t>，实际用途</w:t>
      </w:r>
      <w:r>
        <w:rPr>
          <w:rFonts w:hint="eastAsia"/>
          <w:color w:val="000000" w:themeColor="text1"/>
          <w:sz w:val="28"/>
          <w:szCs w:val="28"/>
        </w:rPr>
        <w:t>与证载用途一致；故</w:t>
      </w:r>
      <w:r>
        <w:rPr>
          <w:color w:val="000000" w:themeColor="text1"/>
          <w:sz w:val="28"/>
          <w:szCs w:val="28"/>
          <w:lang w:val="zh-CN"/>
        </w:rPr>
        <w:t>本次按</w:t>
      </w:r>
      <w:r>
        <w:rPr>
          <w:rFonts w:hint="eastAsia"/>
          <w:color w:val="000000" w:themeColor="text1"/>
          <w:sz w:val="28"/>
          <w:szCs w:val="28"/>
          <w:lang w:val="zh-CN"/>
        </w:rPr>
        <w:t>住宅房地产的特性</w:t>
      </w:r>
      <w:r>
        <w:rPr>
          <w:color w:val="000000" w:themeColor="text1"/>
          <w:sz w:val="28"/>
          <w:szCs w:val="28"/>
          <w:lang w:val="zh-CN"/>
        </w:rPr>
        <w:t>进行评估</w:t>
      </w:r>
      <w:r>
        <w:rPr>
          <w:color w:val="000000" w:themeColor="text1"/>
          <w:sz w:val="28"/>
          <w:szCs w:val="28"/>
        </w:rPr>
        <w:t>。</w:t>
      </w:r>
    </w:p>
    <w:p>
      <w:pPr>
        <w:spacing w:line="500" w:lineRule="exact"/>
        <w:ind w:firstLine="630" w:firstLineChars="225"/>
        <w:rPr>
          <w:color w:val="000000" w:themeColor="text1"/>
          <w:sz w:val="28"/>
          <w:szCs w:val="28"/>
        </w:rPr>
      </w:pPr>
      <w:r>
        <w:rPr>
          <w:color w:val="000000" w:themeColor="text1"/>
          <w:sz w:val="28"/>
          <w:szCs w:val="28"/>
        </w:rPr>
        <w:t>2、</w:t>
      </w:r>
      <w:r>
        <w:rPr>
          <w:color w:val="000000" w:themeColor="text1"/>
          <w:sz w:val="28"/>
          <w:szCs w:val="28"/>
          <w:lang w:val="zh-CN"/>
        </w:rPr>
        <w:t>权利状况</w:t>
      </w:r>
      <w:r>
        <w:rPr>
          <w:color w:val="000000" w:themeColor="text1"/>
          <w:sz w:val="28"/>
          <w:szCs w:val="28"/>
        </w:rPr>
        <w:t>：</w:t>
      </w:r>
      <w:r>
        <w:rPr>
          <w:rFonts w:hint="eastAsia"/>
          <w:color w:val="000000" w:themeColor="text1"/>
          <w:sz w:val="28"/>
          <w:szCs w:val="28"/>
        </w:rPr>
        <w:t>何丽军、宋焕玲</w:t>
      </w:r>
      <w:r>
        <w:rPr>
          <w:color w:val="000000" w:themeColor="text1"/>
          <w:sz w:val="28"/>
          <w:szCs w:val="28"/>
        </w:rPr>
        <w:t>拥有估价对象的房屋所有权和国有</w:t>
      </w:r>
      <w:r>
        <w:rPr>
          <w:rFonts w:hint="eastAsia"/>
          <w:color w:val="000000" w:themeColor="text1"/>
          <w:sz w:val="28"/>
          <w:szCs w:val="28"/>
        </w:rPr>
        <w:t>出让</w:t>
      </w:r>
      <w:r>
        <w:rPr>
          <w:color w:val="000000" w:themeColor="text1"/>
          <w:sz w:val="28"/>
          <w:szCs w:val="28"/>
        </w:rPr>
        <w:t>住宅</w:t>
      </w:r>
      <w:r>
        <w:rPr>
          <w:rFonts w:hint="eastAsia"/>
          <w:color w:val="000000" w:themeColor="text1"/>
          <w:sz w:val="28"/>
          <w:szCs w:val="28"/>
        </w:rPr>
        <w:t>用地</w:t>
      </w:r>
      <w:r>
        <w:rPr>
          <w:color w:val="000000" w:themeColor="text1"/>
          <w:sz w:val="28"/>
          <w:szCs w:val="28"/>
        </w:rPr>
        <w:t>使用权</w:t>
      </w:r>
      <w:r>
        <w:rPr>
          <w:rFonts w:hint="eastAsia"/>
          <w:color w:val="000000" w:themeColor="text1"/>
          <w:sz w:val="28"/>
          <w:szCs w:val="28"/>
        </w:rPr>
        <w:t>，至价值时点</w:t>
      </w:r>
      <w:r>
        <w:rPr>
          <w:color w:val="000000" w:themeColor="text1"/>
          <w:sz w:val="28"/>
          <w:szCs w:val="28"/>
        </w:rPr>
        <w:t>估价对象土地使用权剩余</w:t>
      </w:r>
      <w:r>
        <w:rPr>
          <w:rFonts w:hint="eastAsia"/>
          <w:color w:val="000000" w:themeColor="text1"/>
          <w:sz w:val="28"/>
          <w:szCs w:val="28"/>
        </w:rPr>
        <w:t>28.1年</w:t>
      </w:r>
      <w:r>
        <w:rPr>
          <w:color w:val="000000" w:themeColor="text1"/>
          <w:spacing w:val="-8"/>
          <w:sz w:val="28"/>
          <w:szCs w:val="28"/>
        </w:rPr>
        <w:t>。</w:t>
      </w:r>
    </w:p>
    <w:p>
      <w:pPr>
        <w:spacing w:line="500" w:lineRule="exact"/>
        <w:ind w:firstLine="630" w:firstLineChars="225"/>
        <w:rPr>
          <w:color w:val="000000" w:themeColor="text1"/>
          <w:sz w:val="28"/>
          <w:szCs w:val="28"/>
        </w:rPr>
      </w:pPr>
      <w:r>
        <w:rPr>
          <w:color w:val="000000" w:themeColor="text1"/>
          <w:sz w:val="28"/>
          <w:szCs w:val="28"/>
        </w:rPr>
        <w:t>3、</w:t>
      </w:r>
      <w:r>
        <w:rPr>
          <w:color w:val="000000" w:themeColor="text1"/>
          <w:sz w:val="28"/>
          <w:szCs w:val="28"/>
          <w:lang w:val="zh-CN"/>
        </w:rPr>
        <w:t>开发利用程度</w:t>
      </w:r>
      <w:r>
        <w:rPr>
          <w:color w:val="000000" w:themeColor="text1"/>
          <w:sz w:val="28"/>
          <w:szCs w:val="28"/>
        </w:rPr>
        <w:t>：</w:t>
      </w:r>
      <w:r>
        <w:rPr>
          <w:rFonts w:hint="eastAsia"/>
          <w:color w:val="000000" w:themeColor="text1"/>
          <w:sz w:val="28"/>
          <w:szCs w:val="28"/>
        </w:rPr>
        <w:t>宗地内开发程度“六通一平”(通上水、通下水、通电、通路、通讯、通气及场地平整)</w:t>
      </w:r>
    </w:p>
    <w:p>
      <w:pPr>
        <w:spacing w:line="500" w:lineRule="exact"/>
        <w:ind w:firstLine="630" w:firstLineChars="225"/>
        <w:rPr>
          <w:b/>
          <w:color w:val="000000" w:themeColor="text1"/>
          <w:sz w:val="28"/>
          <w:szCs w:val="28"/>
        </w:rPr>
      </w:pPr>
      <w:r>
        <w:rPr>
          <w:color w:val="000000" w:themeColor="text1"/>
          <w:sz w:val="28"/>
          <w:szCs w:val="28"/>
        </w:rPr>
        <w:t>4、</w:t>
      </w:r>
      <w:r>
        <w:rPr>
          <w:color w:val="000000" w:themeColor="text1"/>
          <w:sz w:val="28"/>
          <w:szCs w:val="28"/>
          <w:lang w:val="zh-CN"/>
        </w:rPr>
        <w:t>建筑物结构</w:t>
      </w:r>
      <w:r>
        <w:rPr>
          <w:color w:val="000000" w:themeColor="text1"/>
          <w:sz w:val="28"/>
          <w:szCs w:val="28"/>
        </w:rPr>
        <w:t>：</w:t>
      </w:r>
      <w:r>
        <w:rPr>
          <w:rFonts w:hint="eastAsia"/>
          <w:color w:val="000000" w:themeColor="text1"/>
          <w:sz w:val="28"/>
          <w:szCs w:val="28"/>
        </w:rPr>
        <w:t>钢混</w:t>
      </w:r>
      <w:r>
        <w:rPr>
          <w:color w:val="000000" w:themeColor="text1"/>
          <w:sz w:val="28"/>
          <w:szCs w:val="28"/>
        </w:rPr>
        <w:t>。</w:t>
      </w:r>
    </w:p>
    <w:p>
      <w:pPr>
        <w:numPr>
          <w:ilvl w:val="0"/>
          <w:numId w:val="3"/>
        </w:numPr>
        <w:spacing w:line="500" w:lineRule="exact"/>
        <w:outlineLvl w:val="1"/>
        <w:rPr>
          <w:b/>
          <w:color w:val="000000" w:themeColor="text1"/>
          <w:sz w:val="28"/>
          <w:szCs w:val="28"/>
        </w:rPr>
      </w:pPr>
      <w:bookmarkStart w:id="12" w:name="_Toc461629206"/>
      <w:r>
        <w:rPr>
          <w:b/>
          <w:color w:val="000000" w:themeColor="text1"/>
          <w:sz w:val="28"/>
          <w:szCs w:val="28"/>
        </w:rPr>
        <w:t>估价原则</w:t>
      </w:r>
      <w:bookmarkEnd w:id="12"/>
    </w:p>
    <w:p>
      <w:pPr>
        <w:spacing w:line="500" w:lineRule="exact"/>
        <w:ind w:firstLine="560" w:firstLineChars="200"/>
        <w:rPr>
          <w:color w:val="000000" w:themeColor="text1"/>
          <w:sz w:val="28"/>
          <w:szCs w:val="28"/>
        </w:rPr>
      </w:pPr>
      <w:r>
        <w:rPr>
          <w:color w:val="000000" w:themeColor="text1"/>
          <w:sz w:val="28"/>
          <w:szCs w:val="28"/>
        </w:rPr>
        <w:t>本次估价应遵循以下估价原则：</w:t>
      </w:r>
    </w:p>
    <w:p>
      <w:pPr>
        <w:spacing w:line="500" w:lineRule="exact"/>
        <w:ind w:left="63" w:leftChars="30" w:firstLine="560" w:firstLineChars="200"/>
        <w:rPr>
          <w:color w:val="000000" w:themeColor="text1"/>
          <w:sz w:val="28"/>
          <w:szCs w:val="28"/>
        </w:rPr>
      </w:pPr>
      <w:r>
        <w:rPr>
          <w:color w:val="000000" w:themeColor="text1"/>
          <w:sz w:val="28"/>
          <w:szCs w:val="28"/>
        </w:rPr>
        <w:t>1、独立、客观、公正原则</w:t>
      </w:r>
    </w:p>
    <w:p>
      <w:pPr>
        <w:spacing w:line="500" w:lineRule="exact"/>
        <w:ind w:firstLine="630" w:firstLineChars="225"/>
        <w:rPr>
          <w:color w:val="000000" w:themeColor="text1"/>
          <w:sz w:val="28"/>
          <w:szCs w:val="28"/>
        </w:rPr>
      </w:pPr>
      <w:r>
        <w:rPr>
          <w:color w:val="000000" w:themeColor="text1"/>
          <w:sz w:val="28"/>
          <w:szCs w:val="28"/>
        </w:rPr>
        <w:t>独立、客观、公正原则是房地产估价的最高行为准则。独立原则要求估价机构本身应当是一个不依赖他人、不受他人束缚的</w:t>
      </w:r>
      <w:r>
        <w:rPr>
          <w:snapToGrid w:val="0"/>
          <w:color w:val="000000" w:themeColor="text1"/>
          <w:kern w:val="0"/>
          <w:sz w:val="28"/>
          <w:szCs w:val="28"/>
        </w:rPr>
        <w:t>独立机构；要求估价机构和估价人员与估价对象及相关当事人没有利害关系；要求估价机构和估价人员在估价中不应受外部因素的影响，不屈从于外部压力，完全凭借自己的专业知识、经验和良心进行估价。所谓客观，是要求估价机构和估价人员不带着自己的好恶、情感和偏见，完全从实际出发，按照事物的本来面目去估价。所谓公正，是要求估价机构和估价人员在估价中应公平、正直，不偏袒任何一方。因此，遵循独立、客观、公正原则的核心，是估价机构和估价人员应站在中立的立场上，评估出一个对各方当事人来说都是公平合理的价值。</w:t>
      </w:r>
    </w:p>
    <w:p>
      <w:pPr>
        <w:spacing w:line="500" w:lineRule="exact"/>
        <w:ind w:left="63" w:leftChars="30" w:firstLine="560" w:firstLineChars="200"/>
        <w:rPr>
          <w:color w:val="000000" w:themeColor="text1"/>
          <w:sz w:val="28"/>
          <w:szCs w:val="28"/>
        </w:rPr>
      </w:pPr>
      <w:r>
        <w:rPr>
          <w:color w:val="000000" w:themeColor="text1"/>
          <w:sz w:val="28"/>
          <w:szCs w:val="28"/>
        </w:rPr>
        <w:t>2、合法原则：</w:t>
      </w:r>
    </w:p>
    <w:p>
      <w:pPr>
        <w:spacing w:line="500" w:lineRule="exact"/>
        <w:ind w:firstLine="630" w:firstLineChars="225"/>
        <w:rPr>
          <w:color w:val="000000" w:themeColor="text1"/>
          <w:sz w:val="28"/>
          <w:szCs w:val="28"/>
        </w:rPr>
      </w:pPr>
      <w:r>
        <w:rPr>
          <w:color w:val="000000" w:themeColor="text1"/>
          <w:sz w:val="28"/>
          <w:szCs w:val="28"/>
        </w:rPr>
        <w:t>即必须以估价对象的合法使用、合法交易或合法处分为前提进行。所谓合法，</w:t>
      </w:r>
      <w:r>
        <w:rPr>
          <w:color w:val="000000" w:themeColor="text1"/>
          <w:sz w:val="28"/>
          <w:szCs w:val="28"/>
          <w:lang w:val="zh-CN"/>
        </w:rPr>
        <w:t>是指符合国家的法律</w:t>
      </w:r>
      <w:r>
        <w:rPr>
          <w:color w:val="000000" w:themeColor="text1"/>
          <w:sz w:val="28"/>
          <w:szCs w:val="28"/>
        </w:rPr>
        <w:t>、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spacing w:line="500" w:lineRule="exact"/>
        <w:ind w:left="63" w:leftChars="30" w:firstLine="560" w:firstLineChars="200"/>
        <w:rPr>
          <w:color w:val="000000" w:themeColor="text1"/>
          <w:sz w:val="28"/>
          <w:szCs w:val="28"/>
        </w:rPr>
      </w:pPr>
      <w:r>
        <w:rPr>
          <w:color w:val="000000" w:themeColor="text1"/>
          <w:sz w:val="28"/>
          <w:szCs w:val="28"/>
        </w:rPr>
        <w:t>3、最高最佳使用原则</w:t>
      </w:r>
    </w:p>
    <w:p>
      <w:pPr>
        <w:spacing w:line="500" w:lineRule="exact"/>
        <w:ind w:firstLine="630" w:firstLineChars="225"/>
        <w:rPr>
          <w:color w:val="000000" w:themeColor="text1"/>
          <w:sz w:val="28"/>
          <w:szCs w:val="28"/>
        </w:rPr>
      </w:pPr>
      <w:r>
        <w:rPr>
          <w:color w:val="000000" w:themeColor="text1"/>
          <w:sz w:val="28"/>
          <w:szCs w:val="28"/>
        </w:rPr>
        <w:t>最高最佳使用是指法律上许可、技术上可能、经济上可行，经过充分合理的论证，能使估价对象的价值达到最大的一种最可能的使用，具体包括3个方面：（1）</w:t>
      </w:r>
      <w:r>
        <w:rPr>
          <w:color w:val="000000" w:themeColor="text1"/>
          <w:sz w:val="28"/>
          <w:szCs w:val="28"/>
          <w:lang w:val="zh-CN"/>
        </w:rPr>
        <w:t>最佳用途</w:t>
      </w:r>
      <w:r>
        <w:rPr>
          <w:color w:val="000000" w:themeColor="text1"/>
          <w:sz w:val="28"/>
          <w:szCs w:val="28"/>
        </w:rPr>
        <w:t>；（2）最佳规模；（3）最佳集约度。房地产具有用途的多样性，不同的利用方式能为权利人带来不同收益量，且房地产权利人都期望从其所占有房地产上获得更多的收益，并以能满足这一目的为确定房地产利用方式的依据，所以房地产价格是该房地产的效用最有效发挥为前提。</w:t>
      </w:r>
    </w:p>
    <w:p>
      <w:pPr>
        <w:spacing w:line="500" w:lineRule="exact"/>
        <w:ind w:firstLine="612" w:firstLineChars="225"/>
        <w:rPr>
          <w:color w:val="000000" w:themeColor="text1"/>
          <w:spacing w:val="-4"/>
          <w:sz w:val="28"/>
          <w:szCs w:val="28"/>
        </w:rPr>
      </w:pPr>
      <w:r>
        <w:rPr>
          <w:color w:val="000000" w:themeColor="text1"/>
          <w:spacing w:val="-4"/>
          <w:sz w:val="28"/>
          <w:szCs w:val="28"/>
        </w:rPr>
        <w:t>本次评估对象</w:t>
      </w:r>
      <w:r>
        <w:rPr>
          <w:rFonts w:hint="eastAsia"/>
          <w:color w:val="000000" w:themeColor="text1"/>
          <w:spacing w:val="-4"/>
          <w:sz w:val="28"/>
          <w:szCs w:val="28"/>
        </w:rPr>
        <w:t>证载用途为住宅，实际用途与证载用途一致；根据合法原则及最高最佳利用原则，本次评估按照住宅房地产的特性进行评估</w:t>
      </w:r>
      <w:r>
        <w:rPr>
          <w:color w:val="000000" w:themeColor="text1"/>
          <w:spacing w:val="-4"/>
          <w:sz w:val="28"/>
          <w:szCs w:val="28"/>
        </w:rPr>
        <w:t>。</w:t>
      </w:r>
    </w:p>
    <w:p>
      <w:pPr>
        <w:spacing w:line="500" w:lineRule="exact"/>
        <w:ind w:left="63" w:leftChars="30" w:firstLine="560" w:firstLineChars="200"/>
        <w:rPr>
          <w:color w:val="000000" w:themeColor="text1"/>
          <w:sz w:val="28"/>
          <w:szCs w:val="28"/>
        </w:rPr>
      </w:pPr>
      <w:r>
        <w:rPr>
          <w:color w:val="000000" w:themeColor="text1"/>
          <w:sz w:val="28"/>
          <w:szCs w:val="28"/>
        </w:rPr>
        <w:t>4、房地产替代性原则</w:t>
      </w:r>
    </w:p>
    <w:p>
      <w:pPr>
        <w:spacing w:line="500" w:lineRule="exact"/>
        <w:ind w:firstLine="630" w:firstLineChars="225"/>
        <w:rPr>
          <w:color w:val="000000" w:themeColor="text1"/>
          <w:sz w:val="28"/>
          <w:szCs w:val="28"/>
        </w:rPr>
      </w:pPr>
      <w:r>
        <w:rPr>
          <w:color w:val="000000" w:themeColor="text1"/>
          <w:sz w:val="28"/>
          <w:szCs w:val="28"/>
          <w:lang w:val="zh-CN"/>
        </w:rPr>
        <w:t>市场竞争规律表明</w:t>
      </w:r>
      <w:r>
        <w:rPr>
          <w:color w:val="000000" w:themeColor="text1"/>
          <w:sz w:val="28"/>
          <w:szCs w:val="28"/>
        </w:rPr>
        <w:t>，多种效用相同或相似的商品在同一市场中竞争，通常是价格低者取胜，这是因为，在比较的基础上选择物美价廉的商品是每一个理智消费者的必然行为。这种市场选择的结果，必然促使效用相同或相近的商品在价格上趋同（含租赁价格），这就是市场替代原则的具体体现。为此在房地产评估中，可以依据这一原则，选择具有较大可比性的市场交易实例，从各方面进行相似性的比较与修正，从而确定评估对象的客观、合理价格。</w:t>
      </w:r>
    </w:p>
    <w:p>
      <w:pPr>
        <w:spacing w:line="500" w:lineRule="exact"/>
        <w:ind w:left="63" w:leftChars="30" w:firstLine="560" w:firstLineChars="200"/>
        <w:rPr>
          <w:color w:val="000000" w:themeColor="text1"/>
          <w:sz w:val="28"/>
          <w:szCs w:val="28"/>
        </w:rPr>
      </w:pPr>
      <w:r>
        <w:rPr>
          <w:color w:val="000000" w:themeColor="text1"/>
          <w:sz w:val="28"/>
          <w:szCs w:val="28"/>
        </w:rPr>
        <w:t>5、价值时点原则：</w:t>
      </w:r>
    </w:p>
    <w:p>
      <w:pPr>
        <w:spacing w:line="500" w:lineRule="exact"/>
        <w:ind w:firstLine="630" w:firstLineChars="225"/>
        <w:rPr>
          <w:color w:val="000000" w:themeColor="text1"/>
          <w:sz w:val="28"/>
          <w:szCs w:val="28"/>
        </w:rPr>
      </w:pPr>
      <w:r>
        <w:rPr>
          <w:color w:val="000000" w:themeColor="text1"/>
          <w:sz w:val="28"/>
          <w:szCs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w:t>
      </w:r>
      <w:r>
        <w:rPr>
          <w:color w:val="000000" w:themeColor="text1"/>
          <w:sz w:val="28"/>
          <w:szCs w:val="28"/>
          <w:lang w:val="zh-CN"/>
        </w:rPr>
        <w:t>如果一些款项的发生时点与价值时点不一致</w:t>
      </w:r>
      <w:r>
        <w:rPr>
          <w:color w:val="000000" w:themeColor="text1"/>
          <w:sz w:val="28"/>
          <w:szCs w:val="28"/>
        </w:rPr>
        <w:t>，应当折算为价值时点的现值。估价结论同时具有很强的时效性，这主要是考虑到房地产市场价格的波动，同一估价对象在不同时点会具有不同的市场价格。</w:t>
      </w:r>
    </w:p>
    <w:p>
      <w:pPr>
        <w:numPr>
          <w:ilvl w:val="0"/>
          <w:numId w:val="3"/>
        </w:numPr>
        <w:spacing w:line="500" w:lineRule="exact"/>
        <w:outlineLvl w:val="1"/>
        <w:rPr>
          <w:b/>
          <w:color w:val="000000" w:themeColor="text1"/>
          <w:sz w:val="28"/>
          <w:szCs w:val="28"/>
        </w:rPr>
      </w:pPr>
      <w:bookmarkStart w:id="13" w:name="_Toc461629207"/>
      <w:r>
        <w:rPr>
          <w:b/>
          <w:color w:val="000000" w:themeColor="text1"/>
          <w:sz w:val="28"/>
          <w:szCs w:val="28"/>
        </w:rPr>
        <w:t>估价依据</w:t>
      </w:r>
      <w:bookmarkEnd w:id="13"/>
    </w:p>
    <w:p>
      <w:pPr>
        <w:numPr>
          <w:ilvl w:val="1"/>
          <w:numId w:val="3"/>
        </w:numPr>
        <w:tabs>
          <w:tab w:val="left" w:pos="720"/>
          <w:tab w:val="left" w:pos="900"/>
          <w:tab w:val="left" w:pos="1080"/>
          <w:tab w:val="left" w:pos="1440"/>
          <w:tab w:val="clear" w:pos="1506"/>
        </w:tabs>
        <w:spacing w:line="500" w:lineRule="exact"/>
        <w:ind w:left="0" w:firstLine="560" w:firstLineChars="200"/>
        <w:rPr>
          <w:color w:val="000000" w:themeColor="text1"/>
          <w:sz w:val="28"/>
          <w:szCs w:val="28"/>
        </w:rPr>
      </w:pPr>
      <w:r>
        <w:rPr>
          <w:color w:val="000000" w:themeColor="text1"/>
          <w:sz w:val="28"/>
          <w:szCs w:val="28"/>
        </w:rPr>
        <w:t>本次估价所依据的有关法律、法规和部门规章：</w:t>
      </w:r>
    </w:p>
    <w:p>
      <w:pPr>
        <w:spacing w:line="500" w:lineRule="exact"/>
        <w:ind w:firstLine="560" w:firstLineChars="200"/>
        <w:rPr>
          <w:color w:val="000000" w:themeColor="text1"/>
          <w:sz w:val="28"/>
          <w:szCs w:val="28"/>
        </w:rPr>
      </w:pPr>
      <w:r>
        <w:rPr>
          <w:color w:val="000000" w:themeColor="text1"/>
          <w:sz w:val="28"/>
          <w:szCs w:val="28"/>
          <w:lang w:val="zh-CN"/>
        </w:rPr>
        <w:t>1、</w:t>
      </w:r>
      <w:r>
        <w:rPr>
          <w:color w:val="000000" w:themeColor="text1"/>
          <w:sz w:val="28"/>
          <w:szCs w:val="28"/>
        </w:rPr>
        <w:t>《中华人民共和国物权法》（中华人民共和国主席令第62 号）；</w:t>
      </w:r>
    </w:p>
    <w:p>
      <w:pPr>
        <w:spacing w:line="500" w:lineRule="exact"/>
        <w:ind w:firstLine="560" w:firstLineChars="200"/>
        <w:rPr>
          <w:color w:val="000000" w:themeColor="text1"/>
          <w:sz w:val="28"/>
          <w:szCs w:val="28"/>
        </w:rPr>
      </w:pPr>
      <w:r>
        <w:rPr>
          <w:color w:val="000000" w:themeColor="text1"/>
          <w:sz w:val="28"/>
          <w:szCs w:val="28"/>
        </w:rPr>
        <w:t>2、《中华人民共和国城市房地产管理法》(2007年修正)(中华人民共和国主席令第72号)；</w:t>
      </w:r>
    </w:p>
    <w:p>
      <w:pPr>
        <w:spacing w:line="500" w:lineRule="exact"/>
        <w:ind w:firstLine="560" w:firstLineChars="200"/>
        <w:rPr>
          <w:color w:val="000000" w:themeColor="text1"/>
          <w:sz w:val="28"/>
          <w:szCs w:val="28"/>
        </w:rPr>
      </w:pPr>
      <w:r>
        <w:rPr>
          <w:color w:val="000000" w:themeColor="text1"/>
          <w:sz w:val="28"/>
          <w:szCs w:val="28"/>
        </w:rPr>
        <w:t>3、《中华人民共和国土地管理法》（2004年修正）（中华人民共和国主席令第28号）；</w:t>
      </w:r>
    </w:p>
    <w:p>
      <w:pPr>
        <w:spacing w:line="500" w:lineRule="exact"/>
        <w:ind w:firstLine="560" w:firstLineChars="200"/>
        <w:rPr>
          <w:color w:val="000000" w:themeColor="text1"/>
          <w:sz w:val="28"/>
          <w:szCs w:val="28"/>
        </w:rPr>
      </w:pPr>
      <w:r>
        <w:rPr>
          <w:color w:val="000000" w:themeColor="text1"/>
          <w:sz w:val="28"/>
          <w:szCs w:val="28"/>
        </w:rPr>
        <w:t>4、《中华人民共和国担保法》（中华人民共和国主席令第50号）；</w:t>
      </w:r>
    </w:p>
    <w:p>
      <w:pPr>
        <w:numPr>
          <w:ilvl w:val="1"/>
          <w:numId w:val="3"/>
        </w:numPr>
        <w:tabs>
          <w:tab w:val="left" w:pos="720"/>
          <w:tab w:val="left" w:pos="900"/>
          <w:tab w:val="left" w:pos="1080"/>
          <w:tab w:val="left" w:pos="1440"/>
          <w:tab w:val="clear" w:pos="1506"/>
        </w:tabs>
        <w:spacing w:line="500" w:lineRule="exact"/>
        <w:ind w:left="0" w:firstLine="560" w:firstLineChars="200"/>
        <w:rPr>
          <w:color w:val="000000" w:themeColor="text1"/>
          <w:sz w:val="28"/>
          <w:szCs w:val="28"/>
        </w:rPr>
      </w:pPr>
      <w:r>
        <w:rPr>
          <w:color w:val="000000" w:themeColor="text1"/>
          <w:sz w:val="28"/>
          <w:szCs w:val="28"/>
        </w:rPr>
        <w:t>本次估价采用的技术标准和规范类文件：</w:t>
      </w:r>
    </w:p>
    <w:p>
      <w:pPr>
        <w:spacing w:line="500" w:lineRule="exact"/>
        <w:ind w:firstLine="560" w:firstLineChars="200"/>
        <w:rPr>
          <w:color w:val="000000" w:themeColor="text1"/>
          <w:sz w:val="28"/>
          <w:szCs w:val="28"/>
        </w:rPr>
      </w:pPr>
      <w:r>
        <w:rPr>
          <w:color w:val="000000" w:themeColor="text1"/>
          <w:sz w:val="28"/>
          <w:szCs w:val="28"/>
        </w:rPr>
        <w:t>1、</w:t>
      </w:r>
      <w:r>
        <w:rPr>
          <w:color w:val="000000" w:themeColor="text1"/>
          <w:sz w:val="28"/>
          <w:szCs w:val="28"/>
          <w:lang w:val="zh-CN"/>
        </w:rPr>
        <w:t>中华人民共和国国家标准</w:t>
      </w:r>
      <w:r>
        <w:rPr>
          <w:color w:val="000000" w:themeColor="text1"/>
          <w:sz w:val="28"/>
          <w:szCs w:val="28"/>
        </w:rPr>
        <w:t>GB/T50291-2015《房地产估价规范》；</w:t>
      </w:r>
    </w:p>
    <w:p>
      <w:pPr>
        <w:spacing w:line="500" w:lineRule="exact"/>
        <w:ind w:firstLine="560" w:firstLineChars="200"/>
        <w:rPr>
          <w:color w:val="000000" w:themeColor="text1"/>
          <w:sz w:val="28"/>
          <w:szCs w:val="28"/>
        </w:rPr>
      </w:pPr>
      <w:r>
        <w:rPr>
          <w:color w:val="000000" w:themeColor="text1"/>
          <w:sz w:val="28"/>
          <w:szCs w:val="28"/>
        </w:rPr>
        <w:t>2、</w:t>
      </w:r>
      <w:r>
        <w:rPr>
          <w:color w:val="000000" w:themeColor="text1"/>
          <w:sz w:val="28"/>
          <w:szCs w:val="28"/>
          <w:lang w:val="zh-CN"/>
        </w:rPr>
        <w:t>中华人</w:t>
      </w:r>
      <w:r>
        <w:rPr>
          <w:color w:val="000000" w:themeColor="text1"/>
          <w:spacing w:val="-6"/>
          <w:sz w:val="28"/>
          <w:szCs w:val="28"/>
          <w:lang w:val="zh-CN"/>
        </w:rPr>
        <w:t>民共和国国家标准</w:t>
      </w:r>
      <w:r>
        <w:rPr>
          <w:color w:val="000000" w:themeColor="text1"/>
          <w:spacing w:val="-6"/>
          <w:kern w:val="0"/>
          <w:sz w:val="28"/>
          <w:szCs w:val="28"/>
        </w:rPr>
        <w:t>GB/T50419.29-2013</w:t>
      </w:r>
      <w:r>
        <w:rPr>
          <w:color w:val="000000" w:themeColor="text1"/>
          <w:spacing w:val="-6"/>
          <w:sz w:val="28"/>
          <w:szCs w:val="28"/>
        </w:rPr>
        <w:t>《房地产估价基本术语</w:t>
      </w:r>
      <w:r>
        <w:rPr>
          <w:color w:val="000000" w:themeColor="text1"/>
          <w:sz w:val="28"/>
          <w:szCs w:val="28"/>
        </w:rPr>
        <w:t>标准》；</w:t>
      </w:r>
    </w:p>
    <w:p>
      <w:pPr>
        <w:numPr>
          <w:ilvl w:val="1"/>
          <w:numId w:val="3"/>
        </w:numPr>
        <w:tabs>
          <w:tab w:val="left" w:pos="720"/>
          <w:tab w:val="left" w:pos="900"/>
          <w:tab w:val="left" w:pos="1080"/>
          <w:tab w:val="left" w:pos="1440"/>
          <w:tab w:val="clear" w:pos="1506"/>
        </w:tabs>
        <w:spacing w:line="500" w:lineRule="exact"/>
        <w:ind w:left="0" w:firstLine="560" w:firstLineChars="200"/>
        <w:rPr>
          <w:color w:val="000000" w:themeColor="text1"/>
          <w:sz w:val="28"/>
          <w:szCs w:val="28"/>
        </w:rPr>
      </w:pPr>
      <w:r>
        <w:rPr>
          <w:color w:val="000000" w:themeColor="text1"/>
          <w:sz w:val="28"/>
          <w:szCs w:val="28"/>
        </w:rPr>
        <w:t>委托方提供的有关资料：</w:t>
      </w:r>
    </w:p>
    <w:p>
      <w:pPr>
        <w:numPr>
          <w:ilvl w:val="0"/>
          <w:numId w:val="7"/>
        </w:numPr>
        <w:spacing w:line="500" w:lineRule="exact"/>
        <w:ind w:left="-8448" w:firstLine="9582"/>
        <w:jc w:val="left"/>
        <w:rPr>
          <w:color w:val="000000" w:themeColor="text1"/>
          <w:sz w:val="28"/>
          <w:szCs w:val="28"/>
        </w:rPr>
      </w:pPr>
      <w:r>
        <w:rPr>
          <w:color w:val="000000" w:themeColor="text1"/>
          <w:sz w:val="28"/>
          <w:szCs w:val="28"/>
        </w:rPr>
        <w:t>《</w:t>
      </w:r>
      <w:r>
        <w:rPr>
          <w:rFonts w:hint="eastAsia"/>
          <w:color w:val="000000" w:themeColor="text1"/>
          <w:sz w:val="28"/>
          <w:szCs w:val="28"/>
          <w:lang w:val="zh-CN"/>
        </w:rPr>
        <w:t>湖北省武穴市人民法院鉴定委托书</w:t>
      </w:r>
      <w:r>
        <w:rPr>
          <w:color w:val="000000" w:themeColor="text1"/>
          <w:sz w:val="28"/>
          <w:szCs w:val="28"/>
        </w:rPr>
        <w:t>》</w:t>
      </w:r>
    </w:p>
    <w:p>
      <w:pPr>
        <w:spacing w:line="500" w:lineRule="exact"/>
        <w:ind w:left="1134"/>
        <w:jc w:val="left"/>
        <w:rPr>
          <w:color w:val="000000" w:themeColor="text1"/>
          <w:sz w:val="28"/>
          <w:szCs w:val="28"/>
        </w:rPr>
      </w:pPr>
      <w:r>
        <w:rPr>
          <w:rFonts w:hint="eastAsia"/>
          <w:color w:val="000000" w:themeColor="text1"/>
          <w:sz w:val="28"/>
          <w:szCs w:val="28"/>
        </w:rPr>
        <w:t>【（2020）鄂武穴技评委字第13号】；</w:t>
      </w:r>
    </w:p>
    <w:p>
      <w:pPr>
        <w:numPr>
          <w:ilvl w:val="0"/>
          <w:numId w:val="7"/>
        </w:numPr>
        <w:spacing w:line="500" w:lineRule="exact"/>
        <w:ind w:left="-8448" w:firstLine="9582"/>
        <w:jc w:val="left"/>
        <w:rPr>
          <w:color w:val="000000" w:themeColor="text1"/>
          <w:sz w:val="28"/>
          <w:szCs w:val="28"/>
        </w:rPr>
      </w:pPr>
      <w:r>
        <w:rPr>
          <w:color w:val="000000" w:themeColor="text1"/>
          <w:sz w:val="28"/>
          <w:szCs w:val="28"/>
        </w:rPr>
        <w:t>《</w:t>
      </w:r>
      <w:r>
        <w:rPr>
          <w:rFonts w:hint="eastAsia"/>
          <w:color w:val="000000" w:themeColor="text1"/>
          <w:sz w:val="28"/>
          <w:szCs w:val="28"/>
          <w:lang w:val="zh-CN"/>
        </w:rPr>
        <w:t>湖北省武穴市人民法院执行裁定书</w:t>
      </w:r>
      <w:r>
        <w:rPr>
          <w:color w:val="000000" w:themeColor="text1"/>
          <w:sz w:val="28"/>
          <w:szCs w:val="28"/>
        </w:rPr>
        <w:t>》；</w:t>
      </w:r>
    </w:p>
    <w:p>
      <w:pPr>
        <w:spacing w:line="500" w:lineRule="exact"/>
        <w:ind w:left="1134"/>
        <w:jc w:val="left"/>
        <w:rPr>
          <w:color w:val="000000" w:themeColor="text1"/>
          <w:sz w:val="28"/>
          <w:szCs w:val="28"/>
        </w:rPr>
      </w:pPr>
      <w:r>
        <w:rPr>
          <w:rFonts w:hint="eastAsia"/>
          <w:color w:val="000000" w:themeColor="text1"/>
          <w:sz w:val="28"/>
          <w:szCs w:val="28"/>
        </w:rPr>
        <w:t>【（2020）鄂1182执624号】；</w:t>
      </w:r>
    </w:p>
    <w:p>
      <w:pPr>
        <w:numPr>
          <w:ilvl w:val="0"/>
          <w:numId w:val="7"/>
        </w:numPr>
        <w:spacing w:line="500" w:lineRule="exact"/>
        <w:ind w:left="-8448" w:firstLine="9582"/>
        <w:jc w:val="left"/>
        <w:rPr>
          <w:color w:val="000000" w:themeColor="text1"/>
          <w:sz w:val="28"/>
          <w:szCs w:val="28"/>
        </w:rPr>
      </w:pPr>
      <w:r>
        <w:rPr>
          <w:color w:val="000000" w:themeColor="text1"/>
          <w:sz w:val="28"/>
          <w:szCs w:val="28"/>
        </w:rPr>
        <w:t>《</w:t>
      </w:r>
      <w:r>
        <w:rPr>
          <w:rFonts w:hint="eastAsia"/>
          <w:color w:val="000000" w:themeColor="text1"/>
          <w:sz w:val="28"/>
          <w:szCs w:val="28"/>
          <w:lang w:val="zh-CN"/>
        </w:rPr>
        <w:t>湖北省武穴市人民法院民事裁定书</w:t>
      </w:r>
      <w:r>
        <w:rPr>
          <w:color w:val="000000" w:themeColor="text1"/>
          <w:sz w:val="28"/>
          <w:szCs w:val="28"/>
        </w:rPr>
        <w:t>》；</w:t>
      </w:r>
    </w:p>
    <w:p>
      <w:pPr>
        <w:spacing w:line="500" w:lineRule="exact"/>
        <w:ind w:left="1134"/>
        <w:jc w:val="left"/>
        <w:rPr>
          <w:color w:val="000000" w:themeColor="text1"/>
          <w:sz w:val="28"/>
          <w:szCs w:val="28"/>
        </w:rPr>
      </w:pPr>
      <w:r>
        <w:rPr>
          <w:rFonts w:hint="eastAsia"/>
          <w:color w:val="000000" w:themeColor="text1"/>
          <w:sz w:val="28"/>
          <w:szCs w:val="28"/>
        </w:rPr>
        <w:t>【（2019）鄂1182财保34号】；</w:t>
      </w:r>
    </w:p>
    <w:p>
      <w:pPr>
        <w:numPr>
          <w:ilvl w:val="0"/>
          <w:numId w:val="7"/>
        </w:numPr>
        <w:spacing w:line="500" w:lineRule="exact"/>
        <w:ind w:left="-8448" w:firstLine="9582"/>
        <w:jc w:val="left"/>
        <w:rPr>
          <w:color w:val="000000" w:themeColor="text1"/>
          <w:sz w:val="28"/>
          <w:szCs w:val="28"/>
        </w:rPr>
      </w:pPr>
      <w:r>
        <w:rPr>
          <w:color w:val="000000" w:themeColor="text1"/>
          <w:sz w:val="28"/>
          <w:szCs w:val="28"/>
        </w:rPr>
        <w:t>《</w:t>
      </w:r>
      <w:r>
        <w:rPr>
          <w:rFonts w:hint="eastAsia"/>
          <w:color w:val="000000" w:themeColor="text1"/>
          <w:sz w:val="28"/>
          <w:szCs w:val="28"/>
          <w:lang w:val="zh-CN"/>
        </w:rPr>
        <w:t>湖北省武穴市人民法院民事判决书</w:t>
      </w:r>
      <w:r>
        <w:rPr>
          <w:color w:val="000000" w:themeColor="text1"/>
          <w:sz w:val="28"/>
          <w:szCs w:val="28"/>
        </w:rPr>
        <w:t>》；</w:t>
      </w:r>
    </w:p>
    <w:p>
      <w:pPr>
        <w:spacing w:line="500" w:lineRule="exact"/>
        <w:ind w:left="1134"/>
        <w:jc w:val="left"/>
        <w:rPr>
          <w:color w:val="000000" w:themeColor="text1"/>
          <w:sz w:val="28"/>
          <w:szCs w:val="28"/>
        </w:rPr>
      </w:pPr>
      <w:r>
        <w:rPr>
          <w:rFonts w:hint="eastAsia"/>
          <w:color w:val="000000" w:themeColor="text1"/>
          <w:sz w:val="28"/>
          <w:szCs w:val="28"/>
        </w:rPr>
        <w:t>【（2019）鄂1182民初1499号】；</w:t>
      </w:r>
    </w:p>
    <w:p>
      <w:pPr>
        <w:numPr>
          <w:ilvl w:val="0"/>
          <w:numId w:val="7"/>
        </w:numPr>
        <w:spacing w:line="500" w:lineRule="exact"/>
        <w:ind w:left="-8448" w:firstLine="9582"/>
        <w:jc w:val="left"/>
        <w:rPr>
          <w:color w:val="000000" w:themeColor="text1"/>
          <w:sz w:val="28"/>
          <w:szCs w:val="28"/>
        </w:rPr>
      </w:pPr>
      <w:r>
        <w:rPr>
          <w:color w:val="000000" w:themeColor="text1"/>
          <w:sz w:val="28"/>
          <w:szCs w:val="28"/>
        </w:rPr>
        <w:t>《预告登记信息》</w:t>
      </w:r>
      <w:r>
        <w:rPr>
          <w:rFonts w:hint="eastAsia"/>
          <w:color w:val="000000" w:themeColor="text1"/>
          <w:sz w:val="28"/>
          <w:szCs w:val="28"/>
        </w:rPr>
        <w:t>；</w:t>
      </w:r>
    </w:p>
    <w:p>
      <w:pPr>
        <w:numPr>
          <w:ilvl w:val="0"/>
          <w:numId w:val="7"/>
        </w:numPr>
        <w:spacing w:line="500" w:lineRule="exact"/>
        <w:rPr>
          <w:color w:val="000000" w:themeColor="text1"/>
          <w:sz w:val="28"/>
          <w:szCs w:val="28"/>
        </w:rPr>
      </w:pPr>
      <w:r>
        <w:rPr>
          <w:rFonts w:hint="eastAsia"/>
          <w:color w:val="000000" w:themeColor="text1"/>
          <w:sz w:val="28"/>
          <w:szCs w:val="28"/>
        </w:rPr>
        <w:t>《商品房买卖合同》附页；</w:t>
      </w:r>
    </w:p>
    <w:p>
      <w:pPr>
        <w:numPr>
          <w:ilvl w:val="0"/>
          <w:numId w:val="7"/>
        </w:numPr>
        <w:spacing w:line="500" w:lineRule="exact"/>
        <w:rPr>
          <w:color w:val="000000" w:themeColor="text1"/>
          <w:sz w:val="28"/>
          <w:szCs w:val="28"/>
        </w:rPr>
      </w:pPr>
      <w:r>
        <w:rPr>
          <w:color w:val="000000" w:themeColor="text1"/>
          <w:sz w:val="28"/>
          <w:szCs w:val="28"/>
          <w:lang w:val="zh-CN"/>
        </w:rPr>
        <w:t>委托方提供的其他相关资料</w:t>
      </w:r>
      <w:r>
        <w:rPr>
          <w:rFonts w:hint="eastAsia"/>
          <w:color w:val="000000" w:themeColor="text1"/>
          <w:sz w:val="28"/>
          <w:szCs w:val="28"/>
          <w:lang w:val="zh-CN"/>
        </w:rPr>
        <w:t>；</w:t>
      </w:r>
    </w:p>
    <w:p>
      <w:pPr>
        <w:numPr>
          <w:ilvl w:val="1"/>
          <w:numId w:val="3"/>
        </w:numPr>
        <w:tabs>
          <w:tab w:val="left" w:pos="720"/>
          <w:tab w:val="left" w:pos="900"/>
          <w:tab w:val="left" w:pos="1080"/>
          <w:tab w:val="left" w:pos="1440"/>
          <w:tab w:val="clear" w:pos="1506"/>
        </w:tabs>
        <w:spacing w:line="500" w:lineRule="exact"/>
        <w:ind w:left="0" w:firstLine="560" w:firstLineChars="200"/>
        <w:rPr>
          <w:color w:val="000000" w:themeColor="text1"/>
          <w:sz w:val="28"/>
          <w:szCs w:val="28"/>
        </w:rPr>
      </w:pPr>
      <w:r>
        <w:rPr>
          <w:color w:val="000000" w:themeColor="text1"/>
          <w:sz w:val="28"/>
          <w:szCs w:val="28"/>
        </w:rPr>
        <w:t>本公司搜集掌握的有关资料和估价人员现场</w:t>
      </w:r>
      <w:r>
        <w:rPr>
          <w:rFonts w:hint="eastAsia"/>
          <w:color w:val="000000" w:themeColor="text1"/>
          <w:sz w:val="28"/>
          <w:szCs w:val="28"/>
        </w:rPr>
        <w:t>查勘</w:t>
      </w:r>
      <w:r>
        <w:rPr>
          <w:color w:val="000000" w:themeColor="text1"/>
          <w:sz w:val="28"/>
          <w:szCs w:val="28"/>
        </w:rPr>
        <w:t>记录</w:t>
      </w:r>
      <w:r>
        <w:rPr>
          <w:rFonts w:hint="eastAsia"/>
          <w:color w:val="000000" w:themeColor="text1"/>
          <w:sz w:val="28"/>
          <w:szCs w:val="28"/>
        </w:rPr>
        <w:t>：</w:t>
      </w:r>
    </w:p>
    <w:p>
      <w:pPr>
        <w:spacing w:line="500" w:lineRule="exact"/>
        <w:ind w:firstLine="560" w:firstLineChars="200"/>
        <w:rPr>
          <w:color w:val="000000" w:themeColor="text1"/>
          <w:sz w:val="28"/>
          <w:szCs w:val="28"/>
        </w:rPr>
      </w:pPr>
      <w:r>
        <w:rPr>
          <w:color w:val="000000" w:themeColor="text1"/>
          <w:sz w:val="28"/>
          <w:szCs w:val="28"/>
        </w:rPr>
        <w:t>1、估价人员现场</w:t>
      </w:r>
      <w:r>
        <w:rPr>
          <w:rFonts w:hint="eastAsia"/>
          <w:color w:val="000000" w:themeColor="text1"/>
          <w:sz w:val="28"/>
          <w:szCs w:val="28"/>
        </w:rPr>
        <w:t>查勘</w:t>
      </w:r>
      <w:r>
        <w:rPr>
          <w:color w:val="000000" w:themeColor="text1"/>
          <w:sz w:val="28"/>
          <w:szCs w:val="28"/>
        </w:rPr>
        <w:t xml:space="preserve">记录； </w:t>
      </w:r>
    </w:p>
    <w:p>
      <w:pPr>
        <w:spacing w:line="500" w:lineRule="exact"/>
        <w:ind w:firstLine="560" w:firstLineChars="200"/>
        <w:rPr>
          <w:color w:val="000000" w:themeColor="text1"/>
          <w:sz w:val="28"/>
          <w:szCs w:val="28"/>
        </w:rPr>
      </w:pPr>
      <w:r>
        <w:rPr>
          <w:color w:val="000000" w:themeColor="text1"/>
          <w:sz w:val="28"/>
          <w:szCs w:val="28"/>
        </w:rPr>
        <w:t>2、估价对象现场</w:t>
      </w:r>
      <w:r>
        <w:rPr>
          <w:rFonts w:hint="eastAsia"/>
          <w:color w:val="000000" w:themeColor="text1"/>
          <w:sz w:val="28"/>
          <w:szCs w:val="28"/>
        </w:rPr>
        <w:t>查勘</w:t>
      </w:r>
      <w:r>
        <w:rPr>
          <w:color w:val="000000" w:themeColor="text1"/>
          <w:sz w:val="28"/>
          <w:szCs w:val="28"/>
        </w:rPr>
        <w:t>照片；</w:t>
      </w:r>
    </w:p>
    <w:p>
      <w:pPr>
        <w:spacing w:line="500" w:lineRule="exact"/>
        <w:ind w:firstLine="560" w:firstLineChars="200"/>
        <w:rPr>
          <w:color w:val="000000" w:themeColor="text1"/>
          <w:sz w:val="28"/>
          <w:szCs w:val="28"/>
        </w:rPr>
      </w:pPr>
      <w:r>
        <w:rPr>
          <w:color w:val="000000" w:themeColor="text1"/>
          <w:sz w:val="28"/>
          <w:szCs w:val="28"/>
        </w:rPr>
        <w:t>3、评估人员现场查</w:t>
      </w:r>
      <w:r>
        <w:rPr>
          <w:rFonts w:hint="eastAsia"/>
          <w:color w:val="000000" w:themeColor="text1"/>
          <w:sz w:val="28"/>
          <w:szCs w:val="28"/>
        </w:rPr>
        <w:t>勘</w:t>
      </w:r>
      <w:r>
        <w:rPr>
          <w:color w:val="000000" w:themeColor="text1"/>
          <w:sz w:val="28"/>
          <w:szCs w:val="28"/>
        </w:rPr>
        <w:t>、调查所获取资料及市场收集的资料；</w:t>
      </w:r>
    </w:p>
    <w:p>
      <w:pPr>
        <w:spacing w:line="500" w:lineRule="exact"/>
        <w:ind w:firstLine="560" w:firstLineChars="200"/>
        <w:rPr>
          <w:color w:val="000000" w:themeColor="text1"/>
          <w:sz w:val="28"/>
          <w:szCs w:val="28"/>
        </w:rPr>
      </w:pPr>
      <w:r>
        <w:rPr>
          <w:color w:val="000000" w:themeColor="text1"/>
          <w:sz w:val="28"/>
          <w:szCs w:val="28"/>
        </w:rPr>
        <w:t>4、评估机构收集的国家有关部门发布的统计资料，以及评估机构收集的有关询价资料和参数资料等。</w:t>
      </w:r>
    </w:p>
    <w:p>
      <w:pPr>
        <w:numPr>
          <w:ilvl w:val="0"/>
          <w:numId w:val="3"/>
        </w:numPr>
        <w:spacing w:line="500" w:lineRule="exact"/>
        <w:outlineLvl w:val="1"/>
        <w:rPr>
          <w:b/>
          <w:color w:val="000000" w:themeColor="text1"/>
          <w:sz w:val="28"/>
          <w:szCs w:val="28"/>
        </w:rPr>
      </w:pPr>
      <w:bookmarkStart w:id="14" w:name="_Toc461629208"/>
      <w:r>
        <w:rPr>
          <w:b/>
          <w:color w:val="000000" w:themeColor="text1"/>
          <w:sz w:val="28"/>
          <w:szCs w:val="28"/>
        </w:rPr>
        <w:t>估价方法</w:t>
      </w:r>
      <w:bookmarkEnd w:id="14"/>
    </w:p>
    <w:p>
      <w:pPr>
        <w:widowControl/>
        <w:spacing w:line="500" w:lineRule="exact"/>
        <w:ind w:firstLine="560" w:firstLineChars="200"/>
        <w:rPr>
          <w:color w:val="000000" w:themeColor="text1"/>
          <w:sz w:val="28"/>
          <w:szCs w:val="28"/>
        </w:rPr>
      </w:pPr>
      <w:r>
        <w:rPr>
          <w:color w:val="000000" w:themeColor="text1"/>
          <w:sz w:val="28"/>
          <w:szCs w:val="28"/>
        </w:rPr>
        <w:t>（一）估价方法定义及确定的原则</w:t>
      </w:r>
    </w:p>
    <w:p>
      <w:pPr>
        <w:spacing w:line="500" w:lineRule="exact"/>
        <w:ind w:firstLine="560" w:firstLineChars="200"/>
        <w:rPr>
          <w:color w:val="000000" w:themeColor="text1"/>
          <w:sz w:val="28"/>
          <w:szCs w:val="28"/>
        </w:rPr>
      </w:pPr>
      <w:r>
        <w:rPr>
          <w:color w:val="000000" w:themeColor="text1"/>
          <w:sz w:val="28"/>
          <w:szCs w:val="28"/>
        </w:rPr>
        <w:t>房地产评估的常用方法有比较法、收益法、成本法，假设开发法等，估价方法选用应按照《房地产估价规范》（GB/T50291-2015）要求，根据当地房地产市场发育情况，结合估价对象的具体特点以及估价目的等，选择适宜的估价方法。</w:t>
      </w:r>
    </w:p>
    <w:p>
      <w:pPr>
        <w:spacing w:line="500" w:lineRule="exact"/>
        <w:ind w:firstLine="560" w:firstLineChars="200"/>
        <w:rPr>
          <w:color w:val="000000" w:themeColor="text1"/>
          <w:sz w:val="28"/>
          <w:szCs w:val="28"/>
        </w:rPr>
      </w:pPr>
      <w:r>
        <w:rPr>
          <w:color w:val="000000" w:themeColor="text1"/>
          <w:sz w:val="28"/>
          <w:szCs w:val="28"/>
        </w:rPr>
        <w:t>比较法的定义为：是指根据替代原则，选取在同一市场供需圈内近期发生的、具有可比性的一定数量的可比实例，将它们与估价对象进行比较，根据其间的差异对可比实例成交价格进行处理后得到估价对象价值或价格的方法。在房地产市场比较发达的情况下，是一种说服力强、适用范围广的估价方法。同类房地产有较多交易的，应选用比较法；</w:t>
      </w:r>
    </w:p>
    <w:p>
      <w:pPr>
        <w:spacing w:line="500" w:lineRule="exact"/>
        <w:ind w:firstLine="560" w:firstLineChars="200"/>
        <w:rPr>
          <w:color w:val="000000" w:themeColor="text1"/>
          <w:sz w:val="28"/>
          <w:szCs w:val="28"/>
        </w:rPr>
      </w:pPr>
      <w:r>
        <w:rPr>
          <w:color w:val="000000" w:themeColor="text1"/>
          <w:sz w:val="28"/>
          <w:szCs w:val="28"/>
        </w:rPr>
        <w:t>收益法的定义为：是指预测估价对象的未来收益，利用报酬率或资本化率、收益乘数将未来收益转换为价值得到估价对象价值或价格的方法。适用于有收益或有潜在收益的房地产的估价。收益性房地产，应选用收益法。</w:t>
      </w:r>
    </w:p>
    <w:p>
      <w:pPr>
        <w:spacing w:line="500" w:lineRule="exact"/>
        <w:ind w:firstLine="560" w:firstLineChars="200"/>
        <w:rPr>
          <w:color w:val="000000" w:themeColor="text1"/>
          <w:sz w:val="28"/>
          <w:szCs w:val="28"/>
        </w:rPr>
      </w:pPr>
      <w:r>
        <w:rPr>
          <w:color w:val="000000" w:themeColor="text1"/>
          <w:sz w:val="28"/>
          <w:szCs w:val="28"/>
        </w:rPr>
        <w:t>假设开发法的定义为：是指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具有开发或再开发潜力，且开发完成后的价值可采用除成本法以外的方法预测或测算的房地产，应选用假设开发法。</w:t>
      </w:r>
    </w:p>
    <w:p>
      <w:pPr>
        <w:spacing w:line="500" w:lineRule="exact"/>
        <w:ind w:firstLine="560" w:firstLineChars="200"/>
        <w:rPr>
          <w:color w:val="000000" w:themeColor="text1"/>
          <w:sz w:val="28"/>
          <w:szCs w:val="28"/>
        </w:rPr>
      </w:pPr>
      <w:r>
        <w:rPr>
          <w:color w:val="000000" w:themeColor="text1"/>
          <w:sz w:val="28"/>
          <w:szCs w:val="28"/>
        </w:rPr>
        <w:t>成本法定义为：是指测算估价对象在价值时点的重置成本和折旧，将重置成本减去折旧得到估价对象价值或价格的方法。在无市场依据或市场依据不充分而不宜采用比较法、收益法、假设开发法进行估价的情况下，可采用成本法作为主要的估价方法。作为独立项目或假设可作为独立项目进行重新开发建设的房地产，应选用成本法。</w:t>
      </w:r>
    </w:p>
    <w:p>
      <w:pPr>
        <w:widowControl/>
        <w:spacing w:line="500" w:lineRule="exact"/>
        <w:ind w:firstLine="560" w:firstLineChars="200"/>
        <w:rPr>
          <w:color w:val="000000" w:themeColor="text1"/>
          <w:sz w:val="28"/>
          <w:szCs w:val="28"/>
        </w:rPr>
      </w:pPr>
      <w:r>
        <w:rPr>
          <w:color w:val="000000" w:themeColor="text1"/>
          <w:sz w:val="28"/>
          <w:szCs w:val="28"/>
        </w:rPr>
        <w:t>（二）本次估价选用的方法</w:t>
      </w:r>
    </w:p>
    <w:p>
      <w:pPr>
        <w:pStyle w:val="4"/>
        <w:spacing w:line="500" w:lineRule="exact"/>
        <w:ind w:firstLine="560" w:firstLineChars="200"/>
        <w:rPr>
          <w:color w:val="FF0000"/>
        </w:rPr>
      </w:pPr>
      <w:r>
        <w:rPr>
          <w:color w:val="000000" w:themeColor="text1"/>
          <w:sz w:val="28"/>
          <w:szCs w:val="28"/>
          <w:lang w:val="zh-CN"/>
        </w:rPr>
        <w:t>估价对象</w:t>
      </w:r>
      <w:r>
        <w:rPr>
          <w:rFonts w:hint="eastAsia"/>
          <w:color w:val="000000" w:themeColor="text1"/>
          <w:sz w:val="28"/>
          <w:szCs w:val="28"/>
          <w:lang w:val="zh-CN"/>
        </w:rPr>
        <w:t>作为住宅</w:t>
      </w:r>
      <w:r>
        <w:rPr>
          <w:color w:val="000000" w:themeColor="text1"/>
          <w:sz w:val="28"/>
          <w:szCs w:val="28"/>
        </w:rPr>
        <w:t>，在估价对象区域内房地产市场上类似房地产交易市场活跃，</w:t>
      </w:r>
      <w:r>
        <w:rPr>
          <w:rFonts w:hint="eastAsia"/>
          <w:color w:val="000000" w:themeColor="text1"/>
          <w:sz w:val="28"/>
          <w:szCs w:val="28"/>
        </w:rPr>
        <w:t>交易案例较多且易于收集，市场依据充分，故</w:t>
      </w:r>
      <w:r>
        <w:rPr>
          <w:color w:val="000000" w:themeColor="text1"/>
          <w:sz w:val="28"/>
          <w:szCs w:val="28"/>
        </w:rPr>
        <w:t>宜选用市场法</w:t>
      </w:r>
      <w:r>
        <w:rPr>
          <w:rFonts w:hint="eastAsia"/>
          <w:color w:val="000000" w:themeColor="text1"/>
          <w:sz w:val="28"/>
          <w:szCs w:val="28"/>
        </w:rPr>
        <w:t>评估；</w:t>
      </w:r>
      <w:r>
        <w:rPr>
          <w:color w:val="000000" w:themeColor="text1"/>
          <w:sz w:val="28"/>
          <w:szCs w:val="28"/>
        </w:rPr>
        <w:t>而估价对象可用于出租，存在潜在租金</w:t>
      </w:r>
      <w:r>
        <w:rPr>
          <w:rFonts w:hint="eastAsia"/>
          <w:color w:val="000000" w:themeColor="text1"/>
          <w:sz w:val="28"/>
          <w:szCs w:val="28"/>
        </w:rPr>
        <w:t>收益</w:t>
      </w:r>
      <w:r>
        <w:rPr>
          <w:color w:val="000000" w:themeColor="text1"/>
          <w:sz w:val="28"/>
          <w:szCs w:val="28"/>
        </w:rPr>
        <w:t>，故可选择收益法</w:t>
      </w:r>
      <w:r>
        <w:rPr>
          <w:rFonts w:hint="eastAsia"/>
          <w:color w:val="000000" w:themeColor="text1"/>
          <w:sz w:val="28"/>
          <w:szCs w:val="28"/>
        </w:rPr>
        <w:t>评估</w:t>
      </w:r>
      <w:r>
        <w:rPr>
          <w:color w:val="000000" w:themeColor="text1"/>
          <w:sz w:val="28"/>
          <w:szCs w:val="28"/>
        </w:rPr>
        <w:t>。</w:t>
      </w:r>
    </w:p>
    <w:p>
      <w:pPr>
        <w:numPr>
          <w:ilvl w:val="0"/>
          <w:numId w:val="3"/>
        </w:numPr>
        <w:spacing w:line="500" w:lineRule="exact"/>
        <w:outlineLvl w:val="1"/>
        <w:rPr>
          <w:b/>
          <w:color w:val="000000" w:themeColor="text1"/>
          <w:sz w:val="28"/>
          <w:szCs w:val="28"/>
        </w:rPr>
      </w:pPr>
      <w:bookmarkStart w:id="15" w:name="_Toc461629209"/>
      <w:r>
        <w:rPr>
          <w:b/>
          <w:color w:val="000000" w:themeColor="text1"/>
          <w:sz w:val="28"/>
          <w:szCs w:val="28"/>
        </w:rPr>
        <w:t>估价结果</w:t>
      </w:r>
      <w:bookmarkEnd w:id="15"/>
    </w:p>
    <w:p>
      <w:pPr>
        <w:spacing w:line="500" w:lineRule="exact"/>
        <w:ind w:firstLine="560" w:firstLineChars="200"/>
        <w:rPr>
          <w:color w:val="000000" w:themeColor="text1"/>
          <w:sz w:val="28"/>
          <w:szCs w:val="28"/>
        </w:rPr>
      </w:pPr>
      <w:bookmarkStart w:id="16" w:name="_Toc461629210"/>
      <w:r>
        <w:rPr>
          <w:color w:val="000000" w:themeColor="text1"/>
          <w:sz w:val="28"/>
          <w:szCs w:val="28"/>
        </w:rPr>
        <w:t>估价人员根据特定的估价目的，遵循公认的估价原则，按照严谨的估价程序，选用</w:t>
      </w:r>
      <w:r>
        <w:rPr>
          <w:rFonts w:hint="eastAsia"/>
          <w:color w:val="000000" w:themeColor="text1"/>
          <w:sz w:val="28"/>
          <w:szCs w:val="28"/>
        </w:rPr>
        <w:t>市场比较法、收益法</w:t>
      </w:r>
      <w:r>
        <w:rPr>
          <w:color w:val="000000" w:themeColor="text1"/>
          <w:sz w:val="28"/>
          <w:szCs w:val="28"/>
        </w:rPr>
        <w:t>，在对影响估价对象价值因素进行综合分析的基础上，通过测算和判断确定估价对象在价值时点</w:t>
      </w:r>
      <w:r>
        <w:rPr>
          <w:color w:val="000000" w:themeColor="text1"/>
          <w:spacing w:val="-4"/>
          <w:sz w:val="28"/>
          <w:szCs w:val="28"/>
        </w:rPr>
        <w:t>满足本次估价的全部假设与限制条件下估价结果为</w:t>
      </w:r>
      <w:r>
        <w:rPr>
          <w:b/>
          <w:color w:val="000000" w:themeColor="text1"/>
          <w:sz w:val="28"/>
          <w:szCs w:val="28"/>
        </w:rPr>
        <w:t>RMB90.04万元，</w:t>
      </w:r>
      <w:r>
        <w:rPr>
          <w:color w:val="000000" w:themeColor="text1"/>
          <w:sz w:val="28"/>
          <w:szCs w:val="28"/>
        </w:rPr>
        <w:t>大写金额（人民币）：</w:t>
      </w:r>
      <w:r>
        <w:rPr>
          <w:b/>
          <w:color w:val="000000" w:themeColor="text1"/>
          <w:sz w:val="28"/>
          <w:szCs w:val="28"/>
        </w:rPr>
        <w:t>玖拾万零肆佰</w:t>
      </w:r>
      <w:r>
        <w:rPr>
          <w:rFonts w:hint="eastAsia"/>
          <w:b/>
          <w:color w:val="000000" w:themeColor="text1"/>
          <w:sz w:val="28"/>
          <w:szCs w:val="28"/>
        </w:rPr>
        <w:t>元整</w:t>
      </w:r>
      <w:r>
        <w:rPr>
          <w:color w:val="000000" w:themeColor="text1"/>
          <w:sz w:val="28"/>
          <w:szCs w:val="28"/>
        </w:rPr>
        <w:t>。评估单价为6086元/㎡。详见下表：</w:t>
      </w:r>
    </w:p>
    <w:tbl>
      <w:tblPr>
        <w:tblStyle w:val="26"/>
        <w:tblW w:w="9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140"/>
        <w:gridCol w:w="1270"/>
        <w:gridCol w:w="1276"/>
        <w:gridCol w:w="1281"/>
        <w:gridCol w:w="851"/>
        <w:gridCol w:w="1128"/>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943" w:type="dxa"/>
            <w:vAlign w:val="center"/>
          </w:tcPr>
          <w:p>
            <w:pPr>
              <w:jc w:val="center"/>
              <w:rPr>
                <w:color w:val="000000" w:themeColor="text1"/>
                <w:szCs w:val="21"/>
              </w:rPr>
            </w:pPr>
            <w:r>
              <w:rPr>
                <w:color w:val="000000" w:themeColor="text1"/>
                <w:szCs w:val="21"/>
              </w:rPr>
              <w:t>房地产权利人</w:t>
            </w:r>
          </w:p>
        </w:tc>
        <w:tc>
          <w:tcPr>
            <w:tcW w:w="1140" w:type="dxa"/>
            <w:vAlign w:val="center"/>
          </w:tcPr>
          <w:p>
            <w:pPr>
              <w:jc w:val="center"/>
              <w:rPr>
                <w:color w:val="000000" w:themeColor="text1"/>
                <w:szCs w:val="21"/>
              </w:rPr>
            </w:pPr>
            <w:r>
              <w:rPr>
                <w:color w:val="000000" w:themeColor="text1"/>
                <w:szCs w:val="21"/>
              </w:rPr>
              <w:t>建筑</w:t>
            </w:r>
          </w:p>
          <w:p>
            <w:pPr>
              <w:jc w:val="center"/>
              <w:rPr>
                <w:color w:val="000000" w:themeColor="text1"/>
                <w:szCs w:val="21"/>
              </w:rPr>
            </w:pPr>
            <w:r>
              <w:rPr>
                <w:color w:val="000000" w:themeColor="text1"/>
                <w:szCs w:val="21"/>
              </w:rPr>
              <w:t>面积（㎡）</w:t>
            </w:r>
          </w:p>
        </w:tc>
        <w:tc>
          <w:tcPr>
            <w:tcW w:w="1270" w:type="dxa"/>
            <w:vAlign w:val="center"/>
          </w:tcPr>
          <w:p>
            <w:pPr>
              <w:jc w:val="center"/>
              <w:rPr>
                <w:color w:val="000000" w:themeColor="text1"/>
                <w:szCs w:val="21"/>
              </w:rPr>
            </w:pPr>
            <w:r>
              <w:rPr>
                <w:color w:val="000000" w:themeColor="text1"/>
                <w:szCs w:val="21"/>
              </w:rPr>
              <w:t>分摊土地面积（㎡）</w:t>
            </w:r>
          </w:p>
        </w:tc>
        <w:tc>
          <w:tcPr>
            <w:tcW w:w="1276" w:type="dxa"/>
            <w:vAlign w:val="center"/>
          </w:tcPr>
          <w:p>
            <w:pPr>
              <w:jc w:val="center"/>
              <w:rPr>
                <w:color w:val="000000" w:themeColor="text1"/>
                <w:szCs w:val="21"/>
              </w:rPr>
            </w:pPr>
            <w:r>
              <w:rPr>
                <w:rFonts w:hint="eastAsia"/>
                <w:color w:val="000000" w:themeColor="text1"/>
                <w:szCs w:val="21"/>
              </w:rPr>
              <w:t>证载用途</w:t>
            </w:r>
          </w:p>
        </w:tc>
        <w:tc>
          <w:tcPr>
            <w:tcW w:w="1281" w:type="dxa"/>
            <w:vAlign w:val="center"/>
          </w:tcPr>
          <w:p>
            <w:pPr>
              <w:jc w:val="center"/>
              <w:rPr>
                <w:color w:val="000000" w:themeColor="text1"/>
                <w:szCs w:val="21"/>
              </w:rPr>
            </w:pPr>
            <w:r>
              <w:rPr>
                <w:rFonts w:hint="eastAsia"/>
                <w:color w:val="000000" w:themeColor="text1"/>
                <w:szCs w:val="21"/>
              </w:rPr>
              <w:t>实际用途</w:t>
            </w:r>
          </w:p>
        </w:tc>
        <w:tc>
          <w:tcPr>
            <w:tcW w:w="851" w:type="dxa"/>
            <w:vAlign w:val="center"/>
          </w:tcPr>
          <w:p>
            <w:pPr>
              <w:jc w:val="center"/>
              <w:rPr>
                <w:color w:val="000000" w:themeColor="text1"/>
                <w:szCs w:val="21"/>
              </w:rPr>
            </w:pPr>
            <w:r>
              <w:rPr>
                <w:rFonts w:hint="eastAsia"/>
                <w:color w:val="000000" w:themeColor="text1"/>
                <w:szCs w:val="21"/>
              </w:rPr>
              <w:t>建成年份（年）</w:t>
            </w:r>
          </w:p>
        </w:tc>
        <w:tc>
          <w:tcPr>
            <w:tcW w:w="1128" w:type="dxa"/>
            <w:vAlign w:val="center"/>
          </w:tcPr>
          <w:p>
            <w:pPr>
              <w:jc w:val="center"/>
              <w:rPr>
                <w:color w:val="000000" w:themeColor="text1"/>
                <w:szCs w:val="21"/>
              </w:rPr>
            </w:pPr>
            <w:r>
              <w:rPr>
                <w:rFonts w:hint="eastAsia"/>
                <w:color w:val="000000" w:themeColor="text1"/>
                <w:szCs w:val="21"/>
              </w:rPr>
              <w:t>单价</w:t>
            </w:r>
          </w:p>
          <w:p>
            <w:pPr>
              <w:jc w:val="center"/>
              <w:rPr>
                <w:color w:val="000000" w:themeColor="text1"/>
                <w:szCs w:val="21"/>
              </w:rPr>
            </w:pPr>
            <w:r>
              <w:rPr>
                <w:color w:val="000000" w:themeColor="text1"/>
                <w:szCs w:val="21"/>
              </w:rPr>
              <w:t>（</w:t>
            </w:r>
            <w:r>
              <w:rPr>
                <w:rFonts w:hint="eastAsia"/>
                <w:color w:val="000000" w:themeColor="text1"/>
                <w:szCs w:val="21"/>
              </w:rPr>
              <w:t>元/㎡）</w:t>
            </w:r>
          </w:p>
        </w:tc>
        <w:tc>
          <w:tcPr>
            <w:tcW w:w="1140" w:type="dxa"/>
            <w:vAlign w:val="center"/>
          </w:tcPr>
          <w:p>
            <w:pPr>
              <w:jc w:val="center"/>
              <w:rPr>
                <w:color w:val="000000" w:themeColor="text1"/>
                <w:szCs w:val="21"/>
              </w:rPr>
            </w:pPr>
            <w:r>
              <w:rPr>
                <w:rFonts w:hint="eastAsia"/>
                <w:color w:val="000000" w:themeColor="text1"/>
                <w:szCs w:val="21"/>
              </w:rPr>
              <w:t>总价</w:t>
            </w:r>
          </w:p>
          <w:p>
            <w:pPr>
              <w:jc w:val="center"/>
              <w:rPr>
                <w:color w:val="000000" w:themeColor="text1"/>
                <w:szCs w:val="21"/>
              </w:rPr>
            </w:pPr>
            <w:r>
              <w:rPr>
                <w:color w:val="000000" w:themeColor="text1"/>
                <w:szCs w:val="21"/>
              </w:rPr>
              <w:t>（万元</w:t>
            </w:r>
            <w:r>
              <w:rPr>
                <w:rFonts w:hint="eastAsia"/>
                <w:color w:val="000000" w:themeColor="text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943" w:type="dxa"/>
            <w:vAlign w:val="center"/>
          </w:tcPr>
          <w:p>
            <w:pPr>
              <w:spacing w:line="240" w:lineRule="atLeast"/>
              <w:jc w:val="center"/>
              <w:rPr>
                <w:color w:val="000000" w:themeColor="text1"/>
                <w:szCs w:val="21"/>
              </w:rPr>
            </w:pPr>
            <w:r>
              <w:rPr>
                <w:color w:val="000000" w:themeColor="text1"/>
                <w:szCs w:val="21"/>
              </w:rPr>
              <w:t>何丽军</w:t>
            </w:r>
          </w:p>
          <w:p>
            <w:pPr>
              <w:spacing w:line="240" w:lineRule="atLeast"/>
              <w:jc w:val="center"/>
              <w:rPr>
                <w:color w:val="000000" w:themeColor="text1"/>
                <w:szCs w:val="21"/>
              </w:rPr>
            </w:pPr>
            <w:r>
              <w:rPr>
                <w:color w:val="000000" w:themeColor="text1"/>
                <w:szCs w:val="21"/>
              </w:rPr>
              <w:t>宋焕玲</w:t>
            </w:r>
          </w:p>
        </w:tc>
        <w:tc>
          <w:tcPr>
            <w:tcW w:w="1140" w:type="dxa"/>
            <w:vAlign w:val="center"/>
          </w:tcPr>
          <w:p>
            <w:pPr>
              <w:spacing w:line="240" w:lineRule="atLeast"/>
              <w:jc w:val="center"/>
              <w:rPr>
                <w:color w:val="000000" w:themeColor="text1"/>
                <w:szCs w:val="21"/>
              </w:rPr>
            </w:pPr>
            <w:r>
              <w:rPr>
                <w:color w:val="000000" w:themeColor="text1"/>
                <w:szCs w:val="21"/>
              </w:rPr>
              <w:t>147.95</w:t>
            </w:r>
          </w:p>
        </w:tc>
        <w:tc>
          <w:tcPr>
            <w:tcW w:w="1270" w:type="dxa"/>
            <w:vAlign w:val="center"/>
          </w:tcPr>
          <w:p>
            <w:pPr>
              <w:spacing w:line="240" w:lineRule="atLeast"/>
              <w:jc w:val="center"/>
              <w:rPr>
                <w:color w:val="000000" w:themeColor="text1"/>
                <w:szCs w:val="21"/>
              </w:rPr>
            </w:pPr>
            <w:r>
              <w:rPr>
                <w:color w:val="000000" w:themeColor="text1"/>
                <w:szCs w:val="21"/>
              </w:rPr>
              <w:t>/</w:t>
            </w:r>
          </w:p>
        </w:tc>
        <w:tc>
          <w:tcPr>
            <w:tcW w:w="1276" w:type="dxa"/>
            <w:vAlign w:val="center"/>
          </w:tcPr>
          <w:p>
            <w:pPr>
              <w:spacing w:line="240" w:lineRule="atLeast"/>
              <w:jc w:val="center"/>
              <w:rPr>
                <w:color w:val="000000" w:themeColor="text1"/>
                <w:szCs w:val="21"/>
              </w:rPr>
            </w:pPr>
            <w:r>
              <w:rPr>
                <w:rFonts w:hint="eastAsia"/>
                <w:color w:val="000000" w:themeColor="text1"/>
                <w:szCs w:val="21"/>
              </w:rPr>
              <w:t>住宅</w:t>
            </w:r>
          </w:p>
        </w:tc>
        <w:tc>
          <w:tcPr>
            <w:tcW w:w="1281" w:type="dxa"/>
            <w:vAlign w:val="center"/>
          </w:tcPr>
          <w:p>
            <w:pPr>
              <w:spacing w:line="240" w:lineRule="atLeast"/>
              <w:jc w:val="center"/>
              <w:rPr>
                <w:color w:val="000000" w:themeColor="text1"/>
                <w:szCs w:val="21"/>
              </w:rPr>
            </w:pPr>
            <w:r>
              <w:rPr>
                <w:rFonts w:hint="eastAsia"/>
                <w:color w:val="000000" w:themeColor="text1"/>
                <w:szCs w:val="21"/>
              </w:rPr>
              <w:t>住宅</w:t>
            </w:r>
          </w:p>
        </w:tc>
        <w:tc>
          <w:tcPr>
            <w:tcW w:w="851" w:type="dxa"/>
            <w:vAlign w:val="center"/>
          </w:tcPr>
          <w:p>
            <w:pPr>
              <w:spacing w:line="240" w:lineRule="atLeast"/>
              <w:jc w:val="center"/>
              <w:rPr>
                <w:color w:val="000000" w:themeColor="text1"/>
                <w:szCs w:val="21"/>
              </w:rPr>
            </w:pPr>
            <w:r>
              <w:rPr>
                <w:color w:val="000000" w:themeColor="text1"/>
                <w:szCs w:val="21"/>
              </w:rPr>
              <w:t>2010</w:t>
            </w:r>
          </w:p>
        </w:tc>
        <w:tc>
          <w:tcPr>
            <w:tcW w:w="1128" w:type="dxa"/>
            <w:vAlign w:val="center"/>
          </w:tcPr>
          <w:p>
            <w:pPr>
              <w:spacing w:line="240" w:lineRule="atLeast"/>
              <w:jc w:val="center"/>
              <w:rPr>
                <w:color w:val="000000" w:themeColor="text1"/>
                <w:szCs w:val="21"/>
              </w:rPr>
            </w:pPr>
            <w:r>
              <w:rPr>
                <w:color w:val="000000" w:themeColor="text1"/>
                <w:szCs w:val="21"/>
              </w:rPr>
              <w:t>6086</w:t>
            </w:r>
          </w:p>
        </w:tc>
        <w:tc>
          <w:tcPr>
            <w:tcW w:w="1140" w:type="dxa"/>
            <w:vAlign w:val="center"/>
          </w:tcPr>
          <w:p>
            <w:pPr>
              <w:spacing w:line="240" w:lineRule="atLeast"/>
              <w:jc w:val="center"/>
              <w:rPr>
                <w:color w:val="000000" w:themeColor="text1"/>
                <w:szCs w:val="21"/>
              </w:rPr>
            </w:pPr>
            <w:r>
              <w:rPr>
                <w:color w:val="000000" w:themeColor="text1"/>
                <w:szCs w:val="21"/>
              </w:rPr>
              <w:t>90.04</w:t>
            </w:r>
          </w:p>
        </w:tc>
      </w:tr>
    </w:tbl>
    <w:p>
      <w:pPr>
        <w:numPr>
          <w:ilvl w:val="0"/>
          <w:numId w:val="3"/>
        </w:numPr>
        <w:tabs>
          <w:tab w:val="left" w:pos="1080"/>
        </w:tabs>
        <w:spacing w:line="500" w:lineRule="exact"/>
        <w:outlineLvl w:val="1"/>
        <w:rPr>
          <w:b/>
          <w:color w:val="000000" w:themeColor="text1"/>
          <w:sz w:val="28"/>
          <w:szCs w:val="28"/>
        </w:rPr>
      </w:pPr>
      <w:r>
        <w:rPr>
          <w:b/>
          <w:color w:val="000000" w:themeColor="text1"/>
          <w:sz w:val="28"/>
          <w:szCs w:val="28"/>
        </w:rPr>
        <w:t>注册房地产估价师</w:t>
      </w:r>
      <w:bookmarkEnd w:id="16"/>
    </w:p>
    <w:tbl>
      <w:tblPr>
        <w:tblStyle w:val="26"/>
        <w:tblW w:w="91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6"/>
        <w:gridCol w:w="3119"/>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816" w:type="dxa"/>
            <w:tcBorders>
              <w:top w:val="single" w:color="auto" w:sz="12" w:space="0"/>
              <w:left w:val="single" w:color="auto" w:sz="12" w:space="0"/>
            </w:tcBorders>
            <w:vAlign w:val="center"/>
          </w:tcPr>
          <w:p>
            <w:pPr>
              <w:tabs>
                <w:tab w:val="left" w:pos="735"/>
              </w:tabs>
              <w:overflowPunct w:val="0"/>
              <w:spacing w:line="312" w:lineRule="auto"/>
              <w:jc w:val="center"/>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姓  名</w:t>
            </w:r>
          </w:p>
        </w:tc>
        <w:tc>
          <w:tcPr>
            <w:tcW w:w="3119" w:type="dxa"/>
            <w:tcBorders>
              <w:top w:val="single" w:color="auto" w:sz="12" w:space="0"/>
            </w:tcBorders>
            <w:vAlign w:val="center"/>
          </w:tcPr>
          <w:p>
            <w:pPr>
              <w:tabs>
                <w:tab w:val="left" w:pos="735"/>
              </w:tabs>
              <w:wordWrap w:val="0"/>
              <w:overflowPunct w:val="0"/>
              <w:spacing w:line="312" w:lineRule="auto"/>
              <w:jc w:val="center"/>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注册号</w:t>
            </w:r>
          </w:p>
        </w:tc>
        <w:tc>
          <w:tcPr>
            <w:tcW w:w="3260" w:type="dxa"/>
            <w:tcBorders>
              <w:top w:val="single" w:color="auto" w:sz="12" w:space="0"/>
            </w:tcBorders>
            <w:vAlign w:val="center"/>
          </w:tcPr>
          <w:p>
            <w:pPr>
              <w:tabs>
                <w:tab w:val="left" w:pos="735"/>
              </w:tabs>
              <w:wordWrap w:val="0"/>
              <w:overflowPunct w:val="0"/>
              <w:spacing w:line="312" w:lineRule="auto"/>
              <w:jc w:val="center"/>
              <w:rPr>
                <w:rFonts w:asciiTheme="minorEastAsia" w:hAnsiTheme="minorEastAsia" w:eastAsiaTheme="minorEastAsia"/>
                <w:b/>
                <w:color w:val="000000" w:themeColor="text1"/>
                <w:sz w:val="24"/>
              </w:rPr>
            </w:pPr>
            <w:r>
              <w:rPr>
                <w:rFonts w:asciiTheme="minorEastAsia" w:hAnsiTheme="minorEastAsia" w:eastAsiaTheme="minorEastAsia"/>
                <w:b/>
                <w:color w:val="000000" w:themeColor="text1"/>
                <w:sz w:val="24"/>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2816" w:type="dxa"/>
            <w:tcBorders>
              <w:left w:val="single" w:color="auto" w:sz="12" w:space="0"/>
            </w:tcBorders>
            <w:vAlign w:val="center"/>
          </w:tcPr>
          <w:p>
            <w:pPr>
              <w:tabs>
                <w:tab w:val="left" w:pos="735"/>
              </w:tabs>
              <w:wordWrap w:val="0"/>
              <w:overflowPunct w:val="0"/>
              <w:spacing w:line="312" w:lineRule="auto"/>
              <w:jc w:val="cente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汪震超</w:t>
            </w:r>
          </w:p>
        </w:tc>
        <w:tc>
          <w:tcPr>
            <w:tcW w:w="3119" w:type="dxa"/>
            <w:vAlign w:val="center"/>
          </w:tcPr>
          <w:p>
            <w:pPr>
              <w:tabs>
                <w:tab w:val="left" w:pos="735"/>
              </w:tabs>
              <w:wordWrap w:val="0"/>
              <w:overflowPunct w:val="0"/>
              <w:spacing w:line="312"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4220040037</w:t>
            </w:r>
          </w:p>
        </w:tc>
        <w:tc>
          <w:tcPr>
            <w:tcW w:w="3260" w:type="dxa"/>
            <w:vAlign w:val="center"/>
          </w:tcPr>
          <w:p>
            <w:pPr>
              <w:tabs>
                <w:tab w:val="left" w:pos="735"/>
              </w:tabs>
              <w:wordWrap w:val="0"/>
              <w:overflowPunct w:val="0"/>
              <w:spacing w:line="312" w:lineRule="auto"/>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816" w:type="dxa"/>
            <w:tcBorders>
              <w:left w:val="single" w:color="auto" w:sz="12" w:space="0"/>
              <w:bottom w:val="single" w:color="auto" w:sz="12" w:space="0"/>
            </w:tcBorders>
            <w:vAlign w:val="center"/>
          </w:tcPr>
          <w:p>
            <w:pPr>
              <w:tabs>
                <w:tab w:val="left" w:pos="735"/>
              </w:tabs>
              <w:wordWrap w:val="0"/>
              <w:overflowPunct w:val="0"/>
              <w:spacing w:line="312" w:lineRule="auto"/>
              <w:jc w:val="center"/>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张  杰</w:t>
            </w:r>
          </w:p>
        </w:tc>
        <w:tc>
          <w:tcPr>
            <w:tcW w:w="3119" w:type="dxa"/>
            <w:tcBorders>
              <w:bottom w:val="single" w:color="auto" w:sz="12" w:space="0"/>
            </w:tcBorders>
            <w:vAlign w:val="center"/>
          </w:tcPr>
          <w:p>
            <w:pPr>
              <w:tabs>
                <w:tab w:val="left" w:pos="735"/>
              </w:tabs>
              <w:wordWrap w:val="0"/>
              <w:overflowPunct w:val="0"/>
              <w:spacing w:line="312" w:lineRule="auto"/>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4220</w:t>
            </w:r>
            <w:r>
              <w:rPr>
                <w:rFonts w:asciiTheme="minorEastAsia" w:hAnsiTheme="minorEastAsia" w:eastAsiaTheme="minorEastAsia"/>
                <w:color w:val="000000" w:themeColor="text1"/>
                <w:sz w:val="24"/>
              </w:rPr>
              <w:t>190036</w:t>
            </w:r>
          </w:p>
        </w:tc>
        <w:tc>
          <w:tcPr>
            <w:tcW w:w="3260" w:type="dxa"/>
            <w:tcBorders>
              <w:bottom w:val="single" w:color="auto" w:sz="12" w:space="0"/>
            </w:tcBorders>
            <w:vAlign w:val="center"/>
          </w:tcPr>
          <w:p>
            <w:pPr>
              <w:tabs>
                <w:tab w:val="left" w:pos="735"/>
              </w:tabs>
              <w:wordWrap w:val="0"/>
              <w:overflowPunct w:val="0"/>
              <w:spacing w:line="312" w:lineRule="auto"/>
              <w:jc w:val="center"/>
              <w:rPr>
                <w:rFonts w:asciiTheme="minorEastAsia" w:hAnsiTheme="minorEastAsia" w:eastAsiaTheme="minorEastAsia"/>
                <w:color w:val="000000" w:themeColor="text1"/>
                <w:sz w:val="24"/>
              </w:rPr>
            </w:pPr>
          </w:p>
        </w:tc>
      </w:tr>
    </w:tbl>
    <w:p>
      <w:pPr>
        <w:numPr>
          <w:ilvl w:val="0"/>
          <w:numId w:val="3"/>
        </w:numPr>
        <w:tabs>
          <w:tab w:val="left" w:pos="1080"/>
        </w:tabs>
        <w:spacing w:line="500" w:lineRule="exact"/>
        <w:outlineLvl w:val="1"/>
        <w:rPr>
          <w:b/>
          <w:color w:val="000000" w:themeColor="text1"/>
          <w:sz w:val="28"/>
          <w:szCs w:val="28"/>
        </w:rPr>
      </w:pPr>
      <w:bookmarkStart w:id="17" w:name="_Toc461629211"/>
      <w:r>
        <w:rPr>
          <w:b/>
          <w:color w:val="000000" w:themeColor="text1"/>
          <w:sz w:val="28"/>
          <w:szCs w:val="28"/>
        </w:rPr>
        <w:t>实地查勘期</w:t>
      </w:r>
      <w:bookmarkEnd w:id="17"/>
    </w:p>
    <w:p>
      <w:pPr>
        <w:spacing w:line="500" w:lineRule="exact"/>
        <w:ind w:firstLine="560" w:firstLineChars="200"/>
        <w:rPr>
          <w:b/>
          <w:color w:val="000000" w:themeColor="text1"/>
          <w:sz w:val="28"/>
          <w:szCs w:val="28"/>
        </w:rPr>
      </w:pPr>
      <w:bookmarkStart w:id="18" w:name="_Toc414467439"/>
      <w:bookmarkStart w:id="19" w:name="_Toc418697316"/>
      <w:bookmarkStart w:id="20" w:name="_Toc434232587"/>
      <w:bookmarkStart w:id="21" w:name="_Toc434232783"/>
      <w:bookmarkStart w:id="22" w:name="_Toc452649916"/>
      <w:bookmarkStart w:id="23" w:name="_Toc452650182"/>
      <w:bookmarkStart w:id="24" w:name="_Toc453169022"/>
      <w:bookmarkStart w:id="25" w:name="_Toc453591245"/>
      <w:r>
        <w:rPr>
          <w:color w:val="000000" w:themeColor="text1"/>
          <w:sz w:val="28"/>
          <w:szCs w:val="28"/>
        </w:rPr>
        <w:t>估价人员于</w:t>
      </w:r>
      <w:r>
        <w:rPr>
          <w:rFonts w:hint="eastAsia"/>
          <w:color w:val="000000" w:themeColor="text1"/>
          <w:sz w:val="28"/>
          <w:szCs w:val="28"/>
        </w:rPr>
        <w:t>二〇二〇年九月二十五日</w:t>
      </w:r>
      <w:r>
        <w:rPr>
          <w:color w:val="000000" w:themeColor="text1"/>
          <w:sz w:val="28"/>
          <w:szCs w:val="28"/>
        </w:rPr>
        <w:t>进入估价对象现场并完成实地查勘。</w:t>
      </w:r>
      <w:bookmarkEnd w:id="18"/>
      <w:bookmarkEnd w:id="19"/>
      <w:bookmarkEnd w:id="20"/>
      <w:bookmarkEnd w:id="21"/>
      <w:bookmarkEnd w:id="22"/>
      <w:bookmarkEnd w:id="23"/>
      <w:bookmarkEnd w:id="24"/>
      <w:bookmarkEnd w:id="25"/>
    </w:p>
    <w:p>
      <w:pPr>
        <w:numPr>
          <w:ilvl w:val="0"/>
          <w:numId w:val="3"/>
        </w:numPr>
        <w:tabs>
          <w:tab w:val="left" w:pos="1080"/>
        </w:tabs>
        <w:spacing w:line="500" w:lineRule="exact"/>
        <w:outlineLvl w:val="1"/>
        <w:rPr>
          <w:b/>
          <w:color w:val="000000" w:themeColor="text1"/>
          <w:sz w:val="28"/>
          <w:szCs w:val="28"/>
        </w:rPr>
      </w:pPr>
      <w:bookmarkStart w:id="26" w:name="_Toc461629212"/>
      <w:r>
        <w:rPr>
          <w:b/>
          <w:color w:val="000000" w:themeColor="text1"/>
          <w:sz w:val="28"/>
          <w:szCs w:val="28"/>
        </w:rPr>
        <w:t>估价作业期</w:t>
      </w:r>
      <w:bookmarkEnd w:id="26"/>
    </w:p>
    <w:p>
      <w:pPr>
        <w:tabs>
          <w:tab w:val="left" w:pos="1080"/>
        </w:tabs>
        <w:spacing w:line="500" w:lineRule="exact"/>
        <w:ind w:left="720"/>
        <w:rPr>
          <w:b/>
          <w:color w:val="000000" w:themeColor="text1"/>
          <w:sz w:val="28"/>
          <w:szCs w:val="28"/>
        </w:rPr>
      </w:pPr>
      <w:r>
        <w:rPr>
          <w:rFonts w:hint="eastAsia"/>
          <w:color w:val="000000" w:themeColor="text1"/>
          <w:sz w:val="28"/>
          <w:szCs w:val="28"/>
        </w:rPr>
        <w:t>二〇二〇年九月二十一日至二〇</w:t>
      </w:r>
      <w:r>
        <w:rPr>
          <w:rFonts w:hint="eastAsia"/>
          <w:sz w:val="28"/>
          <w:szCs w:val="28"/>
        </w:rPr>
        <w:t>二〇年十月三十日。</w:t>
      </w:r>
    </w:p>
    <w:p>
      <w:pPr>
        <w:numPr>
          <w:ilvl w:val="0"/>
          <w:numId w:val="3"/>
        </w:numPr>
        <w:tabs>
          <w:tab w:val="left" w:pos="1080"/>
        </w:tabs>
        <w:spacing w:line="500" w:lineRule="exact"/>
        <w:outlineLvl w:val="1"/>
        <w:rPr>
          <w:b/>
          <w:color w:val="000000" w:themeColor="text1"/>
          <w:sz w:val="28"/>
          <w:szCs w:val="28"/>
        </w:rPr>
      </w:pPr>
      <w:bookmarkStart w:id="27" w:name="_Toc461629213"/>
      <w:r>
        <w:rPr>
          <w:b/>
          <w:color w:val="000000" w:themeColor="text1"/>
          <w:sz w:val="28"/>
          <w:szCs w:val="28"/>
        </w:rPr>
        <w:t>估价报告应用的有效期</w:t>
      </w:r>
      <w:bookmarkEnd w:id="27"/>
    </w:p>
    <w:p>
      <w:pPr>
        <w:spacing w:line="500" w:lineRule="exact"/>
        <w:ind w:firstLine="560" w:firstLineChars="200"/>
        <w:rPr>
          <w:color w:val="000000" w:themeColor="text1"/>
          <w:sz w:val="28"/>
          <w:szCs w:val="28"/>
        </w:rPr>
      </w:pPr>
      <w:r>
        <w:rPr>
          <w:color w:val="000000" w:themeColor="text1"/>
          <w:sz w:val="28"/>
          <w:szCs w:val="28"/>
        </w:rPr>
        <w:t>1、本报告所确定的房地产价格，即该房地产的客观合理价格，是在公开市场条件下，在本次估价目的的特定条件下形成或者成立的正常价格，只能用于与估价目的相符的用途，不对其他用途和目的负责。</w:t>
      </w:r>
    </w:p>
    <w:p>
      <w:pPr>
        <w:spacing w:line="500" w:lineRule="exact"/>
        <w:ind w:firstLine="560" w:firstLineChars="200"/>
        <w:rPr>
          <w:sz w:val="28"/>
          <w:szCs w:val="28"/>
        </w:rPr>
      </w:pPr>
      <w:r>
        <w:rPr>
          <w:sz w:val="28"/>
          <w:szCs w:val="28"/>
        </w:rPr>
        <w:t>2、本估价报告自出具之日（</w:t>
      </w:r>
      <w:r>
        <w:rPr>
          <w:rFonts w:hint="eastAsia"/>
          <w:sz w:val="28"/>
          <w:szCs w:val="28"/>
        </w:rPr>
        <w:t>2020年</w:t>
      </w:r>
      <w:r>
        <w:rPr>
          <w:sz w:val="28"/>
          <w:szCs w:val="28"/>
        </w:rPr>
        <w:t>10</w:t>
      </w:r>
      <w:r>
        <w:rPr>
          <w:rFonts w:hint="eastAsia"/>
          <w:sz w:val="28"/>
          <w:szCs w:val="28"/>
        </w:rPr>
        <w:t>月</w:t>
      </w:r>
      <w:r>
        <w:rPr>
          <w:sz w:val="28"/>
          <w:szCs w:val="28"/>
        </w:rPr>
        <w:t>30</w:t>
      </w:r>
      <w:r>
        <w:rPr>
          <w:rFonts w:hint="eastAsia"/>
          <w:sz w:val="28"/>
          <w:szCs w:val="28"/>
        </w:rPr>
        <w:t>日</w:t>
      </w:r>
      <w:r>
        <w:rPr>
          <w:sz w:val="28"/>
          <w:szCs w:val="28"/>
        </w:rPr>
        <w:t>）起生效。</w:t>
      </w:r>
    </w:p>
    <w:p>
      <w:pPr>
        <w:spacing w:line="500" w:lineRule="exact"/>
        <w:ind w:firstLine="548" w:firstLineChars="196"/>
        <w:rPr>
          <w:b/>
          <w:color w:val="000000" w:themeColor="text1"/>
          <w:sz w:val="28"/>
          <w:szCs w:val="28"/>
        </w:rPr>
      </w:pPr>
      <w:r>
        <w:rPr>
          <w:sz w:val="28"/>
          <w:szCs w:val="28"/>
        </w:rPr>
        <w:t>3、本报告书的应用有效期自完成日期起壹年，即从</w:t>
      </w:r>
      <w:r>
        <w:rPr>
          <w:rFonts w:hint="eastAsia"/>
          <w:sz w:val="28"/>
          <w:szCs w:val="28"/>
        </w:rPr>
        <w:t>2020年</w:t>
      </w:r>
      <w:r>
        <w:rPr>
          <w:sz w:val="28"/>
          <w:szCs w:val="28"/>
        </w:rPr>
        <w:t>10</w:t>
      </w:r>
      <w:r>
        <w:rPr>
          <w:rFonts w:hint="eastAsia"/>
          <w:sz w:val="28"/>
          <w:szCs w:val="28"/>
        </w:rPr>
        <w:t>月</w:t>
      </w:r>
      <w:r>
        <w:rPr>
          <w:sz w:val="28"/>
          <w:szCs w:val="28"/>
        </w:rPr>
        <w:t>30</w:t>
      </w:r>
      <w:r>
        <w:rPr>
          <w:rFonts w:hint="eastAsia"/>
          <w:sz w:val="28"/>
          <w:szCs w:val="28"/>
        </w:rPr>
        <w:t>日</w:t>
      </w:r>
      <w:r>
        <w:rPr>
          <w:sz w:val="28"/>
          <w:szCs w:val="28"/>
        </w:rPr>
        <w:t>起至</w:t>
      </w:r>
      <w:r>
        <w:rPr>
          <w:rFonts w:hint="eastAsia"/>
          <w:sz w:val="28"/>
          <w:szCs w:val="28"/>
        </w:rPr>
        <w:t>20</w:t>
      </w:r>
      <w:r>
        <w:rPr>
          <w:sz w:val="28"/>
          <w:szCs w:val="28"/>
        </w:rPr>
        <w:t>21</w:t>
      </w:r>
      <w:r>
        <w:rPr>
          <w:rFonts w:hint="eastAsia"/>
          <w:sz w:val="28"/>
          <w:szCs w:val="28"/>
        </w:rPr>
        <w:t>年</w:t>
      </w:r>
      <w:r>
        <w:rPr>
          <w:sz w:val="28"/>
          <w:szCs w:val="28"/>
        </w:rPr>
        <w:t>10</w:t>
      </w:r>
      <w:r>
        <w:rPr>
          <w:rFonts w:hint="eastAsia"/>
          <w:sz w:val="28"/>
          <w:szCs w:val="28"/>
        </w:rPr>
        <w:t>月</w:t>
      </w:r>
      <w:r>
        <w:rPr>
          <w:sz w:val="28"/>
          <w:szCs w:val="28"/>
        </w:rPr>
        <w:t>29</w:t>
      </w:r>
      <w:r>
        <w:rPr>
          <w:rFonts w:hint="eastAsia"/>
          <w:sz w:val="28"/>
          <w:szCs w:val="28"/>
        </w:rPr>
        <w:t>日</w:t>
      </w:r>
      <w:r>
        <w:rPr>
          <w:sz w:val="28"/>
          <w:szCs w:val="28"/>
        </w:rPr>
        <w:t>止。当房地产市场价格或房地产政策法</w:t>
      </w:r>
      <w:r>
        <w:rPr>
          <w:color w:val="000000" w:themeColor="text1"/>
          <w:sz w:val="28"/>
          <w:szCs w:val="28"/>
        </w:rPr>
        <w:t>规发生重大变化和调整时，该有效期应相应调减。</w:t>
      </w:r>
    </w:p>
    <w:p>
      <w:pPr>
        <w:widowControl/>
        <w:jc w:val="left"/>
        <w:rPr>
          <w:rFonts w:eastAsia="黑体"/>
          <w:b/>
          <w:color w:val="000000" w:themeColor="text1"/>
          <w:sz w:val="48"/>
          <w:szCs w:val="48"/>
        </w:rPr>
      </w:pPr>
      <w:bookmarkStart w:id="28" w:name="_Toc461629216"/>
      <w:r>
        <w:rPr>
          <w:rFonts w:eastAsia="黑体"/>
          <w:b/>
          <w:color w:val="000000" w:themeColor="text1"/>
          <w:sz w:val="48"/>
          <w:szCs w:val="48"/>
        </w:rPr>
        <w:br w:type="page"/>
      </w:r>
    </w:p>
    <w:bookmarkEnd w:id="28"/>
    <w:p>
      <w:pPr>
        <w:widowControl/>
        <w:jc w:val="center"/>
        <w:rPr>
          <w:rFonts w:eastAsia="黑体"/>
          <w:b/>
          <w:sz w:val="44"/>
          <w:szCs w:val="44"/>
        </w:rPr>
      </w:pPr>
      <w:bookmarkStart w:id="29" w:name="_Toc461629217"/>
    </w:p>
    <w:p>
      <w:pPr>
        <w:widowControl/>
        <w:jc w:val="center"/>
        <w:rPr>
          <w:rFonts w:eastAsia="黑体"/>
          <w:b/>
          <w:sz w:val="44"/>
          <w:szCs w:val="44"/>
        </w:rPr>
      </w:pPr>
      <w:r>
        <w:rPr>
          <w:rFonts w:eastAsia="黑体"/>
          <w:b/>
          <w:sz w:val="44"/>
          <w:szCs w:val="44"/>
        </w:rPr>
        <w:t>附 件</w:t>
      </w:r>
      <w:bookmarkEnd w:id="29"/>
    </w:p>
    <w:p>
      <w:pPr>
        <w:tabs>
          <w:tab w:val="left" w:pos="1080"/>
        </w:tabs>
        <w:spacing w:line="500" w:lineRule="exact"/>
        <w:jc w:val="center"/>
        <w:rPr>
          <w:rFonts w:eastAsia="黑体"/>
          <w:b/>
          <w:sz w:val="44"/>
          <w:szCs w:val="44"/>
        </w:rPr>
      </w:pPr>
    </w:p>
    <w:p>
      <w:pPr>
        <w:tabs>
          <w:tab w:val="left" w:pos="1260"/>
          <w:tab w:val="left" w:pos="1440"/>
          <w:tab w:val="left" w:pos="1620"/>
        </w:tabs>
        <w:spacing w:line="500" w:lineRule="exact"/>
        <w:ind w:firstLine="2240" w:firstLineChars="800"/>
        <w:rPr>
          <w:sz w:val="28"/>
          <w:szCs w:val="28"/>
        </w:rPr>
      </w:pPr>
      <w:bookmarkStart w:id="30" w:name="_Toc461629219"/>
      <w:r>
        <w:rPr>
          <w:rFonts w:hint="eastAsia"/>
          <w:sz w:val="28"/>
          <w:szCs w:val="28"/>
        </w:rPr>
        <w:t>一、估价对象区位示意图</w:t>
      </w:r>
    </w:p>
    <w:p>
      <w:pPr>
        <w:tabs>
          <w:tab w:val="left" w:pos="1260"/>
          <w:tab w:val="left" w:pos="1440"/>
          <w:tab w:val="left" w:pos="1620"/>
        </w:tabs>
        <w:spacing w:line="500" w:lineRule="exact"/>
        <w:ind w:firstLine="2240" w:firstLineChars="800"/>
        <w:rPr>
          <w:sz w:val="28"/>
          <w:szCs w:val="28"/>
        </w:rPr>
      </w:pPr>
      <w:bookmarkStart w:id="31" w:name="_Toc461629220"/>
      <w:r>
        <w:rPr>
          <w:rFonts w:hint="eastAsia"/>
          <w:sz w:val="28"/>
          <w:szCs w:val="28"/>
        </w:rPr>
        <w:t>二、估价对象现场查勘照片</w:t>
      </w:r>
      <w:bookmarkEnd w:id="31"/>
    </w:p>
    <w:bookmarkEnd w:id="30"/>
    <w:p>
      <w:pPr>
        <w:tabs>
          <w:tab w:val="left" w:pos="1260"/>
          <w:tab w:val="left" w:pos="1440"/>
          <w:tab w:val="left" w:pos="1620"/>
        </w:tabs>
        <w:spacing w:line="500" w:lineRule="exact"/>
        <w:jc w:val="left"/>
        <w:rPr>
          <w:color w:val="000000" w:themeColor="text1"/>
          <w:sz w:val="28"/>
          <w:szCs w:val="28"/>
        </w:rPr>
      </w:pPr>
      <w:r>
        <w:rPr>
          <w:rFonts w:hint="eastAsia"/>
          <w:color w:val="000000" w:themeColor="text1"/>
          <w:sz w:val="28"/>
          <w:szCs w:val="28"/>
        </w:rPr>
        <w:t xml:space="preserve">                </w:t>
      </w:r>
      <w:r>
        <w:rPr>
          <w:color w:val="000000" w:themeColor="text1"/>
          <w:sz w:val="28"/>
          <w:szCs w:val="28"/>
        </w:rPr>
        <w:t>三、《</w:t>
      </w:r>
      <w:r>
        <w:rPr>
          <w:rFonts w:hint="eastAsia"/>
          <w:color w:val="000000" w:themeColor="text1"/>
          <w:sz w:val="28"/>
          <w:szCs w:val="28"/>
          <w:lang w:val="zh-CN"/>
        </w:rPr>
        <w:t>湖北省武穴市人民法院鉴定委托书</w:t>
      </w:r>
      <w:r>
        <w:rPr>
          <w:color w:val="000000" w:themeColor="text1"/>
          <w:sz w:val="28"/>
          <w:szCs w:val="28"/>
        </w:rPr>
        <w:t>》</w:t>
      </w:r>
      <w:r>
        <w:rPr>
          <w:rFonts w:hint="eastAsia"/>
          <w:sz w:val="28"/>
          <w:szCs w:val="28"/>
        </w:rPr>
        <w:t>（复印件）</w:t>
      </w:r>
    </w:p>
    <w:p>
      <w:pPr>
        <w:spacing w:line="500" w:lineRule="exact"/>
        <w:ind w:firstLine="2240" w:firstLineChars="800"/>
        <w:rPr>
          <w:color w:val="000000" w:themeColor="text1"/>
          <w:sz w:val="28"/>
          <w:szCs w:val="28"/>
        </w:rPr>
      </w:pPr>
      <w:r>
        <w:rPr>
          <w:color w:val="000000" w:themeColor="text1"/>
          <w:sz w:val="28"/>
          <w:szCs w:val="28"/>
        </w:rPr>
        <w:t>四、《</w:t>
      </w:r>
      <w:r>
        <w:rPr>
          <w:rFonts w:hint="eastAsia"/>
          <w:color w:val="000000" w:themeColor="text1"/>
          <w:sz w:val="28"/>
          <w:szCs w:val="28"/>
          <w:lang w:val="zh-CN"/>
        </w:rPr>
        <w:t>湖北省武穴市人民法院执行裁定书</w:t>
      </w:r>
      <w:r>
        <w:rPr>
          <w:color w:val="000000" w:themeColor="text1"/>
          <w:sz w:val="28"/>
          <w:szCs w:val="28"/>
        </w:rPr>
        <w:t>》</w:t>
      </w:r>
      <w:r>
        <w:rPr>
          <w:rFonts w:hint="eastAsia"/>
          <w:sz w:val="28"/>
          <w:szCs w:val="28"/>
        </w:rPr>
        <w:t>（复印件）</w:t>
      </w:r>
    </w:p>
    <w:p>
      <w:pPr>
        <w:spacing w:line="500" w:lineRule="exact"/>
        <w:ind w:firstLine="2240" w:firstLineChars="800"/>
        <w:rPr>
          <w:color w:val="000000" w:themeColor="text1"/>
          <w:sz w:val="28"/>
          <w:szCs w:val="28"/>
        </w:rPr>
      </w:pPr>
      <w:r>
        <w:rPr>
          <w:color w:val="000000" w:themeColor="text1"/>
          <w:sz w:val="28"/>
          <w:szCs w:val="28"/>
        </w:rPr>
        <w:t>五、《</w:t>
      </w:r>
      <w:r>
        <w:rPr>
          <w:rFonts w:hint="eastAsia"/>
          <w:color w:val="000000" w:themeColor="text1"/>
          <w:sz w:val="28"/>
          <w:szCs w:val="28"/>
          <w:lang w:val="zh-CN"/>
        </w:rPr>
        <w:t>湖北省武穴市人民法院民事裁定书</w:t>
      </w:r>
      <w:r>
        <w:rPr>
          <w:color w:val="000000" w:themeColor="text1"/>
          <w:sz w:val="28"/>
          <w:szCs w:val="28"/>
        </w:rPr>
        <w:t>》</w:t>
      </w:r>
      <w:r>
        <w:rPr>
          <w:rFonts w:hint="eastAsia"/>
          <w:sz w:val="28"/>
          <w:szCs w:val="28"/>
        </w:rPr>
        <w:t>（复印件）</w:t>
      </w:r>
    </w:p>
    <w:p>
      <w:pPr>
        <w:spacing w:line="500" w:lineRule="exact"/>
        <w:ind w:firstLine="2240" w:firstLineChars="800"/>
        <w:rPr>
          <w:color w:val="000000" w:themeColor="text1"/>
          <w:sz w:val="28"/>
          <w:szCs w:val="28"/>
        </w:rPr>
      </w:pPr>
      <w:r>
        <w:rPr>
          <w:color w:val="000000" w:themeColor="text1"/>
          <w:sz w:val="28"/>
          <w:szCs w:val="28"/>
        </w:rPr>
        <w:t>六、《</w:t>
      </w:r>
      <w:r>
        <w:rPr>
          <w:rFonts w:hint="eastAsia"/>
          <w:color w:val="000000" w:themeColor="text1"/>
          <w:sz w:val="28"/>
          <w:szCs w:val="28"/>
          <w:lang w:val="zh-CN"/>
        </w:rPr>
        <w:t>湖北省武穴市人民法院民事判决书</w:t>
      </w:r>
      <w:r>
        <w:rPr>
          <w:color w:val="000000" w:themeColor="text1"/>
          <w:sz w:val="28"/>
          <w:szCs w:val="28"/>
        </w:rPr>
        <w:t>》</w:t>
      </w:r>
      <w:r>
        <w:rPr>
          <w:rFonts w:hint="eastAsia"/>
          <w:sz w:val="28"/>
          <w:szCs w:val="28"/>
        </w:rPr>
        <w:t>（复印件）</w:t>
      </w:r>
    </w:p>
    <w:p>
      <w:pPr>
        <w:spacing w:line="500" w:lineRule="exact"/>
        <w:ind w:firstLine="2240" w:firstLineChars="800"/>
        <w:rPr>
          <w:color w:val="000000" w:themeColor="text1"/>
          <w:sz w:val="28"/>
          <w:szCs w:val="28"/>
        </w:rPr>
      </w:pPr>
      <w:r>
        <w:rPr>
          <w:color w:val="000000" w:themeColor="text1"/>
          <w:sz w:val="28"/>
          <w:szCs w:val="28"/>
        </w:rPr>
        <w:t>七、《预告登记信息》</w:t>
      </w:r>
      <w:r>
        <w:rPr>
          <w:rFonts w:hint="eastAsia"/>
          <w:sz w:val="28"/>
          <w:szCs w:val="28"/>
        </w:rPr>
        <w:t>（复印件）</w:t>
      </w:r>
    </w:p>
    <w:p>
      <w:pPr>
        <w:widowControl/>
        <w:spacing w:line="500" w:lineRule="exact"/>
        <w:ind w:firstLine="2240" w:firstLineChars="800"/>
        <w:rPr>
          <w:color w:val="000000" w:themeColor="text1"/>
          <w:sz w:val="28"/>
          <w:szCs w:val="28"/>
        </w:rPr>
      </w:pPr>
      <w:r>
        <w:rPr>
          <w:rFonts w:hint="eastAsia"/>
          <w:color w:val="000000" w:themeColor="text1"/>
          <w:sz w:val="28"/>
          <w:szCs w:val="28"/>
        </w:rPr>
        <w:t>八、《商品房买卖合同》附页</w:t>
      </w:r>
    </w:p>
    <w:p>
      <w:pPr>
        <w:tabs>
          <w:tab w:val="left" w:pos="1260"/>
          <w:tab w:val="left" w:pos="1440"/>
          <w:tab w:val="left" w:pos="1620"/>
        </w:tabs>
        <w:spacing w:line="500" w:lineRule="exact"/>
        <w:ind w:firstLine="2240" w:firstLineChars="800"/>
        <w:rPr>
          <w:sz w:val="28"/>
          <w:szCs w:val="28"/>
        </w:rPr>
      </w:pPr>
      <w:r>
        <w:rPr>
          <w:sz w:val="28"/>
          <w:szCs w:val="28"/>
        </w:rPr>
        <w:t>九、估价机构营业执照</w:t>
      </w:r>
      <w:r>
        <w:rPr>
          <w:rFonts w:hint="eastAsia"/>
          <w:sz w:val="28"/>
          <w:szCs w:val="28"/>
        </w:rPr>
        <w:t>（复印件）</w:t>
      </w:r>
    </w:p>
    <w:p>
      <w:pPr>
        <w:tabs>
          <w:tab w:val="left" w:pos="1260"/>
          <w:tab w:val="left" w:pos="1440"/>
          <w:tab w:val="left" w:pos="1620"/>
        </w:tabs>
        <w:spacing w:line="500" w:lineRule="exact"/>
        <w:ind w:firstLine="2240" w:firstLineChars="800"/>
        <w:rPr>
          <w:sz w:val="28"/>
          <w:szCs w:val="28"/>
        </w:rPr>
      </w:pPr>
      <w:r>
        <w:rPr>
          <w:sz w:val="28"/>
          <w:szCs w:val="28"/>
        </w:rPr>
        <w:t>十、估价机构资质证书</w:t>
      </w:r>
      <w:r>
        <w:rPr>
          <w:rFonts w:hint="eastAsia"/>
          <w:sz w:val="28"/>
          <w:szCs w:val="28"/>
        </w:rPr>
        <w:t>（复印件）</w:t>
      </w:r>
    </w:p>
    <w:p>
      <w:pPr>
        <w:widowControl/>
        <w:spacing w:line="500" w:lineRule="exact"/>
        <w:ind w:firstLine="2240" w:firstLineChars="800"/>
        <w:rPr>
          <w:sz w:val="28"/>
          <w:szCs w:val="28"/>
        </w:rPr>
      </w:pPr>
      <w:r>
        <w:rPr>
          <w:sz w:val="28"/>
          <w:szCs w:val="28"/>
        </w:rPr>
        <w:t>十一、房地产估价师注册证</w:t>
      </w:r>
      <w:r>
        <w:rPr>
          <w:rFonts w:hint="eastAsia"/>
          <w:sz w:val="28"/>
          <w:szCs w:val="28"/>
        </w:rPr>
        <w:t>（复印件）</w:t>
      </w:r>
    </w:p>
    <w:p>
      <w:pPr>
        <w:widowControl/>
        <w:jc w:val="left"/>
        <w:rPr>
          <w:sz w:val="28"/>
          <w:szCs w:val="28"/>
        </w:rPr>
      </w:pPr>
      <w:r>
        <w:rPr>
          <w:sz w:val="28"/>
          <w:szCs w:val="28"/>
        </w:rPr>
        <w:br w:type="page"/>
      </w:r>
    </w:p>
    <w:p>
      <w:pPr>
        <w:tabs>
          <w:tab w:val="left" w:pos="1260"/>
          <w:tab w:val="left" w:pos="1440"/>
          <w:tab w:val="left" w:pos="1620"/>
        </w:tabs>
        <w:jc w:val="center"/>
        <w:rPr>
          <w:sz w:val="28"/>
          <w:szCs w:val="28"/>
        </w:rPr>
      </w:pPr>
      <w:r>
        <w:rPr>
          <w:rFonts w:hint="eastAsia"/>
          <w:sz w:val="28"/>
          <w:szCs w:val="28"/>
        </w:rPr>
        <w:t>一、估价对象区位示意图</w:t>
      </w:r>
    </w:p>
    <w:p>
      <w:pPr>
        <w:tabs>
          <w:tab w:val="left" w:pos="1260"/>
          <w:tab w:val="left" w:pos="1440"/>
          <w:tab w:val="left" w:pos="1620"/>
        </w:tabs>
        <w:jc w:val="center"/>
        <w:rPr>
          <w:sz w:val="28"/>
          <w:szCs w:val="28"/>
        </w:rPr>
      </w:pPr>
      <w:r>
        <w:rPr>
          <w:rFonts w:hint="eastAsia"/>
          <w:sz w:val="28"/>
          <w:szCs w:val="28"/>
        </w:rPr>
        <w:drawing>
          <wp:inline distT="0" distB="0" distL="0" distR="0">
            <wp:extent cx="5838190" cy="8524875"/>
            <wp:effectExtent l="19050" t="1905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8190" cy="8524875"/>
                    </a:xfrm>
                    <a:prstGeom prst="rect">
                      <a:avLst/>
                    </a:prstGeom>
                    <a:ln>
                      <a:solidFill>
                        <a:schemeClr val="tx1"/>
                      </a:solidFill>
                    </a:ln>
                  </pic:spPr>
                </pic:pic>
              </a:graphicData>
            </a:graphic>
          </wp:inline>
        </w:drawing>
      </w:r>
    </w:p>
    <w:p>
      <w:pPr>
        <w:widowControl/>
        <w:jc w:val="left"/>
        <w:rPr>
          <w:b/>
          <w:sz w:val="28"/>
          <w:szCs w:val="28"/>
        </w:rPr>
      </w:pPr>
      <w:bookmarkStart w:id="32" w:name="_GoBack"/>
      <w:bookmarkEnd w:id="32"/>
    </w:p>
    <w:sectPr>
      <w:headerReference r:id="rId6" w:type="first"/>
      <w:headerReference r:id="rId4" w:type="default"/>
      <w:footerReference r:id="rId7" w:type="default"/>
      <w:headerReference r:id="rId5" w:type="even"/>
      <w:pgSz w:w="11906" w:h="16838"/>
      <w:pgMar w:top="1134" w:right="1247" w:bottom="993" w:left="1247" w:header="1021" w:footer="102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thickThinSmallGap" w:color="auto" w:sz="12" w:space="1"/>
      </w:pBdr>
      <w:ind w:right="70"/>
    </w:pPr>
    <w:r>
      <w:rPr>
        <w:rFonts w:hint="eastAsia"/>
        <w:b/>
        <w:kern w:val="0"/>
        <w:szCs w:val="21"/>
      </w:rPr>
      <w:t>黄冈市海正房地产评估有限公司</w:t>
    </w:r>
    <w:r>
      <w:rPr>
        <w:rFonts w:hint="eastAsia"/>
        <w:kern w:val="0"/>
        <w:szCs w:val="21"/>
      </w:rPr>
      <w:t xml:space="preserve">         </w:t>
    </w:r>
    <w:r>
      <w:rPr>
        <w:rFonts w:hint="eastAsia"/>
        <w:b/>
        <w:kern w:val="0"/>
        <w:szCs w:val="21"/>
      </w:rPr>
      <w:t>电话：0713－8693126</w:t>
    </w:r>
    <w:r>
      <w:rPr>
        <w:rFonts w:hint="eastAsia"/>
        <w:kern w:val="0"/>
        <w:szCs w:val="21"/>
      </w:rPr>
      <w:t xml:space="preserve">                                   </w:t>
    </w:r>
    <w:r>
      <w:rPr>
        <w:rFonts w:hint="eastAsia"/>
        <w:kern w:val="0"/>
        <w:sz w:val="24"/>
        <w:szCs w:val="24"/>
      </w:rPr>
      <w:t xml:space="preserve">   </w:t>
    </w:r>
    <w:r>
      <w:rPr>
        <w:b/>
        <w:kern w:val="0"/>
        <w:sz w:val="24"/>
        <w:szCs w:val="24"/>
      </w:rPr>
      <w:t xml:space="preserve">- </w:t>
    </w:r>
    <w:r>
      <w:rPr>
        <w:b/>
        <w:kern w:val="0"/>
        <w:sz w:val="24"/>
        <w:szCs w:val="24"/>
      </w:rPr>
      <w:fldChar w:fldCharType="begin"/>
    </w:r>
    <w:r>
      <w:rPr>
        <w:b/>
        <w:kern w:val="0"/>
        <w:sz w:val="24"/>
        <w:szCs w:val="24"/>
      </w:rPr>
      <w:instrText xml:space="preserve"> PAGE </w:instrText>
    </w:r>
    <w:r>
      <w:rPr>
        <w:b/>
        <w:kern w:val="0"/>
        <w:sz w:val="24"/>
        <w:szCs w:val="24"/>
      </w:rPr>
      <w:fldChar w:fldCharType="separate"/>
    </w:r>
    <w:r>
      <w:rPr>
        <w:b/>
        <w:kern w:val="0"/>
        <w:sz w:val="24"/>
        <w:szCs w:val="24"/>
      </w:rPr>
      <w:t>20</w:t>
    </w:r>
    <w:r>
      <w:rPr>
        <w:b/>
        <w:kern w:val="0"/>
        <w:sz w:val="24"/>
        <w:szCs w:val="24"/>
      </w:rPr>
      <w:fldChar w:fldCharType="end"/>
    </w:r>
    <w:r>
      <w:rPr>
        <w:b/>
        <w:kern w:val="0"/>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double" w:color="auto" w:sz="4" w:space="1"/>
      </w:pBdr>
      <w:jc w:val="center"/>
    </w:pPr>
    <w:r>
      <w:rPr>
        <w:rFonts w:hint="eastAsia"/>
      </w:rPr>
      <w:t>位于</w:t>
    </w:r>
    <w:r>
      <w:rPr>
        <w:rFonts w:hint="eastAsia"/>
        <w:color w:val="000000" w:themeColor="text1"/>
        <w:szCs w:val="21"/>
      </w:rPr>
      <w:t>武穴市世纪江城A栋1702室</w:t>
    </w:r>
    <w:r>
      <w:rPr>
        <w:rFonts w:hint="eastAsia"/>
      </w:rPr>
      <w:t>，何丽军、宋焕玲所有的一套住宅房地产价值评估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WordPictureWatermark5" o:spid="_x0000_s2068" o:spt="75" type="#_x0000_t75" style="position:absolute;left:0pt;height:111.4pt;width:82.5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图形3"/>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WordPictureWatermark4" o:spid="_x0000_s2067" o:spt="75" type="#_x0000_t75" style="position:absolute;left:0pt;height:111.4pt;width:82.55pt;mso-position-horizontal:center;mso-position-horizontal-relative:margin;mso-position-vertical:center;mso-position-vertical-relative:margin;z-index:-251659264;mso-width-relative:page;mso-height-relative:page;" filled="f" o:preferrelative="t" stroked="f" coordsize="21600,21600" o:allowincell="f">
          <v:path/>
          <v:fill on="f" focussize="0,0"/>
          <v:stroke on="f" joinstyle="miter"/>
          <v:imagedata r:id="rId1" gain="19661f" blacklevel="22938f" o:title="图形3"/>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23DB"/>
    <w:multiLevelType w:val="multilevel"/>
    <w:tmpl w:val="15D823DB"/>
    <w:lvl w:ilvl="0" w:tentative="0">
      <w:start w:val="1"/>
      <w:numFmt w:val="japaneseCounting"/>
      <w:lvlText w:val="%1、"/>
      <w:lvlJc w:val="left"/>
      <w:pPr>
        <w:tabs>
          <w:tab w:val="left" w:pos="720"/>
        </w:tabs>
        <w:ind w:left="720" w:hanging="720"/>
      </w:pPr>
      <w:rPr>
        <w:rFonts w:hint="default"/>
      </w:rPr>
    </w:lvl>
    <w:lvl w:ilvl="1" w:tentative="0">
      <w:start w:val="1"/>
      <w:numFmt w:val="decimal"/>
      <w:lvlText w:val="%2."/>
      <w:lvlJc w:val="left"/>
      <w:pPr>
        <w:tabs>
          <w:tab w:val="left" w:pos="567"/>
        </w:tabs>
        <w:ind w:left="57" w:firstLine="510"/>
      </w:pPr>
      <w:rPr>
        <w:rFonts w:hint="eastAsia"/>
        <w:b/>
      </w:rPr>
    </w:lvl>
    <w:lvl w:ilvl="2" w:tentative="0">
      <w:start w:val="1"/>
      <w:numFmt w:val="decimal"/>
      <w:lvlText w:val="%3、"/>
      <w:lvlJc w:val="left"/>
      <w:pPr>
        <w:tabs>
          <w:tab w:val="left" w:pos="1500"/>
        </w:tabs>
        <w:ind w:left="1500" w:hanging="960"/>
      </w:pPr>
      <w:rPr>
        <w:rFonts w:hint="default"/>
        <w:color w:val="auto"/>
      </w:rPr>
    </w:lvl>
    <w:lvl w:ilvl="3" w:tentative="0">
      <w:start w:val="1"/>
      <w:numFmt w:val="decimal"/>
      <w:lvlText w:val="（%4）"/>
      <w:lvlJc w:val="left"/>
      <w:pPr>
        <w:tabs>
          <w:tab w:val="left" w:pos="2340"/>
        </w:tabs>
        <w:ind w:left="2340" w:hanging="108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5136777"/>
    <w:multiLevelType w:val="multilevel"/>
    <w:tmpl w:val="35136777"/>
    <w:lvl w:ilvl="0" w:tentative="0">
      <w:start w:val="1"/>
      <w:numFmt w:val="chineseCountingThousand"/>
      <w:lvlText w:val="(%1)"/>
      <w:lvlJc w:val="left"/>
      <w:pPr>
        <w:tabs>
          <w:tab w:val="left" w:pos="1137"/>
        </w:tabs>
        <w:ind w:left="1137" w:hanging="57"/>
      </w:pPr>
      <w:rPr>
        <w:rFonts w:hint="eastAsia" w:ascii="宋体" w:hAnsi="宋体" w:eastAsia="宋体"/>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CC16A4F"/>
    <w:multiLevelType w:val="multilevel"/>
    <w:tmpl w:val="3CC16A4F"/>
    <w:lvl w:ilvl="0" w:tentative="0">
      <w:start w:val="1"/>
      <w:numFmt w:val="chineseCountingThousand"/>
      <w:lvlText w:val="(%1)"/>
      <w:lvlJc w:val="left"/>
      <w:pPr>
        <w:tabs>
          <w:tab w:val="left" w:pos="1137"/>
        </w:tabs>
        <w:ind w:left="1137" w:hanging="57"/>
      </w:pPr>
      <w:rPr>
        <w:rFonts w:hint="eastAsia" w:ascii="宋体" w:hAnsi="宋体" w:eastAsia="宋体"/>
        <w:b w:val="0"/>
      </w:rPr>
    </w:lvl>
    <w:lvl w:ilvl="1" w:tentative="0">
      <w:start w:val="2"/>
      <w:numFmt w:val="decimal"/>
      <w:lvlText w:val="%2、"/>
      <w:lvlJc w:val="left"/>
      <w:pPr>
        <w:tabs>
          <w:tab w:val="left" w:pos="1140"/>
        </w:tabs>
        <w:ind w:left="1140" w:hanging="720"/>
      </w:pPr>
      <w:rPr>
        <w:rFonts w:hint="default" w:ascii="ˎ̥" w:hAnsi="ˎ̥"/>
        <w:b w:val="0"/>
        <w:color w:val="333333"/>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E5A490E"/>
    <w:multiLevelType w:val="multilevel"/>
    <w:tmpl w:val="3E5A490E"/>
    <w:lvl w:ilvl="0" w:tentative="0">
      <w:start w:val="1"/>
      <w:numFmt w:val="decimal"/>
      <w:suff w:val="space"/>
      <w:lvlText w:val="%1、"/>
      <w:lvlJc w:val="right"/>
      <w:pPr>
        <w:ind w:left="-8450" w:firstLine="9584"/>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53971CC5"/>
    <w:multiLevelType w:val="multilevel"/>
    <w:tmpl w:val="53971CC5"/>
    <w:lvl w:ilvl="0" w:tentative="0">
      <w:start w:val="1"/>
      <w:numFmt w:val="decimal"/>
      <w:suff w:val="space"/>
      <w:lvlText w:val="%1、"/>
      <w:lvlJc w:val="right"/>
      <w:pPr>
        <w:ind w:left="227" w:firstLine="113"/>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6A0E6574"/>
    <w:multiLevelType w:val="multilevel"/>
    <w:tmpl w:val="6A0E6574"/>
    <w:lvl w:ilvl="0" w:tentative="0">
      <w:start w:val="1"/>
      <w:numFmt w:val="japaneseCounting"/>
      <w:lvlText w:val="%1、"/>
      <w:lvlJc w:val="left"/>
      <w:pPr>
        <w:tabs>
          <w:tab w:val="left" w:pos="720"/>
        </w:tabs>
        <w:ind w:left="720" w:hanging="720"/>
      </w:pPr>
      <w:rPr>
        <w:rFonts w:hint="default"/>
      </w:rPr>
    </w:lvl>
    <w:lvl w:ilvl="1" w:tentative="0">
      <w:start w:val="1"/>
      <w:numFmt w:val="japaneseCounting"/>
      <w:lvlText w:val="（%2）"/>
      <w:lvlJc w:val="left"/>
      <w:pPr>
        <w:tabs>
          <w:tab w:val="left" w:pos="1506"/>
        </w:tabs>
        <w:ind w:left="1506" w:hanging="1080"/>
      </w:pPr>
      <w:rPr>
        <w:rFonts w:hint="default"/>
        <w:b w:val="0"/>
      </w:rPr>
    </w:lvl>
    <w:lvl w:ilvl="2" w:tentative="0">
      <w:start w:val="1"/>
      <w:numFmt w:val="decimal"/>
      <w:lvlText w:val="%3、"/>
      <w:lvlJc w:val="left"/>
      <w:pPr>
        <w:tabs>
          <w:tab w:val="left" w:pos="1560"/>
        </w:tabs>
        <w:ind w:left="1560" w:hanging="720"/>
      </w:pPr>
      <w:rPr>
        <w:rFonts w:hint="default" w:ascii="Times New Roman" w:hAnsi="Times New Roman"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85059AE"/>
    <w:multiLevelType w:val="multilevel"/>
    <w:tmpl w:val="785059AE"/>
    <w:lvl w:ilvl="0" w:tentative="0">
      <w:start w:val="1"/>
      <w:numFmt w:val="chineseCountingThousand"/>
      <w:lvlText w:val="%1"/>
      <w:lvlJc w:val="left"/>
      <w:pPr>
        <w:tabs>
          <w:tab w:val="left" w:pos="1021"/>
        </w:tabs>
        <w:ind w:left="1021" w:hanging="681"/>
      </w:pPr>
      <w:rPr>
        <w:rFonts w:hint="default"/>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34D48"/>
    <w:rsid w:val="00001D75"/>
    <w:rsid w:val="00002178"/>
    <w:rsid w:val="000021CB"/>
    <w:rsid w:val="00002C54"/>
    <w:rsid w:val="00002C9A"/>
    <w:rsid w:val="00003FBC"/>
    <w:rsid w:val="00005DB6"/>
    <w:rsid w:val="000061D5"/>
    <w:rsid w:val="00006315"/>
    <w:rsid w:val="00011DB9"/>
    <w:rsid w:val="000123B3"/>
    <w:rsid w:val="000137F2"/>
    <w:rsid w:val="00013955"/>
    <w:rsid w:val="00013E47"/>
    <w:rsid w:val="0001417A"/>
    <w:rsid w:val="0001497A"/>
    <w:rsid w:val="00016C9C"/>
    <w:rsid w:val="00022AD3"/>
    <w:rsid w:val="00022FEC"/>
    <w:rsid w:val="00025139"/>
    <w:rsid w:val="000258C0"/>
    <w:rsid w:val="00025F38"/>
    <w:rsid w:val="0002777D"/>
    <w:rsid w:val="00027AD8"/>
    <w:rsid w:val="00031941"/>
    <w:rsid w:val="000329D5"/>
    <w:rsid w:val="000354DB"/>
    <w:rsid w:val="00035933"/>
    <w:rsid w:val="00036003"/>
    <w:rsid w:val="00037E79"/>
    <w:rsid w:val="00041997"/>
    <w:rsid w:val="00045632"/>
    <w:rsid w:val="000500EE"/>
    <w:rsid w:val="00051369"/>
    <w:rsid w:val="00051555"/>
    <w:rsid w:val="00052396"/>
    <w:rsid w:val="00053DEB"/>
    <w:rsid w:val="000541B6"/>
    <w:rsid w:val="000601C4"/>
    <w:rsid w:val="00061DD2"/>
    <w:rsid w:val="000624B6"/>
    <w:rsid w:val="00063860"/>
    <w:rsid w:val="00065D0E"/>
    <w:rsid w:val="000710F6"/>
    <w:rsid w:val="0007393D"/>
    <w:rsid w:val="00074FF9"/>
    <w:rsid w:val="0007603B"/>
    <w:rsid w:val="000761E2"/>
    <w:rsid w:val="000765E0"/>
    <w:rsid w:val="000768A1"/>
    <w:rsid w:val="00083292"/>
    <w:rsid w:val="000859AF"/>
    <w:rsid w:val="000870A3"/>
    <w:rsid w:val="00087DF1"/>
    <w:rsid w:val="00091B3B"/>
    <w:rsid w:val="0009471D"/>
    <w:rsid w:val="00095647"/>
    <w:rsid w:val="000A0845"/>
    <w:rsid w:val="000A4809"/>
    <w:rsid w:val="000A4DD6"/>
    <w:rsid w:val="000A6DDB"/>
    <w:rsid w:val="000A7175"/>
    <w:rsid w:val="000B0B52"/>
    <w:rsid w:val="000B17E4"/>
    <w:rsid w:val="000B24EC"/>
    <w:rsid w:val="000B27FB"/>
    <w:rsid w:val="000B29FE"/>
    <w:rsid w:val="000B5ABC"/>
    <w:rsid w:val="000C3D3D"/>
    <w:rsid w:val="000C484A"/>
    <w:rsid w:val="000C4B56"/>
    <w:rsid w:val="000C4F9D"/>
    <w:rsid w:val="000C7AC1"/>
    <w:rsid w:val="000C7CA0"/>
    <w:rsid w:val="000D0DFE"/>
    <w:rsid w:val="000D2571"/>
    <w:rsid w:val="000D42C5"/>
    <w:rsid w:val="000D5D66"/>
    <w:rsid w:val="000D6198"/>
    <w:rsid w:val="000D7E5A"/>
    <w:rsid w:val="000E2A35"/>
    <w:rsid w:val="000E2F21"/>
    <w:rsid w:val="000E5D32"/>
    <w:rsid w:val="000F2FFF"/>
    <w:rsid w:val="000F5566"/>
    <w:rsid w:val="000F7636"/>
    <w:rsid w:val="001028E5"/>
    <w:rsid w:val="001055D2"/>
    <w:rsid w:val="001058D5"/>
    <w:rsid w:val="00105A23"/>
    <w:rsid w:val="0010606C"/>
    <w:rsid w:val="00107B05"/>
    <w:rsid w:val="00111B0F"/>
    <w:rsid w:val="00112AA1"/>
    <w:rsid w:val="00114D99"/>
    <w:rsid w:val="00122182"/>
    <w:rsid w:val="00122469"/>
    <w:rsid w:val="001239A7"/>
    <w:rsid w:val="00127098"/>
    <w:rsid w:val="0013069F"/>
    <w:rsid w:val="0013090C"/>
    <w:rsid w:val="00131292"/>
    <w:rsid w:val="001343C7"/>
    <w:rsid w:val="00135591"/>
    <w:rsid w:val="00136092"/>
    <w:rsid w:val="00140894"/>
    <w:rsid w:val="00143F1E"/>
    <w:rsid w:val="00146C78"/>
    <w:rsid w:val="00147DB7"/>
    <w:rsid w:val="001510D3"/>
    <w:rsid w:val="00152DAF"/>
    <w:rsid w:val="00154563"/>
    <w:rsid w:val="00170DD5"/>
    <w:rsid w:val="00172AD6"/>
    <w:rsid w:val="00175461"/>
    <w:rsid w:val="00175CAB"/>
    <w:rsid w:val="0017602C"/>
    <w:rsid w:val="001809D0"/>
    <w:rsid w:val="00180CB8"/>
    <w:rsid w:val="00182422"/>
    <w:rsid w:val="00184E79"/>
    <w:rsid w:val="00187180"/>
    <w:rsid w:val="0019442A"/>
    <w:rsid w:val="001950B5"/>
    <w:rsid w:val="00196741"/>
    <w:rsid w:val="001A1008"/>
    <w:rsid w:val="001A377C"/>
    <w:rsid w:val="001A69EE"/>
    <w:rsid w:val="001A6BA0"/>
    <w:rsid w:val="001A75BA"/>
    <w:rsid w:val="001B27E2"/>
    <w:rsid w:val="001B6B74"/>
    <w:rsid w:val="001C1B26"/>
    <w:rsid w:val="001C395D"/>
    <w:rsid w:val="001C51A1"/>
    <w:rsid w:val="001C57AC"/>
    <w:rsid w:val="001C5812"/>
    <w:rsid w:val="001D08D5"/>
    <w:rsid w:val="001D2337"/>
    <w:rsid w:val="001D69E2"/>
    <w:rsid w:val="001E0372"/>
    <w:rsid w:val="001E05BA"/>
    <w:rsid w:val="001E38A9"/>
    <w:rsid w:val="001E4381"/>
    <w:rsid w:val="001E5F17"/>
    <w:rsid w:val="001E703A"/>
    <w:rsid w:val="001F00FA"/>
    <w:rsid w:val="001F4ED6"/>
    <w:rsid w:val="001F563A"/>
    <w:rsid w:val="001F56C1"/>
    <w:rsid w:val="001F57F8"/>
    <w:rsid w:val="002019A5"/>
    <w:rsid w:val="00202D2E"/>
    <w:rsid w:val="0020558C"/>
    <w:rsid w:val="002068FD"/>
    <w:rsid w:val="0020769B"/>
    <w:rsid w:val="0021046C"/>
    <w:rsid w:val="00211900"/>
    <w:rsid w:val="0021193F"/>
    <w:rsid w:val="00211961"/>
    <w:rsid w:val="00213958"/>
    <w:rsid w:val="0021475D"/>
    <w:rsid w:val="00214D08"/>
    <w:rsid w:val="00214E09"/>
    <w:rsid w:val="00215B7E"/>
    <w:rsid w:val="0021685E"/>
    <w:rsid w:val="00217430"/>
    <w:rsid w:val="00217473"/>
    <w:rsid w:val="0022161B"/>
    <w:rsid w:val="00222AFD"/>
    <w:rsid w:val="00223DB4"/>
    <w:rsid w:val="00225E99"/>
    <w:rsid w:val="00226005"/>
    <w:rsid w:val="0023171F"/>
    <w:rsid w:val="00233A92"/>
    <w:rsid w:val="002350CB"/>
    <w:rsid w:val="0023785E"/>
    <w:rsid w:val="00240E63"/>
    <w:rsid w:val="00242ED8"/>
    <w:rsid w:val="00243585"/>
    <w:rsid w:val="00245002"/>
    <w:rsid w:val="00245284"/>
    <w:rsid w:val="002468A6"/>
    <w:rsid w:val="00247416"/>
    <w:rsid w:val="00250C62"/>
    <w:rsid w:val="002514CC"/>
    <w:rsid w:val="002559C3"/>
    <w:rsid w:val="0025669D"/>
    <w:rsid w:val="00256780"/>
    <w:rsid w:val="00262553"/>
    <w:rsid w:val="00265401"/>
    <w:rsid w:val="002657B6"/>
    <w:rsid w:val="00266362"/>
    <w:rsid w:val="00266E84"/>
    <w:rsid w:val="00267166"/>
    <w:rsid w:val="00267B3F"/>
    <w:rsid w:val="00271921"/>
    <w:rsid w:val="00271D45"/>
    <w:rsid w:val="00274BCE"/>
    <w:rsid w:val="00276930"/>
    <w:rsid w:val="00283AD3"/>
    <w:rsid w:val="00283DD7"/>
    <w:rsid w:val="00283FBC"/>
    <w:rsid w:val="002841DB"/>
    <w:rsid w:val="0028484A"/>
    <w:rsid w:val="0028501F"/>
    <w:rsid w:val="00285ACF"/>
    <w:rsid w:val="00290688"/>
    <w:rsid w:val="002944F7"/>
    <w:rsid w:val="0029556C"/>
    <w:rsid w:val="00296272"/>
    <w:rsid w:val="00297636"/>
    <w:rsid w:val="002A243B"/>
    <w:rsid w:val="002A2924"/>
    <w:rsid w:val="002A2E99"/>
    <w:rsid w:val="002A4858"/>
    <w:rsid w:val="002A4DA8"/>
    <w:rsid w:val="002A5383"/>
    <w:rsid w:val="002A53E8"/>
    <w:rsid w:val="002A7A86"/>
    <w:rsid w:val="002B215D"/>
    <w:rsid w:val="002B3CAF"/>
    <w:rsid w:val="002B4A10"/>
    <w:rsid w:val="002B4CEE"/>
    <w:rsid w:val="002B7349"/>
    <w:rsid w:val="002B7CB8"/>
    <w:rsid w:val="002C1F5E"/>
    <w:rsid w:val="002C2375"/>
    <w:rsid w:val="002C2393"/>
    <w:rsid w:val="002C343F"/>
    <w:rsid w:val="002C37C2"/>
    <w:rsid w:val="002C5B5F"/>
    <w:rsid w:val="002C6A2C"/>
    <w:rsid w:val="002D11AD"/>
    <w:rsid w:val="002D4E71"/>
    <w:rsid w:val="002D5FA1"/>
    <w:rsid w:val="002E30DF"/>
    <w:rsid w:val="002E316F"/>
    <w:rsid w:val="002E571E"/>
    <w:rsid w:val="002E5D50"/>
    <w:rsid w:val="002E5F66"/>
    <w:rsid w:val="002E62CE"/>
    <w:rsid w:val="002E6E28"/>
    <w:rsid w:val="002F0C3F"/>
    <w:rsid w:val="002F3B0B"/>
    <w:rsid w:val="002F3D67"/>
    <w:rsid w:val="002F40FD"/>
    <w:rsid w:val="002F439A"/>
    <w:rsid w:val="002F61E1"/>
    <w:rsid w:val="002F7FF5"/>
    <w:rsid w:val="00301BED"/>
    <w:rsid w:val="003025C7"/>
    <w:rsid w:val="003050DE"/>
    <w:rsid w:val="00305E6C"/>
    <w:rsid w:val="00307DBF"/>
    <w:rsid w:val="00311249"/>
    <w:rsid w:val="003117F2"/>
    <w:rsid w:val="003123FC"/>
    <w:rsid w:val="0031365E"/>
    <w:rsid w:val="00314A21"/>
    <w:rsid w:val="00317B10"/>
    <w:rsid w:val="00320423"/>
    <w:rsid w:val="00324377"/>
    <w:rsid w:val="00324C2C"/>
    <w:rsid w:val="003258B0"/>
    <w:rsid w:val="00330711"/>
    <w:rsid w:val="00330C24"/>
    <w:rsid w:val="00331DD1"/>
    <w:rsid w:val="00331ED2"/>
    <w:rsid w:val="00332BB1"/>
    <w:rsid w:val="00332DAB"/>
    <w:rsid w:val="00333739"/>
    <w:rsid w:val="00333A9A"/>
    <w:rsid w:val="00334568"/>
    <w:rsid w:val="003352E2"/>
    <w:rsid w:val="003356D4"/>
    <w:rsid w:val="00337167"/>
    <w:rsid w:val="00341B8A"/>
    <w:rsid w:val="00341FCD"/>
    <w:rsid w:val="00342F02"/>
    <w:rsid w:val="003442F1"/>
    <w:rsid w:val="00344783"/>
    <w:rsid w:val="00344CE8"/>
    <w:rsid w:val="00350C0A"/>
    <w:rsid w:val="00353605"/>
    <w:rsid w:val="00353CC4"/>
    <w:rsid w:val="003559E6"/>
    <w:rsid w:val="00356E20"/>
    <w:rsid w:val="0035716B"/>
    <w:rsid w:val="00361567"/>
    <w:rsid w:val="003629DA"/>
    <w:rsid w:val="00363911"/>
    <w:rsid w:val="00367859"/>
    <w:rsid w:val="00371E33"/>
    <w:rsid w:val="0037412C"/>
    <w:rsid w:val="00374A3B"/>
    <w:rsid w:val="0037554F"/>
    <w:rsid w:val="003764C8"/>
    <w:rsid w:val="00376714"/>
    <w:rsid w:val="003768FA"/>
    <w:rsid w:val="00380535"/>
    <w:rsid w:val="00384E74"/>
    <w:rsid w:val="0038533E"/>
    <w:rsid w:val="00385E56"/>
    <w:rsid w:val="003861DF"/>
    <w:rsid w:val="00386BD4"/>
    <w:rsid w:val="0038752D"/>
    <w:rsid w:val="003913E7"/>
    <w:rsid w:val="00391490"/>
    <w:rsid w:val="00391D16"/>
    <w:rsid w:val="00393562"/>
    <w:rsid w:val="003935B4"/>
    <w:rsid w:val="00396AD8"/>
    <w:rsid w:val="003975F7"/>
    <w:rsid w:val="00397F77"/>
    <w:rsid w:val="003A007B"/>
    <w:rsid w:val="003A11C8"/>
    <w:rsid w:val="003A1DCE"/>
    <w:rsid w:val="003A27D1"/>
    <w:rsid w:val="003A2F1C"/>
    <w:rsid w:val="003A357A"/>
    <w:rsid w:val="003A3650"/>
    <w:rsid w:val="003A36FB"/>
    <w:rsid w:val="003A49BC"/>
    <w:rsid w:val="003A4A34"/>
    <w:rsid w:val="003B1654"/>
    <w:rsid w:val="003B1B52"/>
    <w:rsid w:val="003B67B4"/>
    <w:rsid w:val="003B7C5B"/>
    <w:rsid w:val="003C1BA6"/>
    <w:rsid w:val="003C244A"/>
    <w:rsid w:val="003C332E"/>
    <w:rsid w:val="003C39D5"/>
    <w:rsid w:val="003C4F4C"/>
    <w:rsid w:val="003C61DF"/>
    <w:rsid w:val="003C6A27"/>
    <w:rsid w:val="003D002A"/>
    <w:rsid w:val="003D042B"/>
    <w:rsid w:val="003D1C71"/>
    <w:rsid w:val="003D3853"/>
    <w:rsid w:val="003D4070"/>
    <w:rsid w:val="003D4C99"/>
    <w:rsid w:val="003D56EC"/>
    <w:rsid w:val="003D57F9"/>
    <w:rsid w:val="003E343A"/>
    <w:rsid w:val="003E585A"/>
    <w:rsid w:val="003E714E"/>
    <w:rsid w:val="003E7B52"/>
    <w:rsid w:val="003F070A"/>
    <w:rsid w:val="003F0D91"/>
    <w:rsid w:val="003F17B2"/>
    <w:rsid w:val="003F1934"/>
    <w:rsid w:val="003F533C"/>
    <w:rsid w:val="003F53BE"/>
    <w:rsid w:val="003F5C40"/>
    <w:rsid w:val="003F5FF7"/>
    <w:rsid w:val="003F6146"/>
    <w:rsid w:val="00400D24"/>
    <w:rsid w:val="00400E33"/>
    <w:rsid w:val="004050D4"/>
    <w:rsid w:val="00406C5E"/>
    <w:rsid w:val="00407AB7"/>
    <w:rsid w:val="004125E1"/>
    <w:rsid w:val="00412FA7"/>
    <w:rsid w:val="00414505"/>
    <w:rsid w:val="00414FAD"/>
    <w:rsid w:val="00415B5A"/>
    <w:rsid w:val="00417986"/>
    <w:rsid w:val="00420670"/>
    <w:rsid w:val="00420E96"/>
    <w:rsid w:val="00421E3D"/>
    <w:rsid w:val="004229D1"/>
    <w:rsid w:val="004236AE"/>
    <w:rsid w:val="00423ADB"/>
    <w:rsid w:val="00425551"/>
    <w:rsid w:val="00430301"/>
    <w:rsid w:val="004312BF"/>
    <w:rsid w:val="0043183C"/>
    <w:rsid w:val="00434A23"/>
    <w:rsid w:val="0043738C"/>
    <w:rsid w:val="00440355"/>
    <w:rsid w:val="00440701"/>
    <w:rsid w:val="00441495"/>
    <w:rsid w:val="0044174A"/>
    <w:rsid w:val="004451E8"/>
    <w:rsid w:val="00445BE1"/>
    <w:rsid w:val="00447E60"/>
    <w:rsid w:val="004513A1"/>
    <w:rsid w:val="004513E2"/>
    <w:rsid w:val="004536FC"/>
    <w:rsid w:val="004539D4"/>
    <w:rsid w:val="00453D6B"/>
    <w:rsid w:val="00454CC2"/>
    <w:rsid w:val="0045512B"/>
    <w:rsid w:val="00455FC0"/>
    <w:rsid w:val="004576AE"/>
    <w:rsid w:val="00457839"/>
    <w:rsid w:val="00460991"/>
    <w:rsid w:val="004631A0"/>
    <w:rsid w:val="00463280"/>
    <w:rsid w:val="00463CE4"/>
    <w:rsid w:val="00463F63"/>
    <w:rsid w:val="004648F9"/>
    <w:rsid w:val="004675E0"/>
    <w:rsid w:val="00471CF6"/>
    <w:rsid w:val="00474082"/>
    <w:rsid w:val="004776E4"/>
    <w:rsid w:val="00477911"/>
    <w:rsid w:val="00481755"/>
    <w:rsid w:val="0048317E"/>
    <w:rsid w:val="00485FF2"/>
    <w:rsid w:val="004902C2"/>
    <w:rsid w:val="00494F15"/>
    <w:rsid w:val="00494FC7"/>
    <w:rsid w:val="00496196"/>
    <w:rsid w:val="004A1947"/>
    <w:rsid w:val="004A1A63"/>
    <w:rsid w:val="004A7261"/>
    <w:rsid w:val="004B0FC7"/>
    <w:rsid w:val="004B19EE"/>
    <w:rsid w:val="004B1C20"/>
    <w:rsid w:val="004B20E2"/>
    <w:rsid w:val="004B37CE"/>
    <w:rsid w:val="004C08F9"/>
    <w:rsid w:val="004C3682"/>
    <w:rsid w:val="004C5F65"/>
    <w:rsid w:val="004C65FE"/>
    <w:rsid w:val="004C6931"/>
    <w:rsid w:val="004C6C60"/>
    <w:rsid w:val="004C6D3D"/>
    <w:rsid w:val="004C78E4"/>
    <w:rsid w:val="004D257D"/>
    <w:rsid w:val="004D309A"/>
    <w:rsid w:val="004D48C6"/>
    <w:rsid w:val="004D49A3"/>
    <w:rsid w:val="004E0C50"/>
    <w:rsid w:val="004E43DC"/>
    <w:rsid w:val="004E585B"/>
    <w:rsid w:val="004E6A94"/>
    <w:rsid w:val="004F0201"/>
    <w:rsid w:val="004F17D2"/>
    <w:rsid w:val="004F222F"/>
    <w:rsid w:val="004F2E1E"/>
    <w:rsid w:val="004F2E37"/>
    <w:rsid w:val="004F546A"/>
    <w:rsid w:val="004F6152"/>
    <w:rsid w:val="005013B2"/>
    <w:rsid w:val="00501FEB"/>
    <w:rsid w:val="005023B7"/>
    <w:rsid w:val="005027FF"/>
    <w:rsid w:val="0050389E"/>
    <w:rsid w:val="0051101E"/>
    <w:rsid w:val="00512EB7"/>
    <w:rsid w:val="00513A13"/>
    <w:rsid w:val="00515D38"/>
    <w:rsid w:val="0051656F"/>
    <w:rsid w:val="00516E3D"/>
    <w:rsid w:val="005170F2"/>
    <w:rsid w:val="00523689"/>
    <w:rsid w:val="005237B5"/>
    <w:rsid w:val="005250D3"/>
    <w:rsid w:val="00525328"/>
    <w:rsid w:val="0052547E"/>
    <w:rsid w:val="00527964"/>
    <w:rsid w:val="00530649"/>
    <w:rsid w:val="00530811"/>
    <w:rsid w:val="0053199F"/>
    <w:rsid w:val="00533040"/>
    <w:rsid w:val="005367F1"/>
    <w:rsid w:val="005420D5"/>
    <w:rsid w:val="005423B1"/>
    <w:rsid w:val="005438B0"/>
    <w:rsid w:val="00543F0C"/>
    <w:rsid w:val="00546363"/>
    <w:rsid w:val="005469F2"/>
    <w:rsid w:val="00547F0B"/>
    <w:rsid w:val="005513E2"/>
    <w:rsid w:val="0055328F"/>
    <w:rsid w:val="00553C10"/>
    <w:rsid w:val="00555FEA"/>
    <w:rsid w:val="00556AA5"/>
    <w:rsid w:val="0056023F"/>
    <w:rsid w:val="005608AF"/>
    <w:rsid w:val="0056159B"/>
    <w:rsid w:val="00562E12"/>
    <w:rsid w:val="00564F4A"/>
    <w:rsid w:val="00565294"/>
    <w:rsid w:val="005665FC"/>
    <w:rsid w:val="0056718E"/>
    <w:rsid w:val="0057061C"/>
    <w:rsid w:val="00571EF0"/>
    <w:rsid w:val="00581E4B"/>
    <w:rsid w:val="00583321"/>
    <w:rsid w:val="0058618E"/>
    <w:rsid w:val="00586F62"/>
    <w:rsid w:val="00587866"/>
    <w:rsid w:val="00587A4C"/>
    <w:rsid w:val="00587AC0"/>
    <w:rsid w:val="00590AAC"/>
    <w:rsid w:val="005916EF"/>
    <w:rsid w:val="005919AF"/>
    <w:rsid w:val="00592BDC"/>
    <w:rsid w:val="00594AD4"/>
    <w:rsid w:val="00596645"/>
    <w:rsid w:val="00596F57"/>
    <w:rsid w:val="005A067C"/>
    <w:rsid w:val="005A06D6"/>
    <w:rsid w:val="005A0B15"/>
    <w:rsid w:val="005A0F3F"/>
    <w:rsid w:val="005A11CF"/>
    <w:rsid w:val="005A1FCA"/>
    <w:rsid w:val="005A3180"/>
    <w:rsid w:val="005A4B55"/>
    <w:rsid w:val="005A5267"/>
    <w:rsid w:val="005A544B"/>
    <w:rsid w:val="005A72E2"/>
    <w:rsid w:val="005B089B"/>
    <w:rsid w:val="005B10F1"/>
    <w:rsid w:val="005B11E7"/>
    <w:rsid w:val="005B7D25"/>
    <w:rsid w:val="005B7D67"/>
    <w:rsid w:val="005C2077"/>
    <w:rsid w:val="005C22DA"/>
    <w:rsid w:val="005C2F5A"/>
    <w:rsid w:val="005C4F4B"/>
    <w:rsid w:val="005D0D4C"/>
    <w:rsid w:val="005D44CA"/>
    <w:rsid w:val="005E4E3B"/>
    <w:rsid w:val="005E758C"/>
    <w:rsid w:val="005E7B52"/>
    <w:rsid w:val="005F281A"/>
    <w:rsid w:val="005F450A"/>
    <w:rsid w:val="005F4626"/>
    <w:rsid w:val="005F5F38"/>
    <w:rsid w:val="005F62E7"/>
    <w:rsid w:val="005F7622"/>
    <w:rsid w:val="005F7AF6"/>
    <w:rsid w:val="0060460A"/>
    <w:rsid w:val="00605A64"/>
    <w:rsid w:val="006063A2"/>
    <w:rsid w:val="00607FE9"/>
    <w:rsid w:val="00611AF5"/>
    <w:rsid w:val="006127F8"/>
    <w:rsid w:val="00613868"/>
    <w:rsid w:val="00616396"/>
    <w:rsid w:val="00617BED"/>
    <w:rsid w:val="00620B45"/>
    <w:rsid w:val="00622D67"/>
    <w:rsid w:val="006234F0"/>
    <w:rsid w:val="0062579A"/>
    <w:rsid w:val="00626778"/>
    <w:rsid w:val="00626781"/>
    <w:rsid w:val="0062791A"/>
    <w:rsid w:val="00630C29"/>
    <w:rsid w:val="00630F2E"/>
    <w:rsid w:val="00631746"/>
    <w:rsid w:val="0063325A"/>
    <w:rsid w:val="00634C12"/>
    <w:rsid w:val="00634D48"/>
    <w:rsid w:val="00635090"/>
    <w:rsid w:val="006405E8"/>
    <w:rsid w:val="006418D1"/>
    <w:rsid w:val="006429C4"/>
    <w:rsid w:val="00646B69"/>
    <w:rsid w:val="00647D5D"/>
    <w:rsid w:val="00647F54"/>
    <w:rsid w:val="0065022A"/>
    <w:rsid w:val="00652C20"/>
    <w:rsid w:val="00653302"/>
    <w:rsid w:val="00654005"/>
    <w:rsid w:val="00656F2F"/>
    <w:rsid w:val="00663D45"/>
    <w:rsid w:val="006652A7"/>
    <w:rsid w:val="00670A64"/>
    <w:rsid w:val="00670B92"/>
    <w:rsid w:val="0067259C"/>
    <w:rsid w:val="006738DC"/>
    <w:rsid w:val="006741E6"/>
    <w:rsid w:val="00674B8E"/>
    <w:rsid w:val="006752A7"/>
    <w:rsid w:val="00675B31"/>
    <w:rsid w:val="006847E4"/>
    <w:rsid w:val="00685218"/>
    <w:rsid w:val="00685BB7"/>
    <w:rsid w:val="00687FD8"/>
    <w:rsid w:val="00690F5E"/>
    <w:rsid w:val="00691B9E"/>
    <w:rsid w:val="0069494E"/>
    <w:rsid w:val="00694BC7"/>
    <w:rsid w:val="006960BD"/>
    <w:rsid w:val="00697341"/>
    <w:rsid w:val="006A3585"/>
    <w:rsid w:val="006A4B8A"/>
    <w:rsid w:val="006A4BD2"/>
    <w:rsid w:val="006A566A"/>
    <w:rsid w:val="006A58E4"/>
    <w:rsid w:val="006A653F"/>
    <w:rsid w:val="006A6C5E"/>
    <w:rsid w:val="006B00A4"/>
    <w:rsid w:val="006B6268"/>
    <w:rsid w:val="006C1C51"/>
    <w:rsid w:val="006C4900"/>
    <w:rsid w:val="006C60D5"/>
    <w:rsid w:val="006C7433"/>
    <w:rsid w:val="006D4C02"/>
    <w:rsid w:val="006D5545"/>
    <w:rsid w:val="006D55DE"/>
    <w:rsid w:val="006D7EE5"/>
    <w:rsid w:val="006E01A7"/>
    <w:rsid w:val="006E2728"/>
    <w:rsid w:val="006E46DC"/>
    <w:rsid w:val="006E63B0"/>
    <w:rsid w:val="006F00E4"/>
    <w:rsid w:val="006F133D"/>
    <w:rsid w:val="006F4985"/>
    <w:rsid w:val="006F5B85"/>
    <w:rsid w:val="006F71CD"/>
    <w:rsid w:val="006F74FB"/>
    <w:rsid w:val="00702C9F"/>
    <w:rsid w:val="00702D17"/>
    <w:rsid w:val="007038D3"/>
    <w:rsid w:val="00703972"/>
    <w:rsid w:val="00704821"/>
    <w:rsid w:val="00706843"/>
    <w:rsid w:val="007071E3"/>
    <w:rsid w:val="00707FB3"/>
    <w:rsid w:val="007106D7"/>
    <w:rsid w:val="00711852"/>
    <w:rsid w:val="00713F70"/>
    <w:rsid w:val="0071430A"/>
    <w:rsid w:val="00716FDF"/>
    <w:rsid w:val="00720242"/>
    <w:rsid w:val="00721794"/>
    <w:rsid w:val="00724F32"/>
    <w:rsid w:val="00731E9E"/>
    <w:rsid w:val="0073207E"/>
    <w:rsid w:val="00732918"/>
    <w:rsid w:val="00734151"/>
    <w:rsid w:val="00734ECB"/>
    <w:rsid w:val="007359B4"/>
    <w:rsid w:val="00735A0D"/>
    <w:rsid w:val="00735D83"/>
    <w:rsid w:val="00743C55"/>
    <w:rsid w:val="0074519E"/>
    <w:rsid w:val="00745A31"/>
    <w:rsid w:val="00746E05"/>
    <w:rsid w:val="007509B3"/>
    <w:rsid w:val="00750AD9"/>
    <w:rsid w:val="00750D2B"/>
    <w:rsid w:val="00751C65"/>
    <w:rsid w:val="00754B4B"/>
    <w:rsid w:val="00755D1F"/>
    <w:rsid w:val="00756651"/>
    <w:rsid w:val="007574B0"/>
    <w:rsid w:val="007576F9"/>
    <w:rsid w:val="00757C28"/>
    <w:rsid w:val="00761474"/>
    <w:rsid w:val="00761BC5"/>
    <w:rsid w:val="00763289"/>
    <w:rsid w:val="007644F3"/>
    <w:rsid w:val="00764805"/>
    <w:rsid w:val="007659B3"/>
    <w:rsid w:val="00766B36"/>
    <w:rsid w:val="00772EA3"/>
    <w:rsid w:val="0077423D"/>
    <w:rsid w:val="00776993"/>
    <w:rsid w:val="00782569"/>
    <w:rsid w:val="0078369B"/>
    <w:rsid w:val="007870A6"/>
    <w:rsid w:val="007900AF"/>
    <w:rsid w:val="00790318"/>
    <w:rsid w:val="00790995"/>
    <w:rsid w:val="00792F9B"/>
    <w:rsid w:val="0079375F"/>
    <w:rsid w:val="00795002"/>
    <w:rsid w:val="007961A8"/>
    <w:rsid w:val="00796817"/>
    <w:rsid w:val="00796A95"/>
    <w:rsid w:val="00797035"/>
    <w:rsid w:val="007A10D8"/>
    <w:rsid w:val="007A177B"/>
    <w:rsid w:val="007A5511"/>
    <w:rsid w:val="007A67A1"/>
    <w:rsid w:val="007A7650"/>
    <w:rsid w:val="007B06F0"/>
    <w:rsid w:val="007B18C0"/>
    <w:rsid w:val="007B2B5E"/>
    <w:rsid w:val="007B3DFB"/>
    <w:rsid w:val="007B58E4"/>
    <w:rsid w:val="007B6DC3"/>
    <w:rsid w:val="007B7231"/>
    <w:rsid w:val="007C007A"/>
    <w:rsid w:val="007C1BFA"/>
    <w:rsid w:val="007C4030"/>
    <w:rsid w:val="007C5769"/>
    <w:rsid w:val="007C6437"/>
    <w:rsid w:val="007D1CBD"/>
    <w:rsid w:val="007D1E03"/>
    <w:rsid w:val="007E0F8D"/>
    <w:rsid w:val="007E40C4"/>
    <w:rsid w:val="007E6EFC"/>
    <w:rsid w:val="007E7FB0"/>
    <w:rsid w:val="007F05EA"/>
    <w:rsid w:val="007F0B62"/>
    <w:rsid w:val="007F3331"/>
    <w:rsid w:val="007F3375"/>
    <w:rsid w:val="007F360C"/>
    <w:rsid w:val="007F54E0"/>
    <w:rsid w:val="007F6CB6"/>
    <w:rsid w:val="00801EA2"/>
    <w:rsid w:val="008020BB"/>
    <w:rsid w:val="0080360F"/>
    <w:rsid w:val="00804262"/>
    <w:rsid w:val="00805922"/>
    <w:rsid w:val="00806EB9"/>
    <w:rsid w:val="00812F17"/>
    <w:rsid w:val="00813909"/>
    <w:rsid w:val="00820030"/>
    <w:rsid w:val="00821498"/>
    <w:rsid w:val="00823115"/>
    <w:rsid w:val="00827FAD"/>
    <w:rsid w:val="00830371"/>
    <w:rsid w:val="00831708"/>
    <w:rsid w:val="008328FA"/>
    <w:rsid w:val="00837755"/>
    <w:rsid w:val="00840D9B"/>
    <w:rsid w:val="008411C5"/>
    <w:rsid w:val="00842FB6"/>
    <w:rsid w:val="00844702"/>
    <w:rsid w:val="00844AEB"/>
    <w:rsid w:val="00844C86"/>
    <w:rsid w:val="00847129"/>
    <w:rsid w:val="00847B8A"/>
    <w:rsid w:val="00850822"/>
    <w:rsid w:val="00852164"/>
    <w:rsid w:val="00852E65"/>
    <w:rsid w:val="008533A8"/>
    <w:rsid w:val="008610E3"/>
    <w:rsid w:val="00861C61"/>
    <w:rsid w:val="0087164F"/>
    <w:rsid w:val="00872483"/>
    <w:rsid w:val="00874EC6"/>
    <w:rsid w:val="00875CA5"/>
    <w:rsid w:val="00877A33"/>
    <w:rsid w:val="00881F8E"/>
    <w:rsid w:val="00882CE2"/>
    <w:rsid w:val="00883013"/>
    <w:rsid w:val="008863EF"/>
    <w:rsid w:val="00887070"/>
    <w:rsid w:val="00890CCB"/>
    <w:rsid w:val="00891219"/>
    <w:rsid w:val="008937CA"/>
    <w:rsid w:val="00894ECB"/>
    <w:rsid w:val="0089561B"/>
    <w:rsid w:val="00895BB2"/>
    <w:rsid w:val="00895C26"/>
    <w:rsid w:val="008969ED"/>
    <w:rsid w:val="008A6102"/>
    <w:rsid w:val="008B093B"/>
    <w:rsid w:val="008B2D2B"/>
    <w:rsid w:val="008B3691"/>
    <w:rsid w:val="008B4D37"/>
    <w:rsid w:val="008C03C1"/>
    <w:rsid w:val="008C18FD"/>
    <w:rsid w:val="008C1BF0"/>
    <w:rsid w:val="008C2FEB"/>
    <w:rsid w:val="008C4508"/>
    <w:rsid w:val="008C5F72"/>
    <w:rsid w:val="008C5FCC"/>
    <w:rsid w:val="008D796C"/>
    <w:rsid w:val="008D7E6A"/>
    <w:rsid w:val="008E0040"/>
    <w:rsid w:val="008E25DB"/>
    <w:rsid w:val="008E4D0D"/>
    <w:rsid w:val="008E6684"/>
    <w:rsid w:val="008F1996"/>
    <w:rsid w:val="008F1F05"/>
    <w:rsid w:val="008F372C"/>
    <w:rsid w:val="008F76EF"/>
    <w:rsid w:val="0090269F"/>
    <w:rsid w:val="00905AF9"/>
    <w:rsid w:val="00910276"/>
    <w:rsid w:val="00910EFB"/>
    <w:rsid w:val="0091133E"/>
    <w:rsid w:val="009139A9"/>
    <w:rsid w:val="00913F15"/>
    <w:rsid w:val="00916721"/>
    <w:rsid w:val="009204DB"/>
    <w:rsid w:val="0092057A"/>
    <w:rsid w:val="00920FD9"/>
    <w:rsid w:val="009214BD"/>
    <w:rsid w:val="009228EC"/>
    <w:rsid w:val="009236C6"/>
    <w:rsid w:val="00924764"/>
    <w:rsid w:val="009247FD"/>
    <w:rsid w:val="0092688B"/>
    <w:rsid w:val="00933AD1"/>
    <w:rsid w:val="00941C45"/>
    <w:rsid w:val="009461CC"/>
    <w:rsid w:val="00951F36"/>
    <w:rsid w:val="00952212"/>
    <w:rsid w:val="00952694"/>
    <w:rsid w:val="00952F42"/>
    <w:rsid w:val="00953C26"/>
    <w:rsid w:val="00957056"/>
    <w:rsid w:val="009573FA"/>
    <w:rsid w:val="00957C51"/>
    <w:rsid w:val="009601E0"/>
    <w:rsid w:val="00962C65"/>
    <w:rsid w:val="00964BED"/>
    <w:rsid w:val="0097021D"/>
    <w:rsid w:val="0097259B"/>
    <w:rsid w:val="0097505E"/>
    <w:rsid w:val="009819C6"/>
    <w:rsid w:val="009837A3"/>
    <w:rsid w:val="00984126"/>
    <w:rsid w:val="00984803"/>
    <w:rsid w:val="0098777D"/>
    <w:rsid w:val="00990D7C"/>
    <w:rsid w:val="00994C26"/>
    <w:rsid w:val="0099714D"/>
    <w:rsid w:val="009A3A0C"/>
    <w:rsid w:val="009A42D2"/>
    <w:rsid w:val="009A4535"/>
    <w:rsid w:val="009A6024"/>
    <w:rsid w:val="009A79F5"/>
    <w:rsid w:val="009B3154"/>
    <w:rsid w:val="009B328E"/>
    <w:rsid w:val="009B4897"/>
    <w:rsid w:val="009B49E1"/>
    <w:rsid w:val="009B505E"/>
    <w:rsid w:val="009B5174"/>
    <w:rsid w:val="009C0471"/>
    <w:rsid w:val="009C0C48"/>
    <w:rsid w:val="009C1AAB"/>
    <w:rsid w:val="009C283C"/>
    <w:rsid w:val="009C3B38"/>
    <w:rsid w:val="009D1534"/>
    <w:rsid w:val="009D223F"/>
    <w:rsid w:val="009D7FF1"/>
    <w:rsid w:val="009E1605"/>
    <w:rsid w:val="009E2647"/>
    <w:rsid w:val="009E33AD"/>
    <w:rsid w:val="009E388A"/>
    <w:rsid w:val="009E3AA8"/>
    <w:rsid w:val="009E5F20"/>
    <w:rsid w:val="009F06BD"/>
    <w:rsid w:val="009F11F8"/>
    <w:rsid w:val="009F1683"/>
    <w:rsid w:val="009F1A26"/>
    <w:rsid w:val="009F1C66"/>
    <w:rsid w:val="009F7B6B"/>
    <w:rsid w:val="00A0028F"/>
    <w:rsid w:val="00A0735A"/>
    <w:rsid w:val="00A07FF0"/>
    <w:rsid w:val="00A111A5"/>
    <w:rsid w:val="00A12286"/>
    <w:rsid w:val="00A129E6"/>
    <w:rsid w:val="00A141DA"/>
    <w:rsid w:val="00A176C2"/>
    <w:rsid w:val="00A2069D"/>
    <w:rsid w:val="00A206C4"/>
    <w:rsid w:val="00A208CE"/>
    <w:rsid w:val="00A2113C"/>
    <w:rsid w:val="00A22E58"/>
    <w:rsid w:val="00A23B85"/>
    <w:rsid w:val="00A26600"/>
    <w:rsid w:val="00A271C6"/>
    <w:rsid w:val="00A36F9D"/>
    <w:rsid w:val="00A37573"/>
    <w:rsid w:val="00A37BEB"/>
    <w:rsid w:val="00A37CBB"/>
    <w:rsid w:val="00A44A58"/>
    <w:rsid w:val="00A4622B"/>
    <w:rsid w:val="00A47D83"/>
    <w:rsid w:val="00A51DC9"/>
    <w:rsid w:val="00A52F6A"/>
    <w:rsid w:val="00A54E3A"/>
    <w:rsid w:val="00A564BE"/>
    <w:rsid w:val="00A57436"/>
    <w:rsid w:val="00A60414"/>
    <w:rsid w:val="00A62528"/>
    <w:rsid w:val="00A630BE"/>
    <w:rsid w:val="00A64749"/>
    <w:rsid w:val="00A6480E"/>
    <w:rsid w:val="00A6595B"/>
    <w:rsid w:val="00A66DDA"/>
    <w:rsid w:val="00A673EC"/>
    <w:rsid w:val="00A706ED"/>
    <w:rsid w:val="00A71E3C"/>
    <w:rsid w:val="00A74E30"/>
    <w:rsid w:val="00A76C3D"/>
    <w:rsid w:val="00A811F6"/>
    <w:rsid w:val="00A82AF3"/>
    <w:rsid w:val="00A82D65"/>
    <w:rsid w:val="00A84585"/>
    <w:rsid w:val="00A854B9"/>
    <w:rsid w:val="00A86BE9"/>
    <w:rsid w:val="00A87B3F"/>
    <w:rsid w:val="00A903DD"/>
    <w:rsid w:val="00A97555"/>
    <w:rsid w:val="00A97BB9"/>
    <w:rsid w:val="00AA1137"/>
    <w:rsid w:val="00AA18B8"/>
    <w:rsid w:val="00AA1C7F"/>
    <w:rsid w:val="00AA1E8E"/>
    <w:rsid w:val="00AA28FF"/>
    <w:rsid w:val="00AA55F8"/>
    <w:rsid w:val="00AA5FFD"/>
    <w:rsid w:val="00AA6D65"/>
    <w:rsid w:val="00AB199E"/>
    <w:rsid w:val="00AB232A"/>
    <w:rsid w:val="00AB35BA"/>
    <w:rsid w:val="00AB39BE"/>
    <w:rsid w:val="00AB4428"/>
    <w:rsid w:val="00AB46CF"/>
    <w:rsid w:val="00AB649F"/>
    <w:rsid w:val="00AB6C1F"/>
    <w:rsid w:val="00AB72F0"/>
    <w:rsid w:val="00AB7CE0"/>
    <w:rsid w:val="00AC07CD"/>
    <w:rsid w:val="00AC3194"/>
    <w:rsid w:val="00AC7C51"/>
    <w:rsid w:val="00AD0BAE"/>
    <w:rsid w:val="00AD138E"/>
    <w:rsid w:val="00AD234F"/>
    <w:rsid w:val="00AD61A4"/>
    <w:rsid w:val="00AD7692"/>
    <w:rsid w:val="00AE0289"/>
    <w:rsid w:val="00AE5BB7"/>
    <w:rsid w:val="00AE7A4C"/>
    <w:rsid w:val="00AF3035"/>
    <w:rsid w:val="00AF33B2"/>
    <w:rsid w:val="00AF792C"/>
    <w:rsid w:val="00B058A3"/>
    <w:rsid w:val="00B05DF7"/>
    <w:rsid w:val="00B1623A"/>
    <w:rsid w:val="00B23676"/>
    <w:rsid w:val="00B2530B"/>
    <w:rsid w:val="00B26FEA"/>
    <w:rsid w:val="00B308DB"/>
    <w:rsid w:val="00B30AAF"/>
    <w:rsid w:val="00B32122"/>
    <w:rsid w:val="00B335CC"/>
    <w:rsid w:val="00B33E43"/>
    <w:rsid w:val="00B35124"/>
    <w:rsid w:val="00B363ED"/>
    <w:rsid w:val="00B42797"/>
    <w:rsid w:val="00B42DE7"/>
    <w:rsid w:val="00B4513D"/>
    <w:rsid w:val="00B4627E"/>
    <w:rsid w:val="00B51B7A"/>
    <w:rsid w:val="00B52363"/>
    <w:rsid w:val="00B531A3"/>
    <w:rsid w:val="00B53D70"/>
    <w:rsid w:val="00B54B0F"/>
    <w:rsid w:val="00B55178"/>
    <w:rsid w:val="00B55DFF"/>
    <w:rsid w:val="00B62B6A"/>
    <w:rsid w:val="00B6300C"/>
    <w:rsid w:val="00B631B8"/>
    <w:rsid w:val="00B637F0"/>
    <w:rsid w:val="00B63BF5"/>
    <w:rsid w:val="00B64720"/>
    <w:rsid w:val="00B6491F"/>
    <w:rsid w:val="00B672B9"/>
    <w:rsid w:val="00B7051B"/>
    <w:rsid w:val="00B73BA2"/>
    <w:rsid w:val="00B74221"/>
    <w:rsid w:val="00B8248D"/>
    <w:rsid w:val="00B84E16"/>
    <w:rsid w:val="00B859D6"/>
    <w:rsid w:val="00B92122"/>
    <w:rsid w:val="00B9533F"/>
    <w:rsid w:val="00B96A87"/>
    <w:rsid w:val="00B96FD6"/>
    <w:rsid w:val="00BA09B7"/>
    <w:rsid w:val="00BA0D6B"/>
    <w:rsid w:val="00BA1C10"/>
    <w:rsid w:val="00BA1F6F"/>
    <w:rsid w:val="00BA37BF"/>
    <w:rsid w:val="00BA4A79"/>
    <w:rsid w:val="00BA4B62"/>
    <w:rsid w:val="00BA5A2B"/>
    <w:rsid w:val="00BB5935"/>
    <w:rsid w:val="00BC2507"/>
    <w:rsid w:val="00BC2F51"/>
    <w:rsid w:val="00BC31D7"/>
    <w:rsid w:val="00BC634A"/>
    <w:rsid w:val="00BC769F"/>
    <w:rsid w:val="00BD03BC"/>
    <w:rsid w:val="00BD0733"/>
    <w:rsid w:val="00BD3747"/>
    <w:rsid w:val="00BD3E85"/>
    <w:rsid w:val="00BD715F"/>
    <w:rsid w:val="00BD7971"/>
    <w:rsid w:val="00BE0804"/>
    <w:rsid w:val="00BE0B8F"/>
    <w:rsid w:val="00BE0D75"/>
    <w:rsid w:val="00BE0F74"/>
    <w:rsid w:val="00BE3154"/>
    <w:rsid w:val="00BE4B1B"/>
    <w:rsid w:val="00BE5256"/>
    <w:rsid w:val="00BE7BB6"/>
    <w:rsid w:val="00BE7F09"/>
    <w:rsid w:val="00BF2C8D"/>
    <w:rsid w:val="00BF2FB8"/>
    <w:rsid w:val="00BF3222"/>
    <w:rsid w:val="00BF50F8"/>
    <w:rsid w:val="00BF6E1F"/>
    <w:rsid w:val="00C00415"/>
    <w:rsid w:val="00C015DC"/>
    <w:rsid w:val="00C04629"/>
    <w:rsid w:val="00C046BA"/>
    <w:rsid w:val="00C04D19"/>
    <w:rsid w:val="00C067B8"/>
    <w:rsid w:val="00C10674"/>
    <w:rsid w:val="00C14CAA"/>
    <w:rsid w:val="00C16523"/>
    <w:rsid w:val="00C17003"/>
    <w:rsid w:val="00C17936"/>
    <w:rsid w:val="00C20104"/>
    <w:rsid w:val="00C2498A"/>
    <w:rsid w:val="00C249C1"/>
    <w:rsid w:val="00C27DBD"/>
    <w:rsid w:val="00C31053"/>
    <w:rsid w:val="00C31268"/>
    <w:rsid w:val="00C32138"/>
    <w:rsid w:val="00C34142"/>
    <w:rsid w:val="00C35ECB"/>
    <w:rsid w:val="00C369C2"/>
    <w:rsid w:val="00C37C49"/>
    <w:rsid w:val="00C407EE"/>
    <w:rsid w:val="00C41267"/>
    <w:rsid w:val="00C4134F"/>
    <w:rsid w:val="00C421A7"/>
    <w:rsid w:val="00C425AC"/>
    <w:rsid w:val="00C430C3"/>
    <w:rsid w:val="00C44A1A"/>
    <w:rsid w:val="00C47BB9"/>
    <w:rsid w:val="00C47ED2"/>
    <w:rsid w:val="00C50C95"/>
    <w:rsid w:val="00C51F45"/>
    <w:rsid w:val="00C5578C"/>
    <w:rsid w:val="00C5643C"/>
    <w:rsid w:val="00C56F84"/>
    <w:rsid w:val="00C60521"/>
    <w:rsid w:val="00C60925"/>
    <w:rsid w:val="00C63D6F"/>
    <w:rsid w:val="00C644B0"/>
    <w:rsid w:val="00C64B0E"/>
    <w:rsid w:val="00C717EC"/>
    <w:rsid w:val="00C7246D"/>
    <w:rsid w:val="00C7393E"/>
    <w:rsid w:val="00C73A41"/>
    <w:rsid w:val="00C837B0"/>
    <w:rsid w:val="00C84963"/>
    <w:rsid w:val="00C849DA"/>
    <w:rsid w:val="00C85287"/>
    <w:rsid w:val="00C871DC"/>
    <w:rsid w:val="00C90451"/>
    <w:rsid w:val="00C90A16"/>
    <w:rsid w:val="00C91545"/>
    <w:rsid w:val="00C91AA8"/>
    <w:rsid w:val="00C91BBA"/>
    <w:rsid w:val="00C923E6"/>
    <w:rsid w:val="00C92A72"/>
    <w:rsid w:val="00C92D86"/>
    <w:rsid w:val="00C94987"/>
    <w:rsid w:val="00C94B9C"/>
    <w:rsid w:val="00C9588D"/>
    <w:rsid w:val="00C960D3"/>
    <w:rsid w:val="00C96EA7"/>
    <w:rsid w:val="00C97CBE"/>
    <w:rsid w:val="00C97D77"/>
    <w:rsid w:val="00CA0100"/>
    <w:rsid w:val="00CA04EB"/>
    <w:rsid w:val="00CA11D6"/>
    <w:rsid w:val="00CA36E5"/>
    <w:rsid w:val="00CA3D9E"/>
    <w:rsid w:val="00CA5E1A"/>
    <w:rsid w:val="00CA6B54"/>
    <w:rsid w:val="00CA7800"/>
    <w:rsid w:val="00CB1E35"/>
    <w:rsid w:val="00CB214E"/>
    <w:rsid w:val="00CB4B36"/>
    <w:rsid w:val="00CB5FDE"/>
    <w:rsid w:val="00CB6488"/>
    <w:rsid w:val="00CC04B2"/>
    <w:rsid w:val="00CC1DF4"/>
    <w:rsid w:val="00CC2735"/>
    <w:rsid w:val="00CC3A00"/>
    <w:rsid w:val="00CC533F"/>
    <w:rsid w:val="00CD1233"/>
    <w:rsid w:val="00CD1350"/>
    <w:rsid w:val="00CD4391"/>
    <w:rsid w:val="00CD4A33"/>
    <w:rsid w:val="00CD5C63"/>
    <w:rsid w:val="00CD5E65"/>
    <w:rsid w:val="00CE0883"/>
    <w:rsid w:val="00CE1912"/>
    <w:rsid w:val="00CE3814"/>
    <w:rsid w:val="00CE464D"/>
    <w:rsid w:val="00CE4892"/>
    <w:rsid w:val="00CE5884"/>
    <w:rsid w:val="00CE6FE2"/>
    <w:rsid w:val="00CF3573"/>
    <w:rsid w:val="00CF420A"/>
    <w:rsid w:val="00CF54AD"/>
    <w:rsid w:val="00CF68B3"/>
    <w:rsid w:val="00CF70A8"/>
    <w:rsid w:val="00D104C3"/>
    <w:rsid w:val="00D13993"/>
    <w:rsid w:val="00D13B7D"/>
    <w:rsid w:val="00D1403E"/>
    <w:rsid w:val="00D1510F"/>
    <w:rsid w:val="00D16BBF"/>
    <w:rsid w:val="00D208CB"/>
    <w:rsid w:val="00D213F4"/>
    <w:rsid w:val="00D22618"/>
    <w:rsid w:val="00D237BF"/>
    <w:rsid w:val="00D24241"/>
    <w:rsid w:val="00D31585"/>
    <w:rsid w:val="00D3220E"/>
    <w:rsid w:val="00D32682"/>
    <w:rsid w:val="00D33112"/>
    <w:rsid w:val="00D35085"/>
    <w:rsid w:val="00D40CFD"/>
    <w:rsid w:val="00D45241"/>
    <w:rsid w:val="00D50C38"/>
    <w:rsid w:val="00D51037"/>
    <w:rsid w:val="00D53BB2"/>
    <w:rsid w:val="00D5433B"/>
    <w:rsid w:val="00D6023E"/>
    <w:rsid w:val="00D62AF7"/>
    <w:rsid w:val="00D63035"/>
    <w:rsid w:val="00D64B77"/>
    <w:rsid w:val="00D70EAC"/>
    <w:rsid w:val="00D71468"/>
    <w:rsid w:val="00D775F8"/>
    <w:rsid w:val="00D8119E"/>
    <w:rsid w:val="00D81384"/>
    <w:rsid w:val="00D827E9"/>
    <w:rsid w:val="00D84730"/>
    <w:rsid w:val="00D84D5D"/>
    <w:rsid w:val="00D84E1E"/>
    <w:rsid w:val="00D9056C"/>
    <w:rsid w:val="00D9077E"/>
    <w:rsid w:val="00D90E14"/>
    <w:rsid w:val="00D91157"/>
    <w:rsid w:val="00D92431"/>
    <w:rsid w:val="00D92B6B"/>
    <w:rsid w:val="00D92CF7"/>
    <w:rsid w:val="00D95169"/>
    <w:rsid w:val="00D95AB3"/>
    <w:rsid w:val="00D968C9"/>
    <w:rsid w:val="00D97D11"/>
    <w:rsid w:val="00DA0317"/>
    <w:rsid w:val="00DA12FD"/>
    <w:rsid w:val="00DA1457"/>
    <w:rsid w:val="00DA36D8"/>
    <w:rsid w:val="00DA49E9"/>
    <w:rsid w:val="00DA4C6E"/>
    <w:rsid w:val="00DA54B4"/>
    <w:rsid w:val="00DA6DBB"/>
    <w:rsid w:val="00DA7E39"/>
    <w:rsid w:val="00DB024C"/>
    <w:rsid w:val="00DB442E"/>
    <w:rsid w:val="00DB5AAB"/>
    <w:rsid w:val="00DB5C86"/>
    <w:rsid w:val="00DB5DF9"/>
    <w:rsid w:val="00DB6333"/>
    <w:rsid w:val="00DC427F"/>
    <w:rsid w:val="00DC4657"/>
    <w:rsid w:val="00DC5342"/>
    <w:rsid w:val="00DD1842"/>
    <w:rsid w:val="00DD2B52"/>
    <w:rsid w:val="00DD352F"/>
    <w:rsid w:val="00DD4EE9"/>
    <w:rsid w:val="00DE3AFC"/>
    <w:rsid w:val="00DE415B"/>
    <w:rsid w:val="00DE483D"/>
    <w:rsid w:val="00DE4B28"/>
    <w:rsid w:val="00DE618B"/>
    <w:rsid w:val="00DE7AC1"/>
    <w:rsid w:val="00DF0B2D"/>
    <w:rsid w:val="00DF1BA7"/>
    <w:rsid w:val="00DF2209"/>
    <w:rsid w:val="00DF3F83"/>
    <w:rsid w:val="00DF4F19"/>
    <w:rsid w:val="00DF651D"/>
    <w:rsid w:val="00DF70DF"/>
    <w:rsid w:val="00E00201"/>
    <w:rsid w:val="00E054B3"/>
    <w:rsid w:val="00E06BAD"/>
    <w:rsid w:val="00E07019"/>
    <w:rsid w:val="00E11307"/>
    <w:rsid w:val="00E155D2"/>
    <w:rsid w:val="00E20F6B"/>
    <w:rsid w:val="00E2103E"/>
    <w:rsid w:val="00E24686"/>
    <w:rsid w:val="00E2568A"/>
    <w:rsid w:val="00E262A5"/>
    <w:rsid w:val="00E26F71"/>
    <w:rsid w:val="00E2775B"/>
    <w:rsid w:val="00E27FC1"/>
    <w:rsid w:val="00E30E01"/>
    <w:rsid w:val="00E318A8"/>
    <w:rsid w:val="00E323BF"/>
    <w:rsid w:val="00E337FB"/>
    <w:rsid w:val="00E34B10"/>
    <w:rsid w:val="00E35EBA"/>
    <w:rsid w:val="00E37231"/>
    <w:rsid w:val="00E37D60"/>
    <w:rsid w:val="00E41F23"/>
    <w:rsid w:val="00E424A8"/>
    <w:rsid w:val="00E43059"/>
    <w:rsid w:val="00E44290"/>
    <w:rsid w:val="00E45956"/>
    <w:rsid w:val="00E470EC"/>
    <w:rsid w:val="00E53D04"/>
    <w:rsid w:val="00E5746D"/>
    <w:rsid w:val="00E611A9"/>
    <w:rsid w:val="00E64173"/>
    <w:rsid w:val="00E65AD7"/>
    <w:rsid w:val="00E67915"/>
    <w:rsid w:val="00E70C35"/>
    <w:rsid w:val="00E736FB"/>
    <w:rsid w:val="00E80C9D"/>
    <w:rsid w:val="00E82B01"/>
    <w:rsid w:val="00E82D57"/>
    <w:rsid w:val="00E83B15"/>
    <w:rsid w:val="00E92A1C"/>
    <w:rsid w:val="00E94804"/>
    <w:rsid w:val="00E9705A"/>
    <w:rsid w:val="00EA09A8"/>
    <w:rsid w:val="00EA1462"/>
    <w:rsid w:val="00EA1520"/>
    <w:rsid w:val="00EA361A"/>
    <w:rsid w:val="00EB3F07"/>
    <w:rsid w:val="00EB4C24"/>
    <w:rsid w:val="00EB6978"/>
    <w:rsid w:val="00EC1880"/>
    <w:rsid w:val="00EC5015"/>
    <w:rsid w:val="00EC5197"/>
    <w:rsid w:val="00EC51BC"/>
    <w:rsid w:val="00EC7AE9"/>
    <w:rsid w:val="00ED19E2"/>
    <w:rsid w:val="00ED2381"/>
    <w:rsid w:val="00ED2F33"/>
    <w:rsid w:val="00ED6BDE"/>
    <w:rsid w:val="00EE0D76"/>
    <w:rsid w:val="00EE193B"/>
    <w:rsid w:val="00EE27FF"/>
    <w:rsid w:val="00EE4DF3"/>
    <w:rsid w:val="00EE54A3"/>
    <w:rsid w:val="00EE61D2"/>
    <w:rsid w:val="00EE64B8"/>
    <w:rsid w:val="00EF01F4"/>
    <w:rsid w:val="00EF1D2C"/>
    <w:rsid w:val="00EF2F7C"/>
    <w:rsid w:val="00EF32A2"/>
    <w:rsid w:val="00EF4414"/>
    <w:rsid w:val="00EF489F"/>
    <w:rsid w:val="00EF582E"/>
    <w:rsid w:val="00EF650C"/>
    <w:rsid w:val="00EF6B46"/>
    <w:rsid w:val="00F04113"/>
    <w:rsid w:val="00F061A7"/>
    <w:rsid w:val="00F07507"/>
    <w:rsid w:val="00F07A11"/>
    <w:rsid w:val="00F1269A"/>
    <w:rsid w:val="00F12AF4"/>
    <w:rsid w:val="00F137C5"/>
    <w:rsid w:val="00F153DC"/>
    <w:rsid w:val="00F16FE4"/>
    <w:rsid w:val="00F21ECF"/>
    <w:rsid w:val="00F222CD"/>
    <w:rsid w:val="00F2271F"/>
    <w:rsid w:val="00F24BF0"/>
    <w:rsid w:val="00F25621"/>
    <w:rsid w:val="00F2572C"/>
    <w:rsid w:val="00F26177"/>
    <w:rsid w:val="00F26AA8"/>
    <w:rsid w:val="00F30907"/>
    <w:rsid w:val="00F357BA"/>
    <w:rsid w:val="00F3602C"/>
    <w:rsid w:val="00F36A81"/>
    <w:rsid w:val="00F4116A"/>
    <w:rsid w:val="00F4330E"/>
    <w:rsid w:val="00F43928"/>
    <w:rsid w:val="00F43EA6"/>
    <w:rsid w:val="00F47A3C"/>
    <w:rsid w:val="00F525D7"/>
    <w:rsid w:val="00F54061"/>
    <w:rsid w:val="00F5605F"/>
    <w:rsid w:val="00F579C8"/>
    <w:rsid w:val="00F600E4"/>
    <w:rsid w:val="00F602F3"/>
    <w:rsid w:val="00F62607"/>
    <w:rsid w:val="00F62E5B"/>
    <w:rsid w:val="00F63E08"/>
    <w:rsid w:val="00F6584B"/>
    <w:rsid w:val="00F679E4"/>
    <w:rsid w:val="00F71400"/>
    <w:rsid w:val="00F7197C"/>
    <w:rsid w:val="00F72B82"/>
    <w:rsid w:val="00F74456"/>
    <w:rsid w:val="00F769EB"/>
    <w:rsid w:val="00F778E9"/>
    <w:rsid w:val="00F77A12"/>
    <w:rsid w:val="00F77F54"/>
    <w:rsid w:val="00F82F73"/>
    <w:rsid w:val="00F84FB9"/>
    <w:rsid w:val="00F86005"/>
    <w:rsid w:val="00F92705"/>
    <w:rsid w:val="00F932E0"/>
    <w:rsid w:val="00F94159"/>
    <w:rsid w:val="00F949C4"/>
    <w:rsid w:val="00F94ECC"/>
    <w:rsid w:val="00F9521A"/>
    <w:rsid w:val="00F952D6"/>
    <w:rsid w:val="00F9690F"/>
    <w:rsid w:val="00F9731D"/>
    <w:rsid w:val="00FA0565"/>
    <w:rsid w:val="00FA1C0C"/>
    <w:rsid w:val="00FA222C"/>
    <w:rsid w:val="00FB0323"/>
    <w:rsid w:val="00FB12DD"/>
    <w:rsid w:val="00FB15FD"/>
    <w:rsid w:val="00FB3487"/>
    <w:rsid w:val="00FB4B6A"/>
    <w:rsid w:val="00FB5047"/>
    <w:rsid w:val="00FB5E92"/>
    <w:rsid w:val="00FB61C5"/>
    <w:rsid w:val="00FC07D3"/>
    <w:rsid w:val="00FC3B24"/>
    <w:rsid w:val="00FC4046"/>
    <w:rsid w:val="00FC42F8"/>
    <w:rsid w:val="00FC453F"/>
    <w:rsid w:val="00FC5C90"/>
    <w:rsid w:val="00FC6D2F"/>
    <w:rsid w:val="00FD142B"/>
    <w:rsid w:val="00FD171B"/>
    <w:rsid w:val="00FD1D87"/>
    <w:rsid w:val="00FD2773"/>
    <w:rsid w:val="00FD3D6F"/>
    <w:rsid w:val="00FD4175"/>
    <w:rsid w:val="00FD5B59"/>
    <w:rsid w:val="00FE0004"/>
    <w:rsid w:val="00FE1607"/>
    <w:rsid w:val="00FE20AF"/>
    <w:rsid w:val="00FE3761"/>
    <w:rsid w:val="00FE62AF"/>
    <w:rsid w:val="00FE67FA"/>
    <w:rsid w:val="00FE6892"/>
    <w:rsid w:val="00FE7010"/>
    <w:rsid w:val="00FF09F7"/>
    <w:rsid w:val="00FF1D43"/>
    <w:rsid w:val="00FF4C16"/>
    <w:rsid w:val="00FF5601"/>
    <w:rsid w:val="00FF7598"/>
    <w:rsid w:val="00FF765F"/>
    <w:rsid w:val="169D5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tabs>
        <w:tab w:val="left" w:pos="720"/>
      </w:tabs>
      <w:autoSpaceDE w:val="0"/>
      <w:autoSpaceDN w:val="0"/>
      <w:adjustRightInd w:val="0"/>
      <w:spacing w:before="120"/>
      <w:textAlignment w:val="baseline"/>
      <w:outlineLvl w:val="2"/>
    </w:pPr>
    <w:rPr>
      <w:rFonts w:ascii="宋体" w:hAnsi="Tms Rmn"/>
      <w:b/>
      <w:kern w:val="0"/>
      <w:sz w:val="24"/>
      <w:szCs w:val="20"/>
    </w:rPr>
  </w:style>
  <w:style w:type="character" w:default="1" w:styleId="21">
    <w:name w:val="Default Paragraph Font"/>
    <w:semiHidden/>
    <w:unhideWhenUsed/>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semiHidden/>
    <w:uiPriority w:val="0"/>
    <w:rPr>
      <w:b/>
      <w:bCs/>
    </w:rPr>
  </w:style>
  <w:style w:type="paragraph" w:styleId="4">
    <w:name w:val="annotation text"/>
    <w:basedOn w:val="1"/>
    <w:link w:val="28"/>
    <w:semiHidden/>
    <w:qFormat/>
    <w:uiPriority w:val="0"/>
    <w:pPr>
      <w:jc w:val="left"/>
    </w:pPr>
  </w:style>
  <w:style w:type="paragraph" w:styleId="5">
    <w:name w:val="toc 7"/>
    <w:basedOn w:val="1"/>
    <w:next w:val="1"/>
    <w:qFormat/>
    <w:uiPriority w:val="0"/>
    <w:pPr>
      <w:ind w:left="1260"/>
      <w:jc w:val="left"/>
    </w:pPr>
    <w:rPr>
      <w:rFonts w:asciiTheme="minorHAnsi" w:hAnsiTheme="minorHAnsi"/>
      <w:sz w:val="18"/>
      <w:szCs w:val="18"/>
    </w:rPr>
  </w:style>
  <w:style w:type="paragraph" w:styleId="6">
    <w:name w:val="Body Text First Indent"/>
    <w:basedOn w:val="7"/>
    <w:qFormat/>
    <w:uiPriority w:val="0"/>
    <w:pPr>
      <w:ind w:firstLine="420" w:firstLineChars="100"/>
    </w:pPr>
  </w:style>
  <w:style w:type="paragraph" w:styleId="7">
    <w:name w:val="Body Text"/>
    <w:basedOn w:val="1"/>
    <w:qFormat/>
    <w:uiPriority w:val="0"/>
    <w:pPr>
      <w:spacing w:after="120"/>
    </w:pPr>
  </w:style>
  <w:style w:type="paragraph" w:styleId="8">
    <w:name w:val="toc 5"/>
    <w:basedOn w:val="1"/>
    <w:next w:val="1"/>
    <w:uiPriority w:val="0"/>
    <w:pPr>
      <w:ind w:left="840"/>
      <w:jc w:val="left"/>
    </w:pPr>
    <w:rPr>
      <w:rFonts w:asciiTheme="minorHAnsi" w:hAnsiTheme="minorHAnsi"/>
      <w:sz w:val="18"/>
      <w:szCs w:val="18"/>
    </w:rPr>
  </w:style>
  <w:style w:type="paragraph" w:styleId="9">
    <w:name w:val="toc 3"/>
    <w:basedOn w:val="1"/>
    <w:next w:val="1"/>
    <w:qFormat/>
    <w:uiPriority w:val="0"/>
    <w:pPr>
      <w:ind w:left="420"/>
      <w:jc w:val="left"/>
    </w:pPr>
    <w:rPr>
      <w:rFonts w:asciiTheme="minorHAnsi" w:hAnsiTheme="minorHAnsi"/>
      <w:i/>
      <w:iCs/>
      <w:sz w:val="20"/>
      <w:szCs w:val="20"/>
    </w:rPr>
  </w:style>
  <w:style w:type="paragraph" w:styleId="10">
    <w:name w:val="toc 8"/>
    <w:basedOn w:val="1"/>
    <w:next w:val="1"/>
    <w:qFormat/>
    <w:uiPriority w:val="0"/>
    <w:pPr>
      <w:ind w:left="1470"/>
      <w:jc w:val="left"/>
    </w:pPr>
    <w:rPr>
      <w:rFonts w:asciiTheme="minorHAnsi" w:hAnsiTheme="minorHAnsi"/>
      <w:sz w:val="18"/>
      <w:szCs w:val="18"/>
    </w:rPr>
  </w:style>
  <w:style w:type="paragraph" w:styleId="11">
    <w:name w:val="Balloon Text"/>
    <w:basedOn w:val="1"/>
    <w:semiHidden/>
    <w:qFormat/>
    <w:uiPriority w:val="0"/>
    <w:rPr>
      <w:sz w:val="18"/>
      <w:szCs w:val="18"/>
    </w:rPr>
  </w:style>
  <w:style w:type="paragraph" w:styleId="12">
    <w:name w:val="footer"/>
    <w:basedOn w:val="1"/>
    <w:link w:val="45"/>
    <w:qFormat/>
    <w:uiPriority w:val="0"/>
    <w:pPr>
      <w:tabs>
        <w:tab w:val="center" w:pos="4153"/>
        <w:tab w:val="right" w:pos="8306"/>
      </w:tabs>
      <w:snapToGrid w:val="0"/>
      <w:jc w:val="left"/>
    </w:pPr>
    <w:rPr>
      <w:sz w:val="18"/>
      <w:szCs w:val="18"/>
    </w:rPr>
  </w:style>
  <w:style w:type="paragraph" w:styleId="13">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9402"/>
      </w:tabs>
      <w:spacing w:before="120" w:after="120" w:line="400" w:lineRule="exact"/>
      <w:jc w:val="left"/>
    </w:pPr>
    <w:rPr>
      <w:rFonts w:eastAsia="Times New Roman"/>
      <w:b/>
      <w:bCs/>
      <w:caps/>
      <w:color w:val="000000" w:themeColor="text1"/>
      <w:sz w:val="24"/>
      <w:szCs w:val="28"/>
    </w:rPr>
  </w:style>
  <w:style w:type="paragraph" w:styleId="15">
    <w:name w:val="toc 4"/>
    <w:basedOn w:val="1"/>
    <w:next w:val="1"/>
    <w:qFormat/>
    <w:uiPriority w:val="0"/>
    <w:pPr>
      <w:ind w:left="630"/>
      <w:jc w:val="left"/>
    </w:pPr>
    <w:rPr>
      <w:rFonts w:asciiTheme="minorHAnsi" w:hAnsiTheme="minorHAnsi"/>
      <w:sz w:val="18"/>
      <w:szCs w:val="18"/>
    </w:rPr>
  </w:style>
  <w:style w:type="paragraph" w:styleId="16">
    <w:name w:val="toc 6"/>
    <w:basedOn w:val="1"/>
    <w:next w:val="1"/>
    <w:qFormat/>
    <w:uiPriority w:val="0"/>
    <w:pPr>
      <w:ind w:left="1050"/>
      <w:jc w:val="left"/>
    </w:pPr>
    <w:rPr>
      <w:rFonts w:asciiTheme="minorHAnsi" w:hAnsiTheme="minorHAnsi"/>
      <w:sz w:val="18"/>
      <w:szCs w:val="18"/>
    </w:rPr>
  </w:style>
  <w:style w:type="paragraph" w:styleId="17">
    <w:name w:val="Body Text Indent 3"/>
    <w:basedOn w:val="1"/>
    <w:link w:val="29"/>
    <w:qFormat/>
    <w:uiPriority w:val="0"/>
    <w:pPr>
      <w:adjustRightInd w:val="0"/>
      <w:spacing w:line="312" w:lineRule="atLeast"/>
      <w:ind w:firstLine="555"/>
      <w:textAlignment w:val="baseline"/>
    </w:pPr>
    <w:rPr>
      <w:rFonts w:ascii="仿宋_GB2312" w:eastAsia="仿宋_GB2312"/>
      <w:color w:val="000000"/>
      <w:kern w:val="0"/>
      <w:sz w:val="28"/>
      <w:szCs w:val="20"/>
    </w:rPr>
  </w:style>
  <w:style w:type="paragraph" w:styleId="18">
    <w:name w:val="toc 2"/>
    <w:basedOn w:val="1"/>
    <w:next w:val="1"/>
    <w:uiPriority w:val="39"/>
    <w:pPr>
      <w:tabs>
        <w:tab w:val="left" w:pos="840"/>
        <w:tab w:val="right" w:leader="dot" w:pos="9402"/>
      </w:tabs>
      <w:ind w:left="210"/>
      <w:jc w:val="left"/>
    </w:pPr>
    <w:rPr>
      <w:rFonts w:ascii="宋体" w:hAnsi="宋体" w:eastAsia="Times New Roman"/>
      <w:b/>
      <w:smallCaps/>
      <w:sz w:val="24"/>
      <w:szCs w:val="28"/>
    </w:rPr>
  </w:style>
  <w:style w:type="paragraph" w:styleId="19">
    <w:name w:val="toc 9"/>
    <w:basedOn w:val="1"/>
    <w:next w:val="1"/>
    <w:uiPriority w:val="0"/>
    <w:pPr>
      <w:ind w:left="1680"/>
      <w:jc w:val="left"/>
    </w:pPr>
    <w:rPr>
      <w:rFonts w:asciiTheme="minorHAnsi" w:hAnsiTheme="minorHAnsi"/>
      <w:sz w:val="18"/>
      <w:szCs w:val="18"/>
    </w:rPr>
  </w:style>
  <w:style w:type="paragraph" w:styleId="20">
    <w:name w:val="Normal (Web)"/>
    <w:basedOn w:val="1"/>
    <w:qFormat/>
    <w:uiPriority w:val="0"/>
    <w:pPr>
      <w:widowControl/>
      <w:spacing w:before="100" w:beforeAutospacing="1" w:after="100" w:afterAutospacing="1" w:line="432" w:lineRule="auto"/>
      <w:ind w:firstLine="480"/>
      <w:jc w:val="left"/>
    </w:pPr>
    <w:rPr>
      <w:rFonts w:ascii="宋体" w:hAnsi="宋体" w:cs="宋体"/>
      <w:spacing w:val="15"/>
      <w:kern w:val="0"/>
      <w:sz w:val="24"/>
    </w:rPr>
  </w:style>
  <w:style w:type="character" w:styleId="22">
    <w:name w:val="Strong"/>
    <w:basedOn w:val="21"/>
    <w:qFormat/>
    <w:uiPriority w:val="22"/>
    <w:rPr>
      <w:b/>
      <w:bCs/>
    </w:rPr>
  </w:style>
  <w:style w:type="character" w:styleId="23">
    <w:name w:val="page number"/>
    <w:basedOn w:val="21"/>
    <w:qFormat/>
    <w:uiPriority w:val="0"/>
  </w:style>
  <w:style w:type="character" w:styleId="24">
    <w:name w:val="Hyperlink"/>
    <w:basedOn w:val="21"/>
    <w:qFormat/>
    <w:uiPriority w:val="99"/>
    <w:rPr>
      <w:rFonts w:cs="Times New Roman"/>
      <w:color w:val="0000FF"/>
      <w:u w:val="single"/>
    </w:rPr>
  </w:style>
  <w:style w:type="character" w:styleId="25">
    <w:name w:val="annotation reference"/>
    <w:basedOn w:val="21"/>
    <w:semiHidden/>
    <w:qFormat/>
    <w:uiPriority w:val="0"/>
    <w:rPr>
      <w:sz w:val="21"/>
      <w:szCs w:val="21"/>
    </w:rPr>
  </w:style>
  <w:style w:type="table" w:styleId="27">
    <w:name w:val="Table Grid"/>
    <w:basedOn w:val="2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批注文字 Char"/>
    <w:basedOn w:val="21"/>
    <w:link w:val="4"/>
    <w:qFormat/>
    <w:locked/>
    <w:uiPriority w:val="0"/>
    <w:rPr>
      <w:rFonts w:eastAsia="宋体"/>
      <w:kern w:val="2"/>
      <w:sz w:val="21"/>
      <w:szCs w:val="24"/>
      <w:lang w:val="en-US" w:eastAsia="zh-CN" w:bidi="ar-SA"/>
    </w:rPr>
  </w:style>
  <w:style w:type="character" w:customStyle="1" w:styleId="29">
    <w:name w:val="正文文本缩进 3 Char"/>
    <w:basedOn w:val="21"/>
    <w:link w:val="17"/>
    <w:semiHidden/>
    <w:qFormat/>
    <w:locked/>
    <w:uiPriority w:val="0"/>
    <w:rPr>
      <w:rFonts w:ascii="仿宋_GB2312" w:eastAsia="仿宋_GB2312"/>
      <w:color w:val="000000"/>
      <w:sz w:val="28"/>
      <w:lang w:val="en-US" w:eastAsia="zh-CN" w:bidi="ar-SA"/>
    </w:rPr>
  </w:style>
  <w:style w:type="character" w:customStyle="1" w:styleId="30">
    <w:name w:val="font01"/>
    <w:basedOn w:val="21"/>
    <w:qFormat/>
    <w:uiPriority w:val="99"/>
    <w:rPr>
      <w:rFonts w:ascii="宋体" w:hAnsi="宋体" w:eastAsia="宋体" w:cs="宋体"/>
      <w:color w:val="000000"/>
      <w:sz w:val="24"/>
      <w:szCs w:val="24"/>
      <w:u w:val="none"/>
    </w:rPr>
  </w:style>
  <w:style w:type="character" w:customStyle="1" w:styleId="31">
    <w:name w:val="font41"/>
    <w:basedOn w:val="21"/>
    <w:qFormat/>
    <w:uiPriority w:val="99"/>
    <w:rPr>
      <w:rFonts w:ascii="宋体" w:hAnsi="宋体" w:eastAsia="宋体" w:cs="宋体"/>
      <w:color w:val="000000"/>
      <w:sz w:val="24"/>
      <w:szCs w:val="24"/>
      <w:u w:val="none"/>
      <w:vertAlign w:val="superscript"/>
    </w:rPr>
  </w:style>
  <w:style w:type="paragraph" w:styleId="32">
    <w:name w:val="List Paragraph"/>
    <w:basedOn w:val="1"/>
    <w:qFormat/>
    <w:uiPriority w:val="34"/>
    <w:pPr>
      <w:ind w:firstLine="420" w:firstLineChars="200"/>
    </w:pPr>
  </w:style>
  <w:style w:type="paragraph" w:customStyle="1" w:styleId="33">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34">
    <w:name w:val="样式1"/>
    <w:link w:val="36"/>
    <w:qFormat/>
    <w:uiPriority w:val="0"/>
    <w:rPr>
      <w:rFonts w:ascii="Times New Roman" w:hAnsi="Times New Roman" w:eastAsia="宋体" w:cs="Times New Roman"/>
      <w:kern w:val="2"/>
      <w:sz w:val="18"/>
      <w:szCs w:val="18"/>
      <w:lang w:val="en-US" w:eastAsia="zh-CN" w:bidi="ar-SA"/>
    </w:rPr>
  </w:style>
  <w:style w:type="character" w:customStyle="1" w:styleId="35">
    <w:name w:val="页眉 Char"/>
    <w:basedOn w:val="21"/>
    <w:link w:val="13"/>
    <w:qFormat/>
    <w:uiPriority w:val="0"/>
    <w:rPr>
      <w:kern w:val="2"/>
      <w:sz w:val="18"/>
      <w:szCs w:val="18"/>
    </w:rPr>
  </w:style>
  <w:style w:type="character" w:customStyle="1" w:styleId="36">
    <w:name w:val="样式1 Char"/>
    <w:basedOn w:val="21"/>
    <w:link w:val="34"/>
    <w:qFormat/>
    <w:uiPriority w:val="0"/>
    <w:rPr>
      <w:kern w:val="2"/>
      <w:sz w:val="18"/>
      <w:szCs w:val="18"/>
    </w:rPr>
  </w:style>
  <w:style w:type="paragraph" w:customStyle="1" w:styleId="37">
    <w:name w:val="样式2"/>
    <w:link w:val="38"/>
    <w:qFormat/>
    <w:uiPriority w:val="0"/>
    <w:rPr>
      <w:rFonts w:ascii="Times New Roman" w:hAnsi="Times New Roman" w:eastAsia="宋体" w:cs="Times New Roman"/>
      <w:kern w:val="2"/>
      <w:sz w:val="18"/>
      <w:szCs w:val="18"/>
      <w:lang w:val="en-US" w:eastAsia="zh-CN" w:bidi="ar-SA"/>
    </w:rPr>
  </w:style>
  <w:style w:type="character" w:customStyle="1" w:styleId="38">
    <w:name w:val="样式2 Char"/>
    <w:basedOn w:val="21"/>
    <w:link w:val="37"/>
    <w:uiPriority w:val="0"/>
    <w:rPr>
      <w:kern w:val="2"/>
      <w:sz w:val="18"/>
      <w:szCs w:val="18"/>
    </w:rPr>
  </w:style>
  <w:style w:type="paragraph" w:customStyle="1" w:styleId="39">
    <w:name w:val="样式3"/>
    <w:link w:val="41"/>
    <w:qFormat/>
    <w:uiPriority w:val="0"/>
    <w:rPr>
      <w:rFonts w:ascii="Times New Roman" w:hAnsi="Times New Roman" w:eastAsia="黑体" w:cs="Times New Roman"/>
      <w:color w:val="000000" w:themeColor="text1"/>
      <w:sz w:val="28"/>
      <w:szCs w:val="28"/>
      <w:u w:val="words"/>
      <w:lang w:val="en-US" w:eastAsia="zh-CN" w:bidi="ar-SA"/>
    </w:rPr>
  </w:style>
  <w:style w:type="paragraph" w:customStyle="1" w:styleId="40">
    <w:name w:val="样式4"/>
    <w:link w:val="42"/>
    <w:qFormat/>
    <w:uiPriority w:val="0"/>
    <w:pPr>
      <w:jc w:val="both"/>
    </w:pPr>
    <w:rPr>
      <w:rFonts w:ascii="Times New Roman" w:hAnsi="Times New Roman" w:eastAsia="宋体" w:cs="Times New Roman"/>
      <w:kern w:val="2"/>
      <w:sz w:val="18"/>
      <w:szCs w:val="18"/>
      <w:lang w:val="en-US" w:eastAsia="zh-CN" w:bidi="ar-SA"/>
    </w:rPr>
  </w:style>
  <w:style w:type="character" w:customStyle="1" w:styleId="41">
    <w:name w:val="样式3 Char"/>
    <w:basedOn w:val="21"/>
    <w:link w:val="39"/>
    <w:uiPriority w:val="0"/>
    <w:rPr>
      <w:rFonts w:eastAsia="黑体"/>
      <w:color w:val="000000" w:themeColor="text1"/>
      <w:sz w:val="28"/>
      <w:szCs w:val="28"/>
      <w:u w:val="words"/>
    </w:rPr>
  </w:style>
  <w:style w:type="character" w:customStyle="1" w:styleId="42">
    <w:name w:val="样式4 Char"/>
    <w:basedOn w:val="21"/>
    <w:link w:val="40"/>
    <w:qFormat/>
    <w:uiPriority w:val="0"/>
    <w:rPr>
      <w:kern w:val="2"/>
      <w:sz w:val="18"/>
      <w:szCs w:val="18"/>
    </w:rPr>
  </w:style>
  <w:style w:type="paragraph" w:customStyle="1" w:styleId="43">
    <w:name w:val="样式5"/>
    <w:link w:val="44"/>
    <w:qFormat/>
    <w:uiPriority w:val="0"/>
    <w:rPr>
      <w:rFonts w:ascii="Times New Roman" w:hAnsi="Times New Roman" w:eastAsia="宋体" w:cs="Times New Roman"/>
      <w:kern w:val="2"/>
      <w:sz w:val="18"/>
      <w:szCs w:val="18"/>
      <w:lang w:val="en-US" w:eastAsia="zh-CN" w:bidi="ar-SA"/>
    </w:rPr>
  </w:style>
  <w:style w:type="character" w:customStyle="1" w:styleId="44">
    <w:name w:val="样式5 Char"/>
    <w:basedOn w:val="21"/>
    <w:link w:val="43"/>
    <w:qFormat/>
    <w:uiPriority w:val="0"/>
    <w:rPr>
      <w:kern w:val="2"/>
      <w:sz w:val="18"/>
      <w:szCs w:val="18"/>
    </w:rPr>
  </w:style>
  <w:style w:type="character" w:customStyle="1" w:styleId="45">
    <w:name w:val="页脚 Char"/>
    <w:basedOn w:val="21"/>
    <w:link w:val="12"/>
    <w:uiPriority w:val="99"/>
    <w:rPr>
      <w:kern w:val="2"/>
      <w:sz w:val="18"/>
      <w:szCs w:val="18"/>
    </w:rPr>
  </w:style>
  <w:style w:type="paragraph" w:styleId="46">
    <w:name w:val="No Spacing"/>
    <w:link w:val="47"/>
    <w:qFormat/>
    <w:uiPriority w:val="1"/>
    <w:rPr>
      <w:rFonts w:asciiTheme="minorHAnsi" w:hAnsiTheme="minorHAnsi" w:eastAsiaTheme="minorEastAsia" w:cstheme="minorBidi"/>
      <w:sz w:val="22"/>
      <w:szCs w:val="22"/>
      <w:lang w:val="en-US" w:eastAsia="zh-CN" w:bidi="ar-SA"/>
    </w:rPr>
  </w:style>
  <w:style w:type="character" w:customStyle="1" w:styleId="47">
    <w:name w:val="无间隔 Char"/>
    <w:basedOn w:val="21"/>
    <w:link w:val="46"/>
    <w:uiPriority w:val="1"/>
    <w:rPr>
      <w:rFonts w:asciiTheme="minorHAnsi" w:hAnsiTheme="minorHAnsi" w:eastAsiaTheme="minorEastAsia" w:cstheme="minorBidi"/>
      <w:sz w:val="22"/>
      <w:szCs w:val="22"/>
    </w:rPr>
  </w:style>
  <w:style w:type="paragraph" w:customStyle="1" w:styleId="48">
    <w:name w:val="F003B95880B542B9BE8F051F7F66E3A4"/>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49">
    <w:name w:val="修订1"/>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68"/>
    <customShpInfo spid="_x0000_s206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70000F-C933-43E3-9656-FDD3551DEB7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1841</Words>
  <Characters>10496</Characters>
  <Lines>87</Lines>
  <Paragraphs>24</Paragraphs>
  <TotalTime>0</TotalTime>
  <ScaleCrop>false</ScaleCrop>
  <LinksUpToDate>false</LinksUpToDate>
  <CharactersWithSpaces>12313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2018-10-31T01:27:00Z</dcterms:created>
  <dc:creator>User</dc:creator>
  <cp:lastModifiedBy>zx406</cp:lastModifiedBy>
  <cp:lastPrinted>2020-10-30T00:34:00Z</cp:lastPrinted>
  <dcterms:modified xsi:type="dcterms:W3CDTF">2021-01-05T08:33:08Z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