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center" w:pos="3713"/>
          <w:tab w:val="left" w:pos="4935"/>
        </w:tabs>
        <w:spacing w:line="560" w:lineRule="exact"/>
        <w:jc w:val="center"/>
        <w:rPr>
          <w:rFonts w:ascii="宋体" w:hAnsi="宋体" w:cs="宋体"/>
          <w:b/>
          <w:kern w:val="0"/>
          <w:sz w:val="24"/>
        </w:rPr>
      </w:pPr>
    </w:p>
    <w:p>
      <w:pPr>
        <w:tabs>
          <w:tab w:val="center" w:pos="3713"/>
          <w:tab w:val="left" w:pos="4935"/>
        </w:tabs>
        <w:spacing w:line="560" w:lineRule="exact"/>
        <w:jc w:val="center"/>
        <w:rPr>
          <w:rFonts w:ascii="宋体" w:hAnsi="宋体" w:cs="宋体"/>
          <w:b/>
          <w:kern w:val="0"/>
          <w:sz w:val="24"/>
        </w:rPr>
      </w:pPr>
    </w:p>
    <w:p>
      <w:pPr>
        <w:tabs>
          <w:tab w:val="center" w:pos="3713"/>
          <w:tab w:val="left" w:pos="4935"/>
        </w:tabs>
        <w:spacing w:line="560" w:lineRule="exact"/>
        <w:jc w:val="center"/>
        <w:rPr>
          <w:rFonts w:ascii="宋体" w:hAnsi="宋体" w:cs="宋体"/>
          <w:b/>
          <w:kern w:val="0"/>
          <w:sz w:val="24"/>
        </w:rPr>
      </w:pPr>
    </w:p>
    <w:p>
      <w:pPr>
        <w:tabs>
          <w:tab w:val="center" w:pos="3713"/>
          <w:tab w:val="left" w:pos="4935"/>
        </w:tabs>
        <w:spacing w:line="560" w:lineRule="exact"/>
        <w:jc w:val="center"/>
        <w:rPr>
          <w:rFonts w:ascii="宋体" w:hAnsi="宋体" w:cs="宋体"/>
          <w:b/>
          <w:kern w:val="0"/>
          <w:sz w:val="24"/>
        </w:rPr>
      </w:pPr>
    </w:p>
    <w:p>
      <w:pPr>
        <w:tabs>
          <w:tab w:val="center" w:pos="3713"/>
          <w:tab w:val="left" w:pos="4935"/>
        </w:tabs>
        <w:spacing w:line="560" w:lineRule="exact"/>
        <w:jc w:val="center"/>
        <w:rPr>
          <w:rFonts w:ascii="黑体" w:hAnsi="黑体" w:eastAsia="黑体"/>
          <w:b/>
          <w:kern w:val="0"/>
          <w:sz w:val="44"/>
          <w:szCs w:val="44"/>
        </w:rPr>
      </w:pPr>
      <w:r>
        <w:rPr>
          <w:rFonts w:hint="eastAsia" w:ascii="黑体" w:hAnsi="黑体" w:eastAsia="黑体" w:cs="宋体"/>
          <w:b/>
          <w:kern w:val="0"/>
          <w:sz w:val="44"/>
          <w:szCs w:val="44"/>
        </w:rPr>
        <w:t>房地产估价</w:t>
      </w:r>
      <w:r>
        <w:rPr>
          <w:rFonts w:hint="eastAsia" w:ascii="黑体" w:hAnsi="黑体" w:eastAsia="黑体"/>
          <w:b/>
          <w:kern w:val="0"/>
          <w:sz w:val="44"/>
          <w:szCs w:val="44"/>
        </w:rPr>
        <w:t>报告</w:t>
      </w:r>
    </w:p>
    <w:p>
      <w:pPr>
        <w:tabs>
          <w:tab w:val="center" w:pos="3713"/>
          <w:tab w:val="left" w:pos="4935"/>
        </w:tabs>
        <w:spacing w:line="560" w:lineRule="exact"/>
        <w:ind w:firstLine="480" w:firstLineChars="200"/>
        <w:rPr>
          <w:rFonts w:ascii="宋体" w:hAnsi="宋体"/>
          <w:kern w:val="0"/>
          <w:sz w:val="24"/>
        </w:rPr>
      </w:pPr>
    </w:p>
    <w:p>
      <w:pPr>
        <w:tabs>
          <w:tab w:val="center" w:pos="3713"/>
          <w:tab w:val="left" w:pos="4935"/>
        </w:tabs>
        <w:spacing w:line="560" w:lineRule="exact"/>
        <w:ind w:firstLine="480" w:firstLineChars="200"/>
        <w:rPr>
          <w:rFonts w:ascii="宋体" w:hAnsi="宋体"/>
          <w:kern w:val="0"/>
          <w:sz w:val="24"/>
        </w:rPr>
      </w:pPr>
    </w:p>
    <w:p>
      <w:pPr>
        <w:tabs>
          <w:tab w:val="center" w:pos="3713"/>
          <w:tab w:val="left" w:pos="4935"/>
        </w:tabs>
        <w:spacing w:line="560" w:lineRule="exact"/>
        <w:ind w:firstLine="480" w:firstLineChars="200"/>
        <w:rPr>
          <w:rFonts w:ascii="宋体" w:hAnsi="宋体"/>
          <w:kern w:val="0"/>
          <w:sz w:val="24"/>
        </w:rPr>
      </w:pPr>
    </w:p>
    <w:p>
      <w:pPr>
        <w:tabs>
          <w:tab w:val="center" w:pos="3713"/>
          <w:tab w:val="left" w:pos="4935"/>
        </w:tabs>
        <w:spacing w:line="560" w:lineRule="exact"/>
        <w:ind w:firstLine="480" w:firstLineChars="200"/>
        <w:rPr>
          <w:rFonts w:ascii="宋体" w:hAnsi="宋体"/>
          <w:kern w:val="0"/>
          <w:sz w:val="24"/>
        </w:rPr>
      </w:pPr>
    </w:p>
    <w:p>
      <w:pPr>
        <w:tabs>
          <w:tab w:val="center" w:pos="3713"/>
          <w:tab w:val="left" w:pos="4935"/>
        </w:tabs>
        <w:spacing w:line="560" w:lineRule="exact"/>
        <w:ind w:firstLine="480" w:firstLineChars="200"/>
        <w:rPr>
          <w:rFonts w:ascii="宋体" w:hAnsi="宋体"/>
          <w:kern w:val="0"/>
          <w:sz w:val="24"/>
        </w:rPr>
      </w:pPr>
    </w:p>
    <w:p>
      <w:pPr>
        <w:tabs>
          <w:tab w:val="center" w:pos="3713"/>
          <w:tab w:val="left" w:pos="4935"/>
        </w:tabs>
        <w:spacing w:line="560" w:lineRule="exact"/>
        <w:jc w:val="left"/>
        <w:rPr>
          <w:rFonts w:ascii="宋体" w:hAnsi="宋体"/>
          <w:kern w:val="0"/>
          <w:sz w:val="24"/>
        </w:rPr>
      </w:pPr>
      <w:r>
        <w:rPr>
          <w:rFonts w:hint="eastAsia" w:ascii="宋体" w:hAnsi="宋体"/>
          <w:kern w:val="0"/>
          <w:sz w:val="28"/>
          <w:szCs w:val="28"/>
        </w:rPr>
        <w:t>估价报告编号：湘正佳房评字（2020）第Z</w:t>
      </w:r>
      <w:r>
        <w:rPr>
          <w:rFonts w:hint="eastAsia" w:ascii="宋体" w:hAnsi="宋体"/>
          <w:kern w:val="0"/>
          <w:sz w:val="28"/>
          <w:szCs w:val="28"/>
          <w:lang w:val="en-US" w:eastAsia="zh-CN"/>
        </w:rPr>
        <w:t>607</w:t>
      </w:r>
      <w:r>
        <w:rPr>
          <w:rFonts w:hint="eastAsia" w:ascii="宋体" w:hAnsi="宋体"/>
          <w:kern w:val="0"/>
          <w:sz w:val="28"/>
          <w:szCs w:val="28"/>
        </w:rPr>
        <w:t>号</w:t>
      </w:r>
    </w:p>
    <w:p>
      <w:pPr>
        <w:tabs>
          <w:tab w:val="center" w:pos="3713"/>
          <w:tab w:val="left" w:pos="4935"/>
        </w:tabs>
        <w:spacing w:line="600" w:lineRule="exact"/>
        <w:ind w:left="2396" w:hanging="2395" w:hangingChars="644"/>
        <w:jc w:val="left"/>
        <w:rPr>
          <w:rFonts w:ascii="宋体" w:hAnsi="宋体"/>
          <w:kern w:val="0"/>
          <w:sz w:val="28"/>
          <w:szCs w:val="28"/>
        </w:rPr>
      </w:pPr>
      <w:r>
        <w:rPr>
          <w:rFonts w:hint="eastAsia" w:ascii="宋体" w:hAnsi="宋体"/>
          <w:spacing w:val="46"/>
          <w:kern w:val="0"/>
          <w:sz w:val="28"/>
          <w:szCs w:val="28"/>
          <w:fitText w:val="2520" w:id="0"/>
        </w:rPr>
        <w:t>估价项目名称</w:t>
      </w:r>
      <w:r>
        <w:rPr>
          <w:rFonts w:hint="eastAsia" w:ascii="宋体" w:hAnsi="宋体"/>
          <w:spacing w:val="4"/>
          <w:kern w:val="0"/>
          <w:sz w:val="28"/>
          <w:szCs w:val="28"/>
          <w:fitText w:val="2520" w:id="0"/>
        </w:rPr>
        <w:t>：</w:t>
      </w:r>
      <w:r>
        <w:rPr>
          <w:rFonts w:hint="eastAsia" w:ascii="宋体" w:hAnsi="宋体"/>
          <w:kern w:val="0"/>
          <w:sz w:val="28"/>
          <w:szCs w:val="28"/>
          <w:lang w:eastAsia="zh-CN"/>
        </w:rPr>
        <w:t>湘潭市岳塘区人民法院</w:t>
      </w:r>
      <w:r>
        <w:rPr>
          <w:rFonts w:ascii="宋体" w:hAnsi="宋体"/>
          <w:kern w:val="0"/>
          <w:sz w:val="28"/>
          <w:szCs w:val="28"/>
        </w:rPr>
        <w:t>委托的</w:t>
      </w:r>
      <w:r>
        <w:rPr>
          <w:rFonts w:hint="eastAsia" w:ascii="宋体" w:hAnsi="宋体"/>
          <w:kern w:val="0"/>
          <w:sz w:val="28"/>
          <w:szCs w:val="28"/>
          <w:lang w:eastAsia="zh-CN"/>
        </w:rPr>
        <w:t>章焜、郭倚含</w:t>
      </w:r>
      <w:r>
        <w:rPr>
          <w:rFonts w:ascii="宋体" w:hAnsi="宋体"/>
          <w:kern w:val="0"/>
          <w:sz w:val="28"/>
          <w:szCs w:val="28"/>
        </w:rPr>
        <w:t>位于</w:t>
      </w:r>
      <w:r>
        <w:rPr>
          <w:rFonts w:hint="eastAsia" w:ascii="宋体" w:hAnsi="宋体"/>
          <w:kern w:val="0"/>
          <w:sz w:val="28"/>
          <w:szCs w:val="28"/>
          <w:lang w:eastAsia="zh-CN"/>
        </w:rPr>
        <w:t>岳塘区宝塔街道芙蓉中路19号湖湘林语28栋2单元1302004号</w:t>
      </w:r>
      <w:r>
        <w:rPr>
          <w:rFonts w:hint="eastAsia" w:ascii="宋体" w:hAnsi="宋体"/>
          <w:kern w:val="0"/>
          <w:sz w:val="28"/>
          <w:szCs w:val="28"/>
        </w:rPr>
        <w:t>房地产司法处置市场价值评估</w:t>
      </w:r>
    </w:p>
    <w:p>
      <w:pPr>
        <w:spacing w:line="600" w:lineRule="exact"/>
        <w:ind w:left="3136" w:hanging="3136" w:hangingChars="700"/>
        <w:jc w:val="left"/>
        <w:rPr>
          <w:rFonts w:hint="eastAsia" w:ascii="宋体" w:hAnsi="宋体" w:eastAsia="宋体"/>
          <w:spacing w:val="46"/>
          <w:kern w:val="0"/>
          <w:sz w:val="28"/>
          <w:szCs w:val="28"/>
          <w:lang w:eastAsia="zh-CN"/>
        </w:rPr>
      </w:pPr>
      <w:r>
        <w:rPr>
          <w:rFonts w:hint="eastAsia" w:ascii="宋体" w:hAnsi="宋体"/>
          <w:spacing w:val="84"/>
          <w:kern w:val="0"/>
          <w:sz w:val="28"/>
          <w:szCs w:val="28"/>
          <w:fitText w:val="2520" w:id="1"/>
        </w:rPr>
        <w:t>估价委托人</w:t>
      </w:r>
      <w:r>
        <w:rPr>
          <w:rFonts w:hint="eastAsia" w:ascii="宋体" w:hAnsi="宋体"/>
          <w:kern w:val="0"/>
          <w:sz w:val="28"/>
          <w:szCs w:val="28"/>
          <w:fitText w:val="2520" w:id="1"/>
        </w:rPr>
        <w:t>：</w:t>
      </w:r>
      <w:r>
        <w:rPr>
          <w:rFonts w:hint="eastAsia" w:ascii="宋体" w:hAnsi="宋体"/>
          <w:spacing w:val="10"/>
          <w:sz w:val="28"/>
          <w:szCs w:val="28"/>
          <w:lang w:eastAsia="zh-CN"/>
        </w:rPr>
        <w:t>湘潭市岳塘区人民法院</w:t>
      </w:r>
    </w:p>
    <w:p>
      <w:pPr>
        <w:spacing w:line="600" w:lineRule="exact"/>
        <w:ind w:left="2240" w:hanging="2240" w:hangingChars="700"/>
        <w:jc w:val="left"/>
        <w:rPr>
          <w:rFonts w:ascii="宋体" w:hAnsi="宋体"/>
          <w:spacing w:val="46"/>
          <w:kern w:val="0"/>
          <w:sz w:val="28"/>
          <w:szCs w:val="28"/>
        </w:rPr>
      </w:pPr>
      <w:r>
        <w:rPr>
          <w:rFonts w:hint="eastAsia" w:ascii="宋体" w:hAnsi="宋体"/>
          <w:spacing w:val="20"/>
          <w:kern w:val="0"/>
          <w:sz w:val="28"/>
          <w:szCs w:val="28"/>
          <w:fitText w:val="2520" w:id="2"/>
        </w:rPr>
        <w:t>房地产估价机构</w:t>
      </w:r>
      <w:r>
        <w:rPr>
          <w:rFonts w:hint="eastAsia" w:ascii="宋体" w:hAnsi="宋体"/>
          <w:kern w:val="0"/>
          <w:sz w:val="28"/>
          <w:szCs w:val="28"/>
          <w:fitText w:val="2520" w:id="2"/>
        </w:rPr>
        <w:t>：</w:t>
      </w:r>
      <w:r>
        <w:rPr>
          <w:rFonts w:hint="eastAsia" w:ascii="宋体" w:hAnsi="宋体"/>
          <w:sz w:val="28"/>
          <w:szCs w:val="28"/>
        </w:rPr>
        <w:t>湖南正佳房地产土地评估有限公司</w:t>
      </w:r>
    </w:p>
    <w:p>
      <w:pPr>
        <w:spacing w:line="600" w:lineRule="exact"/>
        <w:ind w:left="1960" w:hanging="1960" w:hangingChars="700"/>
        <w:jc w:val="left"/>
        <w:rPr>
          <w:rFonts w:ascii="宋体" w:hAnsi="宋体"/>
          <w:sz w:val="28"/>
          <w:szCs w:val="28"/>
        </w:rPr>
      </w:pPr>
      <w:r>
        <w:rPr>
          <w:rFonts w:hint="eastAsia" w:ascii="宋体" w:hAnsi="宋体"/>
          <w:kern w:val="0"/>
          <w:sz w:val="28"/>
          <w:szCs w:val="28"/>
          <w:fitText w:val="2520" w:id="3"/>
        </w:rPr>
        <w:t>注册房地产估价师：</w:t>
      </w:r>
      <w:r>
        <w:rPr>
          <w:rFonts w:hint="eastAsia" w:ascii="宋体" w:hAnsi="宋体"/>
          <w:sz w:val="28"/>
          <w:szCs w:val="28"/>
        </w:rPr>
        <w:t>董  刚（4320060009）</w:t>
      </w:r>
    </w:p>
    <w:p>
      <w:pPr>
        <w:spacing w:line="600" w:lineRule="exact"/>
        <w:ind w:firstLine="2520" w:firstLineChars="900"/>
        <w:jc w:val="left"/>
        <w:rPr>
          <w:rFonts w:ascii="宋体" w:hAnsi="宋体"/>
          <w:sz w:val="28"/>
          <w:szCs w:val="28"/>
        </w:rPr>
      </w:pPr>
      <w:r>
        <w:rPr>
          <w:rFonts w:hint="eastAsia" w:ascii="宋体" w:hAnsi="宋体"/>
          <w:sz w:val="28"/>
          <w:szCs w:val="28"/>
        </w:rPr>
        <w:t>曾玉凤（4320200001）</w:t>
      </w:r>
    </w:p>
    <w:p>
      <w:pPr>
        <w:spacing w:line="600" w:lineRule="exact"/>
        <w:ind w:left="1960" w:hanging="1960" w:hangingChars="700"/>
        <w:jc w:val="left"/>
        <w:rPr>
          <w:rFonts w:hint="eastAsia" w:ascii="宋体" w:hAnsi="宋体" w:eastAsia="宋体"/>
          <w:spacing w:val="46"/>
          <w:kern w:val="0"/>
          <w:sz w:val="28"/>
          <w:szCs w:val="28"/>
          <w:lang w:eastAsia="zh-CN"/>
        </w:rPr>
      </w:pPr>
      <w:r>
        <w:rPr>
          <w:rFonts w:hint="eastAsia" w:ascii="宋体" w:hAnsi="宋体"/>
          <w:kern w:val="0"/>
          <w:sz w:val="28"/>
          <w:szCs w:val="28"/>
          <w:fitText w:val="2520" w:id="4"/>
        </w:rPr>
        <w:t>估价报告出具日期：</w:t>
      </w:r>
      <w:r>
        <w:rPr>
          <w:rFonts w:hint="eastAsia" w:ascii="宋体" w:hAnsi="宋体"/>
          <w:spacing w:val="10"/>
          <w:sz w:val="28"/>
          <w:szCs w:val="28"/>
          <w:lang w:eastAsia="zh-CN"/>
        </w:rPr>
        <w:t>2020年11月2日</w:t>
      </w:r>
    </w:p>
    <w:p>
      <w:pPr>
        <w:pStyle w:val="3"/>
        <w:keepNext w:val="0"/>
        <w:spacing w:beforeLines="50" w:afterLines="50" w:line="560" w:lineRule="exact"/>
        <w:ind w:left="0" w:firstLine="0"/>
        <w:jc w:val="center"/>
        <w:rPr>
          <w:rFonts w:ascii="宋体" w:hAnsi="宋体"/>
          <w:spacing w:val="10"/>
          <w:sz w:val="24"/>
        </w:rPr>
      </w:pPr>
      <w:r>
        <w:rPr>
          <w:rFonts w:hint="eastAsia" w:ascii="宋体" w:hAnsi="宋体"/>
          <w:spacing w:val="10"/>
          <w:sz w:val="24"/>
        </w:rPr>
        <w:br w:type="page"/>
      </w:r>
    </w:p>
    <w:p>
      <w:pPr>
        <w:pStyle w:val="3"/>
        <w:keepNext w:val="0"/>
        <w:spacing w:beforeLines="50" w:afterLines="50" w:line="560" w:lineRule="exact"/>
        <w:ind w:left="0" w:firstLine="0"/>
        <w:jc w:val="center"/>
        <w:rPr>
          <w:rFonts w:ascii="黑体" w:hAnsi="黑体" w:eastAsia="黑体"/>
          <w:sz w:val="36"/>
          <w:szCs w:val="36"/>
        </w:rPr>
      </w:pPr>
      <w:r>
        <w:rPr>
          <w:rFonts w:hint="eastAsia" w:ascii="黑体" w:hAnsi="黑体" w:eastAsia="黑体"/>
          <w:sz w:val="36"/>
          <w:szCs w:val="36"/>
        </w:rPr>
        <w:t>致估价委托人函</w:t>
      </w:r>
    </w:p>
    <w:p>
      <w:pPr>
        <w:spacing w:line="640" w:lineRule="exact"/>
        <w:rPr>
          <w:rFonts w:ascii="宋体" w:hAnsi="宋体"/>
          <w:b/>
          <w:bCs/>
          <w:spacing w:val="10"/>
          <w:sz w:val="24"/>
        </w:rPr>
      </w:pPr>
      <w:r>
        <w:rPr>
          <w:rFonts w:hint="eastAsia" w:ascii="宋体" w:hAnsi="宋体"/>
          <w:b/>
          <w:spacing w:val="10"/>
          <w:sz w:val="28"/>
          <w:szCs w:val="28"/>
          <w:lang w:eastAsia="zh-CN"/>
        </w:rPr>
        <w:t>湘潭市岳塘区人民法院</w:t>
      </w:r>
      <w:r>
        <w:rPr>
          <w:rFonts w:hint="eastAsia" w:ascii="宋体" w:hAnsi="宋体"/>
          <w:b/>
          <w:bCs/>
          <w:spacing w:val="10"/>
          <w:sz w:val="24"/>
        </w:rPr>
        <w:t>：</w:t>
      </w:r>
    </w:p>
    <w:p>
      <w:pPr>
        <w:spacing w:line="460" w:lineRule="exact"/>
        <w:ind w:firstLine="480" w:firstLineChars="200"/>
        <w:rPr>
          <w:rFonts w:ascii="宋体" w:hAnsi="宋体"/>
          <w:sz w:val="24"/>
        </w:rPr>
      </w:pPr>
      <w:r>
        <w:rPr>
          <w:rFonts w:hint="eastAsia" w:ascii="宋体" w:hAnsi="宋体"/>
          <w:sz w:val="24"/>
        </w:rPr>
        <w:t>承蒙委托，我公司秉承客观、公正、科学、独立的原则，对</w:t>
      </w:r>
      <w:r>
        <w:rPr>
          <w:rFonts w:hint="eastAsia" w:ascii="宋体" w:hAnsi="宋体"/>
          <w:sz w:val="24"/>
          <w:lang w:eastAsia="zh-CN"/>
        </w:rPr>
        <w:t>章焜、郭倚含</w:t>
      </w:r>
      <w:r>
        <w:rPr>
          <w:rFonts w:hint="eastAsia" w:ascii="宋体" w:hAnsi="宋体"/>
          <w:sz w:val="24"/>
        </w:rPr>
        <w:t>所有的位于</w:t>
      </w:r>
      <w:r>
        <w:rPr>
          <w:rFonts w:hint="eastAsia" w:ascii="宋体" w:hAnsi="宋体"/>
          <w:sz w:val="24"/>
          <w:lang w:eastAsia="zh-CN"/>
        </w:rPr>
        <w:t>岳塘区宝塔街道芙蓉中路19号湖湘林语28栋2单元1302004号</w:t>
      </w:r>
      <w:r>
        <w:rPr>
          <w:rFonts w:hint="eastAsia" w:ascii="宋体" w:hAnsi="宋体"/>
          <w:sz w:val="24"/>
        </w:rPr>
        <w:t>房地产（以下简称估价对象）进行了房地产市场价值评估。</w:t>
      </w:r>
    </w:p>
    <w:p>
      <w:pPr>
        <w:spacing w:line="460" w:lineRule="exact"/>
        <w:ind w:firstLine="480" w:firstLineChars="200"/>
        <w:rPr>
          <w:rFonts w:ascii="宋体" w:hAnsi="宋体"/>
          <w:sz w:val="24"/>
        </w:rPr>
      </w:pPr>
      <w:r>
        <w:rPr>
          <w:rFonts w:hint="eastAsia" w:ascii="宋体" w:hAnsi="宋体"/>
          <w:sz w:val="24"/>
        </w:rPr>
        <w:t>估价对象：</w:t>
      </w:r>
      <w:r>
        <w:rPr>
          <w:rFonts w:hint="eastAsia" w:ascii="宋体" w:hAnsi="宋体"/>
          <w:sz w:val="24"/>
          <w:lang w:eastAsia="zh-CN"/>
        </w:rPr>
        <w:t>章焜、郭倚含</w:t>
      </w:r>
      <w:r>
        <w:rPr>
          <w:rFonts w:hint="eastAsia" w:ascii="宋体" w:hAnsi="宋体"/>
          <w:sz w:val="24"/>
        </w:rPr>
        <w:t>所有的位于</w:t>
      </w:r>
      <w:r>
        <w:rPr>
          <w:rFonts w:hint="eastAsia" w:ascii="宋体" w:hAnsi="宋体"/>
          <w:sz w:val="24"/>
          <w:lang w:eastAsia="zh-CN"/>
        </w:rPr>
        <w:t>岳塘区宝塔街道芙蓉中路19号湖湘林语28栋2单元1302004号</w:t>
      </w:r>
      <w:r>
        <w:rPr>
          <w:rFonts w:hint="eastAsia" w:ascii="宋体" w:hAnsi="宋体"/>
          <w:sz w:val="24"/>
        </w:rPr>
        <w:t>一处住宅房地产，建筑面积为</w:t>
      </w:r>
      <w:r>
        <w:rPr>
          <w:rFonts w:hint="eastAsia" w:ascii="宋体" w:hAnsi="宋体"/>
          <w:sz w:val="24"/>
          <w:lang w:eastAsia="zh-CN"/>
        </w:rPr>
        <w:t>131.14</w:t>
      </w:r>
      <w:r>
        <w:rPr>
          <w:rFonts w:hint="eastAsia" w:ascii="宋体" w:hAnsi="宋体"/>
          <w:sz w:val="24"/>
        </w:rPr>
        <w:t>㎡，此次评估范围为房屋、房屋分摊的</w:t>
      </w:r>
      <w:r>
        <w:rPr>
          <w:rFonts w:hint="eastAsia" w:ascii="宋体" w:hAnsi="宋体"/>
          <w:sz w:val="24"/>
          <w:lang w:eastAsia="zh-CN"/>
        </w:rPr>
        <w:t>土地使用权价值</w:t>
      </w:r>
      <w:r>
        <w:rPr>
          <w:rFonts w:hint="eastAsia" w:ascii="宋体" w:hAnsi="宋体"/>
          <w:sz w:val="24"/>
        </w:rPr>
        <w:t>。</w:t>
      </w:r>
    </w:p>
    <w:p>
      <w:pPr>
        <w:spacing w:line="460" w:lineRule="exact"/>
        <w:ind w:firstLine="520" w:firstLineChars="200"/>
        <w:rPr>
          <w:rFonts w:ascii="宋体" w:hAnsi="宋体"/>
          <w:spacing w:val="10"/>
          <w:sz w:val="24"/>
        </w:rPr>
      </w:pPr>
      <w:r>
        <w:rPr>
          <w:rFonts w:hint="eastAsia" w:ascii="宋体" w:hAnsi="宋体"/>
          <w:spacing w:val="10"/>
          <w:sz w:val="24"/>
        </w:rPr>
        <w:t>价值时点：</w:t>
      </w:r>
      <w:r>
        <w:rPr>
          <w:rFonts w:hint="eastAsia" w:ascii="宋体" w:hAnsi="宋体"/>
          <w:spacing w:val="10"/>
          <w:sz w:val="24"/>
          <w:lang w:eastAsia="zh-CN"/>
        </w:rPr>
        <w:t>2020年10月26日</w:t>
      </w:r>
      <w:r>
        <w:rPr>
          <w:rFonts w:hint="eastAsia" w:ascii="宋体" w:hAnsi="宋体"/>
          <w:spacing w:val="10"/>
          <w:sz w:val="24"/>
        </w:rPr>
        <w:t>。</w:t>
      </w:r>
    </w:p>
    <w:p>
      <w:pPr>
        <w:spacing w:line="460" w:lineRule="exact"/>
        <w:ind w:firstLine="520" w:firstLineChars="200"/>
        <w:rPr>
          <w:rFonts w:ascii="宋体" w:hAnsi="宋体"/>
          <w:sz w:val="24"/>
        </w:rPr>
      </w:pPr>
      <w:r>
        <w:rPr>
          <w:rFonts w:hint="eastAsia" w:ascii="宋体" w:hAnsi="宋体"/>
          <w:spacing w:val="10"/>
          <w:sz w:val="24"/>
        </w:rPr>
        <w:t>估价目的：</w:t>
      </w:r>
      <w:r>
        <w:rPr>
          <w:rFonts w:hint="eastAsia" w:ascii="宋体" w:hAnsi="宋体"/>
          <w:sz w:val="24"/>
        </w:rPr>
        <w:t>为委托方因司法处置的需要提供估价对象房地产市场价值参考</w:t>
      </w:r>
      <w:r>
        <w:rPr>
          <w:rFonts w:ascii="宋体" w:hAnsi="宋体"/>
          <w:sz w:val="24"/>
        </w:rPr>
        <w:t>。</w:t>
      </w:r>
    </w:p>
    <w:p>
      <w:pPr>
        <w:spacing w:line="460" w:lineRule="exact"/>
        <w:ind w:firstLine="520" w:firstLineChars="200"/>
        <w:rPr>
          <w:rFonts w:ascii="宋体" w:hAnsi="宋体"/>
          <w:spacing w:val="10"/>
          <w:sz w:val="24"/>
        </w:rPr>
      </w:pPr>
      <w:r>
        <w:rPr>
          <w:rFonts w:hint="eastAsia" w:ascii="宋体" w:hAnsi="宋体"/>
          <w:spacing w:val="10"/>
          <w:sz w:val="24"/>
        </w:rPr>
        <w:t>价值类型：房地产市场价值。未考虑房屋抵押、租赁、查封及其他债权债务对价值的影响。</w:t>
      </w:r>
    </w:p>
    <w:p>
      <w:pPr>
        <w:spacing w:line="460" w:lineRule="exact"/>
        <w:ind w:firstLine="520" w:firstLineChars="200"/>
        <w:rPr>
          <w:rFonts w:ascii="宋体" w:hAnsi="宋体"/>
          <w:spacing w:val="10"/>
          <w:sz w:val="24"/>
        </w:rPr>
      </w:pPr>
      <w:r>
        <w:rPr>
          <w:rFonts w:hint="eastAsia" w:ascii="宋体" w:hAnsi="宋体"/>
          <w:spacing w:val="10"/>
          <w:sz w:val="24"/>
        </w:rPr>
        <w:t>估价结果：注册房地产估价师经过实地查勘和市场调查，遵照国家法律法规、政策及技术标准，选用比较法和收益法进行了分析、测算和判断，确定在估价对象于市场上有足够的买方和卖方，并且进入市场无障碍的条件下，于价值时点的市场价值为人民币</w:t>
      </w:r>
      <w:r>
        <w:rPr>
          <w:rFonts w:hint="eastAsia" w:ascii="宋体" w:hAnsi="宋体"/>
          <w:spacing w:val="10"/>
          <w:sz w:val="24"/>
          <w:lang w:eastAsia="zh-CN"/>
        </w:rPr>
        <w:t>71.76</w:t>
      </w:r>
      <w:r>
        <w:rPr>
          <w:rFonts w:hint="eastAsia" w:ascii="宋体" w:hAnsi="宋体"/>
          <w:spacing w:val="10"/>
          <w:sz w:val="24"/>
        </w:rPr>
        <w:t>万元，大写金额人民币</w:t>
      </w:r>
      <w:r>
        <w:rPr>
          <w:rFonts w:hint="eastAsia" w:ascii="宋体" w:hAnsi="宋体"/>
          <w:b/>
          <w:bCs/>
          <w:spacing w:val="10"/>
          <w:sz w:val="24"/>
          <w:lang w:eastAsia="zh-CN"/>
        </w:rPr>
        <w:t>柒拾壹万柒仟陆佰</w:t>
      </w:r>
      <w:r>
        <w:rPr>
          <w:rFonts w:hint="eastAsia" w:ascii="宋体" w:hAnsi="宋体"/>
          <w:b/>
          <w:bCs/>
          <w:spacing w:val="10"/>
          <w:sz w:val="24"/>
        </w:rPr>
        <w:t>元整</w:t>
      </w:r>
      <w:r>
        <w:rPr>
          <w:rFonts w:hint="eastAsia" w:ascii="宋体" w:hAnsi="宋体"/>
          <w:spacing w:val="10"/>
          <w:sz w:val="24"/>
        </w:rPr>
        <w:t>（详见估价结果一览表）。</w:t>
      </w:r>
    </w:p>
    <w:p>
      <w:pPr>
        <w:spacing w:afterLines="50" w:line="560" w:lineRule="exact"/>
        <w:jc w:val="center"/>
        <w:rPr>
          <w:rFonts w:ascii="宋体" w:hAnsi="宋体"/>
          <w:spacing w:val="10"/>
          <w:sz w:val="24"/>
        </w:rPr>
      </w:pPr>
      <w:r>
        <w:rPr>
          <w:rFonts w:hint="eastAsia" w:ascii="宋体" w:hAnsi="宋体"/>
          <w:sz w:val="24"/>
          <w:lang w:val="en-US" w:eastAsia="zh-CN"/>
        </w:rPr>
        <w:t xml:space="preserve">                   </w:t>
      </w:r>
      <w:r>
        <w:rPr>
          <w:rFonts w:hint="eastAsia" w:ascii="宋体" w:hAnsi="宋体"/>
          <w:b/>
          <w:bCs/>
          <w:sz w:val="24"/>
          <w:lang w:val="en-US" w:eastAsia="zh-CN"/>
        </w:rPr>
        <w:t xml:space="preserve">        </w:t>
      </w:r>
      <w:r>
        <w:rPr>
          <w:rFonts w:hint="eastAsia" w:ascii="宋体" w:hAnsi="宋体"/>
          <w:b/>
          <w:bCs/>
          <w:sz w:val="24"/>
        </w:rPr>
        <w:t>估价结果一览表</w:t>
      </w:r>
      <w:r>
        <w:rPr>
          <w:rFonts w:hint="eastAsia" w:ascii="宋体" w:hAnsi="宋体"/>
          <w:sz w:val="24"/>
        </w:rPr>
        <w:t xml:space="preserve">              币种：人民币</w:t>
      </w:r>
    </w:p>
    <w:tbl>
      <w:tblPr>
        <w:tblStyle w:val="56"/>
        <w:tblW w:w="9378" w:type="dxa"/>
        <w:jc w:val="center"/>
        <w:tblInd w:w="0" w:type="dxa"/>
        <w:tblBorders>
          <w:top w:val="single" w:color="000000" w:sz="8" w:space="0"/>
          <w:left w:val="single" w:color="000000" w:sz="8" w:space="0"/>
          <w:bottom w:val="single" w:color="000000" w:sz="8" w:space="0"/>
          <w:right w:val="single" w:color="000000" w:sz="8" w:space="0"/>
          <w:insideH w:val="none" w:color="auto" w:sz="0" w:space="0"/>
          <w:insideV w:val="single" w:color="000000" w:sz="8" w:space="0"/>
        </w:tblBorders>
        <w:tblLayout w:type="fixed"/>
        <w:tblCellMar>
          <w:top w:w="0" w:type="dxa"/>
          <w:left w:w="0" w:type="dxa"/>
          <w:bottom w:w="0" w:type="dxa"/>
          <w:right w:w="0" w:type="dxa"/>
        </w:tblCellMar>
      </w:tblPr>
      <w:tblGrid>
        <w:gridCol w:w="2017"/>
        <w:gridCol w:w="1166"/>
        <w:gridCol w:w="1628"/>
        <w:gridCol w:w="559"/>
        <w:gridCol w:w="539"/>
        <w:gridCol w:w="555"/>
        <w:gridCol w:w="924"/>
        <w:gridCol w:w="974"/>
        <w:gridCol w:w="1016"/>
      </w:tblGrid>
      <w:tr>
        <w:tblPrEx>
          <w:tblBorders>
            <w:top w:val="single" w:color="000000" w:sz="8" w:space="0"/>
            <w:left w:val="single" w:color="000000" w:sz="8" w:space="0"/>
            <w:bottom w:val="single" w:color="000000" w:sz="8" w:space="0"/>
            <w:right w:val="single" w:color="000000" w:sz="8" w:space="0"/>
            <w:insideH w:val="none" w:color="auto" w:sz="0" w:space="0"/>
            <w:insideV w:val="single" w:color="000000" w:sz="8" w:space="0"/>
          </w:tblBorders>
          <w:tblLayout w:type="fixed"/>
          <w:tblCellMar>
            <w:top w:w="0" w:type="dxa"/>
            <w:left w:w="0" w:type="dxa"/>
            <w:bottom w:w="0" w:type="dxa"/>
            <w:right w:w="0" w:type="dxa"/>
          </w:tblCellMar>
        </w:tblPrEx>
        <w:trPr>
          <w:trHeight w:val="353" w:hRule="atLeast"/>
          <w:jc w:val="center"/>
        </w:trPr>
        <w:tc>
          <w:tcPr>
            <w:tcW w:w="2017" w:type="dxa"/>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权证编号</w:t>
            </w:r>
          </w:p>
        </w:tc>
        <w:tc>
          <w:tcPr>
            <w:tcW w:w="1166"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权利人</w:t>
            </w:r>
          </w:p>
        </w:tc>
        <w:tc>
          <w:tcPr>
            <w:tcW w:w="1628" w:type="dxa"/>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房屋坐落</w:t>
            </w:r>
          </w:p>
        </w:tc>
        <w:tc>
          <w:tcPr>
            <w:tcW w:w="559"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房屋</w:t>
            </w:r>
          </w:p>
        </w:tc>
        <w:tc>
          <w:tcPr>
            <w:tcW w:w="539"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房屋</w:t>
            </w:r>
          </w:p>
        </w:tc>
        <w:tc>
          <w:tcPr>
            <w:tcW w:w="555" w:type="dxa"/>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层次</w:t>
            </w:r>
          </w:p>
        </w:tc>
        <w:tc>
          <w:tcPr>
            <w:tcW w:w="92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建筑面积</w:t>
            </w:r>
          </w:p>
        </w:tc>
        <w:tc>
          <w:tcPr>
            <w:tcW w:w="9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评估单价</w:t>
            </w:r>
          </w:p>
        </w:tc>
        <w:tc>
          <w:tcPr>
            <w:tcW w:w="1016" w:type="dxa"/>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评估总价（万元）</w:t>
            </w:r>
          </w:p>
        </w:tc>
      </w:tr>
      <w:tr>
        <w:tblPrEx>
          <w:tblBorders>
            <w:top w:val="single" w:color="000000" w:sz="8" w:space="0"/>
            <w:left w:val="single" w:color="000000" w:sz="8" w:space="0"/>
            <w:bottom w:val="single" w:color="000000" w:sz="8" w:space="0"/>
            <w:right w:val="single" w:color="000000" w:sz="8" w:space="0"/>
            <w:insideH w:val="none" w:color="auto" w:sz="0" w:space="0"/>
            <w:insideV w:val="single" w:color="000000" w:sz="8" w:space="0"/>
          </w:tblBorders>
          <w:tblLayout w:type="fixed"/>
          <w:tblCellMar>
            <w:top w:w="0" w:type="dxa"/>
            <w:left w:w="0" w:type="dxa"/>
            <w:bottom w:w="0" w:type="dxa"/>
            <w:right w:w="0" w:type="dxa"/>
          </w:tblCellMar>
        </w:tblPrEx>
        <w:trPr>
          <w:trHeight w:val="285" w:hRule="atLeast"/>
          <w:jc w:val="center"/>
        </w:trPr>
        <w:tc>
          <w:tcPr>
            <w:tcW w:w="2017" w:type="dxa"/>
            <w:vMerge w:val="continue"/>
            <w:tcBorders>
              <w:bottom w:val="single" w:color="000000" w:sz="8" w:space="0"/>
              <w:tl2br w:val="nil"/>
              <w:tr2bl w:val="nil"/>
            </w:tcBorders>
            <w:shd w:val="clear" w:color="auto" w:fill="auto"/>
            <w:tcMar>
              <w:top w:w="15" w:type="dxa"/>
              <w:left w:w="15" w:type="dxa"/>
              <w:right w:w="15" w:type="dxa"/>
            </w:tcMar>
            <w:vAlign w:val="center"/>
          </w:tcPr>
          <w:p>
            <w:pPr>
              <w:jc w:val="center"/>
              <w:rPr>
                <w:rFonts w:ascii="宋体" w:hAnsi="宋体" w:cs="宋体"/>
                <w:b/>
                <w:color w:val="000000"/>
                <w:szCs w:val="21"/>
              </w:rPr>
            </w:pPr>
          </w:p>
        </w:tc>
        <w:tc>
          <w:tcPr>
            <w:tcW w:w="1166" w:type="dxa"/>
            <w:tcBorders>
              <w:bottom w:val="single" w:color="000000" w:sz="8" w:space="0"/>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姓名</w:t>
            </w:r>
          </w:p>
        </w:tc>
        <w:tc>
          <w:tcPr>
            <w:tcW w:w="1628" w:type="dxa"/>
            <w:vMerge w:val="continue"/>
            <w:tcBorders>
              <w:bottom w:val="single" w:color="000000" w:sz="8" w:space="0"/>
              <w:tl2br w:val="nil"/>
              <w:tr2bl w:val="nil"/>
            </w:tcBorders>
            <w:shd w:val="clear" w:color="auto" w:fill="auto"/>
            <w:tcMar>
              <w:top w:w="15" w:type="dxa"/>
              <w:left w:w="15" w:type="dxa"/>
              <w:right w:w="15" w:type="dxa"/>
            </w:tcMar>
            <w:vAlign w:val="center"/>
          </w:tcPr>
          <w:p>
            <w:pPr>
              <w:jc w:val="center"/>
              <w:rPr>
                <w:rFonts w:ascii="宋体" w:hAnsi="宋体" w:cs="宋体"/>
                <w:b/>
                <w:color w:val="000000"/>
                <w:szCs w:val="21"/>
              </w:rPr>
            </w:pPr>
          </w:p>
        </w:tc>
        <w:tc>
          <w:tcPr>
            <w:tcW w:w="559" w:type="dxa"/>
            <w:tcBorders>
              <w:bottom w:val="single" w:color="000000" w:sz="8" w:space="0"/>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结构</w:t>
            </w:r>
          </w:p>
        </w:tc>
        <w:tc>
          <w:tcPr>
            <w:tcW w:w="539" w:type="dxa"/>
            <w:tcBorders>
              <w:bottom w:val="single" w:color="000000" w:sz="8" w:space="0"/>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用途</w:t>
            </w:r>
          </w:p>
        </w:tc>
        <w:tc>
          <w:tcPr>
            <w:tcW w:w="555" w:type="dxa"/>
            <w:vMerge w:val="continue"/>
            <w:tcBorders>
              <w:bottom w:val="single" w:color="000000" w:sz="8" w:space="0"/>
              <w:tl2br w:val="nil"/>
              <w:tr2bl w:val="nil"/>
            </w:tcBorders>
            <w:shd w:val="clear" w:color="auto" w:fill="auto"/>
            <w:tcMar>
              <w:top w:w="15" w:type="dxa"/>
              <w:left w:w="15" w:type="dxa"/>
              <w:right w:w="15" w:type="dxa"/>
            </w:tcMar>
            <w:vAlign w:val="center"/>
          </w:tcPr>
          <w:p>
            <w:pPr>
              <w:jc w:val="center"/>
              <w:rPr>
                <w:rFonts w:ascii="宋体" w:hAnsi="宋体" w:cs="宋体"/>
                <w:b/>
                <w:color w:val="000000"/>
                <w:szCs w:val="21"/>
              </w:rPr>
            </w:pPr>
          </w:p>
        </w:tc>
        <w:tc>
          <w:tcPr>
            <w:tcW w:w="924" w:type="dxa"/>
            <w:tcBorders>
              <w:bottom w:val="single" w:color="000000" w:sz="8" w:space="0"/>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w:t>
            </w:r>
          </w:p>
        </w:tc>
        <w:tc>
          <w:tcPr>
            <w:tcW w:w="974" w:type="dxa"/>
            <w:tcBorders>
              <w:bottom w:val="single" w:color="000000" w:sz="8" w:space="0"/>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（元/㎡）</w:t>
            </w:r>
          </w:p>
        </w:tc>
        <w:tc>
          <w:tcPr>
            <w:tcW w:w="1016" w:type="dxa"/>
            <w:vMerge w:val="continue"/>
            <w:tcBorders>
              <w:bottom w:val="single" w:color="000000" w:sz="8" w:space="0"/>
              <w:tl2br w:val="nil"/>
              <w:tr2bl w:val="nil"/>
            </w:tcBorders>
            <w:shd w:val="clear" w:color="auto" w:fill="auto"/>
            <w:tcMar>
              <w:top w:w="15" w:type="dxa"/>
              <w:left w:w="15" w:type="dxa"/>
              <w:right w:w="15" w:type="dxa"/>
            </w:tcMar>
            <w:vAlign w:val="center"/>
          </w:tcPr>
          <w:p>
            <w:pPr>
              <w:jc w:val="center"/>
              <w:rPr>
                <w:rFonts w:ascii="宋体" w:hAnsi="宋体" w:cs="宋体"/>
                <w:b/>
                <w:color w:val="000000"/>
                <w:szCs w:val="21"/>
              </w:rPr>
            </w:pPr>
          </w:p>
        </w:tc>
      </w:tr>
      <w:tr>
        <w:tblPrEx>
          <w:tblBorders>
            <w:top w:val="single" w:color="000000" w:sz="8" w:space="0"/>
            <w:left w:val="single" w:color="000000" w:sz="8" w:space="0"/>
            <w:bottom w:val="single" w:color="000000" w:sz="8" w:space="0"/>
            <w:right w:val="single" w:color="000000" w:sz="8" w:space="0"/>
            <w:insideH w:val="none" w:color="auto" w:sz="0" w:space="0"/>
            <w:insideV w:val="single" w:color="000000" w:sz="8" w:space="0"/>
          </w:tblBorders>
          <w:tblLayout w:type="fixed"/>
          <w:tblCellMar>
            <w:top w:w="0" w:type="dxa"/>
            <w:left w:w="0" w:type="dxa"/>
            <w:bottom w:w="0" w:type="dxa"/>
            <w:right w:w="0" w:type="dxa"/>
          </w:tblCellMar>
        </w:tblPrEx>
        <w:trPr>
          <w:trHeight w:val="827" w:hRule="atLeast"/>
          <w:jc w:val="center"/>
        </w:trPr>
        <w:tc>
          <w:tcPr>
            <w:tcW w:w="2017" w:type="dxa"/>
            <w:tcBorders>
              <w:top w:val="single" w:color="000000" w:sz="8"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eastAsia="zh-CN"/>
              </w:rPr>
              <w:t>湘（2016）湘潭市不动产权第0009056号、湘（2016）湘潭市不动产权第0009057号</w:t>
            </w:r>
          </w:p>
        </w:tc>
        <w:tc>
          <w:tcPr>
            <w:tcW w:w="1166" w:type="dxa"/>
            <w:tcBorders>
              <w:top w:val="single" w:color="000000" w:sz="8"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eastAsia="zh-CN"/>
              </w:rPr>
              <w:t>章焜、郭倚含</w:t>
            </w:r>
          </w:p>
        </w:tc>
        <w:tc>
          <w:tcPr>
            <w:tcW w:w="1628" w:type="dxa"/>
            <w:tcBorders>
              <w:top w:val="single" w:color="000000" w:sz="8"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eastAsia="zh-CN"/>
              </w:rPr>
              <w:t>岳塘区宝塔街道芙蓉中路19号湖湘林语28栋2单元1302004号</w:t>
            </w:r>
          </w:p>
        </w:tc>
        <w:tc>
          <w:tcPr>
            <w:tcW w:w="559" w:type="dxa"/>
            <w:tcBorders>
              <w:top w:val="single" w:color="000000" w:sz="8"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eastAsia="zh-CN"/>
              </w:rPr>
              <w:t>钢混</w:t>
            </w:r>
          </w:p>
        </w:tc>
        <w:tc>
          <w:tcPr>
            <w:tcW w:w="539" w:type="dxa"/>
            <w:tcBorders>
              <w:top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住宅</w:t>
            </w:r>
          </w:p>
        </w:tc>
        <w:tc>
          <w:tcPr>
            <w:tcW w:w="555" w:type="dxa"/>
            <w:tcBorders>
              <w:top w:val="single" w:color="000000" w:sz="8"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eastAsia="zh-CN"/>
              </w:rPr>
              <w:t>13/16</w:t>
            </w:r>
          </w:p>
        </w:tc>
        <w:tc>
          <w:tcPr>
            <w:tcW w:w="924" w:type="dxa"/>
            <w:tcBorders>
              <w:top w:val="single" w:color="000000" w:sz="8"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eastAsia="zh-CN"/>
              </w:rPr>
              <w:t>131.14</w:t>
            </w:r>
          </w:p>
        </w:tc>
        <w:tc>
          <w:tcPr>
            <w:tcW w:w="974" w:type="dxa"/>
            <w:tcBorders>
              <w:top w:val="single" w:color="000000" w:sz="8"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eastAsia="zh-CN"/>
              </w:rPr>
              <w:t>5472</w:t>
            </w:r>
          </w:p>
        </w:tc>
        <w:tc>
          <w:tcPr>
            <w:tcW w:w="1016" w:type="dxa"/>
            <w:tcBorders>
              <w:top w:val="single" w:color="000000" w:sz="8"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eastAsia="zh-CN"/>
              </w:rPr>
              <w:t>71.76</w:t>
            </w:r>
          </w:p>
        </w:tc>
      </w:tr>
    </w:tbl>
    <w:p>
      <w:pPr>
        <w:widowControl/>
        <w:spacing w:line="460" w:lineRule="exact"/>
        <w:ind w:firstLine="520" w:firstLineChars="200"/>
        <w:jc w:val="left"/>
        <w:rPr>
          <w:rFonts w:ascii="宋体" w:hAnsi="宋体"/>
          <w:spacing w:val="10"/>
          <w:sz w:val="24"/>
        </w:rPr>
      </w:pPr>
      <w:r>
        <w:rPr>
          <w:rFonts w:hint="eastAsia" w:ascii="宋体" w:hAnsi="宋体"/>
          <w:spacing w:val="10"/>
          <w:sz w:val="24"/>
        </w:rPr>
        <w:t>特别提示：报告使用人在使用本报告之前须对报告全文，特别是“估价的假设和限制条件”认真阅读，以免使用不当，造成损失。估价的详细结果及有关说明，请见《估价结果报告》。</w:t>
      </w:r>
    </w:p>
    <w:p>
      <w:pPr>
        <w:spacing w:line="420" w:lineRule="exact"/>
        <w:ind w:right="200" w:firstLine="520" w:firstLineChars="200"/>
        <w:jc w:val="right"/>
        <w:rPr>
          <w:rFonts w:ascii="宋体" w:hAnsi="宋体"/>
          <w:spacing w:val="10"/>
          <w:sz w:val="24"/>
        </w:rPr>
      </w:pPr>
      <w:r>
        <w:rPr>
          <w:rFonts w:hint="eastAsia" w:ascii="宋体" w:hAnsi="宋体"/>
          <w:spacing w:val="10"/>
          <w:sz w:val="24"/>
        </w:rPr>
        <w:t>湖南正佳房地产土地评估有限公司</w:t>
      </w:r>
    </w:p>
    <w:p>
      <w:pPr>
        <w:spacing w:line="420" w:lineRule="exact"/>
        <w:ind w:right="720" w:firstLine="5200" w:firstLineChars="2000"/>
        <w:rPr>
          <w:rFonts w:ascii="宋体" w:hAnsi="宋体"/>
          <w:spacing w:val="10"/>
          <w:sz w:val="24"/>
        </w:rPr>
      </w:pPr>
      <w:r>
        <w:rPr>
          <w:rFonts w:hint="eastAsia" w:ascii="宋体" w:hAnsi="宋体"/>
          <w:spacing w:val="10"/>
          <w:sz w:val="24"/>
        </w:rPr>
        <w:t xml:space="preserve">法定代表人：              </w:t>
      </w:r>
    </w:p>
    <w:p>
      <w:pPr>
        <w:spacing w:line="420" w:lineRule="exact"/>
        <w:ind w:firstLine="5520" w:firstLineChars="2300"/>
        <w:jc w:val="center"/>
        <w:rPr>
          <w:rFonts w:ascii="宋体" w:hAnsi="宋体"/>
          <w:sz w:val="24"/>
        </w:rPr>
      </w:pPr>
      <w:r>
        <w:rPr>
          <w:rFonts w:hint="eastAsia" w:ascii="宋体" w:hAnsi="宋体"/>
          <w:sz w:val="24"/>
        </w:rPr>
        <w:t>二○二○年</w:t>
      </w:r>
      <w:r>
        <w:rPr>
          <w:rFonts w:hint="eastAsia" w:ascii="宋体" w:hAnsi="宋体"/>
          <w:sz w:val="24"/>
          <w:lang w:eastAsia="zh-CN"/>
        </w:rPr>
        <w:t>十一</w:t>
      </w:r>
      <w:r>
        <w:rPr>
          <w:rFonts w:hint="eastAsia" w:ascii="宋体" w:hAnsi="宋体"/>
          <w:sz w:val="24"/>
        </w:rPr>
        <w:t>月</w:t>
      </w:r>
      <w:r>
        <w:rPr>
          <w:rFonts w:hint="eastAsia" w:ascii="宋体" w:hAnsi="宋体"/>
          <w:sz w:val="24"/>
          <w:lang w:eastAsia="zh-CN"/>
        </w:rPr>
        <w:t>二</w:t>
      </w:r>
      <w:r>
        <w:rPr>
          <w:rFonts w:hint="eastAsia" w:ascii="宋体" w:hAnsi="宋体"/>
          <w:sz w:val="24"/>
        </w:rPr>
        <w:t>日</w:t>
      </w:r>
      <w:r>
        <w:rPr>
          <w:rFonts w:ascii="宋体" w:hAnsi="宋体"/>
          <w:sz w:val="24"/>
        </w:rPr>
        <w:br w:type="page"/>
      </w:r>
      <w:r>
        <w:rPr>
          <w:rFonts w:hint="eastAsia" w:ascii="黑体" w:hAnsi="黑体" w:eastAsia="黑体"/>
          <w:sz w:val="36"/>
          <w:szCs w:val="36"/>
        </w:rPr>
        <w:t>目  录</w:t>
      </w:r>
    </w:p>
    <w:p>
      <w:pPr>
        <w:tabs>
          <w:tab w:val="left" w:pos="720"/>
        </w:tabs>
        <w:spacing w:line="600" w:lineRule="exact"/>
        <w:rPr>
          <w:rFonts w:ascii="宋体" w:hAnsi="宋体"/>
          <w:sz w:val="24"/>
        </w:rPr>
      </w:pPr>
      <w:r>
        <w:rPr>
          <w:rFonts w:hint="eastAsia" w:ascii="宋体" w:hAnsi="宋体"/>
          <w:sz w:val="24"/>
        </w:rPr>
        <w:t>估价师声明　</w:t>
      </w:r>
      <w:r>
        <w:rPr>
          <w:rFonts w:ascii="宋体" w:hAnsi="宋体"/>
          <w:sz w:val="24"/>
        </w:rPr>
        <w:t>………………………………………………………………………………</w:t>
      </w:r>
      <w:r>
        <w:rPr>
          <w:rFonts w:hint="eastAsia" w:ascii="宋体" w:hAnsi="宋体"/>
          <w:sz w:val="24"/>
        </w:rPr>
        <w:t>4</w:t>
      </w:r>
    </w:p>
    <w:p>
      <w:pPr>
        <w:tabs>
          <w:tab w:val="left" w:pos="720"/>
        </w:tabs>
        <w:spacing w:line="600" w:lineRule="exact"/>
        <w:rPr>
          <w:rFonts w:ascii="宋体" w:hAnsi="宋体"/>
          <w:sz w:val="24"/>
        </w:rPr>
      </w:pPr>
      <w:r>
        <w:rPr>
          <w:rFonts w:hint="eastAsia" w:ascii="宋体" w:hAnsi="宋体"/>
          <w:sz w:val="24"/>
        </w:rPr>
        <w:t>估价假设和限制条件</w:t>
      </w:r>
      <w:r>
        <w:rPr>
          <w:rFonts w:ascii="宋体" w:hAnsi="宋体"/>
          <w:sz w:val="24"/>
        </w:rPr>
        <w:t>………………………………………………………………………</w:t>
      </w:r>
      <w:r>
        <w:rPr>
          <w:rFonts w:hint="eastAsia" w:ascii="宋体" w:hAnsi="宋体"/>
          <w:sz w:val="24"/>
        </w:rPr>
        <w:t>5</w:t>
      </w:r>
    </w:p>
    <w:p>
      <w:pPr>
        <w:tabs>
          <w:tab w:val="left" w:pos="720"/>
        </w:tabs>
        <w:spacing w:line="600" w:lineRule="exact"/>
        <w:rPr>
          <w:rFonts w:ascii="宋体" w:hAnsi="宋体"/>
          <w:sz w:val="24"/>
        </w:rPr>
      </w:pPr>
      <w:r>
        <w:rPr>
          <w:rFonts w:hint="eastAsia" w:ascii="宋体" w:hAnsi="宋体"/>
          <w:sz w:val="24"/>
        </w:rPr>
        <w:t>估价结果报告　</w:t>
      </w:r>
      <w:r>
        <w:rPr>
          <w:rFonts w:ascii="宋体" w:hAnsi="宋体"/>
          <w:sz w:val="24"/>
        </w:rPr>
        <w:t>……………………………………………………………………………</w:t>
      </w:r>
      <w:r>
        <w:rPr>
          <w:rFonts w:hint="eastAsia" w:ascii="宋体" w:hAnsi="宋体"/>
          <w:sz w:val="24"/>
        </w:rPr>
        <w:t>7</w:t>
      </w:r>
    </w:p>
    <w:p>
      <w:pPr>
        <w:pStyle w:val="17"/>
        <w:spacing w:line="600" w:lineRule="exact"/>
        <w:ind w:left="0" w:firstLine="480" w:firstLineChars="200"/>
        <w:rPr>
          <w:rFonts w:ascii="宋体" w:hAnsi="宋体" w:eastAsia="宋体"/>
          <w:sz w:val="24"/>
        </w:rPr>
      </w:pPr>
      <w:r>
        <w:rPr>
          <w:rFonts w:hint="eastAsia" w:ascii="宋体" w:hAnsi="宋体" w:eastAsia="宋体"/>
          <w:sz w:val="24"/>
        </w:rPr>
        <w:t>一、估价委托人</w:t>
      </w:r>
    </w:p>
    <w:p>
      <w:pPr>
        <w:pStyle w:val="17"/>
        <w:spacing w:line="600" w:lineRule="exact"/>
        <w:ind w:left="0" w:firstLine="480" w:firstLineChars="200"/>
        <w:rPr>
          <w:rFonts w:ascii="宋体" w:hAnsi="宋体" w:eastAsia="宋体"/>
          <w:sz w:val="24"/>
        </w:rPr>
      </w:pPr>
      <w:r>
        <w:rPr>
          <w:rFonts w:hint="eastAsia" w:ascii="宋体" w:hAnsi="宋体" w:eastAsia="宋体"/>
          <w:sz w:val="24"/>
        </w:rPr>
        <w:t>二、房地产估价机构</w:t>
      </w:r>
    </w:p>
    <w:p>
      <w:pPr>
        <w:pStyle w:val="17"/>
        <w:spacing w:line="600" w:lineRule="exact"/>
        <w:ind w:left="0" w:firstLine="480" w:firstLineChars="200"/>
        <w:rPr>
          <w:rFonts w:ascii="宋体" w:hAnsi="宋体" w:eastAsia="宋体"/>
          <w:sz w:val="24"/>
        </w:rPr>
      </w:pPr>
      <w:r>
        <w:rPr>
          <w:rFonts w:hint="eastAsia" w:ascii="宋体" w:hAnsi="宋体" w:eastAsia="宋体"/>
          <w:sz w:val="24"/>
        </w:rPr>
        <w:t>三、估价目的</w:t>
      </w:r>
    </w:p>
    <w:p>
      <w:pPr>
        <w:pStyle w:val="17"/>
        <w:spacing w:line="600" w:lineRule="exact"/>
        <w:ind w:left="0" w:firstLine="480" w:firstLineChars="200"/>
        <w:rPr>
          <w:rFonts w:ascii="宋体" w:hAnsi="宋体" w:eastAsia="宋体"/>
          <w:sz w:val="24"/>
        </w:rPr>
      </w:pPr>
      <w:r>
        <w:rPr>
          <w:rFonts w:hint="eastAsia" w:ascii="宋体" w:hAnsi="宋体" w:eastAsia="宋体"/>
          <w:sz w:val="24"/>
        </w:rPr>
        <w:t>四、</w:t>
      </w:r>
      <w:r>
        <w:rPr>
          <w:rFonts w:hint="eastAsia" w:ascii="宋体" w:hAnsi="宋体" w:eastAsia="宋体"/>
          <w:spacing w:val="10"/>
          <w:sz w:val="24"/>
        </w:rPr>
        <w:t>估价对象</w:t>
      </w:r>
    </w:p>
    <w:p>
      <w:pPr>
        <w:pStyle w:val="17"/>
        <w:spacing w:line="600" w:lineRule="exact"/>
        <w:ind w:left="0" w:firstLine="480" w:firstLineChars="200"/>
        <w:rPr>
          <w:rFonts w:ascii="宋体" w:hAnsi="宋体" w:eastAsia="宋体"/>
          <w:sz w:val="24"/>
        </w:rPr>
      </w:pPr>
      <w:r>
        <w:rPr>
          <w:rFonts w:hint="eastAsia" w:ascii="宋体" w:hAnsi="宋体" w:eastAsia="宋体"/>
          <w:sz w:val="24"/>
        </w:rPr>
        <w:t>五、</w:t>
      </w:r>
      <w:r>
        <w:rPr>
          <w:rFonts w:hint="eastAsia" w:ascii="宋体" w:hAnsi="宋体" w:eastAsia="宋体"/>
          <w:spacing w:val="10"/>
          <w:sz w:val="24"/>
        </w:rPr>
        <w:t>价值时点</w:t>
      </w:r>
    </w:p>
    <w:p>
      <w:pPr>
        <w:pStyle w:val="17"/>
        <w:spacing w:line="600" w:lineRule="exact"/>
        <w:ind w:left="0" w:firstLine="480" w:firstLineChars="200"/>
        <w:rPr>
          <w:rFonts w:ascii="宋体" w:hAnsi="宋体" w:eastAsia="宋体"/>
          <w:sz w:val="24"/>
        </w:rPr>
      </w:pPr>
      <w:r>
        <w:rPr>
          <w:rFonts w:hint="eastAsia" w:ascii="宋体" w:hAnsi="宋体" w:eastAsia="宋体"/>
          <w:sz w:val="24"/>
        </w:rPr>
        <w:t>六、</w:t>
      </w:r>
      <w:r>
        <w:rPr>
          <w:rFonts w:hint="eastAsia" w:ascii="宋体" w:hAnsi="宋体" w:eastAsia="宋体"/>
          <w:spacing w:val="10"/>
          <w:sz w:val="24"/>
        </w:rPr>
        <w:t>价值类型</w:t>
      </w:r>
    </w:p>
    <w:p>
      <w:pPr>
        <w:pStyle w:val="17"/>
        <w:spacing w:line="600" w:lineRule="exact"/>
        <w:ind w:left="0" w:firstLine="480" w:firstLineChars="200"/>
        <w:rPr>
          <w:rFonts w:ascii="宋体" w:hAnsi="宋体" w:eastAsia="宋体"/>
          <w:sz w:val="24"/>
        </w:rPr>
      </w:pPr>
      <w:r>
        <w:rPr>
          <w:rFonts w:hint="eastAsia" w:ascii="宋体" w:hAnsi="宋体" w:eastAsia="宋体"/>
          <w:sz w:val="24"/>
        </w:rPr>
        <w:t>七、</w:t>
      </w:r>
      <w:r>
        <w:rPr>
          <w:rFonts w:hint="eastAsia" w:ascii="宋体" w:hAnsi="宋体" w:eastAsia="宋体"/>
          <w:spacing w:val="10"/>
          <w:sz w:val="24"/>
        </w:rPr>
        <w:t>估价原则</w:t>
      </w:r>
    </w:p>
    <w:p>
      <w:pPr>
        <w:pStyle w:val="17"/>
        <w:spacing w:line="600" w:lineRule="exact"/>
        <w:ind w:left="0" w:firstLine="480" w:firstLineChars="200"/>
        <w:rPr>
          <w:rFonts w:ascii="宋体" w:hAnsi="宋体" w:eastAsia="宋体"/>
          <w:sz w:val="24"/>
        </w:rPr>
      </w:pPr>
      <w:r>
        <w:rPr>
          <w:rFonts w:hint="eastAsia" w:ascii="宋体" w:hAnsi="宋体" w:eastAsia="宋体"/>
          <w:sz w:val="24"/>
        </w:rPr>
        <w:t>八、</w:t>
      </w:r>
      <w:r>
        <w:rPr>
          <w:rFonts w:hint="eastAsia" w:ascii="宋体" w:hAnsi="宋体" w:eastAsia="宋体"/>
          <w:spacing w:val="10"/>
          <w:sz w:val="24"/>
        </w:rPr>
        <w:t>估价依据</w:t>
      </w:r>
    </w:p>
    <w:p>
      <w:pPr>
        <w:pStyle w:val="17"/>
        <w:spacing w:line="600" w:lineRule="exact"/>
        <w:ind w:left="0" w:firstLine="480" w:firstLineChars="200"/>
        <w:rPr>
          <w:rFonts w:ascii="宋体" w:hAnsi="宋体" w:eastAsia="宋体"/>
          <w:sz w:val="24"/>
        </w:rPr>
      </w:pPr>
      <w:r>
        <w:rPr>
          <w:rFonts w:hint="eastAsia" w:ascii="宋体" w:hAnsi="宋体" w:eastAsia="宋体"/>
          <w:sz w:val="24"/>
        </w:rPr>
        <w:t>九、</w:t>
      </w:r>
      <w:r>
        <w:rPr>
          <w:rFonts w:hint="eastAsia" w:ascii="宋体" w:hAnsi="宋体" w:eastAsia="宋体"/>
          <w:spacing w:val="10"/>
          <w:sz w:val="24"/>
        </w:rPr>
        <w:t>估价方法</w:t>
      </w:r>
    </w:p>
    <w:p>
      <w:pPr>
        <w:pStyle w:val="17"/>
        <w:spacing w:line="600" w:lineRule="exact"/>
        <w:ind w:left="0" w:firstLine="480" w:firstLineChars="200"/>
        <w:rPr>
          <w:rFonts w:ascii="宋体" w:hAnsi="宋体" w:eastAsia="宋体"/>
          <w:spacing w:val="10"/>
          <w:sz w:val="24"/>
        </w:rPr>
      </w:pPr>
      <w:r>
        <w:rPr>
          <w:rFonts w:hint="eastAsia" w:ascii="宋体" w:hAnsi="宋体" w:eastAsia="宋体"/>
          <w:sz w:val="24"/>
        </w:rPr>
        <w:t>十、</w:t>
      </w:r>
      <w:r>
        <w:rPr>
          <w:rFonts w:hint="eastAsia" w:ascii="宋体" w:hAnsi="宋体" w:eastAsia="宋体"/>
          <w:spacing w:val="10"/>
          <w:sz w:val="24"/>
        </w:rPr>
        <w:t>估价结果</w:t>
      </w:r>
    </w:p>
    <w:p>
      <w:pPr>
        <w:pStyle w:val="17"/>
        <w:spacing w:line="600" w:lineRule="exact"/>
        <w:ind w:left="0" w:firstLine="480" w:firstLineChars="200"/>
        <w:rPr>
          <w:rFonts w:ascii="宋体" w:hAnsi="宋体" w:eastAsia="宋体"/>
          <w:sz w:val="24"/>
        </w:rPr>
      </w:pPr>
      <w:r>
        <w:rPr>
          <w:rFonts w:hint="eastAsia" w:ascii="宋体" w:hAnsi="宋体" w:eastAsia="宋体"/>
          <w:sz w:val="24"/>
        </w:rPr>
        <w:t>十一、</w:t>
      </w:r>
      <w:r>
        <w:rPr>
          <w:rFonts w:hint="eastAsia" w:ascii="宋体" w:hAnsi="宋体" w:eastAsia="宋体"/>
          <w:spacing w:val="10"/>
          <w:sz w:val="24"/>
        </w:rPr>
        <w:t>注册房地产估价师</w:t>
      </w:r>
    </w:p>
    <w:p>
      <w:pPr>
        <w:pStyle w:val="17"/>
        <w:spacing w:line="600" w:lineRule="exact"/>
        <w:ind w:left="0" w:firstLine="480" w:firstLineChars="200"/>
        <w:rPr>
          <w:rFonts w:ascii="宋体" w:hAnsi="宋体" w:eastAsia="宋体"/>
          <w:sz w:val="24"/>
        </w:rPr>
      </w:pPr>
      <w:r>
        <w:rPr>
          <w:rFonts w:hint="eastAsia" w:ascii="宋体" w:hAnsi="宋体" w:eastAsia="宋体"/>
          <w:sz w:val="24"/>
        </w:rPr>
        <w:t>十二、实地查勘期</w:t>
      </w:r>
    </w:p>
    <w:p>
      <w:pPr>
        <w:pStyle w:val="17"/>
        <w:spacing w:line="600" w:lineRule="exact"/>
        <w:ind w:left="0" w:firstLine="480" w:firstLineChars="200"/>
        <w:rPr>
          <w:rFonts w:ascii="宋体" w:hAnsi="宋体" w:eastAsia="宋体"/>
          <w:sz w:val="24"/>
        </w:rPr>
      </w:pPr>
      <w:r>
        <w:rPr>
          <w:rFonts w:hint="eastAsia" w:ascii="宋体" w:hAnsi="宋体" w:eastAsia="宋体"/>
          <w:sz w:val="24"/>
        </w:rPr>
        <w:t>十三、估价作业期</w:t>
      </w:r>
    </w:p>
    <w:p>
      <w:pPr>
        <w:tabs>
          <w:tab w:val="left" w:pos="720"/>
        </w:tabs>
        <w:spacing w:line="600" w:lineRule="exact"/>
        <w:rPr>
          <w:rFonts w:ascii="宋体" w:hAnsi="宋体"/>
          <w:color w:val="FF0000"/>
          <w:sz w:val="24"/>
        </w:rPr>
      </w:pPr>
      <w:r>
        <w:rPr>
          <w:rFonts w:hint="eastAsia" w:ascii="宋体" w:hAnsi="宋体"/>
          <w:sz w:val="24"/>
        </w:rPr>
        <w:t>附件　</w:t>
      </w:r>
      <w:r>
        <w:rPr>
          <w:rFonts w:ascii="宋体" w:hAnsi="宋体"/>
          <w:sz w:val="24"/>
        </w:rPr>
        <w:t>……………………………………………………………………………………</w:t>
      </w:r>
      <w:r>
        <w:rPr>
          <w:rFonts w:hint="eastAsia" w:ascii="宋体" w:hAnsi="宋体"/>
          <w:sz w:val="24"/>
        </w:rPr>
        <w:t>16</w:t>
      </w:r>
    </w:p>
    <w:p>
      <w:pPr>
        <w:pStyle w:val="3"/>
        <w:keepNext w:val="0"/>
        <w:spacing w:beforeLines="100" w:afterLines="100" w:line="560" w:lineRule="exact"/>
        <w:ind w:left="0" w:firstLine="0"/>
        <w:jc w:val="center"/>
        <w:rPr>
          <w:rFonts w:ascii="黑体" w:hAnsi="黑体" w:eastAsia="黑体"/>
          <w:b w:val="0"/>
          <w:bCs w:val="0"/>
          <w:sz w:val="36"/>
          <w:szCs w:val="36"/>
        </w:rPr>
      </w:pPr>
      <w:r>
        <w:rPr>
          <w:rFonts w:ascii="黑体" w:hAnsi="黑体" w:eastAsia="黑体"/>
          <w:sz w:val="36"/>
          <w:szCs w:val="36"/>
        </w:rPr>
        <w:br w:type="page"/>
      </w:r>
      <w:r>
        <w:rPr>
          <w:rFonts w:hint="eastAsia" w:ascii="黑体" w:hAnsi="黑体" w:eastAsia="黑体"/>
          <w:sz w:val="36"/>
          <w:szCs w:val="36"/>
        </w:rPr>
        <w:t>估价师声明</w:t>
      </w:r>
    </w:p>
    <w:p>
      <w:pPr>
        <w:pStyle w:val="113"/>
        <w:widowControl w:val="0"/>
        <w:spacing w:line="480" w:lineRule="exact"/>
        <w:ind w:firstLine="0" w:firstLineChars="0"/>
        <w:rPr>
          <w:rFonts w:ascii="宋体" w:hAnsi="宋体" w:eastAsia="宋体"/>
          <w:b/>
          <w:sz w:val="24"/>
          <w:szCs w:val="24"/>
        </w:rPr>
      </w:pPr>
      <w:r>
        <w:rPr>
          <w:rFonts w:hint="eastAsia" w:ascii="宋体" w:hAnsi="宋体" w:eastAsia="宋体"/>
          <w:b/>
          <w:sz w:val="24"/>
          <w:szCs w:val="24"/>
        </w:rPr>
        <w:t>注册房地产估价师根据自己的专业知识与职业道德，在此郑重声明：</w:t>
      </w:r>
    </w:p>
    <w:p>
      <w:pPr>
        <w:numPr>
          <w:ilvl w:val="1"/>
          <w:numId w:val="1"/>
        </w:numPr>
        <w:tabs>
          <w:tab w:val="left" w:pos="945"/>
          <w:tab w:val="clear" w:pos="1360"/>
        </w:tabs>
        <w:spacing w:line="480" w:lineRule="exact"/>
        <w:ind w:left="0" w:firstLine="527"/>
        <w:rPr>
          <w:rFonts w:ascii="宋体" w:hAnsi="宋体" w:cs="宋体"/>
          <w:spacing w:val="10"/>
          <w:sz w:val="24"/>
        </w:rPr>
      </w:pPr>
      <w:r>
        <w:rPr>
          <w:rFonts w:hint="eastAsia" w:ascii="宋体" w:hAnsi="宋体" w:cs="宋体"/>
          <w:spacing w:val="10"/>
          <w:sz w:val="24"/>
        </w:rPr>
        <w:t>注册房地产估价师在估价报告中对事实的说明是真实和准确的，没有虚假记载、误导性陈述和重大遗漏；</w:t>
      </w:r>
    </w:p>
    <w:p>
      <w:pPr>
        <w:numPr>
          <w:ilvl w:val="1"/>
          <w:numId w:val="1"/>
        </w:numPr>
        <w:tabs>
          <w:tab w:val="left" w:pos="945"/>
          <w:tab w:val="clear" w:pos="1360"/>
        </w:tabs>
        <w:spacing w:line="480" w:lineRule="exact"/>
        <w:ind w:left="0" w:firstLine="527"/>
        <w:rPr>
          <w:rFonts w:ascii="宋体" w:hAnsi="宋体" w:cs="宋体"/>
          <w:spacing w:val="10"/>
          <w:sz w:val="24"/>
        </w:rPr>
      </w:pPr>
      <w:r>
        <w:rPr>
          <w:rFonts w:hint="eastAsia" w:ascii="宋体" w:hAnsi="宋体" w:cs="宋体"/>
          <w:spacing w:val="10"/>
          <w:sz w:val="24"/>
        </w:rPr>
        <w:t>估价报告中的分析、意见和结论是注册房地产估价师独立、客观、公正的专业分析、意见和结论，但受到本估价报告中已经说明的估价假设和限制条件的限制；</w:t>
      </w:r>
    </w:p>
    <w:p>
      <w:pPr>
        <w:numPr>
          <w:ilvl w:val="1"/>
          <w:numId w:val="1"/>
        </w:numPr>
        <w:tabs>
          <w:tab w:val="left" w:pos="945"/>
          <w:tab w:val="clear" w:pos="1360"/>
        </w:tabs>
        <w:spacing w:line="480" w:lineRule="exact"/>
        <w:ind w:left="0" w:firstLine="527"/>
        <w:rPr>
          <w:rFonts w:ascii="宋体" w:hAnsi="宋体" w:cs="宋体"/>
          <w:spacing w:val="10"/>
          <w:sz w:val="24"/>
        </w:rPr>
      </w:pPr>
      <w:r>
        <w:rPr>
          <w:rFonts w:hint="eastAsia" w:ascii="宋体" w:hAnsi="宋体" w:cs="宋体"/>
          <w:spacing w:val="10"/>
          <w:sz w:val="24"/>
        </w:rPr>
        <w:t>注册房地产估价师与估价报告中的估价对象没有现实和潜在的利益，与估价委托人及估价利害关系人没有利害关系，也对估价对象、估价委托人及估价利害关系人没有偏见；</w:t>
      </w:r>
    </w:p>
    <w:p>
      <w:pPr>
        <w:numPr>
          <w:ilvl w:val="1"/>
          <w:numId w:val="1"/>
        </w:numPr>
        <w:tabs>
          <w:tab w:val="left" w:pos="945"/>
          <w:tab w:val="clear" w:pos="1360"/>
        </w:tabs>
        <w:spacing w:line="480" w:lineRule="exact"/>
        <w:ind w:left="0" w:firstLine="527"/>
        <w:rPr>
          <w:rFonts w:ascii="宋体" w:hAnsi="宋体" w:cs="宋体"/>
          <w:spacing w:val="10"/>
          <w:sz w:val="24"/>
        </w:rPr>
      </w:pPr>
      <w:r>
        <w:rPr>
          <w:rFonts w:hint="eastAsia" w:ascii="宋体" w:hAnsi="宋体" w:cs="宋体"/>
          <w:spacing w:val="10"/>
          <w:sz w:val="24"/>
        </w:rPr>
        <w:t>注册房地产估价师是按照有关房地产估价标准(中华人民共和国国家标准《房地产估价规</w:t>
      </w:r>
      <w:r>
        <w:rPr>
          <w:rFonts w:hint="eastAsia" w:ascii="宋体" w:hAnsi="宋体" w:cs="宋体"/>
          <w:spacing w:val="10"/>
        </w:rPr>
        <w:t>范》、</w:t>
      </w:r>
      <w:r>
        <w:rPr>
          <w:rFonts w:hint="eastAsia" w:ascii="宋体" w:hAnsi="宋体" w:cs="宋体"/>
          <w:spacing w:val="10"/>
          <w:sz w:val="24"/>
        </w:rPr>
        <w:t>《房地产估价基本术语标准</w:t>
      </w:r>
      <w:r>
        <w:rPr>
          <w:rFonts w:hint="eastAsia" w:ascii="宋体" w:hAnsi="宋体" w:cs="宋体"/>
          <w:spacing w:val="10"/>
        </w:rPr>
        <w:t>》)、</w:t>
      </w:r>
      <w:r>
        <w:rPr>
          <w:rFonts w:hint="eastAsia" w:ascii="宋体" w:hAnsi="宋体" w:cs="宋体"/>
          <w:spacing w:val="10"/>
          <w:sz w:val="24"/>
        </w:rPr>
        <w:t>《最高人民法院关于人民法院委托评估、拍卖和变卖工作的若干规定》(法释[2011]21号)的规定进行估价工作，撰写估价报告；</w:t>
      </w:r>
    </w:p>
    <w:p>
      <w:pPr>
        <w:numPr>
          <w:ilvl w:val="1"/>
          <w:numId w:val="1"/>
        </w:numPr>
        <w:tabs>
          <w:tab w:val="left" w:pos="945"/>
          <w:tab w:val="clear" w:pos="1360"/>
        </w:tabs>
        <w:spacing w:line="480" w:lineRule="exact"/>
        <w:ind w:left="0" w:firstLine="527"/>
        <w:rPr>
          <w:rFonts w:ascii="宋体" w:hAnsi="宋体" w:cs="宋体"/>
          <w:spacing w:val="10"/>
          <w:sz w:val="24"/>
        </w:rPr>
      </w:pPr>
      <w:r>
        <w:rPr>
          <w:rFonts w:hint="eastAsia" w:ascii="宋体" w:hAnsi="宋体" w:cs="宋体"/>
          <w:spacing w:val="10"/>
          <w:sz w:val="24"/>
        </w:rPr>
        <w:t>本公司已派注册房地产估价师对估价对象的建筑结构、室内外状况进行了实地查勘，并做好了实地查勘记录；</w:t>
      </w:r>
    </w:p>
    <w:p>
      <w:pPr>
        <w:numPr>
          <w:ilvl w:val="1"/>
          <w:numId w:val="1"/>
        </w:numPr>
        <w:tabs>
          <w:tab w:val="left" w:pos="945"/>
          <w:tab w:val="clear" w:pos="1360"/>
        </w:tabs>
        <w:spacing w:line="480" w:lineRule="exact"/>
        <w:ind w:left="0" w:firstLine="527"/>
        <w:rPr>
          <w:rFonts w:ascii="宋体" w:hAnsi="宋体" w:cs="宋体"/>
          <w:spacing w:val="10"/>
          <w:sz w:val="24"/>
        </w:rPr>
      </w:pPr>
      <w:r>
        <w:rPr>
          <w:rFonts w:hint="eastAsia" w:ascii="宋体" w:hAnsi="宋体" w:cs="宋体"/>
          <w:spacing w:val="10"/>
          <w:sz w:val="24"/>
        </w:rPr>
        <w:t>没有人对估价报告提供重要专业帮助。</w:t>
      </w:r>
    </w:p>
    <w:p>
      <w:pPr>
        <w:pStyle w:val="19"/>
        <w:spacing w:after="0" w:line="480" w:lineRule="exact"/>
        <w:ind w:left="0" w:leftChars="0" w:right="-150" w:firstLine="444" w:firstLineChars="185"/>
        <w:rPr>
          <w:rFonts w:ascii="宋体" w:hAnsi="宋体" w:cs="宋体"/>
          <w:kern w:val="0"/>
          <w:sz w:val="24"/>
        </w:rPr>
      </w:pPr>
    </w:p>
    <w:p>
      <w:pPr>
        <w:pStyle w:val="19"/>
        <w:spacing w:after="0" w:line="480" w:lineRule="exact"/>
        <w:ind w:left="0" w:leftChars="0" w:right="-150" w:firstLine="444" w:firstLineChars="185"/>
        <w:jc w:val="center"/>
        <w:rPr>
          <w:rFonts w:hint="eastAsia" w:ascii="宋体" w:hAnsi="宋体" w:cs="宋体"/>
          <w:b/>
          <w:kern w:val="0"/>
          <w:sz w:val="24"/>
        </w:rPr>
      </w:pPr>
    </w:p>
    <w:p>
      <w:pPr>
        <w:pStyle w:val="19"/>
        <w:spacing w:after="0" w:line="480" w:lineRule="exact"/>
        <w:ind w:left="0" w:leftChars="0" w:right="-150" w:firstLine="444" w:firstLineChars="185"/>
        <w:jc w:val="center"/>
        <w:rPr>
          <w:rFonts w:ascii="宋体" w:hAnsi="宋体" w:cs="宋体"/>
          <w:b/>
          <w:kern w:val="0"/>
          <w:sz w:val="24"/>
        </w:rPr>
      </w:pPr>
      <w:r>
        <w:rPr>
          <w:rFonts w:hint="eastAsia" w:ascii="宋体" w:hAnsi="宋体" w:cs="宋体"/>
          <w:b/>
          <w:kern w:val="0"/>
          <w:sz w:val="24"/>
        </w:rPr>
        <w:t>注册房地产估价师</w:t>
      </w:r>
    </w:p>
    <w:p>
      <w:pPr>
        <w:spacing w:beforeLines="50" w:afterLines="50" w:line="480" w:lineRule="exact"/>
        <w:ind w:firstLine="429" w:firstLineChars="179"/>
        <w:rPr>
          <w:rFonts w:ascii="宋体" w:hAnsi="宋体" w:cs="宋体"/>
          <w:kern w:val="0"/>
          <w:sz w:val="24"/>
        </w:rPr>
      </w:pPr>
      <w:r>
        <w:rPr>
          <w:rFonts w:hint="eastAsia" w:ascii="宋体" w:hAnsi="宋体" w:cs="宋体"/>
          <w:kern w:val="0"/>
          <w:sz w:val="24"/>
        </w:rPr>
        <w:t>姓  名         估价资格           注册号           签名及盖章</w:t>
      </w:r>
    </w:p>
    <w:p>
      <w:pPr>
        <w:spacing w:beforeLines="50" w:afterLines="50" w:line="480" w:lineRule="exact"/>
        <w:ind w:firstLine="429" w:firstLineChars="179"/>
        <w:rPr>
          <w:rFonts w:ascii="宋体" w:hAnsi="宋体" w:cs="宋体"/>
          <w:kern w:val="0"/>
          <w:sz w:val="24"/>
        </w:rPr>
      </w:pPr>
      <w:r>
        <w:rPr>
          <w:rFonts w:hint="eastAsia" w:ascii="宋体" w:hAnsi="宋体" w:cs="宋体"/>
          <w:kern w:val="0"/>
          <w:sz w:val="24"/>
        </w:rPr>
        <w:t>董  刚     注册房地产估价师    4320060009</w:t>
      </w:r>
    </w:p>
    <w:p>
      <w:pPr>
        <w:spacing w:beforeLines="50" w:afterLines="50" w:line="480" w:lineRule="exact"/>
        <w:ind w:firstLine="429" w:firstLineChars="179"/>
        <w:rPr>
          <w:rFonts w:ascii="宋体" w:hAnsi="宋体" w:cs="宋体"/>
          <w:kern w:val="0"/>
          <w:sz w:val="24"/>
        </w:rPr>
      </w:pPr>
      <w:r>
        <w:rPr>
          <w:rFonts w:hint="eastAsia" w:ascii="宋体" w:hAnsi="宋体" w:cs="宋体"/>
          <w:kern w:val="0"/>
          <w:sz w:val="24"/>
        </w:rPr>
        <w:t>曾玉凤     注册房地产估价师    4320200001</w:t>
      </w:r>
    </w:p>
    <w:p>
      <w:pPr>
        <w:pStyle w:val="3"/>
        <w:keepNext w:val="0"/>
        <w:spacing w:beforeLines="100" w:afterLines="100" w:line="520" w:lineRule="exact"/>
        <w:ind w:left="0" w:firstLine="0"/>
        <w:jc w:val="center"/>
        <w:rPr>
          <w:rFonts w:hint="eastAsia" w:ascii="宋体" w:hAnsi="宋体" w:eastAsia="宋体" w:cs="宋体"/>
          <w:sz w:val="36"/>
          <w:szCs w:val="36"/>
        </w:rPr>
      </w:pPr>
    </w:p>
    <w:p>
      <w:pPr>
        <w:pStyle w:val="3"/>
        <w:keepNext w:val="0"/>
        <w:spacing w:beforeLines="100" w:afterLines="100" w:line="520" w:lineRule="exact"/>
        <w:ind w:left="0" w:firstLine="0"/>
        <w:jc w:val="center"/>
        <w:rPr>
          <w:rFonts w:hint="eastAsia" w:ascii="宋体" w:hAnsi="宋体" w:eastAsia="宋体" w:cs="宋体"/>
          <w:sz w:val="36"/>
          <w:szCs w:val="36"/>
        </w:rPr>
      </w:pPr>
    </w:p>
    <w:p>
      <w:pPr>
        <w:pStyle w:val="3"/>
        <w:keepNext w:val="0"/>
        <w:spacing w:beforeLines="100" w:afterLines="100" w:line="520" w:lineRule="exact"/>
        <w:ind w:left="0" w:firstLine="0"/>
        <w:jc w:val="center"/>
        <w:rPr>
          <w:rFonts w:ascii="宋体" w:hAnsi="宋体" w:eastAsia="宋体" w:cs="宋体"/>
          <w:kern w:val="0"/>
          <w:sz w:val="24"/>
        </w:rPr>
      </w:pPr>
      <w:r>
        <w:rPr>
          <w:rFonts w:hint="eastAsia" w:ascii="宋体" w:hAnsi="宋体" w:eastAsia="宋体" w:cs="宋体"/>
          <w:sz w:val="36"/>
          <w:szCs w:val="36"/>
        </w:rPr>
        <w:t>估价的假设和限制条件</w:t>
      </w:r>
    </w:p>
    <w:p>
      <w:pPr>
        <w:spacing w:line="480" w:lineRule="exact"/>
        <w:jc w:val="left"/>
        <w:rPr>
          <w:rFonts w:ascii="宋体" w:hAnsi="宋体" w:cs="宋体"/>
          <w:kern w:val="0"/>
          <w:sz w:val="24"/>
        </w:rPr>
      </w:pPr>
      <w:r>
        <w:rPr>
          <w:rFonts w:hint="eastAsia" w:ascii="宋体" w:hAnsi="宋体" w:cs="宋体"/>
          <w:kern w:val="0"/>
          <w:sz w:val="24"/>
        </w:rPr>
        <w:t>一、一般假设：</w:t>
      </w:r>
    </w:p>
    <w:p>
      <w:pPr>
        <w:adjustRightInd w:val="0"/>
        <w:spacing w:line="480" w:lineRule="exact"/>
        <w:ind w:firstLine="480" w:firstLineChars="200"/>
        <w:rPr>
          <w:rFonts w:ascii="宋体" w:hAnsi="宋体" w:cs="宋体"/>
          <w:sz w:val="24"/>
        </w:rPr>
      </w:pPr>
      <w:r>
        <w:rPr>
          <w:rFonts w:hint="eastAsia" w:ascii="宋体" w:hAnsi="宋体" w:cs="宋体"/>
          <w:kern w:val="0"/>
          <w:sz w:val="24"/>
        </w:rPr>
        <w:t>1、本估价报告依据了估价委托人提供的相关资料，估价委托人对资料的合法性、真实性、准确性和完整性负责（因上述原因造成估价结果有误的，估价机构和估价师不承担相应的责任）。我们对估价所依据的估价对象的权属、面积、用途等资料进行了审慎检查，但未予以核实，本报告以估价委托人提供的相关资料合法、真实、准确为假设前提。</w:t>
      </w:r>
    </w:p>
    <w:p>
      <w:pPr>
        <w:adjustRightInd w:val="0"/>
        <w:spacing w:line="480" w:lineRule="exact"/>
        <w:ind w:firstLine="480" w:firstLineChars="200"/>
        <w:rPr>
          <w:rFonts w:ascii="宋体" w:hAnsi="宋体" w:cs="宋体"/>
          <w:kern w:val="0"/>
          <w:sz w:val="24"/>
        </w:rPr>
      </w:pPr>
      <w:r>
        <w:rPr>
          <w:rFonts w:hint="eastAsia" w:ascii="宋体" w:hAnsi="宋体" w:cs="宋体"/>
          <w:kern w:val="0"/>
          <w:sz w:val="24"/>
        </w:rPr>
        <w:t>2、注册房地产估价师已对房屋安全、环境污染等影响估价对象价值的重大因素给予了关注，在无理由怀疑估价对象存在隐患且无相应的专业机构进行鉴定、检测的情况下，假定估价对象能正常安全使用。</w:t>
      </w:r>
    </w:p>
    <w:p>
      <w:pPr>
        <w:adjustRightInd w:val="0"/>
        <w:spacing w:line="480" w:lineRule="exact"/>
        <w:ind w:firstLine="480" w:firstLineChars="200"/>
        <w:rPr>
          <w:rFonts w:ascii="宋体" w:hAnsi="宋体" w:cs="宋体"/>
          <w:kern w:val="0"/>
          <w:sz w:val="24"/>
        </w:rPr>
      </w:pPr>
      <w:r>
        <w:rPr>
          <w:rFonts w:hint="eastAsia" w:ascii="宋体" w:hAnsi="宋体" w:cs="宋体"/>
          <w:kern w:val="0"/>
          <w:sz w:val="24"/>
        </w:rPr>
        <w:t>3、估价对象在价值时点的房地产市场为公开、平等、自愿的交易市场，即能满足以下条件：</w:t>
      </w:r>
    </w:p>
    <w:p>
      <w:pPr>
        <w:adjustRightInd w:val="0"/>
        <w:spacing w:line="480" w:lineRule="exact"/>
        <w:ind w:firstLine="480" w:firstLineChars="200"/>
        <w:rPr>
          <w:rFonts w:ascii="宋体" w:hAnsi="宋体" w:cs="宋体"/>
          <w:kern w:val="0"/>
          <w:sz w:val="24"/>
        </w:rPr>
      </w:pPr>
      <w:r>
        <w:rPr>
          <w:rFonts w:hint="eastAsia" w:ascii="宋体" w:hAnsi="宋体" w:cs="宋体"/>
          <w:kern w:val="0"/>
          <w:sz w:val="24"/>
        </w:rPr>
        <w:t>（1）自愿销售的卖方及自愿购买的买方；</w:t>
      </w:r>
    </w:p>
    <w:p>
      <w:pPr>
        <w:adjustRightInd w:val="0"/>
        <w:spacing w:line="480" w:lineRule="exact"/>
        <w:ind w:firstLine="480" w:firstLineChars="200"/>
        <w:rPr>
          <w:rFonts w:ascii="宋体" w:hAnsi="宋体" w:cs="宋体"/>
          <w:kern w:val="0"/>
          <w:sz w:val="24"/>
        </w:rPr>
      </w:pPr>
      <w:r>
        <w:rPr>
          <w:rFonts w:hint="eastAsia" w:ascii="宋体" w:hAnsi="宋体" w:cs="宋体"/>
          <w:kern w:val="0"/>
          <w:sz w:val="24"/>
        </w:rPr>
        <w:t>（2）交易双方无任何利害关系，交易的目的是追求各自利益的最大化；</w:t>
      </w:r>
    </w:p>
    <w:p>
      <w:pPr>
        <w:adjustRightInd w:val="0"/>
        <w:spacing w:line="480" w:lineRule="exact"/>
        <w:ind w:firstLine="480" w:firstLineChars="200"/>
        <w:rPr>
          <w:rFonts w:ascii="宋体" w:hAnsi="宋体" w:cs="宋体"/>
          <w:kern w:val="0"/>
          <w:sz w:val="24"/>
        </w:rPr>
      </w:pPr>
      <w:r>
        <w:rPr>
          <w:rFonts w:hint="eastAsia" w:ascii="宋体" w:hAnsi="宋体" w:cs="宋体"/>
          <w:kern w:val="0"/>
          <w:sz w:val="24"/>
        </w:rPr>
        <w:t>（3）交易双方了解交易对象、知晓市场行情；</w:t>
      </w:r>
    </w:p>
    <w:p>
      <w:pPr>
        <w:adjustRightInd w:val="0"/>
        <w:spacing w:line="480" w:lineRule="exact"/>
        <w:ind w:firstLine="480" w:firstLineChars="200"/>
        <w:rPr>
          <w:rFonts w:ascii="宋体" w:hAnsi="宋体" w:cs="宋体"/>
          <w:kern w:val="0"/>
          <w:sz w:val="24"/>
        </w:rPr>
      </w:pPr>
      <w:r>
        <w:rPr>
          <w:rFonts w:hint="eastAsia" w:ascii="宋体" w:hAnsi="宋体" w:cs="宋体"/>
          <w:kern w:val="0"/>
          <w:sz w:val="24"/>
        </w:rPr>
        <w:t>（4）交易双方有较充裕的时间进行交易；</w:t>
      </w:r>
    </w:p>
    <w:p>
      <w:pPr>
        <w:adjustRightInd w:val="0"/>
        <w:spacing w:line="480" w:lineRule="exact"/>
        <w:ind w:firstLine="480" w:firstLineChars="200"/>
        <w:rPr>
          <w:rFonts w:ascii="宋体" w:hAnsi="宋体" w:cs="宋体"/>
          <w:kern w:val="0"/>
          <w:sz w:val="24"/>
        </w:rPr>
      </w:pPr>
      <w:r>
        <w:rPr>
          <w:rFonts w:hint="eastAsia" w:ascii="宋体" w:hAnsi="宋体" w:cs="宋体"/>
          <w:kern w:val="0"/>
          <w:sz w:val="24"/>
        </w:rPr>
        <w:t>（5）不存在特殊买者的附加出价。</w:t>
      </w:r>
    </w:p>
    <w:p>
      <w:pPr>
        <w:adjustRightInd w:val="0"/>
        <w:spacing w:line="480" w:lineRule="exact"/>
        <w:ind w:firstLine="480" w:firstLineChars="200"/>
        <w:rPr>
          <w:rFonts w:ascii="宋体" w:hAnsi="宋体" w:cs="宋体"/>
          <w:kern w:val="0"/>
          <w:sz w:val="24"/>
          <w:highlight w:val="yellow"/>
        </w:rPr>
      </w:pPr>
      <w:r>
        <w:rPr>
          <w:rFonts w:hint="eastAsia" w:ascii="宋体" w:hAnsi="宋体" w:cs="宋体"/>
          <w:kern w:val="0"/>
          <w:sz w:val="24"/>
        </w:rPr>
        <w:t>4、我公司注册房地产估价师对估价对象进行了现场查勘。注册房地产估价师未对房屋建筑面积进行专业测量，经现场查勘观察，估价对象房屋建筑面积与估价委托方提供的建筑面积大体相当。</w:t>
      </w:r>
    </w:p>
    <w:p>
      <w:pPr>
        <w:spacing w:line="480" w:lineRule="exact"/>
        <w:jc w:val="left"/>
        <w:rPr>
          <w:rFonts w:ascii="宋体" w:hAnsi="宋体" w:cs="宋体"/>
          <w:kern w:val="0"/>
          <w:sz w:val="24"/>
        </w:rPr>
      </w:pPr>
      <w:r>
        <w:rPr>
          <w:rFonts w:hint="eastAsia" w:ascii="宋体" w:hAnsi="宋体" w:cs="宋体"/>
          <w:kern w:val="0"/>
          <w:sz w:val="24"/>
        </w:rPr>
        <w:t>二、未定事项假设</w:t>
      </w:r>
    </w:p>
    <w:p>
      <w:pPr>
        <w:spacing w:line="480" w:lineRule="exact"/>
        <w:ind w:firstLine="480" w:firstLineChars="200"/>
        <w:jc w:val="left"/>
        <w:rPr>
          <w:rFonts w:ascii="宋体" w:hAnsi="宋体" w:cs="宋体"/>
          <w:kern w:val="0"/>
          <w:sz w:val="24"/>
        </w:rPr>
      </w:pPr>
      <w:r>
        <w:rPr>
          <w:rFonts w:hint="eastAsia" w:ascii="宋体" w:hAnsi="宋体" w:cs="宋体"/>
          <w:kern w:val="0"/>
          <w:sz w:val="24"/>
        </w:rPr>
        <w:t>未定事项假设是指对估价所必须的尚未明确或不够明确的事项所做的合理的、最可能的假定。</w:t>
      </w:r>
    </w:p>
    <w:p>
      <w:pPr>
        <w:spacing w:line="480" w:lineRule="exact"/>
        <w:ind w:firstLine="480" w:firstLineChars="200"/>
        <w:jc w:val="left"/>
        <w:rPr>
          <w:rFonts w:ascii="宋体" w:hAnsi="宋体" w:cs="宋体"/>
          <w:sz w:val="24"/>
        </w:rPr>
      </w:pPr>
      <w:r>
        <w:rPr>
          <w:rFonts w:hint="eastAsia" w:ascii="宋体" w:hAnsi="宋体" w:cs="宋体"/>
          <w:kern w:val="0"/>
          <w:sz w:val="24"/>
        </w:rPr>
        <w:t>本次估价</w:t>
      </w:r>
      <w:r>
        <w:rPr>
          <w:rFonts w:hint="eastAsia" w:ascii="宋体" w:hAnsi="宋体" w:cs="宋体"/>
          <w:sz w:val="24"/>
        </w:rPr>
        <w:t>无</w:t>
      </w:r>
      <w:r>
        <w:rPr>
          <w:rFonts w:hint="eastAsia" w:ascii="宋体" w:hAnsi="宋体" w:cs="宋体"/>
          <w:kern w:val="0"/>
          <w:sz w:val="24"/>
        </w:rPr>
        <w:t>未定事项假设。</w:t>
      </w:r>
    </w:p>
    <w:p>
      <w:pPr>
        <w:spacing w:line="480" w:lineRule="exact"/>
        <w:jc w:val="left"/>
        <w:rPr>
          <w:rFonts w:ascii="宋体" w:hAnsi="宋体" w:cs="宋体"/>
          <w:kern w:val="0"/>
          <w:sz w:val="24"/>
        </w:rPr>
      </w:pPr>
      <w:r>
        <w:rPr>
          <w:rFonts w:hint="eastAsia" w:ascii="宋体" w:hAnsi="宋体" w:cs="宋体"/>
          <w:kern w:val="0"/>
          <w:sz w:val="24"/>
        </w:rPr>
        <w:t>三、背离事实假设：</w:t>
      </w:r>
    </w:p>
    <w:p>
      <w:pPr>
        <w:adjustRightInd w:val="0"/>
        <w:spacing w:line="480" w:lineRule="exact"/>
        <w:ind w:firstLine="480" w:firstLineChars="200"/>
        <w:rPr>
          <w:rFonts w:ascii="宋体" w:hAnsi="宋体" w:cs="宋体"/>
          <w:kern w:val="0"/>
          <w:sz w:val="24"/>
        </w:rPr>
      </w:pPr>
      <w:r>
        <w:rPr>
          <w:rFonts w:hint="eastAsia" w:ascii="宋体" w:hAnsi="宋体" w:cs="宋体"/>
          <w:kern w:val="0"/>
          <w:sz w:val="24"/>
        </w:rPr>
        <w:t>背离事实假设是指因估价目的的特殊需要、交易条件设定或约定，对估价对象状况所做的与估价对象的实际状况不一致的合理假定。</w:t>
      </w:r>
    </w:p>
    <w:p>
      <w:pPr>
        <w:adjustRightInd w:val="0"/>
        <w:spacing w:line="480" w:lineRule="exact"/>
        <w:ind w:firstLine="480" w:firstLineChars="200"/>
        <w:rPr>
          <w:rFonts w:ascii="宋体" w:hAnsi="宋体" w:cs="宋体"/>
          <w:kern w:val="0"/>
          <w:sz w:val="24"/>
        </w:rPr>
      </w:pPr>
      <w:r>
        <w:rPr>
          <w:rFonts w:hint="eastAsia" w:ascii="宋体" w:hAnsi="宋体" w:cs="宋体"/>
          <w:kern w:val="0"/>
          <w:sz w:val="24"/>
        </w:rPr>
        <w:t>本次评估</w:t>
      </w:r>
      <w:r>
        <w:rPr>
          <w:rFonts w:hint="eastAsia" w:ascii="宋体" w:hAnsi="宋体" w:cs="宋体"/>
          <w:spacing w:val="10"/>
          <w:sz w:val="24"/>
        </w:rPr>
        <w:t>未考虑房屋抵押、租赁、查封及其他债权债务等对评估价值的影响。</w:t>
      </w:r>
    </w:p>
    <w:p>
      <w:pPr>
        <w:spacing w:line="480" w:lineRule="exact"/>
        <w:jc w:val="left"/>
        <w:rPr>
          <w:rFonts w:ascii="宋体" w:hAnsi="宋体" w:cs="宋体"/>
          <w:kern w:val="0"/>
          <w:sz w:val="24"/>
        </w:rPr>
      </w:pPr>
      <w:r>
        <w:rPr>
          <w:rFonts w:hint="eastAsia" w:ascii="宋体" w:hAnsi="宋体" w:cs="宋体"/>
          <w:kern w:val="0"/>
          <w:sz w:val="24"/>
        </w:rPr>
        <w:t>四、不相一致假设：</w:t>
      </w:r>
    </w:p>
    <w:p>
      <w:pPr>
        <w:autoSpaceDE w:val="0"/>
        <w:autoSpaceDN w:val="0"/>
        <w:adjustRightInd w:val="0"/>
        <w:spacing w:line="530" w:lineRule="exact"/>
        <w:ind w:left="-43" w:firstLine="555"/>
        <w:jc w:val="left"/>
        <w:rPr>
          <w:rFonts w:ascii="宋体" w:hAnsi="宋体" w:cs="宋体"/>
          <w:sz w:val="24"/>
        </w:rPr>
      </w:pPr>
      <w:r>
        <w:rPr>
          <w:rFonts w:hint="eastAsia" w:ascii="宋体" w:hAnsi="宋体" w:cs="宋体"/>
          <w:sz w:val="24"/>
        </w:rPr>
        <w:t>不相一致假设是指估价对象的用途、权利人、名称、地址等存在不一致情况下，对估价所依据的用途或权利人、名称、地址等的合理假定。</w:t>
      </w:r>
    </w:p>
    <w:p>
      <w:pPr>
        <w:spacing w:line="530" w:lineRule="exact"/>
        <w:ind w:firstLine="470" w:firstLineChars="196"/>
        <w:jc w:val="left"/>
        <w:rPr>
          <w:rFonts w:ascii="宋体" w:hAnsi="宋体"/>
          <w:sz w:val="24"/>
        </w:rPr>
      </w:pPr>
      <w:r>
        <w:rPr>
          <w:rFonts w:hint="eastAsia" w:ascii="宋体" w:hAnsi="宋体" w:cs="宋体"/>
          <w:sz w:val="24"/>
        </w:rPr>
        <w:t>本次估价无不相一致假设。</w:t>
      </w:r>
    </w:p>
    <w:p>
      <w:pPr>
        <w:spacing w:line="480" w:lineRule="exact"/>
        <w:jc w:val="left"/>
        <w:rPr>
          <w:rFonts w:ascii="宋体" w:hAnsi="宋体" w:cs="宋体"/>
          <w:kern w:val="0"/>
          <w:sz w:val="24"/>
        </w:rPr>
      </w:pPr>
      <w:r>
        <w:rPr>
          <w:rFonts w:hint="eastAsia" w:ascii="宋体" w:hAnsi="宋体" w:cs="宋体"/>
          <w:kern w:val="0"/>
          <w:sz w:val="24"/>
        </w:rPr>
        <w:t>五、依据不足假设</w:t>
      </w:r>
    </w:p>
    <w:p>
      <w:pPr>
        <w:adjustRightInd w:val="0"/>
        <w:snapToGrid w:val="0"/>
        <w:spacing w:line="530" w:lineRule="exact"/>
        <w:ind w:firstLine="480" w:firstLineChars="200"/>
        <w:rPr>
          <w:rFonts w:ascii="宋体" w:hAnsi="宋体"/>
          <w:kern w:val="0"/>
          <w:sz w:val="24"/>
        </w:rPr>
      </w:pPr>
      <w:r>
        <w:rPr>
          <w:rFonts w:hint="eastAsia" w:ascii="宋体" w:hAnsi="宋体"/>
          <w:kern w:val="0"/>
          <w:sz w:val="24"/>
        </w:rPr>
        <w:t>依据不足假设是指在估价委托人无法提供估价所必需的反映估价对象状况的资料及注册房地产估价师进行了尽职调查仍然难以取得该资料的情况下，缺少该资料及对相应的估价对象状况的合理假定。</w:t>
      </w:r>
    </w:p>
    <w:p>
      <w:pPr>
        <w:spacing w:line="530" w:lineRule="exact"/>
        <w:ind w:firstLine="470" w:firstLineChars="196"/>
        <w:jc w:val="left"/>
        <w:rPr>
          <w:rFonts w:ascii="宋体" w:hAnsi="宋体" w:cs="宋体"/>
          <w:sz w:val="24"/>
        </w:rPr>
      </w:pPr>
      <w:r>
        <w:rPr>
          <w:rFonts w:hint="eastAsia" w:ascii="宋体" w:hAnsi="宋体" w:cs="宋体"/>
          <w:sz w:val="24"/>
        </w:rPr>
        <w:t>本次估价无</w:t>
      </w:r>
      <w:r>
        <w:rPr>
          <w:rFonts w:hint="eastAsia" w:ascii="宋体" w:hAnsi="宋体" w:cs="宋体"/>
          <w:kern w:val="0"/>
          <w:sz w:val="24"/>
        </w:rPr>
        <w:t>依据不足假设</w:t>
      </w:r>
      <w:r>
        <w:rPr>
          <w:rFonts w:hint="eastAsia" w:ascii="宋体" w:hAnsi="宋体" w:cs="宋体"/>
          <w:sz w:val="24"/>
        </w:rPr>
        <w:t>。</w:t>
      </w:r>
    </w:p>
    <w:p>
      <w:pPr>
        <w:autoSpaceDE w:val="0"/>
        <w:autoSpaceDN w:val="0"/>
        <w:adjustRightInd w:val="0"/>
        <w:spacing w:line="480" w:lineRule="exact"/>
        <w:ind w:left="-43"/>
        <w:jc w:val="left"/>
        <w:rPr>
          <w:rFonts w:ascii="宋体" w:hAnsi="宋体" w:cs="宋体"/>
          <w:kern w:val="0"/>
          <w:sz w:val="24"/>
        </w:rPr>
      </w:pPr>
      <w:r>
        <w:rPr>
          <w:rFonts w:hint="eastAsia" w:ascii="宋体" w:hAnsi="宋体" w:cs="宋体"/>
          <w:kern w:val="0"/>
          <w:sz w:val="24"/>
        </w:rPr>
        <w:t>六、估计报告使用限制</w:t>
      </w:r>
    </w:p>
    <w:p>
      <w:pPr>
        <w:pStyle w:val="275"/>
        <w:shd w:val="clear" w:color="auto" w:fill="auto"/>
        <w:tabs>
          <w:tab w:val="left" w:pos="883"/>
        </w:tabs>
        <w:spacing w:before="0" w:line="480" w:lineRule="exact"/>
        <w:ind w:firstLine="540"/>
        <w:jc w:val="both"/>
        <w:rPr>
          <w:rFonts w:ascii="宋体" w:hAnsi="宋体" w:eastAsia="宋体" w:cs="宋体"/>
          <w:spacing w:val="0"/>
          <w:sz w:val="24"/>
          <w:szCs w:val="24"/>
        </w:rPr>
      </w:pPr>
      <w:r>
        <w:rPr>
          <w:rFonts w:hint="eastAsia" w:ascii="宋体" w:hAnsi="宋体" w:eastAsia="宋体" w:cs="宋体"/>
          <w:spacing w:val="10"/>
          <w:kern w:val="2"/>
          <w:sz w:val="24"/>
          <w:szCs w:val="24"/>
        </w:rPr>
        <w:t>1、</w:t>
      </w:r>
      <w:r>
        <w:rPr>
          <w:rFonts w:hint="eastAsia" w:ascii="宋体" w:hAnsi="宋体" w:eastAsia="宋体" w:cs="宋体"/>
          <w:spacing w:val="0"/>
          <w:sz w:val="24"/>
          <w:szCs w:val="24"/>
        </w:rPr>
        <w:t>本估价报告使用期限自估价报告出具之日起为壹年。建议报告使用人在房地产市场或估价对象状况发生变化较大情况下适时对估价对象房地产进行再评估。</w:t>
      </w:r>
    </w:p>
    <w:p>
      <w:pPr>
        <w:pStyle w:val="275"/>
        <w:shd w:val="clear" w:color="auto" w:fill="auto"/>
        <w:tabs>
          <w:tab w:val="left" w:pos="883"/>
        </w:tabs>
        <w:spacing w:before="0" w:line="480" w:lineRule="exact"/>
        <w:ind w:firstLine="540"/>
        <w:jc w:val="both"/>
        <w:rPr>
          <w:rFonts w:ascii="宋体" w:hAnsi="宋体" w:eastAsia="宋体" w:cs="宋体"/>
          <w:spacing w:val="0"/>
          <w:sz w:val="24"/>
          <w:szCs w:val="24"/>
        </w:rPr>
      </w:pPr>
      <w:r>
        <w:rPr>
          <w:rFonts w:hint="eastAsia" w:ascii="宋体" w:hAnsi="宋体" w:eastAsia="宋体" w:cs="宋体"/>
          <w:spacing w:val="0"/>
          <w:sz w:val="24"/>
          <w:szCs w:val="24"/>
        </w:rPr>
        <w:t>2、本评估价值为房地产市场价值，未考虑快速变现等处分方式带来的影响。</w:t>
      </w:r>
    </w:p>
    <w:p>
      <w:pPr>
        <w:pStyle w:val="275"/>
        <w:shd w:val="clear" w:color="auto" w:fill="auto"/>
        <w:tabs>
          <w:tab w:val="left" w:pos="883"/>
        </w:tabs>
        <w:spacing w:before="0" w:line="480" w:lineRule="exact"/>
        <w:ind w:firstLine="540"/>
        <w:jc w:val="both"/>
        <w:rPr>
          <w:rFonts w:ascii="宋体" w:hAnsi="宋体" w:eastAsia="宋体" w:cs="宋体"/>
          <w:spacing w:val="0"/>
          <w:sz w:val="24"/>
          <w:szCs w:val="24"/>
        </w:rPr>
      </w:pPr>
      <w:r>
        <w:rPr>
          <w:rFonts w:hint="eastAsia" w:ascii="宋体" w:hAnsi="宋体" w:eastAsia="宋体" w:cs="宋体"/>
          <w:spacing w:val="0"/>
          <w:sz w:val="24"/>
          <w:szCs w:val="24"/>
        </w:rPr>
        <w:t>3、本估价报告仅为委托人因司法鉴定的需要提供估价对象房地产市场价值参考，用于其它目的，本报告及估价结论无效。</w:t>
      </w:r>
    </w:p>
    <w:p>
      <w:pPr>
        <w:pStyle w:val="275"/>
        <w:shd w:val="clear" w:color="auto" w:fill="auto"/>
        <w:tabs>
          <w:tab w:val="left" w:pos="900"/>
        </w:tabs>
        <w:spacing w:before="0" w:line="480" w:lineRule="exact"/>
        <w:ind w:firstLine="540"/>
        <w:jc w:val="both"/>
        <w:rPr>
          <w:rFonts w:ascii="宋体" w:hAnsi="宋体" w:eastAsia="宋体" w:cs="宋体"/>
          <w:spacing w:val="0"/>
          <w:sz w:val="24"/>
          <w:szCs w:val="24"/>
        </w:rPr>
      </w:pPr>
      <w:r>
        <w:rPr>
          <w:rFonts w:hint="eastAsia" w:ascii="宋体" w:hAnsi="宋体" w:eastAsia="宋体" w:cs="宋体"/>
          <w:spacing w:val="0"/>
          <w:sz w:val="24"/>
          <w:szCs w:val="24"/>
        </w:rPr>
        <w:t>4、未经本估价机构同意，本报告的全部或部分及任何参考资料均不允许在任何公开发布的文件、通告或声明中引用，亦不得以其他任何方式公开发表。</w:t>
      </w:r>
    </w:p>
    <w:p>
      <w:pPr>
        <w:adjustRightInd w:val="0"/>
        <w:spacing w:line="480" w:lineRule="exact"/>
        <w:ind w:firstLine="480" w:firstLineChars="200"/>
        <w:rPr>
          <w:rFonts w:ascii="宋体" w:hAnsi="宋体" w:cs="宋体"/>
          <w:kern w:val="0"/>
          <w:sz w:val="24"/>
        </w:rPr>
      </w:pPr>
      <w:r>
        <w:rPr>
          <w:rFonts w:hint="eastAsia" w:ascii="宋体" w:hAnsi="宋体" w:cs="宋体"/>
          <w:kern w:val="0"/>
          <w:sz w:val="24"/>
        </w:rPr>
        <w:t>5、</w:t>
      </w:r>
      <w:r>
        <w:rPr>
          <w:rFonts w:hint="eastAsia" w:ascii="宋体" w:hAnsi="宋体" w:cs="宋体"/>
          <w:sz w:val="24"/>
        </w:rPr>
        <w:t>本报告由湖南正佳房地产土地评估有限公司负责解释。</w:t>
      </w:r>
    </w:p>
    <w:p>
      <w:pPr>
        <w:pStyle w:val="275"/>
        <w:shd w:val="clear" w:color="auto" w:fill="auto"/>
        <w:tabs>
          <w:tab w:val="left" w:pos="900"/>
        </w:tabs>
        <w:spacing w:before="0" w:line="480" w:lineRule="exact"/>
        <w:ind w:firstLine="540"/>
        <w:jc w:val="both"/>
        <w:rPr>
          <w:rFonts w:ascii="宋体" w:hAnsi="宋体" w:eastAsia="宋体" w:cs="宋体"/>
          <w:spacing w:val="0"/>
          <w:sz w:val="24"/>
          <w:szCs w:val="24"/>
        </w:rPr>
      </w:pPr>
      <w:r>
        <w:rPr>
          <w:rFonts w:hint="eastAsia" w:ascii="宋体" w:hAnsi="宋体" w:eastAsia="宋体" w:cs="宋体"/>
          <w:spacing w:val="0"/>
          <w:sz w:val="24"/>
          <w:szCs w:val="24"/>
        </w:rPr>
        <w:t>6、本报告必须经估价机构加盖公章、注册房地产估价师签字后方可使用，估价机构仅对本报告的原件承担责任，对任何形式的复制件概不认可且不承担责任。</w:t>
      </w:r>
    </w:p>
    <w:p>
      <w:pPr>
        <w:pStyle w:val="275"/>
        <w:shd w:val="clear" w:color="auto" w:fill="auto"/>
        <w:tabs>
          <w:tab w:val="left" w:pos="900"/>
        </w:tabs>
        <w:spacing w:before="0" w:line="480" w:lineRule="exact"/>
        <w:ind w:firstLine="540"/>
        <w:jc w:val="both"/>
        <w:rPr>
          <w:rFonts w:ascii="宋体" w:hAnsi="宋体" w:eastAsia="宋体" w:cs="宋体"/>
          <w:spacing w:val="0"/>
          <w:sz w:val="24"/>
          <w:szCs w:val="24"/>
        </w:rPr>
      </w:pPr>
      <w:r>
        <w:rPr>
          <w:rFonts w:hint="eastAsia" w:ascii="宋体" w:hAnsi="宋体" w:eastAsia="宋体" w:cs="宋体"/>
          <w:spacing w:val="0"/>
          <w:sz w:val="24"/>
          <w:szCs w:val="24"/>
        </w:rPr>
        <w:t>7、若对估价结论有异议的，可在《房地产估价报告》送达之日起五日内通过原委托单位向我公司提出书面复核申请，逾期我公司将不予受理。</w:t>
      </w:r>
    </w:p>
    <w:p>
      <w:pPr>
        <w:pStyle w:val="3"/>
        <w:keepNext w:val="0"/>
        <w:spacing w:beforeLines="100" w:afterLines="100" w:line="480" w:lineRule="exact"/>
        <w:ind w:left="0" w:firstLine="0"/>
        <w:jc w:val="center"/>
        <w:rPr>
          <w:rFonts w:ascii="黑体" w:hAnsi="黑体" w:eastAsia="黑体"/>
          <w:sz w:val="32"/>
          <w:szCs w:val="32"/>
        </w:rPr>
      </w:pPr>
      <w:r>
        <w:rPr>
          <w:rFonts w:ascii="宋体" w:hAnsi="宋体" w:eastAsia="宋体"/>
          <w:b w:val="0"/>
          <w:bCs w:val="0"/>
          <w:kern w:val="0"/>
          <w:sz w:val="24"/>
        </w:rPr>
        <w:br w:type="page"/>
      </w:r>
      <w:r>
        <w:rPr>
          <w:rFonts w:hint="eastAsia" w:ascii="黑体" w:hAnsi="黑体" w:eastAsia="黑体"/>
          <w:sz w:val="36"/>
          <w:szCs w:val="36"/>
        </w:rPr>
        <w:t>估价结果报告</w:t>
      </w:r>
    </w:p>
    <w:p>
      <w:pPr>
        <w:pStyle w:val="123"/>
        <w:tabs>
          <w:tab w:val="left" w:pos="4335"/>
        </w:tabs>
        <w:spacing w:line="480" w:lineRule="exact"/>
        <w:ind w:firstLine="0" w:firstLineChars="0"/>
        <w:rPr>
          <w:rFonts w:ascii="宋体" w:hAnsi="宋体"/>
          <w:spacing w:val="10"/>
          <w:sz w:val="24"/>
        </w:rPr>
      </w:pPr>
      <w:r>
        <w:rPr>
          <w:rFonts w:hint="eastAsia" w:ascii="宋体" w:hAnsi="宋体"/>
          <w:b/>
          <w:bCs/>
          <w:spacing w:val="10"/>
          <w:sz w:val="24"/>
        </w:rPr>
        <w:t>一、估价委托人</w:t>
      </w:r>
      <w:r>
        <w:rPr>
          <w:rFonts w:hint="eastAsia" w:ascii="宋体" w:hAnsi="宋体"/>
          <w:spacing w:val="10"/>
          <w:sz w:val="24"/>
        </w:rPr>
        <w:t>：</w:t>
      </w:r>
    </w:p>
    <w:p>
      <w:pPr>
        <w:tabs>
          <w:tab w:val="left" w:pos="4335"/>
        </w:tabs>
        <w:spacing w:line="480" w:lineRule="exact"/>
        <w:ind w:firstLine="650" w:firstLineChars="250"/>
        <w:rPr>
          <w:rFonts w:hint="eastAsia" w:ascii="宋体" w:hAnsi="宋体" w:eastAsia="宋体"/>
          <w:spacing w:val="10"/>
          <w:sz w:val="24"/>
          <w:lang w:eastAsia="zh-CN"/>
        </w:rPr>
      </w:pPr>
      <w:r>
        <w:rPr>
          <w:rFonts w:hint="eastAsia" w:ascii="宋体" w:hAnsi="宋体"/>
          <w:spacing w:val="10"/>
          <w:sz w:val="24"/>
        </w:rPr>
        <w:t>委托人名称：</w:t>
      </w:r>
      <w:r>
        <w:rPr>
          <w:rFonts w:hint="eastAsia" w:ascii="宋体" w:hAnsi="宋体"/>
          <w:spacing w:val="10"/>
          <w:sz w:val="24"/>
          <w:lang w:eastAsia="zh-CN"/>
        </w:rPr>
        <w:t>湘潭市岳塘区人民法院</w:t>
      </w:r>
    </w:p>
    <w:p>
      <w:pPr>
        <w:tabs>
          <w:tab w:val="left" w:pos="4335"/>
        </w:tabs>
        <w:spacing w:line="480" w:lineRule="exact"/>
        <w:rPr>
          <w:rFonts w:ascii="宋体" w:hAnsi="宋体"/>
          <w:b/>
          <w:sz w:val="24"/>
        </w:rPr>
      </w:pPr>
      <w:r>
        <w:rPr>
          <w:rFonts w:hint="eastAsia" w:ascii="宋体" w:hAnsi="宋体"/>
          <w:b/>
          <w:bCs/>
          <w:spacing w:val="10"/>
          <w:sz w:val="24"/>
        </w:rPr>
        <w:t>二、</w:t>
      </w:r>
      <w:r>
        <w:rPr>
          <w:rFonts w:hint="eastAsia" w:ascii="宋体" w:hAnsi="宋体"/>
          <w:b/>
          <w:sz w:val="24"/>
        </w:rPr>
        <w:t>估价机构：</w:t>
      </w:r>
    </w:p>
    <w:p>
      <w:pPr>
        <w:spacing w:line="540" w:lineRule="exact"/>
        <w:ind w:firstLine="480" w:firstLineChars="200"/>
        <w:rPr>
          <w:rFonts w:ascii="宋体" w:hAnsi="宋体" w:cs="宋体"/>
          <w:kern w:val="0"/>
          <w:sz w:val="24"/>
        </w:rPr>
      </w:pPr>
      <w:r>
        <w:rPr>
          <w:rFonts w:hint="eastAsia" w:ascii="宋体" w:hAnsi="宋体" w:cs="宋体"/>
          <w:kern w:val="0"/>
          <w:sz w:val="24"/>
        </w:rPr>
        <w:t>1、机构名称：湖南正佳房地产土地评估有限公司</w:t>
      </w:r>
    </w:p>
    <w:p>
      <w:pPr>
        <w:spacing w:line="540" w:lineRule="exact"/>
        <w:ind w:firstLine="480" w:firstLineChars="200"/>
        <w:rPr>
          <w:rFonts w:ascii="宋体" w:hAnsi="宋体" w:cs="宋体"/>
          <w:kern w:val="0"/>
          <w:sz w:val="24"/>
        </w:rPr>
      </w:pPr>
      <w:r>
        <w:rPr>
          <w:rFonts w:ascii="宋体" w:hAnsi="宋体" w:cs="宋体"/>
          <w:kern w:val="0"/>
          <w:sz w:val="24"/>
        </w:rPr>
        <w:t>2</w:t>
      </w:r>
      <w:r>
        <w:rPr>
          <w:rFonts w:hint="eastAsia" w:ascii="宋体" w:hAnsi="宋体" w:cs="宋体"/>
          <w:kern w:val="0"/>
          <w:sz w:val="24"/>
        </w:rPr>
        <w:t>、类型</w:t>
      </w:r>
      <w:r>
        <w:rPr>
          <w:rFonts w:ascii="宋体" w:hAnsi="宋体" w:cs="宋体"/>
          <w:kern w:val="0"/>
          <w:sz w:val="24"/>
        </w:rPr>
        <w:t>：</w:t>
      </w:r>
      <w:r>
        <w:rPr>
          <w:rFonts w:hint="eastAsia" w:ascii="宋体" w:hAnsi="宋体" w:cs="宋体"/>
          <w:kern w:val="0"/>
          <w:sz w:val="24"/>
        </w:rPr>
        <w:t>有限责任</w:t>
      </w:r>
      <w:r>
        <w:rPr>
          <w:rFonts w:ascii="宋体" w:hAnsi="宋体" w:cs="宋体"/>
          <w:kern w:val="0"/>
          <w:sz w:val="24"/>
        </w:rPr>
        <w:t>公司</w:t>
      </w:r>
      <w:r>
        <w:rPr>
          <w:rFonts w:hint="eastAsia" w:ascii="宋体" w:hAnsi="宋体" w:cs="宋体"/>
          <w:kern w:val="0"/>
          <w:sz w:val="24"/>
        </w:rPr>
        <w:t>（自然人投资或控股）</w:t>
      </w:r>
    </w:p>
    <w:p>
      <w:pPr>
        <w:spacing w:line="540" w:lineRule="exact"/>
        <w:ind w:firstLine="480" w:firstLineChars="200"/>
        <w:rPr>
          <w:rFonts w:ascii="宋体" w:hAnsi="宋体" w:cs="宋体"/>
          <w:kern w:val="0"/>
          <w:sz w:val="24"/>
        </w:rPr>
      </w:pPr>
      <w:r>
        <w:rPr>
          <w:rFonts w:ascii="宋体" w:hAnsi="宋体" w:cs="宋体"/>
          <w:kern w:val="0"/>
          <w:sz w:val="24"/>
        </w:rPr>
        <w:t>3</w:t>
      </w:r>
      <w:r>
        <w:rPr>
          <w:rFonts w:hint="eastAsia" w:ascii="宋体" w:hAnsi="宋体" w:cs="宋体"/>
          <w:kern w:val="0"/>
          <w:sz w:val="24"/>
        </w:rPr>
        <w:t>、住所：</w:t>
      </w:r>
      <w:r>
        <w:rPr>
          <w:rFonts w:hint="eastAsia" w:ascii="宋体" w:hAnsi="宋体" w:cs="宋体"/>
          <w:spacing w:val="-6"/>
          <w:kern w:val="0"/>
          <w:sz w:val="24"/>
        </w:rPr>
        <w:t>湖南省湘潭市高新区湘潭大道281号湘潭万达广场综合楼B座1502015号</w:t>
      </w:r>
    </w:p>
    <w:p>
      <w:pPr>
        <w:spacing w:line="540" w:lineRule="exact"/>
        <w:ind w:firstLine="480" w:firstLineChars="200"/>
        <w:rPr>
          <w:rFonts w:ascii="宋体" w:hAnsi="宋体" w:cs="宋体"/>
          <w:kern w:val="0"/>
          <w:sz w:val="24"/>
        </w:rPr>
      </w:pPr>
      <w:r>
        <w:rPr>
          <w:rFonts w:ascii="宋体" w:hAnsi="宋体" w:cs="宋体"/>
          <w:kern w:val="0"/>
          <w:sz w:val="24"/>
        </w:rPr>
        <w:t>4</w:t>
      </w:r>
      <w:r>
        <w:rPr>
          <w:rFonts w:hint="eastAsia" w:ascii="宋体" w:hAnsi="宋体" w:cs="宋体"/>
          <w:kern w:val="0"/>
          <w:sz w:val="24"/>
        </w:rPr>
        <w:t>、法定代表人：董刚</w:t>
      </w:r>
    </w:p>
    <w:p>
      <w:pPr>
        <w:spacing w:line="540" w:lineRule="exact"/>
        <w:ind w:firstLine="480" w:firstLineChars="200"/>
        <w:rPr>
          <w:rFonts w:ascii="宋体" w:hAnsi="宋体" w:cs="宋体"/>
          <w:kern w:val="0"/>
          <w:sz w:val="24"/>
        </w:rPr>
      </w:pPr>
      <w:r>
        <w:rPr>
          <w:rFonts w:ascii="宋体" w:hAnsi="宋体" w:cs="宋体"/>
          <w:kern w:val="0"/>
          <w:sz w:val="24"/>
        </w:rPr>
        <w:t>5</w:t>
      </w:r>
      <w:r>
        <w:rPr>
          <w:rFonts w:hint="eastAsia" w:ascii="宋体" w:hAnsi="宋体" w:cs="宋体"/>
          <w:kern w:val="0"/>
          <w:sz w:val="24"/>
        </w:rPr>
        <w:t>、统一社会信用代码：91430300563549996X</w:t>
      </w:r>
    </w:p>
    <w:p>
      <w:pPr>
        <w:spacing w:line="540" w:lineRule="exact"/>
        <w:ind w:firstLine="480" w:firstLineChars="200"/>
        <w:rPr>
          <w:rFonts w:ascii="宋体" w:hAnsi="宋体" w:cs="宋体"/>
          <w:kern w:val="0"/>
          <w:sz w:val="24"/>
        </w:rPr>
      </w:pPr>
      <w:r>
        <w:rPr>
          <w:rFonts w:ascii="宋体" w:hAnsi="宋体" w:cs="宋体"/>
          <w:kern w:val="0"/>
          <w:sz w:val="24"/>
        </w:rPr>
        <w:t>6</w:t>
      </w:r>
      <w:r>
        <w:rPr>
          <w:rFonts w:hint="eastAsia" w:ascii="宋体" w:hAnsi="宋体" w:cs="宋体"/>
          <w:kern w:val="0"/>
          <w:sz w:val="24"/>
        </w:rPr>
        <w:t>、备案等级：原二级资质</w:t>
      </w:r>
    </w:p>
    <w:p>
      <w:pPr>
        <w:spacing w:line="540" w:lineRule="exact"/>
        <w:ind w:firstLine="480" w:firstLineChars="200"/>
        <w:rPr>
          <w:rFonts w:ascii="宋体" w:hAnsi="宋体" w:cs="宋体"/>
          <w:kern w:val="0"/>
          <w:sz w:val="24"/>
        </w:rPr>
      </w:pPr>
      <w:r>
        <w:rPr>
          <w:rFonts w:hint="eastAsia" w:ascii="宋体" w:hAnsi="宋体" w:cs="宋体"/>
          <w:kern w:val="0"/>
          <w:sz w:val="24"/>
        </w:rPr>
        <w:t>7、证书编号：</w:t>
      </w:r>
      <w:r>
        <w:rPr>
          <w:rFonts w:ascii="宋体" w:hAnsi="宋体" w:cs="宋体"/>
          <w:kern w:val="0"/>
          <w:sz w:val="24"/>
        </w:rPr>
        <w:t>湘建房估（</w:t>
      </w:r>
      <w:r>
        <w:rPr>
          <w:rFonts w:hint="eastAsia" w:ascii="宋体" w:hAnsi="宋体" w:cs="宋体"/>
          <w:kern w:val="0"/>
          <w:sz w:val="24"/>
        </w:rPr>
        <w:t>湘</w:t>
      </w:r>
      <w:r>
        <w:rPr>
          <w:rFonts w:ascii="宋体" w:hAnsi="宋体" w:cs="宋体"/>
          <w:kern w:val="0"/>
          <w:sz w:val="24"/>
        </w:rPr>
        <w:t>）字第</w:t>
      </w:r>
      <w:r>
        <w:rPr>
          <w:rFonts w:hint="eastAsia" w:ascii="宋体" w:hAnsi="宋体" w:cs="宋体"/>
          <w:kern w:val="0"/>
          <w:sz w:val="24"/>
        </w:rPr>
        <w:t>0220039号</w:t>
      </w:r>
    </w:p>
    <w:p>
      <w:pPr>
        <w:spacing w:line="540" w:lineRule="exact"/>
        <w:ind w:firstLine="480" w:firstLineChars="200"/>
        <w:rPr>
          <w:rFonts w:ascii="宋体" w:hAnsi="宋体" w:cs="宋体"/>
          <w:kern w:val="0"/>
          <w:sz w:val="24"/>
        </w:rPr>
      </w:pPr>
      <w:r>
        <w:rPr>
          <w:rFonts w:hint="eastAsia" w:ascii="宋体" w:hAnsi="宋体" w:cs="宋体"/>
          <w:kern w:val="0"/>
          <w:sz w:val="24"/>
        </w:rPr>
        <w:t>8、有效期限：2019年5月30日至2022年5月29日</w:t>
      </w:r>
    </w:p>
    <w:p>
      <w:pPr>
        <w:spacing w:line="540" w:lineRule="exact"/>
        <w:ind w:firstLine="480" w:firstLineChars="200"/>
        <w:rPr>
          <w:rFonts w:ascii="宋体" w:hAnsi="宋体" w:cs="宋体"/>
          <w:kern w:val="0"/>
          <w:sz w:val="24"/>
        </w:rPr>
      </w:pPr>
      <w:r>
        <w:rPr>
          <w:rFonts w:hint="eastAsia" w:ascii="宋体" w:hAnsi="宋体" w:cs="宋体"/>
          <w:kern w:val="0"/>
          <w:sz w:val="24"/>
        </w:rPr>
        <w:t>9、联系电话：</w:t>
      </w:r>
      <w:r>
        <w:rPr>
          <w:rFonts w:hint="eastAsia" w:ascii="宋体" w:hAnsi="宋体"/>
          <w:sz w:val="24"/>
        </w:rPr>
        <w:t>（0731）52871111</w:t>
      </w:r>
    </w:p>
    <w:p>
      <w:pPr>
        <w:tabs>
          <w:tab w:val="left" w:pos="4335"/>
        </w:tabs>
        <w:spacing w:line="480" w:lineRule="exact"/>
        <w:rPr>
          <w:rFonts w:ascii="宋体" w:hAnsi="宋体"/>
          <w:b/>
          <w:bCs/>
          <w:spacing w:val="10"/>
          <w:sz w:val="24"/>
        </w:rPr>
      </w:pPr>
      <w:r>
        <w:rPr>
          <w:rFonts w:hint="eastAsia" w:ascii="宋体" w:hAnsi="宋体"/>
          <w:b/>
          <w:bCs/>
          <w:spacing w:val="10"/>
          <w:sz w:val="24"/>
        </w:rPr>
        <w:t>三、估价目的</w:t>
      </w:r>
    </w:p>
    <w:p>
      <w:pPr>
        <w:spacing w:line="480" w:lineRule="exact"/>
        <w:ind w:firstLine="480" w:firstLineChars="200"/>
        <w:rPr>
          <w:rFonts w:ascii="宋体" w:hAnsi="宋体"/>
          <w:spacing w:val="10"/>
          <w:sz w:val="24"/>
        </w:rPr>
      </w:pPr>
      <w:r>
        <w:rPr>
          <w:rFonts w:hint="eastAsia" w:ascii="宋体" w:hAnsi="宋体" w:cs="宋体"/>
          <w:kern w:val="0"/>
          <w:sz w:val="24"/>
        </w:rPr>
        <w:t>为委托人因司法处置的需要提供估价对象房地产市场价值参考</w:t>
      </w:r>
      <w:r>
        <w:rPr>
          <w:rFonts w:ascii="宋体" w:hAnsi="宋体" w:cs="宋体"/>
          <w:kern w:val="0"/>
          <w:sz w:val="24"/>
        </w:rPr>
        <w:t>。</w:t>
      </w:r>
    </w:p>
    <w:p>
      <w:pPr>
        <w:spacing w:line="480" w:lineRule="exact"/>
        <w:rPr>
          <w:rFonts w:ascii="宋体" w:hAnsi="宋体"/>
          <w:spacing w:val="10"/>
          <w:sz w:val="24"/>
        </w:rPr>
      </w:pPr>
      <w:r>
        <w:rPr>
          <w:rFonts w:hint="eastAsia" w:ascii="宋体" w:hAnsi="宋体"/>
          <w:b/>
          <w:bCs/>
          <w:spacing w:val="10"/>
          <w:sz w:val="24"/>
        </w:rPr>
        <w:t>四、估价对象：</w:t>
      </w:r>
    </w:p>
    <w:p>
      <w:pPr>
        <w:spacing w:line="480" w:lineRule="exact"/>
        <w:ind w:firstLine="480"/>
        <w:jc w:val="left"/>
        <w:rPr>
          <w:rFonts w:ascii="宋体" w:hAnsi="宋体" w:cs="宋体"/>
          <w:kern w:val="0"/>
          <w:sz w:val="24"/>
          <w:lang w:eastAsia="zh-TW"/>
        </w:rPr>
      </w:pPr>
      <w:r>
        <w:rPr>
          <w:rFonts w:hint="eastAsia" w:ascii="宋体" w:hAnsi="宋体" w:cs="宋体"/>
          <w:kern w:val="0"/>
          <w:sz w:val="24"/>
          <w:lang w:eastAsia="zh-TW"/>
        </w:rPr>
        <w:t>1.估价对象范围的界定</w:t>
      </w:r>
    </w:p>
    <w:p>
      <w:pPr>
        <w:spacing w:line="480" w:lineRule="exact"/>
        <w:ind w:firstLine="480"/>
        <w:jc w:val="left"/>
        <w:rPr>
          <w:rFonts w:ascii="宋体" w:hAnsi="宋体" w:cs="宋体"/>
          <w:kern w:val="0"/>
          <w:sz w:val="24"/>
        </w:rPr>
      </w:pPr>
      <w:r>
        <w:rPr>
          <w:rFonts w:hint="eastAsia" w:ascii="宋体" w:hAnsi="宋体" w:cs="宋体"/>
          <w:kern w:val="0"/>
          <w:sz w:val="24"/>
          <w:lang w:eastAsia="zh-TW"/>
        </w:rPr>
        <w:t>估价对象为</w:t>
      </w:r>
      <w:r>
        <w:rPr>
          <w:rFonts w:hint="eastAsia" w:ascii="宋体" w:hAnsi="宋体" w:cs="宋体"/>
          <w:kern w:val="0"/>
          <w:sz w:val="24"/>
          <w:lang w:eastAsia="zh-CN"/>
        </w:rPr>
        <w:t>章焜、郭倚含</w:t>
      </w:r>
      <w:r>
        <w:rPr>
          <w:rFonts w:hint="eastAsia" w:ascii="宋体" w:hAnsi="宋体" w:cs="宋体"/>
          <w:kern w:val="0"/>
          <w:sz w:val="24"/>
          <w:lang w:eastAsia="zh-TW"/>
        </w:rPr>
        <w:t>所有的位于</w:t>
      </w:r>
      <w:r>
        <w:rPr>
          <w:rFonts w:hint="eastAsia" w:ascii="宋体" w:hAnsi="宋体" w:cs="宋体"/>
          <w:kern w:val="0"/>
          <w:sz w:val="24"/>
          <w:lang w:eastAsia="zh-CN"/>
        </w:rPr>
        <w:t>岳塘区宝塔街道芙蓉中路19号湖湘林语28栋2单元1302004号</w:t>
      </w:r>
      <w:r>
        <w:rPr>
          <w:rFonts w:hint="eastAsia" w:ascii="宋体" w:hAnsi="宋体" w:cs="宋体"/>
          <w:kern w:val="0"/>
          <w:sz w:val="24"/>
          <w:lang w:eastAsia="zh-TW"/>
        </w:rPr>
        <w:t>房地产,用途为</w:t>
      </w:r>
      <w:r>
        <w:rPr>
          <w:rFonts w:hint="eastAsia" w:ascii="宋体" w:hAnsi="宋体" w:cs="宋体"/>
          <w:kern w:val="0"/>
          <w:sz w:val="24"/>
        </w:rPr>
        <w:t>住宅</w:t>
      </w:r>
      <w:r>
        <w:rPr>
          <w:rFonts w:hint="eastAsia" w:ascii="宋体" w:hAnsi="宋体" w:cs="宋体"/>
          <w:kern w:val="0"/>
          <w:sz w:val="24"/>
          <w:lang w:eastAsia="zh-TW"/>
        </w:rPr>
        <w:t>,建筑面积为</w:t>
      </w:r>
      <w:r>
        <w:rPr>
          <w:rFonts w:hint="eastAsia" w:ascii="宋体" w:hAnsi="宋体" w:cs="宋体"/>
          <w:kern w:val="0"/>
          <w:sz w:val="24"/>
          <w:lang w:eastAsia="zh-CN"/>
        </w:rPr>
        <w:t>131.14</w:t>
      </w:r>
      <w:r>
        <w:rPr>
          <w:rFonts w:hint="eastAsia" w:ascii="宋体" w:hAnsi="宋体" w:cs="宋体"/>
          <w:kern w:val="0"/>
          <w:sz w:val="24"/>
          <w:lang w:eastAsia="zh-TW"/>
        </w:rPr>
        <w:t>㎡,</w:t>
      </w:r>
      <w:r>
        <w:rPr>
          <w:rFonts w:hint="eastAsia" w:ascii="宋体" w:hAnsi="宋体" w:cs="宋体"/>
          <w:kern w:val="0"/>
          <w:sz w:val="24"/>
        </w:rPr>
        <w:t>建筑</w:t>
      </w:r>
      <w:r>
        <w:rPr>
          <w:rFonts w:hint="eastAsia" w:ascii="宋体" w:hAnsi="宋体" w:cs="宋体"/>
          <w:kern w:val="0"/>
          <w:sz w:val="24"/>
          <w:lang w:eastAsia="zh-TW"/>
        </w:rPr>
        <w:t>结构为</w:t>
      </w:r>
      <w:r>
        <w:rPr>
          <w:rFonts w:hint="eastAsia" w:ascii="宋体" w:hAnsi="宋体" w:cs="宋体"/>
          <w:kern w:val="0"/>
          <w:sz w:val="24"/>
          <w:lang w:eastAsia="zh-CN"/>
        </w:rPr>
        <w:t>钢混</w:t>
      </w:r>
      <w:r>
        <w:rPr>
          <w:rFonts w:hint="eastAsia" w:ascii="宋体" w:hAnsi="宋体" w:cs="宋体"/>
          <w:kern w:val="0"/>
          <w:sz w:val="24"/>
          <w:lang w:eastAsia="zh-TW"/>
        </w:rPr>
        <w:t>,本次估价范围包括</w:t>
      </w:r>
      <w:r>
        <w:rPr>
          <w:rFonts w:hint="eastAsia" w:ascii="宋体" w:hAnsi="宋体" w:cs="宋体"/>
          <w:kern w:val="0"/>
          <w:sz w:val="24"/>
        </w:rPr>
        <w:t>房屋、房屋</w:t>
      </w:r>
      <w:r>
        <w:rPr>
          <w:rFonts w:hint="eastAsia" w:ascii="宋体" w:hAnsi="宋体" w:cs="宋体"/>
          <w:kern w:val="0"/>
          <w:sz w:val="24"/>
          <w:lang w:eastAsia="zh-TW"/>
        </w:rPr>
        <w:t>分摊的土地使用权</w:t>
      </w:r>
      <w:r>
        <w:rPr>
          <w:rFonts w:hint="eastAsia" w:ascii="宋体" w:hAnsi="宋体" w:cs="宋体"/>
          <w:kern w:val="0"/>
          <w:sz w:val="24"/>
        </w:rPr>
        <w:t>价值</w:t>
      </w:r>
      <w:r>
        <w:rPr>
          <w:rFonts w:hint="eastAsia" w:ascii="宋体" w:hAnsi="宋体" w:cs="宋体"/>
          <w:kern w:val="0"/>
          <w:sz w:val="24"/>
          <w:lang w:eastAsia="zh-TW"/>
        </w:rPr>
        <w:t>。</w:t>
      </w:r>
    </w:p>
    <w:p>
      <w:pPr>
        <w:spacing w:line="480" w:lineRule="exact"/>
        <w:ind w:firstLine="520" w:firstLineChars="200"/>
        <w:rPr>
          <w:rFonts w:ascii="宋体" w:hAnsi="宋体"/>
          <w:spacing w:val="10"/>
          <w:sz w:val="24"/>
        </w:rPr>
      </w:pPr>
      <w:r>
        <w:rPr>
          <w:rFonts w:hint="eastAsia" w:ascii="宋体" w:hAnsi="宋体"/>
          <w:spacing w:val="10"/>
          <w:sz w:val="24"/>
        </w:rPr>
        <w:t>2.估价对象区位状况描述</w:t>
      </w:r>
    </w:p>
    <w:p>
      <w:pPr>
        <w:pStyle w:val="46"/>
        <w:shd w:val="clear" w:color="auto" w:fill="FFFFFF"/>
        <w:spacing w:before="0" w:beforeAutospacing="0" w:after="0" w:afterAutospacing="0" w:line="480" w:lineRule="exact"/>
        <w:ind w:firstLine="480" w:firstLineChars="200"/>
        <w:rPr>
          <w:rFonts w:ascii="宋体" w:hAnsi="宋体" w:cs="宋体"/>
        </w:rPr>
      </w:pPr>
      <w:r>
        <w:rPr>
          <w:rFonts w:hint="eastAsia" w:ascii="宋体" w:hAnsi="宋体" w:eastAsia="宋体" w:cs="宋体"/>
          <w:lang w:eastAsia="zh-TW"/>
        </w:rPr>
        <w:t>估价对象位于湘潭市岳塘区，岳塘区位于湖南省湘潭市河东地区，是湘潭市行政中心区，是湘潭市乃至湖南省的重要工业基地和国务院批准设立的“资源节约型、环境友好型”社会建设综合配套改革试验区。全区土地总面积206平方公里，总人口为45万人,辖区范围内有湘潭国家高新技术产业开发区和昭山示范区。岳塘区现直接管辖12个街道和1个省级经济开发区。区位优势明显。岳塘区位于长沙、株洲、湘潭三市交界的“金三角”中心地带，京广铁路、湘黔铁路和长株潭城际铁路纵横穿境，107国道、320国道、京珠和沪昆高速公路交汇其间，湘江呈U字型三面环绕，乘车至黄花机场只需半小时，交通十分快捷便利。</w:t>
      </w:r>
    </w:p>
    <w:p>
      <w:pPr>
        <w:spacing w:line="480" w:lineRule="exact"/>
        <w:ind w:firstLine="480"/>
        <w:jc w:val="left"/>
        <w:rPr>
          <w:rFonts w:hint="eastAsia" w:ascii="宋体" w:hAnsi="宋体" w:cs="宋体"/>
          <w:kern w:val="0"/>
          <w:sz w:val="24"/>
          <w:lang w:eastAsia="zh-CN"/>
        </w:rPr>
      </w:pPr>
      <w:r>
        <w:rPr>
          <w:rFonts w:hint="eastAsia" w:ascii="宋体" w:hAnsi="宋体" w:cs="宋体"/>
          <w:kern w:val="0"/>
          <w:sz w:val="24"/>
          <w:lang w:eastAsia="zh-TW"/>
        </w:rPr>
        <w:t>估价对象位于</w:t>
      </w:r>
      <w:r>
        <w:rPr>
          <w:rFonts w:hint="eastAsia" w:ascii="宋体" w:hAnsi="宋体" w:cs="宋体"/>
          <w:kern w:val="0"/>
          <w:sz w:val="24"/>
          <w:lang w:eastAsia="zh-CN"/>
        </w:rPr>
        <w:t>岳塘区宝塔街道芙蓉中路19号湖湘林语28栋2单元1302004号</w:t>
      </w:r>
      <w:r>
        <w:rPr>
          <w:rFonts w:hint="eastAsia" w:ascii="宋体" w:hAnsi="宋体" w:cs="宋体"/>
          <w:kern w:val="0"/>
          <w:sz w:val="24"/>
          <w:lang w:eastAsia="zh-TW"/>
        </w:rPr>
        <w:t>，</w:t>
      </w:r>
      <w:r>
        <w:rPr>
          <w:rFonts w:hint="eastAsia" w:ascii="宋体" w:hAnsi="宋体" w:cs="宋体"/>
          <w:kern w:val="0"/>
          <w:sz w:val="24"/>
          <w:lang w:eastAsia="zh-CN"/>
        </w:rPr>
        <w:t>小区北至霞光路、南至宝园路、西至宝塔中路、东至湖湘西路，所处区域商业繁华度较好，基础设施及公共配套设施较齐全，</w:t>
      </w:r>
      <w:r>
        <w:rPr>
          <w:rFonts w:hint="eastAsia" w:ascii="宋体" w:hAnsi="宋体" w:cs="宋体"/>
          <w:kern w:val="0"/>
          <w:sz w:val="24"/>
        </w:rPr>
        <w:t>附近有</w:t>
      </w:r>
      <w:r>
        <w:rPr>
          <w:rFonts w:hint="eastAsia" w:ascii="宋体" w:hAnsi="宋体" w:cs="宋体"/>
          <w:kern w:val="0"/>
          <w:sz w:val="24"/>
          <w:lang w:eastAsia="zh-CN"/>
        </w:rPr>
        <w:t>英伦国际幼儿园、湖湘公园、</w:t>
      </w:r>
      <w:r>
        <w:rPr>
          <w:rFonts w:hint="eastAsia" w:ascii="宋体" w:hAnsi="宋体" w:cs="宋体"/>
          <w:kern w:val="0"/>
          <w:sz w:val="24"/>
        </w:rPr>
        <w:t>湘潭万达广场、东方红广场、</w:t>
      </w:r>
      <w:r>
        <w:rPr>
          <w:rFonts w:hint="eastAsia" w:ascii="宋体" w:hAnsi="宋体" w:cs="宋体"/>
          <w:kern w:val="0"/>
          <w:sz w:val="24"/>
          <w:lang w:eastAsia="zh-CN"/>
        </w:rPr>
        <w:t>银行、超市</w:t>
      </w:r>
      <w:r>
        <w:rPr>
          <w:rFonts w:hint="eastAsia" w:ascii="宋体" w:hAnsi="宋体" w:cs="宋体"/>
          <w:kern w:val="0"/>
          <w:sz w:val="24"/>
        </w:rPr>
        <w:t>等物业配套</w:t>
      </w:r>
      <w:r>
        <w:rPr>
          <w:rFonts w:hint="eastAsia" w:ascii="宋体" w:hAnsi="宋体"/>
          <w:sz w:val="24"/>
          <w:lang w:eastAsia="zh-CN"/>
        </w:rPr>
        <w:t>，区域内有</w:t>
      </w:r>
      <w:r>
        <w:rPr>
          <w:rFonts w:hint="eastAsia" w:ascii="宋体" w:hAnsi="宋体" w:cs="宋体"/>
          <w:kern w:val="0"/>
          <w:sz w:val="24"/>
          <w:lang w:eastAsia="zh-CN"/>
        </w:rPr>
        <w:t>宝塔中路</w:t>
      </w:r>
      <w:r>
        <w:rPr>
          <w:rFonts w:hint="eastAsia" w:ascii="宋体" w:hAnsi="宋体" w:cs="宋体"/>
          <w:kern w:val="0"/>
          <w:sz w:val="24"/>
        </w:rPr>
        <w:t>、湖湘西路</w:t>
      </w:r>
      <w:r>
        <w:rPr>
          <w:rFonts w:hint="eastAsia" w:ascii="宋体" w:hAnsi="宋体"/>
          <w:sz w:val="24"/>
          <w:lang w:eastAsia="zh-CN"/>
        </w:rPr>
        <w:t>等交通干道，道路通达度</w:t>
      </w:r>
      <w:r>
        <w:rPr>
          <w:rFonts w:hint="eastAsia" w:ascii="宋体" w:hAnsi="宋体"/>
          <w:sz w:val="24"/>
        </w:rPr>
        <w:t>较好。</w:t>
      </w:r>
    </w:p>
    <w:p>
      <w:pPr>
        <w:spacing w:line="480" w:lineRule="exact"/>
        <w:ind w:firstLine="480"/>
        <w:jc w:val="left"/>
        <w:rPr>
          <w:rFonts w:ascii="宋体" w:hAnsi="宋体"/>
          <w:spacing w:val="10"/>
          <w:sz w:val="24"/>
        </w:rPr>
      </w:pPr>
      <w:r>
        <w:rPr>
          <w:rFonts w:hint="eastAsia" w:ascii="宋体" w:hAnsi="宋体"/>
          <w:spacing w:val="10"/>
          <w:sz w:val="24"/>
        </w:rPr>
        <w:drawing>
          <wp:anchor distT="0" distB="0" distL="114300" distR="114300" simplePos="0" relativeHeight="251705344" behindDoc="0" locked="0" layoutInCell="1" allowOverlap="1">
            <wp:simplePos x="0" y="0"/>
            <wp:positionH relativeFrom="column">
              <wp:posOffset>1270</wp:posOffset>
            </wp:positionH>
            <wp:positionV relativeFrom="paragraph">
              <wp:posOffset>51435</wp:posOffset>
            </wp:positionV>
            <wp:extent cx="5718175" cy="4163695"/>
            <wp:effectExtent l="0" t="0" r="15875" b="8255"/>
            <wp:wrapSquare wrapText="bothSides"/>
            <wp:docPr id="4" name="图片 4" descr="16042834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04283425(1)"/>
                    <pic:cNvPicPr>
                      <a:picLocks noChangeAspect="1"/>
                    </pic:cNvPicPr>
                  </pic:nvPicPr>
                  <pic:blipFill>
                    <a:blip r:embed="rId6"/>
                    <a:stretch>
                      <a:fillRect/>
                    </a:stretch>
                  </pic:blipFill>
                  <pic:spPr>
                    <a:xfrm>
                      <a:off x="0" y="0"/>
                      <a:ext cx="5718175" cy="4163695"/>
                    </a:xfrm>
                    <a:prstGeom prst="rect">
                      <a:avLst/>
                    </a:prstGeom>
                  </pic:spPr>
                </pic:pic>
              </a:graphicData>
            </a:graphic>
          </wp:anchor>
        </w:drawing>
      </w:r>
      <w:r>
        <w:rPr>
          <w:rFonts w:hint="eastAsia" w:ascii="宋体" w:hAnsi="宋体"/>
          <w:spacing w:val="10"/>
          <w:sz w:val="24"/>
        </w:rPr>
        <w:t>3.估价对象权益状况描述</w:t>
      </w:r>
    </w:p>
    <w:p>
      <w:pPr>
        <w:widowControl/>
        <w:spacing w:line="460" w:lineRule="exact"/>
        <w:ind w:firstLine="482"/>
        <w:jc w:val="left"/>
        <w:rPr>
          <w:rFonts w:ascii="宋体" w:hAnsi="宋体" w:cs="宋体"/>
          <w:kern w:val="0"/>
          <w:sz w:val="24"/>
          <w:lang w:eastAsia="zh-TW"/>
        </w:rPr>
      </w:pPr>
      <w:r>
        <w:rPr>
          <w:rFonts w:hint="eastAsia" w:ascii="宋体" w:hAnsi="宋体" w:cs="宋体"/>
          <w:kern w:val="0"/>
          <w:sz w:val="24"/>
          <w:lang w:eastAsia="zh-TW"/>
        </w:rPr>
        <w:t>根据委托方提供的</w:t>
      </w:r>
      <w:r>
        <w:rPr>
          <w:rFonts w:hint="eastAsia" w:ascii="宋体" w:hAnsi="宋体" w:cs="宋体"/>
          <w:kern w:val="0"/>
          <w:sz w:val="24"/>
          <w:lang w:eastAsia="zh-CN"/>
        </w:rPr>
        <w:t>《不动产房地产权情况证明》</w:t>
      </w:r>
      <w:r>
        <w:rPr>
          <w:rFonts w:hint="eastAsia" w:ascii="宋体" w:hAnsi="宋体" w:cs="宋体"/>
          <w:kern w:val="0"/>
          <w:sz w:val="24"/>
        </w:rPr>
        <w:t>等资料，</w:t>
      </w:r>
      <w:r>
        <w:rPr>
          <w:rFonts w:hint="eastAsia" w:ascii="宋体" w:hAnsi="宋体" w:cs="宋体"/>
          <w:kern w:val="0"/>
          <w:sz w:val="24"/>
          <w:lang w:eastAsia="zh-TW"/>
        </w:rPr>
        <w:t>估价对象益状况登记如下：</w:t>
      </w:r>
    </w:p>
    <w:p>
      <w:pPr>
        <w:tabs>
          <w:tab w:val="left" w:pos="180"/>
          <w:tab w:val="left" w:pos="851"/>
        </w:tabs>
        <w:adjustRightInd w:val="0"/>
        <w:snapToGrid w:val="0"/>
        <w:spacing w:line="520" w:lineRule="exact"/>
        <w:ind w:firstLine="480" w:firstLineChars="200"/>
        <w:rPr>
          <w:rFonts w:ascii="宋体" w:hAnsi="宋体"/>
          <w:spacing w:val="10"/>
          <w:sz w:val="22"/>
        </w:rPr>
      </w:pPr>
      <w:r>
        <w:rPr>
          <w:rFonts w:hint="eastAsia" w:ascii="宋体" w:hAnsi="宋体"/>
          <w:spacing w:val="10"/>
          <w:sz w:val="22"/>
          <w:lang w:eastAsia="zh-CN"/>
        </w:rPr>
        <w:t>不动产</w:t>
      </w:r>
      <w:r>
        <w:rPr>
          <w:rFonts w:hint="eastAsia" w:ascii="宋体" w:hAnsi="宋体"/>
          <w:spacing w:val="10"/>
          <w:sz w:val="22"/>
        </w:rPr>
        <w:t>产权信息登记情况</w:t>
      </w:r>
    </w:p>
    <w:tbl>
      <w:tblPr>
        <w:tblStyle w:val="56"/>
        <w:tblW w:w="88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385"/>
        <w:gridCol w:w="2250"/>
        <w:gridCol w:w="2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668" w:type="dxa"/>
            <w:vAlign w:val="center"/>
          </w:tcPr>
          <w:p>
            <w:pPr>
              <w:widowControl/>
              <w:spacing w:line="440" w:lineRule="exact"/>
              <w:jc w:val="center"/>
              <w:rPr>
                <w:rFonts w:ascii="宋体" w:hAnsi="宋体"/>
                <w:sz w:val="22"/>
              </w:rPr>
            </w:pPr>
            <w:r>
              <w:rPr>
                <w:rFonts w:hint="eastAsia" w:ascii="宋体" w:hAnsi="宋体"/>
                <w:sz w:val="22"/>
              </w:rPr>
              <w:t>权证编号</w:t>
            </w:r>
          </w:p>
        </w:tc>
        <w:tc>
          <w:tcPr>
            <w:tcW w:w="7205" w:type="dxa"/>
            <w:gridSpan w:val="3"/>
            <w:vAlign w:val="center"/>
          </w:tcPr>
          <w:p>
            <w:pPr>
              <w:widowControl/>
              <w:spacing w:line="440" w:lineRule="exact"/>
              <w:jc w:val="left"/>
              <w:rPr>
                <w:rFonts w:hint="eastAsia" w:ascii="宋体" w:hAnsi="宋体" w:eastAsia="宋体"/>
                <w:sz w:val="22"/>
                <w:lang w:eastAsia="zh-CN"/>
              </w:rPr>
            </w:pPr>
            <w:r>
              <w:rPr>
                <w:rFonts w:hint="eastAsia" w:ascii="宋体" w:hAnsi="宋体"/>
                <w:sz w:val="22"/>
                <w:lang w:eastAsia="zh-CN"/>
              </w:rPr>
              <w:t>湘（2016）湘潭市不动产权第0009056号、湘（2016）湘潭市不动产权第0009057号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1668" w:type="dxa"/>
            <w:vAlign w:val="center"/>
          </w:tcPr>
          <w:p>
            <w:pPr>
              <w:widowControl/>
              <w:spacing w:line="440" w:lineRule="exact"/>
              <w:jc w:val="center"/>
              <w:rPr>
                <w:rFonts w:hint="eastAsia" w:ascii="宋体" w:hAnsi="宋体" w:eastAsia="宋体"/>
                <w:sz w:val="22"/>
                <w:lang w:eastAsia="zh-CN"/>
              </w:rPr>
            </w:pPr>
            <w:r>
              <w:rPr>
                <w:rFonts w:hint="eastAsia" w:ascii="宋体" w:hAnsi="宋体"/>
                <w:sz w:val="22"/>
                <w:lang w:eastAsia="zh-CN"/>
              </w:rPr>
              <w:t>权利人姓名</w:t>
            </w:r>
          </w:p>
        </w:tc>
        <w:tc>
          <w:tcPr>
            <w:tcW w:w="7205" w:type="dxa"/>
            <w:gridSpan w:val="3"/>
            <w:vAlign w:val="center"/>
          </w:tcPr>
          <w:p>
            <w:pPr>
              <w:widowControl/>
              <w:spacing w:line="440" w:lineRule="exact"/>
              <w:jc w:val="center"/>
              <w:rPr>
                <w:rFonts w:hint="eastAsia" w:ascii="宋体" w:hAnsi="宋体" w:eastAsia="宋体"/>
                <w:sz w:val="22"/>
                <w:lang w:eastAsia="zh-CN"/>
              </w:rPr>
            </w:pPr>
            <w:r>
              <w:rPr>
                <w:rFonts w:hint="eastAsia" w:ascii="宋体" w:hAnsi="宋体"/>
                <w:sz w:val="22"/>
                <w:lang w:eastAsia="zh-CN"/>
              </w:rPr>
              <w:t>章焜、郭倚含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668" w:type="dxa"/>
            <w:vAlign w:val="center"/>
          </w:tcPr>
          <w:p>
            <w:pPr>
              <w:widowControl/>
              <w:spacing w:line="440" w:lineRule="exact"/>
              <w:jc w:val="center"/>
              <w:rPr>
                <w:rFonts w:ascii="宋体" w:hAnsi="宋体"/>
                <w:sz w:val="22"/>
              </w:rPr>
            </w:pPr>
            <w:r>
              <w:rPr>
                <w:rFonts w:hint="eastAsia" w:ascii="宋体" w:hAnsi="宋体"/>
                <w:sz w:val="22"/>
              </w:rPr>
              <w:t>共有情况</w:t>
            </w:r>
          </w:p>
        </w:tc>
        <w:tc>
          <w:tcPr>
            <w:tcW w:w="7205" w:type="dxa"/>
            <w:gridSpan w:val="3"/>
            <w:vAlign w:val="center"/>
          </w:tcPr>
          <w:p>
            <w:pPr>
              <w:widowControl/>
              <w:spacing w:line="440" w:lineRule="exact"/>
              <w:jc w:val="center"/>
              <w:rPr>
                <w:rFonts w:hint="eastAsia" w:ascii="宋体" w:hAnsi="宋体" w:eastAsia="宋体"/>
                <w:sz w:val="22"/>
                <w:lang w:eastAsia="zh-CN"/>
              </w:rPr>
            </w:pPr>
            <w:r>
              <w:rPr>
                <w:rFonts w:hint="eastAsia" w:ascii="宋体" w:hAnsi="宋体"/>
                <w:sz w:val="22"/>
                <w:lang w:eastAsia="zh-CN"/>
              </w:rPr>
              <w:t>共同共有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668" w:type="dxa"/>
            <w:vAlign w:val="center"/>
          </w:tcPr>
          <w:p>
            <w:pPr>
              <w:widowControl/>
              <w:spacing w:line="440" w:lineRule="exact"/>
              <w:jc w:val="center"/>
              <w:rPr>
                <w:rFonts w:ascii="宋体" w:hAnsi="宋体"/>
                <w:sz w:val="22"/>
              </w:rPr>
            </w:pPr>
            <w:r>
              <w:rPr>
                <w:rFonts w:hint="eastAsia" w:ascii="宋体" w:hAnsi="宋体"/>
                <w:sz w:val="22"/>
              </w:rPr>
              <w:t>房屋坐落</w:t>
            </w:r>
          </w:p>
        </w:tc>
        <w:tc>
          <w:tcPr>
            <w:tcW w:w="7205" w:type="dxa"/>
            <w:gridSpan w:val="3"/>
            <w:vAlign w:val="center"/>
          </w:tcPr>
          <w:p>
            <w:pPr>
              <w:widowControl/>
              <w:spacing w:line="440" w:lineRule="exact"/>
              <w:jc w:val="center"/>
              <w:rPr>
                <w:rFonts w:hint="eastAsia" w:ascii="宋体" w:hAnsi="宋体" w:eastAsia="宋体"/>
                <w:sz w:val="22"/>
                <w:lang w:eastAsia="zh-CN"/>
              </w:rPr>
            </w:pPr>
            <w:r>
              <w:rPr>
                <w:rFonts w:hint="eastAsia" w:ascii="宋体" w:hAnsi="宋体"/>
                <w:sz w:val="22"/>
                <w:lang w:eastAsia="zh-CN"/>
              </w:rPr>
              <w:t>岳塘区宝塔街道芙蓉中路19号湖湘林语28栋2单元1302004号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668" w:type="dxa"/>
            <w:vAlign w:val="center"/>
          </w:tcPr>
          <w:p>
            <w:pPr>
              <w:widowControl/>
              <w:spacing w:line="440" w:lineRule="exact"/>
              <w:jc w:val="center"/>
              <w:rPr>
                <w:rFonts w:hint="eastAsia" w:ascii="宋体" w:hAnsi="宋体" w:eastAsia="宋体"/>
                <w:sz w:val="22"/>
                <w:lang w:eastAsia="zh-CN"/>
              </w:rPr>
            </w:pPr>
            <w:r>
              <w:rPr>
                <w:rFonts w:hint="eastAsia" w:ascii="宋体" w:hAnsi="宋体"/>
                <w:sz w:val="22"/>
                <w:lang w:eastAsia="zh-CN"/>
              </w:rPr>
              <w:t>不动产单元号</w:t>
            </w:r>
          </w:p>
        </w:tc>
        <w:tc>
          <w:tcPr>
            <w:tcW w:w="7205" w:type="dxa"/>
            <w:gridSpan w:val="3"/>
            <w:vAlign w:val="center"/>
          </w:tcPr>
          <w:p>
            <w:pPr>
              <w:widowControl/>
              <w:spacing w:line="440" w:lineRule="exact"/>
              <w:jc w:val="center"/>
              <w:rPr>
                <w:rFonts w:hint="default" w:ascii="宋体" w:hAnsi="宋体"/>
                <w:sz w:val="22"/>
                <w:lang w:val="en-US" w:eastAsia="zh-CN"/>
              </w:rPr>
            </w:pPr>
            <w:r>
              <w:rPr>
                <w:rFonts w:hint="eastAsia" w:ascii="宋体" w:hAnsi="宋体"/>
                <w:sz w:val="22"/>
                <w:lang w:val="en-US" w:eastAsia="zh-CN"/>
              </w:rPr>
              <w:t>430304 204002 GB00167 F00010154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668" w:type="dxa"/>
            <w:vAlign w:val="center"/>
          </w:tcPr>
          <w:p>
            <w:pPr>
              <w:widowControl/>
              <w:spacing w:line="440" w:lineRule="exact"/>
              <w:jc w:val="center"/>
              <w:rPr>
                <w:rFonts w:ascii="宋体" w:hAnsi="宋体"/>
                <w:sz w:val="22"/>
              </w:rPr>
            </w:pPr>
            <w:r>
              <w:rPr>
                <w:rFonts w:hint="eastAsia" w:ascii="宋体" w:hAnsi="宋体"/>
                <w:sz w:val="22"/>
                <w:lang w:eastAsia="zh-CN"/>
              </w:rPr>
              <w:t>房屋</w:t>
            </w:r>
            <w:r>
              <w:rPr>
                <w:rFonts w:hint="eastAsia" w:ascii="宋体" w:hAnsi="宋体"/>
                <w:sz w:val="22"/>
              </w:rPr>
              <w:t>用途</w:t>
            </w:r>
          </w:p>
        </w:tc>
        <w:tc>
          <w:tcPr>
            <w:tcW w:w="2385" w:type="dxa"/>
            <w:vAlign w:val="center"/>
          </w:tcPr>
          <w:p>
            <w:pPr>
              <w:widowControl/>
              <w:spacing w:line="440" w:lineRule="exact"/>
              <w:jc w:val="center"/>
              <w:rPr>
                <w:rFonts w:ascii="宋体" w:hAnsi="宋体"/>
                <w:sz w:val="22"/>
              </w:rPr>
            </w:pPr>
            <w:r>
              <w:rPr>
                <w:rFonts w:hint="eastAsia" w:ascii="宋体" w:hAnsi="宋体"/>
                <w:sz w:val="22"/>
              </w:rPr>
              <w:t>住宅</w:t>
            </w:r>
          </w:p>
        </w:tc>
        <w:tc>
          <w:tcPr>
            <w:tcW w:w="2250" w:type="dxa"/>
            <w:vAlign w:val="center"/>
          </w:tcPr>
          <w:p>
            <w:pPr>
              <w:widowControl/>
              <w:spacing w:line="440" w:lineRule="exact"/>
              <w:jc w:val="center"/>
              <w:rPr>
                <w:rFonts w:ascii="宋体" w:hAnsi="宋体"/>
                <w:sz w:val="22"/>
              </w:rPr>
            </w:pPr>
            <w:r>
              <w:rPr>
                <w:rFonts w:hint="eastAsia" w:ascii="宋体" w:hAnsi="宋体"/>
                <w:sz w:val="22"/>
              </w:rPr>
              <w:t>建筑结构</w:t>
            </w:r>
          </w:p>
        </w:tc>
        <w:tc>
          <w:tcPr>
            <w:tcW w:w="2570" w:type="dxa"/>
            <w:vAlign w:val="center"/>
          </w:tcPr>
          <w:p>
            <w:pPr>
              <w:widowControl/>
              <w:spacing w:line="440" w:lineRule="exact"/>
              <w:jc w:val="center"/>
              <w:rPr>
                <w:rFonts w:hint="eastAsia" w:ascii="宋体" w:hAnsi="宋体" w:eastAsia="宋体"/>
                <w:sz w:val="22"/>
                <w:lang w:eastAsia="zh-CN"/>
              </w:rPr>
            </w:pPr>
            <w:r>
              <w:rPr>
                <w:rFonts w:hint="eastAsia" w:ascii="宋体" w:hAnsi="宋体"/>
                <w:sz w:val="22"/>
                <w:lang w:eastAsia="zh-CN"/>
              </w:rPr>
              <w:t>钢混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668" w:type="dxa"/>
            <w:vAlign w:val="center"/>
          </w:tcPr>
          <w:p>
            <w:pPr>
              <w:widowControl/>
              <w:spacing w:line="440" w:lineRule="exact"/>
              <w:jc w:val="center"/>
              <w:rPr>
                <w:rFonts w:hint="eastAsia" w:ascii="宋体" w:hAnsi="宋体" w:eastAsia="宋体"/>
                <w:sz w:val="22"/>
                <w:lang w:eastAsia="zh-CN"/>
              </w:rPr>
            </w:pPr>
            <w:r>
              <w:rPr>
                <w:rFonts w:hint="eastAsia" w:ascii="宋体" w:hAnsi="宋体"/>
                <w:sz w:val="22"/>
                <w:lang w:eastAsia="zh-CN"/>
              </w:rPr>
              <w:t>所在层次</w:t>
            </w:r>
          </w:p>
        </w:tc>
        <w:tc>
          <w:tcPr>
            <w:tcW w:w="2385" w:type="dxa"/>
            <w:vAlign w:val="center"/>
          </w:tcPr>
          <w:p>
            <w:pPr>
              <w:widowControl/>
              <w:spacing w:line="440" w:lineRule="exact"/>
              <w:jc w:val="center"/>
              <w:rPr>
                <w:rFonts w:hint="default" w:ascii="宋体" w:hAnsi="宋体" w:eastAsia="宋体"/>
                <w:sz w:val="22"/>
                <w:lang w:val="en-US" w:eastAsia="zh-CN"/>
              </w:rPr>
            </w:pPr>
            <w:r>
              <w:rPr>
                <w:rFonts w:hint="eastAsia" w:ascii="宋体" w:hAnsi="宋体"/>
                <w:sz w:val="22"/>
                <w:lang w:val="en-US" w:eastAsia="zh-CN"/>
              </w:rPr>
              <w:t>13/16</w:t>
            </w:r>
          </w:p>
        </w:tc>
        <w:tc>
          <w:tcPr>
            <w:tcW w:w="2250" w:type="dxa"/>
            <w:vAlign w:val="center"/>
          </w:tcPr>
          <w:p>
            <w:pPr>
              <w:widowControl/>
              <w:spacing w:line="440" w:lineRule="exact"/>
              <w:jc w:val="center"/>
              <w:rPr>
                <w:rFonts w:ascii="宋体" w:hAnsi="宋体"/>
                <w:sz w:val="22"/>
              </w:rPr>
            </w:pPr>
            <w:r>
              <w:rPr>
                <w:rFonts w:hint="eastAsia" w:ascii="宋体" w:hAnsi="宋体"/>
                <w:sz w:val="22"/>
              </w:rPr>
              <w:t>建筑面积（㎡）</w:t>
            </w:r>
          </w:p>
        </w:tc>
        <w:tc>
          <w:tcPr>
            <w:tcW w:w="2570" w:type="dxa"/>
            <w:vAlign w:val="center"/>
          </w:tcPr>
          <w:p>
            <w:pPr>
              <w:widowControl/>
              <w:spacing w:line="440" w:lineRule="exact"/>
              <w:jc w:val="center"/>
              <w:rPr>
                <w:rFonts w:hint="eastAsia" w:ascii="宋体" w:hAnsi="宋体" w:eastAsia="宋体"/>
                <w:sz w:val="22"/>
                <w:lang w:eastAsia="zh-CN"/>
              </w:rPr>
            </w:pPr>
            <w:r>
              <w:rPr>
                <w:rFonts w:hint="eastAsia" w:ascii="宋体" w:hAnsi="宋体"/>
                <w:sz w:val="22"/>
                <w:lang w:eastAsia="zh-CN"/>
              </w:rPr>
              <w:t>131.14</w:t>
            </w:r>
          </w:p>
        </w:tc>
      </w:tr>
    </w:tbl>
    <w:p>
      <w:pPr>
        <w:spacing w:line="480" w:lineRule="exact"/>
        <w:ind w:firstLine="520" w:firstLineChars="200"/>
        <w:jc w:val="left"/>
        <w:rPr>
          <w:rFonts w:ascii="宋体" w:hAnsi="宋体"/>
          <w:spacing w:val="10"/>
          <w:sz w:val="24"/>
        </w:rPr>
      </w:pPr>
      <w:r>
        <w:rPr>
          <w:rFonts w:hint="eastAsia" w:ascii="宋体" w:hAnsi="宋体"/>
          <w:spacing w:val="10"/>
          <w:sz w:val="24"/>
        </w:rPr>
        <w:t>4.</w:t>
      </w:r>
      <w:r>
        <w:rPr>
          <w:rFonts w:ascii="宋体" w:hAnsi="宋体"/>
          <w:spacing w:val="10"/>
          <w:sz w:val="24"/>
        </w:rPr>
        <w:t>其他权利状况</w:t>
      </w:r>
    </w:p>
    <w:p>
      <w:pPr>
        <w:spacing w:line="480" w:lineRule="exact"/>
        <w:ind w:firstLine="520" w:firstLineChars="200"/>
        <w:jc w:val="left"/>
        <w:rPr>
          <w:rFonts w:ascii="宋体" w:hAnsi="宋体"/>
          <w:spacing w:val="10"/>
          <w:sz w:val="24"/>
        </w:rPr>
      </w:pPr>
      <w:r>
        <w:rPr>
          <w:rFonts w:hint="eastAsia" w:ascii="宋体" w:hAnsi="宋体"/>
          <w:spacing w:val="10"/>
          <w:sz w:val="24"/>
        </w:rPr>
        <w:t>根据此次估价目的，</w:t>
      </w:r>
      <w:r>
        <w:rPr>
          <w:rFonts w:hint="eastAsia" w:ascii="宋体" w:hAnsi="宋体"/>
          <w:kern w:val="0"/>
          <w:sz w:val="24"/>
        </w:rPr>
        <w:t>评估</w:t>
      </w:r>
      <w:r>
        <w:rPr>
          <w:rFonts w:hint="eastAsia" w:ascii="宋体" w:hAnsi="宋体"/>
          <w:spacing w:val="10"/>
          <w:sz w:val="24"/>
        </w:rPr>
        <w:t>未考虑房屋抵押、租赁、查封及其他债权债务等对评估价值的影响。</w:t>
      </w:r>
    </w:p>
    <w:p>
      <w:pPr>
        <w:spacing w:line="480" w:lineRule="exact"/>
        <w:ind w:firstLine="480" w:firstLineChars="200"/>
        <w:rPr>
          <w:rFonts w:ascii="宋体" w:hAnsi="宋体"/>
          <w:kern w:val="0"/>
          <w:sz w:val="24"/>
        </w:rPr>
      </w:pPr>
      <w:r>
        <w:rPr>
          <w:rFonts w:hint="eastAsia" w:ascii="宋体" w:hAnsi="宋体"/>
          <w:kern w:val="0"/>
          <w:sz w:val="24"/>
        </w:rPr>
        <w:t>5.</w:t>
      </w:r>
      <w:r>
        <w:rPr>
          <w:rFonts w:hint="eastAsia" w:ascii="宋体" w:hAnsi="宋体"/>
          <w:spacing w:val="10"/>
          <w:sz w:val="24"/>
        </w:rPr>
        <w:t>估价对象实物状况描述</w:t>
      </w:r>
    </w:p>
    <w:p>
      <w:pPr>
        <w:spacing w:line="480" w:lineRule="exact"/>
        <w:ind w:firstLine="520" w:firstLineChars="200"/>
        <w:jc w:val="left"/>
        <w:rPr>
          <w:rFonts w:ascii="宋体" w:hAnsi="宋体"/>
          <w:spacing w:val="10"/>
          <w:sz w:val="24"/>
        </w:rPr>
      </w:pPr>
      <w:r>
        <w:rPr>
          <w:rFonts w:hint="eastAsia" w:ascii="宋体" w:hAnsi="宋体"/>
          <w:spacing w:val="10"/>
          <w:sz w:val="24"/>
        </w:rPr>
        <w:t>我公司注册房地产估价师对估价对象进行了现场查勘，估价对象实物状况如下：</w:t>
      </w:r>
    </w:p>
    <w:p>
      <w:pPr>
        <w:tabs>
          <w:tab w:val="left" w:pos="945"/>
        </w:tabs>
        <w:spacing w:line="480" w:lineRule="exact"/>
        <w:ind w:firstLine="462" w:firstLineChars="196"/>
        <w:rPr>
          <w:rFonts w:ascii="宋体" w:hAnsi="宋体"/>
          <w:spacing w:val="10"/>
          <w:sz w:val="24"/>
        </w:rPr>
      </w:pPr>
      <w:r>
        <w:rPr>
          <w:rFonts w:hint="eastAsia" w:ascii="宋体" w:hAnsi="宋体"/>
          <w:spacing w:val="-2"/>
          <w:sz w:val="24"/>
        </w:rPr>
        <w:t>估价对象位于</w:t>
      </w:r>
      <w:r>
        <w:rPr>
          <w:rFonts w:hint="eastAsia" w:ascii="宋体" w:hAnsi="宋体"/>
          <w:spacing w:val="-2"/>
          <w:sz w:val="24"/>
          <w:lang w:eastAsia="zh-CN"/>
        </w:rPr>
        <w:t>岳塘区宝塔街道芙蓉中路19号湖湘林语28栋2单元1302004号</w:t>
      </w:r>
      <w:r>
        <w:rPr>
          <w:rFonts w:hint="eastAsia" w:ascii="宋体" w:hAnsi="宋体"/>
          <w:spacing w:val="10"/>
          <w:sz w:val="24"/>
        </w:rPr>
        <w:t>，用途为住宅，建筑结构为</w:t>
      </w:r>
      <w:r>
        <w:rPr>
          <w:rFonts w:hint="eastAsia" w:ascii="宋体" w:hAnsi="宋体"/>
          <w:spacing w:val="10"/>
          <w:sz w:val="24"/>
          <w:lang w:eastAsia="zh-CN"/>
        </w:rPr>
        <w:t>钢混</w:t>
      </w:r>
      <w:r>
        <w:rPr>
          <w:rFonts w:hint="eastAsia" w:ascii="宋体" w:hAnsi="宋体"/>
          <w:spacing w:val="10"/>
          <w:sz w:val="24"/>
        </w:rPr>
        <w:t>，所在层次</w:t>
      </w:r>
      <w:r>
        <w:rPr>
          <w:rFonts w:hint="eastAsia" w:ascii="宋体" w:hAnsi="宋体"/>
          <w:spacing w:val="10"/>
          <w:sz w:val="24"/>
          <w:lang w:eastAsia="zh-CN"/>
        </w:rPr>
        <w:t>13/16</w:t>
      </w:r>
      <w:r>
        <w:rPr>
          <w:rFonts w:hint="eastAsia" w:ascii="宋体" w:hAnsi="宋体"/>
          <w:spacing w:val="10"/>
          <w:sz w:val="24"/>
        </w:rPr>
        <w:t>层，建筑面积为</w:t>
      </w:r>
      <w:r>
        <w:rPr>
          <w:rFonts w:hint="eastAsia" w:ascii="宋体" w:hAnsi="宋体"/>
          <w:spacing w:val="10"/>
          <w:sz w:val="24"/>
          <w:lang w:val="en-US" w:eastAsia="zh-CN"/>
        </w:rPr>
        <w:t>131.14</w:t>
      </w:r>
      <w:r>
        <w:rPr>
          <w:rFonts w:hint="eastAsia" w:ascii="宋体" w:hAnsi="宋体"/>
          <w:spacing w:val="10"/>
          <w:sz w:val="24"/>
        </w:rPr>
        <w:t>㎡，朝向为坐北朝南，能获得良好的日照、采光和自然通风，套内功能空间布局较好。</w:t>
      </w:r>
      <w:r>
        <w:rPr>
          <w:rFonts w:hint="eastAsia" w:ascii="宋体" w:hAnsi="宋体"/>
          <w:sz w:val="24"/>
        </w:rPr>
        <w:t>价值时点估价对象</w:t>
      </w:r>
      <w:r>
        <w:rPr>
          <w:rFonts w:hint="eastAsia" w:ascii="宋体" w:hAnsi="宋体"/>
          <w:sz w:val="24"/>
          <w:lang w:eastAsia="zh-CN"/>
        </w:rPr>
        <w:t>为毛坯房，</w:t>
      </w:r>
      <w:r>
        <w:rPr>
          <w:rFonts w:hint="eastAsia" w:ascii="宋体" w:hAnsi="宋体"/>
          <w:sz w:val="24"/>
        </w:rPr>
        <w:t>房屋</w:t>
      </w:r>
      <w:r>
        <w:rPr>
          <w:rFonts w:hint="eastAsia" w:ascii="宋体" w:hAnsi="宋体"/>
          <w:spacing w:val="10"/>
          <w:sz w:val="24"/>
        </w:rPr>
        <w:t>维护、保养状况较好</w:t>
      </w:r>
      <w:r>
        <w:rPr>
          <w:rFonts w:hint="eastAsia" w:ascii="宋体" w:hAnsi="宋体"/>
          <w:sz w:val="24"/>
        </w:rPr>
        <w:t>，水、电基础设施齐全。</w:t>
      </w:r>
    </w:p>
    <w:p>
      <w:pPr>
        <w:tabs>
          <w:tab w:val="left" w:pos="4335"/>
        </w:tabs>
        <w:spacing w:line="480" w:lineRule="exact"/>
        <w:rPr>
          <w:rFonts w:ascii="宋体" w:hAnsi="宋体"/>
          <w:b/>
          <w:bCs/>
          <w:spacing w:val="10"/>
          <w:sz w:val="24"/>
        </w:rPr>
      </w:pPr>
      <w:r>
        <w:rPr>
          <w:rFonts w:hint="eastAsia" w:ascii="宋体" w:hAnsi="宋体"/>
          <w:b/>
          <w:bCs/>
          <w:spacing w:val="10"/>
          <w:sz w:val="24"/>
        </w:rPr>
        <w:t>五、价值时点：</w:t>
      </w:r>
    </w:p>
    <w:p>
      <w:pPr>
        <w:tabs>
          <w:tab w:val="left" w:pos="4335"/>
        </w:tabs>
        <w:spacing w:line="480" w:lineRule="exact"/>
        <w:ind w:firstLine="509" w:firstLineChars="196"/>
        <w:rPr>
          <w:rFonts w:ascii="宋体" w:hAnsi="宋体"/>
          <w:b/>
          <w:bCs/>
          <w:spacing w:val="10"/>
          <w:sz w:val="24"/>
        </w:rPr>
      </w:pPr>
      <w:r>
        <w:rPr>
          <w:rFonts w:hint="eastAsia" w:ascii="宋体" w:hAnsi="宋体"/>
          <w:spacing w:val="10"/>
          <w:sz w:val="24"/>
        </w:rPr>
        <w:t>根据估价目的，本次估价的价值时点确定为估价对象查勘完成之日：</w:t>
      </w:r>
      <w:r>
        <w:rPr>
          <w:rFonts w:hint="eastAsia" w:ascii="宋体" w:hAnsi="宋体"/>
          <w:spacing w:val="10"/>
          <w:sz w:val="24"/>
          <w:lang w:eastAsia="zh-CN"/>
        </w:rPr>
        <w:t>2020年10月26日</w:t>
      </w:r>
      <w:r>
        <w:rPr>
          <w:rFonts w:hint="eastAsia" w:ascii="宋体" w:hAnsi="宋体"/>
          <w:bCs/>
          <w:spacing w:val="10"/>
          <w:sz w:val="24"/>
        </w:rPr>
        <w:t>。</w:t>
      </w:r>
    </w:p>
    <w:p>
      <w:pPr>
        <w:spacing w:line="480" w:lineRule="exact"/>
        <w:rPr>
          <w:rFonts w:ascii="宋体" w:hAnsi="宋体"/>
          <w:b/>
          <w:bCs/>
          <w:spacing w:val="10"/>
          <w:sz w:val="24"/>
        </w:rPr>
      </w:pPr>
      <w:r>
        <w:rPr>
          <w:rFonts w:hint="eastAsia" w:ascii="宋体" w:hAnsi="宋体"/>
          <w:b/>
          <w:bCs/>
          <w:spacing w:val="10"/>
          <w:sz w:val="24"/>
        </w:rPr>
        <w:t>六、价值类型：</w:t>
      </w:r>
    </w:p>
    <w:p>
      <w:pPr>
        <w:spacing w:line="480" w:lineRule="exact"/>
        <w:ind w:firstLine="520" w:firstLineChars="200"/>
        <w:rPr>
          <w:rFonts w:ascii="宋体" w:hAnsi="宋体"/>
          <w:spacing w:val="10"/>
          <w:sz w:val="24"/>
        </w:rPr>
      </w:pPr>
      <w:r>
        <w:rPr>
          <w:rFonts w:hint="eastAsia" w:ascii="宋体" w:hAnsi="宋体"/>
          <w:spacing w:val="10"/>
          <w:sz w:val="24"/>
        </w:rPr>
        <w:t>本次所评估的价值为估价对象房地产市场价值，未考虑房屋抵押、租赁、查封及其他债权债务等对评估价值的影响。</w:t>
      </w:r>
    </w:p>
    <w:p>
      <w:pPr>
        <w:spacing w:line="480" w:lineRule="exact"/>
        <w:ind w:firstLine="520" w:firstLineChars="200"/>
        <w:rPr>
          <w:rFonts w:ascii="宋体" w:hAnsi="宋体"/>
          <w:spacing w:val="10"/>
          <w:sz w:val="24"/>
        </w:rPr>
      </w:pPr>
      <w:r>
        <w:rPr>
          <w:rFonts w:hint="eastAsia" w:ascii="宋体" w:hAnsi="宋体"/>
          <w:spacing w:val="10"/>
          <w:sz w:val="24"/>
        </w:rPr>
        <w:t>本次评估的房地产市场价值为估价对象在价值时点房地合一（包含对应的土地使用权）的房地产市场价值。</w:t>
      </w:r>
    </w:p>
    <w:p>
      <w:pPr>
        <w:spacing w:line="480" w:lineRule="exact"/>
        <w:rPr>
          <w:rFonts w:ascii="宋体" w:hAnsi="宋体"/>
          <w:b/>
          <w:bCs/>
          <w:spacing w:val="10"/>
          <w:sz w:val="24"/>
        </w:rPr>
      </w:pPr>
      <w:r>
        <w:rPr>
          <w:rFonts w:hint="eastAsia" w:ascii="宋体" w:hAnsi="宋体"/>
          <w:b/>
          <w:bCs/>
          <w:spacing w:val="10"/>
          <w:sz w:val="24"/>
        </w:rPr>
        <w:t>七、估价原则：</w:t>
      </w:r>
    </w:p>
    <w:p>
      <w:pPr>
        <w:spacing w:line="480" w:lineRule="exact"/>
        <w:ind w:firstLine="480" w:firstLineChars="200"/>
        <w:rPr>
          <w:rFonts w:ascii="宋体" w:hAnsi="宋体"/>
          <w:kern w:val="0"/>
          <w:sz w:val="24"/>
        </w:rPr>
      </w:pPr>
      <w:r>
        <w:rPr>
          <w:rFonts w:hint="eastAsia" w:ascii="宋体" w:hAnsi="宋体"/>
          <w:kern w:val="0"/>
          <w:sz w:val="24"/>
        </w:rPr>
        <w:t>估价原则是在房地产估价的反复实践和理论探索中，在认识房地产价格形成和变动客观规律的基础上，总结和提炼出的一些简明扼要的进行房地产估价活动所依据的法则或标准。</w:t>
      </w:r>
    </w:p>
    <w:p>
      <w:pPr>
        <w:spacing w:line="480" w:lineRule="exact"/>
        <w:ind w:firstLine="480" w:firstLineChars="200"/>
        <w:rPr>
          <w:rFonts w:ascii="宋体" w:hAnsi="宋体"/>
          <w:kern w:val="0"/>
          <w:sz w:val="24"/>
        </w:rPr>
      </w:pPr>
      <w:r>
        <w:rPr>
          <w:rFonts w:hint="eastAsia" w:ascii="宋体" w:hAnsi="宋体"/>
          <w:kern w:val="0"/>
          <w:sz w:val="24"/>
        </w:rPr>
        <w:t>本次估价应当遵循独立、客观、公正原则、合法原则、价值时点原则、替代原则、最高最佳利用原则、谨慎原则，具体如下：</w:t>
      </w:r>
    </w:p>
    <w:p>
      <w:pPr>
        <w:autoSpaceDE w:val="0"/>
        <w:autoSpaceDN w:val="0"/>
        <w:adjustRightInd w:val="0"/>
        <w:spacing w:line="480" w:lineRule="exact"/>
        <w:ind w:firstLine="480" w:firstLineChars="200"/>
        <w:jc w:val="left"/>
        <w:rPr>
          <w:rFonts w:ascii="宋体" w:hAnsi="宋体"/>
          <w:kern w:val="0"/>
          <w:sz w:val="24"/>
        </w:rPr>
      </w:pPr>
      <w:r>
        <w:rPr>
          <w:rFonts w:hint="eastAsia" w:ascii="宋体" w:hAnsi="宋体"/>
          <w:sz w:val="24"/>
        </w:rPr>
        <w:t>1.</w:t>
      </w:r>
      <w:r>
        <w:rPr>
          <w:rFonts w:hint="eastAsia" w:ascii="宋体" w:hAnsi="宋体"/>
          <w:kern w:val="0"/>
          <w:sz w:val="24"/>
        </w:rPr>
        <w:t>独立、客观、公正原则</w:t>
      </w:r>
    </w:p>
    <w:p>
      <w:pPr>
        <w:spacing w:line="480" w:lineRule="exact"/>
        <w:ind w:firstLine="480" w:firstLineChars="200"/>
        <w:rPr>
          <w:rFonts w:ascii="宋体" w:hAnsi="宋体"/>
          <w:kern w:val="0"/>
          <w:sz w:val="24"/>
        </w:rPr>
      </w:pPr>
      <w:r>
        <w:rPr>
          <w:rFonts w:hint="eastAsia" w:ascii="宋体" w:hAnsi="宋体"/>
          <w:kern w:val="0"/>
          <w:sz w:val="24"/>
        </w:rPr>
        <w:t>要求站在中立的立场上，实事求是，公平正直地评估出对各方估价利害关系人均是公平合理的价值或价格的原则。本次估价遵循了独立、客观、公正原则，注册房地产估价师与估价对象及当事人没有直接利害关系，以客观公正的态度履行估价程序，相关市场调查、信息资料的获取及价值测算过程均独立完成。</w:t>
      </w:r>
    </w:p>
    <w:p>
      <w:pPr>
        <w:spacing w:line="480" w:lineRule="exact"/>
        <w:ind w:firstLine="480" w:firstLineChars="200"/>
        <w:rPr>
          <w:rFonts w:ascii="宋体" w:hAnsi="宋体"/>
          <w:kern w:val="0"/>
          <w:sz w:val="24"/>
        </w:rPr>
      </w:pPr>
      <w:r>
        <w:rPr>
          <w:rFonts w:hint="eastAsia" w:ascii="宋体" w:hAnsi="宋体"/>
          <w:kern w:val="0"/>
          <w:sz w:val="24"/>
        </w:rPr>
        <w:t>2.合法原则</w:t>
      </w:r>
    </w:p>
    <w:p>
      <w:pPr>
        <w:spacing w:line="480" w:lineRule="exact"/>
        <w:ind w:firstLine="480" w:firstLineChars="200"/>
        <w:rPr>
          <w:rFonts w:ascii="宋体" w:hAnsi="宋体"/>
          <w:kern w:val="0"/>
          <w:sz w:val="24"/>
        </w:rPr>
      </w:pPr>
      <w:r>
        <w:rPr>
          <w:rFonts w:hint="eastAsia" w:ascii="宋体" w:hAnsi="宋体"/>
          <w:kern w:val="0"/>
          <w:sz w:val="24"/>
        </w:rPr>
        <w:t>要求估价结果是在依法判定的估价对象状况下的价值或价格的原则。本次估价依法判定以估价对象的合法产权、合法使用、合法处分为前提，遵循估价程序，采用相应的估价方法得出的评估结果。在合法产权方面，以估价委托人提供的</w:t>
      </w:r>
      <w:r>
        <w:rPr>
          <w:rFonts w:hint="eastAsia" w:ascii="宋体" w:hAnsi="宋体" w:cs="宋体"/>
          <w:kern w:val="0"/>
          <w:sz w:val="24"/>
        </w:rPr>
        <w:t>权证资料</w:t>
      </w:r>
      <w:r>
        <w:rPr>
          <w:rFonts w:hint="eastAsia" w:ascii="宋体" w:hAnsi="宋体"/>
          <w:kern w:val="0"/>
          <w:sz w:val="24"/>
        </w:rPr>
        <w:t>为依据；在合法使用方面，以使用管制即合法用途为依据；在合法处分方面，以允许的处分方式为依据。</w:t>
      </w:r>
    </w:p>
    <w:p>
      <w:pPr>
        <w:spacing w:line="480" w:lineRule="exact"/>
        <w:ind w:firstLine="480" w:firstLineChars="200"/>
        <w:rPr>
          <w:rFonts w:ascii="宋体" w:hAnsi="宋体"/>
          <w:kern w:val="0"/>
          <w:sz w:val="24"/>
        </w:rPr>
      </w:pPr>
      <w:r>
        <w:rPr>
          <w:rFonts w:hint="eastAsia" w:ascii="宋体" w:hAnsi="宋体"/>
          <w:kern w:val="0"/>
          <w:sz w:val="24"/>
        </w:rPr>
        <w:t>3.最高最佳利用原则</w:t>
      </w:r>
    </w:p>
    <w:p>
      <w:pPr>
        <w:spacing w:line="480" w:lineRule="exact"/>
        <w:ind w:firstLine="480" w:firstLineChars="200"/>
        <w:rPr>
          <w:rFonts w:ascii="宋体" w:hAnsi="宋体"/>
          <w:kern w:val="0"/>
          <w:sz w:val="24"/>
        </w:rPr>
      </w:pPr>
      <w:r>
        <w:rPr>
          <w:rFonts w:hint="eastAsia" w:ascii="宋体" w:hAnsi="宋体"/>
          <w:kern w:val="0"/>
          <w:sz w:val="24"/>
        </w:rPr>
        <w:t>要求估价结果是在估价对象最高最佳利用状况下的价值或价格的原则。最高最佳利用是指房地产在法律上允许、技术上可能、财务上可行并使价值最大的合理、可能的利用，包括最佳的用途、规模、档次等。本次评估对估价对象进行了最高最佳利用分析，估价结果是在经过充分合理的论证，能使估价对象产生最高价值的使用方式上确定的。</w:t>
      </w:r>
    </w:p>
    <w:p>
      <w:pPr>
        <w:spacing w:line="480" w:lineRule="exact"/>
        <w:ind w:firstLine="480" w:firstLineChars="200"/>
        <w:rPr>
          <w:rFonts w:ascii="宋体" w:hAnsi="宋体"/>
          <w:kern w:val="0"/>
          <w:sz w:val="24"/>
        </w:rPr>
      </w:pPr>
      <w:r>
        <w:rPr>
          <w:rFonts w:hint="eastAsia" w:ascii="宋体" w:hAnsi="宋体"/>
          <w:kern w:val="0"/>
          <w:sz w:val="24"/>
        </w:rPr>
        <w:t>4.价值时点原则</w:t>
      </w:r>
    </w:p>
    <w:p>
      <w:pPr>
        <w:spacing w:line="480" w:lineRule="exact"/>
        <w:ind w:firstLine="480" w:firstLineChars="200"/>
        <w:rPr>
          <w:rFonts w:ascii="宋体" w:hAnsi="宋体"/>
          <w:kern w:val="0"/>
          <w:sz w:val="24"/>
        </w:rPr>
      </w:pPr>
      <w:r>
        <w:rPr>
          <w:rFonts w:hint="eastAsia" w:ascii="宋体" w:hAnsi="宋体"/>
          <w:kern w:val="0"/>
          <w:sz w:val="24"/>
        </w:rPr>
        <w:t>要求估价结果是在根据估价目的的确定的某一特定时间的价值或价格的原则。房地产市场是变动的，在不同的时间上，同一宗房地产往往会有不同的价格，估价通常仅是求取估价对象在某个特定的时间上的价值，这个时间就是价值时点。价值时点是评估房地产价值时的界限，因为房地产价格与政府颁布的有关房地产法律、法规等密切相关，这些法律、法规的发布、变更、实施日期，均有可能影响待估房地产的价值。</w:t>
      </w:r>
    </w:p>
    <w:p>
      <w:pPr>
        <w:spacing w:line="480" w:lineRule="exact"/>
        <w:ind w:firstLine="480" w:firstLineChars="200"/>
        <w:rPr>
          <w:rFonts w:ascii="宋体" w:hAnsi="宋体"/>
          <w:kern w:val="0"/>
          <w:sz w:val="24"/>
        </w:rPr>
      </w:pPr>
      <w:r>
        <w:rPr>
          <w:rFonts w:hint="eastAsia" w:ascii="宋体" w:hAnsi="宋体"/>
          <w:kern w:val="0"/>
          <w:sz w:val="24"/>
        </w:rPr>
        <w:t>5.替代原则</w:t>
      </w:r>
    </w:p>
    <w:p>
      <w:pPr>
        <w:spacing w:line="480" w:lineRule="exact"/>
        <w:ind w:firstLine="480" w:firstLineChars="200"/>
        <w:rPr>
          <w:rFonts w:ascii="宋体" w:hAnsi="宋体"/>
          <w:kern w:val="0"/>
          <w:sz w:val="24"/>
        </w:rPr>
      </w:pPr>
      <w:r>
        <w:rPr>
          <w:rFonts w:hint="eastAsia" w:ascii="宋体" w:hAnsi="宋体"/>
          <w:kern w:val="0"/>
          <w:sz w:val="24"/>
        </w:rPr>
        <w:t>要求估价结果与估价对象的类似房地产在同等条件下的价值或价格偏差在合理范围的原则。根据市场运行规律，在同一商品市场中，商品或提供服务的效用相同或大致相似时，价格低者吸引需求，即有两个以上互有替代性的商品或服务同时存在时，商品或服务的价格是经过相互影响与比较之后来决定的。房地产价格也同样遵循替代规律，某房地产的价格，受其它具有相同使用价值的房地产，即同类型具有替代可能的房地产价格所牵制。换言之，具有相同使用价值、替代可能的房地产之间，会相互影响和竞争，使价格相互牵制而趋于一致。</w:t>
      </w:r>
    </w:p>
    <w:p>
      <w:pPr>
        <w:spacing w:line="480" w:lineRule="exact"/>
        <w:ind w:firstLine="480" w:firstLineChars="200"/>
        <w:rPr>
          <w:rFonts w:ascii="宋体" w:hAnsi="宋体"/>
          <w:kern w:val="0"/>
          <w:sz w:val="24"/>
        </w:rPr>
      </w:pPr>
      <w:r>
        <w:rPr>
          <w:rFonts w:hint="eastAsia" w:ascii="宋体" w:hAnsi="宋体"/>
          <w:kern w:val="0"/>
          <w:sz w:val="24"/>
        </w:rPr>
        <w:t>6．谨慎原则：要求在影响估价对象价值或价格因素存在不确定性的情况下对其作出判断时，应充分考虑其导致估价对象价值或价格偏低的一面，慎重考虑其导致估价对象价值或价格偏高的一面的原则。</w:t>
      </w:r>
    </w:p>
    <w:p>
      <w:pPr>
        <w:pStyle w:val="15"/>
        <w:spacing w:line="480" w:lineRule="exact"/>
        <w:rPr>
          <w:rFonts w:ascii="宋体" w:hAnsi="宋体" w:eastAsia="宋体"/>
          <w:b/>
          <w:bCs/>
          <w:spacing w:val="10"/>
          <w:sz w:val="24"/>
        </w:rPr>
      </w:pPr>
      <w:r>
        <w:rPr>
          <w:rFonts w:hint="eastAsia" w:ascii="宋体" w:hAnsi="宋体" w:eastAsia="宋体"/>
          <w:b/>
          <w:bCs/>
          <w:spacing w:val="10"/>
          <w:sz w:val="24"/>
        </w:rPr>
        <w:t>八、估价依据：</w:t>
      </w:r>
    </w:p>
    <w:p>
      <w:pPr>
        <w:spacing w:line="480" w:lineRule="exact"/>
        <w:ind w:firstLine="480" w:firstLineChars="200"/>
        <w:rPr>
          <w:rFonts w:ascii="宋体" w:hAnsi="宋体"/>
          <w:kern w:val="0"/>
          <w:sz w:val="24"/>
        </w:rPr>
      </w:pPr>
      <w:r>
        <w:rPr>
          <w:rFonts w:hint="eastAsia" w:ascii="宋体" w:hAnsi="宋体"/>
          <w:kern w:val="0"/>
          <w:sz w:val="24"/>
        </w:rPr>
        <w:t>估价依据是作为估价的前提或基础的文件、标准和资料。</w:t>
      </w:r>
    </w:p>
    <w:p>
      <w:pPr>
        <w:spacing w:line="480" w:lineRule="exact"/>
        <w:ind w:firstLine="480" w:firstLineChars="200"/>
        <w:rPr>
          <w:rFonts w:ascii="宋体" w:hAnsi="宋体"/>
          <w:kern w:val="0"/>
          <w:sz w:val="24"/>
        </w:rPr>
      </w:pPr>
      <w:r>
        <w:rPr>
          <w:rFonts w:hint="eastAsia" w:ascii="宋体" w:hAnsi="宋体"/>
          <w:kern w:val="0"/>
          <w:sz w:val="24"/>
        </w:rPr>
        <w:t>(一)本次估价所依据的有关法律、法规和政策性文件：</w:t>
      </w:r>
    </w:p>
    <w:p>
      <w:pPr>
        <w:spacing w:line="480" w:lineRule="exact"/>
        <w:ind w:firstLine="480" w:firstLineChars="200"/>
        <w:rPr>
          <w:rFonts w:ascii="宋体" w:hAnsi="宋体"/>
          <w:kern w:val="0"/>
          <w:sz w:val="24"/>
        </w:rPr>
      </w:pPr>
      <w:r>
        <w:rPr>
          <w:rFonts w:hint="eastAsia" w:ascii="宋体" w:hAnsi="宋体"/>
          <w:kern w:val="0"/>
          <w:sz w:val="24"/>
        </w:rPr>
        <w:t>1．《中华人民共和国城市房地产管理法》（2019年8月26日，十三届全国人大常委会第十二次会议表决通过关于修改土地管理法、城市房地产管理法的决定。本决定自2020年1月1日起施行）；</w:t>
      </w:r>
    </w:p>
    <w:p>
      <w:pPr>
        <w:spacing w:line="480" w:lineRule="exact"/>
        <w:ind w:firstLine="480" w:firstLineChars="200"/>
        <w:rPr>
          <w:rFonts w:ascii="宋体" w:hAnsi="宋体"/>
          <w:kern w:val="0"/>
          <w:sz w:val="24"/>
        </w:rPr>
      </w:pPr>
      <w:r>
        <w:rPr>
          <w:rFonts w:hint="eastAsia" w:ascii="宋体" w:hAnsi="宋体"/>
          <w:kern w:val="0"/>
          <w:sz w:val="24"/>
        </w:rPr>
        <w:t>2．《中华人民共和国土地管理法》（根据2019年8月26日第十三届全国人民代表大会常务委员会第十二次会议《关于修改〈中华人民共和国土地管理法〉、〈中华人民共和国城市房地产管理法〉的决定》第三次修正）；</w:t>
      </w:r>
    </w:p>
    <w:p>
      <w:pPr>
        <w:spacing w:line="480" w:lineRule="exact"/>
        <w:ind w:firstLine="480" w:firstLineChars="200"/>
        <w:rPr>
          <w:rFonts w:ascii="宋体" w:hAnsi="宋体"/>
          <w:kern w:val="0"/>
          <w:sz w:val="24"/>
        </w:rPr>
      </w:pPr>
      <w:r>
        <w:rPr>
          <w:rFonts w:hint="eastAsia" w:ascii="宋体" w:hAnsi="宋体"/>
          <w:kern w:val="0"/>
          <w:sz w:val="24"/>
        </w:rPr>
        <w:t>3．《中华人民共和国物权法》（中华人民共和国主席令第62号，自2007年10月1日起施行）；</w:t>
      </w:r>
    </w:p>
    <w:p>
      <w:pPr>
        <w:spacing w:line="480" w:lineRule="exact"/>
        <w:ind w:firstLine="480" w:firstLineChars="200"/>
        <w:rPr>
          <w:rFonts w:ascii="宋体" w:hAnsi="宋体"/>
          <w:kern w:val="0"/>
          <w:sz w:val="24"/>
        </w:rPr>
      </w:pPr>
      <w:r>
        <w:rPr>
          <w:rFonts w:hint="eastAsia" w:ascii="宋体" w:hAnsi="宋体"/>
          <w:kern w:val="0"/>
          <w:sz w:val="24"/>
        </w:rPr>
        <w:t>4．《中华人民共和国城乡规划法》（2007年10月28日第十届全国人民代表大会常务委员会第三十次会议通过根据2015年4月24日第十二届全国人民代表大会常务委员会第十四次会议《关于修改〈中华人民共和国港口法〉等七部法律的决定》第一次修正　根据2019年4月23日第十三届全国人民代表大会常务委员会第十次会议《关于修改＜中华人民共和国建筑法＞等八部法律的决定》第二次修正）；</w:t>
      </w:r>
    </w:p>
    <w:p>
      <w:pPr>
        <w:spacing w:line="480" w:lineRule="exact"/>
        <w:ind w:firstLine="480" w:firstLineChars="200"/>
        <w:rPr>
          <w:rFonts w:ascii="宋体" w:hAnsi="宋体"/>
          <w:kern w:val="0"/>
          <w:sz w:val="24"/>
        </w:rPr>
      </w:pPr>
      <w:r>
        <w:rPr>
          <w:rFonts w:hint="eastAsia" w:ascii="宋体" w:hAnsi="宋体"/>
          <w:kern w:val="0"/>
          <w:sz w:val="24"/>
        </w:rPr>
        <w:t>5．《中华人民共和国担保法》（中华人民共和国主席令第50号，自1995年10月1日起施行）；</w:t>
      </w:r>
    </w:p>
    <w:p>
      <w:pPr>
        <w:spacing w:line="480" w:lineRule="exact"/>
        <w:ind w:firstLine="480" w:firstLineChars="200"/>
        <w:rPr>
          <w:rFonts w:ascii="宋体" w:hAnsi="宋体"/>
          <w:kern w:val="0"/>
          <w:sz w:val="24"/>
        </w:rPr>
      </w:pPr>
      <w:r>
        <w:rPr>
          <w:rFonts w:hint="eastAsia" w:ascii="宋体" w:hAnsi="宋体"/>
          <w:kern w:val="0"/>
          <w:sz w:val="24"/>
        </w:rPr>
        <w:t>6．《中华人民共和国拍卖法》（1996年7月5日第八届全国人民代表大会常务委员会第二十次会议通过根据2004年8月28日第十届全国人民代表大会常务委员会第十一次会议《关于修改〈中华人民共和国拍卖法〉的决定》第一次修正　根据2015年4月24日第十二届全国人民代表大会常务委员会第十四次会议《关于修改〈中华人民共和国电力法〉等六部法律的决定》第二次修正）；</w:t>
      </w:r>
    </w:p>
    <w:p>
      <w:pPr>
        <w:spacing w:line="480" w:lineRule="exact"/>
        <w:ind w:firstLine="480" w:firstLineChars="200"/>
        <w:rPr>
          <w:rFonts w:ascii="宋体" w:hAnsi="宋体"/>
          <w:kern w:val="0"/>
          <w:sz w:val="24"/>
        </w:rPr>
      </w:pPr>
      <w:r>
        <w:rPr>
          <w:rFonts w:hint="eastAsia" w:ascii="宋体" w:hAnsi="宋体"/>
          <w:kern w:val="0"/>
          <w:sz w:val="24"/>
        </w:rPr>
        <w:t>7．《中华人民共和国土地管理法实施条例》（2014年07月29日《国务院关于修改部分行政法规的决定》第二次修订）；</w:t>
      </w:r>
    </w:p>
    <w:p>
      <w:pPr>
        <w:spacing w:line="480" w:lineRule="exact"/>
        <w:ind w:firstLine="480" w:firstLineChars="200"/>
        <w:rPr>
          <w:rFonts w:ascii="宋体" w:hAnsi="宋体"/>
          <w:spacing w:val="10"/>
          <w:sz w:val="24"/>
        </w:rPr>
      </w:pPr>
      <w:r>
        <w:rPr>
          <w:rFonts w:hint="eastAsia" w:ascii="宋体" w:hAnsi="宋体"/>
          <w:kern w:val="0"/>
          <w:sz w:val="24"/>
        </w:rPr>
        <w:t>8.</w:t>
      </w:r>
      <w:r>
        <w:rPr>
          <w:rFonts w:ascii="宋体" w:hAnsi="宋体"/>
          <w:spacing w:val="10"/>
          <w:sz w:val="24"/>
        </w:rPr>
        <w:t xml:space="preserve"> 《最高人民法院关于人民法院委托评估、拍卖和变卖工作的若干规定》(法释[2009]16号)</w:t>
      </w:r>
      <w:r>
        <w:rPr>
          <w:rFonts w:hint="eastAsia" w:ascii="宋体" w:hAnsi="宋体"/>
          <w:spacing w:val="10"/>
          <w:sz w:val="24"/>
        </w:rPr>
        <w:t>；</w:t>
      </w:r>
    </w:p>
    <w:p>
      <w:pPr>
        <w:spacing w:line="480" w:lineRule="exact"/>
        <w:ind w:firstLine="520" w:firstLineChars="200"/>
        <w:rPr>
          <w:rFonts w:ascii="宋体" w:hAnsi="宋体"/>
          <w:spacing w:val="10"/>
          <w:sz w:val="24"/>
        </w:rPr>
      </w:pPr>
      <w:r>
        <w:rPr>
          <w:rFonts w:hint="eastAsia" w:ascii="宋体" w:hAnsi="宋体"/>
          <w:spacing w:val="10"/>
          <w:sz w:val="24"/>
        </w:rPr>
        <w:t>9.《最高人民法院关于</w:t>
      </w:r>
      <w:r>
        <w:rPr>
          <w:rFonts w:ascii="宋体" w:hAnsi="宋体"/>
          <w:spacing w:val="10"/>
          <w:sz w:val="24"/>
        </w:rPr>
        <w:t>人民法院委托评估、拍卖工作的若干规定</w:t>
      </w:r>
      <w:r>
        <w:rPr>
          <w:rFonts w:hint="eastAsia" w:ascii="宋体" w:hAnsi="宋体"/>
          <w:spacing w:val="10"/>
          <w:sz w:val="24"/>
        </w:rPr>
        <w:t>》</w:t>
      </w:r>
      <w:r>
        <w:rPr>
          <w:rFonts w:ascii="宋体" w:hAnsi="宋体"/>
          <w:spacing w:val="10"/>
          <w:sz w:val="24"/>
        </w:rPr>
        <w:t>(法释[20</w:t>
      </w:r>
      <w:r>
        <w:rPr>
          <w:rFonts w:hint="eastAsia" w:ascii="宋体" w:hAnsi="宋体"/>
          <w:spacing w:val="10"/>
          <w:sz w:val="24"/>
        </w:rPr>
        <w:t>11</w:t>
      </w:r>
      <w:r>
        <w:rPr>
          <w:rFonts w:ascii="宋体" w:hAnsi="宋体"/>
          <w:spacing w:val="10"/>
          <w:sz w:val="24"/>
        </w:rPr>
        <w:t>]</w:t>
      </w:r>
      <w:r>
        <w:rPr>
          <w:rFonts w:hint="eastAsia" w:ascii="宋体" w:hAnsi="宋体"/>
          <w:spacing w:val="10"/>
          <w:sz w:val="24"/>
        </w:rPr>
        <w:t>21</w:t>
      </w:r>
      <w:r>
        <w:rPr>
          <w:rFonts w:ascii="宋体" w:hAnsi="宋体"/>
          <w:spacing w:val="10"/>
          <w:sz w:val="24"/>
        </w:rPr>
        <w:t>号)</w:t>
      </w:r>
      <w:r>
        <w:rPr>
          <w:rFonts w:hint="eastAsia" w:ascii="宋体" w:hAnsi="宋体"/>
          <w:spacing w:val="10"/>
          <w:sz w:val="24"/>
        </w:rPr>
        <w:t>；</w:t>
      </w:r>
    </w:p>
    <w:p>
      <w:pPr>
        <w:spacing w:line="480" w:lineRule="exact"/>
        <w:ind w:firstLine="520" w:firstLineChars="200"/>
        <w:rPr>
          <w:rFonts w:ascii="宋体" w:hAnsi="宋体"/>
          <w:spacing w:val="10"/>
          <w:sz w:val="24"/>
        </w:rPr>
      </w:pPr>
      <w:r>
        <w:rPr>
          <w:rFonts w:hint="eastAsia" w:ascii="宋体" w:hAnsi="宋体"/>
          <w:spacing w:val="10"/>
          <w:sz w:val="24"/>
        </w:rPr>
        <w:t>10.《湖南省人民法院对外委托工作实施细则（试行）》（2011年7月1日起试行）。</w:t>
      </w:r>
    </w:p>
    <w:p>
      <w:pPr>
        <w:spacing w:line="480" w:lineRule="exact"/>
        <w:ind w:firstLine="480" w:firstLineChars="200"/>
        <w:rPr>
          <w:rFonts w:ascii="宋体" w:hAnsi="宋体"/>
          <w:kern w:val="0"/>
          <w:sz w:val="24"/>
        </w:rPr>
      </w:pPr>
      <w:r>
        <w:rPr>
          <w:rFonts w:hint="eastAsia" w:ascii="宋体" w:hAnsi="宋体"/>
          <w:kern w:val="0"/>
          <w:sz w:val="24"/>
        </w:rPr>
        <w:t>11．国务院、住房和城乡建设部、国土资源部、中国人民银行、湖南省人民政府有关部门颁布的其它有关法规和政策性文件。</w:t>
      </w:r>
    </w:p>
    <w:p>
      <w:pPr>
        <w:spacing w:line="480" w:lineRule="exact"/>
        <w:ind w:firstLine="480" w:firstLineChars="200"/>
        <w:rPr>
          <w:rFonts w:ascii="宋体" w:hAnsi="宋体"/>
          <w:kern w:val="0"/>
          <w:sz w:val="24"/>
        </w:rPr>
      </w:pPr>
      <w:r>
        <w:rPr>
          <w:rFonts w:hint="eastAsia" w:ascii="宋体" w:hAnsi="宋体"/>
          <w:kern w:val="0"/>
          <w:sz w:val="24"/>
        </w:rPr>
        <w:t>(二)本次估价采用的技术标准及规程：</w:t>
      </w:r>
    </w:p>
    <w:p>
      <w:pPr>
        <w:spacing w:line="480" w:lineRule="exact"/>
        <w:ind w:firstLine="480" w:firstLineChars="200"/>
        <w:rPr>
          <w:rFonts w:ascii="宋体" w:hAnsi="宋体"/>
          <w:kern w:val="0"/>
          <w:sz w:val="24"/>
        </w:rPr>
      </w:pPr>
      <w:r>
        <w:rPr>
          <w:rFonts w:hint="eastAsia" w:ascii="宋体" w:hAnsi="宋体"/>
          <w:kern w:val="0"/>
          <w:sz w:val="24"/>
        </w:rPr>
        <w:t>1．中华人民共和国国家标准《房地产估价规范》（GB/T50291-2015，2015年12月1日起施行）;</w:t>
      </w:r>
    </w:p>
    <w:p>
      <w:pPr>
        <w:spacing w:line="480" w:lineRule="exact"/>
        <w:ind w:firstLine="480" w:firstLineChars="200"/>
        <w:rPr>
          <w:rFonts w:ascii="宋体" w:hAnsi="宋体"/>
          <w:kern w:val="0"/>
          <w:sz w:val="24"/>
        </w:rPr>
      </w:pPr>
      <w:r>
        <w:rPr>
          <w:rFonts w:hint="eastAsia" w:ascii="宋体" w:hAnsi="宋体"/>
          <w:kern w:val="0"/>
          <w:sz w:val="24"/>
        </w:rPr>
        <w:t>2．《房地产估价基本术语标准》（GB/T50899-2013,2014年2月1日起施行）;</w:t>
      </w:r>
    </w:p>
    <w:p>
      <w:pPr>
        <w:spacing w:line="480" w:lineRule="exact"/>
        <w:ind w:firstLine="480" w:firstLineChars="200"/>
        <w:rPr>
          <w:rFonts w:ascii="宋体" w:hAnsi="宋体"/>
          <w:kern w:val="0"/>
          <w:sz w:val="24"/>
        </w:rPr>
      </w:pPr>
      <w:r>
        <w:rPr>
          <w:rFonts w:hint="eastAsia" w:ascii="宋体" w:hAnsi="宋体"/>
          <w:kern w:val="0"/>
          <w:sz w:val="24"/>
        </w:rPr>
        <w:t>(三)估价委托人提供的有关资料：</w:t>
      </w:r>
    </w:p>
    <w:p>
      <w:pPr>
        <w:spacing w:line="480" w:lineRule="exact"/>
        <w:ind w:firstLine="480" w:firstLineChars="200"/>
        <w:rPr>
          <w:rFonts w:ascii="宋体" w:hAnsi="宋体"/>
          <w:kern w:val="0"/>
          <w:sz w:val="24"/>
        </w:rPr>
      </w:pPr>
      <w:r>
        <w:rPr>
          <w:rFonts w:hint="eastAsia" w:ascii="宋体" w:hAnsi="宋体"/>
          <w:kern w:val="0"/>
          <w:sz w:val="24"/>
        </w:rPr>
        <w:t>1．</w:t>
      </w:r>
      <w:r>
        <w:rPr>
          <w:rFonts w:hint="eastAsia" w:ascii="宋体" w:hAnsi="宋体"/>
          <w:kern w:val="0"/>
          <w:sz w:val="24"/>
          <w:lang w:eastAsia="zh-CN"/>
        </w:rPr>
        <w:t>湘潭市岳塘区人民法院</w:t>
      </w:r>
      <w:r>
        <w:rPr>
          <w:rFonts w:hint="eastAsia" w:ascii="宋体" w:hAnsi="宋体"/>
          <w:kern w:val="0"/>
          <w:sz w:val="24"/>
        </w:rPr>
        <w:t>委托书；</w:t>
      </w:r>
    </w:p>
    <w:p>
      <w:pPr>
        <w:spacing w:line="480" w:lineRule="exact"/>
        <w:ind w:firstLine="480" w:firstLineChars="200"/>
        <w:rPr>
          <w:rFonts w:ascii="宋体" w:hAnsi="宋体"/>
          <w:kern w:val="0"/>
          <w:sz w:val="24"/>
        </w:rPr>
      </w:pPr>
      <w:r>
        <w:rPr>
          <w:rFonts w:hint="eastAsia" w:ascii="宋体" w:hAnsi="宋体"/>
          <w:kern w:val="0"/>
          <w:sz w:val="24"/>
        </w:rPr>
        <w:t>2．</w:t>
      </w:r>
      <w:r>
        <w:rPr>
          <w:rFonts w:hint="eastAsia" w:ascii="宋体" w:hAnsi="宋体" w:cs="宋体"/>
          <w:spacing w:val="-11"/>
          <w:kern w:val="0"/>
          <w:sz w:val="24"/>
          <w:lang w:eastAsia="zh-CN"/>
        </w:rPr>
        <w:t>《不动产房地产权情况证明》</w:t>
      </w:r>
      <w:r>
        <w:rPr>
          <w:rFonts w:hint="eastAsia" w:ascii="宋体" w:hAnsi="宋体"/>
          <w:spacing w:val="-11"/>
          <w:sz w:val="24"/>
        </w:rPr>
        <w:t>复印件</w:t>
      </w:r>
      <w:r>
        <w:rPr>
          <w:rFonts w:hint="eastAsia" w:ascii="宋体" w:hAnsi="宋体"/>
          <w:spacing w:val="-11"/>
          <w:kern w:val="0"/>
          <w:sz w:val="24"/>
        </w:rPr>
        <w:t>。</w:t>
      </w:r>
    </w:p>
    <w:p>
      <w:pPr>
        <w:spacing w:line="480" w:lineRule="exact"/>
        <w:ind w:firstLine="480" w:firstLineChars="200"/>
        <w:rPr>
          <w:rFonts w:ascii="宋体" w:hAnsi="宋体"/>
          <w:kern w:val="0"/>
          <w:sz w:val="24"/>
        </w:rPr>
      </w:pPr>
      <w:r>
        <w:rPr>
          <w:rFonts w:hint="eastAsia" w:ascii="宋体" w:hAnsi="宋体"/>
          <w:kern w:val="0"/>
          <w:sz w:val="24"/>
        </w:rPr>
        <w:t>(四)估价机构掌握的有关资料和估价人员实地查勘、调查所获取的资料：</w:t>
      </w:r>
    </w:p>
    <w:p>
      <w:pPr>
        <w:spacing w:line="480" w:lineRule="exact"/>
        <w:ind w:firstLine="480" w:firstLineChars="200"/>
        <w:rPr>
          <w:rFonts w:ascii="宋体" w:hAnsi="宋体"/>
          <w:kern w:val="0"/>
          <w:sz w:val="24"/>
        </w:rPr>
      </w:pPr>
      <w:r>
        <w:rPr>
          <w:rFonts w:hint="eastAsia" w:ascii="宋体" w:hAnsi="宋体"/>
          <w:kern w:val="0"/>
          <w:sz w:val="24"/>
        </w:rPr>
        <w:t>1．现场实地查勘察记录；</w:t>
      </w:r>
    </w:p>
    <w:p>
      <w:pPr>
        <w:spacing w:line="480" w:lineRule="exact"/>
        <w:ind w:firstLine="480" w:firstLineChars="200"/>
        <w:rPr>
          <w:rFonts w:ascii="宋体" w:hAnsi="宋体"/>
          <w:kern w:val="0"/>
          <w:sz w:val="24"/>
        </w:rPr>
      </w:pPr>
      <w:r>
        <w:rPr>
          <w:rFonts w:hint="eastAsia" w:ascii="宋体" w:hAnsi="宋体"/>
          <w:kern w:val="0"/>
          <w:sz w:val="24"/>
        </w:rPr>
        <w:t>2．相关房地产市场调查资料；</w:t>
      </w:r>
    </w:p>
    <w:p>
      <w:pPr>
        <w:spacing w:line="480" w:lineRule="exact"/>
        <w:ind w:firstLine="480" w:firstLineChars="200"/>
        <w:rPr>
          <w:rFonts w:ascii="宋体" w:hAnsi="宋体"/>
          <w:kern w:val="0"/>
          <w:sz w:val="24"/>
        </w:rPr>
      </w:pPr>
      <w:r>
        <w:rPr>
          <w:rFonts w:hint="eastAsia" w:ascii="宋体" w:hAnsi="宋体"/>
          <w:kern w:val="0"/>
          <w:sz w:val="24"/>
        </w:rPr>
        <w:t>3．估价委托人提供的其他相关资料；</w:t>
      </w:r>
    </w:p>
    <w:p>
      <w:pPr>
        <w:spacing w:line="480" w:lineRule="exact"/>
        <w:ind w:firstLine="480" w:firstLineChars="200"/>
        <w:rPr>
          <w:rFonts w:ascii="宋体" w:hAnsi="宋体"/>
          <w:kern w:val="0"/>
          <w:sz w:val="24"/>
        </w:rPr>
      </w:pPr>
      <w:r>
        <w:rPr>
          <w:rFonts w:hint="eastAsia" w:ascii="宋体" w:hAnsi="宋体"/>
          <w:kern w:val="0"/>
          <w:sz w:val="24"/>
        </w:rPr>
        <w:t>4．本公司掌握的房地产市场信息以及有关政策法规。</w:t>
      </w:r>
    </w:p>
    <w:p>
      <w:pPr>
        <w:spacing w:line="480" w:lineRule="exact"/>
        <w:rPr>
          <w:rFonts w:ascii="宋体" w:hAnsi="宋体"/>
          <w:b/>
          <w:bCs/>
          <w:spacing w:val="10"/>
          <w:sz w:val="24"/>
        </w:rPr>
      </w:pPr>
      <w:r>
        <w:rPr>
          <w:rFonts w:hint="eastAsia" w:ascii="宋体" w:hAnsi="宋体"/>
          <w:b/>
          <w:bCs/>
          <w:spacing w:val="10"/>
          <w:sz w:val="24"/>
        </w:rPr>
        <w:t>九、估价方法：</w:t>
      </w:r>
    </w:p>
    <w:p>
      <w:pPr>
        <w:spacing w:line="480" w:lineRule="exact"/>
        <w:ind w:firstLine="390" w:firstLineChars="150"/>
        <w:rPr>
          <w:rFonts w:ascii="宋体" w:hAnsi="宋体"/>
          <w:b/>
          <w:spacing w:val="10"/>
          <w:sz w:val="24"/>
        </w:rPr>
      </w:pPr>
      <w:r>
        <w:rPr>
          <w:rFonts w:hint="eastAsia" w:ascii="宋体" w:hAnsi="宋体"/>
          <w:b/>
          <w:spacing w:val="10"/>
          <w:sz w:val="24"/>
        </w:rPr>
        <w:t>（一）估价方法定义</w:t>
      </w:r>
    </w:p>
    <w:p>
      <w:pPr>
        <w:spacing w:line="480" w:lineRule="exact"/>
        <w:ind w:firstLine="520" w:firstLineChars="200"/>
        <w:rPr>
          <w:rFonts w:ascii="宋体" w:hAnsi="宋体"/>
          <w:spacing w:val="10"/>
          <w:sz w:val="24"/>
        </w:rPr>
      </w:pPr>
      <w:r>
        <w:rPr>
          <w:rFonts w:hint="eastAsia" w:ascii="宋体" w:hAnsi="宋体"/>
          <w:spacing w:val="10"/>
          <w:sz w:val="24"/>
        </w:rPr>
        <w:t>根据《房地产估价规范》、《房地产估价基本术语标准》，通常的房地产估价方法有比较法、收益法、假设开发法、成本法几种。</w:t>
      </w:r>
    </w:p>
    <w:p>
      <w:pPr>
        <w:spacing w:line="480" w:lineRule="exact"/>
        <w:ind w:firstLine="480" w:firstLineChars="200"/>
        <w:rPr>
          <w:rFonts w:ascii="宋体" w:hAnsi="宋体"/>
          <w:sz w:val="24"/>
        </w:rPr>
      </w:pPr>
      <w:r>
        <w:rPr>
          <w:rFonts w:ascii="宋体" w:hAnsi="宋体"/>
          <w:kern w:val="0"/>
          <w:sz w:val="24"/>
        </w:rPr>
        <w:t>1</w:t>
      </w:r>
      <w:r>
        <w:rPr>
          <w:rFonts w:hint="eastAsia" w:ascii="宋体" w:hAnsi="宋体"/>
          <w:kern w:val="0"/>
          <w:sz w:val="24"/>
        </w:rPr>
        <w:t>、比较法是选取一定数量的可比实例，将他们与估价对象进行比较，根据其间的差异对可比实例成交价格进行处理后得到估价对象价值或价格的方法。</w:t>
      </w:r>
    </w:p>
    <w:p>
      <w:pPr>
        <w:autoSpaceDE w:val="0"/>
        <w:autoSpaceDN w:val="0"/>
        <w:adjustRightInd w:val="0"/>
        <w:spacing w:line="480" w:lineRule="exact"/>
        <w:ind w:firstLine="480" w:firstLineChars="200"/>
        <w:rPr>
          <w:rFonts w:ascii="宋体" w:hAnsi="宋体"/>
          <w:kern w:val="0"/>
          <w:sz w:val="24"/>
        </w:rPr>
      </w:pPr>
      <w:r>
        <w:rPr>
          <w:rFonts w:ascii="宋体" w:hAnsi="宋体"/>
          <w:kern w:val="0"/>
          <w:sz w:val="24"/>
        </w:rPr>
        <w:t>2</w:t>
      </w:r>
      <w:r>
        <w:rPr>
          <w:rFonts w:hint="eastAsia" w:ascii="宋体" w:hAnsi="宋体"/>
          <w:kern w:val="0"/>
          <w:sz w:val="24"/>
        </w:rPr>
        <w:t>、收益法是预计估价对象未来的收益，利用报酬率或资本化率、收益乘数将未来收益转换为价值得到估价对象价值或价格的方法。</w:t>
      </w:r>
    </w:p>
    <w:p>
      <w:pPr>
        <w:autoSpaceDE w:val="0"/>
        <w:autoSpaceDN w:val="0"/>
        <w:adjustRightInd w:val="0"/>
        <w:spacing w:line="480" w:lineRule="exact"/>
        <w:ind w:firstLine="480" w:firstLineChars="200"/>
        <w:rPr>
          <w:rFonts w:ascii="宋体" w:hAnsi="宋体"/>
          <w:kern w:val="0"/>
          <w:sz w:val="24"/>
        </w:rPr>
      </w:pPr>
      <w:r>
        <w:rPr>
          <w:rFonts w:ascii="宋体" w:hAnsi="宋体"/>
          <w:kern w:val="0"/>
          <w:sz w:val="24"/>
        </w:rPr>
        <w:t>3</w:t>
      </w:r>
      <w:r>
        <w:rPr>
          <w:rFonts w:hint="eastAsia" w:ascii="宋体" w:hAnsi="宋体"/>
          <w:kern w:val="0"/>
          <w:sz w:val="24"/>
        </w:rPr>
        <w:t>、成本法是测算估价对象在价值时点的重置成本或重建成本和折旧，将重置成本或重建成本减去折旧得到估价对象价值或价格的方法。</w:t>
      </w:r>
    </w:p>
    <w:p>
      <w:pPr>
        <w:autoSpaceDE w:val="0"/>
        <w:autoSpaceDN w:val="0"/>
        <w:adjustRightInd w:val="0"/>
        <w:spacing w:line="480" w:lineRule="exact"/>
        <w:ind w:firstLine="480" w:firstLineChars="200"/>
        <w:rPr>
          <w:rFonts w:ascii="宋体" w:hAnsi="宋体"/>
          <w:kern w:val="0"/>
          <w:sz w:val="24"/>
        </w:rPr>
      </w:pPr>
      <w:r>
        <w:rPr>
          <w:rFonts w:ascii="宋体" w:hAnsi="宋体"/>
          <w:kern w:val="0"/>
          <w:sz w:val="24"/>
        </w:rPr>
        <w:t>4</w:t>
      </w:r>
      <w:r>
        <w:rPr>
          <w:rFonts w:hint="eastAsia" w:ascii="宋体" w:hAnsi="宋体"/>
          <w:kern w:val="0"/>
          <w:sz w:val="24"/>
        </w:rPr>
        <w:t>、假设开发法是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p>
      <w:pPr>
        <w:spacing w:line="480" w:lineRule="exact"/>
        <w:ind w:firstLine="520" w:firstLineChars="200"/>
        <w:rPr>
          <w:rFonts w:ascii="宋体" w:hAnsi="宋体"/>
          <w:spacing w:val="10"/>
          <w:sz w:val="24"/>
        </w:rPr>
      </w:pPr>
      <w:r>
        <w:rPr>
          <w:rFonts w:hint="eastAsia" w:ascii="宋体" w:hAnsi="宋体"/>
          <w:spacing w:val="10"/>
          <w:sz w:val="24"/>
        </w:rPr>
        <w:t>有条件选用比较法进行估价的，应以比较法为主要的估价方法；收益性房地产的估价，应选用收益法作为其中的一种估价方法；具有投资开发或再开发潜力的房地产的估价，应选用假设开发法作为其中的一种估价方法；无市场依据或市场依据不充分而不宜采用比较法、收益法、假设开发法进行估价的情况下，可采用成本法作为主要的估价方法。</w:t>
      </w:r>
    </w:p>
    <w:p>
      <w:pPr>
        <w:spacing w:line="480" w:lineRule="exact"/>
        <w:ind w:firstLine="390" w:firstLineChars="150"/>
        <w:rPr>
          <w:rFonts w:ascii="宋体" w:hAnsi="宋体"/>
          <w:b/>
          <w:spacing w:val="10"/>
          <w:sz w:val="24"/>
        </w:rPr>
      </w:pPr>
      <w:r>
        <w:rPr>
          <w:rFonts w:hint="eastAsia" w:ascii="宋体" w:hAnsi="宋体"/>
          <w:b/>
          <w:spacing w:val="10"/>
          <w:sz w:val="24"/>
        </w:rPr>
        <w:t>（二）估价方法适用性分析</w:t>
      </w:r>
    </w:p>
    <w:p>
      <w:pPr>
        <w:spacing w:line="480" w:lineRule="exact"/>
        <w:ind w:firstLine="520" w:firstLineChars="200"/>
        <w:rPr>
          <w:rFonts w:ascii="宋体" w:hAnsi="宋体"/>
          <w:spacing w:val="10"/>
          <w:sz w:val="24"/>
        </w:rPr>
      </w:pPr>
      <w:r>
        <w:rPr>
          <w:rFonts w:hint="eastAsia" w:ascii="宋体" w:hAnsi="宋体"/>
          <w:spacing w:val="10"/>
          <w:sz w:val="24"/>
        </w:rPr>
        <w:t>由于估价对象位于</w:t>
      </w:r>
      <w:r>
        <w:rPr>
          <w:rFonts w:hint="eastAsia" w:ascii="宋体" w:hAnsi="宋体"/>
          <w:spacing w:val="10"/>
          <w:sz w:val="24"/>
          <w:lang w:eastAsia="zh-CN"/>
        </w:rPr>
        <w:t>湘潭市城区</w:t>
      </w:r>
      <w:r>
        <w:rPr>
          <w:rFonts w:hint="eastAsia" w:ascii="宋体" w:hAnsi="宋体"/>
          <w:spacing w:val="10"/>
          <w:sz w:val="24"/>
        </w:rPr>
        <w:t>，所在区域房地产市场较发达，重置成本仅能体现估价对象在价值时点价格水平下的建造价格，却反映不了价值时点房地产市场或房地产分类市场的供求关系，故不宜采用成本法进行评估。</w:t>
      </w:r>
    </w:p>
    <w:p>
      <w:pPr>
        <w:spacing w:line="480" w:lineRule="exact"/>
        <w:ind w:firstLine="520" w:firstLineChars="200"/>
        <w:rPr>
          <w:rFonts w:ascii="宋体" w:hAnsi="宋体"/>
          <w:spacing w:val="10"/>
          <w:sz w:val="24"/>
        </w:rPr>
      </w:pPr>
      <w:r>
        <w:rPr>
          <w:rFonts w:hint="eastAsia" w:ascii="宋体" w:hAnsi="宋体"/>
          <w:spacing w:val="10"/>
          <w:sz w:val="24"/>
        </w:rPr>
        <w:t>由于估价对象已竣工，符合城市规划，经过分析认为，估价对象按现状利用为其最高最佳利用途径，不存在投资开发或再开发潜力，故不宜采用假设开发法进行评估。</w:t>
      </w:r>
    </w:p>
    <w:p>
      <w:pPr>
        <w:spacing w:line="480" w:lineRule="exact"/>
        <w:ind w:firstLine="520" w:firstLineChars="200"/>
        <w:rPr>
          <w:rFonts w:ascii="宋体" w:hAnsi="宋体"/>
          <w:spacing w:val="10"/>
          <w:sz w:val="24"/>
        </w:rPr>
      </w:pPr>
      <w:r>
        <w:rPr>
          <w:rFonts w:hint="eastAsia" w:ascii="宋体" w:hAnsi="宋体"/>
          <w:spacing w:val="10"/>
          <w:sz w:val="24"/>
        </w:rPr>
        <w:t>由于估价对象为住宅用房，所在区域近期类似房地产交易市场较为活跃，类似房地产交易实例较多，估价人员通过市场调查，选取一定数量的可比实例，将它们与估价对象进行比较，根据其间的差异对可比实例成交价格进行处理后可得到估价对象价值或价格，故本次评估可采用比较法进行测算。</w:t>
      </w:r>
    </w:p>
    <w:p>
      <w:pPr>
        <w:spacing w:line="480" w:lineRule="exact"/>
        <w:ind w:firstLine="520" w:firstLineChars="200"/>
        <w:rPr>
          <w:rFonts w:ascii="宋体" w:hAnsi="宋体"/>
          <w:spacing w:val="10"/>
          <w:sz w:val="24"/>
        </w:rPr>
      </w:pPr>
      <w:r>
        <w:rPr>
          <w:rFonts w:hint="eastAsia" w:ascii="宋体" w:hAnsi="宋体"/>
          <w:spacing w:val="10"/>
          <w:sz w:val="24"/>
        </w:rPr>
        <w:t>由于估价对象为住宅用房，租赁收益明显，所在区域近期类似房地产租赁市场较为活跃，类似房地产租赁实例较多，据此可预测估价对象的未来收益，利用报酬率或资本化率、收益乘数将未来收益转换为价值得到估价对象价值或价格，故本次评估可采用收益法进行测算。</w:t>
      </w:r>
    </w:p>
    <w:p>
      <w:pPr>
        <w:spacing w:line="480" w:lineRule="exact"/>
        <w:ind w:firstLine="520" w:firstLineChars="200"/>
        <w:rPr>
          <w:rFonts w:ascii="宋体" w:hAnsi="宋体"/>
          <w:spacing w:val="10"/>
          <w:sz w:val="24"/>
        </w:rPr>
      </w:pPr>
      <w:r>
        <w:rPr>
          <w:rFonts w:hint="eastAsia" w:ascii="宋体" w:hAnsi="宋体"/>
          <w:spacing w:val="10"/>
          <w:sz w:val="24"/>
        </w:rPr>
        <w:t>综上，估价人员在认真分析所掌握的资料并对估价对象所在区域类似房地产交易、租赁市场进行调查后，根据估价对象的特点，遵照国家有关法律、法规、估价技术标准，经过反复研究，确定其估价技术路线为：</w:t>
      </w:r>
    </w:p>
    <w:p>
      <w:pPr>
        <w:spacing w:line="480" w:lineRule="exact"/>
        <w:ind w:firstLine="520" w:firstLineChars="200"/>
        <w:rPr>
          <w:rFonts w:ascii="宋体" w:hAnsi="宋体"/>
          <w:spacing w:val="10"/>
          <w:sz w:val="24"/>
        </w:rPr>
      </w:pPr>
      <w:r>
        <w:rPr>
          <w:rFonts w:hint="eastAsia" w:ascii="宋体" w:hAnsi="宋体"/>
          <w:spacing w:val="10"/>
          <w:sz w:val="24"/>
        </w:rPr>
        <w:t>采用比较法和收益法对估价对象房地产单价进行评估，最后综合分析两种估价结果，确定房地产单价，进而确定房地产市场价值。</w:t>
      </w:r>
    </w:p>
    <w:p>
      <w:pPr>
        <w:spacing w:line="480" w:lineRule="exact"/>
        <w:ind w:firstLine="520" w:firstLineChars="200"/>
        <w:rPr>
          <w:rFonts w:ascii="宋体" w:hAnsi="宋体"/>
          <w:spacing w:val="10"/>
          <w:sz w:val="24"/>
        </w:rPr>
      </w:pPr>
      <w:r>
        <w:rPr>
          <w:rFonts w:hint="eastAsia" w:ascii="宋体" w:hAnsi="宋体"/>
          <w:spacing w:val="10"/>
          <w:sz w:val="24"/>
        </w:rPr>
        <w:t>1.根据《房地产估价规范》，有条件选用比较法进行估价的，应以比较法作为主要估价方法。本估价报告采用比较法，遵循比较法可比实例的选取原则，根据估价人员掌握的房地产交易市场资料，选择三个交易方式适合估价目的、成交日期接近价值时点、成交价格为正常价格或可修正为正常价格且与估价对象房地产的区位、用途、权利性质、档次、规模、建筑结构、新旧程度等相同或相近的住宅房地产交易实例作为可比实例，对影响价格的各项因素及其影响程度进行分析，建立估价对象与可比实例的价格比较基础，并分别进行交易情况修正、交易日期调整、房地产状况调整，求取估价对象房地产的比较价格。</w:t>
      </w:r>
    </w:p>
    <w:p>
      <w:pPr>
        <w:spacing w:line="480" w:lineRule="exact"/>
        <w:ind w:firstLine="520" w:firstLineChars="200"/>
        <w:rPr>
          <w:rFonts w:ascii="宋体" w:hAnsi="宋体"/>
          <w:spacing w:val="10"/>
          <w:sz w:val="24"/>
        </w:rPr>
      </w:pPr>
      <w:r>
        <w:rPr>
          <w:rFonts w:hint="eastAsia" w:ascii="宋体" w:hAnsi="宋体"/>
          <w:spacing w:val="10"/>
          <w:sz w:val="24"/>
        </w:rPr>
        <w:t>比较法基本公式如下：</w:t>
      </w:r>
    </w:p>
    <w:p>
      <w:pPr>
        <w:spacing w:line="480" w:lineRule="exact"/>
        <w:ind w:firstLine="520" w:firstLineChars="200"/>
        <w:rPr>
          <w:rFonts w:ascii="宋体" w:hAnsi="宋体"/>
          <w:spacing w:val="10"/>
          <w:sz w:val="24"/>
        </w:rPr>
      </w:pPr>
      <w:r>
        <w:rPr>
          <w:rFonts w:hint="eastAsia" w:ascii="宋体" w:hAnsi="宋体"/>
          <w:spacing w:val="10"/>
          <w:sz w:val="24"/>
        </w:rPr>
        <w:t>比较价格=可比实例价格×交易情况修正系数×市场状况（交易日期）调整系数×房地产状况调整系数。</w:t>
      </w:r>
    </w:p>
    <w:p>
      <w:pPr>
        <w:spacing w:line="480" w:lineRule="exact"/>
        <w:ind w:firstLine="520" w:firstLineChars="200"/>
        <w:rPr>
          <w:rFonts w:ascii="宋体" w:hAnsi="宋体"/>
          <w:spacing w:val="10"/>
          <w:sz w:val="24"/>
        </w:rPr>
      </w:pPr>
      <w:r>
        <w:rPr>
          <w:rFonts w:hint="eastAsia" w:ascii="宋体" w:hAnsi="宋体"/>
          <w:spacing w:val="10"/>
          <w:sz w:val="24"/>
        </w:rPr>
        <w:t>2.根据《房地产估价规范》，收益性房地产的估价，应选用收益法作为其中的一种估价方法。估价对象为住宅用房，租赁收益明显，因此可用适当的报酬率，预测其未来各年的净收益并折算到价值时点上，测算出估价对象房地产收益价格。</w:t>
      </w:r>
    </w:p>
    <w:p>
      <w:pPr>
        <w:spacing w:line="480" w:lineRule="exact"/>
        <w:ind w:firstLine="520" w:firstLineChars="200"/>
        <w:rPr>
          <w:rFonts w:ascii="宋体" w:hAnsi="宋体"/>
          <w:spacing w:val="10"/>
          <w:sz w:val="24"/>
        </w:rPr>
      </w:pPr>
      <w:r>
        <w:rPr>
          <w:rFonts w:hint="eastAsia" w:ascii="宋体" w:hAnsi="宋体"/>
          <w:spacing w:val="10"/>
          <w:sz w:val="24"/>
        </w:rPr>
        <w:t>收益法计算公式如下：</w:t>
      </w:r>
    </w:p>
    <w:p>
      <w:pPr>
        <w:spacing w:line="480" w:lineRule="exact"/>
        <w:ind w:firstLine="480" w:firstLineChars="200"/>
        <w:rPr>
          <w:rFonts w:ascii="宋体" w:hAnsi="宋体"/>
          <w:sz w:val="24"/>
        </w:rPr>
      </w:pPr>
      <w:r>
        <w:rPr>
          <w:rFonts w:hint="eastAsia" w:ascii="宋体" w:hAnsi="宋体"/>
          <w:sz w:val="24"/>
        </w:rPr>
        <w:t>V= a/(r-g)×[1-(1+g)</w:t>
      </w:r>
      <w:r>
        <w:rPr>
          <w:rFonts w:hint="eastAsia" w:ascii="宋体" w:hAnsi="宋体"/>
          <w:sz w:val="24"/>
          <w:vertAlign w:val="superscript"/>
        </w:rPr>
        <w:t>n</w:t>
      </w:r>
      <w:r>
        <w:rPr>
          <w:rFonts w:hint="eastAsia" w:ascii="宋体" w:hAnsi="宋体"/>
          <w:sz w:val="24"/>
        </w:rPr>
        <w:t>/(1+r)</w:t>
      </w:r>
      <w:r>
        <w:rPr>
          <w:rFonts w:hint="eastAsia" w:ascii="宋体" w:hAnsi="宋体"/>
          <w:sz w:val="24"/>
          <w:vertAlign w:val="superscript"/>
        </w:rPr>
        <w:t>n</w:t>
      </w:r>
      <w:r>
        <w:rPr>
          <w:rFonts w:hint="eastAsia" w:ascii="宋体" w:hAnsi="宋体"/>
          <w:sz w:val="24"/>
        </w:rPr>
        <w:t>]</w:t>
      </w:r>
    </w:p>
    <w:p>
      <w:pPr>
        <w:spacing w:line="480" w:lineRule="exact"/>
        <w:ind w:firstLine="840" w:firstLineChars="350"/>
        <w:rPr>
          <w:rFonts w:ascii="宋体" w:hAnsi="宋体"/>
          <w:sz w:val="24"/>
        </w:rPr>
      </w:pPr>
      <w:r>
        <w:rPr>
          <w:rFonts w:hint="eastAsia" w:ascii="宋体" w:hAnsi="宋体"/>
          <w:sz w:val="24"/>
        </w:rPr>
        <w:t>V为房地产在价值时点的收益价格；a为年净收益 ；r为报酬率 ；g为年增长率；n为收益年限。</w:t>
      </w:r>
    </w:p>
    <w:p>
      <w:pPr>
        <w:tabs>
          <w:tab w:val="center" w:pos="4205"/>
        </w:tabs>
        <w:spacing w:line="480" w:lineRule="exact"/>
        <w:rPr>
          <w:rFonts w:ascii="宋体" w:hAnsi="宋体"/>
          <w:b/>
          <w:bCs/>
          <w:spacing w:val="10"/>
          <w:sz w:val="24"/>
        </w:rPr>
      </w:pPr>
      <w:r>
        <w:rPr>
          <w:rFonts w:hint="eastAsia" w:ascii="宋体" w:hAnsi="宋体"/>
          <w:b/>
          <w:bCs/>
          <w:spacing w:val="10"/>
          <w:sz w:val="24"/>
        </w:rPr>
        <w:t>十、估价结果：</w:t>
      </w:r>
      <w:r>
        <w:rPr>
          <w:rFonts w:hint="eastAsia" w:ascii="宋体" w:hAnsi="宋体"/>
          <w:b/>
          <w:bCs/>
          <w:spacing w:val="10"/>
          <w:sz w:val="24"/>
        </w:rPr>
        <w:tab/>
      </w:r>
    </w:p>
    <w:p>
      <w:pPr>
        <w:spacing w:line="480" w:lineRule="exact"/>
        <w:ind w:firstLine="480" w:firstLineChars="200"/>
        <w:rPr>
          <w:rFonts w:ascii="宋体" w:hAnsi="宋体"/>
          <w:sz w:val="24"/>
        </w:rPr>
      </w:pPr>
      <w:r>
        <w:rPr>
          <w:rFonts w:hint="eastAsia" w:ascii="宋体" w:hAnsi="宋体"/>
          <w:sz w:val="24"/>
        </w:rPr>
        <w:t>估价人员根据估价目的，遵循估价原则，按照估价工作程序，利用科学的估价方法，在认真分析现有资料的基础上，经过周密的测算，并结合估价经验与影响房地产价格因素的分析，确定在估价对象于市场上有足够的买方和卖方，并且进入市场无障碍的条件下，于价值时点的市场价值为人民币</w:t>
      </w:r>
      <w:r>
        <w:rPr>
          <w:rFonts w:hint="eastAsia" w:ascii="宋体" w:hAnsi="宋体"/>
          <w:sz w:val="24"/>
          <w:lang w:eastAsia="zh-CN"/>
        </w:rPr>
        <w:t>71.76</w:t>
      </w:r>
      <w:r>
        <w:rPr>
          <w:rFonts w:hint="eastAsia" w:ascii="宋体" w:hAnsi="宋体"/>
          <w:sz w:val="24"/>
        </w:rPr>
        <w:t>万元，大写金额人民币</w:t>
      </w:r>
      <w:r>
        <w:rPr>
          <w:rFonts w:hint="eastAsia" w:ascii="宋体" w:hAnsi="宋体"/>
          <w:b/>
          <w:bCs/>
          <w:sz w:val="24"/>
          <w:lang w:eastAsia="zh-CN"/>
        </w:rPr>
        <w:t>柒拾壹万柒仟陆佰</w:t>
      </w:r>
      <w:r>
        <w:rPr>
          <w:rFonts w:hint="eastAsia" w:ascii="宋体" w:hAnsi="宋体"/>
          <w:b/>
          <w:bCs/>
          <w:sz w:val="24"/>
        </w:rPr>
        <w:t>元整</w:t>
      </w:r>
      <w:r>
        <w:rPr>
          <w:rFonts w:hint="eastAsia" w:ascii="宋体" w:hAnsi="宋体"/>
          <w:sz w:val="24"/>
        </w:rPr>
        <w:t>（详见估价结果一览表）。</w:t>
      </w:r>
    </w:p>
    <w:p>
      <w:pPr>
        <w:spacing w:afterLines="50" w:line="560" w:lineRule="exact"/>
        <w:jc w:val="center"/>
        <w:rPr>
          <w:rFonts w:ascii="宋体" w:hAnsi="宋体"/>
          <w:spacing w:val="10"/>
          <w:sz w:val="24"/>
        </w:rPr>
      </w:pPr>
      <w:r>
        <w:rPr>
          <w:rFonts w:hint="eastAsia" w:ascii="宋体" w:hAnsi="宋体"/>
          <w:sz w:val="24"/>
          <w:lang w:val="en-US" w:eastAsia="zh-CN"/>
        </w:rPr>
        <w:t xml:space="preserve">                       </w:t>
      </w:r>
      <w:r>
        <w:rPr>
          <w:rFonts w:hint="eastAsia" w:ascii="宋体" w:hAnsi="宋体"/>
          <w:b/>
          <w:bCs/>
          <w:sz w:val="24"/>
          <w:lang w:val="en-US" w:eastAsia="zh-CN"/>
        </w:rPr>
        <w:t xml:space="preserve">  </w:t>
      </w:r>
      <w:r>
        <w:rPr>
          <w:rFonts w:hint="eastAsia" w:ascii="宋体" w:hAnsi="宋体"/>
          <w:b/>
          <w:bCs/>
          <w:sz w:val="24"/>
        </w:rPr>
        <w:t>估价结果一览表</w:t>
      </w:r>
      <w:r>
        <w:rPr>
          <w:rFonts w:hint="eastAsia" w:ascii="宋体" w:hAnsi="宋体"/>
          <w:sz w:val="24"/>
        </w:rPr>
        <w:t xml:space="preserve">              币种：人民币</w:t>
      </w:r>
    </w:p>
    <w:tbl>
      <w:tblPr>
        <w:tblStyle w:val="56"/>
        <w:tblW w:w="9350" w:type="dxa"/>
        <w:jc w:val="center"/>
        <w:tblInd w:w="0" w:type="dxa"/>
        <w:tblBorders>
          <w:top w:val="single" w:color="000000" w:sz="8" w:space="0"/>
          <w:left w:val="single" w:color="000000" w:sz="8" w:space="0"/>
          <w:bottom w:val="single" w:color="000000" w:sz="8" w:space="0"/>
          <w:right w:val="single" w:color="000000" w:sz="8" w:space="0"/>
          <w:insideH w:val="none" w:color="auto" w:sz="0" w:space="0"/>
          <w:insideV w:val="single" w:color="000000" w:sz="8" w:space="0"/>
        </w:tblBorders>
        <w:tblLayout w:type="fixed"/>
        <w:tblCellMar>
          <w:top w:w="0" w:type="dxa"/>
          <w:left w:w="0" w:type="dxa"/>
          <w:bottom w:w="0" w:type="dxa"/>
          <w:right w:w="0" w:type="dxa"/>
        </w:tblCellMar>
      </w:tblPr>
      <w:tblGrid>
        <w:gridCol w:w="2002"/>
        <w:gridCol w:w="1058"/>
        <w:gridCol w:w="1739"/>
        <w:gridCol w:w="552"/>
        <w:gridCol w:w="532"/>
        <w:gridCol w:w="555"/>
        <w:gridCol w:w="919"/>
        <w:gridCol w:w="975"/>
        <w:gridCol w:w="1018"/>
      </w:tblGrid>
      <w:tr>
        <w:tblPrEx>
          <w:tblBorders>
            <w:top w:val="single" w:color="000000" w:sz="8" w:space="0"/>
            <w:left w:val="single" w:color="000000" w:sz="8" w:space="0"/>
            <w:bottom w:val="single" w:color="000000" w:sz="8" w:space="0"/>
            <w:right w:val="single" w:color="000000" w:sz="8" w:space="0"/>
            <w:insideH w:val="none" w:color="auto" w:sz="0" w:space="0"/>
            <w:insideV w:val="single" w:color="000000" w:sz="8" w:space="0"/>
          </w:tblBorders>
          <w:tblLayout w:type="fixed"/>
          <w:tblCellMar>
            <w:top w:w="0" w:type="dxa"/>
            <w:left w:w="0" w:type="dxa"/>
            <w:bottom w:w="0" w:type="dxa"/>
            <w:right w:w="0" w:type="dxa"/>
          </w:tblCellMar>
        </w:tblPrEx>
        <w:trPr>
          <w:trHeight w:val="353" w:hRule="atLeast"/>
          <w:jc w:val="center"/>
        </w:trPr>
        <w:tc>
          <w:tcPr>
            <w:tcW w:w="2002" w:type="dxa"/>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权证编号</w:t>
            </w:r>
          </w:p>
        </w:tc>
        <w:tc>
          <w:tcPr>
            <w:tcW w:w="105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权利人</w:t>
            </w:r>
          </w:p>
        </w:tc>
        <w:tc>
          <w:tcPr>
            <w:tcW w:w="1739" w:type="dxa"/>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房屋坐落</w:t>
            </w:r>
          </w:p>
        </w:tc>
        <w:tc>
          <w:tcPr>
            <w:tcW w:w="552"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房屋</w:t>
            </w:r>
          </w:p>
        </w:tc>
        <w:tc>
          <w:tcPr>
            <w:tcW w:w="532"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房屋</w:t>
            </w:r>
          </w:p>
        </w:tc>
        <w:tc>
          <w:tcPr>
            <w:tcW w:w="555" w:type="dxa"/>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层次</w:t>
            </w:r>
          </w:p>
        </w:tc>
        <w:tc>
          <w:tcPr>
            <w:tcW w:w="919"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建筑面积</w:t>
            </w:r>
          </w:p>
        </w:tc>
        <w:tc>
          <w:tcPr>
            <w:tcW w:w="975"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评估单价</w:t>
            </w:r>
          </w:p>
        </w:tc>
        <w:tc>
          <w:tcPr>
            <w:tcW w:w="1018" w:type="dxa"/>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评估总价（万元）</w:t>
            </w:r>
          </w:p>
        </w:tc>
      </w:tr>
      <w:tr>
        <w:tblPrEx>
          <w:tblBorders>
            <w:top w:val="single" w:color="000000" w:sz="8" w:space="0"/>
            <w:left w:val="single" w:color="000000" w:sz="8" w:space="0"/>
            <w:bottom w:val="single" w:color="000000" w:sz="8" w:space="0"/>
            <w:right w:val="single" w:color="000000" w:sz="8" w:space="0"/>
            <w:insideH w:val="none" w:color="auto" w:sz="0" w:space="0"/>
            <w:insideV w:val="single" w:color="000000" w:sz="8" w:space="0"/>
          </w:tblBorders>
          <w:tblLayout w:type="fixed"/>
          <w:tblCellMar>
            <w:top w:w="0" w:type="dxa"/>
            <w:left w:w="0" w:type="dxa"/>
            <w:bottom w:w="0" w:type="dxa"/>
            <w:right w:w="0" w:type="dxa"/>
          </w:tblCellMar>
        </w:tblPrEx>
        <w:trPr>
          <w:trHeight w:val="285" w:hRule="atLeast"/>
          <w:jc w:val="center"/>
        </w:trPr>
        <w:tc>
          <w:tcPr>
            <w:tcW w:w="2002" w:type="dxa"/>
            <w:vMerge w:val="continue"/>
            <w:tcBorders>
              <w:bottom w:val="single" w:color="000000" w:sz="8" w:space="0"/>
              <w:tl2br w:val="nil"/>
              <w:tr2bl w:val="nil"/>
            </w:tcBorders>
            <w:shd w:val="clear" w:color="auto" w:fill="auto"/>
            <w:tcMar>
              <w:top w:w="15" w:type="dxa"/>
              <w:left w:w="15" w:type="dxa"/>
              <w:right w:w="15" w:type="dxa"/>
            </w:tcMar>
            <w:vAlign w:val="center"/>
          </w:tcPr>
          <w:p>
            <w:pPr>
              <w:jc w:val="center"/>
              <w:rPr>
                <w:rFonts w:ascii="宋体" w:hAnsi="宋体" w:cs="宋体"/>
                <w:b/>
                <w:color w:val="000000"/>
                <w:szCs w:val="21"/>
              </w:rPr>
            </w:pPr>
          </w:p>
        </w:tc>
        <w:tc>
          <w:tcPr>
            <w:tcW w:w="1058" w:type="dxa"/>
            <w:tcBorders>
              <w:bottom w:val="single" w:color="000000" w:sz="8" w:space="0"/>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姓名</w:t>
            </w:r>
          </w:p>
        </w:tc>
        <w:tc>
          <w:tcPr>
            <w:tcW w:w="1739" w:type="dxa"/>
            <w:vMerge w:val="continue"/>
            <w:tcBorders>
              <w:bottom w:val="single" w:color="000000" w:sz="8" w:space="0"/>
              <w:tl2br w:val="nil"/>
              <w:tr2bl w:val="nil"/>
            </w:tcBorders>
            <w:shd w:val="clear" w:color="auto" w:fill="auto"/>
            <w:tcMar>
              <w:top w:w="15" w:type="dxa"/>
              <w:left w:w="15" w:type="dxa"/>
              <w:right w:w="15" w:type="dxa"/>
            </w:tcMar>
            <w:vAlign w:val="center"/>
          </w:tcPr>
          <w:p>
            <w:pPr>
              <w:jc w:val="center"/>
              <w:rPr>
                <w:rFonts w:ascii="宋体" w:hAnsi="宋体" w:cs="宋体"/>
                <w:b/>
                <w:color w:val="000000"/>
                <w:szCs w:val="21"/>
              </w:rPr>
            </w:pPr>
          </w:p>
        </w:tc>
        <w:tc>
          <w:tcPr>
            <w:tcW w:w="552" w:type="dxa"/>
            <w:tcBorders>
              <w:bottom w:val="single" w:color="000000" w:sz="8" w:space="0"/>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结构</w:t>
            </w:r>
          </w:p>
        </w:tc>
        <w:tc>
          <w:tcPr>
            <w:tcW w:w="532" w:type="dxa"/>
            <w:tcBorders>
              <w:bottom w:val="single" w:color="000000" w:sz="8" w:space="0"/>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用途</w:t>
            </w:r>
          </w:p>
        </w:tc>
        <w:tc>
          <w:tcPr>
            <w:tcW w:w="555" w:type="dxa"/>
            <w:vMerge w:val="continue"/>
            <w:tcBorders>
              <w:bottom w:val="single" w:color="000000" w:sz="8" w:space="0"/>
              <w:tl2br w:val="nil"/>
              <w:tr2bl w:val="nil"/>
            </w:tcBorders>
            <w:shd w:val="clear" w:color="auto" w:fill="auto"/>
            <w:tcMar>
              <w:top w:w="15" w:type="dxa"/>
              <w:left w:w="15" w:type="dxa"/>
              <w:right w:w="15" w:type="dxa"/>
            </w:tcMar>
            <w:vAlign w:val="center"/>
          </w:tcPr>
          <w:p>
            <w:pPr>
              <w:jc w:val="center"/>
              <w:rPr>
                <w:rFonts w:ascii="宋体" w:hAnsi="宋体" w:cs="宋体"/>
                <w:b/>
                <w:color w:val="000000"/>
                <w:szCs w:val="21"/>
              </w:rPr>
            </w:pPr>
          </w:p>
        </w:tc>
        <w:tc>
          <w:tcPr>
            <w:tcW w:w="919" w:type="dxa"/>
            <w:tcBorders>
              <w:bottom w:val="single" w:color="000000" w:sz="8" w:space="0"/>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w:t>
            </w:r>
          </w:p>
        </w:tc>
        <w:tc>
          <w:tcPr>
            <w:tcW w:w="975" w:type="dxa"/>
            <w:tcBorders>
              <w:bottom w:val="single" w:color="000000" w:sz="8" w:space="0"/>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（元/㎡）</w:t>
            </w:r>
          </w:p>
        </w:tc>
        <w:tc>
          <w:tcPr>
            <w:tcW w:w="1018" w:type="dxa"/>
            <w:vMerge w:val="continue"/>
            <w:tcBorders>
              <w:bottom w:val="single" w:color="000000" w:sz="8" w:space="0"/>
              <w:tl2br w:val="nil"/>
              <w:tr2bl w:val="nil"/>
            </w:tcBorders>
            <w:shd w:val="clear" w:color="auto" w:fill="auto"/>
            <w:tcMar>
              <w:top w:w="15" w:type="dxa"/>
              <w:left w:w="15" w:type="dxa"/>
              <w:right w:w="15" w:type="dxa"/>
            </w:tcMar>
            <w:vAlign w:val="center"/>
          </w:tcPr>
          <w:p>
            <w:pPr>
              <w:jc w:val="center"/>
              <w:rPr>
                <w:rFonts w:ascii="宋体" w:hAnsi="宋体" w:cs="宋体"/>
                <w:b/>
                <w:color w:val="000000"/>
                <w:szCs w:val="21"/>
              </w:rPr>
            </w:pPr>
          </w:p>
        </w:tc>
      </w:tr>
      <w:tr>
        <w:tblPrEx>
          <w:tblBorders>
            <w:top w:val="single" w:color="000000" w:sz="8" w:space="0"/>
            <w:left w:val="single" w:color="000000" w:sz="8" w:space="0"/>
            <w:bottom w:val="single" w:color="000000" w:sz="8" w:space="0"/>
            <w:right w:val="single" w:color="000000" w:sz="8" w:space="0"/>
            <w:insideH w:val="none" w:color="auto" w:sz="0" w:space="0"/>
            <w:insideV w:val="single" w:color="000000" w:sz="8" w:space="0"/>
          </w:tblBorders>
          <w:tblLayout w:type="fixed"/>
          <w:tblCellMar>
            <w:top w:w="0" w:type="dxa"/>
            <w:left w:w="0" w:type="dxa"/>
            <w:bottom w:w="0" w:type="dxa"/>
            <w:right w:w="0" w:type="dxa"/>
          </w:tblCellMar>
        </w:tblPrEx>
        <w:trPr>
          <w:trHeight w:val="827" w:hRule="atLeast"/>
          <w:jc w:val="center"/>
        </w:trPr>
        <w:tc>
          <w:tcPr>
            <w:tcW w:w="2002" w:type="dxa"/>
            <w:tcBorders>
              <w:top w:val="single" w:color="000000" w:sz="8"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eastAsia="zh-CN"/>
              </w:rPr>
              <w:t>湘（2016）湘潭市不动产权第0009056号、湘（2016）湘潭市不动产权第0009057号</w:t>
            </w:r>
          </w:p>
        </w:tc>
        <w:tc>
          <w:tcPr>
            <w:tcW w:w="1058" w:type="dxa"/>
            <w:tcBorders>
              <w:top w:val="single" w:color="000000" w:sz="8"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eastAsia="zh-CN"/>
              </w:rPr>
              <w:t>章焜、郭倚含</w:t>
            </w:r>
          </w:p>
        </w:tc>
        <w:tc>
          <w:tcPr>
            <w:tcW w:w="1739" w:type="dxa"/>
            <w:tcBorders>
              <w:top w:val="single" w:color="000000" w:sz="8"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eastAsia="zh-CN"/>
              </w:rPr>
              <w:t>岳塘区宝塔街道芙蓉中路19号湖湘林语28栋2单元1302004号</w:t>
            </w:r>
          </w:p>
        </w:tc>
        <w:tc>
          <w:tcPr>
            <w:tcW w:w="552" w:type="dxa"/>
            <w:tcBorders>
              <w:top w:val="single" w:color="000000" w:sz="8"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eastAsia="zh-CN"/>
              </w:rPr>
              <w:t>钢混</w:t>
            </w:r>
          </w:p>
        </w:tc>
        <w:tc>
          <w:tcPr>
            <w:tcW w:w="532" w:type="dxa"/>
            <w:tcBorders>
              <w:top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住宅</w:t>
            </w:r>
          </w:p>
        </w:tc>
        <w:tc>
          <w:tcPr>
            <w:tcW w:w="555" w:type="dxa"/>
            <w:tcBorders>
              <w:top w:val="single" w:color="000000" w:sz="8"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eastAsia="zh-CN"/>
              </w:rPr>
              <w:t>13/16</w:t>
            </w:r>
          </w:p>
        </w:tc>
        <w:tc>
          <w:tcPr>
            <w:tcW w:w="919" w:type="dxa"/>
            <w:tcBorders>
              <w:top w:val="single" w:color="000000" w:sz="8"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eastAsia="zh-CN"/>
              </w:rPr>
              <w:t>131.14</w:t>
            </w:r>
          </w:p>
        </w:tc>
        <w:tc>
          <w:tcPr>
            <w:tcW w:w="975" w:type="dxa"/>
            <w:tcBorders>
              <w:top w:val="single" w:color="000000" w:sz="8"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eastAsia="zh-CN"/>
              </w:rPr>
              <w:t>5472</w:t>
            </w:r>
          </w:p>
        </w:tc>
        <w:tc>
          <w:tcPr>
            <w:tcW w:w="1018" w:type="dxa"/>
            <w:tcBorders>
              <w:top w:val="single" w:color="000000" w:sz="8"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eastAsia="zh-CN"/>
              </w:rPr>
              <w:t>71.76</w:t>
            </w:r>
          </w:p>
        </w:tc>
      </w:tr>
    </w:tbl>
    <w:p>
      <w:pPr>
        <w:spacing w:line="440" w:lineRule="exact"/>
        <w:rPr>
          <w:rFonts w:ascii="宋体" w:hAnsi="宋体"/>
          <w:b/>
          <w:bCs/>
          <w:spacing w:val="10"/>
          <w:sz w:val="24"/>
        </w:rPr>
      </w:pPr>
      <w:r>
        <w:rPr>
          <w:rFonts w:hint="eastAsia" w:ascii="宋体" w:hAnsi="宋体"/>
          <w:b/>
          <w:bCs/>
          <w:spacing w:val="10"/>
          <w:sz w:val="24"/>
        </w:rPr>
        <w:t>十一、注册房地产估价师</w:t>
      </w:r>
    </w:p>
    <w:p>
      <w:pPr>
        <w:spacing w:beforeLines="50" w:afterLines="50" w:line="480" w:lineRule="exact"/>
        <w:ind w:firstLine="429" w:firstLineChars="179"/>
        <w:rPr>
          <w:rFonts w:ascii="宋体" w:hAnsi="宋体"/>
          <w:kern w:val="0"/>
          <w:sz w:val="24"/>
        </w:rPr>
      </w:pPr>
      <w:r>
        <w:rPr>
          <w:rFonts w:hint="eastAsia" w:ascii="宋体" w:hAnsi="宋体"/>
          <w:kern w:val="0"/>
          <w:sz w:val="24"/>
        </w:rPr>
        <w:t>姓  名         估价资格           注册号           签名及盖章</w:t>
      </w:r>
    </w:p>
    <w:p>
      <w:pPr>
        <w:spacing w:beforeLines="50" w:afterLines="50" w:line="480" w:lineRule="exact"/>
        <w:ind w:firstLine="429" w:firstLineChars="179"/>
        <w:rPr>
          <w:rFonts w:ascii="宋体" w:hAnsi="宋体"/>
          <w:kern w:val="0"/>
          <w:sz w:val="24"/>
        </w:rPr>
      </w:pPr>
      <w:r>
        <w:rPr>
          <w:rFonts w:hint="eastAsia" w:ascii="宋体" w:hAnsi="宋体"/>
          <w:kern w:val="0"/>
          <w:sz w:val="24"/>
        </w:rPr>
        <w:t xml:space="preserve">董  刚     注册房地产估价师    </w:t>
      </w:r>
      <w:r>
        <w:rPr>
          <w:rFonts w:hint="eastAsia" w:ascii="宋体" w:hAnsi="宋体"/>
          <w:kern w:val="0"/>
          <w:sz w:val="24"/>
          <w:lang w:val="en-US" w:eastAsia="zh-CN"/>
        </w:rPr>
        <w:t xml:space="preserve"> </w:t>
      </w:r>
      <w:r>
        <w:rPr>
          <w:rFonts w:hint="eastAsia" w:ascii="宋体" w:hAnsi="宋体"/>
          <w:kern w:val="0"/>
          <w:sz w:val="24"/>
        </w:rPr>
        <w:t>4320060009</w:t>
      </w:r>
    </w:p>
    <w:p>
      <w:pPr>
        <w:spacing w:beforeLines="50" w:afterLines="50" w:line="480" w:lineRule="exact"/>
        <w:ind w:firstLine="429" w:firstLineChars="179"/>
        <w:rPr>
          <w:rFonts w:ascii="宋体" w:hAnsi="宋体"/>
          <w:kern w:val="0"/>
          <w:sz w:val="24"/>
        </w:rPr>
      </w:pPr>
      <w:r>
        <w:rPr>
          <w:rFonts w:hint="eastAsia" w:ascii="宋体" w:hAnsi="宋体"/>
          <w:kern w:val="0"/>
          <w:sz w:val="24"/>
        </w:rPr>
        <w:t xml:space="preserve">曾玉凤     注册房地产估价师    </w:t>
      </w:r>
      <w:r>
        <w:rPr>
          <w:rFonts w:hint="eastAsia" w:ascii="宋体" w:hAnsi="宋体"/>
          <w:kern w:val="0"/>
          <w:sz w:val="24"/>
          <w:lang w:val="en-US" w:eastAsia="zh-CN"/>
        </w:rPr>
        <w:t xml:space="preserve"> </w:t>
      </w:r>
      <w:r>
        <w:rPr>
          <w:rFonts w:hint="eastAsia" w:ascii="宋体" w:hAnsi="宋体"/>
          <w:kern w:val="0"/>
          <w:sz w:val="24"/>
        </w:rPr>
        <w:t>4320200001</w:t>
      </w:r>
    </w:p>
    <w:p>
      <w:pPr>
        <w:spacing w:line="560" w:lineRule="exact"/>
        <w:rPr>
          <w:rFonts w:hint="eastAsia" w:ascii="宋体" w:hAnsi="宋体" w:eastAsia="宋体"/>
          <w:spacing w:val="10"/>
          <w:sz w:val="24"/>
          <w:lang w:eastAsia="zh-CN"/>
        </w:rPr>
      </w:pPr>
      <w:r>
        <w:rPr>
          <w:rFonts w:hint="eastAsia" w:ascii="宋体" w:hAnsi="宋体"/>
          <w:b/>
          <w:bCs/>
          <w:spacing w:val="10"/>
          <w:sz w:val="24"/>
        </w:rPr>
        <w:t>十二、实地查勘期：</w:t>
      </w:r>
      <w:r>
        <w:rPr>
          <w:rFonts w:hint="eastAsia" w:ascii="宋体" w:hAnsi="宋体"/>
          <w:spacing w:val="10"/>
          <w:sz w:val="24"/>
          <w:lang w:eastAsia="zh-CN"/>
        </w:rPr>
        <w:t>2020年10月26日</w:t>
      </w:r>
      <w:r>
        <w:rPr>
          <w:rFonts w:hint="eastAsia" w:ascii="宋体" w:hAnsi="宋体"/>
          <w:spacing w:val="10"/>
          <w:sz w:val="24"/>
        </w:rPr>
        <w:t>至</w:t>
      </w:r>
      <w:r>
        <w:rPr>
          <w:rFonts w:hint="eastAsia" w:ascii="宋体" w:hAnsi="宋体"/>
          <w:spacing w:val="10"/>
          <w:sz w:val="24"/>
          <w:lang w:eastAsia="zh-CN"/>
        </w:rPr>
        <w:t>2020年10月26日</w:t>
      </w:r>
    </w:p>
    <w:p>
      <w:pPr>
        <w:spacing w:line="560" w:lineRule="exact"/>
        <w:rPr>
          <w:rFonts w:hint="eastAsia" w:ascii="宋体" w:hAnsi="宋体" w:eastAsia="宋体"/>
          <w:spacing w:val="10"/>
          <w:sz w:val="24"/>
          <w:lang w:eastAsia="zh-CN"/>
        </w:rPr>
      </w:pPr>
      <w:r>
        <w:rPr>
          <w:rFonts w:hint="eastAsia" w:ascii="宋体" w:hAnsi="宋体"/>
          <w:b/>
          <w:bCs/>
          <w:spacing w:val="10"/>
          <w:sz w:val="24"/>
        </w:rPr>
        <w:t>十三、估价作业期：</w:t>
      </w:r>
      <w:r>
        <w:rPr>
          <w:rFonts w:hint="eastAsia" w:ascii="宋体" w:hAnsi="宋体"/>
          <w:spacing w:val="10"/>
          <w:sz w:val="24"/>
        </w:rPr>
        <w:t>2020年</w:t>
      </w:r>
      <w:r>
        <w:rPr>
          <w:rFonts w:hint="eastAsia" w:ascii="宋体" w:hAnsi="宋体"/>
          <w:spacing w:val="10"/>
          <w:sz w:val="24"/>
          <w:lang w:val="en-US" w:eastAsia="zh-CN"/>
        </w:rPr>
        <w:t>10</w:t>
      </w:r>
      <w:r>
        <w:rPr>
          <w:rFonts w:hint="eastAsia" w:ascii="宋体" w:hAnsi="宋体"/>
          <w:spacing w:val="10"/>
          <w:sz w:val="24"/>
        </w:rPr>
        <w:t>月</w:t>
      </w:r>
      <w:r>
        <w:rPr>
          <w:rFonts w:hint="eastAsia" w:ascii="宋体" w:hAnsi="宋体"/>
          <w:spacing w:val="10"/>
          <w:sz w:val="24"/>
          <w:lang w:val="en-US" w:eastAsia="zh-CN"/>
        </w:rPr>
        <w:t>22</w:t>
      </w:r>
      <w:r>
        <w:rPr>
          <w:rFonts w:hint="eastAsia" w:ascii="宋体" w:hAnsi="宋体"/>
          <w:spacing w:val="10"/>
          <w:sz w:val="24"/>
        </w:rPr>
        <w:t>日至</w:t>
      </w:r>
      <w:r>
        <w:rPr>
          <w:rFonts w:hint="eastAsia" w:ascii="宋体" w:hAnsi="宋体"/>
          <w:spacing w:val="10"/>
          <w:sz w:val="24"/>
          <w:lang w:eastAsia="zh-CN"/>
        </w:rPr>
        <w:t>2020年11月2日</w:t>
      </w:r>
    </w:p>
    <w:p>
      <w:pPr>
        <w:spacing w:line="560" w:lineRule="exact"/>
        <w:jc w:val="center"/>
        <w:rPr>
          <w:rFonts w:ascii="黑体" w:hAnsi="黑体" w:eastAsia="黑体"/>
          <w:b/>
          <w:sz w:val="36"/>
          <w:szCs w:val="36"/>
        </w:rPr>
      </w:pPr>
      <w:r>
        <w:br w:type="page"/>
      </w:r>
    </w:p>
    <w:p>
      <w:pPr>
        <w:jc w:val="center"/>
        <w:rPr>
          <w:rFonts w:ascii="黑体" w:hAnsi="黑体" w:eastAsia="黑体"/>
          <w:b/>
          <w:bCs/>
          <w:sz w:val="32"/>
          <w:szCs w:val="32"/>
        </w:rPr>
      </w:pPr>
      <w:r>
        <w:rPr>
          <w:rFonts w:hint="eastAsia" w:ascii="黑体" w:hAnsi="黑体" w:eastAsia="黑体"/>
          <w:b/>
          <w:sz w:val="36"/>
          <w:szCs w:val="36"/>
        </w:rPr>
        <w:t>附   件</w:t>
      </w:r>
    </w:p>
    <w:p>
      <w:pPr>
        <w:numPr>
          <w:ilvl w:val="0"/>
          <w:numId w:val="2"/>
        </w:numPr>
        <w:spacing w:line="560" w:lineRule="exact"/>
        <w:ind w:left="942"/>
        <w:rPr>
          <w:rFonts w:ascii="宋体" w:hAnsi="宋体"/>
          <w:spacing w:val="10"/>
          <w:sz w:val="24"/>
        </w:rPr>
      </w:pPr>
      <w:r>
        <w:rPr>
          <w:rFonts w:hint="eastAsia" w:ascii="宋体" w:hAnsi="宋体"/>
          <w:spacing w:val="10"/>
          <w:sz w:val="24"/>
          <w:lang w:eastAsia="zh-CN"/>
        </w:rPr>
        <w:t>湘潭市岳塘区人民法院</w:t>
      </w:r>
      <w:r>
        <w:rPr>
          <w:rFonts w:hint="eastAsia" w:ascii="宋体" w:hAnsi="宋体"/>
          <w:spacing w:val="10"/>
          <w:sz w:val="24"/>
        </w:rPr>
        <w:t>委托书复印件</w:t>
      </w:r>
    </w:p>
    <w:p>
      <w:pPr>
        <w:numPr>
          <w:ilvl w:val="0"/>
          <w:numId w:val="2"/>
        </w:numPr>
        <w:spacing w:line="560" w:lineRule="exact"/>
        <w:ind w:left="942"/>
        <w:rPr>
          <w:rFonts w:ascii="宋体" w:hAnsi="宋体"/>
          <w:spacing w:val="10"/>
          <w:sz w:val="24"/>
        </w:rPr>
      </w:pPr>
      <w:r>
        <w:rPr>
          <w:rFonts w:hint="eastAsia" w:ascii="宋体" w:hAnsi="宋体"/>
          <w:spacing w:val="10"/>
          <w:sz w:val="24"/>
        </w:rPr>
        <w:t>估价对象位置示意图</w:t>
      </w:r>
    </w:p>
    <w:p>
      <w:pPr>
        <w:numPr>
          <w:ilvl w:val="0"/>
          <w:numId w:val="2"/>
        </w:numPr>
        <w:spacing w:line="560" w:lineRule="exact"/>
        <w:ind w:left="942"/>
        <w:rPr>
          <w:rFonts w:ascii="宋体" w:hAnsi="宋体"/>
          <w:spacing w:val="10"/>
          <w:sz w:val="24"/>
        </w:rPr>
      </w:pPr>
      <w:r>
        <w:rPr>
          <w:rFonts w:hint="eastAsia" w:ascii="宋体" w:hAnsi="宋体"/>
          <w:spacing w:val="10"/>
          <w:sz w:val="24"/>
        </w:rPr>
        <w:t>估价对象实地查勘情况和相关照片</w:t>
      </w:r>
    </w:p>
    <w:p>
      <w:pPr>
        <w:numPr>
          <w:ilvl w:val="0"/>
          <w:numId w:val="2"/>
        </w:numPr>
        <w:spacing w:line="560" w:lineRule="exact"/>
        <w:ind w:left="942"/>
        <w:rPr>
          <w:rFonts w:ascii="宋体" w:hAnsi="宋体"/>
          <w:spacing w:val="10"/>
          <w:sz w:val="24"/>
        </w:rPr>
      </w:pPr>
      <w:r>
        <w:rPr>
          <w:rFonts w:hint="eastAsia" w:ascii="宋体" w:hAnsi="宋体"/>
          <w:spacing w:val="10"/>
          <w:sz w:val="24"/>
        </w:rPr>
        <w:t>估价对象权属证明复印件</w:t>
      </w:r>
    </w:p>
    <w:p>
      <w:pPr>
        <w:numPr>
          <w:ilvl w:val="0"/>
          <w:numId w:val="2"/>
        </w:numPr>
        <w:spacing w:line="560" w:lineRule="exact"/>
        <w:ind w:left="942"/>
        <w:rPr>
          <w:rFonts w:ascii="宋体" w:hAnsi="宋体"/>
          <w:spacing w:val="10"/>
          <w:sz w:val="24"/>
        </w:rPr>
      </w:pPr>
      <w:r>
        <w:rPr>
          <w:rFonts w:hint="eastAsia" w:ascii="宋体" w:hAnsi="宋体"/>
          <w:spacing w:val="10"/>
          <w:sz w:val="24"/>
        </w:rPr>
        <w:t>房地产估价机构备案证书复印件</w:t>
      </w:r>
    </w:p>
    <w:p>
      <w:pPr>
        <w:numPr>
          <w:ilvl w:val="0"/>
          <w:numId w:val="2"/>
        </w:numPr>
        <w:spacing w:line="560" w:lineRule="exact"/>
        <w:ind w:left="942"/>
        <w:rPr>
          <w:rFonts w:ascii="宋体" w:hAnsi="宋体"/>
          <w:spacing w:val="10"/>
          <w:sz w:val="24"/>
        </w:rPr>
      </w:pPr>
      <w:r>
        <w:rPr>
          <w:rFonts w:hint="eastAsia" w:ascii="宋体" w:hAnsi="宋体"/>
          <w:spacing w:val="10"/>
          <w:sz w:val="24"/>
        </w:rPr>
        <w:t>房地产估价机构企业法人营业执照复印件</w:t>
      </w:r>
    </w:p>
    <w:p>
      <w:pPr>
        <w:numPr>
          <w:ilvl w:val="0"/>
          <w:numId w:val="2"/>
        </w:numPr>
        <w:spacing w:line="560" w:lineRule="exact"/>
        <w:ind w:left="942"/>
        <w:rPr>
          <w:rFonts w:ascii="宋体" w:hAnsi="宋体"/>
          <w:spacing w:val="10"/>
          <w:sz w:val="24"/>
        </w:rPr>
      </w:pPr>
      <w:r>
        <w:rPr>
          <w:rFonts w:hint="eastAsia" w:ascii="宋体" w:hAnsi="宋体"/>
          <w:spacing w:val="10"/>
          <w:sz w:val="24"/>
        </w:rPr>
        <w:t>注册房地产估价师注册证书复印件</w:t>
      </w:r>
    </w:p>
    <w:p>
      <w:pPr>
        <w:pStyle w:val="3"/>
        <w:keepNext w:val="0"/>
        <w:spacing w:beforeLines="100" w:afterLines="100" w:line="560" w:lineRule="exact"/>
        <w:ind w:left="0" w:firstLine="0"/>
        <w:rPr>
          <w:rFonts w:ascii="宋体" w:hAnsi="宋体"/>
          <w:spacing w:val="10"/>
          <w:sz w:val="24"/>
        </w:rPr>
      </w:pPr>
    </w:p>
    <w:p/>
    <w:p/>
    <w:p/>
    <w:p/>
    <w:p/>
    <w:p/>
    <w:p/>
    <w:p/>
    <w:p/>
    <w:p/>
    <w:p/>
    <w:p/>
    <w:p/>
    <w:p/>
    <w:p/>
    <w:p/>
    <w:p/>
    <w:p/>
    <w:p/>
    <w:p/>
    <w:p/>
    <w:p/>
    <w:p/>
    <w:p/>
    <w:p/>
    <w:p/>
    <w:p>
      <w:bookmarkStart w:id="0" w:name="_GoBack"/>
      <w:bookmarkEnd w:id="0"/>
    </w:p>
    <w:p/>
    <w:sectPr>
      <w:headerReference r:id="rId3" w:type="default"/>
      <w:footerReference r:id="rId4" w:type="default"/>
      <w:pgSz w:w="11906" w:h="16838"/>
      <w:pgMar w:top="1134" w:right="1089" w:bottom="1134" w:left="1797"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roman"/>
    <w:pitch w:val="default"/>
    <w:sig w:usb0="E00006FF" w:usb1="4000045F" w:usb2="00000000" w:usb3="00000000" w:csb0="2000019F"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MS Sans Serif">
    <w:altName w:val="Arial"/>
    <w:panose1 w:val="00000000000000000000"/>
    <w:charset w:val="00"/>
    <w:family w:val="auto"/>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0000009F" w:csb1="00000000"/>
  </w:font>
  <w:font w:name="楷体_GB2312">
    <w:altName w:val="楷体"/>
    <w:panose1 w:val="00000000000000000000"/>
    <w:charset w:val="86"/>
    <w:family w:val="modern"/>
    <w:pitch w:val="default"/>
    <w:sig w:usb0="00000000" w:usb1="00000000" w:usb2="00000010" w:usb3="00000000" w:csb0="00040000" w:csb1="00000000"/>
  </w:font>
  <w:font w:name="昆仑楷体">
    <w:altName w:val="宋体"/>
    <w:panose1 w:val="00000000000000000000"/>
    <w:charset w:val="86"/>
    <w:family w:val="moder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幼圆">
    <w:altName w:val="宋体"/>
    <w:panose1 w:val="02010509060101010101"/>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PMingLiU">
    <w:altName w:val="PMingLiU-ExtB"/>
    <w:panose1 w:val="02020500000000000000"/>
    <w:charset w:val="88"/>
    <w:family w:val="roman"/>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firstLine="6300" w:firstLineChars="3500"/>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26</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26</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tabs>
        <w:tab w:val="left" w:pos="3180"/>
        <w:tab w:val="clear" w:pos="4153"/>
        <w:tab w:val="clear" w:pos="8306"/>
      </w:tabs>
      <w:ind w:left="-283" w:leftChars="-135"/>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tentative="0">
      <w:start w:val="1"/>
      <w:numFmt w:val="decimal"/>
      <w:lvlText w:val="%1."/>
      <w:lvlJc w:val="left"/>
      <w:pPr>
        <w:tabs>
          <w:tab w:val="left" w:pos="940"/>
        </w:tabs>
        <w:ind w:left="940" w:hanging="420"/>
      </w:pPr>
    </w:lvl>
    <w:lvl w:ilvl="1" w:tentative="0">
      <w:start w:val="1"/>
      <w:numFmt w:val="lowerLetter"/>
      <w:lvlText w:val="%2)"/>
      <w:lvlJc w:val="left"/>
      <w:pPr>
        <w:tabs>
          <w:tab w:val="left" w:pos="1360"/>
        </w:tabs>
        <w:ind w:left="1360" w:hanging="420"/>
      </w:pPr>
    </w:lvl>
    <w:lvl w:ilvl="2" w:tentative="0">
      <w:start w:val="1"/>
      <w:numFmt w:val="lowerRoman"/>
      <w:lvlText w:val="%3."/>
      <w:lvlJc w:val="right"/>
      <w:pPr>
        <w:tabs>
          <w:tab w:val="left" w:pos="1780"/>
        </w:tabs>
        <w:ind w:left="1780" w:hanging="420"/>
      </w:pPr>
    </w:lvl>
    <w:lvl w:ilvl="3" w:tentative="0">
      <w:start w:val="1"/>
      <w:numFmt w:val="decimal"/>
      <w:lvlText w:val="%4."/>
      <w:lvlJc w:val="left"/>
      <w:pPr>
        <w:tabs>
          <w:tab w:val="left" w:pos="2200"/>
        </w:tabs>
        <w:ind w:left="2200" w:hanging="420"/>
      </w:pPr>
    </w:lvl>
    <w:lvl w:ilvl="4" w:tentative="0">
      <w:start w:val="1"/>
      <w:numFmt w:val="lowerLetter"/>
      <w:lvlText w:val="%5)"/>
      <w:lvlJc w:val="left"/>
      <w:pPr>
        <w:tabs>
          <w:tab w:val="left" w:pos="2620"/>
        </w:tabs>
        <w:ind w:left="2620" w:hanging="420"/>
      </w:pPr>
    </w:lvl>
    <w:lvl w:ilvl="5" w:tentative="0">
      <w:start w:val="1"/>
      <w:numFmt w:val="lowerRoman"/>
      <w:lvlText w:val="%6."/>
      <w:lvlJc w:val="right"/>
      <w:pPr>
        <w:tabs>
          <w:tab w:val="left" w:pos="3040"/>
        </w:tabs>
        <w:ind w:left="3040" w:hanging="420"/>
      </w:pPr>
    </w:lvl>
    <w:lvl w:ilvl="6" w:tentative="0">
      <w:start w:val="1"/>
      <w:numFmt w:val="decimal"/>
      <w:lvlText w:val="%7."/>
      <w:lvlJc w:val="left"/>
      <w:pPr>
        <w:tabs>
          <w:tab w:val="left" w:pos="3460"/>
        </w:tabs>
        <w:ind w:left="3460" w:hanging="420"/>
      </w:pPr>
    </w:lvl>
    <w:lvl w:ilvl="7" w:tentative="0">
      <w:start w:val="1"/>
      <w:numFmt w:val="lowerLetter"/>
      <w:lvlText w:val="%8)"/>
      <w:lvlJc w:val="left"/>
      <w:pPr>
        <w:tabs>
          <w:tab w:val="left" w:pos="3880"/>
        </w:tabs>
        <w:ind w:left="3880" w:hanging="420"/>
      </w:pPr>
    </w:lvl>
    <w:lvl w:ilvl="8" w:tentative="0">
      <w:start w:val="1"/>
      <w:numFmt w:val="lowerRoman"/>
      <w:lvlText w:val="%9."/>
      <w:lvlJc w:val="right"/>
      <w:pPr>
        <w:tabs>
          <w:tab w:val="left" w:pos="4300"/>
        </w:tabs>
        <w:ind w:left="4300" w:hanging="420"/>
      </w:pPr>
    </w:lvl>
  </w:abstractNum>
  <w:abstractNum w:abstractNumId="1">
    <w:nsid w:val="00000008"/>
    <w:multiLevelType w:val="multilevel"/>
    <w:tmpl w:val="00000008"/>
    <w:lvl w:ilvl="0" w:tentative="0">
      <w:start w:val="1"/>
      <w:numFmt w:val="decimal"/>
      <w:lvlText w:val="%1."/>
      <w:lvlJc w:val="left"/>
      <w:pPr>
        <w:tabs>
          <w:tab w:val="left" w:pos="1460"/>
        </w:tabs>
        <w:ind w:left="1460" w:hanging="420"/>
      </w:pPr>
      <w:rPr>
        <w:rFonts w:hint="eastAsia"/>
      </w:rPr>
    </w:lvl>
    <w:lvl w:ilvl="1" w:tentative="0">
      <w:start w:val="1"/>
      <w:numFmt w:val="decimal"/>
      <w:lvlText w:val="%2."/>
      <w:lvlJc w:val="left"/>
      <w:pPr>
        <w:tabs>
          <w:tab w:val="left" w:pos="1360"/>
        </w:tabs>
        <w:ind w:left="1360" w:hanging="420"/>
      </w:pPr>
      <w:rPr>
        <w:rFonts w:hint="eastAsia"/>
      </w:rPr>
    </w:lvl>
    <w:lvl w:ilvl="2" w:tentative="0">
      <w:start w:val="1"/>
      <w:numFmt w:val="lowerRoman"/>
      <w:lvlText w:val="%3."/>
      <w:lvlJc w:val="right"/>
      <w:pPr>
        <w:tabs>
          <w:tab w:val="left" w:pos="1780"/>
        </w:tabs>
        <w:ind w:left="1780" w:hanging="420"/>
      </w:pPr>
    </w:lvl>
    <w:lvl w:ilvl="3" w:tentative="0">
      <w:start w:val="1"/>
      <w:numFmt w:val="decimal"/>
      <w:lvlText w:val="%4."/>
      <w:lvlJc w:val="left"/>
      <w:pPr>
        <w:tabs>
          <w:tab w:val="left" w:pos="2200"/>
        </w:tabs>
        <w:ind w:left="2200" w:hanging="420"/>
      </w:pPr>
    </w:lvl>
    <w:lvl w:ilvl="4" w:tentative="0">
      <w:start w:val="1"/>
      <w:numFmt w:val="lowerLetter"/>
      <w:lvlText w:val="%5)"/>
      <w:lvlJc w:val="left"/>
      <w:pPr>
        <w:tabs>
          <w:tab w:val="left" w:pos="2620"/>
        </w:tabs>
        <w:ind w:left="2620" w:hanging="420"/>
      </w:pPr>
    </w:lvl>
    <w:lvl w:ilvl="5" w:tentative="0">
      <w:start w:val="1"/>
      <w:numFmt w:val="lowerRoman"/>
      <w:lvlText w:val="%6."/>
      <w:lvlJc w:val="right"/>
      <w:pPr>
        <w:tabs>
          <w:tab w:val="left" w:pos="3040"/>
        </w:tabs>
        <w:ind w:left="3040" w:hanging="420"/>
      </w:pPr>
    </w:lvl>
    <w:lvl w:ilvl="6" w:tentative="0">
      <w:start w:val="1"/>
      <w:numFmt w:val="decimal"/>
      <w:lvlText w:val="%7."/>
      <w:lvlJc w:val="left"/>
      <w:pPr>
        <w:tabs>
          <w:tab w:val="left" w:pos="3460"/>
        </w:tabs>
        <w:ind w:left="3460" w:hanging="420"/>
      </w:pPr>
    </w:lvl>
    <w:lvl w:ilvl="7" w:tentative="0">
      <w:start w:val="1"/>
      <w:numFmt w:val="lowerLetter"/>
      <w:lvlText w:val="%8)"/>
      <w:lvlJc w:val="left"/>
      <w:pPr>
        <w:tabs>
          <w:tab w:val="left" w:pos="3880"/>
        </w:tabs>
        <w:ind w:left="3880" w:hanging="420"/>
      </w:pPr>
    </w:lvl>
    <w:lvl w:ilvl="8" w:tentative="0">
      <w:start w:val="1"/>
      <w:numFmt w:val="lowerRoman"/>
      <w:lvlText w:val="%9."/>
      <w:lvlJc w:val="right"/>
      <w:pPr>
        <w:tabs>
          <w:tab w:val="left" w:pos="4300"/>
        </w:tabs>
        <w:ind w:left="43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26C"/>
    <w:rsid w:val="00000B5F"/>
    <w:rsid w:val="00000B64"/>
    <w:rsid w:val="00000EDE"/>
    <w:rsid w:val="000010FB"/>
    <w:rsid w:val="00001524"/>
    <w:rsid w:val="00001E1A"/>
    <w:rsid w:val="00001E73"/>
    <w:rsid w:val="00002438"/>
    <w:rsid w:val="0000255B"/>
    <w:rsid w:val="00002C0B"/>
    <w:rsid w:val="00003F22"/>
    <w:rsid w:val="00004452"/>
    <w:rsid w:val="0000467C"/>
    <w:rsid w:val="00004810"/>
    <w:rsid w:val="00004B61"/>
    <w:rsid w:val="00004D1A"/>
    <w:rsid w:val="00004D1D"/>
    <w:rsid w:val="000053B7"/>
    <w:rsid w:val="00005959"/>
    <w:rsid w:val="00006FF2"/>
    <w:rsid w:val="000070A9"/>
    <w:rsid w:val="000070E6"/>
    <w:rsid w:val="00007310"/>
    <w:rsid w:val="00007570"/>
    <w:rsid w:val="00007661"/>
    <w:rsid w:val="00007868"/>
    <w:rsid w:val="00007AC6"/>
    <w:rsid w:val="000114A1"/>
    <w:rsid w:val="0001194D"/>
    <w:rsid w:val="00011BF0"/>
    <w:rsid w:val="0001254B"/>
    <w:rsid w:val="000128E7"/>
    <w:rsid w:val="00012CAE"/>
    <w:rsid w:val="00013F88"/>
    <w:rsid w:val="00014250"/>
    <w:rsid w:val="00014454"/>
    <w:rsid w:val="0001480A"/>
    <w:rsid w:val="000149F0"/>
    <w:rsid w:val="00014C1E"/>
    <w:rsid w:val="000155FD"/>
    <w:rsid w:val="000157BC"/>
    <w:rsid w:val="000158DF"/>
    <w:rsid w:val="00015AF4"/>
    <w:rsid w:val="00015EF8"/>
    <w:rsid w:val="00016644"/>
    <w:rsid w:val="00017720"/>
    <w:rsid w:val="0002010B"/>
    <w:rsid w:val="0002022D"/>
    <w:rsid w:val="000202C0"/>
    <w:rsid w:val="0002072D"/>
    <w:rsid w:val="000208F4"/>
    <w:rsid w:val="000211DD"/>
    <w:rsid w:val="00021551"/>
    <w:rsid w:val="00021EBA"/>
    <w:rsid w:val="0002207E"/>
    <w:rsid w:val="000220E1"/>
    <w:rsid w:val="0002235A"/>
    <w:rsid w:val="000228F2"/>
    <w:rsid w:val="000239E6"/>
    <w:rsid w:val="00023B71"/>
    <w:rsid w:val="000242AA"/>
    <w:rsid w:val="000242CC"/>
    <w:rsid w:val="00024941"/>
    <w:rsid w:val="000255B0"/>
    <w:rsid w:val="0002561F"/>
    <w:rsid w:val="000256AD"/>
    <w:rsid w:val="00025857"/>
    <w:rsid w:val="0002608A"/>
    <w:rsid w:val="000265D6"/>
    <w:rsid w:val="0002668C"/>
    <w:rsid w:val="00026928"/>
    <w:rsid w:val="00027835"/>
    <w:rsid w:val="000279AA"/>
    <w:rsid w:val="00030167"/>
    <w:rsid w:val="00030693"/>
    <w:rsid w:val="00031A49"/>
    <w:rsid w:val="00031F21"/>
    <w:rsid w:val="00032CA0"/>
    <w:rsid w:val="00033427"/>
    <w:rsid w:val="000335FF"/>
    <w:rsid w:val="00033D73"/>
    <w:rsid w:val="00033F2D"/>
    <w:rsid w:val="0003407B"/>
    <w:rsid w:val="00034BD6"/>
    <w:rsid w:val="000366E5"/>
    <w:rsid w:val="00037796"/>
    <w:rsid w:val="00040A57"/>
    <w:rsid w:val="00040CBD"/>
    <w:rsid w:val="00040F46"/>
    <w:rsid w:val="00041B88"/>
    <w:rsid w:val="00041FA1"/>
    <w:rsid w:val="00042579"/>
    <w:rsid w:val="00042E2D"/>
    <w:rsid w:val="00042F0A"/>
    <w:rsid w:val="00043771"/>
    <w:rsid w:val="00043A1F"/>
    <w:rsid w:val="00043DD9"/>
    <w:rsid w:val="00043EB9"/>
    <w:rsid w:val="0004635E"/>
    <w:rsid w:val="00046A4D"/>
    <w:rsid w:val="0004733E"/>
    <w:rsid w:val="0004752F"/>
    <w:rsid w:val="0004757F"/>
    <w:rsid w:val="000478E9"/>
    <w:rsid w:val="00047D54"/>
    <w:rsid w:val="00050832"/>
    <w:rsid w:val="00050845"/>
    <w:rsid w:val="00050F30"/>
    <w:rsid w:val="00051C44"/>
    <w:rsid w:val="0005254D"/>
    <w:rsid w:val="000527E7"/>
    <w:rsid w:val="00052BB8"/>
    <w:rsid w:val="00052EC3"/>
    <w:rsid w:val="000531E1"/>
    <w:rsid w:val="000532CC"/>
    <w:rsid w:val="00053C05"/>
    <w:rsid w:val="000549F6"/>
    <w:rsid w:val="0005512C"/>
    <w:rsid w:val="00055EA8"/>
    <w:rsid w:val="00055F65"/>
    <w:rsid w:val="00056B0A"/>
    <w:rsid w:val="0006043B"/>
    <w:rsid w:val="00060CC8"/>
    <w:rsid w:val="00061487"/>
    <w:rsid w:val="000620C5"/>
    <w:rsid w:val="00062268"/>
    <w:rsid w:val="00062730"/>
    <w:rsid w:val="00062A01"/>
    <w:rsid w:val="00063267"/>
    <w:rsid w:val="000632F3"/>
    <w:rsid w:val="0006351F"/>
    <w:rsid w:val="00063542"/>
    <w:rsid w:val="00063DDD"/>
    <w:rsid w:val="00064116"/>
    <w:rsid w:val="00064C98"/>
    <w:rsid w:val="00064D22"/>
    <w:rsid w:val="000664B1"/>
    <w:rsid w:val="00066588"/>
    <w:rsid w:val="00066CC8"/>
    <w:rsid w:val="000674A7"/>
    <w:rsid w:val="000679BE"/>
    <w:rsid w:val="00067C77"/>
    <w:rsid w:val="0007071E"/>
    <w:rsid w:val="0007161E"/>
    <w:rsid w:val="00072660"/>
    <w:rsid w:val="00072900"/>
    <w:rsid w:val="00072C67"/>
    <w:rsid w:val="00073949"/>
    <w:rsid w:val="0007466E"/>
    <w:rsid w:val="0007480E"/>
    <w:rsid w:val="00074832"/>
    <w:rsid w:val="00074978"/>
    <w:rsid w:val="000750E6"/>
    <w:rsid w:val="00075D68"/>
    <w:rsid w:val="00080197"/>
    <w:rsid w:val="00080254"/>
    <w:rsid w:val="000803F2"/>
    <w:rsid w:val="000806DB"/>
    <w:rsid w:val="00080823"/>
    <w:rsid w:val="00080E03"/>
    <w:rsid w:val="0008165D"/>
    <w:rsid w:val="000816C8"/>
    <w:rsid w:val="0008197B"/>
    <w:rsid w:val="0008284C"/>
    <w:rsid w:val="00082B5B"/>
    <w:rsid w:val="00082DFC"/>
    <w:rsid w:val="000832D1"/>
    <w:rsid w:val="0008452D"/>
    <w:rsid w:val="00084E1C"/>
    <w:rsid w:val="0008555D"/>
    <w:rsid w:val="00085C7A"/>
    <w:rsid w:val="00085EF2"/>
    <w:rsid w:val="00086DAC"/>
    <w:rsid w:val="00087250"/>
    <w:rsid w:val="000900CC"/>
    <w:rsid w:val="0009177B"/>
    <w:rsid w:val="000918E5"/>
    <w:rsid w:val="000930BD"/>
    <w:rsid w:val="000934FA"/>
    <w:rsid w:val="00093A6A"/>
    <w:rsid w:val="00093E84"/>
    <w:rsid w:val="000940A7"/>
    <w:rsid w:val="00094156"/>
    <w:rsid w:val="000949C3"/>
    <w:rsid w:val="00095436"/>
    <w:rsid w:val="00095ABB"/>
    <w:rsid w:val="00095E54"/>
    <w:rsid w:val="0009694E"/>
    <w:rsid w:val="00097663"/>
    <w:rsid w:val="00097BFE"/>
    <w:rsid w:val="00097F04"/>
    <w:rsid w:val="000A02C3"/>
    <w:rsid w:val="000A082A"/>
    <w:rsid w:val="000A106F"/>
    <w:rsid w:val="000A13F1"/>
    <w:rsid w:val="000A1C11"/>
    <w:rsid w:val="000A1F86"/>
    <w:rsid w:val="000A2BEC"/>
    <w:rsid w:val="000A2E65"/>
    <w:rsid w:val="000A3B80"/>
    <w:rsid w:val="000A3FCC"/>
    <w:rsid w:val="000A43E9"/>
    <w:rsid w:val="000A44F2"/>
    <w:rsid w:val="000A45F7"/>
    <w:rsid w:val="000A5187"/>
    <w:rsid w:val="000A518F"/>
    <w:rsid w:val="000A5AF0"/>
    <w:rsid w:val="000A61A6"/>
    <w:rsid w:val="000A6450"/>
    <w:rsid w:val="000A66C6"/>
    <w:rsid w:val="000A706D"/>
    <w:rsid w:val="000B0DD8"/>
    <w:rsid w:val="000B0FDD"/>
    <w:rsid w:val="000B1271"/>
    <w:rsid w:val="000B16E5"/>
    <w:rsid w:val="000B2628"/>
    <w:rsid w:val="000B27C5"/>
    <w:rsid w:val="000B3BB7"/>
    <w:rsid w:val="000B427C"/>
    <w:rsid w:val="000B5452"/>
    <w:rsid w:val="000B5B6A"/>
    <w:rsid w:val="000B5C2E"/>
    <w:rsid w:val="000B6E14"/>
    <w:rsid w:val="000B704F"/>
    <w:rsid w:val="000B7368"/>
    <w:rsid w:val="000B75AD"/>
    <w:rsid w:val="000B7CF7"/>
    <w:rsid w:val="000B7FCD"/>
    <w:rsid w:val="000C0100"/>
    <w:rsid w:val="000C2DA3"/>
    <w:rsid w:val="000C3B93"/>
    <w:rsid w:val="000C3C1D"/>
    <w:rsid w:val="000C4257"/>
    <w:rsid w:val="000C452A"/>
    <w:rsid w:val="000C5337"/>
    <w:rsid w:val="000C662B"/>
    <w:rsid w:val="000C762F"/>
    <w:rsid w:val="000D04E9"/>
    <w:rsid w:val="000D04EB"/>
    <w:rsid w:val="000D098F"/>
    <w:rsid w:val="000D1317"/>
    <w:rsid w:val="000D1455"/>
    <w:rsid w:val="000D15E0"/>
    <w:rsid w:val="000D1D7B"/>
    <w:rsid w:val="000D21A9"/>
    <w:rsid w:val="000D22E9"/>
    <w:rsid w:val="000D26AC"/>
    <w:rsid w:val="000D28A9"/>
    <w:rsid w:val="000D2A94"/>
    <w:rsid w:val="000D2B2D"/>
    <w:rsid w:val="000D2FAB"/>
    <w:rsid w:val="000D3039"/>
    <w:rsid w:val="000D3CE0"/>
    <w:rsid w:val="000D462E"/>
    <w:rsid w:val="000D4802"/>
    <w:rsid w:val="000D484C"/>
    <w:rsid w:val="000D4BD9"/>
    <w:rsid w:val="000D4E14"/>
    <w:rsid w:val="000D5681"/>
    <w:rsid w:val="000D5A2A"/>
    <w:rsid w:val="000D64A7"/>
    <w:rsid w:val="000D67BB"/>
    <w:rsid w:val="000D7344"/>
    <w:rsid w:val="000D76ED"/>
    <w:rsid w:val="000D7A00"/>
    <w:rsid w:val="000E01B7"/>
    <w:rsid w:val="000E0765"/>
    <w:rsid w:val="000E10CB"/>
    <w:rsid w:val="000E114D"/>
    <w:rsid w:val="000E1A9D"/>
    <w:rsid w:val="000E2152"/>
    <w:rsid w:val="000E2540"/>
    <w:rsid w:val="000E27AE"/>
    <w:rsid w:val="000E2CCC"/>
    <w:rsid w:val="000E2DE4"/>
    <w:rsid w:val="000E2E25"/>
    <w:rsid w:val="000E3DA8"/>
    <w:rsid w:val="000E3F95"/>
    <w:rsid w:val="000E4704"/>
    <w:rsid w:val="000E4DD7"/>
    <w:rsid w:val="000E61B3"/>
    <w:rsid w:val="000E6697"/>
    <w:rsid w:val="000E7974"/>
    <w:rsid w:val="000F0010"/>
    <w:rsid w:val="000F054E"/>
    <w:rsid w:val="000F091A"/>
    <w:rsid w:val="000F1D05"/>
    <w:rsid w:val="000F2378"/>
    <w:rsid w:val="000F2CEC"/>
    <w:rsid w:val="000F2F5D"/>
    <w:rsid w:val="000F318C"/>
    <w:rsid w:val="000F3E1D"/>
    <w:rsid w:val="000F4188"/>
    <w:rsid w:val="000F4B4B"/>
    <w:rsid w:val="000F4F9E"/>
    <w:rsid w:val="000F51B4"/>
    <w:rsid w:val="000F57A1"/>
    <w:rsid w:val="000F58FB"/>
    <w:rsid w:val="000F5B60"/>
    <w:rsid w:val="000F6186"/>
    <w:rsid w:val="000F7197"/>
    <w:rsid w:val="000F72C2"/>
    <w:rsid w:val="000F7814"/>
    <w:rsid w:val="000F7983"/>
    <w:rsid w:val="000F7A0B"/>
    <w:rsid w:val="00100B36"/>
    <w:rsid w:val="001010F7"/>
    <w:rsid w:val="00101682"/>
    <w:rsid w:val="00101721"/>
    <w:rsid w:val="00101899"/>
    <w:rsid w:val="00101A24"/>
    <w:rsid w:val="0010204B"/>
    <w:rsid w:val="001020F3"/>
    <w:rsid w:val="001030CA"/>
    <w:rsid w:val="001040D8"/>
    <w:rsid w:val="0010455C"/>
    <w:rsid w:val="00104807"/>
    <w:rsid w:val="00104967"/>
    <w:rsid w:val="00104E90"/>
    <w:rsid w:val="00105D94"/>
    <w:rsid w:val="001070A8"/>
    <w:rsid w:val="0011076F"/>
    <w:rsid w:val="00110B0F"/>
    <w:rsid w:val="00110C3D"/>
    <w:rsid w:val="001113B9"/>
    <w:rsid w:val="001116A8"/>
    <w:rsid w:val="00111CE5"/>
    <w:rsid w:val="00112774"/>
    <w:rsid w:val="00112D2F"/>
    <w:rsid w:val="001132F0"/>
    <w:rsid w:val="001151E2"/>
    <w:rsid w:val="0011721A"/>
    <w:rsid w:val="00117849"/>
    <w:rsid w:val="00117AD5"/>
    <w:rsid w:val="00117C59"/>
    <w:rsid w:val="00117CDC"/>
    <w:rsid w:val="00120F02"/>
    <w:rsid w:val="00121050"/>
    <w:rsid w:val="00121059"/>
    <w:rsid w:val="00121C85"/>
    <w:rsid w:val="001229FF"/>
    <w:rsid w:val="001232D5"/>
    <w:rsid w:val="00123797"/>
    <w:rsid w:val="00123812"/>
    <w:rsid w:val="0012385E"/>
    <w:rsid w:val="0012398B"/>
    <w:rsid w:val="00124C11"/>
    <w:rsid w:val="00124FEA"/>
    <w:rsid w:val="00124FF7"/>
    <w:rsid w:val="001260B8"/>
    <w:rsid w:val="0013116B"/>
    <w:rsid w:val="001315E4"/>
    <w:rsid w:val="001315F4"/>
    <w:rsid w:val="00131E8D"/>
    <w:rsid w:val="00131F19"/>
    <w:rsid w:val="00132339"/>
    <w:rsid w:val="00132769"/>
    <w:rsid w:val="00132C10"/>
    <w:rsid w:val="00132CB8"/>
    <w:rsid w:val="001338C3"/>
    <w:rsid w:val="00133C57"/>
    <w:rsid w:val="00134556"/>
    <w:rsid w:val="001349CC"/>
    <w:rsid w:val="00134AE3"/>
    <w:rsid w:val="0013516F"/>
    <w:rsid w:val="00135585"/>
    <w:rsid w:val="00135929"/>
    <w:rsid w:val="00135E1D"/>
    <w:rsid w:val="00136647"/>
    <w:rsid w:val="001369E1"/>
    <w:rsid w:val="00136CD7"/>
    <w:rsid w:val="00137634"/>
    <w:rsid w:val="001377CB"/>
    <w:rsid w:val="00140788"/>
    <w:rsid w:val="0014148A"/>
    <w:rsid w:val="001416C7"/>
    <w:rsid w:val="00141710"/>
    <w:rsid w:val="00141B7E"/>
    <w:rsid w:val="00141B83"/>
    <w:rsid w:val="00141F4B"/>
    <w:rsid w:val="00142027"/>
    <w:rsid w:val="00142163"/>
    <w:rsid w:val="00142407"/>
    <w:rsid w:val="00142925"/>
    <w:rsid w:val="00142A1A"/>
    <w:rsid w:val="001432E3"/>
    <w:rsid w:val="00143714"/>
    <w:rsid w:val="001438D1"/>
    <w:rsid w:val="00143AC3"/>
    <w:rsid w:val="00143B0D"/>
    <w:rsid w:val="001441BF"/>
    <w:rsid w:val="00144E97"/>
    <w:rsid w:val="0014536C"/>
    <w:rsid w:val="00145802"/>
    <w:rsid w:val="001462D9"/>
    <w:rsid w:val="00146822"/>
    <w:rsid w:val="00146FD7"/>
    <w:rsid w:val="00147874"/>
    <w:rsid w:val="0014788E"/>
    <w:rsid w:val="001478C6"/>
    <w:rsid w:val="001479EB"/>
    <w:rsid w:val="00147AC6"/>
    <w:rsid w:val="00147BE4"/>
    <w:rsid w:val="00151027"/>
    <w:rsid w:val="001510EB"/>
    <w:rsid w:val="00151383"/>
    <w:rsid w:val="0015388F"/>
    <w:rsid w:val="00153BD5"/>
    <w:rsid w:val="00153C2F"/>
    <w:rsid w:val="00153E6F"/>
    <w:rsid w:val="0015444B"/>
    <w:rsid w:val="00154BC5"/>
    <w:rsid w:val="00155043"/>
    <w:rsid w:val="00155721"/>
    <w:rsid w:val="00155E6C"/>
    <w:rsid w:val="00156720"/>
    <w:rsid w:val="00156AD3"/>
    <w:rsid w:val="00156E70"/>
    <w:rsid w:val="001571ED"/>
    <w:rsid w:val="0015791F"/>
    <w:rsid w:val="001601E1"/>
    <w:rsid w:val="00160204"/>
    <w:rsid w:val="00160260"/>
    <w:rsid w:val="001603F7"/>
    <w:rsid w:val="00160788"/>
    <w:rsid w:val="0016154F"/>
    <w:rsid w:val="0016187E"/>
    <w:rsid w:val="00162AD6"/>
    <w:rsid w:val="0016464F"/>
    <w:rsid w:val="001646B6"/>
    <w:rsid w:val="00164D7C"/>
    <w:rsid w:val="00164EB2"/>
    <w:rsid w:val="00165AD3"/>
    <w:rsid w:val="00166432"/>
    <w:rsid w:val="00166B96"/>
    <w:rsid w:val="001672C7"/>
    <w:rsid w:val="00167894"/>
    <w:rsid w:val="00167C83"/>
    <w:rsid w:val="00170A4C"/>
    <w:rsid w:val="001724F2"/>
    <w:rsid w:val="001729B9"/>
    <w:rsid w:val="001729F2"/>
    <w:rsid w:val="00172A27"/>
    <w:rsid w:val="00172E1B"/>
    <w:rsid w:val="00173049"/>
    <w:rsid w:val="001743E8"/>
    <w:rsid w:val="0017514E"/>
    <w:rsid w:val="0017578C"/>
    <w:rsid w:val="00175955"/>
    <w:rsid w:val="001768B6"/>
    <w:rsid w:val="00176FAA"/>
    <w:rsid w:val="001771D4"/>
    <w:rsid w:val="00177B18"/>
    <w:rsid w:val="00180656"/>
    <w:rsid w:val="0018137F"/>
    <w:rsid w:val="00181FD5"/>
    <w:rsid w:val="00183085"/>
    <w:rsid w:val="001839A3"/>
    <w:rsid w:val="001839C4"/>
    <w:rsid w:val="00183BD8"/>
    <w:rsid w:val="00183D21"/>
    <w:rsid w:val="00184791"/>
    <w:rsid w:val="001851E3"/>
    <w:rsid w:val="00185FC4"/>
    <w:rsid w:val="0018617A"/>
    <w:rsid w:val="001864FB"/>
    <w:rsid w:val="0018653D"/>
    <w:rsid w:val="00186FC1"/>
    <w:rsid w:val="001871DF"/>
    <w:rsid w:val="001871E2"/>
    <w:rsid w:val="0018728B"/>
    <w:rsid w:val="001874C3"/>
    <w:rsid w:val="001877EC"/>
    <w:rsid w:val="00190033"/>
    <w:rsid w:val="0019035B"/>
    <w:rsid w:val="00190A3D"/>
    <w:rsid w:val="0019156B"/>
    <w:rsid w:val="001917E6"/>
    <w:rsid w:val="00191844"/>
    <w:rsid w:val="0019284A"/>
    <w:rsid w:val="001934DE"/>
    <w:rsid w:val="001938C2"/>
    <w:rsid w:val="00193E6C"/>
    <w:rsid w:val="00194B86"/>
    <w:rsid w:val="00195254"/>
    <w:rsid w:val="0019550A"/>
    <w:rsid w:val="00197537"/>
    <w:rsid w:val="001A062C"/>
    <w:rsid w:val="001A07F2"/>
    <w:rsid w:val="001A0879"/>
    <w:rsid w:val="001A0C2C"/>
    <w:rsid w:val="001A352E"/>
    <w:rsid w:val="001A3F00"/>
    <w:rsid w:val="001A4104"/>
    <w:rsid w:val="001A4E05"/>
    <w:rsid w:val="001A557D"/>
    <w:rsid w:val="001A5B28"/>
    <w:rsid w:val="001A5F7F"/>
    <w:rsid w:val="001A632E"/>
    <w:rsid w:val="001A6A3F"/>
    <w:rsid w:val="001A6A5C"/>
    <w:rsid w:val="001A6EB4"/>
    <w:rsid w:val="001A745E"/>
    <w:rsid w:val="001A7463"/>
    <w:rsid w:val="001A7736"/>
    <w:rsid w:val="001A776D"/>
    <w:rsid w:val="001A79BC"/>
    <w:rsid w:val="001A7A69"/>
    <w:rsid w:val="001B03AE"/>
    <w:rsid w:val="001B091E"/>
    <w:rsid w:val="001B093F"/>
    <w:rsid w:val="001B0F6B"/>
    <w:rsid w:val="001B184C"/>
    <w:rsid w:val="001B18DC"/>
    <w:rsid w:val="001B1D32"/>
    <w:rsid w:val="001B1E6F"/>
    <w:rsid w:val="001B2740"/>
    <w:rsid w:val="001B31E2"/>
    <w:rsid w:val="001B3205"/>
    <w:rsid w:val="001B33CF"/>
    <w:rsid w:val="001B4DFE"/>
    <w:rsid w:val="001B5BDD"/>
    <w:rsid w:val="001B5E5E"/>
    <w:rsid w:val="001B6230"/>
    <w:rsid w:val="001B67A3"/>
    <w:rsid w:val="001B683F"/>
    <w:rsid w:val="001B6A67"/>
    <w:rsid w:val="001B735C"/>
    <w:rsid w:val="001B737A"/>
    <w:rsid w:val="001B7395"/>
    <w:rsid w:val="001B74B4"/>
    <w:rsid w:val="001B7661"/>
    <w:rsid w:val="001B7DB2"/>
    <w:rsid w:val="001B7E00"/>
    <w:rsid w:val="001C05CD"/>
    <w:rsid w:val="001C0853"/>
    <w:rsid w:val="001C0C69"/>
    <w:rsid w:val="001C1282"/>
    <w:rsid w:val="001C1719"/>
    <w:rsid w:val="001C24E7"/>
    <w:rsid w:val="001C38BF"/>
    <w:rsid w:val="001C3B96"/>
    <w:rsid w:val="001C3CDA"/>
    <w:rsid w:val="001C3EE7"/>
    <w:rsid w:val="001C615B"/>
    <w:rsid w:val="001C7C3A"/>
    <w:rsid w:val="001D041A"/>
    <w:rsid w:val="001D09FA"/>
    <w:rsid w:val="001D1002"/>
    <w:rsid w:val="001D1DF1"/>
    <w:rsid w:val="001D1F5E"/>
    <w:rsid w:val="001D3E80"/>
    <w:rsid w:val="001D42EF"/>
    <w:rsid w:val="001D45A8"/>
    <w:rsid w:val="001D70A0"/>
    <w:rsid w:val="001D716A"/>
    <w:rsid w:val="001D72B9"/>
    <w:rsid w:val="001D75A7"/>
    <w:rsid w:val="001E11FA"/>
    <w:rsid w:val="001E1327"/>
    <w:rsid w:val="001E14F3"/>
    <w:rsid w:val="001E171C"/>
    <w:rsid w:val="001E1E81"/>
    <w:rsid w:val="001E2F6D"/>
    <w:rsid w:val="001E39A8"/>
    <w:rsid w:val="001E46DA"/>
    <w:rsid w:val="001E4CEF"/>
    <w:rsid w:val="001E4DB7"/>
    <w:rsid w:val="001E5501"/>
    <w:rsid w:val="001E5566"/>
    <w:rsid w:val="001E5605"/>
    <w:rsid w:val="001E5C80"/>
    <w:rsid w:val="001E6717"/>
    <w:rsid w:val="001E695A"/>
    <w:rsid w:val="001E73AA"/>
    <w:rsid w:val="001E76B0"/>
    <w:rsid w:val="001F0ABE"/>
    <w:rsid w:val="001F0C5C"/>
    <w:rsid w:val="001F0EE3"/>
    <w:rsid w:val="001F1016"/>
    <w:rsid w:val="001F153B"/>
    <w:rsid w:val="001F1E2C"/>
    <w:rsid w:val="001F1ED5"/>
    <w:rsid w:val="001F26C7"/>
    <w:rsid w:val="001F2A05"/>
    <w:rsid w:val="001F42C2"/>
    <w:rsid w:val="001F53C3"/>
    <w:rsid w:val="001F5A31"/>
    <w:rsid w:val="001F5D4E"/>
    <w:rsid w:val="001F6AA7"/>
    <w:rsid w:val="001F7DB0"/>
    <w:rsid w:val="002003E1"/>
    <w:rsid w:val="00200C83"/>
    <w:rsid w:val="00200F91"/>
    <w:rsid w:val="00201160"/>
    <w:rsid w:val="0020121C"/>
    <w:rsid w:val="0020222D"/>
    <w:rsid w:val="002027DB"/>
    <w:rsid w:val="00202DAB"/>
    <w:rsid w:val="002047D5"/>
    <w:rsid w:val="00205243"/>
    <w:rsid w:val="002052CC"/>
    <w:rsid w:val="002057CE"/>
    <w:rsid w:val="002070B7"/>
    <w:rsid w:val="00210808"/>
    <w:rsid w:val="00210FAA"/>
    <w:rsid w:val="00210FCE"/>
    <w:rsid w:val="00211F63"/>
    <w:rsid w:val="0021229F"/>
    <w:rsid w:val="00212C7E"/>
    <w:rsid w:val="00212D6D"/>
    <w:rsid w:val="00212FBF"/>
    <w:rsid w:val="0021348A"/>
    <w:rsid w:val="002139A6"/>
    <w:rsid w:val="00213AF4"/>
    <w:rsid w:val="00214126"/>
    <w:rsid w:val="0021416E"/>
    <w:rsid w:val="002162C5"/>
    <w:rsid w:val="002166B4"/>
    <w:rsid w:val="002172AF"/>
    <w:rsid w:val="002175AF"/>
    <w:rsid w:val="00217CA3"/>
    <w:rsid w:val="00220014"/>
    <w:rsid w:val="0022085F"/>
    <w:rsid w:val="002215A6"/>
    <w:rsid w:val="002222D8"/>
    <w:rsid w:val="0022279A"/>
    <w:rsid w:val="00222AB1"/>
    <w:rsid w:val="00222CBF"/>
    <w:rsid w:val="002232FF"/>
    <w:rsid w:val="00223406"/>
    <w:rsid w:val="00223794"/>
    <w:rsid w:val="002239F0"/>
    <w:rsid w:val="00223BF9"/>
    <w:rsid w:val="00224105"/>
    <w:rsid w:val="002241C3"/>
    <w:rsid w:val="002255A0"/>
    <w:rsid w:val="00225981"/>
    <w:rsid w:val="002261A0"/>
    <w:rsid w:val="00226267"/>
    <w:rsid w:val="00226392"/>
    <w:rsid w:val="002264D5"/>
    <w:rsid w:val="00226788"/>
    <w:rsid w:val="00226883"/>
    <w:rsid w:val="002268D9"/>
    <w:rsid w:val="00226A76"/>
    <w:rsid w:val="00226B03"/>
    <w:rsid w:val="002274B8"/>
    <w:rsid w:val="00230AFF"/>
    <w:rsid w:val="00230C6D"/>
    <w:rsid w:val="0023116B"/>
    <w:rsid w:val="00231502"/>
    <w:rsid w:val="002316E7"/>
    <w:rsid w:val="00231AD6"/>
    <w:rsid w:val="00231B5F"/>
    <w:rsid w:val="00232289"/>
    <w:rsid w:val="00232449"/>
    <w:rsid w:val="00232644"/>
    <w:rsid w:val="00232B3F"/>
    <w:rsid w:val="00232B5A"/>
    <w:rsid w:val="0023320D"/>
    <w:rsid w:val="0023356B"/>
    <w:rsid w:val="00235306"/>
    <w:rsid w:val="002359BF"/>
    <w:rsid w:val="00235EA2"/>
    <w:rsid w:val="00235FF5"/>
    <w:rsid w:val="002361F5"/>
    <w:rsid w:val="002363B3"/>
    <w:rsid w:val="002366A9"/>
    <w:rsid w:val="00236D90"/>
    <w:rsid w:val="00237224"/>
    <w:rsid w:val="0023739E"/>
    <w:rsid w:val="00241476"/>
    <w:rsid w:val="00242650"/>
    <w:rsid w:val="00242C7A"/>
    <w:rsid w:val="002432E8"/>
    <w:rsid w:val="00243538"/>
    <w:rsid w:val="00243656"/>
    <w:rsid w:val="00243D96"/>
    <w:rsid w:val="002442F5"/>
    <w:rsid w:val="00244663"/>
    <w:rsid w:val="00244AD1"/>
    <w:rsid w:val="00244BA8"/>
    <w:rsid w:val="00244CE8"/>
    <w:rsid w:val="002453DB"/>
    <w:rsid w:val="002455E5"/>
    <w:rsid w:val="0024561E"/>
    <w:rsid w:val="00245E11"/>
    <w:rsid w:val="00246AA6"/>
    <w:rsid w:val="00247124"/>
    <w:rsid w:val="002478AF"/>
    <w:rsid w:val="00247917"/>
    <w:rsid w:val="00247F55"/>
    <w:rsid w:val="00250C4F"/>
    <w:rsid w:val="0025139B"/>
    <w:rsid w:val="002513BE"/>
    <w:rsid w:val="00251836"/>
    <w:rsid w:val="00252149"/>
    <w:rsid w:val="002524B6"/>
    <w:rsid w:val="00252812"/>
    <w:rsid w:val="00252A58"/>
    <w:rsid w:val="00252FC1"/>
    <w:rsid w:val="00253499"/>
    <w:rsid w:val="0025352A"/>
    <w:rsid w:val="00253E3A"/>
    <w:rsid w:val="00254420"/>
    <w:rsid w:val="00254E4C"/>
    <w:rsid w:val="00255BB4"/>
    <w:rsid w:val="00256303"/>
    <w:rsid w:val="002574A4"/>
    <w:rsid w:val="0025764F"/>
    <w:rsid w:val="002576EA"/>
    <w:rsid w:val="002577DF"/>
    <w:rsid w:val="00260911"/>
    <w:rsid w:val="00262011"/>
    <w:rsid w:val="002627A2"/>
    <w:rsid w:val="00262D7E"/>
    <w:rsid w:val="00262E42"/>
    <w:rsid w:val="00263698"/>
    <w:rsid w:val="002638E9"/>
    <w:rsid w:val="00263994"/>
    <w:rsid w:val="00263A70"/>
    <w:rsid w:val="00263B4C"/>
    <w:rsid w:val="002641B1"/>
    <w:rsid w:val="002649A1"/>
    <w:rsid w:val="0026546E"/>
    <w:rsid w:val="002656D5"/>
    <w:rsid w:val="0026598C"/>
    <w:rsid w:val="00266831"/>
    <w:rsid w:val="00266EFF"/>
    <w:rsid w:val="0026703E"/>
    <w:rsid w:val="002678C1"/>
    <w:rsid w:val="0026796E"/>
    <w:rsid w:val="00267C0D"/>
    <w:rsid w:val="00267CE2"/>
    <w:rsid w:val="00267EA8"/>
    <w:rsid w:val="00270076"/>
    <w:rsid w:val="002721B7"/>
    <w:rsid w:val="0027269E"/>
    <w:rsid w:val="002731A0"/>
    <w:rsid w:val="0027368B"/>
    <w:rsid w:val="00273AA5"/>
    <w:rsid w:val="002741F6"/>
    <w:rsid w:val="00274272"/>
    <w:rsid w:val="002749D3"/>
    <w:rsid w:val="00274CE3"/>
    <w:rsid w:val="00275ACD"/>
    <w:rsid w:val="00275C61"/>
    <w:rsid w:val="00276EA7"/>
    <w:rsid w:val="00280E1A"/>
    <w:rsid w:val="00280E6D"/>
    <w:rsid w:val="002813AC"/>
    <w:rsid w:val="002816DA"/>
    <w:rsid w:val="00281A5E"/>
    <w:rsid w:val="00281B65"/>
    <w:rsid w:val="00281CCB"/>
    <w:rsid w:val="00281D6D"/>
    <w:rsid w:val="002826A6"/>
    <w:rsid w:val="00282D38"/>
    <w:rsid w:val="0028326E"/>
    <w:rsid w:val="0028361A"/>
    <w:rsid w:val="0028375C"/>
    <w:rsid w:val="00283E36"/>
    <w:rsid w:val="0028472F"/>
    <w:rsid w:val="00284748"/>
    <w:rsid w:val="00284CDE"/>
    <w:rsid w:val="002857F1"/>
    <w:rsid w:val="002862E0"/>
    <w:rsid w:val="002868E9"/>
    <w:rsid w:val="00287F00"/>
    <w:rsid w:val="00287F2B"/>
    <w:rsid w:val="00290252"/>
    <w:rsid w:val="00290912"/>
    <w:rsid w:val="00290FA7"/>
    <w:rsid w:val="00291009"/>
    <w:rsid w:val="00291419"/>
    <w:rsid w:val="00291AE9"/>
    <w:rsid w:val="00291B83"/>
    <w:rsid w:val="00291F26"/>
    <w:rsid w:val="00293849"/>
    <w:rsid w:val="00294024"/>
    <w:rsid w:val="002945E0"/>
    <w:rsid w:val="00294688"/>
    <w:rsid w:val="002951D9"/>
    <w:rsid w:val="002952DA"/>
    <w:rsid w:val="0029598B"/>
    <w:rsid w:val="00295A09"/>
    <w:rsid w:val="00296969"/>
    <w:rsid w:val="0029700D"/>
    <w:rsid w:val="002970B7"/>
    <w:rsid w:val="00297165"/>
    <w:rsid w:val="00297270"/>
    <w:rsid w:val="002972A1"/>
    <w:rsid w:val="00297C55"/>
    <w:rsid w:val="002A0158"/>
    <w:rsid w:val="002A0858"/>
    <w:rsid w:val="002A0A33"/>
    <w:rsid w:val="002A0F13"/>
    <w:rsid w:val="002A23EC"/>
    <w:rsid w:val="002A2844"/>
    <w:rsid w:val="002A28AD"/>
    <w:rsid w:val="002A3755"/>
    <w:rsid w:val="002A399C"/>
    <w:rsid w:val="002A3F8F"/>
    <w:rsid w:val="002A4CD8"/>
    <w:rsid w:val="002A4EF5"/>
    <w:rsid w:val="002A508F"/>
    <w:rsid w:val="002A56C2"/>
    <w:rsid w:val="002A6D58"/>
    <w:rsid w:val="002A7436"/>
    <w:rsid w:val="002B0198"/>
    <w:rsid w:val="002B02C3"/>
    <w:rsid w:val="002B03C7"/>
    <w:rsid w:val="002B1246"/>
    <w:rsid w:val="002B13FD"/>
    <w:rsid w:val="002B1943"/>
    <w:rsid w:val="002B216C"/>
    <w:rsid w:val="002B2381"/>
    <w:rsid w:val="002B2DF5"/>
    <w:rsid w:val="002B382A"/>
    <w:rsid w:val="002B3AF1"/>
    <w:rsid w:val="002B41A3"/>
    <w:rsid w:val="002B58EE"/>
    <w:rsid w:val="002B61E6"/>
    <w:rsid w:val="002B6214"/>
    <w:rsid w:val="002B6289"/>
    <w:rsid w:val="002B6986"/>
    <w:rsid w:val="002B6B01"/>
    <w:rsid w:val="002B6BF5"/>
    <w:rsid w:val="002B7B00"/>
    <w:rsid w:val="002B7C3E"/>
    <w:rsid w:val="002C0A8F"/>
    <w:rsid w:val="002C0CE7"/>
    <w:rsid w:val="002C0F7D"/>
    <w:rsid w:val="002C1141"/>
    <w:rsid w:val="002C13DE"/>
    <w:rsid w:val="002C16F4"/>
    <w:rsid w:val="002C2356"/>
    <w:rsid w:val="002C2B81"/>
    <w:rsid w:val="002C3A24"/>
    <w:rsid w:val="002C3DC1"/>
    <w:rsid w:val="002C3FD7"/>
    <w:rsid w:val="002C4E37"/>
    <w:rsid w:val="002C54C8"/>
    <w:rsid w:val="002C5951"/>
    <w:rsid w:val="002C5DDC"/>
    <w:rsid w:val="002C6010"/>
    <w:rsid w:val="002C6812"/>
    <w:rsid w:val="002C6A86"/>
    <w:rsid w:val="002C7946"/>
    <w:rsid w:val="002C79B5"/>
    <w:rsid w:val="002D05FB"/>
    <w:rsid w:val="002D1297"/>
    <w:rsid w:val="002D1383"/>
    <w:rsid w:val="002D17BD"/>
    <w:rsid w:val="002D181C"/>
    <w:rsid w:val="002D20AF"/>
    <w:rsid w:val="002D24EA"/>
    <w:rsid w:val="002D37CB"/>
    <w:rsid w:val="002D4617"/>
    <w:rsid w:val="002D479B"/>
    <w:rsid w:val="002D499E"/>
    <w:rsid w:val="002D5922"/>
    <w:rsid w:val="002D62AE"/>
    <w:rsid w:val="002D6591"/>
    <w:rsid w:val="002D69A1"/>
    <w:rsid w:val="002D7C2D"/>
    <w:rsid w:val="002D7CBA"/>
    <w:rsid w:val="002D7DC1"/>
    <w:rsid w:val="002E01D6"/>
    <w:rsid w:val="002E0270"/>
    <w:rsid w:val="002E07A0"/>
    <w:rsid w:val="002E0DD7"/>
    <w:rsid w:val="002E13FF"/>
    <w:rsid w:val="002E1457"/>
    <w:rsid w:val="002E16EE"/>
    <w:rsid w:val="002E1E61"/>
    <w:rsid w:val="002E2CE5"/>
    <w:rsid w:val="002E3253"/>
    <w:rsid w:val="002E3EFB"/>
    <w:rsid w:val="002E402B"/>
    <w:rsid w:val="002E476E"/>
    <w:rsid w:val="002E64AC"/>
    <w:rsid w:val="002E6E83"/>
    <w:rsid w:val="002E7BFD"/>
    <w:rsid w:val="002F07EE"/>
    <w:rsid w:val="002F0FC7"/>
    <w:rsid w:val="002F13C1"/>
    <w:rsid w:val="002F18CF"/>
    <w:rsid w:val="002F1BB5"/>
    <w:rsid w:val="002F25D5"/>
    <w:rsid w:val="002F2BC6"/>
    <w:rsid w:val="002F2E34"/>
    <w:rsid w:val="002F300D"/>
    <w:rsid w:val="002F3E1C"/>
    <w:rsid w:val="002F41E0"/>
    <w:rsid w:val="002F519D"/>
    <w:rsid w:val="002F5975"/>
    <w:rsid w:val="002F5A41"/>
    <w:rsid w:val="002F6F02"/>
    <w:rsid w:val="002F7071"/>
    <w:rsid w:val="002F71BE"/>
    <w:rsid w:val="002F7349"/>
    <w:rsid w:val="002F7EC2"/>
    <w:rsid w:val="002F7FA4"/>
    <w:rsid w:val="00300A5E"/>
    <w:rsid w:val="00300C4B"/>
    <w:rsid w:val="003011EC"/>
    <w:rsid w:val="003014FE"/>
    <w:rsid w:val="003016B6"/>
    <w:rsid w:val="0030191E"/>
    <w:rsid w:val="00302286"/>
    <w:rsid w:val="00302A8C"/>
    <w:rsid w:val="00302D78"/>
    <w:rsid w:val="00303278"/>
    <w:rsid w:val="0030383A"/>
    <w:rsid w:val="0030416B"/>
    <w:rsid w:val="00304CD3"/>
    <w:rsid w:val="00305343"/>
    <w:rsid w:val="00306A1F"/>
    <w:rsid w:val="00306B1D"/>
    <w:rsid w:val="00307582"/>
    <w:rsid w:val="00310A3F"/>
    <w:rsid w:val="00311097"/>
    <w:rsid w:val="00311907"/>
    <w:rsid w:val="00312041"/>
    <w:rsid w:val="00313DE2"/>
    <w:rsid w:val="0031486C"/>
    <w:rsid w:val="00314B7C"/>
    <w:rsid w:val="00315545"/>
    <w:rsid w:val="003158C5"/>
    <w:rsid w:val="00315B81"/>
    <w:rsid w:val="00315E70"/>
    <w:rsid w:val="00315F93"/>
    <w:rsid w:val="00315FCC"/>
    <w:rsid w:val="0031601F"/>
    <w:rsid w:val="003168F9"/>
    <w:rsid w:val="00316CDE"/>
    <w:rsid w:val="00317603"/>
    <w:rsid w:val="00317FA4"/>
    <w:rsid w:val="00317FD7"/>
    <w:rsid w:val="003204AE"/>
    <w:rsid w:val="00320574"/>
    <w:rsid w:val="00320D19"/>
    <w:rsid w:val="00321090"/>
    <w:rsid w:val="0032207A"/>
    <w:rsid w:val="00322307"/>
    <w:rsid w:val="00322641"/>
    <w:rsid w:val="003230BF"/>
    <w:rsid w:val="003239C9"/>
    <w:rsid w:val="00323A20"/>
    <w:rsid w:val="00323BD1"/>
    <w:rsid w:val="00323EF4"/>
    <w:rsid w:val="003245E0"/>
    <w:rsid w:val="003256FC"/>
    <w:rsid w:val="00326022"/>
    <w:rsid w:val="00326853"/>
    <w:rsid w:val="003269D4"/>
    <w:rsid w:val="003270C0"/>
    <w:rsid w:val="00327B0E"/>
    <w:rsid w:val="00327BFB"/>
    <w:rsid w:val="00330581"/>
    <w:rsid w:val="00330903"/>
    <w:rsid w:val="00330FDC"/>
    <w:rsid w:val="00331A23"/>
    <w:rsid w:val="00331B47"/>
    <w:rsid w:val="00331B49"/>
    <w:rsid w:val="00332074"/>
    <w:rsid w:val="003323DF"/>
    <w:rsid w:val="00332445"/>
    <w:rsid w:val="00332691"/>
    <w:rsid w:val="003331A3"/>
    <w:rsid w:val="00333A88"/>
    <w:rsid w:val="00333AF3"/>
    <w:rsid w:val="00333CE4"/>
    <w:rsid w:val="003342A0"/>
    <w:rsid w:val="00334EF8"/>
    <w:rsid w:val="003352D3"/>
    <w:rsid w:val="003356D7"/>
    <w:rsid w:val="003363C4"/>
    <w:rsid w:val="00337D35"/>
    <w:rsid w:val="00340D81"/>
    <w:rsid w:val="00341A0B"/>
    <w:rsid w:val="00341BDE"/>
    <w:rsid w:val="00341DC7"/>
    <w:rsid w:val="003430A1"/>
    <w:rsid w:val="003439BE"/>
    <w:rsid w:val="00343B5D"/>
    <w:rsid w:val="00343ED9"/>
    <w:rsid w:val="003444D4"/>
    <w:rsid w:val="00344E14"/>
    <w:rsid w:val="0034567A"/>
    <w:rsid w:val="00345B03"/>
    <w:rsid w:val="00345C95"/>
    <w:rsid w:val="003465B6"/>
    <w:rsid w:val="00346B4F"/>
    <w:rsid w:val="00346C72"/>
    <w:rsid w:val="00346D8C"/>
    <w:rsid w:val="00347C50"/>
    <w:rsid w:val="00347F8E"/>
    <w:rsid w:val="00350159"/>
    <w:rsid w:val="0035032C"/>
    <w:rsid w:val="003515B4"/>
    <w:rsid w:val="0035166A"/>
    <w:rsid w:val="0035177D"/>
    <w:rsid w:val="00351EBC"/>
    <w:rsid w:val="00352730"/>
    <w:rsid w:val="0035462C"/>
    <w:rsid w:val="00354C58"/>
    <w:rsid w:val="00354EAB"/>
    <w:rsid w:val="003554AE"/>
    <w:rsid w:val="003560E5"/>
    <w:rsid w:val="00356370"/>
    <w:rsid w:val="00356378"/>
    <w:rsid w:val="0035691C"/>
    <w:rsid w:val="0035693F"/>
    <w:rsid w:val="00356C79"/>
    <w:rsid w:val="00356DA6"/>
    <w:rsid w:val="00356EA8"/>
    <w:rsid w:val="0036107A"/>
    <w:rsid w:val="0036152A"/>
    <w:rsid w:val="00361A12"/>
    <w:rsid w:val="00362287"/>
    <w:rsid w:val="00362892"/>
    <w:rsid w:val="003628B2"/>
    <w:rsid w:val="00362B8D"/>
    <w:rsid w:val="00362FFA"/>
    <w:rsid w:val="00363239"/>
    <w:rsid w:val="0036329F"/>
    <w:rsid w:val="00363670"/>
    <w:rsid w:val="00363887"/>
    <w:rsid w:val="00364051"/>
    <w:rsid w:val="00364710"/>
    <w:rsid w:val="003649CA"/>
    <w:rsid w:val="00364F32"/>
    <w:rsid w:val="00365199"/>
    <w:rsid w:val="0036589B"/>
    <w:rsid w:val="003668D8"/>
    <w:rsid w:val="00366A02"/>
    <w:rsid w:val="00366BC6"/>
    <w:rsid w:val="00366E14"/>
    <w:rsid w:val="003679FB"/>
    <w:rsid w:val="00370AB9"/>
    <w:rsid w:val="00370E11"/>
    <w:rsid w:val="00370FD3"/>
    <w:rsid w:val="003712D5"/>
    <w:rsid w:val="00371CA2"/>
    <w:rsid w:val="0037248C"/>
    <w:rsid w:val="00372493"/>
    <w:rsid w:val="0037378F"/>
    <w:rsid w:val="0037431F"/>
    <w:rsid w:val="00374D86"/>
    <w:rsid w:val="003753B8"/>
    <w:rsid w:val="003758AD"/>
    <w:rsid w:val="00375D3C"/>
    <w:rsid w:val="00375F76"/>
    <w:rsid w:val="00375FAA"/>
    <w:rsid w:val="00376397"/>
    <w:rsid w:val="0037679A"/>
    <w:rsid w:val="00376D50"/>
    <w:rsid w:val="00377232"/>
    <w:rsid w:val="00377255"/>
    <w:rsid w:val="00377BAB"/>
    <w:rsid w:val="00380BD8"/>
    <w:rsid w:val="00381AA8"/>
    <w:rsid w:val="00381B70"/>
    <w:rsid w:val="00382D94"/>
    <w:rsid w:val="00383A9D"/>
    <w:rsid w:val="00383E41"/>
    <w:rsid w:val="003841A4"/>
    <w:rsid w:val="00384BD1"/>
    <w:rsid w:val="003851A1"/>
    <w:rsid w:val="00386530"/>
    <w:rsid w:val="00386A63"/>
    <w:rsid w:val="00386D22"/>
    <w:rsid w:val="003871B7"/>
    <w:rsid w:val="003872E4"/>
    <w:rsid w:val="003877FC"/>
    <w:rsid w:val="00387912"/>
    <w:rsid w:val="00390A28"/>
    <w:rsid w:val="003910E0"/>
    <w:rsid w:val="003918B7"/>
    <w:rsid w:val="00392487"/>
    <w:rsid w:val="00392522"/>
    <w:rsid w:val="003934CA"/>
    <w:rsid w:val="00393506"/>
    <w:rsid w:val="00394611"/>
    <w:rsid w:val="00394D76"/>
    <w:rsid w:val="0039515D"/>
    <w:rsid w:val="0039561F"/>
    <w:rsid w:val="00395FCC"/>
    <w:rsid w:val="0039679C"/>
    <w:rsid w:val="00396ACB"/>
    <w:rsid w:val="0039780F"/>
    <w:rsid w:val="00397819"/>
    <w:rsid w:val="00397869"/>
    <w:rsid w:val="00397B75"/>
    <w:rsid w:val="00397E86"/>
    <w:rsid w:val="003A11A5"/>
    <w:rsid w:val="003A11E5"/>
    <w:rsid w:val="003A1DCF"/>
    <w:rsid w:val="003A3BD4"/>
    <w:rsid w:val="003A3C57"/>
    <w:rsid w:val="003A443B"/>
    <w:rsid w:val="003A58F2"/>
    <w:rsid w:val="003A62DC"/>
    <w:rsid w:val="003A63E4"/>
    <w:rsid w:val="003A6E63"/>
    <w:rsid w:val="003A6F64"/>
    <w:rsid w:val="003A70D6"/>
    <w:rsid w:val="003A7B4A"/>
    <w:rsid w:val="003B01E4"/>
    <w:rsid w:val="003B1247"/>
    <w:rsid w:val="003B164D"/>
    <w:rsid w:val="003B1A24"/>
    <w:rsid w:val="003B24EA"/>
    <w:rsid w:val="003B26C1"/>
    <w:rsid w:val="003B3144"/>
    <w:rsid w:val="003B36EC"/>
    <w:rsid w:val="003B3B2F"/>
    <w:rsid w:val="003B3E84"/>
    <w:rsid w:val="003B4550"/>
    <w:rsid w:val="003B4A48"/>
    <w:rsid w:val="003B4A9F"/>
    <w:rsid w:val="003B4BA9"/>
    <w:rsid w:val="003B543B"/>
    <w:rsid w:val="003B5626"/>
    <w:rsid w:val="003B5DF7"/>
    <w:rsid w:val="003B625A"/>
    <w:rsid w:val="003B68CE"/>
    <w:rsid w:val="003B6D79"/>
    <w:rsid w:val="003B6E17"/>
    <w:rsid w:val="003B7F4C"/>
    <w:rsid w:val="003C026C"/>
    <w:rsid w:val="003C0F02"/>
    <w:rsid w:val="003C0F91"/>
    <w:rsid w:val="003C113D"/>
    <w:rsid w:val="003C1857"/>
    <w:rsid w:val="003C1D0F"/>
    <w:rsid w:val="003C235E"/>
    <w:rsid w:val="003C3059"/>
    <w:rsid w:val="003C3545"/>
    <w:rsid w:val="003C36AF"/>
    <w:rsid w:val="003C4734"/>
    <w:rsid w:val="003C4788"/>
    <w:rsid w:val="003C4D2D"/>
    <w:rsid w:val="003C66B9"/>
    <w:rsid w:val="003C6981"/>
    <w:rsid w:val="003C6B03"/>
    <w:rsid w:val="003C6E87"/>
    <w:rsid w:val="003C708A"/>
    <w:rsid w:val="003D0121"/>
    <w:rsid w:val="003D0230"/>
    <w:rsid w:val="003D064E"/>
    <w:rsid w:val="003D131A"/>
    <w:rsid w:val="003D2189"/>
    <w:rsid w:val="003D21AC"/>
    <w:rsid w:val="003D2965"/>
    <w:rsid w:val="003D2AF3"/>
    <w:rsid w:val="003D39A7"/>
    <w:rsid w:val="003D3A06"/>
    <w:rsid w:val="003D3B74"/>
    <w:rsid w:val="003D43C3"/>
    <w:rsid w:val="003D4542"/>
    <w:rsid w:val="003D4B57"/>
    <w:rsid w:val="003D4F1C"/>
    <w:rsid w:val="003D506B"/>
    <w:rsid w:val="003D53E2"/>
    <w:rsid w:val="003D53E6"/>
    <w:rsid w:val="003D5687"/>
    <w:rsid w:val="003D5E8F"/>
    <w:rsid w:val="003D615B"/>
    <w:rsid w:val="003D6BC7"/>
    <w:rsid w:val="003D6C54"/>
    <w:rsid w:val="003D6CF5"/>
    <w:rsid w:val="003D7824"/>
    <w:rsid w:val="003D7FB1"/>
    <w:rsid w:val="003E06FD"/>
    <w:rsid w:val="003E1400"/>
    <w:rsid w:val="003E1956"/>
    <w:rsid w:val="003E1C22"/>
    <w:rsid w:val="003E2247"/>
    <w:rsid w:val="003E2D20"/>
    <w:rsid w:val="003E2E3E"/>
    <w:rsid w:val="003E3FFD"/>
    <w:rsid w:val="003E4558"/>
    <w:rsid w:val="003E49D6"/>
    <w:rsid w:val="003E53C2"/>
    <w:rsid w:val="003E54BF"/>
    <w:rsid w:val="003E54F1"/>
    <w:rsid w:val="003E588D"/>
    <w:rsid w:val="003E62DF"/>
    <w:rsid w:val="003E74C8"/>
    <w:rsid w:val="003E7B34"/>
    <w:rsid w:val="003F0350"/>
    <w:rsid w:val="003F0392"/>
    <w:rsid w:val="003F06A4"/>
    <w:rsid w:val="003F0A33"/>
    <w:rsid w:val="003F0FD1"/>
    <w:rsid w:val="003F1EDB"/>
    <w:rsid w:val="003F2DA8"/>
    <w:rsid w:val="003F313D"/>
    <w:rsid w:val="003F3E15"/>
    <w:rsid w:val="003F3F0B"/>
    <w:rsid w:val="003F45D3"/>
    <w:rsid w:val="003F4B37"/>
    <w:rsid w:val="003F4D72"/>
    <w:rsid w:val="003F4F30"/>
    <w:rsid w:val="003F504C"/>
    <w:rsid w:val="003F608C"/>
    <w:rsid w:val="004007A7"/>
    <w:rsid w:val="004008EE"/>
    <w:rsid w:val="00400A47"/>
    <w:rsid w:val="004013EE"/>
    <w:rsid w:val="00401413"/>
    <w:rsid w:val="00401E38"/>
    <w:rsid w:val="004028D7"/>
    <w:rsid w:val="004036A0"/>
    <w:rsid w:val="00403E66"/>
    <w:rsid w:val="00404019"/>
    <w:rsid w:val="0040427C"/>
    <w:rsid w:val="0040449A"/>
    <w:rsid w:val="00404C07"/>
    <w:rsid w:val="0040522B"/>
    <w:rsid w:val="00405899"/>
    <w:rsid w:val="00405C14"/>
    <w:rsid w:val="00406400"/>
    <w:rsid w:val="00406EE9"/>
    <w:rsid w:val="00406FB6"/>
    <w:rsid w:val="004079AD"/>
    <w:rsid w:val="00407F35"/>
    <w:rsid w:val="004100CC"/>
    <w:rsid w:val="004102F2"/>
    <w:rsid w:val="00410D93"/>
    <w:rsid w:val="0041158B"/>
    <w:rsid w:val="00411DA3"/>
    <w:rsid w:val="00412E3D"/>
    <w:rsid w:val="004130EB"/>
    <w:rsid w:val="004135A1"/>
    <w:rsid w:val="00415042"/>
    <w:rsid w:val="004157E8"/>
    <w:rsid w:val="00415C33"/>
    <w:rsid w:val="00415DD5"/>
    <w:rsid w:val="00416475"/>
    <w:rsid w:val="004166AE"/>
    <w:rsid w:val="00416A70"/>
    <w:rsid w:val="00416C00"/>
    <w:rsid w:val="00417144"/>
    <w:rsid w:val="004171CA"/>
    <w:rsid w:val="00417597"/>
    <w:rsid w:val="004177E9"/>
    <w:rsid w:val="00417B34"/>
    <w:rsid w:val="0042026B"/>
    <w:rsid w:val="00420F8C"/>
    <w:rsid w:val="00421BB4"/>
    <w:rsid w:val="00421D4D"/>
    <w:rsid w:val="0042205C"/>
    <w:rsid w:val="0042259B"/>
    <w:rsid w:val="00422868"/>
    <w:rsid w:val="00422881"/>
    <w:rsid w:val="00422DC9"/>
    <w:rsid w:val="00422EEE"/>
    <w:rsid w:val="00423B91"/>
    <w:rsid w:val="00423D42"/>
    <w:rsid w:val="00424301"/>
    <w:rsid w:val="0042473A"/>
    <w:rsid w:val="004249D7"/>
    <w:rsid w:val="00425223"/>
    <w:rsid w:val="004255E0"/>
    <w:rsid w:val="004256DF"/>
    <w:rsid w:val="0042570C"/>
    <w:rsid w:val="004257DB"/>
    <w:rsid w:val="00425918"/>
    <w:rsid w:val="00425F06"/>
    <w:rsid w:val="004261A0"/>
    <w:rsid w:val="00427086"/>
    <w:rsid w:val="004275EB"/>
    <w:rsid w:val="00430230"/>
    <w:rsid w:val="00430FC8"/>
    <w:rsid w:val="00432271"/>
    <w:rsid w:val="00432536"/>
    <w:rsid w:val="004328DB"/>
    <w:rsid w:val="004331CD"/>
    <w:rsid w:val="00433B99"/>
    <w:rsid w:val="00433CE3"/>
    <w:rsid w:val="00434939"/>
    <w:rsid w:val="0043497E"/>
    <w:rsid w:val="00435DF6"/>
    <w:rsid w:val="004361DA"/>
    <w:rsid w:val="00436654"/>
    <w:rsid w:val="00436FD6"/>
    <w:rsid w:val="004370B6"/>
    <w:rsid w:val="004374DA"/>
    <w:rsid w:val="00437CD5"/>
    <w:rsid w:val="004402A2"/>
    <w:rsid w:val="004408B7"/>
    <w:rsid w:val="00440A78"/>
    <w:rsid w:val="004413A4"/>
    <w:rsid w:val="0044181B"/>
    <w:rsid w:val="00442334"/>
    <w:rsid w:val="00442C4F"/>
    <w:rsid w:val="00442D65"/>
    <w:rsid w:val="00442FEA"/>
    <w:rsid w:val="00443149"/>
    <w:rsid w:val="0044344E"/>
    <w:rsid w:val="00443490"/>
    <w:rsid w:val="00443716"/>
    <w:rsid w:val="00443749"/>
    <w:rsid w:val="004441DD"/>
    <w:rsid w:val="00444632"/>
    <w:rsid w:val="00444C64"/>
    <w:rsid w:val="00444D97"/>
    <w:rsid w:val="00445BD8"/>
    <w:rsid w:val="00445CAA"/>
    <w:rsid w:val="00445D38"/>
    <w:rsid w:val="00446033"/>
    <w:rsid w:val="00446042"/>
    <w:rsid w:val="00446758"/>
    <w:rsid w:val="00446832"/>
    <w:rsid w:val="00447E57"/>
    <w:rsid w:val="00450477"/>
    <w:rsid w:val="00451982"/>
    <w:rsid w:val="00452594"/>
    <w:rsid w:val="00454A49"/>
    <w:rsid w:val="00455F83"/>
    <w:rsid w:val="00456B45"/>
    <w:rsid w:val="004575AB"/>
    <w:rsid w:val="004577A7"/>
    <w:rsid w:val="0046047A"/>
    <w:rsid w:val="004616E8"/>
    <w:rsid w:val="004620E4"/>
    <w:rsid w:val="00462157"/>
    <w:rsid w:val="004629E1"/>
    <w:rsid w:val="00462A4E"/>
    <w:rsid w:val="00463531"/>
    <w:rsid w:val="00464CE6"/>
    <w:rsid w:val="0046505E"/>
    <w:rsid w:val="00465C8C"/>
    <w:rsid w:val="00466786"/>
    <w:rsid w:val="004672F1"/>
    <w:rsid w:val="00467A29"/>
    <w:rsid w:val="00467FCF"/>
    <w:rsid w:val="004709B4"/>
    <w:rsid w:val="00470AF7"/>
    <w:rsid w:val="00470BC5"/>
    <w:rsid w:val="0047177A"/>
    <w:rsid w:val="004717CB"/>
    <w:rsid w:val="00471FEB"/>
    <w:rsid w:val="00472679"/>
    <w:rsid w:val="00472A04"/>
    <w:rsid w:val="00472BE2"/>
    <w:rsid w:val="00474046"/>
    <w:rsid w:val="004743C3"/>
    <w:rsid w:val="00474AF7"/>
    <w:rsid w:val="00475319"/>
    <w:rsid w:val="00475774"/>
    <w:rsid w:val="00477786"/>
    <w:rsid w:val="0048064C"/>
    <w:rsid w:val="004807AA"/>
    <w:rsid w:val="00480D30"/>
    <w:rsid w:val="0048103A"/>
    <w:rsid w:val="00481D28"/>
    <w:rsid w:val="0048373A"/>
    <w:rsid w:val="00483BA1"/>
    <w:rsid w:val="00483C3E"/>
    <w:rsid w:val="00483E10"/>
    <w:rsid w:val="0048426A"/>
    <w:rsid w:val="0048493B"/>
    <w:rsid w:val="004849B1"/>
    <w:rsid w:val="00484D61"/>
    <w:rsid w:val="00484DCC"/>
    <w:rsid w:val="00485F60"/>
    <w:rsid w:val="00486852"/>
    <w:rsid w:val="00486CB8"/>
    <w:rsid w:val="00486FE2"/>
    <w:rsid w:val="004872CE"/>
    <w:rsid w:val="00490D2B"/>
    <w:rsid w:val="0049131C"/>
    <w:rsid w:val="0049151A"/>
    <w:rsid w:val="0049199B"/>
    <w:rsid w:val="00491B84"/>
    <w:rsid w:val="00492675"/>
    <w:rsid w:val="0049297A"/>
    <w:rsid w:val="00493640"/>
    <w:rsid w:val="00494434"/>
    <w:rsid w:val="004944D0"/>
    <w:rsid w:val="00495C1F"/>
    <w:rsid w:val="0049606A"/>
    <w:rsid w:val="00496249"/>
    <w:rsid w:val="004964A6"/>
    <w:rsid w:val="0049666C"/>
    <w:rsid w:val="00496A79"/>
    <w:rsid w:val="00496FC9"/>
    <w:rsid w:val="0049722D"/>
    <w:rsid w:val="00497A72"/>
    <w:rsid w:val="004A0566"/>
    <w:rsid w:val="004A0875"/>
    <w:rsid w:val="004A25BE"/>
    <w:rsid w:val="004A2768"/>
    <w:rsid w:val="004A2C4A"/>
    <w:rsid w:val="004A42D6"/>
    <w:rsid w:val="004A43C3"/>
    <w:rsid w:val="004A461F"/>
    <w:rsid w:val="004A5CDD"/>
    <w:rsid w:val="004A604B"/>
    <w:rsid w:val="004A74B4"/>
    <w:rsid w:val="004A789D"/>
    <w:rsid w:val="004A7C43"/>
    <w:rsid w:val="004B088F"/>
    <w:rsid w:val="004B1504"/>
    <w:rsid w:val="004B2085"/>
    <w:rsid w:val="004B2373"/>
    <w:rsid w:val="004B2EF1"/>
    <w:rsid w:val="004B3A9E"/>
    <w:rsid w:val="004B4673"/>
    <w:rsid w:val="004B46EF"/>
    <w:rsid w:val="004B578B"/>
    <w:rsid w:val="004B7406"/>
    <w:rsid w:val="004B7942"/>
    <w:rsid w:val="004B7E53"/>
    <w:rsid w:val="004B7F81"/>
    <w:rsid w:val="004C0162"/>
    <w:rsid w:val="004C0265"/>
    <w:rsid w:val="004C03C1"/>
    <w:rsid w:val="004C2147"/>
    <w:rsid w:val="004C22DD"/>
    <w:rsid w:val="004C2478"/>
    <w:rsid w:val="004C2AF6"/>
    <w:rsid w:val="004C3035"/>
    <w:rsid w:val="004C30AA"/>
    <w:rsid w:val="004C3121"/>
    <w:rsid w:val="004C3F4B"/>
    <w:rsid w:val="004C42B2"/>
    <w:rsid w:val="004C4480"/>
    <w:rsid w:val="004C4CAA"/>
    <w:rsid w:val="004C4DAB"/>
    <w:rsid w:val="004C5276"/>
    <w:rsid w:val="004C54DF"/>
    <w:rsid w:val="004C5FB3"/>
    <w:rsid w:val="004C60B1"/>
    <w:rsid w:val="004C62C0"/>
    <w:rsid w:val="004C6A2F"/>
    <w:rsid w:val="004C6F42"/>
    <w:rsid w:val="004C6FA8"/>
    <w:rsid w:val="004C758D"/>
    <w:rsid w:val="004C7A26"/>
    <w:rsid w:val="004C7C14"/>
    <w:rsid w:val="004D0508"/>
    <w:rsid w:val="004D0682"/>
    <w:rsid w:val="004D0FD3"/>
    <w:rsid w:val="004D16F7"/>
    <w:rsid w:val="004D1DDD"/>
    <w:rsid w:val="004D1E0B"/>
    <w:rsid w:val="004D2474"/>
    <w:rsid w:val="004D3751"/>
    <w:rsid w:val="004D39B9"/>
    <w:rsid w:val="004D3F26"/>
    <w:rsid w:val="004D4230"/>
    <w:rsid w:val="004D4C6E"/>
    <w:rsid w:val="004D4F42"/>
    <w:rsid w:val="004D60D8"/>
    <w:rsid w:val="004D652E"/>
    <w:rsid w:val="004D654E"/>
    <w:rsid w:val="004D6C3A"/>
    <w:rsid w:val="004D6D42"/>
    <w:rsid w:val="004D6E8F"/>
    <w:rsid w:val="004D6F84"/>
    <w:rsid w:val="004D710B"/>
    <w:rsid w:val="004E0916"/>
    <w:rsid w:val="004E0D15"/>
    <w:rsid w:val="004E1337"/>
    <w:rsid w:val="004E1AA9"/>
    <w:rsid w:val="004E2AED"/>
    <w:rsid w:val="004E2BE3"/>
    <w:rsid w:val="004E2E9D"/>
    <w:rsid w:val="004E30CB"/>
    <w:rsid w:val="004E32BC"/>
    <w:rsid w:val="004E402A"/>
    <w:rsid w:val="004E422D"/>
    <w:rsid w:val="004E458A"/>
    <w:rsid w:val="004E48F5"/>
    <w:rsid w:val="004E4DEF"/>
    <w:rsid w:val="004E4EBF"/>
    <w:rsid w:val="004E576B"/>
    <w:rsid w:val="004E5C9E"/>
    <w:rsid w:val="004E5EFE"/>
    <w:rsid w:val="004E6804"/>
    <w:rsid w:val="004E6E09"/>
    <w:rsid w:val="004E7F20"/>
    <w:rsid w:val="004F1385"/>
    <w:rsid w:val="004F1449"/>
    <w:rsid w:val="004F1F4A"/>
    <w:rsid w:val="004F276D"/>
    <w:rsid w:val="004F35DD"/>
    <w:rsid w:val="004F3C90"/>
    <w:rsid w:val="004F405C"/>
    <w:rsid w:val="004F4479"/>
    <w:rsid w:val="004F4688"/>
    <w:rsid w:val="004F52AB"/>
    <w:rsid w:val="004F5C73"/>
    <w:rsid w:val="004F5D35"/>
    <w:rsid w:val="004F5D81"/>
    <w:rsid w:val="004F5E43"/>
    <w:rsid w:val="004F6253"/>
    <w:rsid w:val="004F687E"/>
    <w:rsid w:val="004F68AF"/>
    <w:rsid w:val="004F6F32"/>
    <w:rsid w:val="004F71D2"/>
    <w:rsid w:val="004F7731"/>
    <w:rsid w:val="0050044E"/>
    <w:rsid w:val="0050063E"/>
    <w:rsid w:val="005006D9"/>
    <w:rsid w:val="005009C0"/>
    <w:rsid w:val="00500F1C"/>
    <w:rsid w:val="00501D32"/>
    <w:rsid w:val="0050240E"/>
    <w:rsid w:val="00502639"/>
    <w:rsid w:val="00503477"/>
    <w:rsid w:val="00503D9B"/>
    <w:rsid w:val="005045D3"/>
    <w:rsid w:val="00504CDA"/>
    <w:rsid w:val="00505F2B"/>
    <w:rsid w:val="00507298"/>
    <w:rsid w:val="0050766E"/>
    <w:rsid w:val="005100D9"/>
    <w:rsid w:val="0051056C"/>
    <w:rsid w:val="0051077D"/>
    <w:rsid w:val="005112DF"/>
    <w:rsid w:val="00511324"/>
    <w:rsid w:val="00512287"/>
    <w:rsid w:val="005123C0"/>
    <w:rsid w:val="005124C7"/>
    <w:rsid w:val="005127CD"/>
    <w:rsid w:val="00512C22"/>
    <w:rsid w:val="005145EF"/>
    <w:rsid w:val="00514775"/>
    <w:rsid w:val="005149B8"/>
    <w:rsid w:val="00514E0C"/>
    <w:rsid w:val="00515011"/>
    <w:rsid w:val="00515073"/>
    <w:rsid w:val="0051540F"/>
    <w:rsid w:val="00515439"/>
    <w:rsid w:val="005157CB"/>
    <w:rsid w:val="0051583D"/>
    <w:rsid w:val="00515CC0"/>
    <w:rsid w:val="00515E64"/>
    <w:rsid w:val="0051618D"/>
    <w:rsid w:val="005165AA"/>
    <w:rsid w:val="00516B76"/>
    <w:rsid w:val="005175E0"/>
    <w:rsid w:val="00517ECB"/>
    <w:rsid w:val="0052028F"/>
    <w:rsid w:val="00520ADC"/>
    <w:rsid w:val="00520F2E"/>
    <w:rsid w:val="00521214"/>
    <w:rsid w:val="00521604"/>
    <w:rsid w:val="00521CED"/>
    <w:rsid w:val="00522A27"/>
    <w:rsid w:val="00522F67"/>
    <w:rsid w:val="00523D87"/>
    <w:rsid w:val="00523E88"/>
    <w:rsid w:val="00524019"/>
    <w:rsid w:val="005242C1"/>
    <w:rsid w:val="00524EED"/>
    <w:rsid w:val="00524FAA"/>
    <w:rsid w:val="0052636A"/>
    <w:rsid w:val="00527486"/>
    <w:rsid w:val="00527C47"/>
    <w:rsid w:val="00530192"/>
    <w:rsid w:val="0053086F"/>
    <w:rsid w:val="00532218"/>
    <w:rsid w:val="00532A40"/>
    <w:rsid w:val="00533CE1"/>
    <w:rsid w:val="00534684"/>
    <w:rsid w:val="0053488B"/>
    <w:rsid w:val="00534E20"/>
    <w:rsid w:val="00535DBE"/>
    <w:rsid w:val="00535E90"/>
    <w:rsid w:val="0053664D"/>
    <w:rsid w:val="00536849"/>
    <w:rsid w:val="00536E89"/>
    <w:rsid w:val="00537537"/>
    <w:rsid w:val="005400EA"/>
    <w:rsid w:val="0054075B"/>
    <w:rsid w:val="0054076C"/>
    <w:rsid w:val="00541653"/>
    <w:rsid w:val="0054236F"/>
    <w:rsid w:val="00542C7C"/>
    <w:rsid w:val="00542EAB"/>
    <w:rsid w:val="0054321D"/>
    <w:rsid w:val="00543D60"/>
    <w:rsid w:val="00543E39"/>
    <w:rsid w:val="00544414"/>
    <w:rsid w:val="00544C4E"/>
    <w:rsid w:val="00544D01"/>
    <w:rsid w:val="00544EA7"/>
    <w:rsid w:val="00545ED1"/>
    <w:rsid w:val="0054699F"/>
    <w:rsid w:val="00546E84"/>
    <w:rsid w:val="00547A78"/>
    <w:rsid w:val="00547BE4"/>
    <w:rsid w:val="005506BF"/>
    <w:rsid w:val="00550D6D"/>
    <w:rsid w:val="005511D7"/>
    <w:rsid w:val="005515FE"/>
    <w:rsid w:val="00551711"/>
    <w:rsid w:val="005518AF"/>
    <w:rsid w:val="005521A1"/>
    <w:rsid w:val="00552258"/>
    <w:rsid w:val="00552986"/>
    <w:rsid w:val="00552BBB"/>
    <w:rsid w:val="00552C4D"/>
    <w:rsid w:val="00552C82"/>
    <w:rsid w:val="00552DE9"/>
    <w:rsid w:val="005531B3"/>
    <w:rsid w:val="00553559"/>
    <w:rsid w:val="00553A2A"/>
    <w:rsid w:val="00554682"/>
    <w:rsid w:val="00554812"/>
    <w:rsid w:val="00554D70"/>
    <w:rsid w:val="00554E09"/>
    <w:rsid w:val="00554E3B"/>
    <w:rsid w:val="00554FE4"/>
    <w:rsid w:val="005550C8"/>
    <w:rsid w:val="005550CF"/>
    <w:rsid w:val="005551A2"/>
    <w:rsid w:val="00555A2B"/>
    <w:rsid w:val="00557B57"/>
    <w:rsid w:val="00557CF8"/>
    <w:rsid w:val="00560FC2"/>
    <w:rsid w:val="00561073"/>
    <w:rsid w:val="00561632"/>
    <w:rsid w:val="00561E75"/>
    <w:rsid w:val="005630AC"/>
    <w:rsid w:val="005631DC"/>
    <w:rsid w:val="00563F8D"/>
    <w:rsid w:val="005641F0"/>
    <w:rsid w:val="005646B5"/>
    <w:rsid w:val="0056489A"/>
    <w:rsid w:val="005657A5"/>
    <w:rsid w:val="00566009"/>
    <w:rsid w:val="00566B77"/>
    <w:rsid w:val="00566BEC"/>
    <w:rsid w:val="00566C2E"/>
    <w:rsid w:val="00567B97"/>
    <w:rsid w:val="00570868"/>
    <w:rsid w:val="005708BC"/>
    <w:rsid w:val="0057096A"/>
    <w:rsid w:val="00570ABA"/>
    <w:rsid w:val="00570ABC"/>
    <w:rsid w:val="00570BAB"/>
    <w:rsid w:val="005714ED"/>
    <w:rsid w:val="005724BB"/>
    <w:rsid w:val="005737A5"/>
    <w:rsid w:val="00573AEC"/>
    <w:rsid w:val="00573B3F"/>
    <w:rsid w:val="00574583"/>
    <w:rsid w:val="00574A85"/>
    <w:rsid w:val="0057575B"/>
    <w:rsid w:val="00575848"/>
    <w:rsid w:val="00575D97"/>
    <w:rsid w:val="0057688B"/>
    <w:rsid w:val="005773A7"/>
    <w:rsid w:val="005779D5"/>
    <w:rsid w:val="005779E1"/>
    <w:rsid w:val="00580647"/>
    <w:rsid w:val="00580CE0"/>
    <w:rsid w:val="00580F4A"/>
    <w:rsid w:val="005811BC"/>
    <w:rsid w:val="005811F3"/>
    <w:rsid w:val="00581589"/>
    <w:rsid w:val="005815B3"/>
    <w:rsid w:val="00581A34"/>
    <w:rsid w:val="00581DFD"/>
    <w:rsid w:val="0058247E"/>
    <w:rsid w:val="00582692"/>
    <w:rsid w:val="005832EE"/>
    <w:rsid w:val="0058346E"/>
    <w:rsid w:val="00583543"/>
    <w:rsid w:val="00583CA8"/>
    <w:rsid w:val="0058437A"/>
    <w:rsid w:val="00584A7A"/>
    <w:rsid w:val="00584CE4"/>
    <w:rsid w:val="00586064"/>
    <w:rsid w:val="005871DE"/>
    <w:rsid w:val="005873A7"/>
    <w:rsid w:val="005878F0"/>
    <w:rsid w:val="00587D31"/>
    <w:rsid w:val="005901F1"/>
    <w:rsid w:val="005919A5"/>
    <w:rsid w:val="00592593"/>
    <w:rsid w:val="00592E5C"/>
    <w:rsid w:val="00593BF9"/>
    <w:rsid w:val="00593D22"/>
    <w:rsid w:val="00595832"/>
    <w:rsid w:val="005958BB"/>
    <w:rsid w:val="00595A6D"/>
    <w:rsid w:val="00595C7E"/>
    <w:rsid w:val="00595CA9"/>
    <w:rsid w:val="0059769B"/>
    <w:rsid w:val="00597DAF"/>
    <w:rsid w:val="00597FC4"/>
    <w:rsid w:val="005A01FD"/>
    <w:rsid w:val="005A07B2"/>
    <w:rsid w:val="005A07DE"/>
    <w:rsid w:val="005A0A5F"/>
    <w:rsid w:val="005A0E78"/>
    <w:rsid w:val="005A1B34"/>
    <w:rsid w:val="005A2F9D"/>
    <w:rsid w:val="005A34B0"/>
    <w:rsid w:val="005A3641"/>
    <w:rsid w:val="005A3856"/>
    <w:rsid w:val="005A3BF7"/>
    <w:rsid w:val="005A438A"/>
    <w:rsid w:val="005A49F3"/>
    <w:rsid w:val="005A4E9E"/>
    <w:rsid w:val="005A586A"/>
    <w:rsid w:val="005A61C2"/>
    <w:rsid w:val="005A6844"/>
    <w:rsid w:val="005A6E73"/>
    <w:rsid w:val="005A6E8C"/>
    <w:rsid w:val="005B0182"/>
    <w:rsid w:val="005B074F"/>
    <w:rsid w:val="005B106B"/>
    <w:rsid w:val="005B2A81"/>
    <w:rsid w:val="005B446F"/>
    <w:rsid w:val="005B4567"/>
    <w:rsid w:val="005B489E"/>
    <w:rsid w:val="005B51B4"/>
    <w:rsid w:val="005B53CC"/>
    <w:rsid w:val="005B5595"/>
    <w:rsid w:val="005B55F4"/>
    <w:rsid w:val="005B5793"/>
    <w:rsid w:val="005B5FD1"/>
    <w:rsid w:val="005B6090"/>
    <w:rsid w:val="005B63CC"/>
    <w:rsid w:val="005B6AC5"/>
    <w:rsid w:val="005B6F8B"/>
    <w:rsid w:val="005C0820"/>
    <w:rsid w:val="005C12AD"/>
    <w:rsid w:val="005C1505"/>
    <w:rsid w:val="005C15C3"/>
    <w:rsid w:val="005C1870"/>
    <w:rsid w:val="005C1D15"/>
    <w:rsid w:val="005C2341"/>
    <w:rsid w:val="005C2613"/>
    <w:rsid w:val="005C2E74"/>
    <w:rsid w:val="005C4090"/>
    <w:rsid w:val="005C41EE"/>
    <w:rsid w:val="005C4B8E"/>
    <w:rsid w:val="005C4C18"/>
    <w:rsid w:val="005C672E"/>
    <w:rsid w:val="005C6D2D"/>
    <w:rsid w:val="005C6D59"/>
    <w:rsid w:val="005C794E"/>
    <w:rsid w:val="005D0643"/>
    <w:rsid w:val="005D0FEE"/>
    <w:rsid w:val="005D2283"/>
    <w:rsid w:val="005D30EB"/>
    <w:rsid w:val="005D3490"/>
    <w:rsid w:val="005D34D3"/>
    <w:rsid w:val="005D3501"/>
    <w:rsid w:val="005D3B4D"/>
    <w:rsid w:val="005D3C31"/>
    <w:rsid w:val="005D4854"/>
    <w:rsid w:val="005D4ECD"/>
    <w:rsid w:val="005D4F02"/>
    <w:rsid w:val="005D4FB5"/>
    <w:rsid w:val="005D53B6"/>
    <w:rsid w:val="005D5E54"/>
    <w:rsid w:val="005D68CA"/>
    <w:rsid w:val="005D750F"/>
    <w:rsid w:val="005E0213"/>
    <w:rsid w:val="005E0FD8"/>
    <w:rsid w:val="005E14E3"/>
    <w:rsid w:val="005E28AC"/>
    <w:rsid w:val="005E293F"/>
    <w:rsid w:val="005E305C"/>
    <w:rsid w:val="005E34D8"/>
    <w:rsid w:val="005E4385"/>
    <w:rsid w:val="005E4463"/>
    <w:rsid w:val="005E4E51"/>
    <w:rsid w:val="005E4EA8"/>
    <w:rsid w:val="005E565D"/>
    <w:rsid w:val="005E62E1"/>
    <w:rsid w:val="005E6704"/>
    <w:rsid w:val="005E6FAB"/>
    <w:rsid w:val="005E7101"/>
    <w:rsid w:val="005E7426"/>
    <w:rsid w:val="005E79C9"/>
    <w:rsid w:val="005E7C5E"/>
    <w:rsid w:val="005F00FA"/>
    <w:rsid w:val="005F074F"/>
    <w:rsid w:val="005F0883"/>
    <w:rsid w:val="005F0CE1"/>
    <w:rsid w:val="005F2172"/>
    <w:rsid w:val="005F22D0"/>
    <w:rsid w:val="005F3A01"/>
    <w:rsid w:val="005F3AB8"/>
    <w:rsid w:val="005F4280"/>
    <w:rsid w:val="005F4961"/>
    <w:rsid w:val="005F678E"/>
    <w:rsid w:val="005F6E3C"/>
    <w:rsid w:val="005F6F87"/>
    <w:rsid w:val="005F714B"/>
    <w:rsid w:val="005F77D8"/>
    <w:rsid w:val="0060050A"/>
    <w:rsid w:val="006009E6"/>
    <w:rsid w:val="00600FD5"/>
    <w:rsid w:val="006010B0"/>
    <w:rsid w:val="0060126C"/>
    <w:rsid w:val="0060128C"/>
    <w:rsid w:val="00601AAD"/>
    <w:rsid w:val="0060211E"/>
    <w:rsid w:val="00602214"/>
    <w:rsid w:val="006026E9"/>
    <w:rsid w:val="006039F0"/>
    <w:rsid w:val="00605555"/>
    <w:rsid w:val="00605987"/>
    <w:rsid w:val="00605C91"/>
    <w:rsid w:val="00605D5D"/>
    <w:rsid w:val="00605E23"/>
    <w:rsid w:val="00605E29"/>
    <w:rsid w:val="00605E3D"/>
    <w:rsid w:val="0060601D"/>
    <w:rsid w:val="006062A1"/>
    <w:rsid w:val="00607BE0"/>
    <w:rsid w:val="00610B2D"/>
    <w:rsid w:val="00610FB0"/>
    <w:rsid w:val="00611183"/>
    <w:rsid w:val="0061142D"/>
    <w:rsid w:val="00611958"/>
    <w:rsid w:val="00612384"/>
    <w:rsid w:val="00612FB8"/>
    <w:rsid w:val="006152DE"/>
    <w:rsid w:val="00616782"/>
    <w:rsid w:val="00616F2B"/>
    <w:rsid w:val="00617785"/>
    <w:rsid w:val="00617B43"/>
    <w:rsid w:val="00617CEA"/>
    <w:rsid w:val="00620E22"/>
    <w:rsid w:val="00621A36"/>
    <w:rsid w:val="00621B4D"/>
    <w:rsid w:val="00621C80"/>
    <w:rsid w:val="006227F4"/>
    <w:rsid w:val="00622B93"/>
    <w:rsid w:val="00622BEF"/>
    <w:rsid w:val="006237FC"/>
    <w:rsid w:val="006248CA"/>
    <w:rsid w:val="00624BA8"/>
    <w:rsid w:val="0062518B"/>
    <w:rsid w:val="006253EE"/>
    <w:rsid w:val="00625538"/>
    <w:rsid w:val="00625D9A"/>
    <w:rsid w:val="00626AB0"/>
    <w:rsid w:val="00626B44"/>
    <w:rsid w:val="00627F8A"/>
    <w:rsid w:val="006305C1"/>
    <w:rsid w:val="00630B24"/>
    <w:rsid w:val="0063179C"/>
    <w:rsid w:val="00632C98"/>
    <w:rsid w:val="00633C6D"/>
    <w:rsid w:val="00634252"/>
    <w:rsid w:val="006345C4"/>
    <w:rsid w:val="00635842"/>
    <w:rsid w:val="006365E0"/>
    <w:rsid w:val="00636610"/>
    <w:rsid w:val="006369BF"/>
    <w:rsid w:val="00636E7C"/>
    <w:rsid w:val="006373E6"/>
    <w:rsid w:val="00637D96"/>
    <w:rsid w:val="006402CB"/>
    <w:rsid w:val="00640917"/>
    <w:rsid w:val="00640D0C"/>
    <w:rsid w:val="00641373"/>
    <w:rsid w:val="00641ED0"/>
    <w:rsid w:val="006421DB"/>
    <w:rsid w:val="00643181"/>
    <w:rsid w:val="006431EF"/>
    <w:rsid w:val="00643AF4"/>
    <w:rsid w:val="00643CF9"/>
    <w:rsid w:val="00644990"/>
    <w:rsid w:val="00644A9E"/>
    <w:rsid w:val="006455D3"/>
    <w:rsid w:val="00645809"/>
    <w:rsid w:val="00646337"/>
    <w:rsid w:val="006464BC"/>
    <w:rsid w:val="00646E53"/>
    <w:rsid w:val="0064703B"/>
    <w:rsid w:val="00647476"/>
    <w:rsid w:val="00647FBC"/>
    <w:rsid w:val="00650524"/>
    <w:rsid w:val="006510BE"/>
    <w:rsid w:val="00651331"/>
    <w:rsid w:val="0065194B"/>
    <w:rsid w:val="00651ADF"/>
    <w:rsid w:val="00652AA5"/>
    <w:rsid w:val="00652B41"/>
    <w:rsid w:val="00652ED1"/>
    <w:rsid w:val="006540FE"/>
    <w:rsid w:val="006541FA"/>
    <w:rsid w:val="00654BDD"/>
    <w:rsid w:val="006554B8"/>
    <w:rsid w:val="00655D8E"/>
    <w:rsid w:val="00656013"/>
    <w:rsid w:val="00656748"/>
    <w:rsid w:val="00656A3A"/>
    <w:rsid w:val="006578C0"/>
    <w:rsid w:val="00657A58"/>
    <w:rsid w:val="006605EE"/>
    <w:rsid w:val="006612DF"/>
    <w:rsid w:val="00662D20"/>
    <w:rsid w:val="0066305F"/>
    <w:rsid w:val="00664C55"/>
    <w:rsid w:val="00665080"/>
    <w:rsid w:val="006653BA"/>
    <w:rsid w:val="0066577B"/>
    <w:rsid w:val="00665A96"/>
    <w:rsid w:val="00665D16"/>
    <w:rsid w:val="00666732"/>
    <w:rsid w:val="00667588"/>
    <w:rsid w:val="0066792C"/>
    <w:rsid w:val="00667B32"/>
    <w:rsid w:val="00667C4A"/>
    <w:rsid w:val="00670A26"/>
    <w:rsid w:val="00670F13"/>
    <w:rsid w:val="006713DD"/>
    <w:rsid w:val="00671A77"/>
    <w:rsid w:val="006720CA"/>
    <w:rsid w:val="0067226F"/>
    <w:rsid w:val="0067274E"/>
    <w:rsid w:val="00673360"/>
    <w:rsid w:val="00673A04"/>
    <w:rsid w:val="006742EF"/>
    <w:rsid w:val="006745B3"/>
    <w:rsid w:val="006747E0"/>
    <w:rsid w:val="00674FEE"/>
    <w:rsid w:val="006751FD"/>
    <w:rsid w:val="0067541F"/>
    <w:rsid w:val="00675693"/>
    <w:rsid w:val="00675D9F"/>
    <w:rsid w:val="00675ED5"/>
    <w:rsid w:val="00676574"/>
    <w:rsid w:val="00677FF7"/>
    <w:rsid w:val="00680008"/>
    <w:rsid w:val="006810EB"/>
    <w:rsid w:val="006812FD"/>
    <w:rsid w:val="00681A10"/>
    <w:rsid w:val="00681DA2"/>
    <w:rsid w:val="006831B6"/>
    <w:rsid w:val="00683713"/>
    <w:rsid w:val="00685165"/>
    <w:rsid w:val="006851BB"/>
    <w:rsid w:val="00685658"/>
    <w:rsid w:val="00685E61"/>
    <w:rsid w:val="00686297"/>
    <w:rsid w:val="0068675D"/>
    <w:rsid w:val="00686A33"/>
    <w:rsid w:val="00687522"/>
    <w:rsid w:val="00687C52"/>
    <w:rsid w:val="00690C14"/>
    <w:rsid w:val="0069188C"/>
    <w:rsid w:val="00691C48"/>
    <w:rsid w:val="006923DF"/>
    <w:rsid w:val="006925CC"/>
    <w:rsid w:val="00692709"/>
    <w:rsid w:val="006927E9"/>
    <w:rsid w:val="00692C7D"/>
    <w:rsid w:val="00692CF2"/>
    <w:rsid w:val="0069347D"/>
    <w:rsid w:val="00693EAE"/>
    <w:rsid w:val="0069402D"/>
    <w:rsid w:val="00694894"/>
    <w:rsid w:val="00694F3D"/>
    <w:rsid w:val="00695145"/>
    <w:rsid w:val="00695AAA"/>
    <w:rsid w:val="00695AEC"/>
    <w:rsid w:val="00695D39"/>
    <w:rsid w:val="00696DF8"/>
    <w:rsid w:val="006A0552"/>
    <w:rsid w:val="006A1500"/>
    <w:rsid w:val="006A17DC"/>
    <w:rsid w:val="006A1B71"/>
    <w:rsid w:val="006A1F88"/>
    <w:rsid w:val="006A30C3"/>
    <w:rsid w:val="006A3E2A"/>
    <w:rsid w:val="006A43D5"/>
    <w:rsid w:val="006A46D8"/>
    <w:rsid w:val="006A5AA5"/>
    <w:rsid w:val="006A5EBB"/>
    <w:rsid w:val="006A6032"/>
    <w:rsid w:val="006A6648"/>
    <w:rsid w:val="006A67C1"/>
    <w:rsid w:val="006A7436"/>
    <w:rsid w:val="006A74A8"/>
    <w:rsid w:val="006A788A"/>
    <w:rsid w:val="006A79CB"/>
    <w:rsid w:val="006B01D1"/>
    <w:rsid w:val="006B0FED"/>
    <w:rsid w:val="006B1B4B"/>
    <w:rsid w:val="006B1C3F"/>
    <w:rsid w:val="006B2221"/>
    <w:rsid w:val="006B37FA"/>
    <w:rsid w:val="006B5823"/>
    <w:rsid w:val="006B5CBA"/>
    <w:rsid w:val="006B61A0"/>
    <w:rsid w:val="006B620B"/>
    <w:rsid w:val="006B790F"/>
    <w:rsid w:val="006B796A"/>
    <w:rsid w:val="006B7F56"/>
    <w:rsid w:val="006C06CE"/>
    <w:rsid w:val="006C0766"/>
    <w:rsid w:val="006C0A0A"/>
    <w:rsid w:val="006C0BC9"/>
    <w:rsid w:val="006C1076"/>
    <w:rsid w:val="006C1C97"/>
    <w:rsid w:val="006C1EFE"/>
    <w:rsid w:val="006C30A8"/>
    <w:rsid w:val="006C332A"/>
    <w:rsid w:val="006C3DA8"/>
    <w:rsid w:val="006C59C4"/>
    <w:rsid w:val="006C6729"/>
    <w:rsid w:val="006C69D8"/>
    <w:rsid w:val="006C69F9"/>
    <w:rsid w:val="006C701E"/>
    <w:rsid w:val="006C71F0"/>
    <w:rsid w:val="006C72F6"/>
    <w:rsid w:val="006C73D2"/>
    <w:rsid w:val="006C7A17"/>
    <w:rsid w:val="006C7D50"/>
    <w:rsid w:val="006D0199"/>
    <w:rsid w:val="006D1000"/>
    <w:rsid w:val="006D1D4B"/>
    <w:rsid w:val="006D2225"/>
    <w:rsid w:val="006D242D"/>
    <w:rsid w:val="006D2910"/>
    <w:rsid w:val="006D34D2"/>
    <w:rsid w:val="006D40AF"/>
    <w:rsid w:val="006D40CB"/>
    <w:rsid w:val="006D468B"/>
    <w:rsid w:val="006D55F3"/>
    <w:rsid w:val="006D5CA2"/>
    <w:rsid w:val="006D6113"/>
    <w:rsid w:val="006D67DD"/>
    <w:rsid w:val="006D6E2A"/>
    <w:rsid w:val="006D7B76"/>
    <w:rsid w:val="006D7C67"/>
    <w:rsid w:val="006E0990"/>
    <w:rsid w:val="006E2F2E"/>
    <w:rsid w:val="006E3526"/>
    <w:rsid w:val="006E38F8"/>
    <w:rsid w:val="006E427A"/>
    <w:rsid w:val="006E4432"/>
    <w:rsid w:val="006E4873"/>
    <w:rsid w:val="006E4AE2"/>
    <w:rsid w:val="006E4D90"/>
    <w:rsid w:val="006E4DA4"/>
    <w:rsid w:val="006E4E06"/>
    <w:rsid w:val="006E5146"/>
    <w:rsid w:val="006E52BC"/>
    <w:rsid w:val="006E5686"/>
    <w:rsid w:val="006E57AF"/>
    <w:rsid w:val="006E59CA"/>
    <w:rsid w:val="006E64C3"/>
    <w:rsid w:val="006E6882"/>
    <w:rsid w:val="006E6F2D"/>
    <w:rsid w:val="006F0269"/>
    <w:rsid w:val="006F02B1"/>
    <w:rsid w:val="006F09CE"/>
    <w:rsid w:val="006F110A"/>
    <w:rsid w:val="006F12F8"/>
    <w:rsid w:val="006F1755"/>
    <w:rsid w:val="006F193E"/>
    <w:rsid w:val="006F22F1"/>
    <w:rsid w:val="006F252B"/>
    <w:rsid w:val="006F2885"/>
    <w:rsid w:val="006F2ACA"/>
    <w:rsid w:val="006F2B56"/>
    <w:rsid w:val="006F4386"/>
    <w:rsid w:val="006F46C3"/>
    <w:rsid w:val="006F54AE"/>
    <w:rsid w:val="006F568C"/>
    <w:rsid w:val="006F5A43"/>
    <w:rsid w:val="006F5ED3"/>
    <w:rsid w:val="006F6E2B"/>
    <w:rsid w:val="006F70FE"/>
    <w:rsid w:val="006F7563"/>
    <w:rsid w:val="006F7BC9"/>
    <w:rsid w:val="00700D56"/>
    <w:rsid w:val="00700FDC"/>
    <w:rsid w:val="00701603"/>
    <w:rsid w:val="00701C77"/>
    <w:rsid w:val="00702717"/>
    <w:rsid w:val="00702C21"/>
    <w:rsid w:val="007039D1"/>
    <w:rsid w:val="00704F66"/>
    <w:rsid w:val="0070545A"/>
    <w:rsid w:val="0070578E"/>
    <w:rsid w:val="00705BDE"/>
    <w:rsid w:val="00711539"/>
    <w:rsid w:val="007115B2"/>
    <w:rsid w:val="00711778"/>
    <w:rsid w:val="007129E1"/>
    <w:rsid w:val="00713590"/>
    <w:rsid w:val="0071404E"/>
    <w:rsid w:val="00714553"/>
    <w:rsid w:val="00714633"/>
    <w:rsid w:val="00714AF7"/>
    <w:rsid w:val="00714FFF"/>
    <w:rsid w:val="00715ACC"/>
    <w:rsid w:val="00715F83"/>
    <w:rsid w:val="00716F1E"/>
    <w:rsid w:val="007215A0"/>
    <w:rsid w:val="007217E4"/>
    <w:rsid w:val="00721CD1"/>
    <w:rsid w:val="0072299C"/>
    <w:rsid w:val="00722E4F"/>
    <w:rsid w:val="007238AC"/>
    <w:rsid w:val="00723951"/>
    <w:rsid w:val="00723F58"/>
    <w:rsid w:val="00723FAD"/>
    <w:rsid w:val="00724BD5"/>
    <w:rsid w:val="00725C08"/>
    <w:rsid w:val="00725EDA"/>
    <w:rsid w:val="0072653A"/>
    <w:rsid w:val="00726C2A"/>
    <w:rsid w:val="007271BA"/>
    <w:rsid w:val="00730059"/>
    <w:rsid w:val="007301E8"/>
    <w:rsid w:val="00730A0E"/>
    <w:rsid w:val="0073124A"/>
    <w:rsid w:val="00732A58"/>
    <w:rsid w:val="00732E89"/>
    <w:rsid w:val="0073388C"/>
    <w:rsid w:val="007344C8"/>
    <w:rsid w:val="00734993"/>
    <w:rsid w:val="00734FD6"/>
    <w:rsid w:val="00735768"/>
    <w:rsid w:val="00735D27"/>
    <w:rsid w:val="00735FBE"/>
    <w:rsid w:val="00736528"/>
    <w:rsid w:val="00736744"/>
    <w:rsid w:val="00737120"/>
    <w:rsid w:val="007404F1"/>
    <w:rsid w:val="007406BD"/>
    <w:rsid w:val="007408B4"/>
    <w:rsid w:val="007409A2"/>
    <w:rsid w:val="0074138A"/>
    <w:rsid w:val="00741A17"/>
    <w:rsid w:val="007427DC"/>
    <w:rsid w:val="00742832"/>
    <w:rsid w:val="00742F81"/>
    <w:rsid w:val="00743196"/>
    <w:rsid w:val="00743751"/>
    <w:rsid w:val="0074390B"/>
    <w:rsid w:val="00743FA7"/>
    <w:rsid w:val="00744C9B"/>
    <w:rsid w:val="00744FFA"/>
    <w:rsid w:val="007450DA"/>
    <w:rsid w:val="00745580"/>
    <w:rsid w:val="00745A97"/>
    <w:rsid w:val="00746F8E"/>
    <w:rsid w:val="007507F5"/>
    <w:rsid w:val="007518A9"/>
    <w:rsid w:val="007526EB"/>
    <w:rsid w:val="00752A27"/>
    <w:rsid w:val="00753119"/>
    <w:rsid w:val="0075342C"/>
    <w:rsid w:val="007547D7"/>
    <w:rsid w:val="00754C0E"/>
    <w:rsid w:val="00754E34"/>
    <w:rsid w:val="00755BC8"/>
    <w:rsid w:val="00755D48"/>
    <w:rsid w:val="007565F6"/>
    <w:rsid w:val="00756998"/>
    <w:rsid w:val="007574E1"/>
    <w:rsid w:val="00760C70"/>
    <w:rsid w:val="00761233"/>
    <w:rsid w:val="00761D6C"/>
    <w:rsid w:val="00762D60"/>
    <w:rsid w:val="0076440D"/>
    <w:rsid w:val="00764B96"/>
    <w:rsid w:val="0076520F"/>
    <w:rsid w:val="00765D46"/>
    <w:rsid w:val="00766B50"/>
    <w:rsid w:val="00766F0B"/>
    <w:rsid w:val="007672B5"/>
    <w:rsid w:val="007700F4"/>
    <w:rsid w:val="0077047D"/>
    <w:rsid w:val="007707EC"/>
    <w:rsid w:val="00771168"/>
    <w:rsid w:val="00771342"/>
    <w:rsid w:val="00771578"/>
    <w:rsid w:val="00771696"/>
    <w:rsid w:val="007719CA"/>
    <w:rsid w:val="00772E2B"/>
    <w:rsid w:val="0077355F"/>
    <w:rsid w:val="007743AD"/>
    <w:rsid w:val="00774A0F"/>
    <w:rsid w:val="00775057"/>
    <w:rsid w:val="00775ACE"/>
    <w:rsid w:val="00776B6C"/>
    <w:rsid w:val="00776F5B"/>
    <w:rsid w:val="00777AB6"/>
    <w:rsid w:val="00780087"/>
    <w:rsid w:val="00781D03"/>
    <w:rsid w:val="0078260C"/>
    <w:rsid w:val="00782938"/>
    <w:rsid w:val="00783A00"/>
    <w:rsid w:val="00783B49"/>
    <w:rsid w:val="00783F05"/>
    <w:rsid w:val="00784EBA"/>
    <w:rsid w:val="00785C53"/>
    <w:rsid w:val="0078629B"/>
    <w:rsid w:val="00787299"/>
    <w:rsid w:val="007873CF"/>
    <w:rsid w:val="00790080"/>
    <w:rsid w:val="00790833"/>
    <w:rsid w:val="00790C84"/>
    <w:rsid w:val="00791A16"/>
    <w:rsid w:val="00791A1D"/>
    <w:rsid w:val="007923E9"/>
    <w:rsid w:val="00792549"/>
    <w:rsid w:val="00792892"/>
    <w:rsid w:val="00792D15"/>
    <w:rsid w:val="00792D28"/>
    <w:rsid w:val="007939B1"/>
    <w:rsid w:val="00794355"/>
    <w:rsid w:val="007949EC"/>
    <w:rsid w:val="00794B17"/>
    <w:rsid w:val="007954D7"/>
    <w:rsid w:val="00797DFF"/>
    <w:rsid w:val="00797E7F"/>
    <w:rsid w:val="007A0EFD"/>
    <w:rsid w:val="007A143E"/>
    <w:rsid w:val="007A168E"/>
    <w:rsid w:val="007A1700"/>
    <w:rsid w:val="007A17D8"/>
    <w:rsid w:val="007A1904"/>
    <w:rsid w:val="007A3465"/>
    <w:rsid w:val="007A3AA2"/>
    <w:rsid w:val="007A3B61"/>
    <w:rsid w:val="007A44A3"/>
    <w:rsid w:val="007A4C37"/>
    <w:rsid w:val="007A5054"/>
    <w:rsid w:val="007A52C8"/>
    <w:rsid w:val="007A5A56"/>
    <w:rsid w:val="007A610C"/>
    <w:rsid w:val="007A682D"/>
    <w:rsid w:val="007A6BE8"/>
    <w:rsid w:val="007A6D47"/>
    <w:rsid w:val="007A76C4"/>
    <w:rsid w:val="007A7D51"/>
    <w:rsid w:val="007A7FEB"/>
    <w:rsid w:val="007B01C0"/>
    <w:rsid w:val="007B1350"/>
    <w:rsid w:val="007B2408"/>
    <w:rsid w:val="007B3600"/>
    <w:rsid w:val="007B3AF3"/>
    <w:rsid w:val="007B3C30"/>
    <w:rsid w:val="007B53CE"/>
    <w:rsid w:val="007B53D2"/>
    <w:rsid w:val="007B564B"/>
    <w:rsid w:val="007B5AE1"/>
    <w:rsid w:val="007B5BA7"/>
    <w:rsid w:val="007B653E"/>
    <w:rsid w:val="007B68E5"/>
    <w:rsid w:val="007B7422"/>
    <w:rsid w:val="007B7502"/>
    <w:rsid w:val="007B75D5"/>
    <w:rsid w:val="007B7943"/>
    <w:rsid w:val="007C0395"/>
    <w:rsid w:val="007C03F6"/>
    <w:rsid w:val="007C13A3"/>
    <w:rsid w:val="007C19E1"/>
    <w:rsid w:val="007C1B1C"/>
    <w:rsid w:val="007C1E6A"/>
    <w:rsid w:val="007C214E"/>
    <w:rsid w:val="007C28ED"/>
    <w:rsid w:val="007C2E9A"/>
    <w:rsid w:val="007C2F3A"/>
    <w:rsid w:val="007C2F80"/>
    <w:rsid w:val="007C32EC"/>
    <w:rsid w:val="007C3A97"/>
    <w:rsid w:val="007C3B10"/>
    <w:rsid w:val="007C44FB"/>
    <w:rsid w:val="007C47BB"/>
    <w:rsid w:val="007C5D9B"/>
    <w:rsid w:val="007C6EA9"/>
    <w:rsid w:val="007C6FE1"/>
    <w:rsid w:val="007C71B9"/>
    <w:rsid w:val="007D1591"/>
    <w:rsid w:val="007D1605"/>
    <w:rsid w:val="007D2A73"/>
    <w:rsid w:val="007D38F2"/>
    <w:rsid w:val="007D3B3E"/>
    <w:rsid w:val="007D3E61"/>
    <w:rsid w:val="007D4500"/>
    <w:rsid w:val="007D4938"/>
    <w:rsid w:val="007D50FB"/>
    <w:rsid w:val="007D5FA7"/>
    <w:rsid w:val="007D632E"/>
    <w:rsid w:val="007D6A1C"/>
    <w:rsid w:val="007D73AC"/>
    <w:rsid w:val="007D7D49"/>
    <w:rsid w:val="007E10DC"/>
    <w:rsid w:val="007E1A9C"/>
    <w:rsid w:val="007E3505"/>
    <w:rsid w:val="007E351D"/>
    <w:rsid w:val="007E3739"/>
    <w:rsid w:val="007E3C63"/>
    <w:rsid w:val="007E3DF6"/>
    <w:rsid w:val="007E452C"/>
    <w:rsid w:val="007E4929"/>
    <w:rsid w:val="007E4B8D"/>
    <w:rsid w:val="007E5961"/>
    <w:rsid w:val="007E5BAE"/>
    <w:rsid w:val="007E68B5"/>
    <w:rsid w:val="007E7446"/>
    <w:rsid w:val="007E76A8"/>
    <w:rsid w:val="007E7F53"/>
    <w:rsid w:val="007E7F5C"/>
    <w:rsid w:val="007F04E0"/>
    <w:rsid w:val="007F1690"/>
    <w:rsid w:val="007F1977"/>
    <w:rsid w:val="007F1AD9"/>
    <w:rsid w:val="007F224A"/>
    <w:rsid w:val="007F2A66"/>
    <w:rsid w:val="007F2E6A"/>
    <w:rsid w:val="007F36F9"/>
    <w:rsid w:val="007F3861"/>
    <w:rsid w:val="007F52C4"/>
    <w:rsid w:val="007F57C4"/>
    <w:rsid w:val="007F6328"/>
    <w:rsid w:val="007F64D3"/>
    <w:rsid w:val="007F69C2"/>
    <w:rsid w:val="007F7773"/>
    <w:rsid w:val="007F7BB3"/>
    <w:rsid w:val="007F7C52"/>
    <w:rsid w:val="007F7C8C"/>
    <w:rsid w:val="00800430"/>
    <w:rsid w:val="008007A7"/>
    <w:rsid w:val="008015E1"/>
    <w:rsid w:val="00801686"/>
    <w:rsid w:val="00802542"/>
    <w:rsid w:val="00802764"/>
    <w:rsid w:val="00803F5F"/>
    <w:rsid w:val="00804AFD"/>
    <w:rsid w:val="00804C5C"/>
    <w:rsid w:val="00804D07"/>
    <w:rsid w:val="00804EAB"/>
    <w:rsid w:val="0080547A"/>
    <w:rsid w:val="008058F1"/>
    <w:rsid w:val="00806659"/>
    <w:rsid w:val="00806E43"/>
    <w:rsid w:val="0080704B"/>
    <w:rsid w:val="008079F3"/>
    <w:rsid w:val="00807EB8"/>
    <w:rsid w:val="00810517"/>
    <w:rsid w:val="00810BF9"/>
    <w:rsid w:val="00812676"/>
    <w:rsid w:val="0081270C"/>
    <w:rsid w:val="00812725"/>
    <w:rsid w:val="0081329A"/>
    <w:rsid w:val="00814175"/>
    <w:rsid w:val="0081429A"/>
    <w:rsid w:val="00814B91"/>
    <w:rsid w:val="00814E03"/>
    <w:rsid w:val="0081690A"/>
    <w:rsid w:val="00817876"/>
    <w:rsid w:val="00820000"/>
    <w:rsid w:val="008202F5"/>
    <w:rsid w:val="0082089E"/>
    <w:rsid w:val="00821046"/>
    <w:rsid w:val="008211F4"/>
    <w:rsid w:val="0082182F"/>
    <w:rsid w:val="0082243D"/>
    <w:rsid w:val="00822840"/>
    <w:rsid w:val="00822BBC"/>
    <w:rsid w:val="00822F91"/>
    <w:rsid w:val="008237C6"/>
    <w:rsid w:val="00823921"/>
    <w:rsid w:val="00823FA8"/>
    <w:rsid w:val="0082403E"/>
    <w:rsid w:val="00824053"/>
    <w:rsid w:val="00824193"/>
    <w:rsid w:val="00824D69"/>
    <w:rsid w:val="00825BA7"/>
    <w:rsid w:val="0082682C"/>
    <w:rsid w:val="00826936"/>
    <w:rsid w:val="00826B32"/>
    <w:rsid w:val="00826E6D"/>
    <w:rsid w:val="00830688"/>
    <w:rsid w:val="008307EC"/>
    <w:rsid w:val="00830832"/>
    <w:rsid w:val="00830D5C"/>
    <w:rsid w:val="00830DA3"/>
    <w:rsid w:val="00831267"/>
    <w:rsid w:val="00831CB7"/>
    <w:rsid w:val="008329A1"/>
    <w:rsid w:val="008331A5"/>
    <w:rsid w:val="008334A2"/>
    <w:rsid w:val="00833CF3"/>
    <w:rsid w:val="00834900"/>
    <w:rsid w:val="00834F45"/>
    <w:rsid w:val="008356D7"/>
    <w:rsid w:val="00835D7D"/>
    <w:rsid w:val="00836289"/>
    <w:rsid w:val="008368E9"/>
    <w:rsid w:val="00836FC5"/>
    <w:rsid w:val="00837283"/>
    <w:rsid w:val="00837529"/>
    <w:rsid w:val="008375E3"/>
    <w:rsid w:val="00837B43"/>
    <w:rsid w:val="00840005"/>
    <w:rsid w:val="008427AE"/>
    <w:rsid w:val="008434CE"/>
    <w:rsid w:val="0084470E"/>
    <w:rsid w:val="0084483E"/>
    <w:rsid w:val="00844DEA"/>
    <w:rsid w:val="00845D76"/>
    <w:rsid w:val="0084600E"/>
    <w:rsid w:val="0084615F"/>
    <w:rsid w:val="008468C1"/>
    <w:rsid w:val="00846B95"/>
    <w:rsid w:val="00846DB1"/>
    <w:rsid w:val="00846F70"/>
    <w:rsid w:val="00847380"/>
    <w:rsid w:val="0084791F"/>
    <w:rsid w:val="00847C51"/>
    <w:rsid w:val="0085145D"/>
    <w:rsid w:val="00852518"/>
    <w:rsid w:val="008527C7"/>
    <w:rsid w:val="00853654"/>
    <w:rsid w:val="00853861"/>
    <w:rsid w:val="00853A96"/>
    <w:rsid w:val="00853C44"/>
    <w:rsid w:val="00854061"/>
    <w:rsid w:val="00855BB5"/>
    <w:rsid w:val="00855F57"/>
    <w:rsid w:val="00856736"/>
    <w:rsid w:val="00856F89"/>
    <w:rsid w:val="00860429"/>
    <w:rsid w:val="00860727"/>
    <w:rsid w:val="0086184A"/>
    <w:rsid w:val="008621B0"/>
    <w:rsid w:val="00862C5E"/>
    <w:rsid w:val="00862D1B"/>
    <w:rsid w:val="00862DD9"/>
    <w:rsid w:val="00862F02"/>
    <w:rsid w:val="00863B8B"/>
    <w:rsid w:val="008647E3"/>
    <w:rsid w:val="00865371"/>
    <w:rsid w:val="008653BA"/>
    <w:rsid w:val="00865AFB"/>
    <w:rsid w:val="008674DD"/>
    <w:rsid w:val="00867DD9"/>
    <w:rsid w:val="0087006B"/>
    <w:rsid w:val="00870187"/>
    <w:rsid w:val="00870CBE"/>
    <w:rsid w:val="0087184E"/>
    <w:rsid w:val="00872B49"/>
    <w:rsid w:val="00872C77"/>
    <w:rsid w:val="0087300D"/>
    <w:rsid w:val="00873DB5"/>
    <w:rsid w:val="008745C0"/>
    <w:rsid w:val="008749F4"/>
    <w:rsid w:val="00875388"/>
    <w:rsid w:val="008756D8"/>
    <w:rsid w:val="00875849"/>
    <w:rsid w:val="0087594F"/>
    <w:rsid w:val="00877A02"/>
    <w:rsid w:val="00877EF2"/>
    <w:rsid w:val="00880821"/>
    <w:rsid w:val="00880A6F"/>
    <w:rsid w:val="00881C2E"/>
    <w:rsid w:val="008826B0"/>
    <w:rsid w:val="008827B5"/>
    <w:rsid w:val="0088346D"/>
    <w:rsid w:val="00883F58"/>
    <w:rsid w:val="00885458"/>
    <w:rsid w:val="008856E3"/>
    <w:rsid w:val="00885A6E"/>
    <w:rsid w:val="00886317"/>
    <w:rsid w:val="0088654F"/>
    <w:rsid w:val="00886A63"/>
    <w:rsid w:val="008873C8"/>
    <w:rsid w:val="00887539"/>
    <w:rsid w:val="00887EC8"/>
    <w:rsid w:val="00891E90"/>
    <w:rsid w:val="0089263D"/>
    <w:rsid w:val="0089325A"/>
    <w:rsid w:val="008939CA"/>
    <w:rsid w:val="00894F2C"/>
    <w:rsid w:val="008952F0"/>
    <w:rsid w:val="00895ACD"/>
    <w:rsid w:val="00895B29"/>
    <w:rsid w:val="00895C7C"/>
    <w:rsid w:val="00896BEB"/>
    <w:rsid w:val="00896DC0"/>
    <w:rsid w:val="0089708F"/>
    <w:rsid w:val="008A04AD"/>
    <w:rsid w:val="008A19CA"/>
    <w:rsid w:val="008A1C95"/>
    <w:rsid w:val="008A273C"/>
    <w:rsid w:val="008A2C6B"/>
    <w:rsid w:val="008A3762"/>
    <w:rsid w:val="008A4B59"/>
    <w:rsid w:val="008A5916"/>
    <w:rsid w:val="008A5B60"/>
    <w:rsid w:val="008A5C06"/>
    <w:rsid w:val="008A5EC1"/>
    <w:rsid w:val="008A6484"/>
    <w:rsid w:val="008A74B6"/>
    <w:rsid w:val="008A7954"/>
    <w:rsid w:val="008A7F85"/>
    <w:rsid w:val="008B06CF"/>
    <w:rsid w:val="008B1014"/>
    <w:rsid w:val="008B1430"/>
    <w:rsid w:val="008B1BD4"/>
    <w:rsid w:val="008B2853"/>
    <w:rsid w:val="008B2856"/>
    <w:rsid w:val="008B2D87"/>
    <w:rsid w:val="008B3EF5"/>
    <w:rsid w:val="008B402D"/>
    <w:rsid w:val="008B445A"/>
    <w:rsid w:val="008B4A9C"/>
    <w:rsid w:val="008B5939"/>
    <w:rsid w:val="008B62B0"/>
    <w:rsid w:val="008B6366"/>
    <w:rsid w:val="008B66DF"/>
    <w:rsid w:val="008B68A5"/>
    <w:rsid w:val="008B6B3F"/>
    <w:rsid w:val="008B6B9E"/>
    <w:rsid w:val="008B760A"/>
    <w:rsid w:val="008B7B89"/>
    <w:rsid w:val="008B7C1C"/>
    <w:rsid w:val="008B7C77"/>
    <w:rsid w:val="008C0D4B"/>
    <w:rsid w:val="008C0E2F"/>
    <w:rsid w:val="008C0F57"/>
    <w:rsid w:val="008C15E6"/>
    <w:rsid w:val="008C1A02"/>
    <w:rsid w:val="008C1FF6"/>
    <w:rsid w:val="008C223B"/>
    <w:rsid w:val="008C25C9"/>
    <w:rsid w:val="008C2700"/>
    <w:rsid w:val="008C2D08"/>
    <w:rsid w:val="008C3B28"/>
    <w:rsid w:val="008C3C9F"/>
    <w:rsid w:val="008C3D3C"/>
    <w:rsid w:val="008C3DF4"/>
    <w:rsid w:val="008C499C"/>
    <w:rsid w:val="008C5832"/>
    <w:rsid w:val="008C5C1B"/>
    <w:rsid w:val="008C60E5"/>
    <w:rsid w:val="008C6140"/>
    <w:rsid w:val="008C630D"/>
    <w:rsid w:val="008C63A8"/>
    <w:rsid w:val="008C6A23"/>
    <w:rsid w:val="008C6FD2"/>
    <w:rsid w:val="008C7870"/>
    <w:rsid w:val="008C7DAC"/>
    <w:rsid w:val="008D01FA"/>
    <w:rsid w:val="008D092D"/>
    <w:rsid w:val="008D0BE8"/>
    <w:rsid w:val="008D0D29"/>
    <w:rsid w:val="008D224D"/>
    <w:rsid w:val="008D22DE"/>
    <w:rsid w:val="008D2446"/>
    <w:rsid w:val="008D2914"/>
    <w:rsid w:val="008D2A22"/>
    <w:rsid w:val="008D3ECE"/>
    <w:rsid w:val="008D3FE8"/>
    <w:rsid w:val="008D528F"/>
    <w:rsid w:val="008D5D84"/>
    <w:rsid w:val="008D6371"/>
    <w:rsid w:val="008D6E6B"/>
    <w:rsid w:val="008D769E"/>
    <w:rsid w:val="008D7FE0"/>
    <w:rsid w:val="008E00BB"/>
    <w:rsid w:val="008E01A0"/>
    <w:rsid w:val="008E0241"/>
    <w:rsid w:val="008E06A1"/>
    <w:rsid w:val="008E0B5A"/>
    <w:rsid w:val="008E0D90"/>
    <w:rsid w:val="008E125E"/>
    <w:rsid w:val="008E12F1"/>
    <w:rsid w:val="008E2928"/>
    <w:rsid w:val="008E2B6A"/>
    <w:rsid w:val="008E3163"/>
    <w:rsid w:val="008E327C"/>
    <w:rsid w:val="008E4033"/>
    <w:rsid w:val="008E4631"/>
    <w:rsid w:val="008E52CB"/>
    <w:rsid w:val="008E537F"/>
    <w:rsid w:val="008E58AA"/>
    <w:rsid w:val="008E58C8"/>
    <w:rsid w:val="008E5A86"/>
    <w:rsid w:val="008E5CC4"/>
    <w:rsid w:val="008E6D02"/>
    <w:rsid w:val="008E7B9D"/>
    <w:rsid w:val="008F068B"/>
    <w:rsid w:val="008F0BCE"/>
    <w:rsid w:val="008F1729"/>
    <w:rsid w:val="008F1AB4"/>
    <w:rsid w:val="008F1D21"/>
    <w:rsid w:val="008F1F78"/>
    <w:rsid w:val="008F226D"/>
    <w:rsid w:val="008F23BB"/>
    <w:rsid w:val="008F2A30"/>
    <w:rsid w:val="008F2C6D"/>
    <w:rsid w:val="008F33F0"/>
    <w:rsid w:val="008F3A22"/>
    <w:rsid w:val="008F4119"/>
    <w:rsid w:val="008F4F94"/>
    <w:rsid w:val="008F59FA"/>
    <w:rsid w:val="008F5AE5"/>
    <w:rsid w:val="008F658F"/>
    <w:rsid w:val="008F7586"/>
    <w:rsid w:val="008F788B"/>
    <w:rsid w:val="008F7D84"/>
    <w:rsid w:val="00900283"/>
    <w:rsid w:val="00900890"/>
    <w:rsid w:val="00900B6F"/>
    <w:rsid w:val="0090155F"/>
    <w:rsid w:val="00903225"/>
    <w:rsid w:val="00903427"/>
    <w:rsid w:val="00903BED"/>
    <w:rsid w:val="00903D78"/>
    <w:rsid w:val="00903E95"/>
    <w:rsid w:val="00904A7C"/>
    <w:rsid w:val="009052BE"/>
    <w:rsid w:val="009059FF"/>
    <w:rsid w:val="00905ADD"/>
    <w:rsid w:val="00907B02"/>
    <w:rsid w:val="00907DE6"/>
    <w:rsid w:val="00910D69"/>
    <w:rsid w:val="00911E7B"/>
    <w:rsid w:val="0091458D"/>
    <w:rsid w:val="00915007"/>
    <w:rsid w:val="00916219"/>
    <w:rsid w:val="00916833"/>
    <w:rsid w:val="009169A1"/>
    <w:rsid w:val="00916CC1"/>
    <w:rsid w:val="00916E34"/>
    <w:rsid w:val="0091731F"/>
    <w:rsid w:val="00917365"/>
    <w:rsid w:val="009178A4"/>
    <w:rsid w:val="009200DD"/>
    <w:rsid w:val="00920533"/>
    <w:rsid w:val="00920B8D"/>
    <w:rsid w:val="00921484"/>
    <w:rsid w:val="00921A23"/>
    <w:rsid w:val="00921BBD"/>
    <w:rsid w:val="00922D52"/>
    <w:rsid w:val="0092326A"/>
    <w:rsid w:val="0092341A"/>
    <w:rsid w:val="009242C1"/>
    <w:rsid w:val="009251E8"/>
    <w:rsid w:val="00925972"/>
    <w:rsid w:val="00925D1E"/>
    <w:rsid w:val="00925FFD"/>
    <w:rsid w:val="009260DE"/>
    <w:rsid w:val="0092620E"/>
    <w:rsid w:val="00926644"/>
    <w:rsid w:val="00926F22"/>
    <w:rsid w:val="0092706F"/>
    <w:rsid w:val="009300B4"/>
    <w:rsid w:val="0093056D"/>
    <w:rsid w:val="00931CC9"/>
    <w:rsid w:val="00931E73"/>
    <w:rsid w:val="0093219C"/>
    <w:rsid w:val="009334B0"/>
    <w:rsid w:val="009335AF"/>
    <w:rsid w:val="009338DE"/>
    <w:rsid w:val="00933B31"/>
    <w:rsid w:val="0093415E"/>
    <w:rsid w:val="00934C68"/>
    <w:rsid w:val="0093508B"/>
    <w:rsid w:val="009353DB"/>
    <w:rsid w:val="009362BE"/>
    <w:rsid w:val="00936C20"/>
    <w:rsid w:val="00936D3F"/>
    <w:rsid w:val="00936E37"/>
    <w:rsid w:val="00937DA4"/>
    <w:rsid w:val="00937F94"/>
    <w:rsid w:val="00940242"/>
    <w:rsid w:val="00940EE8"/>
    <w:rsid w:val="0094162A"/>
    <w:rsid w:val="009421A7"/>
    <w:rsid w:val="00942D6F"/>
    <w:rsid w:val="0094357C"/>
    <w:rsid w:val="009436DD"/>
    <w:rsid w:val="00944C68"/>
    <w:rsid w:val="00946E21"/>
    <w:rsid w:val="009472D4"/>
    <w:rsid w:val="009472F6"/>
    <w:rsid w:val="009476B2"/>
    <w:rsid w:val="00947C8A"/>
    <w:rsid w:val="00950047"/>
    <w:rsid w:val="00950381"/>
    <w:rsid w:val="009505BD"/>
    <w:rsid w:val="00951CDE"/>
    <w:rsid w:val="00951DFD"/>
    <w:rsid w:val="0095201E"/>
    <w:rsid w:val="009522FA"/>
    <w:rsid w:val="00952717"/>
    <w:rsid w:val="0095279E"/>
    <w:rsid w:val="0095347D"/>
    <w:rsid w:val="0095350B"/>
    <w:rsid w:val="009535A9"/>
    <w:rsid w:val="009536AE"/>
    <w:rsid w:val="00953735"/>
    <w:rsid w:val="009538B8"/>
    <w:rsid w:val="00953C01"/>
    <w:rsid w:val="00953FC5"/>
    <w:rsid w:val="009547EC"/>
    <w:rsid w:val="0095540D"/>
    <w:rsid w:val="00955EBB"/>
    <w:rsid w:val="009560EA"/>
    <w:rsid w:val="00956243"/>
    <w:rsid w:val="00956496"/>
    <w:rsid w:val="00956D07"/>
    <w:rsid w:val="009577C9"/>
    <w:rsid w:val="00960C1C"/>
    <w:rsid w:val="00961781"/>
    <w:rsid w:val="00961CD9"/>
    <w:rsid w:val="009624C1"/>
    <w:rsid w:val="00962737"/>
    <w:rsid w:val="00962BFB"/>
    <w:rsid w:val="00963066"/>
    <w:rsid w:val="00963379"/>
    <w:rsid w:val="0096428A"/>
    <w:rsid w:val="0096490B"/>
    <w:rsid w:val="00965C19"/>
    <w:rsid w:val="00965F59"/>
    <w:rsid w:val="00966563"/>
    <w:rsid w:val="009679A5"/>
    <w:rsid w:val="00967D4F"/>
    <w:rsid w:val="00970294"/>
    <w:rsid w:val="0097113A"/>
    <w:rsid w:val="0097134D"/>
    <w:rsid w:val="009713D0"/>
    <w:rsid w:val="009716A9"/>
    <w:rsid w:val="00971B3A"/>
    <w:rsid w:val="0097274D"/>
    <w:rsid w:val="00972D79"/>
    <w:rsid w:val="00972DB0"/>
    <w:rsid w:val="009730AF"/>
    <w:rsid w:val="0097366C"/>
    <w:rsid w:val="00973B9A"/>
    <w:rsid w:val="00973E3B"/>
    <w:rsid w:val="00974727"/>
    <w:rsid w:val="00974C6C"/>
    <w:rsid w:val="00975498"/>
    <w:rsid w:val="0097628E"/>
    <w:rsid w:val="009765A0"/>
    <w:rsid w:val="00976CB7"/>
    <w:rsid w:val="009775AD"/>
    <w:rsid w:val="00977B4B"/>
    <w:rsid w:val="009801E3"/>
    <w:rsid w:val="00980CAD"/>
    <w:rsid w:val="00981B81"/>
    <w:rsid w:val="00982B72"/>
    <w:rsid w:val="00983718"/>
    <w:rsid w:val="00983B11"/>
    <w:rsid w:val="00983C5E"/>
    <w:rsid w:val="00983C7A"/>
    <w:rsid w:val="0098421E"/>
    <w:rsid w:val="00984C17"/>
    <w:rsid w:val="00984E7B"/>
    <w:rsid w:val="00984ECA"/>
    <w:rsid w:val="00985BCD"/>
    <w:rsid w:val="009866B0"/>
    <w:rsid w:val="009869F9"/>
    <w:rsid w:val="00986F30"/>
    <w:rsid w:val="009872FC"/>
    <w:rsid w:val="009877A2"/>
    <w:rsid w:val="009905B2"/>
    <w:rsid w:val="00990B14"/>
    <w:rsid w:val="00990E9B"/>
    <w:rsid w:val="00991320"/>
    <w:rsid w:val="00992C1E"/>
    <w:rsid w:val="0099331D"/>
    <w:rsid w:val="00993BBB"/>
    <w:rsid w:val="009940D7"/>
    <w:rsid w:val="0099576F"/>
    <w:rsid w:val="00995BCA"/>
    <w:rsid w:val="00996026"/>
    <w:rsid w:val="009966CB"/>
    <w:rsid w:val="00996CAA"/>
    <w:rsid w:val="00997800"/>
    <w:rsid w:val="00997847"/>
    <w:rsid w:val="009A015B"/>
    <w:rsid w:val="009A132F"/>
    <w:rsid w:val="009A1C1B"/>
    <w:rsid w:val="009A2338"/>
    <w:rsid w:val="009A2377"/>
    <w:rsid w:val="009A2871"/>
    <w:rsid w:val="009A32DB"/>
    <w:rsid w:val="009A3630"/>
    <w:rsid w:val="009A3B9B"/>
    <w:rsid w:val="009A3FC1"/>
    <w:rsid w:val="009A5C64"/>
    <w:rsid w:val="009A69EF"/>
    <w:rsid w:val="009A6BF3"/>
    <w:rsid w:val="009A745B"/>
    <w:rsid w:val="009A7615"/>
    <w:rsid w:val="009A789F"/>
    <w:rsid w:val="009B0B7F"/>
    <w:rsid w:val="009B0C0E"/>
    <w:rsid w:val="009B0F92"/>
    <w:rsid w:val="009B16AD"/>
    <w:rsid w:val="009B240C"/>
    <w:rsid w:val="009B25AF"/>
    <w:rsid w:val="009B263F"/>
    <w:rsid w:val="009B29E3"/>
    <w:rsid w:val="009B2BB1"/>
    <w:rsid w:val="009B41C4"/>
    <w:rsid w:val="009B4536"/>
    <w:rsid w:val="009B5517"/>
    <w:rsid w:val="009B5B1C"/>
    <w:rsid w:val="009B6275"/>
    <w:rsid w:val="009B7271"/>
    <w:rsid w:val="009B7332"/>
    <w:rsid w:val="009B7640"/>
    <w:rsid w:val="009B7A9F"/>
    <w:rsid w:val="009B7FBA"/>
    <w:rsid w:val="009C09B0"/>
    <w:rsid w:val="009C0D81"/>
    <w:rsid w:val="009C12CB"/>
    <w:rsid w:val="009C1B57"/>
    <w:rsid w:val="009C2AD2"/>
    <w:rsid w:val="009C3605"/>
    <w:rsid w:val="009C4BE8"/>
    <w:rsid w:val="009C4EF2"/>
    <w:rsid w:val="009C59BC"/>
    <w:rsid w:val="009C6F71"/>
    <w:rsid w:val="009C7ED3"/>
    <w:rsid w:val="009D12DE"/>
    <w:rsid w:val="009D14BD"/>
    <w:rsid w:val="009D1687"/>
    <w:rsid w:val="009D25F9"/>
    <w:rsid w:val="009D2B76"/>
    <w:rsid w:val="009D357B"/>
    <w:rsid w:val="009D35B6"/>
    <w:rsid w:val="009D38A4"/>
    <w:rsid w:val="009D3D15"/>
    <w:rsid w:val="009D46C7"/>
    <w:rsid w:val="009D4877"/>
    <w:rsid w:val="009D48C7"/>
    <w:rsid w:val="009D4B50"/>
    <w:rsid w:val="009D4CEB"/>
    <w:rsid w:val="009D53A2"/>
    <w:rsid w:val="009D556E"/>
    <w:rsid w:val="009D5D22"/>
    <w:rsid w:val="009D5F85"/>
    <w:rsid w:val="009D63D5"/>
    <w:rsid w:val="009D6CE9"/>
    <w:rsid w:val="009D6D8E"/>
    <w:rsid w:val="009D776D"/>
    <w:rsid w:val="009E014B"/>
    <w:rsid w:val="009E03C6"/>
    <w:rsid w:val="009E083D"/>
    <w:rsid w:val="009E1185"/>
    <w:rsid w:val="009E1C9C"/>
    <w:rsid w:val="009E3049"/>
    <w:rsid w:val="009E3418"/>
    <w:rsid w:val="009E4270"/>
    <w:rsid w:val="009E4723"/>
    <w:rsid w:val="009E49ED"/>
    <w:rsid w:val="009E4B21"/>
    <w:rsid w:val="009E4C2F"/>
    <w:rsid w:val="009E4F3B"/>
    <w:rsid w:val="009E5091"/>
    <w:rsid w:val="009E564F"/>
    <w:rsid w:val="009E59DC"/>
    <w:rsid w:val="009E6AAF"/>
    <w:rsid w:val="009E72AA"/>
    <w:rsid w:val="009F077F"/>
    <w:rsid w:val="009F10B0"/>
    <w:rsid w:val="009F1DB3"/>
    <w:rsid w:val="009F1DF3"/>
    <w:rsid w:val="009F26A5"/>
    <w:rsid w:val="009F2BCB"/>
    <w:rsid w:val="009F30B3"/>
    <w:rsid w:val="009F32B3"/>
    <w:rsid w:val="009F3BE2"/>
    <w:rsid w:val="009F3F8D"/>
    <w:rsid w:val="009F419D"/>
    <w:rsid w:val="009F4C4F"/>
    <w:rsid w:val="009F4F4B"/>
    <w:rsid w:val="009F6940"/>
    <w:rsid w:val="009F6C1F"/>
    <w:rsid w:val="009F7158"/>
    <w:rsid w:val="009F7225"/>
    <w:rsid w:val="009F79B4"/>
    <w:rsid w:val="009F7ADA"/>
    <w:rsid w:val="00A00703"/>
    <w:rsid w:val="00A0087A"/>
    <w:rsid w:val="00A00B3A"/>
    <w:rsid w:val="00A00C7A"/>
    <w:rsid w:val="00A01061"/>
    <w:rsid w:val="00A01D04"/>
    <w:rsid w:val="00A01E33"/>
    <w:rsid w:val="00A029A5"/>
    <w:rsid w:val="00A02EBE"/>
    <w:rsid w:val="00A03F49"/>
    <w:rsid w:val="00A0494C"/>
    <w:rsid w:val="00A056C3"/>
    <w:rsid w:val="00A05DF8"/>
    <w:rsid w:val="00A061FE"/>
    <w:rsid w:val="00A06DBB"/>
    <w:rsid w:val="00A078B3"/>
    <w:rsid w:val="00A07D03"/>
    <w:rsid w:val="00A07D3C"/>
    <w:rsid w:val="00A07F5B"/>
    <w:rsid w:val="00A1008B"/>
    <w:rsid w:val="00A10952"/>
    <w:rsid w:val="00A10B2C"/>
    <w:rsid w:val="00A10BFD"/>
    <w:rsid w:val="00A10E14"/>
    <w:rsid w:val="00A115D2"/>
    <w:rsid w:val="00A115F9"/>
    <w:rsid w:val="00A11C2A"/>
    <w:rsid w:val="00A12D0C"/>
    <w:rsid w:val="00A13E8A"/>
    <w:rsid w:val="00A14F9C"/>
    <w:rsid w:val="00A1654A"/>
    <w:rsid w:val="00A175C8"/>
    <w:rsid w:val="00A1790A"/>
    <w:rsid w:val="00A20C4F"/>
    <w:rsid w:val="00A216AA"/>
    <w:rsid w:val="00A216FA"/>
    <w:rsid w:val="00A2171D"/>
    <w:rsid w:val="00A223E6"/>
    <w:rsid w:val="00A22AB8"/>
    <w:rsid w:val="00A22B47"/>
    <w:rsid w:val="00A22EEB"/>
    <w:rsid w:val="00A23237"/>
    <w:rsid w:val="00A24151"/>
    <w:rsid w:val="00A249CD"/>
    <w:rsid w:val="00A24B7A"/>
    <w:rsid w:val="00A24D4E"/>
    <w:rsid w:val="00A24DDD"/>
    <w:rsid w:val="00A25049"/>
    <w:rsid w:val="00A25388"/>
    <w:rsid w:val="00A25AD7"/>
    <w:rsid w:val="00A25FDC"/>
    <w:rsid w:val="00A2636F"/>
    <w:rsid w:val="00A2662A"/>
    <w:rsid w:val="00A271D9"/>
    <w:rsid w:val="00A273B1"/>
    <w:rsid w:val="00A31044"/>
    <w:rsid w:val="00A3183A"/>
    <w:rsid w:val="00A32540"/>
    <w:rsid w:val="00A32A3B"/>
    <w:rsid w:val="00A33A44"/>
    <w:rsid w:val="00A34061"/>
    <w:rsid w:val="00A34230"/>
    <w:rsid w:val="00A3552B"/>
    <w:rsid w:val="00A35E24"/>
    <w:rsid w:val="00A3645B"/>
    <w:rsid w:val="00A36CBF"/>
    <w:rsid w:val="00A36D61"/>
    <w:rsid w:val="00A37BF8"/>
    <w:rsid w:val="00A401E0"/>
    <w:rsid w:val="00A4148A"/>
    <w:rsid w:val="00A41CCA"/>
    <w:rsid w:val="00A41F67"/>
    <w:rsid w:val="00A42724"/>
    <w:rsid w:val="00A42BFC"/>
    <w:rsid w:val="00A437C7"/>
    <w:rsid w:val="00A43838"/>
    <w:rsid w:val="00A438E7"/>
    <w:rsid w:val="00A43CF0"/>
    <w:rsid w:val="00A4427A"/>
    <w:rsid w:val="00A44EB3"/>
    <w:rsid w:val="00A45527"/>
    <w:rsid w:val="00A46219"/>
    <w:rsid w:val="00A463D1"/>
    <w:rsid w:val="00A46F37"/>
    <w:rsid w:val="00A46F7F"/>
    <w:rsid w:val="00A473C9"/>
    <w:rsid w:val="00A47964"/>
    <w:rsid w:val="00A5026B"/>
    <w:rsid w:val="00A508C5"/>
    <w:rsid w:val="00A50EF5"/>
    <w:rsid w:val="00A50F16"/>
    <w:rsid w:val="00A510A3"/>
    <w:rsid w:val="00A5129D"/>
    <w:rsid w:val="00A515FD"/>
    <w:rsid w:val="00A5161B"/>
    <w:rsid w:val="00A51ABD"/>
    <w:rsid w:val="00A51C0D"/>
    <w:rsid w:val="00A5212E"/>
    <w:rsid w:val="00A525F1"/>
    <w:rsid w:val="00A52B5F"/>
    <w:rsid w:val="00A5333D"/>
    <w:rsid w:val="00A533A0"/>
    <w:rsid w:val="00A535B9"/>
    <w:rsid w:val="00A55AF5"/>
    <w:rsid w:val="00A55E7B"/>
    <w:rsid w:val="00A5650A"/>
    <w:rsid w:val="00A56F73"/>
    <w:rsid w:val="00A57282"/>
    <w:rsid w:val="00A57B59"/>
    <w:rsid w:val="00A57D6E"/>
    <w:rsid w:val="00A601AA"/>
    <w:rsid w:val="00A60417"/>
    <w:rsid w:val="00A60422"/>
    <w:rsid w:val="00A60617"/>
    <w:rsid w:val="00A607F4"/>
    <w:rsid w:val="00A60871"/>
    <w:rsid w:val="00A608BE"/>
    <w:rsid w:val="00A60BCF"/>
    <w:rsid w:val="00A60D9C"/>
    <w:rsid w:val="00A61428"/>
    <w:rsid w:val="00A61CD9"/>
    <w:rsid w:val="00A61D03"/>
    <w:rsid w:val="00A62BEE"/>
    <w:rsid w:val="00A64201"/>
    <w:rsid w:val="00A6428A"/>
    <w:rsid w:val="00A64605"/>
    <w:rsid w:val="00A65FC2"/>
    <w:rsid w:val="00A6678B"/>
    <w:rsid w:val="00A66A4E"/>
    <w:rsid w:val="00A6737C"/>
    <w:rsid w:val="00A67868"/>
    <w:rsid w:val="00A67B10"/>
    <w:rsid w:val="00A700B4"/>
    <w:rsid w:val="00A702B3"/>
    <w:rsid w:val="00A70494"/>
    <w:rsid w:val="00A71090"/>
    <w:rsid w:val="00A714A4"/>
    <w:rsid w:val="00A72237"/>
    <w:rsid w:val="00A72296"/>
    <w:rsid w:val="00A726D4"/>
    <w:rsid w:val="00A728F2"/>
    <w:rsid w:val="00A7302B"/>
    <w:rsid w:val="00A73D0B"/>
    <w:rsid w:val="00A73F5C"/>
    <w:rsid w:val="00A741E3"/>
    <w:rsid w:val="00A743A2"/>
    <w:rsid w:val="00A74F36"/>
    <w:rsid w:val="00A75105"/>
    <w:rsid w:val="00A760DA"/>
    <w:rsid w:val="00A76319"/>
    <w:rsid w:val="00A76C00"/>
    <w:rsid w:val="00A77879"/>
    <w:rsid w:val="00A77A6B"/>
    <w:rsid w:val="00A77D4D"/>
    <w:rsid w:val="00A77EEF"/>
    <w:rsid w:val="00A80302"/>
    <w:rsid w:val="00A8089B"/>
    <w:rsid w:val="00A8090A"/>
    <w:rsid w:val="00A80CA1"/>
    <w:rsid w:val="00A8195F"/>
    <w:rsid w:val="00A81B32"/>
    <w:rsid w:val="00A81E85"/>
    <w:rsid w:val="00A82DE5"/>
    <w:rsid w:val="00A83942"/>
    <w:rsid w:val="00A83C48"/>
    <w:rsid w:val="00A840CA"/>
    <w:rsid w:val="00A8464A"/>
    <w:rsid w:val="00A8481C"/>
    <w:rsid w:val="00A84C68"/>
    <w:rsid w:val="00A8553A"/>
    <w:rsid w:val="00A876BD"/>
    <w:rsid w:val="00A91148"/>
    <w:rsid w:val="00A9163D"/>
    <w:rsid w:val="00A92FE9"/>
    <w:rsid w:val="00A93128"/>
    <w:rsid w:val="00A93523"/>
    <w:rsid w:val="00A93828"/>
    <w:rsid w:val="00A94AD7"/>
    <w:rsid w:val="00A950BC"/>
    <w:rsid w:val="00A956A8"/>
    <w:rsid w:val="00A95BF4"/>
    <w:rsid w:val="00A95F9A"/>
    <w:rsid w:val="00A9647C"/>
    <w:rsid w:val="00A96617"/>
    <w:rsid w:val="00A96CD9"/>
    <w:rsid w:val="00A970AB"/>
    <w:rsid w:val="00A97C7D"/>
    <w:rsid w:val="00A97D77"/>
    <w:rsid w:val="00AA070A"/>
    <w:rsid w:val="00AA0974"/>
    <w:rsid w:val="00AA122E"/>
    <w:rsid w:val="00AA13C1"/>
    <w:rsid w:val="00AA246D"/>
    <w:rsid w:val="00AA30FF"/>
    <w:rsid w:val="00AA3518"/>
    <w:rsid w:val="00AA38FD"/>
    <w:rsid w:val="00AA3F68"/>
    <w:rsid w:val="00AA3FCB"/>
    <w:rsid w:val="00AA4221"/>
    <w:rsid w:val="00AA43E8"/>
    <w:rsid w:val="00AA4695"/>
    <w:rsid w:val="00AA4DCF"/>
    <w:rsid w:val="00AA59D1"/>
    <w:rsid w:val="00AA677C"/>
    <w:rsid w:val="00AA6B1D"/>
    <w:rsid w:val="00AA6D1C"/>
    <w:rsid w:val="00AA736E"/>
    <w:rsid w:val="00AA7493"/>
    <w:rsid w:val="00AA79CE"/>
    <w:rsid w:val="00AB067E"/>
    <w:rsid w:val="00AB06D8"/>
    <w:rsid w:val="00AB06F6"/>
    <w:rsid w:val="00AB1AC2"/>
    <w:rsid w:val="00AB1C8D"/>
    <w:rsid w:val="00AB1F38"/>
    <w:rsid w:val="00AB2561"/>
    <w:rsid w:val="00AB285B"/>
    <w:rsid w:val="00AB2908"/>
    <w:rsid w:val="00AB2CD0"/>
    <w:rsid w:val="00AB3870"/>
    <w:rsid w:val="00AB39F5"/>
    <w:rsid w:val="00AB40F6"/>
    <w:rsid w:val="00AB464F"/>
    <w:rsid w:val="00AB46D2"/>
    <w:rsid w:val="00AB50F7"/>
    <w:rsid w:val="00AB5337"/>
    <w:rsid w:val="00AB5D27"/>
    <w:rsid w:val="00AB6500"/>
    <w:rsid w:val="00AB66A8"/>
    <w:rsid w:val="00AB6816"/>
    <w:rsid w:val="00AB7A0C"/>
    <w:rsid w:val="00AB7ED6"/>
    <w:rsid w:val="00AC0099"/>
    <w:rsid w:val="00AC00B7"/>
    <w:rsid w:val="00AC0988"/>
    <w:rsid w:val="00AC14CD"/>
    <w:rsid w:val="00AC1E2D"/>
    <w:rsid w:val="00AC2C8F"/>
    <w:rsid w:val="00AC30AF"/>
    <w:rsid w:val="00AC3C06"/>
    <w:rsid w:val="00AC3DA3"/>
    <w:rsid w:val="00AC4371"/>
    <w:rsid w:val="00AC53FE"/>
    <w:rsid w:val="00AC646F"/>
    <w:rsid w:val="00AC70A9"/>
    <w:rsid w:val="00AC7C95"/>
    <w:rsid w:val="00AC7DB8"/>
    <w:rsid w:val="00AC7E65"/>
    <w:rsid w:val="00AD0060"/>
    <w:rsid w:val="00AD04A6"/>
    <w:rsid w:val="00AD0AE2"/>
    <w:rsid w:val="00AD1849"/>
    <w:rsid w:val="00AD1FB3"/>
    <w:rsid w:val="00AD2196"/>
    <w:rsid w:val="00AD2494"/>
    <w:rsid w:val="00AD2954"/>
    <w:rsid w:val="00AD2C63"/>
    <w:rsid w:val="00AD2E5F"/>
    <w:rsid w:val="00AD2F81"/>
    <w:rsid w:val="00AD49B8"/>
    <w:rsid w:val="00AD4AC6"/>
    <w:rsid w:val="00AD4B53"/>
    <w:rsid w:val="00AD4D48"/>
    <w:rsid w:val="00AD5001"/>
    <w:rsid w:val="00AD5347"/>
    <w:rsid w:val="00AD5544"/>
    <w:rsid w:val="00AD6AEF"/>
    <w:rsid w:val="00AD75E4"/>
    <w:rsid w:val="00AD7BB7"/>
    <w:rsid w:val="00AE09C1"/>
    <w:rsid w:val="00AE1D12"/>
    <w:rsid w:val="00AE25D7"/>
    <w:rsid w:val="00AE2E7B"/>
    <w:rsid w:val="00AE3355"/>
    <w:rsid w:val="00AE3718"/>
    <w:rsid w:val="00AE392F"/>
    <w:rsid w:val="00AE4756"/>
    <w:rsid w:val="00AE4DB8"/>
    <w:rsid w:val="00AE4E8C"/>
    <w:rsid w:val="00AE4F09"/>
    <w:rsid w:val="00AE587E"/>
    <w:rsid w:val="00AE5A21"/>
    <w:rsid w:val="00AE60B3"/>
    <w:rsid w:val="00AE662A"/>
    <w:rsid w:val="00AE6849"/>
    <w:rsid w:val="00AE6C8D"/>
    <w:rsid w:val="00AE7055"/>
    <w:rsid w:val="00AE75EC"/>
    <w:rsid w:val="00AE7C7A"/>
    <w:rsid w:val="00AF0243"/>
    <w:rsid w:val="00AF0ECD"/>
    <w:rsid w:val="00AF21E1"/>
    <w:rsid w:val="00AF2706"/>
    <w:rsid w:val="00AF2920"/>
    <w:rsid w:val="00AF363F"/>
    <w:rsid w:val="00AF37F4"/>
    <w:rsid w:val="00AF3817"/>
    <w:rsid w:val="00AF3997"/>
    <w:rsid w:val="00AF5302"/>
    <w:rsid w:val="00AF5823"/>
    <w:rsid w:val="00AF5B6F"/>
    <w:rsid w:val="00AF5C24"/>
    <w:rsid w:val="00AF5D21"/>
    <w:rsid w:val="00AF602C"/>
    <w:rsid w:val="00AF7CAB"/>
    <w:rsid w:val="00B0053A"/>
    <w:rsid w:val="00B00FD1"/>
    <w:rsid w:val="00B01803"/>
    <w:rsid w:val="00B01895"/>
    <w:rsid w:val="00B024A2"/>
    <w:rsid w:val="00B03142"/>
    <w:rsid w:val="00B03467"/>
    <w:rsid w:val="00B03711"/>
    <w:rsid w:val="00B03A2A"/>
    <w:rsid w:val="00B049BD"/>
    <w:rsid w:val="00B0543C"/>
    <w:rsid w:val="00B056C4"/>
    <w:rsid w:val="00B07680"/>
    <w:rsid w:val="00B07B59"/>
    <w:rsid w:val="00B07D19"/>
    <w:rsid w:val="00B104AE"/>
    <w:rsid w:val="00B10B60"/>
    <w:rsid w:val="00B10E5A"/>
    <w:rsid w:val="00B10ED9"/>
    <w:rsid w:val="00B11149"/>
    <w:rsid w:val="00B11649"/>
    <w:rsid w:val="00B1183F"/>
    <w:rsid w:val="00B119B9"/>
    <w:rsid w:val="00B11A6D"/>
    <w:rsid w:val="00B11C10"/>
    <w:rsid w:val="00B1252C"/>
    <w:rsid w:val="00B1356B"/>
    <w:rsid w:val="00B136F0"/>
    <w:rsid w:val="00B13B41"/>
    <w:rsid w:val="00B146C4"/>
    <w:rsid w:val="00B14758"/>
    <w:rsid w:val="00B1653D"/>
    <w:rsid w:val="00B168FD"/>
    <w:rsid w:val="00B17151"/>
    <w:rsid w:val="00B17226"/>
    <w:rsid w:val="00B176FA"/>
    <w:rsid w:val="00B17930"/>
    <w:rsid w:val="00B17AB0"/>
    <w:rsid w:val="00B17E0F"/>
    <w:rsid w:val="00B204C8"/>
    <w:rsid w:val="00B208A2"/>
    <w:rsid w:val="00B211FA"/>
    <w:rsid w:val="00B212FC"/>
    <w:rsid w:val="00B2148A"/>
    <w:rsid w:val="00B2185C"/>
    <w:rsid w:val="00B21E91"/>
    <w:rsid w:val="00B21F19"/>
    <w:rsid w:val="00B22487"/>
    <w:rsid w:val="00B22B96"/>
    <w:rsid w:val="00B2308B"/>
    <w:rsid w:val="00B23412"/>
    <w:rsid w:val="00B241F6"/>
    <w:rsid w:val="00B244C5"/>
    <w:rsid w:val="00B249AA"/>
    <w:rsid w:val="00B265E5"/>
    <w:rsid w:val="00B2695F"/>
    <w:rsid w:val="00B27849"/>
    <w:rsid w:val="00B300E7"/>
    <w:rsid w:val="00B30529"/>
    <w:rsid w:val="00B307C0"/>
    <w:rsid w:val="00B308F0"/>
    <w:rsid w:val="00B3145F"/>
    <w:rsid w:val="00B31511"/>
    <w:rsid w:val="00B31552"/>
    <w:rsid w:val="00B31CB6"/>
    <w:rsid w:val="00B322E5"/>
    <w:rsid w:val="00B32824"/>
    <w:rsid w:val="00B33B18"/>
    <w:rsid w:val="00B345CF"/>
    <w:rsid w:val="00B358FC"/>
    <w:rsid w:val="00B36F52"/>
    <w:rsid w:val="00B377F6"/>
    <w:rsid w:val="00B37BA7"/>
    <w:rsid w:val="00B37EA6"/>
    <w:rsid w:val="00B40CED"/>
    <w:rsid w:val="00B41557"/>
    <w:rsid w:val="00B41781"/>
    <w:rsid w:val="00B42E31"/>
    <w:rsid w:val="00B4341F"/>
    <w:rsid w:val="00B434E9"/>
    <w:rsid w:val="00B43EDB"/>
    <w:rsid w:val="00B4512B"/>
    <w:rsid w:val="00B45B55"/>
    <w:rsid w:val="00B46471"/>
    <w:rsid w:val="00B46E70"/>
    <w:rsid w:val="00B47358"/>
    <w:rsid w:val="00B47591"/>
    <w:rsid w:val="00B508D4"/>
    <w:rsid w:val="00B50A6E"/>
    <w:rsid w:val="00B517E1"/>
    <w:rsid w:val="00B52562"/>
    <w:rsid w:val="00B544C0"/>
    <w:rsid w:val="00B54E65"/>
    <w:rsid w:val="00B559EB"/>
    <w:rsid w:val="00B55B79"/>
    <w:rsid w:val="00B56A19"/>
    <w:rsid w:val="00B571FB"/>
    <w:rsid w:val="00B57D7E"/>
    <w:rsid w:val="00B600D0"/>
    <w:rsid w:val="00B60781"/>
    <w:rsid w:val="00B613FF"/>
    <w:rsid w:val="00B615E7"/>
    <w:rsid w:val="00B61732"/>
    <w:rsid w:val="00B61E49"/>
    <w:rsid w:val="00B61E7F"/>
    <w:rsid w:val="00B61EDB"/>
    <w:rsid w:val="00B620C6"/>
    <w:rsid w:val="00B62147"/>
    <w:rsid w:val="00B635EF"/>
    <w:rsid w:val="00B638C4"/>
    <w:rsid w:val="00B63CC7"/>
    <w:rsid w:val="00B64CCE"/>
    <w:rsid w:val="00B65565"/>
    <w:rsid w:val="00B65D4F"/>
    <w:rsid w:val="00B66243"/>
    <w:rsid w:val="00B6695E"/>
    <w:rsid w:val="00B66D0E"/>
    <w:rsid w:val="00B66FC9"/>
    <w:rsid w:val="00B70502"/>
    <w:rsid w:val="00B706E9"/>
    <w:rsid w:val="00B71BEF"/>
    <w:rsid w:val="00B7209F"/>
    <w:rsid w:val="00B7356A"/>
    <w:rsid w:val="00B73839"/>
    <w:rsid w:val="00B74601"/>
    <w:rsid w:val="00B75438"/>
    <w:rsid w:val="00B75954"/>
    <w:rsid w:val="00B75EA7"/>
    <w:rsid w:val="00B762B4"/>
    <w:rsid w:val="00B772FB"/>
    <w:rsid w:val="00B77C1F"/>
    <w:rsid w:val="00B77E94"/>
    <w:rsid w:val="00B80C15"/>
    <w:rsid w:val="00B810C8"/>
    <w:rsid w:val="00B8129F"/>
    <w:rsid w:val="00B817F0"/>
    <w:rsid w:val="00B82873"/>
    <w:rsid w:val="00B82A1A"/>
    <w:rsid w:val="00B82ADB"/>
    <w:rsid w:val="00B82D34"/>
    <w:rsid w:val="00B83323"/>
    <w:rsid w:val="00B8414B"/>
    <w:rsid w:val="00B85282"/>
    <w:rsid w:val="00B85971"/>
    <w:rsid w:val="00B85C33"/>
    <w:rsid w:val="00B85E90"/>
    <w:rsid w:val="00B8677E"/>
    <w:rsid w:val="00B870E5"/>
    <w:rsid w:val="00B87BCF"/>
    <w:rsid w:val="00B87DF0"/>
    <w:rsid w:val="00B87E4C"/>
    <w:rsid w:val="00B903C7"/>
    <w:rsid w:val="00B90597"/>
    <w:rsid w:val="00B92032"/>
    <w:rsid w:val="00B93870"/>
    <w:rsid w:val="00B941DC"/>
    <w:rsid w:val="00B944D6"/>
    <w:rsid w:val="00B94701"/>
    <w:rsid w:val="00B95BEB"/>
    <w:rsid w:val="00B961D9"/>
    <w:rsid w:val="00B9676E"/>
    <w:rsid w:val="00B97541"/>
    <w:rsid w:val="00B976FD"/>
    <w:rsid w:val="00B97767"/>
    <w:rsid w:val="00BA0212"/>
    <w:rsid w:val="00BA09CA"/>
    <w:rsid w:val="00BA1FAD"/>
    <w:rsid w:val="00BA2638"/>
    <w:rsid w:val="00BA3707"/>
    <w:rsid w:val="00BA41D5"/>
    <w:rsid w:val="00BA4253"/>
    <w:rsid w:val="00BA45D7"/>
    <w:rsid w:val="00BA4A86"/>
    <w:rsid w:val="00BA530B"/>
    <w:rsid w:val="00BA545F"/>
    <w:rsid w:val="00BA6DDD"/>
    <w:rsid w:val="00BA72E7"/>
    <w:rsid w:val="00BA7323"/>
    <w:rsid w:val="00BA76F5"/>
    <w:rsid w:val="00BA7E49"/>
    <w:rsid w:val="00BB008B"/>
    <w:rsid w:val="00BB0AED"/>
    <w:rsid w:val="00BB1966"/>
    <w:rsid w:val="00BB36E4"/>
    <w:rsid w:val="00BB4117"/>
    <w:rsid w:val="00BB49EE"/>
    <w:rsid w:val="00BB4E18"/>
    <w:rsid w:val="00BB5076"/>
    <w:rsid w:val="00BB560E"/>
    <w:rsid w:val="00BB5A43"/>
    <w:rsid w:val="00BB5B4B"/>
    <w:rsid w:val="00BB5BBB"/>
    <w:rsid w:val="00BB5E61"/>
    <w:rsid w:val="00BB6646"/>
    <w:rsid w:val="00BB66EB"/>
    <w:rsid w:val="00BB692B"/>
    <w:rsid w:val="00BB7050"/>
    <w:rsid w:val="00BB78C2"/>
    <w:rsid w:val="00BC0117"/>
    <w:rsid w:val="00BC07F3"/>
    <w:rsid w:val="00BC0AA8"/>
    <w:rsid w:val="00BC1FFF"/>
    <w:rsid w:val="00BC2F3B"/>
    <w:rsid w:val="00BC3389"/>
    <w:rsid w:val="00BC3587"/>
    <w:rsid w:val="00BC3A57"/>
    <w:rsid w:val="00BC473D"/>
    <w:rsid w:val="00BC489E"/>
    <w:rsid w:val="00BC4AD7"/>
    <w:rsid w:val="00BC4EDB"/>
    <w:rsid w:val="00BC5949"/>
    <w:rsid w:val="00BC5CAC"/>
    <w:rsid w:val="00BC5D7E"/>
    <w:rsid w:val="00BC6338"/>
    <w:rsid w:val="00BC69E2"/>
    <w:rsid w:val="00BC6FAA"/>
    <w:rsid w:val="00BC7317"/>
    <w:rsid w:val="00BC74E8"/>
    <w:rsid w:val="00BC7D1D"/>
    <w:rsid w:val="00BD108D"/>
    <w:rsid w:val="00BD139A"/>
    <w:rsid w:val="00BD234E"/>
    <w:rsid w:val="00BD2377"/>
    <w:rsid w:val="00BD2537"/>
    <w:rsid w:val="00BD25BA"/>
    <w:rsid w:val="00BD3184"/>
    <w:rsid w:val="00BD4223"/>
    <w:rsid w:val="00BD5008"/>
    <w:rsid w:val="00BD57FC"/>
    <w:rsid w:val="00BD6508"/>
    <w:rsid w:val="00BD7393"/>
    <w:rsid w:val="00BD797D"/>
    <w:rsid w:val="00BD79E8"/>
    <w:rsid w:val="00BE03F1"/>
    <w:rsid w:val="00BE0DEB"/>
    <w:rsid w:val="00BE10AD"/>
    <w:rsid w:val="00BE1785"/>
    <w:rsid w:val="00BE1F67"/>
    <w:rsid w:val="00BE2478"/>
    <w:rsid w:val="00BE32DB"/>
    <w:rsid w:val="00BE4E93"/>
    <w:rsid w:val="00BE5136"/>
    <w:rsid w:val="00BE534F"/>
    <w:rsid w:val="00BE5467"/>
    <w:rsid w:val="00BE6726"/>
    <w:rsid w:val="00BE6B68"/>
    <w:rsid w:val="00BE71DD"/>
    <w:rsid w:val="00BE7E17"/>
    <w:rsid w:val="00BE7ED8"/>
    <w:rsid w:val="00BF063C"/>
    <w:rsid w:val="00BF2010"/>
    <w:rsid w:val="00BF257C"/>
    <w:rsid w:val="00BF259D"/>
    <w:rsid w:val="00BF2C4A"/>
    <w:rsid w:val="00BF2E9A"/>
    <w:rsid w:val="00BF2EAE"/>
    <w:rsid w:val="00BF2F4E"/>
    <w:rsid w:val="00BF3500"/>
    <w:rsid w:val="00BF4551"/>
    <w:rsid w:val="00BF46E2"/>
    <w:rsid w:val="00BF4AB5"/>
    <w:rsid w:val="00BF517D"/>
    <w:rsid w:val="00BF55EB"/>
    <w:rsid w:val="00BF580B"/>
    <w:rsid w:val="00BF59C6"/>
    <w:rsid w:val="00BF67DC"/>
    <w:rsid w:val="00BF6C12"/>
    <w:rsid w:val="00BF6D98"/>
    <w:rsid w:val="00C0025D"/>
    <w:rsid w:val="00C0040C"/>
    <w:rsid w:val="00C00AB8"/>
    <w:rsid w:val="00C0103A"/>
    <w:rsid w:val="00C0108F"/>
    <w:rsid w:val="00C01174"/>
    <w:rsid w:val="00C01D5B"/>
    <w:rsid w:val="00C01FF1"/>
    <w:rsid w:val="00C020A0"/>
    <w:rsid w:val="00C024CB"/>
    <w:rsid w:val="00C02A23"/>
    <w:rsid w:val="00C02FAE"/>
    <w:rsid w:val="00C034FF"/>
    <w:rsid w:val="00C04566"/>
    <w:rsid w:val="00C05AC1"/>
    <w:rsid w:val="00C05D99"/>
    <w:rsid w:val="00C063A9"/>
    <w:rsid w:val="00C063CF"/>
    <w:rsid w:val="00C07288"/>
    <w:rsid w:val="00C10AB1"/>
    <w:rsid w:val="00C10CAC"/>
    <w:rsid w:val="00C113F4"/>
    <w:rsid w:val="00C115C1"/>
    <w:rsid w:val="00C12729"/>
    <w:rsid w:val="00C12DD0"/>
    <w:rsid w:val="00C13232"/>
    <w:rsid w:val="00C13290"/>
    <w:rsid w:val="00C134DD"/>
    <w:rsid w:val="00C1351E"/>
    <w:rsid w:val="00C13A5E"/>
    <w:rsid w:val="00C142F4"/>
    <w:rsid w:val="00C151AB"/>
    <w:rsid w:val="00C151D8"/>
    <w:rsid w:val="00C158F6"/>
    <w:rsid w:val="00C159A2"/>
    <w:rsid w:val="00C15BCC"/>
    <w:rsid w:val="00C15EE9"/>
    <w:rsid w:val="00C169D3"/>
    <w:rsid w:val="00C16F8C"/>
    <w:rsid w:val="00C17139"/>
    <w:rsid w:val="00C17D35"/>
    <w:rsid w:val="00C208C3"/>
    <w:rsid w:val="00C2093F"/>
    <w:rsid w:val="00C21522"/>
    <w:rsid w:val="00C21B04"/>
    <w:rsid w:val="00C21CBD"/>
    <w:rsid w:val="00C22865"/>
    <w:rsid w:val="00C22C73"/>
    <w:rsid w:val="00C2352D"/>
    <w:rsid w:val="00C23620"/>
    <w:rsid w:val="00C246B4"/>
    <w:rsid w:val="00C248AF"/>
    <w:rsid w:val="00C24BB0"/>
    <w:rsid w:val="00C24C2E"/>
    <w:rsid w:val="00C251AE"/>
    <w:rsid w:val="00C255E5"/>
    <w:rsid w:val="00C25835"/>
    <w:rsid w:val="00C26131"/>
    <w:rsid w:val="00C26193"/>
    <w:rsid w:val="00C2683C"/>
    <w:rsid w:val="00C2706A"/>
    <w:rsid w:val="00C27A48"/>
    <w:rsid w:val="00C305FE"/>
    <w:rsid w:val="00C32812"/>
    <w:rsid w:val="00C3401F"/>
    <w:rsid w:val="00C343ED"/>
    <w:rsid w:val="00C368B7"/>
    <w:rsid w:val="00C3692B"/>
    <w:rsid w:val="00C376C7"/>
    <w:rsid w:val="00C37863"/>
    <w:rsid w:val="00C37B6C"/>
    <w:rsid w:val="00C40DD3"/>
    <w:rsid w:val="00C42358"/>
    <w:rsid w:val="00C4264C"/>
    <w:rsid w:val="00C4265C"/>
    <w:rsid w:val="00C43A69"/>
    <w:rsid w:val="00C43AFB"/>
    <w:rsid w:val="00C44470"/>
    <w:rsid w:val="00C44844"/>
    <w:rsid w:val="00C45621"/>
    <w:rsid w:val="00C460E7"/>
    <w:rsid w:val="00C46622"/>
    <w:rsid w:val="00C46B0D"/>
    <w:rsid w:val="00C4753D"/>
    <w:rsid w:val="00C50089"/>
    <w:rsid w:val="00C50D0A"/>
    <w:rsid w:val="00C51A54"/>
    <w:rsid w:val="00C53DAC"/>
    <w:rsid w:val="00C5422D"/>
    <w:rsid w:val="00C55757"/>
    <w:rsid w:val="00C55824"/>
    <w:rsid w:val="00C55881"/>
    <w:rsid w:val="00C56F91"/>
    <w:rsid w:val="00C57DF7"/>
    <w:rsid w:val="00C616CE"/>
    <w:rsid w:val="00C61C4D"/>
    <w:rsid w:val="00C6221D"/>
    <w:rsid w:val="00C62650"/>
    <w:rsid w:val="00C62B67"/>
    <w:rsid w:val="00C62E15"/>
    <w:rsid w:val="00C63E07"/>
    <w:rsid w:val="00C6411E"/>
    <w:rsid w:val="00C6457E"/>
    <w:rsid w:val="00C64668"/>
    <w:rsid w:val="00C64681"/>
    <w:rsid w:val="00C64876"/>
    <w:rsid w:val="00C64F4A"/>
    <w:rsid w:val="00C65934"/>
    <w:rsid w:val="00C65E32"/>
    <w:rsid w:val="00C6632F"/>
    <w:rsid w:val="00C67275"/>
    <w:rsid w:val="00C70151"/>
    <w:rsid w:val="00C704C6"/>
    <w:rsid w:val="00C71C2F"/>
    <w:rsid w:val="00C7238A"/>
    <w:rsid w:val="00C731DE"/>
    <w:rsid w:val="00C73D89"/>
    <w:rsid w:val="00C740E6"/>
    <w:rsid w:val="00C74730"/>
    <w:rsid w:val="00C74DF2"/>
    <w:rsid w:val="00C75183"/>
    <w:rsid w:val="00C75D0D"/>
    <w:rsid w:val="00C761A1"/>
    <w:rsid w:val="00C763FA"/>
    <w:rsid w:val="00C767D5"/>
    <w:rsid w:val="00C7686A"/>
    <w:rsid w:val="00C77198"/>
    <w:rsid w:val="00C8005B"/>
    <w:rsid w:val="00C802E0"/>
    <w:rsid w:val="00C805AC"/>
    <w:rsid w:val="00C80840"/>
    <w:rsid w:val="00C80B42"/>
    <w:rsid w:val="00C81C85"/>
    <w:rsid w:val="00C82472"/>
    <w:rsid w:val="00C8283A"/>
    <w:rsid w:val="00C83A3C"/>
    <w:rsid w:val="00C83BFA"/>
    <w:rsid w:val="00C83C5A"/>
    <w:rsid w:val="00C84020"/>
    <w:rsid w:val="00C8473E"/>
    <w:rsid w:val="00C8541A"/>
    <w:rsid w:val="00C85DAC"/>
    <w:rsid w:val="00C85DD1"/>
    <w:rsid w:val="00C85FA3"/>
    <w:rsid w:val="00C8617D"/>
    <w:rsid w:val="00C86191"/>
    <w:rsid w:val="00C86197"/>
    <w:rsid w:val="00C865EE"/>
    <w:rsid w:val="00C86885"/>
    <w:rsid w:val="00C87154"/>
    <w:rsid w:val="00C87AC6"/>
    <w:rsid w:val="00C90D67"/>
    <w:rsid w:val="00C919F5"/>
    <w:rsid w:val="00C922EB"/>
    <w:rsid w:val="00C92838"/>
    <w:rsid w:val="00C92DCE"/>
    <w:rsid w:val="00C930AE"/>
    <w:rsid w:val="00C93469"/>
    <w:rsid w:val="00C93EA6"/>
    <w:rsid w:val="00C9495A"/>
    <w:rsid w:val="00C95206"/>
    <w:rsid w:val="00C95981"/>
    <w:rsid w:val="00C962A2"/>
    <w:rsid w:val="00C96490"/>
    <w:rsid w:val="00C96D39"/>
    <w:rsid w:val="00C97D8A"/>
    <w:rsid w:val="00C97F75"/>
    <w:rsid w:val="00C97FCC"/>
    <w:rsid w:val="00CA027F"/>
    <w:rsid w:val="00CA0FD3"/>
    <w:rsid w:val="00CA15BE"/>
    <w:rsid w:val="00CA1BE6"/>
    <w:rsid w:val="00CA26F5"/>
    <w:rsid w:val="00CA2A29"/>
    <w:rsid w:val="00CA2B61"/>
    <w:rsid w:val="00CA2B7B"/>
    <w:rsid w:val="00CA327F"/>
    <w:rsid w:val="00CA32B4"/>
    <w:rsid w:val="00CA351E"/>
    <w:rsid w:val="00CA372F"/>
    <w:rsid w:val="00CA387C"/>
    <w:rsid w:val="00CA4B6B"/>
    <w:rsid w:val="00CA638F"/>
    <w:rsid w:val="00CA63FF"/>
    <w:rsid w:val="00CA6651"/>
    <w:rsid w:val="00CA672C"/>
    <w:rsid w:val="00CA7317"/>
    <w:rsid w:val="00CB0A21"/>
    <w:rsid w:val="00CB0CAE"/>
    <w:rsid w:val="00CB1552"/>
    <w:rsid w:val="00CB19FC"/>
    <w:rsid w:val="00CB2ABF"/>
    <w:rsid w:val="00CB332E"/>
    <w:rsid w:val="00CB3426"/>
    <w:rsid w:val="00CB4559"/>
    <w:rsid w:val="00CB463C"/>
    <w:rsid w:val="00CB4898"/>
    <w:rsid w:val="00CB56EB"/>
    <w:rsid w:val="00CB56F4"/>
    <w:rsid w:val="00CB5716"/>
    <w:rsid w:val="00CB5A3D"/>
    <w:rsid w:val="00CB5C09"/>
    <w:rsid w:val="00CB6225"/>
    <w:rsid w:val="00CB6451"/>
    <w:rsid w:val="00CB656D"/>
    <w:rsid w:val="00CB6AE9"/>
    <w:rsid w:val="00CB6F07"/>
    <w:rsid w:val="00CB79FB"/>
    <w:rsid w:val="00CB7C50"/>
    <w:rsid w:val="00CC03A3"/>
    <w:rsid w:val="00CC065B"/>
    <w:rsid w:val="00CC0C1F"/>
    <w:rsid w:val="00CC0C81"/>
    <w:rsid w:val="00CC0CAD"/>
    <w:rsid w:val="00CC0F56"/>
    <w:rsid w:val="00CC0F7D"/>
    <w:rsid w:val="00CC1292"/>
    <w:rsid w:val="00CC1742"/>
    <w:rsid w:val="00CC28E8"/>
    <w:rsid w:val="00CC2E69"/>
    <w:rsid w:val="00CC3B8F"/>
    <w:rsid w:val="00CC5B94"/>
    <w:rsid w:val="00CC5C68"/>
    <w:rsid w:val="00CC69AE"/>
    <w:rsid w:val="00CC6AF5"/>
    <w:rsid w:val="00CC7594"/>
    <w:rsid w:val="00CC76A4"/>
    <w:rsid w:val="00CC7A1E"/>
    <w:rsid w:val="00CD023F"/>
    <w:rsid w:val="00CD0F7A"/>
    <w:rsid w:val="00CD1A09"/>
    <w:rsid w:val="00CD2309"/>
    <w:rsid w:val="00CD3597"/>
    <w:rsid w:val="00CD3AAA"/>
    <w:rsid w:val="00CD49D0"/>
    <w:rsid w:val="00CD4EB2"/>
    <w:rsid w:val="00CD4F97"/>
    <w:rsid w:val="00CD5FFD"/>
    <w:rsid w:val="00CD63D9"/>
    <w:rsid w:val="00CD6522"/>
    <w:rsid w:val="00CD66A7"/>
    <w:rsid w:val="00CD6E0A"/>
    <w:rsid w:val="00CD78B8"/>
    <w:rsid w:val="00CE0693"/>
    <w:rsid w:val="00CE0823"/>
    <w:rsid w:val="00CE19D1"/>
    <w:rsid w:val="00CE21EC"/>
    <w:rsid w:val="00CE2287"/>
    <w:rsid w:val="00CE33C7"/>
    <w:rsid w:val="00CE3746"/>
    <w:rsid w:val="00CE3F7F"/>
    <w:rsid w:val="00CE4077"/>
    <w:rsid w:val="00CE411D"/>
    <w:rsid w:val="00CE43F2"/>
    <w:rsid w:val="00CE4604"/>
    <w:rsid w:val="00CE4935"/>
    <w:rsid w:val="00CE508A"/>
    <w:rsid w:val="00CE59DE"/>
    <w:rsid w:val="00CE5B2A"/>
    <w:rsid w:val="00CE69DE"/>
    <w:rsid w:val="00CE77EE"/>
    <w:rsid w:val="00CE7BAB"/>
    <w:rsid w:val="00CF03B4"/>
    <w:rsid w:val="00CF0588"/>
    <w:rsid w:val="00CF0705"/>
    <w:rsid w:val="00CF180C"/>
    <w:rsid w:val="00CF1D43"/>
    <w:rsid w:val="00CF1EF0"/>
    <w:rsid w:val="00CF248E"/>
    <w:rsid w:val="00CF30C1"/>
    <w:rsid w:val="00CF34DC"/>
    <w:rsid w:val="00CF3639"/>
    <w:rsid w:val="00CF3792"/>
    <w:rsid w:val="00CF3944"/>
    <w:rsid w:val="00CF4462"/>
    <w:rsid w:val="00CF4464"/>
    <w:rsid w:val="00CF45AB"/>
    <w:rsid w:val="00CF4867"/>
    <w:rsid w:val="00CF4993"/>
    <w:rsid w:val="00CF4A38"/>
    <w:rsid w:val="00CF4A63"/>
    <w:rsid w:val="00CF4B41"/>
    <w:rsid w:val="00CF5588"/>
    <w:rsid w:val="00CF68BE"/>
    <w:rsid w:val="00CF7E5F"/>
    <w:rsid w:val="00D0061F"/>
    <w:rsid w:val="00D0068C"/>
    <w:rsid w:val="00D01638"/>
    <w:rsid w:val="00D03059"/>
    <w:rsid w:val="00D03A1B"/>
    <w:rsid w:val="00D041F6"/>
    <w:rsid w:val="00D04479"/>
    <w:rsid w:val="00D04A31"/>
    <w:rsid w:val="00D04EF4"/>
    <w:rsid w:val="00D07F15"/>
    <w:rsid w:val="00D101A6"/>
    <w:rsid w:val="00D1056F"/>
    <w:rsid w:val="00D10AC7"/>
    <w:rsid w:val="00D10B1C"/>
    <w:rsid w:val="00D10E56"/>
    <w:rsid w:val="00D1140C"/>
    <w:rsid w:val="00D122E1"/>
    <w:rsid w:val="00D123DA"/>
    <w:rsid w:val="00D12535"/>
    <w:rsid w:val="00D130DA"/>
    <w:rsid w:val="00D143E5"/>
    <w:rsid w:val="00D1447D"/>
    <w:rsid w:val="00D14B17"/>
    <w:rsid w:val="00D15889"/>
    <w:rsid w:val="00D15B6D"/>
    <w:rsid w:val="00D15DBB"/>
    <w:rsid w:val="00D16310"/>
    <w:rsid w:val="00D16D73"/>
    <w:rsid w:val="00D16F44"/>
    <w:rsid w:val="00D17621"/>
    <w:rsid w:val="00D17672"/>
    <w:rsid w:val="00D17833"/>
    <w:rsid w:val="00D20616"/>
    <w:rsid w:val="00D20623"/>
    <w:rsid w:val="00D21A26"/>
    <w:rsid w:val="00D21BF2"/>
    <w:rsid w:val="00D22463"/>
    <w:rsid w:val="00D2263F"/>
    <w:rsid w:val="00D2283B"/>
    <w:rsid w:val="00D22A6D"/>
    <w:rsid w:val="00D22AAE"/>
    <w:rsid w:val="00D22E21"/>
    <w:rsid w:val="00D22F4D"/>
    <w:rsid w:val="00D2308B"/>
    <w:rsid w:val="00D23D86"/>
    <w:rsid w:val="00D24F8B"/>
    <w:rsid w:val="00D2508C"/>
    <w:rsid w:val="00D261A6"/>
    <w:rsid w:val="00D26324"/>
    <w:rsid w:val="00D266B6"/>
    <w:rsid w:val="00D277BD"/>
    <w:rsid w:val="00D27EA3"/>
    <w:rsid w:val="00D301FD"/>
    <w:rsid w:val="00D303F5"/>
    <w:rsid w:val="00D30751"/>
    <w:rsid w:val="00D31D76"/>
    <w:rsid w:val="00D31F5B"/>
    <w:rsid w:val="00D328F6"/>
    <w:rsid w:val="00D32AB1"/>
    <w:rsid w:val="00D33074"/>
    <w:rsid w:val="00D33201"/>
    <w:rsid w:val="00D339C9"/>
    <w:rsid w:val="00D3486E"/>
    <w:rsid w:val="00D3543A"/>
    <w:rsid w:val="00D36ACA"/>
    <w:rsid w:val="00D37BED"/>
    <w:rsid w:val="00D37C67"/>
    <w:rsid w:val="00D400FE"/>
    <w:rsid w:val="00D40210"/>
    <w:rsid w:val="00D40B92"/>
    <w:rsid w:val="00D40F05"/>
    <w:rsid w:val="00D422BD"/>
    <w:rsid w:val="00D424AC"/>
    <w:rsid w:val="00D42C34"/>
    <w:rsid w:val="00D42E5B"/>
    <w:rsid w:val="00D42E7E"/>
    <w:rsid w:val="00D447AD"/>
    <w:rsid w:val="00D45019"/>
    <w:rsid w:val="00D45808"/>
    <w:rsid w:val="00D464D9"/>
    <w:rsid w:val="00D46A2D"/>
    <w:rsid w:val="00D472FF"/>
    <w:rsid w:val="00D4753A"/>
    <w:rsid w:val="00D51177"/>
    <w:rsid w:val="00D51B26"/>
    <w:rsid w:val="00D51C06"/>
    <w:rsid w:val="00D526CD"/>
    <w:rsid w:val="00D52768"/>
    <w:rsid w:val="00D54037"/>
    <w:rsid w:val="00D544D3"/>
    <w:rsid w:val="00D5464F"/>
    <w:rsid w:val="00D54D05"/>
    <w:rsid w:val="00D55DBC"/>
    <w:rsid w:val="00D569BD"/>
    <w:rsid w:val="00D5726D"/>
    <w:rsid w:val="00D60C80"/>
    <w:rsid w:val="00D616C8"/>
    <w:rsid w:val="00D61C94"/>
    <w:rsid w:val="00D621D9"/>
    <w:rsid w:val="00D6229B"/>
    <w:rsid w:val="00D62522"/>
    <w:rsid w:val="00D62836"/>
    <w:rsid w:val="00D62C7B"/>
    <w:rsid w:val="00D62DEA"/>
    <w:rsid w:val="00D63091"/>
    <w:rsid w:val="00D6321B"/>
    <w:rsid w:val="00D63443"/>
    <w:rsid w:val="00D6350C"/>
    <w:rsid w:val="00D63B57"/>
    <w:rsid w:val="00D63BFF"/>
    <w:rsid w:val="00D64111"/>
    <w:rsid w:val="00D64189"/>
    <w:rsid w:val="00D6436D"/>
    <w:rsid w:val="00D64941"/>
    <w:rsid w:val="00D649C3"/>
    <w:rsid w:val="00D64A1B"/>
    <w:rsid w:val="00D64C12"/>
    <w:rsid w:val="00D654CD"/>
    <w:rsid w:val="00D65570"/>
    <w:rsid w:val="00D65C82"/>
    <w:rsid w:val="00D665EB"/>
    <w:rsid w:val="00D66C9A"/>
    <w:rsid w:val="00D66E4F"/>
    <w:rsid w:val="00D66F70"/>
    <w:rsid w:val="00D67CF2"/>
    <w:rsid w:val="00D67E85"/>
    <w:rsid w:val="00D70262"/>
    <w:rsid w:val="00D705B9"/>
    <w:rsid w:val="00D70D09"/>
    <w:rsid w:val="00D714EE"/>
    <w:rsid w:val="00D718AE"/>
    <w:rsid w:val="00D72301"/>
    <w:rsid w:val="00D72423"/>
    <w:rsid w:val="00D72DED"/>
    <w:rsid w:val="00D72E90"/>
    <w:rsid w:val="00D72F43"/>
    <w:rsid w:val="00D73021"/>
    <w:rsid w:val="00D736F1"/>
    <w:rsid w:val="00D73DB6"/>
    <w:rsid w:val="00D74125"/>
    <w:rsid w:val="00D750D3"/>
    <w:rsid w:val="00D75F5E"/>
    <w:rsid w:val="00D76AF0"/>
    <w:rsid w:val="00D77274"/>
    <w:rsid w:val="00D77776"/>
    <w:rsid w:val="00D80140"/>
    <w:rsid w:val="00D80990"/>
    <w:rsid w:val="00D82E07"/>
    <w:rsid w:val="00D830BD"/>
    <w:rsid w:val="00D83A74"/>
    <w:rsid w:val="00D851B3"/>
    <w:rsid w:val="00D856A9"/>
    <w:rsid w:val="00D85B85"/>
    <w:rsid w:val="00D85BF6"/>
    <w:rsid w:val="00D8637F"/>
    <w:rsid w:val="00D8674A"/>
    <w:rsid w:val="00D86DC4"/>
    <w:rsid w:val="00D86F6C"/>
    <w:rsid w:val="00D8721C"/>
    <w:rsid w:val="00D87689"/>
    <w:rsid w:val="00D91965"/>
    <w:rsid w:val="00D91DEB"/>
    <w:rsid w:val="00D93272"/>
    <w:rsid w:val="00D9493E"/>
    <w:rsid w:val="00D94D6F"/>
    <w:rsid w:val="00D958C8"/>
    <w:rsid w:val="00D95CB6"/>
    <w:rsid w:val="00D963C6"/>
    <w:rsid w:val="00D96D0F"/>
    <w:rsid w:val="00D97156"/>
    <w:rsid w:val="00D97257"/>
    <w:rsid w:val="00D975AE"/>
    <w:rsid w:val="00D976F6"/>
    <w:rsid w:val="00D97839"/>
    <w:rsid w:val="00D97A78"/>
    <w:rsid w:val="00DA0153"/>
    <w:rsid w:val="00DA04A0"/>
    <w:rsid w:val="00DA14D6"/>
    <w:rsid w:val="00DA2620"/>
    <w:rsid w:val="00DA281E"/>
    <w:rsid w:val="00DA2A96"/>
    <w:rsid w:val="00DA380B"/>
    <w:rsid w:val="00DA429E"/>
    <w:rsid w:val="00DA440C"/>
    <w:rsid w:val="00DA4801"/>
    <w:rsid w:val="00DA55D8"/>
    <w:rsid w:val="00DA5DBB"/>
    <w:rsid w:val="00DA68B1"/>
    <w:rsid w:val="00DA7985"/>
    <w:rsid w:val="00DA7F0D"/>
    <w:rsid w:val="00DB00A7"/>
    <w:rsid w:val="00DB037E"/>
    <w:rsid w:val="00DB07BA"/>
    <w:rsid w:val="00DB0C95"/>
    <w:rsid w:val="00DB0EAA"/>
    <w:rsid w:val="00DB14BB"/>
    <w:rsid w:val="00DB1A04"/>
    <w:rsid w:val="00DB254D"/>
    <w:rsid w:val="00DB258A"/>
    <w:rsid w:val="00DB263B"/>
    <w:rsid w:val="00DB2817"/>
    <w:rsid w:val="00DB2914"/>
    <w:rsid w:val="00DB2DE6"/>
    <w:rsid w:val="00DB3A2D"/>
    <w:rsid w:val="00DB3ACB"/>
    <w:rsid w:val="00DB54D6"/>
    <w:rsid w:val="00DB5649"/>
    <w:rsid w:val="00DB593E"/>
    <w:rsid w:val="00DB5974"/>
    <w:rsid w:val="00DB5976"/>
    <w:rsid w:val="00DB64E6"/>
    <w:rsid w:val="00DB752C"/>
    <w:rsid w:val="00DB75E8"/>
    <w:rsid w:val="00DB77E3"/>
    <w:rsid w:val="00DB7BC3"/>
    <w:rsid w:val="00DC0485"/>
    <w:rsid w:val="00DC07BC"/>
    <w:rsid w:val="00DC115E"/>
    <w:rsid w:val="00DC1258"/>
    <w:rsid w:val="00DC14F8"/>
    <w:rsid w:val="00DC1DB5"/>
    <w:rsid w:val="00DC1E79"/>
    <w:rsid w:val="00DC284B"/>
    <w:rsid w:val="00DC42F2"/>
    <w:rsid w:val="00DC449E"/>
    <w:rsid w:val="00DC4A72"/>
    <w:rsid w:val="00DC5295"/>
    <w:rsid w:val="00DC5CF7"/>
    <w:rsid w:val="00DC5D35"/>
    <w:rsid w:val="00DC5DB9"/>
    <w:rsid w:val="00DC5DCC"/>
    <w:rsid w:val="00DC5E45"/>
    <w:rsid w:val="00DC68DD"/>
    <w:rsid w:val="00DC7566"/>
    <w:rsid w:val="00DD04EF"/>
    <w:rsid w:val="00DD0A6A"/>
    <w:rsid w:val="00DD0EEA"/>
    <w:rsid w:val="00DD1334"/>
    <w:rsid w:val="00DD15D5"/>
    <w:rsid w:val="00DD1B4E"/>
    <w:rsid w:val="00DD2345"/>
    <w:rsid w:val="00DD2564"/>
    <w:rsid w:val="00DD2F3C"/>
    <w:rsid w:val="00DD454F"/>
    <w:rsid w:val="00DD4AB6"/>
    <w:rsid w:val="00DD5EBE"/>
    <w:rsid w:val="00DD687F"/>
    <w:rsid w:val="00DD6964"/>
    <w:rsid w:val="00DD6CD9"/>
    <w:rsid w:val="00DD730C"/>
    <w:rsid w:val="00DD7728"/>
    <w:rsid w:val="00DD79F3"/>
    <w:rsid w:val="00DD7F44"/>
    <w:rsid w:val="00DE1808"/>
    <w:rsid w:val="00DE277F"/>
    <w:rsid w:val="00DE2FDD"/>
    <w:rsid w:val="00DE31E7"/>
    <w:rsid w:val="00DE50B8"/>
    <w:rsid w:val="00DE51AF"/>
    <w:rsid w:val="00DE54D1"/>
    <w:rsid w:val="00DE54D4"/>
    <w:rsid w:val="00DE5D6F"/>
    <w:rsid w:val="00DE6193"/>
    <w:rsid w:val="00DE651F"/>
    <w:rsid w:val="00DE684D"/>
    <w:rsid w:val="00DF015A"/>
    <w:rsid w:val="00DF02ED"/>
    <w:rsid w:val="00DF11A8"/>
    <w:rsid w:val="00DF125A"/>
    <w:rsid w:val="00DF2E86"/>
    <w:rsid w:val="00DF2E8A"/>
    <w:rsid w:val="00DF2EF1"/>
    <w:rsid w:val="00DF4C14"/>
    <w:rsid w:val="00DF5DD4"/>
    <w:rsid w:val="00DF5EB1"/>
    <w:rsid w:val="00DF6159"/>
    <w:rsid w:val="00DF61BC"/>
    <w:rsid w:val="00DF73BB"/>
    <w:rsid w:val="00DF7836"/>
    <w:rsid w:val="00DF7D2A"/>
    <w:rsid w:val="00E01737"/>
    <w:rsid w:val="00E01850"/>
    <w:rsid w:val="00E018FA"/>
    <w:rsid w:val="00E022E5"/>
    <w:rsid w:val="00E02820"/>
    <w:rsid w:val="00E02D0B"/>
    <w:rsid w:val="00E033B0"/>
    <w:rsid w:val="00E03840"/>
    <w:rsid w:val="00E0403D"/>
    <w:rsid w:val="00E045AC"/>
    <w:rsid w:val="00E045D9"/>
    <w:rsid w:val="00E058B4"/>
    <w:rsid w:val="00E06349"/>
    <w:rsid w:val="00E064EE"/>
    <w:rsid w:val="00E06C78"/>
    <w:rsid w:val="00E10C8D"/>
    <w:rsid w:val="00E10F45"/>
    <w:rsid w:val="00E1112D"/>
    <w:rsid w:val="00E11600"/>
    <w:rsid w:val="00E116BF"/>
    <w:rsid w:val="00E119A6"/>
    <w:rsid w:val="00E130A9"/>
    <w:rsid w:val="00E13C99"/>
    <w:rsid w:val="00E1448E"/>
    <w:rsid w:val="00E14962"/>
    <w:rsid w:val="00E14FB7"/>
    <w:rsid w:val="00E15C41"/>
    <w:rsid w:val="00E16553"/>
    <w:rsid w:val="00E16D54"/>
    <w:rsid w:val="00E17013"/>
    <w:rsid w:val="00E173CF"/>
    <w:rsid w:val="00E2096E"/>
    <w:rsid w:val="00E20E16"/>
    <w:rsid w:val="00E2126B"/>
    <w:rsid w:val="00E212AB"/>
    <w:rsid w:val="00E227CE"/>
    <w:rsid w:val="00E22EB9"/>
    <w:rsid w:val="00E23BDF"/>
    <w:rsid w:val="00E241BE"/>
    <w:rsid w:val="00E24BBA"/>
    <w:rsid w:val="00E24CF4"/>
    <w:rsid w:val="00E25370"/>
    <w:rsid w:val="00E260FD"/>
    <w:rsid w:val="00E2698E"/>
    <w:rsid w:val="00E27139"/>
    <w:rsid w:val="00E306F5"/>
    <w:rsid w:val="00E3073B"/>
    <w:rsid w:val="00E308C6"/>
    <w:rsid w:val="00E31089"/>
    <w:rsid w:val="00E31A2B"/>
    <w:rsid w:val="00E3210B"/>
    <w:rsid w:val="00E32838"/>
    <w:rsid w:val="00E329B7"/>
    <w:rsid w:val="00E32ACA"/>
    <w:rsid w:val="00E32AEC"/>
    <w:rsid w:val="00E32CA6"/>
    <w:rsid w:val="00E32D46"/>
    <w:rsid w:val="00E33135"/>
    <w:rsid w:val="00E33758"/>
    <w:rsid w:val="00E33CE6"/>
    <w:rsid w:val="00E345F0"/>
    <w:rsid w:val="00E354AB"/>
    <w:rsid w:val="00E35BF6"/>
    <w:rsid w:val="00E36003"/>
    <w:rsid w:val="00E36DAD"/>
    <w:rsid w:val="00E37146"/>
    <w:rsid w:val="00E404D6"/>
    <w:rsid w:val="00E40A90"/>
    <w:rsid w:val="00E40E2D"/>
    <w:rsid w:val="00E413BF"/>
    <w:rsid w:val="00E41CC8"/>
    <w:rsid w:val="00E4368C"/>
    <w:rsid w:val="00E4452C"/>
    <w:rsid w:val="00E4476F"/>
    <w:rsid w:val="00E4497B"/>
    <w:rsid w:val="00E454F5"/>
    <w:rsid w:val="00E4628F"/>
    <w:rsid w:val="00E46BC9"/>
    <w:rsid w:val="00E47877"/>
    <w:rsid w:val="00E479ED"/>
    <w:rsid w:val="00E47FA0"/>
    <w:rsid w:val="00E50D54"/>
    <w:rsid w:val="00E517E3"/>
    <w:rsid w:val="00E51BD6"/>
    <w:rsid w:val="00E51F08"/>
    <w:rsid w:val="00E51FC2"/>
    <w:rsid w:val="00E52393"/>
    <w:rsid w:val="00E5294F"/>
    <w:rsid w:val="00E52B3A"/>
    <w:rsid w:val="00E52B7A"/>
    <w:rsid w:val="00E52CF7"/>
    <w:rsid w:val="00E539C4"/>
    <w:rsid w:val="00E54A42"/>
    <w:rsid w:val="00E54BF6"/>
    <w:rsid w:val="00E55F5D"/>
    <w:rsid w:val="00E5697F"/>
    <w:rsid w:val="00E569BD"/>
    <w:rsid w:val="00E56B34"/>
    <w:rsid w:val="00E57F29"/>
    <w:rsid w:val="00E60248"/>
    <w:rsid w:val="00E6091D"/>
    <w:rsid w:val="00E61306"/>
    <w:rsid w:val="00E6156E"/>
    <w:rsid w:val="00E616A7"/>
    <w:rsid w:val="00E61E9F"/>
    <w:rsid w:val="00E61F0C"/>
    <w:rsid w:val="00E62FB4"/>
    <w:rsid w:val="00E6364B"/>
    <w:rsid w:val="00E63F8B"/>
    <w:rsid w:val="00E642EE"/>
    <w:rsid w:val="00E64C46"/>
    <w:rsid w:val="00E64FB1"/>
    <w:rsid w:val="00E65AA4"/>
    <w:rsid w:val="00E65D75"/>
    <w:rsid w:val="00E67DE7"/>
    <w:rsid w:val="00E70216"/>
    <w:rsid w:val="00E7142F"/>
    <w:rsid w:val="00E71D0F"/>
    <w:rsid w:val="00E720F9"/>
    <w:rsid w:val="00E72BC9"/>
    <w:rsid w:val="00E72F29"/>
    <w:rsid w:val="00E74ABC"/>
    <w:rsid w:val="00E75BA2"/>
    <w:rsid w:val="00E75FEA"/>
    <w:rsid w:val="00E765B5"/>
    <w:rsid w:val="00E770E0"/>
    <w:rsid w:val="00E7761E"/>
    <w:rsid w:val="00E778BB"/>
    <w:rsid w:val="00E80B1F"/>
    <w:rsid w:val="00E80CDE"/>
    <w:rsid w:val="00E81643"/>
    <w:rsid w:val="00E8166B"/>
    <w:rsid w:val="00E81890"/>
    <w:rsid w:val="00E81A95"/>
    <w:rsid w:val="00E827F9"/>
    <w:rsid w:val="00E83593"/>
    <w:rsid w:val="00E84B6D"/>
    <w:rsid w:val="00E84C60"/>
    <w:rsid w:val="00E84C6D"/>
    <w:rsid w:val="00E85088"/>
    <w:rsid w:val="00E8525A"/>
    <w:rsid w:val="00E852BF"/>
    <w:rsid w:val="00E85853"/>
    <w:rsid w:val="00E8599E"/>
    <w:rsid w:val="00E86498"/>
    <w:rsid w:val="00E86522"/>
    <w:rsid w:val="00E87314"/>
    <w:rsid w:val="00E91076"/>
    <w:rsid w:val="00E913AF"/>
    <w:rsid w:val="00E91670"/>
    <w:rsid w:val="00E9183D"/>
    <w:rsid w:val="00E918FA"/>
    <w:rsid w:val="00E91A9B"/>
    <w:rsid w:val="00E92A6E"/>
    <w:rsid w:val="00E935FA"/>
    <w:rsid w:val="00E939F9"/>
    <w:rsid w:val="00E93C7F"/>
    <w:rsid w:val="00E9488B"/>
    <w:rsid w:val="00E94FAF"/>
    <w:rsid w:val="00E952DE"/>
    <w:rsid w:val="00E958E8"/>
    <w:rsid w:val="00E95F11"/>
    <w:rsid w:val="00E9601A"/>
    <w:rsid w:val="00E96F24"/>
    <w:rsid w:val="00E972FC"/>
    <w:rsid w:val="00EA00DA"/>
    <w:rsid w:val="00EA139B"/>
    <w:rsid w:val="00EA1412"/>
    <w:rsid w:val="00EA3458"/>
    <w:rsid w:val="00EA3F06"/>
    <w:rsid w:val="00EA460E"/>
    <w:rsid w:val="00EA538B"/>
    <w:rsid w:val="00EA554F"/>
    <w:rsid w:val="00EA55ED"/>
    <w:rsid w:val="00EA594D"/>
    <w:rsid w:val="00EA6474"/>
    <w:rsid w:val="00EA6A72"/>
    <w:rsid w:val="00EA6F3F"/>
    <w:rsid w:val="00EA756B"/>
    <w:rsid w:val="00EA75AC"/>
    <w:rsid w:val="00EB03E4"/>
    <w:rsid w:val="00EB06B6"/>
    <w:rsid w:val="00EB0E73"/>
    <w:rsid w:val="00EB1BBD"/>
    <w:rsid w:val="00EB22FF"/>
    <w:rsid w:val="00EB23CD"/>
    <w:rsid w:val="00EB28B5"/>
    <w:rsid w:val="00EB28D6"/>
    <w:rsid w:val="00EB29D8"/>
    <w:rsid w:val="00EB2BDA"/>
    <w:rsid w:val="00EB3DFC"/>
    <w:rsid w:val="00EB463F"/>
    <w:rsid w:val="00EB491D"/>
    <w:rsid w:val="00EB4B4E"/>
    <w:rsid w:val="00EB507F"/>
    <w:rsid w:val="00EB5B89"/>
    <w:rsid w:val="00EB5EC1"/>
    <w:rsid w:val="00EB608B"/>
    <w:rsid w:val="00EB6A4A"/>
    <w:rsid w:val="00EB76E0"/>
    <w:rsid w:val="00EB794B"/>
    <w:rsid w:val="00EB7A49"/>
    <w:rsid w:val="00EC07C2"/>
    <w:rsid w:val="00EC0802"/>
    <w:rsid w:val="00EC0E5D"/>
    <w:rsid w:val="00EC0FC9"/>
    <w:rsid w:val="00EC18B4"/>
    <w:rsid w:val="00EC1D2B"/>
    <w:rsid w:val="00EC2430"/>
    <w:rsid w:val="00EC2894"/>
    <w:rsid w:val="00EC30F1"/>
    <w:rsid w:val="00EC30F2"/>
    <w:rsid w:val="00EC39BF"/>
    <w:rsid w:val="00EC515A"/>
    <w:rsid w:val="00EC6463"/>
    <w:rsid w:val="00EC673F"/>
    <w:rsid w:val="00EC6F35"/>
    <w:rsid w:val="00EC7052"/>
    <w:rsid w:val="00ED02D9"/>
    <w:rsid w:val="00ED04EC"/>
    <w:rsid w:val="00ED0601"/>
    <w:rsid w:val="00ED06CA"/>
    <w:rsid w:val="00ED15FF"/>
    <w:rsid w:val="00ED1F7B"/>
    <w:rsid w:val="00ED20AD"/>
    <w:rsid w:val="00ED26E4"/>
    <w:rsid w:val="00ED2B89"/>
    <w:rsid w:val="00ED3173"/>
    <w:rsid w:val="00ED34E9"/>
    <w:rsid w:val="00ED3899"/>
    <w:rsid w:val="00ED3BDA"/>
    <w:rsid w:val="00ED4DCC"/>
    <w:rsid w:val="00ED5610"/>
    <w:rsid w:val="00ED5F13"/>
    <w:rsid w:val="00ED679D"/>
    <w:rsid w:val="00ED6F34"/>
    <w:rsid w:val="00ED737E"/>
    <w:rsid w:val="00EE0816"/>
    <w:rsid w:val="00EE145A"/>
    <w:rsid w:val="00EE1893"/>
    <w:rsid w:val="00EE19B7"/>
    <w:rsid w:val="00EE1C59"/>
    <w:rsid w:val="00EE1C6E"/>
    <w:rsid w:val="00EE1D16"/>
    <w:rsid w:val="00EE2E34"/>
    <w:rsid w:val="00EE3FA8"/>
    <w:rsid w:val="00EE4160"/>
    <w:rsid w:val="00EE4963"/>
    <w:rsid w:val="00EE4C1A"/>
    <w:rsid w:val="00EE58B4"/>
    <w:rsid w:val="00EE5A94"/>
    <w:rsid w:val="00EE5D1B"/>
    <w:rsid w:val="00EE5EAE"/>
    <w:rsid w:val="00EE5FE1"/>
    <w:rsid w:val="00EE7A46"/>
    <w:rsid w:val="00EE7AB6"/>
    <w:rsid w:val="00EF028C"/>
    <w:rsid w:val="00EF03F3"/>
    <w:rsid w:val="00EF08B0"/>
    <w:rsid w:val="00EF0B5C"/>
    <w:rsid w:val="00EF0E9B"/>
    <w:rsid w:val="00EF0FE6"/>
    <w:rsid w:val="00EF1E9F"/>
    <w:rsid w:val="00EF26B2"/>
    <w:rsid w:val="00EF2989"/>
    <w:rsid w:val="00EF2E85"/>
    <w:rsid w:val="00EF31AC"/>
    <w:rsid w:val="00EF3909"/>
    <w:rsid w:val="00EF3C2F"/>
    <w:rsid w:val="00EF4060"/>
    <w:rsid w:val="00EF4AA2"/>
    <w:rsid w:val="00EF4E18"/>
    <w:rsid w:val="00EF4F6C"/>
    <w:rsid w:val="00EF5673"/>
    <w:rsid w:val="00EF5A1C"/>
    <w:rsid w:val="00EF5FA4"/>
    <w:rsid w:val="00EF6350"/>
    <w:rsid w:val="00EF649B"/>
    <w:rsid w:val="00EF6A8D"/>
    <w:rsid w:val="00EF6FFA"/>
    <w:rsid w:val="00EF7E35"/>
    <w:rsid w:val="00EF7F8E"/>
    <w:rsid w:val="00F00309"/>
    <w:rsid w:val="00F004D0"/>
    <w:rsid w:val="00F0064D"/>
    <w:rsid w:val="00F00662"/>
    <w:rsid w:val="00F00D63"/>
    <w:rsid w:val="00F01B21"/>
    <w:rsid w:val="00F021B7"/>
    <w:rsid w:val="00F0304C"/>
    <w:rsid w:val="00F035F4"/>
    <w:rsid w:val="00F0405D"/>
    <w:rsid w:val="00F0429A"/>
    <w:rsid w:val="00F04516"/>
    <w:rsid w:val="00F04623"/>
    <w:rsid w:val="00F04928"/>
    <w:rsid w:val="00F04AEF"/>
    <w:rsid w:val="00F05A16"/>
    <w:rsid w:val="00F05C17"/>
    <w:rsid w:val="00F06CF7"/>
    <w:rsid w:val="00F07729"/>
    <w:rsid w:val="00F07DF0"/>
    <w:rsid w:val="00F10218"/>
    <w:rsid w:val="00F114C6"/>
    <w:rsid w:val="00F12182"/>
    <w:rsid w:val="00F12187"/>
    <w:rsid w:val="00F125EF"/>
    <w:rsid w:val="00F12BAB"/>
    <w:rsid w:val="00F145D1"/>
    <w:rsid w:val="00F1486E"/>
    <w:rsid w:val="00F153B1"/>
    <w:rsid w:val="00F15623"/>
    <w:rsid w:val="00F15E7C"/>
    <w:rsid w:val="00F16790"/>
    <w:rsid w:val="00F16817"/>
    <w:rsid w:val="00F16BDA"/>
    <w:rsid w:val="00F1759A"/>
    <w:rsid w:val="00F20475"/>
    <w:rsid w:val="00F20F4B"/>
    <w:rsid w:val="00F21045"/>
    <w:rsid w:val="00F21247"/>
    <w:rsid w:val="00F21FF0"/>
    <w:rsid w:val="00F220DD"/>
    <w:rsid w:val="00F22621"/>
    <w:rsid w:val="00F22DAC"/>
    <w:rsid w:val="00F23526"/>
    <w:rsid w:val="00F2373A"/>
    <w:rsid w:val="00F240DD"/>
    <w:rsid w:val="00F248D1"/>
    <w:rsid w:val="00F24BF2"/>
    <w:rsid w:val="00F26546"/>
    <w:rsid w:val="00F26813"/>
    <w:rsid w:val="00F26D6E"/>
    <w:rsid w:val="00F26F6B"/>
    <w:rsid w:val="00F27446"/>
    <w:rsid w:val="00F27C6E"/>
    <w:rsid w:val="00F27E51"/>
    <w:rsid w:val="00F27E9F"/>
    <w:rsid w:val="00F30A10"/>
    <w:rsid w:val="00F31401"/>
    <w:rsid w:val="00F32160"/>
    <w:rsid w:val="00F333BE"/>
    <w:rsid w:val="00F3355A"/>
    <w:rsid w:val="00F33CA9"/>
    <w:rsid w:val="00F3444C"/>
    <w:rsid w:val="00F3518D"/>
    <w:rsid w:val="00F35671"/>
    <w:rsid w:val="00F35BA7"/>
    <w:rsid w:val="00F35CC2"/>
    <w:rsid w:val="00F35FE6"/>
    <w:rsid w:val="00F361BB"/>
    <w:rsid w:val="00F36489"/>
    <w:rsid w:val="00F36AA6"/>
    <w:rsid w:val="00F37229"/>
    <w:rsid w:val="00F3732B"/>
    <w:rsid w:val="00F379DC"/>
    <w:rsid w:val="00F40857"/>
    <w:rsid w:val="00F415E6"/>
    <w:rsid w:val="00F416B8"/>
    <w:rsid w:val="00F41C5E"/>
    <w:rsid w:val="00F4217E"/>
    <w:rsid w:val="00F4288D"/>
    <w:rsid w:val="00F43BB3"/>
    <w:rsid w:val="00F446D9"/>
    <w:rsid w:val="00F44A00"/>
    <w:rsid w:val="00F44A64"/>
    <w:rsid w:val="00F44D53"/>
    <w:rsid w:val="00F460E2"/>
    <w:rsid w:val="00F46351"/>
    <w:rsid w:val="00F4675D"/>
    <w:rsid w:val="00F4696B"/>
    <w:rsid w:val="00F4794B"/>
    <w:rsid w:val="00F47DBB"/>
    <w:rsid w:val="00F5082B"/>
    <w:rsid w:val="00F5098A"/>
    <w:rsid w:val="00F516D2"/>
    <w:rsid w:val="00F529D7"/>
    <w:rsid w:val="00F53475"/>
    <w:rsid w:val="00F53D44"/>
    <w:rsid w:val="00F544F5"/>
    <w:rsid w:val="00F548EF"/>
    <w:rsid w:val="00F559F8"/>
    <w:rsid w:val="00F55A38"/>
    <w:rsid w:val="00F55D89"/>
    <w:rsid w:val="00F55F87"/>
    <w:rsid w:val="00F571D0"/>
    <w:rsid w:val="00F61123"/>
    <w:rsid w:val="00F6166A"/>
    <w:rsid w:val="00F6255E"/>
    <w:rsid w:val="00F62D74"/>
    <w:rsid w:val="00F636EB"/>
    <w:rsid w:val="00F63867"/>
    <w:rsid w:val="00F64064"/>
    <w:rsid w:val="00F649EB"/>
    <w:rsid w:val="00F651B8"/>
    <w:rsid w:val="00F65590"/>
    <w:rsid w:val="00F65968"/>
    <w:rsid w:val="00F65AC8"/>
    <w:rsid w:val="00F65D54"/>
    <w:rsid w:val="00F65FD0"/>
    <w:rsid w:val="00F662B2"/>
    <w:rsid w:val="00F66746"/>
    <w:rsid w:val="00F66988"/>
    <w:rsid w:val="00F67337"/>
    <w:rsid w:val="00F67ADB"/>
    <w:rsid w:val="00F67C93"/>
    <w:rsid w:val="00F7018B"/>
    <w:rsid w:val="00F70C15"/>
    <w:rsid w:val="00F716C9"/>
    <w:rsid w:val="00F7180D"/>
    <w:rsid w:val="00F7284C"/>
    <w:rsid w:val="00F72AD5"/>
    <w:rsid w:val="00F72DD3"/>
    <w:rsid w:val="00F733BE"/>
    <w:rsid w:val="00F733E2"/>
    <w:rsid w:val="00F739A9"/>
    <w:rsid w:val="00F742FD"/>
    <w:rsid w:val="00F7458B"/>
    <w:rsid w:val="00F752AF"/>
    <w:rsid w:val="00F754E3"/>
    <w:rsid w:val="00F755CB"/>
    <w:rsid w:val="00F7622F"/>
    <w:rsid w:val="00F76F1D"/>
    <w:rsid w:val="00F770FC"/>
    <w:rsid w:val="00F77160"/>
    <w:rsid w:val="00F775F9"/>
    <w:rsid w:val="00F77F88"/>
    <w:rsid w:val="00F8004D"/>
    <w:rsid w:val="00F80547"/>
    <w:rsid w:val="00F807F8"/>
    <w:rsid w:val="00F8145F"/>
    <w:rsid w:val="00F81897"/>
    <w:rsid w:val="00F81F17"/>
    <w:rsid w:val="00F81F5D"/>
    <w:rsid w:val="00F82CB8"/>
    <w:rsid w:val="00F8336F"/>
    <w:rsid w:val="00F83776"/>
    <w:rsid w:val="00F84797"/>
    <w:rsid w:val="00F84C00"/>
    <w:rsid w:val="00F84CD9"/>
    <w:rsid w:val="00F850AB"/>
    <w:rsid w:val="00F860C7"/>
    <w:rsid w:val="00F864C6"/>
    <w:rsid w:val="00F86933"/>
    <w:rsid w:val="00F86B1E"/>
    <w:rsid w:val="00F86D80"/>
    <w:rsid w:val="00F86EA2"/>
    <w:rsid w:val="00F874F2"/>
    <w:rsid w:val="00F87BE9"/>
    <w:rsid w:val="00F87D8E"/>
    <w:rsid w:val="00F90601"/>
    <w:rsid w:val="00F91424"/>
    <w:rsid w:val="00F91C4A"/>
    <w:rsid w:val="00F924B0"/>
    <w:rsid w:val="00F92B02"/>
    <w:rsid w:val="00F92CA9"/>
    <w:rsid w:val="00F932B8"/>
    <w:rsid w:val="00F93AF8"/>
    <w:rsid w:val="00F94029"/>
    <w:rsid w:val="00F94068"/>
    <w:rsid w:val="00F950F7"/>
    <w:rsid w:val="00F958B2"/>
    <w:rsid w:val="00F95F56"/>
    <w:rsid w:val="00F961F7"/>
    <w:rsid w:val="00F969F0"/>
    <w:rsid w:val="00F97359"/>
    <w:rsid w:val="00F9785C"/>
    <w:rsid w:val="00F97A43"/>
    <w:rsid w:val="00F97CD4"/>
    <w:rsid w:val="00FA0AB2"/>
    <w:rsid w:val="00FA0FCE"/>
    <w:rsid w:val="00FA1409"/>
    <w:rsid w:val="00FA1E2E"/>
    <w:rsid w:val="00FA1EDF"/>
    <w:rsid w:val="00FA216D"/>
    <w:rsid w:val="00FA29F4"/>
    <w:rsid w:val="00FA36AD"/>
    <w:rsid w:val="00FA3762"/>
    <w:rsid w:val="00FA4090"/>
    <w:rsid w:val="00FA4223"/>
    <w:rsid w:val="00FA46B1"/>
    <w:rsid w:val="00FA47E4"/>
    <w:rsid w:val="00FA53DD"/>
    <w:rsid w:val="00FA611D"/>
    <w:rsid w:val="00FA66B7"/>
    <w:rsid w:val="00FA690F"/>
    <w:rsid w:val="00FA6B97"/>
    <w:rsid w:val="00FA736C"/>
    <w:rsid w:val="00FB01B2"/>
    <w:rsid w:val="00FB05F6"/>
    <w:rsid w:val="00FB0CE7"/>
    <w:rsid w:val="00FB1102"/>
    <w:rsid w:val="00FB1E05"/>
    <w:rsid w:val="00FB21BD"/>
    <w:rsid w:val="00FB2374"/>
    <w:rsid w:val="00FB28D3"/>
    <w:rsid w:val="00FB2DBD"/>
    <w:rsid w:val="00FB2DE2"/>
    <w:rsid w:val="00FB2FCF"/>
    <w:rsid w:val="00FB3B1D"/>
    <w:rsid w:val="00FB4482"/>
    <w:rsid w:val="00FB5F25"/>
    <w:rsid w:val="00FB673A"/>
    <w:rsid w:val="00FB6839"/>
    <w:rsid w:val="00FC1B5E"/>
    <w:rsid w:val="00FC1B8E"/>
    <w:rsid w:val="00FC1E5F"/>
    <w:rsid w:val="00FC1E9F"/>
    <w:rsid w:val="00FC206D"/>
    <w:rsid w:val="00FC2681"/>
    <w:rsid w:val="00FC3143"/>
    <w:rsid w:val="00FC344F"/>
    <w:rsid w:val="00FC34D9"/>
    <w:rsid w:val="00FC4339"/>
    <w:rsid w:val="00FC43B1"/>
    <w:rsid w:val="00FC4429"/>
    <w:rsid w:val="00FC4554"/>
    <w:rsid w:val="00FC46F9"/>
    <w:rsid w:val="00FC5131"/>
    <w:rsid w:val="00FC6D6B"/>
    <w:rsid w:val="00FC776B"/>
    <w:rsid w:val="00FC7B25"/>
    <w:rsid w:val="00FC7BD2"/>
    <w:rsid w:val="00FD1EC9"/>
    <w:rsid w:val="00FD1FC6"/>
    <w:rsid w:val="00FD1FCC"/>
    <w:rsid w:val="00FD209C"/>
    <w:rsid w:val="00FD238A"/>
    <w:rsid w:val="00FD2CF9"/>
    <w:rsid w:val="00FD376F"/>
    <w:rsid w:val="00FD3B0C"/>
    <w:rsid w:val="00FD3CBE"/>
    <w:rsid w:val="00FD3E23"/>
    <w:rsid w:val="00FD470E"/>
    <w:rsid w:val="00FD540C"/>
    <w:rsid w:val="00FD5A75"/>
    <w:rsid w:val="00FD5AB4"/>
    <w:rsid w:val="00FD5DF4"/>
    <w:rsid w:val="00FD6438"/>
    <w:rsid w:val="00FD713B"/>
    <w:rsid w:val="00FD7BD2"/>
    <w:rsid w:val="00FE1564"/>
    <w:rsid w:val="00FE1D89"/>
    <w:rsid w:val="00FE223C"/>
    <w:rsid w:val="00FE2432"/>
    <w:rsid w:val="00FE2638"/>
    <w:rsid w:val="00FE287A"/>
    <w:rsid w:val="00FE2CD6"/>
    <w:rsid w:val="00FE3C34"/>
    <w:rsid w:val="00FE3EB5"/>
    <w:rsid w:val="00FE4E58"/>
    <w:rsid w:val="00FE59CD"/>
    <w:rsid w:val="00FE6E80"/>
    <w:rsid w:val="00FF049F"/>
    <w:rsid w:val="00FF0540"/>
    <w:rsid w:val="00FF0F51"/>
    <w:rsid w:val="00FF1B70"/>
    <w:rsid w:val="00FF1D1C"/>
    <w:rsid w:val="00FF25A3"/>
    <w:rsid w:val="00FF31AC"/>
    <w:rsid w:val="00FF3B93"/>
    <w:rsid w:val="00FF3C6C"/>
    <w:rsid w:val="00FF4FF6"/>
    <w:rsid w:val="00FF5323"/>
    <w:rsid w:val="00FF5980"/>
    <w:rsid w:val="00FF6166"/>
    <w:rsid w:val="00FF6842"/>
    <w:rsid w:val="00FF6EB4"/>
    <w:rsid w:val="00FF6F28"/>
    <w:rsid w:val="00FF7FA7"/>
    <w:rsid w:val="00FF7FB9"/>
    <w:rsid w:val="013C31FD"/>
    <w:rsid w:val="01B336C2"/>
    <w:rsid w:val="01EB1FD2"/>
    <w:rsid w:val="027F6A71"/>
    <w:rsid w:val="02DC64A2"/>
    <w:rsid w:val="039A4D62"/>
    <w:rsid w:val="03C002A9"/>
    <w:rsid w:val="06192B5B"/>
    <w:rsid w:val="06696F34"/>
    <w:rsid w:val="06803455"/>
    <w:rsid w:val="06B47E89"/>
    <w:rsid w:val="072E1494"/>
    <w:rsid w:val="074B1C50"/>
    <w:rsid w:val="07637918"/>
    <w:rsid w:val="077B3CD3"/>
    <w:rsid w:val="07A1558A"/>
    <w:rsid w:val="07AD3E6B"/>
    <w:rsid w:val="07BC0932"/>
    <w:rsid w:val="07D8446D"/>
    <w:rsid w:val="07F0681A"/>
    <w:rsid w:val="080B2C37"/>
    <w:rsid w:val="08C877C7"/>
    <w:rsid w:val="094B1158"/>
    <w:rsid w:val="09564C26"/>
    <w:rsid w:val="09EF79AC"/>
    <w:rsid w:val="0AFE643D"/>
    <w:rsid w:val="0C027E56"/>
    <w:rsid w:val="0C2530D4"/>
    <w:rsid w:val="0CAB444D"/>
    <w:rsid w:val="0D936B7F"/>
    <w:rsid w:val="0E792AB7"/>
    <w:rsid w:val="0E85732D"/>
    <w:rsid w:val="0F3D59BA"/>
    <w:rsid w:val="0FA129D9"/>
    <w:rsid w:val="10E42ED4"/>
    <w:rsid w:val="11430AED"/>
    <w:rsid w:val="11577A26"/>
    <w:rsid w:val="115E203A"/>
    <w:rsid w:val="117867CA"/>
    <w:rsid w:val="11C47691"/>
    <w:rsid w:val="13066F83"/>
    <w:rsid w:val="1428621D"/>
    <w:rsid w:val="147F7A9E"/>
    <w:rsid w:val="14BB1233"/>
    <w:rsid w:val="14FC3B4F"/>
    <w:rsid w:val="150257E8"/>
    <w:rsid w:val="15ED7484"/>
    <w:rsid w:val="1657262B"/>
    <w:rsid w:val="167524F8"/>
    <w:rsid w:val="16EA10F8"/>
    <w:rsid w:val="17266E56"/>
    <w:rsid w:val="174B6989"/>
    <w:rsid w:val="189E51B6"/>
    <w:rsid w:val="19FE5B82"/>
    <w:rsid w:val="1A2D740D"/>
    <w:rsid w:val="1A552938"/>
    <w:rsid w:val="1A78150F"/>
    <w:rsid w:val="1ABB5ADB"/>
    <w:rsid w:val="1AE9117F"/>
    <w:rsid w:val="1AEB3FB5"/>
    <w:rsid w:val="1B581B62"/>
    <w:rsid w:val="1B5C6B6B"/>
    <w:rsid w:val="1C394EFE"/>
    <w:rsid w:val="1CBC1638"/>
    <w:rsid w:val="1D6733A1"/>
    <w:rsid w:val="1D71577E"/>
    <w:rsid w:val="1D7B5529"/>
    <w:rsid w:val="1DFC52A5"/>
    <w:rsid w:val="1E36662E"/>
    <w:rsid w:val="1FB1601B"/>
    <w:rsid w:val="213B116E"/>
    <w:rsid w:val="21A84C6B"/>
    <w:rsid w:val="22123AEC"/>
    <w:rsid w:val="223A2241"/>
    <w:rsid w:val="2265124D"/>
    <w:rsid w:val="228D1F99"/>
    <w:rsid w:val="22BD0F1E"/>
    <w:rsid w:val="22F831A4"/>
    <w:rsid w:val="2323014A"/>
    <w:rsid w:val="23945360"/>
    <w:rsid w:val="239A7F7B"/>
    <w:rsid w:val="23E61AC4"/>
    <w:rsid w:val="2424575A"/>
    <w:rsid w:val="24FC0AB0"/>
    <w:rsid w:val="250A65EA"/>
    <w:rsid w:val="2520462E"/>
    <w:rsid w:val="2580157F"/>
    <w:rsid w:val="261F1F92"/>
    <w:rsid w:val="26662C83"/>
    <w:rsid w:val="26873F71"/>
    <w:rsid w:val="268940E6"/>
    <w:rsid w:val="272203E9"/>
    <w:rsid w:val="27436216"/>
    <w:rsid w:val="27AE2EAA"/>
    <w:rsid w:val="282C7DEE"/>
    <w:rsid w:val="2B9E412C"/>
    <w:rsid w:val="2C2E4FBF"/>
    <w:rsid w:val="2C472982"/>
    <w:rsid w:val="2DF02B5A"/>
    <w:rsid w:val="2E4E382E"/>
    <w:rsid w:val="2E6B4C40"/>
    <w:rsid w:val="2F3F4BB8"/>
    <w:rsid w:val="2F77473B"/>
    <w:rsid w:val="2FE54B4B"/>
    <w:rsid w:val="30C906A1"/>
    <w:rsid w:val="3163071A"/>
    <w:rsid w:val="31ED35DC"/>
    <w:rsid w:val="32E048C2"/>
    <w:rsid w:val="334044E7"/>
    <w:rsid w:val="34267B55"/>
    <w:rsid w:val="34B86206"/>
    <w:rsid w:val="34FE26C6"/>
    <w:rsid w:val="35B00060"/>
    <w:rsid w:val="35F405C2"/>
    <w:rsid w:val="38875482"/>
    <w:rsid w:val="39062BDD"/>
    <w:rsid w:val="3913504A"/>
    <w:rsid w:val="397076DD"/>
    <w:rsid w:val="399C78A5"/>
    <w:rsid w:val="39B1037A"/>
    <w:rsid w:val="3A4073ED"/>
    <w:rsid w:val="3A5F0FDE"/>
    <w:rsid w:val="3AB62777"/>
    <w:rsid w:val="3BC35402"/>
    <w:rsid w:val="3C732AA4"/>
    <w:rsid w:val="3D48111B"/>
    <w:rsid w:val="3D4B7C57"/>
    <w:rsid w:val="3D8A771A"/>
    <w:rsid w:val="3D9972E4"/>
    <w:rsid w:val="3E7D3CA2"/>
    <w:rsid w:val="3EBF04D5"/>
    <w:rsid w:val="3EDA5242"/>
    <w:rsid w:val="3F490CB2"/>
    <w:rsid w:val="4091170F"/>
    <w:rsid w:val="40D7169E"/>
    <w:rsid w:val="40F33E24"/>
    <w:rsid w:val="41066D37"/>
    <w:rsid w:val="41C61644"/>
    <w:rsid w:val="41F020FA"/>
    <w:rsid w:val="424A38B2"/>
    <w:rsid w:val="42B52462"/>
    <w:rsid w:val="432F2148"/>
    <w:rsid w:val="43511162"/>
    <w:rsid w:val="4485208C"/>
    <w:rsid w:val="454F16FD"/>
    <w:rsid w:val="460302B7"/>
    <w:rsid w:val="465E6779"/>
    <w:rsid w:val="475A6D46"/>
    <w:rsid w:val="47864646"/>
    <w:rsid w:val="47AF48F9"/>
    <w:rsid w:val="48545F01"/>
    <w:rsid w:val="48E6799B"/>
    <w:rsid w:val="494035D7"/>
    <w:rsid w:val="4ADA52A8"/>
    <w:rsid w:val="4B5767BE"/>
    <w:rsid w:val="4B6B7624"/>
    <w:rsid w:val="4BC15788"/>
    <w:rsid w:val="4BE96A93"/>
    <w:rsid w:val="4C296D2A"/>
    <w:rsid w:val="4C2A295F"/>
    <w:rsid w:val="4C335153"/>
    <w:rsid w:val="4C555745"/>
    <w:rsid w:val="4CF623C8"/>
    <w:rsid w:val="4CF90FA8"/>
    <w:rsid w:val="4E2E6700"/>
    <w:rsid w:val="4E550F6E"/>
    <w:rsid w:val="4EDC6001"/>
    <w:rsid w:val="4F7E42B1"/>
    <w:rsid w:val="4FD770D8"/>
    <w:rsid w:val="4FD87336"/>
    <w:rsid w:val="509D7E39"/>
    <w:rsid w:val="511B14AB"/>
    <w:rsid w:val="52252D20"/>
    <w:rsid w:val="53085C40"/>
    <w:rsid w:val="53555234"/>
    <w:rsid w:val="53F41BD7"/>
    <w:rsid w:val="540D772A"/>
    <w:rsid w:val="559422FD"/>
    <w:rsid w:val="5604455F"/>
    <w:rsid w:val="56A24EC2"/>
    <w:rsid w:val="56B97CBF"/>
    <w:rsid w:val="57262EE5"/>
    <w:rsid w:val="573810CF"/>
    <w:rsid w:val="57654EED"/>
    <w:rsid w:val="57840B8F"/>
    <w:rsid w:val="581D2365"/>
    <w:rsid w:val="58C52FE4"/>
    <w:rsid w:val="58F860D3"/>
    <w:rsid w:val="59050D78"/>
    <w:rsid w:val="599C3847"/>
    <w:rsid w:val="59CE56B0"/>
    <w:rsid w:val="59DC0F29"/>
    <w:rsid w:val="59F4450A"/>
    <w:rsid w:val="5A72520A"/>
    <w:rsid w:val="5B571F0D"/>
    <w:rsid w:val="5BE043AC"/>
    <w:rsid w:val="5C202E03"/>
    <w:rsid w:val="5D612307"/>
    <w:rsid w:val="5D912AED"/>
    <w:rsid w:val="5E623E39"/>
    <w:rsid w:val="5ECE3E5B"/>
    <w:rsid w:val="5F506EBD"/>
    <w:rsid w:val="5F93292A"/>
    <w:rsid w:val="5F9C0280"/>
    <w:rsid w:val="60274AE4"/>
    <w:rsid w:val="60496D76"/>
    <w:rsid w:val="60A43DDE"/>
    <w:rsid w:val="60C92EED"/>
    <w:rsid w:val="60F17D8C"/>
    <w:rsid w:val="613509F2"/>
    <w:rsid w:val="61436243"/>
    <w:rsid w:val="615E7272"/>
    <w:rsid w:val="62480338"/>
    <w:rsid w:val="62AA26EE"/>
    <w:rsid w:val="63A01E75"/>
    <w:rsid w:val="63A936D8"/>
    <w:rsid w:val="63D94071"/>
    <w:rsid w:val="63E251E3"/>
    <w:rsid w:val="643C3A58"/>
    <w:rsid w:val="64D12778"/>
    <w:rsid w:val="65E9191A"/>
    <w:rsid w:val="65EA1153"/>
    <w:rsid w:val="65FB04B7"/>
    <w:rsid w:val="660A69DC"/>
    <w:rsid w:val="66224DF1"/>
    <w:rsid w:val="671476A8"/>
    <w:rsid w:val="67387A14"/>
    <w:rsid w:val="67400D9D"/>
    <w:rsid w:val="67416D1B"/>
    <w:rsid w:val="68F97CC0"/>
    <w:rsid w:val="69497987"/>
    <w:rsid w:val="696A2B2D"/>
    <w:rsid w:val="697867EB"/>
    <w:rsid w:val="6A0F33DE"/>
    <w:rsid w:val="6B54446F"/>
    <w:rsid w:val="6B861059"/>
    <w:rsid w:val="6BB14112"/>
    <w:rsid w:val="6C2254A2"/>
    <w:rsid w:val="6C662193"/>
    <w:rsid w:val="6C6F5449"/>
    <w:rsid w:val="6C74789F"/>
    <w:rsid w:val="6CBF0124"/>
    <w:rsid w:val="6CFE66B7"/>
    <w:rsid w:val="6DF44B11"/>
    <w:rsid w:val="6EE45F4D"/>
    <w:rsid w:val="6FB771CA"/>
    <w:rsid w:val="70145463"/>
    <w:rsid w:val="724766ED"/>
    <w:rsid w:val="727A57D7"/>
    <w:rsid w:val="72EC2F8E"/>
    <w:rsid w:val="733D7BC2"/>
    <w:rsid w:val="734366C0"/>
    <w:rsid w:val="73E15FC2"/>
    <w:rsid w:val="74634D1B"/>
    <w:rsid w:val="746A153C"/>
    <w:rsid w:val="75FF1349"/>
    <w:rsid w:val="762F0739"/>
    <w:rsid w:val="76547DBE"/>
    <w:rsid w:val="767C5466"/>
    <w:rsid w:val="76F16A8F"/>
    <w:rsid w:val="77562558"/>
    <w:rsid w:val="77A420DB"/>
    <w:rsid w:val="77AB4242"/>
    <w:rsid w:val="77DA5B9F"/>
    <w:rsid w:val="77EC6D82"/>
    <w:rsid w:val="77F606C1"/>
    <w:rsid w:val="78374955"/>
    <w:rsid w:val="789B6D1C"/>
    <w:rsid w:val="79822B4D"/>
    <w:rsid w:val="799E6ED2"/>
    <w:rsid w:val="7AAE3020"/>
    <w:rsid w:val="7ABB09C0"/>
    <w:rsid w:val="7AD47655"/>
    <w:rsid w:val="7B670602"/>
    <w:rsid w:val="7B936012"/>
    <w:rsid w:val="7BF57AD9"/>
    <w:rsid w:val="7C300BA8"/>
    <w:rsid w:val="7C6D12B6"/>
    <w:rsid w:val="7CBA19C1"/>
    <w:rsid w:val="7D9B6437"/>
    <w:rsid w:val="7DB63631"/>
    <w:rsid w:val="7E7C33F4"/>
    <w:rsid w:val="7EC87A85"/>
    <w:rsid w:val="7EF17544"/>
    <w:rsid w:val="7F466C81"/>
    <w:rsid w:val="7F554F7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qFormat="1" w:unhideWhenUsed="0" w:uiPriority="0" w:semiHidden="0"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0"/>
    <w:qFormat/>
    <w:uiPriority w:val="0"/>
    <w:pPr>
      <w:keepNext/>
      <w:spacing w:line="440" w:lineRule="exact"/>
      <w:jc w:val="center"/>
      <w:outlineLvl w:val="0"/>
    </w:pPr>
    <w:rPr>
      <w:rFonts w:ascii="仿宋_GB2312" w:eastAsia="仿宋_GB2312"/>
      <w:sz w:val="28"/>
    </w:rPr>
  </w:style>
  <w:style w:type="paragraph" w:styleId="3">
    <w:name w:val="heading 2"/>
    <w:basedOn w:val="1"/>
    <w:next w:val="1"/>
    <w:link w:val="61"/>
    <w:qFormat/>
    <w:uiPriority w:val="0"/>
    <w:pPr>
      <w:keepNext/>
      <w:tabs>
        <w:tab w:val="left" w:pos="975"/>
      </w:tabs>
      <w:adjustRightInd w:val="0"/>
      <w:snapToGrid w:val="0"/>
      <w:ind w:left="975" w:hanging="420"/>
      <w:outlineLvl w:val="1"/>
    </w:pPr>
    <w:rPr>
      <w:rFonts w:ascii="仿宋_GB2312" w:eastAsia="仿宋_GB2312"/>
      <w:b/>
      <w:bCs/>
      <w:sz w:val="28"/>
    </w:rPr>
  </w:style>
  <w:style w:type="paragraph" w:styleId="4">
    <w:name w:val="heading 3"/>
    <w:basedOn w:val="1"/>
    <w:next w:val="1"/>
    <w:link w:val="62"/>
    <w:qFormat/>
    <w:uiPriority w:val="0"/>
    <w:pPr>
      <w:keepNext/>
      <w:keepLines/>
      <w:spacing w:before="260" w:after="260" w:line="415" w:lineRule="auto"/>
      <w:outlineLvl w:val="2"/>
    </w:pPr>
    <w:rPr>
      <w:b/>
      <w:bCs/>
      <w:sz w:val="32"/>
      <w:szCs w:val="32"/>
    </w:rPr>
  </w:style>
  <w:style w:type="paragraph" w:styleId="5">
    <w:name w:val="heading 4"/>
    <w:basedOn w:val="1"/>
    <w:next w:val="1"/>
    <w:link w:val="136"/>
    <w:qFormat/>
    <w:uiPriority w:val="0"/>
    <w:pPr>
      <w:keepNext/>
      <w:keepLines/>
      <w:spacing w:before="280" w:after="290" w:line="376" w:lineRule="auto"/>
      <w:outlineLvl w:val="3"/>
    </w:pPr>
    <w:rPr>
      <w:rFonts w:ascii="Arial" w:hAnsi="Arial" w:eastAsia="黑体"/>
      <w:b/>
      <w:bCs/>
      <w:sz w:val="28"/>
      <w:szCs w:val="28"/>
    </w:rPr>
  </w:style>
  <w:style w:type="character" w:default="1" w:styleId="49">
    <w:name w:val="Default Paragraph Font"/>
    <w:unhideWhenUsed/>
    <w:qFormat/>
    <w:uiPriority w:val="1"/>
  </w:style>
  <w:style w:type="table" w:default="1" w:styleId="56">
    <w:name w:val="Normal Table"/>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187"/>
    <w:qFormat/>
    <w:uiPriority w:val="0"/>
    <w:rPr>
      <w:b/>
      <w:bCs/>
    </w:rPr>
  </w:style>
  <w:style w:type="paragraph" w:styleId="7">
    <w:name w:val="annotation text"/>
    <w:basedOn w:val="1"/>
    <w:link w:val="184"/>
    <w:qFormat/>
    <w:uiPriority w:val="0"/>
    <w:pPr>
      <w:jc w:val="left"/>
    </w:pPr>
    <w:rPr>
      <w:szCs w:val="20"/>
    </w:rPr>
  </w:style>
  <w:style w:type="paragraph" w:styleId="8">
    <w:name w:val="toc 7"/>
    <w:basedOn w:val="1"/>
    <w:next w:val="1"/>
    <w:qFormat/>
    <w:uiPriority w:val="0"/>
    <w:pPr>
      <w:ind w:left="2520" w:leftChars="1200"/>
    </w:pPr>
    <w:rPr>
      <w:szCs w:val="20"/>
    </w:rPr>
  </w:style>
  <w:style w:type="paragraph" w:styleId="9">
    <w:name w:val="Note Heading"/>
    <w:basedOn w:val="1"/>
    <w:next w:val="1"/>
    <w:link w:val="185"/>
    <w:qFormat/>
    <w:uiPriority w:val="0"/>
    <w:pPr>
      <w:jc w:val="center"/>
    </w:pPr>
    <w:rPr>
      <w:szCs w:val="20"/>
    </w:rPr>
  </w:style>
  <w:style w:type="paragraph" w:styleId="10">
    <w:name w:val="index 8"/>
    <w:basedOn w:val="1"/>
    <w:next w:val="1"/>
    <w:qFormat/>
    <w:uiPriority w:val="0"/>
    <w:pPr>
      <w:ind w:left="1400" w:leftChars="1400"/>
    </w:pPr>
    <w:rPr>
      <w:szCs w:val="20"/>
    </w:rPr>
  </w:style>
  <w:style w:type="paragraph" w:styleId="11">
    <w:name w:val="Normal Indent"/>
    <w:basedOn w:val="1"/>
    <w:link w:val="122"/>
    <w:qFormat/>
    <w:uiPriority w:val="0"/>
    <w:pPr>
      <w:ind w:firstLine="420"/>
    </w:pPr>
    <w:rPr>
      <w:szCs w:val="20"/>
    </w:rPr>
  </w:style>
  <w:style w:type="paragraph" w:styleId="12">
    <w:name w:val="index 5"/>
    <w:basedOn w:val="1"/>
    <w:next w:val="1"/>
    <w:qFormat/>
    <w:uiPriority w:val="0"/>
    <w:pPr>
      <w:ind w:left="800" w:leftChars="800"/>
    </w:pPr>
    <w:rPr>
      <w:szCs w:val="20"/>
    </w:rPr>
  </w:style>
  <w:style w:type="paragraph" w:styleId="13">
    <w:name w:val="Document Map"/>
    <w:basedOn w:val="1"/>
    <w:link w:val="118"/>
    <w:qFormat/>
    <w:uiPriority w:val="0"/>
    <w:rPr>
      <w:rFonts w:ascii="宋体"/>
      <w:sz w:val="18"/>
      <w:szCs w:val="18"/>
    </w:rPr>
  </w:style>
  <w:style w:type="paragraph" w:styleId="14">
    <w:name w:val="index 6"/>
    <w:basedOn w:val="1"/>
    <w:next w:val="1"/>
    <w:qFormat/>
    <w:uiPriority w:val="0"/>
    <w:pPr>
      <w:ind w:left="1000" w:leftChars="1000"/>
    </w:pPr>
    <w:rPr>
      <w:szCs w:val="20"/>
    </w:rPr>
  </w:style>
  <w:style w:type="paragraph" w:styleId="15">
    <w:name w:val="Salutation"/>
    <w:basedOn w:val="1"/>
    <w:next w:val="1"/>
    <w:link w:val="70"/>
    <w:qFormat/>
    <w:uiPriority w:val="0"/>
    <w:rPr>
      <w:rFonts w:ascii="仿宋_GB2312" w:eastAsia="仿宋_GB2312"/>
      <w:sz w:val="28"/>
    </w:rPr>
  </w:style>
  <w:style w:type="paragraph" w:styleId="16">
    <w:name w:val="Body Text 3"/>
    <w:basedOn w:val="1"/>
    <w:link w:val="186"/>
    <w:qFormat/>
    <w:uiPriority w:val="0"/>
    <w:pPr>
      <w:spacing w:after="120"/>
    </w:pPr>
    <w:rPr>
      <w:sz w:val="16"/>
      <w:szCs w:val="16"/>
    </w:rPr>
  </w:style>
  <w:style w:type="paragraph" w:styleId="17">
    <w:name w:val="Closing"/>
    <w:basedOn w:val="1"/>
    <w:next w:val="1"/>
    <w:link w:val="75"/>
    <w:qFormat/>
    <w:uiPriority w:val="0"/>
    <w:pPr>
      <w:ind w:left="4320"/>
    </w:pPr>
    <w:rPr>
      <w:rFonts w:ascii="仿宋_GB2312" w:eastAsia="仿宋_GB2312"/>
      <w:sz w:val="28"/>
    </w:rPr>
  </w:style>
  <w:style w:type="paragraph" w:styleId="18">
    <w:name w:val="Body Text"/>
    <w:basedOn w:val="1"/>
    <w:link w:val="72"/>
    <w:qFormat/>
    <w:uiPriority w:val="0"/>
    <w:pPr>
      <w:spacing w:line="560" w:lineRule="exact"/>
    </w:pPr>
    <w:rPr>
      <w:rFonts w:ascii="仿宋_GB2312" w:eastAsia="仿宋_GB2312"/>
      <w:sz w:val="28"/>
    </w:rPr>
  </w:style>
  <w:style w:type="paragraph" w:styleId="19">
    <w:name w:val="Body Text Indent"/>
    <w:basedOn w:val="1"/>
    <w:link w:val="73"/>
    <w:qFormat/>
    <w:uiPriority w:val="0"/>
    <w:pPr>
      <w:spacing w:after="120"/>
      <w:ind w:left="420" w:leftChars="200"/>
    </w:pPr>
  </w:style>
  <w:style w:type="paragraph" w:styleId="20">
    <w:name w:val="Block Text"/>
    <w:basedOn w:val="1"/>
    <w:qFormat/>
    <w:uiPriority w:val="99"/>
    <w:pPr>
      <w:adjustRightInd w:val="0"/>
      <w:spacing w:line="360" w:lineRule="auto"/>
      <w:ind w:left="3237" w:leftChars="251" w:right="-88" w:hanging="2710" w:hangingChars="968"/>
      <w:textAlignment w:val="baseline"/>
    </w:pPr>
    <w:rPr>
      <w:rFonts w:ascii="仿宋_GB2312" w:hAnsi="MS Sans Serif" w:eastAsia="仿宋_GB2312"/>
      <w:kern w:val="0"/>
      <w:sz w:val="28"/>
      <w:szCs w:val="20"/>
    </w:rPr>
  </w:style>
  <w:style w:type="paragraph" w:styleId="21">
    <w:name w:val="List Bullet 2"/>
    <w:basedOn w:val="1"/>
    <w:qFormat/>
    <w:uiPriority w:val="0"/>
    <w:pPr>
      <w:tabs>
        <w:tab w:val="left" w:pos="780"/>
      </w:tabs>
      <w:ind w:left="780" w:leftChars="200" w:hanging="360" w:hangingChars="200"/>
    </w:pPr>
    <w:rPr>
      <w:kern w:val="0"/>
      <w:szCs w:val="20"/>
    </w:rPr>
  </w:style>
  <w:style w:type="paragraph" w:styleId="22">
    <w:name w:val="index 4"/>
    <w:basedOn w:val="1"/>
    <w:next w:val="1"/>
    <w:qFormat/>
    <w:uiPriority w:val="0"/>
    <w:pPr>
      <w:ind w:left="600" w:leftChars="600"/>
    </w:pPr>
    <w:rPr>
      <w:szCs w:val="20"/>
    </w:rPr>
  </w:style>
  <w:style w:type="paragraph" w:styleId="23">
    <w:name w:val="toc 5"/>
    <w:basedOn w:val="1"/>
    <w:next w:val="1"/>
    <w:qFormat/>
    <w:uiPriority w:val="0"/>
    <w:pPr>
      <w:ind w:left="1680" w:leftChars="800"/>
    </w:pPr>
    <w:rPr>
      <w:szCs w:val="20"/>
    </w:rPr>
  </w:style>
  <w:style w:type="paragraph" w:styleId="24">
    <w:name w:val="toc 3"/>
    <w:basedOn w:val="1"/>
    <w:next w:val="1"/>
    <w:qFormat/>
    <w:uiPriority w:val="0"/>
    <w:pPr>
      <w:tabs>
        <w:tab w:val="right" w:leader="dot" w:pos="8211"/>
      </w:tabs>
      <w:ind w:left="1260" w:hanging="420"/>
    </w:pPr>
    <w:rPr>
      <w:szCs w:val="20"/>
    </w:rPr>
  </w:style>
  <w:style w:type="paragraph" w:styleId="25">
    <w:name w:val="Plain Text"/>
    <w:basedOn w:val="1"/>
    <w:link w:val="66"/>
    <w:qFormat/>
    <w:uiPriority w:val="0"/>
    <w:rPr>
      <w:rFonts w:ascii="宋体" w:hAnsi="Courier New"/>
    </w:rPr>
  </w:style>
  <w:style w:type="paragraph" w:styleId="26">
    <w:name w:val="toc 8"/>
    <w:basedOn w:val="1"/>
    <w:next w:val="1"/>
    <w:qFormat/>
    <w:uiPriority w:val="0"/>
    <w:pPr>
      <w:ind w:left="2940" w:leftChars="1400"/>
    </w:pPr>
    <w:rPr>
      <w:szCs w:val="20"/>
    </w:rPr>
  </w:style>
  <w:style w:type="paragraph" w:styleId="27">
    <w:name w:val="index 3"/>
    <w:basedOn w:val="1"/>
    <w:next w:val="1"/>
    <w:qFormat/>
    <w:uiPriority w:val="0"/>
    <w:pPr>
      <w:ind w:left="400" w:leftChars="400"/>
    </w:pPr>
    <w:rPr>
      <w:szCs w:val="20"/>
    </w:rPr>
  </w:style>
  <w:style w:type="paragraph" w:styleId="28">
    <w:name w:val="Date"/>
    <w:basedOn w:val="1"/>
    <w:next w:val="1"/>
    <w:link w:val="81"/>
    <w:qFormat/>
    <w:uiPriority w:val="0"/>
    <w:rPr>
      <w:rFonts w:ascii="仿宋_GB2312" w:eastAsia="仿宋_GB2312"/>
      <w:sz w:val="28"/>
    </w:rPr>
  </w:style>
  <w:style w:type="paragraph" w:styleId="29">
    <w:name w:val="Body Text Indent 2"/>
    <w:basedOn w:val="1"/>
    <w:link w:val="67"/>
    <w:qFormat/>
    <w:uiPriority w:val="0"/>
    <w:pPr>
      <w:spacing w:line="560" w:lineRule="exact"/>
      <w:ind w:left="-105" w:firstLine="629" w:firstLineChars="242"/>
    </w:pPr>
    <w:rPr>
      <w:rFonts w:ascii="仿宋_GB2312" w:eastAsia="仿宋_GB2312"/>
      <w:spacing w:val="10"/>
      <w:sz w:val="24"/>
    </w:rPr>
  </w:style>
  <w:style w:type="paragraph" w:styleId="30">
    <w:name w:val="Balloon Text"/>
    <w:basedOn w:val="1"/>
    <w:link w:val="65"/>
    <w:qFormat/>
    <w:uiPriority w:val="0"/>
    <w:rPr>
      <w:sz w:val="18"/>
      <w:szCs w:val="18"/>
    </w:rPr>
  </w:style>
  <w:style w:type="paragraph" w:styleId="31">
    <w:name w:val="footer"/>
    <w:basedOn w:val="1"/>
    <w:link w:val="137"/>
    <w:qFormat/>
    <w:uiPriority w:val="99"/>
    <w:pPr>
      <w:tabs>
        <w:tab w:val="center" w:pos="4153"/>
        <w:tab w:val="right" w:pos="8306"/>
      </w:tabs>
      <w:snapToGrid w:val="0"/>
      <w:jc w:val="left"/>
    </w:pPr>
    <w:rPr>
      <w:sz w:val="18"/>
      <w:szCs w:val="18"/>
    </w:rPr>
  </w:style>
  <w:style w:type="paragraph" w:styleId="32">
    <w:name w:val="header"/>
    <w:basedOn w:val="1"/>
    <w:link w:val="96"/>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0"/>
    <w:pPr>
      <w:tabs>
        <w:tab w:val="right" w:leader="dot" w:pos="8190"/>
      </w:tabs>
      <w:spacing w:line="360" w:lineRule="auto"/>
      <w:ind w:left="420" w:hanging="420"/>
    </w:pPr>
    <w:rPr>
      <w:rFonts w:ascii="宋体" w:hAnsi="宋体"/>
      <w:spacing w:val="4"/>
      <w:sz w:val="24"/>
    </w:rPr>
  </w:style>
  <w:style w:type="paragraph" w:styleId="34">
    <w:name w:val="toc 4"/>
    <w:basedOn w:val="1"/>
    <w:next w:val="1"/>
    <w:qFormat/>
    <w:uiPriority w:val="0"/>
    <w:pPr>
      <w:ind w:left="1260" w:leftChars="600"/>
    </w:pPr>
    <w:rPr>
      <w:szCs w:val="20"/>
    </w:rPr>
  </w:style>
  <w:style w:type="paragraph" w:styleId="35">
    <w:name w:val="index heading"/>
    <w:basedOn w:val="1"/>
    <w:next w:val="36"/>
    <w:qFormat/>
    <w:uiPriority w:val="0"/>
    <w:rPr>
      <w:szCs w:val="20"/>
    </w:rPr>
  </w:style>
  <w:style w:type="paragraph" w:styleId="36">
    <w:name w:val="index 1"/>
    <w:basedOn w:val="1"/>
    <w:next w:val="1"/>
    <w:qFormat/>
    <w:uiPriority w:val="0"/>
    <w:rPr>
      <w:szCs w:val="20"/>
    </w:rPr>
  </w:style>
  <w:style w:type="paragraph" w:styleId="37">
    <w:name w:val="List"/>
    <w:basedOn w:val="1"/>
    <w:qFormat/>
    <w:uiPriority w:val="0"/>
    <w:pPr>
      <w:autoSpaceDE w:val="0"/>
      <w:autoSpaceDN w:val="0"/>
      <w:adjustRightInd w:val="0"/>
      <w:spacing w:line="312" w:lineRule="atLeast"/>
      <w:ind w:left="420" w:hanging="420"/>
      <w:textAlignment w:val="baseline"/>
    </w:pPr>
    <w:rPr>
      <w:kern w:val="0"/>
      <w:szCs w:val="20"/>
    </w:rPr>
  </w:style>
  <w:style w:type="paragraph" w:styleId="38">
    <w:name w:val="toc 6"/>
    <w:basedOn w:val="1"/>
    <w:next w:val="1"/>
    <w:qFormat/>
    <w:uiPriority w:val="0"/>
    <w:pPr>
      <w:ind w:left="2100" w:leftChars="1000"/>
    </w:pPr>
    <w:rPr>
      <w:szCs w:val="20"/>
    </w:rPr>
  </w:style>
  <w:style w:type="paragraph" w:styleId="39">
    <w:name w:val="Body Text Indent 3"/>
    <w:basedOn w:val="1"/>
    <w:link w:val="78"/>
    <w:qFormat/>
    <w:uiPriority w:val="0"/>
    <w:pPr>
      <w:spacing w:after="120"/>
      <w:ind w:left="420" w:leftChars="200"/>
    </w:pPr>
    <w:rPr>
      <w:sz w:val="16"/>
      <w:szCs w:val="16"/>
    </w:rPr>
  </w:style>
  <w:style w:type="paragraph" w:styleId="40">
    <w:name w:val="index 7"/>
    <w:basedOn w:val="1"/>
    <w:next w:val="1"/>
    <w:qFormat/>
    <w:uiPriority w:val="0"/>
    <w:pPr>
      <w:ind w:left="1200" w:leftChars="1200"/>
    </w:pPr>
    <w:rPr>
      <w:szCs w:val="20"/>
    </w:rPr>
  </w:style>
  <w:style w:type="paragraph" w:styleId="41">
    <w:name w:val="index 9"/>
    <w:basedOn w:val="1"/>
    <w:next w:val="1"/>
    <w:qFormat/>
    <w:uiPriority w:val="0"/>
    <w:pPr>
      <w:ind w:left="1600" w:leftChars="1600"/>
    </w:pPr>
    <w:rPr>
      <w:szCs w:val="20"/>
    </w:rPr>
  </w:style>
  <w:style w:type="paragraph" w:styleId="42">
    <w:name w:val="table of figures"/>
    <w:basedOn w:val="1"/>
    <w:next w:val="1"/>
    <w:qFormat/>
    <w:uiPriority w:val="0"/>
    <w:pPr>
      <w:spacing w:before="120" w:after="120"/>
      <w:ind w:left="840" w:hanging="420"/>
      <w:jc w:val="center"/>
    </w:pPr>
    <w:rPr>
      <w:rFonts w:eastAsia="黑体"/>
      <w:szCs w:val="20"/>
    </w:rPr>
  </w:style>
  <w:style w:type="paragraph" w:styleId="43">
    <w:name w:val="toc 2"/>
    <w:basedOn w:val="1"/>
    <w:next w:val="1"/>
    <w:qFormat/>
    <w:uiPriority w:val="0"/>
    <w:pPr>
      <w:ind w:left="420" w:leftChars="200"/>
    </w:pPr>
    <w:rPr>
      <w:szCs w:val="20"/>
    </w:rPr>
  </w:style>
  <w:style w:type="paragraph" w:styleId="44">
    <w:name w:val="toc 9"/>
    <w:basedOn w:val="1"/>
    <w:next w:val="1"/>
    <w:qFormat/>
    <w:uiPriority w:val="0"/>
    <w:pPr>
      <w:ind w:left="3360" w:leftChars="1600"/>
    </w:pPr>
    <w:rPr>
      <w:szCs w:val="20"/>
    </w:rPr>
  </w:style>
  <w:style w:type="paragraph" w:styleId="45">
    <w:name w:val="Body Text 2"/>
    <w:basedOn w:val="1"/>
    <w:link w:val="138"/>
    <w:qFormat/>
    <w:uiPriority w:val="0"/>
    <w:pPr>
      <w:tabs>
        <w:tab w:val="left" w:pos="6888"/>
      </w:tabs>
      <w:autoSpaceDE w:val="0"/>
      <w:autoSpaceDN w:val="0"/>
      <w:adjustRightInd w:val="0"/>
      <w:spacing w:line="540" w:lineRule="exact"/>
      <w:jc w:val="left"/>
    </w:pPr>
    <w:rPr>
      <w:rFonts w:ascii="仿宋_GB2312" w:eastAsia="仿宋_GB2312"/>
      <w:color w:val="000000"/>
      <w:kern w:val="0"/>
      <w:sz w:val="28"/>
      <w:szCs w:val="32"/>
    </w:rPr>
  </w:style>
  <w:style w:type="paragraph" w:styleId="46">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47">
    <w:name w:val="index 2"/>
    <w:basedOn w:val="1"/>
    <w:next w:val="1"/>
    <w:qFormat/>
    <w:uiPriority w:val="0"/>
    <w:pPr>
      <w:ind w:left="200" w:leftChars="200"/>
    </w:pPr>
    <w:rPr>
      <w:szCs w:val="20"/>
    </w:rPr>
  </w:style>
  <w:style w:type="paragraph" w:styleId="48">
    <w:name w:val="Title"/>
    <w:basedOn w:val="1"/>
    <w:next w:val="1"/>
    <w:link w:val="188"/>
    <w:qFormat/>
    <w:uiPriority w:val="0"/>
    <w:pPr>
      <w:spacing w:before="240" w:after="60" w:line="360" w:lineRule="auto"/>
      <w:jc w:val="center"/>
      <w:outlineLvl w:val="0"/>
    </w:pPr>
    <w:rPr>
      <w:rFonts w:ascii="Cambria" w:hAnsi="Cambria" w:eastAsia="仿宋_GB2312"/>
      <w:b/>
      <w:bCs/>
      <w:sz w:val="32"/>
      <w:szCs w:val="32"/>
    </w:rPr>
  </w:style>
  <w:style w:type="character" w:styleId="50">
    <w:name w:val="Strong"/>
    <w:basedOn w:val="49"/>
    <w:qFormat/>
    <w:uiPriority w:val="0"/>
    <w:rPr>
      <w:b/>
      <w:bCs/>
    </w:rPr>
  </w:style>
  <w:style w:type="character" w:styleId="51">
    <w:name w:val="page number"/>
    <w:basedOn w:val="49"/>
    <w:qFormat/>
    <w:uiPriority w:val="0"/>
  </w:style>
  <w:style w:type="character" w:styleId="52">
    <w:name w:val="FollowedHyperlink"/>
    <w:basedOn w:val="49"/>
    <w:qFormat/>
    <w:uiPriority w:val="0"/>
    <w:rPr>
      <w:color w:val="800080"/>
      <w:u w:val="single"/>
    </w:rPr>
  </w:style>
  <w:style w:type="character" w:styleId="53">
    <w:name w:val="Emphasis"/>
    <w:basedOn w:val="49"/>
    <w:qFormat/>
    <w:uiPriority w:val="0"/>
    <w:rPr>
      <w:i/>
      <w:iCs/>
    </w:rPr>
  </w:style>
  <w:style w:type="character" w:styleId="54">
    <w:name w:val="Hyperlink"/>
    <w:basedOn w:val="49"/>
    <w:qFormat/>
    <w:uiPriority w:val="0"/>
    <w:rPr>
      <w:color w:val="0000FF"/>
      <w:u w:val="single"/>
    </w:rPr>
  </w:style>
  <w:style w:type="character" w:styleId="55">
    <w:name w:val="annotation reference"/>
    <w:qFormat/>
    <w:uiPriority w:val="0"/>
    <w:rPr>
      <w:sz w:val="21"/>
      <w:szCs w:val="21"/>
    </w:rPr>
  </w:style>
  <w:style w:type="table" w:styleId="57">
    <w:name w:val="Table Grid"/>
    <w:basedOn w:val="5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58">
    <w:name w:val="Table Theme"/>
    <w:basedOn w:val="5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59">
    <w:name w:val="Table List 3"/>
    <w:basedOn w:val="56"/>
    <w:qFormat/>
    <w:uiPriority w:val="0"/>
    <w:pPr>
      <w:widowControl w:val="0"/>
      <w:jc w:val="both"/>
    </w:pPr>
    <w:tblPr>
      <w:tblBorders>
        <w:top w:val="single" w:color="000000" w:sz="12" w:space="0"/>
        <w:bottom w:val="single" w:color="000000" w:sz="12" w:space="0"/>
        <w:insideH w:val="single" w:color="000000" w:sz="6" w:space="0"/>
      </w:tblBorders>
      <w:tblLayout w:type="fixed"/>
      <w:tblCellMar>
        <w:top w:w="0" w:type="dxa"/>
        <w:left w:w="108" w:type="dxa"/>
        <w:bottom w:w="0" w:type="dxa"/>
        <w:right w:w="108" w:type="dxa"/>
      </w:tblCellMar>
    </w:tblPr>
    <w:tcPr>
      <w:shd w:val="clear" w:color="auto" w:fill="auto"/>
    </w:tcPr>
    <w:tblStylePr w:type="firstRow">
      <w:rPr>
        <w:b/>
        <w:bCs/>
        <w:color w:val="000080"/>
      </w:rPr>
      <w:tblPr>
        <w:tblLayout w:type="fixed"/>
      </w:tblPr>
      <w:tcPr>
        <w:tcBorders>
          <w:top w:val="nil"/>
          <w:left w:val="nil"/>
          <w:bottom w:val="single" w:color="000000" w:sz="12" w:space="0"/>
          <w:right w:val="nil"/>
          <w:insideH w:val="nil"/>
          <w:insideV w:val="nil"/>
          <w:tl2br w:val="nil"/>
          <w:tr2bl w:val="nil"/>
        </w:tcBorders>
      </w:tcPr>
    </w:tblStylePr>
    <w:tblStylePr w:type="lastRow">
      <w:tblPr>
        <w:tblLayout w:type="fixed"/>
      </w:tblPr>
      <w:tcPr>
        <w:tcBorders>
          <w:top w:val="single" w:color="000000" w:sz="12" w:space="0"/>
          <w:left w:val="nil"/>
          <w:bottom w:val="nil"/>
          <w:right w:val="nil"/>
          <w:insideH w:val="nil"/>
          <w:insideV w:val="nil"/>
          <w:tl2br w:val="nil"/>
          <w:tr2bl w:val="nil"/>
        </w:tcBorders>
      </w:tcPr>
    </w:tblStylePr>
    <w:tblStylePr w:type="swCell">
      <w:rPr>
        <w:i/>
        <w:iCs/>
        <w:color w:val="000080"/>
      </w:rPr>
      <w:tblPr>
        <w:tblLayout w:type="fixed"/>
      </w:tblPr>
      <w:tcPr>
        <w:tcBorders>
          <w:top w:val="nil"/>
          <w:left w:val="nil"/>
          <w:bottom w:val="nil"/>
          <w:right w:val="nil"/>
          <w:insideH w:val="nil"/>
          <w:insideV w:val="nil"/>
          <w:tl2br w:val="nil"/>
          <w:tr2bl w:val="nil"/>
        </w:tcBorders>
      </w:tcPr>
    </w:tblStylePr>
  </w:style>
  <w:style w:type="character" w:customStyle="1" w:styleId="60">
    <w:name w:val="标题 1 Char"/>
    <w:basedOn w:val="49"/>
    <w:link w:val="2"/>
    <w:qFormat/>
    <w:uiPriority w:val="0"/>
    <w:rPr>
      <w:rFonts w:ascii="仿宋_GB2312" w:eastAsia="仿宋_GB2312"/>
      <w:kern w:val="2"/>
      <w:sz w:val="28"/>
    </w:rPr>
  </w:style>
  <w:style w:type="character" w:customStyle="1" w:styleId="61">
    <w:name w:val="标题 2 Char"/>
    <w:basedOn w:val="49"/>
    <w:link w:val="3"/>
    <w:qFormat/>
    <w:uiPriority w:val="0"/>
    <w:rPr>
      <w:rFonts w:ascii="仿宋_GB2312" w:eastAsia="仿宋_GB2312"/>
      <w:b/>
      <w:bCs/>
      <w:kern w:val="2"/>
      <w:sz w:val="28"/>
      <w:szCs w:val="24"/>
      <w:lang w:val="en-US" w:eastAsia="zh-CN" w:bidi="ar-SA"/>
    </w:rPr>
  </w:style>
  <w:style w:type="character" w:customStyle="1" w:styleId="62">
    <w:name w:val="标题 3 Char"/>
    <w:basedOn w:val="49"/>
    <w:link w:val="4"/>
    <w:qFormat/>
    <w:uiPriority w:val="0"/>
    <w:rPr>
      <w:b/>
      <w:bCs/>
      <w:kern w:val="2"/>
      <w:sz w:val="32"/>
      <w:szCs w:val="32"/>
    </w:rPr>
  </w:style>
  <w:style w:type="paragraph" w:customStyle="1" w:styleId="63">
    <w:name w:val="Char Char1 Char Char Char Char Char Char Char Char Char Char"/>
    <w:basedOn w:val="1"/>
    <w:qFormat/>
    <w:uiPriority w:val="0"/>
    <w:rPr>
      <w:rFonts w:ascii="Tahoma" w:hAnsi="Tahoma"/>
      <w:sz w:val="24"/>
      <w:szCs w:val="20"/>
    </w:rPr>
  </w:style>
  <w:style w:type="character" w:customStyle="1" w:styleId="64">
    <w:name w:val="r_联系人"/>
    <w:basedOn w:val="49"/>
    <w:qFormat/>
    <w:uiPriority w:val="0"/>
  </w:style>
  <w:style w:type="character" w:customStyle="1" w:styleId="65">
    <w:name w:val="批注框文本 Char"/>
    <w:basedOn w:val="49"/>
    <w:link w:val="30"/>
    <w:qFormat/>
    <w:uiPriority w:val="0"/>
    <w:rPr>
      <w:kern w:val="2"/>
      <w:sz w:val="18"/>
      <w:szCs w:val="18"/>
    </w:rPr>
  </w:style>
  <w:style w:type="character" w:customStyle="1" w:styleId="66">
    <w:name w:val="纯文本 Char"/>
    <w:basedOn w:val="49"/>
    <w:link w:val="25"/>
    <w:qFormat/>
    <w:uiPriority w:val="0"/>
    <w:rPr>
      <w:rFonts w:ascii="宋体" w:hAnsi="Courier New"/>
      <w:kern w:val="2"/>
      <w:sz w:val="21"/>
    </w:rPr>
  </w:style>
  <w:style w:type="character" w:customStyle="1" w:styleId="67">
    <w:name w:val="正文文本缩进 2 Char"/>
    <w:basedOn w:val="49"/>
    <w:link w:val="29"/>
    <w:qFormat/>
    <w:uiPriority w:val="0"/>
    <w:rPr>
      <w:rFonts w:ascii="仿宋_GB2312" w:eastAsia="仿宋_GB2312"/>
      <w:spacing w:val="10"/>
      <w:kern w:val="2"/>
      <w:sz w:val="24"/>
    </w:rPr>
  </w:style>
  <w:style w:type="character" w:customStyle="1" w:styleId="68">
    <w:name w:val="headline-content2"/>
    <w:basedOn w:val="49"/>
    <w:qFormat/>
    <w:uiPriority w:val="0"/>
  </w:style>
  <w:style w:type="character" w:customStyle="1" w:styleId="69">
    <w:name w:val="font21"/>
    <w:basedOn w:val="49"/>
    <w:qFormat/>
    <w:uiPriority w:val="0"/>
    <w:rPr>
      <w:rFonts w:hint="eastAsia" w:ascii="仿宋_GB2312" w:eastAsia="仿宋_GB2312"/>
      <w:color w:val="000000"/>
      <w:sz w:val="18"/>
      <w:szCs w:val="18"/>
      <w:u w:val="none"/>
    </w:rPr>
  </w:style>
  <w:style w:type="character" w:customStyle="1" w:styleId="70">
    <w:name w:val="称呼 Char"/>
    <w:basedOn w:val="49"/>
    <w:link w:val="15"/>
    <w:qFormat/>
    <w:uiPriority w:val="0"/>
    <w:rPr>
      <w:rFonts w:ascii="仿宋_GB2312" w:eastAsia="仿宋_GB2312"/>
      <w:kern w:val="2"/>
      <w:sz w:val="28"/>
    </w:rPr>
  </w:style>
  <w:style w:type="character" w:customStyle="1" w:styleId="71">
    <w:name w:val="font11"/>
    <w:basedOn w:val="49"/>
    <w:qFormat/>
    <w:uiPriority w:val="0"/>
    <w:rPr>
      <w:rFonts w:hint="eastAsia" w:ascii="仿宋_GB2312" w:eastAsia="仿宋_GB2312"/>
      <w:color w:val="000000"/>
      <w:sz w:val="18"/>
      <w:szCs w:val="18"/>
      <w:u w:val="none"/>
      <w:vertAlign w:val="superscript"/>
    </w:rPr>
  </w:style>
  <w:style w:type="character" w:customStyle="1" w:styleId="72">
    <w:name w:val="正文文本 Char"/>
    <w:basedOn w:val="49"/>
    <w:link w:val="18"/>
    <w:qFormat/>
    <w:uiPriority w:val="0"/>
    <w:rPr>
      <w:rFonts w:ascii="仿宋_GB2312" w:eastAsia="仿宋_GB2312"/>
      <w:kern w:val="2"/>
      <w:sz w:val="28"/>
    </w:rPr>
  </w:style>
  <w:style w:type="character" w:customStyle="1" w:styleId="73">
    <w:name w:val="正文文本缩进 Char"/>
    <w:basedOn w:val="49"/>
    <w:link w:val="19"/>
    <w:qFormat/>
    <w:uiPriority w:val="0"/>
    <w:rPr>
      <w:kern w:val="2"/>
      <w:sz w:val="21"/>
      <w:szCs w:val="24"/>
    </w:rPr>
  </w:style>
  <w:style w:type="character" w:customStyle="1" w:styleId="74">
    <w:name w:val="r_联系电话"/>
    <w:basedOn w:val="49"/>
    <w:qFormat/>
    <w:uiPriority w:val="0"/>
  </w:style>
  <w:style w:type="character" w:customStyle="1" w:styleId="75">
    <w:name w:val="结束语 Char"/>
    <w:basedOn w:val="49"/>
    <w:link w:val="17"/>
    <w:qFormat/>
    <w:uiPriority w:val="0"/>
    <w:rPr>
      <w:rFonts w:ascii="仿宋_GB2312" w:eastAsia="仿宋_GB2312"/>
      <w:kern w:val="2"/>
      <w:sz w:val="28"/>
    </w:rPr>
  </w:style>
  <w:style w:type="character" w:customStyle="1" w:styleId="76">
    <w:name w:val="s_土地设定用途"/>
    <w:basedOn w:val="49"/>
    <w:qFormat/>
    <w:uiPriority w:val="0"/>
  </w:style>
  <w:style w:type="character" w:customStyle="1" w:styleId="77">
    <w:name w:val="content1"/>
    <w:basedOn w:val="49"/>
    <w:qFormat/>
    <w:uiPriority w:val="0"/>
    <w:rPr>
      <w:color w:val="333333"/>
      <w:sz w:val="21"/>
      <w:szCs w:val="21"/>
    </w:rPr>
  </w:style>
  <w:style w:type="character" w:customStyle="1" w:styleId="78">
    <w:name w:val="正文文本缩进 3 Char"/>
    <w:basedOn w:val="49"/>
    <w:link w:val="39"/>
    <w:qFormat/>
    <w:uiPriority w:val="0"/>
    <w:rPr>
      <w:kern w:val="2"/>
      <w:sz w:val="16"/>
      <w:szCs w:val="16"/>
    </w:rPr>
  </w:style>
  <w:style w:type="character" w:customStyle="1" w:styleId="79">
    <w:name w:val="s_土地使用终止日期"/>
    <w:basedOn w:val="49"/>
    <w:qFormat/>
    <w:uiPriority w:val="0"/>
  </w:style>
  <w:style w:type="character" w:customStyle="1" w:styleId="80">
    <w:name w:val="font31"/>
    <w:basedOn w:val="49"/>
    <w:qFormat/>
    <w:uiPriority w:val="0"/>
    <w:rPr>
      <w:rFonts w:hint="eastAsia" w:ascii="仿宋_GB2312" w:eastAsia="仿宋_GB2312"/>
      <w:color w:val="000000"/>
      <w:sz w:val="20"/>
      <w:szCs w:val="20"/>
      <w:u w:val="none"/>
      <w:vertAlign w:val="superscript"/>
    </w:rPr>
  </w:style>
  <w:style w:type="character" w:customStyle="1" w:styleId="81">
    <w:name w:val="日期 Char"/>
    <w:basedOn w:val="49"/>
    <w:link w:val="28"/>
    <w:qFormat/>
    <w:uiPriority w:val="0"/>
    <w:rPr>
      <w:rFonts w:ascii="仿宋_GB2312" w:eastAsia="仿宋_GB2312"/>
      <w:kern w:val="2"/>
      <w:sz w:val="28"/>
    </w:rPr>
  </w:style>
  <w:style w:type="character" w:customStyle="1" w:styleId="82">
    <w:name w:val="s_用地面积"/>
    <w:basedOn w:val="49"/>
    <w:qFormat/>
    <w:uiPriority w:val="0"/>
  </w:style>
  <w:style w:type="character" w:customStyle="1" w:styleId="83">
    <w:name w:val="font41"/>
    <w:basedOn w:val="49"/>
    <w:qFormat/>
    <w:uiPriority w:val="0"/>
    <w:rPr>
      <w:rFonts w:hint="eastAsia" w:ascii="仿宋_GB2312" w:eastAsia="仿宋_GB2312"/>
      <w:color w:val="000000"/>
      <w:sz w:val="20"/>
      <w:szCs w:val="20"/>
      <w:u w:val="none"/>
    </w:rPr>
  </w:style>
  <w:style w:type="character" w:customStyle="1" w:styleId="84">
    <w:name w:val="client1"/>
    <w:basedOn w:val="49"/>
    <w:qFormat/>
    <w:uiPriority w:val="0"/>
  </w:style>
  <w:style w:type="character" w:customStyle="1" w:styleId="85">
    <w:name w:val="font61"/>
    <w:basedOn w:val="49"/>
    <w:qFormat/>
    <w:uiPriority w:val="0"/>
    <w:rPr>
      <w:rFonts w:hint="eastAsia" w:ascii="宋体" w:hAnsi="宋体" w:eastAsia="宋体"/>
      <w:color w:val="000000"/>
      <w:sz w:val="18"/>
      <w:szCs w:val="18"/>
      <w:u w:val="none"/>
    </w:rPr>
  </w:style>
  <w:style w:type="character" w:customStyle="1" w:styleId="86">
    <w:name w:val="font51"/>
    <w:basedOn w:val="49"/>
    <w:qFormat/>
    <w:uiPriority w:val="0"/>
    <w:rPr>
      <w:rFonts w:hint="default" w:ascii="Times New Roman" w:hAnsi="Times New Roman" w:cs="Times New Roman"/>
      <w:color w:val="000000"/>
      <w:sz w:val="18"/>
      <w:szCs w:val="18"/>
      <w:u w:val="none"/>
    </w:rPr>
  </w:style>
  <w:style w:type="character" w:customStyle="1" w:styleId="87">
    <w:name w:val="s_国有土地使用证"/>
    <w:basedOn w:val="49"/>
    <w:qFormat/>
    <w:uiPriority w:val="0"/>
  </w:style>
  <w:style w:type="character" w:customStyle="1" w:styleId="88">
    <w:name w:val="Char Char5"/>
    <w:basedOn w:val="49"/>
    <w:qFormat/>
    <w:uiPriority w:val="0"/>
    <w:rPr>
      <w:rFonts w:ascii="宋体" w:hAnsi="宋体" w:eastAsia="宋体"/>
      <w:kern w:val="2"/>
      <w:sz w:val="16"/>
      <w:szCs w:val="16"/>
      <w:lang w:val="en-US" w:eastAsia="zh-CN" w:bidi="ar-SA"/>
    </w:rPr>
  </w:style>
  <w:style w:type="paragraph" w:customStyle="1" w:styleId="89">
    <w:name w:val="样式7"/>
    <w:basedOn w:val="1"/>
    <w:qFormat/>
    <w:uiPriority w:val="0"/>
    <w:pPr>
      <w:spacing w:line="360" w:lineRule="auto"/>
      <w:ind w:firstLine="567"/>
    </w:pPr>
    <w:rPr>
      <w:rFonts w:ascii="仿宋_GB2312" w:eastAsia="仿宋_GB2312"/>
      <w:sz w:val="28"/>
      <w:szCs w:val="20"/>
    </w:rPr>
  </w:style>
  <w:style w:type="paragraph" w:customStyle="1" w:styleId="90">
    <w:name w:val="xl40"/>
    <w:basedOn w:val="1"/>
    <w:qFormat/>
    <w:uiPriority w:val="0"/>
    <w:pPr>
      <w:widowControl/>
      <w:pBdr>
        <w:right w:val="single" w:color="auto" w:sz="4" w:space="0"/>
      </w:pBdr>
      <w:spacing w:before="100" w:beforeAutospacing="1" w:after="100" w:afterAutospacing="1"/>
      <w:jc w:val="center"/>
    </w:pPr>
    <w:rPr>
      <w:kern w:val="0"/>
      <w:szCs w:val="20"/>
    </w:rPr>
  </w:style>
  <w:style w:type="paragraph" w:customStyle="1" w:styleId="91">
    <w:name w:val="zw"/>
    <w:basedOn w:val="92"/>
    <w:qFormat/>
    <w:uiPriority w:val="0"/>
    <w:pPr>
      <w:spacing w:line="360" w:lineRule="auto"/>
      <w:ind w:firstLine="482"/>
    </w:pPr>
    <w:rPr>
      <w:rFonts w:hAnsi="Arial Narrow" w:eastAsia="楷体_GB2312"/>
      <w:sz w:val="24"/>
    </w:rPr>
  </w:style>
  <w:style w:type="paragraph" w:customStyle="1" w:styleId="92">
    <w:name w:val="ZW"/>
    <w:basedOn w:val="1"/>
    <w:qFormat/>
    <w:uiPriority w:val="0"/>
    <w:pPr>
      <w:adjustRightInd w:val="0"/>
      <w:spacing w:line="440" w:lineRule="atLeast"/>
      <w:ind w:firstLine="601"/>
      <w:textAlignment w:val="baseline"/>
    </w:pPr>
    <w:rPr>
      <w:rFonts w:ascii="Arial Narrow" w:eastAsia="昆仑楷体"/>
      <w:kern w:val="0"/>
      <w:sz w:val="28"/>
      <w:szCs w:val="20"/>
    </w:rPr>
  </w:style>
  <w:style w:type="paragraph" w:customStyle="1" w:styleId="93">
    <w:name w:val="Char1"/>
    <w:basedOn w:val="1"/>
    <w:qFormat/>
    <w:uiPriority w:val="0"/>
    <w:rPr>
      <w:szCs w:val="20"/>
    </w:rPr>
  </w:style>
  <w:style w:type="paragraph" w:customStyle="1" w:styleId="94">
    <w:name w:val="Char Char Char Char Char Char Char Char Char Char Char Char Char Char Char Char Char Char Char Char Char Char"/>
    <w:basedOn w:val="1"/>
    <w:qFormat/>
    <w:uiPriority w:val="0"/>
    <w:rPr>
      <w:rFonts w:ascii="Tahoma" w:hAnsi="Tahoma"/>
      <w:sz w:val="24"/>
      <w:szCs w:val="20"/>
    </w:rPr>
  </w:style>
  <w:style w:type="paragraph" w:customStyle="1" w:styleId="95">
    <w:name w:val="默认段落字体 Para Char Char Char Char Char Char Char"/>
    <w:basedOn w:val="1"/>
    <w:qFormat/>
    <w:uiPriority w:val="0"/>
    <w:rPr>
      <w:rFonts w:ascii="Tahoma" w:hAnsi="Tahoma"/>
      <w:sz w:val="24"/>
      <w:szCs w:val="20"/>
    </w:rPr>
  </w:style>
  <w:style w:type="character" w:customStyle="1" w:styleId="96">
    <w:name w:val="页眉 Char"/>
    <w:basedOn w:val="49"/>
    <w:link w:val="32"/>
    <w:qFormat/>
    <w:locked/>
    <w:uiPriority w:val="99"/>
    <w:rPr>
      <w:rFonts w:eastAsia="宋体"/>
      <w:kern w:val="2"/>
      <w:sz w:val="18"/>
      <w:szCs w:val="18"/>
      <w:lang w:val="en-US" w:eastAsia="zh-CN" w:bidi="ar-SA"/>
    </w:rPr>
  </w:style>
  <w:style w:type="paragraph" w:customStyle="1" w:styleId="97">
    <w:name w:val="四号仿宋28磅"/>
    <w:basedOn w:val="1"/>
    <w:qFormat/>
    <w:uiPriority w:val="0"/>
    <w:pPr>
      <w:spacing w:line="560" w:lineRule="exact"/>
      <w:ind w:firstLine="200" w:firstLineChars="200"/>
    </w:pPr>
    <w:rPr>
      <w:rFonts w:ascii="仿宋_GB2312" w:eastAsia="仿宋_GB2312"/>
      <w:sz w:val="28"/>
      <w:szCs w:val="20"/>
    </w:rPr>
  </w:style>
  <w:style w:type="paragraph" w:customStyle="1" w:styleId="98">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Arial Unicode MS" w:eastAsia="仿宋_GB2312" w:cs="Arial Unicode MS"/>
      <w:kern w:val="0"/>
      <w:szCs w:val="21"/>
    </w:rPr>
  </w:style>
  <w:style w:type="paragraph" w:customStyle="1" w:styleId="99">
    <w:name w:val="Char Char Char Char Char Char Char Char Char Char"/>
    <w:basedOn w:val="1"/>
    <w:qFormat/>
    <w:uiPriority w:val="0"/>
    <w:rPr>
      <w:rFonts w:ascii="Tahoma" w:hAnsi="Tahoma"/>
      <w:sz w:val="24"/>
      <w:szCs w:val="20"/>
    </w:rPr>
  </w:style>
  <w:style w:type="paragraph" w:customStyle="1" w:styleId="100">
    <w:name w:val="Char Char Char1 Char Char Char Char"/>
    <w:basedOn w:val="1"/>
    <w:qFormat/>
    <w:uiPriority w:val="0"/>
    <w:rPr>
      <w:rFonts w:ascii="宋体" w:hAnsi="宋体" w:cs="Courier New"/>
      <w:sz w:val="32"/>
      <w:szCs w:val="32"/>
    </w:rPr>
  </w:style>
  <w:style w:type="character" w:customStyle="1" w:styleId="101">
    <w:name w:val="Char Char10"/>
    <w:basedOn w:val="49"/>
    <w:qFormat/>
    <w:locked/>
    <w:uiPriority w:val="0"/>
    <w:rPr>
      <w:rFonts w:ascii="仿宋_GB2312" w:eastAsia="仿宋_GB2312"/>
      <w:kern w:val="2"/>
      <w:sz w:val="28"/>
      <w:szCs w:val="24"/>
      <w:lang w:val="en-US" w:eastAsia="zh-CN" w:bidi="ar-SA"/>
    </w:rPr>
  </w:style>
  <w:style w:type="character" w:customStyle="1" w:styleId="102">
    <w:name w:val="Char Char9"/>
    <w:basedOn w:val="49"/>
    <w:qFormat/>
    <w:locked/>
    <w:uiPriority w:val="0"/>
    <w:rPr>
      <w:rFonts w:ascii="仿宋_GB2312" w:eastAsia="仿宋_GB2312"/>
      <w:b/>
      <w:bCs/>
      <w:kern w:val="2"/>
      <w:sz w:val="28"/>
      <w:szCs w:val="24"/>
      <w:lang w:val="en-US" w:eastAsia="zh-CN" w:bidi="ar-SA"/>
    </w:rPr>
  </w:style>
  <w:style w:type="character" w:customStyle="1" w:styleId="103">
    <w:name w:val="Char Char8"/>
    <w:basedOn w:val="49"/>
    <w:qFormat/>
    <w:locked/>
    <w:uiPriority w:val="0"/>
    <w:rPr>
      <w:rFonts w:eastAsia="宋体"/>
      <w:b/>
      <w:bCs/>
      <w:kern w:val="2"/>
      <w:sz w:val="32"/>
      <w:szCs w:val="32"/>
      <w:lang w:val="en-US" w:eastAsia="zh-CN" w:bidi="ar-SA"/>
    </w:rPr>
  </w:style>
  <w:style w:type="character" w:customStyle="1" w:styleId="104">
    <w:name w:val="Char Char3"/>
    <w:basedOn w:val="49"/>
    <w:qFormat/>
    <w:locked/>
    <w:uiPriority w:val="0"/>
    <w:rPr>
      <w:rFonts w:ascii="仿宋_GB2312" w:eastAsia="仿宋_GB2312"/>
      <w:kern w:val="2"/>
      <w:sz w:val="28"/>
      <w:lang w:bidi="ar-SA"/>
    </w:rPr>
  </w:style>
  <w:style w:type="character" w:customStyle="1" w:styleId="105">
    <w:name w:val="Char Char1"/>
    <w:basedOn w:val="49"/>
    <w:qFormat/>
    <w:locked/>
    <w:uiPriority w:val="0"/>
    <w:rPr>
      <w:rFonts w:ascii="仿宋_GB2312" w:eastAsia="仿宋_GB2312"/>
      <w:kern w:val="2"/>
      <w:sz w:val="28"/>
      <w:lang w:bidi="ar-SA"/>
    </w:rPr>
  </w:style>
  <w:style w:type="character" w:customStyle="1" w:styleId="106">
    <w:name w:val="Char Char6"/>
    <w:basedOn w:val="49"/>
    <w:qFormat/>
    <w:locked/>
    <w:uiPriority w:val="0"/>
    <w:rPr>
      <w:kern w:val="2"/>
      <w:sz w:val="21"/>
      <w:szCs w:val="24"/>
      <w:lang w:bidi="ar-SA"/>
    </w:rPr>
  </w:style>
  <w:style w:type="character" w:customStyle="1" w:styleId="107">
    <w:name w:val="Char Char4"/>
    <w:basedOn w:val="49"/>
    <w:qFormat/>
    <w:locked/>
    <w:uiPriority w:val="0"/>
    <w:rPr>
      <w:rFonts w:ascii="仿宋_GB2312" w:eastAsia="仿宋_GB2312"/>
      <w:kern w:val="2"/>
      <w:sz w:val="28"/>
      <w:lang w:bidi="ar-SA"/>
    </w:rPr>
  </w:style>
  <w:style w:type="character" w:customStyle="1" w:styleId="108">
    <w:name w:val="Char Char2"/>
    <w:basedOn w:val="49"/>
    <w:qFormat/>
    <w:locked/>
    <w:uiPriority w:val="0"/>
    <w:rPr>
      <w:rFonts w:ascii="仿宋_GB2312" w:eastAsia="仿宋_GB2312"/>
      <w:kern w:val="2"/>
      <w:sz w:val="28"/>
      <w:lang w:bidi="ar-SA"/>
    </w:rPr>
  </w:style>
  <w:style w:type="character" w:customStyle="1" w:styleId="109">
    <w:name w:val="Char Char"/>
    <w:basedOn w:val="49"/>
    <w:qFormat/>
    <w:locked/>
    <w:uiPriority w:val="0"/>
    <w:rPr>
      <w:rFonts w:ascii="仿宋_GB2312" w:eastAsia="仿宋_GB2312"/>
      <w:spacing w:val="10"/>
      <w:kern w:val="2"/>
      <w:sz w:val="24"/>
      <w:lang w:bidi="ar-SA"/>
    </w:rPr>
  </w:style>
  <w:style w:type="character" w:customStyle="1" w:styleId="110">
    <w:name w:val="Char Char7"/>
    <w:basedOn w:val="49"/>
    <w:qFormat/>
    <w:locked/>
    <w:uiPriority w:val="0"/>
    <w:rPr>
      <w:kern w:val="2"/>
      <w:sz w:val="18"/>
      <w:szCs w:val="18"/>
      <w:lang w:bidi="ar-SA"/>
    </w:rPr>
  </w:style>
  <w:style w:type="paragraph" w:customStyle="1" w:styleId="111">
    <w:name w:val="Char Char Char Char Char Char Char Char Char Char11"/>
    <w:basedOn w:val="1"/>
    <w:qFormat/>
    <w:uiPriority w:val="0"/>
    <w:rPr>
      <w:rFonts w:ascii="Tahoma" w:hAnsi="Tahoma"/>
      <w:sz w:val="24"/>
      <w:szCs w:val="20"/>
    </w:rPr>
  </w:style>
  <w:style w:type="paragraph" w:customStyle="1" w:styleId="112">
    <w:name w:val="Char Char Char Char Char Char Char Char Char Char Char Char Char Char Char Char Char Char Char Char Char Char11"/>
    <w:basedOn w:val="1"/>
    <w:qFormat/>
    <w:uiPriority w:val="0"/>
    <w:rPr>
      <w:rFonts w:ascii="Tahoma" w:hAnsi="Tahoma"/>
      <w:sz w:val="24"/>
      <w:szCs w:val="20"/>
    </w:rPr>
  </w:style>
  <w:style w:type="paragraph" w:customStyle="1" w:styleId="113">
    <w:name w:val="`正文He"/>
    <w:link w:val="114"/>
    <w:qFormat/>
    <w:uiPriority w:val="0"/>
    <w:pPr>
      <w:spacing w:line="420" w:lineRule="exact"/>
      <w:ind w:firstLine="200" w:firstLineChars="200"/>
      <w:jc w:val="both"/>
      <w:textAlignment w:val="center"/>
    </w:pPr>
    <w:rPr>
      <w:rFonts w:ascii="仿宋_GB2312" w:hAnsi="Calibri" w:eastAsia="仿宋_GB2312" w:cs="Times New Roman"/>
      <w:kern w:val="2"/>
      <w:sz w:val="28"/>
      <w:szCs w:val="22"/>
      <w:lang w:val="en-US" w:eastAsia="zh-CN" w:bidi="ar-SA"/>
    </w:rPr>
  </w:style>
  <w:style w:type="character" w:customStyle="1" w:styleId="114">
    <w:name w:val="`正文He Char"/>
    <w:link w:val="113"/>
    <w:qFormat/>
    <w:uiPriority w:val="0"/>
    <w:rPr>
      <w:rFonts w:ascii="仿宋_GB2312" w:hAnsi="Calibri" w:eastAsia="仿宋_GB2312"/>
      <w:kern w:val="2"/>
      <w:sz w:val="28"/>
      <w:szCs w:val="22"/>
      <w:lang w:val="en-US" w:eastAsia="zh-CN" w:bidi="ar-SA"/>
    </w:rPr>
  </w:style>
  <w:style w:type="paragraph" w:customStyle="1" w:styleId="115">
    <w:name w:val="Char Char14"/>
    <w:basedOn w:val="1"/>
    <w:qFormat/>
    <w:uiPriority w:val="0"/>
    <w:rPr>
      <w:szCs w:val="20"/>
    </w:rPr>
  </w:style>
  <w:style w:type="paragraph" w:customStyle="1" w:styleId="116">
    <w:name w:val="列出段落1"/>
    <w:basedOn w:val="1"/>
    <w:qFormat/>
    <w:uiPriority w:val="0"/>
    <w:pPr>
      <w:ind w:firstLine="420" w:firstLineChars="200"/>
    </w:pPr>
    <w:rPr>
      <w:szCs w:val="20"/>
    </w:rPr>
  </w:style>
  <w:style w:type="paragraph" w:customStyle="1" w:styleId="117">
    <w:name w:val="Char3 Char"/>
    <w:basedOn w:val="1"/>
    <w:qFormat/>
    <w:uiPriority w:val="0"/>
  </w:style>
  <w:style w:type="character" w:customStyle="1" w:styleId="118">
    <w:name w:val="文档结构图 Char"/>
    <w:basedOn w:val="49"/>
    <w:link w:val="13"/>
    <w:qFormat/>
    <w:uiPriority w:val="0"/>
    <w:rPr>
      <w:rFonts w:ascii="宋体"/>
      <w:kern w:val="2"/>
      <w:sz w:val="18"/>
      <w:szCs w:val="18"/>
    </w:rPr>
  </w:style>
  <w:style w:type="paragraph" w:customStyle="1" w:styleId="119">
    <w:name w:val="Char Char1 Char Char Char Char Char Char1 Char Char Char Char"/>
    <w:basedOn w:val="1"/>
    <w:qFormat/>
    <w:uiPriority w:val="0"/>
    <w:rPr>
      <w:szCs w:val="20"/>
    </w:rPr>
  </w:style>
  <w:style w:type="character" w:customStyle="1" w:styleId="120">
    <w:name w:val="普通文字 Char Char"/>
    <w:basedOn w:val="49"/>
    <w:qFormat/>
    <w:uiPriority w:val="0"/>
    <w:rPr>
      <w:rFonts w:ascii="宋体" w:hAnsi="Courier New"/>
      <w:kern w:val="2"/>
      <w:sz w:val="21"/>
      <w:lang w:bidi="ar-SA"/>
    </w:rPr>
  </w:style>
  <w:style w:type="character" w:customStyle="1" w:styleId="121">
    <w:name w:val="Header Char"/>
    <w:basedOn w:val="49"/>
    <w:qFormat/>
    <w:locked/>
    <w:uiPriority w:val="0"/>
    <w:rPr>
      <w:rFonts w:eastAsia="宋体"/>
      <w:kern w:val="2"/>
      <w:sz w:val="18"/>
      <w:szCs w:val="18"/>
      <w:lang w:val="en-US" w:eastAsia="zh-CN" w:bidi="ar-SA"/>
    </w:rPr>
  </w:style>
  <w:style w:type="character" w:customStyle="1" w:styleId="122">
    <w:name w:val="正文缩进 Char"/>
    <w:link w:val="11"/>
    <w:qFormat/>
    <w:uiPriority w:val="0"/>
    <w:rPr>
      <w:kern w:val="2"/>
      <w:sz w:val="21"/>
    </w:rPr>
  </w:style>
  <w:style w:type="paragraph" w:customStyle="1" w:styleId="123">
    <w:name w:val="List Paragraph"/>
    <w:basedOn w:val="1"/>
    <w:qFormat/>
    <w:uiPriority w:val="34"/>
    <w:pPr>
      <w:ind w:firstLine="420" w:firstLineChars="200"/>
    </w:pPr>
  </w:style>
  <w:style w:type="paragraph" w:customStyle="1" w:styleId="124">
    <w:name w:val="custom_unionstyle"/>
    <w:basedOn w:val="1"/>
    <w:qFormat/>
    <w:uiPriority w:val="0"/>
    <w:pPr>
      <w:widowControl/>
      <w:spacing w:before="100" w:beforeAutospacing="1" w:after="100" w:afterAutospacing="1"/>
      <w:jc w:val="left"/>
    </w:pPr>
    <w:rPr>
      <w:rFonts w:ascii="宋体" w:hAnsi="宋体" w:cs="宋体"/>
      <w:kern w:val="0"/>
      <w:sz w:val="24"/>
    </w:rPr>
  </w:style>
  <w:style w:type="paragraph" w:customStyle="1" w:styleId="125">
    <w:name w:val="5号居中"/>
    <w:basedOn w:val="1"/>
    <w:qFormat/>
    <w:uiPriority w:val="0"/>
    <w:pPr>
      <w:snapToGrid w:val="0"/>
      <w:jc w:val="center"/>
    </w:pPr>
    <w:rPr>
      <w:rFonts w:eastAsia="仿宋_GB2312"/>
      <w:kern w:val="0"/>
      <w:szCs w:val="21"/>
    </w:rPr>
  </w:style>
  <w:style w:type="paragraph" w:customStyle="1" w:styleId="126">
    <w:name w:val="Char1 Char Char Char"/>
    <w:basedOn w:val="1"/>
    <w:qFormat/>
    <w:uiPriority w:val="0"/>
  </w:style>
  <w:style w:type="paragraph" w:customStyle="1" w:styleId="127">
    <w:name w:val="Char1 Char Char Char11"/>
    <w:basedOn w:val="1"/>
    <w:qFormat/>
    <w:uiPriority w:val="0"/>
  </w:style>
  <w:style w:type="paragraph" w:customStyle="1" w:styleId="128">
    <w:name w:val="Char1 Char Char Char21"/>
    <w:basedOn w:val="1"/>
    <w:qFormat/>
    <w:uiPriority w:val="0"/>
  </w:style>
  <w:style w:type="paragraph" w:customStyle="1" w:styleId="129">
    <w:name w:val="Char1 Char Char Char31"/>
    <w:basedOn w:val="1"/>
    <w:qFormat/>
    <w:uiPriority w:val="0"/>
  </w:style>
  <w:style w:type="paragraph" w:customStyle="1" w:styleId="130">
    <w:name w:val="Char1 Char Char Char41"/>
    <w:basedOn w:val="1"/>
    <w:qFormat/>
    <w:uiPriority w:val="0"/>
  </w:style>
  <w:style w:type="paragraph" w:customStyle="1" w:styleId="131">
    <w:name w:val="Char1 Char Char Char51"/>
    <w:basedOn w:val="1"/>
    <w:qFormat/>
    <w:uiPriority w:val="0"/>
  </w:style>
  <w:style w:type="paragraph" w:customStyle="1" w:styleId="132">
    <w:name w:val="Char1 Char Char Char61"/>
    <w:basedOn w:val="1"/>
    <w:qFormat/>
    <w:uiPriority w:val="0"/>
  </w:style>
  <w:style w:type="paragraph" w:customStyle="1" w:styleId="133">
    <w:name w:val="Char1 Char Char Char71"/>
    <w:basedOn w:val="1"/>
    <w:qFormat/>
    <w:uiPriority w:val="0"/>
  </w:style>
  <w:style w:type="paragraph" w:customStyle="1" w:styleId="134">
    <w:name w:val="Char1 Char Char Char81"/>
    <w:basedOn w:val="1"/>
    <w:qFormat/>
    <w:uiPriority w:val="0"/>
  </w:style>
  <w:style w:type="paragraph" w:customStyle="1" w:styleId="135">
    <w:name w:val="Char1 Char Char Char91"/>
    <w:basedOn w:val="1"/>
    <w:qFormat/>
    <w:uiPriority w:val="0"/>
  </w:style>
  <w:style w:type="character" w:customStyle="1" w:styleId="136">
    <w:name w:val="标题 4 Char"/>
    <w:basedOn w:val="49"/>
    <w:link w:val="5"/>
    <w:qFormat/>
    <w:uiPriority w:val="0"/>
    <w:rPr>
      <w:rFonts w:ascii="Arial" w:hAnsi="Arial" w:eastAsia="黑体"/>
      <w:b/>
      <w:bCs/>
      <w:kern w:val="2"/>
      <w:sz w:val="28"/>
      <w:szCs w:val="28"/>
    </w:rPr>
  </w:style>
  <w:style w:type="character" w:customStyle="1" w:styleId="137">
    <w:name w:val="页脚 Char"/>
    <w:basedOn w:val="49"/>
    <w:link w:val="31"/>
    <w:qFormat/>
    <w:uiPriority w:val="99"/>
    <w:rPr>
      <w:kern w:val="2"/>
      <w:sz w:val="18"/>
      <w:szCs w:val="18"/>
    </w:rPr>
  </w:style>
  <w:style w:type="character" w:customStyle="1" w:styleId="138">
    <w:name w:val="正文文本 2 Char"/>
    <w:basedOn w:val="49"/>
    <w:link w:val="45"/>
    <w:qFormat/>
    <w:uiPriority w:val="0"/>
    <w:rPr>
      <w:rFonts w:ascii="仿宋_GB2312" w:eastAsia="仿宋_GB2312"/>
      <w:color w:val="000000"/>
      <w:sz w:val="28"/>
      <w:szCs w:val="32"/>
    </w:rPr>
  </w:style>
  <w:style w:type="character" w:customStyle="1" w:styleId="139">
    <w:name w:val="z-窗体底端 Char"/>
    <w:link w:val="140"/>
    <w:qFormat/>
    <w:uiPriority w:val="99"/>
    <w:rPr>
      <w:rFonts w:ascii="Arial" w:hAnsi="Arial" w:cs="Arial"/>
      <w:vanish/>
      <w:sz w:val="16"/>
      <w:szCs w:val="16"/>
    </w:rPr>
  </w:style>
  <w:style w:type="paragraph" w:customStyle="1" w:styleId="140">
    <w:name w:val="z-窗体底端1"/>
    <w:basedOn w:val="1"/>
    <w:next w:val="1"/>
    <w:link w:val="139"/>
    <w:unhideWhenUsed/>
    <w:qFormat/>
    <w:uiPriority w:val="99"/>
    <w:pPr>
      <w:widowControl/>
      <w:pBdr>
        <w:top w:val="single" w:color="auto" w:sz="6" w:space="1"/>
      </w:pBdr>
      <w:jc w:val="center"/>
    </w:pPr>
    <w:rPr>
      <w:rFonts w:ascii="Arial" w:hAnsi="Arial" w:cs="Arial"/>
      <w:vanish/>
      <w:kern w:val="0"/>
      <w:sz w:val="16"/>
      <w:szCs w:val="16"/>
    </w:rPr>
  </w:style>
  <w:style w:type="character" w:customStyle="1" w:styleId="141">
    <w:name w:val="日期 Char1"/>
    <w:semiHidden/>
    <w:qFormat/>
    <w:uiPriority w:val="99"/>
    <w:rPr>
      <w:rFonts w:ascii="Times New Roman" w:hAnsi="Times New Roman" w:eastAsia="宋体" w:cs="Times New Roman"/>
      <w:szCs w:val="24"/>
    </w:rPr>
  </w:style>
  <w:style w:type="character" w:customStyle="1" w:styleId="142">
    <w:name w:val="结束语 Char1"/>
    <w:semiHidden/>
    <w:qFormat/>
    <w:uiPriority w:val="99"/>
    <w:rPr>
      <w:rFonts w:ascii="Times New Roman" w:hAnsi="Times New Roman" w:eastAsia="宋体" w:cs="Times New Roman"/>
      <w:szCs w:val="24"/>
    </w:rPr>
  </w:style>
  <w:style w:type="character" w:customStyle="1" w:styleId="143">
    <w:name w:val="bs_tm"/>
    <w:basedOn w:val="49"/>
    <w:qFormat/>
    <w:uiPriority w:val="0"/>
  </w:style>
  <w:style w:type="character" w:customStyle="1" w:styleId="144">
    <w:name w:val="纯文本 Char1"/>
    <w:semiHidden/>
    <w:qFormat/>
    <w:uiPriority w:val="99"/>
    <w:rPr>
      <w:rFonts w:ascii="宋体" w:hAnsi="Courier New" w:eastAsia="宋体" w:cs="Courier New"/>
      <w:szCs w:val="21"/>
    </w:rPr>
  </w:style>
  <w:style w:type="character" w:customStyle="1" w:styleId="145">
    <w:name w:val="bs_tm1"/>
    <w:basedOn w:val="49"/>
    <w:qFormat/>
    <w:uiPriority w:val="0"/>
  </w:style>
  <w:style w:type="character" w:customStyle="1" w:styleId="146">
    <w:name w:val="bus_type_4"/>
    <w:qFormat/>
    <w:uiPriority w:val="0"/>
    <w:rPr>
      <w:shd w:val="clear" w:color="auto" w:fill="333F89"/>
    </w:rPr>
  </w:style>
  <w:style w:type="character" w:customStyle="1" w:styleId="147">
    <w:name w:val="input_span11"/>
    <w:basedOn w:val="49"/>
    <w:qFormat/>
    <w:uiPriority w:val="0"/>
  </w:style>
  <w:style w:type="character" w:customStyle="1" w:styleId="148">
    <w:name w:val="批注框文本 Char1"/>
    <w:semiHidden/>
    <w:qFormat/>
    <w:uiPriority w:val="99"/>
    <w:rPr>
      <w:rFonts w:ascii="Times New Roman" w:hAnsi="Times New Roman" w:eastAsia="宋体" w:cs="Times New Roman"/>
      <w:sz w:val="18"/>
      <w:szCs w:val="18"/>
    </w:rPr>
  </w:style>
  <w:style w:type="character" w:customStyle="1" w:styleId="149">
    <w:name w:val="正文文本缩进 2 Char1"/>
    <w:semiHidden/>
    <w:qFormat/>
    <w:uiPriority w:val="99"/>
    <w:rPr>
      <w:rFonts w:ascii="Times New Roman" w:hAnsi="Times New Roman" w:eastAsia="宋体" w:cs="Times New Roman"/>
      <w:szCs w:val="24"/>
    </w:rPr>
  </w:style>
  <w:style w:type="character" w:customStyle="1" w:styleId="150">
    <w:name w:val="font01"/>
    <w:qFormat/>
    <w:uiPriority w:val="0"/>
    <w:rPr>
      <w:rFonts w:hint="eastAsia" w:ascii="宋体" w:hAnsi="宋体" w:eastAsia="宋体" w:cs="宋体"/>
      <w:color w:val="000000"/>
      <w:sz w:val="20"/>
      <w:szCs w:val="20"/>
      <w:u w:val="none"/>
    </w:rPr>
  </w:style>
  <w:style w:type="character" w:customStyle="1" w:styleId="151">
    <w:name w:val="active2"/>
    <w:qFormat/>
    <w:uiPriority w:val="0"/>
    <w:rPr>
      <w:shd w:val="clear" w:color="auto" w:fill="3385FF"/>
    </w:rPr>
  </w:style>
  <w:style w:type="character" w:customStyle="1" w:styleId="152">
    <w:name w:val="bus_type_2"/>
    <w:qFormat/>
    <w:uiPriority w:val="0"/>
    <w:rPr>
      <w:shd w:val="clear" w:color="auto" w:fill="FF4141"/>
    </w:rPr>
  </w:style>
  <w:style w:type="character" w:customStyle="1" w:styleId="153">
    <w:name w:val="批注文字 Char"/>
    <w:link w:val="7"/>
    <w:qFormat/>
    <w:locked/>
    <w:uiPriority w:val="0"/>
    <w:rPr>
      <w:kern w:val="2"/>
      <w:sz w:val="21"/>
    </w:rPr>
  </w:style>
  <w:style w:type="character" w:customStyle="1" w:styleId="154">
    <w:name w:val="ts_tip_2"/>
    <w:qFormat/>
    <w:uiPriority w:val="0"/>
    <w:rPr>
      <w:color w:val="E43023"/>
    </w:rPr>
  </w:style>
  <w:style w:type="character" w:customStyle="1" w:styleId="155">
    <w:name w:val="正文文本缩进 3 Char1"/>
    <w:semiHidden/>
    <w:qFormat/>
    <w:uiPriority w:val="99"/>
    <w:rPr>
      <w:rFonts w:ascii="Times New Roman" w:hAnsi="Times New Roman" w:eastAsia="宋体" w:cs="Times New Roman"/>
      <w:sz w:val="16"/>
      <w:szCs w:val="16"/>
    </w:rPr>
  </w:style>
  <w:style w:type="character" w:customStyle="1" w:styleId="156">
    <w:name w:val="input_span1"/>
    <w:basedOn w:val="49"/>
    <w:qFormat/>
    <w:uiPriority w:val="0"/>
  </w:style>
  <w:style w:type="character" w:customStyle="1" w:styleId="157">
    <w:name w:val="称呼 Char1"/>
    <w:semiHidden/>
    <w:qFormat/>
    <w:uiPriority w:val="99"/>
    <w:rPr>
      <w:rFonts w:ascii="Times New Roman" w:hAnsi="Times New Roman" w:eastAsia="宋体" w:cs="Times New Roman"/>
      <w:szCs w:val="24"/>
    </w:rPr>
  </w:style>
  <w:style w:type="character" w:customStyle="1" w:styleId="158">
    <w:name w:val="time_dis"/>
    <w:basedOn w:val="49"/>
    <w:qFormat/>
    <w:uiPriority w:val="0"/>
  </w:style>
  <w:style w:type="character" w:customStyle="1" w:styleId="159">
    <w:name w:val="bus_type_3"/>
    <w:qFormat/>
    <w:uiPriority w:val="0"/>
    <w:rPr>
      <w:shd w:val="clear" w:color="auto" w:fill="43CC8D"/>
    </w:rPr>
  </w:style>
  <w:style w:type="character" w:customStyle="1" w:styleId="160">
    <w:name w:val="bus_type_tip"/>
    <w:qFormat/>
    <w:uiPriority w:val="0"/>
    <w:rPr>
      <w:color w:val="FFFFFF"/>
      <w:sz w:val="18"/>
      <w:szCs w:val="18"/>
    </w:rPr>
  </w:style>
  <w:style w:type="character" w:customStyle="1" w:styleId="161">
    <w:name w:val="估价报告模板_深发展银行处置抵押物相关提示 Char"/>
    <w:link w:val="162"/>
    <w:qFormat/>
    <w:uiPriority w:val="0"/>
    <w:rPr>
      <w:rFonts w:ascii="仿宋_GB2312" w:eastAsia="仿宋_GB2312" w:cs="宋体"/>
      <w:kern w:val="2"/>
      <w:sz w:val="28"/>
    </w:rPr>
  </w:style>
  <w:style w:type="paragraph" w:customStyle="1" w:styleId="162">
    <w:name w:val="估价报告模板_深发展银行处置抵押物相关提示"/>
    <w:basedOn w:val="1"/>
    <w:link w:val="161"/>
    <w:qFormat/>
    <w:uiPriority w:val="0"/>
    <w:pPr>
      <w:spacing w:line="440" w:lineRule="exact"/>
      <w:ind w:firstLine="560" w:firstLineChars="200"/>
      <w:jc w:val="left"/>
    </w:pPr>
    <w:rPr>
      <w:rFonts w:ascii="仿宋_GB2312" w:eastAsia="仿宋_GB2312" w:cs="宋体"/>
      <w:sz w:val="28"/>
      <w:szCs w:val="20"/>
    </w:rPr>
  </w:style>
  <w:style w:type="character" w:customStyle="1" w:styleId="163">
    <w:name w:val="bs_cal"/>
    <w:basedOn w:val="49"/>
    <w:qFormat/>
    <w:uiPriority w:val="0"/>
  </w:style>
  <w:style w:type="character" w:customStyle="1" w:styleId="164">
    <w:name w:val="正文文本 Char1"/>
    <w:semiHidden/>
    <w:qFormat/>
    <w:uiPriority w:val="99"/>
    <w:rPr>
      <w:rFonts w:ascii="Times New Roman" w:hAnsi="Times New Roman" w:eastAsia="宋体" w:cs="Times New Roman"/>
      <w:szCs w:val="24"/>
    </w:rPr>
  </w:style>
  <w:style w:type="character" w:customStyle="1" w:styleId="165">
    <w:name w:val="map_taglist"/>
    <w:qFormat/>
    <w:uiPriority w:val="0"/>
    <w:rPr>
      <w:color w:val="666666"/>
    </w:rPr>
  </w:style>
  <w:style w:type="character" w:customStyle="1" w:styleId="166">
    <w:name w:val="hover46"/>
    <w:qFormat/>
    <w:uiPriority w:val="0"/>
    <w:rPr>
      <w:bdr w:val="single" w:color="999999" w:sz="6" w:space="0"/>
    </w:rPr>
  </w:style>
  <w:style w:type="character" w:customStyle="1" w:styleId="167">
    <w:name w:val="styleuu"/>
    <w:qFormat/>
    <w:uiPriority w:val="0"/>
    <w:rPr>
      <w:rFonts w:cs="Times New Roman"/>
    </w:rPr>
  </w:style>
  <w:style w:type="character" w:customStyle="1" w:styleId="168">
    <w:name w:val="active1"/>
    <w:qFormat/>
    <w:uiPriority w:val="0"/>
    <w:rPr>
      <w:shd w:val="clear" w:color="auto" w:fill="3385FF"/>
    </w:rPr>
  </w:style>
  <w:style w:type="character" w:customStyle="1" w:styleId="169">
    <w:name w:val="linebg_on1"/>
    <w:basedOn w:val="49"/>
    <w:qFormat/>
    <w:uiPriority w:val="0"/>
  </w:style>
  <w:style w:type="character" w:customStyle="1" w:styleId="170">
    <w:name w:val="curpage"/>
    <w:qFormat/>
    <w:uiPriority w:val="0"/>
    <w:rPr>
      <w:b/>
    </w:rPr>
  </w:style>
  <w:style w:type="character" w:customStyle="1" w:styleId="171">
    <w:name w:val="linebg_on"/>
    <w:basedOn w:val="49"/>
    <w:qFormat/>
    <w:uiPriority w:val="0"/>
  </w:style>
  <w:style w:type="character" w:customStyle="1" w:styleId="172">
    <w:name w:val="正文文本 3 Char"/>
    <w:link w:val="16"/>
    <w:qFormat/>
    <w:uiPriority w:val="0"/>
    <w:rPr>
      <w:kern w:val="2"/>
      <w:sz w:val="16"/>
      <w:szCs w:val="16"/>
    </w:rPr>
  </w:style>
  <w:style w:type="character" w:customStyle="1" w:styleId="173">
    <w:name w:val="linebg1"/>
    <w:basedOn w:val="49"/>
    <w:qFormat/>
    <w:uiPriority w:val="0"/>
  </w:style>
  <w:style w:type="character" w:customStyle="1" w:styleId="174">
    <w:name w:val="active3"/>
    <w:qFormat/>
    <w:uiPriority w:val="0"/>
    <w:rPr>
      <w:shd w:val="clear" w:color="auto" w:fill="3385FF"/>
    </w:rPr>
  </w:style>
  <w:style w:type="character" w:customStyle="1" w:styleId="175">
    <w:name w:val="ts_tip_1"/>
    <w:qFormat/>
    <w:uiPriority w:val="0"/>
    <w:rPr>
      <w:color w:val="468B02"/>
    </w:rPr>
  </w:style>
  <w:style w:type="character" w:customStyle="1" w:styleId="176">
    <w:name w:val="标题 Char"/>
    <w:link w:val="48"/>
    <w:qFormat/>
    <w:uiPriority w:val="0"/>
    <w:rPr>
      <w:rFonts w:ascii="Cambria" w:hAnsi="Cambria" w:eastAsia="仿宋_GB2312"/>
      <w:b/>
      <w:bCs/>
      <w:kern w:val="2"/>
      <w:sz w:val="32"/>
      <w:szCs w:val="32"/>
    </w:rPr>
  </w:style>
  <w:style w:type="character" w:customStyle="1" w:styleId="177">
    <w:name w:val="批注主题 Char"/>
    <w:link w:val="6"/>
    <w:qFormat/>
    <w:locked/>
    <w:uiPriority w:val="0"/>
    <w:rPr>
      <w:b/>
      <w:bCs/>
      <w:kern w:val="2"/>
      <w:sz w:val="21"/>
    </w:rPr>
  </w:style>
  <w:style w:type="character" w:customStyle="1" w:styleId="178">
    <w:name w:val="txtcontent11"/>
    <w:qFormat/>
    <w:uiPriority w:val="0"/>
    <w:rPr>
      <w:rFonts w:ascii="??" w:hAnsi="??"/>
      <w:color w:val="000000"/>
      <w:sz w:val="26"/>
    </w:rPr>
  </w:style>
  <w:style w:type="character" w:customStyle="1" w:styleId="179">
    <w:name w:val="bs_clc"/>
    <w:basedOn w:val="49"/>
    <w:qFormat/>
    <w:uiPriority w:val="0"/>
  </w:style>
  <w:style w:type="character" w:customStyle="1" w:styleId="180">
    <w:name w:val="bus_type_0"/>
    <w:qFormat/>
    <w:uiPriority w:val="0"/>
    <w:rPr>
      <w:shd w:val="clear" w:color="auto" w:fill="FF8853"/>
    </w:rPr>
  </w:style>
  <w:style w:type="character" w:customStyle="1" w:styleId="181">
    <w:name w:val="正文文本缩进 Char1"/>
    <w:semiHidden/>
    <w:qFormat/>
    <w:uiPriority w:val="99"/>
    <w:rPr>
      <w:rFonts w:ascii="Times New Roman" w:hAnsi="Times New Roman" w:eastAsia="宋体" w:cs="Times New Roman"/>
      <w:szCs w:val="24"/>
    </w:rPr>
  </w:style>
  <w:style w:type="character" w:customStyle="1" w:styleId="182">
    <w:name w:val="linebg"/>
    <w:basedOn w:val="49"/>
    <w:qFormat/>
    <w:uiPriority w:val="0"/>
  </w:style>
  <w:style w:type="character" w:customStyle="1" w:styleId="183">
    <w:name w:val="active4"/>
    <w:qFormat/>
    <w:uiPriority w:val="0"/>
    <w:rPr>
      <w:shd w:val="clear" w:color="auto" w:fill="3385FF"/>
    </w:rPr>
  </w:style>
  <w:style w:type="character" w:customStyle="1" w:styleId="184">
    <w:name w:val="批注文字 Char1"/>
    <w:basedOn w:val="49"/>
    <w:link w:val="7"/>
    <w:qFormat/>
    <w:uiPriority w:val="0"/>
    <w:rPr>
      <w:kern w:val="2"/>
      <w:sz w:val="21"/>
      <w:szCs w:val="24"/>
    </w:rPr>
  </w:style>
  <w:style w:type="character" w:customStyle="1" w:styleId="185">
    <w:name w:val="注释标题 Char"/>
    <w:basedOn w:val="49"/>
    <w:link w:val="9"/>
    <w:qFormat/>
    <w:uiPriority w:val="0"/>
    <w:rPr>
      <w:kern w:val="2"/>
      <w:sz w:val="21"/>
    </w:rPr>
  </w:style>
  <w:style w:type="character" w:customStyle="1" w:styleId="186">
    <w:name w:val="正文文本 3 Char1"/>
    <w:basedOn w:val="49"/>
    <w:link w:val="16"/>
    <w:qFormat/>
    <w:uiPriority w:val="0"/>
    <w:rPr>
      <w:kern w:val="2"/>
      <w:sz w:val="16"/>
      <w:szCs w:val="16"/>
    </w:rPr>
  </w:style>
  <w:style w:type="character" w:customStyle="1" w:styleId="187">
    <w:name w:val="批注主题 Char1"/>
    <w:basedOn w:val="184"/>
    <w:link w:val="6"/>
    <w:qFormat/>
    <w:uiPriority w:val="0"/>
    <w:rPr>
      <w:b/>
      <w:bCs/>
    </w:rPr>
  </w:style>
  <w:style w:type="character" w:customStyle="1" w:styleId="188">
    <w:name w:val="标题 Char1"/>
    <w:basedOn w:val="49"/>
    <w:link w:val="48"/>
    <w:qFormat/>
    <w:uiPriority w:val="0"/>
    <w:rPr>
      <w:rFonts w:asciiTheme="majorHAnsi" w:hAnsiTheme="majorHAnsi" w:cstheme="majorBidi"/>
      <w:b/>
      <w:bCs/>
      <w:kern w:val="2"/>
      <w:sz w:val="32"/>
      <w:szCs w:val="32"/>
    </w:rPr>
  </w:style>
  <w:style w:type="paragraph" w:customStyle="1" w:styleId="189">
    <w:name w:val="p0"/>
    <w:basedOn w:val="1"/>
    <w:qFormat/>
    <w:uiPriority w:val="0"/>
    <w:pPr>
      <w:widowControl/>
    </w:pPr>
    <w:rPr>
      <w:kern w:val="0"/>
      <w:szCs w:val="21"/>
    </w:rPr>
  </w:style>
  <w:style w:type="paragraph" w:customStyle="1" w:styleId="190">
    <w:name w:val="xl57"/>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center"/>
    </w:pPr>
    <w:rPr>
      <w:rFonts w:ascii="宋体" w:hAnsi="宋体" w:cs="宋体"/>
      <w:kern w:val="0"/>
      <w:sz w:val="20"/>
      <w:szCs w:val="20"/>
    </w:rPr>
  </w:style>
  <w:style w:type="paragraph" w:customStyle="1" w:styleId="191">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92">
    <w:name w:val="xl7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93">
    <w:name w:val="xl5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center"/>
    </w:pPr>
    <w:rPr>
      <w:rFonts w:ascii="宋体" w:hAnsi="宋体" w:cs="宋体"/>
      <w:kern w:val="0"/>
      <w:sz w:val="20"/>
      <w:szCs w:val="20"/>
    </w:rPr>
  </w:style>
  <w:style w:type="paragraph" w:customStyle="1" w:styleId="194">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95">
    <w:name w:val="xl6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96">
    <w:name w:val="xl6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97">
    <w:name w:val="列出段落2"/>
    <w:basedOn w:val="1"/>
    <w:qFormat/>
    <w:uiPriority w:val="0"/>
    <w:pPr>
      <w:ind w:firstLine="420" w:firstLineChars="200"/>
    </w:pPr>
    <w:rPr>
      <w:rFonts w:ascii="Calibri" w:hAnsi="Calibri"/>
      <w:szCs w:val="22"/>
    </w:rPr>
  </w:style>
  <w:style w:type="paragraph" w:customStyle="1" w:styleId="198">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99">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200">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01">
    <w:name w:val="样式4"/>
    <w:basedOn w:val="32"/>
    <w:next w:val="202"/>
    <w:qFormat/>
    <w:uiPriority w:val="0"/>
    <w:pPr>
      <w:pBdr>
        <w:bottom w:val="single" w:color="auto" w:sz="4" w:space="1"/>
      </w:pBdr>
    </w:pPr>
    <w:rPr>
      <w:rFonts w:ascii="幼圆" w:eastAsia="幼圆"/>
      <w:sz w:val="15"/>
      <w:u w:val="double"/>
    </w:rPr>
  </w:style>
  <w:style w:type="paragraph" w:customStyle="1" w:styleId="202">
    <w:name w:val="样式3"/>
    <w:basedOn w:val="9"/>
    <w:qFormat/>
    <w:uiPriority w:val="0"/>
    <w:pPr>
      <w:pBdr>
        <w:bottom w:val="single" w:color="auto" w:sz="2" w:space="1"/>
      </w:pBdr>
      <w:spacing w:line="500" w:lineRule="exact"/>
      <w:ind w:left="210" w:leftChars="100" w:right="100" w:rightChars="100"/>
      <w:jc w:val="both"/>
    </w:pPr>
    <w:rPr>
      <w:rFonts w:ascii="华文细黑" w:hAnsi="华文细黑" w:eastAsia="华文细黑"/>
      <w:color w:val="999999"/>
      <w:sz w:val="11"/>
      <w:u w:val="single"/>
    </w:rPr>
  </w:style>
  <w:style w:type="paragraph" w:customStyle="1" w:styleId="203">
    <w:name w:val="xl4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04">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05">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06">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07">
    <w:name w:val="xl5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08">
    <w:name w:val="TOC 标题1"/>
    <w:basedOn w:val="2"/>
    <w:next w:val="1"/>
    <w:qFormat/>
    <w:uiPriority w:val="99"/>
    <w:pPr>
      <w:keepLines/>
      <w:widowControl/>
      <w:tabs>
        <w:tab w:val="left" w:pos="1320"/>
      </w:tabs>
      <w:spacing w:before="480" w:line="276" w:lineRule="auto"/>
      <w:jc w:val="left"/>
      <w:outlineLvl w:val="9"/>
    </w:pPr>
    <w:rPr>
      <w:rFonts w:ascii="Cambria" w:hAnsi="Cambria" w:eastAsia="宋体"/>
      <w:b/>
      <w:bCs/>
      <w:color w:val="365F91"/>
      <w:kern w:val="0"/>
      <w:szCs w:val="28"/>
    </w:rPr>
  </w:style>
  <w:style w:type="paragraph" w:customStyle="1" w:styleId="209">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character" w:customStyle="1" w:styleId="210">
    <w:name w:val="z-窗体底端 Char1"/>
    <w:basedOn w:val="49"/>
    <w:link w:val="211"/>
    <w:semiHidden/>
    <w:qFormat/>
    <w:uiPriority w:val="99"/>
    <w:rPr>
      <w:rFonts w:ascii="Arial" w:hAnsi="Arial" w:cs="Arial"/>
      <w:vanish/>
      <w:kern w:val="2"/>
      <w:sz w:val="16"/>
      <w:szCs w:val="16"/>
    </w:rPr>
  </w:style>
  <w:style w:type="paragraph" w:customStyle="1" w:styleId="211">
    <w:name w:val="z-窗体底端11"/>
    <w:basedOn w:val="1"/>
    <w:next w:val="1"/>
    <w:link w:val="210"/>
    <w:unhideWhenUsed/>
    <w:qFormat/>
    <w:uiPriority w:val="99"/>
    <w:pPr>
      <w:widowControl/>
      <w:pBdr>
        <w:top w:val="single" w:color="auto" w:sz="6" w:space="1"/>
      </w:pBdr>
      <w:jc w:val="center"/>
    </w:pPr>
    <w:rPr>
      <w:rFonts w:ascii="Arial" w:hAnsi="Arial" w:cs="Arial"/>
      <w:vanish/>
      <w:sz w:val="16"/>
      <w:szCs w:val="16"/>
    </w:rPr>
  </w:style>
  <w:style w:type="paragraph" w:customStyle="1" w:styleId="212">
    <w:name w:val="纯文本1"/>
    <w:basedOn w:val="1"/>
    <w:qFormat/>
    <w:uiPriority w:val="0"/>
    <w:pPr>
      <w:adjustRightInd w:val="0"/>
      <w:textAlignment w:val="baseline"/>
    </w:pPr>
    <w:rPr>
      <w:rFonts w:ascii="宋体"/>
      <w:kern w:val="0"/>
      <w:szCs w:val="20"/>
    </w:rPr>
  </w:style>
  <w:style w:type="paragraph" w:customStyle="1" w:styleId="213">
    <w:name w:val="xl3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Cs w:val="20"/>
    </w:rPr>
  </w:style>
  <w:style w:type="paragraph" w:customStyle="1" w:styleId="214">
    <w:name w:val="修订1"/>
    <w:unhideWhenUsed/>
    <w:qFormat/>
    <w:uiPriority w:val="99"/>
    <w:rPr>
      <w:rFonts w:ascii="Times New Roman" w:hAnsi="Times New Roman" w:eastAsia="宋体" w:cs="Times New Roman"/>
      <w:kern w:val="2"/>
      <w:sz w:val="21"/>
      <w:lang w:val="en-US" w:eastAsia="zh-CN" w:bidi="ar-SA"/>
    </w:rPr>
  </w:style>
  <w:style w:type="paragraph" w:customStyle="1" w:styleId="215">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16">
    <w:name w:val="xl46"/>
    <w:basedOn w:val="1"/>
    <w:qFormat/>
    <w:uiPriority w:val="0"/>
    <w:pPr>
      <w:widowControl/>
      <w:pBdr>
        <w:top w:val="single" w:color="auto" w:sz="4" w:space="0"/>
        <w:left w:val="single" w:color="auto" w:sz="4" w:space="0"/>
        <w:right w:val="single" w:color="auto" w:sz="4" w:space="0"/>
      </w:pBdr>
      <w:shd w:val="clear" w:color="auto" w:fill="FFFF00"/>
      <w:spacing w:before="100" w:beforeAutospacing="1" w:after="100" w:afterAutospacing="1"/>
      <w:jc w:val="center"/>
      <w:textAlignment w:val="center"/>
    </w:pPr>
    <w:rPr>
      <w:rFonts w:ascii="宋体" w:hAnsi="宋体" w:cs="宋体"/>
      <w:kern w:val="0"/>
      <w:sz w:val="20"/>
      <w:szCs w:val="20"/>
    </w:rPr>
  </w:style>
  <w:style w:type="paragraph" w:customStyle="1" w:styleId="217">
    <w:name w:val="样式1"/>
    <w:basedOn w:val="25"/>
    <w:qFormat/>
    <w:uiPriority w:val="0"/>
    <w:pPr>
      <w:tabs>
        <w:tab w:val="left" w:pos="624"/>
      </w:tabs>
      <w:adjustRightInd w:val="0"/>
      <w:snapToGrid w:val="0"/>
      <w:spacing w:line="560" w:lineRule="exact"/>
      <w:ind w:firstLine="624" w:firstLineChars="200"/>
    </w:pPr>
    <w:rPr>
      <w:rFonts w:ascii="仿宋_GB2312" w:eastAsia="仿宋_GB2312"/>
      <w:sz w:val="28"/>
      <w:szCs w:val="20"/>
    </w:rPr>
  </w:style>
  <w:style w:type="paragraph" w:customStyle="1" w:styleId="218">
    <w:name w:val="xl42"/>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center"/>
    </w:pPr>
    <w:rPr>
      <w:rFonts w:ascii="宋体" w:hAnsi="宋体" w:cs="宋体"/>
      <w:kern w:val="0"/>
      <w:sz w:val="20"/>
      <w:szCs w:val="20"/>
    </w:rPr>
  </w:style>
  <w:style w:type="paragraph" w:customStyle="1" w:styleId="219">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220">
    <w:name w:val="xl6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1">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222">
    <w:name w:val="样式2"/>
    <w:basedOn w:val="18"/>
    <w:qFormat/>
    <w:uiPriority w:val="0"/>
    <w:pPr>
      <w:spacing w:line="500" w:lineRule="exact"/>
    </w:pPr>
    <w:rPr>
      <w:rFonts w:ascii="华文细黑" w:hAnsi="华文细黑" w:eastAsia="华文细黑"/>
      <w:color w:val="999999"/>
      <w:sz w:val="11"/>
      <w:szCs w:val="20"/>
      <w:u w:val="single"/>
    </w:rPr>
  </w:style>
  <w:style w:type="paragraph" w:customStyle="1" w:styleId="223">
    <w:name w:val="样式 行距: 固定值 28 磅"/>
    <w:basedOn w:val="1"/>
    <w:qFormat/>
    <w:uiPriority w:val="0"/>
    <w:pPr>
      <w:spacing w:line="560" w:lineRule="exact"/>
      <w:ind w:left="200" w:leftChars="200"/>
    </w:pPr>
    <w:rPr>
      <w:rFonts w:eastAsia="仿宋_GB2312" w:cs="宋体"/>
      <w:sz w:val="28"/>
      <w:szCs w:val="20"/>
    </w:rPr>
  </w:style>
  <w:style w:type="paragraph" w:customStyle="1" w:styleId="224">
    <w:name w:val="xl5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5">
    <w:name w:val="xl6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6">
    <w:name w:val="font7"/>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227">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8">
    <w:name w:val="xl6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9">
    <w:name w:val="xl5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230">
    <w:name w:val="TOC 标题2"/>
    <w:basedOn w:val="2"/>
    <w:next w:val="1"/>
    <w:qFormat/>
    <w:uiPriority w:val="99"/>
    <w:pPr>
      <w:keepLines/>
      <w:widowControl/>
      <w:spacing w:before="480" w:line="276" w:lineRule="auto"/>
      <w:jc w:val="left"/>
      <w:outlineLvl w:val="9"/>
    </w:pPr>
    <w:rPr>
      <w:rFonts w:ascii="Cambria" w:hAnsi="Cambria" w:eastAsia="宋体"/>
      <w:b/>
      <w:bCs/>
      <w:color w:val="365F91"/>
      <w:kern w:val="0"/>
      <w:szCs w:val="28"/>
    </w:rPr>
  </w:style>
  <w:style w:type="paragraph" w:customStyle="1" w:styleId="231">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32">
    <w:name w:val="xl7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33">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34">
    <w:name w:val="xl6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35">
    <w:name w:val="xl3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36">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6600"/>
      <w:kern w:val="0"/>
      <w:sz w:val="20"/>
      <w:szCs w:val="20"/>
    </w:rPr>
  </w:style>
  <w:style w:type="paragraph" w:customStyle="1" w:styleId="237">
    <w:name w:val="xl6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38">
    <w:name w:val="xl47"/>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center"/>
    </w:pPr>
    <w:rPr>
      <w:rFonts w:ascii="宋体" w:hAnsi="宋体" w:cs="宋体"/>
      <w:kern w:val="0"/>
      <w:sz w:val="20"/>
      <w:szCs w:val="20"/>
    </w:rPr>
  </w:style>
  <w:style w:type="paragraph" w:customStyle="1" w:styleId="23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40">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41">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center"/>
    </w:pPr>
    <w:rPr>
      <w:rFonts w:ascii="宋体" w:hAnsi="宋体" w:cs="宋体"/>
      <w:kern w:val="0"/>
      <w:sz w:val="20"/>
      <w:szCs w:val="20"/>
    </w:rPr>
  </w:style>
  <w:style w:type="paragraph" w:customStyle="1" w:styleId="242">
    <w:name w:val="xl6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43">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44">
    <w:name w:val="xl6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45">
    <w:name w:val="xl6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46">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47">
    <w:name w:val="TOC 标题21"/>
    <w:basedOn w:val="2"/>
    <w:next w:val="1"/>
    <w:qFormat/>
    <w:uiPriority w:val="0"/>
    <w:pPr>
      <w:keepLines/>
      <w:widowControl/>
      <w:spacing w:before="480" w:line="276" w:lineRule="auto"/>
      <w:jc w:val="left"/>
      <w:outlineLvl w:val="9"/>
    </w:pPr>
    <w:rPr>
      <w:rFonts w:ascii="Cambria" w:hAnsi="Cambria" w:eastAsia="宋体"/>
      <w:b/>
      <w:bCs/>
      <w:color w:val="365F91"/>
      <w:kern w:val="0"/>
      <w:szCs w:val="28"/>
    </w:rPr>
  </w:style>
  <w:style w:type="paragraph" w:customStyle="1" w:styleId="248">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49">
    <w:name w:val="Char"/>
    <w:basedOn w:val="1"/>
    <w:qFormat/>
    <w:uiPriority w:val="0"/>
    <w:rPr>
      <w:rFonts w:ascii="黑体" w:hAnsi="宋体" w:eastAsia="黑体"/>
      <w:kern w:val="44"/>
      <w:sz w:val="30"/>
      <w:szCs w:val="30"/>
    </w:rPr>
  </w:style>
  <w:style w:type="table" w:customStyle="1" w:styleId="250">
    <w:name w:val="报告1"/>
    <w:qFormat/>
    <w:uiPriority w:val="0"/>
    <w:rPr>
      <w:rFonts w:eastAsia="仿宋_GB2312"/>
      <w:sz w:val="22"/>
    </w:rPr>
    <w:tblPr>
      <w:jc w:val="center"/>
      <w:tblBorders>
        <w:top w:val="single" w:color="auto" w:sz="8" w:space="0"/>
        <w:bottom w:val="single" w:color="auto" w:sz="8" w:space="0"/>
        <w:insideH w:val="single" w:color="auto" w:sz="2" w:space="0"/>
        <w:insideV w:val="single" w:color="auto" w:sz="2" w:space="0"/>
      </w:tblBorders>
      <w:tblLayout w:type="fixed"/>
      <w:tblCellMar>
        <w:top w:w="0" w:type="dxa"/>
        <w:left w:w="108" w:type="dxa"/>
        <w:bottom w:w="0" w:type="dxa"/>
        <w:right w:w="108" w:type="dxa"/>
      </w:tblCellMar>
    </w:tblPr>
    <w:trPr>
      <w:jc w:val="center"/>
    </w:trPr>
  </w:style>
  <w:style w:type="table" w:customStyle="1" w:styleId="251">
    <w:name w:val="000"/>
    <w:basedOn w:val="56"/>
    <w:qFormat/>
    <w:uiPriority w:val="0"/>
    <w:tblPr>
      <w:jc w:val="center"/>
      <w:tblBorders>
        <w:top w:val="single" w:color="auto" w:sz="8" w:space="0"/>
        <w:bottom w:val="single" w:color="auto" w:sz="8" w:space="0"/>
        <w:insideH w:val="single" w:color="auto" w:sz="2" w:space="0"/>
        <w:insideV w:val="single" w:color="auto" w:sz="2" w:space="0"/>
      </w:tblBorders>
      <w:tblLayout w:type="fixed"/>
      <w:tblCellMar>
        <w:top w:w="0" w:type="dxa"/>
        <w:left w:w="108" w:type="dxa"/>
        <w:bottom w:w="0" w:type="dxa"/>
        <w:right w:w="108" w:type="dxa"/>
      </w:tblCellMar>
    </w:tblPr>
    <w:trPr>
      <w:jc w:val="center"/>
    </w:trPr>
    <w:tcPr>
      <w:vAlign w:val="center"/>
    </w:tcPr>
  </w:style>
  <w:style w:type="table" w:customStyle="1" w:styleId="252">
    <w:name w:val="报告一"/>
    <w:qFormat/>
    <w:uiPriority w:val="0"/>
    <w:pPr>
      <w:jc w:val="center"/>
    </w:pPr>
    <w:rPr>
      <w:rFonts w:eastAsia="仿宋_GB2312"/>
      <w:sz w:val="24"/>
    </w:rPr>
    <w:tblPr>
      <w:tblBorders>
        <w:top w:val="single" w:color="auto" w:sz="8" w:space="0"/>
        <w:bottom w:val="single" w:color="auto" w:sz="8" w:space="0"/>
        <w:insideH w:val="single" w:color="auto" w:sz="6" w:space="0"/>
        <w:insideV w:val="single" w:color="auto" w:sz="6" w:space="0"/>
      </w:tblBorders>
      <w:tblLayout w:type="fixed"/>
      <w:tblCellMar>
        <w:top w:w="0" w:type="dxa"/>
        <w:left w:w="108" w:type="dxa"/>
        <w:bottom w:w="0" w:type="dxa"/>
        <w:right w:w="108" w:type="dxa"/>
      </w:tblCellMar>
    </w:tblPr>
  </w:style>
  <w:style w:type="table" w:customStyle="1" w:styleId="253">
    <w:name w:val="报告"/>
    <w:basedOn w:val="56"/>
    <w:qFormat/>
    <w:uiPriority w:val="0"/>
    <w:rPr>
      <w:rFonts w:eastAsia="仿宋_GB2312"/>
      <w:sz w:val="22"/>
    </w:rPr>
    <w:tblPr>
      <w:jc w:val="center"/>
      <w:tblBorders>
        <w:top w:val="single" w:color="auto" w:sz="8" w:space="0"/>
        <w:bottom w:val="single" w:color="auto" w:sz="8" w:space="0"/>
        <w:insideH w:val="single" w:color="auto" w:sz="2" w:space="0"/>
        <w:insideV w:val="single" w:color="auto" w:sz="2" w:space="0"/>
      </w:tblBorders>
      <w:tblLayout w:type="fixed"/>
      <w:tblCellMar>
        <w:top w:w="0" w:type="dxa"/>
        <w:left w:w="108" w:type="dxa"/>
        <w:bottom w:w="0" w:type="dxa"/>
        <w:right w:w="108" w:type="dxa"/>
      </w:tblCellMar>
    </w:tblPr>
    <w:trPr>
      <w:jc w:val="center"/>
    </w:trPr>
    <w:tcPr>
      <w:vAlign w:val="center"/>
    </w:tcPr>
  </w:style>
  <w:style w:type="table" w:customStyle="1" w:styleId="254">
    <w:name w:val="表格样式1"/>
    <w:qFormat/>
    <w:uiPriority w:val="0"/>
    <w:tblP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55">
    <w:name w:val="Char Char Char Char Char Char Char Char Char Char1"/>
    <w:basedOn w:val="1"/>
    <w:qFormat/>
    <w:uiPriority w:val="0"/>
    <w:rPr>
      <w:rFonts w:ascii="Tahoma" w:hAnsi="Tahoma"/>
      <w:sz w:val="24"/>
      <w:szCs w:val="20"/>
    </w:rPr>
  </w:style>
  <w:style w:type="paragraph" w:customStyle="1" w:styleId="256">
    <w:name w:val="Char Char Char Char Char Char Char Char Char Char Char Char Char Char Char Char Char Char Char Char Char Char1"/>
    <w:basedOn w:val="1"/>
    <w:qFormat/>
    <w:uiPriority w:val="0"/>
    <w:rPr>
      <w:rFonts w:ascii="Tahoma" w:hAnsi="Tahoma"/>
      <w:sz w:val="24"/>
      <w:szCs w:val="20"/>
    </w:rPr>
  </w:style>
  <w:style w:type="paragraph" w:customStyle="1" w:styleId="257">
    <w:name w:val="Char1 Char Char Char1"/>
    <w:basedOn w:val="1"/>
    <w:qFormat/>
    <w:uiPriority w:val="0"/>
  </w:style>
  <w:style w:type="paragraph" w:customStyle="1" w:styleId="258">
    <w:name w:val="Char1 Char Char Char2"/>
    <w:basedOn w:val="1"/>
    <w:qFormat/>
    <w:uiPriority w:val="0"/>
  </w:style>
  <w:style w:type="paragraph" w:customStyle="1" w:styleId="259">
    <w:name w:val="Char1 Char Char Char3"/>
    <w:basedOn w:val="1"/>
    <w:qFormat/>
    <w:uiPriority w:val="0"/>
  </w:style>
  <w:style w:type="paragraph" w:customStyle="1" w:styleId="260">
    <w:name w:val="Char1 Char Char Char4"/>
    <w:basedOn w:val="1"/>
    <w:qFormat/>
    <w:uiPriority w:val="0"/>
  </w:style>
  <w:style w:type="paragraph" w:customStyle="1" w:styleId="261">
    <w:name w:val="Char1 Char Char Char5"/>
    <w:basedOn w:val="1"/>
    <w:qFormat/>
    <w:uiPriority w:val="0"/>
  </w:style>
  <w:style w:type="paragraph" w:customStyle="1" w:styleId="262">
    <w:name w:val="Char1 Char Char Char6"/>
    <w:basedOn w:val="1"/>
    <w:qFormat/>
    <w:uiPriority w:val="0"/>
  </w:style>
  <w:style w:type="paragraph" w:customStyle="1" w:styleId="263">
    <w:name w:val="Char1 Char Char Char7"/>
    <w:basedOn w:val="1"/>
    <w:qFormat/>
    <w:uiPriority w:val="0"/>
  </w:style>
  <w:style w:type="paragraph" w:customStyle="1" w:styleId="264">
    <w:name w:val="Char1 Char Char Char8"/>
    <w:basedOn w:val="1"/>
    <w:qFormat/>
    <w:uiPriority w:val="0"/>
  </w:style>
  <w:style w:type="paragraph" w:customStyle="1" w:styleId="265">
    <w:name w:val="Char1 Char Char Char9"/>
    <w:basedOn w:val="1"/>
    <w:qFormat/>
    <w:uiPriority w:val="0"/>
  </w:style>
  <w:style w:type="paragraph" w:customStyle="1" w:styleId="266">
    <w:name w:val="修订11"/>
    <w:unhideWhenUsed/>
    <w:qFormat/>
    <w:uiPriority w:val="99"/>
    <w:rPr>
      <w:rFonts w:ascii="Times New Roman" w:hAnsi="Times New Roman" w:eastAsia="宋体" w:cs="Times New Roman"/>
      <w:kern w:val="2"/>
      <w:sz w:val="21"/>
      <w:lang w:val="en-US" w:eastAsia="zh-CN" w:bidi="ar-SA"/>
    </w:rPr>
  </w:style>
  <w:style w:type="paragraph" w:customStyle="1" w:styleId="267">
    <w:name w:val="Char1 Char Char Char10"/>
    <w:basedOn w:val="1"/>
    <w:qFormat/>
    <w:uiPriority w:val="0"/>
  </w:style>
  <w:style w:type="paragraph" w:customStyle="1" w:styleId="268">
    <w:name w:val="Char1 Char Char Char12"/>
    <w:basedOn w:val="1"/>
    <w:qFormat/>
    <w:uiPriority w:val="0"/>
  </w:style>
  <w:style w:type="paragraph" w:customStyle="1" w:styleId="269">
    <w:name w:val="Char1 Char Char Char13"/>
    <w:basedOn w:val="1"/>
    <w:qFormat/>
    <w:uiPriority w:val="0"/>
  </w:style>
  <w:style w:type="paragraph" w:customStyle="1" w:styleId="270">
    <w:name w:val="Char1 Char Char Char14"/>
    <w:basedOn w:val="1"/>
    <w:qFormat/>
    <w:uiPriority w:val="0"/>
    <w:rPr>
      <w:rFonts w:ascii="Arial" w:hAnsi="Arial" w:cs="Arial"/>
      <w:sz w:val="20"/>
      <w:szCs w:val="20"/>
    </w:rPr>
  </w:style>
  <w:style w:type="paragraph" w:customStyle="1" w:styleId="271">
    <w:name w:val="Char1 Char Char Char15"/>
    <w:basedOn w:val="1"/>
    <w:qFormat/>
    <w:uiPriority w:val="0"/>
  </w:style>
  <w:style w:type="character" w:customStyle="1" w:styleId="272">
    <w:name w:val="Body text|2 + Spacing 0 pt"/>
    <w:basedOn w:val="49"/>
    <w:unhideWhenUsed/>
    <w:qFormat/>
    <w:uiPriority w:val="0"/>
    <w:rPr>
      <w:rFonts w:ascii="PMingLiU" w:hAnsi="PMingLiU" w:eastAsia="PMingLiU" w:cs="PMingLiU"/>
      <w:color w:val="000000"/>
      <w:spacing w:val="0"/>
      <w:w w:val="100"/>
      <w:position w:val="0"/>
      <w:sz w:val="24"/>
      <w:szCs w:val="24"/>
      <w:u w:val="none"/>
      <w:lang w:val="zh-CN" w:eastAsia="zh-CN" w:bidi="zh-CN"/>
    </w:rPr>
  </w:style>
  <w:style w:type="character" w:customStyle="1" w:styleId="273">
    <w:name w:val="Body text|2 + Arial"/>
    <w:basedOn w:val="49"/>
    <w:unhideWhenUsed/>
    <w:qFormat/>
    <w:uiPriority w:val="0"/>
    <w:rPr>
      <w:rFonts w:ascii="Arial" w:hAnsi="Arial" w:eastAsia="Arial" w:cs="Arial"/>
      <w:color w:val="000000"/>
      <w:spacing w:val="0"/>
      <w:w w:val="60"/>
      <w:position w:val="0"/>
      <w:sz w:val="24"/>
      <w:szCs w:val="24"/>
      <w:u w:val="none"/>
      <w:lang w:val="zh-CN" w:eastAsia="zh-CN" w:bidi="zh-CN"/>
    </w:rPr>
  </w:style>
  <w:style w:type="character" w:customStyle="1" w:styleId="274">
    <w:name w:val="Body text|2_"/>
    <w:basedOn w:val="49"/>
    <w:link w:val="275"/>
    <w:qFormat/>
    <w:uiPriority w:val="0"/>
    <w:rPr>
      <w:rFonts w:ascii="PMingLiU" w:hAnsi="PMingLiU" w:eastAsia="PMingLiU" w:cs="PMingLiU"/>
      <w:spacing w:val="20"/>
      <w:sz w:val="22"/>
      <w:szCs w:val="22"/>
      <w:shd w:val="clear" w:color="auto" w:fill="FFFFFF"/>
    </w:rPr>
  </w:style>
  <w:style w:type="paragraph" w:customStyle="1" w:styleId="275">
    <w:name w:val="Body text|2"/>
    <w:basedOn w:val="1"/>
    <w:link w:val="274"/>
    <w:qFormat/>
    <w:uiPriority w:val="0"/>
    <w:pPr>
      <w:shd w:val="clear" w:color="auto" w:fill="FFFFFF"/>
      <w:spacing w:before="140" w:line="360" w:lineRule="exact"/>
      <w:ind w:firstLine="500"/>
      <w:jc w:val="left"/>
    </w:pPr>
    <w:rPr>
      <w:rFonts w:ascii="PMingLiU" w:hAnsi="PMingLiU" w:eastAsia="PMingLiU" w:cs="PMingLiU"/>
      <w:spacing w:val="20"/>
      <w:kern w:val="0"/>
      <w:sz w:val="22"/>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0027E4-5A3B-45D5-AA73-2E4E2CC0C29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1718</Words>
  <Characters>9796</Characters>
  <Lines>81</Lines>
  <Paragraphs>22</Paragraphs>
  <TotalTime>0</TotalTime>
  <ScaleCrop>false</ScaleCrop>
  <LinksUpToDate>false</LinksUpToDate>
  <CharactersWithSpaces>11492</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2016-03-23T05:52:00Z</dcterms:created>
  <dc:creator>user</dc:creator>
  <cp:lastModifiedBy>win10</cp:lastModifiedBy>
  <cp:lastPrinted>2020-09-16T07:38:00Z</cp:lastPrinted>
  <dcterms:modified xsi:type="dcterms:W3CDTF">2020-11-26T02:44:14Z</dcterms:modified>
  <dc:title>致 委 托 方 函</dc:title>
  <cp:revision>5221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