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40"/>
        </w:tabs>
        <w:snapToGrid w:val="0"/>
        <w:spacing w:line="800" w:lineRule="exact"/>
        <w:ind w:firstLine="342" w:firstLineChars="142"/>
        <w:jc w:val="center"/>
        <w:rPr>
          <w:rFonts w:ascii="宋体" w:hAnsi="宋体" w:cs="宋体"/>
          <w:b/>
          <w:snapToGrid w:val="0"/>
          <w:color w:val="000000"/>
          <w:kern w:val="0"/>
          <w:sz w:val="24"/>
          <w:szCs w:val="24"/>
        </w:rPr>
      </w:pPr>
    </w:p>
    <w:p>
      <w:pPr>
        <w:tabs>
          <w:tab w:val="left" w:pos="540"/>
        </w:tabs>
        <w:snapToGrid w:val="0"/>
        <w:spacing w:line="800" w:lineRule="exact"/>
        <w:ind w:firstLine="627" w:firstLineChars="142"/>
        <w:jc w:val="center"/>
        <w:rPr>
          <w:rFonts w:ascii="宋体" w:hAnsi="宋体" w:cs="宋体"/>
          <w:b/>
          <w:snapToGrid w:val="0"/>
          <w:color w:val="000000"/>
          <w:kern w:val="0"/>
          <w:sz w:val="44"/>
          <w:szCs w:val="44"/>
        </w:rPr>
      </w:pPr>
      <w:r>
        <w:rPr>
          <w:rFonts w:hint="eastAsia" w:ascii="宋体" w:hAnsi="宋体" w:cs="宋体"/>
          <w:b/>
          <w:snapToGrid w:val="0"/>
          <w:color w:val="000000"/>
          <w:kern w:val="0"/>
          <w:sz w:val="44"/>
          <w:szCs w:val="44"/>
        </w:rPr>
        <w:t>房地产</w:t>
      </w:r>
      <w:r>
        <w:rPr>
          <w:rFonts w:hint="eastAsia" w:ascii="宋体" w:hAnsi="宋体" w:cs="宋体"/>
          <w:b/>
          <w:snapToGrid w:val="0"/>
          <w:kern w:val="0"/>
          <w:sz w:val="44"/>
          <w:szCs w:val="44"/>
        </w:rPr>
        <w:t>司法鉴定</w:t>
      </w:r>
      <w:r>
        <w:rPr>
          <w:rFonts w:hint="eastAsia" w:ascii="宋体" w:hAnsi="宋体" w:cs="宋体"/>
          <w:b/>
          <w:snapToGrid w:val="0"/>
          <w:color w:val="000000"/>
          <w:kern w:val="0"/>
          <w:sz w:val="44"/>
          <w:szCs w:val="44"/>
        </w:rPr>
        <w:t>估价报告</w:t>
      </w:r>
    </w:p>
    <w:p>
      <w:pPr>
        <w:adjustRightInd w:val="0"/>
        <w:snapToGrid w:val="0"/>
        <w:spacing w:line="420" w:lineRule="exact"/>
        <w:ind w:left="1079" w:leftChars="514" w:right="384" w:rightChars="183"/>
        <w:rPr>
          <w:rFonts w:ascii="宋体" w:hAnsi="宋体" w:cs="宋体"/>
          <w:snapToGrid w:val="0"/>
          <w:color w:val="000000"/>
          <w:kern w:val="0"/>
          <w:sz w:val="24"/>
          <w:szCs w:val="24"/>
        </w:rPr>
      </w:pPr>
    </w:p>
    <w:p>
      <w:pPr>
        <w:adjustRightInd w:val="0"/>
        <w:snapToGrid w:val="0"/>
        <w:spacing w:line="420" w:lineRule="exact"/>
        <w:ind w:left="1079" w:leftChars="514" w:right="384" w:rightChars="183"/>
        <w:rPr>
          <w:rFonts w:ascii="宋体" w:hAnsi="宋体" w:cs="宋体"/>
          <w:snapToGrid w:val="0"/>
          <w:color w:val="000000"/>
          <w:kern w:val="0"/>
          <w:sz w:val="24"/>
          <w:szCs w:val="24"/>
        </w:rPr>
      </w:pPr>
    </w:p>
    <w:p>
      <w:pPr>
        <w:adjustRightInd w:val="0"/>
        <w:snapToGrid w:val="0"/>
        <w:spacing w:line="420" w:lineRule="exact"/>
        <w:ind w:left="1079" w:leftChars="514" w:right="384" w:rightChars="183"/>
        <w:rPr>
          <w:rFonts w:ascii="宋体" w:hAnsi="宋体" w:cs="宋体"/>
          <w:snapToGrid w:val="0"/>
          <w:color w:val="000000"/>
          <w:kern w:val="0"/>
          <w:sz w:val="24"/>
          <w:szCs w:val="24"/>
        </w:rPr>
      </w:pPr>
    </w:p>
    <w:p>
      <w:pPr>
        <w:tabs>
          <w:tab w:val="left" w:pos="2160"/>
        </w:tabs>
        <w:adjustRightInd w:val="0"/>
        <w:spacing w:line="600" w:lineRule="exact"/>
        <w:ind w:left="2523" w:leftChars="171" w:hanging="2164" w:hangingChars="674"/>
        <w:rPr>
          <w:rFonts w:ascii="仿宋" w:hAnsi="仿宋" w:eastAsia="仿宋" w:cs="仿宋"/>
          <w:b/>
          <w:snapToGrid w:val="0"/>
          <w:color w:val="000000"/>
          <w:spacing w:val="20"/>
          <w:kern w:val="0"/>
          <w:sz w:val="28"/>
          <w:szCs w:val="28"/>
        </w:rPr>
      </w:pPr>
      <w:r>
        <w:rPr>
          <w:rFonts w:hint="eastAsia" w:ascii="仿宋" w:hAnsi="仿宋" w:eastAsia="仿宋" w:cs="仿宋"/>
          <w:b/>
          <w:snapToGrid w:val="0"/>
          <w:color w:val="000000"/>
          <w:spacing w:val="20"/>
          <w:kern w:val="0"/>
          <w:sz w:val="28"/>
          <w:szCs w:val="28"/>
        </w:rPr>
        <w:t>估价报告编号</w:t>
      </w:r>
      <w:r>
        <w:rPr>
          <w:rStyle w:val="33"/>
          <w:rFonts w:hint="eastAsia" w:ascii="仿宋" w:hAnsi="仿宋" w:eastAsia="仿宋" w:cs="仿宋"/>
          <w:bCs w:val="0"/>
          <w:sz w:val="28"/>
          <w:szCs w:val="28"/>
        </w:rPr>
        <w:t>:</w:t>
      </w:r>
    </w:p>
    <w:p>
      <w:pPr>
        <w:tabs>
          <w:tab w:val="left" w:pos="1050"/>
          <w:tab w:val="left" w:pos="1470"/>
        </w:tabs>
        <w:adjustRightInd w:val="0"/>
        <w:spacing w:line="600" w:lineRule="exact"/>
        <w:ind w:left="1065" w:leftChars="504" w:hanging="7"/>
        <w:rPr>
          <w:rFonts w:ascii="仿宋" w:hAnsi="仿宋" w:eastAsia="仿宋" w:cs="仿宋"/>
          <w:snapToGrid w:val="0"/>
          <w:color w:val="000000"/>
          <w:spacing w:val="2"/>
          <w:kern w:val="0"/>
          <w:sz w:val="28"/>
          <w:szCs w:val="28"/>
        </w:rPr>
      </w:pPr>
      <w:r>
        <w:rPr>
          <w:rFonts w:hint="eastAsia" w:ascii="仿宋" w:hAnsi="仿宋" w:eastAsia="仿宋" w:cs="仿宋"/>
          <w:snapToGrid w:val="0"/>
          <w:color w:val="000000"/>
          <w:spacing w:val="2"/>
          <w:kern w:val="0"/>
          <w:sz w:val="28"/>
          <w:szCs w:val="28"/>
        </w:rPr>
        <w:t>川天成房估(2020)第C164号</w:t>
      </w:r>
    </w:p>
    <w:p>
      <w:pPr>
        <w:adjustRightInd w:val="0"/>
        <w:spacing w:line="600" w:lineRule="exact"/>
        <w:ind w:left="2605" w:leftChars="170" w:right="206" w:rightChars="98" w:hanging="2248" w:hangingChars="700"/>
        <w:rPr>
          <w:rFonts w:ascii="仿宋" w:hAnsi="仿宋" w:eastAsia="仿宋" w:cs="仿宋"/>
          <w:snapToGrid w:val="0"/>
          <w:color w:val="000000"/>
          <w:spacing w:val="20"/>
          <w:kern w:val="0"/>
          <w:sz w:val="28"/>
          <w:szCs w:val="28"/>
        </w:rPr>
      </w:pPr>
      <w:r>
        <w:rPr>
          <w:rFonts w:hint="eastAsia" w:ascii="仿宋" w:hAnsi="仿宋" w:eastAsia="仿宋" w:cs="仿宋"/>
          <w:b/>
          <w:snapToGrid w:val="0"/>
          <w:color w:val="000000"/>
          <w:spacing w:val="20"/>
          <w:kern w:val="0"/>
          <w:sz w:val="28"/>
          <w:szCs w:val="28"/>
        </w:rPr>
        <w:t>估价项目名称</w:t>
      </w:r>
      <w:r>
        <w:rPr>
          <w:rStyle w:val="33"/>
          <w:rFonts w:hint="eastAsia" w:ascii="仿宋" w:hAnsi="仿宋" w:eastAsia="仿宋" w:cs="仿宋"/>
          <w:sz w:val="28"/>
          <w:szCs w:val="28"/>
        </w:rPr>
        <w:t>：</w:t>
      </w:r>
    </w:p>
    <w:p>
      <w:pPr>
        <w:tabs>
          <w:tab w:val="left" w:pos="1050"/>
          <w:tab w:val="left" w:pos="1470"/>
        </w:tabs>
        <w:adjustRightInd w:val="0"/>
        <w:spacing w:line="600" w:lineRule="exact"/>
        <w:ind w:left="1065" w:leftChars="504" w:hanging="7"/>
        <w:rPr>
          <w:rFonts w:hint="eastAsia" w:ascii="仿宋" w:hAnsi="仿宋" w:eastAsia="仿宋" w:cs="仿宋"/>
          <w:snapToGrid w:val="0"/>
          <w:color w:val="000000"/>
          <w:spacing w:val="2"/>
          <w:kern w:val="0"/>
          <w:sz w:val="28"/>
          <w:szCs w:val="28"/>
        </w:rPr>
      </w:pPr>
      <w:r>
        <w:rPr>
          <w:rFonts w:hint="eastAsia" w:ascii="仿宋" w:hAnsi="仿宋" w:eastAsia="仿宋" w:cs="仿宋"/>
          <w:snapToGrid w:val="0"/>
          <w:color w:val="000000"/>
          <w:spacing w:val="2"/>
          <w:kern w:val="0"/>
          <w:sz w:val="28"/>
          <w:szCs w:val="28"/>
          <w:lang w:eastAsia="zh-CN"/>
        </w:rPr>
        <w:t>自贡市富顺县龙万乡振兴街78号附2-2、3-1、3-2号</w:t>
      </w:r>
      <w:r>
        <w:rPr>
          <w:rFonts w:hint="eastAsia" w:ascii="仿宋" w:hAnsi="仿宋" w:eastAsia="仿宋" w:cs="仿宋"/>
          <w:snapToGrid w:val="0"/>
          <w:color w:val="000000"/>
          <w:spacing w:val="2"/>
          <w:kern w:val="0"/>
          <w:sz w:val="28"/>
          <w:szCs w:val="28"/>
        </w:rPr>
        <w:t>住宅</w:t>
      </w:r>
      <w:r>
        <w:rPr>
          <w:rFonts w:hint="eastAsia" w:ascii="仿宋" w:hAnsi="仿宋" w:eastAsia="仿宋" w:cs="宋体"/>
          <w:snapToGrid w:val="0"/>
          <w:color w:val="000000"/>
          <w:spacing w:val="2"/>
          <w:kern w:val="0"/>
          <w:sz w:val="28"/>
          <w:szCs w:val="28"/>
        </w:rPr>
        <w:t>房地产市场价值</w:t>
      </w:r>
      <w:r>
        <w:rPr>
          <w:rFonts w:hint="eastAsia" w:ascii="仿宋" w:hAnsi="仿宋" w:eastAsia="仿宋" w:cs="仿宋"/>
          <w:snapToGrid w:val="0"/>
          <w:color w:val="000000"/>
          <w:spacing w:val="2"/>
          <w:kern w:val="0"/>
          <w:sz w:val="28"/>
          <w:szCs w:val="28"/>
          <w:lang w:eastAsia="zh-CN"/>
        </w:rPr>
        <w:t>司法鉴定</w:t>
      </w:r>
      <w:r>
        <w:rPr>
          <w:rFonts w:hint="eastAsia" w:ascii="仿宋" w:hAnsi="仿宋" w:eastAsia="仿宋" w:cs="宋体"/>
          <w:snapToGrid w:val="0"/>
          <w:color w:val="000000"/>
          <w:spacing w:val="2"/>
          <w:kern w:val="0"/>
          <w:sz w:val="28"/>
          <w:szCs w:val="28"/>
        </w:rPr>
        <w:t>估</w:t>
      </w:r>
      <w:r>
        <w:rPr>
          <w:rFonts w:hint="eastAsia" w:ascii="仿宋" w:hAnsi="仿宋" w:eastAsia="仿宋" w:cs="仿宋"/>
          <w:snapToGrid w:val="0"/>
          <w:color w:val="000000"/>
          <w:spacing w:val="2"/>
          <w:kern w:val="0"/>
          <w:sz w:val="28"/>
          <w:szCs w:val="28"/>
        </w:rPr>
        <w:t>价</w:t>
      </w:r>
    </w:p>
    <w:p>
      <w:pPr>
        <w:adjustRightInd w:val="0"/>
        <w:spacing w:line="600" w:lineRule="exact"/>
        <w:ind w:left="2523" w:leftChars="171" w:hanging="2164" w:hangingChars="674"/>
        <w:rPr>
          <w:rStyle w:val="33"/>
          <w:rFonts w:ascii="仿宋" w:hAnsi="仿宋" w:eastAsia="仿宋" w:cs="仿宋"/>
          <w:sz w:val="28"/>
          <w:szCs w:val="28"/>
        </w:rPr>
      </w:pPr>
      <w:r>
        <w:rPr>
          <w:rFonts w:hint="eastAsia" w:ascii="仿宋" w:hAnsi="仿宋" w:eastAsia="仿宋" w:cs="仿宋"/>
          <w:b/>
          <w:snapToGrid w:val="0"/>
          <w:color w:val="000000"/>
          <w:spacing w:val="20"/>
          <w:kern w:val="0"/>
          <w:sz w:val="28"/>
          <w:szCs w:val="28"/>
        </w:rPr>
        <w:t>估价委托人</w:t>
      </w:r>
      <w:r>
        <w:rPr>
          <w:rStyle w:val="33"/>
          <w:rFonts w:hint="eastAsia" w:ascii="仿宋" w:hAnsi="仿宋" w:eastAsia="仿宋" w:cs="仿宋"/>
          <w:sz w:val="28"/>
          <w:szCs w:val="28"/>
        </w:rPr>
        <w:t>：</w:t>
      </w:r>
    </w:p>
    <w:p>
      <w:pPr>
        <w:adjustRightInd w:val="0"/>
        <w:spacing w:line="600" w:lineRule="exact"/>
        <w:ind w:left="2256" w:leftChars="504" w:hanging="1198" w:hangingChars="422"/>
        <w:rPr>
          <w:rFonts w:hint="eastAsia" w:ascii="仿宋" w:hAnsi="仿宋" w:eastAsia="仿宋" w:cs="仿宋"/>
          <w:snapToGrid w:val="0"/>
          <w:color w:val="000000"/>
          <w:spacing w:val="2"/>
          <w:kern w:val="0"/>
          <w:sz w:val="28"/>
          <w:szCs w:val="28"/>
          <w:lang w:eastAsia="zh-CN"/>
        </w:rPr>
      </w:pPr>
      <w:r>
        <w:rPr>
          <w:rFonts w:hint="eastAsia" w:ascii="仿宋" w:hAnsi="仿宋" w:eastAsia="仿宋" w:cs="仿宋"/>
          <w:snapToGrid w:val="0"/>
          <w:color w:val="000000"/>
          <w:spacing w:val="2"/>
          <w:kern w:val="0"/>
          <w:sz w:val="28"/>
          <w:szCs w:val="28"/>
          <w:lang w:eastAsia="zh-CN"/>
        </w:rPr>
        <w:t>富顺县人民法院</w:t>
      </w:r>
    </w:p>
    <w:p>
      <w:pPr>
        <w:adjustRightInd w:val="0"/>
        <w:spacing w:line="600" w:lineRule="exact"/>
        <w:ind w:left="2523" w:leftChars="171" w:hanging="2164" w:hangingChars="674"/>
        <w:rPr>
          <w:rFonts w:ascii="仿宋" w:hAnsi="仿宋" w:eastAsia="仿宋" w:cs="仿宋"/>
          <w:b/>
          <w:snapToGrid w:val="0"/>
          <w:color w:val="000000"/>
          <w:spacing w:val="20"/>
          <w:kern w:val="0"/>
          <w:sz w:val="28"/>
          <w:szCs w:val="28"/>
        </w:rPr>
      </w:pPr>
      <w:r>
        <w:rPr>
          <w:rFonts w:hint="eastAsia" w:ascii="仿宋" w:hAnsi="仿宋" w:eastAsia="仿宋" w:cs="仿宋"/>
          <w:b/>
          <w:snapToGrid w:val="0"/>
          <w:color w:val="000000"/>
          <w:spacing w:val="20"/>
          <w:kern w:val="0"/>
          <w:sz w:val="28"/>
          <w:szCs w:val="28"/>
        </w:rPr>
        <w:t>房地产估价机构</w:t>
      </w:r>
      <w:r>
        <w:rPr>
          <w:rStyle w:val="33"/>
          <w:rFonts w:hint="eastAsia" w:ascii="仿宋" w:hAnsi="仿宋" w:eastAsia="仿宋" w:cs="仿宋"/>
          <w:sz w:val="28"/>
          <w:szCs w:val="28"/>
        </w:rPr>
        <w:t>：</w:t>
      </w:r>
    </w:p>
    <w:p>
      <w:pPr>
        <w:adjustRightInd w:val="0"/>
        <w:spacing w:line="600" w:lineRule="exact"/>
        <w:ind w:left="2555" w:leftChars="495" w:hanging="1516" w:hangingChars="474"/>
        <w:rPr>
          <w:rFonts w:ascii="仿宋" w:hAnsi="仿宋" w:eastAsia="仿宋" w:cs="仿宋"/>
          <w:snapToGrid w:val="0"/>
          <w:color w:val="000000"/>
          <w:spacing w:val="20"/>
          <w:kern w:val="0"/>
          <w:sz w:val="28"/>
          <w:szCs w:val="28"/>
        </w:rPr>
      </w:pPr>
      <w:r>
        <w:rPr>
          <w:rFonts w:hint="eastAsia" w:ascii="仿宋" w:hAnsi="仿宋" w:eastAsia="仿宋" w:cs="仿宋"/>
          <w:snapToGrid w:val="0"/>
          <w:color w:val="000000"/>
          <w:spacing w:val="20"/>
          <w:kern w:val="0"/>
          <w:sz w:val="28"/>
          <w:szCs w:val="28"/>
        </w:rPr>
        <w:t>四川天成房地产土地估价咨询有限公司</w:t>
      </w:r>
      <w:r>
        <w:rPr>
          <w:rFonts w:hint="eastAsia" w:ascii="仿宋" w:hAnsi="仿宋" w:eastAsia="仿宋" w:cs="仿宋"/>
          <w:snapToGrid w:val="0"/>
          <w:color w:val="000000"/>
          <w:spacing w:val="20"/>
          <w:kern w:val="0"/>
          <w:sz w:val="28"/>
          <w:szCs w:val="28"/>
          <w:lang w:val="en-US" w:eastAsia="zh-CN"/>
        </w:rPr>
        <w:t xml:space="preserve">  </w:t>
      </w:r>
      <w:r>
        <w:rPr>
          <w:rFonts w:hint="eastAsia" w:ascii="仿宋" w:hAnsi="仿宋" w:eastAsia="仿宋" w:cs="仿宋"/>
          <w:snapToGrid w:val="0"/>
          <w:color w:val="0000FF"/>
          <w:spacing w:val="20"/>
          <w:kern w:val="0"/>
          <w:sz w:val="28"/>
          <w:szCs w:val="28"/>
        </w:rPr>
        <w:t>壹级</w:t>
      </w:r>
      <w:r>
        <w:rPr>
          <w:rFonts w:hint="eastAsia" w:ascii="仿宋" w:hAnsi="仿宋" w:eastAsia="仿宋" w:cs="仿宋"/>
          <w:snapToGrid w:val="0"/>
          <w:color w:val="000000"/>
          <w:spacing w:val="20"/>
          <w:kern w:val="0"/>
          <w:sz w:val="28"/>
          <w:szCs w:val="28"/>
        </w:rPr>
        <w:t xml:space="preserve"> </w:t>
      </w:r>
    </w:p>
    <w:p>
      <w:pPr>
        <w:tabs>
          <w:tab w:val="left" w:pos="2160"/>
        </w:tabs>
        <w:adjustRightInd w:val="0"/>
        <w:spacing w:line="600" w:lineRule="exact"/>
        <w:ind w:left="2523" w:leftChars="171" w:hanging="2164" w:hangingChars="674"/>
        <w:rPr>
          <w:rFonts w:ascii="仿宋" w:hAnsi="仿宋" w:eastAsia="仿宋" w:cs="仿宋"/>
          <w:snapToGrid w:val="0"/>
          <w:color w:val="000000"/>
          <w:spacing w:val="20"/>
          <w:kern w:val="0"/>
          <w:sz w:val="28"/>
          <w:szCs w:val="28"/>
        </w:rPr>
      </w:pPr>
      <w:r>
        <w:rPr>
          <w:rFonts w:hint="eastAsia" w:ascii="仿宋" w:hAnsi="仿宋" w:eastAsia="仿宋" w:cs="仿宋"/>
          <w:b/>
          <w:snapToGrid w:val="0"/>
          <w:color w:val="000000"/>
          <w:spacing w:val="20"/>
          <w:kern w:val="0"/>
          <w:sz w:val="28"/>
          <w:szCs w:val="28"/>
        </w:rPr>
        <w:t>注册房地产估价师</w:t>
      </w:r>
      <w:r>
        <w:rPr>
          <w:rStyle w:val="33"/>
          <w:rFonts w:hint="eastAsia" w:ascii="仿宋" w:hAnsi="仿宋" w:eastAsia="仿宋" w:cs="仿宋"/>
          <w:sz w:val="28"/>
          <w:szCs w:val="28"/>
        </w:rPr>
        <w:t>：</w:t>
      </w:r>
    </w:p>
    <w:p>
      <w:pPr>
        <w:adjustRightInd w:val="0"/>
        <w:spacing w:line="600" w:lineRule="exact"/>
        <w:ind w:left="998" w:leftChars="475" w:right="25" w:rightChars="12"/>
        <w:rPr>
          <w:rFonts w:ascii="仿宋" w:hAnsi="仿宋" w:eastAsia="仿宋" w:cs="宋体"/>
          <w:snapToGrid w:val="0"/>
          <w:spacing w:val="2"/>
          <w:kern w:val="0"/>
          <w:sz w:val="28"/>
          <w:szCs w:val="28"/>
        </w:rPr>
      </w:pPr>
      <w:r>
        <w:rPr>
          <w:rFonts w:hint="eastAsia" w:ascii="仿宋" w:hAnsi="仿宋" w:eastAsia="仿宋" w:cs="宋体"/>
          <w:snapToGrid w:val="0"/>
          <w:spacing w:val="2"/>
          <w:kern w:val="0"/>
          <w:sz w:val="28"/>
          <w:szCs w:val="28"/>
        </w:rPr>
        <w:t>程  丹[注册号</w:t>
      </w:r>
      <w:r>
        <w:rPr>
          <w:rFonts w:hint="eastAsia" w:ascii="仿宋" w:hAnsi="仿宋" w:eastAsia="仿宋" w:cs="宋体"/>
          <w:snapToGrid w:val="0"/>
          <w:spacing w:val="2"/>
          <w:kern w:val="0"/>
          <w:sz w:val="28"/>
          <w:szCs w:val="28"/>
          <w:lang w:eastAsia="zh-CN"/>
        </w:rPr>
        <w:t>：</w:t>
      </w:r>
      <w:r>
        <w:rPr>
          <w:rFonts w:hint="eastAsia" w:ascii="仿宋" w:hAnsi="仿宋" w:eastAsia="仿宋" w:cs="宋体"/>
          <w:snapToGrid w:val="0"/>
          <w:spacing w:val="2"/>
          <w:kern w:val="0"/>
          <w:sz w:val="28"/>
          <w:szCs w:val="28"/>
          <w:lang w:val="zh-CN"/>
        </w:rPr>
        <w:t>5120190120</w:t>
      </w:r>
      <w:r>
        <w:rPr>
          <w:rFonts w:hint="eastAsia" w:ascii="仿宋" w:hAnsi="仿宋" w:eastAsia="仿宋" w:cs="宋体"/>
          <w:snapToGrid w:val="0"/>
          <w:spacing w:val="2"/>
          <w:kern w:val="0"/>
          <w:sz w:val="28"/>
          <w:szCs w:val="28"/>
        </w:rPr>
        <w:t>]</w:t>
      </w:r>
    </w:p>
    <w:p>
      <w:pPr>
        <w:adjustRightInd w:val="0"/>
        <w:spacing w:line="600" w:lineRule="exact"/>
        <w:ind w:left="998" w:leftChars="475" w:right="25" w:rightChars="12"/>
        <w:rPr>
          <w:rFonts w:ascii="仿宋" w:hAnsi="仿宋" w:eastAsia="仿宋" w:cs="宋体"/>
          <w:snapToGrid w:val="0"/>
          <w:spacing w:val="2"/>
          <w:kern w:val="0"/>
          <w:sz w:val="28"/>
          <w:szCs w:val="28"/>
        </w:rPr>
      </w:pPr>
      <w:r>
        <w:rPr>
          <w:rFonts w:hint="eastAsia" w:ascii="仿宋" w:hAnsi="仿宋" w:eastAsia="仿宋" w:cs="宋体"/>
          <w:snapToGrid w:val="0"/>
          <w:spacing w:val="2"/>
          <w:kern w:val="0"/>
          <w:sz w:val="28"/>
          <w:szCs w:val="28"/>
        </w:rPr>
        <w:t>梅治勤[注册号：5120160013]</w:t>
      </w:r>
    </w:p>
    <w:p>
      <w:pPr>
        <w:tabs>
          <w:tab w:val="left" w:pos="2160"/>
        </w:tabs>
        <w:adjustRightInd w:val="0"/>
        <w:spacing w:line="600" w:lineRule="exact"/>
        <w:ind w:left="2523" w:leftChars="171" w:hanging="2164" w:hangingChars="674"/>
        <w:rPr>
          <w:rFonts w:ascii="仿宋" w:hAnsi="仿宋" w:eastAsia="仿宋" w:cs="仿宋"/>
          <w:b/>
          <w:snapToGrid w:val="0"/>
          <w:color w:val="000000"/>
          <w:kern w:val="0"/>
          <w:sz w:val="28"/>
          <w:szCs w:val="28"/>
        </w:rPr>
      </w:pPr>
      <w:r>
        <w:rPr>
          <w:rFonts w:hint="eastAsia" w:ascii="仿宋" w:hAnsi="仿宋" w:eastAsia="仿宋" w:cs="仿宋"/>
          <w:b/>
          <w:snapToGrid w:val="0"/>
          <w:color w:val="000000"/>
          <w:spacing w:val="20"/>
          <w:kern w:val="0"/>
          <w:sz w:val="28"/>
          <w:szCs w:val="28"/>
        </w:rPr>
        <w:t>估价报告出具日期</w:t>
      </w:r>
      <w:r>
        <w:rPr>
          <w:rStyle w:val="33"/>
          <w:rFonts w:hint="eastAsia" w:ascii="仿宋" w:hAnsi="仿宋" w:eastAsia="仿宋" w:cs="仿宋"/>
          <w:sz w:val="28"/>
          <w:szCs w:val="28"/>
        </w:rPr>
        <w:t>：</w:t>
      </w:r>
    </w:p>
    <w:p>
      <w:pPr>
        <w:tabs>
          <w:tab w:val="left" w:pos="2160"/>
        </w:tabs>
        <w:adjustRightInd w:val="0"/>
        <w:spacing w:line="600" w:lineRule="exact"/>
        <w:ind w:left="2246" w:leftChars="171" w:hanging="1887" w:hangingChars="674"/>
        <w:rPr>
          <w:rFonts w:hint="eastAsia" w:ascii="仿宋" w:hAnsi="仿宋" w:eastAsia="仿宋" w:cs="仿宋"/>
          <w:bCs/>
          <w:snapToGrid w:val="0"/>
          <w:color w:val="000000"/>
          <w:kern w:val="0"/>
          <w:sz w:val="28"/>
          <w:szCs w:val="28"/>
          <w:lang w:eastAsia="zh-CN"/>
        </w:rPr>
      </w:pPr>
      <w:r>
        <w:rPr>
          <w:rFonts w:hint="eastAsia" w:ascii="仿宋" w:hAnsi="仿宋" w:eastAsia="仿宋" w:cs="仿宋"/>
          <w:bCs/>
          <w:snapToGrid w:val="0"/>
          <w:color w:val="000000"/>
          <w:kern w:val="0"/>
          <w:sz w:val="28"/>
          <w:szCs w:val="28"/>
        </w:rPr>
        <w:t xml:space="preserve">     </w:t>
      </w:r>
      <w:bookmarkStart w:id="0" w:name="_Toc385002006"/>
      <w:bookmarkStart w:id="1" w:name="_Toc18328"/>
      <w:bookmarkStart w:id="2" w:name="_Toc320276189"/>
      <w:bookmarkStart w:id="3" w:name="_Toc248673824"/>
      <w:r>
        <w:rPr>
          <w:rFonts w:hint="eastAsia" w:ascii="仿宋" w:hAnsi="仿宋" w:eastAsia="仿宋" w:cs="仿宋"/>
          <w:bCs/>
          <w:snapToGrid w:val="0"/>
          <w:color w:val="000000"/>
          <w:kern w:val="0"/>
          <w:sz w:val="28"/>
          <w:szCs w:val="28"/>
          <w:lang w:eastAsia="zh-CN"/>
        </w:rPr>
        <w:t>二〇二〇年十月二十二日</w:t>
      </w:r>
    </w:p>
    <w:p>
      <w:pPr>
        <w:widowControl/>
        <w:jc w:val="left"/>
        <w:rPr>
          <w:rFonts w:ascii="仿宋" w:hAnsi="仿宋" w:eastAsia="仿宋" w:cs="仿宋"/>
          <w:bCs/>
          <w:snapToGrid w:val="0"/>
          <w:color w:val="000000"/>
          <w:kern w:val="0"/>
          <w:sz w:val="28"/>
          <w:szCs w:val="28"/>
        </w:rPr>
      </w:pPr>
      <w:r>
        <w:rPr>
          <w:rFonts w:ascii="仿宋" w:hAnsi="仿宋" w:eastAsia="仿宋" w:cs="仿宋"/>
          <w:bCs/>
          <w:snapToGrid w:val="0"/>
          <w:color w:val="000000"/>
          <w:kern w:val="0"/>
          <w:sz w:val="28"/>
          <w:szCs w:val="28"/>
        </w:rPr>
        <w:br w:type="page"/>
      </w:r>
    </w:p>
    <w:p>
      <w:pPr>
        <w:spacing w:line="420" w:lineRule="exact"/>
        <w:jc w:val="center"/>
        <w:rPr>
          <w:rFonts w:ascii="黑体" w:hAnsi="黑体" w:eastAsia="黑体" w:cs="宋体"/>
          <w:b/>
          <w:snapToGrid w:val="0"/>
          <w:color w:val="000000"/>
          <w:kern w:val="0"/>
          <w:sz w:val="24"/>
          <w:szCs w:val="24"/>
        </w:rPr>
      </w:pPr>
      <w:r>
        <w:rPr>
          <w:rFonts w:hint="eastAsia" w:ascii="宋体" w:hAnsi="宋体" w:cs="宋体"/>
          <w:b/>
          <w:snapToGrid w:val="0"/>
          <w:color w:val="000000"/>
          <w:kern w:val="0"/>
          <w:sz w:val="32"/>
          <w:szCs w:val="32"/>
        </w:rPr>
        <w:t>致估价委托人函</w:t>
      </w:r>
      <w:bookmarkEnd w:id="0"/>
      <w:bookmarkEnd w:id="1"/>
    </w:p>
    <w:p>
      <w:pPr>
        <w:adjustRightInd w:val="0"/>
        <w:spacing w:line="420" w:lineRule="exact"/>
        <w:rPr>
          <w:rFonts w:ascii="仿宋" w:hAnsi="仿宋" w:eastAsia="仿宋" w:cs="宋体"/>
          <w:b/>
          <w:bCs/>
          <w:snapToGrid w:val="0"/>
          <w:color w:val="000000"/>
          <w:kern w:val="0"/>
          <w:sz w:val="24"/>
          <w:szCs w:val="24"/>
        </w:rPr>
      </w:pPr>
    </w:p>
    <w:p>
      <w:pPr>
        <w:adjustRightInd w:val="0"/>
        <w:spacing w:line="420" w:lineRule="exact"/>
        <w:rPr>
          <w:rFonts w:ascii="仿宋" w:hAnsi="仿宋" w:eastAsia="仿宋" w:cs="宋体"/>
          <w:b/>
          <w:bCs/>
          <w:snapToGrid w:val="0"/>
          <w:color w:val="000000"/>
          <w:kern w:val="0"/>
          <w:sz w:val="24"/>
          <w:szCs w:val="24"/>
        </w:rPr>
      </w:pPr>
      <w:r>
        <w:rPr>
          <w:rFonts w:hint="eastAsia" w:ascii="仿宋" w:hAnsi="仿宋" w:eastAsia="仿宋" w:cs="宋体"/>
          <w:b/>
          <w:bCs/>
          <w:snapToGrid w:val="0"/>
          <w:color w:val="000000"/>
          <w:kern w:val="0"/>
          <w:sz w:val="24"/>
          <w:szCs w:val="24"/>
          <w:lang w:eastAsia="zh-CN"/>
        </w:rPr>
        <w:t>富顺县人民法院</w:t>
      </w:r>
      <w:r>
        <w:rPr>
          <w:rFonts w:hint="eastAsia" w:ascii="仿宋" w:hAnsi="仿宋" w:eastAsia="仿宋" w:cs="宋体"/>
          <w:b/>
          <w:bCs/>
          <w:snapToGrid w:val="0"/>
          <w:color w:val="000000"/>
          <w:kern w:val="0"/>
          <w:sz w:val="24"/>
          <w:szCs w:val="24"/>
        </w:rPr>
        <w:t>：</w:t>
      </w:r>
    </w:p>
    <w:p>
      <w:pPr>
        <w:adjustRightInd w:val="0"/>
        <w:spacing w:line="520" w:lineRule="exact"/>
        <w:ind w:firstLine="480" w:firstLineChars="200"/>
        <w:rPr>
          <w:rFonts w:ascii="仿宋" w:hAnsi="仿宋" w:eastAsia="仿宋" w:cs="宋体"/>
          <w:color w:val="000000"/>
          <w:sz w:val="24"/>
          <w:szCs w:val="24"/>
        </w:rPr>
      </w:pPr>
      <w:r>
        <w:rPr>
          <w:rFonts w:hint="eastAsia" w:ascii="仿宋" w:hAnsi="仿宋" w:eastAsia="仿宋"/>
          <w:snapToGrid w:val="0"/>
          <w:kern w:val="0"/>
          <w:sz w:val="24"/>
          <w:szCs w:val="24"/>
        </w:rPr>
        <w:t>受贵院委托，我公司成立以注册房地产估价师程丹为项目负责人的估价小组，依据</w:t>
      </w:r>
      <w:r>
        <w:rPr>
          <w:rFonts w:hint="eastAsia" w:ascii="仿宋" w:hAnsi="仿宋" w:eastAsia="仿宋" w:cs="宋体"/>
          <w:color w:val="000000"/>
          <w:sz w:val="24"/>
          <w:szCs w:val="24"/>
        </w:rPr>
        <w:t>现行法律、法规、政策、技术标准、估价委托人提供的资料和陈述的有关情况，经过实地查勘和市场调查，根据估价目的，遵循估价原则，按照估价程序，在充分考虑影响住宅房地产价值的各项因素的基础上，对</w:t>
      </w:r>
      <w:r>
        <w:rPr>
          <w:rFonts w:hint="eastAsia" w:ascii="仿宋" w:hAnsi="仿宋" w:eastAsia="仿宋" w:cs="宋体"/>
          <w:color w:val="000000"/>
          <w:sz w:val="24"/>
          <w:szCs w:val="24"/>
          <w:lang w:eastAsia="zh-CN"/>
        </w:rPr>
        <w:t>自贡市富顺县龙万乡振兴街78号附2-2、3-1、3-2号</w:t>
      </w:r>
      <w:r>
        <w:rPr>
          <w:rFonts w:hint="eastAsia" w:ascii="仿宋" w:hAnsi="仿宋" w:eastAsia="仿宋" w:cs="宋体"/>
          <w:color w:val="000000"/>
          <w:sz w:val="24"/>
          <w:szCs w:val="24"/>
        </w:rPr>
        <w:t>住宅房</w:t>
      </w:r>
      <w:r>
        <w:rPr>
          <w:rFonts w:hint="eastAsia" w:ascii="仿宋" w:hAnsi="仿宋" w:eastAsia="仿宋"/>
          <w:snapToGrid w:val="0"/>
          <w:kern w:val="0"/>
          <w:sz w:val="24"/>
          <w:szCs w:val="24"/>
        </w:rPr>
        <w:t>地产于现状条件下的市场价值进行了鉴定估价</w:t>
      </w:r>
      <w:r>
        <w:rPr>
          <w:rFonts w:hint="eastAsia" w:ascii="仿宋" w:hAnsi="仿宋" w:eastAsia="仿宋" w:cs="宋体"/>
          <w:color w:val="000000"/>
          <w:sz w:val="24"/>
          <w:szCs w:val="24"/>
        </w:rPr>
        <w:t>。</w:t>
      </w:r>
    </w:p>
    <w:p>
      <w:pPr>
        <w:adjustRightInd w:val="0"/>
        <w:spacing w:line="520" w:lineRule="exact"/>
        <w:ind w:firstLine="480" w:firstLineChars="200"/>
        <w:rPr>
          <w:rFonts w:ascii="仿宋" w:hAnsi="仿宋" w:eastAsia="仿宋"/>
          <w:snapToGrid w:val="0"/>
          <w:kern w:val="0"/>
          <w:sz w:val="24"/>
          <w:szCs w:val="24"/>
        </w:rPr>
      </w:pPr>
      <w:r>
        <w:rPr>
          <w:rFonts w:hint="eastAsia" w:ascii="仿宋" w:hAnsi="仿宋" w:eastAsia="仿宋"/>
          <w:snapToGrid w:val="0"/>
          <w:kern w:val="0"/>
          <w:sz w:val="24"/>
          <w:szCs w:val="24"/>
        </w:rPr>
        <w:t>1、估价对象：本次估价对象位于</w:t>
      </w:r>
      <w:r>
        <w:rPr>
          <w:rFonts w:hint="eastAsia" w:ascii="仿宋" w:hAnsi="仿宋" w:eastAsia="仿宋"/>
          <w:snapToGrid w:val="0"/>
          <w:kern w:val="0"/>
          <w:sz w:val="24"/>
          <w:szCs w:val="24"/>
          <w:lang w:eastAsia="zh-CN"/>
        </w:rPr>
        <w:t>自贡市富顺县龙万乡振兴街78号附2-2、3-1、3-2号</w:t>
      </w:r>
      <w:r>
        <w:rPr>
          <w:rFonts w:hint="eastAsia" w:ascii="仿宋" w:hAnsi="仿宋" w:eastAsia="仿宋"/>
          <w:snapToGrid w:val="0"/>
          <w:kern w:val="0"/>
          <w:sz w:val="24"/>
          <w:szCs w:val="24"/>
        </w:rPr>
        <w:t>住宅房地产，房屋所有权人为</w:t>
      </w:r>
      <w:r>
        <w:rPr>
          <w:rFonts w:hint="eastAsia" w:ascii="仿宋" w:hAnsi="仿宋" w:eastAsia="仿宋"/>
          <w:snapToGrid w:val="0"/>
          <w:kern w:val="0"/>
          <w:sz w:val="24"/>
          <w:szCs w:val="24"/>
          <w:lang w:eastAsia="zh-CN"/>
        </w:rPr>
        <w:t>陈正海单独所有</w:t>
      </w:r>
      <w:r>
        <w:rPr>
          <w:rFonts w:hint="eastAsia" w:ascii="仿宋" w:hAnsi="仿宋" w:eastAsia="仿宋"/>
          <w:snapToGrid w:val="0"/>
          <w:kern w:val="0"/>
          <w:sz w:val="24"/>
          <w:szCs w:val="24"/>
        </w:rPr>
        <w:t>，</w:t>
      </w:r>
      <w:r>
        <w:rPr>
          <w:rFonts w:hint="eastAsia" w:ascii="仿宋" w:hAnsi="仿宋" w:eastAsia="仿宋"/>
          <w:snapToGrid w:val="0"/>
          <w:kern w:val="0"/>
          <w:sz w:val="24"/>
          <w:szCs w:val="24"/>
          <w:lang w:eastAsia="zh-CN"/>
        </w:rPr>
        <w:t>《房产登记信息查询</w:t>
      </w:r>
      <w:r>
        <w:rPr>
          <w:rFonts w:hint="eastAsia" w:ascii="仿宋" w:hAnsi="仿宋" w:eastAsia="仿宋" w:cs="宋体"/>
          <w:sz w:val="24"/>
          <w:szCs w:val="24"/>
          <w:highlight w:val="none"/>
          <w:lang w:eastAsia="zh-CN"/>
        </w:rPr>
        <w:t>情况说明》记载不动产权证号</w:t>
      </w:r>
      <w:r>
        <w:rPr>
          <w:rFonts w:hint="eastAsia" w:ascii="仿宋" w:hAnsi="仿宋" w:eastAsia="仿宋" w:cs="宋体"/>
          <w:sz w:val="24"/>
          <w:szCs w:val="24"/>
          <w:highlight w:val="none"/>
        </w:rPr>
        <w:t>为：</w:t>
      </w:r>
      <w:r>
        <w:rPr>
          <w:rFonts w:hint="eastAsia" w:ascii="仿宋" w:hAnsi="仿宋" w:eastAsia="仿宋" w:cs="宋体"/>
          <w:sz w:val="24"/>
          <w:szCs w:val="24"/>
          <w:highlight w:val="none"/>
          <w:lang w:val="en-US" w:eastAsia="zh-CN"/>
        </w:rPr>
        <w:t>川（2019）富顺县不动产权第0005043号</w:t>
      </w:r>
      <w:r>
        <w:rPr>
          <w:rFonts w:hint="eastAsia" w:ascii="仿宋" w:hAnsi="仿宋" w:eastAsia="仿宋" w:cs="宋体"/>
          <w:sz w:val="24"/>
          <w:szCs w:val="24"/>
          <w:highlight w:val="none"/>
        </w:rPr>
        <w:t>，</w:t>
      </w:r>
      <w:r>
        <w:rPr>
          <w:rFonts w:hint="eastAsia" w:ascii="仿宋" w:hAnsi="仿宋" w:eastAsia="仿宋" w:cs="宋体"/>
          <w:sz w:val="24"/>
          <w:szCs w:val="24"/>
          <w:highlight w:val="none"/>
          <w:lang w:eastAsia="zh-CN"/>
        </w:rPr>
        <w:t>混合</w:t>
      </w:r>
      <w:r>
        <w:rPr>
          <w:rFonts w:hint="eastAsia" w:ascii="仿宋" w:hAnsi="仿宋" w:eastAsia="仿宋" w:cs="宋体"/>
          <w:sz w:val="24"/>
          <w:szCs w:val="24"/>
          <w:highlight w:val="none"/>
        </w:rPr>
        <w:t>结构，建于</w:t>
      </w:r>
      <w:r>
        <w:rPr>
          <w:rFonts w:hint="eastAsia" w:ascii="仿宋" w:hAnsi="仿宋" w:eastAsia="仿宋" w:cs="宋体"/>
          <w:sz w:val="24"/>
          <w:szCs w:val="24"/>
          <w:highlight w:val="none"/>
          <w:lang w:eastAsia="zh-CN"/>
        </w:rPr>
        <w:t>2019年</w:t>
      </w:r>
      <w:r>
        <w:rPr>
          <w:rFonts w:hint="eastAsia" w:ascii="仿宋" w:hAnsi="仿宋" w:eastAsia="仿宋" w:cs="宋体"/>
          <w:sz w:val="24"/>
          <w:szCs w:val="24"/>
          <w:highlight w:val="none"/>
        </w:rPr>
        <w:t>，建筑面积</w:t>
      </w:r>
      <w:r>
        <w:rPr>
          <w:rFonts w:hint="eastAsia" w:ascii="仿宋" w:hAnsi="仿宋" w:eastAsia="仿宋" w:cs="宋体"/>
          <w:sz w:val="24"/>
          <w:szCs w:val="24"/>
          <w:highlight w:val="none"/>
          <w:lang w:val="en-US" w:eastAsia="zh-CN"/>
        </w:rPr>
        <w:t>为372.34</w:t>
      </w:r>
      <w:r>
        <w:rPr>
          <w:rFonts w:hint="eastAsia" w:ascii="仿宋" w:hAnsi="仿宋" w:eastAsia="仿宋" w:cs="宋体"/>
          <w:sz w:val="24"/>
          <w:szCs w:val="24"/>
          <w:highlight w:val="none"/>
        </w:rPr>
        <w:t>㎡及其应分摊国有建设用地使用权面积</w:t>
      </w:r>
      <w:r>
        <w:rPr>
          <w:rFonts w:hint="eastAsia" w:ascii="仿宋" w:hAnsi="仿宋" w:eastAsia="仿宋" w:cs="宋体"/>
          <w:sz w:val="24"/>
          <w:szCs w:val="24"/>
          <w:highlight w:val="none"/>
          <w:lang w:val="en-US" w:eastAsia="zh-CN"/>
        </w:rPr>
        <w:t>为127.77</w:t>
      </w:r>
      <w:r>
        <w:rPr>
          <w:rFonts w:hint="eastAsia" w:ascii="仿宋" w:hAnsi="仿宋" w:eastAsia="仿宋" w:cs="宋体"/>
          <w:sz w:val="24"/>
          <w:szCs w:val="24"/>
          <w:highlight w:val="none"/>
        </w:rPr>
        <w:t>㎡，列入</w:t>
      </w:r>
      <w:r>
        <w:rPr>
          <w:rFonts w:hint="eastAsia" w:ascii="仿宋" w:hAnsi="仿宋" w:eastAsia="仿宋"/>
          <w:snapToGrid w:val="0"/>
          <w:kern w:val="0"/>
          <w:sz w:val="24"/>
          <w:szCs w:val="24"/>
        </w:rPr>
        <w:t>本次估价范围的是房屋、分摊相应土地使用权和必要的设备设施,不包括动产、装饰装修</w:t>
      </w:r>
      <w:r>
        <w:rPr>
          <w:rFonts w:hint="eastAsia" w:ascii="仿宋" w:hAnsi="仿宋" w:eastAsia="仿宋"/>
          <w:snapToGrid w:val="0"/>
          <w:kern w:val="0"/>
          <w:sz w:val="24"/>
          <w:szCs w:val="24"/>
          <w:lang w:eastAsia="zh-CN"/>
        </w:rPr>
        <w:t>、</w:t>
      </w:r>
      <w:r>
        <w:rPr>
          <w:rFonts w:hint="eastAsia" w:ascii="仿宋" w:hAnsi="仿宋" w:eastAsia="仿宋"/>
          <w:snapToGrid w:val="0"/>
          <w:kern w:val="0"/>
          <w:sz w:val="24"/>
          <w:szCs w:val="24"/>
        </w:rPr>
        <w:t>构筑物、树木等，以及债权债务、特许经营权等其他财产或权益。</w:t>
      </w:r>
    </w:p>
    <w:p>
      <w:pPr>
        <w:adjustRightInd w:val="0"/>
        <w:spacing w:line="520" w:lineRule="exact"/>
        <w:ind w:firstLine="480" w:firstLineChars="200"/>
        <w:rPr>
          <w:rFonts w:ascii="仿宋" w:hAnsi="仿宋" w:eastAsia="仿宋"/>
          <w:snapToGrid w:val="0"/>
          <w:kern w:val="0"/>
          <w:sz w:val="24"/>
          <w:szCs w:val="24"/>
        </w:rPr>
      </w:pPr>
      <w:r>
        <w:rPr>
          <w:rFonts w:hint="eastAsia" w:ascii="仿宋" w:hAnsi="仿宋" w:eastAsia="仿宋"/>
          <w:snapToGrid w:val="0"/>
          <w:kern w:val="0"/>
          <w:sz w:val="24"/>
          <w:szCs w:val="24"/>
        </w:rPr>
        <w:t>2、估价目的：为司法拍卖（变卖）提供房地产市场价值参考依据。</w:t>
      </w:r>
    </w:p>
    <w:p>
      <w:pPr>
        <w:adjustRightInd w:val="0"/>
        <w:spacing w:line="520" w:lineRule="exact"/>
        <w:ind w:firstLine="480" w:firstLineChars="200"/>
        <w:rPr>
          <w:rFonts w:ascii="仿宋" w:hAnsi="仿宋" w:eastAsia="仿宋"/>
          <w:snapToGrid w:val="0"/>
          <w:kern w:val="0"/>
          <w:sz w:val="24"/>
          <w:szCs w:val="24"/>
        </w:rPr>
      </w:pPr>
      <w:r>
        <w:rPr>
          <w:rFonts w:hint="eastAsia" w:ascii="仿宋" w:hAnsi="仿宋" w:eastAsia="仿宋"/>
          <w:snapToGrid w:val="0"/>
          <w:kern w:val="0"/>
          <w:sz w:val="24"/>
          <w:szCs w:val="24"/>
        </w:rPr>
        <w:t>3、价值时点：</w:t>
      </w:r>
      <w:r>
        <w:rPr>
          <w:rFonts w:hint="eastAsia" w:ascii="仿宋" w:hAnsi="仿宋" w:eastAsia="仿宋"/>
          <w:snapToGrid w:val="0"/>
          <w:kern w:val="0"/>
          <w:sz w:val="24"/>
          <w:szCs w:val="24"/>
          <w:lang w:eastAsia="zh-CN"/>
        </w:rPr>
        <w:t>2020年9月27日</w:t>
      </w:r>
      <w:r>
        <w:rPr>
          <w:rFonts w:hint="eastAsia" w:ascii="仿宋" w:hAnsi="仿宋" w:eastAsia="仿宋"/>
          <w:snapToGrid w:val="0"/>
          <w:kern w:val="0"/>
          <w:sz w:val="24"/>
          <w:szCs w:val="24"/>
        </w:rPr>
        <w:t>。</w:t>
      </w:r>
    </w:p>
    <w:p>
      <w:pPr>
        <w:adjustRightInd w:val="0"/>
        <w:spacing w:line="520" w:lineRule="exact"/>
        <w:ind w:firstLine="480" w:firstLineChars="200"/>
        <w:rPr>
          <w:rFonts w:ascii="仿宋" w:hAnsi="仿宋" w:eastAsia="仿宋"/>
          <w:snapToGrid w:val="0"/>
          <w:kern w:val="0"/>
          <w:sz w:val="24"/>
          <w:szCs w:val="24"/>
        </w:rPr>
      </w:pPr>
      <w:r>
        <w:rPr>
          <w:rFonts w:hint="eastAsia" w:ascii="仿宋" w:hAnsi="仿宋" w:eastAsia="仿宋"/>
          <w:snapToGrid w:val="0"/>
          <w:kern w:val="0"/>
          <w:sz w:val="24"/>
          <w:szCs w:val="24"/>
        </w:rPr>
        <w:t>4、价值类型：市场价值，不考虑房地产拍卖（变卖）成交后的税费及税费的转移负担。</w:t>
      </w:r>
    </w:p>
    <w:p>
      <w:pPr>
        <w:adjustRightInd w:val="0"/>
        <w:spacing w:line="520" w:lineRule="exact"/>
        <w:ind w:firstLine="480" w:firstLineChars="200"/>
        <w:rPr>
          <w:rFonts w:ascii="仿宋" w:hAnsi="仿宋" w:eastAsia="仿宋"/>
          <w:snapToGrid w:val="0"/>
          <w:kern w:val="0"/>
          <w:sz w:val="24"/>
          <w:szCs w:val="24"/>
        </w:rPr>
      </w:pPr>
      <w:r>
        <w:rPr>
          <w:rFonts w:hint="eastAsia" w:ascii="仿宋" w:hAnsi="仿宋" w:eastAsia="仿宋"/>
          <w:snapToGrid w:val="0"/>
          <w:kern w:val="0"/>
          <w:sz w:val="24"/>
          <w:szCs w:val="24"/>
        </w:rPr>
        <w:t>5、估价方法：比较法</w:t>
      </w:r>
    </w:p>
    <w:p>
      <w:pPr>
        <w:adjustRightInd w:val="0"/>
        <w:spacing w:line="520" w:lineRule="exact"/>
        <w:ind w:firstLine="480" w:firstLineChars="200"/>
        <w:rPr>
          <w:rFonts w:ascii="仿宋" w:hAnsi="仿宋" w:eastAsia="仿宋"/>
          <w:snapToGrid w:val="0"/>
          <w:kern w:val="0"/>
          <w:sz w:val="24"/>
          <w:szCs w:val="24"/>
        </w:rPr>
      </w:pPr>
      <w:r>
        <w:rPr>
          <w:rFonts w:hint="eastAsia" w:ascii="仿宋" w:hAnsi="仿宋" w:eastAsia="仿宋"/>
          <w:snapToGrid w:val="0"/>
          <w:kern w:val="0"/>
          <w:sz w:val="24"/>
          <w:szCs w:val="24"/>
        </w:rPr>
        <w:t>6、估价结果：估价人员进行周密的计算、分析、测算和判断，确定估价对象在价值时点满足本报告“估价假设和限制条件”下的估价结果为：</w:t>
      </w:r>
    </w:p>
    <w:p>
      <w:pPr>
        <w:snapToGrid w:val="0"/>
        <w:spacing w:line="520" w:lineRule="exact"/>
        <w:ind w:right="42" w:rightChars="20" w:firstLine="482" w:firstLineChars="200"/>
        <w:textAlignment w:val="baseline"/>
        <w:rPr>
          <w:rFonts w:ascii="仿宋" w:hAnsi="仿宋" w:eastAsia="仿宋" w:cs="仿宋"/>
          <w:b/>
          <w:sz w:val="24"/>
          <w:szCs w:val="24"/>
        </w:rPr>
      </w:pPr>
      <w:bookmarkStart w:id="4" w:name="OLE_LINK24"/>
      <w:r>
        <w:rPr>
          <w:rFonts w:hint="eastAsia" w:ascii="仿宋" w:hAnsi="仿宋" w:eastAsia="仿宋" w:cs="仿宋"/>
          <w:b/>
          <w:sz w:val="24"/>
          <w:szCs w:val="24"/>
        </w:rPr>
        <w:t>总价：￥</w:t>
      </w:r>
      <w:r>
        <w:rPr>
          <w:rFonts w:hint="eastAsia" w:ascii="仿宋" w:hAnsi="仿宋" w:eastAsia="仿宋" w:cs="仿宋"/>
          <w:b/>
          <w:sz w:val="24"/>
          <w:szCs w:val="24"/>
          <w:lang w:eastAsia="zh-CN"/>
        </w:rPr>
        <w:t>107.42</w:t>
      </w:r>
      <w:r>
        <w:rPr>
          <w:rFonts w:hint="eastAsia" w:ascii="仿宋" w:hAnsi="仿宋" w:eastAsia="仿宋" w:cs="仿宋"/>
          <w:b/>
          <w:sz w:val="24"/>
          <w:szCs w:val="24"/>
        </w:rPr>
        <w:t>万元</w:t>
      </w:r>
    </w:p>
    <w:p>
      <w:pPr>
        <w:spacing w:line="520" w:lineRule="exact"/>
        <w:ind w:firstLine="482" w:firstLineChars="200"/>
        <w:rPr>
          <w:rFonts w:ascii="仿宋" w:hAnsi="仿宋" w:eastAsia="仿宋" w:cs="仿宋"/>
          <w:b/>
          <w:sz w:val="24"/>
          <w:szCs w:val="24"/>
        </w:rPr>
      </w:pPr>
      <w:r>
        <w:rPr>
          <w:rFonts w:hint="eastAsia" w:ascii="仿宋" w:hAnsi="仿宋" w:eastAsia="仿宋" w:cs="仿宋"/>
          <w:b/>
          <w:sz w:val="24"/>
          <w:szCs w:val="24"/>
        </w:rPr>
        <w:t>大写：人民币</w:t>
      </w:r>
      <w:bookmarkEnd w:id="4"/>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 1470900 \* CHINESENUM4 \* MERGEFORMAT </w:instrText>
      </w:r>
      <w:r>
        <w:rPr>
          <w:rFonts w:hint="eastAsia" w:ascii="仿宋" w:hAnsi="仿宋" w:eastAsia="仿宋" w:cs="仿宋"/>
          <w:b/>
          <w:sz w:val="24"/>
          <w:szCs w:val="24"/>
        </w:rPr>
        <w:fldChar w:fldCharType="separate"/>
      </w:r>
      <w:r>
        <w:rPr>
          <w:rFonts w:hint="eastAsia" w:ascii="仿宋" w:hAnsi="仿宋" w:eastAsia="仿宋" w:cs="仿宋"/>
          <w:b/>
          <w:sz w:val="24"/>
          <w:szCs w:val="24"/>
          <w:lang w:val="en-US" w:eastAsia="zh-CN"/>
        </w:rPr>
        <w:t>壹佰零柒万肆仟贰佰</w:t>
      </w:r>
      <w:r>
        <w:rPr>
          <w:rFonts w:hint="eastAsia" w:ascii="仿宋" w:hAnsi="仿宋" w:eastAsia="仿宋" w:cs="仿宋"/>
          <w:b/>
          <w:sz w:val="24"/>
          <w:szCs w:val="24"/>
        </w:rPr>
        <w:t>元整</w:t>
      </w:r>
      <w:r>
        <w:rPr>
          <w:rFonts w:hint="eastAsia" w:ascii="仿宋" w:hAnsi="仿宋" w:eastAsia="仿宋" w:cs="仿宋"/>
          <w:b/>
          <w:sz w:val="24"/>
          <w:szCs w:val="24"/>
        </w:rPr>
        <w:fldChar w:fldCharType="end"/>
      </w:r>
    </w:p>
    <w:p>
      <w:pPr>
        <w:tabs>
          <w:tab w:val="left" w:pos="465"/>
          <w:tab w:val="center" w:pos="4864"/>
        </w:tabs>
        <w:spacing w:line="480" w:lineRule="exact"/>
        <w:ind w:firstLine="51" w:firstLineChars="28"/>
        <w:rPr>
          <w:rFonts w:ascii="仿宋" w:hAnsi="仿宋" w:eastAsia="仿宋" w:cs="宋体"/>
          <w:b/>
          <w:sz w:val="24"/>
          <w:szCs w:val="24"/>
        </w:rPr>
      </w:pPr>
      <w:r>
        <w:rPr>
          <w:rFonts w:hint="eastAsia" w:ascii="仿宋" w:hAnsi="仿宋" w:eastAsia="仿宋" w:cs="宋体"/>
          <w:b/>
          <w:bCs/>
          <w:sz w:val="18"/>
          <w:szCs w:val="18"/>
        </w:rPr>
        <w:t xml:space="preserve">表1-1     </w:t>
      </w:r>
      <w:r>
        <w:rPr>
          <w:rFonts w:hint="eastAsia" w:ascii="仿宋" w:hAnsi="仿宋" w:eastAsia="仿宋" w:cs="宋体"/>
          <w:b/>
          <w:bCs/>
          <w:sz w:val="24"/>
          <w:szCs w:val="24"/>
        </w:rPr>
        <w:t xml:space="preserve">   </w:t>
      </w:r>
      <w:r>
        <w:rPr>
          <w:rFonts w:ascii="仿宋" w:hAnsi="仿宋" w:eastAsia="仿宋" w:cs="宋体"/>
          <w:b/>
          <w:bCs/>
          <w:sz w:val="24"/>
          <w:szCs w:val="24"/>
        </w:rPr>
        <w:t xml:space="preserve">         </w:t>
      </w:r>
      <w:r>
        <w:rPr>
          <w:rFonts w:hint="eastAsia" w:ascii="仿宋" w:hAnsi="仿宋" w:eastAsia="仿宋" w:cs="宋体"/>
          <w:b/>
          <w:bCs/>
          <w:sz w:val="24"/>
          <w:szCs w:val="24"/>
        </w:rPr>
        <w:t xml:space="preserve">     </w:t>
      </w:r>
      <w:r>
        <w:rPr>
          <w:rFonts w:hint="eastAsia" w:ascii="仿宋" w:hAnsi="仿宋" w:eastAsia="仿宋" w:cs="宋体"/>
          <w:b/>
          <w:sz w:val="24"/>
          <w:szCs w:val="24"/>
        </w:rPr>
        <w:t xml:space="preserve">估价结果一览表        </w:t>
      </w:r>
      <w:r>
        <w:rPr>
          <w:rFonts w:hint="eastAsia" w:ascii="仿宋" w:hAnsi="仿宋" w:eastAsia="仿宋" w:cs="宋体"/>
          <w:b/>
          <w:sz w:val="18"/>
          <w:szCs w:val="18"/>
        </w:rPr>
        <w:t xml:space="preserve">              币种：人民币</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335"/>
        <w:gridCol w:w="1386"/>
        <w:gridCol w:w="962"/>
        <w:gridCol w:w="714"/>
        <w:gridCol w:w="831"/>
        <w:gridCol w:w="586"/>
        <w:gridCol w:w="971"/>
        <w:gridCol w:w="90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6"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项目</w:t>
            </w:r>
          </w:p>
        </w:tc>
        <w:tc>
          <w:tcPr>
            <w:tcW w:w="71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房屋坐落</w:t>
            </w:r>
          </w:p>
        </w:tc>
        <w:tc>
          <w:tcPr>
            <w:tcW w:w="74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产权号</w:t>
            </w:r>
          </w:p>
        </w:tc>
        <w:tc>
          <w:tcPr>
            <w:tcW w:w="51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建筑年代</w:t>
            </w:r>
          </w:p>
        </w:tc>
        <w:tc>
          <w:tcPr>
            <w:tcW w:w="38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建筑结构</w:t>
            </w:r>
          </w:p>
        </w:tc>
        <w:tc>
          <w:tcPr>
            <w:tcW w:w="44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所在层数/总层数</w:t>
            </w:r>
          </w:p>
        </w:tc>
        <w:tc>
          <w:tcPr>
            <w:tcW w:w="314"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用途</w:t>
            </w:r>
          </w:p>
        </w:tc>
        <w:tc>
          <w:tcPr>
            <w:tcW w:w="520"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面积</w:t>
            </w:r>
          </w:p>
        </w:tc>
        <w:tc>
          <w:tcPr>
            <w:tcW w:w="48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单价</w:t>
            </w:r>
          </w:p>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(元/㎡)</w:t>
            </w:r>
          </w:p>
        </w:tc>
        <w:tc>
          <w:tcPr>
            <w:tcW w:w="40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总价</w:t>
            </w:r>
          </w:p>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6"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估价对象1</w:t>
            </w:r>
          </w:p>
        </w:tc>
        <w:tc>
          <w:tcPr>
            <w:tcW w:w="71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自贡市富顺县龙万乡振兴街78号附2-2</w:t>
            </w:r>
          </w:p>
        </w:tc>
        <w:tc>
          <w:tcPr>
            <w:tcW w:w="74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川（2019）富顺县不动产权第0005043号</w:t>
            </w:r>
          </w:p>
        </w:tc>
        <w:tc>
          <w:tcPr>
            <w:tcW w:w="51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2019年</w:t>
            </w:r>
          </w:p>
        </w:tc>
        <w:tc>
          <w:tcPr>
            <w:tcW w:w="38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混合</w:t>
            </w:r>
          </w:p>
        </w:tc>
        <w:tc>
          <w:tcPr>
            <w:tcW w:w="445" w:type="pct"/>
            <w:vAlign w:val="center"/>
          </w:tcPr>
          <w:p>
            <w:pPr>
              <w:spacing w:line="300" w:lineRule="exact"/>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2/3</w:t>
            </w:r>
          </w:p>
        </w:tc>
        <w:tc>
          <w:tcPr>
            <w:tcW w:w="314"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住宅</w:t>
            </w:r>
          </w:p>
        </w:tc>
        <w:tc>
          <w:tcPr>
            <w:tcW w:w="520"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115.86㎡</w:t>
            </w:r>
          </w:p>
        </w:tc>
        <w:tc>
          <w:tcPr>
            <w:tcW w:w="482" w:type="pct"/>
            <w:vAlign w:val="center"/>
          </w:tcPr>
          <w:p>
            <w:pPr>
              <w:spacing w:line="300" w:lineRule="exact"/>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2885</w:t>
            </w:r>
          </w:p>
        </w:tc>
        <w:tc>
          <w:tcPr>
            <w:tcW w:w="40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 xml:space="preserve">33.43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6"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估价对象2</w:t>
            </w:r>
          </w:p>
        </w:tc>
        <w:tc>
          <w:tcPr>
            <w:tcW w:w="71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自贡市富顺县龙万乡振兴街78号附3-1</w:t>
            </w:r>
          </w:p>
        </w:tc>
        <w:tc>
          <w:tcPr>
            <w:tcW w:w="74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川（2019）富顺县不动产权第0005043号</w:t>
            </w:r>
          </w:p>
        </w:tc>
        <w:tc>
          <w:tcPr>
            <w:tcW w:w="51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2019年</w:t>
            </w:r>
          </w:p>
        </w:tc>
        <w:tc>
          <w:tcPr>
            <w:tcW w:w="38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混合</w:t>
            </w:r>
          </w:p>
        </w:tc>
        <w:tc>
          <w:tcPr>
            <w:tcW w:w="44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3/3</w:t>
            </w:r>
          </w:p>
        </w:tc>
        <w:tc>
          <w:tcPr>
            <w:tcW w:w="314" w:type="pct"/>
            <w:vAlign w:val="center"/>
          </w:tcPr>
          <w:p>
            <w:pPr>
              <w:spacing w:line="300" w:lineRule="exact"/>
              <w:jc w:val="center"/>
              <w:rPr>
                <w:rFonts w:hint="eastAsia" w:ascii="仿宋" w:hAnsi="仿宋" w:eastAsia="仿宋"/>
                <w:sz w:val="18"/>
                <w:szCs w:val="18"/>
                <w:lang w:val="en-US" w:eastAsia="zh-CN"/>
              </w:rPr>
            </w:pPr>
          </w:p>
        </w:tc>
        <w:tc>
          <w:tcPr>
            <w:tcW w:w="520"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128.11㎡</w:t>
            </w:r>
          </w:p>
        </w:tc>
        <w:tc>
          <w:tcPr>
            <w:tcW w:w="48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2885</w:t>
            </w:r>
          </w:p>
        </w:tc>
        <w:tc>
          <w:tcPr>
            <w:tcW w:w="40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 xml:space="preserve">36.96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6"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估价对象3</w:t>
            </w:r>
          </w:p>
        </w:tc>
        <w:tc>
          <w:tcPr>
            <w:tcW w:w="71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自贡市富顺县龙万乡振兴街78号附3-2号</w:t>
            </w:r>
          </w:p>
        </w:tc>
        <w:tc>
          <w:tcPr>
            <w:tcW w:w="74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川（2019）富顺县不动产权第0005043号</w:t>
            </w:r>
          </w:p>
        </w:tc>
        <w:tc>
          <w:tcPr>
            <w:tcW w:w="51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2019年</w:t>
            </w:r>
          </w:p>
        </w:tc>
        <w:tc>
          <w:tcPr>
            <w:tcW w:w="38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混合</w:t>
            </w:r>
          </w:p>
        </w:tc>
        <w:tc>
          <w:tcPr>
            <w:tcW w:w="44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3/3</w:t>
            </w:r>
          </w:p>
        </w:tc>
        <w:tc>
          <w:tcPr>
            <w:tcW w:w="314" w:type="pct"/>
            <w:vAlign w:val="center"/>
          </w:tcPr>
          <w:p>
            <w:pPr>
              <w:spacing w:line="300" w:lineRule="exact"/>
              <w:jc w:val="center"/>
              <w:rPr>
                <w:rFonts w:hint="eastAsia" w:ascii="仿宋" w:hAnsi="仿宋" w:eastAsia="仿宋"/>
                <w:sz w:val="18"/>
                <w:szCs w:val="18"/>
                <w:lang w:val="en-US" w:eastAsia="zh-CN"/>
              </w:rPr>
            </w:pPr>
          </w:p>
        </w:tc>
        <w:tc>
          <w:tcPr>
            <w:tcW w:w="520"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128.37㎡</w:t>
            </w:r>
          </w:p>
        </w:tc>
        <w:tc>
          <w:tcPr>
            <w:tcW w:w="482"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2885</w:t>
            </w:r>
          </w:p>
        </w:tc>
        <w:tc>
          <w:tcPr>
            <w:tcW w:w="40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 xml:space="preserve">37.03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6"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合计</w:t>
            </w:r>
          </w:p>
        </w:tc>
        <w:tc>
          <w:tcPr>
            <w:tcW w:w="715" w:type="pct"/>
            <w:vAlign w:val="center"/>
          </w:tcPr>
          <w:p>
            <w:pPr>
              <w:spacing w:line="300" w:lineRule="exact"/>
              <w:jc w:val="center"/>
              <w:rPr>
                <w:rFonts w:hint="eastAsia" w:ascii="仿宋" w:hAnsi="仿宋" w:eastAsia="仿宋"/>
                <w:sz w:val="18"/>
                <w:szCs w:val="18"/>
                <w:lang w:val="en-US" w:eastAsia="zh-CN"/>
              </w:rPr>
            </w:pPr>
          </w:p>
        </w:tc>
        <w:tc>
          <w:tcPr>
            <w:tcW w:w="742" w:type="pct"/>
            <w:vAlign w:val="center"/>
          </w:tcPr>
          <w:p>
            <w:pPr>
              <w:spacing w:line="300" w:lineRule="exact"/>
              <w:jc w:val="center"/>
              <w:rPr>
                <w:rFonts w:hint="eastAsia" w:ascii="仿宋" w:hAnsi="仿宋" w:eastAsia="仿宋"/>
                <w:sz w:val="18"/>
                <w:szCs w:val="18"/>
                <w:lang w:val="en-US" w:eastAsia="zh-CN"/>
              </w:rPr>
            </w:pPr>
          </w:p>
        </w:tc>
        <w:tc>
          <w:tcPr>
            <w:tcW w:w="515" w:type="pct"/>
            <w:vAlign w:val="center"/>
          </w:tcPr>
          <w:p>
            <w:pPr>
              <w:spacing w:line="300" w:lineRule="exact"/>
              <w:jc w:val="center"/>
              <w:rPr>
                <w:rFonts w:hint="eastAsia" w:ascii="仿宋" w:hAnsi="仿宋" w:eastAsia="仿宋"/>
                <w:sz w:val="18"/>
                <w:szCs w:val="18"/>
                <w:lang w:val="en-US" w:eastAsia="zh-CN"/>
              </w:rPr>
            </w:pPr>
          </w:p>
        </w:tc>
        <w:tc>
          <w:tcPr>
            <w:tcW w:w="382" w:type="pct"/>
            <w:vAlign w:val="center"/>
          </w:tcPr>
          <w:p>
            <w:pPr>
              <w:spacing w:line="300" w:lineRule="exact"/>
              <w:jc w:val="center"/>
              <w:rPr>
                <w:rFonts w:hint="eastAsia" w:ascii="仿宋" w:hAnsi="仿宋" w:eastAsia="仿宋"/>
                <w:sz w:val="18"/>
                <w:szCs w:val="18"/>
                <w:lang w:val="en-US" w:eastAsia="zh-CN"/>
              </w:rPr>
            </w:pPr>
          </w:p>
        </w:tc>
        <w:tc>
          <w:tcPr>
            <w:tcW w:w="445" w:type="pct"/>
            <w:vAlign w:val="center"/>
          </w:tcPr>
          <w:p>
            <w:pPr>
              <w:spacing w:line="300" w:lineRule="exact"/>
              <w:jc w:val="center"/>
              <w:rPr>
                <w:rFonts w:hint="eastAsia" w:ascii="仿宋" w:hAnsi="仿宋" w:eastAsia="仿宋"/>
                <w:sz w:val="18"/>
                <w:szCs w:val="18"/>
                <w:lang w:val="en-US" w:eastAsia="zh-CN"/>
              </w:rPr>
            </w:pPr>
          </w:p>
        </w:tc>
        <w:tc>
          <w:tcPr>
            <w:tcW w:w="314" w:type="pct"/>
            <w:vAlign w:val="center"/>
          </w:tcPr>
          <w:p>
            <w:pPr>
              <w:spacing w:line="300" w:lineRule="exact"/>
              <w:jc w:val="center"/>
              <w:rPr>
                <w:rFonts w:hint="eastAsia" w:ascii="仿宋" w:hAnsi="仿宋" w:eastAsia="仿宋"/>
                <w:sz w:val="18"/>
                <w:szCs w:val="18"/>
                <w:lang w:val="en-US" w:eastAsia="zh-CN"/>
              </w:rPr>
            </w:pPr>
          </w:p>
        </w:tc>
        <w:tc>
          <w:tcPr>
            <w:tcW w:w="520" w:type="pct"/>
            <w:vAlign w:val="center"/>
          </w:tcPr>
          <w:p>
            <w:pPr>
              <w:spacing w:line="300" w:lineRule="exact"/>
              <w:jc w:val="center"/>
              <w:rPr>
                <w:rFonts w:hint="default" w:ascii="仿宋" w:hAnsi="仿宋" w:eastAsia="仿宋"/>
                <w:sz w:val="18"/>
                <w:szCs w:val="18"/>
                <w:lang w:val="en-US" w:eastAsia="zh-CN"/>
              </w:rPr>
            </w:pPr>
            <w:r>
              <w:rPr>
                <w:rFonts w:hint="eastAsia" w:ascii="仿宋" w:hAnsi="仿宋" w:eastAsia="仿宋"/>
                <w:sz w:val="18"/>
                <w:szCs w:val="18"/>
                <w:lang w:val="en-US" w:eastAsia="zh-CN"/>
              </w:rPr>
              <w:t>372.34㎡</w:t>
            </w:r>
          </w:p>
        </w:tc>
        <w:tc>
          <w:tcPr>
            <w:tcW w:w="482" w:type="pct"/>
            <w:vAlign w:val="center"/>
          </w:tcPr>
          <w:p>
            <w:pPr>
              <w:spacing w:line="300" w:lineRule="exact"/>
              <w:jc w:val="center"/>
              <w:rPr>
                <w:rFonts w:hint="eastAsia" w:ascii="仿宋" w:hAnsi="仿宋" w:eastAsia="仿宋"/>
                <w:sz w:val="18"/>
                <w:szCs w:val="18"/>
                <w:lang w:val="en-US" w:eastAsia="zh-CN"/>
              </w:rPr>
            </w:pPr>
          </w:p>
        </w:tc>
        <w:tc>
          <w:tcPr>
            <w:tcW w:w="405" w:type="pct"/>
            <w:vAlign w:val="center"/>
          </w:tcPr>
          <w:p>
            <w:pPr>
              <w:spacing w:line="300" w:lineRule="exact"/>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107.42</w:t>
            </w:r>
          </w:p>
        </w:tc>
      </w:tr>
    </w:tbl>
    <w:p>
      <w:pPr>
        <w:numPr>
          <w:ilvl w:val="0"/>
          <w:numId w:val="1"/>
        </w:numPr>
        <w:tabs>
          <w:tab w:val="left" w:pos="465"/>
          <w:tab w:val="center" w:pos="4864"/>
        </w:tabs>
        <w:spacing w:line="520" w:lineRule="exact"/>
        <w:ind w:firstLine="480" w:firstLineChars="200"/>
        <w:jc w:val="left"/>
        <w:rPr>
          <w:rFonts w:ascii="仿宋" w:hAnsi="仿宋" w:eastAsia="仿宋"/>
          <w:sz w:val="24"/>
          <w:szCs w:val="24"/>
        </w:rPr>
      </w:pPr>
      <w:r>
        <w:rPr>
          <w:rFonts w:hint="eastAsia" w:ascii="仿宋" w:hAnsi="仿宋" w:eastAsia="仿宋" w:cs="宋体"/>
          <w:color w:val="000000"/>
          <w:sz w:val="24"/>
          <w:szCs w:val="24"/>
        </w:rPr>
        <w:t>特别提示：</w:t>
      </w:r>
      <w:r>
        <w:rPr>
          <w:rFonts w:hint="eastAsia" w:ascii="仿宋" w:hAnsi="仿宋" w:eastAsia="仿宋"/>
          <w:sz w:val="24"/>
          <w:szCs w:val="24"/>
        </w:rPr>
        <w:t>（1）报告使用人在使用本估价报告之前须对报告全文，特别是“估价假设和限制条件”认真阅读，以免使用不当，造成损失。</w:t>
      </w:r>
    </w:p>
    <w:p>
      <w:pPr>
        <w:tabs>
          <w:tab w:val="left" w:pos="465"/>
          <w:tab w:val="center" w:pos="4864"/>
        </w:tabs>
        <w:spacing w:line="520" w:lineRule="exact"/>
        <w:ind w:firstLine="480" w:firstLineChars="200"/>
        <w:jc w:val="left"/>
        <w:rPr>
          <w:rFonts w:ascii="仿宋" w:hAnsi="仿宋" w:eastAsia="仿宋" w:cs="宋体"/>
          <w:color w:val="000000"/>
          <w:sz w:val="24"/>
          <w:szCs w:val="24"/>
        </w:rPr>
      </w:pPr>
      <w:r>
        <w:rPr>
          <w:rFonts w:hint="eastAsia" w:ascii="仿宋" w:hAnsi="仿宋" w:eastAsia="仿宋"/>
          <w:sz w:val="24"/>
          <w:szCs w:val="24"/>
        </w:rPr>
        <w:t>（2）本估价报告使用期限为壹年，自估价报告出具之日</w:t>
      </w:r>
      <w:r>
        <w:rPr>
          <w:rFonts w:hint="eastAsia" w:ascii="仿宋" w:hAnsi="仿宋" w:eastAsia="仿宋"/>
          <w:sz w:val="24"/>
          <w:szCs w:val="24"/>
          <w:lang w:eastAsia="zh-CN"/>
        </w:rPr>
        <w:t>2020年10月22日</w:t>
      </w:r>
      <w:r>
        <w:rPr>
          <w:rFonts w:hint="eastAsia" w:ascii="仿宋" w:hAnsi="仿宋" w:eastAsia="仿宋"/>
          <w:sz w:val="24"/>
          <w:szCs w:val="24"/>
        </w:rPr>
        <w:t>至</w:t>
      </w:r>
      <w:r>
        <w:rPr>
          <w:rFonts w:hint="eastAsia" w:ascii="仿宋" w:hAnsi="仿宋" w:eastAsia="仿宋"/>
          <w:sz w:val="24"/>
          <w:szCs w:val="24"/>
          <w:lang w:eastAsia="zh-CN"/>
        </w:rPr>
        <w:t>2021年10月21日</w:t>
      </w:r>
      <w:r>
        <w:rPr>
          <w:rFonts w:hint="eastAsia" w:ascii="仿宋" w:hAnsi="仿宋" w:eastAsia="仿宋"/>
          <w:sz w:val="24"/>
          <w:szCs w:val="24"/>
        </w:rPr>
        <w:t>止。</w:t>
      </w:r>
    </w:p>
    <w:p>
      <w:pPr>
        <w:adjustRightInd w:val="0"/>
        <w:snapToGrid w:val="0"/>
        <w:spacing w:line="520" w:lineRule="exact"/>
        <w:ind w:firstLine="480" w:firstLineChars="200"/>
        <w:rPr>
          <w:rFonts w:ascii="仿宋" w:hAnsi="仿宋" w:eastAsia="仿宋" w:cs="宋体"/>
          <w:color w:val="000000"/>
          <w:sz w:val="24"/>
          <w:szCs w:val="24"/>
        </w:rPr>
      </w:pPr>
    </w:p>
    <w:p>
      <w:pPr>
        <w:adjustRightInd w:val="0"/>
        <w:snapToGrid w:val="0"/>
        <w:spacing w:line="52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此   函</w:t>
      </w:r>
    </w:p>
    <w:p>
      <w:pPr>
        <w:adjustRightInd w:val="0"/>
        <w:snapToGrid w:val="0"/>
        <w:spacing w:line="420" w:lineRule="exact"/>
        <w:ind w:firstLine="4320" w:firstLineChars="1800"/>
        <w:jc w:val="right"/>
        <w:rPr>
          <w:rFonts w:ascii="仿宋" w:hAnsi="仿宋" w:eastAsia="仿宋" w:cs="宋体"/>
          <w:color w:val="000000"/>
          <w:sz w:val="24"/>
          <w:szCs w:val="24"/>
        </w:rPr>
      </w:pPr>
    </w:p>
    <w:p>
      <w:pPr>
        <w:adjustRightInd w:val="0"/>
        <w:snapToGrid w:val="0"/>
        <w:spacing w:line="420" w:lineRule="exact"/>
        <w:ind w:firstLine="4320" w:firstLineChars="1800"/>
        <w:jc w:val="right"/>
        <w:rPr>
          <w:rFonts w:ascii="仿宋" w:hAnsi="仿宋" w:eastAsia="仿宋" w:cs="宋体"/>
          <w:color w:val="000000"/>
          <w:sz w:val="24"/>
          <w:szCs w:val="24"/>
        </w:rPr>
      </w:pPr>
    </w:p>
    <w:p>
      <w:pPr>
        <w:adjustRightInd w:val="0"/>
        <w:snapToGrid w:val="0"/>
        <w:spacing w:line="420" w:lineRule="exact"/>
        <w:ind w:firstLine="4320" w:firstLineChars="1800"/>
        <w:jc w:val="right"/>
        <w:rPr>
          <w:rFonts w:ascii="仿宋" w:hAnsi="仿宋" w:eastAsia="仿宋" w:cs="宋体"/>
          <w:color w:val="000000"/>
          <w:sz w:val="24"/>
          <w:szCs w:val="24"/>
        </w:rPr>
      </w:pPr>
    </w:p>
    <w:p>
      <w:pPr>
        <w:tabs>
          <w:tab w:val="left" w:pos="7696"/>
        </w:tabs>
        <w:adjustRightInd w:val="0"/>
        <w:snapToGrid w:val="0"/>
        <w:spacing w:line="420" w:lineRule="exact"/>
        <w:ind w:firstLine="4320" w:firstLineChars="1800"/>
        <w:jc w:val="left"/>
        <w:rPr>
          <w:rFonts w:ascii="仿宋" w:hAnsi="仿宋" w:eastAsia="仿宋" w:cs="宋体"/>
          <w:color w:val="000000"/>
          <w:sz w:val="24"/>
          <w:szCs w:val="24"/>
        </w:rPr>
      </w:pPr>
      <w:r>
        <w:rPr>
          <w:rFonts w:hint="eastAsia" w:ascii="仿宋" w:hAnsi="仿宋" w:eastAsia="仿宋" w:cs="宋体"/>
          <w:color w:val="000000"/>
          <w:sz w:val="24"/>
          <w:szCs w:val="24"/>
        </w:rPr>
        <w:tab/>
      </w:r>
    </w:p>
    <w:p>
      <w:pPr>
        <w:adjustRightInd w:val="0"/>
        <w:snapToGrid w:val="0"/>
        <w:spacing w:line="420" w:lineRule="exact"/>
        <w:ind w:firstLine="4320" w:firstLineChars="1800"/>
        <w:jc w:val="right"/>
        <w:rPr>
          <w:rFonts w:ascii="仿宋" w:hAnsi="仿宋" w:eastAsia="仿宋" w:cs="宋体"/>
          <w:color w:val="000000"/>
          <w:sz w:val="24"/>
          <w:szCs w:val="24"/>
        </w:rPr>
      </w:pPr>
      <w:r>
        <w:rPr>
          <w:rFonts w:hint="eastAsia" w:ascii="仿宋" w:hAnsi="仿宋" w:eastAsia="仿宋" w:cs="宋体"/>
          <w:color w:val="000000"/>
          <w:sz w:val="24"/>
          <w:szCs w:val="24"/>
        </w:rPr>
        <w:t>四川天成房地产土地估价咨询有限公司</w:t>
      </w:r>
    </w:p>
    <w:p>
      <w:pPr>
        <w:adjustRightInd w:val="0"/>
        <w:snapToGrid w:val="0"/>
        <w:spacing w:line="420" w:lineRule="exact"/>
        <w:ind w:firstLine="5040" w:firstLineChars="2100"/>
        <w:jc w:val="center"/>
        <w:rPr>
          <w:rFonts w:ascii="仿宋" w:hAnsi="仿宋" w:eastAsia="仿宋" w:cs="宋体"/>
          <w:color w:val="000000"/>
          <w:sz w:val="24"/>
          <w:szCs w:val="24"/>
        </w:rPr>
      </w:pPr>
      <w:r>
        <w:rPr>
          <w:rFonts w:hint="eastAsia" w:ascii="仿宋" w:hAnsi="仿宋" w:eastAsia="仿宋" w:cs="宋体"/>
          <w:color w:val="000000"/>
          <w:sz w:val="24"/>
          <w:szCs w:val="24"/>
        </w:rPr>
        <w:t>法定代表人：丁永洪</w:t>
      </w:r>
    </w:p>
    <w:p>
      <w:pPr>
        <w:spacing w:line="420" w:lineRule="exact"/>
        <w:jc w:val="center"/>
        <w:rPr>
          <w:rFonts w:hint="eastAsia" w:ascii="仿宋" w:hAnsi="仿宋" w:eastAsia="仿宋" w:cs="宋体"/>
          <w:color w:val="000000"/>
          <w:sz w:val="24"/>
          <w:szCs w:val="24"/>
          <w:lang w:eastAsia="zh-CN"/>
        </w:rPr>
        <w:sectPr>
          <w:footerReference r:id="rId5" w:type="first"/>
          <w:headerReference r:id="rId3" w:type="default"/>
          <w:footerReference r:id="rId4" w:type="default"/>
          <w:pgSz w:w="11906" w:h="16838"/>
          <w:pgMar w:top="1440" w:right="1111" w:bottom="1440" w:left="1680" w:header="851" w:footer="992" w:gutter="0"/>
          <w:pgNumType w:start="1"/>
          <w:cols w:space="720" w:num="1"/>
          <w:docGrid w:type="lines" w:linePitch="312" w:charSpace="0"/>
        </w:sectPr>
      </w:pPr>
      <w:r>
        <w:rPr>
          <w:rFonts w:hint="eastAsia" w:ascii="仿宋" w:hAnsi="仿宋" w:eastAsia="仿宋" w:cs="宋体"/>
          <w:color w:val="000000"/>
          <w:sz w:val="24"/>
          <w:szCs w:val="24"/>
        </w:rPr>
        <w:t xml:space="preserve">                                           </w:t>
      </w:r>
      <w:r>
        <w:rPr>
          <w:rFonts w:hint="eastAsia" w:ascii="仿宋" w:hAnsi="仿宋" w:eastAsia="仿宋" w:cs="宋体"/>
          <w:color w:val="000000"/>
          <w:sz w:val="24"/>
          <w:szCs w:val="24"/>
          <w:lang w:eastAsia="zh-CN"/>
        </w:rPr>
        <w:t>二〇二〇年十月二十二日</w:t>
      </w:r>
    </w:p>
    <w:p>
      <w:pPr>
        <w:spacing w:line="480" w:lineRule="exact"/>
        <w:jc w:val="center"/>
        <w:rPr>
          <w:rFonts w:ascii="黑体" w:hAnsi="黑体" w:eastAsia="黑体" w:cs="宋体"/>
          <w:b/>
          <w:snapToGrid w:val="0"/>
          <w:color w:val="000000"/>
          <w:kern w:val="0"/>
          <w:sz w:val="24"/>
          <w:szCs w:val="24"/>
        </w:rPr>
      </w:pPr>
      <w:r>
        <w:rPr>
          <w:rFonts w:hint="eastAsia" w:ascii="宋体" w:hAnsi="宋体" w:cs="宋体"/>
          <w:b/>
          <w:snapToGrid w:val="0"/>
          <w:color w:val="000000"/>
          <w:kern w:val="0"/>
          <w:sz w:val="32"/>
          <w:szCs w:val="32"/>
        </w:rPr>
        <w:t>估价报告目录</w:t>
      </w:r>
    </w:p>
    <w:p>
      <w:pPr>
        <w:pStyle w:val="19"/>
        <w:keepNext w:val="0"/>
        <w:keepLines w:val="0"/>
        <w:pageBreakBefore w:val="0"/>
        <w:widowControl w:val="0"/>
        <w:tabs>
          <w:tab w:val="right" w:leader="dot" w:pos="9115"/>
          <w:tab w:val="clear" w:pos="8460"/>
        </w:tabs>
        <w:kinsoku/>
        <w:wordWrap/>
        <w:overflowPunct/>
        <w:topLinePunct w:val="0"/>
        <w:autoSpaceDE/>
        <w:autoSpaceDN/>
        <w:bidi w:val="0"/>
        <w:adjustRightInd/>
        <w:snapToGrid/>
        <w:spacing w:line="420" w:lineRule="exact"/>
        <w:textAlignment w:val="auto"/>
      </w:pPr>
      <w:r>
        <w:rPr>
          <w:rFonts w:hint="eastAsia" w:ascii="仿宋" w:hAnsi="仿宋" w:eastAsia="仿宋" w:cs="宋体"/>
          <w:snapToGrid w:val="0"/>
          <w:color w:val="000000"/>
          <w:kern w:val="0"/>
          <w:sz w:val="24"/>
          <w:szCs w:val="24"/>
        </w:rPr>
        <w:fldChar w:fldCharType="begin"/>
      </w:r>
      <w:r>
        <w:rPr>
          <w:rFonts w:hint="eastAsia" w:ascii="仿宋" w:hAnsi="仿宋" w:eastAsia="仿宋" w:cs="宋体"/>
          <w:snapToGrid w:val="0"/>
          <w:color w:val="000000"/>
          <w:kern w:val="0"/>
          <w:sz w:val="24"/>
          <w:szCs w:val="24"/>
        </w:rPr>
        <w:instrText xml:space="preserve"> TOC \o "1-2" \h \z \u </w:instrText>
      </w:r>
      <w:r>
        <w:rPr>
          <w:rFonts w:hint="eastAsia" w:ascii="仿宋" w:hAnsi="仿宋" w:eastAsia="仿宋" w:cs="宋体"/>
          <w:snapToGrid w:val="0"/>
          <w:color w:val="000000"/>
          <w:kern w:val="0"/>
          <w:sz w:val="24"/>
          <w:szCs w:val="24"/>
        </w:rPr>
        <w:fldChar w:fldCharType="separate"/>
      </w:r>
      <w:r>
        <w:rPr>
          <w:rFonts w:hint="eastAsia" w:ascii="仿宋" w:hAnsi="仿宋" w:eastAsia="仿宋" w:cs="宋体"/>
          <w:snapToGrid w:val="0"/>
          <w:color w:val="000000"/>
          <w:kern w:val="0"/>
          <w:szCs w:val="24"/>
        </w:rPr>
        <w:fldChar w:fldCharType="begin"/>
      </w:r>
      <w:r>
        <w:rPr>
          <w:rFonts w:hint="eastAsia" w:ascii="仿宋" w:hAnsi="仿宋" w:eastAsia="仿宋" w:cs="宋体"/>
          <w:snapToGrid w:val="0"/>
          <w:kern w:val="0"/>
          <w:szCs w:val="24"/>
        </w:rPr>
        <w:instrText xml:space="preserve"> HYPERLINK \l _Toc21827 </w:instrText>
      </w:r>
      <w:r>
        <w:rPr>
          <w:rFonts w:hint="eastAsia" w:ascii="仿宋" w:hAnsi="仿宋" w:eastAsia="仿宋" w:cs="宋体"/>
          <w:snapToGrid w:val="0"/>
          <w:kern w:val="0"/>
          <w:szCs w:val="24"/>
        </w:rPr>
        <w:fldChar w:fldCharType="separate"/>
      </w:r>
      <w:r>
        <w:rPr>
          <w:rFonts w:hint="eastAsia" w:ascii="宋体" w:hAnsi="宋体" w:cs="宋体"/>
          <w:snapToGrid w:val="0"/>
          <w:kern w:val="0"/>
          <w:szCs w:val="32"/>
        </w:rPr>
        <w:t>估价师声明</w:t>
      </w:r>
      <w:r>
        <w:tab/>
      </w:r>
      <w:r>
        <w:fldChar w:fldCharType="begin"/>
      </w:r>
      <w:r>
        <w:instrText xml:space="preserve"> PAGEREF _Toc21827 </w:instrText>
      </w:r>
      <w:r>
        <w:fldChar w:fldCharType="separate"/>
      </w:r>
      <w:r>
        <w:t>1</w:t>
      </w:r>
      <w:r>
        <w:fldChar w:fldCharType="end"/>
      </w:r>
      <w:r>
        <w:rPr>
          <w:rFonts w:hint="eastAsia" w:ascii="仿宋" w:hAnsi="仿宋" w:eastAsia="仿宋" w:cs="宋体"/>
          <w:snapToGrid w:val="0"/>
          <w:color w:val="000000"/>
          <w:kern w:val="0"/>
          <w:szCs w:val="24"/>
        </w:rPr>
        <w:fldChar w:fldCharType="end"/>
      </w:r>
    </w:p>
    <w:p>
      <w:pPr>
        <w:pStyle w:val="19"/>
        <w:keepNext w:val="0"/>
        <w:keepLines w:val="0"/>
        <w:pageBreakBefore w:val="0"/>
        <w:widowControl w:val="0"/>
        <w:tabs>
          <w:tab w:val="right" w:leader="dot" w:pos="9115"/>
          <w:tab w:val="clear" w:pos="8460"/>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_Toc30684 </w:instrText>
      </w:r>
      <w:r>
        <w:rPr>
          <w:rFonts w:hint="eastAsia"/>
          <w:snapToGrid w:val="0"/>
          <w:kern w:val="0"/>
          <w:szCs w:val="24"/>
        </w:rPr>
        <w:fldChar w:fldCharType="separate"/>
      </w:r>
      <w:r>
        <w:rPr>
          <w:rFonts w:hint="eastAsia" w:ascii="宋体" w:hAnsi="宋体" w:cs="宋体"/>
          <w:szCs w:val="32"/>
        </w:rPr>
        <w:t>估价假设和限制条件</w:t>
      </w:r>
      <w:r>
        <w:tab/>
      </w:r>
      <w:r>
        <w:fldChar w:fldCharType="begin"/>
      </w:r>
      <w:r>
        <w:instrText xml:space="preserve"> PAGEREF _Toc30684 </w:instrText>
      </w:r>
      <w:r>
        <w:fldChar w:fldCharType="separate"/>
      </w:r>
      <w:r>
        <w:t>2</w:t>
      </w:r>
      <w:r>
        <w:fldChar w:fldCharType="end"/>
      </w:r>
      <w:r>
        <w:rPr>
          <w:rFonts w:hint="eastAsia"/>
          <w:snapToGrid w:val="0"/>
          <w:kern w:val="0"/>
          <w:szCs w:val="24"/>
        </w:rPr>
        <w:fldChar w:fldCharType="end"/>
      </w:r>
    </w:p>
    <w:p>
      <w:pPr>
        <w:pStyle w:val="19"/>
        <w:keepNext w:val="0"/>
        <w:keepLines w:val="0"/>
        <w:pageBreakBefore w:val="0"/>
        <w:widowControl w:val="0"/>
        <w:tabs>
          <w:tab w:val="right" w:leader="dot" w:pos="9115"/>
          <w:tab w:val="clear" w:pos="8460"/>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_Toc14609 </w:instrText>
      </w:r>
      <w:r>
        <w:rPr>
          <w:rFonts w:hint="eastAsia"/>
          <w:snapToGrid w:val="0"/>
          <w:kern w:val="0"/>
          <w:szCs w:val="24"/>
        </w:rPr>
        <w:fldChar w:fldCharType="separate"/>
      </w:r>
      <w:r>
        <w:rPr>
          <w:rFonts w:hint="eastAsia" w:ascii="宋体" w:hAnsi="宋体" w:cs="宋体"/>
          <w:szCs w:val="32"/>
        </w:rPr>
        <w:t>估价结果报告</w:t>
      </w:r>
      <w:r>
        <w:tab/>
      </w:r>
      <w:r>
        <w:fldChar w:fldCharType="begin"/>
      </w:r>
      <w:r>
        <w:instrText xml:space="preserve"> PAGEREF _Toc14609 </w:instrText>
      </w:r>
      <w:r>
        <w:fldChar w:fldCharType="separate"/>
      </w:r>
      <w:r>
        <w:t>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_Toc607 </w:instrText>
      </w:r>
      <w:r>
        <w:rPr>
          <w:rFonts w:hint="eastAsia"/>
          <w:snapToGrid w:val="0"/>
          <w:kern w:val="0"/>
          <w:szCs w:val="24"/>
        </w:rPr>
        <w:fldChar w:fldCharType="separate"/>
      </w:r>
      <w:r>
        <w:rPr>
          <w:rFonts w:hint="eastAsia" w:ascii="仿宋" w:hAnsi="仿宋" w:eastAsia="仿宋" w:cs="宋体"/>
          <w:szCs w:val="24"/>
        </w:rPr>
        <w:t>一、估价委托人</w:t>
      </w:r>
      <w:r>
        <w:tab/>
      </w:r>
      <w:r>
        <w:fldChar w:fldCharType="begin"/>
      </w:r>
      <w:r>
        <w:instrText xml:space="preserve"> PAGEREF _Toc607 </w:instrText>
      </w:r>
      <w:r>
        <w:fldChar w:fldCharType="separate"/>
      </w:r>
      <w:r>
        <w:t>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_Toc10209 </w:instrText>
      </w:r>
      <w:r>
        <w:rPr>
          <w:rFonts w:hint="eastAsia"/>
          <w:snapToGrid w:val="0"/>
          <w:kern w:val="0"/>
          <w:szCs w:val="24"/>
        </w:rPr>
        <w:fldChar w:fldCharType="separate"/>
      </w:r>
      <w:r>
        <w:rPr>
          <w:rFonts w:hint="eastAsia" w:ascii="仿宋" w:hAnsi="仿宋" w:eastAsia="仿宋" w:cs="宋体"/>
          <w:szCs w:val="24"/>
        </w:rPr>
        <w:t>二、房地产估价机构</w:t>
      </w:r>
      <w:r>
        <w:tab/>
      </w:r>
      <w:r>
        <w:fldChar w:fldCharType="begin"/>
      </w:r>
      <w:r>
        <w:instrText xml:space="preserve"> PAGEREF _Toc10209 </w:instrText>
      </w:r>
      <w:r>
        <w:fldChar w:fldCharType="separate"/>
      </w:r>
      <w:r>
        <w:t>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_Toc31370 </w:instrText>
      </w:r>
      <w:r>
        <w:rPr>
          <w:rFonts w:hint="eastAsia"/>
          <w:snapToGrid w:val="0"/>
          <w:kern w:val="0"/>
          <w:szCs w:val="24"/>
        </w:rPr>
        <w:fldChar w:fldCharType="separate"/>
      </w:r>
      <w:r>
        <w:rPr>
          <w:rFonts w:ascii="仿宋" w:hAnsi="仿宋" w:eastAsia="仿宋" w:cs="宋体"/>
          <w:szCs w:val="24"/>
        </w:rPr>
        <w:t xml:space="preserve">三、 </w:t>
      </w:r>
      <w:r>
        <w:rPr>
          <w:rFonts w:hint="eastAsia" w:ascii="仿宋" w:hAnsi="仿宋" w:eastAsia="仿宋" w:cs="宋体"/>
          <w:szCs w:val="24"/>
        </w:rPr>
        <w:t>估价目的</w:t>
      </w:r>
      <w:r>
        <w:tab/>
      </w:r>
      <w:r>
        <w:fldChar w:fldCharType="begin"/>
      </w:r>
      <w:r>
        <w:instrText xml:space="preserve"> PAGEREF _Toc31370 </w:instrText>
      </w:r>
      <w:r>
        <w:fldChar w:fldCharType="separate"/>
      </w:r>
      <w:r>
        <w:t>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_Toc8882 </w:instrText>
      </w:r>
      <w:r>
        <w:rPr>
          <w:rFonts w:hint="eastAsia"/>
          <w:snapToGrid w:val="0"/>
          <w:kern w:val="0"/>
          <w:szCs w:val="24"/>
        </w:rPr>
        <w:fldChar w:fldCharType="separate"/>
      </w:r>
      <w:r>
        <w:rPr>
          <w:rFonts w:ascii="仿宋" w:hAnsi="仿宋" w:eastAsia="仿宋" w:cs="宋体"/>
          <w:szCs w:val="24"/>
        </w:rPr>
        <w:t xml:space="preserve">四、 </w:t>
      </w:r>
      <w:r>
        <w:rPr>
          <w:rFonts w:hint="eastAsia" w:ascii="仿宋" w:hAnsi="仿宋" w:eastAsia="仿宋" w:cs="宋体"/>
          <w:szCs w:val="24"/>
        </w:rPr>
        <w:t>估价对象</w:t>
      </w:r>
      <w:r>
        <w:tab/>
      </w:r>
      <w:r>
        <w:fldChar w:fldCharType="begin"/>
      </w:r>
      <w:r>
        <w:instrText xml:space="preserve"> PAGEREF _Toc8882 </w:instrText>
      </w:r>
      <w:r>
        <w:fldChar w:fldCharType="separate"/>
      </w:r>
      <w:r>
        <w:t>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_Toc19647 </w:instrText>
      </w:r>
      <w:r>
        <w:rPr>
          <w:rFonts w:hint="eastAsia"/>
          <w:snapToGrid w:val="0"/>
          <w:kern w:val="0"/>
          <w:szCs w:val="24"/>
        </w:rPr>
        <w:fldChar w:fldCharType="separate"/>
      </w:r>
      <w:r>
        <w:rPr>
          <w:rFonts w:ascii="仿宋" w:hAnsi="仿宋" w:eastAsia="仿宋" w:cs="宋体"/>
          <w:szCs w:val="24"/>
        </w:rPr>
        <w:t xml:space="preserve">五、 </w:t>
      </w:r>
      <w:r>
        <w:rPr>
          <w:rFonts w:hint="eastAsia" w:ascii="仿宋" w:hAnsi="仿宋" w:eastAsia="仿宋" w:cs="宋体"/>
          <w:szCs w:val="24"/>
        </w:rPr>
        <w:t>价值时点</w:t>
      </w:r>
      <w:r>
        <w:tab/>
      </w:r>
      <w:r>
        <w:fldChar w:fldCharType="begin"/>
      </w:r>
      <w:r>
        <w:instrText xml:space="preserve"> PAGEREF _Toc19647 </w:instrText>
      </w:r>
      <w:r>
        <w:fldChar w:fldCharType="separate"/>
      </w:r>
      <w:r>
        <w:t>9</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_Toc7741 </w:instrText>
      </w:r>
      <w:r>
        <w:rPr>
          <w:rFonts w:hint="eastAsia"/>
          <w:snapToGrid w:val="0"/>
          <w:kern w:val="0"/>
          <w:szCs w:val="24"/>
        </w:rPr>
        <w:fldChar w:fldCharType="separate"/>
      </w:r>
      <w:r>
        <w:rPr>
          <w:rFonts w:ascii="仿宋" w:hAnsi="仿宋" w:eastAsia="仿宋" w:cs="宋体"/>
          <w:szCs w:val="24"/>
        </w:rPr>
        <w:t xml:space="preserve">六、 </w:t>
      </w:r>
      <w:r>
        <w:rPr>
          <w:rFonts w:hint="eastAsia" w:ascii="仿宋" w:hAnsi="仿宋" w:eastAsia="仿宋" w:cs="宋体"/>
          <w:szCs w:val="24"/>
        </w:rPr>
        <w:t>价值类型</w:t>
      </w:r>
      <w:r>
        <w:tab/>
      </w:r>
      <w:r>
        <w:fldChar w:fldCharType="begin"/>
      </w:r>
      <w:r>
        <w:instrText xml:space="preserve"> PAGEREF _Toc7741 </w:instrText>
      </w:r>
      <w:r>
        <w:fldChar w:fldCharType="separate"/>
      </w:r>
      <w:r>
        <w:t>9</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_Toc21830 </w:instrText>
      </w:r>
      <w:r>
        <w:rPr>
          <w:rFonts w:hint="eastAsia"/>
          <w:snapToGrid w:val="0"/>
          <w:kern w:val="0"/>
          <w:szCs w:val="24"/>
        </w:rPr>
        <w:fldChar w:fldCharType="separate"/>
      </w:r>
      <w:r>
        <w:rPr>
          <w:rFonts w:ascii="仿宋" w:hAnsi="仿宋" w:eastAsia="仿宋" w:cs="宋体"/>
          <w:szCs w:val="24"/>
        </w:rPr>
        <w:t xml:space="preserve">七、 </w:t>
      </w:r>
      <w:r>
        <w:rPr>
          <w:rFonts w:hint="eastAsia" w:ascii="仿宋" w:hAnsi="仿宋" w:eastAsia="仿宋" w:cs="宋体"/>
          <w:szCs w:val="24"/>
        </w:rPr>
        <w:t>估价原则</w:t>
      </w:r>
      <w:r>
        <w:tab/>
      </w:r>
      <w:r>
        <w:fldChar w:fldCharType="begin"/>
      </w:r>
      <w:r>
        <w:instrText xml:space="preserve"> PAGEREF _Toc21830 </w:instrText>
      </w:r>
      <w:r>
        <w:fldChar w:fldCharType="separate"/>
      </w:r>
      <w:r>
        <w:t>9</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_Toc7757 </w:instrText>
      </w:r>
      <w:r>
        <w:rPr>
          <w:rFonts w:hint="eastAsia"/>
          <w:snapToGrid w:val="0"/>
          <w:kern w:val="0"/>
          <w:szCs w:val="24"/>
        </w:rPr>
        <w:fldChar w:fldCharType="separate"/>
      </w:r>
      <w:r>
        <w:rPr>
          <w:rFonts w:ascii="仿宋" w:hAnsi="仿宋" w:eastAsia="仿宋" w:cs="宋体"/>
          <w:szCs w:val="24"/>
        </w:rPr>
        <w:t xml:space="preserve">八、 </w:t>
      </w:r>
      <w:r>
        <w:rPr>
          <w:rFonts w:hint="eastAsia" w:ascii="仿宋" w:hAnsi="仿宋" w:eastAsia="仿宋" w:cs="宋体"/>
          <w:szCs w:val="24"/>
        </w:rPr>
        <w:t>估价依据</w:t>
      </w:r>
      <w:r>
        <w:tab/>
      </w:r>
      <w:r>
        <w:fldChar w:fldCharType="begin"/>
      </w:r>
      <w:r>
        <w:instrText xml:space="preserve"> PAGEREF _Toc7757 </w:instrText>
      </w:r>
      <w:r>
        <w:fldChar w:fldCharType="separate"/>
      </w:r>
      <w:r>
        <w:t>11</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_Toc26305 </w:instrText>
      </w:r>
      <w:r>
        <w:rPr>
          <w:rFonts w:hint="eastAsia"/>
          <w:snapToGrid w:val="0"/>
          <w:kern w:val="0"/>
          <w:szCs w:val="24"/>
        </w:rPr>
        <w:fldChar w:fldCharType="separate"/>
      </w:r>
      <w:r>
        <w:rPr>
          <w:rFonts w:hint="eastAsia" w:ascii="仿宋" w:hAnsi="仿宋" w:eastAsia="仿宋" w:cs="宋体"/>
          <w:szCs w:val="24"/>
        </w:rPr>
        <w:t>九、估价方法</w:t>
      </w:r>
      <w:r>
        <w:tab/>
      </w:r>
      <w:r>
        <w:fldChar w:fldCharType="begin"/>
      </w:r>
      <w:r>
        <w:instrText xml:space="preserve"> PAGEREF _Toc26305 </w:instrText>
      </w:r>
      <w:r>
        <w:fldChar w:fldCharType="separate"/>
      </w:r>
      <w:r>
        <w:t>12</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_Toc6399 </w:instrText>
      </w:r>
      <w:r>
        <w:rPr>
          <w:rFonts w:hint="eastAsia"/>
          <w:snapToGrid w:val="0"/>
          <w:kern w:val="0"/>
          <w:szCs w:val="24"/>
        </w:rPr>
        <w:fldChar w:fldCharType="separate"/>
      </w:r>
      <w:r>
        <w:rPr>
          <w:rFonts w:hint="eastAsia" w:ascii="仿宋" w:hAnsi="仿宋" w:eastAsia="仿宋" w:cs="宋体"/>
          <w:szCs w:val="24"/>
        </w:rPr>
        <w:t>十、估价结果</w:t>
      </w:r>
      <w:r>
        <w:tab/>
      </w:r>
      <w:r>
        <w:fldChar w:fldCharType="begin"/>
      </w:r>
      <w:r>
        <w:instrText xml:space="preserve"> PAGEREF _Toc6399 </w:instrText>
      </w:r>
      <w:r>
        <w:fldChar w:fldCharType="separate"/>
      </w:r>
      <w:r>
        <w:t>13</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_Toc15594 </w:instrText>
      </w:r>
      <w:r>
        <w:rPr>
          <w:rFonts w:hint="eastAsia"/>
          <w:snapToGrid w:val="0"/>
          <w:kern w:val="0"/>
          <w:szCs w:val="24"/>
        </w:rPr>
        <w:fldChar w:fldCharType="separate"/>
      </w:r>
      <w:r>
        <w:rPr>
          <w:rFonts w:hint="eastAsia" w:ascii="仿宋" w:hAnsi="仿宋" w:eastAsia="仿宋" w:cs="宋体"/>
          <w:szCs w:val="24"/>
        </w:rPr>
        <w:t>十一、注册房地产估价师</w:t>
      </w:r>
      <w:r>
        <w:tab/>
      </w:r>
      <w:r>
        <w:fldChar w:fldCharType="begin"/>
      </w:r>
      <w:r>
        <w:instrText xml:space="preserve"> PAGEREF _Toc15594 </w:instrText>
      </w:r>
      <w:r>
        <w:fldChar w:fldCharType="separate"/>
      </w:r>
      <w:r>
        <w:t>14</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_Toc18661 </w:instrText>
      </w:r>
      <w:r>
        <w:rPr>
          <w:rFonts w:hint="eastAsia"/>
          <w:snapToGrid w:val="0"/>
          <w:kern w:val="0"/>
          <w:szCs w:val="24"/>
        </w:rPr>
        <w:fldChar w:fldCharType="separate"/>
      </w:r>
      <w:r>
        <w:rPr>
          <w:rFonts w:hint="eastAsia" w:ascii="仿宋" w:hAnsi="仿宋" w:eastAsia="仿宋" w:cs="宋体"/>
          <w:szCs w:val="24"/>
        </w:rPr>
        <w:t>十二、实地查勘期</w:t>
      </w:r>
      <w:r>
        <w:tab/>
      </w:r>
      <w:r>
        <w:fldChar w:fldCharType="begin"/>
      </w:r>
      <w:r>
        <w:instrText xml:space="preserve"> PAGEREF _Toc18661 </w:instrText>
      </w:r>
      <w:r>
        <w:fldChar w:fldCharType="separate"/>
      </w:r>
      <w:r>
        <w:t>14</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_Toc1708 </w:instrText>
      </w:r>
      <w:r>
        <w:rPr>
          <w:rFonts w:hint="eastAsia"/>
          <w:snapToGrid w:val="0"/>
          <w:kern w:val="0"/>
          <w:szCs w:val="24"/>
        </w:rPr>
        <w:fldChar w:fldCharType="separate"/>
      </w:r>
      <w:r>
        <w:rPr>
          <w:rFonts w:hint="eastAsia" w:ascii="仿宋" w:hAnsi="仿宋" w:eastAsia="仿宋" w:cs="宋体"/>
          <w:szCs w:val="24"/>
        </w:rPr>
        <w:t>十三、估价作业期</w:t>
      </w:r>
      <w:r>
        <w:tab/>
      </w:r>
      <w:r>
        <w:fldChar w:fldCharType="begin"/>
      </w:r>
      <w:r>
        <w:instrText xml:space="preserve"> PAGEREF _Toc1708 </w:instrText>
      </w:r>
      <w:r>
        <w:fldChar w:fldCharType="separate"/>
      </w:r>
      <w:r>
        <w:t>14</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_Toc3426 </w:instrText>
      </w:r>
      <w:r>
        <w:rPr>
          <w:rFonts w:hint="eastAsia"/>
          <w:snapToGrid w:val="0"/>
          <w:kern w:val="0"/>
          <w:szCs w:val="24"/>
        </w:rPr>
        <w:fldChar w:fldCharType="separate"/>
      </w:r>
      <w:r>
        <w:rPr>
          <w:rFonts w:hint="eastAsia"/>
        </w:rPr>
        <w:t>估价报告附件</w:t>
      </w:r>
      <w:r>
        <w:tab/>
      </w:r>
      <w:r>
        <w:fldChar w:fldCharType="begin"/>
      </w:r>
      <w:r>
        <w:instrText xml:space="preserve"> PAGEREF _Toc3426 </w:instrText>
      </w:r>
      <w:r>
        <w:fldChar w:fldCharType="separate"/>
      </w:r>
      <w:r>
        <w:t>15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_Toc18835 </w:instrText>
      </w:r>
      <w:r>
        <w:rPr>
          <w:rFonts w:hint="eastAsia"/>
          <w:snapToGrid w:val="0"/>
          <w:kern w:val="0"/>
          <w:szCs w:val="24"/>
        </w:rPr>
        <w:fldChar w:fldCharType="separate"/>
      </w:r>
      <w:r>
        <w:rPr>
          <w:rFonts w:hint="eastAsia" w:ascii="仿宋" w:hAnsi="仿宋" w:eastAsia="仿宋" w:cs="仿宋"/>
          <w:szCs w:val="24"/>
        </w:rPr>
        <w:t>一、 《</w:t>
      </w:r>
      <w:r>
        <w:rPr>
          <w:rFonts w:hint="eastAsia" w:ascii="仿宋" w:hAnsi="仿宋" w:eastAsia="仿宋" w:cs="仿宋"/>
          <w:szCs w:val="24"/>
          <w:lang w:eastAsia="zh-CN"/>
        </w:rPr>
        <w:t>四川省富顺县人民法院</w:t>
      </w:r>
      <w:r>
        <w:rPr>
          <w:rFonts w:hint="eastAsia" w:ascii="仿宋" w:hAnsi="仿宋" w:eastAsia="仿宋" w:cs="仿宋"/>
          <w:szCs w:val="24"/>
        </w:rPr>
        <w:t>委托书》复印件</w:t>
      </w:r>
      <w:r>
        <w:tab/>
      </w:r>
      <w:r>
        <w:fldChar w:fldCharType="begin"/>
      </w:r>
      <w:r>
        <w:instrText xml:space="preserve"> PAGEREF _Toc18835 </w:instrText>
      </w:r>
      <w:r>
        <w:fldChar w:fldCharType="separate"/>
      </w:r>
      <w:r>
        <w:t>15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_Toc12980 </w:instrText>
      </w:r>
      <w:r>
        <w:rPr>
          <w:rFonts w:hint="eastAsia"/>
          <w:snapToGrid w:val="0"/>
          <w:kern w:val="0"/>
          <w:szCs w:val="24"/>
        </w:rPr>
        <w:fldChar w:fldCharType="separate"/>
      </w:r>
      <w:r>
        <w:rPr>
          <w:rFonts w:hint="eastAsia" w:ascii="仿宋" w:hAnsi="仿宋" w:eastAsia="仿宋" w:cs="仿宋"/>
          <w:szCs w:val="24"/>
        </w:rPr>
        <w:t>二、 估价对象位置图</w:t>
      </w:r>
      <w:r>
        <w:tab/>
      </w:r>
      <w:r>
        <w:fldChar w:fldCharType="begin"/>
      </w:r>
      <w:r>
        <w:instrText xml:space="preserve"> PAGEREF _Toc12980 </w:instrText>
      </w:r>
      <w:r>
        <w:fldChar w:fldCharType="separate"/>
      </w:r>
      <w:r>
        <w:t>15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_Toc12836 </w:instrText>
      </w:r>
      <w:r>
        <w:rPr>
          <w:rFonts w:hint="eastAsia"/>
          <w:snapToGrid w:val="0"/>
          <w:kern w:val="0"/>
          <w:szCs w:val="24"/>
        </w:rPr>
        <w:fldChar w:fldCharType="separate"/>
      </w:r>
      <w:r>
        <w:rPr>
          <w:rFonts w:hint="eastAsia" w:ascii="仿宋" w:hAnsi="仿宋" w:eastAsia="仿宋" w:cs="仿宋"/>
          <w:szCs w:val="24"/>
        </w:rPr>
        <w:t>三、 估价对象实地查勘情况和相关照片</w:t>
      </w:r>
      <w:r>
        <w:tab/>
      </w:r>
      <w:r>
        <w:fldChar w:fldCharType="begin"/>
      </w:r>
      <w:r>
        <w:instrText xml:space="preserve"> PAGEREF _Toc12836 </w:instrText>
      </w:r>
      <w:r>
        <w:fldChar w:fldCharType="separate"/>
      </w:r>
      <w:r>
        <w:t>15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_Toc1930 </w:instrText>
      </w:r>
      <w:r>
        <w:rPr>
          <w:rFonts w:hint="eastAsia"/>
          <w:snapToGrid w:val="0"/>
          <w:kern w:val="0"/>
          <w:szCs w:val="24"/>
        </w:rPr>
        <w:fldChar w:fldCharType="separate"/>
      </w:r>
      <w:r>
        <w:rPr>
          <w:rFonts w:hint="eastAsia" w:ascii="仿宋" w:hAnsi="仿宋" w:eastAsia="仿宋" w:cs="仿宋"/>
          <w:szCs w:val="24"/>
        </w:rPr>
        <w:t>四、 估价对象权属证明复印件（</w:t>
      </w:r>
      <w:r>
        <w:rPr>
          <w:rFonts w:hint="eastAsia" w:ascii="仿宋" w:hAnsi="仿宋" w:eastAsia="仿宋" w:cs="仿宋"/>
          <w:szCs w:val="24"/>
          <w:lang w:eastAsia="zh-CN"/>
        </w:rPr>
        <w:t>《房产登记信息查询情况说明》</w:t>
      </w:r>
      <w:r>
        <w:rPr>
          <w:rFonts w:hint="eastAsia" w:ascii="仿宋" w:hAnsi="仿宋" w:eastAsia="仿宋" w:cs="仿宋"/>
          <w:szCs w:val="24"/>
        </w:rPr>
        <w:t>）</w:t>
      </w:r>
      <w:r>
        <w:tab/>
      </w:r>
      <w:r>
        <w:fldChar w:fldCharType="begin"/>
      </w:r>
      <w:r>
        <w:instrText xml:space="preserve"> PAGEREF _Toc1930 </w:instrText>
      </w:r>
      <w:r>
        <w:fldChar w:fldCharType="separate"/>
      </w:r>
      <w:r>
        <w:t>15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_Toc16293 </w:instrText>
      </w:r>
      <w:r>
        <w:rPr>
          <w:rFonts w:hint="eastAsia"/>
          <w:snapToGrid w:val="0"/>
          <w:kern w:val="0"/>
          <w:szCs w:val="24"/>
        </w:rPr>
        <w:fldChar w:fldCharType="separate"/>
      </w:r>
      <w:r>
        <w:rPr>
          <w:rFonts w:hint="eastAsia" w:ascii="仿宋" w:hAnsi="仿宋" w:eastAsia="仿宋" w:cs="仿宋"/>
          <w:szCs w:val="24"/>
        </w:rPr>
        <w:t>五、 专业帮助情况和相关专业意见说明</w:t>
      </w:r>
      <w:r>
        <w:tab/>
      </w:r>
      <w:r>
        <w:fldChar w:fldCharType="begin"/>
      </w:r>
      <w:r>
        <w:instrText xml:space="preserve"> PAGEREF _Toc16293 </w:instrText>
      </w:r>
      <w:r>
        <w:fldChar w:fldCharType="separate"/>
      </w:r>
      <w:r>
        <w:t>15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_Toc5149 </w:instrText>
      </w:r>
      <w:r>
        <w:rPr>
          <w:rFonts w:hint="eastAsia"/>
          <w:snapToGrid w:val="0"/>
          <w:kern w:val="0"/>
          <w:szCs w:val="24"/>
        </w:rPr>
        <w:fldChar w:fldCharType="separate"/>
      </w:r>
      <w:r>
        <w:rPr>
          <w:rFonts w:hint="eastAsia" w:ascii="仿宋" w:hAnsi="仿宋" w:eastAsia="仿宋" w:cs="仿宋"/>
          <w:szCs w:val="24"/>
        </w:rPr>
        <w:t>六、 评估机构营业执照及备案证书复印件</w:t>
      </w:r>
      <w:r>
        <w:tab/>
      </w:r>
      <w:r>
        <w:fldChar w:fldCharType="begin"/>
      </w:r>
      <w:r>
        <w:instrText xml:space="preserve"> PAGEREF _Toc5149 </w:instrText>
      </w:r>
      <w:r>
        <w:fldChar w:fldCharType="separate"/>
      </w:r>
      <w:r>
        <w:t>15</w:t>
      </w:r>
      <w:r>
        <w:fldChar w:fldCharType="end"/>
      </w:r>
      <w:r>
        <w:rPr>
          <w:rFonts w:hint="eastAsia"/>
          <w:snapToGrid w:val="0"/>
          <w:kern w:val="0"/>
          <w:szCs w:val="24"/>
        </w:rPr>
        <w:fldChar w:fldCharType="end"/>
      </w:r>
    </w:p>
    <w:p>
      <w:pPr>
        <w:pStyle w:val="24"/>
        <w:keepNext w:val="0"/>
        <w:keepLines w:val="0"/>
        <w:pageBreakBefore w:val="0"/>
        <w:widowControl w:val="0"/>
        <w:tabs>
          <w:tab w:val="right" w:leader="dot" w:pos="9115"/>
          <w:tab w:val="clear" w:pos="8296"/>
        </w:tabs>
        <w:kinsoku/>
        <w:wordWrap/>
        <w:overflowPunct/>
        <w:topLinePunct w:val="0"/>
        <w:autoSpaceDE/>
        <w:autoSpaceDN/>
        <w:bidi w:val="0"/>
        <w:adjustRightInd/>
        <w:snapToGrid/>
        <w:spacing w:line="420" w:lineRule="exact"/>
        <w:textAlignment w:val="auto"/>
      </w:pPr>
      <w:r>
        <w:rPr>
          <w:rFonts w:hint="eastAsia"/>
          <w:snapToGrid w:val="0"/>
          <w:kern w:val="0"/>
          <w:szCs w:val="24"/>
        </w:rPr>
        <w:fldChar w:fldCharType="begin"/>
      </w:r>
      <w:r>
        <w:rPr>
          <w:rFonts w:hint="eastAsia"/>
          <w:snapToGrid w:val="0"/>
          <w:kern w:val="0"/>
          <w:szCs w:val="24"/>
        </w:rPr>
        <w:instrText xml:space="preserve"> HYPERLINK \l _Toc28495 </w:instrText>
      </w:r>
      <w:r>
        <w:rPr>
          <w:rFonts w:hint="eastAsia"/>
          <w:snapToGrid w:val="0"/>
          <w:kern w:val="0"/>
          <w:szCs w:val="24"/>
        </w:rPr>
        <w:fldChar w:fldCharType="separate"/>
      </w:r>
      <w:r>
        <w:rPr>
          <w:rFonts w:hint="eastAsia" w:ascii="仿宋" w:hAnsi="仿宋" w:eastAsia="仿宋" w:cs="仿宋"/>
          <w:szCs w:val="24"/>
        </w:rPr>
        <w:t>七、 注册房地产估价师注册证书复印件</w:t>
      </w:r>
      <w:r>
        <w:tab/>
      </w:r>
      <w:r>
        <w:fldChar w:fldCharType="begin"/>
      </w:r>
      <w:r>
        <w:instrText xml:space="preserve"> PAGEREF _Toc28495 </w:instrText>
      </w:r>
      <w:r>
        <w:fldChar w:fldCharType="separate"/>
      </w:r>
      <w:r>
        <w:t>15</w:t>
      </w:r>
      <w:r>
        <w:fldChar w:fldCharType="end"/>
      </w:r>
      <w:r>
        <w:rPr>
          <w:rFonts w:hint="eastAsia"/>
          <w:snapToGrid w:val="0"/>
          <w:kern w:val="0"/>
          <w:szCs w:val="24"/>
        </w:rPr>
        <w:fldChar w:fldCharType="end"/>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ascii="宋体" w:hAnsi="宋体" w:cs="宋体"/>
          <w:b/>
          <w:snapToGrid w:val="0"/>
          <w:color w:val="000000"/>
          <w:kern w:val="0"/>
          <w:sz w:val="28"/>
          <w:szCs w:val="28"/>
          <w:highlight w:val="red"/>
        </w:rPr>
        <w:sectPr>
          <w:footerReference r:id="rId6" w:type="default"/>
          <w:pgSz w:w="11906" w:h="16838"/>
          <w:pgMar w:top="1440" w:right="1111" w:bottom="1440" w:left="1680" w:header="851" w:footer="992" w:gutter="0"/>
          <w:pgNumType w:start="1"/>
          <w:cols w:space="720" w:num="1"/>
          <w:docGrid w:type="lines" w:linePitch="312" w:charSpace="0"/>
        </w:sectPr>
      </w:pPr>
      <w:r>
        <w:rPr>
          <w:rFonts w:hint="eastAsia"/>
          <w:snapToGrid w:val="0"/>
          <w:kern w:val="0"/>
          <w:szCs w:val="24"/>
        </w:rPr>
        <w:fldChar w:fldCharType="end"/>
      </w:r>
      <w:bookmarkEnd w:id="2"/>
      <w:bookmarkEnd w:id="3"/>
      <w:bookmarkStart w:id="5" w:name="_Toc130033715"/>
      <w:bookmarkStart w:id="74" w:name="_GoBack"/>
      <w:bookmarkEnd w:id="74"/>
    </w:p>
    <w:p>
      <w:pPr>
        <w:jc w:val="center"/>
        <w:outlineLvl w:val="0"/>
        <w:rPr>
          <w:rFonts w:ascii="黑体" w:hAnsi="黑体" w:eastAsia="黑体" w:cs="宋体"/>
          <w:color w:val="000000"/>
          <w:sz w:val="24"/>
          <w:szCs w:val="24"/>
        </w:rPr>
      </w:pPr>
      <w:bookmarkStart w:id="6" w:name="_Toc21827"/>
      <w:r>
        <w:rPr>
          <w:rFonts w:hint="eastAsia" w:ascii="宋体" w:hAnsi="宋体" w:cs="宋体"/>
          <w:b/>
          <w:snapToGrid w:val="0"/>
          <w:color w:val="000000"/>
          <w:kern w:val="0"/>
          <w:sz w:val="32"/>
          <w:szCs w:val="32"/>
        </w:rPr>
        <w:t>估价师声明</w:t>
      </w:r>
      <w:bookmarkEnd w:id="6"/>
    </w:p>
    <w:p>
      <w:pPr>
        <w:rPr>
          <w:sz w:val="24"/>
          <w:szCs w:val="24"/>
        </w:rPr>
      </w:pPr>
    </w:p>
    <w:p>
      <w:pPr>
        <w:tabs>
          <w:tab w:val="left" w:pos="2044"/>
        </w:tabs>
        <w:adjustRightInd w:val="0"/>
        <w:spacing w:line="540" w:lineRule="exac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我们根据自己的专业知识和职业道德，在此郑重声明：</w:t>
      </w:r>
    </w:p>
    <w:p>
      <w:pPr>
        <w:tabs>
          <w:tab w:val="left" w:pos="2044"/>
        </w:tabs>
        <w:adjustRightInd w:val="0"/>
        <w:spacing w:line="540" w:lineRule="exac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（一）我们在本估价报告中对事实的说明是真实和准确的，没有虚假记载、误导性陈述和重大遗漏。</w:t>
      </w:r>
    </w:p>
    <w:p>
      <w:pPr>
        <w:tabs>
          <w:tab w:val="left" w:pos="2044"/>
        </w:tabs>
        <w:adjustRightInd w:val="0"/>
        <w:spacing w:line="540" w:lineRule="exac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（二）本估价报告中的分析、意见和结论是我们独立、客观、公正的专业分析、意见和结论，但受估价报告中已说明的估价的假设和限制条件的限制。</w:t>
      </w:r>
    </w:p>
    <w:p>
      <w:pPr>
        <w:tabs>
          <w:tab w:val="left" w:pos="2044"/>
        </w:tabs>
        <w:adjustRightInd w:val="0"/>
        <w:spacing w:line="540" w:lineRule="exac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（三）我们与本估价报告中的估价对象没有现实或潜在的利益，与估价委托人和估价利害关系人没有利害关系，也对估价对象、估价委托人及估价利害关系人没有偏见。</w:t>
      </w:r>
    </w:p>
    <w:p>
      <w:pPr>
        <w:tabs>
          <w:tab w:val="left" w:pos="2044"/>
        </w:tabs>
        <w:adjustRightInd w:val="0"/>
        <w:spacing w:line="540" w:lineRule="exac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（四）我们是按照国家标准GB/T50291-2015《房地产估价规范》、GB/T50899-2013《房地产估价基本术语标准》以及四川省《房地产司法</w:t>
      </w:r>
      <w:r>
        <w:rPr>
          <w:rFonts w:hint="eastAsia" w:ascii="仿宋" w:hAnsi="仿宋" w:eastAsia="仿宋" w:cs="宋体"/>
          <w:snapToGrid w:val="0"/>
          <w:kern w:val="0"/>
          <w:sz w:val="24"/>
          <w:szCs w:val="24"/>
        </w:rPr>
        <w:t>鉴定</w:t>
      </w:r>
      <w:r>
        <w:rPr>
          <w:rFonts w:hint="eastAsia" w:ascii="仿宋" w:hAnsi="仿宋" w:eastAsia="仿宋" w:cs="宋体"/>
          <w:snapToGrid w:val="0"/>
          <w:color w:val="000000"/>
          <w:kern w:val="0"/>
          <w:sz w:val="24"/>
          <w:szCs w:val="24"/>
        </w:rPr>
        <w:t>评估指导意见》（试行）进行估价工作，撰写本估价报告。</w:t>
      </w:r>
    </w:p>
    <w:bookmarkEnd w:id="5"/>
    <w:p>
      <w:pPr>
        <w:tabs>
          <w:tab w:val="left" w:pos="2044"/>
        </w:tabs>
        <w:adjustRightInd w:val="0"/>
        <w:spacing w:line="500" w:lineRule="exact"/>
        <w:jc w:val="center"/>
        <w:rPr>
          <w:rFonts w:ascii="仿宋" w:hAnsi="仿宋" w:eastAsia="仿宋" w:cs="宋体"/>
          <w:snapToGrid w:val="0"/>
          <w:color w:val="000000"/>
          <w:kern w:val="0"/>
          <w:sz w:val="24"/>
          <w:szCs w:val="24"/>
        </w:rPr>
      </w:pPr>
      <w:bookmarkStart w:id="7" w:name="_Toc320276191"/>
      <w:bookmarkStart w:id="8" w:name="_Toc320173772"/>
      <w:bookmarkStart w:id="9" w:name="_Toc231983234"/>
      <w:bookmarkStart w:id="10" w:name="_Toc320184502"/>
      <w:bookmarkStart w:id="11" w:name="_Toc130033716"/>
      <w:r>
        <w:rPr>
          <w:rFonts w:hint="eastAsia" w:ascii="仿宋" w:hAnsi="仿宋" w:eastAsia="仿宋" w:cs="宋体"/>
          <w:snapToGrid w:val="0"/>
          <w:color w:val="000000"/>
          <w:kern w:val="0"/>
          <w:sz w:val="24"/>
          <w:szCs w:val="24"/>
        </w:rPr>
        <w:t>注册房地产估价师</w:t>
      </w:r>
    </w:p>
    <w:tbl>
      <w:tblPr>
        <w:tblStyle w:val="30"/>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314"/>
        <w:gridCol w:w="2314"/>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44" w:type="dxa"/>
          </w:tcPr>
          <w:p>
            <w:pPr>
              <w:autoSpaceDE w:val="0"/>
              <w:autoSpaceDN w:val="0"/>
              <w:adjustRightInd w:val="0"/>
              <w:spacing w:line="44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姓    名</w:t>
            </w:r>
          </w:p>
        </w:tc>
        <w:tc>
          <w:tcPr>
            <w:tcW w:w="2314" w:type="dxa"/>
          </w:tcPr>
          <w:p>
            <w:pPr>
              <w:autoSpaceDE w:val="0"/>
              <w:autoSpaceDN w:val="0"/>
              <w:adjustRightInd w:val="0"/>
              <w:spacing w:line="44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注  册  号</w:t>
            </w:r>
          </w:p>
        </w:tc>
        <w:tc>
          <w:tcPr>
            <w:tcW w:w="2314" w:type="dxa"/>
          </w:tcPr>
          <w:p>
            <w:pPr>
              <w:autoSpaceDE w:val="0"/>
              <w:autoSpaceDN w:val="0"/>
              <w:adjustRightInd w:val="0"/>
              <w:spacing w:line="44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 xml:space="preserve">签    </w:t>
            </w:r>
            <w:r>
              <w:rPr>
                <w:rFonts w:hint="eastAsia" w:ascii="仿宋" w:hAnsi="仿宋" w:eastAsia="仿宋" w:cs="仿宋"/>
                <w:color w:val="000000"/>
                <w:sz w:val="18"/>
                <w:szCs w:val="18"/>
              </w:rPr>
              <w:t>名</w:t>
            </w:r>
          </w:p>
        </w:tc>
        <w:tc>
          <w:tcPr>
            <w:tcW w:w="2359" w:type="dxa"/>
          </w:tcPr>
          <w:p>
            <w:pPr>
              <w:autoSpaceDE w:val="0"/>
              <w:autoSpaceDN w:val="0"/>
              <w:adjustRightInd w:val="0"/>
              <w:spacing w:line="44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签</w:t>
            </w:r>
            <w:r>
              <w:rPr>
                <w:rFonts w:hint="eastAsia" w:ascii="仿宋" w:hAnsi="仿宋" w:eastAsia="仿宋" w:cs="仿宋"/>
                <w:color w:val="000000"/>
                <w:sz w:val="18"/>
                <w:szCs w:val="18"/>
              </w:rPr>
              <w:t>名</w:t>
            </w:r>
            <w:r>
              <w:rPr>
                <w:rFonts w:hint="eastAsia" w:ascii="仿宋" w:hAnsi="仿宋" w:eastAsia="仿宋" w:cs="仿宋"/>
                <w:color w:val="000000"/>
                <w:sz w:val="18"/>
                <w:szCs w:val="18"/>
                <w:lang w:val="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44" w:type="dxa"/>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程  丹</w:t>
            </w:r>
          </w:p>
        </w:tc>
        <w:tc>
          <w:tcPr>
            <w:tcW w:w="2314" w:type="dxa"/>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5120190120</w:t>
            </w:r>
          </w:p>
        </w:tc>
        <w:tc>
          <w:tcPr>
            <w:tcW w:w="2314" w:type="dxa"/>
          </w:tcPr>
          <w:p>
            <w:pPr>
              <w:autoSpaceDE w:val="0"/>
              <w:autoSpaceDN w:val="0"/>
              <w:adjustRightInd w:val="0"/>
              <w:spacing w:line="500" w:lineRule="exact"/>
              <w:jc w:val="center"/>
              <w:rPr>
                <w:rFonts w:ascii="仿宋" w:hAnsi="仿宋" w:eastAsia="仿宋" w:cs="仿宋"/>
                <w:color w:val="000000"/>
                <w:sz w:val="18"/>
                <w:szCs w:val="18"/>
                <w:lang w:val="zh-CN"/>
              </w:rPr>
            </w:pPr>
          </w:p>
        </w:tc>
        <w:tc>
          <w:tcPr>
            <w:tcW w:w="2359" w:type="dxa"/>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2020年10月22日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2344" w:type="dxa"/>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梅治勤</w:t>
            </w:r>
          </w:p>
        </w:tc>
        <w:tc>
          <w:tcPr>
            <w:tcW w:w="2314" w:type="dxa"/>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5120160013</w:t>
            </w:r>
          </w:p>
        </w:tc>
        <w:tc>
          <w:tcPr>
            <w:tcW w:w="2314" w:type="dxa"/>
          </w:tcPr>
          <w:p>
            <w:pPr>
              <w:autoSpaceDE w:val="0"/>
              <w:autoSpaceDN w:val="0"/>
              <w:adjustRightInd w:val="0"/>
              <w:spacing w:line="500" w:lineRule="exact"/>
              <w:jc w:val="center"/>
              <w:rPr>
                <w:rFonts w:ascii="仿宋" w:hAnsi="仿宋" w:eastAsia="仿宋" w:cs="仿宋"/>
                <w:color w:val="000000"/>
                <w:sz w:val="18"/>
                <w:szCs w:val="18"/>
                <w:lang w:val="zh-CN"/>
              </w:rPr>
            </w:pPr>
          </w:p>
        </w:tc>
        <w:tc>
          <w:tcPr>
            <w:tcW w:w="2359" w:type="dxa"/>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2020年10月22日</w:t>
            </w:r>
          </w:p>
        </w:tc>
      </w:tr>
    </w:tbl>
    <w:p>
      <w:pPr>
        <w:tabs>
          <w:tab w:val="left" w:pos="2044"/>
        </w:tabs>
        <w:adjustRightInd w:val="0"/>
        <w:spacing w:line="500" w:lineRule="exact"/>
        <w:ind w:firstLine="480" w:firstLineChars="200"/>
        <w:rPr>
          <w:rFonts w:ascii="仿宋" w:hAnsi="仿宋" w:eastAsia="仿宋" w:cs="宋体"/>
          <w:snapToGrid w:val="0"/>
          <w:color w:val="000000"/>
          <w:kern w:val="0"/>
          <w:sz w:val="24"/>
          <w:szCs w:val="24"/>
        </w:rPr>
      </w:pPr>
    </w:p>
    <w:p>
      <w:pPr>
        <w:tabs>
          <w:tab w:val="left" w:pos="2044"/>
        </w:tabs>
        <w:adjustRightInd w:val="0"/>
        <w:spacing w:line="500" w:lineRule="exact"/>
        <w:ind w:firstLine="480" w:firstLineChars="200"/>
        <w:rPr>
          <w:rFonts w:ascii="仿宋" w:hAnsi="仿宋" w:eastAsia="仿宋" w:cs="宋体"/>
          <w:snapToGrid w:val="0"/>
          <w:color w:val="000000"/>
          <w:kern w:val="0"/>
          <w:sz w:val="24"/>
          <w:szCs w:val="24"/>
        </w:rPr>
      </w:pPr>
    </w:p>
    <w:p>
      <w:pPr>
        <w:tabs>
          <w:tab w:val="left" w:pos="2044"/>
        </w:tabs>
        <w:adjustRightInd w:val="0"/>
        <w:spacing w:line="500" w:lineRule="exact"/>
        <w:ind w:firstLine="480" w:firstLineChars="200"/>
        <w:rPr>
          <w:rFonts w:ascii="仿宋" w:hAnsi="仿宋" w:eastAsia="仿宋" w:cs="宋体"/>
          <w:snapToGrid w:val="0"/>
          <w:color w:val="000000"/>
          <w:kern w:val="0"/>
          <w:sz w:val="24"/>
          <w:szCs w:val="24"/>
        </w:rPr>
      </w:pPr>
    </w:p>
    <w:p>
      <w:pPr>
        <w:tabs>
          <w:tab w:val="left" w:pos="2044"/>
        </w:tabs>
        <w:adjustRightInd w:val="0"/>
        <w:spacing w:line="500" w:lineRule="exact"/>
        <w:ind w:firstLine="480" w:firstLineChars="200"/>
        <w:rPr>
          <w:rFonts w:ascii="仿宋" w:hAnsi="仿宋" w:eastAsia="仿宋" w:cs="宋体"/>
          <w:snapToGrid w:val="0"/>
          <w:color w:val="000000"/>
          <w:kern w:val="0"/>
          <w:sz w:val="24"/>
          <w:szCs w:val="24"/>
        </w:rPr>
      </w:pPr>
    </w:p>
    <w:p>
      <w:pPr>
        <w:tabs>
          <w:tab w:val="left" w:pos="2044"/>
        </w:tabs>
        <w:adjustRightInd w:val="0"/>
        <w:spacing w:line="500" w:lineRule="exact"/>
        <w:ind w:firstLine="480" w:firstLineChars="200"/>
        <w:rPr>
          <w:rFonts w:ascii="仿宋" w:hAnsi="仿宋" w:eastAsia="仿宋" w:cs="宋体"/>
          <w:snapToGrid w:val="0"/>
          <w:color w:val="000000"/>
          <w:kern w:val="0"/>
          <w:sz w:val="24"/>
          <w:szCs w:val="24"/>
        </w:rPr>
      </w:pPr>
    </w:p>
    <w:p>
      <w:pPr>
        <w:tabs>
          <w:tab w:val="left" w:pos="2044"/>
        </w:tabs>
        <w:adjustRightInd w:val="0"/>
        <w:spacing w:line="500" w:lineRule="exact"/>
        <w:ind w:firstLine="480" w:firstLineChars="200"/>
        <w:rPr>
          <w:rFonts w:ascii="仿宋" w:hAnsi="仿宋" w:eastAsia="仿宋" w:cs="宋体"/>
          <w:snapToGrid w:val="0"/>
          <w:color w:val="000000"/>
          <w:kern w:val="0"/>
          <w:sz w:val="24"/>
          <w:szCs w:val="24"/>
        </w:rPr>
      </w:pPr>
    </w:p>
    <w:p>
      <w:pPr>
        <w:tabs>
          <w:tab w:val="left" w:pos="2044"/>
        </w:tabs>
        <w:adjustRightInd w:val="0"/>
        <w:spacing w:line="500" w:lineRule="exact"/>
        <w:ind w:firstLine="480" w:firstLineChars="200"/>
        <w:rPr>
          <w:rFonts w:ascii="仿宋" w:hAnsi="仿宋" w:eastAsia="仿宋" w:cs="宋体"/>
          <w:snapToGrid w:val="0"/>
          <w:color w:val="000000"/>
          <w:kern w:val="0"/>
          <w:sz w:val="24"/>
          <w:szCs w:val="24"/>
        </w:rPr>
      </w:pPr>
    </w:p>
    <w:p>
      <w:pPr>
        <w:pStyle w:val="2"/>
        <w:spacing w:line="240" w:lineRule="auto"/>
        <w:jc w:val="center"/>
        <w:rPr>
          <w:rFonts w:ascii="宋体" w:hAnsi="宋体" w:cs="宋体"/>
          <w:color w:val="000000"/>
          <w:sz w:val="32"/>
          <w:szCs w:val="32"/>
        </w:rPr>
        <w:sectPr>
          <w:headerReference r:id="rId7" w:type="first"/>
          <w:footerReference r:id="rId9" w:type="first"/>
          <w:footerReference r:id="rId8" w:type="default"/>
          <w:pgSz w:w="11906" w:h="16838"/>
          <w:pgMar w:top="1440" w:right="1111" w:bottom="1440" w:left="1680" w:header="851" w:footer="992" w:gutter="0"/>
          <w:pgNumType w:start="1"/>
          <w:cols w:space="720" w:num="1"/>
          <w:titlePg/>
          <w:docGrid w:type="lines" w:linePitch="312" w:charSpace="0"/>
        </w:sectPr>
      </w:pPr>
    </w:p>
    <w:p>
      <w:pPr>
        <w:pStyle w:val="2"/>
        <w:spacing w:line="240" w:lineRule="auto"/>
        <w:jc w:val="center"/>
        <w:rPr>
          <w:rFonts w:ascii="宋体" w:hAnsi="宋体" w:cs="宋体"/>
          <w:color w:val="000000"/>
          <w:sz w:val="24"/>
          <w:szCs w:val="24"/>
        </w:rPr>
      </w:pPr>
      <w:bookmarkStart w:id="12" w:name="_Toc30684"/>
      <w:r>
        <w:rPr>
          <w:rFonts w:hint="eastAsia" w:ascii="宋体" w:hAnsi="宋体" w:cs="宋体"/>
          <w:color w:val="000000"/>
          <w:sz w:val="32"/>
          <w:szCs w:val="32"/>
        </w:rPr>
        <w:t>估价假设和限制条件</w:t>
      </w:r>
      <w:bookmarkEnd w:id="7"/>
      <w:bookmarkEnd w:id="8"/>
      <w:bookmarkEnd w:id="9"/>
      <w:bookmarkEnd w:id="10"/>
      <w:bookmarkEnd w:id="12"/>
    </w:p>
    <w:p>
      <w:pPr>
        <w:rPr>
          <w:sz w:val="24"/>
          <w:szCs w:val="24"/>
        </w:rPr>
      </w:pPr>
    </w:p>
    <w:bookmarkEnd w:id="11"/>
    <w:p>
      <w:pPr>
        <w:numPr>
          <w:ilvl w:val="0"/>
          <w:numId w:val="2"/>
        </w:numPr>
        <w:tabs>
          <w:tab w:val="left" w:pos="0"/>
        </w:tabs>
        <w:spacing w:line="460" w:lineRule="exact"/>
        <w:rPr>
          <w:rFonts w:ascii="仿宋" w:hAnsi="仿宋" w:eastAsia="仿宋" w:cs="宋体"/>
          <w:b/>
          <w:snapToGrid w:val="0"/>
          <w:kern w:val="0"/>
          <w:sz w:val="24"/>
          <w:szCs w:val="24"/>
        </w:rPr>
      </w:pPr>
      <w:r>
        <w:rPr>
          <w:rFonts w:hint="eastAsia" w:ascii="仿宋" w:hAnsi="仿宋" w:eastAsia="仿宋" w:cs="宋体"/>
          <w:b/>
          <w:snapToGrid w:val="0"/>
          <w:kern w:val="0"/>
          <w:sz w:val="24"/>
          <w:szCs w:val="24"/>
        </w:rPr>
        <w:t>本次估价的一般假设</w:t>
      </w:r>
    </w:p>
    <w:p>
      <w:pPr>
        <w:adjustRightInd w:val="0"/>
        <w:snapToGrid w:val="0"/>
        <w:spacing w:line="460" w:lineRule="atLeas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1、估价委托人提供了估价对象的</w:t>
      </w:r>
      <w:r>
        <w:rPr>
          <w:rFonts w:hint="eastAsia" w:ascii="仿宋" w:hAnsi="仿宋" w:eastAsia="仿宋" w:cs="宋体"/>
          <w:snapToGrid w:val="0"/>
          <w:color w:val="000000"/>
          <w:kern w:val="0"/>
          <w:sz w:val="24"/>
          <w:szCs w:val="24"/>
          <w:lang w:eastAsia="zh-CN"/>
        </w:rPr>
        <w:t>《房产登记信息查询情况说明》</w:t>
      </w:r>
      <w:r>
        <w:rPr>
          <w:rFonts w:hint="eastAsia" w:ascii="仿宋" w:hAnsi="仿宋" w:eastAsia="仿宋" w:cs="宋体"/>
          <w:snapToGrid w:val="0"/>
          <w:color w:val="000000"/>
          <w:kern w:val="0"/>
          <w:sz w:val="24"/>
          <w:szCs w:val="24"/>
        </w:rPr>
        <w:t>复印件，我们未向政府有关部门进行核实，在无理由怀疑其合法性、真实性、准确性、完整性的情况下，假定估价委托人提供的资料合法、真实、准确、完整。</w:t>
      </w:r>
    </w:p>
    <w:p>
      <w:pPr>
        <w:adjustRightInd w:val="0"/>
        <w:snapToGrid w:val="0"/>
        <w:spacing w:line="460" w:lineRule="atLeas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2、注册房地产估价师已对房屋安全环境污染噪音等影响估价对象价值的重大因素给予了关注，在无理由怀疑估价对象存在安全隐患且无相应的专业机构进</w:t>
      </w:r>
      <w:r>
        <w:rPr>
          <w:rFonts w:hint="eastAsia" w:ascii="仿宋" w:hAnsi="仿宋" w:eastAsia="仿宋" w:cs="宋体"/>
          <w:snapToGrid w:val="0"/>
          <w:kern w:val="0"/>
          <w:sz w:val="24"/>
          <w:szCs w:val="24"/>
        </w:rPr>
        <w:t>行鉴定检</w:t>
      </w:r>
      <w:r>
        <w:rPr>
          <w:rFonts w:hint="eastAsia" w:ascii="仿宋" w:hAnsi="仿宋" w:eastAsia="仿宋" w:cs="宋体"/>
          <w:snapToGrid w:val="0"/>
          <w:color w:val="000000"/>
          <w:kern w:val="0"/>
          <w:sz w:val="24"/>
          <w:szCs w:val="24"/>
        </w:rPr>
        <w:t>测的情况，假定估价对象能正常安全使用。</w:t>
      </w:r>
    </w:p>
    <w:p>
      <w:pPr>
        <w:adjustRightInd w:val="0"/>
        <w:snapToGrid w:val="0"/>
        <w:spacing w:line="460" w:lineRule="atLeas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3、注册房地产</w:t>
      </w:r>
      <w:r>
        <w:rPr>
          <w:rFonts w:hint="eastAsia" w:ascii="仿宋" w:hAnsi="仿宋" w:eastAsia="仿宋" w:cs="宋体"/>
          <w:snapToGrid w:val="0"/>
          <w:kern w:val="0"/>
          <w:sz w:val="24"/>
          <w:szCs w:val="24"/>
        </w:rPr>
        <w:t>估价师未</w:t>
      </w:r>
      <w:r>
        <w:rPr>
          <w:rFonts w:hint="eastAsia" w:ascii="仿宋" w:hAnsi="仿宋" w:eastAsia="仿宋" w:cs="宋体"/>
          <w:snapToGrid w:val="0"/>
          <w:color w:val="000000"/>
          <w:kern w:val="0"/>
          <w:sz w:val="24"/>
          <w:szCs w:val="24"/>
        </w:rPr>
        <w:t>对房屋建筑面积进行专业测量，经实地查勘，估价对象房屋建筑面积与</w:t>
      </w:r>
      <w:r>
        <w:rPr>
          <w:rFonts w:hint="eastAsia" w:ascii="仿宋" w:hAnsi="仿宋" w:eastAsia="仿宋" w:cs="宋体"/>
          <w:snapToGrid w:val="0"/>
          <w:color w:val="000000"/>
          <w:kern w:val="0"/>
          <w:sz w:val="24"/>
          <w:szCs w:val="24"/>
          <w:lang w:eastAsia="zh-CN"/>
        </w:rPr>
        <w:t>《房产登记信息查询情况说明》</w:t>
      </w:r>
      <w:r>
        <w:rPr>
          <w:rFonts w:hint="eastAsia" w:ascii="仿宋" w:hAnsi="仿宋" w:eastAsia="仿宋" w:cs="宋体"/>
          <w:snapToGrid w:val="0"/>
          <w:color w:val="000000"/>
          <w:kern w:val="0"/>
          <w:sz w:val="24"/>
          <w:szCs w:val="24"/>
        </w:rPr>
        <w:t>记载建筑面积大体相当。</w:t>
      </w:r>
    </w:p>
    <w:p>
      <w:pPr>
        <w:adjustRightInd w:val="0"/>
        <w:snapToGrid w:val="0"/>
        <w:spacing w:line="46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4、估价对象在价值时点的房地产市场为公开、平等、自愿的交易市场，即满足以下条件：</w:t>
      </w:r>
    </w:p>
    <w:p>
      <w:pPr>
        <w:adjustRightInd w:val="0"/>
        <w:snapToGrid w:val="0"/>
        <w:spacing w:line="46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（1）交易双方自愿地进行交易；</w:t>
      </w:r>
    </w:p>
    <w:p>
      <w:pPr>
        <w:adjustRightInd w:val="0"/>
        <w:snapToGrid w:val="0"/>
        <w:spacing w:line="46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（2）交易双方处于利已动机进行交易，交易目的都是追求自身最大经济利益；</w:t>
      </w:r>
    </w:p>
    <w:p>
      <w:pPr>
        <w:adjustRightInd w:val="0"/>
        <w:snapToGrid w:val="0"/>
        <w:spacing w:line="46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（3）交易双方都具有完全市场信息、知晓市场行情，以及对交易对象具有必要的专业知识、不存在买者因特殊兴趣而给予附加出价;</w:t>
      </w:r>
    </w:p>
    <w:p>
      <w:pPr>
        <w:adjustRightInd w:val="0"/>
        <w:snapToGrid w:val="0"/>
        <w:spacing w:line="46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（4）交易双方在适当的期间完成谈判和交易，以及在谈判期间物业价值保持稳定；</w:t>
      </w:r>
    </w:p>
    <w:p>
      <w:pPr>
        <w:adjustRightInd w:val="0"/>
        <w:snapToGrid w:val="0"/>
        <w:spacing w:line="46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（5）市场供求关系、市场结构保持稳定、未发生重大变化或实质性改变。</w:t>
      </w:r>
    </w:p>
    <w:p>
      <w:pPr>
        <w:tabs>
          <w:tab w:val="left" w:pos="0"/>
        </w:tabs>
        <w:spacing w:line="460" w:lineRule="atLeas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5、估价对象权属完整合法，能够自由地在市场交易，没有司法行政机关禁止交易的情形，出售时不附带任何他项权租赁权优先购买权、售后回租以及其他类似的可能影响其正常交易价值的权利约束和特殊条款，即产权明晰，手续齐全，可在公开市场上自由转让。</w:t>
      </w:r>
    </w:p>
    <w:p>
      <w:pPr>
        <w:tabs>
          <w:tab w:val="left" w:pos="0"/>
        </w:tabs>
        <w:spacing w:line="460" w:lineRule="atLeast"/>
        <w:ind w:firstLine="480" w:firstLineChars="200"/>
        <w:rPr>
          <w:rFonts w:ascii="仿宋" w:hAnsi="仿宋" w:eastAsia="仿宋" w:cs="宋体"/>
          <w:snapToGrid w:val="0"/>
          <w:color w:val="000000"/>
          <w:kern w:val="0"/>
          <w:sz w:val="24"/>
          <w:szCs w:val="24"/>
        </w:rPr>
      </w:pPr>
      <w:r>
        <w:rPr>
          <w:rFonts w:hint="eastAsia" w:ascii="仿宋" w:hAnsi="仿宋" w:eastAsia="仿宋" w:cs="宋体"/>
          <w:snapToGrid w:val="0"/>
          <w:color w:val="000000"/>
          <w:kern w:val="0"/>
          <w:sz w:val="24"/>
          <w:szCs w:val="24"/>
        </w:rPr>
        <w:t>6、估价对象应享有公共部位的通行权、水电等共用设施及小区景观、绿化、配套设施的使用权。</w:t>
      </w:r>
    </w:p>
    <w:p>
      <w:pPr>
        <w:tabs>
          <w:tab w:val="left" w:pos="0"/>
        </w:tabs>
        <w:spacing w:line="4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7、估价对象作为住宅用途持续有效利用，是合法条件下的最佳用途，得到或将得到最有效运用，并与其他要素相结合，能满足设定使用年限内产生正常的、持续的收益。</w:t>
      </w:r>
    </w:p>
    <w:p>
      <w:pPr>
        <w:tabs>
          <w:tab w:val="left" w:pos="735"/>
        </w:tabs>
        <w:adjustRightInd w:val="0"/>
        <w:snapToGrid w:val="0"/>
        <w:spacing w:line="460" w:lineRule="atLeast"/>
        <w:rPr>
          <w:rFonts w:ascii="仿宋" w:hAnsi="仿宋" w:eastAsia="仿宋" w:cs="宋体"/>
          <w:b/>
          <w:snapToGrid w:val="0"/>
          <w:color w:val="000000"/>
          <w:kern w:val="0"/>
          <w:sz w:val="24"/>
          <w:szCs w:val="24"/>
        </w:rPr>
      </w:pPr>
      <w:bookmarkStart w:id="13" w:name="_Toc320173773"/>
      <w:bookmarkStart w:id="14" w:name="_Toc183593024"/>
      <w:bookmarkStart w:id="15" w:name="_Toc320184503"/>
      <w:bookmarkStart w:id="16" w:name="_Toc320276192"/>
      <w:r>
        <w:rPr>
          <w:rFonts w:hint="eastAsia" w:ascii="仿宋" w:hAnsi="仿宋" w:eastAsia="仿宋" w:cs="宋体"/>
          <w:b/>
          <w:snapToGrid w:val="0"/>
          <w:color w:val="000000"/>
          <w:kern w:val="0"/>
          <w:sz w:val="24"/>
          <w:szCs w:val="24"/>
        </w:rPr>
        <w:t>二、</w:t>
      </w:r>
      <w:r>
        <w:rPr>
          <w:rFonts w:hint="eastAsia" w:ascii="仿宋" w:hAnsi="仿宋" w:eastAsia="仿宋" w:cs="宋体"/>
          <w:b/>
          <w:snapToGrid w:val="0"/>
          <w:kern w:val="0"/>
          <w:sz w:val="24"/>
          <w:szCs w:val="24"/>
        </w:rPr>
        <w:t>本次估价未定事项假设</w:t>
      </w:r>
    </w:p>
    <w:p>
      <w:pPr>
        <w:tabs>
          <w:tab w:val="left" w:pos="735"/>
        </w:tabs>
        <w:adjustRightInd w:val="0"/>
        <w:snapToGrid w:val="0"/>
        <w:spacing w:line="460" w:lineRule="atLeast"/>
        <w:ind w:firstLine="480" w:firstLineChars="200"/>
        <w:rPr>
          <w:rFonts w:hint="eastAsia" w:ascii="仿宋" w:hAnsi="仿宋" w:eastAsia="仿宋" w:cs="宋体"/>
          <w:sz w:val="24"/>
          <w:szCs w:val="24"/>
        </w:rPr>
      </w:pPr>
      <w:r>
        <w:rPr>
          <w:rFonts w:hint="eastAsia" w:ascii="仿宋" w:hAnsi="仿宋" w:eastAsia="仿宋" w:cs="宋体"/>
          <w:sz w:val="24"/>
          <w:szCs w:val="24"/>
        </w:rPr>
        <w:t>1、估价对象</w:t>
      </w:r>
      <w:r>
        <w:rPr>
          <w:rFonts w:hint="eastAsia" w:ascii="仿宋" w:hAnsi="仿宋" w:eastAsia="仿宋" w:cs="宋体"/>
          <w:snapToGrid w:val="0"/>
          <w:color w:val="000000"/>
          <w:kern w:val="0"/>
          <w:sz w:val="24"/>
          <w:szCs w:val="24"/>
          <w:lang w:eastAsia="zh-CN"/>
        </w:rPr>
        <w:t>《房产登记信息查询情况说明》</w:t>
      </w:r>
      <w:r>
        <w:rPr>
          <w:rFonts w:hint="eastAsia" w:ascii="仿宋" w:hAnsi="仿宋" w:eastAsia="仿宋" w:cs="宋体"/>
          <w:sz w:val="24"/>
          <w:szCs w:val="24"/>
        </w:rPr>
        <w:t>未记载估价对象房屋的建成年份，经注册房地产估价师实地调查，房屋建成年份为</w:t>
      </w:r>
      <w:r>
        <w:rPr>
          <w:rFonts w:hint="eastAsia" w:ascii="仿宋" w:hAnsi="仿宋" w:eastAsia="仿宋" w:cs="宋体"/>
          <w:sz w:val="24"/>
          <w:szCs w:val="24"/>
          <w:lang w:eastAsia="zh-CN"/>
        </w:rPr>
        <w:t>2019年</w:t>
      </w:r>
      <w:r>
        <w:rPr>
          <w:rFonts w:hint="eastAsia" w:ascii="仿宋" w:hAnsi="仿宋" w:eastAsia="仿宋" w:cs="宋体"/>
          <w:sz w:val="24"/>
          <w:szCs w:val="24"/>
        </w:rPr>
        <w:t>，本次估价房屋建成年份以实际调查为准。</w:t>
      </w:r>
    </w:p>
    <w:p>
      <w:pPr>
        <w:tabs>
          <w:tab w:val="left" w:pos="735"/>
        </w:tabs>
        <w:adjustRightInd w:val="0"/>
        <w:snapToGrid w:val="0"/>
        <w:spacing w:line="460" w:lineRule="atLeast"/>
        <w:ind w:firstLine="480" w:firstLineChars="200"/>
        <w:rPr>
          <w:rFonts w:hint="eastAsia" w:ascii="仿宋" w:hAnsi="仿宋" w:eastAsia="仿宋" w:cs="宋体"/>
          <w:sz w:val="24"/>
          <w:szCs w:val="24"/>
        </w:rPr>
      </w:pPr>
      <w:r>
        <w:rPr>
          <w:rFonts w:hint="eastAsia" w:ascii="仿宋" w:hAnsi="仿宋" w:eastAsia="仿宋" w:cs="宋体"/>
          <w:sz w:val="24"/>
          <w:szCs w:val="24"/>
          <w:lang w:val="en-US" w:eastAsia="zh-CN"/>
        </w:rPr>
        <w:t>2</w:t>
      </w:r>
      <w:r>
        <w:rPr>
          <w:rFonts w:hint="eastAsia" w:ascii="仿宋" w:hAnsi="仿宋" w:eastAsia="仿宋" w:cs="宋体"/>
          <w:sz w:val="24"/>
          <w:szCs w:val="24"/>
        </w:rPr>
        <w:t>、由于估价委托人和案件当事人没有提供租赁权和用益物权信息，且注册房地产估价师无法知晓其真实性，故本次估价以估价对象没有租赁权和用益物权限制为假设前提。</w:t>
      </w:r>
    </w:p>
    <w:p>
      <w:pPr>
        <w:tabs>
          <w:tab w:val="left" w:pos="735"/>
        </w:tabs>
        <w:adjustRightInd w:val="0"/>
        <w:snapToGrid w:val="0"/>
        <w:spacing w:line="460" w:lineRule="atLeast"/>
        <w:rPr>
          <w:rFonts w:ascii="仿宋" w:hAnsi="仿宋" w:eastAsia="仿宋" w:cs="宋体"/>
          <w:b/>
          <w:snapToGrid w:val="0"/>
          <w:color w:val="000000"/>
          <w:kern w:val="0"/>
          <w:sz w:val="24"/>
          <w:szCs w:val="24"/>
        </w:rPr>
      </w:pPr>
      <w:r>
        <w:rPr>
          <w:rFonts w:hint="eastAsia" w:ascii="仿宋" w:hAnsi="仿宋" w:eastAsia="仿宋" w:cs="宋体"/>
          <w:b/>
          <w:snapToGrid w:val="0"/>
          <w:color w:val="000000"/>
          <w:kern w:val="0"/>
          <w:sz w:val="24"/>
          <w:szCs w:val="24"/>
        </w:rPr>
        <w:t>三、本次估价的背离事实假设</w:t>
      </w:r>
    </w:p>
    <w:p>
      <w:pPr>
        <w:tabs>
          <w:tab w:val="left" w:pos="735"/>
        </w:tabs>
        <w:adjustRightInd w:val="0"/>
        <w:snapToGrid w:val="0"/>
        <w:spacing w:line="460" w:lineRule="atLeast"/>
        <w:ind w:firstLine="480" w:firstLineChars="200"/>
        <w:rPr>
          <w:rFonts w:ascii="仿宋" w:hAnsi="仿宋" w:eastAsia="仿宋" w:cs="宋体"/>
          <w:b/>
          <w:snapToGrid w:val="0"/>
          <w:color w:val="000000"/>
          <w:kern w:val="0"/>
          <w:sz w:val="24"/>
          <w:szCs w:val="24"/>
        </w:rPr>
      </w:pPr>
      <w:r>
        <w:rPr>
          <w:rFonts w:hint="eastAsia" w:ascii="仿宋" w:hAnsi="仿宋" w:eastAsia="仿宋" w:cs="宋体"/>
          <w:color w:val="000000"/>
          <w:sz w:val="24"/>
          <w:szCs w:val="24"/>
        </w:rPr>
        <w:t>在价值时点，</w:t>
      </w:r>
      <w:r>
        <w:rPr>
          <w:rFonts w:hint="eastAsia" w:ascii="仿宋" w:hAnsi="仿宋" w:eastAsia="仿宋" w:cs="宋体"/>
          <w:sz w:val="24"/>
          <w:szCs w:val="24"/>
        </w:rPr>
        <w:t>估价对象存在抵押权及已被司法查封，本次估价未考虑估价对象抵押、司法查封因素的影响。</w:t>
      </w:r>
    </w:p>
    <w:p>
      <w:pPr>
        <w:tabs>
          <w:tab w:val="left" w:pos="735"/>
        </w:tabs>
        <w:adjustRightInd w:val="0"/>
        <w:snapToGrid w:val="0"/>
        <w:spacing w:line="460" w:lineRule="atLeast"/>
        <w:rPr>
          <w:rFonts w:ascii="仿宋" w:hAnsi="仿宋" w:eastAsia="仿宋" w:cs="宋体"/>
          <w:b/>
          <w:snapToGrid w:val="0"/>
          <w:kern w:val="0"/>
          <w:sz w:val="24"/>
          <w:szCs w:val="24"/>
        </w:rPr>
      </w:pPr>
      <w:r>
        <w:rPr>
          <w:rFonts w:hint="eastAsia" w:ascii="仿宋" w:hAnsi="仿宋" w:eastAsia="仿宋" w:cs="宋体"/>
          <w:b/>
          <w:snapToGrid w:val="0"/>
          <w:kern w:val="0"/>
          <w:sz w:val="24"/>
          <w:szCs w:val="24"/>
        </w:rPr>
        <w:t>四、本次估价不相一致假设</w:t>
      </w:r>
    </w:p>
    <w:p>
      <w:pPr>
        <w:tabs>
          <w:tab w:val="left" w:pos="735"/>
        </w:tabs>
        <w:adjustRightInd w:val="0"/>
        <w:snapToGrid w:val="0"/>
        <w:spacing w:line="460" w:lineRule="atLeast"/>
        <w:ind w:firstLine="480" w:firstLineChars="200"/>
        <w:rPr>
          <w:rFonts w:hint="eastAsia" w:ascii="仿宋" w:hAnsi="仿宋" w:eastAsia="仿宋" w:cs="宋体"/>
          <w:sz w:val="24"/>
          <w:szCs w:val="24"/>
        </w:rPr>
      </w:pPr>
      <w:r>
        <w:rPr>
          <w:rFonts w:hint="eastAsia" w:ascii="仿宋" w:hAnsi="仿宋" w:eastAsia="仿宋" w:cs="宋体"/>
          <w:sz w:val="24"/>
          <w:szCs w:val="24"/>
        </w:rPr>
        <w:t>估价对象</w:t>
      </w:r>
      <w:r>
        <w:rPr>
          <w:rFonts w:hint="eastAsia" w:ascii="仿宋" w:hAnsi="仿宋" w:eastAsia="仿宋" w:cs="宋体"/>
          <w:sz w:val="24"/>
          <w:szCs w:val="24"/>
          <w:lang w:val="en-US" w:eastAsia="zh-CN"/>
        </w:rPr>
        <w:t>1-3证载地址为</w:t>
      </w:r>
      <w:r>
        <w:rPr>
          <w:rFonts w:hint="eastAsia" w:ascii="仿宋" w:hAnsi="仿宋" w:eastAsia="仿宋" w:cs="宋体"/>
          <w:sz w:val="24"/>
          <w:szCs w:val="24"/>
          <w:lang w:eastAsia="zh-CN"/>
        </w:rPr>
        <w:t>富顺县龙万乡振兴街78号附</w:t>
      </w:r>
      <w:r>
        <w:rPr>
          <w:rFonts w:hint="eastAsia" w:ascii="仿宋" w:hAnsi="仿宋" w:eastAsia="仿宋" w:cs="宋体"/>
          <w:sz w:val="24"/>
          <w:szCs w:val="24"/>
          <w:lang w:val="en-US" w:eastAsia="zh-CN"/>
        </w:rPr>
        <w:t>2-2、</w:t>
      </w:r>
      <w:r>
        <w:rPr>
          <w:rFonts w:hint="eastAsia" w:ascii="仿宋" w:hAnsi="仿宋" w:eastAsia="仿宋" w:cs="宋体"/>
          <w:sz w:val="24"/>
          <w:szCs w:val="24"/>
          <w:lang w:eastAsia="zh-CN"/>
        </w:rPr>
        <w:t>富顺县龙万乡振兴街78号附</w:t>
      </w:r>
      <w:r>
        <w:rPr>
          <w:rFonts w:hint="eastAsia" w:ascii="仿宋" w:hAnsi="仿宋" w:eastAsia="仿宋" w:cs="宋体"/>
          <w:sz w:val="24"/>
          <w:szCs w:val="24"/>
          <w:lang w:val="en-US" w:eastAsia="zh-CN"/>
        </w:rPr>
        <w:t>3-1、</w:t>
      </w:r>
      <w:r>
        <w:rPr>
          <w:rFonts w:hint="eastAsia" w:ascii="仿宋" w:hAnsi="仿宋" w:eastAsia="仿宋" w:cs="宋体"/>
          <w:sz w:val="24"/>
          <w:szCs w:val="24"/>
          <w:lang w:eastAsia="zh-CN"/>
        </w:rPr>
        <w:t>富顺县龙万乡振兴街78号附</w:t>
      </w:r>
      <w:r>
        <w:rPr>
          <w:rFonts w:hint="eastAsia" w:ascii="仿宋" w:hAnsi="仿宋" w:eastAsia="仿宋" w:cs="宋体"/>
          <w:sz w:val="24"/>
          <w:szCs w:val="24"/>
          <w:lang w:val="en-US" w:eastAsia="zh-CN"/>
        </w:rPr>
        <w:t>3-2</w:t>
      </w:r>
      <w:r>
        <w:rPr>
          <w:rFonts w:hint="eastAsia" w:ascii="仿宋" w:hAnsi="仿宋" w:eastAsia="仿宋" w:cs="宋体"/>
          <w:sz w:val="24"/>
          <w:szCs w:val="24"/>
        </w:rPr>
        <w:t>，</w:t>
      </w:r>
      <w:r>
        <w:rPr>
          <w:rFonts w:hint="eastAsia" w:ascii="仿宋" w:hAnsi="仿宋" w:eastAsia="仿宋" w:cs="宋体"/>
          <w:sz w:val="24"/>
          <w:szCs w:val="24"/>
          <w:lang w:val="en-US" w:eastAsia="zh-CN"/>
        </w:rPr>
        <w:t>现场查勘未见房号，</w:t>
      </w:r>
      <w:r>
        <w:rPr>
          <w:rFonts w:hint="eastAsia" w:ascii="仿宋" w:hAnsi="仿宋" w:eastAsia="仿宋" w:cs="宋体"/>
          <w:sz w:val="24"/>
          <w:szCs w:val="24"/>
        </w:rPr>
        <w:t>本次估价假定证载</w:t>
      </w:r>
      <w:r>
        <w:rPr>
          <w:rFonts w:hint="eastAsia" w:ascii="仿宋" w:hAnsi="仿宋" w:eastAsia="仿宋" w:cs="宋体"/>
          <w:sz w:val="24"/>
          <w:szCs w:val="24"/>
          <w:lang w:val="en-US" w:eastAsia="zh-CN"/>
        </w:rPr>
        <w:t>房号</w:t>
      </w:r>
      <w:r>
        <w:rPr>
          <w:rFonts w:hint="eastAsia" w:ascii="仿宋" w:hAnsi="仿宋" w:eastAsia="仿宋" w:cs="宋体"/>
          <w:sz w:val="24"/>
          <w:szCs w:val="24"/>
        </w:rPr>
        <w:t>与实际查勘</w:t>
      </w:r>
      <w:r>
        <w:rPr>
          <w:rFonts w:hint="eastAsia" w:ascii="仿宋" w:hAnsi="仿宋" w:eastAsia="仿宋" w:cs="宋体"/>
          <w:sz w:val="24"/>
          <w:szCs w:val="24"/>
          <w:lang w:val="en-US" w:eastAsia="zh-CN"/>
        </w:rPr>
        <w:t>房屋</w:t>
      </w:r>
      <w:r>
        <w:rPr>
          <w:rFonts w:hint="eastAsia" w:ascii="仿宋" w:hAnsi="仿宋" w:eastAsia="仿宋" w:cs="宋体"/>
          <w:sz w:val="24"/>
          <w:szCs w:val="24"/>
        </w:rPr>
        <w:t>为同一</w:t>
      </w:r>
      <w:r>
        <w:rPr>
          <w:rFonts w:hint="eastAsia" w:ascii="仿宋" w:hAnsi="仿宋" w:eastAsia="仿宋" w:cs="宋体"/>
          <w:sz w:val="24"/>
          <w:szCs w:val="24"/>
          <w:lang w:val="en-US" w:eastAsia="zh-CN"/>
        </w:rPr>
        <w:t>房屋</w:t>
      </w:r>
      <w:r>
        <w:rPr>
          <w:rFonts w:hint="eastAsia" w:ascii="仿宋" w:hAnsi="仿宋" w:eastAsia="仿宋" w:cs="宋体"/>
          <w:sz w:val="24"/>
          <w:szCs w:val="24"/>
        </w:rPr>
        <w:t>，即所指的均为同一标的物。</w:t>
      </w:r>
    </w:p>
    <w:p>
      <w:pPr>
        <w:tabs>
          <w:tab w:val="left" w:pos="735"/>
        </w:tabs>
        <w:adjustRightInd w:val="0"/>
        <w:snapToGrid w:val="0"/>
        <w:spacing w:line="460" w:lineRule="atLeast"/>
        <w:rPr>
          <w:rStyle w:val="41"/>
        </w:rPr>
      </w:pPr>
      <w:r>
        <w:rPr>
          <w:rFonts w:hint="eastAsia" w:ascii="仿宋" w:hAnsi="仿宋" w:eastAsia="仿宋" w:cs="宋体"/>
          <w:b/>
          <w:bCs/>
          <w:color w:val="000000"/>
          <w:sz w:val="24"/>
          <w:szCs w:val="24"/>
        </w:rPr>
        <w:t>五、本次</w:t>
      </w:r>
      <w:r>
        <w:rPr>
          <w:rFonts w:hint="eastAsia" w:ascii="仿宋" w:hAnsi="仿宋" w:eastAsia="仿宋" w:cs="宋体"/>
          <w:b/>
          <w:snapToGrid w:val="0"/>
          <w:color w:val="000000"/>
          <w:kern w:val="0"/>
          <w:sz w:val="24"/>
          <w:szCs w:val="24"/>
        </w:rPr>
        <w:t>估</w:t>
      </w:r>
      <w:r>
        <w:rPr>
          <w:rFonts w:hint="eastAsia" w:ascii="仿宋" w:hAnsi="仿宋" w:eastAsia="仿宋" w:cs="宋体"/>
          <w:b/>
          <w:bCs/>
          <w:color w:val="000000"/>
          <w:sz w:val="24"/>
          <w:szCs w:val="24"/>
        </w:rPr>
        <w:t>价的依据不足假设</w:t>
      </w:r>
    </w:p>
    <w:p>
      <w:pPr>
        <w:spacing w:line="4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估价委托人未能提供估价对象</w:t>
      </w:r>
      <w:r>
        <w:rPr>
          <w:rFonts w:hint="eastAsia" w:ascii="仿宋" w:hAnsi="仿宋" w:eastAsia="仿宋" w:cs="宋体"/>
          <w:color w:val="000000"/>
          <w:sz w:val="24"/>
          <w:szCs w:val="24"/>
          <w:lang w:eastAsia="zh-CN"/>
        </w:rPr>
        <w:t>《房产登记信息查询情况说明》</w:t>
      </w:r>
      <w:r>
        <w:rPr>
          <w:rFonts w:hint="eastAsia" w:ascii="仿宋" w:hAnsi="仿宋" w:eastAsia="仿宋" w:cs="宋体"/>
          <w:color w:val="000000"/>
          <w:sz w:val="24"/>
          <w:szCs w:val="24"/>
        </w:rPr>
        <w:t>原件，本次估价假定其复印件内容与原件内容完全一致。</w:t>
      </w:r>
    </w:p>
    <w:p>
      <w:pPr>
        <w:numPr>
          <w:ilvl w:val="0"/>
          <w:numId w:val="3"/>
        </w:numPr>
        <w:spacing w:line="460" w:lineRule="atLeast"/>
        <w:rPr>
          <w:rFonts w:ascii="仿宋" w:hAnsi="仿宋" w:eastAsia="仿宋" w:cs="宋体"/>
          <w:b/>
          <w:snapToGrid w:val="0"/>
          <w:color w:val="000000"/>
          <w:kern w:val="0"/>
          <w:sz w:val="24"/>
          <w:szCs w:val="24"/>
        </w:rPr>
      </w:pPr>
      <w:r>
        <w:rPr>
          <w:rFonts w:hint="eastAsia" w:ascii="仿宋" w:hAnsi="仿宋" w:eastAsia="仿宋" w:cs="宋体"/>
          <w:b/>
          <w:snapToGrid w:val="0"/>
          <w:color w:val="000000"/>
          <w:kern w:val="0"/>
          <w:sz w:val="24"/>
          <w:szCs w:val="24"/>
        </w:rPr>
        <w:t>估价报告使用限制</w:t>
      </w:r>
    </w:p>
    <w:p>
      <w:pPr>
        <w:spacing w:line="4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1、本估价报告使用期限自估价报告出具之日起壹年，即</w:t>
      </w:r>
      <w:r>
        <w:rPr>
          <w:rFonts w:hint="eastAsia" w:ascii="仿宋" w:hAnsi="仿宋" w:eastAsia="仿宋" w:cs="宋体"/>
          <w:color w:val="000000"/>
          <w:sz w:val="24"/>
          <w:szCs w:val="24"/>
          <w:lang w:eastAsia="zh-CN"/>
        </w:rPr>
        <w:t>2020年10月22日</w:t>
      </w:r>
      <w:r>
        <w:rPr>
          <w:rFonts w:hint="eastAsia" w:ascii="仿宋" w:hAnsi="仿宋" w:eastAsia="仿宋" w:cs="宋体"/>
          <w:color w:val="000000"/>
          <w:sz w:val="24"/>
          <w:szCs w:val="24"/>
        </w:rPr>
        <w:t>至</w:t>
      </w:r>
      <w:r>
        <w:rPr>
          <w:rFonts w:hint="eastAsia" w:ascii="仿宋" w:hAnsi="仿宋" w:eastAsia="仿宋" w:cs="宋体"/>
          <w:color w:val="000000"/>
          <w:sz w:val="24"/>
          <w:szCs w:val="24"/>
          <w:lang w:eastAsia="zh-CN"/>
        </w:rPr>
        <w:t>2021年10月21日</w:t>
      </w:r>
      <w:r>
        <w:rPr>
          <w:rFonts w:hint="eastAsia" w:ascii="仿宋" w:hAnsi="仿宋" w:eastAsia="仿宋" w:cs="宋体"/>
          <w:color w:val="000000"/>
          <w:sz w:val="24"/>
          <w:szCs w:val="24"/>
        </w:rPr>
        <w:t>。若报告使用期限内，房地产市场或估价对象状况发生重大变化，估价结果需做相应调整或委托估价机构重新估价。</w:t>
      </w:r>
    </w:p>
    <w:p>
      <w:pPr>
        <w:spacing w:line="460" w:lineRule="atLeast"/>
        <w:ind w:firstLine="480" w:firstLineChars="200"/>
        <w:rPr>
          <w:rFonts w:ascii="仿宋" w:hAnsi="仿宋" w:eastAsia="仿宋"/>
          <w:snapToGrid w:val="0"/>
          <w:kern w:val="0"/>
          <w:sz w:val="24"/>
          <w:szCs w:val="24"/>
        </w:rPr>
      </w:pPr>
      <w:r>
        <w:rPr>
          <w:rFonts w:hint="eastAsia" w:ascii="仿宋" w:hAnsi="仿宋" w:eastAsia="仿宋" w:cs="宋体"/>
          <w:color w:val="000000"/>
          <w:sz w:val="24"/>
          <w:szCs w:val="24"/>
        </w:rPr>
        <w:t>2</w:t>
      </w:r>
      <w:r>
        <w:rPr>
          <w:rFonts w:hint="eastAsia" w:ascii="仿宋" w:hAnsi="仿宋" w:eastAsia="仿宋" w:cs="宋体"/>
          <w:snapToGrid w:val="0"/>
          <w:color w:val="000000"/>
          <w:kern w:val="0"/>
          <w:sz w:val="24"/>
          <w:szCs w:val="24"/>
        </w:rPr>
        <w:t>、</w:t>
      </w:r>
      <w:r>
        <w:rPr>
          <w:rFonts w:hint="eastAsia" w:ascii="仿宋" w:hAnsi="仿宋" w:eastAsia="仿宋" w:cs="宋体"/>
          <w:color w:val="000000"/>
          <w:sz w:val="24"/>
          <w:szCs w:val="24"/>
        </w:rPr>
        <w:t>估价结果为房地产市场价值，包括</w:t>
      </w:r>
      <w:r>
        <w:rPr>
          <w:rFonts w:hint="eastAsia" w:ascii="仿宋" w:hAnsi="仿宋" w:eastAsia="仿宋"/>
          <w:snapToGrid w:val="0"/>
          <w:kern w:val="0"/>
          <w:sz w:val="24"/>
          <w:szCs w:val="24"/>
        </w:rPr>
        <w:t>房屋、分摊相应土地使用权和必要的设备设施,遵循权利主体一致原则，分割处置该估价结果无效。</w:t>
      </w:r>
    </w:p>
    <w:p>
      <w:pPr>
        <w:spacing w:line="460" w:lineRule="atLeast"/>
        <w:ind w:firstLine="480" w:firstLineChars="200"/>
        <w:rPr>
          <w:rFonts w:ascii="仿宋" w:hAnsi="仿宋" w:eastAsia="仿宋" w:cs="宋体"/>
          <w:snapToGrid w:val="0"/>
          <w:color w:val="000000"/>
          <w:kern w:val="0"/>
          <w:sz w:val="24"/>
          <w:szCs w:val="24"/>
        </w:rPr>
      </w:pPr>
      <w:r>
        <w:rPr>
          <w:rFonts w:hint="eastAsia" w:ascii="仿宋" w:hAnsi="仿宋" w:eastAsia="仿宋" w:cs="宋体"/>
          <w:sz w:val="24"/>
          <w:szCs w:val="24"/>
        </w:rPr>
        <w:t>3</w:t>
      </w:r>
      <w:r>
        <w:rPr>
          <w:rFonts w:hint="eastAsia" w:ascii="仿宋" w:hAnsi="仿宋" w:eastAsia="仿宋" w:cs="宋体"/>
          <w:snapToGrid w:val="0"/>
          <w:kern w:val="0"/>
          <w:sz w:val="24"/>
          <w:szCs w:val="24"/>
        </w:rPr>
        <w:t>、</w:t>
      </w:r>
      <w:r>
        <w:rPr>
          <w:rFonts w:hint="eastAsia" w:ascii="仿宋" w:hAnsi="仿宋" w:eastAsia="仿宋" w:cs="宋体"/>
          <w:sz w:val="24"/>
          <w:szCs w:val="24"/>
        </w:rPr>
        <w:t>本估价报告估价结果</w:t>
      </w:r>
      <w:r>
        <w:rPr>
          <w:rFonts w:hint="eastAsia" w:ascii="仿宋" w:hAnsi="仿宋" w:eastAsia="仿宋" w:cs="宋体"/>
          <w:snapToGrid w:val="0"/>
          <w:kern w:val="0"/>
          <w:sz w:val="24"/>
          <w:szCs w:val="24"/>
        </w:rPr>
        <w:t>仅</w:t>
      </w:r>
      <w:r>
        <w:rPr>
          <w:rFonts w:hint="eastAsia" w:ascii="仿宋" w:hAnsi="仿宋" w:eastAsia="仿宋" w:cs="宋体"/>
          <w:sz w:val="24"/>
          <w:szCs w:val="24"/>
        </w:rPr>
        <w:t>为司法拍卖（变卖）</w:t>
      </w:r>
      <w:r>
        <w:rPr>
          <w:rFonts w:hint="eastAsia" w:ascii="仿宋" w:hAnsi="仿宋" w:eastAsia="仿宋" w:cs="宋体"/>
          <w:snapToGrid w:val="0"/>
          <w:kern w:val="0"/>
          <w:sz w:val="24"/>
          <w:szCs w:val="24"/>
        </w:rPr>
        <w:t>提供价值参考依据，</w:t>
      </w:r>
      <w:r>
        <w:rPr>
          <w:rFonts w:hint="eastAsia" w:ascii="仿宋" w:hAnsi="仿宋" w:eastAsia="仿宋" w:cs="宋体"/>
          <w:snapToGrid w:val="0"/>
          <w:color w:val="000000"/>
          <w:kern w:val="0"/>
          <w:sz w:val="24"/>
          <w:szCs w:val="24"/>
        </w:rPr>
        <w:t>按照既定目的提供给估价委托人使用，若改变估价目的及使用条件，需向本公司咨询后作必要调整甚至重新估价。</w:t>
      </w:r>
    </w:p>
    <w:p>
      <w:pPr>
        <w:spacing w:line="4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4</w:t>
      </w:r>
      <w:r>
        <w:rPr>
          <w:rFonts w:hint="eastAsia" w:ascii="仿宋" w:hAnsi="仿宋" w:eastAsia="仿宋" w:cs="宋体"/>
          <w:snapToGrid w:val="0"/>
          <w:color w:val="000000"/>
          <w:kern w:val="0"/>
          <w:sz w:val="24"/>
          <w:szCs w:val="24"/>
        </w:rPr>
        <w:t>、</w:t>
      </w:r>
      <w:r>
        <w:rPr>
          <w:rFonts w:hint="eastAsia" w:ascii="仿宋" w:hAnsi="仿宋" w:eastAsia="仿宋" w:cs="宋体"/>
          <w:color w:val="000000"/>
          <w:sz w:val="24"/>
          <w:szCs w:val="24"/>
        </w:rPr>
        <w:t>本估价报告分为估价结果报告和估价技术报告两部分，估价结果报告提供给估价委托人，估价技术报告根据有关规定由估价机构存档并在必要时提供给相关主管部门审查使用。</w:t>
      </w:r>
    </w:p>
    <w:p>
      <w:pPr>
        <w:spacing w:line="4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5</w:t>
      </w:r>
      <w:r>
        <w:rPr>
          <w:rFonts w:hint="eastAsia" w:ascii="仿宋" w:hAnsi="仿宋" w:eastAsia="仿宋" w:cs="宋体"/>
          <w:snapToGrid w:val="0"/>
          <w:color w:val="000000"/>
          <w:kern w:val="0"/>
          <w:sz w:val="24"/>
          <w:szCs w:val="24"/>
        </w:rPr>
        <w:t>、</w:t>
      </w:r>
      <w:r>
        <w:rPr>
          <w:rFonts w:hint="eastAsia" w:ascii="仿宋" w:hAnsi="仿宋" w:eastAsia="仿宋" w:cs="宋体"/>
          <w:color w:val="000000"/>
          <w:sz w:val="24"/>
          <w:szCs w:val="24"/>
        </w:rPr>
        <w:t>未经估价机构书面同意，本估价报告的全部和部分及任何参考资料均不允许在任何公开发表的文件、通知或声明中引用，亦不得以其他任何方式公开发表。</w:t>
      </w:r>
    </w:p>
    <w:p>
      <w:pPr>
        <w:pStyle w:val="8"/>
        <w:spacing w:line="460" w:lineRule="atLeast"/>
        <w:ind w:firstLine="480" w:firstLineChars="200"/>
        <w:rPr>
          <w:rFonts w:ascii="仿宋" w:hAnsi="仿宋" w:eastAsia="仿宋" w:cs="宋体"/>
          <w:color w:val="000000"/>
          <w:sz w:val="24"/>
          <w:szCs w:val="24"/>
        </w:rPr>
      </w:pPr>
      <w:r>
        <w:rPr>
          <w:rFonts w:hint="eastAsia" w:ascii="仿宋" w:hAnsi="仿宋" w:eastAsia="仿宋" w:cs="宋体"/>
          <w:snapToGrid w:val="0"/>
          <w:color w:val="000000"/>
          <w:kern w:val="0"/>
          <w:sz w:val="24"/>
          <w:szCs w:val="24"/>
        </w:rPr>
        <w:t>6、</w:t>
      </w:r>
      <w:r>
        <w:rPr>
          <w:rFonts w:hint="eastAsia" w:ascii="仿宋" w:hAnsi="仿宋" w:eastAsia="仿宋" w:cs="宋体"/>
          <w:color w:val="000000"/>
          <w:sz w:val="24"/>
          <w:szCs w:val="24"/>
        </w:rPr>
        <w:t>本报告必须完整使用方为有效，对仅使用报告中的部</w:t>
      </w:r>
      <w:r>
        <w:rPr>
          <w:rFonts w:hint="eastAsia" w:ascii="仿宋" w:hAnsi="仿宋" w:eastAsia="仿宋" w:cs="宋体"/>
          <w:color w:val="0000FF"/>
          <w:sz w:val="24"/>
          <w:szCs w:val="24"/>
        </w:rPr>
        <w:t>分</w:t>
      </w:r>
      <w:r>
        <w:rPr>
          <w:rFonts w:hint="eastAsia" w:ascii="仿宋" w:hAnsi="仿宋" w:eastAsia="仿宋" w:cs="宋体"/>
          <w:color w:val="000000"/>
          <w:sz w:val="24"/>
          <w:szCs w:val="24"/>
        </w:rPr>
        <w:t>内容或者违规使用本估价报告和估价结果，所导致的有关损失或者法律后果由有关责任方自行承担，本估价机构及本估价报告签字估价师不承担任何责任。本公司保留对违规使用本估价报告和估价结果的有关责任方追究相关法律责任的权利。</w:t>
      </w:r>
    </w:p>
    <w:p>
      <w:pPr>
        <w:spacing w:line="4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7、估价过程中遇到非估价人员执业水平和能力所能评定估算的不确定性因素、或有事项等，估价人员和估价机构对此类事项不承担任何责任。</w:t>
      </w:r>
      <w:r>
        <w:rPr>
          <w:rFonts w:hint="eastAsia" w:ascii="仿宋" w:hAnsi="仿宋" w:eastAsia="仿宋" w:cs="宋体"/>
          <w:snapToGrid w:val="0"/>
          <w:color w:val="000000"/>
          <w:kern w:val="0"/>
          <w:sz w:val="24"/>
          <w:szCs w:val="24"/>
        </w:rPr>
        <w:t>本估价报告仅是在报告中说明的假设条件下对估价对象正常市场价值进行的合理估算，报告中对估价对象权属情况的披露不能作为对其权属确认的依据，估价对象权属界定以有权管理部门认定为准。</w:t>
      </w:r>
    </w:p>
    <w:p>
      <w:pPr>
        <w:spacing w:line="4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8、鉴定估价的基本事项通过当事人的《</w:t>
      </w:r>
      <w:r>
        <w:rPr>
          <w:rFonts w:ascii="仿宋" w:hAnsi="仿宋" w:eastAsia="仿宋" w:cs="宋体"/>
          <w:color w:val="000000"/>
          <w:sz w:val="24"/>
          <w:szCs w:val="24"/>
        </w:rPr>
        <w:t>房地产司法</w:t>
      </w:r>
      <w:r>
        <w:rPr>
          <w:rFonts w:hint="eastAsia" w:ascii="仿宋" w:hAnsi="仿宋" w:eastAsia="仿宋" w:cs="宋体"/>
          <w:color w:val="000000"/>
          <w:sz w:val="24"/>
          <w:szCs w:val="24"/>
        </w:rPr>
        <w:t>鉴定</w:t>
      </w:r>
      <w:r>
        <w:rPr>
          <w:rFonts w:ascii="仿宋" w:hAnsi="仿宋" w:eastAsia="仿宋" w:cs="宋体"/>
          <w:color w:val="000000"/>
          <w:sz w:val="24"/>
          <w:szCs w:val="24"/>
        </w:rPr>
        <w:t>评估风险告知书</w:t>
      </w:r>
      <w:r>
        <w:rPr>
          <w:rFonts w:hint="eastAsia" w:ascii="仿宋" w:hAnsi="仿宋" w:eastAsia="仿宋" w:cs="宋体"/>
          <w:color w:val="000000"/>
          <w:sz w:val="24"/>
          <w:szCs w:val="24"/>
        </w:rPr>
        <w:t>》确定，</w:t>
      </w:r>
      <w:r>
        <w:rPr>
          <w:rFonts w:ascii="仿宋" w:hAnsi="仿宋" w:eastAsia="仿宋" w:cs="宋体"/>
          <w:color w:val="000000"/>
          <w:sz w:val="24"/>
          <w:szCs w:val="24"/>
        </w:rPr>
        <w:t>当事人明确</w:t>
      </w:r>
      <w:r>
        <w:rPr>
          <w:rFonts w:hint="eastAsia" w:ascii="仿宋" w:hAnsi="仿宋" w:eastAsia="仿宋" w:cs="宋体"/>
          <w:color w:val="000000"/>
          <w:sz w:val="24"/>
          <w:szCs w:val="24"/>
        </w:rPr>
        <w:t>知悉</w:t>
      </w:r>
      <w:r>
        <w:rPr>
          <w:rFonts w:ascii="仿宋" w:hAnsi="仿宋" w:eastAsia="仿宋" w:cs="宋体"/>
          <w:color w:val="000000"/>
          <w:sz w:val="24"/>
          <w:szCs w:val="24"/>
        </w:rPr>
        <w:t>自己应履行的配合义务及不履行该义务可能承担的不利后果</w:t>
      </w:r>
      <w:r>
        <w:rPr>
          <w:rFonts w:hint="eastAsia" w:ascii="仿宋" w:hAnsi="仿宋" w:eastAsia="仿宋" w:cs="宋体"/>
          <w:color w:val="000000"/>
          <w:sz w:val="24"/>
          <w:szCs w:val="24"/>
        </w:rPr>
        <w:t>。本次估价所涉权属资料（</w:t>
      </w:r>
      <w:r>
        <w:rPr>
          <w:rFonts w:hint="eastAsia" w:ascii="仿宋" w:hAnsi="仿宋" w:eastAsia="仿宋" w:cs="宋体"/>
          <w:sz w:val="24"/>
          <w:szCs w:val="24"/>
          <w:lang w:eastAsia="zh-CN"/>
        </w:rPr>
        <w:t>《房产登记信息查询情况说明》</w:t>
      </w:r>
      <w:r>
        <w:rPr>
          <w:rFonts w:hint="eastAsia" w:ascii="仿宋" w:hAnsi="仿宋" w:eastAsia="仿宋" w:cs="宋体"/>
          <w:color w:val="000000"/>
          <w:sz w:val="24"/>
          <w:szCs w:val="24"/>
        </w:rPr>
        <w:t>）为</w:t>
      </w:r>
      <w:r>
        <w:rPr>
          <w:rFonts w:ascii="仿宋" w:hAnsi="仿宋" w:eastAsia="仿宋" w:cs="宋体"/>
          <w:color w:val="000000"/>
          <w:sz w:val="24"/>
          <w:szCs w:val="24"/>
        </w:rPr>
        <w:t>经当事人质证</w:t>
      </w:r>
      <w:r>
        <w:rPr>
          <w:rFonts w:hint="eastAsia" w:ascii="仿宋" w:hAnsi="仿宋" w:eastAsia="仿宋" w:cs="宋体"/>
          <w:color w:val="000000"/>
          <w:sz w:val="24"/>
          <w:szCs w:val="24"/>
          <w:lang w:eastAsia="zh-CN"/>
        </w:rPr>
        <w:t>四川省富顺县人民法院</w:t>
      </w:r>
      <w:r>
        <w:rPr>
          <w:rFonts w:ascii="仿宋" w:hAnsi="仿宋" w:eastAsia="仿宋" w:cs="宋体"/>
          <w:color w:val="000000"/>
          <w:sz w:val="24"/>
          <w:szCs w:val="24"/>
        </w:rPr>
        <w:t>认定的</w:t>
      </w:r>
      <w:r>
        <w:rPr>
          <w:rFonts w:hint="eastAsia" w:ascii="仿宋" w:hAnsi="仿宋" w:eastAsia="仿宋" w:cs="宋体"/>
          <w:color w:val="000000"/>
          <w:sz w:val="24"/>
          <w:szCs w:val="24"/>
        </w:rPr>
        <w:t>鉴定</w:t>
      </w:r>
      <w:r>
        <w:rPr>
          <w:rFonts w:ascii="仿宋" w:hAnsi="仿宋" w:eastAsia="仿宋" w:cs="宋体"/>
          <w:color w:val="000000"/>
          <w:sz w:val="24"/>
          <w:szCs w:val="24"/>
        </w:rPr>
        <w:t>评估资料，</w:t>
      </w:r>
      <w:r>
        <w:rPr>
          <w:rFonts w:hint="eastAsia" w:ascii="仿宋" w:hAnsi="仿宋" w:eastAsia="仿宋" w:cs="宋体"/>
          <w:color w:val="000000"/>
          <w:sz w:val="24"/>
          <w:szCs w:val="24"/>
        </w:rPr>
        <w:t>估价依据及相关参数资料为</w:t>
      </w:r>
      <w:r>
        <w:rPr>
          <w:rFonts w:ascii="仿宋" w:hAnsi="仿宋" w:eastAsia="仿宋" w:cs="宋体"/>
          <w:color w:val="000000"/>
          <w:sz w:val="24"/>
          <w:szCs w:val="24"/>
        </w:rPr>
        <w:t>注册房地产估价师调查核实的资料</w:t>
      </w:r>
      <w:r>
        <w:rPr>
          <w:rFonts w:hint="eastAsia" w:ascii="仿宋" w:hAnsi="仿宋" w:eastAsia="仿宋" w:cs="宋体"/>
          <w:color w:val="000000"/>
          <w:sz w:val="24"/>
          <w:szCs w:val="24"/>
        </w:rPr>
        <w:t>。</w:t>
      </w:r>
    </w:p>
    <w:p>
      <w:pPr>
        <w:spacing w:line="4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9、其他事项说明：</w:t>
      </w:r>
    </w:p>
    <w:p>
      <w:pPr>
        <w:tabs>
          <w:tab w:val="left" w:pos="735"/>
        </w:tabs>
        <w:adjustRightInd w:val="0"/>
        <w:snapToGrid w:val="0"/>
        <w:spacing w:line="460" w:lineRule="atLeas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本次估价估价委托人和案件当事人没有提供估价对象的租赁情况，若存在租赁，依据《合同法》第229条和《民通意见》119条有关规定，遵循“买卖不破租赁”，买受人应当对租约，以及履约情况进行判断和予以关注。</w:t>
      </w:r>
    </w:p>
    <w:p>
      <w:pPr>
        <w:tabs>
          <w:tab w:val="left" w:pos="735"/>
        </w:tabs>
        <w:adjustRightInd w:val="0"/>
        <w:snapToGrid w:val="0"/>
        <w:spacing w:line="460" w:lineRule="atLeas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lang w:val="en-US" w:eastAsia="zh-CN"/>
        </w:rPr>
        <w:t>2</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会发生变化。</w:t>
      </w:r>
    </w:p>
    <w:p>
      <w:pPr>
        <w:tabs>
          <w:tab w:val="left" w:pos="735"/>
        </w:tabs>
        <w:adjustRightInd w:val="0"/>
        <w:snapToGrid w:val="0"/>
        <w:spacing w:line="460" w:lineRule="atLeast"/>
        <w:ind w:firstLine="480" w:firstLineChars="200"/>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lang w:val="en-US" w:eastAsia="zh-CN"/>
        </w:rPr>
        <w:t>3</w:t>
      </w:r>
      <w:r>
        <w:rPr>
          <w:rFonts w:hint="eastAsia" w:ascii="仿宋" w:hAnsi="仿宋" w:eastAsia="仿宋" w:cs="宋体"/>
          <w:color w:val="000000"/>
          <w:sz w:val="24"/>
          <w:szCs w:val="24"/>
          <w:lang w:eastAsia="zh-CN"/>
        </w:rPr>
        <w:t>）</w:t>
      </w:r>
      <w:r>
        <w:rPr>
          <w:rFonts w:hint="eastAsia" w:ascii="仿宋" w:hAnsi="仿宋" w:eastAsia="仿宋" w:cs="宋体"/>
          <w:sz w:val="24"/>
          <w:szCs w:val="24"/>
        </w:rPr>
        <w:t>估价对象</w:t>
      </w:r>
      <w:r>
        <w:rPr>
          <w:rFonts w:hint="eastAsia" w:ascii="仿宋" w:hAnsi="仿宋" w:eastAsia="仿宋" w:cs="宋体"/>
          <w:sz w:val="24"/>
          <w:szCs w:val="24"/>
          <w:lang w:val="en-US" w:eastAsia="zh-CN"/>
        </w:rPr>
        <w:t>1-3证载地址为</w:t>
      </w:r>
      <w:r>
        <w:rPr>
          <w:rFonts w:hint="eastAsia" w:ascii="仿宋" w:hAnsi="仿宋" w:eastAsia="仿宋" w:cs="宋体"/>
          <w:sz w:val="24"/>
          <w:szCs w:val="24"/>
          <w:lang w:eastAsia="zh-CN"/>
        </w:rPr>
        <w:t>富顺县龙万乡振兴街78号附</w:t>
      </w:r>
      <w:r>
        <w:rPr>
          <w:rFonts w:hint="eastAsia" w:ascii="仿宋" w:hAnsi="仿宋" w:eastAsia="仿宋" w:cs="宋体"/>
          <w:sz w:val="24"/>
          <w:szCs w:val="24"/>
          <w:lang w:val="en-US" w:eastAsia="zh-CN"/>
        </w:rPr>
        <w:t>2-2、</w:t>
      </w:r>
      <w:r>
        <w:rPr>
          <w:rFonts w:hint="eastAsia" w:ascii="仿宋" w:hAnsi="仿宋" w:eastAsia="仿宋" w:cs="宋体"/>
          <w:sz w:val="24"/>
          <w:szCs w:val="24"/>
          <w:lang w:eastAsia="zh-CN"/>
        </w:rPr>
        <w:t>富顺县龙万乡振兴街78号附</w:t>
      </w:r>
      <w:r>
        <w:rPr>
          <w:rFonts w:hint="eastAsia" w:ascii="仿宋" w:hAnsi="仿宋" w:eastAsia="仿宋" w:cs="宋体"/>
          <w:sz w:val="24"/>
          <w:szCs w:val="24"/>
          <w:lang w:val="en-US" w:eastAsia="zh-CN"/>
        </w:rPr>
        <w:t>3-1、</w:t>
      </w:r>
      <w:r>
        <w:rPr>
          <w:rFonts w:hint="eastAsia" w:ascii="仿宋" w:hAnsi="仿宋" w:eastAsia="仿宋" w:cs="宋体"/>
          <w:sz w:val="24"/>
          <w:szCs w:val="24"/>
          <w:lang w:eastAsia="zh-CN"/>
        </w:rPr>
        <w:t>富顺县龙万乡振兴街78号附</w:t>
      </w:r>
      <w:r>
        <w:rPr>
          <w:rFonts w:hint="eastAsia" w:ascii="仿宋" w:hAnsi="仿宋" w:eastAsia="仿宋" w:cs="宋体"/>
          <w:sz w:val="24"/>
          <w:szCs w:val="24"/>
          <w:lang w:val="en-US" w:eastAsia="zh-CN"/>
        </w:rPr>
        <w:t>3-2</w:t>
      </w:r>
      <w:r>
        <w:rPr>
          <w:rFonts w:hint="eastAsia" w:ascii="仿宋" w:hAnsi="仿宋" w:eastAsia="仿宋" w:cs="宋体"/>
          <w:sz w:val="24"/>
          <w:szCs w:val="24"/>
        </w:rPr>
        <w:t>，</w:t>
      </w:r>
      <w:r>
        <w:rPr>
          <w:rFonts w:hint="eastAsia" w:ascii="仿宋" w:hAnsi="仿宋" w:eastAsia="仿宋" w:cs="宋体"/>
          <w:sz w:val="24"/>
          <w:szCs w:val="24"/>
          <w:lang w:val="en-US" w:eastAsia="zh-CN"/>
        </w:rPr>
        <w:t>现场查勘未见房号</w:t>
      </w:r>
      <w:r>
        <w:rPr>
          <w:rFonts w:hint="eastAsia" w:ascii="仿宋" w:hAnsi="仿宋" w:eastAsia="仿宋" w:cs="宋体"/>
          <w:color w:val="000000"/>
          <w:sz w:val="24"/>
          <w:szCs w:val="24"/>
          <w:lang w:val="en-US" w:eastAsia="zh-CN"/>
        </w:rPr>
        <w:t>,我们无法核实具体那套住宅为2楼2-2，3楼3-1和3-2号，经与估价委托人沟通，</w:t>
      </w:r>
      <w:r>
        <w:rPr>
          <w:rFonts w:hint="eastAsia" w:ascii="仿宋" w:hAnsi="仿宋" w:eastAsia="仿宋" w:cs="宋体"/>
          <w:sz w:val="24"/>
          <w:szCs w:val="24"/>
        </w:rPr>
        <w:t>本次</w:t>
      </w:r>
      <w:r>
        <w:rPr>
          <w:rFonts w:hint="eastAsia" w:ascii="仿宋" w:hAnsi="仿宋" w:eastAsia="仿宋" w:cs="宋体"/>
          <w:sz w:val="24"/>
          <w:szCs w:val="24"/>
          <w:lang w:val="en-US" w:eastAsia="zh-CN"/>
        </w:rPr>
        <w:t>按</w:t>
      </w:r>
      <w:r>
        <w:rPr>
          <w:rFonts w:hint="eastAsia" w:ascii="仿宋" w:hAnsi="仿宋" w:eastAsia="仿宋" w:cs="宋体"/>
          <w:sz w:val="24"/>
          <w:szCs w:val="24"/>
        </w:rPr>
        <w:t>证载</w:t>
      </w:r>
      <w:r>
        <w:rPr>
          <w:rFonts w:hint="eastAsia" w:ascii="仿宋" w:hAnsi="仿宋" w:eastAsia="仿宋" w:cs="宋体"/>
          <w:sz w:val="24"/>
          <w:szCs w:val="24"/>
          <w:lang w:val="en-US" w:eastAsia="zh-CN"/>
        </w:rPr>
        <w:t>房屋进行</w:t>
      </w:r>
      <w:r>
        <w:rPr>
          <w:rFonts w:hint="eastAsia" w:ascii="仿宋" w:hAnsi="仿宋" w:eastAsia="仿宋" w:cs="宋体"/>
          <w:sz w:val="24"/>
          <w:szCs w:val="24"/>
        </w:rPr>
        <w:t>估价</w:t>
      </w:r>
      <w:r>
        <w:rPr>
          <w:rFonts w:hint="eastAsia" w:ascii="仿宋" w:hAnsi="仿宋" w:eastAsia="仿宋" w:cs="宋体"/>
          <w:sz w:val="24"/>
          <w:szCs w:val="24"/>
          <w:lang w:eastAsia="zh-CN"/>
        </w:rPr>
        <w:t>，提请报告使用人注意</w:t>
      </w:r>
      <w:r>
        <w:rPr>
          <w:rFonts w:hint="eastAsia" w:ascii="仿宋" w:hAnsi="仿宋" w:eastAsia="仿宋" w:cs="宋体"/>
          <w:sz w:val="24"/>
          <w:szCs w:val="24"/>
          <w:lang w:val="en-US" w:eastAsia="zh-CN"/>
        </w:rPr>
        <w:t>。</w:t>
      </w:r>
    </w:p>
    <w:p>
      <w:pPr>
        <w:spacing w:line="460" w:lineRule="atLeas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w:t>
      </w:r>
      <w:r>
        <w:rPr>
          <w:rFonts w:hint="eastAsia" w:ascii="仿宋" w:hAnsi="仿宋" w:eastAsia="仿宋" w:cs="宋体"/>
          <w:color w:val="000000"/>
          <w:sz w:val="24"/>
          <w:szCs w:val="24"/>
          <w:lang w:val="en-US" w:eastAsia="zh-CN"/>
        </w:rPr>
        <w:t>4</w:t>
      </w:r>
      <w:r>
        <w:rPr>
          <w:rFonts w:hint="eastAsia" w:ascii="仿宋" w:hAnsi="仿宋" w:eastAsia="仿宋" w:cs="宋体"/>
          <w:color w:val="000000"/>
          <w:sz w:val="24"/>
          <w:szCs w:val="24"/>
        </w:rPr>
        <w:t>）案件当事人对鉴定估价报告有异议的，可以自收到鉴定估价报告起</w:t>
      </w:r>
      <w:r>
        <w:rPr>
          <w:rFonts w:hint="eastAsia" w:ascii="仿宋" w:hAnsi="仿宋" w:eastAsia="仿宋" w:cs="宋体"/>
          <w:color w:val="000000"/>
          <w:sz w:val="24"/>
          <w:szCs w:val="24"/>
          <w:lang w:val="en-US" w:eastAsia="zh-CN"/>
        </w:rPr>
        <w:t>5</w:t>
      </w:r>
      <w:r>
        <w:rPr>
          <w:rFonts w:hint="eastAsia" w:ascii="仿宋" w:hAnsi="仿宋" w:eastAsia="仿宋" w:cs="宋体"/>
          <w:color w:val="000000"/>
          <w:sz w:val="24"/>
          <w:szCs w:val="24"/>
        </w:rPr>
        <w:t>日内提出异议，超过该期间即丧失对鉴定估价报告提出异议的权利。</w:t>
      </w:r>
    </w:p>
    <w:p>
      <w:pPr>
        <w:spacing w:line="460" w:lineRule="atLeast"/>
        <w:ind w:firstLine="480" w:firstLineChars="200"/>
        <w:rPr>
          <w:rFonts w:ascii="仿宋" w:hAnsi="仿宋" w:eastAsia="仿宋" w:cs="宋体"/>
          <w:sz w:val="24"/>
          <w:szCs w:val="24"/>
        </w:rPr>
      </w:pPr>
    </w:p>
    <w:bookmarkEnd w:id="13"/>
    <w:bookmarkEnd w:id="14"/>
    <w:bookmarkEnd w:id="15"/>
    <w:bookmarkEnd w:id="16"/>
    <w:p>
      <w:pPr>
        <w:pStyle w:val="2"/>
        <w:spacing w:line="460" w:lineRule="atLeast"/>
        <w:jc w:val="center"/>
        <w:rPr>
          <w:rFonts w:ascii="黑体" w:hAnsi="黑体" w:eastAsia="黑体" w:cs="宋体"/>
          <w:color w:val="000000"/>
          <w:sz w:val="24"/>
          <w:szCs w:val="24"/>
        </w:rPr>
      </w:pPr>
      <w:r>
        <w:rPr>
          <w:rFonts w:hint="eastAsia" w:ascii="黑体" w:hAnsi="黑体" w:eastAsia="黑体" w:cs="宋体"/>
          <w:color w:val="000000"/>
          <w:sz w:val="24"/>
          <w:szCs w:val="24"/>
        </w:rPr>
        <w:br w:type="page"/>
      </w:r>
      <w:bookmarkStart w:id="17" w:name="_Toc14609"/>
      <w:r>
        <w:rPr>
          <w:rFonts w:hint="eastAsia" w:ascii="宋体" w:hAnsi="宋体" w:cs="宋体"/>
          <w:color w:val="000000"/>
          <w:sz w:val="32"/>
          <w:szCs w:val="32"/>
        </w:rPr>
        <w:t>估价结果报告</w:t>
      </w:r>
      <w:bookmarkEnd w:id="17"/>
    </w:p>
    <w:p>
      <w:pPr>
        <w:pStyle w:val="3"/>
        <w:spacing w:line="460" w:lineRule="exact"/>
        <w:rPr>
          <w:rStyle w:val="33"/>
          <w:rFonts w:ascii="Times New Roman" w:hAnsi="Times New Roman" w:eastAsia="宋体"/>
          <w:b/>
          <w:bCs w:val="0"/>
          <w:kern w:val="44"/>
          <w:sz w:val="24"/>
          <w:szCs w:val="24"/>
        </w:rPr>
      </w:pPr>
      <w:bookmarkStart w:id="18" w:name="_Toc320184504"/>
      <w:bookmarkStart w:id="19" w:name="_Toc320173774"/>
      <w:bookmarkStart w:id="20" w:name="_Toc320276193"/>
      <w:bookmarkStart w:id="21" w:name="_Toc607"/>
      <w:bookmarkStart w:id="22" w:name="_Toc321996042"/>
      <w:bookmarkStart w:id="23" w:name="_Toc385002024"/>
      <w:r>
        <w:rPr>
          <w:rFonts w:hint="eastAsia" w:ascii="仿宋" w:hAnsi="仿宋" w:eastAsia="仿宋" w:cs="宋体"/>
          <w:color w:val="000000"/>
          <w:sz w:val="24"/>
          <w:szCs w:val="24"/>
        </w:rPr>
        <w:t>一、估价委托人</w:t>
      </w:r>
      <w:bookmarkEnd w:id="18"/>
      <w:bookmarkEnd w:id="19"/>
      <w:bookmarkEnd w:id="20"/>
      <w:bookmarkEnd w:id="21"/>
    </w:p>
    <w:p>
      <w:pPr>
        <w:autoSpaceDE w:val="0"/>
        <w:autoSpaceDN w:val="0"/>
        <w:adjustRightInd w:val="0"/>
        <w:spacing w:line="500" w:lineRule="exact"/>
        <w:ind w:firstLine="468" w:firstLineChars="195"/>
        <w:jc w:val="left"/>
        <w:textAlignment w:val="center"/>
        <w:rPr>
          <w:rFonts w:hint="eastAsia" w:ascii="仿宋" w:hAnsi="仿宋" w:eastAsia="仿宋" w:cs="宋体"/>
          <w:color w:val="000000"/>
          <w:sz w:val="24"/>
          <w:szCs w:val="24"/>
          <w:lang w:eastAsia="zh-CN"/>
        </w:rPr>
      </w:pPr>
      <w:r>
        <w:rPr>
          <w:rFonts w:hint="eastAsia" w:ascii="仿宋" w:hAnsi="仿宋" w:eastAsia="仿宋" w:cs="宋体"/>
          <w:color w:val="000000"/>
          <w:sz w:val="24"/>
          <w:szCs w:val="24"/>
        </w:rPr>
        <w:t>单位名称:</w:t>
      </w:r>
      <w:r>
        <w:rPr>
          <w:rFonts w:hint="eastAsia" w:ascii="仿宋" w:hAnsi="仿宋" w:eastAsia="仿宋" w:cs="宋体"/>
          <w:color w:val="000000"/>
          <w:sz w:val="24"/>
          <w:szCs w:val="24"/>
          <w:lang w:eastAsia="zh-CN"/>
        </w:rPr>
        <w:t>四川省富顺县人民法院</w:t>
      </w:r>
    </w:p>
    <w:p>
      <w:pPr>
        <w:pStyle w:val="3"/>
        <w:spacing w:line="460" w:lineRule="exact"/>
        <w:rPr>
          <w:rFonts w:ascii="仿宋" w:hAnsi="仿宋" w:eastAsia="仿宋" w:cs="宋体"/>
          <w:color w:val="000000"/>
          <w:sz w:val="24"/>
          <w:szCs w:val="24"/>
        </w:rPr>
      </w:pPr>
      <w:bookmarkStart w:id="24" w:name="_Toc320184505"/>
      <w:bookmarkStart w:id="25" w:name="_Toc320173775"/>
      <w:bookmarkStart w:id="26" w:name="_Toc320276194"/>
      <w:bookmarkStart w:id="27" w:name="_Toc10209"/>
      <w:r>
        <w:rPr>
          <w:rFonts w:hint="eastAsia" w:ascii="仿宋" w:hAnsi="仿宋" w:eastAsia="仿宋" w:cs="宋体"/>
          <w:color w:val="000000"/>
          <w:sz w:val="24"/>
          <w:szCs w:val="24"/>
        </w:rPr>
        <w:t>二、房地产估价机构</w:t>
      </w:r>
      <w:bookmarkEnd w:id="24"/>
      <w:bookmarkEnd w:id="25"/>
      <w:bookmarkEnd w:id="26"/>
      <w:bookmarkEnd w:id="27"/>
    </w:p>
    <w:p>
      <w:pPr>
        <w:autoSpaceDE w:val="0"/>
        <w:autoSpaceDN w:val="0"/>
        <w:adjustRightInd w:val="0"/>
        <w:spacing w:line="460" w:lineRule="exact"/>
        <w:ind w:firstLine="480" w:firstLineChars="200"/>
        <w:jc w:val="left"/>
        <w:textAlignment w:val="center"/>
        <w:rPr>
          <w:rFonts w:ascii="仿宋" w:hAnsi="仿宋" w:eastAsia="仿宋" w:cs="宋体"/>
          <w:color w:val="000000"/>
          <w:sz w:val="24"/>
          <w:szCs w:val="24"/>
        </w:rPr>
      </w:pPr>
      <w:bookmarkStart w:id="28" w:name="_Toc320276195"/>
      <w:bookmarkStart w:id="29" w:name="_Toc320173776"/>
      <w:bookmarkStart w:id="30" w:name="_Toc320184506"/>
      <w:r>
        <w:rPr>
          <w:rFonts w:hint="eastAsia" w:ascii="仿宋" w:hAnsi="仿宋" w:eastAsia="仿宋" w:cs="宋体"/>
          <w:color w:val="000000"/>
          <w:sz w:val="24"/>
          <w:szCs w:val="24"/>
        </w:rPr>
        <w:t xml:space="preserve">机构名称：四川天成房地产土地估价咨询有限公司 </w:t>
      </w:r>
    </w:p>
    <w:p>
      <w:pPr>
        <w:autoSpaceDE w:val="0"/>
        <w:autoSpaceDN w:val="0"/>
        <w:adjustRightInd w:val="0"/>
        <w:spacing w:line="460" w:lineRule="exact"/>
        <w:ind w:firstLine="480" w:firstLineChars="200"/>
        <w:jc w:val="left"/>
        <w:textAlignment w:val="center"/>
        <w:rPr>
          <w:rFonts w:ascii="仿宋" w:hAnsi="仿宋" w:eastAsia="仿宋" w:cs="宋体"/>
          <w:color w:val="000000"/>
          <w:sz w:val="24"/>
          <w:szCs w:val="24"/>
        </w:rPr>
      </w:pPr>
      <w:r>
        <w:rPr>
          <w:rFonts w:hint="eastAsia" w:ascii="仿宋" w:hAnsi="仿宋" w:eastAsia="仿宋" w:cs="宋体"/>
          <w:color w:val="000000"/>
          <w:sz w:val="24"/>
          <w:szCs w:val="24"/>
        </w:rPr>
        <w:t>法定代表人：丁永洪</w:t>
      </w:r>
    </w:p>
    <w:p>
      <w:pPr>
        <w:autoSpaceDE w:val="0"/>
        <w:autoSpaceDN w:val="0"/>
        <w:adjustRightInd w:val="0"/>
        <w:spacing w:line="460" w:lineRule="exact"/>
        <w:ind w:firstLine="480" w:firstLineChars="200"/>
        <w:jc w:val="left"/>
        <w:textAlignment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机构地址：成都市</w:t>
      </w:r>
      <w:r>
        <w:rPr>
          <w:rFonts w:hint="eastAsia" w:ascii="仿宋" w:hAnsi="仿宋" w:eastAsia="仿宋" w:cs="宋体"/>
          <w:color w:val="000000"/>
          <w:sz w:val="24"/>
          <w:szCs w:val="24"/>
          <w:lang w:val="en-US" w:eastAsia="zh-CN"/>
        </w:rPr>
        <w:t>金牛区星辉中路5号</w:t>
      </w:r>
    </w:p>
    <w:p>
      <w:pPr>
        <w:autoSpaceDE w:val="0"/>
        <w:autoSpaceDN w:val="0"/>
        <w:adjustRightInd w:val="0"/>
        <w:spacing w:line="460" w:lineRule="exact"/>
        <w:ind w:firstLine="480" w:firstLineChars="200"/>
        <w:jc w:val="left"/>
        <w:textAlignment w:val="center"/>
        <w:rPr>
          <w:rFonts w:ascii="仿宋" w:hAnsi="仿宋" w:eastAsia="仿宋" w:cs="宋体"/>
          <w:color w:val="000000"/>
          <w:sz w:val="24"/>
          <w:szCs w:val="24"/>
        </w:rPr>
      </w:pPr>
      <w:r>
        <w:rPr>
          <w:rFonts w:hint="eastAsia" w:ascii="仿宋" w:hAnsi="仿宋" w:eastAsia="仿宋" w:cs="宋体"/>
          <w:color w:val="000000"/>
          <w:sz w:val="24"/>
          <w:szCs w:val="24"/>
        </w:rPr>
        <w:t>统一社会信用代码：91510105771677693P</w:t>
      </w:r>
    </w:p>
    <w:p>
      <w:pPr>
        <w:autoSpaceDE w:val="0"/>
        <w:autoSpaceDN w:val="0"/>
        <w:adjustRightInd w:val="0"/>
        <w:spacing w:line="460" w:lineRule="exact"/>
        <w:ind w:firstLine="480" w:firstLineChars="200"/>
        <w:jc w:val="left"/>
        <w:textAlignment w:val="center"/>
        <w:rPr>
          <w:rFonts w:ascii="仿宋" w:hAnsi="仿宋" w:eastAsia="仿宋" w:cs="宋体"/>
          <w:color w:val="000000"/>
          <w:sz w:val="24"/>
          <w:szCs w:val="24"/>
        </w:rPr>
      </w:pPr>
      <w:r>
        <w:rPr>
          <w:rFonts w:hint="eastAsia" w:ascii="仿宋" w:hAnsi="仿宋" w:eastAsia="仿宋" w:cs="宋体"/>
          <w:color w:val="000000"/>
          <w:sz w:val="24"/>
          <w:szCs w:val="24"/>
        </w:rPr>
        <w:t>备案等级：壹级</w:t>
      </w:r>
    </w:p>
    <w:p>
      <w:pPr>
        <w:autoSpaceDE w:val="0"/>
        <w:autoSpaceDN w:val="0"/>
        <w:adjustRightInd w:val="0"/>
        <w:spacing w:line="460" w:lineRule="exact"/>
        <w:ind w:firstLine="480" w:firstLineChars="200"/>
        <w:jc w:val="left"/>
        <w:textAlignment w:val="center"/>
        <w:rPr>
          <w:rFonts w:ascii="仿宋" w:hAnsi="仿宋" w:eastAsia="仿宋" w:cs="宋体"/>
          <w:color w:val="000000"/>
          <w:sz w:val="24"/>
          <w:szCs w:val="24"/>
        </w:rPr>
      </w:pPr>
      <w:r>
        <w:rPr>
          <w:rFonts w:hint="eastAsia" w:ascii="仿宋" w:hAnsi="仿宋" w:eastAsia="仿宋" w:cs="宋体"/>
          <w:color w:val="000000"/>
          <w:sz w:val="24"/>
          <w:szCs w:val="24"/>
        </w:rPr>
        <w:t>证书编号：川建房估备字[2017]0008号</w:t>
      </w:r>
    </w:p>
    <w:p>
      <w:pPr>
        <w:autoSpaceDE w:val="0"/>
        <w:autoSpaceDN w:val="0"/>
        <w:adjustRightInd w:val="0"/>
        <w:spacing w:line="460" w:lineRule="exact"/>
        <w:ind w:firstLine="480" w:firstLineChars="200"/>
        <w:jc w:val="left"/>
        <w:textAlignment w:val="center"/>
        <w:rPr>
          <w:rFonts w:ascii="仿宋" w:hAnsi="仿宋" w:eastAsia="仿宋" w:cs="宋体"/>
          <w:sz w:val="24"/>
          <w:szCs w:val="24"/>
        </w:rPr>
      </w:pPr>
      <w:r>
        <w:rPr>
          <w:rFonts w:hint="eastAsia" w:ascii="仿宋" w:hAnsi="仿宋" w:eastAsia="仿宋" w:cs="宋体"/>
          <w:sz w:val="24"/>
          <w:szCs w:val="24"/>
        </w:rPr>
        <w:t>资质有效期:2020年05月12日至2023年05月12日</w:t>
      </w:r>
    </w:p>
    <w:p>
      <w:pPr>
        <w:pStyle w:val="3"/>
        <w:numPr>
          <w:ilvl w:val="0"/>
          <w:numId w:val="4"/>
        </w:numPr>
        <w:spacing w:line="480" w:lineRule="exact"/>
        <w:rPr>
          <w:rFonts w:ascii="仿宋" w:hAnsi="仿宋" w:eastAsia="仿宋" w:cs="宋体"/>
          <w:color w:val="000000"/>
          <w:sz w:val="24"/>
          <w:szCs w:val="24"/>
        </w:rPr>
      </w:pPr>
      <w:bookmarkStart w:id="31" w:name="_Toc31370"/>
      <w:r>
        <w:rPr>
          <w:rFonts w:hint="eastAsia" w:ascii="仿宋" w:hAnsi="仿宋" w:eastAsia="仿宋" w:cs="宋体"/>
          <w:color w:val="000000"/>
          <w:sz w:val="24"/>
          <w:szCs w:val="24"/>
        </w:rPr>
        <w:t>估价目的</w:t>
      </w:r>
      <w:bookmarkEnd w:id="31"/>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为</w:t>
      </w:r>
      <w:r>
        <w:rPr>
          <w:rFonts w:ascii="仿宋" w:hAnsi="仿宋" w:eastAsia="仿宋" w:cs="宋体"/>
          <w:sz w:val="24"/>
          <w:szCs w:val="24"/>
        </w:rPr>
        <w:t>司法拍卖（变卖）</w:t>
      </w:r>
      <w:r>
        <w:rPr>
          <w:rFonts w:hint="eastAsia" w:ascii="仿宋" w:hAnsi="仿宋" w:eastAsia="仿宋" w:cs="宋体"/>
          <w:sz w:val="24"/>
          <w:szCs w:val="24"/>
        </w:rPr>
        <w:t>提供房地产市场价值参考依据。</w:t>
      </w:r>
    </w:p>
    <w:p>
      <w:pPr>
        <w:pStyle w:val="3"/>
        <w:numPr>
          <w:ilvl w:val="0"/>
          <w:numId w:val="4"/>
        </w:numPr>
        <w:spacing w:line="480" w:lineRule="exact"/>
        <w:rPr>
          <w:rFonts w:ascii="仿宋" w:hAnsi="仿宋" w:eastAsia="仿宋" w:cs="宋体"/>
          <w:color w:val="000000"/>
          <w:sz w:val="24"/>
          <w:szCs w:val="24"/>
        </w:rPr>
      </w:pPr>
      <w:bookmarkStart w:id="32" w:name="_Toc8882"/>
      <w:r>
        <w:rPr>
          <w:rFonts w:hint="eastAsia" w:ascii="仿宋" w:hAnsi="仿宋" w:eastAsia="仿宋" w:cs="宋体"/>
          <w:color w:val="000000"/>
          <w:sz w:val="24"/>
          <w:szCs w:val="24"/>
        </w:rPr>
        <w:t>估价对象</w:t>
      </w:r>
      <w:bookmarkEnd w:id="28"/>
      <w:bookmarkEnd w:id="29"/>
      <w:bookmarkEnd w:id="30"/>
      <w:bookmarkEnd w:id="32"/>
    </w:p>
    <w:p>
      <w:pPr>
        <w:spacing w:line="460" w:lineRule="exact"/>
        <w:ind w:firstLine="482" w:firstLineChars="200"/>
        <w:rPr>
          <w:rFonts w:ascii="仿宋" w:hAnsi="仿宋" w:eastAsia="仿宋" w:cs="宋体"/>
          <w:b/>
          <w:sz w:val="24"/>
          <w:szCs w:val="24"/>
        </w:rPr>
      </w:pPr>
      <w:r>
        <w:rPr>
          <w:rFonts w:hint="eastAsia" w:ascii="仿宋" w:hAnsi="仿宋" w:eastAsia="仿宋" w:cs="宋体"/>
          <w:b/>
          <w:sz w:val="24"/>
          <w:szCs w:val="24"/>
        </w:rPr>
        <w:t>（一）估价对象界定</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受</w:t>
      </w:r>
      <w:r>
        <w:rPr>
          <w:rFonts w:hint="eastAsia" w:ascii="仿宋" w:hAnsi="仿宋" w:eastAsia="仿宋" w:cs="宋体"/>
          <w:sz w:val="24"/>
          <w:szCs w:val="24"/>
          <w:lang w:eastAsia="zh-CN"/>
        </w:rPr>
        <w:t>四川省富顺县人民法院（2020）川0322执460号</w:t>
      </w:r>
      <w:r>
        <w:rPr>
          <w:rFonts w:hint="eastAsia" w:ascii="仿宋" w:hAnsi="仿宋" w:eastAsia="仿宋" w:cs="宋体"/>
          <w:sz w:val="24"/>
          <w:szCs w:val="24"/>
        </w:rPr>
        <w:t>《</w:t>
      </w:r>
      <w:r>
        <w:rPr>
          <w:rFonts w:hint="eastAsia" w:ascii="仿宋" w:hAnsi="仿宋" w:eastAsia="仿宋" w:cs="宋体"/>
          <w:sz w:val="24"/>
          <w:szCs w:val="24"/>
          <w:lang w:eastAsia="zh-CN"/>
        </w:rPr>
        <w:t>四川省富顺县人民法院</w:t>
      </w:r>
      <w:r>
        <w:rPr>
          <w:rFonts w:hint="eastAsia" w:ascii="仿宋" w:hAnsi="仿宋" w:eastAsia="仿宋" w:cs="宋体"/>
          <w:sz w:val="24"/>
          <w:szCs w:val="24"/>
        </w:rPr>
        <w:t>委托书》的委托，对贵院执行的</w:t>
      </w:r>
      <w:r>
        <w:rPr>
          <w:rFonts w:hint="eastAsia" w:ascii="仿宋" w:hAnsi="仿宋" w:eastAsia="仿宋" w:cs="宋体"/>
          <w:sz w:val="24"/>
          <w:szCs w:val="24"/>
          <w:lang w:val="en-US" w:eastAsia="zh-CN"/>
        </w:rPr>
        <w:t>黄礼高、赵桂苹</w:t>
      </w:r>
      <w:r>
        <w:rPr>
          <w:rFonts w:hint="eastAsia" w:ascii="仿宋" w:hAnsi="仿宋" w:eastAsia="仿宋" w:cs="宋体"/>
          <w:sz w:val="24"/>
          <w:szCs w:val="24"/>
        </w:rPr>
        <w:t>与</w:t>
      </w:r>
      <w:r>
        <w:rPr>
          <w:rFonts w:hint="eastAsia" w:ascii="仿宋" w:hAnsi="仿宋" w:eastAsia="仿宋" w:cs="宋体"/>
          <w:sz w:val="24"/>
          <w:szCs w:val="24"/>
          <w:lang w:val="en-US" w:eastAsia="zh-CN"/>
        </w:rPr>
        <w:t>江宗英，</w:t>
      </w:r>
      <w:r>
        <w:rPr>
          <w:rFonts w:hint="eastAsia" w:ascii="仿宋" w:hAnsi="仿宋" w:eastAsia="仿宋" w:cs="宋体"/>
          <w:sz w:val="24"/>
          <w:szCs w:val="24"/>
          <w:lang w:eastAsia="zh-CN"/>
        </w:rPr>
        <w:t>陈正海</w:t>
      </w:r>
      <w:r>
        <w:rPr>
          <w:rFonts w:hint="eastAsia" w:ascii="仿宋" w:hAnsi="仿宋" w:eastAsia="仿宋" w:cs="宋体"/>
          <w:sz w:val="24"/>
          <w:szCs w:val="24"/>
          <w:lang w:val="en-US" w:eastAsia="zh-CN"/>
        </w:rPr>
        <w:t>借款</w:t>
      </w:r>
      <w:r>
        <w:rPr>
          <w:rFonts w:hint="eastAsia" w:ascii="仿宋" w:hAnsi="仿宋" w:eastAsia="仿宋" w:cs="宋体"/>
          <w:sz w:val="24"/>
          <w:szCs w:val="24"/>
        </w:rPr>
        <w:t>合同纠纷一案</w:t>
      </w:r>
      <w:r>
        <w:rPr>
          <w:rFonts w:hint="eastAsia" w:ascii="仿宋" w:hAnsi="仿宋" w:eastAsia="仿宋" w:cs="宋体"/>
          <w:color w:val="0000FF"/>
          <w:sz w:val="24"/>
          <w:szCs w:val="24"/>
        </w:rPr>
        <w:t>所涉及</w:t>
      </w:r>
      <w:r>
        <w:rPr>
          <w:rFonts w:hint="eastAsia" w:ascii="仿宋" w:hAnsi="仿宋" w:eastAsia="仿宋" w:cs="宋体"/>
          <w:sz w:val="24"/>
          <w:szCs w:val="24"/>
          <w:lang w:eastAsia="zh-CN"/>
        </w:rPr>
        <w:t>陈正海</w:t>
      </w:r>
      <w:r>
        <w:rPr>
          <w:rFonts w:hint="eastAsia" w:ascii="仿宋" w:hAnsi="仿宋" w:eastAsia="仿宋" w:cs="宋体"/>
          <w:color w:val="0000FF"/>
          <w:sz w:val="24"/>
          <w:szCs w:val="24"/>
          <w:lang w:eastAsia="zh-CN"/>
        </w:rPr>
        <w:t>单独所有</w:t>
      </w:r>
      <w:r>
        <w:rPr>
          <w:rFonts w:hint="eastAsia" w:ascii="仿宋" w:hAnsi="仿宋" w:eastAsia="仿宋" w:cs="宋体"/>
          <w:color w:val="0000FF"/>
          <w:sz w:val="24"/>
          <w:szCs w:val="24"/>
        </w:rPr>
        <w:t>的</w:t>
      </w:r>
      <w:r>
        <w:rPr>
          <w:rFonts w:hint="eastAsia" w:ascii="仿宋" w:hAnsi="仿宋" w:eastAsia="仿宋" w:cs="宋体"/>
          <w:sz w:val="24"/>
          <w:szCs w:val="24"/>
        </w:rPr>
        <w:t>位于</w:t>
      </w:r>
      <w:r>
        <w:rPr>
          <w:rFonts w:hint="eastAsia" w:ascii="仿宋" w:hAnsi="仿宋" w:eastAsia="仿宋" w:cs="宋体"/>
          <w:sz w:val="24"/>
          <w:szCs w:val="24"/>
          <w:lang w:eastAsia="zh-CN"/>
        </w:rPr>
        <w:t>自贡市富顺县龙万乡振兴街78号附2-2、3-1、3-2号</w:t>
      </w:r>
      <w:r>
        <w:rPr>
          <w:rFonts w:hint="eastAsia" w:ascii="仿宋" w:hAnsi="仿宋" w:eastAsia="仿宋" w:cs="宋体"/>
          <w:sz w:val="24"/>
          <w:szCs w:val="24"/>
        </w:rPr>
        <w:t>住宅</w:t>
      </w:r>
      <w:r>
        <w:rPr>
          <w:rFonts w:hint="eastAsia" w:ascii="仿宋" w:hAnsi="仿宋" w:eastAsia="仿宋" w:cs="宋体"/>
          <w:color w:val="0000FF"/>
          <w:sz w:val="24"/>
          <w:szCs w:val="24"/>
        </w:rPr>
        <w:t>房地产</w:t>
      </w:r>
      <w:r>
        <w:rPr>
          <w:rFonts w:hint="eastAsia" w:ascii="仿宋" w:hAnsi="仿宋" w:eastAsia="仿宋" w:cs="宋体"/>
          <w:sz w:val="24"/>
          <w:szCs w:val="24"/>
        </w:rPr>
        <w:t>，建筑面积</w:t>
      </w:r>
      <w:r>
        <w:rPr>
          <w:rFonts w:hint="eastAsia" w:ascii="仿宋" w:hAnsi="仿宋" w:eastAsia="仿宋"/>
          <w:snapToGrid w:val="0"/>
          <w:kern w:val="0"/>
          <w:sz w:val="24"/>
          <w:szCs w:val="24"/>
          <w:highlight w:val="none"/>
          <w:lang w:val="en-US" w:eastAsia="zh-CN"/>
        </w:rPr>
        <w:t>为372.34</w:t>
      </w:r>
      <w:r>
        <w:rPr>
          <w:rFonts w:hint="eastAsia" w:ascii="仿宋" w:hAnsi="仿宋" w:eastAsia="仿宋"/>
          <w:snapToGrid w:val="0"/>
          <w:kern w:val="0"/>
          <w:sz w:val="24"/>
          <w:szCs w:val="24"/>
          <w:highlight w:val="none"/>
        </w:rPr>
        <w:t>㎡</w:t>
      </w:r>
      <w:r>
        <w:rPr>
          <w:rFonts w:hint="eastAsia" w:ascii="仿宋" w:hAnsi="仿宋" w:eastAsia="仿宋" w:cs="宋体"/>
          <w:sz w:val="24"/>
          <w:szCs w:val="24"/>
          <w:highlight w:val="none"/>
        </w:rPr>
        <w:t>及其应分摊国有建设用地使用权面积</w:t>
      </w:r>
      <w:r>
        <w:rPr>
          <w:rFonts w:hint="eastAsia" w:ascii="仿宋" w:hAnsi="仿宋" w:eastAsia="仿宋" w:cs="宋体"/>
          <w:sz w:val="24"/>
          <w:szCs w:val="24"/>
          <w:highlight w:val="none"/>
          <w:lang w:val="en-US" w:eastAsia="zh-CN"/>
        </w:rPr>
        <w:t>为</w:t>
      </w:r>
      <w:r>
        <w:rPr>
          <w:rFonts w:hint="eastAsia" w:ascii="仿宋" w:hAnsi="仿宋" w:eastAsia="仿宋"/>
          <w:snapToGrid w:val="0"/>
          <w:kern w:val="0"/>
          <w:sz w:val="24"/>
          <w:szCs w:val="24"/>
          <w:highlight w:val="none"/>
          <w:lang w:val="en-US" w:eastAsia="zh-CN"/>
        </w:rPr>
        <w:t>127.77</w:t>
      </w:r>
      <w:r>
        <w:rPr>
          <w:rFonts w:hint="eastAsia" w:ascii="仿宋" w:hAnsi="仿宋" w:eastAsia="仿宋"/>
          <w:snapToGrid w:val="0"/>
          <w:kern w:val="0"/>
          <w:sz w:val="24"/>
          <w:szCs w:val="24"/>
          <w:highlight w:val="none"/>
        </w:rPr>
        <w:t>㎡</w:t>
      </w:r>
      <w:r>
        <w:rPr>
          <w:rFonts w:hint="eastAsia" w:ascii="仿宋" w:hAnsi="仿宋" w:eastAsia="仿宋"/>
          <w:snapToGrid w:val="0"/>
          <w:kern w:val="0"/>
          <w:sz w:val="24"/>
          <w:szCs w:val="24"/>
        </w:rPr>
        <w:t>。列入本次估价范围的是房屋、分摊相应土地使用权和必要的设备设施,不包括动产、装饰装修价值</w:t>
      </w:r>
      <w:r>
        <w:rPr>
          <w:rFonts w:hint="eastAsia" w:ascii="仿宋" w:hAnsi="仿宋" w:eastAsia="仿宋"/>
          <w:snapToGrid w:val="0"/>
          <w:kern w:val="0"/>
          <w:sz w:val="24"/>
          <w:szCs w:val="24"/>
          <w:lang w:eastAsia="zh-CN"/>
        </w:rPr>
        <w:t>、</w:t>
      </w:r>
      <w:r>
        <w:rPr>
          <w:rFonts w:hint="eastAsia" w:ascii="仿宋" w:hAnsi="仿宋" w:eastAsia="仿宋"/>
          <w:snapToGrid w:val="0"/>
          <w:kern w:val="0"/>
          <w:sz w:val="24"/>
          <w:szCs w:val="24"/>
        </w:rPr>
        <w:t>构筑物、树木等，以及债权债务、特许经营权等其他财产或权益。</w:t>
      </w:r>
      <w:bookmarkStart w:id="33" w:name="OLE_LINK4"/>
      <w:r>
        <w:rPr>
          <w:rFonts w:hint="eastAsia" w:ascii="仿宋" w:hAnsi="仿宋" w:eastAsia="仿宋"/>
          <w:snapToGrid w:val="0"/>
          <w:kern w:val="0"/>
          <w:sz w:val="24"/>
          <w:szCs w:val="24"/>
        </w:rPr>
        <w:t>估价对象用地</w:t>
      </w:r>
      <w:bookmarkEnd w:id="33"/>
      <w:r>
        <w:rPr>
          <w:rFonts w:hint="eastAsia" w:ascii="仿宋" w:hAnsi="仿宋" w:eastAsia="仿宋" w:cs="宋体"/>
          <w:sz w:val="24"/>
          <w:szCs w:val="24"/>
        </w:rPr>
        <w:t>东至</w:t>
      </w:r>
      <w:r>
        <w:rPr>
          <w:rFonts w:hint="eastAsia" w:ascii="仿宋" w:hAnsi="仿宋" w:eastAsia="仿宋" w:cs="宋体"/>
          <w:sz w:val="24"/>
          <w:szCs w:val="24"/>
          <w:lang w:val="en-US" w:eastAsia="zh-CN"/>
        </w:rPr>
        <w:t>振兴街</w:t>
      </w:r>
      <w:r>
        <w:rPr>
          <w:rFonts w:hint="eastAsia" w:ascii="仿宋" w:hAnsi="仿宋" w:eastAsia="仿宋" w:cs="宋体"/>
          <w:sz w:val="24"/>
          <w:szCs w:val="24"/>
        </w:rPr>
        <w:t>、南</w:t>
      </w:r>
      <w:r>
        <w:rPr>
          <w:rFonts w:hint="eastAsia" w:ascii="仿宋" w:hAnsi="仿宋" w:eastAsia="仿宋" w:cs="宋体"/>
          <w:sz w:val="24"/>
          <w:szCs w:val="24"/>
          <w:lang w:val="en-US" w:eastAsia="zh-CN"/>
        </w:rPr>
        <w:t>临建筑</w:t>
      </w:r>
      <w:r>
        <w:rPr>
          <w:rFonts w:hint="eastAsia" w:ascii="仿宋" w:hAnsi="仿宋" w:eastAsia="仿宋" w:cs="宋体"/>
          <w:sz w:val="24"/>
          <w:szCs w:val="24"/>
        </w:rPr>
        <w:t>、西</w:t>
      </w:r>
      <w:r>
        <w:rPr>
          <w:rFonts w:hint="eastAsia" w:ascii="仿宋" w:hAnsi="仿宋" w:eastAsia="仿宋" w:cs="宋体"/>
          <w:sz w:val="24"/>
          <w:szCs w:val="24"/>
          <w:lang w:val="en-US" w:eastAsia="zh-CN"/>
        </w:rPr>
        <w:t>至临建筑</w:t>
      </w:r>
      <w:r>
        <w:rPr>
          <w:rFonts w:hint="eastAsia" w:ascii="仿宋" w:hAnsi="仿宋" w:eastAsia="仿宋" w:cs="宋体"/>
          <w:sz w:val="24"/>
          <w:szCs w:val="24"/>
        </w:rPr>
        <w:t>、北</w:t>
      </w:r>
      <w:r>
        <w:rPr>
          <w:rFonts w:hint="eastAsia" w:ascii="仿宋" w:hAnsi="仿宋" w:eastAsia="仿宋" w:cs="宋体"/>
          <w:sz w:val="24"/>
          <w:szCs w:val="24"/>
          <w:lang w:val="en-US" w:eastAsia="zh-CN"/>
        </w:rPr>
        <w:t>临建筑</w:t>
      </w:r>
      <w:r>
        <w:rPr>
          <w:rFonts w:hint="eastAsia" w:ascii="仿宋" w:hAnsi="仿宋" w:eastAsia="仿宋"/>
          <w:snapToGrid w:val="0"/>
          <w:kern w:val="0"/>
          <w:sz w:val="24"/>
          <w:szCs w:val="24"/>
        </w:rPr>
        <w:t>。</w:t>
      </w:r>
    </w:p>
    <w:p>
      <w:pPr>
        <w:spacing w:line="460" w:lineRule="exact"/>
        <w:ind w:firstLine="482" w:firstLineChars="200"/>
        <w:rPr>
          <w:rFonts w:ascii="仿宋" w:hAnsi="仿宋" w:eastAsia="仿宋" w:cs="宋体"/>
          <w:b/>
          <w:sz w:val="24"/>
          <w:szCs w:val="24"/>
        </w:rPr>
      </w:pPr>
      <w:r>
        <w:rPr>
          <w:rFonts w:hint="eastAsia" w:ascii="仿宋" w:hAnsi="仿宋" w:eastAsia="仿宋" w:cs="宋体"/>
          <w:b/>
          <w:sz w:val="24"/>
          <w:szCs w:val="24"/>
        </w:rPr>
        <w:t>（二）估价对象权属权益状况</w:t>
      </w:r>
    </w:p>
    <w:p>
      <w:pPr>
        <w:spacing w:line="460" w:lineRule="exact"/>
        <w:ind w:right="561"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1、估价对象产权状况</w:t>
      </w:r>
    </w:p>
    <w:p>
      <w:pPr>
        <w:autoSpaceDE w:val="0"/>
        <w:autoSpaceDN w:val="0"/>
        <w:adjustRightInd w:val="0"/>
        <w:spacing w:line="460" w:lineRule="exact"/>
        <w:ind w:firstLine="480" w:firstLineChars="200"/>
        <w:jc w:val="left"/>
        <w:textAlignment w:val="center"/>
        <w:rPr>
          <w:rFonts w:ascii="仿宋" w:hAnsi="仿宋" w:eastAsia="仿宋" w:cs="宋体"/>
          <w:color w:val="000000"/>
          <w:sz w:val="24"/>
          <w:szCs w:val="24"/>
        </w:rPr>
      </w:pPr>
      <w:r>
        <w:rPr>
          <w:rFonts w:hint="eastAsia" w:ascii="仿宋" w:hAnsi="仿宋" w:eastAsia="仿宋" w:cs="宋体"/>
          <w:color w:val="000000"/>
          <w:sz w:val="24"/>
          <w:szCs w:val="24"/>
        </w:rPr>
        <w:t>根据估价委托人提供的</w:t>
      </w:r>
      <w:r>
        <w:rPr>
          <w:rFonts w:hint="eastAsia" w:ascii="仿宋" w:hAnsi="仿宋" w:eastAsia="仿宋" w:cs="宋体"/>
          <w:color w:val="000000"/>
          <w:sz w:val="24"/>
          <w:szCs w:val="24"/>
          <w:lang w:eastAsia="zh-CN"/>
        </w:rPr>
        <w:t>《房产登记信息查询情况说明》</w:t>
      </w:r>
      <w:r>
        <w:rPr>
          <w:rFonts w:hint="eastAsia" w:ascii="仿宋" w:hAnsi="仿宋" w:eastAsia="仿宋" w:cs="宋体"/>
          <w:color w:val="000000"/>
          <w:sz w:val="24"/>
          <w:szCs w:val="24"/>
        </w:rPr>
        <w:t>复印件及其权属、用途本情况详见下表：</w:t>
      </w:r>
    </w:p>
    <w:p>
      <w:pPr>
        <w:autoSpaceDE w:val="0"/>
        <w:autoSpaceDN w:val="0"/>
        <w:adjustRightInd w:val="0"/>
        <w:spacing w:line="460" w:lineRule="exact"/>
        <w:textAlignment w:val="center"/>
        <w:rPr>
          <w:rFonts w:hint="eastAsia" w:ascii="仿宋" w:hAnsi="仿宋" w:eastAsia="仿宋" w:cs="宋体"/>
          <w:sz w:val="24"/>
          <w:szCs w:val="24"/>
        </w:rPr>
      </w:pPr>
      <w:r>
        <w:rPr>
          <w:rFonts w:hint="eastAsia" w:ascii="仿宋" w:hAnsi="仿宋" w:eastAsia="仿宋" w:cs="宋体"/>
          <w:color w:val="000000"/>
          <w:sz w:val="18"/>
          <w:szCs w:val="18"/>
        </w:rPr>
        <w:t>表1-1</w:t>
      </w:r>
      <w:r>
        <w:rPr>
          <w:rFonts w:hint="eastAsia" w:ascii="仿宋" w:hAnsi="仿宋" w:eastAsia="仿宋" w:cs="宋体"/>
          <w:sz w:val="24"/>
          <w:szCs w:val="24"/>
        </w:rPr>
        <w:t xml:space="preserve">                     估价对象</w:t>
      </w:r>
      <w:r>
        <w:rPr>
          <w:rFonts w:hint="eastAsia" w:ascii="仿宋" w:hAnsi="仿宋" w:eastAsia="仿宋" w:cs="宋体"/>
          <w:sz w:val="24"/>
          <w:szCs w:val="24"/>
          <w:lang w:val="en-US" w:eastAsia="zh-CN"/>
        </w:rPr>
        <w:t>1</w:t>
      </w:r>
      <w:r>
        <w:rPr>
          <w:rFonts w:hint="eastAsia" w:ascii="仿宋" w:hAnsi="仿宋" w:eastAsia="仿宋" w:cs="宋体"/>
          <w:sz w:val="24"/>
          <w:szCs w:val="24"/>
        </w:rPr>
        <w:t>产权登记情况一览表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90"/>
        <w:gridCol w:w="411"/>
        <w:gridCol w:w="509"/>
        <w:gridCol w:w="426"/>
        <w:gridCol w:w="366"/>
        <w:gridCol w:w="631"/>
        <w:gridCol w:w="594"/>
        <w:gridCol w:w="213"/>
        <w:gridCol w:w="973"/>
        <w:gridCol w:w="334"/>
        <w:gridCol w:w="317"/>
        <w:gridCol w:w="416"/>
        <w:gridCol w:w="41"/>
        <w:gridCol w:w="140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1" w:type="dxa"/>
            <w:gridSpan w:val="16"/>
          </w:tcPr>
          <w:p>
            <w:pPr>
              <w:spacing w:line="300" w:lineRule="atLeast"/>
              <w:jc w:val="center"/>
              <w:rPr>
                <w:rFonts w:hint="eastAsia" w:eastAsia="仿宋"/>
                <w:bCs/>
                <w:sz w:val="18"/>
                <w:szCs w:val="18"/>
                <w:lang w:val="en-US" w:eastAsia="zh-CN"/>
              </w:rPr>
            </w:pPr>
            <w:r>
              <w:rPr>
                <w:rFonts w:hint="eastAsia" w:eastAsia="仿宋"/>
                <w:bCs/>
                <w:sz w:val="18"/>
                <w:szCs w:val="18"/>
                <w:lang w:eastAsia="zh-CN"/>
              </w:rPr>
              <w:t>房产登记信息查询情况说明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权利人</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陈正海</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共有方式</w:t>
            </w:r>
          </w:p>
        </w:tc>
        <w:tc>
          <w:tcPr>
            <w:tcW w:w="2377"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证件类型</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身份证</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证件号码</w:t>
            </w:r>
          </w:p>
        </w:tc>
        <w:tc>
          <w:tcPr>
            <w:tcW w:w="2377"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510322197110088215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不动产权证号</w:t>
            </w:r>
          </w:p>
        </w:tc>
        <w:tc>
          <w:tcPr>
            <w:tcW w:w="2526"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川（2019）富顺县不动产权第0005043号</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登记时间</w:t>
            </w:r>
          </w:p>
        </w:tc>
        <w:tc>
          <w:tcPr>
            <w:tcW w:w="2377"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2019-04-04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产别</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私有房产</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房屋性质</w:t>
            </w:r>
          </w:p>
        </w:tc>
        <w:tc>
          <w:tcPr>
            <w:tcW w:w="2377"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自建房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房屋坐落</w:t>
            </w:r>
          </w:p>
        </w:tc>
        <w:tc>
          <w:tcPr>
            <w:tcW w:w="2526" w:type="dxa"/>
            <w:gridSpan w:val="5"/>
            <w:vAlign w:val="center"/>
          </w:tcPr>
          <w:p>
            <w:pPr>
              <w:spacing w:line="300" w:lineRule="atLeast"/>
              <w:jc w:val="center"/>
              <w:rPr>
                <w:rFonts w:hint="default" w:eastAsia="仿宋"/>
                <w:bCs/>
                <w:sz w:val="18"/>
                <w:szCs w:val="18"/>
                <w:lang w:val="en-US"/>
              </w:rPr>
            </w:pPr>
            <w:r>
              <w:rPr>
                <w:rFonts w:hint="eastAsia" w:eastAsia="仿宋"/>
                <w:bCs/>
                <w:sz w:val="18"/>
                <w:szCs w:val="18"/>
                <w:lang w:eastAsia="zh-CN"/>
              </w:rPr>
              <w:t>富顺县龙万乡振兴街78号附2-2</w:t>
            </w:r>
            <w:r>
              <w:rPr>
                <w:rFonts w:hint="eastAsia" w:eastAsia="仿宋"/>
                <w:bCs/>
                <w:sz w:val="18"/>
                <w:szCs w:val="18"/>
                <w:lang w:val="en-US" w:eastAsia="zh-CN"/>
              </w:rPr>
              <w:t>号</w:t>
            </w:r>
          </w:p>
        </w:tc>
        <w:tc>
          <w:tcPr>
            <w:tcW w:w="2253" w:type="dxa"/>
            <w:gridSpan w:val="5"/>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房屋数</w:t>
            </w:r>
          </w:p>
        </w:tc>
        <w:tc>
          <w:tcPr>
            <w:tcW w:w="2377" w:type="dxa"/>
            <w:gridSpan w:val="3"/>
            <w:vAlign w:val="center"/>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幢号</w:t>
            </w:r>
          </w:p>
        </w:tc>
        <w:tc>
          <w:tcPr>
            <w:tcW w:w="890" w:type="dxa"/>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房号</w:t>
            </w:r>
          </w:p>
        </w:tc>
        <w:tc>
          <w:tcPr>
            <w:tcW w:w="920"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房屋结构</w:t>
            </w:r>
          </w:p>
        </w:tc>
        <w:tc>
          <w:tcPr>
            <w:tcW w:w="792"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所在层</w:t>
            </w:r>
          </w:p>
        </w:tc>
        <w:tc>
          <w:tcPr>
            <w:tcW w:w="631" w:type="dxa"/>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总层数</w:t>
            </w:r>
          </w:p>
        </w:tc>
        <w:tc>
          <w:tcPr>
            <w:tcW w:w="807"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建筑面积</w:t>
            </w:r>
          </w:p>
        </w:tc>
        <w:tc>
          <w:tcPr>
            <w:tcW w:w="973" w:type="dxa"/>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分摊土地面积</w:t>
            </w:r>
          </w:p>
        </w:tc>
        <w:tc>
          <w:tcPr>
            <w:tcW w:w="651"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规划用途</w:t>
            </w:r>
          </w:p>
        </w:tc>
        <w:tc>
          <w:tcPr>
            <w:tcW w:w="1859"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房屋状态</w:t>
            </w:r>
          </w:p>
        </w:tc>
        <w:tc>
          <w:tcPr>
            <w:tcW w:w="934"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pacing w:line="300" w:lineRule="atLeast"/>
              <w:jc w:val="center"/>
              <w:rPr>
                <w:rFonts w:hint="eastAsia" w:eastAsia="仿宋"/>
                <w:bCs/>
                <w:sz w:val="18"/>
                <w:szCs w:val="18"/>
                <w:lang w:val="en-US" w:eastAsia="zh-CN"/>
              </w:rPr>
            </w:pPr>
          </w:p>
        </w:tc>
        <w:tc>
          <w:tcPr>
            <w:tcW w:w="890" w:type="dxa"/>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2-2</w:t>
            </w:r>
          </w:p>
        </w:tc>
        <w:tc>
          <w:tcPr>
            <w:tcW w:w="920"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混合结构</w:t>
            </w:r>
          </w:p>
        </w:tc>
        <w:tc>
          <w:tcPr>
            <w:tcW w:w="792"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w:t>
            </w:r>
          </w:p>
        </w:tc>
        <w:tc>
          <w:tcPr>
            <w:tcW w:w="631" w:type="dxa"/>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w:t>
            </w:r>
          </w:p>
        </w:tc>
        <w:tc>
          <w:tcPr>
            <w:tcW w:w="807"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115.86</w:t>
            </w:r>
          </w:p>
        </w:tc>
        <w:tc>
          <w:tcPr>
            <w:tcW w:w="973" w:type="dxa"/>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39.76</w:t>
            </w:r>
          </w:p>
        </w:tc>
        <w:tc>
          <w:tcPr>
            <w:tcW w:w="651"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住宅</w:t>
            </w:r>
          </w:p>
        </w:tc>
        <w:tc>
          <w:tcPr>
            <w:tcW w:w="1859"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现房已抵押，现房已查封，未关联期房，现房无异议，未限制</w:t>
            </w:r>
          </w:p>
        </w:tc>
        <w:tc>
          <w:tcPr>
            <w:tcW w:w="934"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未抵押，未查封，无异议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宗地代码</w:t>
            </w:r>
          </w:p>
        </w:tc>
        <w:tc>
          <w:tcPr>
            <w:tcW w:w="2343"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510322200224GB00010</w:t>
            </w:r>
          </w:p>
        </w:tc>
        <w:tc>
          <w:tcPr>
            <w:tcW w:w="2888" w:type="dxa"/>
            <w:gridSpan w:val="7"/>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宗地面积</w:t>
            </w:r>
          </w:p>
        </w:tc>
        <w:tc>
          <w:tcPr>
            <w:tcW w:w="2336"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251.33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权利类型</w:t>
            </w:r>
          </w:p>
        </w:tc>
        <w:tc>
          <w:tcPr>
            <w:tcW w:w="2343"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国有建设用地使用权</w:t>
            </w:r>
          </w:p>
        </w:tc>
        <w:tc>
          <w:tcPr>
            <w:tcW w:w="2888" w:type="dxa"/>
            <w:gridSpan w:val="7"/>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权利性质</w:t>
            </w:r>
          </w:p>
        </w:tc>
        <w:tc>
          <w:tcPr>
            <w:tcW w:w="2336"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土地用途</w:t>
            </w:r>
          </w:p>
        </w:tc>
        <w:tc>
          <w:tcPr>
            <w:tcW w:w="3111" w:type="dxa"/>
            <w:gridSpan w:val="6"/>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起始时间</w:t>
            </w:r>
          </w:p>
        </w:tc>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城镇住宅用地</w:t>
            </w:r>
          </w:p>
        </w:tc>
        <w:tc>
          <w:tcPr>
            <w:tcW w:w="3111" w:type="dxa"/>
            <w:gridSpan w:val="6"/>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2016-08-23</w:t>
            </w:r>
          </w:p>
        </w:tc>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2086-08-22</w:t>
            </w:r>
          </w:p>
        </w:tc>
      </w:tr>
    </w:tbl>
    <w:p>
      <w:pPr>
        <w:autoSpaceDE w:val="0"/>
        <w:autoSpaceDN w:val="0"/>
        <w:adjustRightInd w:val="0"/>
        <w:spacing w:line="460" w:lineRule="exact"/>
        <w:textAlignment w:val="center"/>
        <w:rPr>
          <w:rFonts w:hint="eastAsia" w:ascii="仿宋" w:hAnsi="仿宋" w:eastAsia="仿宋" w:cs="宋体"/>
          <w:sz w:val="24"/>
          <w:szCs w:val="24"/>
        </w:rPr>
      </w:pPr>
      <w:r>
        <w:rPr>
          <w:rFonts w:hint="eastAsia" w:ascii="仿宋" w:hAnsi="仿宋" w:eastAsia="仿宋" w:cs="宋体"/>
          <w:color w:val="000000"/>
          <w:sz w:val="18"/>
          <w:szCs w:val="18"/>
        </w:rPr>
        <w:t>表1-</w:t>
      </w:r>
      <w:r>
        <w:rPr>
          <w:rFonts w:hint="eastAsia" w:ascii="仿宋" w:hAnsi="仿宋" w:eastAsia="仿宋" w:cs="宋体"/>
          <w:color w:val="000000"/>
          <w:sz w:val="18"/>
          <w:szCs w:val="18"/>
          <w:lang w:val="en-US" w:eastAsia="zh-CN"/>
        </w:rPr>
        <w:t>2</w:t>
      </w:r>
      <w:r>
        <w:rPr>
          <w:rFonts w:hint="eastAsia" w:ascii="仿宋" w:hAnsi="仿宋" w:eastAsia="仿宋" w:cs="宋体"/>
          <w:sz w:val="24"/>
          <w:szCs w:val="24"/>
        </w:rPr>
        <w:t xml:space="preserve">                     估价对象</w:t>
      </w:r>
      <w:r>
        <w:rPr>
          <w:rFonts w:hint="eastAsia" w:ascii="仿宋" w:hAnsi="仿宋" w:eastAsia="仿宋" w:cs="宋体"/>
          <w:sz w:val="24"/>
          <w:szCs w:val="24"/>
          <w:lang w:val="en-US" w:eastAsia="zh-CN"/>
        </w:rPr>
        <w:t>2</w:t>
      </w:r>
      <w:r>
        <w:rPr>
          <w:rFonts w:hint="eastAsia" w:ascii="仿宋" w:hAnsi="仿宋" w:eastAsia="仿宋" w:cs="宋体"/>
          <w:sz w:val="24"/>
          <w:szCs w:val="24"/>
        </w:rPr>
        <w:t>产权登记情况一览表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90"/>
        <w:gridCol w:w="411"/>
        <w:gridCol w:w="509"/>
        <w:gridCol w:w="426"/>
        <w:gridCol w:w="366"/>
        <w:gridCol w:w="631"/>
        <w:gridCol w:w="594"/>
        <w:gridCol w:w="213"/>
        <w:gridCol w:w="973"/>
        <w:gridCol w:w="334"/>
        <w:gridCol w:w="317"/>
        <w:gridCol w:w="416"/>
        <w:gridCol w:w="41"/>
        <w:gridCol w:w="140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1" w:type="dxa"/>
            <w:gridSpan w:val="16"/>
          </w:tcPr>
          <w:p>
            <w:pPr>
              <w:spacing w:line="300" w:lineRule="atLeast"/>
              <w:jc w:val="center"/>
              <w:rPr>
                <w:rFonts w:hint="eastAsia" w:eastAsia="仿宋"/>
                <w:bCs/>
                <w:sz w:val="18"/>
                <w:szCs w:val="18"/>
                <w:lang w:val="en-US" w:eastAsia="zh-CN"/>
              </w:rPr>
            </w:pPr>
            <w:r>
              <w:rPr>
                <w:rFonts w:hint="eastAsia" w:eastAsia="仿宋"/>
                <w:bCs/>
                <w:sz w:val="18"/>
                <w:szCs w:val="18"/>
                <w:lang w:eastAsia="zh-CN"/>
              </w:rPr>
              <w:t>房产登记信息查询情况说明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权利人</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陈正海</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共有方式</w:t>
            </w:r>
          </w:p>
        </w:tc>
        <w:tc>
          <w:tcPr>
            <w:tcW w:w="2377"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证件类型</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身份证</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证件号码</w:t>
            </w:r>
          </w:p>
        </w:tc>
        <w:tc>
          <w:tcPr>
            <w:tcW w:w="2377"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510322197110088215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不动产权证号</w:t>
            </w:r>
          </w:p>
        </w:tc>
        <w:tc>
          <w:tcPr>
            <w:tcW w:w="2526"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川（2019）富顺县不动产权第0005043号</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登记时间</w:t>
            </w:r>
          </w:p>
        </w:tc>
        <w:tc>
          <w:tcPr>
            <w:tcW w:w="2377"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2019-04-04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产别</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私有房产</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房屋性质</w:t>
            </w:r>
          </w:p>
        </w:tc>
        <w:tc>
          <w:tcPr>
            <w:tcW w:w="2377"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自建房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房屋坐落</w:t>
            </w:r>
          </w:p>
        </w:tc>
        <w:tc>
          <w:tcPr>
            <w:tcW w:w="2526" w:type="dxa"/>
            <w:gridSpan w:val="5"/>
          </w:tcPr>
          <w:p>
            <w:pPr>
              <w:spacing w:line="300" w:lineRule="atLeast"/>
              <w:jc w:val="center"/>
              <w:rPr>
                <w:rFonts w:hint="default" w:eastAsia="仿宋"/>
                <w:bCs/>
                <w:sz w:val="18"/>
                <w:szCs w:val="18"/>
                <w:lang w:val="en-US"/>
              </w:rPr>
            </w:pPr>
            <w:r>
              <w:rPr>
                <w:rFonts w:hint="eastAsia" w:eastAsia="仿宋"/>
                <w:bCs/>
                <w:sz w:val="18"/>
                <w:szCs w:val="18"/>
                <w:lang w:eastAsia="zh-CN"/>
              </w:rPr>
              <w:t>富顺县龙万乡振兴街78号附</w:t>
            </w:r>
            <w:r>
              <w:rPr>
                <w:rFonts w:hint="eastAsia" w:eastAsia="仿宋"/>
                <w:bCs/>
                <w:sz w:val="18"/>
                <w:szCs w:val="18"/>
                <w:lang w:val="en-US" w:eastAsia="zh-CN"/>
              </w:rPr>
              <w:t>3</w:t>
            </w:r>
            <w:r>
              <w:rPr>
                <w:rFonts w:hint="eastAsia" w:eastAsia="仿宋"/>
                <w:bCs/>
                <w:sz w:val="18"/>
                <w:szCs w:val="18"/>
                <w:lang w:eastAsia="zh-CN"/>
              </w:rPr>
              <w:t>-</w:t>
            </w:r>
            <w:r>
              <w:rPr>
                <w:rFonts w:hint="eastAsia" w:eastAsia="仿宋"/>
                <w:bCs/>
                <w:sz w:val="18"/>
                <w:szCs w:val="18"/>
                <w:lang w:val="en-US" w:eastAsia="zh-CN"/>
              </w:rPr>
              <w:t>1号</w:t>
            </w:r>
          </w:p>
        </w:tc>
        <w:tc>
          <w:tcPr>
            <w:tcW w:w="2253"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房屋数</w:t>
            </w:r>
          </w:p>
        </w:tc>
        <w:tc>
          <w:tcPr>
            <w:tcW w:w="2377"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幢号</w:t>
            </w:r>
          </w:p>
        </w:tc>
        <w:tc>
          <w:tcPr>
            <w:tcW w:w="890"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房号</w:t>
            </w:r>
          </w:p>
        </w:tc>
        <w:tc>
          <w:tcPr>
            <w:tcW w:w="920"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房屋结构</w:t>
            </w:r>
          </w:p>
        </w:tc>
        <w:tc>
          <w:tcPr>
            <w:tcW w:w="792"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所在层</w:t>
            </w:r>
          </w:p>
        </w:tc>
        <w:tc>
          <w:tcPr>
            <w:tcW w:w="631"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总层数</w:t>
            </w:r>
          </w:p>
        </w:tc>
        <w:tc>
          <w:tcPr>
            <w:tcW w:w="807"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建筑面积</w:t>
            </w:r>
          </w:p>
        </w:tc>
        <w:tc>
          <w:tcPr>
            <w:tcW w:w="973"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分摊土地面积</w:t>
            </w:r>
          </w:p>
        </w:tc>
        <w:tc>
          <w:tcPr>
            <w:tcW w:w="651"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规划用途</w:t>
            </w:r>
          </w:p>
        </w:tc>
        <w:tc>
          <w:tcPr>
            <w:tcW w:w="1859"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房屋状态</w:t>
            </w:r>
          </w:p>
        </w:tc>
        <w:tc>
          <w:tcPr>
            <w:tcW w:w="934"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tcPr>
          <w:p>
            <w:pPr>
              <w:spacing w:line="300" w:lineRule="atLeast"/>
              <w:jc w:val="center"/>
              <w:rPr>
                <w:rFonts w:hint="eastAsia" w:eastAsia="仿宋"/>
                <w:bCs/>
                <w:sz w:val="18"/>
                <w:szCs w:val="18"/>
                <w:lang w:val="en-US" w:eastAsia="zh-CN"/>
              </w:rPr>
            </w:pPr>
          </w:p>
        </w:tc>
        <w:tc>
          <w:tcPr>
            <w:tcW w:w="890"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3-1</w:t>
            </w:r>
          </w:p>
        </w:tc>
        <w:tc>
          <w:tcPr>
            <w:tcW w:w="920"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混合结构</w:t>
            </w:r>
          </w:p>
        </w:tc>
        <w:tc>
          <w:tcPr>
            <w:tcW w:w="792"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w:t>
            </w:r>
          </w:p>
        </w:tc>
        <w:tc>
          <w:tcPr>
            <w:tcW w:w="631"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w:t>
            </w:r>
          </w:p>
        </w:tc>
        <w:tc>
          <w:tcPr>
            <w:tcW w:w="807"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128.11</w:t>
            </w:r>
          </w:p>
        </w:tc>
        <w:tc>
          <w:tcPr>
            <w:tcW w:w="973"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43.96</w:t>
            </w:r>
          </w:p>
        </w:tc>
        <w:tc>
          <w:tcPr>
            <w:tcW w:w="651"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住宅</w:t>
            </w:r>
          </w:p>
        </w:tc>
        <w:tc>
          <w:tcPr>
            <w:tcW w:w="1859"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现房已抵押，现房已查封，未关联期房，现房无异议，未限制</w:t>
            </w:r>
          </w:p>
        </w:tc>
        <w:tc>
          <w:tcPr>
            <w:tcW w:w="934"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未抵押，未查封，无异议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宗地代码</w:t>
            </w:r>
          </w:p>
        </w:tc>
        <w:tc>
          <w:tcPr>
            <w:tcW w:w="2343"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510322200224GB00010</w:t>
            </w:r>
          </w:p>
        </w:tc>
        <w:tc>
          <w:tcPr>
            <w:tcW w:w="2888" w:type="dxa"/>
            <w:gridSpan w:val="7"/>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宗地面积</w:t>
            </w:r>
          </w:p>
        </w:tc>
        <w:tc>
          <w:tcPr>
            <w:tcW w:w="2336"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251.33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权利类型</w:t>
            </w:r>
          </w:p>
        </w:tc>
        <w:tc>
          <w:tcPr>
            <w:tcW w:w="2343"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国有建设用地使用权</w:t>
            </w:r>
          </w:p>
        </w:tc>
        <w:tc>
          <w:tcPr>
            <w:tcW w:w="2888" w:type="dxa"/>
            <w:gridSpan w:val="7"/>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权利性质</w:t>
            </w:r>
          </w:p>
        </w:tc>
        <w:tc>
          <w:tcPr>
            <w:tcW w:w="2336"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土地用途</w:t>
            </w:r>
          </w:p>
        </w:tc>
        <w:tc>
          <w:tcPr>
            <w:tcW w:w="3111" w:type="dxa"/>
            <w:gridSpan w:val="6"/>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起始时间</w:t>
            </w:r>
          </w:p>
        </w:tc>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城镇住宅用地</w:t>
            </w:r>
          </w:p>
        </w:tc>
        <w:tc>
          <w:tcPr>
            <w:tcW w:w="3111" w:type="dxa"/>
            <w:gridSpan w:val="6"/>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2016-08-23</w:t>
            </w:r>
          </w:p>
        </w:tc>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2086-08-22</w:t>
            </w:r>
          </w:p>
        </w:tc>
      </w:tr>
    </w:tbl>
    <w:p>
      <w:pPr>
        <w:autoSpaceDE w:val="0"/>
        <w:autoSpaceDN w:val="0"/>
        <w:adjustRightInd w:val="0"/>
        <w:spacing w:line="460" w:lineRule="exact"/>
        <w:textAlignment w:val="center"/>
        <w:rPr>
          <w:rFonts w:hint="eastAsia" w:ascii="仿宋" w:hAnsi="仿宋" w:eastAsia="仿宋" w:cs="宋体"/>
          <w:sz w:val="24"/>
          <w:szCs w:val="24"/>
        </w:rPr>
      </w:pPr>
      <w:r>
        <w:rPr>
          <w:rFonts w:hint="eastAsia" w:ascii="仿宋" w:hAnsi="仿宋" w:eastAsia="仿宋" w:cs="宋体"/>
          <w:color w:val="000000"/>
          <w:sz w:val="18"/>
          <w:szCs w:val="18"/>
        </w:rPr>
        <w:t>表1-</w:t>
      </w:r>
      <w:r>
        <w:rPr>
          <w:rFonts w:hint="eastAsia" w:ascii="仿宋" w:hAnsi="仿宋" w:eastAsia="仿宋" w:cs="宋体"/>
          <w:color w:val="000000"/>
          <w:sz w:val="18"/>
          <w:szCs w:val="18"/>
          <w:lang w:val="en-US" w:eastAsia="zh-CN"/>
        </w:rPr>
        <w:t>3</w:t>
      </w:r>
      <w:r>
        <w:rPr>
          <w:rFonts w:hint="eastAsia" w:ascii="仿宋" w:hAnsi="仿宋" w:eastAsia="仿宋" w:cs="宋体"/>
          <w:sz w:val="24"/>
          <w:szCs w:val="24"/>
        </w:rPr>
        <w:t xml:space="preserve">                     估价对象</w:t>
      </w:r>
      <w:r>
        <w:rPr>
          <w:rFonts w:hint="eastAsia" w:ascii="仿宋" w:hAnsi="仿宋" w:eastAsia="仿宋" w:cs="宋体"/>
          <w:sz w:val="24"/>
          <w:szCs w:val="24"/>
          <w:lang w:val="en-US" w:eastAsia="zh-CN"/>
        </w:rPr>
        <w:t>3</w:t>
      </w:r>
      <w:r>
        <w:rPr>
          <w:rFonts w:hint="eastAsia" w:ascii="仿宋" w:hAnsi="仿宋" w:eastAsia="仿宋" w:cs="宋体"/>
          <w:sz w:val="24"/>
          <w:szCs w:val="24"/>
        </w:rPr>
        <w:t>产权登记情况一览表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90"/>
        <w:gridCol w:w="411"/>
        <w:gridCol w:w="509"/>
        <w:gridCol w:w="426"/>
        <w:gridCol w:w="366"/>
        <w:gridCol w:w="631"/>
        <w:gridCol w:w="594"/>
        <w:gridCol w:w="213"/>
        <w:gridCol w:w="973"/>
        <w:gridCol w:w="334"/>
        <w:gridCol w:w="317"/>
        <w:gridCol w:w="416"/>
        <w:gridCol w:w="41"/>
        <w:gridCol w:w="140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1" w:type="dxa"/>
            <w:gridSpan w:val="16"/>
          </w:tcPr>
          <w:p>
            <w:pPr>
              <w:spacing w:line="300" w:lineRule="atLeast"/>
              <w:jc w:val="center"/>
              <w:rPr>
                <w:rFonts w:hint="eastAsia" w:eastAsia="仿宋"/>
                <w:bCs/>
                <w:sz w:val="18"/>
                <w:szCs w:val="18"/>
                <w:lang w:val="en-US" w:eastAsia="zh-CN"/>
              </w:rPr>
            </w:pPr>
            <w:r>
              <w:rPr>
                <w:rFonts w:hint="eastAsia" w:eastAsia="仿宋"/>
                <w:bCs/>
                <w:sz w:val="18"/>
                <w:szCs w:val="18"/>
                <w:lang w:eastAsia="zh-CN"/>
              </w:rPr>
              <w:t>房产登记信息查询情况说明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权利人</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陈正海</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共有方式</w:t>
            </w:r>
          </w:p>
        </w:tc>
        <w:tc>
          <w:tcPr>
            <w:tcW w:w="2377"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证件类型</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身份证</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证件号码</w:t>
            </w:r>
          </w:p>
        </w:tc>
        <w:tc>
          <w:tcPr>
            <w:tcW w:w="2377"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510322197110088215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不动产权证号</w:t>
            </w:r>
          </w:p>
        </w:tc>
        <w:tc>
          <w:tcPr>
            <w:tcW w:w="2526"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川（2019）富顺县不动产权第0005043号</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登记时间</w:t>
            </w:r>
          </w:p>
        </w:tc>
        <w:tc>
          <w:tcPr>
            <w:tcW w:w="2377"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2019-04-04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产别</w:t>
            </w:r>
          </w:p>
        </w:tc>
        <w:tc>
          <w:tcPr>
            <w:tcW w:w="2526"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私有房产</w:t>
            </w:r>
          </w:p>
        </w:tc>
        <w:tc>
          <w:tcPr>
            <w:tcW w:w="2253" w:type="dxa"/>
            <w:gridSpan w:val="5"/>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房屋性质</w:t>
            </w:r>
          </w:p>
        </w:tc>
        <w:tc>
          <w:tcPr>
            <w:tcW w:w="2377"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自建房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5"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房屋坐落</w:t>
            </w:r>
          </w:p>
        </w:tc>
        <w:tc>
          <w:tcPr>
            <w:tcW w:w="2526" w:type="dxa"/>
            <w:gridSpan w:val="5"/>
          </w:tcPr>
          <w:p>
            <w:pPr>
              <w:spacing w:line="300" w:lineRule="atLeast"/>
              <w:jc w:val="center"/>
              <w:rPr>
                <w:rFonts w:hint="default" w:eastAsia="仿宋"/>
                <w:bCs/>
                <w:sz w:val="18"/>
                <w:szCs w:val="18"/>
                <w:lang w:val="en-US"/>
              </w:rPr>
            </w:pPr>
            <w:r>
              <w:rPr>
                <w:rFonts w:hint="eastAsia" w:eastAsia="仿宋"/>
                <w:bCs/>
                <w:sz w:val="18"/>
                <w:szCs w:val="18"/>
                <w:lang w:eastAsia="zh-CN"/>
              </w:rPr>
              <w:t>富顺县龙万乡振兴街78号附</w:t>
            </w:r>
            <w:r>
              <w:rPr>
                <w:rFonts w:hint="eastAsia" w:eastAsia="仿宋"/>
                <w:bCs/>
                <w:sz w:val="18"/>
                <w:szCs w:val="18"/>
                <w:lang w:val="en-US" w:eastAsia="zh-CN"/>
              </w:rPr>
              <w:t>3</w:t>
            </w:r>
            <w:r>
              <w:rPr>
                <w:rFonts w:hint="eastAsia" w:eastAsia="仿宋"/>
                <w:bCs/>
                <w:sz w:val="18"/>
                <w:szCs w:val="18"/>
                <w:lang w:eastAsia="zh-CN"/>
              </w:rPr>
              <w:t>-2</w:t>
            </w:r>
            <w:r>
              <w:rPr>
                <w:rFonts w:hint="eastAsia" w:eastAsia="仿宋"/>
                <w:bCs/>
                <w:sz w:val="18"/>
                <w:szCs w:val="18"/>
                <w:lang w:val="en-US" w:eastAsia="zh-CN"/>
              </w:rPr>
              <w:t>号</w:t>
            </w:r>
          </w:p>
        </w:tc>
        <w:tc>
          <w:tcPr>
            <w:tcW w:w="2253"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房屋数</w:t>
            </w:r>
          </w:p>
        </w:tc>
        <w:tc>
          <w:tcPr>
            <w:tcW w:w="2377" w:type="dxa"/>
            <w:gridSpan w:val="3"/>
          </w:tcPr>
          <w:p>
            <w:pPr>
              <w:spacing w:line="300" w:lineRule="atLeast"/>
              <w:jc w:val="center"/>
              <w:rPr>
                <w:rFonts w:hint="eastAsia" w:eastAsia="仿宋"/>
                <w:bCs/>
                <w:sz w:val="18"/>
                <w:szCs w:val="18"/>
                <w:lang w:val="en-US" w:eastAsia="zh-CN"/>
              </w:rPr>
            </w:pPr>
            <w:r>
              <w:rPr>
                <w:rFonts w:hint="eastAsia" w:eastAsia="仿宋"/>
                <w:bCs/>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幢号</w:t>
            </w:r>
          </w:p>
        </w:tc>
        <w:tc>
          <w:tcPr>
            <w:tcW w:w="890"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房号</w:t>
            </w:r>
          </w:p>
        </w:tc>
        <w:tc>
          <w:tcPr>
            <w:tcW w:w="920"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房屋结构</w:t>
            </w:r>
          </w:p>
        </w:tc>
        <w:tc>
          <w:tcPr>
            <w:tcW w:w="792"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所在层</w:t>
            </w:r>
          </w:p>
        </w:tc>
        <w:tc>
          <w:tcPr>
            <w:tcW w:w="631"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总层数</w:t>
            </w:r>
          </w:p>
        </w:tc>
        <w:tc>
          <w:tcPr>
            <w:tcW w:w="807"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建筑面积</w:t>
            </w:r>
          </w:p>
        </w:tc>
        <w:tc>
          <w:tcPr>
            <w:tcW w:w="973"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分摊土地面积</w:t>
            </w:r>
          </w:p>
        </w:tc>
        <w:tc>
          <w:tcPr>
            <w:tcW w:w="651"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规划用途</w:t>
            </w:r>
          </w:p>
        </w:tc>
        <w:tc>
          <w:tcPr>
            <w:tcW w:w="1859"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房屋状态</w:t>
            </w:r>
          </w:p>
        </w:tc>
        <w:tc>
          <w:tcPr>
            <w:tcW w:w="934"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tcPr>
          <w:p>
            <w:pPr>
              <w:spacing w:line="300" w:lineRule="atLeast"/>
              <w:jc w:val="center"/>
              <w:rPr>
                <w:rFonts w:hint="eastAsia" w:eastAsia="仿宋"/>
                <w:bCs/>
                <w:sz w:val="18"/>
                <w:szCs w:val="18"/>
                <w:lang w:val="en-US" w:eastAsia="zh-CN"/>
              </w:rPr>
            </w:pPr>
          </w:p>
        </w:tc>
        <w:tc>
          <w:tcPr>
            <w:tcW w:w="890"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3-2</w:t>
            </w:r>
          </w:p>
        </w:tc>
        <w:tc>
          <w:tcPr>
            <w:tcW w:w="920"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混合结构</w:t>
            </w:r>
          </w:p>
        </w:tc>
        <w:tc>
          <w:tcPr>
            <w:tcW w:w="792"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w:t>
            </w:r>
          </w:p>
        </w:tc>
        <w:tc>
          <w:tcPr>
            <w:tcW w:w="631"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w:t>
            </w:r>
          </w:p>
        </w:tc>
        <w:tc>
          <w:tcPr>
            <w:tcW w:w="807"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128.37</w:t>
            </w:r>
          </w:p>
        </w:tc>
        <w:tc>
          <w:tcPr>
            <w:tcW w:w="973"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44.05</w:t>
            </w:r>
          </w:p>
        </w:tc>
        <w:tc>
          <w:tcPr>
            <w:tcW w:w="651"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住宅</w:t>
            </w:r>
          </w:p>
        </w:tc>
        <w:tc>
          <w:tcPr>
            <w:tcW w:w="1859" w:type="dxa"/>
            <w:gridSpan w:val="3"/>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现房已抵押，现房已查封，未关联期房，现房无异议，未限制</w:t>
            </w:r>
          </w:p>
        </w:tc>
        <w:tc>
          <w:tcPr>
            <w:tcW w:w="934" w:type="dxa"/>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未抵押，未查封，无异议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宗地代码</w:t>
            </w:r>
          </w:p>
        </w:tc>
        <w:tc>
          <w:tcPr>
            <w:tcW w:w="2343"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510322200224GB00010</w:t>
            </w:r>
          </w:p>
        </w:tc>
        <w:tc>
          <w:tcPr>
            <w:tcW w:w="2888" w:type="dxa"/>
            <w:gridSpan w:val="7"/>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宗地面积</w:t>
            </w:r>
          </w:p>
        </w:tc>
        <w:tc>
          <w:tcPr>
            <w:tcW w:w="2336"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251.33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权利类型</w:t>
            </w:r>
          </w:p>
        </w:tc>
        <w:tc>
          <w:tcPr>
            <w:tcW w:w="2343"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国有建设用地使用权</w:t>
            </w:r>
          </w:p>
        </w:tc>
        <w:tc>
          <w:tcPr>
            <w:tcW w:w="2888" w:type="dxa"/>
            <w:gridSpan w:val="7"/>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权利性质</w:t>
            </w:r>
          </w:p>
        </w:tc>
        <w:tc>
          <w:tcPr>
            <w:tcW w:w="2336" w:type="dxa"/>
            <w:gridSpan w:val="2"/>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土地用途</w:t>
            </w:r>
          </w:p>
        </w:tc>
        <w:tc>
          <w:tcPr>
            <w:tcW w:w="3111" w:type="dxa"/>
            <w:gridSpan w:val="6"/>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起始时间</w:t>
            </w:r>
          </w:p>
        </w:tc>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城镇住宅用地</w:t>
            </w:r>
          </w:p>
        </w:tc>
        <w:tc>
          <w:tcPr>
            <w:tcW w:w="3111" w:type="dxa"/>
            <w:gridSpan w:val="6"/>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2016-08-23</w:t>
            </w:r>
          </w:p>
        </w:tc>
        <w:tc>
          <w:tcPr>
            <w:tcW w:w="3110" w:type="dxa"/>
            <w:gridSpan w:val="5"/>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2086-08-22</w:t>
            </w:r>
          </w:p>
        </w:tc>
      </w:tr>
    </w:tbl>
    <w:p>
      <w:pPr>
        <w:spacing w:line="460" w:lineRule="exact"/>
        <w:ind w:right="560"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2、</w:t>
      </w:r>
      <w:r>
        <w:rPr>
          <w:rFonts w:hint="eastAsia" w:ascii="仿宋" w:hAnsi="仿宋" w:eastAsia="仿宋" w:cs="宋体"/>
          <w:sz w:val="24"/>
          <w:szCs w:val="24"/>
        </w:rPr>
        <w:t>估价对象权益状况</w:t>
      </w:r>
    </w:p>
    <w:p>
      <w:pPr>
        <w:adjustRightInd w:val="0"/>
        <w:spacing w:line="440" w:lineRule="exact"/>
        <w:ind w:firstLine="480" w:firstLineChars="200"/>
        <w:rPr>
          <w:rFonts w:ascii="仿宋" w:hAnsi="仿宋" w:eastAsia="仿宋" w:cs="宋体"/>
          <w:color w:val="000000"/>
          <w:sz w:val="24"/>
          <w:szCs w:val="24"/>
        </w:rPr>
      </w:pPr>
      <w:bookmarkStart w:id="34" w:name="_Hlk38382156"/>
      <w:r>
        <w:rPr>
          <w:rFonts w:hint="eastAsia" w:ascii="仿宋" w:hAnsi="仿宋" w:eastAsia="仿宋" w:cs="仿宋"/>
          <w:bCs/>
          <w:color w:val="000000"/>
          <w:sz w:val="24"/>
          <w:szCs w:val="24"/>
        </w:rPr>
        <w:t>估价对象房屋所有权人为</w:t>
      </w:r>
      <w:r>
        <w:rPr>
          <w:rFonts w:hint="eastAsia" w:ascii="仿宋" w:hAnsi="仿宋" w:eastAsia="仿宋" w:cs="仿宋"/>
          <w:bCs/>
          <w:color w:val="000000"/>
          <w:sz w:val="24"/>
          <w:szCs w:val="24"/>
          <w:lang w:eastAsia="zh-CN"/>
        </w:rPr>
        <w:t>陈正海</w:t>
      </w:r>
      <w:r>
        <w:rPr>
          <w:rFonts w:hint="eastAsia" w:ascii="仿宋" w:hAnsi="仿宋" w:eastAsia="仿宋" w:cs="仿宋"/>
          <w:bCs/>
          <w:color w:val="000000"/>
          <w:sz w:val="24"/>
          <w:szCs w:val="24"/>
        </w:rPr>
        <w:t>，共有情况为</w:t>
      </w:r>
      <w:r>
        <w:rPr>
          <w:rFonts w:hint="eastAsia" w:ascii="仿宋" w:hAnsi="仿宋" w:eastAsia="仿宋" w:cs="仿宋"/>
          <w:bCs/>
          <w:color w:val="000000"/>
          <w:sz w:val="24"/>
          <w:szCs w:val="24"/>
          <w:lang w:eastAsia="zh-CN"/>
        </w:rPr>
        <w:t>单独所有</w:t>
      </w:r>
      <w:r>
        <w:rPr>
          <w:rFonts w:hint="eastAsia" w:ascii="仿宋" w:hAnsi="仿宋" w:eastAsia="仿宋" w:cs="仿宋"/>
          <w:bCs/>
          <w:color w:val="000000"/>
          <w:sz w:val="24"/>
          <w:szCs w:val="24"/>
        </w:rPr>
        <w:t>。</w:t>
      </w:r>
      <w:r>
        <w:rPr>
          <w:rFonts w:hint="eastAsia" w:ascii="仿宋" w:hAnsi="仿宋" w:eastAsia="仿宋" w:cs="宋体"/>
          <w:color w:val="000000"/>
          <w:sz w:val="24"/>
          <w:szCs w:val="24"/>
        </w:rPr>
        <w:t>估价对象占用宗地属国家所有，</w:t>
      </w:r>
      <w:r>
        <w:rPr>
          <w:rFonts w:hint="eastAsia" w:ascii="仿宋" w:hAnsi="仿宋" w:eastAsia="仿宋" w:cs="宋体"/>
          <w:color w:val="000000"/>
          <w:sz w:val="24"/>
          <w:szCs w:val="24"/>
          <w:lang w:val="en-US" w:eastAsia="zh-CN"/>
        </w:rPr>
        <w:t>产权人</w:t>
      </w:r>
      <w:r>
        <w:rPr>
          <w:rFonts w:hint="eastAsia" w:ascii="仿宋" w:hAnsi="仿宋" w:eastAsia="仿宋" w:cs="宋体"/>
          <w:color w:val="000000"/>
          <w:sz w:val="24"/>
          <w:szCs w:val="24"/>
        </w:rPr>
        <w:t>通过</w:t>
      </w:r>
      <w:r>
        <w:rPr>
          <w:rFonts w:hint="eastAsia" w:ascii="仿宋" w:hAnsi="仿宋" w:eastAsia="仿宋" w:cs="宋体"/>
          <w:color w:val="000000"/>
          <w:sz w:val="24"/>
          <w:szCs w:val="24"/>
          <w:u w:val="none"/>
        </w:rPr>
        <w:t>购买房屋以出让</w:t>
      </w:r>
      <w:r>
        <w:rPr>
          <w:rFonts w:hint="eastAsia" w:ascii="仿宋" w:hAnsi="仿宋" w:eastAsia="仿宋" w:cs="宋体"/>
          <w:color w:val="000000"/>
          <w:sz w:val="24"/>
          <w:szCs w:val="24"/>
        </w:rPr>
        <w:t>方式取得土地使用权，土地用途为</w:t>
      </w:r>
      <w:r>
        <w:rPr>
          <w:rFonts w:hint="eastAsia" w:ascii="仿宋" w:hAnsi="仿宋" w:eastAsia="仿宋" w:cs="宋体"/>
          <w:color w:val="000000"/>
          <w:sz w:val="24"/>
          <w:szCs w:val="24"/>
          <w:lang w:val="en-US" w:eastAsia="zh-CN"/>
        </w:rPr>
        <w:t>出让</w:t>
      </w:r>
      <w:r>
        <w:rPr>
          <w:rFonts w:hint="eastAsia" w:ascii="仿宋" w:hAnsi="仿宋" w:eastAsia="仿宋" w:cs="宋体"/>
          <w:color w:val="000000"/>
          <w:sz w:val="24"/>
          <w:szCs w:val="24"/>
        </w:rPr>
        <w:t>，土地使用权终止日期为</w:t>
      </w:r>
      <w:r>
        <w:rPr>
          <w:rFonts w:hint="eastAsia" w:ascii="仿宋" w:hAnsi="仿宋" w:eastAsia="仿宋" w:cs="宋体"/>
          <w:color w:val="000000"/>
          <w:sz w:val="24"/>
          <w:szCs w:val="24"/>
          <w:lang w:val="en-US" w:eastAsia="zh-CN"/>
        </w:rPr>
        <w:t>2086</w:t>
      </w:r>
      <w:r>
        <w:rPr>
          <w:rFonts w:hint="eastAsia" w:ascii="仿宋" w:hAnsi="仿宋" w:eastAsia="仿宋" w:cs="宋体"/>
          <w:color w:val="000000"/>
          <w:sz w:val="24"/>
          <w:szCs w:val="24"/>
        </w:rPr>
        <w:t>年</w:t>
      </w:r>
      <w:r>
        <w:rPr>
          <w:rFonts w:hint="eastAsia" w:ascii="仿宋" w:hAnsi="仿宋" w:eastAsia="仿宋" w:cs="宋体"/>
          <w:color w:val="000000"/>
          <w:sz w:val="24"/>
          <w:szCs w:val="24"/>
          <w:lang w:val="en-US" w:eastAsia="zh-CN"/>
        </w:rPr>
        <w:t>08</w:t>
      </w:r>
      <w:r>
        <w:rPr>
          <w:rFonts w:hint="eastAsia" w:ascii="仿宋" w:hAnsi="仿宋" w:eastAsia="仿宋" w:cs="宋体"/>
          <w:color w:val="000000"/>
          <w:sz w:val="24"/>
          <w:szCs w:val="24"/>
        </w:rPr>
        <w:t>月</w:t>
      </w:r>
      <w:r>
        <w:rPr>
          <w:rFonts w:hint="eastAsia" w:ascii="仿宋" w:hAnsi="仿宋" w:eastAsia="仿宋" w:cs="宋体"/>
          <w:color w:val="000000"/>
          <w:sz w:val="24"/>
          <w:szCs w:val="24"/>
          <w:lang w:val="en-US" w:eastAsia="zh-CN"/>
        </w:rPr>
        <w:t>22</w:t>
      </w:r>
      <w:r>
        <w:rPr>
          <w:rFonts w:hint="eastAsia" w:ascii="仿宋" w:hAnsi="仿宋" w:eastAsia="仿宋" w:cs="宋体"/>
          <w:color w:val="000000"/>
          <w:sz w:val="24"/>
          <w:szCs w:val="24"/>
        </w:rPr>
        <w:t>日，截至价值时点土地使用权剩余使用年限</w:t>
      </w:r>
      <w:r>
        <w:rPr>
          <w:rFonts w:hint="eastAsia" w:ascii="仿宋" w:hAnsi="仿宋" w:eastAsia="仿宋" w:cs="宋体"/>
          <w:color w:val="000000"/>
          <w:sz w:val="24"/>
          <w:szCs w:val="24"/>
          <w:lang w:val="en-US" w:eastAsia="zh-CN"/>
        </w:rPr>
        <w:t>65.9</w:t>
      </w:r>
      <w:r>
        <w:rPr>
          <w:rFonts w:hint="eastAsia" w:ascii="仿宋" w:hAnsi="仿宋" w:eastAsia="仿宋" w:cs="宋体"/>
          <w:color w:val="000000"/>
          <w:sz w:val="24"/>
          <w:szCs w:val="24"/>
        </w:rPr>
        <w:t>年。</w:t>
      </w:r>
    </w:p>
    <w:bookmarkEnd w:id="34"/>
    <w:p>
      <w:pPr>
        <w:adjustRightInd w:val="0"/>
        <w:spacing w:line="460" w:lineRule="exact"/>
        <w:ind w:firstLine="480" w:firstLineChars="200"/>
        <w:rPr>
          <w:rFonts w:hint="eastAsia" w:ascii="仿宋" w:hAnsi="仿宋" w:eastAsia="仿宋" w:cs="宋体"/>
          <w:sz w:val="24"/>
          <w:szCs w:val="24"/>
          <w:lang w:eastAsia="zh-CN"/>
        </w:rPr>
      </w:pPr>
      <w:r>
        <w:rPr>
          <w:rFonts w:hint="eastAsia" w:ascii="仿宋" w:hAnsi="仿宋" w:eastAsia="仿宋" w:cs="宋体"/>
          <w:sz w:val="24"/>
          <w:szCs w:val="24"/>
        </w:rPr>
        <w:t>截至价值时点，估价对象</w:t>
      </w:r>
      <w:r>
        <w:rPr>
          <w:rFonts w:hint="eastAsia" w:ascii="仿宋" w:hAnsi="仿宋" w:eastAsia="仿宋" w:cs="宋体"/>
          <w:sz w:val="24"/>
          <w:szCs w:val="24"/>
          <w:lang w:val="en-US" w:eastAsia="zh-CN"/>
        </w:rPr>
        <w:t>存在抵押权</w:t>
      </w:r>
      <w:r>
        <w:rPr>
          <w:rFonts w:hint="eastAsia" w:ascii="仿宋" w:hAnsi="仿宋" w:eastAsia="仿宋" w:cs="宋体"/>
          <w:sz w:val="24"/>
          <w:szCs w:val="24"/>
        </w:rPr>
        <w:t>。</w:t>
      </w:r>
    </w:p>
    <w:p>
      <w:pPr>
        <w:adjustRightInd w:val="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估价对象截至价值时点，由</w:t>
      </w:r>
      <w:r>
        <w:rPr>
          <w:rFonts w:hint="eastAsia" w:ascii="仿宋" w:hAnsi="仿宋" w:eastAsia="仿宋" w:cs="宋体"/>
          <w:sz w:val="24"/>
          <w:szCs w:val="24"/>
          <w:lang w:eastAsia="zh-CN"/>
        </w:rPr>
        <w:t>四川省富顺县人民法院</w:t>
      </w:r>
      <w:r>
        <w:rPr>
          <w:rFonts w:hint="eastAsia" w:ascii="仿宋" w:hAnsi="仿宋" w:eastAsia="仿宋" w:cs="宋体"/>
          <w:sz w:val="24"/>
          <w:szCs w:val="24"/>
        </w:rPr>
        <w:t>予以查封。</w:t>
      </w:r>
    </w:p>
    <w:p>
      <w:pPr>
        <w:adjustRightInd w:val="0"/>
        <w:spacing w:line="460" w:lineRule="exact"/>
        <w:ind w:firstLine="480" w:firstLineChars="200"/>
        <w:rPr>
          <w:rFonts w:ascii="仿宋" w:hAnsi="仿宋" w:eastAsia="仿宋" w:cs="宋体"/>
          <w:color w:val="000000"/>
          <w:sz w:val="24"/>
          <w:szCs w:val="24"/>
        </w:rPr>
      </w:pPr>
      <w:r>
        <w:rPr>
          <w:rFonts w:hint="eastAsia" w:ascii="仿宋" w:hAnsi="仿宋" w:eastAsia="仿宋" w:cs="宋体"/>
          <w:sz w:val="24"/>
          <w:szCs w:val="24"/>
        </w:rPr>
        <w:t>总体说来，估价对象房屋所有权与土地使用权均为</w:t>
      </w:r>
      <w:r>
        <w:rPr>
          <w:rFonts w:hint="eastAsia" w:ascii="仿宋" w:hAnsi="仿宋" w:eastAsia="仿宋" w:cs="宋体"/>
          <w:sz w:val="24"/>
          <w:szCs w:val="24"/>
          <w:lang w:eastAsia="zh-CN"/>
        </w:rPr>
        <w:t>陈正海单独所有</w:t>
      </w:r>
      <w:r>
        <w:rPr>
          <w:rFonts w:hint="eastAsia" w:ascii="仿宋" w:hAnsi="仿宋" w:eastAsia="仿宋" w:cs="宋体"/>
          <w:sz w:val="24"/>
          <w:szCs w:val="24"/>
        </w:rPr>
        <w:t>，权利主体一致，除设立抵押权及司法查封外，权属无争议。</w:t>
      </w:r>
    </w:p>
    <w:p>
      <w:pPr>
        <w:spacing w:line="460" w:lineRule="exact"/>
        <w:ind w:firstLine="472" w:firstLineChars="196"/>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（三）</w:t>
      </w:r>
      <w:r>
        <w:rPr>
          <w:rFonts w:hint="eastAsia" w:ascii="仿宋" w:hAnsi="仿宋" w:eastAsia="仿宋" w:cs="宋体"/>
          <w:b/>
          <w:sz w:val="24"/>
          <w:szCs w:val="24"/>
        </w:rPr>
        <w:t>估</w:t>
      </w:r>
      <w:r>
        <w:rPr>
          <w:rFonts w:hint="eastAsia" w:ascii="仿宋" w:hAnsi="仿宋" w:eastAsia="仿宋" w:cs="宋体"/>
          <w:b/>
          <w:kern w:val="0"/>
          <w:sz w:val="24"/>
          <w:szCs w:val="24"/>
        </w:rPr>
        <w:t>价对象实物状况</w:t>
      </w:r>
    </w:p>
    <w:p>
      <w:pPr>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估价委托人提供的</w:t>
      </w:r>
      <w:r>
        <w:rPr>
          <w:rFonts w:hint="eastAsia" w:ascii="仿宋" w:hAnsi="仿宋" w:eastAsia="仿宋" w:cs="宋体"/>
          <w:color w:val="000000"/>
          <w:sz w:val="24"/>
          <w:szCs w:val="24"/>
          <w:lang w:eastAsia="zh-CN"/>
        </w:rPr>
        <w:t>《房产登记信息查询情况说明》</w:t>
      </w:r>
      <w:r>
        <w:rPr>
          <w:rFonts w:hint="eastAsia" w:ascii="仿宋" w:hAnsi="仿宋" w:eastAsia="仿宋" w:cs="宋体"/>
          <w:sz w:val="24"/>
          <w:szCs w:val="24"/>
        </w:rPr>
        <w:t>复印</w:t>
      </w:r>
      <w:r>
        <w:rPr>
          <w:rFonts w:hint="eastAsia" w:ascii="仿宋" w:hAnsi="仿宋" w:eastAsia="仿宋" w:cs="宋体"/>
          <w:color w:val="000000"/>
          <w:sz w:val="24"/>
          <w:szCs w:val="24"/>
        </w:rPr>
        <w:t>件及估价人员实地查勘，估价对象房屋实物状况如下表：</w:t>
      </w:r>
    </w:p>
    <w:p>
      <w:pPr>
        <w:spacing w:line="460" w:lineRule="exact"/>
        <w:rPr>
          <w:rFonts w:ascii="仿宋" w:hAnsi="仿宋" w:eastAsia="仿宋" w:cs="宋体"/>
          <w:bCs/>
          <w:color w:val="000000"/>
          <w:sz w:val="24"/>
          <w:szCs w:val="24"/>
        </w:rPr>
      </w:pPr>
      <w:r>
        <w:rPr>
          <w:rFonts w:hint="eastAsia" w:ascii="仿宋" w:hAnsi="仿宋" w:eastAsia="仿宋" w:cs="宋体"/>
          <w:color w:val="000000"/>
          <w:sz w:val="18"/>
          <w:szCs w:val="18"/>
        </w:rPr>
        <w:t xml:space="preserve">   表</w:t>
      </w:r>
      <w:r>
        <w:rPr>
          <w:rFonts w:hint="eastAsia" w:ascii="仿宋" w:hAnsi="仿宋" w:eastAsia="仿宋" w:cs="宋体"/>
          <w:color w:val="000000"/>
          <w:sz w:val="18"/>
          <w:szCs w:val="18"/>
          <w:lang w:val="en-US" w:eastAsia="zh-CN"/>
        </w:rPr>
        <w:t>2</w:t>
      </w:r>
      <w:r>
        <w:rPr>
          <w:rFonts w:hint="eastAsia" w:ascii="仿宋" w:hAnsi="仿宋" w:eastAsia="仿宋" w:cs="宋体"/>
          <w:color w:val="000000"/>
          <w:sz w:val="24"/>
          <w:szCs w:val="24"/>
        </w:rPr>
        <w:t xml:space="preserve">                 </w:t>
      </w:r>
      <w:r>
        <w:rPr>
          <w:rFonts w:hint="eastAsia" w:ascii="仿宋" w:hAnsi="仿宋" w:eastAsia="仿宋" w:cs="宋体"/>
          <w:sz w:val="24"/>
          <w:szCs w:val="24"/>
        </w:rPr>
        <w:t xml:space="preserve">   </w:t>
      </w:r>
      <w:r>
        <w:rPr>
          <w:rFonts w:hint="eastAsia" w:ascii="仿宋" w:hAnsi="仿宋" w:eastAsia="仿宋" w:cs="宋体"/>
          <w:bCs/>
          <w:sz w:val="24"/>
          <w:szCs w:val="24"/>
        </w:rPr>
        <w:t>估价对象</w:t>
      </w:r>
      <w:r>
        <w:rPr>
          <w:rFonts w:hint="eastAsia" w:ascii="仿宋" w:hAnsi="仿宋" w:eastAsia="仿宋" w:cs="宋体"/>
          <w:bCs/>
          <w:sz w:val="24"/>
          <w:szCs w:val="24"/>
          <w:lang w:val="en-US" w:eastAsia="zh-CN"/>
        </w:rPr>
        <w:t>1、2、3</w:t>
      </w:r>
      <w:r>
        <w:rPr>
          <w:rFonts w:hint="eastAsia" w:ascii="仿宋" w:hAnsi="仿宋" w:eastAsia="仿宋" w:cs="宋体"/>
          <w:bCs/>
          <w:sz w:val="24"/>
          <w:szCs w:val="24"/>
        </w:rPr>
        <w:t>实物状况表</w:t>
      </w:r>
    </w:p>
    <w:tbl>
      <w:tblPr>
        <w:tblStyle w:val="30"/>
        <w:tblW w:w="9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441"/>
        <w:gridCol w:w="740"/>
        <w:gridCol w:w="1739"/>
        <w:gridCol w:w="1154"/>
        <w:gridCol w:w="1659"/>
        <w:gridCol w:w="1006"/>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31" w:type="dxa"/>
            <w:gridSpan w:val="8"/>
            <w:vAlign w:val="center"/>
          </w:tcPr>
          <w:p>
            <w:pPr>
              <w:spacing w:line="300" w:lineRule="atLeast"/>
              <w:jc w:val="center"/>
              <w:rPr>
                <w:rFonts w:hint="eastAsia" w:eastAsia="仿宋"/>
                <w:bCs/>
                <w:sz w:val="18"/>
                <w:szCs w:val="18"/>
              </w:rPr>
            </w:pPr>
            <w:r>
              <w:rPr>
                <w:rFonts w:hint="eastAsia" w:eastAsia="仿宋"/>
                <w:bCs/>
                <w:sz w:val="18"/>
                <w:szCs w:val="18"/>
              </w:rPr>
              <w:t>土地实物状况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土地使用者</w:t>
            </w:r>
          </w:p>
        </w:tc>
        <w:tc>
          <w:tcPr>
            <w:tcW w:w="2479" w:type="dxa"/>
            <w:gridSpan w:val="2"/>
            <w:vAlign w:val="center"/>
          </w:tcPr>
          <w:p>
            <w:pPr>
              <w:spacing w:line="300" w:lineRule="atLeast"/>
              <w:jc w:val="center"/>
              <w:rPr>
                <w:rFonts w:hint="eastAsia" w:eastAsia="仿宋"/>
                <w:bCs/>
                <w:sz w:val="18"/>
                <w:szCs w:val="18"/>
                <w:lang w:eastAsia="zh-CN"/>
              </w:rPr>
            </w:pPr>
            <w:r>
              <w:rPr>
                <w:rFonts w:hint="eastAsia" w:eastAsia="仿宋"/>
                <w:bCs/>
                <w:sz w:val="18"/>
                <w:szCs w:val="18"/>
                <w:lang w:eastAsia="zh-CN"/>
              </w:rPr>
              <w:t>陈正海</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座    落</w:t>
            </w:r>
          </w:p>
        </w:tc>
        <w:tc>
          <w:tcPr>
            <w:tcW w:w="4404" w:type="dxa"/>
            <w:gridSpan w:val="3"/>
            <w:vAlign w:val="center"/>
          </w:tcPr>
          <w:p>
            <w:pPr>
              <w:spacing w:line="300" w:lineRule="atLeast"/>
              <w:jc w:val="center"/>
              <w:rPr>
                <w:rFonts w:hint="eastAsia" w:eastAsia="仿宋"/>
                <w:bCs/>
                <w:sz w:val="18"/>
                <w:szCs w:val="18"/>
              </w:rPr>
            </w:pPr>
            <w:r>
              <w:rPr>
                <w:rFonts w:hint="eastAsia" w:eastAsia="仿宋"/>
                <w:bCs/>
                <w:sz w:val="18"/>
                <w:szCs w:val="18"/>
                <w:lang w:eastAsia="zh-CN"/>
              </w:rPr>
              <w:t>富顺县龙万乡振兴街78号附2-2、3-1、3-2号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面积（㎡）</w:t>
            </w:r>
          </w:p>
        </w:tc>
        <w:tc>
          <w:tcPr>
            <w:tcW w:w="2479" w:type="dxa"/>
            <w:gridSpan w:val="2"/>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39.76</w:t>
            </w:r>
            <w:r>
              <w:rPr>
                <w:rFonts w:hint="eastAsia" w:eastAsia="仿宋"/>
                <w:bCs/>
                <w:sz w:val="18"/>
                <w:szCs w:val="18"/>
              </w:rPr>
              <w:t>㎡</w:t>
            </w:r>
            <w:r>
              <w:rPr>
                <w:rFonts w:hint="eastAsia" w:eastAsia="仿宋"/>
                <w:bCs/>
                <w:sz w:val="18"/>
                <w:szCs w:val="18"/>
                <w:lang w:eastAsia="zh-CN"/>
              </w:rPr>
              <w:t>、</w:t>
            </w:r>
            <w:r>
              <w:rPr>
                <w:rFonts w:hint="eastAsia" w:eastAsia="仿宋"/>
                <w:bCs/>
                <w:sz w:val="18"/>
                <w:szCs w:val="18"/>
                <w:lang w:val="en-US" w:eastAsia="zh-CN"/>
              </w:rPr>
              <w:t>43.96</w:t>
            </w:r>
            <w:r>
              <w:rPr>
                <w:rFonts w:hint="eastAsia" w:eastAsia="仿宋"/>
                <w:bCs/>
                <w:sz w:val="18"/>
                <w:szCs w:val="18"/>
              </w:rPr>
              <w:t>㎡</w:t>
            </w:r>
            <w:r>
              <w:rPr>
                <w:rFonts w:hint="eastAsia" w:eastAsia="仿宋"/>
                <w:bCs/>
                <w:sz w:val="18"/>
                <w:szCs w:val="18"/>
                <w:lang w:eastAsia="zh-CN"/>
              </w:rPr>
              <w:t>、</w:t>
            </w:r>
            <w:r>
              <w:rPr>
                <w:rFonts w:hint="eastAsia" w:eastAsia="仿宋"/>
                <w:bCs/>
                <w:sz w:val="18"/>
                <w:szCs w:val="18"/>
                <w:lang w:val="en-US" w:eastAsia="zh-CN"/>
              </w:rPr>
              <w:t>44.05</w:t>
            </w:r>
            <w:r>
              <w:rPr>
                <w:rFonts w:hint="eastAsia" w:eastAsia="仿宋"/>
                <w:bCs/>
                <w:sz w:val="18"/>
                <w:szCs w:val="18"/>
              </w:rPr>
              <w:t>㎡</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用    途</w:t>
            </w:r>
          </w:p>
        </w:tc>
        <w:tc>
          <w:tcPr>
            <w:tcW w:w="4404" w:type="dxa"/>
            <w:gridSpan w:val="3"/>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四     至</w:t>
            </w:r>
          </w:p>
        </w:tc>
        <w:tc>
          <w:tcPr>
            <w:tcW w:w="8037" w:type="dxa"/>
            <w:gridSpan w:val="6"/>
            <w:vAlign w:val="center"/>
          </w:tcPr>
          <w:p>
            <w:pPr>
              <w:spacing w:line="300" w:lineRule="atLeast"/>
              <w:jc w:val="center"/>
              <w:rPr>
                <w:rFonts w:hint="eastAsia" w:eastAsia="仿宋"/>
                <w:bCs/>
                <w:sz w:val="18"/>
                <w:szCs w:val="18"/>
              </w:rPr>
            </w:pPr>
            <w:r>
              <w:rPr>
                <w:rFonts w:hint="eastAsia" w:eastAsia="仿宋"/>
                <w:bCs/>
                <w:sz w:val="18"/>
                <w:szCs w:val="18"/>
                <w:lang w:val="en-US" w:eastAsia="zh-CN"/>
              </w:rPr>
              <w:t>东至振兴街、南临建筑、西临建筑、北临建筑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形     状</w:t>
            </w:r>
          </w:p>
        </w:tc>
        <w:tc>
          <w:tcPr>
            <w:tcW w:w="2479" w:type="dxa"/>
            <w:gridSpan w:val="2"/>
            <w:vAlign w:val="center"/>
          </w:tcPr>
          <w:p>
            <w:pPr>
              <w:spacing w:line="300" w:lineRule="atLeast"/>
              <w:jc w:val="center"/>
              <w:rPr>
                <w:rFonts w:hint="eastAsia" w:eastAsia="仿宋"/>
                <w:bCs/>
                <w:sz w:val="18"/>
                <w:szCs w:val="18"/>
              </w:rPr>
            </w:pPr>
            <w:r>
              <w:rPr>
                <w:rFonts w:hint="eastAsia" w:eastAsia="仿宋"/>
                <w:bCs/>
                <w:sz w:val="18"/>
                <w:szCs w:val="18"/>
              </w:rPr>
              <w:t>较规则</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地形地势</w:t>
            </w:r>
          </w:p>
        </w:tc>
        <w:tc>
          <w:tcPr>
            <w:tcW w:w="4404" w:type="dxa"/>
            <w:gridSpan w:val="3"/>
            <w:vAlign w:val="center"/>
          </w:tcPr>
          <w:p>
            <w:pPr>
              <w:spacing w:line="300" w:lineRule="atLeast"/>
              <w:jc w:val="center"/>
              <w:rPr>
                <w:rFonts w:hint="eastAsia" w:eastAsia="仿宋"/>
                <w:bCs/>
                <w:sz w:val="18"/>
                <w:szCs w:val="18"/>
              </w:rPr>
            </w:pPr>
            <w:r>
              <w:rPr>
                <w:rFonts w:hint="eastAsia" w:eastAsia="仿宋"/>
                <w:bCs/>
                <w:sz w:val="18"/>
                <w:szCs w:val="18"/>
              </w:rPr>
              <w:t>地势平坦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土     壤</w:t>
            </w:r>
          </w:p>
        </w:tc>
        <w:tc>
          <w:tcPr>
            <w:tcW w:w="2479" w:type="dxa"/>
            <w:gridSpan w:val="2"/>
            <w:vAlign w:val="center"/>
          </w:tcPr>
          <w:p>
            <w:pPr>
              <w:spacing w:line="300" w:lineRule="atLeast"/>
              <w:jc w:val="center"/>
              <w:rPr>
                <w:rFonts w:hint="eastAsia" w:eastAsia="仿宋"/>
                <w:bCs/>
                <w:sz w:val="18"/>
                <w:szCs w:val="18"/>
              </w:rPr>
            </w:pPr>
            <w:r>
              <w:rPr>
                <w:rFonts w:hint="eastAsia" w:eastAsia="仿宋"/>
                <w:bCs/>
                <w:sz w:val="18"/>
                <w:szCs w:val="18"/>
              </w:rPr>
              <w:t>未受过污染</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开发程度</w:t>
            </w:r>
          </w:p>
        </w:tc>
        <w:tc>
          <w:tcPr>
            <w:tcW w:w="4404" w:type="dxa"/>
            <w:gridSpan w:val="3"/>
            <w:vAlign w:val="center"/>
          </w:tcPr>
          <w:p>
            <w:pPr>
              <w:spacing w:line="300" w:lineRule="atLeast"/>
              <w:jc w:val="center"/>
              <w:rPr>
                <w:rFonts w:hint="eastAsia" w:eastAsia="仿宋"/>
                <w:bCs/>
                <w:sz w:val="18"/>
                <w:szCs w:val="18"/>
                <w:lang w:eastAsia="zh-CN"/>
              </w:rPr>
            </w:pPr>
            <w:r>
              <w:rPr>
                <w:rFonts w:hint="eastAsia" w:eastAsia="仿宋"/>
                <w:bCs/>
                <w:sz w:val="18"/>
                <w:szCs w:val="18"/>
              </w:rPr>
              <w:t>达</w:t>
            </w:r>
            <w:r>
              <w:rPr>
                <w:rFonts w:hint="eastAsia" w:eastAsia="仿宋"/>
                <w:bCs/>
                <w:sz w:val="18"/>
                <w:szCs w:val="18"/>
                <w:lang w:val="en-US" w:eastAsia="zh-CN"/>
              </w:rPr>
              <w:t>五</w:t>
            </w:r>
            <w:r>
              <w:rPr>
                <w:rFonts w:hint="eastAsia" w:eastAsia="仿宋"/>
                <w:bCs/>
                <w:sz w:val="18"/>
                <w:szCs w:val="18"/>
              </w:rPr>
              <w:t>通，目前已建成</w:t>
            </w:r>
            <w:r>
              <w:rPr>
                <w:rFonts w:hint="eastAsia" w:eastAsia="仿宋"/>
                <w:bCs/>
                <w:sz w:val="18"/>
                <w:szCs w:val="18"/>
                <w:lang w:val="en-US" w:eastAsia="zh-CN"/>
              </w:rPr>
              <w:t>单体楼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地质条件</w:t>
            </w:r>
          </w:p>
        </w:tc>
        <w:tc>
          <w:tcPr>
            <w:tcW w:w="8037" w:type="dxa"/>
            <w:gridSpan w:val="6"/>
            <w:vAlign w:val="center"/>
          </w:tcPr>
          <w:p>
            <w:pPr>
              <w:spacing w:line="300" w:lineRule="atLeast"/>
              <w:jc w:val="center"/>
              <w:rPr>
                <w:rFonts w:hint="eastAsia" w:eastAsia="仿宋"/>
                <w:bCs/>
                <w:sz w:val="18"/>
                <w:szCs w:val="18"/>
              </w:rPr>
            </w:pPr>
            <w:r>
              <w:rPr>
                <w:rFonts w:hint="eastAsia" w:eastAsia="仿宋"/>
                <w:bCs/>
                <w:sz w:val="18"/>
                <w:szCs w:val="18"/>
              </w:rPr>
              <w:t>地下水对钢筋无侵蚀作用，无不良地质现象，地基承载力和稳定性好，适合建筑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31" w:type="dxa"/>
            <w:gridSpan w:val="8"/>
            <w:vAlign w:val="center"/>
          </w:tcPr>
          <w:p>
            <w:pPr>
              <w:spacing w:line="300" w:lineRule="atLeast"/>
              <w:jc w:val="center"/>
              <w:rPr>
                <w:rFonts w:hint="eastAsia" w:eastAsia="仿宋"/>
                <w:bCs/>
                <w:sz w:val="18"/>
                <w:szCs w:val="18"/>
              </w:rPr>
            </w:pPr>
            <w:r>
              <w:rPr>
                <w:rFonts w:hint="eastAsia" w:eastAsia="仿宋"/>
                <w:bCs/>
                <w:sz w:val="18"/>
                <w:szCs w:val="18"/>
              </w:rPr>
              <w:t>建筑物实物状况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楼盘名称</w:t>
            </w:r>
          </w:p>
        </w:tc>
        <w:tc>
          <w:tcPr>
            <w:tcW w:w="2479" w:type="dxa"/>
            <w:gridSpan w:val="2"/>
            <w:vAlign w:val="center"/>
          </w:tcPr>
          <w:p>
            <w:pPr>
              <w:spacing w:line="300" w:lineRule="atLeast"/>
              <w:jc w:val="center"/>
              <w:rPr>
                <w:rFonts w:hint="eastAsia" w:eastAsia="仿宋"/>
                <w:bCs/>
                <w:sz w:val="18"/>
                <w:szCs w:val="18"/>
                <w:lang w:eastAsia="zh-CN"/>
              </w:rPr>
            </w:pPr>
            <w:r>
              <w:rPr>
                <w:rFonts w:hint="eastAsia" w:eastAsia="仿宋"/>
                <w:bCs/>
                <w:sz w:val="18"/>
                <w:szCs w:val="18"/>
                <w:lang w:val="en-US" w:eastAsia="zh-CN"/>
              </w:rPr>
              <w:t>/</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坐   落</w:t>
            </w:r>
          </w:p>
        </w:tc>
        <w:tc>
          <w:tcPr>
            <w:tcW w:w="4404" w:type="dxa"/>
            <w:gridSpan w:val="3"/>
            <w:vAlign w:val="center"/>
          </w:tcPr>
          <w:p>
            <w:pPr>
              <w:spacing w:line="300" w:lineRule="atLeast"/>
              <w:jc w:val="center"/>
              <w:rPr>
                <w:rFonts w:hint="eastAsia" w:eastAsia="仿宋"/>
                <w:bCs/>
                <w:sz w:val="18"/>
                <w:szCs w:val="18"/>
                <w:lang w:eastAsia="zh-CN"/>
              </w:rPr>
            </w:pPr>
            <w:r>
              <w:rPr>
                <w:rFonts w:hint="eastAsia" w:eastAsia="仿宋"/>
                <w:bCs/>
                <w:sz w:val="18"/>
                <w:szCs w:val="18"/>
                <w:lang w:eastAsia="zh-CN"/>
              </w:rPr>
              <w:t>自贡市富顺县龙万乡振兴街78号附2-2、3-1、3-2号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建筑结构</w:t>
            </w:r>
          </w:p>
        </w:tc>
        <w:tc>
          <w:tcPr>
            <w:tcW w:w="2479" w:type="dxa"/>
            <w:gridSpan w:val="2"/>
            <w:vAlign w:val="center"/>
          </w:tcPr>
          <w:p>
            <w:pPr>
              <w:spacing w:line="300" w:lineRule="atLeast"/>
              <w:jc w:val="center"/>
              <w:rPr>
                <w:rFonts w:hint="eastAsia" w:eastAsia="仿宋"/>
                <w:bCs/>
                <w:sz w:val="18"/>
                <w:szCs w:val="18"/>
                <w:lang w:eastAsia="zh-CN"/>
              </w:rPr>
            </w:pPr>
            <w:r>
              <w:rPr>
                <w:rFonts w:hint="eastAsia" w:eastAsia="仿宋"/>
                <w:bCs/>
                <w:sz w:val="18"/>
                <w:szCs w:val="18"/>
                <w:lang w:eastAsia="zh-CN"/>
              </w:rPr>
              <w:t>混合</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建成年代</w:t>
            </w:r>
          </w:p>
        </w:tc>
        <w:tc>
          <w:tcPr>
            <w:tcW w:w="1659" w:type="dxa"/>
            <w:vAlign w:val="center"/>
          </w:tcPr>
          <w:p>
            <w:pPr>
              <w:spacing w:line="300" w:lineRule="atLeast"/>
              <w:jc w:val="center"/>
              <w:rPr>
                <w:rFonts w:hint="eastAsia" w:eastAsia="仿宋"/>
                <w:bCs/>
                <w:sz w:val="18"/>
                <w:szCs w:val="18"/>
                <w:lang w:eastAsia="zh-CN"/>
              </w:rPr>
            </w:pPr>
            <w:r>
              <w:rPr>
                <w:rFonts w:hint="eastAsia" w:eastAsia="仿宋"/>
                <w:bCs/>
                <w:sz w:val="18"/>
                <w:szCs w:val="18"/>
                <w:lang w:eastAsia="zh-CN"/>
              </w:rPr>
              <w:t>2019年</w:t>
            </w:r>
          </w:p>
        </w:tc>
        <w:tc>
          <w:tcPr>
            <w:tcW w:w="1006" w:type="dxa"/>
            <w:vAlign w:val="center"/>
          </w:tcPr>
          <w:p>
            <w:pPr>
              <w:spacing w:line="300" w:lineRule="atLeast"/>
              <w:jc w:val="center"/>
              <w:rPr>
                <w:rFonts w:hint="eastAsia" w:eastAsia="仿宋"/>
                <w:bCs/>
                <w:sz w:val="18"/>
                <w:szCs w:val="18"/>
              </w:rPr>
            </w:pPr>
            <w:r>
              <w:rPr>
                <w:rFonts w:hint="eastAsia" w:eastAsia="仿宋"/>
                <w:bCs/>
                <w:sz w:val="18"/>
                <w:szCs w:val="18"/>
              </w:rPr>
              <w:t>面积（㎡）</w:t>
            </w:r>
          </w:p>
        </w:tc>
        <w:tc>
          <w:tcPr>
            <w:tcW w:w="1739" w:type="dxa"/>
            <w:vAlign w:val="center"/>
          </w:tcPr>
          <w:p>
            <w:pPr>
              <w:spacing w:line="300" w:lineRule="atLeast"/>
              <w:jc w:val="center"/>
              <w:rPr>
                <w:rFonts w:hint="eastAsia" w:eastAsia="仿宋"/>
                <w:bCs/>
                <w:sz w:val="18"/>
                <w:szCs w:val="18"/>
              </w:rPr>
            </w:pPr>
            <w:r>
              <w:rPr>
                <w:rFonts w:hint="eastAsia" w:eastAsia="仿宋"/>
                <w:bCs/>
                <w:sz w:val="18"/>
                <w:szCs w:val="18"/>
                <w:lang w:val="en-US" w:eastAsia="zh-CN"/>
              </w:rPr>
              <w:t>115.86</w:t>
            </w:r>
            <w:r>
              <w:rPr>
                <w:rFonts w:hint="eastAsia" w:eastAsia="仿宋"/>
                <w:bCs/>
                <w:sz w:val="18"/>
                <w:szCs w:val="18"/>
              </w:rPr>
              <w:t>㎡</w:t>
            </w:r>
            <w:r>
              <w:rPr>
                <w:rFonts w:hint="eastAsia" w:eastAsia="仿宋"/>
                <w:bCs/>
                <w:sz w:val="18"/>
                <w:szCs w:val="18"/>
                <w:lang w:eastAsia="zh-CN"/>
              </w:rPr>
              <w:t>、</w:t>
            </w:r>
            <w:r>
              <w:rPr>
                <w:rFonts w:hint="eastAsia" w:eastAsia="仿宋"/>
                <w:bCs/>
                <w:sz w:val="18"/>
                <w:szCs w:val="18"/>
                <w:lang w:val="en-US" w:eastAsia="zh-CN"/>
              </w:rPr>
              <w:t>128.11</w:t>
            </w:r>
            <w:r>
              <w:rPr>
                <w:rFonts w:hint="eastAsia" w:eastAsia="仿宋"/>
                <w:bCs/>
                <w:sz w:val="18"/>
                <w:szCs w:val="18"/>
              </w:rPr>
              <w:t>㎡</w:t>
            </w:r>
            <w:r>
              <w:rPr>
                <w:rFonts w:hint="eastAsia" w:eastAsia="仿宋"/>
                <w:bCs/>
                <w:sz w:val="18"/>
                <w:szCs w:val="18"/>
                <w:lang w:eastAsia="zh-CN"/>
              </w:rPr>
              <w:t>、</w:t>
            </w:r>
            <w:r>
              <w:rPr>
                <w:rFonts w:hint="eastAsia" w:eastAsia="仿宋"/>
                <w:bCs/>
                <w:sz w:val="18"/>
                <w:szCs w:val="18"/>
                <w:lang w:val="en-US" w:eastAsia="zh-CN"/>
              </w:rPr>
              <w:t>128.37</w:t>
            </w:r>
            <w:r>
              <w:rPr>
                <w:rFonts w:hint="eastAsia" w:eastAsia="仿宋"/>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临街状况</w:t>
            </w:r>
          </w:p>
        </w:tc>
        <w:tc>
          <w:tcPr>
            <w:tcW w:w="2479" w:type="dxa"/>
            <w:gridSpan w:val="2"/>
            <w:vAlign w:val="center"/>
          </w:tcPr>
          <w:p>
            <w:pPr>
              <w:spacing w:line="300" w:lineRule="atLeast"/>
              <w:jc w:val="center"/>
              <w:rPr>
                <w:rFonts w:hint="eastAsia" w:eastAsia="仿宋"/>
                <w:bCs/>
                <w:sz w:val="18"/>
                <w:szCs w:val="18"/>
              </w:rPr>
            </w:pPr>
            <w:r>
              <w:rPr>
                <w:rFonts w:hint="eastAsia" w:eastAsia="仿宋"/>
                <w:bCs/>
                <w:sz w:val="18"/>
                <w:szCs w:val="18"/>
              </w:rPr>
              <w:t>临街</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朝    向</w:t>
            </w:r>
          </w:p>
        </w:tc>
        <w:tc>
          <w:tcPr>
            <w:tcW w:w="1659" w:type="dxa"/>
            <w:vAlign w:val="center"/>
          </w:tcPr>
          <w:p>
            <w:pPr>
              <w:spacing w:line="300" w:lineRule="atLeast"/>
              <w:jc w:val="center"/>
              <w:rPr>
                <w:rFonts w:hint="eastAsia" w:eastAsia="仿宋"/>
                <w:bCs/>
                <w:sz w:val="18"/>
                <w:szCs w:val="18"/>
              </w:rPr>
            </w:pPr>
            <w:r>
              <w:rPr>
                <w:rFonts w:hint="eastAsia" w:eastAsia="仿宋"/>
                <w:bCs/>
                <w:sz w:val="18"/>
                <w:szCs w:val="18"/>
              </w:rPr>
              <w:t>南北</w:t>
            </w:r>
          </w:p>
        </w:tc>
        <w:tc>
          <w:tcPr>
            <w:tcW w:w="1006" w:type="dxa"/>
            <w:vAlign w:val="center"/>
          </w:tcPr>
          <w:p>
            <w:pPr>
              <w:spacing w:line="300" w:lineRule="atLeast"/>
              <w:jc w:val="center"/>
              <w:rPr>
                <w:rFonts w:hint="eastAsia" w:eastAsia="仿宋"/>
                <w:bCs/>
                <w:sz w:val="18"/>
                <w:szCs w:val="18"/>
              </w:rPr>
            </w:pPr>
            <w:r>
              <w:rPr>
                <w:rFonts w:hint="eastAsia" w:eastAsia="仿宋"/>
                <w:bCs/>
                <w:sz w:val="18"/>
                <w:szCs w:val="18"/>
              </w:rPr>
              <w:t>基    础</w:t>
            </w:r>
          </w:p>
        </w:tc>
        <w:tc>
          <w:tcPr>
            <w:tcW w:w="1739" w:type="dxa"/>
            <w:vAlign w:val="center"/>
          </w:tcPr>
          <w:p>
            <w:pPr>
              <w:spacing w:line="300" w:lineRule="atLeast"/>
              <w:jc w:val="center"/>
              <w:rPr>
                <w:rFonts w:hint="eastAsia" w:eastAsia="仿宋"/>
                <w:bCs/>
                <w:sz w:val="18"/>
                <w:szCs w:val="18"/>
              </w:rPr>
            </w:pPr>
            <w:r>
              <w:rPr>
                <w:rFonts w:hint="eastAsia" w:eastAsia="仿宋"/>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所在单元</w:t>
            </w:r>
          </w:p>
        </w:tc>
        <w:tc>
          <w:tcPr>
            <w:tcW w:w="2479" w:type="dxa"/>
            <w:gridSpan w:val="2"/>
            <w:vAlign w:val="center"/>
          </w:tcPr>
          <w:p>
            <w:pPr>
              <w:spacing w:line="300" w:lineRule="atLeast"/>
              <w:jc w:val="center"/>
              <w:rPr>
                <w:rFonts w:hint="eastAsia" w:eastAsia="仿宋"/>
                <w:bCs/>
                <w:sz w:val="18"/>
                <w:szCs w:val="18"/>
              </w:rPr>
            </w:pPr>
            <w:r>
              <w:rPr>
                <w:rFonts w:hint="eastAsia" w:eastAsia="仿宋"/>
                <w:bCs/>
                <w:sz w:val="18"/>
                <w:szCs w:val="18"/>
                <w:lang w:val="en-US" w:eastAsia="zh-CN"/>
              </w:rPr>
              <w:t>/</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总 楼 层</w:t>
            </w:r>
          </w:p>
        </w:tc>
        <w:tc>
          <w:tcPr>
            <w:tcW w:w="1659" w:type="dxa"/>
            <w:vAlign w:val="center"/>
          </w:tcPr>
          <w:p>
            <w:pPr>
              <w:spacing w:line="300" w:lineRule="atLeast"/>
              <w:jc w:val="center"/>
              <w:rPr>
                <w:rFonts w:hint="eastAsia" w:eastAsia="仿宋"/>
                <w:bCs/>
                <w:sz w:val="18"/>
                <w:szCs w:val="18"/>
              </w:rPr>
            </w:pPr>
            <w:r>
              <w:rPr>
                <w:rFonts w:hint="eastAsia" w:eastAsia="仿宋"/>
                <w:bCs/>
                <w:sz w:val="18"/>
                <w:szCs w:val="18"/>
                <w:lang w:val="en-US" w:eastAsia="zh-CN"/>
              </w:rPr>
              <w:t>3</w:t>
            </w:r>
            <w:r>
              <w:rPr>
                <w:rFonts w:hint="eastAsia" w:eastAsia="仿宋"/>
                <w:bCs/>
                <w:sz w:val="18"/>
                <w:szCs w:val="18"/>
              </w:rPr>
              <w:t>层</w:t>
            </w:r>
          </w:p>
        </w:tc>
        <w:tc>
          <w:tcPr>
            <w:tcW w:w="1006" w:type="dxa"/>
            <w:vAlign w:val="center"/>
          </w:tcPr>
          <w:p>
            <w:pPr>
              <w:spacing w:line="300" w:lineRule="atLeast"/>
              <w:jc w:val="center"/>
              <w:rPr>
                <w:rFonts w:hint="eastAsia" w:eastAsia="仿宋"/>
                <w:bCs/>
                <w:sz w:val="18"/>
                <w:szCs w:val="18"/>
              </w:rPr>
            </w:pPr>
            <w:r>
              <w:rPr>
                <w:rFonts w:hint="eastAsia" w:eastAsia="仿宋"/>
                <w:bCs/>
                <w:sz w:val="18"/>
                <w:szCs w:val="18"/>
              </w:rPr>
              <w:t>所在楼层</w:t>
            </w:r>
          </w:p>
        </w:tc>
        <w:tc>
          <w:tcPr>
            <w:tcW w:w="1739" w:type="dxa"/>
            <w:vAlign w:val="center"/>
          </w:tcPr>
          <w:p>
            <w:pPr>
              <w:spacing w:line="300" w:lineRule="atLeast"/>
              <w:jc w:val="center"/>
              <w:rPr>
                <w:rFonts w:hint="eastAsia" w:eastAsia="仿宋"/>
                <w:bCs/>
                <w:sz w:val="18"/>
                <w:szCs w:val="18"/>
              </w:rPr>
            </w:pPr>
            <w:r>
              <w:rPr>
                <w:rFonts w:hint="eastAsia" w:eastAsia="仿宋"/>
                <w:bCs/>
                <w:sz w:val="18"/>
                <w:szCs w:val="18"/>
                <w:lang w:val="en-US" w:eastAsia="zh-CN"/>
              </w:rPr>
              <w:t>2-3</w:t>
            </w:r>
            <w:r>
              <w:rPr>
                <w:rFonts w:hint="eastAsia" w:eastAsia="仿宋"/>
                <w:bCs/>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户    型</w:t>
            </w:r>
          </w:p>
        </w:tc>
        <w:tc>
          <w:tcPr>
            <w:tcW w:w="2479" w:type="dxa"/>
            <w:gridSpan w:val="2"/>
            <w:vAlign w:val="center"/>
          </w:tcPr>
          <w:p>
            <w:pPr>
              <w:spacing w:line="300" w:lineRule="atLeast"/>
              <w:jc w:val="center"/>
              <w:rPr>
                <w:rFonts w:hint="eastAsia" w:eastAsia="仿宋"/>
                <w:bCs/>
                <w:sz w:val="18"/>
                <w:szCs w:val="18"/>
              </w:rPr>
            </w:pPr>
            <w:r>
              <w:rPr>
                <w:rFonts w:hint="eastAsia" w:eastAsia="仿宋"/>
                <w:bCs/>
                <w:sz w:val="18"/>
                <w:szCs w:val="18"/>
              </w:rPr>
              <w:t>3房2厅1厨2卫</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层    高</w:t>
            </w:r>
          </w:p>
        </w:tc>
        <w:tc>
          <w:tcPr>
            <w:tcW w:w="1659" w:type="dxa"/>
            <w:vAlign w:val="center"/>
          </w:tcPr>
          <w:p>
            <w:pPr>
              <w:spacing w:line="300" w:lineRule="atLeast"/>
              <w:jc w:val="center"/>
              <w:rPr>
                <w:rFonts w:hint="eastAsia" w:eastAsia="仿宋"/>
                <w:bCs/>
                <w:sz w:val="18"/>
                <w:szCs w:val="18"/>
              </w:rPr>
            </w:pPr>
            <w:r>
              <w:rPr>
                <w:rFonts w:hint="eastAsia" w:eastAsia="仿宋"/>
                <w:bCs/>
                <w:sz w:val="18"/>
                <w:szCs w:val="18"/>
              </w:rPr>
              <w:t>2.</w:t>
            </w:r>
            <w:r>
              <w:rPr>
                <w:rFonts w:hint="eastAsia" w:eastAsia="仿宋"/>
                <w:bCs/>
                <w:sz w:val="18"/>
                <w:szCs w:val="18"/>
                <w:lang w:val="en-US" w:eastAsia="zh-CN"/>
              </w:rPr>
              <w:t>9</w:t>
            </w:r>
            <w:r>
              <w:rPr>
                <w:rFonts w:hint="eastAsia" w:eastAsia="仿宋"/>
                <w:bCs/>
                <w:sz w:val="18"/>
                <w:szCs w:val="18"/>
              </w:rPr>
              <w:t>m</w:t>
            </w:r>
          </w:p>
        </w:tc>
        <w:tc>
          <w:tcPr>
            <w:tcW w:w="1006" w:type="dxa"/>
            <w:vAlign w:val="center"/>
          </w:tcPr>
          <w:p>
            <w:pPr>
              <w:spacing w:line="300" w:lineRule="atLeast"/>
              <w:jc w:val="center"/>
              <w:rPr>
                <w:rFonts w:hint="eastAsia" w:eastAsia="仿宋"/>
                <w:bCs/>
                <w:sz w:val="18"/>
                <w:szCs w:val="18"/>
              </w:rPr>
            </w:pPr>
            <w:r>
              <w:rPr>
                <w:rFonts w:hint="eastAsia" w:eastAsia="仿宋"/>
                <w:bCs/>
                <w:sz w:val="18"/>
                <w:szCs w:val="18"/>
              </w:rPr>
              <w:t>利用现状</w:t>
            </w:r>
          </w:p>
        </w:tc>
        <w:tc>
          <w:tcPr>
            <w:tcW w:w="1739" w:type="dxa"/>
            <w:vAlign w:val="center"/>
          </w:tcPr>
          <w:p>
            <w:pPr>
              <w:spacing w:line="300" w:lineRule="atLeast"/>
              <w:jc w:val="center"/>
              <w:rPr>
                <w:rFonts w:hint="default" w:eastAsia="仿宋"/>
                <w:bCs/>
                <w:sz w:val="18"/>
                <w:szCs w:val="18"/>
                <w:lang w:val="en-US" w:eastAsia="zh-CN"/>
              </w:rPr>
            </w:pPr>
            <w:r>
              <w:rPr>
                <w:rFonts w:hint="eastAsia" w:eastAsia="仿宋"/>
                <w:bCs/>
                <w:sz w:val="18"/>
                <w:szCs w:val="18"/>
                <w:lang w:val="en-US" w:eastAsia="zh-CN"/>
              </w:rPr>
              <w:t>空置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平面布置</w:t>
            </w:r>
          </w:p>
        </w:tc>
        <w:tc>
          <w:tcPr>
            <w:tcW w:w="2479" w:type="dxa"/>
            <w:gridSpan w:val="2"/>
            <w:vAlign w:val="center"/>
          </w:tcPr>
          <w:p>
            <w:pPr>
              <w:spacing w:line="300" w:lineRule="atLeast"/>
              <w:jc w:val="center"/>
              <w:rPr>
                <w:rFonts w:hint="eastAsia" w:eastAsia="仿宋"/>
                <w:bCs/>
                <w:sz w:val="18"/>
                <w:szCs w:val="18"/>
              </w:rPr>
            </w:pPr>
            <w:r>
              <w:rPr>
                <w:rFonts w:hint="eastAsia" w:eastAsia="仿宋"/>
                <w:bCs/>
                <w:sz w:val="18"/>
                <w:szCs w:val="18"/>
              </w:rPr>
              <w:t>功能明确，布置合理</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装修档次</w:t>
            </w:r>
          </w:p>
        </w:tc>
        <w:tc>
          <w:tcPr>
            <w:tcW w:w="1659" w:type="dxa"/>
            <w:vAlign w:val="center"/>
          </w:tcPr>
          <w:p>
            <w:pPr>
              <w:spacing w:line="300" w:lineRule="atLeast"/>
              <w:jc w:val="center"/>
              <w:rPr>
                <w:rFonts w:hint="eastAsia" w:eastAsia="仿宋"/>
                <w:bCs/>
                <w:sz w:val="18"/>
                <w:szCs w:val="18"/>
                <w:lang w:eastAsia="zh-CN"/>
              </w:rPr>
            </w:pPr>
            <w:r>
              <w:rPr>
                <w:rFonts w:hint="eastAsia" w:eastAsia="仿宋"/>
                <w:bCs/>
                <w:sz w:val="18"/>
                <w:szCs w:val="18"/>
                <w:lang w:val="en-US" w:eastAsia="zh-CN"/>
              </w:rPr>
              <w:t>清水</w:t>
            </w:r>
          </w:p>
        </w:tc>
        <w:tc>
          <w:tcPr>
            <w:tcW w:w="1006" w:type="dxa"/>
            <w:vAlign w:val="center"/>
          </w:tcPr>
          <w:p>
            <w:pPr>
              <w:spacing w:line="300" w:lineRule="atLeast"/>
              <w:jc w:val="center"/>
              <w:rPr>
                <w:rFonts w:hint="eastAsia" w:eastAsia="仿宋"/>
                <w:bCs/>
                <w:sz w:val="18"/>
                <w:szCs w:val="18"/>
              </w:rPr>
            </w:pPr>
            <w:r>
              <w:rPr>
                <w:rFonts w:hint="eastAsia" w:eastAsia="仿宋"/>
                <w:bCs/>
                <w:sz w:val="18"/>
                <w:szCs w:val="18"/>
              </w:rPr>
              <w:t>物业类别</w:t>
            </w:r>
          </w:p>
        </w:tc>
        <w:tc>
          <w:tcPr>
            <w:tcW w:w="1739" w:type="dxa"/>
            <w:vAlign w:val="center"/>
          </w:tcPr>
          <w:p>
            <w:pPr>
              <w:spacing w:line="300" w:lineRule="atLeast"/>
              <w:jc w:val="center"/>
              <w:rPr>
                <w:rFonts w:hint="eastAsia" w:eastAsia="仿宋"/>
                <w:bCs/>
                <w:sz w:val="18"/>
                <w:szCs w:val="18"/>
              </w:rPr>
            </w:pPr>
            <w:r>
              <w:rPr>
                <w:rFonts w:hint="eastAsia" w:eastAsia="仿宋"/>
                <w:bCs/>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4" w:type="dxa"/>
            <w:gridSpan w:val="2"/>
            <w:vAlign w:val="center"/>
          </w:tcPr>
          <w:p>
            <w:pPr>
              <w:spacing w:line="300" w:lineRule="atLeast"/>
              <w:jc w:val="center"/>
              <w:rPr>
                <w:rFonts w:hint="eastAsia" w:eastAsia="仿宋"/>
                <w:bCs/>
                <w:sz w:val="18"/>
                <w:szCs w:val="18"/>
              </w:rPr>
            </w:pPr>
            <w:r>
              <w:rPr>
                <w:rFonts w:hint="eastAsia" w:eastAsia="仿宋"/>
                <w:bCs/>
                <w:sz w:val="18"/>
                <w:szCs w:val="18"/>
              </w:rPr>
              <w:t>套    型</w:t>
            </w:r>
          </w:p>
        </w:tc>
        <w:tc>
          <w:tcPr>
            <w:tcW w:w="2479" w:type="dxa"/>
            <w:gridSpan w:val="2"/>
            <w:vAlign w:val="center"/>
          </w:tcPr>
          <w:p>
            <w:pPr>
              <w:spacing w:line="300" w:lineRule="atLeast"/>
              <w:jc w:val="center"/>
              <w:rPr>
                <w:rFonts w:hint="eastAsia" w:eastAsia="仿宋"/>
                <w:bCs/>
                <w:sz w:val="18"/>
                <w:szCs w:val="18"/>
              </w:rPr>
            </w:pPr>
            <w:r>
              <w:rPr>
                <w:rFonts w:hint="eastAsia" w:eastAsia="仿宋"/>
                <w:bCs/>
                <w:sz w:val="18"/>
                <w:szCs w:val="18"/>
              </w:rPr>
              <w:t>成套</w:t>
            </w:r>
          </w:p>
        </w:tc>
        <w:tc>
          <w:tcPr>
            <w:tcW w:w="1154" w:type="dxa"/>
            <w:vAlign w:val="center"/>
          </w:tcPr>
          <w:p>
            <w:pPr>
              <w:spacing w:line="300" w:lineRule="atLeast"/>
              <w:jc w:val="center"/>
              <w:rPr>
                <w:rFonts w:hint="eastAsia" w:eastAsia="仿宋"/>
                <w:bCs/>
                <w:sz w:val="18"/>
                <w:szCs w:val="18"/>
              </w:rPr>
            </w:pPr>
            <w:r>
              <w:rPr>
                <w:rFonts w:hint="eastAsia" w:eastAsia="仿宋"/>
                <w:bCs/>
                <w:sz w:val="18"/>
                <w:szCs w:val="18"/>
              </w:rPr>
              <w:t>通风采光</w:t>
            </w:r>
          </w:p>
        </w:tc>
        <w:tc>
          <w:tcPr>
            <w:tcW w:w="1659" w:type="dxa"/>
            <w:vAlign w:val="center"/>
          </w:tcPr>
          <w:p>
            <w:pPr>
              <w:spacing w:line="300" w:lineRule="atLeast"/>
              <w:jc w:val="center"/>
              <w:rPr>
                <w:rFonts w:hint="eastAsia" w:eastAsia="仿宋"/>
                <w:bCs/>
                <w:sz w:val="18"/>
                <w:szCs w:val="18"/>
              </w:rPr>
            </w:pPr>
            <w:r>
              <w:rPr>
                <w:rFonts w:hint="eastAsia" w:eastAsia="仿宋"/>
                <w:bCs/>
                <w:sz w:val="18"/>
                <w:szCs w:val="18"/>
              </w:rPr>
              <w:t>较好</w:t>
            </w:r>
          </w:p>
        </w:tc>
        <w:tc>
          <w:tcPr>
            <w:tcW w:w="1006" w:type="dxa"/>
            <w:vAlign w:val="center"/>
          </w:tcPr>
          <w:p>
            <w:pPr>
              <w:spacing w:line="300" w:lineRule="atLeast"/>
              <w:jc w:val="center"/>
              <w:rPr>
                <w:rFonts w:hint="eastAsia" w:eastAsia="仿宋"/>
                <w:bCs/>
                <w:sz w:val="18"/>
                <w:szCs w:val="18"/>
              </w:rPr>
            </w:pPr>
            <w:r>
              <w:rPr>
                <w:rFonts w:hint="eastAsia" w:eastAsia="仿宋"/>
                <w:bCs/>
                <w:sz w:val="18"/>
                <w:szCs w:val="18"/>
              </w:rPr>
              <w:t>梯户比</w:t>
            </w:r>
          </w:p>
        </w:tc>
        <w:tc>
          <w:tcPr>
            <w:tcW w:w="1739" w:type="dxa"/>
            <w:vAlign w:val="center"/>
          </w:tcPr>
          <w:p>
            <w:pPr>
              <w:spacing w:line="300" w:lineRule="atLeast"/>
              <w:jc w:val="center"/>
              <w:rPr>
                <w:rFonts w:hint="eastAsia" w:eastAsia="仿宋"/>
                <w:bCs/>
                <w:sz w:val="18"/>
                <w:szCs w:val="18"/>
              </w:rPr>
            </w:pPr>
            <w:r>
              <w:rPr>
                <w:rFonts w:hint="eastAsia" w:eastAsia="仿宋"/>
                <w:bCs/>
                <w:sz w:val="18"/>
                <w:szCs w:val="18"/>
                <w:lang w:val="en-US" w:eastAsia="zh-CN"/>
              </w:rPr>
              <w:t>1</w:t>
            </w:r>
            <w:r>
              <w:rPr>
                <w:rFonts w:hint="eastAsia" w:eastAsia="仿宋"/>
                <w:bCs/>
                <w:sz w:val="18"/>
                <w:szCs w:val="18"/>
              </w:rPr>
              <w:t>梯</w:t>
            </w:r>
            <w:r>
              <w:rPr>
                <w:rFonts w:hint="eastAsia" w:eastAsia="仿宋"/>
                <w:bCs/>
                <w:sz w:val="18"/>
                <w:szCs w:val="18"/>
                <w:lang w:val="en-US" w:eastAsia="zh-CN"/>
              </w:rPr>
              <w:t>2</w:t>
            </w:r>
            <w:r>
              <w:rPr>
                <w:rFonts w:hint="eastAsia" w:eastAsia="仿宋"/>
                <w:bCs/>
                <w:sz w:val="18"/>
                <w:szCs w:val="1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restart"/>
            <w:vAlign w:val="center"/>
          </w:tcPr>
          <w:p>
            <w:pPr>
              <w:spacing w:line="300" w:lineRule="atLeast"/>
              <w:jc w:val="center"/>
              <w:rPr>
                <w:rFonts w:hint="eastAsia" w:eastAsia="仿宋"/>
                <w:bCs/>
                <w:sz w:val="18"/>
                <w:szCs w:val="18"/>
              </w:rPr>
            </w:pPr>
            <w:r>
              <w:rPr>
                <w:rFonts w:hint="eastAsia" w:eastAsia="仿宋"/>
                <w:bCs/>
                <w:sz w:val="18"/>
                <w:szCs w:val="18"/>
              </w:rPr>
              <w:t>设备设施</w:t>
            </w: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垂直交通</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rPr>
              <w:t>步行梯</w:t>
            </w:r>
            <w:r>
              <w:rPr>
                <w:rFonts w:hint="eastAsia" w:eastAsia="仿宋"/>
                <w:bCs/>
                <w:sz w:val="18"/>
                <w:szCs w:val="18"/>
                <w:lang w:val="en-US" w:eastAsia="zh-CN"/>
              </w:rPr>
              <w:t>1</w:t>
            </w:r>
            <w:r>
              <w:rPr>
                <w:rFonts w:hint="eastAsia" w:eastAsia="仿宋"/>
                <w:bCs/>
                <w:sz w:val="18"/>
                <w:szCs w:val="18"/>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安防系统</w:t>
            </w:r>
          </w:p>
        </w:tc>
        <w:tc>
          <w:tcPr>
            <w:tcW w:w="7297" w:type="dxa"/>
            <w:gridSpan w:val="5"/>
            <w:vAlign w:val="center"/>
          </w:tcPr>
          <w:p>
            <w:pPr>
              <w:spacing w:line="300" w:lineRule="atLeast"/>
              <w:jc w:val="center"/>
              <w:rPr>
                <w:rFonts w:hint="eastAsia" w:eastAsia="仿宋"/>
                <w:bCs/>
                <w:sz w:val="18"/>
                <w:szCs w:val="18"/>
                <w:lang w:eastAsia="zh-CN"/>
              </w:rPr>
            </w:pPr>
            <w:r>
              <w:rPr>
                <w:rFonts w:hint="eastAsia" w:eastAsia="仿宋"/>
                <w:bCs/>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管    线</w:t>
            </w:r>
          </w:p>
        </w:tc>
        <w:tc>
          <w:tcPr>
            <w:tcW w:w="7297" w:type="dxa"/>
            <w:gridSpan w:val="5"/>
            <w:vAlign w:val="center"/>
          </w:tcPr>
          <w:p>
            <w:pPr>
              <w:spacing w:line="300" w:lineRule="atLeast"/>
              <w:jc w:val="center"/>
              <w:rPr>
                <w:rFonts w:hint="eastAsia" w:eastAsia="仿宋"/>
                <w:bCs/>
                <w:sz w:val="18"/>
                <w:szCs w:val="18"/>
                <w:lang w:val="eu-ES"/>
              </w:rPr>
            </w:pPr>
            <w:r>
              <w:rPr>
                <w:rFonts w:hint="eastAsia" w:eastAsia="仿宋"/>
                <w:bCs/>
                <w:sz w:val="18"/>
                <w:szCs w:val="18"/>
                <w:lang w:val="eu-ES"/>
              </w:rPr>
              <w:t>室外水电气光纤通讯管线室外明设；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基础设施</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rPr>
              <w:t>小区道路、上水、下水、电、气、光纤、讯、网络通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restart"/>
            <w:vAlign w:val="center"/>
          </w:tcPr>
          <w:p>
            <w:pPr>
              <w:spacing w:line="300" w:lineRule="atLeast"/>
              <w:jc w:val="center"/>
              <w:rPr>
                <w:rFonts w:hint="eastAsia" w:eastAsia="仿宋"/>
                <w:bCs/>
                <w:sz w:val="18"/>
                <w:szCs w:val="18"/>
              </w:rPr>
            </w:pPr>
            <w:r>
              <w:rPr>
                <w:rFonts w:hint="eastAsia" w:eastAsia="仿宋"/>
                <w:bCs/>
                <w:sz w:val="18"/>
                <w:szCs w:val="18"/>
              </w:rPr>
              <w:t>装修</w:t>
            </w:r>
          </w:p>
          <w:p>
            <w:pPr>
              <w:spacing w:line="300" w:lineRule="atLeast"/>
              <w:jc w:val="center"/>
              <w:rPr>
                <w:rFonts w:hint="eastAsia" w:eastAsia="仿宋"/>
                <w:bCs/>
                <w:sz w:val="18"/>
                <w:szCs w:val="18"/>
              </w:rPr>
            </w:pPr>
            <w:r>
              <w:rPr>
                <w:rFonts w:hint="eastAsia" w:eastAsia="仿宋"/>
                <w:bCs/>
                <w:sz w:val="18"/>
                <w:szCs w:val="18"/>
              </w:rPr>
              <w:t>状况</w:t>
            </w: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外    墙</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rPr>
              <w:t>墙砖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楼梯通道</w:t>
            </w:r>
          </w:p>
        </w:tc>
        <w:tc>
          <w:tcPr>
            <w:tcW w:w="7297" w:type="dxa"/>
            <w:gridSpan w:val="5"/>
            <w:vAlign w:val="center"/>
          </w:tcPr>
          <w:p>
            <w:pPr>
              <w:spacing w:line="300" w:lineRule="atLeast"/>
              <w:jc w:val="center"/>
              <w:rPr>
                <w:rFonts w:hint="eastAsia" w:eastAsia="仿宋"/>
                <w:bCs/>
                <w:sz w:val="18"/>
                <w:szCs w:val="18"/>
                <w:lang w:eastAsia="zh-CN"/>
              </w:rPr>
            </w:pPr>
            <w:r>
              <w:rPr>
                <w:rFonts w:hint="eastAsia" w:eastAsia="仿宋"/>
                <w:bCs/>
                <w:sz w:val="18"/>
                <w:szCs w:val="18"/>
              </w:rPr>
              <w:t>过道：</w:t>
            </w:r>
            <w:r>
              <w:rPr>
                <w:rFonts w:hint="eastAsia" w:eastAsia="仿宋"/>
                <w:bCs/>
                <w:sz w:val="18"/>
                <w:szCs w:val="18"/>
                <w:lang w:val="en-US" w:eastAsia="zh-CN"/>
              </w:rPr>
              <w:t>水泥砂浆</w:t>
            </w:r>
            <w:r>
              <w:rPr>
                <w:rFonts w:hint="eastAsia" w:eastAsia="仿宋"/>
                <w:bCs/>
                <w:sz w:val="18"/>
                <w:szCs w:val="18"/>
              </w:rPr>
              <w:t xml:space="preserve">  墙面；</w:t>
            </w:r>
            <w:r>
              <w:rPr>
                <w:rFonts w:hint="eastAsia" w:eastAsia="仿宋"/>
                <w:bCs/>
                <w:sz w:val="18"/>
                <w:szCs w:val="18"/>
                <w:lang w:val="en-US" w:eastAsia="zh-CN"/>
              </w:rPr>
              <w:t>水泥砂浆</w:t>
            </w:r>
            <w:r>
              <w:rPr>
                <w:rFonts w:hint="eastAsia" w:eastAsia="仿宋"/>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内    墙</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lang w:val="en-US" w:eastAsia="zh-CN"/>
              </w:rPr>
              <w:t>水泥砂浆</w:t>
            </w:r>
            <w:r>
              <w:rPr>
                <w:rFonts w:hint="eastAsia" w:eastAsia="仿宋"/>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屋    顶</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lang w:val="en-US" w:eastAsia="zh-CN"/>
              </w:rPr>
              <w:t>水泥砂浆</w:t>
            </w:r>
            <w:r>
              <w:rPr>
                <w:rFonts w:hint="eastAsia" w:eastAsia="仿宋"/>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地    面</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lang w:val="en-US" w:eastAsia="zh-CN"/>
              </w:rPr>
              <w:t>水泥砂浆</w:t>
            </w:r>
            <w:r>
              <w:rPr>
                <w:rFonts w:hint="eastAsia" w:eastAsia="仿宋"/>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门    窗</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rPr>
              <w:t>入户门为防盗门，窗户为塑钢窗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restart"/>
            <w:vAlign w:val="center"/>
          </w:tcPr>
          <w:p>
            <w:pPr>
              <w:spacing w:line="300" w:lineRule="atLeast"/>
              <w:jc w:val="center"/>
              <w:rPr>
                <w:rFonts w:hint="eastAsia" w:eastAsia="仿宋"/>
                <w:bCs/>
                <w:sz w:val="18"/>
                <w:szCs w:val="18"/>
              </w:rPr>
            </w:pPr>
            <w:r>
              <w:rPr>
                <w:rFonts w:hint="eastAsia" w:eastAsia="仿宋"/>
                <w:bCs/>
                <w:sz w:val="18"/>
                <w:szCs w:val="18"/>
              </w:rPr>
              <w:t>建筑完损情况</w:t>
            </w: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结    构</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rPr>
              <w:t>地基无不均匀沉降，墙面无裂缝现象，尚未发现主体结构受损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装饰装修</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rPr>
              <w:t>装饰装修维护保养情况较好、可继续使用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设    备</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rPr>
              <w:t>正常利用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3" w:type="dxa"/>
            <w:vMerge w:val="continue"/>
            <w:vAlign w:val="center"/>
          </w:tcPr>
          <w:p>
            <w:pPr>
              <w:spacing w:line="300" w:lineRule="atLeast"/>
              <w:jc w:val="center"/>
              <w:rPr>
                <w:rFonts w:hint="eastAsia" w:eastAsia="仿宋"/>
                <w:bCs/>
                <w:sz w:val="18"/>
                <w:szCs w:val="18"/>
              </w:rPr>
            </w:pPr>
          </w:p>
        </w:tc>
        <w:tc>
          <w:tcPr>
            <w:tcW w:w="1181" w:type="dxa"/>
            <w:gridSpan w:val="2"/>
            <w:vAlign w:val="center"/>
          </w:tcPr>
          <w:p>
            <w:pPr>
              <w:spacing w:line="300" w:lineRule="atLeast"/>
              <w:jc w:val="center"/>
              <w:rPr>
                <w:rFonts w:hint="eastAsia" w:eastAsia="仿宋"/>
                <w:bCs/>
                <w:sz w:val="18"/>
                <w:szCs w:val="18"/>
              </w:rPr>
            </w:pPr>
            <w:r>
              <w:rPr>
                <w:rFonts w:hint="eastAsia" w:eastAsia="仿宋"/>
                <w:bCs/>
                <w:sz w:val="18"/>
                <w:szCs w:val="18"/>
              </w:rPr>
              <w:t>建筑综合成新率</w:t>
            </w:r>
          </w:p>
        </w:tc>
        <w:tc>
          <w:tcPr>
            <w:tcW w:w="7297" w:type="dxa"/>
            <w:gridSpan w:val="5"/>
            <w:vAlign w:val="center"/>
          </w:tcPr>
          <w:p>
            <w:pPr>
              <w:spacing w:line="300" w:lineRule="atLeast"/>
              <w:jc w:val="center"/>
              <w:rPr>
                <w:rFonts w:hint="eastAsia" w:eastAsia="仿宋"/>
                <w:bCs/>
                <w:sz w:val="18"/>
                <w:szCs w:val="18"/>
              </w:rPr>
            </w:pPr>
            <w:r>
              <w:rPr>
                <w:rFonts w:hint="eastAsia" w:eastAsia="仿宋"/>
                <w:bCs/>
                <w:sz w:val="18"/>
                <w:szCs w:val="18"/>
              </w:rPr>
              <w:t>综合建筑物的设计使用年限、地基与墙面、主体结构、配套设施设备、维护保养状况等因素，判断建筑物的综合成新率为</w:t>
            </w:r>
            <w:r>
              <w:rPr>
                <w:rFonts w:hint="eastAsia" w:eastAsia="仿宋"/>
                <w:bCs/>
                <w:sz w:val="18"/>
                <w:szCs w:val="18"/>
                <w:lang w:val="en-US" w:eastAsia="zh-CN"/>
              </w:rPr>
              <w:t>9.8</w:t>
            </w:r>
            <w:r>
              <w:rPr>
                <w:rFonts w:hint="eastAsia" w:eastAsia="仿宋"/>
                <w:bCs/>
                <w:sz w:val="18"/>
                <w:szCs w:val="18"/>
              </w:rPr>
              <w:t>成</w:t>
            </w:r>
          </w:p>
        </w:tc>
      </w:tr>
    </w:tbl>
    <w:p>
      <w:pPr>
        <w:spacing w:line="440" w:lineRule="exact"/>
        <w:ind w:firstLine="482" w:firstLineChars="200"/>
        <w:rPr>
          <w:rFonts w:ascii="仿宋" w:hAnsi="仿宋" w:eastAsia="仿宋" w:cs="宋体"/>
          <w:b/>
          <w:kern w:val="0"/>
          <w:sz w:val="24"/>
          <w:szCs w:val="24"/>
        </w:rPr>
      </w:pPr>
      <w:r>
        <w:rPr>
          <w:rFonts w:hint="eastAsia" w:ascii="仿宋" w:hAnsi="仿宋" w:eastAsia="仿宋" w:cs="宋体"/>
          <w:b/>
          <w:sz w:val="24"/>
          <w:szCs w:val="24"/>
        </w:rPr>
        <w:t>（四）估价对象区位状况</w:t>
      </w:r>
    </w:p>
    <w:p>
      <w:pPr>
        <w:spacing w:line="440" w:lineRule="exact"/>
        <w:ind w:firstLine="470" w:firstLineChars="196"/>
        <w:rPr>
          <w:rFonts w:ascii="仿宋" w:hAnsi="仿宋" w:eastAsia="仿宋" w:cs="宋体"/>
          <w:color w:val="000000"/>
          <w:sz w:val="24"/>
          <w:szCs w:val="24"/>
        </w:rPr>
      </w:pPr>
      <w:r>
        <w:rPr>
          <w:rFonts w:hint="eastAsia" w:ascii="仿宋" w:hAnsi="仿宋" w:eastAsia="仿宋" w:cs="宋体"/>
          <w:color w:val="000000"/>
          <w:sz w:val="24"/>
          <w:szCs w:val="24"/>
        </w:rPr>
        <w:t>估价对象位于</w:t>
      </w:r>
      <w:r>
        <w:rPr>
          <w:rFonts w:hint="eastAsia" w:ascii="仿宋" w:hAnsi="仿宋" w:eastAsia="仿宋" w:cs="宋体"/>
          <w:color w:val="000000"/>
          <w:sz w:val="24"/>
          <w:szCs w:val="24"/>
          <w:lang w:eastAsia="zh-CN"/>
        </w:rPr>
        <w:t>自贡市富顺县龙万乡振兴街78号</w:t>
      </w:r>
      <w:r>
        <w:rPr>
          <w:rFonts w:hint="eastAsia" w:ascii="仿宋" w:hAnsi="仿宋" w:eastAsia="仿宋" w:cs="宋体"/>
          <w:color w:val="000000"/>
          <w:sz w:val="24"/>
          <w:szCs w:val="24"/>
        </w:rPr>
        <w:t>，根据估价人员实地查勘,估价对象的主要区位状况详见下表：</w:t>
      </w:r>
    </w:p>
    <w:p>
      <w:pPr>
        <w:spacing w:line="460" w:lineRule="exact"/>
        <w:rPr>
          <w:rFonts w:ascii="仿宋" w:hAnsi="仿宋" w:eastAsia="仿宋" w:cs="宋体"/>
          <w:color w:val="000000"/>
          <w:sz w:val="24"/>
          <w:szCs w:val="24"/>
        </w:rPr>
      </w:pPr>
      <w:r>
        <w:rPr>
          <w:rFonts w:hint="eastAsia" w:ascii="仿宋" w:hAnsi="仿宋" w:eastAsia="仿宋" w:cs="宋体"/>
          <w:color w:val="000000"/>
          <w:sz w:val="18"/>
          <w:szCs w:val="18"/>
        </w:rPr>
        <w:t>表</w:t>
      </w:r>
      <w:r>
        <w:rPr>
          <w:rFonts w:hint="eastAsia" w:ascii="仿宋" w:hAnsi="仿宋" w:eastAsia="仿宋" w:cs="宋体"/>
          <w:color w:val="000000"/>
          <w:sz w:val="18"/>
          <w:szCs w:val="18"/>
          <w:lang w:val="en-US" w:eastAsia="zh-CN"/>
        </w:rPr>
        <w:t>3</w:t>
      </w:r>
      <w:r>
        <w:rPr>
          <w:rFonts w:hint="eastAsia" w:ascii="仿宋" w:hAnsi="仿宋" w:eastAsia="仿宋" w:cs="宋体"/>
          <w:color w:val="000000"/>
          <w:sz w:val="24"/>
          <w:szCs w:val="24"/>
        </w:rPr>
        <w:t xml:space="preserve">               </w:t>
      </w:r>
      <w:r>
        <w:rPr>
          <w:rFonts w:ascii="仿宋" w:hAnsi="仿宋" w:eastAsia="仿宋" w:cs="宋体"/>
          <w:color w:val="000000"/>
          <w:sz w:val="24"/>
          <w:szCs w:val="24"/>
        </w:rPr>
        <w:t xml:space="preserve">       </w:t>
      </w:r>
      <w:r>
        <w:rPr>
          <w:rFonts w:hint="eastAsia" w:ascii="仿宋" w:hAnsi="仿宋" w:eastAsia="仿宋" w:cs="宋体"/>
          <w:color w:val="000000"/>
          <w:sz w:val="24"/>
          <w:szCs w:val="24"/>
        </w:rPr>
        <w:t>估价对象</w:t>
      </w:r>
      <w:r>
        <w:rPr>
          <w:rFonts w:hint="eastAsia" w:ascii="仿宋" w:hAnsi="仿宋" w:eastAsia="仿宋" w:cs="宋体"/>
          <w:color w:val="000000"/>
          <w:sz w:val="24"/>
          <w:szCs w:val="24"/>
          <w:lang w:val="en-US" w:eastAsia="zh-CN"/>
        </w:rPr>
        <w:t>1、2、3</w:t>
      </w:r>
      <w:r>
        <w:rPr>
          <w:rFonts w:hint="eastAsia" w:ascii="仿宋" w:hAnsi="仿宋" w:eastAsia="仿宋" w:cs="宋体"/>
          <w:color w:val="000000"/>
          <w:sz w:val="24"/>
          <w:szCs w:val="24"/>
        </w:rPr>
        <w:t>区位状况一览表</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303"/>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6" w:type="pct"/>
            <w:vMerge w:val="restar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位置</w:t>
            </w:r>
          </w:p>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状况</w:t>
            </w: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坐   落</w:t>
            </w:r>
          </w:p>
        </w:tc>
        <w:tc>
          <w:tcPr>
            <w:tcW w:w="3897" w:type="pct"/>
            <w:vAlign w:val="center"/>
          </w:tcPr>
          <w:p>
            <w:pPr>
              <w:spacing w:line="240" w:lineRule="atLeast"/>
              <w:rPr>
                <w:rFonts w:ascii="仿宋" w:hAnsi="仿宋" w:eastAsia="仿宋" w:cs="宋体"/>
                <w:color w:val="000000"/>
                <w:kern w:val="0"/>
                <w:sz w:val="18"/>
                <w:szCs w:val="18"/>
              </w:rPr>
            </w:pPr>
            <w:r>
              <w:rPr>
                <w:rFonts w:hint="eastAsia" w:eastAsia="仿宋"/>
                <w:bCs/>
                <w:sz w:val="18"/>
                <w:szCs w:val="18"/>
                <w:lang w:eastAsia="zh-CN"/>
              </w:rPr>
              <w:t>自贡市富顺县龙万乡振兴街78号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方   位</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仿宋"/>
                <w:bCs/>
                <w:kern w:val="0"/>
                <w:sz w:val="18"/>
                <w:szCs w:val="18"/>
              </w:rPr>
              <w:t>位于</w:t>
            </w:r>
            <w:r>
              <w:rPr>
                <w:rFonts w:hint="eastAsia" w:eastAsia="仿宋"/>
                <w:bCs/>
                <w:sz w:val="18"/>
                <w:szCs w:val="18"/>
                <w:lang w:val="en-US" w:eastAsia="zh-CN"/>
              </w:rPr>
              <w:t>振兴街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距区域中心</w:t>
            </w:r>
          </w:p>
        </w:tc>
        <w:tc>
          <w:tcPr>
            <w:tcW w:w="3897" w:type="pct"/>
            <w:vAlign w:val="center"/>
          </w:tcPr>
          <w:p>
            <w:pPr>
              <w:spacing w:line="240" w:lineRule="atLeast"/>
              <w:rPr>
                <w:rFonts w:ascii="仿宋" w:hAnsi="仿宋" w:eastAsia="仿宋" w:cs="宋体"/>
                <w:color w:val="000000"/>
                <w:kern w:val="0"/>
                <w:sz w:val="18"/>
                <w:szCs w:val="18"/>
              </w:rPr>
            </w:pPr>
            <w:r>
              <w:rPr>
                <w:rFonts w:hint="eastAsia" w:ascii="仿宋" w:hAnsi="仿宋" w:eastAsia="仿宋" w:cs="仿宋"/>
                <w:bCs/>
                <w:color w:val="000000"/>
                <w:kern w:val="0"/>
                <w:sz w:val="18"/>
                <w:szCs w:val="18"/>
              </w:rPr>
              <w:t>距</w:t>
            </w:r>
            <w:r>
              <w:rPr>
                <w:rFonts w:hint="eastAsia" w:ascii="仿宋" w:hAnsi="仿宋" w:eastAsia="仿宋" w:cs="仿宋"/>
                <w:bCs/>
                <w:color w:val="000000"/>
                <w:kern w:val="0"/>
                <w:sz w:val="18"/>
                <w:szCs w:val="18"/>
                <w:lang w:val="en-US" w:eastAsia="zh-CN"/>
              </w:rPr>
              <w:t>区域中心</w:t>
            </w:r>
            <w:r>
              <w:rPr>
                <w:rFonts w:hint="eastAsia" w:ascii="仿宋" w:hAnsi="仿宋" w:eastAsia="仿宋" w:cs="仿宋"/>
                <w:bCs/>
                <w:color w:val="000000"/>
                <w:kern w:val="0"/>
                <w:sz w:val="18"/>
                <w:szCs w:val="18"/>
              </w:rPr>
              <w:t>约</w:t>
            </w:r>
            <w:r>
              <w:rPr>
                <w:rFonts w:hint="eastAsia" w:ascii="仿宋" w:hAnsi="仿宋" w:eastAsia="仿宋" w:cs="仿宋"/>
                <w:bCs/>
                <w:color w:val="000000"/>
                <w:kern w:val="0"/>
                <w:sz w:val="18"/>
                <w:szCs w:val="18"/>
                <w:lang w:val="en-US" w:eastAsia="zh-CN"/>
              </w:rPr>
              <w:t>2</w:t>
            </w:r>
            <w:r>
              <w:rPr>
                <w:rFonts w:hint="eastAsia" w:ascii="仿宋" w:hAnsi="仿宋" w:eastAsia="仿宋" w:cs="仿宋"/>
                <w:bCs/>
                <w:color w:val="000000"/>
                <w:kern w:val="0"/>
                <w:sz w:val="18"/>
                <w:szCs w:val="18"/>
              </w:rPr>
              <w:t>.</w:t>
            </w:r>
            <w:r>
              <w:rPr>
                <w:rFonts w:hint="eastAsia" w:ascii="仿宋" w:hAnsi="仿宋" w:eastAsia="仿宋" w:cs="仿宋"/>
                <w:bCs/>
                <w:color w:val="000000"/>
                <w:kern w:val="0"/>
                <w:sz w:val="18"/>
                <w:szCs w:val="18"/>
                <w:lang w:val="en-US" w:eastAsia="zh-CN"/>
              </w:rPr>
              <w:t>3</w:t>
            </w:r>
            <w:r>
              <w:rPr>
                <w:rFonts w:hint="eastAsia" w:ascii="仿宋" w:hAnsi="仿宋" w:eastAsia="仿宋" w:cs="仿宋"/>
                <w:bCs/>
                <w:color w:val="000000"/>
                <w:kern w:val="0"/>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距政务中心</w:t>
            </w:r>
          </w:p>
        </w:tc>
        <w:tc>
          <w:tcPr>
            <w:tcW w:w="3897" w:type="pct"/>
            <w:vAlign w:val="center"/>
          </w:tcPr>
          <w:p>
            <w:pPr>
              <w:spacing w:line="240" w:lineRule="atLeast"/>
              <w:rPr>
                <w:rFonts w:ascii="仿宋" w:hAnsi="仿宋" w:eastAsia="仿宋" w:cs="宋体"/>
                <w:color w:val="000000"/>
                <w:kern w:val="0"/>
                <w:sz w:val="18"/>
                <w:szCs w:val="18"/>
              </w:rPr>
            </w:pPr>
            <w:r>
              <w:rPr>
                <w:rFonts w:hint="eastAsia" w:ascii="仿宋" w:hAnsi="仿宋" w:eastAsia="仿宋" w:cs="宋体"/>
                <w:color w:val="000000"/>
                <w:kern w:val="0"/>
                <w:sz w:val="18"/>
                <w:szCs w:val="18"/>
              </w:rPr>
              <w:t>距</w:t>
            </w:r>
            <w:r>
              <w:rPr>
                <w:rFonts w:hint="eastAsia" w:ascii="仿宋" w:hAnsi="仿宋" w:eastAsia="仿宋" w:cs="宋体"/>
                <w:color w:val="000000"/>
                <w:kern w:val="0"/>
                <w:sz w:val="18"/>
                <w:szCs w:val="18"/>
                <w:lang w:val="en-US" w:eastAsia="zh-CN"/>
              </w:rPr>
              <w:t>龙万乡政府</w:t>
            </w:r>
            <w:r>
              <w:rPr>
                <w:rFonts w:hint="eastAsia" w:ascii="仿宋" w:hAnsi="仿宋" w:eastAsia="仿宋" w:cs="宋体"/>
                <w:color w:val="000000"/>
                <w:kern w:val="0"/>
                <w:sz w:val="18"/>
                <w:szCs w:val="18"/>
              </w:rPr>
              <w:t>约</w:t>
            </w:r>
            <w:r>
              <w:rPr>
                <w:rFonts w:hint="eastAsia" w:ascii="仿宋" w:hAnsi="仿宋" w:eastAsia="仿宋" w:cs="宋体"/>
                <w:color w:val="000000"/>
                <w:kern w:val="0"/>
                <w:sz w:val="18"/>
                <w:szCs w:val="18"/>
                <w:lang w:val="en-US" w:eastAsia="zh-CN"/>
              </w:rPr>
              <w:t>3.4</w:t>
            </w:r>
            <w:r>
              <w:rPr>
                <w:rFonts w:hint="eastAsia" w:ascii="仿宋" w:hAnsi="仿宋" w:eastAsia="仿宋" w:cs="宋体"/>
                <w:color w:val="000000"/>
                <w:kern w:val="0"/>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土地级别</w:t>
            </w:r>
          </w:p>
        </w:tc>
        <w:tc>
          <w:tcPr>
            <w:tcW w:w="3897" w:type="pct"/>
            <w:vAlign w:val="center"/>
          </w:tcPr>
          <w:p>
            <w:pPr>
              <w:spacing w:line="240" w:lineRule="atLeas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临街状况</w:t>
            </w:r>
          </w:p>
        </w:tc>
        <w:tc>
          <w:tcPr>
            <w:tcW w:w="3897" w:type="pct"/>
            <w:vAlign w:val="center"/>
          </w:tcPr>
          <w:p>
            <w:pPr>
              <w:spacing w:line="240" w:lineRule="atLeast"/>
              <w:rPr>
                <w:rFonts w:ascii="仿宋" w:hAnsi="仿宋" w:eastAsia="仿宋" w:cs="宋体"/>
                <w:color w:val="000000"/>
                <w:kern w:val="0"/>
                <w:sz w:val="18"/>
                <w:szCs w:val="18"/>
              </w:rPr>
            </w:pPr>
            <w:r>
              <w:rPr>
                <w:rFonts w:hint="eastAsia" w:ascii="仿宋" w:hAnsi="仿宋" w:eastAsia="仿宋" w:cs="宋体"/>
                <w:color w:val="000000"/>
                <w:kern w:val="0"/>
                <w:sz w:val="18"/>
                <w:szCs w:val="18"/>
              </w:rPr>
              <w:t>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城市规划</w:t>
            </w:r>
          </w:p>
        </w:tc>
        <w:tc>
          <w:tcPr>
            <w:tcW w:w="3897" w:type="pct"/>
            <w:vAlign w:val="center"/>
          </w:tcPr>
          <w:p>
            <w:pPr>
              <w:spacing w:line="240" w:lineRule="atLeast"/>
              <w:rPr>
                <w:rFonts w:ascii="仿宋" w:hAnsi="仿宋" w:eastAsia="仿宋" w:cs="宋体"/>
                <w:color w:val="000000"/>
                <w:kern w:val="0"/>
                <w:sz w:val="18"/>
                <w:szCs w:val="18"/>
              </w:rPr>
            </w:pPr>
            <w:r>
              <w:rPr>
                <w:rFonts w:hint="eastAsia" w:ascii="仿宋" w:hAnsi="仿宋" w:eastAsia="仿宋" w:cs="宋体"/>
                <w:color w:val="000000"/>
                <w:kern w:val="0"/>
                <w:sz w:val="18"/>
                <w:szCs w:val="18"/>
              </w:rPr>
              <w:t>住宅、商业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楼层</w:t>
            </w:r>
          </w:p>
        </w:tc>
        <w:tc>
          <w:tcPr>
            <w:tcW w:w="3897" w:type="pct"/>
            <w:vAlign w:val="center"/>
          </w:tcPr>
          <w:p>
            <w:pPr>
              <w:spacing w:line="240" w:lineRule="atLeast"/>
              <w:rPr>
                <w:rFonts w:ascii="仿宋" w:hAnsi="仿宋" w:eastAsia="仿宋" w:cs="宋体"/>
                <w:color w:val="000000"/>
                <w:kern w:val="0"/>
                <w:sz w:val="18"/>
                <w:szCs w:val="18"/>
              </w:rPr>
            </w:pPr>
            <w:r>
              <w:rPr>
                <w:rFonts w:hint="eastAsia" w:eastAsia="仿宋"/>
                <w:bCs/>
                <w:sz w:val="18"/>
                <w:szCs w:val="18"/>
                <w:lang w:val="en-US" w:eastAsia="zh-CN"/>
              </w:rPr>
              <w:t>2-3</w:t>
            </w:r>
            <w:r>
              <w:rPr>
                <w:rFonts w:hint="eastAsia" w:eastAsia="仿宋"/>
                <w:bCs/>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朝    向</w:t>
            </w:r>
          </w:p>
        </w:tc>
        <w:tc>
          <w:tcPr>
            <w:tcW w:w="3897" w:type="pct"/>
            <w:vAlign w:val="center"/>
          </w:tcPr>
          <w:p>
            <w:pPr>
              <w:spacing w:line="240" w:lineRule="atLeast"/>
              <w:rPr>
                <w:rFonts w:ascii="仿宋" w:hAnsi="仿宋" w:eastAsia="仿宋" w:cs="宋体"/>
                <w:color w:val="000000"/>
                <w:kern w:val="0"/>
                <w:sz w:val="18"/>
                <w:szCs w:val="18"/>
              </w:rPr>
            </w:pPr>
            <w:r>
              <w:rPr>
                <w:rFonts w:hint="eastAsia" w:ascii="仿宋" w:hAnsi="仿宋" w:eastAsia="仿宋" w:cs="宋体"/>
                <w:color w:val="000000"/>
                <w:kern w:val="0"/>
                <w:sz w:val="18"/>
                <w:szCs w:val="18"/>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06" w:type="pct"/>
            <w:vMerge w:val="restar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交通</w:t>
            </w:r>
          </w:p>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状况</w:t>
            </w: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道路状况</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估价对象所在区域</w:t>
            </w:r>
            <w:r>
              <w:rPr>
                <w:rFonts w:hint="eastAsia" w:ascii="仿宋" w:hAnsi="仿宋" w:eastAsia="仿宋" w:cs="宋体"/>
                <w:kern w:val="0"/>
                <w:sz w:val="18"/>
                <w:szCs w:val="18"/>
                <w:lang w:val="en-US" w:eastAsia="zh-CN"/>
              </w:rPr>
              <w:t>由振兴街</w:t>
            </w:r>
            <w:r>
              <w:rPr>
                <w:rFonts w:hint="eastAsia" w:ascii="仿宋" w:hAnsi="仿宋" w:eastAsia="仿宋" w:cs="宋体"/>
                <w:kern w:val="0"/>
                <w:sz w:val="18"/>
                <w:szCs w:val="18"/>
              </w:rPr>
              <w:t>等组成道路体系</w:t>
            </w:r>
            <w:r>
              <w:rPr>
                <w:rFonts w:hint="eastAsia" w:ascii="仿宋" w:hAnsi="仿宋" w:eastAsia="仿宋" w:cs="宋体"/>
                <w:kern w:val="0"/>
                <w:sz w:val="18"/>
                <w:szCs w:val="18"/>
                <w:lang w:eastAsia="zh-CN"/>
              </w:rPr>
              <w:t>，</w:t>
            </w:r>
            <w:r>
              <w:rPr>
                <w:rFonts w:hint="eastAsia" w:ascii="仿宋" w:hAnsi="仿宋" w:eastAsia="仿宋" w:cs="宋体"/>
                <w:kern w:val="0"/>
                <w:sz w:val="18"/>
                <w:szCs w:val="18"/>
              </w:rPr>
              <w:t>道路条件较优。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b/>
                <w:color w:val="000000"/>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公共交通</w:t>
            </w:r>
          </w:p>
        </w:tc>
        <w:tc>
          <w:tcPr>
            <w:tcW w:w="3897" w:type="pct"/>
            <w:vAlign w:val="center"/>
          </w:tcPr>
          <w:p>
            <w:pPr>
              <w:spacing w:line="240" w:lineRule="atLeast"/>
              <w:rPr>
                <w:rFonts w:hint="eastAsia" w:ascii="仿宋" w:hAnsi="仿宋" w:eastAsia="仿宋" w:cs="宋体"/>
                <w:kern w:val="0"/>
                <w:sz w:val="18"/>
                <w:szCs w:val="18"/>
                <w:lang w:val="en-US" w:eastAsia="zh-CN"/>
              </w:rPr>
            </w:pPr>
            <w:r>
              <w:rPr>
                <w:rFonts w:hint="eastAsia" w:ascii="仿宋" w:hAnsi="仿宋" w:eastAsia="仿宋" w:cs="宋体"/>
                <w:kern w:val="0"/>
                <w:sz w:val="18"/>
                <w:szCs w:val="18"/>
              </w:rPr>
              <w:t>区域内</w:t>
            </w:r>
            <w:r>
              <w:rPr>
                <w:rFonts w:hint="eastAsia" w:ascii="仿宋" w:hAnsi="仿宋" w:eastAsia="仿宋" w:cs="宋体"/>
                <w:kern w:val="0"/>
                <w:sz w:val="18"/>
                <w:szCs w:val="18"/>
                <w:lang w:val="en-US" w:eastAsia="zh-CN"/>
              </w:rPr>
              <w:t>无</w:t>
            </w:r>
            <w:r>
              <w:rPr>
                <w:rFonts w:hint="eastAsia" w:ascii="仿宋" w:hAnsi="仿宋" w:eastAsia="仿宋" w:cs="宋体"/>
                <w:kern w:val="0"/>
                <w:sz w:val="18"/>
                <w:szCs w:val="18"/>
              </w:rPr>
              <w:t>公交车通过，公交便捷度</w:t>
            </w:r>
            <w:r>
              <w:rPr>
                <w:rFonts w:hint="eastAsia" w:ascii="仿宋" w:hAnsi="仿宋" w:eastAsia="仿宋" w:cs="宋体"/>
                <w:kern w:val="0"/>
                <w:sz w:val="18"/>
                <w:szCs w:val="18"/>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406" w:type="pct"/>
            <w:vMerge w:val="continue"/>
            <w:vAlign w:val="center"/>
          </w:tcPr>
          <w:p>
            <w:pPr>
              <w:spacing w:line="240" w:lineRule="atLeast"/>
              <w:jc w:val="center"/>
              <w:rPr>
                <w:rFonts w:ascii="仿宋" w:hAnsi="仿宋" w:eastAsia="仿宋" w:cs="宋体"/>
                <w:b/>
                <w:color w:val="000000"/>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距客运站</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距离客运站约</w:t>
            </w:r>
            <w:r>
              <w:rPr>
                <w:rFonts w:hint="eastAsia" w:ascii="仿宋" w:hAnsi="仿宋" w:eastAsia="仿宋" w:cs="宋体"/>
                <w:kern w:val="0"/>
                <w:sz w:val="18"/>
                <w:szCs w:val="18"/>
                <w:lang w:val="en-US" w:eastAsia="zh-CN"/>
              </w:rPr>
              <w:t>1</w:t>
            </w:r>
            <w:r>
              <w:rPr>
                <w:rFonts w:hint="eastAsia" w:ascii="仿宋" w:hAnsi="仿宋" w:eastAsia="仿宋" w:cs="宋体"/>
                <w:kern w:val="0"/>
                <w:sz w:val="18"/>
                <w:szCs w:val="18"/>
              </w:rPr>
              <w:t>.0KM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406" w:type="pct"/>
            <w:vMerge w:val="continue"/>
            <w:vAlign w:val="center"/>
          </w:tcPr>
          <w:p>
            <w:pPr>
              <w:spacing w:line="240" w:lineRule="atLeast"/>
              <w:jc w:val="center"/>
              <w:rPr>
                <w:rFonts w:ascii="仿宋" w:hAnsi="仿宋" w:eastAsia="仿宋" w:cs="宋体"/>
                <w:b/>
                <w:color w:val="000000"/>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距机场</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距离</w:t>
            </w:r>
            <w:r>
              <w:rPr>
                <w:rFonts w:hint="eastAsia" w:ascii="仿宋" w:hAnsi="仿宋" w:eastAsia="仿宋" w:cs="宋体"/>
                <w:kern w:val="0"/>
                <w:sz w:val="18"/>
                <w:szCs w:val="18"/>
                <w:lang w:val="en-US" w:eastAsia="zh-CN"/>
              </w:rPr>
              <w:t>自贡凤鸣通用</w:t>
            </w:r>
            <w:r>
              <w:rPr>
                <w:rFonts w:hint="eastAsia" w:ascii="仿宋" w:hAnsi="仿宋" w:eastAsia="仿宋" w:cs="宋体"/>
                <w:kern w:val="0"/>
                <w:sz w:val="18"/>
                <w:szCs w:val="18"/>
              </w:rPr>
              <w:t>机场约</w:t>
            </w:r>
            <w:r>
              <w:rPr>
                <w:rFonts w:hint="eastAsia" w:ascii="仿宋" w:hAnsi="仿宋" w:eastAsia="仿宋" w:cs="宋体"/>
                <w:kern w:val="0"/>
                <w:sz w:val="18"/>
                <w:szCs w:val="18"/>
                <w:lang w:val="en-US" w:eastAsia="zh-CN"/>
              </w:rPr>
              <w:t>68</w:t>
            </w:r>
            <w:r>
              <w:rPr>
                <w:rFonts w:hint="eastAsia" w:ascii="仿宋" w:hAnsi="仿宋" w:eastAsia="仿宋" w:cs="宋体"/>
                <w:kern w:val="0"/>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406" w:type="pct"/>
            <w:vMerge w:val="continue"/>
            <w:vAlign w:val="center"/>
          </w:tcPr>
          <w:p>
            <w:pPr>
              <w:spacing w:line="240" w:lineRule="atLeast"/>
              <w:jc w:val="center"/>
              <w:rPr>
                <w:rFonts w:ascii="仿宋" w:hAnsi="仿宋" w:eastAsia="仿宋" w:cs="宋体"/>
                <w:b/>
                <w:color w:val="000000"/>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交通管制</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b/>
                <w:color w:val="000000"/>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停车便利度</w:t>
            </w:r>
          </w:p>
        </w:tc>
        <w:tc>
          <w:tcPr>
            <w:tcW w:w="3897" w:type="pct"/>
            <w:vAlign w:val="center"/>
          </w:tcPr>
          <w:p>
            <w:pPr>
              <w:spacing w:line="240" w:lineRule="atLeast"/>
              <w:rPr>
                <w:rFonts w:hint="eastAsia" w:ascii="仿宋" w:hAnsi="仿宋" w:eastAsia="仿宋" w:cs="宋体"/>
                <w:kern w:val="0"/>
                <w:sz w:val="18"/>
                <w:szCs w:val="18"/>
                <w:lang w:eastAsia="zh-CN"/>
              </w:rPr>
            </w:pPr>
            <w:r>
              <w:rPr>
                <w:rFonts w:hint="eastAsia" w:ascii="仿宋" w:hAnsi="仿宋" w:eastAsia="仿宋" w:cs="宋体"/>
                <w:kern w:val="0"/>
                <w:sz w:val="18"/>
                <w:szCs w:val="18"/>
              </w:rPr>
              <w:t>设有地</w:t>
            </w:r>
            <w:r>
              <w:rPr>
                <w:rFonts w:hint="eastAsia" w:ascii="仿宋" w:hAnsi="仿宋" w:eastAsia="仿宋" w:cs="宋体"/>
                <w:kern w:val="0"/>
                <w:sz w:val="18"/>
                <w:szCs w:val="18"/>
                <w:lang w:val="en-US" w:eastAsia="zh-CN"/>
              </w:rPr>
              <w:t>上</w:t>
            </w:r>
            <w:r>
              <w:rPr>
                <w:rFonts w:hint="eastAsia" w:ascii="仿宋" w:hAnsi="仿宋" w:eastAsia="仿宋" w:cs="宋体"/>
                <w:kern w:val="0"/>
                <w:sz w:val="18"/>
                <w:szCs w:val="18"/>
              </w:rPr>
              <w:t>停车位，停车方便程度</w:t>
            </w:r>
            <w:r>
              <w:rPr>
                <w:rFonts w:hint="eastAsia" w:ascii="仿宋" w:hAnsi="仿宋" w:eastAsia="仿宋" w:cs="宋体"/>
                <w:kern w:val="0"/>
                <w:sz w:val="18"/>
                <w:szCs w:val="18"/>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restart"/>
            <w:vAlign w:val="center"/>
          </w:tcPr>
          <w:p>
            <w:pPr>
              <w:spacing w:line="24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环境状况</w:t>
            </w: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自然环境</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自然环境一般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人文环境</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区域内犯罪率低，人文环境较好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噪音治安</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生活噪音，治安一般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vMerge w:val="continue"/>
            <w:vAlign w:val="center"/>
          </w:tcPr>
          <w:p>
            <w:pPr>
              <w:spacing w:line="240" w:lineRule="atLeast"/>
              <w:jc w:val="center"/>
              <w:rPr>
                <w:rFonts w:ascii="仿宋" w:hAnsi="仿宋" w:eastAsia="仿宋" w:cs="宋体"/>
                <w:color w:val="000000"/>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空气质量</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空气质量一般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06" w:type="pct"/>
            <w:vMerge w:val="restart"/>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外部配套设施</w:t>
            </w: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基础设施</w:t>
            </w:r>
          </w:p>
        </w:tc>
        <w:tc>
          <w:tcPr>
            <w:tcW w:w="3897" w:type="pct"/>
            <w:vAlign w:val="center"/>
          </w:tcPr>
          <w:p>
            <w:pPr>
              <w:spacing w:line="240" w:lineRule="atLeast"/>
              <w:rPr>
                <w:rFonts w:ascii="仿宋" w:hAnsi="仿宋" w:eastAsia="仿宋" w:cs="宋体"/>
                <w:kern w:val="0"/>
                <w:sz w:val="18"/>
                <w:szCs w:val="18"/>
              </w:rPr>
            </w:pPr>
            <w:r>
              <w:rPr>
                <w:rFonts w:hint="eastAsia" w:ascii="仿宋" w:hAnsi="仿宋" w:eastAsia="仿宋" w:cs="仿宋"/>
                <w:kern w:val="0"/>
                <w:sz w:val="18"/>
                <w:szCs w:val="18"/>
                <w:highlight w:val="none"/>
              </w:rPr>
              <w:t>水、电、视、讯、网络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06" w:type="pct"/>
            <w:vMerge w:val="continue"/>
            <w:vAlign w:val="center"/>
          </w:tcPr>
          <w:p>
            <w:pPr>
              <w:spacing w:line="240" w:lineRule="atLeast"/>
              <w:jc w:val="center"/>
              <w:rPr>
                <w:rFonts w:ascii="仿宋" w:hAnsi="仿宋" w:eastAsia="仿宋" w:cs="宋体"/>
                <w:b/>
                <w:kern w:val="0"/>
                <w:sz w:val="18"/>
                <w:szCs w:val="18"/>
              </w:rPr>
            </w:pPr>
          </w:p>
        </w:tc>
        <w:tc>
          <w:tcPr>
            <w:tcW w:w="698" w:type="pct"/>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公共服务设施</w:t>
            </w:r>
          </w:p>
        </w:tc>
        <w:tc>
          <w:tcPr>
            <w:tcW w:w="3897" w:type="pct"/>
            <w:vAlign w:val="center"/>
          </w:tcPr>
          <w:p>
            <w:pPr>
              <w:spacing w:line="240" w:lineRule="atLeast"/>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区域内有</w:t>
            </w:r>
            <w:r>
              <w:rPr>
                <w:rFonts w:hint="eastAsia" w:ascii="仿宋" w:hAnsi="仿宋" w:eastAsia="仿宋" w:cs="仿宋"/>
                <w:kern w:val="0"/>
                <w:sz w:val="18"/>
                <w:szCs w:val="18"/>
                <w:lang w:val="en-US" w:eastAsia="zh-CN"/>
              </w:rPr>
              <w:t>燎原中娇小学、邮政储蓄银行、富顺济民医院</w:t>
            </w:r>
            <w:r>
              <w:rPr>
                <w:rFonts w:hint="eastAsia" w:ascii="仿宋" w:hAnsi="仿宋" w:eastAsia="仿宋" w:cs="仿宋"/>
                <w:kern w:val="0"/>
                <w:sz w:val="18"/>
                <w:szCs w:val="18"/>
              </w:rPr>
              <w:t>等，公共服务设施</w:t>
            </w:r>
            <w:r>
              <w:rPr>
                <w:rFonts w:hint="eastAsia" w:ascii="仿宋" w:hAnsi="仿宋" w:eastAsia="仿宋" w:cs="仿宋"/>
                <w:kern w:val="0"/>
                <w:sz w:val="18"/>
                <w:szCs w:val="18"/>
                <w:lang w:val="en-US" w:eastAsia="zh-CN"/>
              </w:rPr>
              <w:t>一般</w:t>
            </w:r>
          </w:p>
        </w:tc>
      </w:tr>
    </w:tbl>
    <w:p>
      <w:pPr>
        <w:pStyle w:val="3"/>
        <w:numPr>
          <w:ilvl w:val="0"/>
          <w:numId w:val="4"/>
        </w:numPr>
        <w:spacing w:line="480" w:lineRule="exact"/>
        <w:rPr>
          <w:rFonts w:ascii="仿宋" w:hAnsi="仿宋" w:eastAsia="仿宋" w:cs="宋体"/>
          <w:color w:val="000000"/>
          <w:sz w:val="24"/>
          <w:szCs w:val="24"/>
        </w:rPr>
      </w:pPr>
      <w:bookmarkStart w:id="35" w:name="_Toc19647"/>
      <w:r>
        <w:rPr>
          <w:rFonts w:hint="eastAsia" w:ascii="仿宋" w:hAnsi="仿宋" w:eastAsia="仿宋" w:cs="宋体"/>
          <w:color w:val="000000"/>
          <w:sz w:val="24"/>
          <w:szCs w:val="24"/>
        </w:rPr>
        <w:t>价值时点</w:t>
      </w:r>
      <w:bookmarkEnd w:id="35"/>
    </w:p>
    <w:p>
      <w:pPr>
        <w:spacing w:line="480" w:lineRule="exact"/>
        <w:ind w:firstLine="480" w:firstLineChars="200"/>
        <w:rPr>
          <w:rFonts w:ascii="仿宋" w:hAnsi="仿宋" w:eastAsia="仿宋" w:cs="宋体"/>
          <w:sz w:val="24"/>
          <w:szCs w:val="24"/>
        </w:rPr>
      </w:pPr>
      <w:r>
        <w:rPr>
          <w:rFonts w:hint="eastAsia" w:ascii="仿宋" w:hAnsi="仿宋" w:eastAsia="仿宋" w:cs="宋体"/>
          <w:color w:val="000000"/>
          <w:sz w:val="24"/>
          <w:szCs w:val="24"/>
        </w:rPr>
        <w:t>根据《房地产司法鉴定评估指导意见》试行（</w:t>
      </w:r>
      <w:r>
        <w:rPr>
          <w:rFonts w:ascii="仿宋" w:hAnsi="仿宋" w:eastAsia="仿宋" w:cs="宋体"/>
          <w:color w:val="000000"/>
          <w:sz w:val="24"/>
          <w:szCs w:val="24"/>
        </w:rPr>
        <w:t>川建房发〔2011〕89号</w:t>
      </w:r>
      <w:r>
        <w:rPr>
          <w:rFonts w:hint="eastAsia" w:ascii="仿宋" w:hAnsi="仿宋" w:eastAsia="仿宋" w:cs="宋体"/>
          <w:color w:val="000000"/>
          <w:sz w:val="24"/>
          <w:szCs w:val="24"/>
        </w:rPr>
        <w:t>）</w:t>
      </w:r>
      <w:r>
        <w:rPr>
          <w:rFonts w:ascii="仿宋" w:hAnsi="仿宋" w:eastAsia="仿宋" w:cs="宋体"/>
          <w:color w:val="000000"/>
          <w:sz w:val="24"/>
          <w:szCs w:val="24"/>
        </w:rPr>
        <w:t>第七十八条</w:t>
      </w:r>
      <w:r>
        <w:rPr>
          <w:rFonts w:hint="eastAsia" w:ascii="仿宋" w:hAnsi="仿宋" w:eastAsia="仿宋" w:cs="宋体"/>
          <w:color w:val="000000"/>
          <w:sz w:val="24"/>
          <w:szCs w:val="24"/>
        </w:rPr>
        <w:t>“</w:t>
      </w:r>
      <w:r>
        <w:rPr>
          <w:rFonts w:ascii="仿宋" w:hAnsi="仿宋" w:eastAsia="仿宋" w:cs="宋体"/>
          <w:color w:val="000000"/>
          <w:sz w:val="24"/>
          <w:szCs w:val="24"/>
        </w:rPr>
        <w:t>房地产拍卖（变卖）鉴定评估的</w:t>
      </w:r>
      <w:r>
        <w:rPr>
          <w:rFonts w:hint="eastAsia" w:ascii="仿宋" w:hAnsi="仿宋" w:eastAsia="仿宋" w:cs="宋体"/>
          <w:color w:val="000000"/>
          <w:sz w:val="24"/>
          <w:szCs w:val="24"/>
        </w:rPr>
        <w:t>估价时点</w:t>
      </w:r>
      <w:r>
        <w:rPr>
          <w:rFonts w:ascii="仿宋" w:hAnsi="仿宋" w:eastAsia="仿宋" w:cs="宋体"/>
          <w:color w:val="000000"/>
          <w:sz w:val="24"/>
          <w:szCs w:val="24"/>
        </w:rPr>
        <w:t>，原则上为评估委托之日或完成估价对象现场查勘之日，但鉴定评估委托书另有约定的除外。</w:t>
      </w:r>
      <w:r>
        <w:rPr>
          <w:rFonts w:hint="eastAsia" w:ascii="仿宋" w:hAnsi="仿宋" w:eastAsia="仿宋" w:cs="宋体"/>
          <w:color w:val="000000"/>
          <w:sz w:val="24"/>
          <w:szCs w:val="24"/>
        </w:rPr>
        <w:t>”此次估价对象实地查勘期为</w:t>
      </w:r>
      <w:r>
        <w:rPr>
          <w:rFonts w:hint="eastAsia" w:ascii="仿宋" w:hAnsi="仿宋" w:eastAsia="仿宋" w:cs="宋体"/>
          <w:color w:val="000000"/>
          <w:sz w:val="24"/>
          <w:szCs w:val="24"/>
          <w:lang w:eastAsia="zh-CN"/>
        </w:rPr>
        <w:t>2020年9月27日</w:t>
      </w:r>
      <w:r>
        <w:rPr>
          <w:rFonts w:hint="eastAsia" w:ascii="仿宋" w:hAnsi="仿宋" w:eastAsia="仿宋" w:cs="宋体"/>
          <w:color w:val="000000"/>
          <w:sz w:val="24"/>
          <w:szCs w:val="24"/>
        </w:rPr>
        <w:t>，故本次估价的价值时点确定为</w:t>
      </w:r>
      <w:r>
        <w:rPr>
          <w:rFonts w:hint="eastAsia" w:ascii="仿宋" w:hAnsi="仿宋" w:eastAsia="仿宋" w:cs="宋体"/>
          <w:color w:val="000000"/>
          <w:sz w:val="24"/>
          <w:szCs w:val="24"/>
          <w:lang w:eastAsia="zh-CN"/>
        </w:rPr>
        <w:t>2020年9月27日</w:t>
      </w:r>
      <w:r>
        <w:rPr>
          <w:rFonts w:hint="eastAsia" w:ascii="仿宋" w:hAnsi="仿宋" w:eastAsia="仿宋" w:cs="宋体"/>
          <w:color w:val="000000"/>
          <w:sz w:val="24"/>
          <w:szCs w:val="24"/>
        </w:rPr>
        <w:t>。</w:t>
      </w:r>
    </w:p>
    <w:p>
      <w:pPr>
        <w:pStyle w:val="3"/>
        <w:numPr>
          <w:ilvl w:val="0"/>
          <w:numId w:val="4"/>
        </w:numPr>
        <w:spacing w:line="480" w:lineRule="exact"/>
        <w:rPr>
          <w:rFonts w:ascii="仿宋" w:hAnsi="仿宋" w:eastAsia="仿宋" w:cs="宋体"/>
          <w:color w:val="000000"/>
          <w:sz w:val="24"/>
          <w:szCs w:val="24"/>
        </w:rPr>
      </w:pPr>
      <w:bookmarkStart w:id="36" w:name="_Toc320173779"/>
      <w:bookmarkStart w:id="37" w:name="_Toc320276198"/>
      <w:bookmarkStart w:id="38" w:name="_Toc320184509"/>
      <w:bookmarkStart w:id="39" w:name="_Toc7741"/>
      <w:bookmarkStart w:id="40" w:name="_Toc320184510"/>
      <w:bookmarkStart w:id="41" w:name="_Toc320276199"/>
      <w:bookmarkStart w:id="42" w:name="_Toc320173780"/>
      <w:bookmarkStart w:id="43" w:name="_Toc320184513"/>
      <w:bookmarkStart w:id="44" w:name="_Toc320276202"/>
      <w:bookmarkStart w:id="45" w:name="_Toc320173783"/>
      <w:r>
        <w:rPr>
          <w:rFonts w:hint="eastAsia" w:ascii="仿宋" w:hAnsi="仿宋" w:eastAsia="仿宋" w:cs="宋体"/>
          <w:color w:val="000000"/>
          <w:sz w:val="24"/>
          <w:szCs w:val="24"/>
        </w:rPr>
        <w:t>价值</w:t>
      </w:r>
      <w:bookmarkEnd w:id="36"/>
      <w:bookmarkEnd w:id="37"/>
      <w:bookmarkEnd w:id="38"/>
      <w:r>
        <w:rPr>
          <w:rFonts w:hint="eastAsia" w:ascii="仿宋" w:hAnsi="仿宋" w:eastAsia="仿宋" w:cs="宋体"/>
          <w:color w:val="000000"/>
          <w:sz w:val="24"/>
          <w:szCs w:val="24"/>
        </w:rPr>
        <w:t>类型</w:t>
      </w:r>
      <w:bookmarkEnd w:id="39"/>
    </w:p>
    <w:p>
      <w:pPr>
        <w:spacing w:line="48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（一）价值标准：市场价值，不考虑房地产拍卖（变卖）成交后的税费及税费的转移负担。</w:t>
      </w:r>
    </w:p>
    <w:p>
      <w:pPr>
        <w:spacing w:line="48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（二）价值内涵：本报告价值内涵为满足本估价报告“估价假设与限制条件”，遵循客观、独立、公开、合法原则，以</w:t>
      </w:r>
      <w:r>
        <w:rPr>
          <w:rFonts w:hint="eastAsia" w:ascii="仿宋" w:hAnsi="仿宋" w:eastAsia="仿宋" w:cs="宋体"/>
          <w:color w:val="000000"/>
          <w:sz w:val="24"/>
          <w:szCs w:val="24"/>
          <w:lang w:eastAsia="zh-CN"/>
        </w:rPr>
        <w:t>《房产登记信息查询情况说明》</w:t>
      </w:r>
      <w:r>
        <w:rPr>
          <w:rFonts w:hint="eastAsia" w:ascii="仿宋" w:hAnsi="仿宋" w:eastAsia="仿宋" w:cs="宋体"/>
          <w:color w:val="000000"/>
          <w:sz w:val="24"/>
          <w:szCs w:val="24"/>
        </w:rPr>
        <w:t>记载住宅用途，在价值时点</w:t>
      </w:r>
      <w:r>
        <w:rPr>
          <w:rFonts w:hint="eastAsia" w:ascii="仿宋" w:hAnsi="仿宋" w:eastAsia="仿宋" w:cs="宋体"/>
          <w:color w:val="000000"/>
          <w:sz w:val="24"/>
          <w:szCs w:val="24"/>
          <w:lang w:eastAsia="zh-CN"/>
        </w:rPr>
        <w:t>2020年9月27日</w:t>
      </w:r>
      <w:r>
        <w:rPr>
          <w:rFonts w:hint="eastAsia" w:ascii="仿宋" w:hAnsi="仿宋" w:eastAsia="仿宋" w:cs="宋体"/>
          <w:color w:val="000000"/>
          <w:sz w:val="24"/>
          <w:szCs w:val="24"/>
        </w:rPr>
        <w:t>于现状条件下的市场价值，该价值内涵还包括：</w:t>
      </w:r>
    </w:p>
    <w:p>
      <w:pPr>
        <w:spacing w:line="48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1、本次估价财产范围是房屋、分摊相应土地使用权和必要的设备设施,不包括动产、装饰装修</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构筑物、树木等，以及债权债务、特许经营权等其他财产或权益。</w:t>
      </w:r>
    </w:p>
    <w:p>
      <w:pPr>
        <w:spacing w:line="48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2、本次估价目的的特殊性，未考虑估价对象抵押、司法查封以及未来市场价值变化风险、特殊交易方式、不可抗力、短期强制处分等因素影响。</w:t>
      </w:r>
    </w:p>
    <w:p>
      <w:pPr>
        <w:spacing w:line="48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3、币种：人民币</w:t>
      </w:r>
    </w:p>
    <w:p>
      <w:pPr>
        <w:pStyle w:val="3"/>
        <w:numPr>
          <w:ilvl w:val="0"/>
          <w:numId w:val="4"/>
        </w:numPr>
        <w:spacing w:line="480" w:lineRule="exact"/>
        <w:rPr>
          <w:rFonts w:ascii="仿宋" w:hAnsi="仿宋" w:eastAsia="仿宋" w:cs="宋体"/>
          <w:color w:val="000000"/>
          <w:sz w:val="24"/>
          <w:szCs w:val="24"/>
        </w:rPr>
      </w:pPr>
      <w:bookmarkStart w:id="46" w:name="_Toc21830"/>
      <w:r>
        <w:rPr>
          <w:rFonts w:hint="eastAsia" w:ascii="仿宋" w:hAnsi="仿宋" w:eastAsia="仿宋" w:cs="宋体"/>
          <w:color w:val="000000"/>
          <w:sz w:val="24"/>
          <w:szCs w:val="24"/>
        </w:rPr>
        <w:t>估价原则</w:t>
      </w:r>
      <w:bookmarkEnd w:id="46"/>
    </w:p>
    <w:p>
      <w:pPr>
        <w:spacing w:line="460" w:lineRule="exac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1、独立、客观、公正原则</w:t>
      </w:r>
    </w:p>
    <w:p>
      <w:pPr>
        <w:spacing w:line="460" w:lineRule="exac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独立、客观、公正原则要求注册房地产估价师站在中立的立场上评估出对各方当事人来说均是公平合理的价值。“独立”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p>
    <w:p>
      <w:pPr>
        <w:spacing w:line="460" w:lineRule="exac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2、合法原则</w:t>
      </w:r>
    </w:p>
    <w:p>
      <w:pPr>
        <w:spacing w:line="460" w:lineRule="exact"/>
        <w:ind w:firstLine="480" w:firstLineChars="200"/>
        <w:jc w:val="left"/>
        <w:rPr>
          <w:rFonts w:ascii="仿宋" w:hAnsi="仿宋" w:eastAsia="仿宋" w:cs="宋体"/>
          <w:color w:val="000000"/>
          <w:sz w:val="24"/>
          <w:szCs w:val="24"/>
          <w:u w:val="wave"/>
        </w:rPr>
      </w:pPr>
      <w:r>
        <w:rPr>
          <w:rFonts w:hint="eastAsia" w:ascii="仿宋" w:hAnsi="仿宋" w:eastAsia="仿宋" w:cs="宋体"/>
          <w:color w:val="000000"/>
          <w:sz w:val="24"/>
          <w:szCs w:val="24"/>
        </w:rPr>
        <w:t>估价结果应是依法判定的估价对象状况下的价值或价格。依据是依据有关法律、行政法规、最高人民法院和最高人民检察院发布的有关司法解释、估价对象所在地的有关地方法规（民族自治地方有关自治条例和单行条例），国务院所属部门颁发的有关部门规章和政策，估价对象所在地人民政府颁发的有关地方政策和规章，以及不动产登记簿（房屋登记薄、土地登记薄）、权属证书、有关批文和合同等（如规划意见书、国有建设用地使用出让招标文件、国有建设用地使用权出让合同、房地产转让合同、房屋租赁合同等）；本次估价按估价对象</w:t>
      </w:r>
      <w:r>
        <w:rPr>
          <w:rFonts w:hint="eastAsia" w:ascii="仿宋" w:hAnsi="仿宋" w:eastAsia="仿宋" w:cs="宋体"/>
          <w:color w:val="000000"/>
          <w:sz w:val="24"/>
          <w:szCs w:val="24"/>
          <w:lang w:eastAsia="zh-CN"/>
        </w:rPr>
        <w:t>《房产登记信息查询情况说明》</w:t>
      </w:r>
      <w:r>
        <w:rPr>
          <w:rFonts w:hint="eastAsia" w:ascii="仿宋" w:hAnsi="仿宋" w:eastAsia="仿宋" w:cs="宋体"/>
          <w:sz w:val="24"/>
          <w:szCs w:val="24"/>
        </w:rPr>
        <w:t>记载用途进行估价就是合法原则的体现</w:t>
      </w:r>
      <w:r>
        <w:rPr>
          <w:rFonts w:hint="eastAsia" w:ascii="仿宋" w:hAnsi="仿宋" w:eastAsia="仿宋" w:cs="宋体"/>
          <w:color w:val="000000"/>
          <w:sz w:val="24"/>
          <w:szCs w:val="24"/>
        </w:rPr>
        <w:t>。</w:t>
      </w:r>
    </w:p>
    <w:p>
      <w:pPr>
        <w:spacing w:line="460" w:lineRule="exac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3、价值时点原则</w:t>
      </w:r>
    </w:p>
    <w:p>
      <w:pPr>
        <w:spacing w:line="460" w:lineRule="exac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估价结果应当是在根据估价目的的确定的某一特定时间的价值或价格。随着时间的推移，影响房地产价格的区位、实物、权益以及有关房地产法律法规、政策因素是不断变化的，房地产市场也是不断变化的，因此，不同房地产在不同的时间通常会有不同的价值，通常根据估价目的确定。</w:t>
      </w:r>
    </w:p>
    <w:p>
      <w:pPr>
        <w:spacing w:line="460" w:lineRule="exac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4、替代原则</w:t>
      </w:r>
    </w:p>
    <w:p>
      <w:pPr>
        <w:spacing w:line="460" w:lineRule="exact"/>
        <w:ind w:firstLine="480" w:firstLineChars="200"/>
        <w:jc w:val="left"/>
        <w:rPr>
          <w:rFonts w:ascii="仿宋" w:hAnsi="仿宋" w:eastAsia="仿宋" w:cs="宋体"/>
          <w:color w:val="000000"/>
          <w:sz w:val="24"/>
          <w:szCs w:val="24"/>
          <w:u w:val="wave"/>
        </w:rPr>
      </w:pPr>
      <w:r>
        <w:rPr>
          <w:rFonts w:hint="eastAsia" w:ascii="仿宋" w:hAnsi="仿宋" w:eastAsia="仿宋" w:cs="宋体"/>
          <w:color w:val="000000"/>
          <w:sz w:val="24"/>
          <w:szCs w:val="24"/>
        </w:rPr>
        <w:t>估价结果应与估价对象的类似房地产在同等条件下的价值或价格偏差应在合理范围内。根据经济学原理，在同一市场上相同的商品有相同的价格。房地产价格的形成一般也是如此，只是由于房地产的独一无二特性，使得完全相同的房地产几乎没有，但在同一房地产市场上，相似在房地产会有相近的价格。在估价时不能孤立地思考估价对象的价值或价格，而要考虑相似房地产之间的价格比较，特别是同一估价机构，在同一城市，同一时期，同一估价目的，对不同区位、不同档次的房地产的评估价值应有合理的差价。</w:t>
      </w:r>
      <w:r>
        <w:rPr>
          <w:rFonts w:hint="eastAsia" w:ascii="仿宋" w:hAnsi="仿宋" w:eastAsia="仿宋" w:cs="宋体"/>
          <w:sz w:val="24"/>
          <w:szCs w:val="24"/>
        </w:rPr>
        <w:t>本次估价中比较法</w:t>
      </w:r>
      <w:r>
        <w:rPr>
          <w:rFonts w:hint="eastAsia" w:ascii="仿宋" w:hAnsi="仿宋" w:eastAsia="仿宋" w:cs="宋体"/>
          <w:color w:val="000000"/>
          <w:sz w:val="24"/>
          <w:szCs w:val="24"/>
        </w:rPr>
        <w:t>就是替代原则的具体体现。</w:t>
      </w:r>
    </w:p>
    <w:p>
      <w:pPr>
        <w:spacing w:line="460" w:lineRule="exac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5、最高最佳利用原则</w:t>
      </w:r>
    </w:p>
    <w:p>
      <w:pPr>
        <w:spacing w:line="460" w:lineRule="exac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最高最佳利用原则要求估价结果是在估价对象最高最佳利用状况下的价值或价格。最高最佳利用是指法律上允许、技术上可能、财务上可行并使价值最大的合理、可能的利用。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最高最佳利用是在法律法规、政策和出让合同等允许范围内，估价对象达到最佳集约度、最佳规模、最佳用途、最佳档次，在所有具有经济可行性的利用中，能够使估价对象的价值达到最大的利用。本次估价依据合法原则确定估价对象</w:t>
      </w:r>
      <w:r>
        <w:rPr>
          <w:rFonts w:hint="eastAsia" w:ascii="仿宋" w:hAnsi="仿宋" w:eastAsia="仿宋" w:cs="宋体"/>
          <w:color w:val="000000"/>
          <w:sz w:val="24"/>
          <w:szCs w:val="24"/>
          <w:lang w:eastAsia="zh-CN"/>
        </w:rPr>
        <w:t>《房产登记信息查询情况说明》</w:t>
      </w:r>
      <w:r>
        <w:rPr>
          <w:rFonts w:hint="eastAsia" w:ascii="仿宋" w:hAnsi="仿宋" w:eastAsia="仿宋" w:cs="宋体"/>
          <w:sz w:val="24"/>
          <w:szCs w:val="24"/>
        </w:rPr>
        <w:t>记载用途为最</w:t>
      </w:r>
      <w:r>
        <w:rPr>
          <w:rFonts w:hint="eastAsia" w:ascii="仿宋" w:hAnsi="仿宋" w:eastAsia="仿宋" w:cs="宋体"/>
          <w:color w:val="000000"/>
          <w:sz w:val="24"/>
          <w:szCs w:val="24"/>
        </w:rPr>
        <w:t>高最佳利用。</w:t>
      </w:r>
    </w:p>
    <w:p>
      <w:pPr>
        <w:pStyle w:val="3"/>
        <w:numPr>
          <w:ilvl w:val="0"/>
          <w:numId w:val="4"/>
        </w:numPr>
        <w:spacing w:line="440" w:lineRule="exact"/>
        <w:rPr>
          <w:rFonts w:ascii="仿宋" w:hAnsi="仿宋" w:eastAsia="仿宋" w:cs="宋体"/>
          <w:color w:val="000000"/>
          <w:sz w:val="24"/>
          <w:szCs w:val="24"/>
        </w:rPr>
      </w:pPr>
      <w:bookmarkStart w:id="47" w:name="_Toc7757"/>
      <w:r>
        <w:rPr>
          <w:rFonts w:hint="eastAsia" w:ascii="仿宋" w:hAnsi="仿宋" w:eastAsia="仿宋" w:cs="宋体"/>
          <w:color w:val="000000"/>
          <w:sz w:val="24"/>
          <w:szCs w:val="24"/>
        </w:rPr>
        <w:t>估价依据</w:t>
      </w:r>
      <w:bookmarkEnd w:id="40"/>
      <w:bookmarkEnd w:id="41"/>
      <w:bookmarkEnd w:id="42"/>
      <w:bookmarkEnd w:id="47"/>
    </w:p>
    <w:p>
      <w:pPr>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1、本次估价主要依据的法律、法规和政策性文件</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（1）《中华人民共和国物权法》；</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（2）《中华人民共和国城市房地产管理法》；</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（3）《中华人民共和国土地管理法》及其实施条例；</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（4）《中华人民共和国拍卖法》；</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（5）《中华人民共和国资产评估法》；</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（6）《城市房地产转让管理规定》（建设部令第96号）等相关法律法规；</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（7）</w:t>
      </w:r>
      <w:r>
        <w:rPr>
          <w:rFonts w:ascii="仿宋" w:hAnsi="仿宋" w:eastAsia="仿宋" w:cs="宋体"/>
          <w:color w:val="000000"/>
          <w:sz w:val="24"/>
          <w:szCs w:val="24"/>
        </w:rPr>
        <w:t>《司法鉴定程序通则》</w:t>
      </w:r>
      <w:r>
        <w:rPr>
          <w:rFonts w:hint="eastAsia" w:ascii="仿宋" w:hAnsi="仿宋" w:eastAsia="仿宋" w:cs="宋体"/>
          <w:color w:val="000000"/>
          <w:sz w:val="24"/>
          <w:szCs w:val="24"/>
        </w:rPr>
        <w:t>(司法部令第132号）</w:t>
      </w:r>
      <w:r>
        <w:rPr>
          <w:rFonts w:ascii="仿宋" w:hAnsi="仿宋" w:eastAsia="仿宋" w:cs="宋体"/>
          <w:color w:val="000000"/>
          <w:sz w:val="24"/>
          <w:szCs w:val="24"/>
        </w:rPr>
        <w:t>；</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（8）《最高人民法院关于人民法院委托评估拍卖工作的若干规定》（法释〔2011〕21号）；</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（9）《最高人民法院关于人民法院网络司法拍卖若干问题的规定》（法释〔2016〕18号）；</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（10）《最高人民法院关于人民法院民事执行中拍卖变卖财产的规定》（法释〔2004〕16号）；</w:t>
      </w:r>
    </w:p>
    <w:p>
      <w:pPr>
        <w:pStyle w:val="8"/>
        <w:spacing w:line="4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（11）《最高人民法院关于人民法院委托评估、拍卖和变卖工作的若干规定》（法释〔2009〕16号）。</w:t>
      </w:r>
    </w:p>
    <w:p>
      <w:pPr>
        <w:pStyle w:val="8"/>
        <w:spacing w:line="4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lang w:val="en-US" w:eastAsia="zh-CN"/>
        </w:rPr>
        <w:t>12</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《最高人民法院关于人民法院确定财产处置参考价若干问题的规定》（法释〔2018〕15号）</w:t>
      </w:r>
    </w:p>
    <w:p>
      <w:pPr>
        <w:pStyle w:val="8"/>
        <w:spacing w:line="4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lang w:val="en-US" w:eastAsia="zh-CN"/>
        </w:rPr>
        <w:t>13</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人民法院委托评估工作规范》</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法</w:t>
      </w:r>
      <w:r>
        <w:rPr>
          <w:rFonts w:hint="eastAsia" w:ascii="仿宋" w:hAnsi="仿宋" w:eastAsia="仿宋" w:cs="宋体"/>
          <w:color w:val="000000"/>
          <w:sz w:val="24"/>
          <w:szCs w:val="24"/>
          <w:lang w:eastAsia="zh-CN"/>
        </w:rPr>
        <w:t>办</w:t>
      </w:r>
      <w:r>
        <w:rPr>
          <w:rFonts w:hint="eastAsia" w:ascii="仿宋" w:hAnsi="仿宋" w:eastAsia="仿宋" w:cs="宋体"/>
          <w:color w:val="000000"/>
          <w:sz w:val="24"/>
          <w:szCs w:val="24"/>
        </w:rPr>
        <w:t>〔20</w:t>
      </w:r>
      <w:r>
        <w:rPr>
          <w:rFonts w:hint="eastAsia" w:ascii="仿宋" w:hAnsi="仿宋" w:eastAsia="仿宋" w:cs="宋体"/>
          <w:color w:val="000000"/>
          <w:sz w:val="24"/>
          <w:szCs w:val="24"/>
          <w:lang w:val="en-US" w:eastAsia="zh-CN"/>
        </w:rPr>
        <w:t>18</w:t>
      </w:r>
      <w:r>
        <w:rPr>
          <w:rFonts w:hint="eastAsia" w:ascii="仿宋" w:hAnsi="仿宋" w:eastAsia="仿宋" w:cs="宋体"/>
          <w:color w:val="000000"/>
          <w:sz w:val="24"/>
          <w:szCs w:val="24"/>
        </w:rPr>
        <w:t>〕</w:t>
      </w:r>
      <w:r>
        <w:rPr>
          <w:rFonts w:hint="eastAsia" w:ascii="仿宋" w:hAnsi="仿宋" w:eastAsia="仿宋" w:cs="宋体"/>
          <w:color w:val="000000"/>
          <w:sz w:val="24"/>
          <w:szCs w:val="24"/>
          <w:lang w:val="en-US" w:eastAsia="zh-CN"/>
        </w:rPr>
        <w:t>273</w:t>
      </w:r>
      <w:r>
        <w:rPr>
          <w:rFonts w:hint="eastAsia" w:ascii="仿宋" w:hAnsi="仿宋" w:eastAsia="仿宋" w:cs="宋体"/>
          <w:color w:val="000000"/>
          <w:sz w:val="24"/>
          <w:szCs w:val="24"/>
        </w:rPr>
        <w:t>号</w:t>
      </w:r>
      <w:r>
        <w:rPr>
          <w:rFonts w:hint="eastAsia" w:ascii="仿宋" w:hAnsi="仿宋" w:eastAsia="仿宋" w:cs="宋体"/>
          <w:color w:val="000000"/>
          <w:sz w:val="24"/>
          <w:szCs w:val="24"/>
          <w:lang w:eastAsia="zh-CN"/>
        </w:rPr>
        <w:t>）；</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2、本次估价主要依据的估价技术标准</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（1）《房地产估价规范》（GB/T50291-2015）；</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（2）《房地产估价基本术语标准》（GB/T50899-2013）；</w:t>
      </w:r>
    </w:p>
    <w:p>
      <w:pPr>
        <w:pStyle w:val="8"/>
        <w:spacing w:line="4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（3）《城镇土地估价规程》（GB/T18508-2014）；</w:t>
      </w:r>
    </w:p>
    <w:p>
      <w:pPr>
        <w:pStyle w:val="8"/>
        <w:spacing w:line="44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（4）《房地产司法鉴定评估指导意见》试行（</w:t>
      </w:r>
      <w:r>
        <w:rPr>
          <w:rFonts w:ascii="仿宋" w:hAnsi="仿宋" w:eastAsia="仿宋" w:cs="宋体"/>
          <w:color w:val="000000"/>
          <w:sz w:val="24"/>
          <w:szCs w:val="24"/>
        </w:rPr>
        <w:t>川建房发〔2011〕89号</w:t>
      </w:r>
      <w:r>
        <w:rPr>
          <w:rFonts w:hint="eastAsia" w:ascii="仿宋" w:hAnsi="仿宋" w:eastAsia="仿宋" w:cs="宋体"/>
          <w:color w:val="000000"/>
          <w:sz w:val="24"/>
          <w:szCs w:val="24"/>
        </w:rPr>
        <w:t>）</w:t>
      </w:r>
    </w:p>
    <w:p>
      <w:pPr>
        <w:pStyle w:val="8"/>
        <w:spacing w:line="440" w:lineRule="atLeast"/>
        <w:ind w:firstLine="480" w:firstLineChars="200"/>
        <w:rPr>
          <w:rFonts w:ascii="仿宋" w:hAnsi="仿宋" w:eastAsia="仿宋" w:cs="宋体"/>
          <w:sz w:val="24"/>
          <w:szCs w:val="24"/>
        </w:rPr>
      </w:pPr>
      <w:r>
        <w:rPr>
          <w:rFonts w:hint="eastAsia" w:ascii="仿宋" w:hAnsi="仿宋" w:eastAsia="仿宋" w:cs="宋体"/>
          <w:sz w:val="24"/>
          <w:szCs w:val="24"/>
        </w:rPr>
        <w:t>3、估价委托人提供的估价所需资料</w:t>
      </w:r>
    </w:p>
    <w:p>
      <w:pPr>
        <w:pStyle w:val="8"/>
        <w:spacing w:line="44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w:t>
      </w:r>
      <w:r>
        <w:rPr>
          <w:rFonts w:ascii="仿宋" w:hAnsi="仿宋" w:eastAsia="仿宋" w:cs="宋体"/>
          <w:color w:val="000000"/>
          <w:sz w:val="24"/>
          <w:szCs w:val="24"/>
        </w:rPr>
        <w:t>）</w:t>
      </w:r>
      <w:r>
        <w:rPr>
          <w:rFonts w:hint="eastAsia" w:ascii="仿宋" w:hAnsi="仿宋" w:eastAsia="仿宋" w:cs="宋体"/>
          <w:color w:val="000000"/>
          <w:sz w:val="24"/>
          <w:szCs w:val="24"/>
        </w:rPr>
        <w:t>《</w:t>
      </w:r>
      <w:r>
        <w:rPr>
          <w:rFonts w:hint="eastAsia" w:ascii="仿宋" w:hAnsi="仿宋" w:eastAsia="仿宋" w:cs="宋体"/>
          <w:color w:val="000000"/>
          <w:sz w:val="24"/>
          <w:szCs w:val="24"/>
          <w:lang w:eastAsia="zh-CN"/>
        </w:rPr>
        <w:t>四川省富顺县人民法院</w:t>
      </w:r>
      <w:r>
        <w:rPr>
          <w:rFonts w:hint="eastAsia" w:ascii="仿宋" w:hAnsi="仿宋" w:eastAsia="仿宋" w:cs="宋体"/>
          <w:color w:val="000000"/>
          <w:sz w:val="24"/>
          <w:szCs w:val="24"/>
        </w:rPr>
        <w:t>委托书》复印件；</w:t>
      </w:r>
    </w:p>
    <w:p>
      <w:pPr>
        <w:pStyle w:val="8"/>
        <w:spacing w:line="440" w:lineRule="atLeast"/>
        <w:ind w:left="1199" w:leftChars="228" w:hanging="720" w:hangingChars="300"/>
        <w:rPr>
          <w:rFonts w:ascii="仿宋" w:hAnsi="仿宋" w:eastAsia="仿宋" w:cs="宋体"/>
          <w:color w:val="000000"/>
          <w:sz w:val="24"/>
          <w:szCs w:val="24"/>
        </w:rPr>
      </w:pPr>
      <w:r>
        <w:rPr>
          <w:rFonts w:hint="eastAsia" w:ascii="仿宋" w:hAnsi="仿宋" w:eastAsia="仿宋" w:cs="宋体"/>
          <w:color w:val="000000"/>
          <w:sz w:val="24"/>
          <w:szCs w:val="24"/>
        </w:rPr>
        <w:t>（2）</w:t>
      </w:r>
      <w:r>
        <w:rPr>
          <w:rFonts w:hint="eastAsia" w:ascii="仿宋" w:hAnsi="仿宋" w:eastAsia="仿宋" w:cs="宋体"/>
          <w:color w:val="000000"/>
          <w:sz w:val="24"/>
          <w:szCs w:val="24"/>
          <w:lang w:eastAsia="zh-CN"/>
        </w:rPr>
        <w:t>《房产登记信息查询情况说明》</w:t>
      </w:r>
      <w:r>
        <w:rPr>
          <w:rFonts w:hint="eastAsia" w:ascii="仿宋" w:hAnsi="仿宋" w:eastAsia="仿宋" w:cs="宋体"/>
          <w:color w:val="000000"/>
          <w:sz w:val="24"/>
          <w:szCs w:val="24"/>
        </w:rPr>
        <w:t>复印件；</w:t>
      </w:r>
    </w:p>
    <w:p>
      <w:pPr>
        <w:pStyle w:val="8"/>
        <w:spacing w:line="44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4、估价机构和注册房地产估价师掌握和搜集的估价所需资料</w:t>
      </w:r>
    </w:p>
    <w:p>
      <w:pPr>
        <w:pStyle w:val="8"/>
        <w:spacing w:line="44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（1）估价人员实地查勘及估价机构和估价人员掌握的相关信息资料；</w:t>
      </w:r>
    </w:p>
    <w:p>
      <w:pPr>
        <w:pStyle w:val="8"/>
        <w:spacing w:line="44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（2）估价对象所在区位的房地产市场状况、同类房地产市场交易等数据资料。</w:t>
      </w:r>
    </w:p>
    <w:p>
      <w:pPr>
        <w:pStyle w:val="3"/>
        <w:spacing w:line="440" w:lineRule="atLeast"/>
        <w:rPr>
          <w:rFonts w:hint="eastAsia" w:ascii="仿宋" w:hAnsi="仿宋" w:eastAsia="仿宋" w:cs="宋体"/>
          <w:color w:val="000000"/>
          <w:sz w:val="24"/>
          <w:szCs w:val="24"/>
        </w:rPr>
      </w:pPr>
      <w:bookmarkStart w:id="48" w:name="_Toc320276201"/>
      <w:bookmarkStart w:id="49" w:name="_Toc320184512"/>
      <w:bookmarkStart w:id="50" w:name="_Toc320173782"/>
      <w:bookmarkStart w:id="51" w:name="_Toc26305"/>
      <w:r>
        <w:rPr>
          <w:rFonts w:hint="eastAsia" w:ascii="仿宋" w:hAnsi="仿宋" w:eastAsia="仿宋" w:cs="宋体"/>
          <w:color w:val="000000"/>
          <w:sz w:val="24"/>
          <w:szCs w:val="24"/>
        </w:rPr>
        <w:t>九、估价方法</w:t>
      </w:r>
      <w:bookmarkEnd w:id="48"/>
      <w:bookmarkEnd w:id="49"/>
      <w:bookmarkEnd w:id="50"/>
      <w:bookmarkEnd w:id="51"/>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宋体"/>
          <w:color w:val="000000"/>
          <w:sz w:val="24"/>
          <w:szCs w:val="24"/>
        </w:rPr>
        <w:t>本次估价对象共计</w:t>
      </w:r>
      <w:r>
        <w:rPr>
          <w:rFonts w:hint="eastAsia" w:ascii="仿宋" w:hAnsi="仿宋" w:eastAsia="仿宋" w:cs="宋体"/>
          <w:color w:val="000000"/>
          <w:sz w:val="24"/>
          <w:szCs w:val="24"/>
          <w:lang w:val="en-US" w:eastAsia="zh-CN"/>
        </w:rPr>
        <w:t>3套住宅</w:t>
      </w:r>
      <w:r>
        <w:rPr>
          <w:rFonts w:hint="eastAsia" w:ascii="仿宋" w:hAnsi="仿宋" w:eastAsia="仿宋" w:cs="宋体"/>
          <w:color w:val="000000"/>
          <w:sz w:val="24"/>
          <w:szCs w:val="24"/>
        </w:rPr>
        <w:t>房地产，均位于同一</w:t>
      </w:r>
      <w:r>
        <w:rPr>
          <w:rFonts w:hint="eastAsia" w:ascii="仿宋" w:hAnsi="仿宋" w:eastAsia="仿宋" w:cs="宋体"/>
          <w:color w:val="000000"/>
          <w:sz w:val="24"/>
          <w:szCs w:val="24"/>
          <w:lang w:val="en-US" w:eastAsia="zh-CN"/>
        </w:rPr>
        <w:t>栋</w:t>
      </w:r>
      <w:r>
        <w:rPr>
          <w:rFonts w:hint="eastAsia" w:ascii="仿宋" w:hAnsi="仿宋" w:eastAsia="仿宋" w:cs="宋体"/>
          <w:color w:val="000000"/>
          <w:sz w:val="24"/>
          <w:szCs w:val="24"/>
        </w:rPr>
        <w:t>楼，故我们选取</w:t>
      </w:r>
      <w:r>
        <w:rPr>
          <w:rFonts w:hint="eastAsia" w:ascii="仿宋" w:hAnsi="仿宋" w:eastAsia="仿宋" w:cs="宋体"/>
          <w:color w:val="000000"/>
          <w:sz w:val="24"/>
          <w:szCs w:val="24"/>
          <w:lang w:val="en-US" w:eastAsia="zh-CN"/>
        </w:rPr>
        <w:t>估价对象1</w:t>
      </w:r>
      <w:r>
        <w:rPr>
          <w:rFonts w:hint="eastAsia" w:ascii="仿宋" w:hAnsi="仿宋" w:eastAsia="仿宋" w:cs="宋体"/>
          <w:color w:val="000000"/>
          <w:sz w:val="24"/>
          <w:szCs w:val="24"/>
        </w:rPr>
        <w:t>作为</w:t>
      </w:r>
      <w:r>
        <w:rPr>
          <w:rFonts w:hint="eastAsia" w:ascii="仿宋" w:hAnsi="仿宋" w:eastAsia="仿宋" w:cs="宋体"/>
          <w:color w:val="000000"/>
          <w:sz w:val="24"/>
          <w:szCs w:val="24"/>
          <w:lang w:val="en-US" w:eastAsia="zh-CN"/>
        </w:rPr>
        <w:t>估价对象1-3的</w:t>
      </w:r>
      <w:r>
        <w:rPr>
          <w:rFonts w:hint="eastAsia" w:ascii="仿宋" w:hAnsi="仿宋" w:eastAsia="仿宋" w:cs="宋体"/>
          <w:color w:val="000000"/>
          <w:sz w:val="24"/>
          <w:szCs w:val="24"/>
        </w:rPr>
        <w:t>样本点</w:t>
      </w:r>
      <w:r>
        <w:rPr>
          <w:rFonts w:hint="eastAsia" w:ascii="仿宋" w:hAnsi="仿宋" w:eastAsia="仿宋" w:cs="宋体"/>
          <w:color w:val="000000"/>
          <w:sz w:val="24"/>
          <w:szCs w:val="24"/>
          <w:lang w:eastAsia="zh-CN"/>
        </w:rPr>
        <w:t>。</w:t>
      </w:r>
    </w:p>
    <w:p>
      <w:pPr>
        <w:spacing w:line="440" w:lineRule="atLeast"/>
        <w:ind w:firstLine="600" w:firstLineChars="250"/>
        <w:jc w:val="left"/>
        <w:rPr>
          <w:rFonts w:ascii="仿宋" w:hAnsi="仿宋" w:eastAsia="仿宋" w:cs="宋体"/>
          <w:color w:val="000000"/>
          <w:sz w:val="24"/>
          <w:szCs w:val="24"/>
        </w:rPr>
      </w:pPr>
      <w:r>
        <w:rPr>
          <w:rFonts w:hint="eastAsia" w:ascii="仿宋" w:hAnsi="仿宋" w:eastAsia="仿宋" w:cs="宋体"/>
          <w:color w:val="000000"/>
          <w:sz w:val="24"/>
          <w:szCs w:val="24"/>
        </w:rPr>
        <w:t>1、估价方法选择</w:t>
      </w:r>
    </w:p>
    <w:p>
      <w:pPr>
        <w:autoSpaceDE w:val="0"/>
        <w:autoSpaceDN w:val="0"/>
        <w:adjustRightInd w:val="0"/>
        <w:spacing w:line="440" w:lineRule="atLeast"/>
        <w:ind w:firstLine="480"/>
        <w:rPr>
          <w:rFonts w:ascii="仿宋" w:hAnsi="仿宋" w:eastAsia="仿宋" w:cs="仿宋"/>
          <w:sz w:val="24"/>
          <w:szCs w:val="24"/>
        </w:rPr>
      </w:pPr>
      <w:r>
        <w:rPr>
          <w:rFonts w:hint="eastAsia" w:ascii="仿宋" w:hAnsi="仿宋" w:eastAsia="仿宋" w:cs="宋体"/>
          <w:color w:val="000000"/>
          <w:sz w:val="24"/>
          <w:szCs w:val="24"/>
        </w:rPr>
        <w:t>根据GB/T50291-2015《房地产估价规范》，估价方法通常有比较法、成本法、收益法、假设开发法、以及基准地价修正法等其他估价方法。根据估价委托人提供的资料、估价目的和估价对象特点，估价人员在认真分析所掌握的资料并进行了实地查勘，针对本次估价对象为住宅用途房地产，结合对房地产估价的方法进行适应性分析后，</w:t>
      </w:r>
      <w:r>
        <w:rPr>
          <w:rFonts w:hint="eastAsia" w:ascii="仿宋" w:hAnsi="仿宋" w:eastAsia="仿宋" w:cs="宋体"/>
          <w:sz w:val="24"/>
          <w:szCs w:val="24"/>
        </w:rPr>
        <w:t>确定采用比较法作为本次估价方法，其理由</w:t>
      </w:r>
      <w:r>
        <w:rPr>
          <w:rFonts w:hint="eastAsia" w:ascii="仿宋" w:hAnsi="仿宋" w:eastAsia="仿宋" w:cs="仿宋"/>
          <w:sz w:val="24"/>
          <w:szCs w:val="24"/>
        </w:rPr>
        <w:t>为：</w:t>
      </w:r>
    </w:p>
    <w:p>
      <w:pPr>
        <w:autoSpaceDE w:val="0"/>
        <w:autoSpaceDN w:val="0"/>
        <w:adjustRightInd w:val="0"/>
        <w:spacing w:line="440" w:lineRule="atLeast"/>
        <w:ind w:firstLine="480"/>
        <w:rPr>
          <w:rFonts w:ascii="仿宋" w:hAnsi="仿宋" w:eastAsia="仿宋" w:cs="仿宋"/>
          <w:color w:val="000000"/>
          <w:sz w:val="24"/>
          <w:szCs w:val="24"/>
        </w:rPr>
      </w:pPr>
      <w:r>
        <w:rPr>
          <w:rFonts w:hint="eastAsia" w:ascii="仿宋" w:hAnsi="仿宋" w:eastAsia="仿宋" w:cs="仿宋"/>
          <w:color w:val="000000"/>
          <w:sz w:val="24"/>
          <w:szCs w:val="24"/>
        </w:rPr>
        <w:t>估价对象所处区域为</w:t>
      </w:r>
      <w:r>
        <w:rPr>
          <w:rFonts w:hint="eastAsia" w:ascii="仿宋" w:hAnsi="仿宋" w:eastAsia="仿宋" w:cs="仿宋"/>
          <w:color w:val="000000"/>
          <w:sz w:val="24"/>
          <w:szCs w:val="24"/>
          <w:lang w:val="en-US" w:eastAsia="zh-CN"/>
        </w:rPr>
        <w:t>富顺县龙万乡</w:t>
      </w:r>
      <w:r>
        <w:rPr>
          <w:rFonts w:hint="eastAsia" w:ascii="仿宋" w:hAnsi="仿宋" w:eastAsia="仿宋" w:cs="仿宋"/>
          <w:color w:val="000000"/>
          <w:sz w:val="24"/>
          <w:szCs w:val="24"/>
        </w:rPr>
        <w:t>，房地产市场信息相对丰富齐全，市场发展相对成熟，同一供需圈的同类型房地产成交记录和楼盘个案较多，运用比较法能充分体现其客观市场价值，故本次估价选用比较法为最优最佳方法。</w:t>
      </w:r>
    </w:p>
    <w:p>
      <w:pPr>
        <w:autoSpaceDE w:val="0"/>
        <w:autoSpaceDN w:val="0"/>
        <w:adjustRightInd w:val="0"/>
        <w:snapToGrid w:val="0"/>
        <w:spacing w:line="480" w:lineRule="exact"/>
        <w:ind w:firstLine="480"/>
        <w:rPr>
          <w:rFonts w:ascii="仿宋" w:hAnsi="仿宋" w:eastAsia="仿宋" w:cs="仿宋"/>
          <w:bCs/>
          <w:sz w:val="24"/>
          <w:szCs w:val="24"/>
        </w:rPr>
      </w:pPr>
      <w:r>
        <w:rPr>
          <w:rFonts w:hint="eastAsia" w:ascii="仿宋" w:hAnsi="仿宋" w:eastAsia="仿宋" w:cs="仿宋"/>
          <w:bCs/>
          <w:sz w:val="24"/>
          <w:szCs w:val="24"/>
        </w:rPr>
        <w:t>住宅房地产的租赁案例是普遍存在的，但租金与售价倒挂现象比较严重，采用收益法求取的结果可能与市场价格存在较大偏离，因此对住宅一般不采用收益法。</w:t>
      </w:r>
    </w:p>
    <w:p>
      <w:pPr>
        <w:autoSpaceDE w:val="0"/>
        <w:autoSpaceDN w:val="0"/>
        <w:adjustRightInd w:val="0"/>
        <w:snapToGrid w:val="0"/>
        <w:spacing w:line="480" w:lineRule="exact"/>
        <w:ind w:firstLine="482"/>
        <w:rPr>
          <w:rFonts w:ascii="仿宋" w:hAnsi="仿宋" w:eastAsia="仿宋" w:cs="仿宋"/>
          <w:bCs/>
          <w:sz w:val="24"/>
          <w:szCs w:val="24"/>
        </w:rPr>
      </w:pPr>
      <w:r>
        <w:rPr>
          <w:rFonts w:hint="eastAsia" w:ascii="仿宋" w:hAnsi="仿宋" w:eastAsia="仿宋" w:cs="宋体"/>
          <w:color w:val="000000"/>
          <w:sz w:val="24"/>
          <w:szCs w:val="24"/>
          <w:u w:val="none"/>
        </w:rPr>
        <w:t>成本法一般适用于评估那些可独立开发建设的整体房地产的价值，而估价对象仅为所在</w:t>
      </w:r>
      <w:r>
        <w:rPr>
          <w:rFonts w:hint="eastAsia" w:ascii="仿宋" w:hAnsi="仿宋" w:eastAsia="仿宋" w:cs="宋体"/>
          <w:color w:val="000000"/>
          <w:sz w:val="24"/>
          <w:szCs w:val="24"/>
          <w:u w:val="none"/>
          <w:lang w:val="en-US" w:eastAsia="zh-CN"/>
        </w:rPr>
        <w:t>项目</w:t>
      </w:r>
      <w:r>
        <w:rPr>
          <w:rFonts w:hint="eastAsia" w:ascii="仿宋" w:hAnsi="仿宋" w:eastAsia="仿宋" w:cs="宋体"/>
          <w:color w:val="000000"/>
          <w:sz w:val="24"/>
          <w:szCs w:val="24"/>
          <w:u w:val="none"/>
        </w:rPr>
        <w:t>单套</w:t>
      </w:r>
      <w:r>
        <w:rPr>
          <w:rFonts w:hint="eastAsia" w:ascii="仿宋" w:hAnsi="仿宋" w:eastAsia="仿宋" w:cs="宋体"/>
          <w:color w:val="000000"/>
          <w:sz w:val="24"/>
          <w:szCs w:val="24"/>
          <w:u w:val="none"/>
          <w:lang w:val="en-US" w:eastAsia="zh-CN"/>
        </w:rPr>
        <w:t>住宅</w:t>
      </w:r>
      <w:r>
        <w:rPr>
          <w:rFonts w:hint="eastAsia" w:ascii="仿宋" w:hAnsi="仿宋" w:eastAsia="仿宋" w:cs="宋体"/>
          <w:color w:val="000000"/>
          <w:sz w:val="24"/>
          <w:szCs w:val="24"/>
          <w:u w:val="none"/>
        </w:rPr>
        <w:t>用房，所在项目建设相关资料难以查询搜集，无法估算该项目单位面积平均价值，进而无法在此基础上进行楼幢、楼层、朝向、</w:t>
      </w:r>
      <w:r>
        <w:rPr>
          <w:rFonts w:hint="eastAsia" w:ascii="仿宋" w:hAnsi="仿宋" w:eastAsia="仿宋" w:cs="宋体"/>
          <w:color w:val="000000"/>
          <w:sz w:val="24"/>
          <w:szCs w:val="24"/>
          <w:u w:val="none"/>
          <w:lang w:val="en-US" w:eastAsia="zh-CN"/>
        </w:rPr>
        <w:t>装饰</w:t>
      </w:r>
      <w:r>
        <w:rPr>
          <w:rFonts w:hint="eastAsia" w:ascii="仿宋" w:hAnsi="仿宋" w:eastAsia="仿宋" w:cs="宋体"/>
          <w:color w:val="000000"/>
          <w:sz w:val="24"/>
          <w:szCs w:val="24"/>
          <w:u w:val="none"/>
        </w:rPr>
        <w:t>装修、面积等因素调整后得到该套</w:t>
      </w:r>
      <w:r>
        <w:rPr>
          <w:rFonts w:hint="eastAsia" w:ascii="仿宋" w:hAnsi="仿宋" w:eastAsia="仿宋" w:cs="宋体"/>
          <w:color w:val="000000"/>
          <w:sz w:val="24"/>
          <w:szCs w:val="24"/>
          <w:u w:val="none"/>
          <w:lang w:val="en-US" w:eastAsia="zh-CN"/>
        </w:rPr>
        <w:t>住宅</w:t>
      </w:r>
      <w:r>
        <w:rPr>
          <w:rFonts w:hint="eastAsia" w:ascii="仿宋" w:hAnsi="仿宋" w:eastAsia="仿宋" w:cs="宋体"/>
          <w:color w:val="000000"/>
          <w:sz w:val="24"/>
          <w:szCs w:val="24"/>
          <w:u w:val="none"/>
        </w:rPr>
        <w:t>用房的价值，故不宜采用成本法。</w:t>
      </w:r>
    </w:p>
    <w:p>
      <w:pPr>
        <w:autoSpaceDE w:val="0"/>
        <w:autoSpaceDN w:val="0"/>
        <w:adjustRightInd w:val="0"/>
        <w:snapToGrid w:val="0"/>
        <w:spacing w:line="480" w:lineRule="exact"/>
        <w:ind w:firstLine="482"/>
        <w:rPr>
          <w:rFonts w:ascii="仿宋" w:hAnsi="仿宋" w:eastAsia="仿宋" w:cs="仿宋"/>
          <w:bCs/>
          <w:sz w:val="24"/>
          <w:szCs w:val="24"/>
        </w:rPr>
      </w:pPr>
      <w:r>
        <w:rPr>
          <w:rFonts w:hint="eastAsia" w:ascii="仿宋" w:hAnsi="仿宋" w:eastAsia="仿宋" w:cs="仿宋"/>
          <w:bCs/>
          <w:sz w:val="24"/>
          <w:szCs w:val="24"/>
        </w:rPr>
        <w:t>估价对象属于建成并投入使用的物业，非待开发建设物业，不产生后续开发成本，故不适宜采用假设开发法进行估价。</w:t>
      </w:r>
    </w:p>
    <w:p>
      <w:pPr>
        <w:autoSpaceDE w:val="0"/>
        <w:autoSpaceDN w:val="0"/>
        <w:adjustRightInd w:val="0"/>
        <w:snapToGrid w:val="0"/>
        <w:spacing w:line="480" w:lineRule="exact"/>
        <w:ind w:firstLine="480"/>
        <w:rPr>
          <w:rFonts w:ascii="仿宋" w:hAnsi="仿宋" w:eastAsia="仿宋" w:cs="仿宋"/>
          <w:bCs/>
          <w:sz w:val="24"/>
          <w:szCs w:val="24"/>
        </w:rPr>
      </w:pPr>
      <w:r>
        <w:rPr>
          <w:rFonts w:hint="eastAsia" w:ascii="仿宋" w:hAnsi="仿宋" w:eastAsia="仿宋" w:cs="仿宋"/>
          <w:bCs/>
          <w:sz w:val="24"/>
          <w:szCs w:val="24"/>
        </w:rPr>
        <w:t>估价对象为已建成房地产而非宗地地价估价，故不宜采用基准地价修正法进行估价。</w:t>
      </w:r>
    </w:p>
    <w:p>
      <w:pPr>
        <w:autoSpaceDE w:val="0"/>
        <w:autoSpaceDN w:val="0"/>
        <w:adjustRightInd w:val="0"/>
        <w:spacing w:line="440" w:lineRule="atLeast"/>
        <w:ind w:firstLine="480"/>
        <w:rPr>
          <w:rFonts w:ascii="仿宋" w:hAnsi="仿宋" w:eastAsia="仿宋" w:cs="仿宋"/>
          <w:color w:val="000000"/>
          <w:sz w:val="24"/>
          <w:szCs w:val="24"/>
        </w:rPr>
      </w:pPr>
      <w:r>
        <w:rPr>
          <w:rFonts w:hint="eastAsia" w:ascii="仿宋" w:hAnsi="仿宋" w:eastAsia="仿宋" w:cs="仿宋"/>
          <w:color w:val="000000"/>
          <w:sz w:val="24"/>
          <w:szCs w:val="24"/>
        </w:rPr>
        <w:t>2、估价方法定义</w:t>
      </w:r>
    </w:p>
    <w:p>
      <w:pPr>
        <w:autoSpaceDE w:val="0"/>
        <w:autoSpaceDN w:val="0"/>
        <w:adjustRightInd w:val="0"/>
        <w:spacing w:line="440" w:lineRule="atLeast"/>
        <w:ind w:firstLine="48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autoSpaceDE w:val="0"/>
        <w:autoSpaceDN w:val="0"/>
        <w:adjustRightInd w:val="0"/>
        <w:spacing w:line="440" w:lineRule="exact"/>
        <w:ind w:firstLine="480"/>
        <w:rPr>
          <w:rFonts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sz w:val="24"/>
          <w:szCs w:val="24"/>
        </w:rPr>
        <w:t>估价参数及测算过程</w:t>
      </w:r>
    </w:p>
    <w:p>
      <w:pPr>
        <w:spacing w:line="480" w:lineRule="exact"/>
        <w:ind w:firstLine="480" w:firstLineChars="200"/>
        <w:rPr>
          <w:rFonts w:ascii="仿宋" w:hAnsi="仿宋" w:eastAsia="仿宋" w:cs="仿宋"/>
          <w:sz w:val="24"/>
          <w:szCs w:val="24"/>
        </w:rPr>
      </w:pPr>
      <w:r>
        <w:rPr>
          <w:rFonts w:hint="eastAsia" w:ascii="仿宋" w:hAnsi="仿宋" w:eastAsia="仿宋" w:cs="宋体"/>
          <w:color w:val="000000"/>
          <w:sz w:val="24"/>
          <w:szCs w:val="24"/>
          <w:lang w:val="zh-CN"/>
        </w:rPr>
        <w:t>比较法：在估价对象的同一供需圈内根据估价目的，选择与估价对象房地产相似、交易方式适合、成交日期与价值时点相近、成交价格尽量为正常价格的三个类似房地产作为可比实例，在建立比较基础后价格的基础上，进行了交易情况修正、市场状况和房地产状况调整后采用算术平均</w:t>
      </w:r>
      <w:r>
        <w:rPr>
          <w:rFonts w:hint="eastAsia" w:ascii="仿宋" w:hAnsi="仿宋" w:eastAsia="仿宋" w:cs="宋体"/>
          <w:color w:val="000000"/>
          <w:sz w:val="24"/>
          <w:szCs w:val="24"/>
        </w:rPr>
        <w:t>法</w:t>
      </w:r>
      <w:r>
        <w:rPr>
          <w:rFonts w:hint="eastAsia" w:ascii="仿宋" w:hAnsi="仿宋" w:eastAsia="仿宋" w:cs="宋体"/>
          <w:color w:val="000000"/>
          <w:sz w:val="24"/>
          <w:szCs w:val="24"/>
          <w:lang w:val="zh-CN"/>
        </w:rPr>
        <w:t>得出估价对象</w:t>
      </w:r>
      <w:r>
        <w:rPr>
          <w:rFonts w:hint="eastAsia" w:ascii="仿宋" w:hAnsi="仿宋" w:eastAsia="仿宋" w:cs="宋体"/>
          <w:color w:val="000000"/>
          <w:sz w:val="24"/>
          <w:szCs w:val="24"/>
          <w:lang w:val="en-US" w:eastAsia="zh-CN"/>
        </w:rPr>
        <w:t>1</w:t>
      </w:r>
      <w:r>
        <w:rPr>
          <w:rFonts w:hint="eastAsia" w:ascii="仿宋" w:hAnsi="仿宋" w:eastAsia="仿宋" w:cs="宋体"/>
          <w:color w:val="000000"/>
          <w:sz w:val="24"/>
          <w:szCs w:val="24"/>
          <w:lang w:val="zh-CN"/>
        </w:rPr>
        <w:t>的比较价值为</w:t>
      </w:r>
      <w:r>
        <w:rPr>
          <w:rFonts w:hint="eastAsia" w:ascii="仿宋" w:hAnsi="仿宋" w:eastAsia="仿宋" w:cs="宋体"/>
          <w:color w:val="000000"/>
          <w:sz w:val="24"/>
          <w:szCs w:val="24"/>
          <w:lang w:val="en-US" w:eastAsia="zh-CN"/>
        </w:rPr>
        <w:t>2885</w:t>
      </w:r>
      <w:r>
        <w:rPr>
          <w:rFonts w:hint="eastAsia" w:ascii="仿宋" w:hAnsi="仿宋" w:eastAsia="仿宋" w:cs="宋体"/>
          <w:color w:val="000000"/>
          <w:sz w:val="24"/>
          <w:szCs w:val="24"/>
          <w:lang w:val="zh-CN"/>
        </w:rPr>
        <w:t>元/㎡。</w:t>
      </w:r>
    </w:p>
    <w:p>
      <w:pPr>
        <w:pStyle w:val="3"/>
        <w:spacing w:line="440" w:lineRule="exact"/>
        <w:rPr>
          <w:rFonts w:ascii="仿宋" w:hAnsi="仿宋" w:eastAsia="仿宋" w:cs="宋体"/>
          <w:color w:val="000000"/>
          <w:sz w:val="24"/>
          <w:szCs w:val="24"/>
        </w:rPr>
      </w:pPr>
      <w:bookmarkStart w:id="52" w:name="_Toc6399"/>
      <w:r>
        <w:rPr>
          <w:rFonts w:hint="eastAsia" w:ascii="仿宋" w:hAnsi="仿宋" w:eastAsia="仿宋" w:cs="宋体"/>
          <w:color w:val="000000"/>
          <w:sz w:val="24"/>
          <w:szCs w:val="24"/>
        </w:rPr>
        <w:t>十、估价结</w:t>
      </w:r>
      <w:bookmarkEnd w:id="43"/>
      <w:bookmarkEnd w:id="44"/>
      <w:bookmarkEnd w:id="45"/>
      <w:r>
        <w:rPr>
          <w:rFonts w:hint="eastAsia" w:ascii="仿宋" w:hAnsi="仿宋" w:eastAsia="仿宋" w:cs="宋体"/>
          <w:color w:val="000000"/>
          <w:sz w:val="24"/>
          <w:szCs w:val="24"/>
        </w:rPr>
        <w:t>果</w:t>
      </w:r>
      <w:bookmarkEnd w:id="52"/>
      <w:bookmarkStart w:id="53" w:name="_Toc320276204"/>
      <w:bookmarkStart w:id="54" w:name="_Toc320173785"/>
      <w:bookmarkStart w:id="55" w:name="_Toc320184515"/>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1、市场价值的确定</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宋体"/>
          <w:color w:val="000000"/>
          <w:sz w:val="24"/>
          <w:szCs w:val="24"/>
        </w:rPr>
        <w:t>本次估价对象共计</w:t>
      </w:r>
      <w:r>
        <w:rPr>
          <w:rFonts w:hint="eastAsia" w:ascii="仿宋" w:hAnsi="仿宋" w:eastAsia="仿宋" w:cs="宋体"/>
          <w:color w:val="000000"/>
          <w:sz w:val="24"/>
          <w:szCs w:val="24"/>
          <w:lang w:val="en-US" w:eastAsia="zh-CN"/>
        </w:rPr>
        <w:t>3套住宅</w:t>
      </w:r>
      <w:r>
        <w:rPr>
          <w:rFonts w:hint="eastAsia" w:ascii="仿宋" w:hAnsi="仿宋" w:eastAsia="仿宋" w:cs="宋体"/>
          <w:color w:val="000000"/>
          <w:sz w:val="24"/>
          <w:szCs w:val="24"/>
        </w:rPr>
        <w:t>房地产，均位于同一</w:t>
      </w:r>
      <w:r>
        <w:rPr>
          <w:rFonts w:hint="eastAsia" w:ascii="仿宋" w:hAnsi="仿宋" w:eastAsia="仿宋" w:cs="宋体"/>
          <w:color w:val="000000"/>
          <w:sz w:val="24"/>
          <w:szCs w:val="24"/>
          <w:lang w:val="en-US" w:eastAsia="zh-CN"/>
        </w:rPr>
        <w:t>栋</w:t>
      </w:r>
      <w:r>
        <w:rPr>
          <w:rFonts w:hint="eastAsia" w:ascii="仿宋" w:hAnsi="仿宋" w:eastAsia="仿宋" w:cs="宋体"/>
          <w:color w:val="000000"/>
          <w:sz w:val="24"/>
          <w:szCs w:val="24"/>
        </w:rPr>
        <w:t>楼，</w:t>
      </w:r>
      <w:r>
        <w:rPr>
          <w:rFonts w:hint="eastAsia" w:ascii="仿宋" w:hAnsi="仿宋" w:eastAsia="仿宋" w:cs="宋体"/>
          <w:color w:val="000000"/>
          <w:sz w:val="24"/>
          <w:szCs w:val="24"/>
          <w:lang w:val="en-US" w:eastAsia="zh-CN"/>
        </w:rPr>
        <w:t>区位状况和实物状况相似，</w:t>
      </w:r>
      <w:r>
        <w:rPr>
          <w:rFonts w:hint="eastAsia" w:ascii="仿宋" w:hAnsi="仿宋" w:eastAsia="仿宋" w:cs="宋体"/>
          <w:color w:val="000000"/>
          <w:sz w:val="24"/>
          <w:szCs w:val="24"/>
        </w:rPr>
        <w:t>故我们选取</w:t>
      </w:r>
      <w:r>
        <w:rPr>
          <w:rFonts w:hint="eastAsia" w:ascii="仿宋" w:hAnsi="仿宋" w:eastAsia="仿宋" w:cs="宋体"/>
          <w:color w:val="000000"/>
          <w:sz w:val="24"/>
          <w:szCs w:val="24"/>
          <w:lang w:val="en-US" w:eastAsia="zh-CN"/>
        </w:rPr>
        <w:t>估价对象1</w:t>
      </w:r>
      <w:r>
        <w:rPr>
          <w:rFonts w:hint="eastAsia" w:ascii="仿宋" w:hAnsi="仿宋" w:eastAsia="仿宋" w:cs="宋体"/>
          <w:color w:val="000000"/>
          <w:sz w:val="24"/>
          <w:szCs w:val="24"/>
        </w:rPr>
        <w:t>作为</w:t>
      </w:r>
      <w:r>
        <w:rPr>
          <w:rFonts w:hint="eastAsia" w:ascii="仿宋" w:hAnsi="仿宋" w:eastAsia="仿宋" w:cs="宋体"/>
          <w:color w:val="000000"/>
          <w:sz w:val="24"/>
          <w:szCs w:val="24"/>
          <w:lang w:val="en-US" w:eastAsia="zh-CN"/>
        </w:rPr>
        <w:t>估价对象1-3的</w:t>
      </w:r>
      <w:r>
        <w:rPr>
          <w:rFonts w:hint="eastAsia" w:ascii="仿宋" w:hAnsi="仿宋" w:eastAsia="仿宋" w:cs="宋体"/>
          <w:color w:val="000000"/>
          <w:sz w:val="24"/>
          <w:szCs w:val="24"/>
        </w:rPr>
        <w:t>样本点</w:t>
      </w:r>
      <w:r>
        <w:rPr>
          <w:rFonts w:hint="eastAsia" w:ascii="仿宋" w:hAnsi="仿宋" w:eastAsia="仿宋" w:cs="宋体"/>
          <w:color w:val="000000"/>
          <w:sz w:val="24"/>
          <w:szCs w:val="24"/>
          <w:lang w:eastAsia="zh-CN"/>
        </w:rPr>
        <w:t>。</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本次估价采用</w:t>
      </w:r>
      <w:r>
        <w:rPr>
          <w:rFonts w:hint="eastAsia" w:ascii="仿宋" w:hAnsi="仿宋" w:eastAsia="仿宋" w:cs="仿宋"/>
          <w:color w:val="auto"/>
          <w:sz w:val="24"/>
          <w:szCs w:val="24"/>
          <w:lang w:eastAsia="zh-CN"/>
        </w:rPr>
        <w:t>比较法</w:t>
      </w:r>
      <w:r>
        <w:rPr>
          <w:rFonts w:hint="eastAsia" w:ascii="仿宋" w:hAnsi="仿宋" w:eastAsia="仿宋" w:cs="仿宋"/>
          <w:color w:val="auto"/>
          <w:sz w:val="24"/>
          <w:szCs w:val="24"/>
        </w:rPr>
        <w:t>求取估价对象</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市场价值技术路线，我们认为，测算出的上述初步结果</w:t>
      </w:r>
      <w:r>
        <w:rPr>
          <w:rFonts w:hint="eastAsia" w:ascii="仿宋" w:hAnsi="仿宋" w:eastAsia="仿宋" w:cs="仿宋"/>
          <w:color w:val="auto"/>
          <w:sz w:val="24"/>
          <w:szCs w:val="24"/>
          <w:lang w:eastAsia="zh-CN"/>
        </w:rPr>
        <w:t>（</w:t>
      </w:r>
      <w:r>
        <w:rPr>
          <w:rFonts w:hint="eastAsia" w:ascii="仿宋" w:hAnsi="仿宋" w:eastAsia="仿宋" w:cs="仿宋"/>
          <w:sz w:val="24"/>
          <w:szCs w:val="24"/>
          <w:lang w:eastAsia="zh-CN"/>
        </w:rPr>
        <w:t>2885</w:t>
      </w:r>
      <w:r>
        <w:rPr>
          <w:rFonts w:hint="eastAsia" w:ascii="仿宋" w:hAnsi="仿宋" w:eastAsia="仿宋" w:cs="仿宋"/>
          <w:color w:val="auto"/>
          <w:sz w:val="24"/>
          <w:szCs w:val="24"/>
          <w:lang w:val="en-US" w:eastAsia="zh-CN"/>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能比较全面客观反映估价对象</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在价值时点的市场价值</w:t>
      </w:r>
      <w:r>
        <w:rPr>
          <w:rFonts w:hint="eastAsia" w:ascii="仿宋" w:hAnsi="仿宋" w:eastAsia="仿宋" w:cs="仿宋"/>
          <w:sz w:val="24"/>
          <w:szCs w:val="24"/>
        </w:rPr>
        <w:t>，并以此测算结果</w:t>
      </w:r>
      <w:r>
        <w:rPr>
          <w:rFonts w:hint="eastAsia" w:ascii="仿宋" w:hAnsi="仿宋" w:eastAsia="仿宋" w:cs="仿宋"/>
          <w:sz w:val="24"/>
          <w:szCs w:val="24"/>
          <w:lang w:val="en-US" w:eastAsia="zh-CN"/>
        </w:rPr>
        <w:t>2885</w:t>
      </w:r>
      <w:r>
        <w:rPr>
          <w:rFonts w:hint="eastAsia" w:ascii="仿宋" w:hAnsi="仿宋" w:eastAsia="仿宋" w:cs="仿宋"/>
          <w:sz w:val="24"/>
          <w:szCs w:val="24"/>
        </w:rPr>
        <w:t>元/㎡作为估价对象</w:t>
      </w:r>
      <w:r>
        <w:rPr>
          <w:rFonts w:hint="eastAsia" w:ascii="仿宋" w:hAnsi="仿宋" w:eastAsia="仿宋" w:cs="仿宋"/>
          <w:sz w:val="24"/>
          <w:szCs w:val="24"/>
          <w:lang w:val="en-US" w:eastAsia="zh-CN"/>
        </w:rPr>
        <w:t>2</w:t>
      </w:r>
      <w:r>
        <w:rPr>
          <w:rFonts w:hint="eastAsia" w:ascii="仿宋" w:hAnsi="仿宋" w:eastAsia="仿宋" w:cs="仿宋"/>
          <w:sz w:val="24"/>
          <w:szCs w:val="24"/>
        </w:rPr>
        <w:t>在价值时点的市场价值。估价对象</w:t>
      </w:r>
      <w:r>
        <w:rPr>
          <w:rFonts w:hint="eastAsia" w:ascii="仿宋" w:hAnsi="仿宋" w:eastAsia="仿宋" w:cs="仿宋"/>
          <w:sz w:val="24"/>
          <w:szCs w:val="24"/>
          <w:lang w:val="en-US" w:eastAsia="zh-CN"/>
        </w:rPr>
        <w:t>3</w:t>
      </w:r>
      <w:r>
        <w:rPr>
          <w:rFonts w:hint="eastAsia" w:ascii="仿宋" w:hAnsi="仿宋" w:eastAsia="仿宋" w:cs="仿宋"/>
          <w:sz w:val="24"/>
          <w:szCs w:val="24"/>
        </w:rPr>
        <w:t>与估价对象</w:t>
      </w:r>
      <w:r>
        <w:rPr>
          <w:rFonts w:hint="eastAsia" w:ascii="仿宋" w:hAnsi="仿宋" w:eastAsia="仿宋" w:cs="仿宋"/>
          <w:sz w:val="24"/>
          <w:szCs w:val="24"/>
          <w:lang w:val="en-US" w:eastAsia="zh-CN"/>
        </w:rPr>
        <w:t>2</w:t>
      </w:r>
      <w:r>
        <w:rPr>
          <w:rFonts w:hint="eastAsia" w:ascii="仿宋" w:hAnsi="仿宋" w:eastAsia="仿宋" w:cs="仿宋"/>
          <w:sz w:val="24"/>
          <w:szCs w:val="24"/>
        </w:rPr>
        <w:t>相邻，装修情况</w:t>
      </w:r>
      <w:r>
        <w:rPr>
          <w:rFonts w:hint="eastAsia" w:ascii="仿宋" w:hAnsi="仿宋" w:eastAsia="仿宋" w:cs="仿宋"/>
          <w:sz w:val="24"/>
          <w:szCs w:val="24"/>
          <w:lang w:val="en-US" w:eastAsia="zh-CN"/>
        </w:rPr>
        <w:t>相同</w:t>
      </w:r>
      <w:r>
        <w:rPr>
          <w:rFonts w:hint="eastAsia" w:ascii="仿宋" w:hAnsi="仿宋" w:eastAsia="仿宋" w:cs="仿宋"/>
          <w:sz w:val="24"/>
          <w:szCs w:val="24"/>
        </w:rPr>
        <w:t>，故本次估价认为估价对象</w:t>
      </w:r>
      <w:r>
        <w:rPr>
          <w:rFonts w:hint="eastAsia" w:ascii="仿宋" w:hAnsi="仿宋" w:eastAsia="仿宋" w:cs="仿宋"/>
          <w:sz w:val="24"/>
          <w:szCs w:val="24"/>
          <w:lang w:val="en-US" w:eastAsia="zh-CN"/>
        </w:rPr>
        <w:t>3</w:t>
      </w:r>
      <w:r>
        <w:rPr>
          <w:rFonts w:hint="eastAsia" w:ascii="仿宋" w:hAnsi="仿宋" w:eastAsia="仿宋" w:cs="仿宋"/>
          <w:sz w:val="24"/>
          <w:szCs w:val="24"/>
        </w:rPr>
        <w:t>与估价对象</w:t>
      </w:r>
      <w:r>
        <w:rPr>
          <w:rFonts w:hint="eastAsia" w:ascii="仿宋" w:hAnsi="仿宋" w:eastAsia="仿宋" w:cs="仿宋"/>
          <w:sz w:val="24"/>
          <w:szCs w:val="24"/>
          <w:lang w:val="en-US" w:eastAsia="zh-CN"/>
        </w:rPr>
        <w:t>2</w:t>
      </w:r>
      <w:r>
        <w:rPr>
          <w:rFonts w:hint="eastAsia" w:ascii="仿宋" w:hAnsi="仿宋" w:eastAsia="仿宋" w:cs="仿宋"/>
          <w:sz w:val="24"/>
          <w:szCs w:val="24"/>
        </w:rPr>
        <w:t>的估价结果一致，即</w:t>
      </w:r>
      <w:r>
        <w:rPr>
          <w:rFonts w:hint="eastAsia" w:ascii="仿宋" w:hAnsi="仿宋" w:eastAsia="仿宋" w:cs="仿宋"/>
          <w:sz w:val="24"/>
          <w:szCs w:val="24"/>
          <w:lang w:val="en-US" w:eastAsia="zh-CN"/>
        </w:rPr>
        <w:t>2885</w:t>
      </w:r>
      <w:r>
        <w:rPr>
          <w:rFonts w:hint="eastAsia" w:ascii="仿宋" w:hAnsi="仿宋" w:eastAsia="仿宋" w:cs="仿宋"/>
          <w:sz w:val="24"/>
          <w:szCs w:val="24"/>
        </w:rPr>
        <w:t>元/㎡。</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2、估价结果</w:t>
      </w:r>
    </w:p>
    <w:p>
      <w:pPr>
        <w:pStyle w:val="8"/>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经估价，估价委托人委估的位于</w:t>
      </w:r>
      <w:r>
        <w:rPr>
          <w:rFonts w:hint="eastAsia" w:ascii="仿宋" w:hAnsi="仿宋" w:eastAsia="仿宋" w:cs="仿宋"/>
          <w:sz w:val="24"/>
          <w:szCs w:val="24"/>
          <w:lang w:eastAsia="zh-CN"/>
        </w:rPr>
        <w:t>自贡市富顺县龙万乡振兴街78号附2-2、3-1、3-2号</w:t>
      </w:r>
      <w:r>
        <w:rPr>
          <w:rFonts w:hint="eastAsia" w:ascii="仿宋" w:hAnsi="仿宋" w:eastAsia="仿宋" w:cs="仿宋"/>
          <w:sz w:val="24"/>
          <w:szCs w:val="24"/>
        </w:rPr>
        <w:t>住宅房地产，在满足本估价报告中“估价的假设和限制条件”下，于</w:t>
      </w:r>
      <w:r>
        <w:rPr>
          <w:rFonts w:hint="eastAsia" w:ascii="仿宋" w:hAnsi="仿宋" w:eastAsia="仿宋" w:cs="仿宋"/>
          <w:sz w:val="24"/>
          <w:szCs w:val="24"/>
          <w:lang w:eastAsia="zh-CN"/>
        </w:rPr>
        <w:t>2020年9月27日</w:t>
      </w:r>
      <w:r>
        <w:rPr>
          <w:rFonts w:hint="eastAsia" w:ascii="仿宋" w:hAnsi="仿宋" w:eastAsia="仿宋" w:cs="仿宋"/>
          <w:sz w:val="24"/>
          <w:szCs w:val="24"/>
        </w:rPr>
        <w:t>估价结果为：</w:t>
      </w:r>
    </w:p>
    <w:p>
      <w:pPr>
        <w:snapToGrid w:val="0"/>
        <w:spacing w:line="480" w:lineRule="exact"/>
        <w:ind w:firstLine="482" w:firstLineChars="200"/>
        <w:textAlignment w:val="baseline"/>
        <w:rPr>
          <w:rFonts w:ascii="仿宋" w:hAnsi="仿宋" w:eastAsia="仿宋" w:cs="仿宋"/>
          <w:b/>
          <w:sz w:val="24"/>
          <w:szCs w:val="24"/>
        </w:rPr>
      </w:pPr>
      <w:r>
        <w:rPr>
          <w:rFonts w:hint="eastAsia" w:ascii="仿宋" w:hAnsi="仿宋" w:eastAsia="仿宋" w:cs="仿宋"/>
          <w:b/>
          <w:sz w:val="24"/>
          <w:szCs w:val="24"/>
        </w:rPr>
        <w:t>单价：￥</w:t>
      </w:r>
      <w:r>
        <w:rPr>
          <w:rFonts w:hint="eastAsia" w:ascii="仿宋" w:hAnsi="仿宋" w:eastAsia="仿宋" w:cs="仿宋"/>
          <w:b/>
          <w:sz w:val="24"/>
          <w:szCs w:val="24"/>
          <w:lang w:eastAsia="zh-CN"/>
        </w:rPr>
        <w:t>2885</w:t>
      </w:r>
      <w:r>
        <w:rPr>
          <w:rFonts w:hint="eastAsia" w:ascii="仿宋" w:hAnsi="仿宋" w:eastAsia="仿宋" w:cs="仿宋"/>
          <w:b/>
          <w:sz w:val="24"/>
          <w:szCs w:val="24"/>
        </w:rPr>
        <w:t>元/㎡</w:t>
      </w:r>
    </w:p>
    <w:p>
      <w:pPr>
        <w:snapToGrid w:val="0"/>
        <w:spacing w:line="480" w:lineRule="exact"/>
        <w:ind w:firstLine="482" w:firstLineChars="200"/>
        <w:textAlignment w:val="baseline"/>
        <w:rPr>
          <w:rFonts w:hint="eastAsia" w:ascii="仿宋" w:hAnsi="仿宋" w:eastAsia="仿宋" w:cs="仿宋"/>
          <w:b/>
          <w:sz w:val="24"/>
          <w:szCs w:val="24"/>
        </w:rPr>
      </w:pPr>
      <w:r>
        <w:rPr>
          <w:rFonts w:hint="eastAsia" w:ascii="仿宋" w:hAnsi="仿宋" w:eastAsia="仿宋" w:cs="仿宋"/>
          <w:b/>
          <w:sz w:val="24"/>
          <w:szCs w:val="24"/>
        </w:rPr>
        <w:t>总价：￥</w:t>
      </w:r>
      <w:r>
        <w:rPr>
          <w:rFonts w:hint="eastAsia" w:ascii="仿宋" w:hAnsi="仿宋" w:eastAsia="仿宋" w:cs="仿宋"/>
          <w:b/>
          <w:sz w:val="24"/>
          <w:szCs w:val="24"/>
          <w:lang w:val="en-US" w:eastAsia="zh-CN"/>
        </w:rPr>
        <w:t>107.42</w:t>
      </w:r>
      <w:r>
        <w:rPr>
          <w:rFonts w:hint="eastAsia" w:ascii="仿宋" w:hAnsi="仿宋" w:eastAsia="仿宋" w:cs="仿宋"/>
          <w:b/>
          <w:sz w:val="24"/>
          <w:szCs w:val="24"/>
        </w:rPr>
        <w:t>万元（百元以下四舍五入）</w:t>
      </w:r>
    </w:p>
    <w:p>
      <w:pPr>
        <w:autoSpaceDE w:val="0"/>
        <w:autoSpaceDN w:val="0"/>
        <w:adjustRightInd w:val="0"/>
        <w:spacing w:line="48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大写：</w:t>
      </w:r>
      <w:r>
        <w:rPr>
          <w:rFonts w:hint="eastAsia" w:ascii="仿宋" w:hAnsi="仿宋" w:eastAsia="仿宋" w:cs="宋体"/>
          <w:b/>
          <w:sz w:val="24"/>
          <w:szCs w:val="24"/>
          <w:lang w:val="zh-CN"/>
        </w:rPr>
        <w:t>人民</w:t>
      </w:r>
      <w:r>
        <w:rPr>
          <w:rFonts w:hint="eastAsia" w:ascii="仿宋" w:hAnsi="仿宋" w:eastAsia="仿宋" w:cs="仿宋"/>
          <w:b/>
          <w:sz w:val="24"/>
          <w:szCs w:val="24"/>
          <w:lang w:val="zh-CN"/>
        </w:rPr>
        <w:t>币</w:t>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 1470900 \* CHINESENUM4 \* MERGEFORMAT </w:instrText>
      </w:r>
      <w:r>
        <w:rPr>
          <w:rFonts w:hint="eastAsia" w:ascii="仿宋" w:hAnsi="仿宋" w:eastAsia="仿宋" w:cs="仿宋"/>
          <w:b/>
          <w:sz w:val="24"/>
          <w:szCs w:val="24"/>
        </w:rPr>
        <w:fldChar w:fldCharType="separate"/>
      </w:r>
      <w:r>
        <w:rPr>
          <w:rFonts w:hint="eastAsia" w:ascii="仿宋" w:hAnsi="仿宋" w:eastAsia="仿宋" w:cs="仿宋"/>
          <w:b/>
          <w:sz w:val="24"/>
          <w:szCs w:val="24"/>
          <w:lang w:val="en-US" w:eastAsia="zh-CN"/>
        </w:rPr>
        <w:t>壹佰零柒万肆仟贰佰</w:t>
      </w:r>
      <w:r>
        <w:rPr>
          <w:rFonts w:hint="eastAsia" w:ascii="仿宋" w:hAnsi="仿宋" w:eastAsia="仿宋" w:cs="仿宋"/>
          <w:b/>
          <w:sz w:val="24"/>
          <w:szCs w:val="24"/>
        </w:rPr>
        <w:t>元整</w:t>
      </w:r>
      <w:r>
        <w:rPr>
          <w:rFonts w:hint="eastAsia" w:ascii="仿宋" w:hAnsi="仿宋" w:eastAsia="仿宋" w:cs="仿宋"/>
          <w:b/>
          <w:sz w:val="24"/>
          <w:szCs w:val="24"/>
        </w:rPr>
        <w:fldChar w:fldCharType="end"/>
      </w:r>
    </w:p>
    <w:p>
      <w:pPr>
        <w:autoSpaceDE w:val="0"/>
        <w:autoSpaceDN w:val="0"/>
        <w:adjustRightInd w:val="0"/>
        <w:spacing w:line="440" w:lineRule="atLeast"/>
        <w:jc w:val="center"/>
        <w:rPr>
          <w:rFonts w:ascii="仿宋" w:hAnsi="仿宋" w:eastAsia="仿宋" w:cs="宋体"/>
          <w:color w:val="000000"/>
          <w:sz w:val="18"/>
          <w:szCs w:val="18"/>
        </w:rPr>
      </w:pPr>
      <w:r>
        <w:rPr>
          <w:rFonts w:hint="eastAsia" w:ascii="仿宋" w:hAnsi="仿宋" w:eastAsia="仿宋" w:cs="宋体"/>
          <w:color w:val="000000"/>
          <w:sz w:val="24"/>
          <w:szCs w:val="24"/>
          <w:lang w:val="en-US" w:eastAsia="zh-CN"/>
        </w:rPr>
        <w:t xml:space="preserve">                       </w:t>
      </w:r>
      <w:r>
        <w:rPr>
          <w:rFonts w:hint="eastAsia" w:ascii="仿宋" w:hAnsi="仿宋" w:eastAsia="仿宋" w:cs="宋体"/>
          <w:color w:val="000000"/>
          <w:sz w:val="24"/>
          <w:szCs w:val="24"/>
          <w:lang w:val="zh-CN"/>
        </w:rPr>
        <w:t>估价结果汇总表</w:t>
      </w:r>
      <w:r>
        <w:rPr>
          <w:rFonts w:hint="eastAsia" w:ascii="仿宋" w:hAnsi="仿宋" w:eastAsia="仿宋" w:cs="宋体"/>
          <w:color w:val="000000"/>
          <w:sz w:val="24"/>
          <w:szCs w:val="24"/>
        </w:rPr>
        <w:t xml:space="preserve">       </w:t>
      </w:r>
      <w:r>
        <w:rPr>
          <w:rFonts w:ascii="仿宋" w:hAnsi="仿宋" w:eastAsia="仿宋" w:cs="宋体"/>
          <w:color w:val="000000"/>
          <w:sz w:val="24"/>
          <w:szCs w:val="24"/>
        </w:rPr>
        <w:t xml:space="preserve"> </w:t>
      </w:r>
      <w:r>
        <w:rPr>
          <w:rFonts w:hint="eastAsia" w:ascii="仿宋" w:hAnsi="仿宋" w:eastAsia="仿宋" w:cs="宋体"/>
          <w:color w:val="000000"/>
          <w:sz w:val="24"/>
          <w:szCs w:val="24"/>
        </w:rPr>
        <w:t xml:space="preserve">       </w:t>
      </w:r>
      <w:r>
        <w:rPr>
          <w:rFonts w:hint="eastAsia" w:ascii="仿宋" w:hAnsi="仿宋" w:eastAsia="仿宋" w:cs="宋体"/>
          <w:color w:val="000000"/>
          <w:sz w:val="18"/>
          <w:szCs w:val="18"/>
        </w:rPr>
        <w:t>币种：人民币</w:t>
      </w:r>
    </w:p>
    <w:tbl>
      <w:tblPr>
        <w:tblStyle w:val="30"/>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691"/>
        <w:gridCol w:w="3473"/>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793" w:type="dxa"/>
            <w:gridSpan w:val="2"/>
            <w:vMerge w:val="restart"/>
            <w:tcBorders>
              <w:tl2br w:val="single" w:color="auto" w:sz="4" w:space="0"/>
            </w:tcBorders>
            <w:noWrap w:val="0"/>
            <w:vAlign w:val="center"/>
          </w:tcPr>
          <w:p>
            <w:pPr>
              <w:autoSpaceDE w:val="0"/>
              <w:autoSpaceDN w:val="0"/>
              <w:adjustRightInd w:val="0"/>
              <w:snapToGrid w:val="0"/>
              <w:spacing w:line="360" w:lineRule="exact"/>
              <w:jc w:val="right"/>
              <w:rPr>
                <w:rFonts w:ascii="仿宋" w:hAnsi="仿宋" w:eastAsia="仿宋" w:cs="宋体"/>
                <w:color w:val="000000"/>
                <w:sz w:val="18"/>
                <w:szCs w:val="18"/>
                <w:lang w:val="zh-CN"/>
              </w:rPr>
            </w:pPr>
            <w:r>
              <w:rPr>
                <w:rFonts w:hint="eastAsia" w:ascii="仿宋" w:hAnsi="仿宋" w:eastAsia="仿宋" w:cs="宋体"/>
                <w:color w:val="000000"/>
                <w:sz w:val="18"/>
                <w:szCs w:val="18"/>
                <w:lang w:val="zh-CN"/>
              </w:rPr>
              <w:t>估价方法</w:t>
            </w:r>
          </w:p>
          <w:p>
            <w:pPr>
              <w:autoSpaceDE w:val="0"/>
              <w:autoSpaceDN w:val="0"/>
              <w:adjustRightInd w:val="0"/>
              <w:snapToGrid w:val="0"/>
              <w:spacing w:line="360" w:lineRule="exact"/>
              <w:jc w:val="left"/>
              <w:rPr>
                <w:rFonts w:ascii="仿宋" w:hAnsi="仿宋" w:eastAsia="仿宋" w:cs="宋体"/>
                <w:color w:val="000000"/>
                <w:sz w:val="18"/>
                <w:szCs w:val="18"/>
                <w:lang w:val="zh-CN"/>
              </w:rPr>
            </w:pPr>
            <w:r>
              <w:rPr>
                <w:rFonts w:hint="eastAsia" w:ascii="仿宋" w:hAnsi="仿宋" w:eastAsia="仿宋" w:cs="宋体"/>
                <w:color w:val="000000"/>
                <w:sz w:val="18"/>
                <w:szCs w:val="18"/>
                <w:lang w:val="zh-CN"/>
              </w:rPr>
              <w:t>项目及相关结果</w:t>
            </w:r>
          </w:p>
        </w:tc>
        <w:tc>
          <w:tcPr>
            <w:tcW w:w="3473" w:type="dxa"/>
            <w:noWrap w:val="0"/>
            <w:vAlign w:val="center"/>
          </w:tcPr>
          <w:p>
            <w:pPr>
              <w:autoSpaceDE w:val="0"/>
              <w:autoSpaceDN w:val="0"/>
              <w:adjustRightInd w:val="0"/>
              <w:snapToGrid w:val="0"/>
              <w:spacing w:line="36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测算结果</w:t>
            </w: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793" w:type="dxa"/>
            <w:gridSpan w:val="2"/>
            <w:vMerge w:val="continue"/>
            <w:noWrap w:val="0"/>
            <w:vAlign w:val="center"/>
          </w:tcPr>
          <w:p>
            <w:pPr>
              <w:autoSpaceDE w:val="0"/>
              <w:autoSpaceDN w:val="0"/>
              <w:adjustRightInd w:val="0"/>
              <w:snapToGrid w:val="0"/>
              <w:spacing w:line="360" w:lineRule="exact"/>
              <w:jc w:val="center"/>
              <w:rPr>
                <w:rFonts w:ascii="仿宋" w:hAnsi="仿宋" w:eastAsia="仿宋" w:cs="宋体"/>
                <w:color w:val="000000"/>
                <w:sz w:val="18"/>
                <w:szCs w:val="18"/>
                <w:lang w:val="zh-CN"/>
              </w:rPr>
            </w:pPr>
          </w:p>
        </w:tc>
        <w:tc>
          <w:tcPr>
            <w:tcW w:w="3473"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rPr>
            </w:pPr>
            <w:r>
              <w:rPr>
                <w:rFonts w:hint="eastAsia" w:ascii="仿宋" w:hAnsi="仿宋" w:eastAsia="仿宋" w:cs="宋体"/>
                <w:color w:val="000000"/>
                <w:sz w:val="18"/>
                <w:szCs w:val="18"/>
                <w:lang w:val="zh-CN"/>
              </w:rPr>
              <w:t>比较法</w:t>
            </w: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eastAsia="zh-CN"/>
              </w:rPr>
            </w:pPr>
            <w:r>
              <w:rPr>
                <w:rFonts w:hint="eastAsia" w:ascii="仿宋" w:hAnsi="仿宋" w:eastAsia="仿宋" w:cs="宋体"/>
                <w:color w:val="000000"/>
                <w:sz w:val="18"/>
                <w:szCs w:val="18"/>
                <w:lang w:val="zh-CN"/>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2" w:type="dxa"/>
            <w:vMerge w:val="restart"/>
            <w:noWrap w:val="0"/>
            <w:vAlign w:val="center"/>
          </w:tcPr>
          <w:p>
            <w:pPr>
              <w:autoSpaceDE w:val="0"/>
              <w:autoSpaceDN w:val="0"/>
              <w:adjustRightInd w:val="0"/>
              <w:snapToGrid w:val="0"/>
              <w:spacing w:line="360" w:lineRule="exact"/>
              <w:jc w:val="center"/>
              <w:rPr>
                <w:rFonts w:hint="default" w:ascii="仿宋" w:hAnsi="仿宋" w:eastAsia="仿宋" w:cs="宋体"/>
                <w:color w:val="000000"/>
                <w:sz w:val="18"/>
                <w:szCs w:val="18"/>
                <w:lang w:val="en-US" w:eastAsia="zh-CN"/>
              </w:rPr>
            </w:pPr>
            <w:r>
              <w:rPr>
                <w:rFonts w:hint="eastAsia" w:ascii="仿宋" w:hAnsi="仿宋" w:eastAsia="仿宋" w:cs="宋体"/>
                <w:color w:val="000000"/>
                <w:sz w:val="18"/>
                <w:szCs w:val="18"/>
                <w:lang w:val="en-US" w:eastAsia="zh-CN"/>
              </w:rPr>
              <w:t>估价对象1</w:t>
            </w:r>
          </w:p>
        </w:tc>
        <w:tc>
          <w:tcPr>
            <w:tcW w:w="1691" w:type="dxa"/>
            <w:noWrap w:val="0"/>
            <w:vAlign w:val="center"/>
          </w:tcPr>
          <w:p>
            <w:pPr>
              <w:autoSpaceDE w:val="0"/>
              <w:autoSpaceDN w:val="0"/>
              <w:adjustRightInd w:val="0"/>
              <w:snapToGrid w:val="0"/>
              <w:spacing w:line="360" w:lineRule="exact"/>
              <w:jc w:val="center"/>
              <w:rPr>
                <w:rFonts w:ascii="仿宋" w:hAnsi="仿宋" w:eastAsia="仿宋" w:cs="宋体"/>
                <w:color w:val="000000"/>
                <w:sz w:val="18"/>
                <w:szCs w:val="18"/>
                <w:lang w:val="zh-CN"/>
              </w:rPr>
            </w:pPr>
            <w:r>
              <w:rPr>
                <w:rFonts w:hint="eastAsia" w:ascii="仿宋" w:hAnsi="仿宋" w:eastAsia="仿宋" w:cs="宋体"/>
                <w:color w:val="000000"/>
                <w:sz w:val="18"/>
                <w:szCs w:val="18"/>
                <w:lang w:val="zh-CN"/>
              </w:rPr>
              <w:t>总价（万元）</w:t>
            </w:r>
          </w:p>
        </w:tc>
        <w:tc>
          <w:tcPr>
            <w:tcW w:w="3473"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eastAsia="zh-CN"/>
              </w:rPr>
            </w:pPr>
            <w:r>
              <w:rPr>
                <w:rFonts w:hint="eastAsia" w:ascii="仿宋" w:hAnsi="仿宋" w:eastAsia="仿宋" w:cs="宋体"/>
                <w:color w:val="000000"/>
                <w:sz w:val="18"/>
                <w:szCs w:val="18"/>
                <w:lang w:val="en-US" w:eastAsia="zh-CN"/>
              </w:rPr>
              <w:t>33.43</w:t>
            </w: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eastAsia="zh-CN"/>
              </w:rPr>
            </w:pPr>
            <w:r>
              <w:rPr>
                <w:rFonts w:hint="eastAsia" w:ascii="仿宋" w:hAnsi="仿宋" w:eastAsia="仿宋" w:cs="宋体"/>
                <w:color w:val="000000"/>
                <w:sz w:val="18"/>
                <w:szCs w:val="18"/>
                <w:lang w:val="en-US" w:eastAsia="zh-CN"/>
              </w:rPr>
              <w:t>33.43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2" w:type="dxa"/>
            <w:vMerge w:val="continue"/>
            <w:noWrap w:val="0"/>
            <w:vAlign w:val="center"/>
          </w:tcPr>
          <w:p>
            <w:pPr>
              <w:autoSpaceDE w:val="0"/>
              <w:autoSpaceDN w:val="0"/>
              <w:adjustRightInd w:val="0"/>
              <w:snapToGrid w:val="0"/>
              <w:spacing w:line="360" w:lineRule="exact"/>
              <w:jc w:val="center"/>
              <w:rPr>
                <w:rFonts w:ascii="仿宋" w:hAnsi="仿宋" w:eastAsia="仿宋" w:cs="宋体"/>
                <w:color w:val="000000"/>
                <w:sz w:val="18"/>
                <w:szCs w:val="18"/>
                <w:lang w:val="zh-CN"/>
              </w:rPr>
            </w:pPr>
          </w:p>
        </w:tc>
        <w:tc>
          <w:tcPr>
            <w:tcW w:w="1691" w:type="dxa"/>
            <w:noWrap w:val="0"/>
            <w:vAlign w:val="center"/>
          </w:tcPr>
          <w:p>
            <w:pPr>
              <w:autoSpaceDE w:val="0"/>
              <w:autoSpaceDN w:val="0"/>
              <w:adjustRightInd w:val="0"/>
              <w:snapToGrid w:val="0"/>
              <w:spacing w:line="360" w:lineRule="exact"/>
              <w:jc w:val="center"/>
              <w:rPr>
                <w:rFonts w:ascii="仿宋" w:hAnsi="仿宋" w:eastAsia="仿宋" w:cs="宋体"/>
                <w:color w:val="000000"/>
                <w:sz w:val="18"/>
                <w:szCs w:val="18"/>
                <w:lang w:val="zh-CN"/>
              </w:rPr>
            </w:pPr>
            <w:r>
              <w:rPr>
                <w:rFonts w:hint="eastAsia" w:ascii="仿宋" w:hAnsi="仿宋" w:eastAsia="仿宋" w:cs="宋体"/>
                <w:color w:val="000000"/>
                <w:sz w:val="18"/>
                <w:szCs w:val="18"/>
                <w:lang w:val="zh-CN"/>
              </w:rPr>
              <w:t>单价（元/㎡）</w:t>
            </w:r>
          </w:p>
        </w:tc>
        <w:tc>
          <w:tcPr>
            <w:tcW w:w="3473"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eastAsia="zh-CN"/>
              </w:rPr>
            </w:pPr>
            <w:r>
              <w:rPr>
                <w:rFonts w:hint="eastAsia" w:ascii="仿宋" w:hAnsi="仿宋" w:eastAsia="仿宋" w:cs="宋体"/>
                <w:color w:val="000000"/>
                <w:sz w:val="18"/>
                <w:szCs w:val="18"/>
                <w:lang w:val="en-US" w:eastAsia="zh-CN"/>
              </w:rPr>
              <w:t>2885</w:t>
            </w: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eastAsia="zh-CN"/>
              </w:rPr>
            </w:pPr>
            <w:r>
              <w:rPr>
                <w:rFonts w:hint="eastAsia" w:ascii="仿宋" w:hAnsi="仿宋" w:eastAsia="仿宋" w:cs="宋体"/>
                <w:color w:val="000000"/>
                <w:sz w:val="18"/>
                <w:szCs w:val="18"/>
                <w:lang w:val="en-US" w:eastAsia="zh-CN"/>
              </w:rPr>
              <w:t>2885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2" w:type="dxa"/>
            <w:vMerge w:val="restart"/>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eastAsia="zh-CN"/>
              </w:rPr>
            </w:pPr>
            <w:r>
              <w:rPr>
                <w:rFonts w:hint="eastAsia" w:ascii="仿宋" w:hAnsi="仿宋" w:eastAsia="仿宋" w:cs="宋体"/>
                <w:color w:val="000000"/>
                <w:sz w:val="18"/>
                <w:szCs w:val="18"/>
                <w:lang w:val="en-US" w:eastAsia="zh-CN"/>
              </w:rPr>
              <w:t>估价对象2</w:t>
            </w:r>
          </w:p>
        </w:tc>
        <w:tc>
          <w:tcPr>
            <w:tcW w:w="1691"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rPr>
            </w:pPr>
            <w:r>
              <w:rPr>
                <w:rFonts w:hint="eastAsia" w:ascii="仿宋" w:hAnsi="仿宋" w:eastAsia="仿宋" w:cs="宋体"/>
                <w:color w:val="000000"/>
                <w:sz w:val="18"/>
                <w:szCs w:val="18"/>
                <w:lang w:val="zh-CN"/>
              </w:rPr>
              <w:t>总价（万元）</w:t>
            </w:r>
          </w:p>
        </w:tc>
        <w:tc>
          <w:tcPr>
            <w:tcW w:w="3473"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eastAsia="zh-CN"/>
              </w:rPr>
            </w:pPr>
            <w:r>
              <w:rPr>
                <w:rFonts w:hint="eastAsia" w:ascii="仿宋" w:hAnsi="仿宋" w:eastAsia="仿宋" w:cs="宋体"/>
                <w:color w:val="000000"/>
                <w:sz w:val="18"/>
                <w:szCs w:val="18"/>
                <w:lang w:val="en-US" w:eastAsia="zh-CN"/>
              </w:rPr>
              <w:t>/</w:t>
            </w: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eastAsia="zh-CN"/>
              </w:rPr>
            </w:pPr>
            <w:r>
              <w:rPr>
                <w:rFonts w:hint="eastAsia" w:ascii="仿宋" w:hAnsi="仿宋" w:eastAsia="仿宋" w:cs="宋体"/>
                <w:color w:val="000000"/>
                <w:sz w:val="18"/>
                <w:szCs w:val="18"/>
                <w:lang w:val="en-US" w:eastAsia="zh-CN"/>
              </w:rPr>
              <w:t>36.96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2" w:type="dxa"/>
            <w:vMerge w:val="continue"/>
            <w:noWrap w:val="0"/>
            <w:vAlign w:val="center"/>
          </w:tcPr>
          <w:p>
            <w:pPr>
              <w:autoSpaceDE w:val="0"/>
              <w:autoSpaceDN w:val="0"/>
              <w:adjustRightInd w:val="0"/>
              <w:snapToGrid w:val="0"/>
              <w:spacing w:line="360" w:lineRule="exact"/>
              <w:jc w:val="center"/>
              <w:rPr>
                <w:rFonts w:ascii="仿宋" w:hAnsi="仿宋" w:eastAsia="仿宋" w:cs="宋体"/>
                <w:color w:val="000000"/>
                <w:sz w:val="18"/>
                <w:szCs w:val="18"/>
                <w:lang w:val="zh-CN"/>
              </w:rPr>
            </w:pPr>
          </w:p>
        </w:tc>
        <w:tc>
          <w:tcPr>
            <w:tcW w:w="1691"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rPr>
            </w:pPr>
            <w:r>
              <w:rPr>
                <w:rFonts w:hint="eastAsia" w:ascii="仿宋" w:hAnsi="仿宋" w:eastAsia="仿宋" w:cs="宋体"/>
                <w:color w:val="000000"/>
                <w:sz w:val="18"/>
                <w:szCs w:val="18"/>
                <w:lang w:val="zh-CN"/>
              </w:rPr>
              <w:t>单价（元/㎡）</w:t>
            </w:r>
          </w:p>
        </w:tc>
        <w:tc>
          <w:tcPr>
            <w:tcW w:w="3473"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eastAsia="zh-CN"/>
              </w:rPr>
            </w:pPr>
            <w:r>
              <w:rPr>
                <w:rFonts w:hint="eastAsia" w:ascii="仿宋" w:hAnsi="仿宋" w:eastAsia="仿宋" w:cs="宋体"/>
                <w:color w:val="000000"/>
                <w:sz w:val="18"/>
                <w:szCs w:val="18"/>
                <w:lang w:val="en-US" w:eastAsia="zh-CN"/>
              </w:rPr>
              <w:t>/</w:t>
            </w: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eastAsia="zh-CN"/>
              </w:rPr>
            </w:pPr>
            <w:r>
              <w:rPr>
                <w:rFonts w:hint="eastAsia" w:ascii="仿宋" w:hAnsi="仿宋" w:eastAsia="仿宋" w:cs="宋体"/>
                <w:color w:val="000000"/>
                <w:sz w:val="18"/>
                <w:szCs w:val="18"/>
                <w:lang w:val="en-US" w:eastAsia="zh-CN"/>
              </w:rPr>
              <w:t>2885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2" w:type="dxa"/>
            <w:vMerge w:val="restart"/>
            <w:noWrap w:val="0"/>
            <w:vAlign w:val="center"/>
          </w:tcPr>
          <w:p>
            <w:pPr>
              <w:autoSpaceDE w:val="0"/>
              <w:autoSpaceDN w:val="0"/>
              <w:adjustRightInd w:val="0"/>
              <w:snapToGrid w:val="0"/>
              <w:spacing w:line="360" w:lineRule="exact"/>
              <w:jc w:val="center"/>
              <w:rPr>
                <w:rFonts w:ascii="仿宋" w:hAnsi="仿宋" w:eastAsia="仿宋" w:cs="宋体"/>
                <w:color w:val="000000"/>
                <w:sz w:val="18"/>
                <w:szCs w:val="18"/>
                <w:lang w:val="zh-CN"/>
              </w:rPr>
            </w:pPr>
            <w:r>
              <w:rPr>
                <w:rFonts w:hint="eastAsia" w:ascii="仿宋" w:hAnsi="仿宋" w:eastAsia="仿宋" w:cs="宋体"/>
                <w:color w:val="000000"/>
                <w:sz w:val="18"/>
                <w:szCs w:val="18"/>
                <w:lang w:val="en-US" w:eastAsia="zh-CN"/>
              </w:rPr>
              <w:t>估价对象3</w:t>
            </w:r>
          </w:p>
        </w:tc>
        <w:tc>
          <w:tcPr>
            <w:tcW w:w="1691"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rPr>
            </w:pPr>
            <w:r>
              <w:rPr>
                <w:rFonts w:hint="eastAsia" w:ascii="仿宋" w:hAnsi="仿宋" w:eastAsia="仿宋" w:cs="宋体"/>
                <w:color w:val="000000"/>
                <w:sz w:val="18"/>
                <w:szCs w:val="18"/>
                <w:lang w:val="zh-CN"/>
              </w:rPr>
              <w:t>总价（万元）</w:t>
            </w:r>
          </w:p>
        </w:tc>
        <w:tc>
          <w:tcPr>
            <w:tcW w:w="3473"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eastAsia="zh-CN"/>
              </w:rPr>
            </w:pPr>
            <w:r>
              <w:rPr>
                <w:rFonts w:hint="eastAsia" w:ascii="仿宋" w:hAnsi="仿宋" w:eastAsia="仿宋" w:cs="宋体"/>
                <w:color w:val="000000"/>
                <w:sz w:val="18"/>
                <w:szCs w:val="18"/>
                <w:lang w:val="en-US" w:eastAsia="zh-CN"/>
              </w:rPr>
              <w:t>/</w:t>
            </w: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eastAsia="zh-CN"/>
              </w:rPr>
            </w:pPr>
            <w:r>
              <w:rPr>
                <w:rFonts w:hint="eastAsia" w:ascii="仿宋" w:hAnsi="仿宋" w:eastAsia="仿宋" w:cs="宋体"/>
                <w:color w:val="000000"/>
                <w:sz w:val="18"/>
                <w:szCs w:val="18"/>
                <w:lang w:val="en-US" w:eastAsia="zh-CN"/>
              </w:rPr>
              <w:t>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2" w:type="dxa"/>
            <w:vMerge w:val="continue"/>
            <w:noWrap w:val="0"/>
            <w:vAlign w:val="center"/>
          </w:tcPr>
          <w:p>
            <w:pPr>
              <w:autoSpaceDE w:val="0"/>
              <w:autoSpaceDN w:val="0"/>
              <w:adjustRightInd w:val="0"/>
              <w:snapToGrid w:val="0"/>
              <w:spacing w:line="360" w:lineRule="exact"/>
              <w:jc w:val="center"/>
              <w:rPr>
                <w:rFonts w:ascii="仿宋" w:hAnsi="仿宋" w:eastAsia="仿宋" w:cs="宋体"/>
                <w:color w:val="000000"/>
                <w:sz w:val="18"/>
                <w:szCs w:val="18"/>
                <w:lang w:val="zh-CN"/>
              </w:rPr>
            </w:pPr>
          </w:p>
        </w:tc>
        <w:tc>
          <w:tcPr>
            <w:tcW w:w="1691"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rPr>
            </w:pPr>
            <w:r>
              <w:rPr>
                <w:rFonts w:hint="eastAsia" w:ascii="仿宋" w:hAnsi="仿宋" w:eastAsia="仿宋" w:cs="宋体"/>
                <w:color w:val="000000"/>
                <w:sz w:val="18"/>
                <w:szCs w:val="18"/>
                <w:lang w:val="zh-CN"/>
              </w:rPr>
              <w:t>单价（元/㎡）</w:t>
            </w:r>
          </w:p>
        </w:tc>
        <w:tc>
          <w:tcPr>
            <w:tcW w:w="3473"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eastAsia="zh-CN"/>
              </w:rPr>
            </w:pPr>
            <w:r>
              <w:rPr>
                <w:rFonts w:hint="eastAsia" w:ascii="仿宋" w:hAnsi="仿宋" w:eastAsia="仿宋" w:cs="宋体"/>
                <w:color w:val="000000"/>
                <w:sz w:val="18"/>
                <w:szCs w:val="18"/>
                <w:lang w:val="en-US" w:eastAsia="zh-CN"/>
              </w:rPr>
              <w:t>/</w:t>
            </w: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eastAsia="zh-CN"/>
              </w:rPr>
            </w:pPr>
            <w:r>
              <w:rPr>
                <w:rFonts w:hint="eastAsia" w:ascii="仿宋" w:hAnsi="仿宋" w:eastAsia="仿宋" w:cs="宋体"/>
                <w:color w:val="000000"/>
                <w:sz w:val="18"/>
                <w:szCs w:val="18"/>
                <w:lang w:val="en-US" w:eastAsia="zh-CN"/>
              </w:rPr>
              <w:t>2885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2"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en-US" w:eastAsia="zh-CN"/>
              </w:rPr>
            </w:pPr>
            <w:r>
              <w:rPr>
                <w:rFonts w:hint="eastAsia" w:ascii="仿宋" w:hAnsi="仿宋" w:eastAsia="仿宋" w:cs="宋体"/>
                <w:color w:val="000000"/>
                <w:sz w:val="18"/>
                <w:szCs w:val="18"/>
                <w:lang w:val="en-US" w:eastAsia="zh-CN"/>
              </w:rPr>
              <w:t>合计</w:t>
            </w:r>
          </w:p>
        </w:tc>
        <w:tc>
          <w:tcPr>
            <w:tcW w:w="1691"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val="zh-CN"/>
              </w:rPr>
            </w:pPr>
          </w:p>
        </w:tc>
        <w:tc>
          <w:tcPr>
            <w:tcW w:w="3473"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eastAsia="zh-CN"/>
              </w:rPr>
            </w:pPr>
          </w:p>
        </w:tc>
        <w:tc>
          <w:tcPr>
            <w:tcW w:w="2829" w:type="dxa"/>
            <w:noWrap w:val="0"/>
            <w:vAlign w:val="center"/>
          </w:tcPr>
          <w:p>
            <w:pPr>
              <w:autoSpaceDE w:val="0"/>
              <w:autoSpaceDN w:val="0"/>
              <w:adjustRightInd w:val="0"/>
              <w:snapToGrid w:val="0"/>
              <w:spacing w:line="360" w:lineRule="exact"/>
              <w:jc w:val="center"/>
              <w:rPr>
                <w:rFonts w:hint="eastAsia" w:ascii="仿宋" w:hAnsi="仿宋" w:eastAsia="仿宋" w:cs="宋体"/>
                <w:color w:val="000000"/>
                <w:sz w:val="18"/>
                <w:szCs w:val="18"/>
                <w:lang w:eastAsia="zh-CN"/>
              </w:rPr>
            </w:pPr>
            <w:r>
              <w:rPr>
                <w:rFonts w:hint="eastAsia" w:ascii="仿宋" w:hAnsi="仿宋" w:eastAsia="仿宋" w:cs="宋体"/>
                <w:color w:val="000000"/>
                <w:sz w:val="18"/>
                <w:szCs w:val="18"/>
                <w:lang w:val="en-US" w:eastAsia="zh-CN"/>
              </w:rPr>
              <w:t>107.42</w:t>
            </w:r>
          </w:p>
        </w:tc>
      </w:tr>
    </w:tbl>
    <w:p>
      <w:pPr>
        <w:autoSpaceDE w:val="0"/>
        <w:autoSpaceDN w:val="0"/>
        <w:adjustRightInd w:val="0"/>
        <w:spacing w:line="440" w:lineRule="atLeast"/>
        <w:rPr>
          <w:rFonts w:ascii="仿宋" w:hAnsi="仿宋" w:eastAsia="仿宋" w:cs="宋体"/>
          <w:color w:val="000000"/>
          <w:sz w:val="18"/>
          <w:szCs w:val="18"/>
        </w:rPr>
      </w:pPr>
      <w:r>
        <w:rPr>
          <w:rFonts w:hint="eastAsia" w:ascii="仿宋" w:hAnsi="仿宋" w:eastAsia="仿宋" w:cs="宋体"/>
          <w:color w:val="000000"/>
          <w:sz w:val="24"/>
          <w:szCs w:val="24"/>
        </w:rPr>
        <w:t xml:space="preserve">       </w:t>
      </w:r>
    </w:p>
    <w:p>
      <w:pPr>
        <w:pStyle w:val="3"/>
        <w:spacing w:line="400" w:lineRule="exact"/>
        <w:rPr>
          <w:rFonts w:ascii="仿宋" w:hAnsi="仿宋" w:eastAsia="仿宋" w:cs="宋体"/>
          <w:color w:val="000000"/>
          <w:sz w:val="24"/>
          <w:szCs w:val="24"/>
        </w:rPr>
      </w:pPr>
      <w:bookmarkStart w:id="56" w:name="_Toc15594"/>
      <w:r>
        <w:rPr>
          <w:rFonts w:hint="eastAsia" w:ascii="仿宋" w:hAnsi="仿宋" w:eastAsia="仿宋" w:cs="宋体"/>
          <w:color w:val="000000"/>
          <w:sz w:val="24"/>
          <w:szCs w:val="24"/>
        </w:rPr>
        <w:t>十一、注册房地产估价师</w:t>
      </w:r>
      <w:bookmarkEnd w:id="56"/>
    </w:p>
    <w:p>
      <w:pPr>
        <w:spacing w:line="460" w:lineRule="exact"/>
        <w:rPr>
          <w:rFonts w:ascii="仿宋" w:hAnsi="仿宋" w:eastAsia="仿宋" w:cs="宋体"/>
          <w:color w:val="000000"/>
          <w:spacing w:val="4"/>
          <w:sz w:val="24"/>
          <w:szCs w:val="24"/>
        </w:rPr>
      </w:pPr>
      <w:r>
        <w:rPr>
          <w:rFonts w:hint="eastAsia"/>
          <w:sz w:val="24"/>
          <w:szCs w:val="24"/>
        </w:rPr>
        <w:t xml:space="preserve">  </w:t>
      </w:r>
      <w:r>
        <w:rPr>
          <w:rFonts w:hint="eastAsia" w:ascii="仿宋" w:hAnsi="仿宋" w:eastAsia="仿宋" w:cs="宋体"/>
          <w:color w:val="000000"/>
          <w:spacing w:val="4"/>
          <w:sz w:val="24"/>
          <w:szCs w:val="24"/>
        </w:rPr>
        <w:t xml:space="preserve"> 参加本次估价的注册房地产估价师见下表：</w:t>
      </w:r>
    </w:p>
    <w:bookmarkEnd w:id="53"/>
    <w:bookmarkEnd w:id="54"/>
    <w:bookmarkEnd w:id="55"/>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4"/>
        <w:gridCol w:w="2314"/>
        <w:gridCol w:w="2314"/>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6" w:type="pct"/>
          </w:tcPr>
          <w:p>
            <w:pPr>
              <w:autoSpaceDE w:val="0"/>
              <w:autoSpaceDN w:val="0"/>
              <w:adjustRightInd w:val="0"/>
              <w:spacing w:line="44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姓    名</w:t>
            </w:r>
          </w:p>
        </w:tc>
        <w:tc>
          <w:tcPr>
            <w:tcW w:w="1240" w:type="pct"/>
          </w:tcPr>
          <w:p>
            <w:pPr>
              <w:autoSpaceDE w:val="0"/>
              <w:autoSpaceDN w:val="0"/>
              <w:adjustRightInd w:val="0"/>
              <w:spacing w:line="44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注  册  号</w:t>
            </w:r>
          </w:p>
        </w:tc>
        <w:tc>
          <w:tcPr>
            <w:tcW w:w="1240" w:type="pct"/>
          </w:tcPr>
          <w:p>
            <w:pPr>
              <w:autoSpaceDE w:val="0"/>
              <w:autoSpaceDN w:val="0"/>
              <w:adjustRightInd w:val="0"/>
              <w:spacing w:line="44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签    名</w:t>
            </w:r>
          </w:p>
        </w:tc>
        <w:tc>
          <w:tcPr>
            <w:tcW w:w="1264" w:type="pct"/>
          </w:tcPr>
          <w:p>
            <w:pPr>
              <w:autoSpaceDE w:val="0"/>
              <w:autoSpaceDN w:val="0"/>
              <w:adjustRightInd w:val="0"/>
              <w:spacing w:line="44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6" w:type="pct"/>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程  丹</w:t>
            </w:r>
          </w:p>
        </w:tc>
        <w:tc>
          <w:tcPr>
            <w:tcW w:w="1240" w:type="pct"/>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5120190120</w:t>
            </w:r>
          </w:p>
        </w:tc>
        <w:tc>
          <w:tcPr>
            <w:tcW w:w="1240" w:type="pct"/>
          </w:tcPr>
          <w:p>
            <w:pPr>
              <w:autoSpaceDE w:val="0"/>
              <w:autoSpaceDN w:val="0"/>
              <w:adjustRightInd w:val="0"/>
              <w:spacing w:line="500" w:lineRule="exact"/>
              <w:jc w:val="center"/>
              <w:rPr>
                <w:rFonts w:ascii="仿宋" w:hAnsi="仿宋" w:eastAsia="仿宋" w:cs="仿宋"/>
                <w:color w:val="000000"/>
                <w:sz w:val="18"/>
                <w:szCs w:val="18"/>
                <w:lang w:val="zh-CN"/>
              </w:rPr>
            </w:pPr>
          </w:p>
        </w:tc>
        <w:tc>
          <w:tcPr>
            <w:tcW w:w="1264" w:type="pct"/>
          </w:tcPr>
          <w:p>
            <w:pPr>
              <w:autoSpaceDE w:val="0"/>
              <w:autoSpaceDN w:val="0"/>
              <w:adjustRightInd w:val="0"/>
              <w:spacing w:line="500" w:lineRule="exact"/>
              <w:jc w:val="center"/>
              <w:rPr>
                <w:rFonts w:hint="eastAsia" w:ascii="仿宋" w:hAnsi="仿宋" w:eastAsia="仿宋" w:cs="仿宋"/>
                <w:color w:val="000000"/>
                <w:sz w:val="18"/>
                <w:szCs w:val="18"/>
                <w:lang w:val="zh-CN" w:eastAsia="zh-CN"/>
              </w:rPr>
            </w:pPr>
            <w:r>
              <w:rPr>
                <w:rFonts w:hint="eastAsia" w:ascii="仿宋" w:hAnsi="仿宋" w:eastAsia="仿宋" w:cs="仿宋"/>
                <w:color w:val="000000"/>
                <w:sz w:val="18"/>
                <w:szCs w:val="18"/>
                <w:lang w:eastAsia="zh-CN"/>
              </w:rPr>
              <w:t>2020年10月22日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6" w:type="pct"/>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梅治勤</w:t>
            </w:r>
          </w:p>
        </w:tc>
        <w:tc>
          <w:tcPr>
            <w:tcW w:w="1240" w:type="pct"/>
          </w:tcPr>
          <w:p>
            <w:pPr>
              <w:autoSpaceDE w:val="0"/>
              <w:autoSpaceDN w:val="0"/>
              <w:adjustRightInd w:val="0"/>
              <w:spacing w:line="500" w:lineRule="exact"/>
              <w:jc w:val="center"/>
              <w:rPr>
                <w:rFonts w:ascii="仿宋" w:hAnsi="仿宋" w:eastAsia="仿宋" w:cs="仿宋"/>
                <w:color w:val="000000"/>
                <w:sz w:val="18"/>
                <w:szCs w:val="18"/>
                <w:lang w:val="zh-CN"/>
              </w:rPr>
            </w:pPr>
            <w:r>
              <w:rPr>
                <w:rFonts w:hint="eastAsia" w:ascii="仿宋" w:hAnsi="仿宋" w:eastAsia="仿宋" w:cs="仿宋"/>
                <w:color w:val="000000"/>
                <w:sz w:val="18"/>
                <w:szCs w:val="18"/>
                <w:lang w:val="zh-CN"/>
              </w:rPr>
              <w:t>5120160013</w:t>
            </w:r>
          </w:p>
        </w:tc>
        <w:tc>
          <w:tcPr>
            <w:tcW w:w="1240" w:type="pct"/>
          </w:tcPr>
          <w:p>
            <w:pPr>
              <w:autoSpaceDE w:val="0"/>
              <w:autoSpaceDN w:val="0"/>
              <w:adjustRightInd w:val="0"/>
              <w:spacing w:line="500" w:lineRule="exact"/>
              <w:jc w:val="center"/>
              <w:rPr>
                <w:rFonts w:ascii="仿宋" w:hAnsi="仿宋" w:eastAsia="仿宋" w:cs="仿宋"/>
                <w:color w:val="000000"/>
                <w:sz w:val="18"/>
                <w:szCs w:val="18"/>
                <w:lang w:val="zh-CN"/>
              </w:rPr>
            </w:pPr>
          </w:p>
        </w:tc>
        <w:tc>
          <w:tcPr>
            <w:tcW w:w="1264" w:type="pct"/>
          </w:tcPr>
          <w:p>
            <w:pPr>
              <w:autoSpaceDE w:val="0"/>
              <w:autoSpaceDN w:val="0"/>
              <w:adjustRightInd w:val="0"/>
              <w:spacing w:line="500" w:lineRule="exact"/>
              <w:jc w:val="center"/>
              <w:rPr>
                <w:rFonts w:hint="eastAsia" w:ascii="仿宋" w:hAnsi="仿宋" w:eastAsia="仿宋" w:cs="仿宋"/>
                <w:color w:val="000000"/>
                <w:sz w:val="18"/>
                <w:szCs w:val="18"/>
                <w:lang w:val="zh-CN" w:eastAsia="zh-CN"/>
              </w:rPr>
            </w:pPr>
            <w:r>
              <w:rPr>
                <w:rFonts w:hint="eastAsia" w:ascii="仿宋" w:hAnsi="仿宋" w:eastAsia="仿宋" w:cs="仿宋"/>
                <w:color w:val="000000"/>
                <w:sz w:val="18"/>
                <w:szCs w:val="18"/>
                <w:lang w:eastAsia="zh-CN"/>
              </w:rPr>
              <w:t>2020年10月22日</w:t>
            </w:r>
          </w:p>
        </w:tc>
      </w:tr>
    </w:tbl>
    <w:p>
      <w:pPr>
        <w:pStyle w:val="3"/>
        <w:spacing w:line="400" w:lineRule="exact"/>
        <w:rPr>
          <w:rFonts w:ascii="仿宋" w:hAnsi="仿宋" w:eastAsia="仿宋" w:cs="宋体"/>
          <w:color w:val="000000"/>
          <w:sz w:val="24"/>
          <w:szCs w:val="24"/>
        </w:rPr>
      </w:pPr>
      <w:bookmarkStart w:id="57" w:name="_Toc18661"/>
      <w:r>
        <w:rPr>
          <w:rFonts w:hint="eastAsia" w:ascii="仿宋" w:hAnsi="仿宋" w:eastAsia="仿宋" w:cs="宋体"/>
          <w:color w:val="000000"/>
          <w:sz w:val="24"/>
          <w:szCs w:val="24"/>
        </w:rPr>
        <w:t>十二、实地查勘期</w:t>
      </w:r>
      <w:bookmarkEnd w:id="57"/>
    </w:p>
    <w:p>
      <w:pPr>
        <w:spacing w:line="400" w:lineRule="exact"/>
        <w:ind w:firstLine="434" w:firstLineChars="175"/>
        <w:rPr>
          <w:rFonts w:ascii="仿宋" w:hAnsi="仿宋" w:eastAsia="仿宋" w:cs="宋体"/>
          <w:color w:val="000000"/>
          <w:spacing w:val="4"/>
          <w:sz w:val="24"/>
          <w:szCs w:val="24"/>
        </w:rPr>
      </w:pPr>
      <w:r>
        <w:rPr>
          <w:rFonts w:hint="eastAsia" w:ascii="仿宋" w:hAnsi="仿宋" w:eastAsia="仿宋" w:cs="宋体"/>
          <w:color w:val="000000"/>
          <w:spacing w:val="4"/>
          <w:sz w:val="24"/>
          <w:szCs w:val="24"/>
        </w:rPr>
        <w:t>本次估价对估价对象的实地查勘期为</w:t>
      </w:r>
      <w:r>
        <w:rPr>
          <w:rFonts w:hint="eastAsia" w:ascii="仿宋" w:hAnsi="仿宋" w:eastAsia="仿宋" w:cs="宋体"/>
          <w:color w:val="000000"/>
          <w:spacing w:val="4"/>
          <w:sz w:val="24"/>
          <w:szCs w:val="24"/>
          <w:lang w:eastAsia="zh-CN"/>
        </w:rPr>
        <w:t>2020年9月27日</w:t>
      </w:r>
      <w:r>
        <w:rPr>
          <w:rFonts w:hint="eastAsia" w:ascii="仿宋" w:hAnsi="仿宋" w:eastAsia="仿宋" w:cs="宋体"/>
          <w:color w:val="000000"/>
          <w:spacing w:val="4"/>
          <w:sz w:val="24"/>
          <w:szCs w:val="24"/>
        </w:rPr>
        <w:t>。</w:t>
      </w:r>
    </w:p>
    <w:p>
      <w:pPr>
        <w:pStyle w:val="3"/>
        <w:spacing w:line="400" w:lineRule="exact"/>
        <w:rPr>
          <w:rFonts w:ascii="仿宋" w:hAnsi="仿宋" w:eastAsia="仿宋" w:cs="宋体"/>
          <w:color w:val="000000"/>
          <w:sz w:val="24"/>
          <w:szCs w:val="24"/>
        </w:rPr>
      </w:pPr>
      <w:bookmarkStart w:id="58" w:name="_Toc1708"/>
      <w:r>
        <w:rPr>
          <w:rFonts w:hint="eastAsia" w:ascii="仿宋" w:hAnsi="仿宋" w:eastAsia="仿宋" w:cs="宋体"/>
          <w:color w:val="000000"/>
          <w:sz w:val="24"/>
          <w:szCs w:val="24"/>
        </w:rPr>
        <w:t>十三、估价作业期</w:t>
      </w:r>
      <w:bookmarkEnd w:id="58"/>
    </w:p>
    <w:p>
      <w:pPr>
        <w:spacing w:line="400" w:lineRule="exact"/>
        <w:ind w:firstLine="434" w:firstLineChars="175"/>
        <w:rPr>
          <w:rFonts w:ascii="仿宋" w:hAnsi="仿宋" w:eastAsia="仿宋" w:cs="宋体"/>
          <w:color w:val="000000"/>
          <w:spacing w:val="4"/>
          <w:sz w:val="24"/>
          <w:szCs w:val="24"/>
        </w:rPr>
      </w:pPr>
      <w:r>
        <w:rPr>
          <w:rFonts w:hint="eastAsia" w:ascii="仿宋" w:hAnsi="仿宋" w:eastAsia="仿宋" w:cs="宋体"/>
          <w:color w:val="000000"/>
          <w:spacing w:val="4"/>
          <w:sz w:val="24"/>
          <w:szCs w:val="24"/>
        </w:rPr>
        <w:t>本次估价作业期为自受理估价委托之日</w:t>
      </w:r>
      <w:r>
        <w:rPr>
          <w:rFonts w:hint="eastAsia" w:ascii="仿宋" w:hAnsi="仿宋" w:eastAsia="仿宋" w:cs="宋体"/>
          <w:spacing w:val="4"/>
          <w:sz w:val="24"/>
          <w:szCs w:val="24"/>
        </w:rPr>
        <w:t>2019年</w:t>
      </w:r>
      <w:r>
        <w:rPr>
          <w:rFonts w:hint="eastAsia" w:ascii="仿宋" w:hAnsi="仿宋" w:eastAsia="仿宋" w:cs="宋体"/>
          <w:spacing w:val="4"/>
          <w:sz w:val="24"/>
          <w:szCs w:val="24"/>
          <w:lang w:val="en-US" w:eastAsia="zh-CN"/>
        </w:rPr>
        <w:t>9</w:t>
      </w:r>
      <w:r>
        <w:rPr>
          <w:rFonts w:hint="eastAsia" w:ascii="仿宋" w:hAnsi="仿宋" w:eastAsia="仿宋" w:cs="宋体"/>
          <w:spacing w:val="4"/>
          <w:sz w:val="24"/>
          <w:szCs w:val="24"/>
        </w:rPr>
        <w:t>月1</w:t>
      </w:r>
      <w:r>
        <w:rPr>
          <w:rFonts w:hint="eastAsia" w:ascii="仿宋" w:hAnsi="仿宋" w:eastAsia="仿宋" w:cs="宋体"/>
          <w:spacing w:val="4"/>
          <w:sz w:val="24"/>
          <w:szCs w:val="24"/>
          <w:lang w:val="en-US" w:eastAsia="zh-CN"/>
        </w:rPr>
        <w:t>6</w:t>
      </w:r>
      <w:r>
        <w:rPr>
          <w:rFonts w:hint="eastAsia" w:ascii="仿宋" w:hAnsi="仿宋" w:eastAsia="仿宋" w:cs="宋体"/>
          <w:spacing w:val="4"/>
          <w:sz w:val="24"/>
          <w:szCs w:val="24"/>
        </w:rPr>
        <w:t>日至估价</w:t>
      </w:r>
      <w:r>
        <w:rPr>
          <w:rFonts w:hint="eastAsia" w:ascii="仿宋" w:hAnsi="仿宋" w:eastAsia="仿宋" w:cs="宋体"/>
          <w:color w:val="000000"/>
          <w:spacing w:val="4"/>
          <w:sz w:val="24"/>
          <w:szCs w:val="24"/>
        </w:rPr>
        <w:t>报告出具之日</w:t>
      </w:r>
      <w:r>
        <w:rPr>
          <w:rFonts w:hint="eastAsia" w:ascii="仿宋" w:hAnsi="仿宋" w:eastAsia="仿宋" w:cs="宋体"/>
          <w:color w:val="000000"/>
          <w:spacing w:val="4"/>
          <w:sz w:val="24"/>
          <w:szCs w:val="24"/>
          <w:lang w:eastAsia="zh-CN"/>
        </w:rPr>
        <w:t>2020年10月22日</w:t>
      </w:r>
      <w:r>
        <w:rPr>
          <w:rFonts w:hint="eastAsia" w:ascii="仿宋" w:hAnsi="仿宋" w:eastAsia="仿宋" w:cs="宋体"/>
          <w:color w:val="000000"/>
          <w:spacing w:val="4"/>
          <w:sz w:val="24"/>
          <w:szCs w:val="24"/>
        </w:rPr>
        <w:t>止。</w:t>
      </w:r>
    </w:p>
    <w:p>
      <w:pPr>
        <w:pStyle w:val="21"/>
        <w:rPr>
          <w:spacing w:val="4"/>
        </w:rPr>
      </w:pPr>
      <w:r>
        <w:rPr>
          <w:rFonts w:hint="eastAsia" w:ascii="仿宋" w:hAnsi="仿宋" w:eastAsia="仿宋"/>
          <w:spacing w:val="4"/>
          <w:sz w:val="24"/>
          <w:szCs w:val="24"/>
        </w:rPr>
        <w:br w:type="page"/>
      </w:r>
      <w:bookmarkStart w:id="59" w:name="_Toc3426"/>
      <w:r>
        <w:rPr>
          <w:rFonts w:hint="eastAsia"/>
        </w:rPr>
        <w:t>估价报告附件</w:t>
      </w:r>
      <w:bookmarkEnd w:id="59"/>
    </w:p>
    <w:p/>
    <w:p>
      <w:pPr>
        <w:pStyle w:val="3"/>
        <w:numPr>
          <w:ilvl w:val="0"/>
          <w:numId w:val="5"/>
        </w:numPr>
        <w:spacing w:line="460" w:lineRule="exact"/>
        <w:ind w:left="0" w:leftChars="0" w:firstLine="420" w:firstLineChars="0"/>
        <w:rPr>
          <w:rFonts w:ascii="仿宋" w:hAnsi="仿宋" w:eastAsia="仿宋" w:cs="仿宋"/>
          <w:b w:val="0"/>
          <w:color w:val="000000"/>
          <w:sz w:val="24"/>
          <w:szCs w:val="24"/>
        </w:rPr>
      </w:pPr>
      <w:bookmarkStart w:id="60" w:name="_Toc18835"/>
      <w:r>
        <w:rPr>
          <w:rFonts w:hint="eastAsia" w:ascii="仿宋" w:hAnsi="仿宋" w:eastAsia="仿宋" w:cs="仿宋"/>
          <w:b w:val="0"/>
          <w:color w:val="000000"/>
          <w:sz w:val="24"/>
          <w:szCs w:val="24"/>
        </w:rPr>
        <w:t>《</w:t>
      </w:r>
      <w:r>
        <w:rPr>
          <w:rFonts w:hint="eastAsia" w:ascii="仿宋" w:hAnsi="仿宋" w:eastAsia="仿宋" w:cs="仿宋"/>
          <w:b w:val="0"/>
          <w:color w:val="000000"/>
          <w:sz w:val="24"/>
          <w:szCs w:val="24"/>
          <w:lang w:eastAsia="zh-CN"/>
        </w:rPr>
        <w:t>四川省富顺县人民法院</w:t>
      </w:r>
      <w:r>
        <w:rPr>
          <w:rFonts w:hint="eastAsia" w:ascii="仿宋" w:hAnsi="仿宋" w:eastAsia="仿宋" w:cs="仿宋"/>
          <w:b w:val="0"/>
          <w:color w:val="000000"/>
          <w:sz w:val="24"/>
          <w:szCs w:val="24"/>
        </w:rPr>
        <w:t>委托书》复印件</w:t>
      </w:r>
      <w:bookmarkEnd w:id="60"/>
      <w:bookmarkStart w:id="61" w:name="_Toc28981"/>
    </w:p>
    <w:p>
      <w:pPr>
        <w:pStyle w:val="3"/>
        <w:numPr>
          <w:ilvl w:val="0"/>
          <w:numId w:val="5"/>
        </w:numPr>
        <w:spacing w:line="460" w:lineRule="exact"/>
        <w:ind w:left="0" w:leftChars="0" w:firstLine="420" w:firstLineChars="0"/>
        <w:rPr>
          <w:rFonts w:ascii="仿宋" w:hAnsi="仿宋" w:eastAsia="仿宋" w:cs="仿宋"/>
          <w:b w:val="0"/>
          <w:color w:val="000000"/>
          <w:sz w:val="24"/>
          <w:szCs w:val="24"/>
        </w:rPr>
      </w:pPr>
      <w:bookmarkStart w:id="62" w:name="_Toc12980"/>
      <w:r>
        <w:rPr>
          <w:rFonts w:hint="eastAsia" w:ascii="仿宋" w:hAnsi="仿宋" w:eastAsia="仿宋" w:cs="仿宋"/>
          <w:b w:val="0"/>
          <w:color w:val="000000"/>
          <w:sz w:val="24"/>
          <w:szCs w:val="24"/>
        </w:rPr>
        <w:t>估价对象</w:t>
      </w:r>
      <w:bookmarkEnd w:id="61"/>
      <w:r>
        <w:rPr>
          <w:rFonts w:hint="eastAsia" w:ascii="仿宋" w:hAnsi="仿宋" w:eastAsia="仿宋" w:cs="仿宋"/>
          <w:b w:val="0"/>
          <w:color w:val="000000"/>
          <w:sz w:val="24"/>
          <w:szCs w:val="24"/>
        </w:rPr>
        <w:t>位置图</w:t>
      </w:r>
      <w:bookmarkEnd w:id="62"/>
      <w:bookmarkStart w:id="63" w:name="_Toc3353"/>
    </w:p>
    <w:p>
      <w:pPr>
        <w:pStyle w:val="3"/>
        <w:numPr>
          <w:ilvl w:val="0"/>
          <w:numId w:val="5"/>
        </w:numPr>
        <w:spacing w:line="460" w:lineRule="exact"/>
        <w:ind w:left="0" w:leftChars="0" w:firstLine="420" w:firstLineChars="0"/>
        <w:rPr>
          <w:rFonts w:ascii="仿宋" w:hAnsi="仿宋" w:eastAsia="仿宋" w:cs="仿宋"/>
          <w:b w:val="0"/>
          <w:color w:val="000000"/>
          <w:sz w:val="24"/>
          <w:szCs w:val="24"/>
        </w:rPr>
      </w:pPr>
      <w:bookmarkStart w:id="64" w:name="_Toc12836"/>
      <w:r>
        <w:rPr>
          <w:rFonts w:hint="eastAsia" w:ascii="仿宋" w:hAnsi="仿宋" w:eastAsia="仿宋" w:cs="仿宋"/>
          <w:b w:val="0"/>
          <w:color w:val="000000"/>
          <w:sz w:val="24"/>
          <w:szCs w:val="24"/>
        </w:rPr>
        <w:t>估价对象实地查勘情况和相关照片</w:t>
      </w:r>
      <w:bookmarkEnd w:id="63"/>
      <w:bookmarkEnd w:id="64"/>
      <w:bookmarkStart w:id="65" w:name="_Toc20965"/>
    </w:p>
    <w:p>
      <w:pPr>
        <w:pStyle w:val="3"/>
        <w:numPr>
          <w:ilvl w:val="0"/>
          <w:numId w:val="5"/>
        </w:numPr>
        <w:spacing w:line="460" w:lineRule="exact"/>
        <w:ind w:left="0" w:leftChars="0" w:firstLine="420" w:firstLineChars="0"/>
        <w:rPr>
          <w:rFonts w:ascii="仿宋" w:hAnsi="仿宋" w:eastAsia="仿宋" w:cs="仿宋"/>
          <w:b w:val="0"/>
          <w:color w:val="000000"/>
          <w:sz w:val="24"/>
          <w:szCs w:val="24"/>
        </w:rPr>
      </w:pPr>
      <w:bookmarkStart w:id="66" w:name="_Toc520822807"/>
      <w:bookmarkStart w:id="67" w:name="_Toc1930"/>
      <w:r>
        <w:rPr>
          <w:rFonts w:hint="eastAsia" w:ascii="仿宋" w:hAnsi="仿宋" w:eastAsia="仿宋" w:cs="仿宋"/>
          <w:b w:val="0"/>
          <w:color w:val="000000"/>
          <w:sz w:val="24"/>
          <w:szCs w:val="24"/>
        </w:rPr>
        <w:t>估价对象权属证明复印件（</w:t>
      </w:r>
      <w:bookmarkEnd w:id="66"/>
      <w:bookmarkStart w:id="68" w:name="_Toc520822809"/>
      <w:r>
        <w:rPr>
          <w:rFonts w:hint="eastAsia" w:ascii="仿宋" w:hAnsi="仿宋" w:eastAsia="仿宋" w:cs="仿宋"/>
          <w:b w:val="0"/>
          <w:color w:val="000000"/>
          <w:sz w:val="24"/>
          <w:szCs w:val="24"/>
          <w:lang w:eastAsia="zh-CN"/>
        </w:rPr>
        <w:t>《房产登记信息查询情况说明》</w:t>
      </w:r>
      <w:r>
        <w:rPr>
          <w:rFonts w:hint="eastAsia" w:ascii="仿宋" w:hAnsi="仿宋" w:eastAsia="仿宋" w:cs="仿宋"/>
          <w:b w:val="0"/>
          <w:color w:val="000000"/>
          <w:sz w:val="24"/>
          <w:szCs w:val="24"/>
        </w:rPr>
        <w:t>）</w:t>
      </w:r>
      <w:bookmarkEnd w:id="65"/>
      <w:bookmarkEnd w:id="67"/>
      <w:bookmarkEnd w:id="68"/>
    </w:p>
    <w:p>
      <w:pPr>
        <w:pStyle w:val="3"/>
        <w:numPr>
          <w:ilvl w:val="0"/>
          <w:numId w:val="5"/>
        </w:numPr>
        <w:spacing w:line="460" w:lineRule="exact"/>
        <w:ind w:left="0" w:leftChars="0" w:firstLine="420" w:firstLineChars="0"/>
        <w:rPr>
          <w:rFonts w:ascii="仿宋" w:hAnsi="仿宋" w:eastAsia="仿宋" w:cs="仿宋"/>
          <w:b w:val="0"/>
          <w:color w:val="000000"/>
          <w:sz w:val="24"/>
          <w:szCs w:val="24"/>
        </w:rPr>
      </w:pPr>
      <w:bookmarkStart w:id="69" w:name="_Toc16293"/>
      <w:bookmarkStart w:id="70" w:name="_Toc2601"/>
      <w:r>
        <w:rPr>
          <w:rFonts w:hint="eastAsia" w:ascii="仿宋" w:hAnsi="仿宋" w:eastAsia="仿宋" w:cs="仿宋"/>
          <w:b w:val="0"/>
          <w:color w:val="000000"/>
          <w:sz w:val="24"/>
          <w:szCs w:val="24"/>
        </w:rPr>
        <w:t>专业帮助情况和相关专业意见说明</w:t>
      </w:r>
      <w:bookmarkEnd w:id="69"/>
    </w:p>
    <w:bookmarkEnd w:id="70"/>
    <w:p>
      <w:pPr>
        <w:pStyle w:val="3"/>
        <w:numPr>
          <w:ilvl w:val="0"/>
          <w:numId w:val="5"/>
        </w:numPr>
        <w:spacing w:line="460" w:lineRule="exact"/>
        <w:ind w:left="0" w:leftChars="0" w:firstLine="420" w:firstLineChars="0"/>
        <w:rPr>
          <w:rFonts w:ascii="仿宋" w:hAnsi="仿宋" w:eastAsia="仿宋" w:cs="仿宋"/>
          <w:b w:val="0"/>
          <w:color w:val="000000"/>
          <w:sz w:val="24"/>
          <w:szCs w:val="24"/>
        </w:rPr>
      </w:pPr>
      <w:bookmarkStart w:id="71" w:name="_Toc5149"/>
      <w:bookmarkStart w:id="72" w:name="_Toc11183"/>
      <w:r>
        <w:rPr>
          <w:rFonts w:hint="eastAsia" w:ascii="仿宋" w:hAnsi="仿宋" w:eastAsia="仿宋" w:cs="仿宋"/>
          <w:b w:val="0"/>
          <w:color w:val="000000"/>
          <w:sz w:val="24"/>
          <w:szCs w:val="24"/>
        </w:rPr>
        <w:t>评估机构营业执照及备案证书复印件</w:t>
      </w:r>
      <w:bookmarkEnd w:id="71"/>
    </w:p>
    <w:p>
      <w:pPr>
        <w:pStyle w:val="3"/>
        <w:numPr>
          <w:ilvl w:val="0"/>
          <w:numId w:val="5"/>
        </w:numPr>
        <w:spacing w:line="460" w:lineRule="exact"/>
        <w:ind w:left="0" w:leftChars="0" w:firstLine="420" w:firstLineChars="0"/>
        <w:rPr>
          <w:rFonts w:ascii="仿宋" w:hAnsi="仿宋" w:eastAsia="仿宋" w:cs="仿宋"/>
          <w:b w:val="0"/>
          <w:color w:val="000000"/>
          <w:sz w:val="24"/>
          <w:szCs w:val="24"/>
        </w:rPr>
      </w:pPr>
      <w:bookmarkStart w:id="73" w:name="_Toc28495"/>
      <w:r>
        <w:rPr>
          <w:rFonts w:hint="eastAsia" w:ascii="仿宋" w:hAnsi="仿宋" w:eastAsia="仿宋" w:cs="仿宋"/>
          <w:b w:val="0"/>
          <w:color w:val="000000"/>
          <w:sz w:val="24"/>
          <w:szCs w:val="24"/>
        </w:rPr>
        <w:t>注册房地产估价师注册证书复印件</w:t>
      </w:r>
      <w:bookmarkEnd w:id="22"/>
      <w:bookmarkEnd w:id="23"/>
      <w:bookmarkEnd w:id="72"/>
      <w:bookmarkEnd w:id="73"/>
    </w:p>
    <w:sectPr>
      <w:footerReference r:id="rId11" w:type="first"/>
      <w:footerReference r:id="rId10" w:type="default"/>
      <w:pgSz w:w="11906" w:h="16838"/>
      <w:pgMar w:top="1440" w:right="1111" w:bottom="1440" w:left="1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隶书">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w:rPr>
        <w:rFonts w:hint="eastAsia"/>
        <w:u w:val="double"/>
      </w:rPr>
      <w:t xml:space="preserve">                                                                                                              </w:t>
    </w:r>
    <w:r>
      <w:rPr>
        <w:rFonts w:hint="eastAsia"/>
        <w:u w:val="single"/>
      </w:rPr>
      <w:t xml:space="preserve">  </w:t>
    </w:r>
  </w:p>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mc:AlternateContent>
        <mc:Choice Requires="wps">
          <w:drawing>
            <wp:anchor distT="0" distB="0" distL="114300" distR="114300" simplePos="0" relativeHeight="25203302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vert="horz" wrap="none" lIns="0" tIns="0" rIns="0" bIns="0" anchor="t">
                      <a:spAutoFit/>
                    </wps:bodyPr>
                  </wps:wsp>
                </a:graphicData>
              </a:graphic>
            </wp:anchor>
          </w:drawing>
        </mc:Choice>
        <mc:Fallback>
          <w:pict>
            <v:shape id="文本框 12" o:spid="_x0000_s1026" o:spt="202" type="#_x0000_t202" style="position:absolute;left:0pt;margin-top:0pt;height:144pt;width:144pt;mso-position-horizontal:right;mso-position-horizontal-relative:margin;mso-wrap-style:none;z-index:252033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1648QBAABu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r>
      <w:rPr>
        <w:rFonts w:hint="eastAsia"/>
        <w:u w:val="double"/>
      </w:rPr>
      <w:t xml:space="preserve">                                                                                                              </w:t>
    </w:r>
    <w:r>
      <w:rPr>
        <w:rFonts w:hint="eastAsia"/>
        <w:u w:val="single"/>
      </w:rPr>
      <w:t xml:space="preserve">  </w:t>
    </w:r>
  </w:p>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w:rPr>
        <w:rFonts w:hint="eastAsia"/>
        <w:u w:val="double"/>
      </w:rPr>
      <w:t xml:space="preserve">                                                                                                              </w:t>
    </w:r>
    <w:r>
      <w:rPr>
        <w:rFonts w:hint="eastAsia"/>
        <w:u w:val="single"/>
      </w:rPr>
      <w:t xml:space="preserve">  </w:t>
    </w:r>
  </w:p>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mc:AlternateContent>
        <mc:Choice Requires="wps">
          <w:drawing>
            <wp:anchor distT="0" distB="0" distL="114300" distR="114300" simplePos="0" relativeHeight="251827200"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8272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TzgHLwwEAAG8DAAAOAAAAAAAAAAEAIAAAAB4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r>
      <w:rPr>
        <w:rFonts w:hint="eastAsia"/>
        <w:u w:val="double"/>
      </w:rPr>
      <w:t xml:space="preserve">                                                                                                              </w:t>
    </w:r>
    <w:r>
      <w:rPr>
        <w:rFonts w:hint="eastAsia"/>
        <w:u w:val="single"/>
      </w:rPr>
      <w:t xml:space="preserve">  </w:t>
    </w:r>
  </w:p>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5A5A5" w:sz="4" w:space="1"/>
      </w:pBdr>
      <w:rPr>
        <w:rFonts w:eastAsia="仿宋"/>
      </w:rPr>
    </w:pPr>
    <w:r>
      <w:rPr>
        <w:rFonts w:eastAsia="仿宋"/>
      </w:rPr>
      <w:t>成都市金牛区星辉中路5号Chengdu Jinniu District City Star Road No. 5       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eastAsia="仿宋"/>
      </w:rPr>
      <w:t>Contact number</w:t>
    </w:r>
    <w:r>
      <w:rPr>
        <w:rFonts w:eastAsia="仿宋"/>
      </w:rPr>
      <w:fldChar w:fldCharType="end"/>
    </w:r>
    <w:r>
      <w:rPr>
        <w:rFonts w:eastAsia="仿宋"/>
      </w:rPr>
      <w:t xml:space="preserve"> 028-87778230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mc:AlternateContent>
        <mc:Choice Requires="wps">
          <w:drawing>
            <wp:anchor distT="0" distB="0" distL="114300" distR="114300" simplePos="0" relativeHeight="251705344" behindDoc="0" locked="0" layoutInCell="1" allowOverlap="1">
              <wp:simplePos x="0" y="0"/>
              <wp:positionH relativeFrom="margin">
                <wp:align>right</wp:align>
              </wp:positionH>
              <wp:positionV relativeFrom="paragraph">
                <wp:posOffset>0</wp:posOffset>
              </wp:positionV>
              <wp:extent cx="191135" cy="131445"/>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911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lIns="0" tIns="0" rIns="0" bIns="0" upright="1">
                      <a:spAutoFit/>
                    </wps:bodyPr>
                  </wps:wsp>
                </a:graphicData>
              </a:graphic>
            </wp:anchor>
          </w:drawing>
        </mc:Choice>
        <mc:Fallback>
          <w:pict>
            <v:shape id="文本框 11" o:spid="_x0000_s1026" o:spt="202" type="#_x0000_t202" style="position:absolute;left:0pt;margin-top:0pt;height:10.35pt;width:15.05pt;mso-position-horizontal:right;mso-position-horizontal-relative:margin;z-index:251705344;mso-width-relative:page;mso-height-relative:page;" filled="f" stroked="f" coordsize="21600,21600" o:gfxdata="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IeKjO0QAAAAMBAAAPAAAA&#10;AAAAAAEAIAAAACIAAABkcnMvZG93bnJldi54bWxQSwECFAAUAAAACACHTuJAztDFDqoBAAA+AwAA&#10;DgAAAAAAAAABACAAAAAgAQAAZHJzL2Uyb0RvYy54bWxQSwUGAAAAAAYABgBZAQAAP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p>
    <w:pPr>
      <w:pStyle w:val="17"/>
      <w:pBdr>
        <w:top w:val="single" w:color="A5A5A5" w:sz="4" w:space="1"/>
      </w:pBdr>
      <w:rPr>
        <w:rFonts w:eastAsia="仿宋"/>
      </w:rPr>
    </w:pPr>
    <w:r>
      <w:rPr>
        <w:rFonts w:eastAsia="仿宋"/>
      </w:rPr>
      <w:t>成都市金牛区星辉中路5号Chengdu Jinniu District City Star Road No. 5      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eastAsia="仿宋"/>
      </w:rPr>
      <w:t>Contact number</w:t>
    </w:r>
    <w:r>
      <w:rPr>
        <w:rFonts w:eastAsia="仿宋"/>
      </w:rPr>
      <w:fldChar w:fldCharType="end"/>
    </w:r>
    <w:r>
      <w:rPr>
        <w:rFonts w:eastAsia="仿宋"/>
      </w:rPr>
      <w:t xml:space="preserve"> 028-87778230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mc:AlternateContent>
        <mc:Choice Requires="wps">
          <w:drawing>
            <wp:anchor distT="0" distB="0" distL="114300" distR="114300" simplePos="0" relativeHeight="25173504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vert="horz" wrap="none" lIns="0" tIns="0" rIns="0" bIns="0" anchor="t">
                      <a:spAutoFit/>
                    </wps:bodyPr>
                  </wps:wsp>
                </a:graphicData>
              </a:graphic>
            </wp:anchor>
          </w:drawing>
        </mc:Choice>
        <mc:Fallback>
          <w:pict>
            <v:shape id="文本框 12" o:spid="_x0000_s1026" o:spt="202" type="#_x0000_t202" style="position:absolute;left:0pt;margin-top:0pt;height:144pt;width:144pt;mso-position-horizontal:right;mso-position-horizontal-relative:margin;mso-wrap-style:none;z-index:2517350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2eQCMMQBAABv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u w:val="double"/>
      </w:rPr>
      <w:t xml:space="preserve">                                                                                                              </w:t>
    </w:r>
    <w:r>
      <w:rPr>
        <w:rFonts w:hint="eastAsia"/>
        <w:u w:val="single"/>
      </w:rPr>
      <w:t xml:space="preserve">  </w:t>
    </w:r>
  </w:p>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ind w:right="384" w:rightChars="183"/>
    </w:pPr>
    <w:r>
      <w:drawing>
        <wp:inline distT="0" distB="0" distL="114300" distR="114300">
          <wp:extent cx="380365" cy="138430"/>
          <wp:effectExtent l="0" t="0" r="635" b="13970"/>
          <wp:docPr id="3" name="图片 3" descr="定CTC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定CTC左右"/>
                  <pic:cNvPicPr>
                    <a:picLocks noChangeAspect="1"/>
                  </pic:cNvPicPr>
                </pic:nvPicPr>
                <pic:blipFill>
                  <a:blip r:embed="rId1"/>
                  <a:stretch>
                    <a:fillRect/>
                  </a:stretch>
                </pic:blipFill>
                <pic:spPr>
                  <a:xfrm>
                    <a:off x="0" y="0"/>
                    <a:ext cx="380365" cy="138430"/>
                  </a:xfrm>
                  <a:prstGeom prst="rect">
                    <a:avLst/>
                  </a:prstGeom>
                  <a:noFill/>
                  <a:ln>
                    <a:noFill/>
                  </a:ln>
                </pic:spPr>
              </pic:pic>
            </a:graphicData>
          </a:graphic>
        </wp:inline>
      </w:drawing>
    </w:r>
    <w:r>
      <w:rPr>
        <w:rStyle w:val="33"/>
        <w:rFonts w:hint="eastAsia"/>
      </w:rPr>
      <w:t xml:space="preserve">天成估价Tiancheng real estate appraisal   </w:t>
    </w:r>
    <w:r>
      <w:rPr>
        <w:rFonts w:hint="eastAsia"/>
      </w:rPr>
      <w:t xml:space="preserve">      </w:t>
    </w:r>
    <w:r>
      <w:rPr>
        <w:rStyle w:val="33"/>
        <w:rFonts w:hint="eastAsia"/>
      </w:rPr>
      <w:t>估价报告</w:t>
    </w:r>
    <w:r>
      <w:rPr>
        <w:rStyle w:val="33"/>
      </w:rPr>
      <w:t>Real estate appraisal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pPr>
    <w:r>
      <w:drawing>
        <wp:inline distT="0" distB="0" distL="114300" distR="114300">
          <wp:extent cx="380365" cy="138430"/>
          <wp:effectExtent l="0" t="0" r="635" b="13970"/>
          <wp:docPr id="4" name="图片 4" descr="定CTC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定CTC左右"/>
                  <pic:cNvPicPr>
                    <a:picLocks noChangeAspect="1"/>
                  </pic:cNvPicPr>
                </pic:nvPicPr>
                <pic:blipFill>
                  <a:blip r:embed="rId1"/>
                  <a:stretch>
                    <a:fillRect/>
                  </a:stretch>
                </pic:blipFill>
                <pic:spPr>
                  <a:xfrm>
                    <a:off x="0" y="0"/>
                    <a:ext cx="380365" cy="138430"/>
                  </a:xfrm>
                  <a:prstGeom prst="rect">
                    <a:avLst/>
                  </a:prstGeom>
                  <a:noFill/>
                  <a:ln>
                    <a:noFill/>
                  </a:ln>
                </pic:spPr>
              </pic:pic>
            </a:graphicData>
          </a:graphic>
        </wp:inline>
      </w:drawing>
    </w:r>
    <w:r>
      <w:rPr>
        <w:rStyle w:val="33"/>
        <w:rFonts w:hint="eastAsia" w:ascii="仿宋" w:hAnsi="仿宋" w:eastAsia="仿宋" w:cs="仿宋"/>
      </w:rPr>
      <w:t>天成估价</w:t>
    </w:r>
    <w:r>
      <w:rPr>
        <w:rStyle w:val="33"/>
        <w:rFonts w:hint="eastAsia"/>
      </w:rPr>
      <w:t xml:space="preserve">Tiancheng real estate appraisal   </w:t>
    </w:r>
    <w:r>
      <w:rPr>
        <w:rFonts w:hint="eastAsia"/>
      </w:rPr>
      <w:t xml:space="preserve">                    </w:t>
    </w:r>
    <w:r>
      <w:rPr>
        <w:rStyle w:val="33"/>
        <w:rFonts w:hint="eastAsia" w:ascii="仿宋" w:hAnsi="仿宋" w:eastAsia="仿宋" w:cs="仿宋"/>
      </w:rPr>
      <w:t>估价报告</w:t>
    </w:r>
    <w:r>
      <w:rPr>
        <w:rStyle w:val="33"/>
      </w:rPr>
      <w:t>appraisal report</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FC443"/>
    <w:multiLevelType w:val="singleLevel"/>
    <w:tmpl w:val="9F7FC443"/>
    <w:lvl w:ilvl="0" w:tentative="0">
      <w:start w:val="1"/>
      <w:numFmt w:val="chineseCounting"/>
      <w:suff w:val="nothing"/>
      <w:lvlText w:val="%1、"/>
      <w:lvlJc w:val="left"/>
      <w:pPr>
        <w:ind w:left="0" w:firstLine="420"/>
      </w:pPr>
      <w:rPr>
        <w:rFonts w:hint="eastAsia"/>
      </w:rPr>
    </w:lvl>
  </w:abstractNum>
  <w:abstractNum w:abstractNumId="1">
    <w:nsid w:val="CCCC16E4"/>
    <w:multiLevelType w:val="singleLevel"/>
    <w:tmpl w:val="CCCC16E4"/>
    <w:lvl w:ilvl="0" w:tentative="0">
      <w:start w:val="7"/>
      <w:numFmt w:val="decimal"/>
      <w:suff w:val="nothing"/>
      <w:lvlText w:val="%1、"/>
      <w:lvlJc w:val="left"/>
    </w:lvl>
  </w:abstractNum>
  <w:abstractNum w:abstractNumId="2">
    <w:nsid w:val="55D6DCAE"/>
    <w:multiLevelType w:val="singleLevel"/>
    <w:tmpl w:val="55D6DCAE"/>
    <w:lvl w:ilvl="0" w:tentative="0">
      <w:start w:val="6"/>
      <w:numFmt w:val="chineseCounting"/>
      <w:suff w:val="nothing"/>
      <w:lvlText w:val="%1、"/>
      <w:lvlJc w:val="left"/>
    </w:lvl>
  </w:abstractNum>
  <w:abstractNum w:abstractNumId="3">
    <w:nsid w:val="55E643E1"/>
    <w:multiLevelType w:val="singleLevel"/>
    <w:tmpl w:val="55E643E1"/>
    <w:lvl w:ilvl="0" w:tentative="0">
      <w:start w:val="1"/>
      <w:numFmt w:val="chineseCounting"/>
      <w:suff w:val="nothing"/>
      <w:lvlText w:val="%1、"/>
      <w:lvlJc w:val="left"/>
    </w:lvl>
  </w:abstractNum>
  <w:abstractNum w:abstractNumId="4">
    <w:nsid w:val="55E64C02"/>
    <w:multiLevelType w:val="singleLevel"/>
    <w:tmpl w:val="55E64C02"/>
    <w:lvl w:ilvl="0" w:tentative="0">
      <w:start w:val="3"/>
      <w:numFmt w:val="chineseCounting"/>
      <w:suff w:val="nothing"/>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5B"/>
    <w:rsid w:val="00001D01"/>
    <w:rsid w:val="000020C8"/>
    <w:rsid w:val="00002692"/>
    <w:rsid w:val="000035C0"/>
    <w:rsid w:val="000051DE"/>
    <w:rsid w:val="0000628D"/>
    <w:rsid w:val="000068A0"/>
    <w:rsid w:val="000072B5"/>
    <w:rsid w:val="00011B86"/>
    <w:rsid w:val="00011EA8"/>
    <w:rsid w:val="000145A9"/>
    <w:rsid w:val="000161E2"/>
    <w:rsid w:val="000206EC"/>
    <w:rsid w:val="00022DF8"/>
    <w:rsid w:val="0002318D"/>
    <w:rsid w:val="000237E5"/>
    <w:rsid w:val="00024D69"/>
    <w:rsid w:val="000253B3"/>
    <w:rsid w:val="000258F7"/>
    <w:rsid w:val="00025E34"/>
    <w:rsid w:val="00031979"/>
    <w:rsid w:val="00031AEC"/>
    <w:rsid w:val="00031E35"/>
    <w:rsid w:val="00034014"/>
    <w:rsid w:val="00034CF7"/>
    <w:rsid w:val="00036E66"/>
    <w:rsid w:val="000401C9"/>
    <w:rsid w:val="00041FF8"/>
    <w:rsid w:val="0004583C"/>
    <w:rsid w:val="00045D39"/>
    <w:rsid w:val="00046155"/>
    <w:rsid w:val="00046C0C"/>
    <w:rsid w:val="000504CD"/>
    <w:rsid w:val="0005324A"/>
    <w:rsid w:val="0005565B"/>
    <w:rsid w:val="00061A6B"/>
    <w:rsid w:val="00062B5C"/>
    <w:rsid w:val="00062FD8"/>
    <w:rsid w:val="0006368B"/>
    <w:rsid w:val="000647E8"/>
    <w:rsid w:val="00064E15"/>
    <w:rsid w:val="000654A2"/>
    <w:rsid w:val="00072BBA"/>
    <w:rsid w:val="00073EE4"/>
    <w:rsid w:val="00077236"/>
    <w:rsid w:val="0008426B"/>
    <w:rsid w:val="0008456C"/>
    <w:rsid w:val="00090477"/>
    <w:rsid w:val="00092260"/>
    <w:rsid w:val="00093605"/>
    <w:rsid w:val="0009392F"/>
    <w:rsid w:val="00095ECE"/>
    <w:rsid w:val="00097B82"/>
    <w:rsid w:val="000A0493"/>
    <w:rsid w:val="000A37B6"/>
    <w:rsid w:val="000A5379"/>
    <w:rsid w:val="000A6680"/>
    <w:rsid w:val="000B185C"/>
    <w:rsid w:val="000B26C9"/>
    <w:rsid w:val="000C3C22"/>
    <w:rsid w:val="000C4533"/>
    <w:rsid w:val="000C57F9"/>
    <w:rsid w:val="000C5AB6"/>
    <w:rsid w:val="000C60BB"/>
    <w:rsid w:val="000C7EA3"/>
    <w:rsid w:val="000D00AE"/>
    <w:rsid w:val="000D0A4A"/>
    <w:rsid w:val="000D1464"/>
    <w:rsid w:val="000D20E4"/>
    <w:rsid w:val="000D4E49"/>
    <w:rsid w:val="000E034D"/>
    <w:rsid w:val="000E20D1"/>
    <w:rsid w:val="000E33B9"/>
    <w:rsid w:val="000E48C6"/>
    <w:rsid w:val="000E76B8"/>
    <w:rsid w:val="000E7BBB"/>
    <w:rsid w:val="000F07E0"/>
    <w:rsid w:val="000F3A88"/>
    <w:rsid w:val="000F68E3"/>
    <w:rsid w:val="000F7FBA"/>
    <w:rsid w:val="000F7FE8"/>
    <w:rsid w:val="00102902"/>
    <w:rsid w:val="00102A4A"/>
    <w:rsid w:val="001045EA"/>
    <w:rsid w:val="001070E8"/>
    <w:rsid w:val="00107D4C"/>
    <w:rsid w:val="00110491"/>
    <w:rsid w:val="001132E8"/>
    <w:rsid w:val="0011336F"/>
    <w:rsid w:val="0012000B"/>
    <w:rsid w:val="00122E7D"/>
    <w:rsid w:val="001230AF"/>
    <w:rsid w:val="001237E4"/>
    <w:rsid w:val="00123FD5"/>
    <w:rsid w:val="00126BD1"/>
    <w:rsid w:val="00140982"/>
    <w:rsid w:val="001412A7"/>
    <w:rsid w:val="00142B3F"/>
    <w:rsid w:val="00153859"/>
    <w:rsid w:val="00154F2A"/>
    <w:rsid w:val="00156FEA"/>
    <w:rsid w:val="00157679"/>
    <w:rsid w:val="001578A3"/>
    <w:rsid w:val="0016161E"/>
    <w:rsid w:val="0016173B"/>
    <w:rsid w:val="001617CB"/>
    <w:rsid w:val="001621C8"/>
    <w:rsid w:val="0016465A"/>
    <w:rsid w:val="001662AA"/>
    <w:rsid w:val="00172A27"/>
    <w:rsid w:val="001746B0"/>
    <w:rsid w:val="00183746"/>
    <w:rsid w:val="00184008"/>
    <w:rsid w:val="0018466B"/>
    <w:rsid w:val="0018620B"/>
    <w:rsid w:val="00190151"/>
    <w:rsid w:val="0019069E"/>
    <w:rsid w:val="00190EE3"/>
    <w:rsid w:val="001925D5"/>
    <w:rsid w:val="001932B6"/>
    <w:rsid w:val="00193555"/>
    <w:rsid w:val="0019355A"/>
    <w:rsid w:val="00193B50"/>
    <w:rsid w:val="001940C4"/>
    <w:rsid w:val="0019452C"/>
    <w:rsid w:val="00196368"/>
    <w:rsid w:val="00196F4E"/>
    <w:rsid w:val="00197728"/>
    <w:rsid w:val="001A15B1"/>
    <w:rsid w:val="001A1E07"/>
    <w:rsid w:val="001A6EC6"/>
    <w:rsid w:val="001A77AB"/>
    <w:rsid w:val="001A7F3E"/>
    <w:rsid w:val="001B10F3"/>
    <w:rsid w:val="001B1F06"/>
    <w:rsid w:val="001B2452"/>
    <w:rsid w:val="001B28D6"/>
    <w:rsid w:val="001B4AE1"/>
    <w:rsid w:val="001B5053"/>
    <w:rsid w:val="001B5979"/>
    <w:rsid w:val="001C02FA"/>
    <w:rsid w:val="001C0902"/>
    <w:rsid w:val="001C0E2B"/>
    <w:rsid w:val="001C12A8"/>
    <w:rsid w:val="001C2DD5"/>
    <w:rsid w:val="001C3E9B"/>
    <w:rsid w:val="001C49EE"/>
    <w:rsid w:val="001D2FCB"/>
    <w:rsid w:val="001D4F5F"/>
    <w:rsid w:val="001D4F78"/>
    <w:rsid w:val="001D5B8E"/>
    <w:rsid w:val="001D5FBB"/>
    <w:rsid w:val="001D67AB"/>
    <w:rsid w:val="001D7865"/>
    <w:rsid w:val="001E0BF8"/>
    <w:rsid w:val="001E2EBB"/>
    <w:rsid w:val="001E37D7"/>
    <w:rsid w:val="001E3DD6"/>
    <w:rsid w:val="001E651F"/>
    <w:rsid w:val="001F04D4"/>
    <w:rsid w:val="001F16B8"/>
    <w:rsid w:val="001F2313"/>
    <w:rsid w:val="001F4139"/>
    <w:rsid w:val="001F4C1F"/>
    <w:rsid w:val="001F5E8C"/>
    <w:rsid w:val="001F6999"/>
    <w:rsid w:val="001F6EA3"/>
    <w:rsid w:val="00201E52"/>
    <w:rsid w:val="00202A83"/>
    <w:rsid w:val="00206ED9"/>
    <w:rsid w:val="002070C0"/>
    <w:rsid w:val="0021256D"/>
    <w:rsid w:val="00213171"/>
    <w:rsid w:val="002131A5"/>
    <w:rsid w:val="002154F4"/>
    <w:rsid w:val="00221DDA"/>
    <w:rsid w:val="00222D0E"/>
    <w:rsid w:val="002269B5"/>
    <w:rsid w:val="002308B1"/>
    <w:rsid w:val="00230C6B"/>
    <w:rsid w:val="002319A2"/>
    <w:rsid w:val="002365E4"/>
    <w:rsid w:val="002414FF"/>
    <w:rsid w:val="00245657"/>
    <w:rsid w:val="002478B6"/>
    <w:rsid w:val="00247B9D"/>
    <w:rsid w:val="00247D17"/>
    <w:rsid w:val="00251F9E"/>
    <w:rsid w:val="0025425B"/>
    <w:rsid w:val="00254591"/>
    <w:rsid w:val="002564C8"/>
    <w:rsid w:val="00256DB3"/>
    <w:rsid w:val="00257029"/>
    <w:rsid w:val="00264287"/>
    <w:rsid w:val="002718A7"/>
    <w:rsid w:val="002722F1"/>
    <w:rsid w:val="002731ED"/>
    <w:rsid w:val="00274269"/>
    <w:rsid w:val="00277FCB"/>
    <w:rsid w:val="0028059F"/>
    <w:rsid w:val="00280DF3"/>
    <w:rsid w:val="00282D05"/>
    <w:rsid w:val="002835BF"/>
    <w:rsid w:val="0028615D"/>
    <w:rsid w:val="002862E0"/>
    <w:rsid w:val="00286645"/>
    <w:rsid w:val="00286A27"/>
    <w:rsid w:val="00292738"/>
    <w:rsid w:val="00293605"/>
    <w:rsid w:val="0029552E"/>
    <w:rsid w:val="00295BF2"/>
    <w:rsid w:val="002A0B45"/>
    <w:rsid w:val="002A67EE"/>
    <w:rsid w:val="002A7538"/>
    <w:rsid w:val="002A79E8"/>
    <w:rsid w:val="002B4BDE"/>
    <w:rsid w:val="002B6ED7"/>
    <w:rsid w:val="002C2258"/>
    <w:rsid w:val="002C264C"/>
    <w:rsid w:val="002C2C43"/>
    <w:rsid w:val="002C2F75"/>
    <w:rsid w:val="002C5952"/>
    <w:rsid w:val="002C5F34"/>
    <w:rsid w:val="002C708E"/>
    <w:rsid w:val="002C713E"/>
    <w:rsid w:val="002D0BE4"/>
    <w:rsid w:val="002D1E29"/>
    <w:rsid w:val="002D5D76"/>
    <w:rsid w:val="002D5DE3"/>
    <w:rsid w:val="002D6826"/>
    <w:rsid w:val="002E01CE"/>
    <w:rsid w:val="002E07C5"/>
    <w:rsid w:val="002E3194"/>
    <w:rsid w:val="002E7842"/>
    <w:rsid w:val="002F1295"/>
    <w:rsid w:val="002F26AF"/>
    <w:rsid w:val="002F4AC9"/>
    <w:rsid w:val="002F4AE6"/>
    <w:rsid w:val="002F5071"/>
    <w:rsid w:val="002F7BA4"/>
    <w:rsid w:val="00303504"/>
    <w:rsid w:val="00307D4D"/>
    <w:rsid w:val="00311195"/>
    <w:rsid w:val="00311AC3"/>
    <w:rsid w:val="003131E8"/>
    <w:rsid w:val="00314043"/>
    <w:rsid w:val="00317495"/>
    <w:rsid w:val="003219ED"/>
    <w:rsid w:val="00323515"/>
    <w:rsid w:val="00327777"/>
    <w:rsid w:val="0032790A"/>
    <w:rsid w:val="00327E27"/>
    <w:rsid w:val="00330299"/>
    <w:rsid w:val="003328FC"/>
    <w:rsid w:val="00337ED7"/>
    <w:rsid w:val="0034215C"/>
    <w:rsid w:val="003427C3"/>
    <w:rsid w:val="00342966"/>
    <w:rsid w:val="00343C6E"/>
    <w:rsid w:val="00344916"/>
    <w:rsid w:val="00345046"/>
    <w:rsid w:val="003508E3"/>
    <w:rsid w:val="00351D08"/>
    <w:rsid w:val="003554CB"/>
    <w:rsid w:val="003557A8"/>
    <w:rsid w:val="003567E3"/>
    <w:rsid w:val="0035797F"/>
    <w:rsid w:val="00361F08"/>
    <w:rsid w:val="003621AE"/>
    <w:rsid w:val="0036344F"/>
    <w:rsid w:val="00370103"/>
    <w:rsid w:val="0037128F"/>
    <w:rsid w:val="00374654"/>
    <w:rsid w:val="0037480F"/>
    <w:rsid w:val="00376656"/>
    <w:rsid w:val="00380253"/>
    <w:rsid w:val="00383128"/>
    <w:rsid w:val="00386C8B"/>
    <w:rsid w:val="00393922"/>
    <w:rsid w:val="00393A9D"/>
    <w:rsid w:val="00395909"/>
    <w:rsid w:val="003A19E0"/>
    <w:rsid w:val="003A1E87"/>
    <w:rsid w:val="003A4478"/>
    <w:rsid w:val="003A494D"/>
    <w:rsid w:val="003A5676"/>
    <w:rsid w:val="003B41E7"/>
    <w:rsid w:val="003B57C4"/>
    <w:rsid w:val="003B649A"/>
    <w:rsid w:val="003B6AA5"/>
    <w:rsid w:val="003B76BB"/>
    <w:rsid w:val="003C1CC1"/>
    <w:rsid w:val="003C4BEE"/>
    <w:rsid w:val="003D2655"/>
    <w:rsid w:val="003D4E48"/>
    <w:rsid w:val="003E002E"/>
    <w:rsid w:val="003E0675"/>
    <w:rsid w:val="003E2A07"/>
    <w:rsid w:val="003E30B4"/>
    <w:rsid w:val="003E30C9"/>
    <w:rsid w:val="003E3DEF"/>
    <w:rsid w:val="003F069B"/>
    <w:rsid w:val="003F16C6"/>
    <w:rsid w:val="00400581"/>
    <w:rsid w:val="004007B0"/>
    <w:rsid w:val="00400C83"/>
    <w:rsid w:val="00400CC9"/>
    <w:rsid w:val="00401D2D"/>
    <w:rsid w:val="0040243C"/>
    <w:rsid w:val="00402E6B"/>
    <w:rsid w:val="004040C1"/>
    <w:rsid w:val="00407381"/>
    <w:rsid w:val="0041175D"/>
    <w:rsid w:val="004119CD"/>
    <w:rsid w:val="004131ED"/>
    <w:rsid w:val="004135B9"/>
    <w:rsid w:val="0041490A"/>
    <w:rsid w:val="00415515"/>
    <w:rsid w:val="00415E4B"/>
    <w:rsid w:val="0041671C"/>
    <w:rsid w:val="00416F4D"/>
    <w:rsid w:val="00417D45"/>
    <w:rsid w:val="00421134"/>
    <w:rsid w:val="0042265B"/>
    <w:rsid w:val="00423494"/>
    <w:rsid w:val="00424B13"/>
    <w:rsid w:val="004250BD"/>
    <w:rsid w:val="00427FDB"/>
    <w:rsid w:val="00432DF8"/>
    <w:rsid w:val="004345B4"/>
    <w:rsid w:val="004352DA"/>
    <w:rsid w:val="00436521"/>
    <w:rsid w:val="00436F07"/>
    <w:rsid w:val="004407C6"/>
    <w:rsid w:val="00441B95"/>
    <w:rsid w:val="0044380C"/>
    <w:rsid w:val="0045097B"/>
    <w:rsid w:val="00454F35"/>
    <w:rsid w:val="004604B0"/>
    <w:rsid w:val="00464090"/>
    <w:rsid w:val="00464D18"/>
    <w:rsid w:val="00464DB9"/>
    <w:rsid w:val="00465133"/>
    <w:rsid w:val="004661DA"/>
    <w:rsid w:val="0046642A"/>
    <w:rsid w:val="0047679D"/>
    <w:rsid w:val="00477248"/>
    <w:rsid w:val="004774AB"/>
    <w:rsid w:val="00480E67"/>
    <w:rsid w:val="00482230"/>
    <w:rsid w:val="00483A7B"/>
    <w:rsid w:val="004856B2"/>
    <w:rsid w:val="004877C1"/>
    <w:rsid w:val="004905E9"/>
    <w:rsid w:val="00491EE5"/>
    <w:rsid w:val="004961B8"/>
    <w:rsid w:val="00497D77"/>
    <w:rsid w:val="004A04F2"/>
    <w:rsid w:val="004A1384"/>
    <w:rsid w:val="004A2EC7"/>
    <w:rsid w:val="004A363A"/>
    <w:rsid w:val="004A5865"/>
    <w:rsid w:val="004A6D09"/>
    <w:rsid w:val="004A6EF4"/>
    <w:rsid w:val="004A7CFE"/>
    <w:rsid w:val="004B1BB6"/>
    <w:rsid w:val="004B1DAC"/>
    <w:rsid w:val="004B3972"/>
    <w:rsid w:val="004B4897"/>
    <w:rsid w:val="004B5252"/>
    <w:rsid w:val="004B6A08"/>
    <w:rsid w:val="004C04BE"/>
    <w:rsid w:val="004C0A19"/>
    <w:rsid w:val="004C1F6A"/>
    <w:rsid w:val="004C2B49"/>
    <w:rsid w:val="004C470C"/>
    <w:rsid w:val="004C660E"/>
    <w:rsid w:val="004C7BA2"/>
    <w:rsid w:val="004D001C"/>
    <w:rsid w:val="004D038A"/>
    <w:rsid w:val="004D20ED"/>
    <w:rsid w:val="004D4575"/>
    <w:rsid w:val="004D6A17"/>
    <w:rsid w:val="004D6C82"/>
    <w:rsid w:val="004D6F5D"/>
    <w:rsid w:val="004E5153"/>
    <w:rsid w:val="004E6B9D"/>
    <w:rsid w:val="004E6DF7"/>
    <w:rsid w:val="004F0E50"/>
    <w:rsid w:val="004F1E7D"/>
    <w:rsid w:val="004F2C5F"/>
    <w:rsid w:val="004F2C6B"/>
    <w:rsid w:val="004F4D8C"/>
    <w:rsid w:val="004F5F17"/>
    <w:rsid w:val="004F744C"/>
    <w:rsid w:val="005041E4"/>
    <w:rsid w:val="00504344"/>
    <w:rsid w:val="00504D5B"/>
    <w:rsid w:val="0050658B"/>
    <w:rsid w:val="00507160"/>
    <w:rsid w:val="00511AE0"/>
    <w:rsid w:val="005122C0"/>
    <w:rsid w:val="005128E9"/>
    <w:rsid w:val="00514791"/>
    <w:rsid w:val="00514B4A"/>
    <w:rsid w:val="00515160"/>
    <w:rsid w:val="0051535A"/>
    <w:rsid w:val="00515A7E"/>
    <w:rsid w:val="00517E42"/>
    <w:rsid w:val="00521404"/>
    <w:rsid w:val="005217CE"/>
    <w:rsid w:val="00521F22"/>
    <w:rsid w:val="005225E2"/>
    <w:rsid w:val="00522FF9"/>
    <w:rsid w:val="005234F6"/>
    <w:rsid w:val="00524C7E"/>
    <w:rsid w:val="005260FB"/>
    <w:rsid w:val="00531204"/>
    <w:rsid w:val="00531972"/>
    <w:rsid w:val="00536E95"/>
    <w:rsid w:val="00540C59"/>
    <w:rsid w:val="00542E57"/>
    <w:rsid w:val="00544891"/>
    <w:rsid w:val="005448AA"/>
    <w:rsid w:val="005450E0"/>
    <w:rsid w:val="00547475"/>
    <w:rsid w:val="00551A98"/>
    <w:rsid w:val="005554A3"/>
    <w:rsid w:val="005554B6"/>
    <w:rsid w:val="00555E6D"/>
    <w:rsid w:val="00556618"/>
    <w:rsid w:val="005601EB"/>
    <w:rsid w:val="00560E79"/>
    <w:rsid w:val="00563086"/>
    <w:rsid w:val="005643A8"/>
    <w:rsid w:val="00566143"/>
    <w:rsid w:val="00567631"/>
    <w:rsid w:val="0056787F"/>
    <w:rsid w:val="00570C64"/>
    <w:rsid w:val="00570F6E"/>
    <w:rsid w:val="00571011"/>
    <w:rsid w:val="005711FB"/>
    <w:rsid w:val="00573C96"/>
    <w:rsid w:val="00576ED2"/>
    <w:rsid w:val="00577D58"/>
    <w:rsid w:val="0058439D"/>
    <w:rsid w:val="005859A5"/>
    <w:rsid w:val="005874A8"/>
    <w:rsid w:val="005A1D01"/>
    <w:rsid w:val="005B3935"/>
    <w:rsid w:val="005B3E91"/>
    <w:rsid w:val="005B4954"/>
    <w:rsid w:val="005B4A62"/>
    <w:rsid w:val="005B6A01"/>
    <w:rsid w:val="005B7918"/>
    <w:rsid w:val="005B7C57"/>
    <w:rsid w:val="005C3481"/>
    <w:rsid w:val="005C3657"/>
    <w:rsid w:val="005C36B1"/>
    <w:rsid w:val="005C5DE7"/>
    <w:rsid w:val="005C7E03"/>
    <w:rsid w:val="005D1849"/>
    <w:rsid w:val="005D1F9D"/>
    <w:rsid w:val="005D4701"/>
    <w:rsid w:val="005D7B21"/>
    <w:rsid w:val="005E0902"/>
    <w:rsid w:val="005E2383"/>
    <w:rsid w:val="005E36F9"/>
    <w:rsid w:val="005E549D"/>
    <w:rsid w:val="005E6DB8"/>
    <w:rsid w:val="005E6EA7"/>
    <w:rsid w:val="005F032F"/>
    <w:rsid w:val="005F0B6F"/>
    <w:rsid w:val="005F2D02"/>
    <w:rsid w:val="005F3C60"/>
    <w:rsid w:val="005F6C08"/>
    <w:rsid w:val="00600270"/>
    <w:rsid w:val="00602E4F"/>
    <w:rsid w:val="006074EA"/>
    <w:rsid w:val="00607614"/>
    <w:rsid w:val="0061112E"/>
    <w:rsid w:val="00615C4F"/>
    <w:rsid w:val="00621127"/>
    <w:rsid w:val="0062191B"/>
    <w:rsid w:val="00621A93"/>
    <w:rsid w:val="0062435B"/>
    <w:rsid w:val="00624947"/>
    <w:rsid w:val="006263B5"/>
    <w:rsid w:val="006278F5"/>
    <w:rsid w:val="00627A5B"/>
    <w:rsid w:val="00632E52"/>
    <w:rsid w:val="00634E7F"/>
    <w:rsid w:val="00635309"/>
    <w:rsid w:val="00636D55"/>
    <w:rsid w:val="00637D1D"/>
    <w:rsid w:val="0064117F"/>
    <w:rsid w:val="00642AC3"/>
    <w:rsid w:val="00644174"/>
    <w:rsid w:val="0065097E"/>
    <w:rsid w:val="006517D3"/>
    <w:rsid w:val="006535E9"/>
    <w:rsid w:val="00654179"/>
    <w:rsid w:val="00654BDC"/>
    <w:rsid w:val="0065572E"/>
    <w:rsid w:val="00657439"/>
    <w:rsid w:val="00660DA3"/>
    <w:rsid w:val="006618A9"/>
    <w:rsid w:val="00661CA0"/>
    <w:rsid w:val="006639C3"/>
    <w:rsid w:val="00663A05"/>
    <w:rsid w:val="00670915"/>
    <w:rsid w:val="00670E80"/>
    <w:rsid w:val="00670FAB"/>
    <w:rsid w:val="00671525"/>
    <w:rsid w:val="00672C2F"/>
    <w:rsid w:val="00673E94"/>
    <w:rsid w:val="00675D4A"/>
    <w:rsid w:val="00675E14"/>
    <w:rsid w:val="006769A7"/>
    <w:rsid w:val="00676EC0"/>
    <w:rsid w:val="00681DA4"/>
    <w:rsid w:val="006827A9"/>
    <w:rsid w:val="00683A63"/>
    <w:rsid w:val="006900CB"/>
    <w:rsid w:val="00690D9A"/>
    <w:rsid w:val="0069389B"/>
    <w:rsid w:val="00694707"/>
    <w:rsid w:val="00697B16"/>
    <w:rsid w:val="006A0E52"/>
    <w:rsid w:val="006A190A"/>
    <w:rsid w:val="006A6A53"/>
    <w:rsid w:val="006B2392"/>
    <w:rsid w:val="006B2E60"/>
    <w:rsid w:val="006B3079"/>
    <w:rsid w:val="006B7735"/>
    <w:rsid w:val="006B791F"/>
    <w:rsid w:val="006C0BB4"/>
    <w:rsid w:val="006C2A73"/>
    <w:rsid w:val="006C3ED3"/>
    <w:rsid w:val="006C4254"/>
    <w:rsid w:val="006D40B4"/>
    <w:rsid w:val="006D4D57"/>
    <w:rsid w:val="006D7C9B"/>
    <w:rsid w:val="006D7D8C"/>
    <w:rsid w:val="006E3C22"/>
    <w:rsid w:val="006E456C"/>
    <w:rsid w:val="006E4611"/>
    <w:rsid w:val="006E4715"/>
    <w:rsid w:val="006E497E"/>
    <w:rsid w:val="006E7115"/>
    <w:rsid w:val="006F16C2"/>
    <w:rsid w:val="006F3C0F"/>
    <w:rsid w:val="006F4161"/>
    <w:rsid w:val="006F4B4B"/>
    <w:rsid w:val="006F5360"/>
    <w:rsid w:val="006F5674"/>
    <w:rsid w:val="006F58BD"/>
    <w:rsid w:val="006F58F6"/>
    <w:rsid w:val="006F5E31"/>
    <w:rsid w:val="006F77C8"/>
    <w:rsid w:val="00700FC6"/>
    <w:rsid w:val="00704F09"/>
    <w:rsid w:val="007100DF"/>
    <w:rsid w:val="007104E0"/>
    <w:rsid w:val="00710962"/>
    <w:rsid w:val="00712D18"/>
    <w:rsid w:val="007136D4"/>
    <w:rsid w:val="00713FEF"/>
    <w:rsid w:val="00715488"/>
    <w:rsid w:val="007156C0"/>
    <w:rsid w:val="00720425"/>
    <w:rsid w:val="00721221"/>
    <w:rsid w:val="00723B68"/>
    <w:rsid w:val="00724355"/>
    <w:rsid w:val="00724402"/>
    <w:rsid w:val="00725378"/>
    <w:rsid w:val="0072561D"/>
    <w:rsid w:val="00726043"/>
    <w:rsid w:val="007274E8"/>
    <w:rsid w:val="0073126D"/>
    <w:rsid w:val="00731BE8"/>
    <w:rsid w:val="0073504F"/>
    <w:rsid w:val="007353D1"/>
    <w:rsid w:val="00736C6C"/>
    <w:rsid w:val="00736EC1"/>
    <w:rsid w:val="00746DDC"/>
    <w:rsid w:val="007524D0"/>
    <w:rsid w:val="00752CEC"/>
    <w:rsid w:val="0075540E"/>
    <w:rsid w:val="007558FF"/>
    <w:rsid w:val="00756585"/>
    <w:rsid w:val="00756E73"/>
    <w:rsid w:val="00760519"/>
    <w:rsid w:val="00760778"/>
    <w:rsid w:val="007629DD"/>
    <w:rsid w:val="00762C0D"/>
    <w:rsid w:val="00764DF6"/>
    <w:rsid w:val="007668C0"/>
    <w:rsid w:val="00773BA6"/>
    <w:rsid w:val="00773E45"/>
    <w:rsid w:val="00776602"/>
    <w:rsid w:val="0077687B"/>
    <w:rsid w:val="007847AF"/>
    <w:rsid w:val="00787211"/>
    <w:rsid w:val="00794BB9"/>
    <w:rsid w:val="00795924"/>
    <w:rsid w:val="007A03DA"/>
    <w:rsid w:val="007A1181"/>
    <w:rsid w:val="007A1F8E"/>
    <w:rsid w:val="007A24F6"/>
    <w:rsid w:val="007A51C1"/>
    <w:rsid w:val="007A7E06"/>
    <w:rsid w:val="007B0696"/>
    <w:rsid w:val="007B077E"/>
    <w:rsid w:val="007B1C27"/>
    <w:rsid w:val="007B289C"/>
    <w:rsid w:val="007B5675"/>
    <w:rsid w:val="007B58FF"/>
    <w:rsid w:val="007C10AA"/>
    <w:rsid w:val="007C31C4"/>
    <w:rsid w:val="007C39B1"/>
    <w:rsid w:val="007C5F40"/>
    <w:rsid w:val="007C6D08"/>
    <w:rsid w:val="007C7BBF"/>
    <w:rsid w:val="007D20DF"/>
    <w:rsid w:val="007D4C99"/>
    <w:rsid w:val="007D57C6"/>
    <w:rsid w:val="007D633A"/>
    <w:rsid w:val="007D6CC2"/>
    <w:rsid w:val="007D7169"/>
    <w:rsid w:val="007E0191"/>
    <w:rsid w:val="007E0B0D"/>
    <w:rsid w:val="007E0F47"/>
    <w:rsid w:val="007E2C3D"/>
    <w:rsid w:val="007E39BA"/>
    <w:rsid w:val="007E60FC"/>
    <w:rsid w:val="007E6C5D"/>
    <w:rsid w:val="007F4227"/>
    <w:rsid w:val="007F4CFE"/>
    <w:rsid w:val="007F5841"/>
    <w:rsid w:val="007F6298"/>
    <w:rsid w:val="007F6882"/>
    <w:rsid w:val="007F6CFD"/>
    <w:rsid w:val="007F6D46"/>
    <w:rsid w:val="007F74FE"/>
    <w:rsid w:val="008026E1"/>
    <w:rsid w:val="00802EEE"/>
    <w:rsid w:val="00810433"/>
    <w:rsid w:val="0081685C"/>
    <w:rsid w:val="00816963"/>
    <w:rsid w:val="008209E5"/>
    <w:rsid w:val="00822425"/>
    <w:rsid w:val="008230AC"/>
    <w:rsid w:val="008231B9"/>
    <w:rsid w:val="00823204"/>
    <w:rsid w:val="00827CCC"/>
    <w:rsid w:val="00827EF3"/>
    <w:rsid w:val="00831470"/>
    <w:rsid w:val="00834408"/>
    <w:rsid w:val="0083564B"/>
    <w:rsid w:val="00836206"/>
    <w:rsid w:val="008368F5"/>
    <w:rsid w:val="00837223"/>
    <w:rsid w:val="00841578"/>
    <w:rsid w:val="00842696"/>
    <w:rsid w:val="00842E5A"/>
    <w:rsid w:val="00843F93"/>
    <w:rsid w:val="008465C4"/>
    <w:rsid w:val="00846FC1"/>
    <w:rsid w:val="00847B0A"/>
    <w:rsid w:val="00850C16"/>
    <w:rsid w:val="00851042"/>
    <w:rsid w:val="00851309"/>
    <w:rsid w:val="008517BD"/>
    <w:rsid w:val="00851B82"/>
    <w:rsid w:val="008527E5"/>
    <w:rsid w:val="00853770"/>
    <w:rsid w:val="008542BC"/>
    <w:rsid w:val="00857521"/>
    <w:rsid w:val="008606B1"/>
    <w:rsid w:val="008625AA"/>
    <w:rsid w:val="00864B38"/>
    <w:rsid w:val="00867532"/>
    <w:rsid w:val="00867D4E"/>
    <w:rsid w:val="00874EAB"/>
    <w:rsid w:val="00874F30"/>
    <w:rsid w:val="00874FC3"/>
    <w:rsid w:val="00877649"/>
    <w:rsid w:val="00881553"/>
    <w:rsid w:val="008816D2"/>
    <w:rsid w:val="0088313A"/>
    <w:rsid w:val="008863E8"/>
    <w:rsid w:val="008873D4"/>
    <w:rsid w:val="00891198"/>
    <w:rsid w:val="008960EB"/>
    <w:rsid w:val="00896383"/>
    <w:rsid w:val="008976B0"/>
    <w:rsid w:val="008A0A7C"/>
    <w:rsid w:val="008A350F"/>
    <w:rsid w:val="008A3EFD"/>
    <w:rsid w:val="008A4005"/>
    <w:rsid w:val="008A6E91"/>
    <w:rsid w:val="008B0B2B"/>
    <w:rsid w:val="008B175E"/>
    <w:rsid w:val="008B3F59"/>
    <w:rsid w:val="008B4304"/>
    <w:rsid w:val="008B5D41"/>
    <w:rsid w:val="008B722B"/>
    <w:rsid w:val="008B7438"/>
    <w:rsid w:val="008B7F7F"/>
    <w:rsid w:val="008C4F4B"/>
    <w:rsid w:val="008D0724"/>
    <w:rsid w:val="008D2B12"/>
    <w:rsid w:val="008D3D34"/>
    <w:rsid w:val="008D53D4"/>
    <w:rsid w:val="008D76A8"/>
    <w:rsid w:val="008E017A"/>
    <w:rsid w:val="008E28AD"/>
    <w:rsid w:val="008E2D8B"/>
    <w:rsid w:val="008E6E2A"/>
    <w:rsid w:val="008F3EBC"/>
    <w:rsid w:val="008F6496"/>
    <w:rsid w:val="008F697E"/>
    <w:rsid w:val="008F6DD1"/>
    <w:rsid w:val="008F70EE"/>
    <w:rsid w:val="00902131"/>
    <w:rsid w:val="00904AFB"/>
    <w:rsid w:val="00906428"/>
    <w:rsid w:val="00907202"/>
    <w:rsid w:val="00907206"/>
    <w:rsid w:val="00910AE5"/>
    <w:rsid w:val="0091266C"/>
    <w:rsid w:val="00912907"/>
    <w:rsid w:val="00916332"/>
    <w:rsid w:val="00920326"/>
    <w:rsid w:val="009207B2"/>
    <w:rsid w:val="0092161F"/>
    <w:rsid w:val="00924338"/>
    <w:rsid w:val="00926C7E"/>
    <w:rsid w:val="00927D89"/>
    <w:rsid w:val="00930CE4"/>
    <w:rsid w:val="00932CFE"/>
    <w:rsid w:val="00934DD1"/>
    <w:rsid w:val="00935D72"/>
    <w:rsid w:val="0094031D"/>
    <w:rsid w:val="0094087E"/>
    <w:rsid w:val="0094094F"/>
    <w:rsid w:val="00941AED"/>
    <w:rsid w:val="00943BF7"/>
    <w:rsid w:val="00944639"/>
    <w:rsid w:val="00944D34"/>
    <w:rsid w:val="00945922"/>
    <w:rsid w:val="00945AFB"/>
    <w:rsid w:val="00947D56"/>
    <w:rsid w:val="009628CB"/>
    <w:rsid w:val="009628DE"/>
    <w:rsid w:val="00963450"/>
    <w:rsid w:val="009648F7"/>
    <w:rsid w:val="009656B9"/>
    <w:rsid w:val="009664DE"/>
    <w:rsid w:val="00966CEB"/>
    <w:rsid w:val="0096723B"/>
    <w:rsid w:val="009678A6"/>
    <w:rsid w:val="00967A27"/>
    <w:rsid w:val="009717B1"/>
    <w:rsid w:val="00972267"/>
    <w:rsid w:val="0097252F"/>
    <w:rsid w:val="00976CE4"/>
    <w:rsid w:val="00976E14"/>
    <w:rsid w:val="00980217"/>
    <w:rsid w:val="0098048C"/>
    <w:rsid w:val="00981A08"/>
    <w:rsid w:val="00983F30"/>
    <w:rsid w:val="00984342"/>
    <w:rsid w:val="0098717D"/>
    <w:rsid w:val="00987C7F"/>
    <w:rsid w:val="0099122C"/>
    <w:rsid w:val="00993AF3"/>
    <w:rsid w:val="0099433A"/>
    <w:rsid w:val="00994867"/>
    <w:rsid w:val="009952C5"/>
    <w:rsid w:val="0099570E"/>
    <w:rsid w:val="0099620A"/>
    <w:rsid w:val="009A0763"/>
    <w:rsid w:val="009A4255"/>
    <w:rsid w:val="009A7C7D"/>
    <w:rsid w:val="009B0337"/>
    <w:rsid w:val="009B034F"/>
    <w:rsid w:val="009B10DE"/>
    <w:rsid w:val="009B60A3"/>
    <w:rsid w:val="009B714E"/>
    <w:rsid w:val="009B718A"/>
    <w:rsid w:val="009C1161"/>
    <w:rsid w:val="009C48AD"/>
    <w:rsid w:val="009D0A54"/>
    <w:rsid w:val="009D0ADB"/>
    <w:rsid w:val="009D2084"/>
    <w:rsid w:val="009D2F3E"/>
    <w:rsid w:val="009D3763"/>
    <w:rsid w:val="009E2003"/>
    <w:rsid w:val="009E6B8C"/>
    <w:rsid w:val="009E7BD5"/>
    <w:rsid w:val="009F004D"/>
    <w:rsid w:val="009F0C52"/>
    <w:rsid w:val="009F1373"/>
    <w:rsid w:val="009F24EB"/>
    <w:rsid w:val="009F2E81"/>
    <w:rsid w:val="009F42C4"/>
    <w:rsid w:val="009F488F"/>
    <w:rsid w:val="009F5CC6"/>
    <w:rsid w:val="009F647F"/>
    <w:rsid w:val="009F6634"/>
    <w:rsid w:val="00A00FD7"/>
    <w:rsid w:val="00A01906"/>
    <w:rsid w:val="00A03072"/>
    <w:rsid w:val="00A04255"/>
    <w:rsid w:val="00A047AB"/>
    <w:rsid w:val="00A05E02"/>
    <w:rsid w:val="00A1107C"/>
    <w:rsid w:val="00A116C7"/>
    <w:rsid w:val="00A119E2"/>
    <w:rsid w:val="00A12485"/>
    <w:rsid w:val="00A160B4"/>
    <w:rsid w:val="00A202EF"/>
    <w:rsid w:val="00A233FB"/>
    <w:rsid w:val="00A236D2"/>
    <w:rsid w:val="00A24DEA"/>
    <w:rsid w:val="00A25C4A"/>
    <w:rsid w:val="00A27413"/>
    <w:rsid w:val="00A31DED"/>
    <w:rsid w:val="00A44260"/>
    <w:rsid w:val="00A46D9F"/>
    <w:rsid w:val="00A471B9"/>
    <w:rsid w:val="00A50CF3"/>
    <w:rsid w:val="00A50D89"/>
    <w:rsid w:val="00A51506"/>
    <w:rsid w:val="00A51C4B"/>
    <w:rsid w:val="00A547BF"/>
    <w:rsid w:val="00A579BC"/>
    <w:rsid w:val="00A57B85"/>
    <w:rsid w:val="00A6033B"/>
    <w:rsid w:val="00A619A8"/>
    <w:rsid w:val="00A63A47"/>
    <w:rsid w:val="00A667EB"/>
    <w:rsid w:val="00A67B64"/>
    <w:rsid w:val="00A72AA6"/>
    <w:rsid w:val="00A73127"/>
    <w:rsid w:val="00A73504"/>
    <w:rsid w:val="00A7438F"/>
    <w:rsid w:val="00A743D5"/>
    <w:rsid w:val="00A757B0"/>
    <w:rsid w:val="00A763B6"/>
    <w:rsid w:val="00A76B9A"/>
    <w:rsid w:val="00A77A81"/>
    <w:rsid w:val="00A77BF8"/>
    <w:rsid w:val="00A81A27"/>
    <w:rsid w:val="00A8236C"/>
    <w:rsid w:val="00A82A43"/>
    <w:rsid w:val="00A8383B"/>
    <w:rsid w:val="00A85860"/>
    <w:rsid w:val="00A8652D"/>
    <w:rsid w:val="00A87A56"/>
    <w:rsid w:val="00A91299"/>
    <w:rsid w:val="00A91F3B"/>
    <w:rsid w:val="00A93697"/>
    <w:rsid w:val="00A9399E"/>
    <w:rsid w:val="00A93BA1"/>
    <w:rsid w:val="00A940AE"/>
    <w:rsid w:val="00A96173"/>
    <w:rsid w:val="00AA106B"/>
    <w:rsid w:val="00AA18FF"/>
    <w:rsid w:val="00AA243B"/>
    <w:rsid w:val="00AB1243"/>
    <w:rsid w:val="00AB19E7"/>
    <w:rsid w:val="00AB3EB8"/>
    <w:rsid w:val="00AB53B0"/>
    <w:rsid w:val="00AB72E9"/>
    <w:rsid w:val="00AC3780"/>
    <w:rsid w:val="00AC3DDA"/>
    <w:rsid w:val="00AC55DC"/>
    <w:rsid w:val="00AC59E8"/>
    <w:rsid w:val="00AD1308"/>
    <w:rsid w:val="00AD201B"/>
    <w:rsid w:val="00AD353B"/>
    <w:rsid w:val="00AD6B32"/>
    <w:rsid w:val="00AD6B5C"/>
    <w:rsid w:val="00AD7075"/>
    <w:rsid w:val="00AD70ED"/>
    <w:rsid w:val="00AD7D1D"/>
    <w:rsid w:val="00AE1AD7"/>
    <w:rsid w:val="00AE3780"/>
    <w:rsid w:val="00AE3BF3"/>
    <w:rsid w:val="00AE3E1F"/>
    <w:rsid w:val="00AE59B9"/>
    <w:rsid w:val="00AE5D7B"/>
    <w:rsid w:val="00AE7F6C"/>
    <w:rsid w:val="00AF0537"/>
    <w:rsid w:val="00AF0C48"/>
    <w:rsid w:val="00AF12FD"/>
    <w:rsid w:val="00AF3C24"/>
    <w:rsid w:val="00AF6C05"/>
    <w:rsid w:val="00AF7C45"/>
    <w:rsid w:val="00AF7DFB"/>
    <w:rsid w:val="00B016DB"/>
    <w:rsid w:val="00B034A3"/>
    <w:rsid w:val="00B054A4"/>
    <w:rsid w:val="00B11E4A"/>
    <w:rsid w:val="00B138F7"/>
    <w:rsid w:val="00B165F2"/>
    <w:rsid w:val="00B171FC"/>
    <w:rsid w:val="00B21055"/>
    <w:rsid w:val="00B22856"/>
    <w:rsid w:val="00B24192"/>
    <w:rsid w:val="00B253E1"/>
    <w:rsid w:val="00B2590E"/>
    <w:rsid w:val="00B26251"/>
    <w:rsid w:val="00B27738"/>
    <w:rsid w:val="00B30914"/>
    <w:rsid w:val="00B3777C"/>
    <w:rsid w:val="00B40076"/>
    <w:rsid w:val="00B415DE"/>
    <w:rsid w:val="00B415F6"/>
    <w:rsid w:val="00B434A1"/>
    <w:rsid w:val="00B44985"/>
    <w:rsid w:val="00B50E7B"/>
    <w:rsid w:val="00B52972"/>
    <w:rsid w:val="00B539B4"/>
    <w:rsid w:val="00B54909"/>
    <w:rsid w:val="00B54B59"/>
    <w:rsid w:val="00B555DB"/>
    <w:rsid w:val="00B5575D"/>
    <w:rsid w:val="00B56A88"/>
    <w:rsid w:val="00B615BC"/>
    <w:rsid w:val="00B61A25"/>
    <w:rsid w:val="00B61A83"/>
    <w:rsid w:val="00B643FB"/>
    <w:rsid w:val="00B653EE"/>
    <w:rsid w:val="00B658CA"/>
    <w:rsid w:val="00B65AC5"/>
    <w:rsid w:val="00B660BD"/>
    <w:rsid w:val="00B66AC6"/>
    <w:rsid w:val="00B67759"/>
    <w:rsid w:val="00B7008D"/>
    <w:rsid w:val="00B73916"/>
    <w:rsid w:val="00B73DCF"/>
    <w:rsid w:val="00B754CC"/>
    <w:rsid w:val="00B76235"/>
    <w:rsid w:val="00B7668D"/>
    <w:rsid w:val="00B801D1"/>
    <w:rsid w:val="00B8246D"/>
    <w:rsid w:val="00B82B7E"/>
    <w:rsid w:val="00B838B9"/>
    <w:rsid w:val="00B83C6C"/>
    <w:rsid w:val="00B84B70"/>
    <w:rsid w:val="00B86C56"/>
    <w:rsid w:val="00B87D43"/>
    <w:rsid w:val="00B90339"/>
    <w:rsid w:val="00B90360"/>
    <w:rsid w:val="00B91DE2"/>
    <w:rsid w:val="00B9367D"/>
    <w:rsid w:val="00B95AFB"/>
    <w:rsid w:val="00B96845"/>
    <w:rsid w:val="00B96B2C"/>
    <w:rsid w:val="00BA3056"/>
    <w:rsid w:val="00BA6791"/>
    <w:rsid w:val="00BA70B3"/>
    <w:rsid w:val="00BB31CE"/>
    <w:rsid w:val="00BB373E"/>
    <w:rsid w:val="00BB4BD9"/>
    <w:rsid w:val="00BB5180"/>
    <w:rsid w:val="00BB5625"/>
    <w:rsid w:val="00BB5B34"/>
    <w:rsid w:val="00BB6849"/>
    <w:rsid w:val="00BC0FA9"/>
    <w:rsid w:val="00BC19AA"/>
    <w:rsid w:val="00BC22E5"/>
    <w:rsid w:val="00BC2699"/>
    <w:rsid w:val="00BC2ACA"/>
    <w:rsid w:val="00BC5949"/>
    <w:rsid w:val="00BC64C0"/>
    <w:rsid w:val="00BD0FD3"/>
    <w:rsid w:val="00BD2884"/>
    <w:rsid w:val="00BD61EC"/>
    <w:rsid w:val="00BE1344"/>
    <w:rsid w:val="00BE24AB"/>
    <w:rsid w:val="00BE2EEC"/>
    <w:rsid w:val="00BE6168"/>
    <w:rsid w:val="00BF3470"/>
    <w:rsid w:val="00BF4D0B"/>
    <w:rsid w:val="00C01A6D"/>
    <w:rsid w:val="00C04C47"/>
    <w:rsid w:val="00C05633"/>
    <w:rsid w:val="00C05736"/>
    <w:rsid w:val="00C07BC2"/>
    <w:rsid w:val="00C11C8B"/>
    <w:rsid w:val="00C11EF2"/>
    <w:rsid w:val="00C20062"/>
    <w:rsid w:val="00C212CA"/>
    <w:rsid w:val="00C23C93"/>
    <w:rsid w:val="00C240FA"/>
    <w:rsid w:val="00C246FA"/>
    <w:rsid w:val="00C25126"/>
    <w:rsid w:val="00C26A69"/>
    <w:rsid w:val="00C275D3"/>
    <w:rsid w:val="00C316E5"/>
    <w:rsid w:val="00C3498F"/>
    <w:rsid w:val="00C34B19"/>
    <w:rsid w:val="00C34C1E"/>
    <w:rsid w:val="00C351F6"/>
    <w:rsid w:val="00C357AB"/>
    <w:rsid w:val="00C36061"/>
    <w:rsid w:val="00C37A2E"/>
    <w:rsid w:val="00C37DED"/>
    <w:rsid w:val="00C40D0B"/>
    <w:rsid w:val="00C427F2"/>
    <w:rsid w:val="00C4448F"/>
    <w:rsid w:val="00C4672F"/>
    <w:rsid w:val="00C5161A"/>
    <w:rsid w:val="00C51A8B"/>
    <w:rsid w:val="00C52A1C"/>
    <w:rsid w:val="00C533E3"/>
    <w:rsid w:val="00C5745A"/>
    <w:rsid w:val="00C61E75"/>
    <w:rsid w:val="00C62304"/>
    <w:rsid w:val="00C64803"/>
    <w:rsid w:val="00C64F57"/>
    <w:rsid w:val="00C64F72"/>
    <w:rsid w:val="00C67655"/>
    <w:rsid w:val="00C70C84"/>
    <w:rsid w:val="00C70FC4"/>
    <w:rsid w:val="00C72DBF"/>
    <w:rsid w:val="00C7400C"/>
    <w:rsid w:val="00C75A45"/>
    <w:rsid w:val="00C83CF7"/>
    <w:rsid w:val="00C84062"/>
    <w:rsid w:val="00C86BB4"/>
    <w:rsid w:val="00C878B8"/>
    <w:rsid w:val="00C90889"/>
    <w:rsid w:val="00C908E1"/>
    <w:rsid w:val="00C93432"/>
    <w:rsid w:val="00C9436A"/>
    <w:rsid w:val="00C943CB"/>
    <w:rsid w:val="00C94E62"/>
    <w:rsid w:val="00C95447"/>
    <w:rsid w:val="00C957A3"/>
    <w:rsid w:val="00CA750E"/>
    <w:rsid w:val="00CB24FC"/>
    <w:rsid w:val="00CB434D"/>
    <w:rsid w:val="00CB4E2E"/>
    <w:rsid w:val="00CB7F80"/>
    <w:rsid w:val="00CB7FC1"/>
    <w:rsid w:val="00CC04CF"/>
    <w:rsid w:val="00CC10FC"/>
    <w:rsid w:val="00CC1EDA"/>
    <w:rsid w:val="00CC3DE5"/>
    <w:rsid w:val="00CC42BC"/>
    <w:rsid w:val="00CC7487"/>
    <w:rsid w:val="00CC7910"/>
    <w:rsid w:val="00CD0E74"/>
    <w:rsid w:val="00CD16B0"/>
    <w:rsid w:val="00CD3F46"/>
    <w:rsid w:val="00CD6CAF"/>
    <w:rsid w:val="00CD7982"/>
    <w:rsid w:val="00CE1E16"/>
    <w:rsid w:val="00CE2F87"/>
    <w:rsid w:val="00CE4E4D"/>
    <w:rsid w:val="00CE7395"/>
    <w:rsid w:val="00CF0BF0"/>
    <w:rsid w:val="00CF243A"/>
    <w:rsid w:val="00CF3D65"/>
    <w:rsid w:val="00CF5891"/>
    <w:rsid w:val="00CF6826"/>
    <w:rsid w:val="00D00D75"/>
    <w:rsid w:val="00D014FC"/>
    <w:rsid w:val="00D03A75"/>
    <w:rsid w:val="00D0581D"/>
    <w:rsid w:val="00D0620E"/>
    <w:rsid w:val="00D067BF"/>
    <w:rsid w:val="00D10D65"/>
    <w:rsid w:val="00D13B68"/>
    <w:rsid w:val="00D1532A"/>
    <w:rsid w:val="00D175F7"/>
    <w:rsid w:val="00D20C25"/>
    <w:rsid w:val="00D2181D"/>
    <w:rsid w:val="00D22CB2"/>
    <w:rsid w:val="00D26A9D"/>
    <w:rsid w:val="00D3116E"/>
    <w:rsid w:val="00D32E00"/>
    <w:rsid w:val="00D333D8"/>
    <w:rsid w:val="00D33FF8"/>
    <w:rsid w:val="00D36A2C"/>
    <w:rsid w:val="00D36EB4"/>
    <w:rsid w:val="00D404F0"/>
    <w:rsid w:val="00D40FBB"/>
    <w:rsid w:val="00D41E54"/>
    <w:rsid w:val="00D43777"/>
    <w:rsid w:val="00D43D49"/>
    <w:rsid w:val="00D452B6"/>
    <w:rsid w:val="00D45DC2"/>
    <w:rsid w:val="00D46BEE"/>
    <w:rsid w:val="00D508F0"/>
    <w:rsid w:val="00D54265"/>
    <w:rsid w:val="00D548C6"/>
    <w:rsid w:val="00D61C44"/>
    <w:rsid w:val="00D61C69"/>
    <w:rsid w:val="00D63493"/>
    <w:rsid w:val="00D64421"/>
    <w:rsid w:val="00D729B2"/>
    <w:rsid w:val="00D72ADA"/>
    <w:rsid w:val="00D74AAD"/>
    <w:rsid w:val="00D76500"/>
    <w:rsid w:val="00D77B3F"/>
    <w:rsid w:val="00D81CF2"/>
    <w:rsid w:val="00D827F0"/>
    <w:rsid w:val="00D83904"/>
    <w:rsid w:val="00D8583A"/>
    <w:rsid w:val="00D90343"/>
    <w:rsid w:val="00D915CF"/>
    <w:rsid w:val="00D925C8"/>
    <w:rsid w:val="00D927FA"/>
    <w:rsid w:val="00D932CF"/>
    <w:rsid w:val="00D94671"/>
    <w:rsid w:val="00D96DD4"/>
    <w:rsid w:val="00DA110D"/>
    <w:rsid w:val="00DA2B60"/>
    <w:rsid w:val="00DA2C36"/>
    <w:rsid w:val="00DA4C31"/>
    <w:rsid w:val="00DA6E7E"/>
    <w:rsid w:val="00DB0B69"/>
    <w:rsid w:val="00DB0F9D"/>
    <w:rsid w:val="00DB23B7"/>
    <w:rsid w:val="00DB6E66"/>
    <w:rsid w:val="00DC0231"/>
    <w:rsid w:val="00DC0A41"/>
    <w:rsid w:val="00DC1A2A"/>
    <w:rsid w:val="00DC3EAB"/>
    <w:rsid w:val="00DC46D1"/>
    <w:rsid w:val="00DC7839"/>
    <w:rsid w:val="00DD31A7"/>
    <w:rsid w:val="00DD356C"/>
    <w:rsid w:val="00DD379D"/>
    <w:rsid w:val="00DE0087"/>
    <w:rsid w:val="00DE020D"/>
    <w:rsid w:val="00DE311C"/>
    <w:rsid w:val="00DE3BBF"/>
    <w:rsid w:val="00DE3E75"/>
    <w:rsid w:val="00DE3F5F"/>
    <w:rsid w:val="00DF0644"/>
    <w:rsid w:val="00DF0CD0"/>
    <w:rsid w:val="00DF2076"/>
    <w:rsid w:val="00DF2FD7"/>
    <w:rsid w:val="00DF3017"/>
    <w:rsid w:val="00DF4F88"/>
    <w:rsid w:val="00E004A3"/>
    <w:rsid w:val="00E004DD"/>
    <w:rsid w:val="00E027AB"/>
    <w:rsid w:val="00E100CB"/>
    <w:rsid w:val="00E11C0D"/>
    <w:rsid w:val="00E12BEA"/>
    <w:rsid w:val="00E13C98"/>
    <w:rsid w:val="00E1421D"/>
    <w:rsid w:val="00E153D5"/>
    <w:rsid w:val="00E16CA0"/>
    <w:rsid w:val="00E17B54"/>
    <w:rsid w:val="00E224CF"/>
    <w:rsid w:val="00E229C1"/>
    <w:rsid w:val="00E24E70"/>
    <w:rsid w:val="00E2643B"/>
    <w:rsid w:val="00E309E3"/>
    <w:rsid w:val="00E3240D"/>
    <w:rsid w:val="00E342EB"/>
    <w:rsid w:val="00E36D6C"/>
    <w:rsid w:val="00E379E0"/>
    <w:rsid w:val="00E37AFC"/>
    <w:rsid w:val="00E42811"/>
    <w:rsid w:val="00E450CB"/>
    <w:rsid w:val="00E46170"/>
    <w:rsid w:val="00E47EAD"/>
    <w:rsid w:val="00E52630"/>
    <w:rsid w:val="00E52AE9"/>
    <w:rsid w:val="00E53F8B"/>
    <w:rsid w:val="00E54C90"/>
    <w:rsid w:val="00E558E0"/>
    <w:rsid w:val="00E55AB9"/>
    <w:rsid w:val="00E603A9"/>
    <w:rsid w:val="00E637BA"/>
    <w:rsid w:val="00E637D5"/>
    <w:rsid w:val="00E66B64"/>
    <w:rsid w:val="00E66CF6"/>
    <w:rsid w:val="00E66F41"/>
    <w:rsid w:val="00E7066C"/>
    <w:rsid w:val="00E7564A"/>
    <w:rsid w:val="00E8066A"/>
    <w:rsid w:val="00E8088D"/>
    <w:rsid w:val="00E82E13"/>
    <w:rsid w:val="00E873E4"/>
    <w:rsid w:val="00E91DB1"/>
    <w:rsid w:val="00E92DF7"/>
    <w:rsid w:val="00E93C46"/>
    <w:rsid w:val="00E95124"/>
    <w:rsid w:val="00E969C9"/>
    <w:rsid w:val="00E96EE2"/>
    <w:rsid w:val="00EA0F46"/>
    <w:rsid w:val="00EA3745"/>
    <w:rsid w:val="00EA5C53"/>
    <w:rsid w:val="00EB1084"/>
    <w:rsid w:val="00EB1BF1"/>
    <w:rsid w:val="00EB2607"/>
    <w:rsid w:val="00EB2BB1"/>
    <w:rsid w:val="00EB36C3"/>
    <w:rsid w:val="00EB3897"/>
    <w:rsid w:val="00EB6565"/>
    <w:rsid w:val="00EB6919"/>
    <w:rsid w:val="00EB726D"/>
    <w:rsid w:val="00EC0AF6"/>
    <w:rsid w:val="00EC2D65"/>
    <w:rsid w:val="00EC2DF3"/>
    <w:rsid w:val="00ED048F"/>
    <w:rsid w:val="00ED1661"/>
    <w:rsid w:val="00ED1B6E"/>
    <w:rsid w:val="00ED3368"/>
    <w:rsid w:val="00ED4503"/>
    <w:rsid w:val="00ED4A47"/>
    <w:rsid w:val="00ED768B"/>
    <w:rsid w:val="00EE3BF1"/>
    <w:rsid w:val="00EE579C"/>
    <w:rsid w:val="00EF0860"/>
    <w:rsid w:val="00EF468F"/>
    <w:rsid w:val="00F00965"/>
    <w:rsid w:val="00F02A46"/>
    <w:rsid w:val="00F05514"/>
    <w:rsid w:val="00F05EA2"/>
    <w:rsid w:val="00F07BE4"/>
    <w:rsid w:val="00F16C6D"/>
    <w:rsid w:val="00F17A08"/>
    <w:rsid w:val="00F22696"/>
    <w:rsid w:val="00F23CEB"/>
    <w:rsid w:val="00F249AE"/>
    <w:rsid w:val="00F32DAA"/>
    <w:rsid w:val="00F35061"/>
    <w:rsid w:val="00F37C99"/>
    <w:rsid w:val="00F40B84"/>
    <w:rsid w:val="00F43E47"/>
    <w:rsid w:val="00F44150"/>
    <w:rsid w:val="00F501CE"/>
    <w:rsid w:val="00F52F67"/>
    <w:rsid w:val="00F53D9A"/>
    <w:rsid w:val="00F54899"/>
    <w:rsid w:val="00F55065"/>
    <w:rsid w:val="00F55851"/>
    <w:rsid w:val="00F601C7"/>
    <w:rsid w:val="00F623DE"/>
    <w:rsid w:val="00F6335F"/>
    <w:rsid w:val="00F637BC"/>
    <w:rsid w:val="00F74292"/>
    <w:rsid w:val="00F76F72"/>
    <w:rsid w:val="00F8106E"/>
    <w:rsid w:val="00F82D51"/>
    <w:rsid w:val="00F83B27"/>
    <w:rsid w:val="00F87244"/>
    <w:rsid w:val="00F8766B"/>
    <w:rsid w:val="00F935F1"/>
    <w:rsid w:val="00F93A94"/>
    <w:rsid w:val="00F9536B"/>
    <w:rsid w:val="00F96C02"/>
    <w:rsid w:val="00F96EFD"/>
    <w:rsid w:val="00FA1970"/>
    <w:rsid w:val="00FA22C4"/>
    <w:rsid w:val="00FA31C7"/>
    <w:rsid w:val="00FA342C"/>
    <w:rsid w:val="00FA38FF"/>
    <w:rsid w:val="00FA5E77"/>
    <w:rsid w:val="00FB36FB"/>
    <w:rsid w:val="00FB484C"/>
    <w:rsid w:val="00FB7F32"/>
    <w:rsid w:val="00FC08B6"/>
    <w:rsid w:val="00FC2A6B"/>
    <w:rsid w:val="00FC4128"/>
    <w:rsid w:val="00FC76AC"/>
    <w:rsid w:val="00FD4736"/>
    <w:rsid w:val="00FD4FA0"/>
    <w:rsid w:val="00FD6523"/>
    <w:rsid w:val="00FD75C5"/>
    <w:rsid w:val="00FE0218"/>
    <w:rsid w:val="00FE0DC9"/>
    <w:rsid w:val="00FE2593"/>
    <w:rsid w:val="00FE26FF"/>
    <w:rsid w:val="00FE395F"/>
    <w:rsid w:val="00FE3F94"/>
    <w:rsid w:val="00FE5549"/>
    <w:rsid w:val="00FE7264"/>
    <w:rsid w:val="00FE72A1"/>
    <w:rsid w:val="00FF0685"/>
    <w:rsid w:val="00FF1920"/>
    <w:rsid w:val="00FF58A6"/>
    <w:rsid w:val="00FF58E7"/>
    <w:rsid w:val="00FF6EED"/>
    <w:rsid w:val="00FF7060"/>
    <w:rsid w:val="0122540E"/>
    <w:rsid w:val="0137102E"/>
    <w:rsid w:val="016957F0"/>
    <w:rsid w:val="016969CA"/>
    <w:rsid w:val="01780EF9"/>
    <w:rsid w:val="018017E6"/>
    <w:rsid w:val="01A210DA"/>
    <w:rsid w:val="01D0697D"/>
    <w:rsid w:val="01D2320E"/>
    <w:rsid w:val="01EE38FC"/>
    <w:rsid w:val="01FC0B60"/>
    <w:rsid w:val="02025CDC"/>
    <w:rsid w:val="021D5362"/>
    <w:rsid w:val="02334DAA"/>
    <w:rsid w:val="0258567D"/>
    <w:rsid w:val="02687272"/>
    <w:rsid w:val="02736AD1"/>
    <w:rsid w:val="02751BB4"/>
    <w:rsid w:val="028169D7"/>
    <w:rsid w:val="02B02C50"/>
    <w:rsid w:val="02B62AFF"/>
    <w:rsid w:val="02D45B41"/>
    <w:rsid w:val="02D50CE4"/>
    <w:rsid w:val="02FA371D"/>
    <w:rsid w:val="03166818"/>
    <w:rsid w:val="032F3058"/>
    <w:rsid w:val="033C1A5E"/>
    <w:rsid w:val="034B0C39"/>
    <w:rsid w:val="03651773"/>
    <w:rsid w:val="036A60B5"/>
    <w:rsid w:val="03785762"/>
    <w:rsid w:val="037F1064"/>
    <w:rsid w:val="038D53EF"/>
    <w:rsid w:val="03A15A22"/>
    <w:rsid w:val="03C3782D"/>
    <w:rsid w:val="03D51A5A"/>
    <w:rsid w:val="03E203E0"/>
    <w:rsid w:val="03FA1518"/>
    <w:rsid w:val="041D7379"/>
    <w:rsid w:val="04252458"/>
    <w:rsid w:val="04432822"/>
    <w:rsid w:val="04CD0D9B"/>
    <w:rsid w:val="051B194B"/>
    <w:rsid w:val="052715E6"/>
    <w:rsid w:val="05341390"/>
    <w:rsid w:val="055426E3"/>
    <w:rsid w:val="058A5472"/>
    <w:rsid w:val="058B5AB2"/>
    <w:rsid w:val="05C20E4F"/>
    <w:rsid w:val="05DF68CD"/>
    <w:rsid w:val="05E5425C"/>
    <w:rsid w:val="05FD7497"/>
    <w:rsid w:val="06191786"/>
    <w:rsid w:val="061D7998"/>
    <w:rsid w:val="061F569B"/>
    <w:rsid w:val="064A64C1"/>
    <w:rsid w:val="0696055B"/>
    <w:rsid w:val="06AC7204"/>
    <w:rsid w:val="06DC5C71"/>
    <w:rsid w:val="0706343D"/>
    <w:rsid w:val="071159C5"/>
    <w:rsid w:val="07177141"/>
    <w:rsid w:val="073D1FEE"/>
    <w:rsid w:val="076142A8"/>
    <w:rsid w:val="076831C1"/>
    <w:rsid w:val="077D3078"/>
    <w:rsid w:val="07811155"/>
    <w:rsid w:val="07B02BE3"/>
    <w:rsid w:val="07B61B72"/>
    <w:rsid w:val="081C03B6"/>
    <w:rsid w:val="082F006C"/>
    <w:rsid w:val="084323DF"/>
    <w:rsid w:val="084A6CA8"/>
    <w:rsid w:val="08553664"/>
    <w:rsid w:val="08612B74"/>
    <w:rsid w:val="087A532A"/>
    <w:rsid w:val="087A5400"/>
    <w:rsid w:val="088E486C"/>
    <w:rsid w:val="08C6160E"/>
    <w:rsid w:val="08DB0FFC"/>
    <w:rsid w:val="097701DF"/>
    <w:rsid w:val="09816039"/>
    <w:rsid w:val="0999672D"/>
    <w:rsid w:val="099F6353"/>
    <w:rsid w:val="09C14860"/>
    <w:rsid w:val="0A1D7356"/>
    <w:rsid w:val="0A5A5128"/>
    <w:rsid w:val="0ABE08CD"/>
    <w:rsid w:val="0ABE68C3"/>
    <w:rsid w:val="0AD849DF"/>
    <w:rsid w:val="0AFB2382"/>
    <w:rsid w:val="0B001CF1"/>
    <w:rsid w:val="0B0F1BD3"/>
    <w:rsid w:val="0B2F31FD"/>
    <w:rsid w:val="0B3E3E08"/>
    <w:rsid w:val="0B434407"/>
    <w:rsid w:val="0BA14EE5"/>
    <w:rsid w:val="0BC322D1"/>
    <w:rsid w:val="0BD57E4A"/>
    <w:rsid w:val="0C037F20"/>
    <w:rsid w:val="0C07544A"/>
    <w:rsid w:val="0C3F2689"/>
    <w:rsid w:val="0C5252B7"/>
    <w:rsid w:val="0C833A0A"/>
    <w:rsid w:val="0CCF7079"/>
    <w:rsid w:val="0CDB2461"/>
    <w:rsid w:val="0D1A4D3E"/>
    <w:rsid w:val="0D2A19B8"/>
    <w:rsid w:val="0D361640"/>
    <w:rsid w:val="0D6D35EE"/>
    <w:rsid w:val="0D8A00C2"/>
    <w:rsid w:val="0D8C4D0B"/>
    <w:rsid w:val="0DB57EB4"/>
    <w:rsid w:val="0DC61E5B"/>
    <w:rsid w:val="0DEE3675"/>
    <w:rsid w:val="0DF10C8B"/>
    <w:rsid w:val="0EC169ED"/>
    <w:rsid w:val="0EEA224F"/>
    <w:rsid w:val="0F244C87"/>
    <w:rsid w:val="0F4E7078"/>
    <w:rsid w:val="0F646308"/>
    <w:rsid w:val="0FA56EE4"/>
    <w:rsid w:val="0FB67568"/>
    <w:rsid w:val="0FC0079A"/>
    <w:rsid w:val="0FC53110"/>
    <w:rsid w:val="0FDF5F3F"/>
    <w:rsid w:val="0FF91629"/>
    <w:rsid w:val="102B6784"/>
    <w:rsid w:val="103E67C1"/>
    <w:rsid w:val="10584E8E"/>
    <w:rsid w:val="106842F3"/>
    <w:rsid w:val="107B139D"/>
    <w:rsid w:val="10986649"/>
    <w:rsid w:val="109E0A40"/>
    <w:rsid w:val="10CB6F95"/>
    <w:rsid w:val="10EF326C"/>
    <w:rsid w:val="11444189"/>
    <w:rsid w:val="114D20DA"/>
    <w:rsid w:val="116D06E4"/>
    <w:rsid w:val="11956D51"/>
    <w:rsid w:val="11B47F1F"/>
    <w:rsid w:val="11F359D2"/>
    <w:rsid w:val="12217CC1"/>
    <w:rsid w:val="122D2216"/>
    <w:rsid w:val="124517D5"/>
    <w:rsid w:val="124A245F"/>
    <w:rsid w:val="12562786"/>
    <w:rsid w:val="128E7D1F"/>
    <w:rsid w:val="129872AA"/>
    <w:rsid w:val="129A706E"/>
    <w:rsid w:val="12AC0466"/>
    <w:rsid w:val="12B61DAF"/>
    <w:rsid w:val="12C209CA"/>
    <w:rsid w:val="12D30DB4"/>
    <w:rsid w:val="13394F3C"/>
    <w:rsid w:val="133B4278"/>
    <w:rsid w:val="135021C5"/>
    <w:rsid w:val="13506850"/>
    <w:rsid w:val="13530945"/>
    <w:rsid w:val="13616F9F"/>
    <w:rsid w:val="1377173F"/>
    <w:rsid w:val="13797365"/>
    <w:rsid w:val="137A7B50"/>
    <w:rsid w:val="13A534C4"/>
    <w:rsid w:val="13A563D9"/>
    <w:rsid w:val="13B15D9A"/>
    <w:rsid w:val="13F23A26"/>
    <w:rsid w:val="13F92B21"/>
    <w:rsid w:val="143C61BF"/>
    <w:rsid w:val="14660EB1"/>
    <w:rsid w:val="1469268B"/>
    <w:rsid w:val="14FC4A61"/>
    <w:rsid w:val="14FD7B64"/>
    <w:rsid w:val="151F03AA"/>
    <w:rsid w:val="152672FE"/>
    <w:rsid w:val="156A77AA"/>
    <w:rsid w:val="15734A91"/>
    <w:rsid w:val="15843546"/>
    <w:rsid w:val="15AB4F31"/>
    <w:rsid w:val="15B256D7"/>
    <w:rsid w:val="15D65C6D"/>
    <w:rsid w:val="15DD476B"/>
    <w:rsid w:val="15FA3EFC"/>
    <w:rsid w:val="1646275F"/>
    <w:rsid w:val="16490DAA"/>
    <w:rsid w:val="16697ADE"/>
    <w:rsid w:val="167964AD"/>
    <w:rsid w:val="16816489"/>
    <w:rsid w:val="16910A46"/>
    <w:rsid w:val="169A03A1"/>
    <w:rsid w:val="16B17840"/>
    <w:rsid w:val="16D926FF"/>
    <w:rsid w:val="170607B2"/>
    <w:rsid w:val="170811E9"/>
    <w:rsid w:val="172101F4"/>
    <w:rsid w:val="17342AF1"/>
    <w:rsid w:val="17416F7D"/>
    <w:rsid w:val="17635D5B"/>
    <w:rsid w:val="177847F5"/>
    <w:rsid w:val="17A96C4F"/>
    <w:rsid w:val="17D264F5"/>
    <w:rsid w:val="17D271A5"/>
    <w:rsid w:val="17E41342"/>
    <w:rsid w:val="17F17281"/>
    <w:rsid w:val="18034711"/>
    <w:rsid w:val="18051D6C"/>
    <w:rsid w:val="18273C02"/>
    <w:rsid w:val="18440270"/>
    <w:rsid w:val="1849403F"/>
    <w:rsid w:val="1869764E"/>
    <w:rsid w:val="18A53496"/>
    <w:rsid w:val="18BB4B0F"/>
    <w:rsid w:val="18D074F8"/>
    <w:rsid w:val="18DF0DD1"/>
    <w:rsid w:val="190C1623"/>
    <w:rsid w:val="19103874"/>
    <w:rsid w:val="195E341C"/>
    <w:rsid w:val="198C721B"/>
    <w:rsid w:val="198D3864"/>
    <w:rsid w:val="199E2302"/>
    <w:rsid w:val="199F3813"/>
    <w:rsid w:val="19E96950"/>
    <w:rsid w:val="19E976B8"/>
    <w:rsid w:val="19EE0141"/>
    <w:rsid w:val="1A0449E2"/>
    <w:rsid w:val="1A1E0070"/>
    <w:rsid w:val="1A3F3F34"/>
    <w:rsid w:val="1A417050"/>
    <w:rsid w:val="1A592B45"/>
    <w:rsid w:val="1A7F5CDA"/>
    <w:rsid w:val="1AB27CD5"/>
    <w:rsid w:val="1AB33AF1"/>
    <w:rsid w:val="1AB562E6"/>
    <w:rsid w:val="1AC511BD"/>
    <w:rsid w:val="1AD07949"/>
    <w:rsid w:val="1AD901E2"/>
    <w:rsid w:val="1AEB2853"/>
    <w:rsid w:val="1AFC1799"/>
    <w:rsid w:val="1AFE63D7"/>
    <w:rsid w:val="1B296CE2"/>
    <w:rsid w:val="1B4E4993"/>
    <w:rsid w:val="1B53615C"/>
    <w:rsid w:val="1BA41799"/>
    <w:rsid w:val="1BC8507A"/>
    <w:rsid w:val="1BF44EA2"/>
    <w:rsid w:val="1BF871B9"/>
    <w:rsid w:val="1C0768EB"/>
    <w:rsid w:val="1C3A5AC8"/>
    <w:rsid w:val="1CA25EA4"/>
    <w:rsid w:val="1CA84031"/>
    <w:rsid w:val="1CB77D61"/>
    <w:rsid w:val="1CC81F01"/>
    <w:rsid w:val="1CD949E4"/>
    <w:rsid w:val="1CEB47A2"/>
    <w:rsid w:val="1D232878"/>
    <w:rsid w:val="1D55372A"/>
    <w:rsid w:val="1D625841"/>
    <w:rsid w:val="1D6B678F"/>
    <w:rsid w:val="1DA34C89"/>
    <w:rsid w:val="1DEA160C"/>
    <w:rsid w:val="1E03192E"/>
    <w:rsid w:val="1E0E1351"/>
    <w:rsid w:val="1E75236B"/>
    <w:rsid w:val="1E995317"/>
    <w:rsid w:val="1EAC5426"/>
    <w:rsid w:val="1EB9463C"/>
    <w:rsid w:val="1EC4070B"/>
    <w:rsid w:val="1EE44F4D"/>
    <w:rsid w:val="1F9B07C2"/>
    <w:rsid w:val="1FA04079"/>
    <w:rsid w:val="1FC73E2C"/>
    <w:rsid w:val="1FE97614"/>
    <w:rsid w:val="201D350D"/>
    <w:rsid w:val="20223D99"/>
    <w:rsid w:val="20577CC0"/>
    <w:rsid w:val="20992D7A"/>
    <w:rsid w:val="20A46808"/>
    <w:rsid w:val="20A8607A"/>
    <w:rsid w:val="20AA1E26"/>
    <w:rsid w:val="20B94F62"/>
    <w:rsid w:val="20C90A4A"/>
    <w:rsid w:val="20DA5229"/>
    <w:rsid w:val="20E46BEB"/>
    <w:rsid w:val="20E5499E"/>
    <w:rsid w:val="210379A0"/>
    <w:rsid w:val="211D0981"/>
    <w:rsid w:val="212113CA"/>
    <w:rsid w:val="21240259"/>
    <w:rsid w:val="218B5B23"/>
    <w:rsid w:val="219C7A1C"/>
    <w:rsid w:val="21C27070"/>
    <w:rsid w:val="22012391"/>
    <w:rsid w:val="22435B50"/>
    <w:rsid w:val="224B78D7"/>
    <w:rsid w:val="22511BA9"/>
    <w:rsid w:val="22591F1E"/>
    <w:rsid w:val="22690F20"/>
    <w:rsid w:val="22943B60"/>
    <w:rsid w:val="22AA61A0"/>
    <w:rsid w:val="22B00099"/>
    <w:rsid w:val="22EF5E35"/>
    <w:rsid w:val="2324704D"/>
    <w:rsid w:val="232C6492"/>
    <w:rsid w:val="23364798"/>
    <w:rsid w:val="23547DF9"/>
    <w:rsid w:val="23581D4A"/>
    <w:rsid w:val="240F58F7"/>
    <w:rsid w:val="2410441D"/>
    <w:rsid w:val="242C424F"/>
    <w:rsid w:val="243B0E9C"/>
    <w:rsid w:val="24470016"/>
    <w:rsid w:val="246123A9"/>
    <w:rsid w:val="24FE00AD"/>
    <w:rsid w:val="251E34F0"/>
    <w:rsid w:val="252E1ED8"/>
    <w:rsid w:val="2565362A"/>
    <w:rsid w:val="25B241E2"/>
    <w:rsid w:val="25F11CA7"/>
    <w:rsid w:val="261A24D7"/>
    <w:rsid w:val="262F7C70"/>
    <w:rsid w:val="26504D91"/>
    <w:rsid w:val="26541D21"/>
    <w:rsid w:val="26C61D59"/>
    <w:rsid w:val="26DF25A5"/>
    <w:rsid w:val="26F94239"/>
    <w:rsid w:val="27260318"/>
    <w:rsid w:val="272834FB"/>
    <w:rsid w:val="274D435F"/>
    <w:rsid w:val="27572039"/>
    <w:rsid w:val="276D3B41"/>
    <w:rsid w:val="27A93496"/>
    <w:rsid w:val="27CA03A0"/>
    <w:rsid w:val="27DF4974"/>
    <w:rsid w:val="28366A8B"/>
    <w:rsid w:val="284377A8"/>
    <w:rsid w:val="28612833"/>
    <w:rsid w:val="28810B5D"/>
    <w:rsid w:val="2888035A"/>
    <w:rsid w:val="288E3526"/>
    <w:rsid w:val="289032F5"/>
    <w:rsid w:val="28B1501F"/>
    <w:rsid w:val="28C15840"/>
    <w:rsid w:val="290D716A"/>
    <w:rsid w:val="291712D9"/>
    <w:rsid w:val="292244A1"/>
    <w:rsid w:val="29304A01"/>
    <w:rsid w:val="29427866"/>
    <w:rsid w:val="294C7FDA"/>
    <w:rsid w:val="2979215E"/>
    <w:rsid w:val="299906CE"/>
    <w:rsid w:val="29F51AFD"/>
    <w:rsid w:val="2A304D09"/>
    <w:rsid w:val="2A4D2F93"/>
    <w:rsid w:val="2AC14B33"/>
    <w:rsid w:val="2AE27075"/>
    <w:rsid w:val="2B483ED2"/>
    <w:rsid w:val="2B731AC7"/>
    <w:rsid w:val="2B7B66B8"/>
    <w:rsid w:val="2B890516"/>
    <w:rsid w:val="2B986974"/>
    <w:rsid w:val="2BBA714A"/>
    <w:rsid w:val="2BBE3A6C"/>
    <w:rsid w:val="2BC507B3"/>
    <w:rsid w:val="2BC5794D"/>
    <w:rsid w:val="2C111993"/>
    <w:rsid w:val="2C1E6852"/>
    <w:rsid w:val="2C45117C"/>
    <w:rsid w:val="2C546F94"/>
    <w:rsid w:val="2C6A3346"/>
    <w:rsid w:val="2C901271"/>
    <w:rsid w:val="2CB40D2C"/>
    <w:rsid w:val="2CCF3716"/>
    <w:rsid w:val="2CD25B7F"/>
    <w:rsid w:val="2D09202F"/>
    <w:rsid w:val="2D1020DA"/>
    <w:rsid w:val="2D2526A4"/>
    <w:rsid w:val="2D462558"/>
    <w:rsid w:val="2D476B10"/>
    <w:rsid w:val="2DC878E7"/>
    <w:rsid w:val="2DEC10A6"/>
    <w:rsid w:val="2E300BB6"/>
    <w:rsid w:val="2E365A9D"/>
    <w:rsid w:val="2E8E6FC0"/>
    <w:rsid w:val="2EB226DA"/>
    <w:rsid w:val="2ECA6321"/>
    <w:rsid w:val="2ED24E65"/>
    <w:rsid w:val="2EE67FC1"/>
    <w:rsid w:val="2EF969C5"/>
    <w:rsid w:val="2F52374E"/>
    <w:rsid w:val="2F5F0D08"/>
    <w:rsid w:val="2F763D3F"/>
    <w:rsid w:val="2F82035C"/>
    <w:rsid w:val="2F925E74"/>
    <w:rsid w:val="2F9377BF"/>
    <w:rsid w:val="2F9C028F"/>
    <w:rsid w:val="2FD743B0"/>
    <w:rsid w:val="2FDC3D1D"/>
    <w:rsid w:val="2FDE6021"/>
    <w:rsid w:val="30047672"/>
    <w:rsid w:val="3012492B"/>
    <w:rsid w:val="301F79DF"/>
    <w:rsid w:val="30216E2F"/>
    <w:rsid w:val="303D67AD"/>
    <w:rsid w:val="305B32FC"/>
    <w:rsid w:val="306B247C"/>
    <w:rsid w:val="306B75AD"/>
    <w:rsid w:val="30B123B1"/>
    <w:rsid w:val="30CD190C"/>
    <w:rsid w:val="30DA4C32"/>
    <w:rsid w:val="30E77A49"/>
    <w:rsid w:val="311244DF"/>
    <w:rsid w:val="314B3A02"/>
    <w:rsid w:val="314F76FF"/>
    <w:rsid w:val="31715816"/>
    <w:rsid w:val="31995748"/>
    <w:rsid w:val="31CB67AB"/>
    <w:rsid w:val="31EC1EE7"/>
    <w:rsid w:val="32106D21"/>
    <w:rsid w:val="321C7EA4"/>
    <w:rsid w:val="32340848"/>
    <w:rsid w:val="32732B9F"/>
    <w:rsid w:val="32DB3FD1"/>
    <w:rsid w:val="32E735E4"/>
    <w:rsid w:val="32F9388A"/>
    <w:rsid w:val="33295B6F"/>
    <w:rsid w:val="332D1DFE"/>
    <w:rsid w:val="33701E11"/>
    <w:rsid w:val="33893F6A"/>
    <w:rsid w:val="33921E9D"/>
    <w:rsid w:val="33B679E6"/>
    <w:rsid w:val="33BF2B36"/>
    <w:rsid w:val="33C61012"/>
    <w:rsid w:val="34050B66"/>
    <w:rsid w:val="34282A9B"/>
    <w:rsid w:val="3439771F"/>
    <w:rsid w:val="343A40AF"/>
    <w:rsid w:val="345B219E"/>
    <w:rsid w:val="348D6FC3"/>
    <w:rsid w:val="34921F29"/>
    <w:rsid w:val="34980E90"/>
    <w:rsid w:val="349948B4"/>
    <w:rsid w:val="34CB7FF7"/>
    <w:rsid w:val="34DA2148"/>
    <w:rsid w:val="34F2196C"/>
    <w:rsid w:val="34F94600"/>
    <w:rsid w:val="35206787"/>
    <w:rsid w:val="354436E1"/>
    <w:rsid w:val="354B15D6"/>
    <w:rsid w:val="354D2F7F"/>
    <w:rsid w:val="35532FD0"/>
    <w:rsid w:val="35555DD1"/>
    <w:rsid w:val="35692397"/>
    <w:rsid w:val="3585155E"/>
    <w:rsid w:val="3594365D"/>
    <w:rsid w:val="35D85121"/>
    <w:rsid w:val="362E098C"/>
    <w:rsid w:val="367E18F5"/>
    <w:rsid w:val="36D1230C"/>
    <w:rsid w:val="36DF524F"/>
    <w:rsid w:val="36EB4BE8"/>
    <w:rsid w:val="372F2BC8"/>
    <w:rsid w:val="37684ADC"/>
    <w:rsid w:val="37730A9F"/>
    <w:rsid w:val="378569B4"/>
    <w:rsid w:val="378C4099"/>
    <w:rsid w:val="37EE153D"/>
    <w:rsid w:val="37F451F0"/>
    <w:rsid w:val="37FC1926"/>
    <w:rsid w:val="38552B0A"/>
    <w:rsid w:val="38881D72"/>
    <w:rsid w:val="388A06F5"/>
    <w:rsid w:val="388C6AFC"/>
    <w:rsid w:val="38922C9A"/>
    <w:rsid w:val="38954592"/>
    <w:rsid w:val="38A54410"/>
    <w:rsid w:val="38B02533"/>
    <w:rsid w:val="38DD065E"/>
    <w:rsid w:val="38ED2171"/>
    <w:rsid w:val="38F553EA"/>
    <w:rsid w:val="39177822"/>
    <w:rsid w:val="394403CB"/>
    <w:rsid w:val="394728B0"/>
    <w:rsid w:val="39493342"/>
    <w:rsid w:val="396E2DF7"/>
    <w:rsid w:val="39763FAC"/>
    <w:rsid w:val="39B71037"/>
    <w:rsid w:val="39C6198B"/>
    <w:rsid w:val="39C83145"/>
    <w:rsid w:val="39D23D74"/>
    <w:rsid w:val="39EC2D9B"/>
    <w:rsid w:val="39F033A9"/>
    <w:rsid w:val="3A1F0D58"/>
    <w:rsid w:val="3A2D7A79"/>
    <w:rsid w:val="3A4B3757"/>
    <w:rsid w:val="3A5F6829"/>
    <w:rsid w:val="3A625BB2"/>
    <w:rsid w:val="3A792417"/>
    <w:rsid w:val="3A7929B8"/>
    <w:rsid w:val="3A922269"/>
    <w:rsid w:val="3AAE69A6"/>
    <w:rsid w:val="3AC2419D"/>
    <w:rsid w:val="3ACE04EC"/>
    <w:rsid w:val="3AE468CC"/>
    <w:rsid w:val="3AED0C62"/>
    <w:rsid w:val="3B1E42EA"/>
    <w:rsid w:val="3B2C156C"/>
    <w:rsid w:val="3B302CAF"/>
    <w:rsid w:val="3B71135B"/>
    <w:rsid w:val="3B882D9A"/>
    <w:rsid w:val="3BAD014F"/>
    <w:rsid w:val="3BBC5597"/>
    <w:rsid w:val="3BCD53C9"/>
    <w:rsid w:val="3BDF5581"/>
    <w:rsid w:val="3C237601"/>
    <w:rsid w:val="3C276BCD"/>
    <w:rsid w:val="3C702AD8"/>
    <w:rsid w:val="3C7973D6"/>
    <w:rsid w:val="3C99305C"/>
    <w:rsid w:val="3C9A4583"/>
    <w:rsid w:val="3CC773BE"/>
    <w:rsid w:val="3CD64A77"/>
    <w:rsid w:val="3CDF378D"/>
    <w:rsid w:val="3CFA3C06"/>
    <w:rsid w:val="3CFE71A4"/>
    <w:rsid w:val="3D3019B2"/>
    <w:rsid w:val="3D5B77D6"/>
    <w:rsid w:val="3D8D5AA3"/>
    <w:rsid w:val="3DAA4E1F"/>
    <w:rsid w:val="3DD665EE"/>
    <w:rsid w:val="3E1366DC"/>
    <w:rsid w:val="3E263CA5"/>
    <w:rsid w:val="3E2640FF"/>
    <w:rsid w:val="3E496916"/>
    <w:rsid w:val="3E4D38CC"/>
    <w:rsid w:val="3E576FB9"/>
    <w:rsid w:val="3E6F30C9"/>
    <w:rsid w:val="3E8D682F"/>
    <w:rsid w:val="3EB023CE"/>
    <w:rsid w:val="3EB77A11"/>
    <w:rsid w:val="3EBD509F"/>
    <w:rsid w:val="3F0966A7"/>
    <w:rsid w:val="3F52624F"/>
    <w:rsid w:val="3F726A74"/>
    <w:rsid w:val="3F740A6C"/>
    <w:rsid w:val="3F8B6761"/>
    <w:rsid w:val="3F9C29EC"/>
    <w:rsid w:val="3FA047BE"/>
    <w:rsid w:val="3FC10CBE"/>
    <w:rsid w:val="3FC43945"/>
    <w:rsid w:val="402A0066"/>
    <w:rsid w:val="403B1E02"/>
    <w:rsid w:val="404F276E"/>
    <w:rsid w:val="40845F88"/>
    <w:rsid w:val="40882B22"/>
    <w:rsid w:val="40AB2FD6"/>
    <w:rsid w:val="40B843C0"/>
    <w:rsid w:val="40E40B6F"/>
    <w:rsid w:val="40E6578E"/>
    <w:rsid w:val="40F07D76"/>
    <w:rsid w:val="40F53497"/>
    <w:rsid w:val="410B2D48"/>
    <w:rsid w:val="41632549"/>
    <w:rsid w:val="41633BDA"/>
    <w:rsid w:val="417C006A"/>
    <w:rsid w:val="41873B6C"/>
    <w:rsid w:val="419E74BC"/>
    <w:rsid w:val="41A46E43"/>
    <w:rsid w:val="41D6725E"/>
    <w:rsid w:val="41D81894"/>
    <w:rsid w:val="41D97113"/>
    <w:rsid w:val="41DA5CF9"/>
    <w:rsid w:val="41EF32C6"/>
    <w:rsid w:val="420D3C5A"/>
    <w:rsid w:val="4219471C"/>
    <w:rsid w:val="421E0FCC"/>
    <w:rsid w:val="42312A44"/>
    <w:rsid w:val="423701A8"/>
    <w:rsid w:val="42746155"/>
    <w:rsid w:val="428372C5"/>
    <w:rsid w:val="430866C8"/>
    <w:rsid w:val="430F1F1F"/>
    <w:rsid w:val="436F5462"/>
    <w:rsid w:val="437B3E59"/>
    <w:rsid w:val="437F6B51"/>
    <w:rsid w:val="43807D8E"/>
    <w:rsid w:val="43833610"/>
    <w:rsid w:val="438F0CDB"/>
    <w:rsid w:val="438F155D"/>
    <w:rsid w:val="43A62980"/>
    <w:rsid w:val="43F07991"/>
    <w:rsid w:val="43F429FD"/>
    <w:rsid w:val="43FA5FC8"/>
    <w:rsid w:val="4427468E"/>
    <w:rsid w:val="442C69CC"/>
    <w:rsid w:val="445F2BBC"/>
    <w:rsid w:val="4478740B"/>
    <w:rsid w:val="448E7DE7"/>
    <w:rsid w:val="44A14858"/>
    <w:rsid w:val="44C2225C"/>
    <w:rsid w:val="44CC72C5"/>
    <w:rsid w:val="44DC3851"/>
    <w:rsid w:val="4514390E"/>
    <w:rsid w:val="451B1868"/>
    <w:rsid w:val="453C05A1"/>
    <w:rsid w:val="454D5966"/>
    <w:rsid w:val="455448C0"/>
    <w:rsid w:val="455E04D8"/>
    <w:rsid w:val="4587329F"/>
    <w:rsid w:val="459327C7"/>
    <w:rsid w:val="459C749C"/>
    <w:rsid w:val="45B14616"/>
    <w:rsid w:val="45CD184B"/>
    <w:rsid w:val="45E04D02"/>
    <w:rsid w:val="46513005"/>
    <w:rsid w:val="46526B1E"/>
    <w:rsid w:val="46554133"/>
    <w:rsid w:val="46711A38"/>
    <w:rsid w:val="469710A1"/>
    <w:rsid w:val="46AE1725"/>
    <w:rsid w:val="46DE5172"/>
    <w:rsid w:val="47146B6B"/>
    <w:rsid w:val="471943CE"/>
    <w:rsid w:val="471E7EBD"/>
    <w:rsid w:val="472B71D3"/>
    <w:rsid w:val="47355668"/>
    <w:rsid w:val="476B326B"/>
    <w:rsid w:val="476B45C8"/>
    <w:rsid w:val="47CA4185"/>
    <w:rsid w:val="481F677C"/>
    <w:rsid w:val="482A245A"/>
    <w:rsid w:val="48740D6D"/>
    <w:rsid w:val="48B57E6E"/>
    <w:rsid w:val="48CA5302"/>
    <w:rsid w:val="48EA41FC"/>
    <w:rsid w:val="48FC0523"/>
    <w:rsid w:val="49114B96"/>
    <w:rsid w:val="495C3293"/>
    <w:rsid w:val="495E49FE"/>
    <w:rsid w:val="498675B3"/>
    <w:rsid w:val="49CA46B1"/>
    <w:rsid w:val="4AAA225B"/>
    <w:rsid w:val="4AB84F69"/>
    <w:rsid w:val="4AD92ACD"/>
    <w:rsid w:val="4AE91CB5"/>
    <w:rsid w:val="4B1812D8"/>
    <w:rsid w:val="4B186F27"/>
    <w:rsid w:val="4B326DE4"/>
    <w:rsid w:val="4B3B16BA"/>
    <w:rsid w:val="4B5228C4"/>
    <w:rsid w:val="4B5518DB"/>
    <w:rsid w:val="4B556902"/>
    <w:rsid w:val="4B706C1E"/>
    <w:rsid w:val="4BBF78F1"/>
    <w:rsid w:val="4BD16463"/>
    <w:rsid w:val="4BE0283D"/>
    <w:rsid w:val="4C19585E"/>
    <w:rsid w:val="4C3A1995"/>
    <w:rsid w:val="4C8345D4"/>
    <w:rsid w:val="4C856436"/>
    <w:rsid w:val="4CAF23DE"/>
    <w:rsid w:val="4CBE5943"/>
    <w:rsid w:val="4D9E0296"/>
    <w:rsid w:val="4DCB62C4"/>
    <w:rsid w:val="4DD05886"/>
    <w:rsid w:val="4DDE4A21"/>
    <w:rsid w:val="4E1A394E"/>
    <w:rsid w:val="4E2F7075"/>
    <w:rsid w:val="4E3E2E84"/>
    <w:rsid w:val="4E5E5B91"/>
    <w:rsid w:val="4E62197C"/>
    <w:rsid w:val="4E681461"/>
    <w:rsid w:val="4E7B3647"/>
    <w:rsid w:val="4E830509"/>
    <w:rsid w:val="4E8925E8"/>
    <w:rsid w:val="4E9130E8"/>
    <w:rsid w:val="4ED2349B"/>
    <w:rsid w:val="4F0A5709"/>
    <w:rsid w:val="4F1634D1"/>
    <w:rsid w:val="4F4360B1"/>
    <w:rsid w:val="4F651428"/>
    <w:rsid w:val="4FA6271A"/>
    <w:rsid w:val="4FB97344"/>
    <w:rsid w:val="4FCE2C36"/>
    <w:rsid w:val="4FD144A8"/>
    <w:rsid w:val="4FD25E02"/>
    <w:rsid w:val="5034702A"/>
    <w:rsid w:val="503636D9"/>
    <w:rsid w:val="503F0A73"/>
    <w:rsid w:val="50571002"/>
    <w:rsid w:val="50A47312"/>
    <w:rsid w:val="50AB3567"/>
    <w:rsid w:val="50AF405F"/>
    <w:rsid w:val="50BF4786"/>
    <w:rsid w:val="51223AD3"/>
    <w:rsid w:val="512F7541"/>
    <w:rsid w:val="5130178F"/>
    <w:rsid w:val="514F5282"/>
    <w:rsid w:val="51573E39"/>
    <w:rsid w:val="515A136E"/>
    <w:rsid w:val="516F0AB9"/>
    <w:rsid w:val="517477F3"/>
    <w:rsid w:val="51850CCC"/>
    <w:rsid w:val="51D74788"/>
    <w:rsid w:val="51DA3E5A"/>
    <w:rsid w:val="51F65EB0"/>
    <w:rsid w:val="522F4D97"/>
    <w:rsid w:val="523807A7"/>
    <w:rsid w:val="52407269"/>
    <w:rsid w:val="5252299E"/>
    <w:rsid w:val="525E6E94"/>
    <w:rsid w:val="526306BA"/>
    <w:rsid w:val="52C459A9"/>
    <w:rsid w:val="52E86DE9"/>
    <w:rsid w:val="52EF78B1"/>
    <w:rsid w:val="52FD1DAD"/>
    <w:rsid w:val="530778D7"/>
    <w:rsid w:val="532E025C"/>
    <w:rsid w:val="53463559"/>
    <w:rsid w:val="53610D90"/>
    <w:rsid w:val="536F0DAA"/>
    <w:rsid w:val="541D7D4F"/>
    <w:rsid w:val="54474B4F"/>
    <w:rsid w:val="545B44BA"/>
    <w:rsid w:val="54AD4D7C"/>
    <w:rsid w:val="54C47677"/>
    <w:rsid w:val="54DB7064"/>
    <w:rsid w:val="552A4A79"/>
    <w:rsid w:val="5537365B"/>
    <w:rsid w:val="553F7D67"/>
    <w:rsid w:val="55490395"/>
    <w:rsid w:val="55517A88"/>
    <w:rsid w:val="55684E4A"/>
    <w:rsid w:val="55805061"/>
    <w:rsid w:val="55944122"/>
    <w:rsid w:val="55A608B4"/>
    <w:rsid w:val="55B00076"/>
    <w:rsid w:val="55B959F2"/>
    <w:rsid w:val="55C05835"/>
    <w:rsid w:val="55ED5ED3"/>
    <w:rsid w:val="55FB3D7B"/>
    <w:rsid w:val="56171CB9"/>
    <w:rsid w:val="562402C6"/>
    <w:rsid w:val="563C2F09"/>
    <w:rsid w:val="564C580A"/>
    <w:rsid w:val="569F452E"/>
    <w:rsid w:val="56AC6EBA"/>
    <w:rsid w:val="56AF1266"/>
    <w:rsid w:val="56CF5E69"/>
    <w:rsid w:val="56D01BA8"/>
    <w:rsid w:val="56EF4FC6"/>
    <w:rsid w:val="571A5469"/>
    <w:rsid w:val="573B58DD"/>
    <w:rsid w:val="5765405B"/>
    <w:rsid w:val="578800EE"/>
    <w:rsid w:val="579609D7"/>
    <w:rsid w:val="57EA0981"/>
    <w:rsid w:val="57F416E4"/>
    <w:rsid w:val="58030153"/>
    <w:rsid w:val="585C5857"/>
    <w:rsid w:val="586C6DA9"/>
    <w:rsid w:val="586F2988"/>
    <w:rsid w:val="58842ED9"/>
    <w:rsid w:val="589F65E2"/>
    <w:rsid w:val="58A064A3"/>
    <w:rsid w:val="58B65B9B"/>
    <w:rsid w:val="58C1769F"/>
    <w:rsid w:val="58E63AA2"/>
    <w:rsid w:val="5905624B"/>
    <w:rsid w:val="591C6331"/>
    <w:rsid w:val="59775CB9"/>
    <w:rsid w:val="59864867"/>
    <w:rsid w:val="5999506B"/>
    <w:rsid w:val="59C545B4"/>
    <w:rsid w:val="5A293A0F"/>
    <w:rsid w:val="5A5D19F2"/>
    <w:rsid w:val="5A71360F"/>
    <w:rsid w:val="5AA55234"/>
    <w:rsid w:val="5AC800B6"/>
    <w:rsid w:val="5AD03C8C"/>
    <w:rsid w:val="5AEC4103"/>
    <w:rsid w:val="5B4E455A"/>
    <w:rsid w:val="5B7F6AD5"/>
    <w:rsid w:val="5B956E39"/>
    <w:rsid w:val="5B9A54C6"/>
    <w:rsid w:val="5B9E41B4"/>
    <w:rsid w:val="5BC064C5"/>
    <w:rsid w:val="5BC84D34"/>
    <w:rsid w:val="5BE4376B"/>
    <w:rsid w:val="5BFA0525"/>
    <w:rsid w:val="5C46476D"/>
    <w:rsid w:val="5C893F80"/>
    <w:rsid w:val="5CA16106"/>
    <w:rsid w:val="5CAD799A"/>
    <w:rsid w:val="5CB02857"/>
    <w:rsid w:val="5CB06DDB"/>
    <w:rsid w:val="5CEF2275"/>
    <w:rsid w:val="5D0B73C0"/>
    <w:rsid w:val="5D3A3632"/>
    <w:rsid w:val="5D715C73"/>
    <w:rsid w:val="5DB35AC6"/>
    <w:rsid w:val="5DE468DB"/>
    <w:rsid w:val="5E193452"/>
    <w:rsid w:val="5E5E6190"/>
    <w:rsid w:val="5E6F7683"/>
    <w:rsid w:val="5E782A35"/>
    <w:rsid w:val="5E785AC4"/>
    <w:rsid w:val="5E7D24A5"/>
    <w:rsid w:val="5E875685"/>
    <w:rsid w:val="5E8C11FA"/>
    <w:rsid w:val="5EC069C3"/>
    <w:rsid w:val="5ECA5A66"/>
    <w:rsid w:val="5ECC4CA3"/>
    <w:rsid w:val="5F046321"/>
    <w:rsid w:val="5F144666"/>
    <w:rsid w:val="5F2A4335"/>
    <w:rsid w:val="5F39750B"/>
    <w:rsid w:val="5F48396F"/>
    <w:rsid w:val="5F510232"/>
    <w:rsid w:val="5F5748E1"/>
    <w:rsid w:val="5F665459"/>
    <w:rsid w:val="5F8C38B3"/>
    <w:rsid w:val="5F9A1C96"/>
    <w:rsid w:val="5FCB67AB"/>
    <w:rsid w:val="5FCC6D1F"/>
    <w:rsid w:val="5FD95AF9"/>
    <w:rsid w:val="5FDB2B8A"/>
    <w:rsid w:val="5FE7547C"/>
    <w:rsid w:val="5FF134AA"/>
    <w:rsid w:val="5FFE5F84"/>
    <w:rsid w:val="600652B4"/>
    <w:rsid w:val="60523F6E"/>
    <w:rsid w:val="605A430C"/>
    <w:rsid w:val="60682112"/>
    <w:rsid w:val="608F005D"/>
    <w:rsid w:val="61054D28"/>
    <w:rsid w:val="61084D5A"/>
    <w:rsid w:val="610E4F96"/>
    <w:rsid w:val="61232F8E"/>
    <w:rsid w:val="616A3DDA"/>
    <w:rsid w:val="616A5534"/>
    <w:rsid w:val="61AE331D"/>
    <w:rsid w:val="61B04F20"/>
    <w:rsid w:val="61C8249C"/>
    <w:rsid w:val="61E84BBE"/>
    <w:rsid w:val="62182462"/>
    <w:rsid w:val="622B08B1"/>
    <w:rsid w:val="624F0373"/>
    <w:rsid w:val="62855CA2"/>
    <w:rsid w:val="62A76F79"/>
    <w:rsid w:val="62C766FF"/>
    <w:rsid w:val="62CE1789"/>
    <w:rsid w:val="62E5554B"/>
    <w:rsid w:val="62E72C62"/>
    <w:rsid w:val="63085F9D"/>
    <w:rsid w:val="631B7FF1"/>
    <w:rsid w:val="632B6C35"/>
    <w:rsid w:val="636406C7"/>
    <w:rsid w:val="636E75C4"/>
    <w:rsid w:val="63704445"/>
    <w:rsid w:val="638D2F8A"/>
    <w:rsid w:val="63D83258"/>
    <w:rsid w:val="640942AE"/>
    <w:rsid w:val="640E7949"/>
    <w:rsid w:val="64140245"/>
    <w:rsid w:val="641E78FE"/>
    <w:rsid w:val="64272311"/>
    <w:rsid w:val="64341EB8"/>
    <w:rsid w:val="643432E9"/>
    <w:rsid w:val="646453F8"/>
    <w:rsid w:val="647C637A"/>
    <w:rsid w:val="648F11B3"/>
    <w:rsid w:val="64965B36"/>
    <w:rsid w:val="6498233B"/>
    <w:rsid w:val="64B000AD"/>
    <w:rsid w:val="64E7608E"/>
    <w:rsid w:val="651A3833"/>
    <w:rsid w:val="651A7B7F"/>
    <w:rsid w:val="651D202A"/>
    <w:rsid w:val="653373D1"/>
    <w:rsid w:val="65660A33"/>
    <w:rsid w:val="657213FC"/>
    <w:rsid w:val="657849FD"/>
    <w:rsid w:val="65803F8F"/>
    <w:rsid w:val="65867394"/>
    <w:rsid w:val="659110FC"/>
    <w:rsid w:val="65DD57DB"/>
    <w:rsid w:val="65EC61D1"/>
    <w:rsid w:val="65F11A4A"/>
    <w:rsid w:val="6611476D"/>
    <w:rsid w:val="66153053"/>
    <w:rsid w:val="66345ACE"/>
    <w:rsid w:val="666A62F5"/>
    <w:rsid w:val="66996AB2"/>
    <w:rsid w:val="66A4578D"/>
    <w:rsid w:val="66C0793A"/>
    <w:rsid w:val="670308A4"/>
    <w:rsid w:val="67063CE3"/>
    <w:rsid w:val="670F28C9"/>
    <w:rsid w:val="67167170"/>
    <w:rsid w:val="67414D71"/>
    <w:rsid w:val="675A0BB7"/>
    <w:rsid w:val="67624F97"/>
    <w:rsid w:val="67824AF0"/>
    <w:rsid w:val="678965D4"/>
    <w:rsid w:val="67D4709A"/>
    <w:rsid w:val="68025015"/>
    <w:rsid w:val="68537262"/>
    <w:rsid w:val="68561806"/>
    <w:rsid w:val="68581F62"/>
    <w:rsid w:val="6897649C"/>
    <w:rsid w:val="68A012C7"/>
    <w:rsid w:val="68A55800"/>
    <w:rsid w:val="68BB2B01"/>
    <w:rsid w:val="68CC4F6D"/>
    <w:rsid w:val="68ED0D16"/>
    <w:rsid w:val="68F71CAC"/>
    <w:rsid w:val="68FD25F4"/>
    <w:rsid w:val="69385CA8"/>
    <w:rsid w:val="69487529"/>
    <w:rsid w:val="69526E8A"/>
    <w:rsid w:val="69A23549"/>
    <w:rsid w:val="69AA58F7"/>
    <w:rsid w:val="69B80C0A"/>
    <w:rsid w:val="69C9702B"/>
    <w:rsid w:val="69D76125"/>
    <w:rsid w:val="6A0F260E"/>
    <w:rsid w:val="6A30261F"/>
    <w:rsid w:val="6A4B3691"/>
    <w:rsid w:val="6A4C0AFC"/>
    <w:rsid w:val="6A836553"/>
    <w:rsid w:val="6AA0628F"/>
    <w:rsid w:val="6AA12A93"/>
    <w:rsid w:val="6AB850DA"/>
    <w:rsid w:val="6B4A2F81"/>
    <w:rsid w:val="6B505AC6"/>
    <w:rsid w:val="6B5A35A8"/>
    <w:rsid w:val="6B64204F"/>
    <w:rsid w:val="6B6C0A78"/>
    <w:rsid w:val="6BBC0CF9"/>
    <w:rsid w:val="6BC673A8"/>
    <w:rsid w:val="6BCB40A2"/>
    <w:rsid w:val="6BCE56C5"/>
    <w:rsid w:val="6BE71005"/>
    <w:rsid w:val="6C09091C"/>
    <w:rsid w:val="6C1C6E56"/>
    <w:rsid w:val="6C2A0129"/>
    <w:rsid w:val="6C3321A4"/>
    <w:rsid w:val="6C492800"/>
    <w:rsid w:val="6C514CA6"/>
    <w:rsid w:val="6C6C5A1C"/>
    <w:rsid w:val="6CA66158"/>
    <w:rsid w:val="6CAE16FE"/>
    <w:rsid w:val="6CC94151"/>
    <w:rsid w:val="6CE346BA"/>
    <w:rsid w:val="6CEE2C3A"/>
    <w:rsid w:val="6D472EDC"/>
    <w:rsid w:val="6D8A75EF"/>
    <w:rsid w:val="6D9D0A63"/>
    <w:rsid w:val="6DE059F2"/>
    <w:rsid w:val="6E0701BF"/>
    <w:rsid w:val="6E3473F1"/>
    <w:rsid w:val="6E3F2207"/>
    <w:rsid w:val="6E4111F0"/>
    <w:rsid w:val="6E414410"/>
    <w:rsid w:val="6E426D2C"/>
    <w:rsid w:val="6E50485C"/>
    <w:rsid w:val="6EAF1C79"/>
    <w:rsid w:val="6EB47864"/>
    <w:rsid w:val="6EB51385"/>
    <w:rsid w:val="6EC67984"/>
    <w:rsid w:val="6ECB5C37"/>
    <w:rsid w:val="6ED10045"/>
    <w:rsid w:val="6EDB6215"/>
    <w:rsid w:val="6F5D6239"/>
    <w:rsid w:val="6F7F1AC7"/>
    <w:rsid w:val="6F9476CF"/>
    <w:rsid w:val="6FC75CB5"/>
    <w:rsid w:val="6FC84E07"/>
    <w:rsid w:val="6FCC10E7"/>
    <w:rsid w:val="6FE7308A"/>
    <w:rsid w:val="701D6C57"/>
    <w:rsid w:val="70372C7E"/>
    <w:rsid w:val="705005E5"/>
    <w:rsid w:val="705D5ED7"/>
    <w:rsid w:val="706C68C5"/>
    <w:rsid w:val="708304A5"/>
    <w:rsid w:val="709B5B4C"/>
    <w:rsid w:val="709D0B78"/>
    <w:rsid w:val="7197612A"/>
    <w:rsid w:val="7199186E"/>
    <w:rsid w:val="71A14046"/>
    <w:rsid w:val="71A57366"/>
    <w:rsid w:val="71BF7303"/>
    <w:rsid w:val="71C85EFC"/>
    <w:rsid w:val="71F971FB"/>
    <w:rsid w:val="722E2243"/>
    <w:rsid w:val="72A3249D"/>
    <w:rsid w:val="72A82C9B"/>
    <w:rsid w:val="72BE008B"/>
    <w:rsid w:val="72D76C5B"/>
    <w:rsid w:val="731C2784"/>
    <w:rsid w:val="73845BA7"/>
    <w:rsid w:val="73C50E4E"/>
    <w:rsid w:val="73CB0013"/>
    <w:rsid w:val="747F1FAF"/>
    <w:rsid w:val="74862EFE"/>
    <w:rsid w:val="748A79BF"/>
    <w:rsid w:val="74AF312A"/>
    <w:rsid w:val="74C67B9C"/>
    <w:rsid w:val="75077408"/>
    <w:rsid w:val="751706C6"/>
    <w:rsid w:val="751A57A3"/>
    <w:rsid w:val="756E4394"/>
    <w:rsid w:val="75A740E6"/>
    <w:rsid w:val="75AD4351"/>
    <w:rsid w:val="75B80F05"/>
    <w:rsid w:val="75C174B1"/>
    <w:rsid w:val="75F71EB1"/>
    <w:rsid w:val="75F91233"/>
    <w:rsid w:val="761C0E98"/>
    <w:rsid w:val="76411CFF"/>
    <w:rsid w:val="7650222A"/>
    <w:rsid w:val="76C26BA2"/>
    <w:rsid w:val="76D61426"/>
    <w:rsid w:val="76D70673"/>
    <w:rsid w:val="77342EDD"/>
    <w:rsid w:val="77644E2C"/>
    <w:rsid w:val="776A23E1"/>
    <w:rsid w:val="77707A2D"/>
    <w:rsid w:val="777F0685"/>
    <w:rsid w:val="779C7EE7"/>
    <w:rsid w:val="77A05C12"/>
    <w:rsid w:val="77B10EFC"/>
    <w:rsid w:val="77BE22A4"/>
    <w:rsid w:val="77EF1AB1"/>
    <w:rsid w:val="78034383"/>
    <w:rsid w:val="782530AA"/>
    <w:rsid w:val="7868719C"/>
    <w:rsid w:val="78713ED2"/>
    <w:rsid w:val="788D1E50"/>
    <w:rsid w:val="789B3CB2"/>
    <w:rsid w:val="78A76B7B"/>
    <w:rsid w:val="78BC2850"/>
    <w:rsid w:val="78D16145"/>
    <w:rsid w:val="79024393"/>
    <w:rsid w:val="79274986"/>
    <w:rsid w:val="793F42B9"/>
    <w:rsid w:val="79630533"/>
    <w:rsid w:val="79644481"/>
    <w:rsid w:val="798D2D30"/>
    <w:rsid w:val="798D7DA4"/>
    <w:rsid w:val="79D218E5"/>
    <w:rsid w:val="7A017F16"/>
    <w:rsid w:val="7A0873A7"/>
    <w:rsid w:val="7A1A2B31"/>
    <w:rsid w:val="7A34689E"/>
    <w:rsid w:val="7A654347"/>
    <w:rsid w:val="7A6F6DCD"/>
    <w:rsid w:val="7A7D275D"/>
    <w:rsid w:val="7AC121B6"/>
    <w:rsid w:val="7AD81475"/>
    <w:rsid w:val="7AEC189E"/>
    <w:rsid w:val="7B18635E"/>
    <w:rsid w:val="7B210D2B"/>
    <w:rsid w:val="7B4C6B06"/>
    <w:rsid w:val="7B737899"/>
    <w:rsid w:val="7B8340D2"/>
    <w:rsid w:val="7BA07122"/>
    <w:rsid w:val="7BAB16C9"/>
    <w:rsid w:val="7BBB7590"/>
    <w:rsid w:val="7BFF2C69"/>
    <w:rsid w:val="7C0F706E"/>
    <w:rsid w:val="7C1467CD"/>
    <w:rsid w:val="7C153320"/>
    <w:rsid w:val="7C461FD7"/>
    <w:rsid w:val="7C4927F1"/>
    <w:rsid w:val="7C4E005A"/>
    <w:rsid w:val="7C5E245C"/>
    <w:rsid w:val="7C76300D"/>
    <w:rsid w:val="7C873B81"/>
    <w:rsid w:val="7CAA2061"/>
    <w:rsid w:val="7CC4797E"/>
    <w:rsid w:val="7CCF4030"/>
    <w:rsid w:val="7CD111B1"/>
    <w:rsid w:val="7CD26BE7"/>
    <w:rsid w:val="7D1A2EAB"/>
    <w:rsid w:val="7D1A4461"/>
    <w:rsid w:val="7D233A44"/>
    <w:rsid w:val="7D475631"/>
    <w:rsid w:val="7D8E0B10"/>
    <w:rsid w:val="7D9C674A"/>
    <w:rsid w:val="7DEE2658"/>
    <w:rsid w:val="7DF82FBF"/>
    <w:rsid w:val="7E033646"/>
    <w:rsid w:val="7E1A237A"/>
    <w:rsid w:val="7E261E06"/>
    <w:rsid w:val="7E305536"/>
    <w:rsid w:val="7E397EA2"/>
    <w:rsid w:val="7E473EFA"/>
    <w:rsid w:val="7E79332C"/>
    <w:rsid w:val="7E7F39E6"/>
    <w:rsid w:val="7E956150"/>
    <w:rsid w:val="7EA918C5"/>
    <w:rsid w:val="7EA95E3C"/>
    <w:rsid w:val="7EAB1503"/>
    <w:rsid w:val="7EB42DCE"/>
    <w:rsid w:val="7EB964F5"/>
    <w:rsid w:val="7EF20DB3"/>
    <w:rsid w:val="7F080802"/>
    <w:rsid w:val="7F0A3A08"/>
    <w:rsid w:val="7F195223"/>
    <w:rsid w:val="7F236765"/>
    <w:rsid w:val="7F3D2EBB"/>
    <w:rsid w:val="7F6077BC"/>
    <w:rsid w:val="7F6672F4"/>
    <w:rsid w:val="7F6C3F06"/>
    <w:rsid w:val="7F6E7D66"/>
    <w:rsid w:val="7F731AA8"/>
    <w:rsid w:val="7FA05983"/>
    <w:rsid w:val="7FBC4580"/>
    <w:rsid w:val="7FE60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3"/>
    <w:qFormat/>
    <w:uiPriority w:val="0"/>
    <w:pPr>
      <w:keepNext/>
      <w:keepLines/>
      <w:spacing w:line="576" w:lineRule="auto"/>
      <w:outlineLvl w:val="0"/>
    </w:pPr>
    <w:rPr>
      <w:b/>
      <w:bCs/>
      <w:kern w:val="44"/>
      <w:sz w:val="44"/>
      <w:szCs w:val="44"/>
    </w:rPr>
  </w:style>
  <w:style w:type="paragraph" w:styleId="3">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3" w:lineRule="auto"/>
      <w:outlineLvl w:val="2"/>
    </w:pPr>
    <w:rPr>
      <w:b/>
      <w:sz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jc w:val="left"/>
    </w:pPr>
  </w:style>
  <w:style w:type="paragraph" w:styleId="6">
    <w:name w:val="Normal Indent"/>
    <w:basedOn w:val="1"/>
    <w:link w:val="65"/>
    <w:qFormat/>
    <w:uiPriority w:val="0"/>
    <w:pPr>
      <w:ind w:firstLine="420"/>
    </w:pPr>
    <w:rPr>
      <w:rFonts w:eastAsia="仿宋_GB2312"/>
      <w:sz w:val="28"/>
    </w:rPr>
  </w:style>
  <w:style w:type="paragraph" w:styleId="7">
    <w:name w:val="annotation text"/>
    <w:basedOn w:val="1"/>
    <w:qFormat/>
    <w:uiPriority w:val="0"/>
    <w:pPr>
      <w:jc w:val="left"/>
    </w:pPr>
  </w:style>
  <w:style w:type="paragraph" w:styleId="8">
    <w:name w:val="Body Text"/>
    <w:basedOn w:val="1"/>
    <w:qFormat/>
    <w:uiPriority w:val="0"/>
  </w:style>
  <w:style w:type="paragraph" w:styleId="9">
    <w:name w:val="Body Text Indent"/>
    <w:basedOn w:val="1"/>
    <w:qFormat/>
    <w:uiPriority w:val="0"/>
    <w:pPr>
      <w:spacing w:line="600" w:lineRule="exact"/>
      <w:ind w:firstLine="675" w:firstLineChars="240"/>
    </w:pPr>
    <w:rPr>
      <w:rFonts w:ascii="仿宋_GB2312" w:hAnsi="宋体" w:eastAsia="仿宋_GB2312"/>
      <w:b/>
      <w:sz w:val="28"/>
    </w:rPr>
  </w:style>
  <w:style w:type="paragraph" w:styleId="10">
    <w:name w:val="toc 5"/>
    <w:basedOn w:val="1"/>
    <w:next w:val="1"/>
    <w:qFormat/>
    <w:uiPriority w:val="0"/>
    <w:pPr>
      <w:jc w:val="left"/>
    </w:pPr>
  </w:style>
  <w:style w:type="paragraph" w:styleId="11">
    <w:name w:val="toc 3"/>
    <w:basedOn w:val="1"/>
    <w:next w:val="1"/>
    <w:qFormat/>
    <w:uiPriority w:val="0"/>
    <w:pPr>
      <w:jc w:val="left"/>
    </w:pPr>
    <w:rPr>
      <w:smallCaps/>
    </w:rPr>
  </w:style>
  <w:style w:type="paragraph" w:styleId="12">
    <w:name w:val="Plain Text"/>
    <w:basedOn w:val="1"/>
    <w:link w:val="60"/>
    <w:qFormat/>
    <w:uiPriority w:val="0"/>
    <w:rPr>
      <w:rFonts w:ascii="宋体" w:hAnsi="Courier New"/>
    </w:rPr>
  </w:style>
  <w:style w:type="paragraph" w:styleId="13">
    <w:name w:val="toc 8"/>
    <w:basedOn w:val="1"/>
    <w:next w:val="1"/>
    <w:qFormat/>
    <w:uiPriority w:val="0"/>
    <w:pPr>
      <w:jc w:val="left"/>
    </w:pPr>
  </w:style>
  <w:style w:type="paragraph" w:styleId="14">
    <w:name w:val="Date"/>
    <w:basedOn w:val="1"/>
    <w:next w:val="1"/>
    <w:qFormat/>
    <w:uiPriority w:val="0"/>
    <w:pPr>
      <w:ind w:left="100" w:leftChars="2500"/>
    </w:pPr>
  </w:style>
  <w:style w:type="paragraph" w:styleId="15">
    <w:name w:val="Body Text Indent 2"/>
    <w:basedOn w:val="1"/>
    <w:qFormat/>
    <w:uiPriority w:val="0"/>
    <w:pPr>
      <w:autoSpaceDE w:val="0"/>
      <w:autoSpaceDN w:val="0"/>
      <w:adjustRightInd w:val="0"/>
      <w:spacing w:line="360" w:lineRule="atLeast"/>
      <w:ind w:firstLine="480"/>
      <w:textAlignment w:val="center"/>
    </w:pPr>
    <w:rPr>
      <w:rFonts w:ascii="宋体"/>
      <w:color w:val="000000"/>
      <w:kern w:val="0"/>
      <w:sz w:val="28"/>
    </w:rPr>
  </w:style>
  <w:style w:type="paragraph" w:styleId="16">
    <w:name w:val="Balloon Text"/>
    <w:basedOn w:val="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left" w:leader="middleDot" w:pos="8460"/>
      </w:tabs>
      <w:spacing w:line="600" w:lineRule="exact"/>
    </w:pPr>
  </w:style>
  <w:style w:type="paragraph" w:styleId="20">
    <w:name w:val="toc 4"/>
    <w:basedOn w:val="1"/>
    <w:next w:val="1"/>
    <w:qFormat/>
    <w:uiPriority w:val="0"/>
    <w:pPr>
      <w:jc w:val="left"/>
    </w:pPr>
  </w:style>
  <w:style w:type="paragraph" w:styleId="21">
    <w:name w:val="Subtitle"/>
    <w:basedOn w:val="1"/>
    <w:next w:val="1"/>
    <w:link w:val="62"/>
    <w:qFormat/>
    <w:uiPriority w:val="0"/>
    <w:pPr>
      <w:spacing w:before="240" w:after="60" w:line="312" w:lineRule="auto"/>
      <w:jc w:val="center"/>
      <w:outlineLvl w:val="1"/>
    </w:pPr>
    <w:rPr>
      <w:rFonts w:ascii="Cambria" w:hAnsi="Cambria"/>
      <w:b/>
      <w:bCs/>
      <w:kern w:val="28"/>
      <w:sz w:val="32"/>
      <w:szCs w:val="32"/>
    </w:rPr>
  </w:style>
  <w:style w:type="paragraph" w:styleId="22">
    <w:name w:val="toc 6"/>
    <w:basedOn w:val="1"/>
    <w:next w:val="1"/>
    <w:qFormat/>
    <w:uiPriority w:val="0"/>
    <w:pPr>
      <w:jc w:val="left"/>
    </w:pPr>
  </w:style>
  <w:style w:type="paragraph" w:styleId="23">
    <w:name w:val="Body Text Indent 3"/>
    <w:basedOn w:val="1"/>
    <w:qFormat/>
    <w:uiPriority w:val="0"/>
    <w:pPr>
      <w:ind w:left="420" w:leftChars="200"/>
    </w:pPr>
    <w:rPr>
      <w:sz w:val="16"/>
      <w:szCs w:val="16"/>
    </w:rPr>
  </w:style>
  <w:style w:type="paragraph" w:styleId="24">
    <w:name w:val="toc 2"/>
    <w:basedOn w:val="1"/>
    <w:next w:val="1"/>
    <w:qFormat/>
    <w:uiPriority w:val="39"/>
    <w:pPr>
      <w:tabs>
        <w:tab w:val="right" w:leader="middleDot" w:pos="8296"/>
      </w:tabs>
      <w:spacing w:line="600" w:lineRule="exact"/>
      <w:ind w:left="200" w:leftChars="200"/>
      <w:jc w:val="left"/>
    </w:pPr>
  </w:style>
  <w:style w:type="paragraph" w:styleId="25">
    <w:name w:val="toc 9"/>
    <w:basedOn w:val="1"/>
    <w:next w:val="1"/>
    <w:qFormat/>
    <w:uiPriority w:val="0"/>
    <w:pPr>
      <w:jc w:val="left"/>
    </w:pPr>
  </w:style>
  <w:style w:type="paragraph" w:styleId="26">
    <w:name w:val="Normal (Web)"/>
    <w:basedOn w:val="1"/>
    <w:qFormat/>
    <w:uiPriority w:val="99"/>
    <w:pPr>
      <w:widowControl/>
      <w:spacing w:beforeAutospacing="1" w:afterAutospacing="1"/>
      <w:jc w:val="left"/>
    </w:pPr>
    <w:rPr>
      <w:rFonts w:ascii="宋体" w:hAnsi="宋体" w:cs="宋体"/>
      <w:kern w:val="0"/>
      <w:sz w:val="24"/>
      <w:szCs w:val="24"/>
    </w:rPr>
  </w:style>
  <w:style w:type="paragraph" w:styleId="27">
    <w:name w:val="Title"/>
    <w:basedOn w:val="1"/>
    <w:next w:val="1"/>
    <w:qFormat/>
    <w:uiPriority w:val="0"/>
    <w:pPr>
      <w:widowControl/>
      <w:spacing w:before="240" w:after="60"/>
      <w:jc w:val="center"/>
      <w:outlineLvl w:val="0"/>
    </w:pPr>
    <w:rPr>
      <w:rFonts w:ascii="Cambria" w:hAnsi="Cambria"/>
      <w:b/>
      <w:bCs/>
      <w:sz w:val="32"/>
      <w:szCs w:val="32"/>
    </w:rPr>
  </w:style>
  <w:style w:type="paragraph" w:styleId="28">
    <w:name w:val="annotation subject"/>
    <w:basedOn w:val="7"/>
    <w:next w:val="7"/>
    <w:qFormat/>
    <w:uiPriority w:val="0"/>
    <w:rPr>
      <w:b/>
      <w:bCs/>
    </w:rPr>
  </w:style>
  <w:style w:type="paragraph" w:styleId="29">
    <w:name w:val="Body Text First Indent"/>
    <w:basedOn w:val="8"/>
    <w:qFormat/>
    <w:uiPriority w:val="0"/>
    <w:pPr>
      <w:ind w:firstLine="420" w:firstLineChars="1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qFormat/>
    <w:uiPriority w:val="0"/>
    <w:rPr>
      <w:rFonts w:hint="eastAsia" w:ascii="微软雅黑" w:hAnsi="微软雅黑" w:eastAsia="微软雅黑" w:cs="微软雅黑"/>
      <w:color w:val="800080"/>
      <w:u w:val="none"/>
    </w:rPr>
  </w:style>
  <w:style w:type="character" w:styleId="36">
    <w:name w:val="Emphasis"/>
    <w:basedOn w:val="32"/>
    <w:qFormat/>
    <w:uiPriority w:val="0"/>
  </w:style>
  <w:style w:type="character" w:styleId="37">
    <w:name w:val="HTML Definition"/>
    <w:basedOn w:val="32"/>
    <w:qFormat/>
    <w:uiPriority w:val="0"/>
  </w:style>
  <w:style w:type="character" w:styleId="38">
    <w:name w:val="HTML Variable"/>
    <w:basedOn w:val="32"/>
    <w:qFormat/>
    <w:uiPriority w:val="0"/>
  </w:style>
  <w:style w:type="character" w:styleId="39">
    <w:name w:val="Hyperlink"/>
    <w:basedOn w:val="32"/>
    <w:qFormat/>
    <w:uiPriority w:val="99"/>
    <w:rPr>
      <w:rFonts w:ascii="微软雅黑" w:hAnsi="微软雅黑" w:eastAsia="微软雅黑" w:cs="微软雅黑"/>
      <w:color w:val="0000FF"/>
      <w:u w:val="none"/>
    </w:rPr>
  </w:style>
  <w:style w:type="character" w:styleId="40">
    <w:name w:val="HTML Code"/>
    <w:basedOn w:val="32"/>
    <w:qFormat/>
    <w:uiPriority w:val="0"/>
    <w:rPr>
      <w:rFonts w:ascii="Courier New" w:hAnsi="Courier New"/>
      <w:sz w:val="20"/>
    </w:rPr>
  </w:style>
  <w:style w:type="character" w:styleId="41">
    <w:name w:val="annotation reference"/>
    <w:basedOn w:val="32"/>
    <w:qFormat/>
    <w:uiPriority w:val="0"/>
    <w:rPr>
      <w:sz w:val="21"/>
      <w:szCs w:val="21"/>
    </w:rPr>
  </w:style>
  <w:style w:type="character" w:styleId="42">
    <w:name w:val="HTML Cite"/>
    <w:basedOn w:val="32"/>
    <w:qFormat/>
    <w:uiPriority w:val="0"/>
  </w:style>
  <w:style w:type="paragraph" w:customStyle="1" w:styleId="43">
    <w:name w:val="WW-日期"/>
    <w:basedOn w:val="1"/>
    <w:next w:val="1"/>
    <w:qFormat/>
    <w:uiPriority w:val="0"/>
    <w:pPr>
      <w:suppressAutoHyphens/>
      <w:spacing w:line="100" w:lineRule="atLeast"/>
    </w:pPr>
    <w:rPr>
      <w:rFonts w:ascii="黑体" w:hAnsi="黑体" w:eastAsia="黑体"/>
      <w:b/>
      <w:kern w:val="0"/>
      <w:sz w:val="28"/>
      <w:lang w:eastAsia="ar-SA"/>
    </w:rPr>
  </w:style>
  <w:style w:type="paragraph" w:customStyle="1" w:styleId="44">
    <w:name w:val="Char Char Char Char Char Char"/>
    <w:basedOn w:val="1"/>
    <w:qFormat/>
    <w:uiPriority w:val="0"/>
    <w:rPr>
      <w:rFonts w:ascii="Tahoma" w:hAnsi="Tahoma"/>
      <w:sz w:val="24"/>
    </w:rPr>
  </w:style>
  <w:style w:type="paragraph" w:customStyle="1" w:styleId="45">
    <w:name w:val="_Style 44"/>
    <w:basedOn w:val="1"/>
    <w:qFormat/>
    <w:uiPriority w:val="34"/>
    <w:pPr>
      <w:ind w:firstLine="420" w:firstLineChars="200"/>
    </w:pPr>
    <w:rPr>
      <w:rFonts w:ascii="Calibri" w:hAnsi="Calibri"/>
      <w:szCs w:val="22"/>
    </w:rPr>
  </w:style>
  <w:style w:type="paragraph" w:customStyle="1" w:styleId="46">
    <w:name w:val="Char"/>
    <w:basedOn w:val="1"/>
    <w:qFormat/>
    <w:uiPriority w:val="0"/>
  </w:style>
  <w:style w:type="paragraph" w:customStyle="1" w:styleId="47">
    <w:name w:val="Char Char Char Char Char Char1"/>
    <w:basedOn w:val="1"/>
    <w:qFormat/>
    <w:uiPriority w:val="0"/>
    <w:rPr>
      <w:rFonts w:ascii="Tahoma" w:hAnsi="Tahoma"/>
      <w:sz w:val="24"/>
    </w:rPr>
  </w:style>
  <w:style w:type="paragraph" w:customStyle="1" w:styleId="48">
    <w:name w:val="正文文本缩进 31"/>
    <w:basedOn w:val="1"/>
    <w:qFormat/>
    <w:uiPriority w:val="0"/>
    <w:pPr>
      <w:spacing w:line="500" w:lineRule="exact"/>
      <w:ind w:firstLine="570"/>
    </w:pPr>
    <w:rPr>
      <w:sz w:val="28"/>
    </w:rPr>
  </w:style>
  <w:style w:type="paragraph" w:customStyle="1" w:styleId="49">
    <w:name w:val="名称"/>
    <w:basedOn w:val="1"/>
    <w:qFormat/>
    <w:uiPriority w:val="0"/>
    <w:pPr>
      <w:spacing w:before="60" w:after="60"/>
      <w:ind w:left="454" w:right="454"/>
      <w:jc w:val="center"/>
    </w:pPr>
    <w:rPr>
      <w:rFonts w:ascii="仿宋_GB2312" w:eastAsia="仿宋_GB2312"/>
      <w:b/>
      <w:sz w:val="32"/>
    </w:rPr>
  </w:style>
  <w:style w:type="paragraph" w:customStyle="1" w:styleId="50">
    <w:name w:val="样式8"/>
    <w:basedOn w:val="1"/>
    <w:qFormat/>
    <w:uiPriority w:val="0"/>
    <w:pPr>
      <w:adjustRightInd w:val="0"/>
      <w:snapToGrid w:val="0"/>
      <w:spacing w:line="440" w:lineRule="exact"/>
    </w:pPr>
  </w:style>
  <w:style w:type="paragraph" w:customStyle="1" w:styleId="51">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desc"/>
    <w:basedOn w:val="1"/>
    <w:qFormat/>
    <w:uiPriority w:val="0"/>
    <w:pPr>
      <w:ind w:firstLine="100"/>
      <w:jc w:val="left"/>
    </w:pPr>
    <w:rPr>
      <w:color w:val="D0D0D0"/>
      <w:kern w:val="0"/>
      <w:sz w:val="13"/>
      <w:szCs w:val="13"/>
    </w:rPr>
  </w:style>
  <w:style w:type="paragraph" w:customStyle="1" w:styleId="53">
    <w:name w:val="样式7"/>
    <w:basedOn w:val="1"/>
    <w:qFormat/>
    <w:uiPriority w:val="0"/>
    <w:pPr>
      <w:spacing w:line="360" w:lineRule="auto"/>
      <w:ind w:firstLine="567"/>
    </w:pPr>
    <w:rPr>
      <w:rFonts w:hint="eastAsia" w:ascii="仿宋_GB2312" w:eastAsia="仿宋_GB2312"/>
      <w:sz w:val="28"/>
    </w:rPr>
  </w:style>
  <w:style w:type="paragraph" w:customStyle="1" w:styleId="54">
    <w:name w:val="表格文字"/>
    <w:basedOn w:val="1"/>
    <w:qFormat/>
    <w:uiPriority w:val="0"/>
    <w:pPr>
      <w:jc w:val="center"/>
    </w:pPr>
    <w:rPr>
      <w:rFonts w:ascii="仿宋_GB2312" w:eastAsia="仿宋_GB2312"/>
      <w:sz w:val="18"/>
    </w:rPr>
  </w:style>
  <w:style w:type="paragraph" w:customStyle="1" w:styleId="55">
    <w:name w:val="技术报告"/>
    <w:basedOn w:val="49"/>
    <w:qFormat/>
    <w:uiPriority w:val="0"/>
    <w:rPr>
      <w:rFonts w:ascii="华文隶书" w:eastAsia="华文隶书"/>
      <w:w w:val="150"/>
      <w:sz w:val="44"/>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大标题"/>
    <w:basedOn w:val="8"/>
    <w:qFormat/>
    <w:uiPriority w:val="0"/>
    <w:pPr>
      <w:jc w:val="left"/>
      <w:outlineLvl w:val="0"/>
    </w:pPr>
    <w:rPr>
      <w:rFonts w:ascii="仿宋_GB2312" w:eastAsia="仿宋_GB2312"/>
      <w:sz w:val="18"/>
    </w:rPr>
  </w:style>
  <w:style w:type="character" w:customStyle="1" w:styleId="58">
    <w:name w:val="text"/>
    <w:basedOn w:val="32"/>
    <w:qFormat/>
    <w:uiPriority w:val="0"/>
  </w:style>
  <w:style w:type="character" w:customStyle="1" w:styleId="59">
    <w:name w:val="postbody1"/>
    <w:basedOn w:val="32"/>
    <w:qFormat/>
    <w:uiPriority w:val="0"/>
  </w:style>
  <w:style w:type="character" w:customStyle="1" w:styleId="60">
    <w:name w:val="纯文本 字符"/>
    <w:link w:val="12"/>
    <w:qFormat/>
    <w:uiPriority w:val="0"/>
    <w:rPr>
      <w:rFonts w:ascii="宋体" w:hAnsi="Courier New" w:eastAsia="宋体"/>
      <w:kern w:val="2"/>
      <w:sz w:val="21"/>
      <w:lang w:val="en-US" w:eastAsia="zh-CN" w:bidi="ar-SA"/>
    </w:rPr>
  </w:style>
  <w:style w:type="character" w:customStyle="1" w:styleId="61">
    <w:name w:val="纯文本 Char Char"/>
    <w:basedOn w:val="32"/>
    <w:qFormat/>
    <w:uiPriority w:val="0"/>
    <w:rPr>
      <w:rFonts w:ascii="宋体" w:hAnsi="Courier New" w:eastAsia="宋体"/>
      <w:kern w:val="2"/>
      <w:sz w:val="21"/>
      <w:lang w:val="en-US" w:eastAsia="zh-CN" w:bidi="ar-SA"/>
    </w:rPr>
  </w:style>
  <w:style w:type="character" w:customStyle="1" w:styleId="62">
    <w:name w:val="副标题 字符"/>
    <w:basedOn w:val="32"/>
    <w:link w:val="21"/>
    <w:qFormat/>
    <w:uiPriority w:val="0"/>
    <w:rPr>
      <w:rFonts w:ascii="Cambria" w:hAnsi="Cambria" w:cs="Times New Roman"/>
      <w:b/>
      <w:bCs/>
      <w:kern w:val="28"/>
      <w:sz w:val="32"/>
      <w:szCs w:val="32"/>
    </w:rPr>
  </w:style>
  <w:style w:type="character" w:customStyle="1" w:styleId="63">
    <w:name w:val="标题 1 字符"/>
    <w:link w:val="2"/>
    <w:qFormat/>
    <w:uiPriority w:val="0"/>
    <w:rPr>
      <w:b/>
      <w:bCs/>
      <w:kern w:val="44"/>
      <w:sz w:val="44"/>
      <w:szCs w:val="44"/>
    </w:rPr>
  </w:style>
  <w:style w:type="character" w:customStyle="1" w:styleId="64">
    <w:name w:val="apple-converted-space"/>
    <w:basedOn w:val="32"/>
    <w:qFormat/>
    <w:uiPriority w:val="0"/>
  </w:style>
  <w:style w:type="character" w:customStyle="1" w:styleId="65">
    <w:name w:val="正文缩进 字符"/>
    <w:link w:val="6"/>
    <w:qFormat/>
    <w:uiPriority w:val="0"/>
    <w:rPr>
      <w:rFonts w:eastAsia="仿宋_GB2312"/>
      <w:kern w:val="2"/>
      <w:sz w:val="28"/>
      <w:lang w:val="en-US" w:eastAsia="zh-CN" w:bidi="ar-SA"/>
    </w:rPr>
  </w:style>
  <w:style w:type="character" w:customStyle="1" w:styleId="66">
    <w:name w:val="text1"/>
    <w:basedOn w:val="32"/>
    <w:qFormat/>
    <w:uiPriority w:val="0"/>
    <w:rPr>
      <w:b/>
      <w:color w:val="353333"/>
      <w:sz w:val="14"/>
      <w:szCs w:val="14"/>
    </w:rPr>
  </w:style>
  <w:style w:type="character" w:customStyle="1" w:styleId="67">
    <w:name w:val="title-dian"/>
    <w:basedOn w:val="32"/>
    <w:qFormat/>
    <w:uiPriority w:val="0"/>
  </w:style>
  <w:style w:type="character" w:customStyle="1" w:styleId="68">
    <w:name w:val="font31"/>
    <w:basedOn w:val="32"/>
    <w:qFormat/>
    <w:uiPriority w:val="0"/>
    <w:rPr>
      <w:rFonts w:hint="eastAsia" w:ascii="仿宋" w:hAnsi="仿宋" w:eastAsia="仿宋" w:cs="仿宋"/>
      <w:color w:val="000000"/>
      <w:sz w:val="18"/>
      <w:szCs w:val="18"/>
      <w:u w:val="none"/>
    </w:rPr>
  </w:style>
  <w:style w:type="character" w:customStyle="1" w:styleId="69">
    <w:name w:val="font11"/>
    <w:basedOn w:val="32"/>
    <w:qFormat/>
    <w:uiPriority w:val="0"/>
    <w:rPr>
      <w:rFonts w:hint="eastAsia" w:ascii="仿宋" w:hAnsi="仿宋" w:eastAsia="仿宋" w:cs="仿宋"/>
      <w:color w:val="000000"/>
      <w:sz w:val="18"/>
      <w:szCs w:val="18"/>
      <w:u w:val="none"/>
      <w:vertAlign w:val="superscript"/>
    </w:rPr>
  </w:style>
  <w:style w:type="character" w:customStyle="1" w:styleId="70">
    <w:name w:val="font41"/>
    <w:basedOn w:val="32"/>
    <w:qFormat/>
    <w:uiPriority w:val="0"/>
    <w:rPr>
      <w:rFonts w:hint="eastAsia" w:ascii="仿宋" w:hAnsi="仿宋" w:eastAsia="仿宋" w:cs="仿宋"/>
      <w:color w:val="000000"/>
      <w:sz w:val="18"/>
      <w:szCs w:val="18"/>
      <w:u w:val="none"/>
      <w:vertAlign w:val="superscript"/>
    </w:rPr>
  </w:style>
  <w:style w:type="character" w:customStyle="1" w:styleId="71">
    <w:name w:val="l-btn-left"/>
    <w:basedOn w:val="32"/>
    <w:qFormat/>
    <w:uiPriority w:val="0"/>
  </w:style>
  <w:style w:type="character" w:customStyle="1" w:styleId="72">
    <w:name w:val="l-btn-left1"/>
    <w:basedOn w:val="32"/>
    <w:qFormat/>
    <w:uiPriority w:val="0"/>
  </w:style>
  <w:style w:type="character" w:customStyle="1" w:styleId="73">
    <w:name w:val="l-btn-left2"/>
    <w:basedOn w:val="32"/>
    <w:qFormat/>
    <w:uiPriority w:val="0"/>
  </w:style>
  <w:style w:type="character" w:customStyle="1" w:styleId="74">
    <w:name w:val="l-btn-left3"/>
    <w:basedOn w:val="32"/>
    <w:qFormat/>
    <w:uiPriority w:val="0"/>
  </w:style>
  <w:style w:type="character" w:customStyle="1" w:styleId="75">
    <w:name w:val="l-btn-text"/>
    <w:basedOn w:val="32"/>
    <w:qFormat/>
    <w:uiPriority w:val="0"/>
  </w:style>
  <w:style w:type="character" w:customStyle="1" w:styleId="76">
    <w:name w:val="l-btn-empty"/>
    <w:basedOn w:val="32"/>
    <w:qFormat/>
    <w:uiPriority w:val="0"/>
  </w:style>
  <w:style w:type="character" w:customStyle="1" w:styleId="77">
    <w:name w:val="l-btn-left4"/>
    <w:basedOn w:val="32"/>
    <w:qFormat/>
    <w:uiPriority w:val="0"/>
  </w:style>
  <w:style w:type="character" w:customStyle="1" w:styleId="78">
    <w:name w:val="l-btn-left5"/>
    <w:basedOn w:val="32"/>
    <w:qFormat/>
    <w:uiPriority w:val="0"/>
  </w:style>
  <w:style w:type="paragraph" w:styleId="7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1796</Words>
  <Characters>10240</Characters>
  <Lines>85</Lines>
  <Paragraphs>24</Paragraphs>
  <TotalTime>0</TotalTime>
  <ScaleCrop>false</ScaleCrop>
  <LinksUpToDate>false</LinksUpToDate>
  <CharactersWithSpaces>12012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2016-10-25T07:37:00Z</dcterms:created>
  <dc:creator>微软用户</dc:creator>
  <cp:lastModifiedBy>❤️颜晨</cp:lastModifiedBy>
  <cp:lastPrinted>2020-07-15T06:20:00Z</cp:lastPrinted>
  <dcterms:modified xsi:type="dcterms:W3CDTF">2020-12-04T05:12:08Z</dcterms:modified>
  <dc:title>房地产抵押估价报告</dc:title>
  <cp:revision>611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