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6" w:rsidRDefault="0017253A" w:rsidP="00570E83">
      <w:pPr>
        <w:ind w:firstLineChars="400" w:firstLine="1760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 xml:space="preserve"> </w:t>
      </w:r>
    </w:p>
    <w:p w:rsidR="00F273B6" w:rsidRDefault="00F273B6" w:rsidP="00570E83">
      <w:pPr>
        <w:ind w:firstLineChars="400" w:firstLine="1760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</w:p>
    <w:p w:rsidR="000D7582" w:rsidRPr="00136E6D" w:rsidRDefault="000D7582" w:rsidP="00570E83">
      <w:pPr>
        <w:ind w:firstLineChars="400" w:firstLine="1760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136E6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辽宁省辽河中级人民法院</w:t>
      </w:r>
    </w:p>
    <w:p w:rsidR="000D7582" w:rsidRPr="00136E6D" w:rsidRDefault="000D7582" w:rsidP="000D7582">
      <w:pPr>
        <w:jc w:val="center"/>
        <w:rPr>
          <w:rFonts w:asciiTheme="majorEastAsia" w:eastAsiaTheme="majorEastAsia" w:hAnsiTheme="majorEastAsia"/>
          <w:b/>
          <w:color w:val="000000" w:themeColor="text1"/>
          <w:sz w:val="52"/>
          <w:szCs w:val="52"/>
        </w:rPr>
      </w:pPr>
      <w:r w:rsidRPr="00136E6D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执行裁定书</w:t>
      </w:r>
    </w:p>
    <w:p w:rsidR="000D7582" w:rsidRPr="00CC0F38" w:rsidRDefault="000D7582" w:rsidP="0020711B">
      <w:pPr>
        <w:spacing w:line="600" w:lineRule="exact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（2020）辽74执5号</w:t>
      </w:r>
    </w:p>
    <w:p w:rsidR="000D7582" w:rsidRPr="0078020B" w:rsidRDefault="000D7582" w:rsidP="0020711B">
      <w:pPr>
        <w:spacing w:line="600" w:lineRule="exact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申请执行人：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中国银行股份有限公司锦州分行，住所地辽宁省锦州市凌河区解放路五段2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甲。</w:t>
      </w:r>
    </w:p>
    <w:p w:rsidR="000D7582" w:rsidRPr="0078020B" w:rsidRDefault="000D7582" w:rsidP="0020711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负责人：董军，该银行行长。</w:t>
      </w:r>
    </w:p>
    <w:p w:rsidR="000D7582" w:rsidRPr="0078020B" w:rsidRDefault="000D7582" w:rsidP="0020711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委托诉讼代理人：孙永成，辽宁英泰律师事务所律师。</w:t>
      </w:r>
    </w:p>
    <w:p w:rsidR="000D7582" w:rsidRPr="0078020B" w:rsidRDefault="000D7582" w:rsidP="0020711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委托诉讼代理人：</w:t>
      </w:r>
      <w:proofErr w:type="gramStart"/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侯艳伟</w:t>
      </w:r>
      <w:proofErr w:type="gramEnd"/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，辽宁英泰律师事务所律师。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被执行人：辽宁东一房地产开发有限公司，住所地辽宁省沈阳市和平区中山路7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0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号。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法定代表人：黄兴武，该公司执行董事。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委托诉讼代理人：吴昊，男，该公司职员。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委托诉讼代理人：李常胜，锦州松山新区南山法律服务所法律工作者。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被执行人：辽宁金沣建设工程有限公司，住所地辽宁省沈阳市和平区中山路7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0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号1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204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室。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法定代表人：刘继宽，该公司董事长。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被执行人：辽宁东一投资集团有限公司，住所地辽宁省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沈阳市和平区中山路7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0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号（1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218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）。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法定代表人：刘继宽，该公司董事长。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被执行人：刘继宽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，男，19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57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日出生，汉族，公司董事，住辽宁省沈阳市皇姑</w:t>
      </w:r>
      <w:proofErr w:type="gramStart"/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区长江街</w:t>
      </w:r>
      <w:proofErr w:type="gramEnd"/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4-1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号6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-6-2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被执行人：徐玉环，女， 1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959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年1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2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月1</w:t>
      </w:r>
      <w:r w:rsidRPr="0078020B">
        <w:rPr>
          <w:rFonts w:ascii="仿宋" w:eastAsia="仿宋" w:hAnsi="仿宋" w:cs="宋体"/>
          <w:color w:val="000000" w:themeColor="text1"/>
          <w:sz w:val="32"/>
          <w:szCs w:val="32"/>
        </w:rPr>
        <w:t>2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日出生，汉族，无职业，住辽宁省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沈阳市皇姑</w:t>
      </w:r>
      <w:proofErr w:type="gramStart"/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区长江街</w:t>
      </w:r>
      <w:proofErr w:type="gramEnd"/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4-1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号6</w:t>
      </w:r>
      <w:r w:rsidRPr="0078020B">
        <w:rPr>
          <w:rFonts w:ascii="仿宋" w:eastAsia="仿宋" w:hAnsi="仿宋"/>
          <w:color w:val="000000" w:themeColor="text1"/>
          <w:sz w:val="32"/>
          <w:szCs w:val="32"/>
        </w:rPr>
        <w:t>-6-2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D7582" w:rsidRPr="000B6D69" w:rsidRDefault="000D7582" w:rsidP="000B6D69">
      <w:pPr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申请执行人中国银行股份有限公司锦州分行</w:t>
      </w:r>
      <w:r w:rsidR="00573FA5">
        <w:rPr>
          <w:rFonts w:ascii="仿宋" w:eastAsia="仿宋" w:hAnsi="仿宋" w:hint="eastAsia"/>
          <w:color w:val="000000" w:themeColor="text1"/>
          <w:sz w:val="32"/>
          <w:szCs w:val="32"/>
        </w:rPr>
        <w:t>（以下简称中行锦州分行）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与被执行人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辽宁东一房地产开发有限公司</w:t>
      </w:r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（以下简称东</w:t>
      </w:r>
      <w:proofErr w:type="gramStart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一</w:t>
      </w:r>
      <w:proofErr w:type="gramEnd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开发公司）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、辽宁金沣建设工程有限公司</w:t>
      </w:r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（以下简称金</w:t>
      </w:r>
      <w:proofErr w:type="gramStart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沣</w:t>
      </w:r>
      <w:proofErr w:type="gramEnd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建设公司）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、辽宁东一投资集团有限公司</w:t>
      </w:r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（以下简称东</w:t>
      </w:r>
      <w:proofErr w:type="gramStart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一</w:t>
      </w:r>
      <w:proofErr w:type="gramEnd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投资公司）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、刘继宽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徐玉环金融借款合同纠纷一案，辽宁省锦州市中级人民法院</w:t>
      </w:r>
      <w:r w:rsidR="006840ED">
        <w:rPr>
          <w:rFonts w:ascii="仿宋" w:eastAsia="仿宋" w:hAnsi="仿宋" w:cs="宋体" w:hint="eastAsia"/>
          <w:color w:val="000000" w:themeColor="text1"/>
          <w:sz w:val="32"/>
          <w:szCs w:val="32"/>
        </w:rPr>
        <w:t>（以下简称锦州中院）</w:t>
      </w:r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于2018年4月10日</w:t>
      </w:r>
      <w:proofErr w:type="gramStart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作出</w:t>
      </w:r>
      <w:proofErr w:type="gramEnd"/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（2017）辽07民初57号民事判决</w:t>
      </w:r>
      <w:r w:rsidR="006840ED">
        <w:rPr>
          <w:rFonts w:ascii="仿宋" w:eastAsia="仿宋" w:hAnsi="仿宋" w:cs="宋体" w:hint="eastAsia"/>
          <w:color w:val="000000" w:themeColor="text1"/>
          <w:sz w:val="32"/>
          <w:szCs w:val="32"/>
        </w:rPr>
        <w:t>书，</w:t>
      </w:r>
      <w:r w:rsidR="005E3939">
        <w:rPr>
          <w:rFonts w:ascii="仿宋" w:eastAsia="仿宋" w:hAnsi="仿宋" w:cs="宋体" w:hint="eastAsia"/>
          <w:color w:val="000000" w:themeColor="text1"/>
          <w:sz w:val="32"/>
          <w:szCs w:val="32"/>
        </w:rPr>
        <w:t>判决：</w:t>
      </w:r>
      <w:r w:rsidR="006840ED" w:rsidRPr="00C63E19">
        <w:rPr>
          <w:rFonts w:ascii="仿宋" w:eastAsia="仿宋" w:hAnsi="仿宋"/>
          <w:sz w:val="32"/>
          <w:szCs w:val="32"/>
        </w:rPr>
        <w:t>一、东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开发公司于判决生效后10日内偿还中行锦州分行贷款2987000</w:t>
      </w:r>
      <w:r w:rsidR="000B6D69">
        <w:rPr>
          <w:rFonts w:ascii="仿宋" w:eastAsia="仿宋" w:hAnsi="仿宋" w:hint="eastAsia"/>
          <w:sz w:val="32"/>
          <w:szCs w:val="32"/>
        </w:rPr>
        <w:t>0元及</w:t>
      </w:r>
      <w:r w:rsidR="006840ED" w:rsidRPr="00C63E19">
        <w:rPr>
          <w:rFonts w:ascii="仿宋" w:eastAsia="仿宋" w:hAnsi="仿宋"/>
          <w:sz w:val="32"/>
          <w:szCs w:val="32"/>
        </w:rPr>
        <w:t>利息149320.77元(起诉后已偿还的本息应从上述款项中扣除</w:t>
      </w:r>
      <w:r w:rsidR="000B6D69">
        <w:rPr>
          <w:rFonts w:ascii="仿宋" w:eastAsia="仿宋" w:hAnsi="仿宋" w:hint="eastAsia"/>
          <w:sz w:val="32"/>
          <w:szCs w:val="32"/>
        </w:rPr>
        <w:t>)</w:t>
      </w:r>
      <w:r w:rsidR="006840ED" w:rsidRPr="00C63E19">
        <w:rPr>
          <w:rFonts w:ascii="仿宋" w:eastAsia="仿宋" w:hAnsi="仿宋"/>
          <w:sz w:val="32"/>
          <w:szCs w:val="32"/>
        </w:rPr>
        <w:t>;二、如东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开发公司在判决指定的期限内未履行判决第一项确定的给付义务,中行锦州分行有权对东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开发公司提供的抵押物折价或者拍卖、变卖所得价款优先受偿;三、如中行锦州分行对东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开发公司提供的抵押物优先受偿后,仍有部分贷款本息未受清偿,则金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沣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建设公司、东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投资公司、刘继宽、徐玉环对中行锦州分行未受清偿的贷款本息承担连带清偿责任。其</w:t>
      </w:r>
      <w:r w:rsidR="000B6D69">
        <w:rPr>
          <w:rFonts w:ascii="仿宋" w:eastAsia="仿宋" w:hAnsi="仿宋" w:hint="eastAsia"/>
          <w:sz w:val="32"/>
          <w:szCs w:val="32"/>
        </w:rPr>
        <w:t>承担</w:t>
      </w:r>
      <w:r w:rsidR="006840ED" w:rsidRPr="00C63E19">
        <w:rPr>
          <w:rFonts w:ascii="仿宋" w:eastAsia="仿宋" w:hAnsi="仿宋"/>
          <w:sz w:val="32"/>
          <w:szCs w:val="32"/>
        </w:rPr>
        <w:t>连带保证责任</w:t>
      </w:r>
      <w:r w:rsidR="006840ED" w:rsidRPr="00C63E19">
        <w:rPr>
          <w:rFonts w:ascii="仿宋" w:eastAsia="仿宋" w:hAnsi="仿宋"/>
          <w:sz w:val="32"/>
          <w:szCs w:val="32"/>
        </w:rPr>
        <w:lastRenderedPageBreak/>
        <w:t>后,有权向东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开发公司追偿。</w:t>
      </w:r>
      <w:r w:rsidR="006840ED">
        <w:rPr>
          <w:rFonts w:ascii="仿宋" w:eastAsia="仿宋" w:hAnsi="仿宋" w:hint="eastAsia"/>
          <w:sz w:val="32"/>
          <w:szCs w:val="32"/>
        </w:rPr>
        <w:t>案件受理费19186元，由东</w:t>
      </w:r>
      <w:proofErr w:type="gramStart"/>
      <w:r w:rsidR="006840ED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6840ED">
        <w:rPr>
          <w:rFonts w:ascii="仿宋" w:eastAsia="仿宋" w:hAnsi="仿宋" w:hint="eastAsia"/>
          <w:sz w:val="32"/>
          <w:szCs w:val="32"/>
        </w:rPr>
        <w:t>开发公司负担。</w:t>
      </w:r>
      <w:r w:rsidR="006840ED" w:rsidRPr="00C63E19">
        <w:rPr>
          <w:rFonts w:ascii="仿宋" w:eastAsia="仿宋" w:hAnsi="仿宋"/>
          <w:sz w:val="32"/>
          <w:szCs w:val="32"/>
        </w:rPr>
        <w:t>中行锦州分行不服该判决,向</w:t>
      </w:r>
      <w:r w:rsidR="006840ED">
        <w:rPr>
          <w:rFonts w:ascii="仿宋" w:eastAsia="仿宋" w:hAnsi="仿宋" w:hint="eastAsia"/>
          <w:sz w:val="32"/>
          <w:szCs w:val="32"/>
        </w:rPr>
        <w:t>辽宁省高</w:t>
      </w:r>
      <w:r w:rsidR="006840ED" w:rsidRPr="00C63E19">
        <w:rPr>
          <w:rFonts w:ascii="仿宋" w:eastAsia="仿宋" w:hAnsi="仿宋" w:hint="eastAsia"/>
          <w:sz w:val="32"/>
          <w:szCs w:val="32"/>
        </w:rPr>
        <w:t>级人民法院</w:t>
      </w:r>
      <w:r w:rsidR="006840ED" w:rsidRPr="00C63E19">
        <w:rPr>
          <w:rFonts w:ascii="仿宋" w:eastAsia="仿宋" w:hAnsi="仿宋"/>
          <w:sz w:val="32"/>
          <w:szCs w:val="32"/>
        </w:rPr>
        <w:t>提起上诉。</w:t>
      </w:r>
      <w:r w:rsidR="006840ED" w:rsidRPr="00C63E19">
        <w:rPr>
          <w:rFonts w:ascii="仿宋" w:eastAsia="仿宋" w:hAnsi="仿宋" w:hint="eastAsia"/>
          <w:sz w:val="32"/>
          <w:szCs w:val="32"/>
        </w:rPr>
        <w:t>辽宁省高级人民法院</w:t>
      </w:r>
      <w:r w:rsidR="006840ED" w:rsidRPr="00C63E19">
        <w:rPr>
          <w:rFonts w:ascii="仿宋" w:eastAsia="仿宋" w:hAnsi="仿宋"/>
          <w:sz w:val="32"/>
          <w:szCs w:val="32"/>
        </w:rPr>
        <w:t>于2018年11月14日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作出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(2018)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辽民终459号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民事判决</w:t>
      </w:r>
      <w:r w:rsidR="000B6D69">
        <w:rPr>
          <w:rFonts w:ascii="仿宋" w:eastAsia="仿宋" w:hAnsi="仿宋" w:hint="eastAsia"/>
          <w:sz w:val="32"/>
          <w:szCs w:val="32"/>
        </w:rPr>
        <w:t>，</w:t>
      </w:r>
      <w:r w:rsidR="006840ED" w:rsidRPr="00C63E19">
        <w:rPr>
          <w:rFonts w:ascii="仿宋" w:eastAsia="仿宋" w:hAnsi="仿宋" w:hint="eastAsia"/>
          <w:sz w:val="32"/>
          <w:szCs w:val="32"/>
        </w:rPr>
        <w:t>判决：</w:t>
      </w:r>
      <w:r w:rsidR="000B6D69">
        <w:rPr>
          <w:rFonts w:ascii="仿宋" w:eastAsia="仿宋" w:hAnsi="仿宋"/>
          <w:sz w:val="32"/>
          <w:szCs w:val="32"/>
        </w:rPr>
        <w:t>维持锦州</w:t>
      </w:r>
      <w:r w:rsidR="006840ED" w:rsidRPr="00C63E19">
        <w:rPr>
          <w:rFonts w:ascii="仿宋" w:eastAsia="仿宋" w:hAnsi="仿宋"/>
          <w:sz w:val="32"/>
          <w:szCs w:val="32"/>
        </w:rPr>
        <w:t>中院(2017)辽07民初57号民事判决第一、二项</w:t>
      </w:r>
      <w:r w:rsidR="006840ED" w:rsidRPr="00C63E19">
        <w:rPr>
          <w:rFonts w:ascii="仿宋" w:eastAsia="仿宋" w:hAnsi="仿宋" w:hint="eastAsia"/>
          <w:sz w:val="32"/>
          <w:szCs w:val="32"/>
        </w:rPr>
        <w:t>；</w:t>
      </w:r>
      <w:r w:rsidR="006840ED" w:rsidRPr="00C63E19">
        <w:rPr>
          <w:rFonts w:ascii="仿宋" w:eastAsia="仿宋" w:hAnsi="仿宋"/>
          <w:sz w:val="32"/>
          <w:szCs w:val="32"/>
        </w:rPr>
        <w:t>二、变更锦州中院(2017)辽07民初57号民事判决第三项为</w:t>
      </w:r>
      <w:r w:rsidR="006840ED">
        <w:rPr>
          <w:rFonts w:ascii="仿宋" w:eastAsia="仿宋" w:hAnsi="仿宋" w:hint="eastAsia"/>
          <w:sz w:val="32"/>
          <w:szCs w:val="32"/>
        </w:rPr>
        <w:t>：</w:t>
      </w:r>
      <w:r w:rsidR="006840ED" w:rsidRPr="00C63E19">
        <w:rPr>
          <w:rFonts w:ascii="仿宋" w:eastAsia="仿宋" w:hAnsi="仿宋"/>
          <w:sz w:val="32"/>
          <w:szCs w:val="32"/>
        </w:rPr>
        <w:t>对东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</w:t>
      </w:r>
      <w:r w:rsidR="006840ED">
        <w:rPr>
          <w:rFonts w:ascii="仿宋" w:eastAsia="仿宋" w:hAnsi="仿宋" w:hint="eastAsia"/>
          <w:sz w:val="32"/>
          <w:szCs w:val="32"/>
        </w:rPr>
        <w:t>欠</w:t>
      </w:r>
      <w:r w:rsidR="006840ED" w:rsidRPr="00C63E19">
        <w:rPr>
          <w:rFonts w:ascii="仿宋" w:eastAsia="仿宋" w:hAnsi="仿宋"/>
          <w:sz w:val="32"/>
          <w:szCs w:val="32"/>
        </w:rPr>
        <w:t>中</w:t>
      </w:r>
      <w:r w:rsidR="006840ED">
        <w:rPr>
          <w:rFonts w:ascii="仿宋" w:eastAsia="仿宋" w:hAnsi="仿宋" w:hint="eastAsia"/>
          <w:sz w:val="32"/>
          <w:szCs w:val="32"/>
        </w:rPr>
        <w:t>行</w:t>
      </w:r>
      <w:r w:rsidR="006840ED" w:rsidRPr="00C63E19">
        <w:rPr>
          <w:rFonts w:ascii="仿宋" w:eastAsia="仿宋" w:hAnsi="仿宋"/>
          <w:sz w:val="32"/>
          <w:szCs w:val="32"/>
        </w:rPr>
        <w:t>锦州分行贷款本金29870000元及利息149320.77元(起诉后已偿还的本息应从上述款项中扣除),</w:t>
      </w:r>
      <w:r w:rsidR="006840ED">
        <w:rPr>
          <w:rFonts w:ascii="仿宋" w:eastAsia="仿宋" w:hAnsi="仿宋" w:hint="eastAsia"/>
          <w:sz w:val="32"/>
          <w:szCs w:val="32"/>
        </w:rPr>
        <w:t>金</w:t>
      </w:r>
      <w:proofErr w:type="gramStart"/>
      <w:r w:rsidR="006840ED">
        <w:rPr>
          <w:rFonts w:ascii="仿宋" w:eastAsia="仿宋" w:hAnsi="仿宋" w:hint="eastAsia"/>
          <w:sz w:val="32"/>
          <w:szCs w:val="32"/>
        </w:rPr>
        <w:t>沣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建设</w:t>
      </w:r>
      <w:r w:rsidR="006840ED">
        <w:rPr>
          <w:rFonts w:ascii="仿宋" w:eastAsia="仿宋" w:hAnsi="仿宋"/>
          <w:sz w:val="32"/>
          <w:szCs w:val="32"/>
        </w:rPr>
        <w:t>公司、</w:t>
      </w:r>
      <w:r w:rsidR="006840ED" w:rsidRPr="00C63E19">
        <w:rPr>
          <w:rFonts w:ascii="仿宋" w:eastAsia="仿宋" w:hAnsi="仿宋"/>
          <w:sz w:val="32"/>
          <w:szCs w:val="32"/>
        </w:rPr>
        <w:t>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投资公司、刘继宽、徐玉环承担连带清偿责任;如果未按本判决指定的期间履行给付金钱义务,应当依照《中华人民共和国民事诉讼法》第二百五十三条规定,加倍支付迟延履行期间的债务利息。二审案件受理费191896元,由中国银行锦州分行负担81896元,由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开发公司</w:t>
      </w:r>
      <w:r w:rsidR="006840ED">
        <w:rPr>
          <w:rFonts w:ascii="仿宋" w:eastAsia="仿宋" w:hAnsi="仿宋" w:hint="eastAsia"/>
          <w:sz w:val="32"/>
          <w:szCs w:val="32"/>
        </w:rPr>
        <w:t>、</w:t>
      </w:r>
      <w:r w:rsidR="006840ED" w:rsidRPr="00C63E19">
        <w:rPr>
          <w:rFonts w:ascii="仿宋" w:eastAsia="仿宋" w:hAnsi="仿宋"/>
          <w:sz w:val="32"/>
          <w:szCs w:val="32"/>
        </w:rPr>
        <w:t>金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沣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建设</w:t>
      </w:r>
      <w:r w:rsidR="006840ED">
        <w:rPr>
          <w:rFonts w:ascii="仿宋" w:eastAsia="仿宋" w:hAnsi="仿宋"/>
          <w:sz w:val="32"/>
          <w:szCs w:val="32"/>
        </w:rPr>
        <w:t>公司、</w:t>
      </w:r>
      <w:r w:rsidR="006840ED" w:rsidRPr="00C63E19">
        <w:rPr>
          <w:rFonts w:ascii="仿宋" w:eastAsia="仿宋" w:hAnsi="仿宋"/>
          <w:sz w:val="32"/>
          <w:szCs w:val="32"/>
        </w:rPr>
        <w:t>东</w:t>
      </w:r>
      <w:proofErr w:type="gramStart"/>
      <w:r w:rsidR="006840ED" w:rsidRPr="00C63E19">
        <w:rPr>
          <w:rFonts w:ascii="仿宋" w:eastAsia="仿宋" w:hAnsi="仿宋"/>
          <w:sz w:val="32"/>
          <w:szCs w:val="32"/>
        </w:rPr>
        <w:t>一</w:t>
      </w:r>
      <w:proofErr w:type="gramEnd"/>
      <w:r w:rsidR="006840ED" w:rsidRPr="00C63E19">
        <w:rPr>
          <w:rFonts w:ascii="仿宋" w:eastAsia="仿宋" w:hAnsi="仿宋"/>
          <w:sz w:val="32"/>
          <w:szCs w:val="32"/>
        </w:rPr>
        <w:t>投资公司</w:t>
      </w:r>
      <w:r w:rsidR="006840ED">
        <w:rPr>
          <w:rFonts w:ascii="仿宋" w:eastAsia="仿宋" w:hAnsi="仿宋" w:hint="eastAsia"/>
          <w:sz w:val="32"/>
          <w:szCs w:val="32"/>
        </w:rPr>
        <w:t>、</w:t>
      </w:r>
      <w:r w:rsidR="006840ED" w:rsidRPr="00C63E19">
        <w:rPr>
          <w:rFonts w:ascii="仿宋" w:eastAsia="仿宋" w:hAnsi="仿宋"/>
          <w:sz w:val="32"/>
          <w:szCs w:val="32"/>
        </w:rPr>
        <w:t>刘继宽、徐玉环共同负担110000</w:t>
      </w:r>
      <w:r w:rsidR="006840ED">
        <w:rPr>
          <w:rFonts w:ascii="仿宋" w:eastAsia="仿宋" w:hAnsi="仿宋" w:hint="eastAsia"/>
          <w:sz w:val="32"/>
          <w:szCs w:val="32"/>
        </w:rPr>
        <w:t>元。</w:t>
      </w:r>
      <w:r w:rsidR="006840ED" w:rsidRPr="00C63E19">
        <w:rPr>
          <w:rFonts w:ascii="仿宋" w:eastAsia="仿宋" w:hAnsi="仿宋"/>
          <w:sz w:val="32"/>
          <w:szCs w:val="32"/>
        </w:rPr>
        <w:t>上述判决发生法律效力后,中行锦州分行于2019年1月4日向锦州中院申请执行</w:t>
      </w:r>
      <w:r w:rsidR="000B6D69">
        <w:rPr>
          <w:rFonts w:ascii="仿宋" w:eastAsia="仿宋" w:hAnsi="仿宋" w:hint="eastAsia"/>
          <w:sz w:val="32"/>
          <w:szCs w:val="32"/>
        </w:rPr>
        <w:t>，</w:t>
      </w:r>
      <w:r w:rsidR="006840ED" w:rsidRPr="00C63E19">
        <w:rPr>
          <w:rFonts w:ascii="仿宋" w:eastAsia="仿宋" w:hAnsi="仿宋"/>
          <w:sz w:val="32"/>
          <w:szCs w:val="32"/>
        </w:rPr>
        <w:t>该院于同日立案</w:t>
      </w:r>
      <w:r w:rsidR="000B6D69">
        <w:rPr>
          <w:rFonts w:ascii="仿宋" w:eastAsia="仿宋" w:hAnsi="仿宋" w:hint="eastAsia"/>
          <w:sz w:val="32"/>
          <w:szCs w:val="32"/>
        </w:rPr>
        <w:t>。</w:t>
      </w:r>
      <w:r w:rsidR="000B6D69">
        <w:rPr>
          <w:rFonts w:ascii="仿宋" w:eastAsia="仿宋" w:hAnsi="仿宋" w:cs="宋体" w:hint="eastAsia"/>
          <w:color w:val="000000" w:themeColor="text1"/>
          <w:sz w:val="32"/>
          <w:szCs w:val="32"/>
        </w:rPr>
        <w:t>锦州中院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于2019年3月22日作出（2019）辽07执9号执行裁定书，查封了被执行人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东一开发公司开发建设</w:t>
      </w:r>
      <w:r w:rsidRPr="0078020B">
        <w:rPr>
          <w:rFonts w:ascii="仿宋" w:eastAsia="仿宋" w:hAnsi="仿宋" w:hint="eastAsia"/>
          <w:snapToGrid w:val="0"/>
          <w:color w:val="000000" w:themeColor="text1"/>
          <w:sz w:val="32"/>
          <w:szCs w:val="32"/>
          <w:shd w:val="clear" w:color="auto" w:fill="FFFFFF"/>
        </w:rPr>
        <w:t>的坐落于辽宁省锦州市经济开发区富海街锦绣蓝湾155套住宅房屋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，期限为3年。辽宁省高级人民法院于2020年7月8日</w:t>
      </w:r>
      <w:proofErr w:type="gramStart"/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作出</w:t>
      </w:r>
      <w:proofErr w:type="gramEnd"/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（2020）</w:t>
      </w:r>
      <w:proofErr w:type="gramStart"/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辽执监</w:t>
      </w:r>
      <w:proofErr w:type="gramEnd"/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332号执行裁定书裁定</w:t>
      </w:r>
      <w:r w:rsidR="0017253A">
        <w:rPr>
          <w:rFonts w:ascii="仿宋" w:eastAsia="仿宋" w:hAnsi="仿宋" w:cs="宋体" w:hint="eastAsia"/>
          <w:color w:val="000000" w:themeColor="text1"/>
          <w:sz w:val="32"/>
          <w:szCs w:val="32"/>
        </w:rPr>
        <w:t>:锦州</w:t>
      </w:r>
      <w:r w:rsidR="000B6D69">
        <w:rPr>
          <w:rFonts w:ascii="仿宋" w:eastAsia="仿宋" w:hAnsi="仿宋" w:cs="宋体" w:hint="eastAsia"/>
          <w:color w:val="000000" w:themeColor="text1"/>
          <w:sz w:val="32"/>
          <w:szCs w:val="32"/>
        </w:rPr>
        <w:t>中院</w:t>
      </w:r>
      <w:r w:rsidR="0017253A">
        <w:rPr>
          <w:rFonts w:ascii="仿宋" w:eastAsia="仿宋" w:hAnsi="仿宋" w:cs="宋体" w:hint="eastAsia"/>
          <w:color w:val="000000" w:themeColor="text1"/>
          <w:sz w:val="32"/>
          <w:szCs w:val="32"/>
        </w:rPr>
        <w:t>（2017）辽07民初57号民事判决由辽河中级人民法院执行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。本院在执行过程中，</w:t>
      </w:r>
      <w:r w:rsidR="0017253A"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因被</w:t>
      </w:r>
      <w:r w:rsidR="0017253A" w:rsidRPr="0078020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执行人</w:t>
      </w:r>
      <w:r w:rsidR="0017253A" w:rsidRPr="0078020B">
        <w:rPr>
          <w:rFonts w:ascii="仿宋" w:eastAsia="仿宋" w:hAnsi="仿宋" w:hint="eastAsia"/>
          <w:kern w:val="0"/>
          <w:sz w:val="32"/>
          <w:szCs w:val="32"/>
          <w:lang w:val="zh-CN"/>
        </w:rPr>
        <w:t>至今未能履行</w:t>
      </w:r>
      <w:r w:rsidR="0017253A" w:rsidRPr="0078020B">
        <w:rPr>
          <w:rFonts w:ascii="仿宋" w:eastAsia="仿宋" w:hAnsi="仿宋" w:hint="eastAsia"/>
          <w:sz w:val="32"/>
          <w:szCs w:val="32"/>
        </w:rPr>
        <w:t>生效法律文书确定的义务</w:t>
      </w:r>
      <w:r w:rsidR="0017253A">
        <w:rPr>
          <w:rFonts w:ascii="仿宋" w:eastAsia="仿宋" w:hAnsi="仿宋" w:hint="eastAsia"/>
          <w:kern w:val="0"/>
          <w:sz w:val="32"/>
          <w:szCs w:val="32"/>
          <w:lang w:val="zh-CN"/>
        </w:rPr>
        <w:t>，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申请执行人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中行锦州分行申请对已查封的155套住宅房屋中的</w:t>
      </w:r>
      <w:r w:rsidR="0017253A">
        <w:rPr>
          <w:rFonts w:ascii="仿宋" w:eastAsia="仿宋" w:hAnsi="仿宋" w:hint="eastAsia"/>
          <w:color w:val="000000" w:themeColor="text1"/>
          <w:sz w:val="32"/>
          <w:szCs w:val="32"/>
        </w:rPr>
        <w:t>139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套住宅房屋</w:t>
      </w:r>
      <w:r w:rsidR="0017253A">
        <w:rPr>
          <w:rFonts w:ascii="仿宋" w:eastAsia="仿宋" w:hAnsi="仿宋" w:hint="eastAsia"/>
          <w:color w:val="000000" w:themeColor="text1"/>
          <w:sz w:val="32"/>
          <w:szCs w:val="32"/>
        </w:rPr>
        <w:t>予以评估拍卖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依照《中华人民共和国民事诉讼法》第二百四十四条、第二百四十七条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及</w:t>
      </w:r>
      <w:r w:rsidRPr="000D7582">
        <w:rPr>
          <w:rFonts w:ascii="仿宋" w:eastAsia="仿宋" w:hAnsi="仿宋" w:hint="eastAsia"/>
          <w:sz w:val="32"/>
          <w:szCs w:val="32"/>
        </w:rPr>
        <w:t>《最高人民法院关于人民法院民事执行中拍卖、变卖财产的规定》</w:t>
      </w:r>
      <w:r>
        <w:rPr>
          <w:rFonts w:ascii="仿宋" w:eastAsia="仿宋" w:hAnsi="仿宋" w:hint="eastAsia"/>
          <w:sz w:val="32"/>
          <w:szCs w:val="32"/>
        </w:rPr>
        <w:t>第一条</w:t>
      </w:r>
      <w:r w:rsidR="0017253A">
        <w:rPr>
          <w:rFonts w:ascii="仿宋" w:eastAsia="仿宋" w:hAnsi="仿宋" w:hint="eastAsia"/>
          <w:sz w:val="32"/>
          <w:szCs w:val="32"/>
        </w:rPr>
        <w:t>之</w:t>
      </w: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规定，裁定如下：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color w:val="000000" w:themeColor="text1"/>
          <w:sz w:val="32"/>
          <w:szCs w:val="32"/>
          <w:shd w:val="clear" w:color="auto" w:fill="FFFFFF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拍卖被执行人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辽宁东一房地产开发有限公司开发建设</w:t>
      </w:r>
      <w:r w:rsidRPr="0078020B">
        <w:rPr>
          <w:rFonts w:ascii="仿宋" w:eastAsia="仿宋" w:hAnsi="仿宋" w:hint="eastAsia"/>
          <w:snapToGrid w:val="0"/>
          <w:color w:val="000000" w:themeColor="text1"/>
          <w:sz w:val="32"/>
          <w:szCs w:val="32"/>
          <w:shd w:val="clear" w:color="auto" w:fill="FFFFFF"/>
        </w:rPr>
        <w:t>的坐落于辽宁省锦州市经济开发区富海街</w:t>
      </w:r>
      <w:proofErr w:type="gramStart"/>
      <w:r w:rsidRPr="0078020B">
        <w:rPr>
          <w:rFonts w:ascii="仿宋" w:eastAsia="仿宋" w:hAnsi="仿宋" w:hint="eastAsia"/>
          <w:snapToGrid w:val="0"/>
          <w:color w:val="000000" w:themeColor="text1"/>
          <w:sz w:val="32"/>
          <w:szCs w:val="32"/>
          <w:shd w:val="clear" w:color="auto" w:fill="FFFFFF"/>
        </w:rPr>
        <w:t>锦绣蓝湾139套</w:t>
      </w:r>
      <w:proofErr w:type="gramEnd"/>
      <w:r w:rsidRPr="0078020B">
        <w:rPr>
          <w:rFonts w:ascii="仿宋" w:eastAsia="仿宋" w:hAnsi="仿宋" w:hint="eastAsia"/>
          <w:snapToGrid w:val="0"/>
          <w:color w:val="000000" w:themeColor="text1"/>
          <w:sz w:val="32"/>
          <w:szCs w:val="32"/>
          <w:shd w:val="clear" w:color="auto" w:fill="FFFFFF"/>
        </w:rPr>
        <w:t>住宅房屋。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78020B">
        <w:rPr>
          <w:rFonts w:ascii="仿宋" w:eastAsia="仿宋" w:hAnsi="仿宋" w:cs="宋体" w:hint="eastAsia"/>
          <w:color w:val="000000" w:themeColor="text1"/>
          <w:sz w:val="32"/>
          <w:szCs w:val="32"/>
        </w:rPr>
        <w:t>本裁定送达后即发生法律效力。</w:t>
      </w: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审  判  长    许培民</w:t>
      </w:r>
    </w:p>
    <w:p w:rsidR="000D7582" w:rsidRPr="0078020B" w:rsidRDefault="000D7582" w:rsidP="0020711B">
      <w:pPr>
        <w:spacing w:line="600" w:lineRule="exact"/>
        <w:ind w:firstLineChars="1350" w:firstLine="432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审  判  员    孔祥宁</w:t>
      </w:r>
    </w:p>
    <w:p w:rsidR="000D7582" w:rsidRPr="0078020B" w:rsidRDefault="000D7582" w:rsidP="0020711B">
      <w:pPr>
        <w:spacing w:line="600" w:lineRule="exact"/>
        <w:ind w:firstLineChars="1350" w:firstLine="432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审  判  员    冯占虎</w:t>
      </w:r>
    </w:p>
    <w:p w:rsidR="000D7582" w:rsidRPr="0078020B" w:rsidRDefault="000D7582" w:rsidP="0020711B">
      <w:pPr>
        <w:spacing w:line="60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ind w:firstLineChars="1350" w:firstLine="432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二〇二〇年十一月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0D7582" w:rsidRPr="0078020B" w:rsidRDefault="000D7582" w:rsidP="0020711B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0D7582" w:rsidRPr="0078020B" w:rsidRDefault="000D7582" w:rsidP="0020711B">
      <w:pPr>
        <w:spacing w:line="600" w:lineRule="exact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78020B">
        <w:rPr>
          <w:rFonts w:ascii="仿宋" w:eastAsia="仿宋" w:hAnsi="仿宋" w:hint="eastAsia"/>
          <w:color w:val="000000" w:themeColor="text1"/>
          <w:sz w:val="32"/>
          <w:szCs w:val="32"/>
        </w:rPr>
        <w:t>书  记  员    张  元</w:t>
      </w:r>
    </w:p>
    <w:p w:rsidR="0020711B" w:rsidRDefault="0020711B" w:rsidP="000D7582">
      <w:pPr>
        <w:spacing w:line="480" w:lineRule="exact"/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:rsidR="0020711B" w:rsidRDefault="0020711B" w:rsidP="000D7582">
      <w:pPr>
        <w:spacing w:line="480" w:lineRule="exact"/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:rsidR="000D7582" w:rsidRPr="00CC0F38" w:rsidRDefault="000D7582" w:rsidP="000D7582">
      <w:pPr>
        <w:spacing w:line="48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CC0F38">
        <w:rPr>
          <w:rFonts w:ascii="仿宋" w:eastAsia="仿宋" w:hAnsi="仿宋" w:hint="eastAsia"/>
          <w:b/>
          <w:color w:val="000000" w:themeColor="text1"/>
          <w:sz w:val="30"/>
          <w:szCs w:val="30"/>
        </w:rPr>
        <w:lastRenderedPageBreak/>
        <w:t>附：</w:t>
      </w:r>
      <w:r w:rsidRPr="00CC0F38">
        <w:rPr>
          <w:rFonts w:ascii="仿宋" w:eastAsia="仿宋" w:hAnsi="仿宋" w:hint="eastAsia"/>
          <w:color w:val="000000" w:themeColor="text1"/>
          <w:sz w:val="30"/>
          <w:szCs w:val="30"/>
        </w:rPr>
        <w:t>拍卖房屋明细</w:t>
      </w:r>
    </w:p>
    <w:p w:rsidR="000D7582" w:rsidRPr="00CC0F38" w:rsidRDefault="000D7582" w:rsidP="000D7582">
      <w:pPr>
        <w:jc w:val="center"/>
        <w:rPr>
          <w:rFonts w:ascii="仿宋_GB2312" w:eastAsia="仿宋_GB2312"/>
          <w:b/>
          <w:snapToGrid w:val="0"/>
          <w:color w:val="000000" w:themeColor="text1"/>
          <w:sz w:val="28"/>
          <w:shd w:val="clear" w:color="auto" w:fill="FFFFFF"/>
        </w:rPr>
      </w:pPr>
      <w:r w:rsidRPr="00CC0F38">
        <w:rPr>
          <w:rFonts w:ascii="仿宋_GB2312" w:eastAsia="仿宋_GB2312" w:hint="eastAsia"/>
          <w:b/>
          <w:snapToGrid w:val="0"/>
          <w:color w:val="000000" w:themeColor="text1"/>
          <w:sz w:val="28"/>
          <w:shd w:val="clear" w:color="auto" w:fill="FFFFFF"/>
        </w:rPr>
        <w:t>拍卖房屋明细表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5752"/>
        <w:gridCol w:w="1619"/>
      </w:tblGrid>
      <w:tr w:rsidR="000D7582" w:rsidRPr="00CC0F38" w:rsidTr="005E3939">
        <w:trPr>
          <w:trHeight w:val="495"/>
          <w:jc w:val="center"/>
        </w:trPr>
        <w:tc>
          <w:tcPr>
            <w:tcW w:w="6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57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地  址</w:t>
            </w:r>
          </w:p>
        </w:tc>
        <w:tc>
          <w:tcPr>
            <w:tcW w:w="16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建筑面积（m</w:t>
            </w: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CC0F38">
              <w:rPr>
                <w:rStyle w:val="font41"/>
                <w:rFonts w:ascii="仿宋" w:eastAsia="仿宋" w:hAnsi="仿宋" w:cs="仿宋" w:hint="default"/>
                <w:color w:val="000000" w:themeColor="text1"/>
              </w:rPr>
              <w:t>)</w:t>
            </w:r>
          </w:p>
        </w:tc>
      </w:tr>
      <w:tr w:rsidR="000D7582" w:rsidRPr="00CC0F38" w:rsidTr="005E3939">
        <w:trPr>
          <w:trHeight w:val="288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B15-28号（1-14-2）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95.07</w:t>
            </w:r>
          </w:p>
        </w:tc>
      </w:tr>
      <w:tr w:rsidR="000D7582" w:rsidRPr="00CC0F38" w:rsidTr="005E3939">
        <w:trPr>
          <w:trHeight w:val="285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B15-67号（2-4-2）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70.11</w:t>
            </w:r>
          </w:p>
        </w:tc>
      </w:tr>
      <w:tr w:rsidR="000D7582" w:rsidRPr="00CC0F38" w:rsidTr="005E3939">
        <w:trPr>
          <w:trHeight w:val="285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B16-111号（2-19-1）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91.24</w:t>
            </w:r>
          </w:p>
        </w:tc>
      </w:tr>
      <w:tr w:rsidR="000D7582" w:rsidRPr="00CC0F38" w:rsidTr="005E3939">
        <w:trPr>
          <w:trHeight w:val="285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B16-109号（2-18-2）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70.11</w:t>
            </w:r>
          </w:p>
        </w:tc>
      </w:tr>
      <w:tr w:rsidR="000D7582" w:rsidRPr="00CC0F38" w:rsidTr="005E3939">
        <w:trPr>
          <w:trHeight w:val="285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B17-57号（2-1-1）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91.43</w:t>
            </w:r>
          </w:p>
        </w:tc>
      </w:tr>
      <w:tr w:rsidR="000D7582" w:rsidRPr="00CC0F38" w:rsidTr="005E3939">
        <w:trPr>
          <w:trHeight w:val="285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B17-126号（2-24-1）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91.43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B17-139号（2-28-2）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70.25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B18-119号（2-21-3）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66.09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B23-3号（1-2-1）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B23-7号（1-4-1）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B23-15号（1-8-1）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B23-35号（1-18-1）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B23-51号（1-26-1）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B24-5号（1-3-1）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B24-7号（1-4-1）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B24-9号（1-5-1）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B24-11号（1-6-1）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B24-13号（1-7-1）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B24-15号（1-8-1）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B24-17号（1-9-1）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B24-19号（1-10-1）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B24-27号（1-14-1）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B24-31号（1-16-1）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B24-37号（1-19-1）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B24-41号（1-21-1）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B24-49号（1-25-1）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B24-51号（1-26-1）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115.23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B25-91号（2-13-3）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74.02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B25-103号（2-17-3）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74.02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B5-101号（1-26-1）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72.8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B5-102号（1-26-2）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99.8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B5-181号（3-20-1）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89.17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B5-193号（3-23-1）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89.17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B6-3号（1-2-1）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115.86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B6-35号（1-18-1）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115.86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lastRenderedPageBreak/>
              <w:t>37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B6-51号（1-26-1）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115.86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B6-104号（2-26-2）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97.31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B6-155号（3-26-1）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97.31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93.67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C18-4号（1-2-2）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92.61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C18-5号（1-3-1）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93.67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C18-6号（1-3-2）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92.61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C18-7号（1-4-1）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93.67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C18-8号（1-4-2）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92.61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C18-9号（1-5-1）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93.67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C18-12号（1-6-2）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92.61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C18-13号（1-7-1）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93.67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C18-17号（2-1-1）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C18-19号（2-2-1）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C18-20号（2-2-2）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90.92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C18-21号（2-3-1）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C18-22号（2-3-2）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90.92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C18-23号（2-4-1）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C18-24号（2-4-2）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90.92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C18-25号（2-5-1）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C18-26号（2-5-2）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90.92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C18-27号（2-6-1）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C18-29号（2-7-1）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C18-35号（3-2-1）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90.85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C18-36号（3-2-2）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C18-37号（3-3-1）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90.85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C18-38号（3-3-2）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C18-39号（3-4-1）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90.85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C18-40号（3-4-2）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C18-42号（3-5-2）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C18-45号（3-7-1）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90.85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C18-48号（3-8-2）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93.79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C19-1号（1-1-1）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C19-4号（1-2-2）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C19-5号（1-3-1）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C19-6号（1-3-2）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C19-7号（1-4-1）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C19-8号（1-4-2）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C19-9号（1-5-1）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lastRenderedPageBreak/>
              <w:t>77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C19-10号（1-5-2）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C19-11号（1-6-1）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C19-12号（1-6-2）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C19-13号（1-7-1）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C19-14号（1-7-2）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C19-20号（2-2-2）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C19-21号（2-3-1）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C19-22号（2-3-2）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C19-23号（2-4-1）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C19-24号（2-4-2）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C19-25号（2-5-1）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C19-26号（2-5-2）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C19-27号（2-6-1）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C19-32号（2-8-2）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91.38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C19-35号（3-2-1）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C19-36号（3-2-2）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C19-37号（3-3-1）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C19-38号（3-3-2）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C19-39号（3-4-1）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C19-40号（3-4-2）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C19-41号（3-5-1）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C19-42号（3-5-2）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C19-43号（3-6-1）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C19-44号（3-6-2）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C19-45号（3-7-1）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C19-46号（3-7-2）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C19-47号（3-8-1）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91.19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C19-48号（3-8-2）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95.66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C20-5号（1-3-1）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95.66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C20-19号（2-2-1）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95.78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C20-20号（2-2-2）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93.68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C20-21号（2-3-1）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95.78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C20-33号（3-1-1）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83.26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C20-26号（2-5-2）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93.86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C20-39号（3-4-1）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83.26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C21-11号（1-6-1）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95.66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C21-6号（1-3-2）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95.66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96.14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C22-4号（1-2-2）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94.21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lastRenderedPageBreak/>
              <w:t>117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C22-5号（1-3-1）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96.14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C22-17号（2-1-1）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94.33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C22-19号（2-2-1）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94.33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C22-20号（2-2-2）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94.33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C22-35号（3-2-1）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83.57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C22-47号（3-8-1）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83.57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C22-30号（2-7-2）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94.33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C23-3号（1-2-1）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C23-4号（1-2-2）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C23-5号（1-3-1）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C23-6号（1-3-2）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C23-7号（1-4-1）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C23-8号（1-4-2）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130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C23-10号（1-5-2）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131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C23-19号（2-2-1）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132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C23-20号（2-2-2）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133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C23-21号（2-3-1）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134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C23-22号（2-3-2）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135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C23-23号（2-4-1）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136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C23-24号（2-4-2）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137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C23-25号（2-5-1）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138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C23-26号（2-5-2）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139</w:t>
            </w:r>
          </w:p>
        </w:tc>
        <w:tc>
          <w:tcPr>
            <w:tcW w:w="57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锦州市经济技术开发区富海街</w:t>
            </w:r>
            <w:proofErr w:type="gramStart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锦绣蓝湾</w:t>
            </w:r>
            <w:proofErr w:type="gramEnd"/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C23-29号（2-7-1）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93.18</w:t>
            </w:r>
          </w:p>
        </w:tc>
      </w:tr>
      <w:tr w:rsidR="000D7582" w:rsidRPr="00CC0F38" w:rsidTr="005E3939">
        <w:trPr>
          <w:trHeight w:val="270"/>
          <w:jc w:val="center"/>
        </w:trPr>
        <w:tc>
          <w:tcPr>
            <w:tcW w:w="635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合 计</w:t>
            </w:r>
          </w:p>
        </w:tc>
        <w:tc>
          <w:tcPr>
            <w:tcW w:w="1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7582" w:rsidRPr="00CC0F38" w:rsidRDefault="000D7582" w:rsidP="005E39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CC0F38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13251.8</w:t>
            </w:r>
          </w:p>
        </w:tc>
      </w:tr>
    </w:tbl>
    <w:p w:rsidR="000D7582" w:rsidRPr="00CC0F38" w:rsidRDefault="000D7582" w:rsidP="000D7582">
      <w:pPr>
        <w:spacing w:line="48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864454" w:rsidRDefault="00864454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864454" w:rsidRDefault="00864454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0D7582" w:rsidRDefault="000D7582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0D7582" w:rsidRDefault="000D7582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0D7582" w:rsidRDefault="000D7582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0D7582" w:rsidRDefault="000D7582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0D7582" w:rsidRDefault="000D7582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0D7582" w:rsidRDefault="000D7582" w:rsidP="00864454">
      <w:pPr>
        <w:spacing w:line="300" w:lineRule="auto"/>
        <w:rPr>
          <w:rFonts w:ascii="宋体" w:eastAsia="宋体" w:hAnsi="宋体"/>
          <w:sz w:val="32"/>
          <w:szCs w:val="32"/>
        </w:rPr>
      </w:pPr>
    </w:p>
    <w:p w:rsidR="00864454" w:rsidRPr="0017253A" w:rsidRDefault="000D7582" w:rsidP="00864454">
      <w:pPr>
        <w:spacing w:line="300" w:lineRule="auto"/>
        <w:rPr>
          <w:rFonts w:ascii="仿宋" w:eastAsia="仿宋" w:hAnsi="仿宋"/>
          <w:b/>
          <w:sz w:val="32"/>
          <w:szCs w:val="32"/>
        </w:rPr>
      </w:pPr>
      <w:r w:rsidRPr="0017253A">
        <w:rPr>
          <w:rFonts w:ascii="仿宋" w:eastAsia="仿宋" w:hAnsi="仿宋" w:hint="eastAsia"/>
          <w:b/>
          <w:sz w:val="32"/>
          <w:szCs w:val="32"/>
        </w:rPr>
        <w:lastRenderedPageBreak/>
        <w:t>附相关法律条文</w:t>
      </w:r>
      <w:r w:rsidR="00864454" w:rsidRPr="0017253A">
        <w:rPr>
          <w:rFonts w:ascii="仿宋" w:eastAsia="仿宋" w:hAnsi="仿宋" w:hint="eastAsia"/>
          <w:b/>
          <w:sz w:val="32"/>
          <w:szCs w:val="32"/>
        </w:rPr>
        <w:t>：</w:t>
      </w:r>
    </w:p>
    <w:p w:rsidR="00864454" w:rsidRPr="000D7582" w:rsidRDefault="00864454" w:rsidP="000D7582">
      <w:pPr>
        <w:spacing w:line="30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0D7582">
        <w:rPr>
          <w:rFonts w:ascii="仿宋" w:eastAsia="仿宋" w:hAnsi="仿宋" w:hint="eastAsia"/>
          <w:sz w:val="32"/>
          <w:szCs w:val="32"/>
        </w:rPr>
        <w:t>《中华人民共和国民事诉讼法》</w:t>
      </w:r>
    </w:p>
    <w:p w:rsidR="00864454" w:rsidRPr="000D7582" w:rsidRDefault="00864454" w:rsidP="000D7582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D7582">
        <w:rPr>
          <w:rFonts w:ascii="仿宋" w:eastAsia="仿宋" w:hAnsi="仿宋" w:hint="eastAsia"/>
          <w:sz w:val="32"/>
          <w:szCs w:val="32"/>
        </w:rPr>
        <w:t>第二百四十四条 被执行人未按执行通知履行法律文书确定的义务，人民法院有权查封、扣押、冻结、拍卖、变卖被执行人应当履行义务部分的财产。但应当保留被执行人及其所扶养家属的生活必需品。</w:t>
      </w:r>
    </w:p>
    <w:p w:rsidR="00864454" w:rsidRPr="000D7582" w:rsidRDefault="00864454" w:rsidP="00864454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D7582">
        <w:rPr>
          <w:rFonts w:ascii="仿宋" w:eastAsia="仿宋" w:hAnsi="仿宋" w:hint="eastAsia"/>
          <w:sz w:val="32"/>
          <w:szCs w:val="32"/>
        </w:rPr>
        <w:t>采取前款措施，人民法院应当</w:t>
      </w:r>
      <w:proofErr w:type="gramStart"/>
      <w:r w:rsidRPr="000D758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0D7582">
        <w:rPr>
          <w:rFonts w:ascii="仿宋" w:eastAsia="仿宋" w:hAnsi="仿宋" w:hint="eastAsia"/>
          <w:sz w:val="32"/>
          <w:szCs w:val="32"/>
        </w:rPr>
        <w:t>裁定。</w:t>
      </w:r>
    </w:p>
    <w:p w:rsidR="00864454" w:rsidRPr="000D7582" w:rsidRDefault="00864454" w:rsidP="000D7582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D7582">
        <w:rPr>
          <w:rFonts w:ascii="仿宋" w:eastAsia="仿宋" w:hAnsi="仿宋" w:hint="eastAsia"/>
          <w:sz w:val="32"/>
          <w:szCs w:val="32"/>
        </w:rPr>
        <w:t>第二百四十七条 财产被查封、扣押后，执行员应当责令被执行人在指定期间履行法律文书确定的义务。被执行人逾期不履行的，人民法院应当拍卖被查封、扣押的财产；不适于拍卖或者当事人双方同意不进行拍卖的，人民法院可以委托有关单位变卖或者自行变卖。国家禁止自由买卖的物品，交有关单位按照国家规定的价格收购。</w:t>
      </w:r>
    </w:p>
    <w:p w:rsidR="00864454" w:rsidRPr="000D7582" w:rsidRDefault="00F17F40" w:rsidP="000D7582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D7582">
        <w:rPr>
          <w:rFonts w:ascii="仿宋" w:eastAsia="仿宋" w:hAnsi="仿宋" w:hint="eastAsia"/>
          <w:sz w:val="32"/>
          <w:szCs w:val="32"/>
        </w:rPr>
        <w:t>《</w:t>
      </w:r>
      <w:r w:rsidR="00864454" w:rsidRPr="000D7582">
        <w:rPr>
          <w:rFonts w:ascii="仿宋" w:eastAsia="仿宋" w:hAnsi="仿宋" w:hint="eastAsia"/>
          <w:sz w:val="32"/>
          <w:szCs w:val="32"/>
        </w:rPr>
        <w:t>最高人民法院关于人民法院民事执行中拍卖、变卖财产的规定》</w:t>
      </w:r>
    </w:p>
    <w:p w:rsidR="00864454" w:rsidRPr="000D7582" w:rsidRDefault="00864454" w:rsidP="000D7582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D7582">
        <w:rPr>
          <w:rFonts w:ascii="仿宋" w:eastAsia="仿宋" w:hAnsi="仿宋" w:hint="eastAsia"/>
          <w:sz w:val="32"/>
          <w:szCs w:val="32"/>
        </w:rPr>
        <w:t>第一条 在执行程序中，被执行人的财产被查封、扣押、冻结后，人民法院应当及时进行拍卖、变卖或者采取其他执行措施。</w:t>
      </w:r>
    </w:p>
    <w:p w:rsidR="00864454" w:rsidRPr="000D7582" w:rsidRDefault="00864454" w:rsidP="00864454">
      <w:pPr>
        <w:rPr>
          <w:rFonts w:ascii="仿宋" w:eastAsia="仿宋" w:hAnsi="仿宋"/>
          <w:szCs w:val="24"/>
        </w:rPr>
      </w:pPr>
    </w:p>
    <w:p w:rsidR="00864454" w:rsidRPr="000D7582" w:rsidRDefault="00864454" w:rsidP="00864454">
      <w:pPr>
        <w:rPr>
          <w:rFonts w:ascii="仿宋" w:eastAsia="仿宋" w:hAnsi="仿宋"/>
        </w:rPr>
      </w:pPr>
    </w:p>
    <w:p w:rsidR="00864454" w:rsidRPr="000D7582" w:rsidRDefault="00864454" w:rsidP="00864454">
      <w:pPr>
        <w:widowControl/>
        <w:wordWrap w:val="0"/>
        <w:adjustRightInd w:val="0"/>
        <w:snapToGrid w:val="0"/>
        <w:spacing w:line="560" w:lineRule="exact"/>
        <w:ind w:rightChars="289" w:right="607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</w:rPr>
      </w:pPr>
      <w:r w:rsidRPr="000D7582">
        <w:rPr>
          <w:rFonts w:ascii="仿宋" w:eastAsia="仿宋" w:hAnsi="仿宋" w:cs="宋体" w:hint="eastAsia"/>
          <w:color w:val="000000"/>
          <w:sz w:val="32"/>
          <w:szCs w:val="44"/>
        </w:rPr>
        <w:t xml:space="preserve">  </w:t>
      </w:r>
    </w:p>
    <w:p w:rsidR="00B43DC9" w:rsidRPr="000D7582" w:rsidRDefault="00B43DC9">
      <w:pPr>
        <w:rPr>
          <w:rFonts w:ascii="仿宋" w:eastAsia="仿宋" w:hAnsi="仿宋"/>
        </w:rPr>
      </w:pPr>
    </w:p>
    <w:sectPr w:rsidR="00B43DC9" w:rsidRPr="000D7582" w:rsidSect="00B43D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EF" w:rsidRDefault="00140CEF" w:rsidP="00E77390">
      <w:r>
        <w:separator/>
      </w:r>
    </w:p>
  </w:endnote>
  <w:endnote w:type="continuationSeparator" w:id="0">
    <w:p w:rsidR="00140CEF" w:rsidRDefault="00140CEF" w:rsidP="00E7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8374"/>
      <w:docPartObj>
        <w:docPartGallery w:val="Page Numbers (Bottom of Page)"/>
        <w:docPartUnique/>
      </w:docPartObj>
    </w:sdtPr>
    <w:sdtContent>
      <w:p w:rsidR="005E3939" w:rsidRDefault="005E3939">
        <w:pPr>
          <w:pStyle w:val="a5"/>
          <w:jc w:val="right"/>
        </w:pPr>
        <w:fldSimple w:instr=" PAGE   \* MERGEFORMAT ">
          <w:r w:rsidR="000B6D69" w:rsidRPr="000B6D69">
            <w:rPr>
              <w:noProof/>
              <w:lang w:val="zh-CN"/>
            </w:rPr>
            <w:t>9</w:t>
          </w:r>
        </w:fldSimple>
      </w:p>
    </w:sdtContent>
  </w:sdt>
  <w:p w:rsidR="005E3939" w:rsidRDefault="005E3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EF" w:rsidRDefault="00140CEF" w:rsidP="00E77390">
      <w:r>
        <w:separator/>
      </w:r>
    </w:p>
  </w:footnote>
  <w:footnote w:type="continuationSeparator" w:id="0">
    <w:p w:rsidR="00140CEF" w:rsidRDefault="00140CEF" w:rsidP="00E77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454"/>
    <w:rsid w:val="000B6D69"/>
    <w:rsid w:val="000D7582"/>
    <w:rsid w:val="001170E4"/>
    <w:rsid w:val="00136E6D"/>
    <w:rsid w:val="00140CEF"/>
    <w:rsid w:val="00150CBC"/>
    <w:rsid w:val="0017253A"/>
    <w:rsid w:val="0020711B"/>
    <w:rsid w:val="00570E83"/>
    <w:rsid w:val="00573FA5"/>
    <w:rsid w:val="005E3939"/>
    <w:rsid w:val="006840ED"/>
    <w:rsid w:val="00864454"/>
    <w:rsid w:val="00901241"/>
    <w:rsid w:val="009704B6"/>
    <w:rsid w:val="00A14926"/>
    <w:rsid w:val="00A52491"/>
    <w:rsid w:val="00B43DC9"/>
    <w:rsid w:val="00C0716E"/>
    <w:rsid w:val="00C752EC"/>
    <w:rsid w:val="00E77390"/>
    <w:rsid w:val="00F17F40"/>
    <w:rsid w:val="00F2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6445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86445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E7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7390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7390"/>
    <w:rPr>
      <w:rFonts w:ascii="等线" w:eastAsia="等线" w:hAnsi="等线" w:cs="Times New Roman"/>
      <w:sz w:val="18"/>
      <w:szCs w:val="18"/>
    </w:rPr>
  </w:style>
  <w:style w:type="character" w:customStyle="1" w:styleId="font41">
    <w:name w:val="font41"/>
    <w:basedOn w:val="a0"/>
    <w:rsid w:val="000D758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1219</Words>
  <Characters>6950</Characters>
  <Application>Microsoft Office Word</Application>
  <DocSecurity>0</DocSecurity>
  <Lines>57</Lines>
  <Paragraphs>16</Paragraphs>
  <ScaleCrop>false</ScaleCrop>
  <Company>微软中国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冯占虎</dc:creator>
  <cp:lastModifiedBy>微软用户</cp:lastModifiedBy>
  <cp:revision>10</cp:revision>
  <dcterms:created xsi:type="dcterms:W3CDTF">2020-10-28T03:37:00Z</dcterms:created>
  <dcterms:modified xsi:type="dcterms:W3CDTF">2020-11-19T00:58:00Z</dcterms:modified>
</cp:coreProperties>
</file>