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108" w:tblpY="1630"/>
        <w:tblOverlap w:val="never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6"/>
      </w:tblGrid>
      <w:tr w:rsidR="00605658">
        <w:trPr>
          <w:trHeight w:val="9643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605658" w:rsidRDefault="00605658">
            <w:pPr>
              <w:widowControl/>
              <w:autoSpaceDE w:val="0"/>
              <w:autoSpaceDN w:val="0"/>
              <w:spacing w:before="40" w:after="40" w:line="360" w:lineRule="auto"/>
              <w:ind w:leftChars="-51" w:left="-107" w:firstLineChars="24" w:firstLine="72"/>
              <w:jc w:val="center"/>
              <w:textAlignment w:val="bottom"/>
              <w:rPr>
                <w:rFonts w:ascii="黑体" w:eastAsia="黑体" w:hAnsi="Arial Narrow"/>
                <w:b/>
                <w:sz w:val="30"/>
                <w:szCs w:val="30"/>
              </w:rPr>
            </w:pPr>
          </w:p>
          <w:p w:rsidR="00605658" w:rsidRDefault="00E10F9D"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ascii="宋体" w:cs="宋体" w:hint="eastAsia"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sz w:val="28"/>
                <w:szCs w:val="28"/>
              </w:rPr>
              <w:t>本报告依据中国资产评估准则编制</w:t>
            </w:r>
          </w:p>
          <w:p w:rsidR="00605658" w:rsidRDefault="00E10F9D"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ascii="宋体" w:cs="宋体" w:hint="eastAsia"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sz w:val="28"/>
                <w:szCs w:val="28"/>
              </w:rPr>
              <w:t>人民法院委托司法执行财产处置参考价目的资产评估报告</w:t>
            </w:r>
          </w:p>
          <w:p w:rsidR="00605658" w:rsidRDefault="00605658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hAnsi="宋体" w:cs="宋体"/>
                <w:bCs/>
                <w:sz w:val="36"/>
                <w:szCs w:val="36"/>
              </w:rPr>
            </w:pPr>
          </w:p>
          <w:p w:rsidR="00605658" w:rsidRDefault="00E10F9D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辽阳市文圣区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8"/>
                <w:szCs w:val="28"/>
              </w:rPr>
              <w:t>中华大街锦绣澜湾小区53号8门联排别墅市场价值</w:t>
            </w:r>
          </w:p>
          <w:p w:rsidR="00605658" w:rsidRDefault="00E10F9D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 w:hint="eastAsia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>资产评估报告书</w:t>
            </w:r>
          </w:p>
          <w:p w:rsidR="00605658" w:rsidRDefault="0060565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 w:hint="eastAsia"/>
                <w:bCs/>
                <w:spacing w:val="4"/>
                <w:sz w:val="32"/>
                <w:szCs w:val="32"/>
              </w:rPr>
            </w:pPr>
          </w:p>
          <w:p w:rsidR="00605658" w:rsidRDefault="00E10F9D" w:rsidP="00605658">
            <w:pPr>
              <w:widowControl/>
              <w:autoSpaceDE w:val="0"/>
              <w:autoSpaceDN w:val="0"/>
              <w:spacing w:before="40" w:after="40"/>
              <w:ind w:leftChars="-51" w:left="-107" w:firstLineChars="24" w:firstLine="79"/>
              <w:jc w:val="center"/>
              <w:textAlignment w:val="bottom"/>
              <w:rPr>
                <w:rFonts w:ascii="宋体" w:cs="宋体" w:hint="eastAsia"/>
                <w:bCs/>
                <w:spacing w:val="4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辽智评报字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[</w:t>
            </w:r>
            <w:r>
              <w:rPr>
                <w:rFonts w:ascii="宋体" w:hAnsi="宋体" w:cs="宋体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ascii="宋体" w:hAnsi="宋体" w:cs="宋体" w:hint="eastAsia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]</w:t>
            </w: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第</w:t>
            </w:r>
            <w:r>
              <w:rPr>
                <w:rFonts w:ascii="宋体" w:hAnsi="宋体" w:cs="宋体" w:hint="eastAsia"/>
                <w:bCs/>
                <w:color w:val="FF0000"/>
                <w:spacing w:val="4"/>
                <w:sz w:val="32"/>
                <w:szCs w:val="32"/>
              </w:rPr>
              <w:t>014</w:t>
            </w: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号</w:t>
            </w:r>
          </w:p>
          <w:p w:rsidR="00605658" w:rsidRDefault="0060565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 w:hint="eastAsia"/>
                <w:bCs/>
                <w:sz w:val="48"/>
              </w:rPr>
            </w:pPr>
          </w:p>
          <w:p w:rsidR="00605658" w:rsidRDefault="00E10F9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cs="宋体" w:hint="eastAsia"/>
                <w:bCs/>
                <w:sz w:val="30"/>
                <w:szCs w:val="30"/>
              </w:rPr>
            </w:pPr>
            <w:r>
              <w:rPr>
                <w:rFonts w:ascii="宋体" w:cs="宋体" w:hint="eastAsia"/>
                <w:bCs/>
                <w:sz w:val="30"/>
                <w:szCs w:val="30"/>
              </w:rPr>
              <w:t>共1册，第1册</w:t>
            </w:r>
          </w:p>
          <w:p w:rsidR="00605658" w:rsidRDefault="0060565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cs="宋体" w:hint="eastAsia"/>
                <w:bCs/>
                <w:sz w:val="30"/>
                <w:szCs w:val="30"/>
              </w:rPr>
            </w:pPr>
          </w:p>
          <w:p w:rsidR="00605658" w:rsidRDefault="00E10F9D" w:rsidP="00E10F9D">
            <w:pPr>
              <w:widowControl/>
              <w:autoSpaceDE w:val="0"/>
              <w:autoSpaceDN w:val="0"/>
              <w:spacing w:before="40" w:after="40"/>
              <w:ind w:firstLineChars="750" w:firstLine="2250"/>
              <w:textAlignment w:val="bottom"/>
              <w:rPr>
                <w:rFonts w:ascii="宋体" w:cs="宋体" w:hint="eastAsia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辽阳智达资产评估事务所</w:t>
            </w:r>
          </w:p>
          <w:p w:rsidR="00605658" w:rsidRDefault="00E10F9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hAnsi="Arial Narrow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二〇二〇年四月二十二日</w:t>
            </w:r>
          </w:p>
        </w:tc>
      </w:tr>
    </w:tbl>
    <w:p w:rsidR="00605658" w:rsidRDefault="00605658">
      <w:pPr>
        <w:spacing w:after="360" w:line="360" w:lineRule="auto"/>
        <w:jc w:val="center"/>
        <w:rPr>
          <w:rFonts w:ascii="黑体" w:eastAsia="黑体" w:hAnsi="Arial Narrow"/>
          <w:b/>
          <w:sz w:val="44"/>
          <w:u w:val="single"/>
        </w:rPr>
      </w:pPr>
    </w:p>
    <w:p w:rsidR="00605658" w:rsidRDefault="00605658">
      <w:pPr>
        <w:spacing w:after="360" w:line="360" w:lineRule="auto"/>
        <w:jc w:val="center"/>
        <w:rPr>
          <w:rFonts w:ascii="黑体" w:eastAsia="黑体" w:hAnsi="Arial Narrow"/>
          <w:b/>
          <w:sz w:val="44"/>
          <w:u w:val="single"/>
        </w:rPr>
      </w:pPr>
    </w:p>
    <w:p w:rsidR="00605658" w:rsidRDefault="00605658">
      <w:pPr>
        <w:rPr>
          <w:rFonts w:hint="eastAsia"/>
        </w:rPr>
      </w:pPr>
    </w:p>
    <w:p w:rsidR="001B766F" w:rsidRDefault="001B766F">
      <w:pPr>
        <w:rPr>
          <w:rFonts w:hint="eastAsia"/>
        </w:rPr>
      </w:pPr>
    </w:p>
    <w:p w:rsidR="001B766F" w:rsidRDefault="001B766F">
      <w:pPr>
        <w:rPr>
          <w:rFonts w:hint="eastAsia"/>
        </w:rPr>
      </w:pPr>
    </w:p>
    <w:p w:rsidR="001B766F" w:rsidRDefault="001B766F">
      <w:pPr>
        <w:rPr>
          <w:rFonts w:hint="eastAsia"/>
        </w:rPr>
      </w:pPr>
    </w:p>
    <w:p w:rsidR="001B766F" w:rsidRDefault="001B766F">
      <w:pPr>
        <w:rPr>
          <w:rFonts w:hint="eastAsia"/>
        </w:rPr>
      </w:pPr>
    </w:p>
    <w:p w:rsidR="001B766F" w:rsidRDefault="001B766F">
      <w:pPr>
        <w:rPr>
          <w:rFonts w:hint="eastAsia"/>
        </w:rPr>
      </w:pPr>
    </w:p>
    <w:p w:rsidR="001B766F" w:rsidRDefault="001B766F">
      <w:pPr>
        <w:rPr>
          <w:rFonts w:hint="eastAsia"/>
        </w:rPr>
      </w:pPr>
    </w:p>
    <w:p w:rsidR="001B766F" w:rsidRDefault="001B766F" w:rsidP="001B766F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目</w:t>
      </w:r>
      <w:r>
        <w:rPr>
          <w:rFonts w:ascii="仿宋" w:eastAsia="仿宋" w:hAnsi="仿宋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录</w:t>
      </w:r>
    </w:p>
    <w:p w:rsidR="001B766F" w:rsidRDefault="001B766F" w:rsidP="001B766F">
      <w:pPr>
        <w:jc w:val="center"/>
        <w:rPr>
          <w:rFonts w:ascii="仿宋" w:eastAsia="仿宋" w:hAnsi="仿宋"/>
          <w:sz w:val="36"/>
          <w:szCs w:val="36"/>
        </w:rPr>
      </w:pPr>
    </w:p>
    <w:p w:rsidR="001B766F" w:rsidRDefault="001B766F" w:rsidP="001B766F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一、评估机构及评估师声明…………………………………………………………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2</w:t>
      </w:r>
    </w:p>
    <w:p w:rsidR="001B766F" w:rsidRDefault="001B766F" w:rsidP="001B766F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二、资产评估报告书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摘要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4</w:t>
      </w:r>
    </w:p>
    <w:p w:rsidR="001B766F" w:rsidRDefault="001B766F" w:rsidP="001B766F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三、资产评估报告书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正文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委托方、产权持有者和委托方以外其他评估报告使用者…………………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评估目的………………………………………………………………………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评估对象和范围………………………………………………………………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价值类型和定义………………………………………………………………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评估基准日……………………………………………………………………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评估依据………………………………………………………………………7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7.</w:t>
      </w:r>
      <w:r>
        <w:rPr>
          <w:rFonts w:ascii="仿宋" w:eastAsia="仿宋" w:hAnsi="仿宋" w:hint="eastAsia"/>
          <w:sz w:val="24"/>
          <w:szCs w:val="24"/>
        </w:rPr>
        <w:t>评估方法………………………………………………………………………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7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8.</w:t>
      </w:r>
      <w:r>
        <w:rPr>
          <w:rFonts w:ascii="仿宋" w:eastAsia="仿宋" w:hAnsi="仿宋" w:hint="eastAsia"/>
          <w:sz w:val="24"/>
          <w:szCs w:val="24"/>
        </w:rPr>
        <w:t>评估程序实施过程和情况……………………………………………………8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9.</w:t>
      </w:r>
      <w:r>
        <w:rPr>
          <w:rFonts w:ascii="仿宋" w:eastAsia="仿宋" w:hAnsi="仿宋" w:hint="eastAsia"/>
          <w:sz w:val="24"/>
          <w:szCs w:val="24"/>
        </w:rPr>
        <w:t>评估假设………………………………………………………………………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8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10.</w:t>
      </w:r>
      <w:r>
        <w:rPr>
          <w:rFonts w:ascii="仿宋" w:eastAsia="仿宋" w:hAnsi="仿宋" w:hint="eastAsia"/>
          <w:sz w:val="24"/>
          <w:szCs w:val="24"/>
        </w:rPr>
        <w:t>评估结论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9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11.</w:t>
      </w:r>
      <w:r>
        <w:rPr>
          <w:rFonts w:ascii="仿宋" w:eastAsia="仿宋" w:hAnsi="仿宋" w:hint="eastAsia"/>
          <w:sz w:val="24"/>
          <w:szCs w:val="24"/>
        </w:rPr>
        <w:t>特别事项说明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9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12.</w:t>
      </w:r>
      <w:r>
        <w:rPr>
          <w:rFonts w:ascii="仿宋" w:eastAsia="仿宋" w:hAnsi="仿宋" w:hint="eastAsia"/>
          <w:sz w:val="24"/>
          <w:szCs w:val="24"/>
        </w:rPr>
        <w:t>评估报告使用限制说明……………………………………………………</w:t>
      </w:r>
      <w:r>
        <w:rPr>
          <w:rFonts w:ascii="仿宋" w:eastAsia="仿宋" w:hAnsi="仿宋"/>
          <w:sz w:val="24"/>
          <w:szCs w:val="24"/>
        </w:rPr>
        <w:t>10</w:t>
      </w:r>
    </w:p>
    <w:p w:rsidR="001B766F" w:rsidRDefault="001B766F" w:rsidP="001B766F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13.</w:t>
      </w:r>
      <w:r>
        <w:rPr>
          <w:rFonts w:ascii="仿宋" w:eastAsia="仿宋" w:hAnsi="仿宋" w:hint="eastAsia"/>
          <w:sz w:val="24"/>
          <w:szCs w:val="24"/>
        </w:rPr>
        <w:t>评估报告日…………………………………………………………………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1</w:t>
      </w:r>
    </w:p>
    <w:p w:rsidR="001B766F" w:rsidRDefault="001B766F" w:rsidP="001B766F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四、资产评估明细表</w:t>
      </w:r>
    </w:p>
    <w:p w:rsidR="001B766F" w:rsidRDefault="001B766F" w:rsidP="001B766F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五、资产评估报告书附件</w:t>
      </w:r>
    </w:p>
    <w:p w:rsidR="001B766F" w:rsidRDefault="001B766F" w:rsidP="001B766F">
      <w:pPr>
        <w:spacing w:line="480" w:lineRule="auto"/>
        <w:rPr>
          <w:rFonts w:hint="eastAsia"/>
        </w:rPr>
      </w:pPr>
    </w:p>
    <w:p w:rsidR="001B766F" w:rsidRDefault="001B766F">
      <w:pPr>
        <w:rPr>
          <w:rFonts w:hint="eastAsia"/>
        </w:rPr>
      </w:pPr>
    </w:p>
    <w:sectPr w:rsidR="001B766F" w:rsidSect="00605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33" w:rsidRDefault="00864A33" w:rsidP="00E10F9D">
      <w:pPr>
        <w:rPr>
          <w:rFonts w:hint="eastAsia"/>
        </w:rPr>
      </w:pPr>
      <w:r>
        <w:separator/>
      </w:r>
    </w:p>
  </w:endnote>
  <w:endnote w:type="continuationSeparator" w:id="0">
    <w:p w:rsidR="00864A33" w:rsidRDefault="00864A33" w:rsidP="00E10F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altName w:val="Arial"/>
    <w:charset w:val="00"/>
    <w:family w:val="swiss"/>
    <w:pitch w:val="default"/>
    <w:sig w:usb0="00000000" w:usb1="00000000" w:usb2="00000000" w:usb3="00000000" w:csb0="0000009F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33" w:rsidRDefault="00864A33" w:rsidP="00E10F9D">
      <w:pPr>
        <w:rPr>
          <w:rFonts w:hint="eastAsia"/>
        </w:rPr>
      </w:pPr>
      <w:r>
        <w:separator/>
      </w:r>
    </w:p>
  </w:footnote>
  <w:footnote w:type="continuationSeparator" w:id="0">
    <w:p w:rsidR="00864A33" w:rsidRDefault="00864A33" w:rsidP="00E10F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DA"/>
    <w:rsid w:val="001B766F"/>
    <w:rsid w:val="001F75CA"/>
    <w:rsid w:val="00520A9F"/>
    <w:rsid w:val="005B6662"/>
    <w:rsid w:val="00605658"/>
    <w:rsid w:val="00624425"/>
    <w:rsid w:val="00864A33"/>
    <w:rsid w:val="00E10F9D"/>
    <w:rsid w:val="00EB24DA"/>
    <w:rsid w:val="00ED5A86"/>
    <w:rsid w:val="010C35D3"/>
    <w:rsid w:val="04341D9C"/>
    <w:rsid w:val="08852A60"/>
    <w:rsid w:val="0E8D03F4"/>
    <w:rsid w:val="119E78AB"/>
    <w:rsid w:val="121B06B2"/>
    <w:rsid w:val="14694C83"/>
    <w:rsid w:val="14962901"/>
    <w:rsid w:val="1573130A"/>
    <w:rsid w:val="187D671E"/>
    <w:rsid w:val="198E25D7"/>
    <w:rsid w:val="1CD66452"/>
    <w:rsid w:val="20B9650E"/>
    <w:rsid w:val="282D4509"/>
    <w:rsid w:val="291458B5"/>
    <w:rsid w:val="2A0C6B09"/>
    <w:rsid w:val="2EDE619B"/>
    <w:rsid w:val="2F574D31"/>
    <w:rsid w:val="31D34689"/>
    <w:rsid w:val="32481797"/>
    <w:rsid w:val="328B5183"/>
    <w:rsid w:val="32A52303"/>
    <w:rsid w:val="35BB2C77"/>
    <w:rsid w:val="36690389"/>
    <w:rsid w:val="3698302C"/>
    <w:rsid w:val="3C0C3F34"/>
    <w:rsid w:val="3CB91C23"/>
    <w:rsid w:val="42693F5A"/>
    <w:rsid w:val="44581E7E"/>
    <w:rsid w:val="4A243434"/>
    <w:rsid w:val="4ACB65F7"/>
    <w:rsid w:val="4B582350"/>
    <w:rsid w:val="4F5015A8"/>
    <w:rsid w:val="590752C6"/>
    <w:rsid w:val="59E44176"/>
    <w:rsid w:val="5CDC3097"/>
    <w:rsid w:val="607620CE"/>
    <w:rsid w:val="63664F35"/>
    <w:rsid w:val="65EB36E9"/>
    <w:rsid w:val="6626065A"/>
    <w:rsid w:val="67253C07"/>
    <w:rsid w:val="68187B56"/>
    <w:rsid w:val="699875DB"/>
    <w:rsid w:val="71B61275"/>
    <w:rsid w:val="74C70F40"/>
    <w:rsid w:val="75565783"/>
    <w:rsid w:val="7C3629E5"/>
    <w:rsid w:val="7F251DF6"/>
    <w:rsid w:val="7F84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qFormat/>
    <w:rsid w:val="00605658"/>
    <w:rPr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1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F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F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2020-02-26T06:47:00Z</cp:lastPrinted>
  <dcterms:created xsi:type="dcterms:W3CDTF">2014-10-29T12:08:00Z</dcterms:created>
  <dcterms:modified xsi:type="dcterms:W3CDTF">2020-10-27T07:03:00Z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